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D6965" w14:textId="2E483DCD" w:rsidR="002C64D4" w:rsidRDefault="002C64D4">
      <w:r>
        <w:rPr>
          <w:rFonts w:ascii="Georgia" w:hAnsi="Georgia"/>
          <w:noProof/>
          <w:color w:val="1C556C"/>
        </w:rPr>
        <w:drawing>
          <wp:anchor distT="0" distB="0" distL="114300" distR="114300" simplePos="0" relativeHeight="251658240" behindDoc="0" locked="0" layoutInCell="1" allowOverlap="1" wp14:anchorId="11077929" wp14:editId="31AC9FB9">
            <wp:simplePos x="0" y="0"/>
            <wp:positionH relativeFrom="column">
              <wp:posOffset>-914400</wp:posOffset>
            </wp:positionH>
            <wp:positionV relativeFrom="paragraph">
              <wp:posOffset>-724535</wp:posOffset>
            </wp:positionV>
            <wp:extent cx="7567676" cy="10701654"/>
            <wp:effectExtent l="0" t="0" r="0" b="5080"/>
            <wp:wrapNone/>
            <wp:docPr id="1" name="Picture 1"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ountai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7676" cy="10701654"/>
                    </a:xfrm>
                    <a:prstGeom prst="rect">
                      <a:avLst/>
                    </a:prstGeom>
                  </pic:spPr>
                </pic:pic>
              </a:graphicData>
            </a:graphic>
            <wp14:sizeRelH relativeFrom="margin">
              <wp14:pctWidth>0</wp14:pctWidth>
            </wp14:sizeRelH>
            <wp14:sizeRelV relativeFrom="margin">
              <wp14:pctHeight>0</wp14:pctHeight>
            </wp14:sizeRelV>
          </wp:anchor>
        </w:drawing>
      </w:r>
    </w:p>
    <w:p w14:paraId="1E02B56A" w14:textId="5C9A80B3" w:rsidR="002C64D4" w:rsidRDefault="002C64D4">
      <w:r>
        <w:br w:type="page"/>
      </w:r>
    </w:p>
    <w:p w14:paraId="168B13D1" w14:textId="77777777" w:rsidR="002C64D4" w:rsidRDefault="002C64D4" w:rsidP="002C64D4">
      <w:pPr>
        <w:pStyle w:val="Imprint"/>
        <w:spacing w:before="0" w:after="0"/>
        <w:rPr>
          <w:b/>
        </w:rPr>
      </w:pPr>
      <w:r>
        <w:rPr>
          <w:b/>
        </w:rPr>
        <w:lastRenderedPageBreak/>
        <w:t>Disclaimer</w:t>
      </w:r>
    </w:p>
    <w:p w14:paraId="7084037A" w14:textId="77777777" w:rsidR="002C64D4" w:rsidRDefault="002C64D4" w:rsidP="002C64D4">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3865543" w14:textId="77777777" w:rsidR="002C64D4" w:rsidRDefault="002C64D4" w:rsidP="002C64D4">
      <w:pPr>
        <w:pStyle w:val="Imprint"/>
        <w:numPr>
          <w:ilvl w:val="0"/>
          <w:numId w:val="21"/>
        </w:numPr>
        <w:ind w:left="360"/>
      </w:pPr>
      <w:r>
        <w:t xml:space="preserve">The information does not alter the laws of New Zealand, other official guidelines, or requirements. </w:t>
      </w:r>
    </w:p>
    <w:p w14:paraId="23819B39" w14:textId="77777777" w:rsidR="002C64D4" w:rsidRDefault="002C64D4" w:rsidP="002C64D4">
      <w:pPr>
        <w:pStyle w:val="Imprint"/>
        <w:numPr>
          <w:ilvl w:val="0"/>
          <w:numId w:val="21"/>
        </w:numPr>
        <w:ind w:left="360"/>
      </w:pPr>
      <w:r>
        <w:t xml:space="preserve">It does not constitute legal advice, and users should take specific advice from qualified professionals before taking any action based on information in this publication. </w:t>
      </w:r>
    </w:p>
    <w:p w14:paraId="3E2C8FCE" w14:textId="77777777" w:rsidR="002C64D4" w:rsidRDefault="002C64D4" w:rsidP="002C64D4">
      <w:pPr>
        <w:pStyle w:val="Imprint"/>
        <w:numPr>
          <w:ilvl w:val="0"/>
          <w:numId w:val="21"/>
        </w:numPr>
        <w:ind w:left="360"/>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4E95B138" w14:textId="58EC8155" w:rsidR="002C64D4" w:rsidRDefault="002C64D4" w:rsidP="002C64D4">
      <w:pPr>
        <w:pStyle w:val="Imprint"/>
        <w:ind w:left="360" w:hanging="360"/>
      </w:pPr>
      <w:r>
        <w:t>•</w:t>
      </w:r>
      <w:r>
        <w:tab/>
        <w:t>All references to websites, organisations or people not within the Ministry are for convenience only and should not be taken as endorsement of those websites or information contained in those websites nor of organisations or people referred to.</w:t>
      </w:r>
    </w:p>
    <w:p w14:paraId="5FBC93F3" w14:textId="77777777" w:rsidR="002C64D4" w:rsidRDefault="002C64D4" w:rsidP="002C64D4">
      <w:pPr>
        <w:pStyle w:val="Imprint"/>
      </w:pPr>
    </w:p>
    <w:p w14:paraId="6084AC9D" w14:textId="77777777" w:rsidR="002C64D4" w:rsidRDefault="002C64D4" w:rsidP="002C64D4">
      <w:pPr>
        <w:pStyle w:val="Imprint"/>
      </w:pPr>
    </w:p>
    <w:p w14:paraId="5CDEECFB" w14:textId="0D12E460" w:rsidR="002C64D4" w:rsidRDefault="002C64D4" w:rsidP="002C64D4">
      <w:pPr>
        <w:pStyle w:val="Imprint"/>
      </w:pPr>
      <w:r>
        <w:t xml:space="preserve">This document may be cited as: Ministry for the Environment. 2022. </w:t>
      </w:r>
      <w:r>
        <w:rPr>
          <w:i/>
          <w:iCs/>
        </w:rPr>
        <w:t>Proposed changes to regulations for the New Zealand Emissions Trading Scheme</w:t>
      </w:r>
      <w:r w:rsidR="004E309A">
        <w:rPr>
          <w:i/>
          <w:iCs/>
        </w:rPr>
        <w:t xml:space="preserve"> 2022</w:t>
      </w:r>
      <w:r>
        <w:rPr>
          <w:i/>
          <w:iCs/>
        </w:rPr>
        <w:t xml:space="preserve">: Consultation document. </w:t>
      </w:r>
      <w:r>
        <w:t>Wellington: Ministry for the Environment.</w:t>
      </w:r>
    </w:p>
    <w:p w14:paraId="6F36533D" w14:textId="77777777" w:rsidR="002C64D4" w:rsidRDefault="002C64D4" w:rsidP="002C64D4">
      <w:pPr>
        <w:pStyle w:val="Imprint"/>
      </w:pPr>
    </w:p>
    <w:p w14:paraId="1224473F" w14:textId="77777777" w:rsidR="002C64D4" w:rsidRDefault="002C64D4" w:rsidP="002C64D4">
      <w:pPr>
        <w:pStyle w:val="Imprint"/>
      </w:pPr>
    </w:p>
    <w:p w14:paraId="14CDE793" w14:textId="77777777" w:rsidR="002C64D4" w:rsidRDefault="002C64D4" w:rsidP="002C64D4">
      <w:pPr>
        <w:pStyle w:val="Imprint"/>
      </w:pPr>
    </w:p>
    <w:p w14:paraId="3A39A1E8" w14:textId="77777777" w:rsidR="002C64D4" w:rsidRDefault="002C64D4" w:rsidP="002C64D4">
      <w:pPr>
        <w:pStyle w:val="Imprint"/>
      </w:pPr>
    </w:p>
    <w:p w14:paraId="50052144" w14:textId="77777777" w:rsidR="002C64D4" w:rsidRDefault="002C64D4" w:rsidP="002C64D4">
      <w:pPr>
        <w:pStyle w:val="Imprint"/>
      </w:pPr>
    </w:p>
    <w:p w14:paraId="6FD9FB54" w14:textId="77777777" w:rsidR="002C64D4" w:rsidRDefault="002C64D4" w:rsidP="002C64D4">
      <w:pPr>
        <w:pStyle w:val="Imprint"/>
      </w:pPr>
    </w:p>
    <w:p w14:paraId="188BA640" w14:textId="77777777" w:rsidR="002C64D4" w:rsidRDefault="002C64D4" w:rsidP="002C64D4">
      <w:pPr>
        <w:pStyle w:val="Imprint"/>
      </w:pPr>
    </w:p>
    <w:p w14:paraId="4075ABE8" w14:textId="77777777" w:rsidR="002C64D4" w:rsidRDefault="002C64D4" w:rsidP="002C64D4">
      <w:pPr>
        <w:pStyle w:val="Imprint"/>
      </w:pPr>
    </w:p>
    <w:p w14:paraId="7D50C822" w14:textId="77777777" w:rsidR="002C64D4" w:rsidRDefault="002C64D4" w:rsidP="002C64D4">
      <w:pPr>
        <w:pStyle w:val="Imprint"/>
      </w:pPr>
    </w:p>
    <w:p w14:paraId="1F1AACED" w14:textId="77777777" w:rsidR="002C64D4" w:rsidRDefault="002C64D4" w:rsidP="002C64D4">
      <w:pPr>
        <w:pStyle w:val="Imprint"/>
      </w:pPr>
    </w:p>
    <w:p w14:paraId="5D68BB37" w14:textId="77777777" w:rsidR="002C64D4" w:rsidRDefault="002C64D4" w:rsidP="002C64D4">
      <w:pPr>
        <w:pStyle w:val="Imprint"/>
      </w:pPr>
    </w:p>
    <w:p w14:paraId="15E312E3" w14:textId="77777777" w:rsidR="002C64D4" w:rsidRDefault="002C64D4" w:rsidP="002C64D4">
      <w:pPr>
        <w:pStyle w:val="Imprint"/>
      </w:pPr>
    </w:p>
    <w:p w14:paraId="43584324" w14:textId="77777777" w:rsidR="002C64D4" w:rsidRDefault="002C64D4" w:rsidP="002C64D4">
      <w:pPr>
        <w:pStyle w:val="Imprint"/>
      </w:pPr>
      <w:r>
        <w:t>Published in March 2022 by the</w:t>
      </w:r>
      <w:r>
        <w:br/>
        <w:t xml:space="preserve">Ministry for the Environment </w:t>
      </w:r>
      <w:r>
        <w:br/>
        <w:t>Manatū Mō Te Taiao</w:t>
      </w:r>
      <w:r>
        <w:br/>
        <w:t>PO Box 10362, Wellington 6143, New Zealand</w:t>
      </w:r>
    </w:p>
    <w:p w14:paraId="2B04DE59" w14:textId="0FA93652" w:rsidR="002C64D4" w:rsidRDefault="002C64D4" w:rsidP="00576376">
      <w:pPr>
        <w:pStyle w:val="Imprint"/>
      </w:pPr>
      <w:r>
        <w:t xml:space="preserve">ISBN: </w:t>
      </w:r>
      <w:r w:rsidRPr="00ED5438">
        <w:t>978-1-99-102515-9</w:t>
      </w:r>
      <w:r w:rsidR="00576376">
        <w:br/>
      </w:r>
      <w:r>
        <w:t xml:space="preserve">Publication number: </w:t>
      </w:r>
      <w:r w:rsidRPr="00ED5438">
        <w:t>ME</w:t>
      </w:r>
      <w:r>
        <w:t xml:space="preserve"> 1628</w:t>
      </w:r>
    </w:p>
    <w:p w14:paraId="74D2D08C" w14:textId="77777777" w:rsidR="002C64D4" w:rsidRDefault="002C64D4" w:rsidP="002C64D4">
      <w:pPr>
        <w:pStyle w:val="Imprint"/>
        <w:spacing w:after="80"/>
        <w:rPr>
          <w:highlight w:val="yellow"/>
        </w:rPr>
      </w:pPr>
      <w:r>
        <w:t>© Crown copyright New Zealand 2022</w:t>
      </w:r>
    </w:p>
    <w:p w14:paraId="5697915B" w14:textId="77777777" w:rsidR="002C64D4" w:rsidRPr="003828B8" w:rsidRDefault="002C64D4" w:rsidP="002C64D4">
      <w:pPr>
        <w:pStyle w:val="Imprint"/>
        <w:spacing w:before="240" w:after="0"/>
        <w:rPr>
          <w:rStyle w:val="Hyperlink"/>
          <w:color w:val="auto"/>
        </w:rPr>
      </w:pPr>
      <w:r>
        <w:t xml:space="preserve">This document is available on the Ministry for the Environment website: </w:t>
      </w:r>
      <w:hyperlink r:id="rId12" w:history="1">
        <w:r>
          <w:rPr>
            <w:rStyle w:val="Hyperlink"/>
          </w:rPr>
          <w:t>environment.govt.nz</w:t>
        </w:r>
      </w:hyperlink>
      <w:r w:rsidRPr="003828B8">
        <w:rPr>
          <w:rStyle w:val="Hyperlink"/>
          <w:color w:val="auto"/>
        </w:rPr>
        <w:t>.</w:t>
      </w:r>
    </w:p>
    <w:p w14:paraId="0FB02BB3" w14:textId="77777777" w:rsidR="002C64D4" w:rsidRDefault="002C64D4" w:rsidP="002C64D4">
      <w:pPr>
        <w:spacing w:after="0" w:line="240" w:lineRule="auto"/>
        <w:sectPr w:rsidR="002C64D4" w:rsidSect="008278BE">
          <w:headerReference w:type="even" r:id="rId13"/>
          <w:headerReference w:type="default" r:id="rId14"/>
          <w:footerReference w:type="even" r:id="rId15"/>
          <w:footerReference w:type="default" r:id="rId16"/>
          <w:headerReference w:type="first" r:id="rId17"/>
          <w:footerReference w:type="first" r:id="rId18"/>
          <w:pgSz w:w="11907" w:h="16840" w:code="9"/>
          <w:pgMar w:top="1134" w:right="1418" w:bottom="1134" w:left="1418" w:header="567" w:footer="567" w:gutter="0"/>
          <w:pgNumType w:fmt="lowerRoman"/>
          <w:cols w:space="720"/>
          <w:titlePg/>
          <w:docGrid w:linePitch="299"/>
        </w:sectPr>
      </w:pPr>
    </w:p>
    <w:p w14:paraId="74892B1F" w14:textId="77777777" w:rsidR="002C64D4" w:rsidRPr="009B7715" w:rsidRDefault="002C64D4" w:rsidP="007200A6">
      <w:pPr>
        <w:pStyle w:val="Heading1"/>
      </w:pPr>
      <w:bookmarkStart w:id="0" w:name="_Toc95397046"/>
      <w:r>
        <w:lastRenderedPageBreak/>
        <w:t>Contents</w:t>
      </w:r>
      <w:bookmarkEnd w:id="0"/>
    </w:p>
    <w:sdt>
      <w:sdtPr>
        <w:rPr>
          <w:rFonts w:asciiTheme="minorHAnsi" w:eastAsiaTheme="minorHAnsi" w:hAnsiTheme="minorHAnsi" w:cstheme="minorBidi"/>
          <w:b/>
          <w:bCs/>
          <w:lang w:eastAsia="en-US"/>
        </w:rPr>
        <w:id w:val="-1016384412"/>
        <w:docPartObj>
          <w:docPartGallery w:val="Table of Contents"/>
          <w:docPartUnique/>
        </w:docPartObj>
      </w:sdtPr>
      <w:sdtEndPr>
        <w:rPr>
          <w:b w:val="0"/>
          <w:bCs w:val="0"/>
          <w:noProof/>
        </w:rPr>
      </w:sdtEndPr>
      <w:sdtContent>
        <w:p w14:paraId="4D482DD6" w14:textId="191F96B2" w:rsidR="002C64D4" w:rsidRPr="006B3BD6" w:rsidRDefault="002C64D4" w:rsidP="002C64D4">
          <w:pPr>
            <w:pStyle w:val="TOC1"/>
            <w:rPr>
              <w:rFonts w:eastAsiaTheme="minorEastAsia"/>
              <w:noProof/>
            </w:rPr>
          </w:pPr>
          <w:r>
            <w:rPr>
              <w:rFonts w:asciiTheme="majorHAnsi" w:eastAsiaTheme="majorEastAsia" w:hAnsiTheme="majorHAnsi" w:cstheme="majorBidi"/>
              <w:color w:val="2F5496" w:themeColor="accent1" w:themeShade="BF"/>
              <w:sz w:val="28"/>
              <w:szCs w:val="28"/>
              <w:lang w:val="en-US" w:eastAsia="ja-JP"/>
            </w:rPr>
            <w:fldChar w:fldCharType="begin"/>
          </w:r>
          <w:r>
            <w:instrText xml:space="preserve"> TOC \o "1-3" \h \z \u </w:instrText>
          </w:r>
          <w:r>
            <w:rPr>
              <w:rFonts w:asciiTheme="majorHAnsi" w:eastAsiaTheme="majorEastAsia" w:hAnsiTheme="majorHAnsi" w:cstheme="majorBidi"/>
              <w:color w:val="2F5496" w:themeColor="accent1" w:themeShade="BF"/>
              <w:sz w:val="28"/>
              <w:szCs w:val="28"/>
              <w:lang w:val="en-US" w:eastAsia="ja-JP"/>
            </w:rPr>
            <w:fldChar w:fldCharType="separate"/>
          </w:r>
          <w:hyperlink w:anchor="_Toc95397049" w:history="1">
            <w:r w:rsidRPr="00B10116">
              <w:rPr>
                <w:rStyle w:val="Hyperlink"/>
                <w:rFonts w:asciiTheme="minorHAnsi" w:eastAsia="Georgia" w:hAnsiTheme="minorHAnsi" w:cstheme="minorHAnsi"/>
                <w:noProof/>
                <w:color w:val="000000" w:themeColor="text1"/>
              </w:rPr>
              <w:t>About this consultation</w:t>
            </w:r>
            <w:r w:rsidRPr="00B10116">
              <w:rPr>
                <w:rStyle w:val="Hyperlink"/>
                <w:rFonts w:asciiTheme="minorHAnsi" w:eastAsia="Georgia" w:hAnsiTheme="minorHAnsi" w:cstheme="minorHAnsi"/>
                <w:noProof/>
                <w:color w:val="000000" w:themeColor="text1"/>
              </w:rPr>
              <w:tab/>
              <w:t>6</w:t>
            </w:r>
          </w:hyperlink>
        </w:p>
        <w:p w14:paraId="65134208" w14:textId="28BA1D2D" w:rsidR="002C64D4" w:rsidRPr="004F0D3E" w:rsidRDefault="005750DF" w:rsidP="002C64D4">
          <w:pPr>
            <w:pStyle w:val="TOC2"/>
            <w:rPr>
              <w:rFonts w:eastAsiaTheme="minorEastAsia"/>
              <w:noProof/>
            </w:rPr>
          </w:pPr>
          <w:hyperlink w:anchor="_Toc95397050" w:history="1">
            <w:r w:rsidR="002C64D4" w:rsidRPr="004F0D3E">
              <w:rPr>
                <w:rStyle w:val="Hyperlink"/>
                <w:rFonts w:asciiTheme="minorHAnsi" w:eastAsia="Georgia" w:hAnsiTheme="minorHAnsi" w:cstheme="minorHAnsi"/>
                <w:noProof/>
              </w:rPr>
              <w:t>Background</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_Toc95397050 \h </w:instrText>
            </w:r>
            <w:r w:rsidR="002C64D4" w:rsidRPr="004F0D3E">
              <w:rPr>
                <w:noProof/>
                <w:webHidden/>
              </w:rPr>
            </w:r>
            <w:r w:rsidR="002C64D4" w:rsidRPr="004F0D3E">
              <w:rPr>
                <w:noProof/>
                <w:webHidden/>
              </w:rPr>
              <w:fldChar w:fldCharType="separate"/>
            </w:r>
            <w:r w:rsidR="00457784">
              <w:rPr>
                <w:noProof/>
                <w:webHidden/>
              </w:rPr>
              <w:t>6</w:t>
            </w:r>
            <w:r w:rsidR="002C64D4" w:rsidRPr="004F0D3E">
              <w:rPr>
                <w:noProof/>
                <w:webHidden/>
              </w:rPr>
              <w:fldChar w:fldCharType="end"/>
            </w:r>
          </w:hyperlink>
        </w:p>
        <w:p w14:paraId="2ED91E33" w14:textId="06F9A35D" w:rsidR="002C64D4" w:rsidRPr="004F0D3E" w:rsidRDefault="005750DF" w:rsidP="002C64D4">
          <w:pPr>
            <w:pStyle w:val="TOC2"/>
            <w:rPr>
              <w:rFonts w:eastAsiaTheme="minorEastAsia"/>
              <w:noProof/>
            </w:rPr>
          </w:pPr>
          <w:hyperlink w:anchor="_Toc95397052" w:history="1">
            <w:r w:rsidR="002C64D4" w:rsidRPr="004F0D3E">
              <w:rPr>
                <w:rStyle w:val="Hyperlink"/>
                <w:rFonts w:asciiTheme="minorHAnsi" w:eastAsia="Georgia" w:hAnsiTheme="minorHAnsi" w:cstheme="minorHAnsi"/>
                <w:noProof/>
              </w:rPr>
              <w:t>The role of the NZ ETS and SGG levy in the emissions reduction plan</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_Toc95397052 \h </w:instrText>
            </w:r>
            <w:r w:rsidR="002C64D4" w:rsidRPr="004F0D3E">
              <w:rPr>
                <w:noProof/>
                <w:webHidden/>
              </w:rPr>
            </w:r>
            <w:r w:rsidR="002C64D4" w:rsidRPr="004F0D3E">
              <w:rPr>
                <w:noProof/>
                <w:webHidden/>
              </w:rPr>
              <w:fldChar w:fldCharType="separate"/>
            </w:r>
            <w:r w:rsidR="00457784">
              <w:rPr>
                <w:noProof/>
                <w:webHidden/>
              </w:rPr>
              <w:t>6</w:t>
            </w:r>
            <w:r w:rsidR="002C64D4" w:rsidRPr="004F0D3E">
              <w:rPr>
                <w:noProof/>
                <w:webHidden/>
              </w:rPr>
              <w:fldChar w:fldCharType="end"/>
            </w:r>
          </w:hyperlink>
        </w:p>
        <w:p w14:paraId="5A685694" w14:textId="49966D4F" w:rsidR="002C64D4" w:rsidRPr="004F0D3E" w:rsidRDefault="005750DF" w:rsidP="002C64D4">
          <w:pPr>
            <w:pStyle w:val="TOC2"/>
            <w:rPr>
              <w:rFonts w:eastAsiaTheme="minorEastAsia"/>
              <w:noProof/>
            </w:rPr>
          </w:pPr>
          <w:hyperlink w:anchor="_Toc95397053" w:history="1">
            <w:r w:rsidR="002C64D4" w:rsidRPr="004F0D3E">
              <w:rPr>
                <w:rStyle w:val="Hyperlink"/>
                <w:rFonts w:asciiTheme="minorHAnsi" w:eastAsia="Georgia" w:hAnsiTheme="minorHAnsi" w:cstheme="minorHAnsi"/>
                <w:noProof/>
              </w:rPr>
              <w:t>How businesses interact with the NZ ETS and SGG levy</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_Toc95397053 \h </w:instrText>
            </w:r>
            <w:r w:rsidR="002C64D4" w:rsidRPr="004F0D3E">
              <w:rPr>
                <w:noProof/>
                <w:webHidden/>
              </w:rPr>
            </w:r>
            <w:r w:rsidR="002C64D4" w:rsidRPr="004F0D3E">
              <w:rPr>
                <w:noProof/>
                <w:webHidden/>
              </w:rPr>
              <w:fldChar w:fldCharType="separate"/>
            </w:r>
            <w:r w:rsidR="00457784">
              <w:rPr>
                <w:noProof/>
                <w:webHidden/>
              </w:rPr>
              <w:t>7</w:t>
            </w:r>
            <w:r w:rsidR="002C64D4" w:rsidRPr="004F0D3E">
              <w:rPr>
                <w:noProof/>
                <w:webHidden/>
              </w:rPr>
              <w:fldChar w:fldCharType="end"/>
            </w:r>
          </w:hyperlink>
        </w:p>
        <w:p w14:paraId="6FCE539D" w14:textId="45B705D7" w:rsidR="002C64D4" w:rsidRPr="004F0D3E" w:rsidRDefault="005750DF" w:rsidP="002C64D4">
          <w:pPr>
            <w:pStyle w:val="TOC2"/>
            <w:rPr>
              <w:rFonts w:eastAsiaTheme="minorEastAsia"/>
              <w:noProof/>
            </w:rPr>
          </w:pPr>
          <w:hyperlink w:anchor="_Toc95397056" w:history="1">
            <w:r w:rsidR="002C64D4" w:rsidRPr="004F0D3E">
              <w:rPr>
                <w:rStyle w:val="Hyperlink"/>
                <w:rFonts w:asciiTheme="minorHAnsi" w:eastAsia="Georgia" w:hAnsiTheme="minorHAnsi" w:cstheme="minorHAnsi"/>
                <w:noProof/>
              </w:rPr>
              <w:t>Scope of regulations being consulted on</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_Toc95397056 \h </w:instrText>
            </w:r>
            <w:r w:rsidR="002C64D4" w:rsidRPr="004F0D3E">
              <w:rPr>
                <w:noProof/>
                <w:webHidden/>
              </w:rPr>
            </w:r>
            <w:r w:rsidR="002C64D4" w:rsidRPr="004F0D3E">
              <w:rPr>
                <w:noProof/>
                <w:webHidden/>
              </w:rPr>
              <w:fldChar w:fldCharType="separate"/>
            </w:r>
            <w:r w:rsidR="00457784">
              <w:rPr>
                <w:noProof/>
                <w:webHidden/>
              </w:rPr>
              <w:t>8</w:t>
            </w:r>
            <w:r w:rsidR="002C64D4" w:rsidRPr="004F0D3E">
              <w:rPr>
                <w:noProof/>
                <w:webHidden/>
              </w:rPr>
              <w:fldChar w:fldCharType="end"/>
            </w:r>
          </w:hyperlink>
        </w:p>
        <w:p w14:paraId="596AA4CC" w14:textId="4099F9AC" w:rsidR="002C64D4" w:rsidRPr="004F0D3E" w:rsidRDefault="005750DF" w:rsidP="002C64D4">
          <w:pPr>
            <w:pStyle w:val="TOC2"/>
            <w:rPr>
              <w:rFonts w:eastAsiaTheme="minorEastAsia"/>
              <w:noProof/>
            </w:rPr>
          </w:pPr>
          <w:hyperlink w:anchor="_Toc95397057" w:history="1">
            <w:r w:rsidR="002C64D4" w:rsidRPr="004F0D3E">
              <w:rPr>
                <w:rStyle w:val="Hyperlink"/>
                <w:rFonts w:asciiTheme="minorHAnsi" w:eastAsia="Georgia" w:hAnsiTheme="minorHAnsi" w:cstheme="minorHAnsi"/>
                <w:noProof/>
              </w:rPr>
              <w:t>Criteria for assessing options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_Toc95397057 \h </w:instrText>
            </w:r>
            <w:r w:rsidR="002C64D4" w:rsidRPr="004F0D3E">
              <w:rPr>
                <w:noProof/>
                <w:webHidden/>
              </w:rPr>
            </w:r>
            <w:r w:rsidR="002C64D4" w:rsidRPr="004F0D3E">
              <w:rPr>
                <w:noProof/>
                <w:webHidden/>
              </w:rPr>
              <w:fldChar w:fldCharType="separate"/>
            </w:r>
            <w:r w:rsidR="00457784">
              <w:rPr>
                <w:noProof/>
                <w:webHidden/>
              </w:rPr>
              <w:t>9</w:t>
            </w:r>
            <w:r w:rsidR="002C64D4" w:rsidRPr="004F0D3E">
              <w:rPr>
                <w:noProof/>
                <w:webHidden/>
              </w:rPr>
              <w:fldChar w:fldCharType="end"/>
            </w:r>
          </w:hyperlink>
        </w:p>
        <w:p w14:paraId="6B40FC33" w14:textId="62B74A82" w:rsidR="002C64D4" w:rsidRPr="004F0D3E" w:rsidRDefault="005750DF" w:rsidP="002C64D4">
          <w:pPr>
            <w:pStyle w:val="TOC2"/>
            <w:rPr>
              <w:rFonts w:eastAsiaTheme="minorEastAsia"/>
              <w:noProof/>
            </w:rPr>
          </w:pPr>
          <w:hyperlink w:anchor="_Toc95397058" w:history="1">
            <w:r w:rsidR="002C64D4" w:rsidRPr="004F0D3E">
              <w:rPr>
                <w:rStyle w:val="Hyperlink"/>
                <w:rFonts w:asciiTheme="minorHAnsi" w:eastAsia="Georgia" w:hAnsiTheme="minorHAnsi" w:cstheme="minorHAnsi"/>
                <w:noProof/>
              </w:rPr>
              <w:t>Your views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_Toc95397058 \h </w:instrText>
            </w:r>
            <w:r w:rsidR="002C64D4" w:rsidRPr="004F0D3E">
              <w:rPr>
                <w:noProof/>
                <w:webHidden/>
              </w:rPr>
            </w:r>
            <w:r w:rsidR="002C64D4" w:rsidRPr="004F0D3E">
              <w:rPr>
                <w:noProof/>
                <w:webHidden/>
              </w:rPr>
              <w:fldChar w:fldCharType="separate"/>
            </w:r>
            <w:r w:rsidR="00457784">
              <w:rPr>
                <w:noProof/>
                <w:webHidden/>
              </w:rPr>
              <w:t>9</w:t>
            </w:r>
            <w:r w:rsidR="002C64D4" w:rsidRPr="004F0D3E">
              <w:rPr>
                <w:noProof/>
                <w:webHidden/>
              </w:rPr>
              <w:fldChar w:fldCharType="end"/>
            </w:r>
          </w:hyperlink>
        </w:p>
        <w:p w14:paraId="3718256B" w14:textId="508C2415" w:rsidR="002C64D4" w:rsidRPr="004F0D3E" w:rsidRDefault="005750DF" w:rsidP="002C64D4">
          <w:pPr>
            <w:pStyle w:val="TOC2"/>
            <w:rPr>
              <w:rFonts w:eastAsiaTheme="minorEastAsia"/>
              <w:noProof/>
            </w:rPr>
          </w:pPr>
          <w:hyperlink w:anchor="_Toc95397059" w:history="1">
            <w:r w:rsidR="002C64D4" w:rsidRPr="004F0D3E">
              <w:rPr>
                <w:rStyle w:val="Hyperlink"/>
                <w:rFonts w:asciiTheme="minorHAnsi" w:eastAsia="Georgia" w:hAnsiTheme="minorHAnsi" w:cstheme="minorHAnsi"/>
                <w:noProof/>
              </w:rPr>
              <w:t>Consultation process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_Toc95397059 \h </w:instrText>
            </w:r>
            <w:r w:rsidR="002C64D4" w:rsidRPr="004F0D3E">
              <w:rPr>
                <w:noProof/>
                <w:webHidden/>
              </w:rPr>
            </w:r>
            <w:r w:rsidR="002C64D4" w:rsidRPr="004F0D3E">
              <w:rPr>
                <w:noProof/>
                <w:webHidden/>
              </w:rPr>
              <w:fldChar w:fldCharType="separate"/>
            </w:r>
            <w:r w:rsidR="00457784">
              <w:rPr>
                <w:noProof/>
                <w:webHidden/>
              </w:rPr>
              <w:t>9</w:t>
            </w:r>
            <w:r w:rsidR="002C64D4" w:rsidRPr="004F0D3E">
              <w:rPr>
                <w:noProof/>
                <w:webHidden/>
              </w:rPr>
              <w:fldChar w:fldCharType="end"/>
            </w:r>
          </w:hyperlink>
        </w:p>
        <w:p w14:paraId="34603B22" w14:textId="615069A9" w:rsidR="002C64D4" w:rsidRPr="004F0D3E" w:rsidRDefault="005750DF" w:rsidP="002C64D4">
          <w:pPr>
            <w:pStyle w:val="TOC2"/>
            <w:rPr>
              <w:rFonts w:eastAsiaTheme="minorEastAsia"/>
              <w:noProof/>
            </w:rPr>
          </w:pPr>
          <w:hyperlink w:anchor="_Toc95397060" w:history="1">
            <w:r w:rsidR="002C64D4" w:rsidRPr="004F0D3E">
              <w:rPr>
                <w:rStyle w:val="Hyperlink"/>
                <w:rFonts w:asciiTheme="minorHAnsi" w:eastAsia="Georgia" w:hAnsiTheme="minorHAnsi" w:cstheme="minorHAnsi"/>
                <w:noProof/>
              </w:rPr>
              <w:t>Submitting your views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_Toc95397060 \h </w:instrText>
            </w:r>
            <w:r w:rsidR="002C64D4" w:rsidRPr="004F0D3E">
              <w:rPr>
                <w:noProof/>
                <w:webHidden/>
              </w:rPr>
            </w:r>
            <w:r w:rsidR="002C64D4" w:rsidRPr="004F0D3E">
              <w:rPr>
                <w:noProof/>
                <w:webHidden/>
              </w:rPr>
              <w:fldChar w:fldCharType="separate"/>
            </w:r>
            <w:r w:rsidR="00457784">
              <w:rPr>
                <w:noProof/>
                <w:webHidden/>
              </w:rPr>
              <w:t>9</w:t>
            </w:r>
            <w:r w:rsidR="002C64D4" w:rsidRPr="004F0D3E">
              <w:rPr>
                <w:noProof/>
                <w:webHidden/>
              </w:rPr>
              <w:fldChar w:fldCharType="end"/>
            </w:r>
          </w:hyperlink>
        </w:p>
        <w:p w14:paraId="6AC96935" w14:textId="40520D92" w:rsidR="002C64D4" w:rsidRPr="00F97CA5" w:rsidRDefault="005750DF" w:rsidP="002C64D4">
          <w:pPr>
            <w:pStyle w:val="TOC1"/>
            <w:rPr>
              <w:rStyle w:val="Hyperlink"/>
              <w:rFonts w:asciiTheme="minorHAnsi" w:eastAsia="Georgia" w:hAnsiTheme="minorHAnsi" w:cstheme="minorHAnsi"/>
              <w:noProof/>
              <w:color w:val="000000" w:themeColor="text1"/>
            </w:rPr>
          </w:pPr>
          <w:hyperlink w:anchor="_Toc95397061" w:history="1">
            <w:r w:rsidR="002C64D4" w:rsidRPr="006B3BD6">
              <w:rPr>
                <w:rStyle w:val="Hyperlink"/>
                <w:rFonts w:asciiTheme="minorHAnsi" w:eastAsia="Georgia" w:hAnsiTheme="minorHAnsi" w:cstheme="minorHAnsi"/>
                <w:noProof/>
                <w:color w:val="000000" w:themeColor="text1"/>
              </w:rPr>
              <w:t>Summary of proposals</w:t>
            </w:r>
            <w:r w:rsidR="002C64D4" w:rsidRPr="006B3BD6">
              <w:rPr>
                <w:rStyle w:val="Hyperlink"/>
                <w:rFonts w:asciiTheme="minorHAnsi" w:eastAsia="Georgia" w:hAnsiTheme="minorHAnsi" w:cstheme="minorHAnsi"/>
                <w:noProof/>
                <w:webHidden/>
                <w:color w:val="000000" w:themeColor="text1"/>
              </w:rPr>
              <w:tab/>
            </w:r>
            <w:r w:rsidR="002C64D4" w:rsidRPr="00F97CA5">
              <w:rPr>
                <w:rStyle w:val="Hyperlink"/>
                <w:rFonts w:asciiTheme="minorHAnsi" w:eastAsia="Georgia" w:hAnsiTheme="minorHAnsi" w:cstheme="minorHAnsi"/>
                <w:noProof/>
                <w:webHidden/>
                <w:color w:val="000000" w:themeColor="text1"/>
              </w:rPr>
              <w:fldChar w:fldCharType="begin"/>
            </w:r>
            <w:r w:rsidR="002C64D4" w:rsidRPr="006B3BD6">
              <w:rPr>
                <w:rStyle w:val="Hyperlink"/>
                <w:rFonts w:asciiTheme="minorHAnsi" w:eastAsia="Georgia" w:hAnsiTheme="minorHAnsi" w:cstheme="minorHAnsi"/>
                <w:noProof/>
                <w:webHidden/>
                <w:color w:val="000000" w:themeColor="text1"/>
              </w:rPr>
              <w:instrText xml:space="preserve"> PAGEREF _Toc95397061 \h </w:instrText>
            </w:r>
            <w:r w:rsidR="002C64D4" w:rsidRPr="00F97CA5">
              <w:rPr>
                <w:rStyle w:val="Hyperlink"/>
                <w:rFonts w:asciiTheme="minorHAnsi" w:eastAsia="Georgia" w:hAnsiTheme="minorHAnsi" w:cstheme="minorHAnsi"/>
                <w:noProof/>
                <w:webHidden/>
                <w:color w:val="000000" w:themeColor="text1"/>
              </w:rPr>
            </w:r>
            <w:r w:rsidR="002C64D4" w:rsidRPr="00F97CA5">
              <w:rPr>
                <w:rStyle w:val="Hyperlink"/>
                <w:rFonts w:asciiTheme="minorHAnsi" w:eastAsia="Georgia" w:hAnsiTheme="minorHAnsi" w:cstheme="minorHAnsi"/>
                <w:noProof/>
                <w:webHidden/>
                <w:color w:val="000000" w:themeColor="text1"/>
              </w:rPr>
              <w:fldChar w:fldCharType="separate"/>
            </w:r>
            <w:r w:rsidR="00457784">
              <w:rPr>
                <w:rStyle w:val="Hyperlink"/>
                <w:rFonts w:asciiTheme="minorHAnsi" w:eastAsia="Georgia" w:hAnsiTheme="minorHAnsi" w:cstheme="minorHAnsi"/>
                <w:noProof/>
                <w:webHidden/>
                <w:color w:val="000000" w:themeColor="text1"/>
              </w:rPr>
              <w:t>10</w:t>
            </w:r>
            <w:r w:rsidR="002C64D4" w:rsidRPr="00F97CA5">
              <w:rPr>
                <w:rStyle w:val="Hyperlink"/>
                <w:rFonts w:asciiTheme="minorHAnsi" w:eastAsia="Georgia" w:hAnsiTheme="minorHAnsi" w:cstheme="minorHAnsi"/>
                <w:noProof/>
                <w:webHidden/>
                <w:color w:val="000000" w:themeColor="text1"/>
              </w:rPr>
              <w:fldChar w:fldCharType="end"/>
            </w:r>
          </w:hyperlink>
        </w:p>
        <w:p w14:paraId="4BD5F8A2" w14:textId="7FF8F985" w:rsidR="002C64D4" w:rsidRPr="004F0D3E" w:rsidRDefault="005750DF" w:rsidP="002C64D4">
          <w:pPr>
            <w:pStyle w:val="TOC1"/>
            <w:rPr>
              <w:rFonts w:eastAsiaTheme="minorEastAsia"/>
              <w:noProof/>
            </w:rPr>
          </w:pPr>
          <w:hyperlink w:anchor="_Toc95397074" w:history="1">
            <w:r w:rsidR="002C64D4">
              <w:rPr>
                <w:rStyle w:val="Hyperlink"/>
                <w:rFonts w:asciiTheme="minorHAnsi" w:eastAsia="Georgia" w:hAnsiTheme="minorHAnsi" w:cstheme="minorHAnsi"/>
                <w:noProof/>
              </w:rPr>
              <w:t>1</w:t>
            </w:r>
            <w:r w:rsidR="002C64D4" w:rsidRPr="004F0D3E">
              <w:rPr>
                <w:rStyle w:val="Hyperlink"/>
                <w:rFonts w:asciiTheme="minorHAnsi" w:eastAsia="Georgia" w:hAnsiTheme="minorHAnsi" w:cstheme="minorHAnsi"/>
                <w:noProof/>
              </w:rPr>
              <w:t xml:space="preserve">. </w:t>
            </w:r>
            <w:r w:rsidR="002C64D4" w:rsidRPr="004F0D3E">
              <w:rPr>
                <w:rFonts w:eastAsiaTheme="minorEastAsia"/>
                <w:noProof/>
              </w:rPr>
              <w:tab/>
            </w:r>
            <w:r w:rsidR="002C64D4">
              <w:rPr>
                <w:rStyle w:val="Hyperlink"/>
                <w:rFonts w:asciiTheme="minorHAnsi" w:eastAsia="Georgia" w:hAnsiTheme="minorHAnsi" w:cstheme="minorHAnsi"/>
                <w:noProof/>
              </w:rPr>
              <w:t>Updating</w:t>
            </w:r>
            <w:r w:rsidR="002C64D4" w:rsidRPr="004F0D3E">
              <w:rPr>
                <w:rStyle w:val="Hyperlink"/>
                <w:rFonts w:asciiTheme="minorHAnsi" w:eastAsia="Georgia" w:hAnsiTheme="minorHAnsi" w:cstheme="minorHAnsi"/>
                <w:noProof/>
              </w:rPr>
              <w:t xml:space="preserve"> the Climate Change (</w:t>
            </w:r>
            <w:r w:rsidR="002C64D4">
              <w:rPr>
                <w:rStyle w:val="Hyperlink"/>
                <w:rFonts w:asciiTheme="minorHAnsi" w:eastAsia="Georgia" w:hAnsiTheme="minorHAnsi" w:cstheme="minorHAnsi"/>
                <w:noProof/>
              </w:rPr>
              <w:t>Unit Register</w:t>
            </w:r>
            <w:r w:rsidR="002C64D4" w:rsidRPr="004F0D3E">
              <w:rPr>
                <w:rStyle w:val="Hyperlink"/>
                <w:rFonts w:asciiTheme="minorHAnsi" w:eastAsia="Georgia" w:hAnsiTheme="minorHAnsi" w:cstheme="minorHAnsi"/>
                <w:noProof/>
              </w:rPr>
              <w:t>) Regulatio</w:t>
            </w:r>
            <w:r w:rsidR="002C64D4">
              <w:rPr>
                <w:rStyle w:val="Hyperlink"/>
                <w:rFonts w:asciiTheme="minorHAnsi" w:eastAsia="Georgia" w:hAnsiTheme="minorHAnsi" w:cstheme="minorHAnsi"/>
                <w:noProof/>
              </w:rPr>
              <w:t>ns 2008</w:t>
            </w:r>
            <w:r w:rsidR="002C64D4" w:rsidRPr="004F0D3E">
              <w:rPr>
                <w:noProof/>
                <w:webHidden/>
              </w:rPr>
              <w:tab/>
            </w:r>
            <w:r w:rsidR="002C64D4">
              <w:rPr>
                <w:noProof/>
                <w:webHidden/>
              </w:rPr>
              <w:t>11</w:t>
            </w:r>
          </w:hyperlink>
        </w:p>
        <w:p w14:paraId="6AB04BB8" w14:textId="6608896D" w:rsidR="002C64D4" w:rsidRPr="004F0D3E" w:rsidRDefault="005750DF" w:rsidP="002C64D4">
          <w:pPr>
            <w:pStyle w:val="TOC2"/>
            <w:rPr>
              <w:rFonts w:eastAsiaTheme="minorEastAsia"/>
              <w:noProof/>
            </w:rPr>
          </w:pPr>
          <w:hyperlink w:anchor="_Toc95397063" w:history="1">
            <w:r w:rsidR="002C64D4" w:rsidRPr="004F0D3E">
              <w:rPr>
                <w:rStyle w:val="Hyperlink"/>
                <w:rFonts w:asciiTheme="minorHAnsi" w:eastAsia="Georgia" w:hAnsiTheme="minorHAnsi" w:cstheme="minorHAnsi"/>
                <w:noProof/>
              </w:rPr>
              <w:t>Context</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_Toc95397063 \h </w:instrText>
            </w:r>
            <w:r w:rsidR="002C64D4" w:rsidRPr="004F0D3E">
              <w:rPr>
                <w:noProof/>
                <w:webHidden/>
              </w:rPr>
            </w:r>
            <w:r w:rsidR="002C64D4" w:rsidRPr="004F0D3E">
              <w:rPr>
                <w:noProof/>
                <w:webHidden/>
              </w:rPr>
              <w:fldChar w:fldCharType="separate"/>
            </w:r>
            <w:r w:rsidR="00457784">
              <w:rPr>
                <w:noProof/>
                <w:webHidden/>
              </w:rPr>
              <w:t>11</w:t>
            </w:r>
            <w:r w:rsidR="002C64D4" w:rsidRPr="004F0D3E">
              <w:rPr>
                <w:noProof/>
                <w:webHidden/>
              </w:rPr>
              <w:fldChar w:fldCharType="end"/>
            </w:r>
          </w:hyperlink>
        </w:p>
        <w:p w14:paraId="0855CF21" w14:textId="6B9E31F1" w:rsidR="002C64D4" w:rsidRPr="004F0D3E" w:rsidRDefault="005750DF" w:rsidP="002C64D4">
          <w:pPr>
            <w:pStyle w:val="TOC2"/>
            <w:rPr>
              <w:rFonts w:eastAsiaTheme="minorEastAsia"/>
              <w:noProof/>
            </w:rPr>
          </w:pPr>
          <w:hyperlink w:anchor="_Toc95397064" w:history="1">
            <w:r w:rsidR="002C64D4" w:rsidRPr="004F0D3E">
              <w:rPr>
                <w:rStyle w:val="Hyperlink"/>
                <w:rFonts w:asciiTheme="minorHAnsi" w:eastAsia="Georgia" w:hAnsiTheme="minorHAnsi" w:cstheme="minorHAnsi"/>
                <w:noProof/>
              </w:rPr>
              <w:t>Background</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_Toc95397064 \h </w:instrText>
            </w:r>
            <w:r w:rsidR="002C64D4" w:rsidRPr="004F0D3E">
              <w:rPr>
                <w:noProof/>
                <w:webHidden/>
              </w:rPr>
            </w:r>
            <w:r w:rsidR="002C64D4" w:rsidRPr="004F0D3E">
              <w:rPr>
                <w:noProof/>
                <w:webHidden/>
              </w:rPr>
              <w:fldChar w:fldCharType="separate"/>
            </w:r>
            <w:r w:rsidR="00457784">
              <w:rPr>
                <w:noProof/>
                <w:webHidden/>
              </w:rPr>
              <w:t>11</w:t>
            </w:r>
            <w:r w:rsidR="002C64D4" w:rsidRPr="004F0D3E">
              <w:rPr>
                <w:noProof/>
                <w:webHidden/>
              </w:rPr>
              <w:fldChar w:fldCharType="end"/>
            </w:r>
          </w:hyperlink>
        </w:p>
        <w:p w14:paraId="5EF7CD13" w14:textId="1CD95512" w:rsidR="002C64D4" w:rsidRPr="004F0D3E" w:rsidRDefault="005750DF" w:rsidP="002C64D4">
          <w:pPr>
            <w:pStyle w:val="TOC2"/>
            <w:rPr>
              <w:rFonts w:eastAsiaTheme="minorEastAsia"/>
              <w:noProof/>
            </w:rPr>
          </w:pPr>
          <w:hyperlink w:anchor="_Toc95397065" w:history="1">
            <w:r w:rsidR="002C64D4" w:rsidRPr="004F0D3E">
              <w:rPr>
                <w:rStyle w:val="Hyperlink"/>
                <w:rFonts w:asciiTheme="minorHAnsi" w:eastAsia="Georgia" w:hAnsiTheme="minorHAnsi" w:cstheme="minorHAnsi"/>
                <w:noProof/>
              </w:rPr>
              <w:t>Why update the Climate Change (Unit Register) Regulations 2008</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_Toc95397065 \h </w:instrText>
            </w:r>
            <w:r w:rsidR="002C64D4" w:rsidRPr="004F0D3E">
              <w:rPr>
                <w:noProof/>
                <w:webHidden/>
              </w:rPr>
            </w:r>
            <w:r w:rsidR="002C64D4" w:rsidRPr="004F0D3E">
              <w:rPr>
                <w:noProof/>
                <w:webHidden/>
              </w:rPr>
              <w:fldChar w:fldCharType="separate"/>
            </w:r>
            <w:r w:rsidR="00457784">
              <w:rPr>
                <w:noProof/>
                <w:webHidden/>
              </w:rPr>
              <w:t>11</w:t>
            </w:r>
            <w:r w:rsidR="002C64D4" w:rsidRPr="004F0D3E">
              <w:rPr>
                <w:noProof/>
                <w:webHidden/>
              </w:rPr>
              <w:fldChar w:fldCharType="end"/>
            </w:r>
          </w:hyperlink>
        </w:p>
        <w:p w14:paraId="6383328F" w14:textId="42B4A202" w:rsidR="002C64D4" w:rsidRPr="004F0D3E" w:rsidRDefault="005750DF" w:rsidP="002C64D4">
          <w:pPr>
            <w:pStyle w:val="TOC2"/>
            <w:rPr>
              <w:rFonts w:eastAsiaTheme="minorEastAsia"/>
              <w:noProof/>
            </w:rPr>
          </w:pPr>
          <w:hyperlink w:anchor="_Toc95397066" w:history="1">
            <w:r w:rsidR="002C64D4" w:rsidRPr="004F0D3E">
              <w:rPr>
                <w:rStyle w:val="Hyperlink"/>
                <w:rFonts w:asciiTheme="minorHAnsi" w:eastAsia="Georgia" w:hAnsiTheme="minorHAnsi" w:cstheme="minorHAnsi"/>
                <w:noProof/>
              </w:rPr>
              <w:t>Options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_Toc95397066 \h </w:instrText>
            </w:r>
            <w:r w:rsidR="002C64D4" w:rsidRPr="004F0D3E">
              <w:rPr>
                <w:noProof/>
                <w:webHidden/>
              </w:rPr>
            </w:r>
            <w:r w:rsidR="002C64D4" w:rsidRPr="004F0D3E">
              <w:rPr>
                <w:noProof/>
                <w:webHidden/>
              </w:rPr>
              <w:fldChar w:fldCharType="separate"/>
            </w:r>
            <w:r w:rsidR="00457784">
              <w:rPr>
                <w:noProof/>
                <w:webHidden/>
              </w:rPr>
              <w:t>12</w:t>
            </w:r>
            <w:r w:rsidR="002C64D4" w:rsidRPr="004F0D3E">
              <w:rPr>
                <w:noProof/>
                <w:webHidden/>
              </w:rPr>
              <w:fldChar w:fldCharType="end"/>
            </w:r>
          </w:hyperlink>
        </w:p>
        <w:p w14:paraId="3B377DED" w14:textId="7A3D0064" w:rsidR="002C64D4" w:rsidRPr="004F0D3E" w:rsidRDefault="005750DF" w:rsidP="002C64D4">
          <w:pPr>
            <w:pStyle w:val="TOC2"/>
            <w:rPr>
              <w:rFonts w:eastAsiaTheme="minorEastAsia"/>
              <w:noProof/>
            </w:rPr>
          </w:pPr>
          <w:hyperlink w:anchor="_Toc95397070" w:history="1">
            <w:r w:rsidR="002C64D4" w:rsidRPr="004F0D3E">
              <w:rPr>
                <w:rStyle w:val="Hyperlink"/>
                <w:rFonts w:asciiTheme="minorHAnsi" w:eastAsia="Georgia" w:hAnsiTheme="minorHAnsi" w:cstheme="minorHAnsi"/>
                <w:noProof/>
              </w:rPr>
              <w:t>Analysis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_Toc95397070 \h </w:instrText>
            </w:r>
            <w:r w:rsidR="002C64D4" w:rsidRPr="004F0D3E">
              <w:rPr>
                <w:noProof/>
                <w:webHidden/>
              </w:rPr>
            </w:r>
            <w:r w:rsidR="002C64D4" w:rsidRPr="004F0D3E">
              <w:rPr>
                <w:noProof/>
                <w:webHidden/>
              </w:rPr>
              <w:fldChar w:fldCharType="separate"/>
            </w:r>
            <w:r w:rsidR="00457784">
              <w:rPr>
                <w:noProof/>
                <w:webHidden/>
              </w:rPr>
              <w:t>13</w:t>
            </w:r>
            <w:r w:rsidR="002C64D4" w:rsidRPr="004F0D3E">
              <w:rPr>
                <w:noProof/>
                <w:webHidden/>
              </w:rPr>
              <w:fldChar w:fldCharType="end"/>
            </w:r>
          </w:hyperlink>
        </w:p>
        <w:p w14:paraId="5AE6CF1A" w14:textId="1C84F728" w:rsidR="002C64D4" w:rsidRPr="004F0D3E" w:rsidRDefault="005750DF" w:rsidP="002C64D4">
          <w:pPr>
            <w:pStyle w:val="TOC2"/>
            <w:rPr>
              <w:rFonts w:eastAsiaTheme="minorEastAsia"/>
              <w:noProof/>
            </w:rPr>
          </w:pPr>
          <w:hyperlink w:anchor="_Toc95397072" w:history="1">
            <w:r w:rsidR="002C64D4" w:rsidRPr="004F0D3E">
              <w:rPr>
                <w:rStyle w:val="Hyperlink"/>
                <w:rFonts w:asciiTheme="minorHAnsi" w:eastAsia="Georgia" w:hAnsiTheme="minorHAnsi" w:cstheme="minorHAnsi"/>
                <w:noProof/>
              </w:rPr>
              <w:t>Your views</w:t>
            </w:r>
            <w:r w:rsidR="002C64D4">
              <w:rPr>
                <w:rStyle w:val="Hyperlink"/>
                <w:rFonts w:asciiTheme="minorHAnsi" w:eastAsia="Georgia" w:hAnsiTheme="minorHAnsi" w:cstheme="minorHAnsi"/>
                <w:noProof/>
              </w:rPr>
              <w:tab/>
            </w:r>
            <w:r w:rsidR="002C64D4" w:rsidRPr="004F0D3E">
              <w:rPr>
                <w:noProof/>
                <w:webHidden/>
              </w:rPr>
              <w:fldChar w:fldCharType="begin"/>
            </w:r>
            <w:r w:rsidR="002C64D4" w:rsidRPr="004F0D3E">
              <w:rPr>
                <w:noProof/>
                <w:webHidden/>
              </w:rPr>
              <w:instrText xml:space="preserve"> PAGEREF _Toc95397072 \h </w:instrText>
            </w:r>
            <w:r w:rsidR="002C64D4" w:rsidRPr="004F0D3E">
              <w:rPr>
                <w:noProof/>
                <w:webHidden/>
              </w:rPr>
            </w:r>
            <w:r w:rsidR="002C64D4" w:rsidRPr="004F0D3E">
              <w:rPr>
                <w:noProof/>
                <w:webHidden/>
              </w:rPr>
              <w:fldChar w:fldCharType="separate"/>
            </w:r>
            <w:r w:rsidR="00457784">
              <w:rPr>
                <w:noProof/>
                <w:webHidden/>
              </w:rPr>
              <w:t>13</w:t>
            </w:r>
            <w:r w:rsidR="002C64D4" w:rsidRPr="004F0D3E">
              <w:rPr>
                <w:noProof/>
                <w:webHidden/>
              </w:rPr>
              <w:fldChar w:fldCharType="end"/>
            </w:r>
          </w:hyperlink>
        </w:p>
        <w:p w14:paraId="63A408C3" w14:textId="104F4887" w:rsidR="002C64D4" w:rsidRPr="004F0D3E" w:rsidRDefault="005750DF" w:rsidP="002C64D4">
          <w:pPr>
            <w:pStyle w:val="TOC2"/>
            <w:rPr>
              <w:rFonts w:eastAsiaTheme="minorEastAsia"/>
              <w:noProof/>
            </w:rPr>
          </w:pPr>
          <w:hyperlink w:anchor="_Toc95397073" w:history="1">
            <w:r w:rsidR="002C64D4" w:rsidRPr="004F0D3E">
              <w:rPr>
                <w:rStyle w:val="Hyperlink"/>
                <w:rFonts w:asciiTheme="minorHAnsi" w:eastAsia="Georgia" w:hAnsiTheme="minorHAnsi" w:cstheme="minorHAnsi"/>
                <w:noProof/>
              </w:rPr>
              <w:t>Questions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_Toc95397073 \h </w:instrText>
            </w:r>
            <w:r w:rsidR="002C64D4" w:rsidRPr="004F0D3E">
              <w:rPr>
                <w:noProof/>
                <w:webHidden/>
              </w:rPr>
            </w:r>
            <w:r w:rsidR="002C64D4" w:rsidRPr="004F0D3E">
              <w:rPr>
                <w:noProof/>
                <w:webHidden/>
              </w:rPr>
              <w:fldChar w:fldCharType="separate"/>
            </w:r>
            <w:r w:rsidR="00457784">
              <w:rPr>
                <w:noProof/>
                <w:webHidden/>
              </w:rPr>
              <w:t>13</w:t>
            </w:r>
            <w:r w:rsidR="002C64D4" w:rsidRPr="004F0D3E">
              <w:rPr>
                <w:noProof/>
                <w:webHidden/>
              </w:rPr>
              <w:fldChar w:fldCharType="end"/>
            </w:r>
          </w:hyperlink>
        </w:p>
        <w:p w14:paraId="26F10565" w14:textId="6B78F3F4" w:rsidR="002C64D4" w:rsidRPr="004F0D3E" w:rsidRDefault="005750DF" w:rsidP="002C64D4">
          <w:pPr>
            <w:pStyle w:val="TOC1"/>
            <w:rPr>
              <w:rFonts w:eastAsiaTheme="minorEastAsia"/>
              <w:noProof/>
            </w:rPr>
          </w:pPr>
          <w:hyperlink w:anchor="_Toc95397074" w:history="1">
            <w:r w:rsidR="002C64D4">
              <w:rPr>
                <w:rStyle w:val="Hyperlink"/>
                <w:rFonts w:asciiTheme="minorHAnsi" w:eastAsia="Georgia" w:hAnsiTheme="minorHAnsi" w:cstheme="minorHAnsi"/>
                <w:noProof/>
              </w:rPr>
              <w:t>2</w:t>
            </w:r>
            <w:r w:rsidR="002C64D4" w:rsidRPr="004F0D3E">
              <w:rPr>
                <w:rStyle w:val="Hyperlink"/>
                <w:rFonts w:asciiTheme="minorHAnsi" w:eastAsia="Georgia" w:hAnsiTheme="minorHAnsi" w:cstheme="minorHAnsi"/>
                <w:noProof/>
              </w:rPr>
              <w:t xml:space="preserve">. </w:t>
            </w:r>
            <w:r w:rsidR="002C64D4" w:rsidRPr="004F0D3E">
              <w:rPr>
                <w:rFonts w:eastAsiaTheme="minorEastAsia"/>
                <w:noProof/>
              </w:rPr>
              <w:tab/>
            </w:r>
            <w:r w:rsidR="002C64D4">
              <w:rPr>
                <w:rStyle w:val="Hyperlink"/>
                <w:rFonts w:asciiTheme="minorHAnsi" w:eastAsia="Georgia" w:hAnsiTheme="minorHAnsi" w:cstheme="minorHAnsi"/>
                <w:noProof/>
              </w:rPr>
              <w:t>Updating</w:t>
            </w:r>
            <w:r w:rsidR="002C64D4" w:rsidRPr="004F0D3E">
              <w:rPr>
                <w:rStyle w:val="Hyperlink"/>
                <w:rFonts w:asciiTheme="minorHAnsi" w:eastAsia="Georgia" w:hAnsiTheme="minorHAnsi" w:cstheme="minorHAnsi"/>
                <w:noProof/>
              </w:rPr>
              <w:t xml:space="preserve"> the Climate Change (Other Removal Activities) Regulations 2009</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_Toc95397074 \h </w:instrText>
            </w:r>
            <w:r w:rsidR="002C64D4" w:rsidRPr="004F0D3E">
              <w:rPr>
                <w:noProof/>
                <w:webHidden/>
              </w:rPr>
            </w:r>
            <w:r w:rsidR="002C64D4" w:rsidRPr="004F0D3E">
              <w:rPr>
                <w:noProof/>
                <w:webHidden/>
              </w:rPr>
              <w:fldChar w:fldCharType="separate"/>
            </w:r>
            <w:r w:rsidR="00457784">
              <w:rPr>
                <w:noProof/>
                <w:webHidden/>
              </w:rPr>
              <w:t>14</w:t>
            </w:r>
            <w:r w:rsidR="002C64D4" w:rsidRPr="004F0D3E">
              <w:rPr>
                <w:noProof/>
                <w:webHidden/>
              </w:rPr>
              <w:fldChar w:fldCharType="end"/>
            </w:r>
          </w:hyperlink>
        </w:p>
        <w:p w14:paraId="0768C465" w14:textId="525C663F" w:rsidR="002C64D4" w:rsidRPr="004F0D3E" w:rsidRDefault="005750DF" w:rsidP="002C64D4">
          <w:pPr>
            <w:pStyle w:val="TOC2"/>
            <w:rPr>
              <w:rFonts w:eastAsiaTheme="minorEastAsia"/>
              <w:noProof/>
            </w:rPr>
          </w:pPr>
          <w:hyperlink w:anchor="_Toc95397075" w:history="1">
            <w:r w:rsidR="002C64D4" w:rsidRPr="004F0D3E">
              <w:rPr>
                <w:rStyle w:val="Hyperlink"/>
                <w:rFonts w:asciiTheme="minorHAnsi" w:hAnsiTheme="minorHAnsi" w:cstheme="minorHAnsi"/>
                <w:noProof/>
              </w:rPr>
              <w:t>Context</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_Toc95397075 \h </w:instrText>
            </w:r>
            <w:r w:rsidR="002C64D4" w:rsidRPr="004F0D3E">
              <w:rPr>
                <w:noProof/>
                <w:webHidden/>
              </w:rPr>
            </w:r>
            <w:r w:rsidR="002C64D4" w:rsidRPr="004F0D3E">
              <w:rPr>
                <w:noProof/>
                <w:webHidden/>
              </w:rPr>
              <w:fldChar w:fldCharType="separate"/>
            </w:r>
            <w:r w:rsidR="00457784">
              <w:rPr>
                <w:noProof/>
                <w:webHidden/>
              </w:rPr>
              <w:t>14</w:t>
            </w:r>
            <w:r w:rsidR="002C64D4" w:rsidRPr="004F0D3E">
              <w:rPr>
                <w:noProof/>
                <w:webHidden/>
              </w:rPr>
              <w:fldChar w:fldCharType="end"/>
            </w:r>
          </w:hyperlink>
        </w:p>
        <w:p w14:paraId="5942FBDB" w14:textId="3E063E82" w:rsidR="002C64D4" w:rsidRPr="004F0D3E" w:rsidRDefault="005750DF" w:rsidP="002C64D4">
          <w:pPr>
            <w:pStyle w:val="TOC2"/>
            <w:rPr>
              <w:rFonts w:eastAsiaTheme="minorEastAsia"/>
              <w:noProof/>
            </w:rPr>
          </w:pPr>
          <w:hyperlink w:anchor="_Toc95397078" w:history="1">
            <w:r w:rsidR="002C64D4" w:rsidRPr="004F0D3E">
              <w:rPr>
                <w:rStyle w:val="Hyperlink"/>
                <w:rFonts w:asciiTheme="minorHAnsi" w:eastAsia="Georgia" w:hAnsiTheme="minorHAnsi" w:cstheme="minorHAnsi"/>
                <w:noProof/>
              </w:rPr>
              <w:t>Why update the Climate Change (Other Removal Activities) Regulations 2009</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_Toc95397078 \h </w:instrText>
            </w:r>
            <w:r w:rsidR="002C64D4" w:rsidRPr="004F0D3E">
              <w:rPr>
                <w:noProof/>
                <w:webHidden/>
              </w:rPr>
            </w:r>
            <w:r w:rsidR="002C64D4" w:rsidRPr="004F0D3E">
              <w:rPr>
                <w:noProof/>
                <w:webHidden/>
              </w:rPr>
              <w:fldChar w:fldCharType="separate"/>
            </w:r>
            <w:r w:rsidR="00457784">
              <w:rPr>
                <w:noProof/>
                <w:webHidden/>
              </w:rPr>
              <w:t>14</w:t>
            </w:r>
            <w:r w:rsidR="002C64D4" w:rsidRPr="004F0D3E">
              <w:rPr>
                <w:noProof/>
                <w:webHidden/>
              </w:rPr>
              <w:fldChar w:fldCharType="end"/>
            </w:r>
          </w:hyperlink>
        </w:p>
        <w:p w14:paraId="79C4DDFE" w14:textId="53834810" w:rsidR="002C64D4" w:rsidRPr="004F0D3E" w:rsidRDefault="005750DF" w:rsidP="002C64D4">
          <w:pPr>
            <w:pStyle w:val="TOC2"/>
            <w:rPr>
              <w:rFonts w:eastAsiaTheme="minorEastAsia"/>
              <w:noProof/>
            </w:rPr>
          </w:pPr>
          <w:hyperlink w:anchor="_Toc95397079" w:history="1">
            <w:r w:rsidR="002C64D4" w:rsidRPr="004F0D3E">
              <w:rPr>
                <w:rStyle w:val="Hyperlink"/>
                <w:rFonts w:asciiTheme="minorHAnsi" w:eastAsia="Georgia" w:hAnsiTheme="minorHAnsi" w:cstheme="minorHAnsi"/>
                <w:noProof/>
              </w:rPr>
              <w:t>Legislative requirements for the Climate C</w:t>
            </w:r>
            <w:r w:rsidR="002C64D4">
              <w:rPr>
                <w:rStyle w:val="Hyperlink"/>
                <w:rFonts w:asciiTheme="minorHAnsi" w:eastAsia="Georgia" w:hAnsiTheme="minorHAnsi" w:cstheme="minorHAnsi"/>
                <w:noProof/>
              </w:rPr>
              <w:t>hange (Other Removal Activities)</w:t>
            </w:r>
            <w:r w:rsidR="002C64D4">
              <w:rPr>
                <w:rStyle w:val="Hyperlink"/>
                <w:rFonts w:asciiTheme="minorHAnsi" w:eastAsia="Georgia" w:hAnsiTheme="minorHAnsi" w:cstheme="minorHAnsi"/>
                <w:noProof/>
              </w:rPr>
              <w:br/>
            </w:r>
            <w:r w:rsidR="002C64D4" w:rsidRPr="004F0D3E">
              <w:rPr>
                <w:rStyle w:val="Hyperlink"/>
                <w:rFonts w:asciiTheme="minorHAnsi" w:eastAsia="Georgia" w:hAnsiTheme="minorHAnsi" w:cstheme="minorHAnsi"/>
                <w:noProof/>
              </w:rPr>
              <w:t>Regulations 2009</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_Toc95397079 \h </w:instrText>
            </w:r>
            <w:r w:rsidR="002C64D4" w:rsidRPr="004F0D3E">
              <w:rPr>
                <w:noProof/>
                <w:webHidden/>
              </w:rPr>
            </w:r>
            <w:r w:rsidR="002C64D4" w:rsidRPr="004F0D3E">
              <w:rPr>
                <w:noProof/>
                <w:webHidden/>
              </w:rPr>
              <w:fldChar w:fldCharType="separate"/>
            </w:r>
            <w:r w:rsidR="00457784">
              <w:rPr>
                <w:noProof/>
                <w:webHidden/>
              </w:rPr>
              <w:t>15</w:t>
            </w:r>
            <w:r w:rsidR="002C64D4" w:rsidRPr="004F0D3E">
              <w:rPr>
                <w:noProof/>
                <w:webHidden/>
              </w:rPr>
              <w:fldChar w:fldCharType="end"/>
            </w:r>
          </w:hyperlink>
        </w:p>
        <w:p w14:paraId="10854686" w14:textId="6959626F" w:rsidR="002C64D4" w:rsidRPr="004F0D3E" w:rsidRDefault="005750DF" w:rsidP="002C64D4">
          <w:pPr>
            <w:pStyle w:val="TOC2"/>
            <w:rPr>
              <w:rFonts w:eastAsiaTheme="minorEastAsia"/>
              <w:noProof/>
            </w:rPr>
          </w:pPr>
          <w:hyperlink w:anchor="_Toc95397080" w:history="1">
            <w:r w:rsidR="002C64D4" w:rsidRPr="004F0D3E">
              <w:rPr>
                <w:rStyle w:val="Hyperlink"/>
                <w:rFonts w:asciiTheme="minorHAnsi" w:eastAsia="Georgia" w:hAnsiTheme="minorHAnsi" w:cstheme="minorHAnsi"/>
                <w:noProof/>
              </w:rPr>
              <w:t>Options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_Toc95397080 \h </w:instrText>
            </w:r>
            <w:r w:rsidR="002C64D4" w:rsidRPr="004F0D3E">
              <w:rPr>
                <w:noProof/>
                <w:webHidden/>
              </w:rPr>
            </w:r>
            <w:r w:rsidR="002C64D4" w:rsidRPr="004F0D3E">
              <w:rPr>
                <w:noProof/>
                <w:webHidden/>
              </w:rPr>
              <w:fldChar w:fldCharType="separate"/>
            </w:r>
            <w:r w:rsidR="00457784">
              <w:rPr>
                <w:noProof/>
                <w:webHidden/>
              </w:rPr>
              <w:t>15</w:t>
            </w:r>
            <w:r w:rsidR="002C64D4" w:rsidRPr="004F0D3E">
              <w:rPr>
                <w:noProof/>
                <w:webHidden/>
              </w:rPr>
              <w:fldChar w:fldCharType="end"/>
            </w:r>
          </w:hyperlink>
        </w:p>
        <w:p w14:paraId="63EF2FDC" w14:textId="2917CB27" w:rsidR="002C64D4" w:rsidRPr="004F0D3E" w:rsidRDefault="005750DF" w:rsidP="002C64D4">
          <w:pPr>
            <w:pStyle w:val="TOC2"/>
            <w:rPr>
              <w:rFonts w:eastAsiaTheme="minorEastAsia"/>
              <w:noProof/>
            </w:rPr>
          </w:pPr>
          <w:hyperlink w:anchor="_Toc95397086" w:history="1">
            <w:r w:rsidR="002C64D4">
              <w:rPr>
                <w:rStyle w:val="Hyperlink"/>
                <w:rFonts w:asciiTheme="minorHAnsi" w:eastAsia="Georgia" w:hAnsiTheme="minorHAnsi" w:cstheme="minorHAnsi"/>
                <w:noProof/>
              </w:rPr>
              <w:t>Analysis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_Toc95397086 \h </w:instrText>
            </w:r>
            <w:r w:rsidR="002C64D4" w:rsidRPr="004F0D3E">
              <w:rPr>
                <w:noProof/>
                <w:webHidden/>
              </w:rPr>
            </w:r>
            <w:r w:rsidR="002C64D4" w:rsidRPr="004F0D3E">
              <w:rPr>
                <w:noProof/>
                <w:webHidden/>
              </w:rPr>
              <w:fldChar w:fldCharType="separate"/>
            </w:r>
            <w:r w:rsidR="00457784">
              <w:rPr>
                <w:noProof/>
                <w:webHidden/>
              </w:rPr>
              <w:t>17</w:t>
            </w:r>
            <w:r w:rsidR="002C64D4" w:rsidRPr="004F0D3E">
              <w:rPr>
                <w:noProof/>
                <w:webHidden/>
              </w:rPr>
              <w:fldChar w:fldCharType="end"/>
            </w:r>
          </w:hyperlink>
        </w:p>
        <w:p w14:paraId="6A0BF910" w14:textId="0024B32A" w:rsidR="002C64D4" w:rsidRPr="004F0D3E" w:rsidRDefault="005750DF" w:rsidP="002C64D4">
          <w:pPr>
            <w:pStyle w:val="TOC2"/>
            <w:rPr>
              <w:rFonts w:eastAsiaTheme="minorEastAsia"/>
              <w:noProof/>
            </w:rPr>
          </w:pPr>
          <w:hyperlink w:anchor="_Toc95397086" w:history="1">
            <w:r w:rsidR="002C64D4">
              <w:rPr>
                <w:rStyle w:val="Hyperlink"/>
                <w:rFonts w:asciiTheme="minorHAnsi" w:eastAsia="Georgia" w:hAnsiTheme="minorHAnsi" w:cstheme="minorHAnsi"/>
                <w:noProof/>
              </w:rPr>
              <w:t>Impacts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_Toc95397086 \h </w:instrText>
            </w:r>
            <w:r w:rsidR="002C64D4" w:rsidRPr="004F0D3E">
              <w:rPr>
                <w:noProof/>
                <w:webHidden/>
              </w:rPr>
            </w:r>
            <w:r w:rsidR="002C64D4" w:rsidRPr="004F0D3E">
              <w:rPr>
                <w:noProof/>
                <w:webHidden/>
              </w:rPr>
              <w:fldChar w:fldCharType="separate"/>
            </w:r>
            <w:r w:rsidR="00457784">
              <w:rPr>
                <w:noProof/>
                <w:webHidden/>
              </w:rPr>
              <w:t>17</w:t>
            </w:r>
            <w:r w:rsidR="002C64D4" w:rsidRPr="004F0D3E">
              <w:rPr>
                <w:noProof/>
                <w:webHidden/>
              </w:rPr>
              <w:fldChar w:fldCharType="end"/>
            </w:r>
          </w:hyperlink>
        </w:p>
        <w:p w14:paraId="685EDB76" w14:textId="0179347B" w:rsidR="002C64D4" w:rsidRPr="004F0D3E" w:rsidRDefault="005750DF" w:rsidP="002C64D4">
          <w:pPr>
            <w:pStyle w:val="TOC2"/>
            <w:rPr>
              <w:rFonts w:eastAsiaTheme="minorEastAsia"/>
              <w:noProof/>
            </w:rPr>
          </w:pPr>
          <w:hyperlink w:anchor="_Toc95397088" w:history="1">
            <w:r w:rsidR="002C64D4" w:rsidRPr="004F0D3E">
              <w:rPr>
                <w:rStyle w:val="Hyperlink"/>
                <w:rFonts w:asciiTheme="minorHAnsi" w:eastAsia="Georgia" w:hAnsiTheme="minorHAnsi" w:cstheme="minorHAnsi"/>
                <w:noProof/>
              </w:rPr>
              <w:t>Your views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_Toc95397088 \h </w:instrText>
            </w:r>
            <w:r w:rsidR="002C64D4" w:rsidRPr="004F0D3E">
              <w:rPr>
                <w:noProof/>
                <w:webHidden/>
              </w:rPr>
            </w:r>
            <w:r w:rsidR="002C64D4" w:rsidRPr="004F0D3E">
              <w:rPr>
                <w:noProof/>
                <w:webHidden/>
              </w:rPr>
              <w:fldChar w:fldCharType="separate"/>
            </w:r>
            <w:r w:rsidR="00457784">
              <w:rPr>
                <w:noProof/>
                <w:webHidden/>
              </w:rPr>
              <w:t>18</w:t>
            </w:r>
            <w:r w:rsidR="002C64D4" w:rsidRPr="004F0D3E">
              <w:rPr>
                <w:noProof/>
                <w:webHidden/>
              </w:rPr>
              <w:fldChar w:fldCharType="end"/>
            </w:r>
          </w:hyperlink>
        </w:p>
        <w:p w14:paraId="1A16395A" w14:textId="013344A5" w:rsidR="002C64D4" w:rsidRPr="004F0D3E" w:rsidRDefault="005750DF" w:rsidP="002C64D4">
          <w:pPr>
            <w:pStyle w:val="TOC2"/>
            <w:rPr>
              <w:rFonts w:eastAsiaTheme="minorEastAsia"/>
              <w:noProof/>
            </w:rPr>
          </w:pPr>
          <w:hyperlink w:anchor="_Toc95397089" w:history="1">
            <w:r w:rsidR="002C64D4" w:rsidRPr="004F0D3E">
              <w:rPr>
                <w:rStyle w:val="Hyperlink"/>
                <w:rFonts w:asciiTheme="minorHAnsi" w:eastAsia="Georgia" w:hAnsiTheme="minorHAnsi" w:cstheme="minorHAnsi"/>
                <w:noProof/>
              </w:rPr>
              <w:t>Questions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_Toc95397089 \h </w:instrText>
            </w:r>
            <w:r w:rsidR="002C64D4" w:rsidRPr="004F0D3E">
              <w:rPr>
                <w:noProof/>
                <w:webHidden/>
              </w:rPr>
            </w:r>
            <w:r w:rsidR="002C64D4" w:rsidRPr="004F0D3E">
              <w:rPr>
                <w:noProof/>
                <w:webHidden/>
              </w:rPr>
              <w:fldChar w:fldCharType="separate"/>
            </w:r>
            <w:r w:rsidR="00457784">
              <w:rPr>
                <w:noProof/>
                <w:webHidden/>
              </w:rPr>
              <w:t>18</w:t>
            </w:r>
            <w:r w:rsidR="002C64D4" w:rsidRPr="004F0D3E">
              <w:rPr>
                <w:noProof/>
                <w:webHidden/>
              </w:rPr>
              <w:fldChar w:fldCharType="end"/>
            </w:r>
          </w:hyperlink>
        </w:p>
        <w:p w14:paraId="61A2F25B" w14:textId="0BEEEC45" w:rsidR="002C64D4" w:rsidRPr="004F0D3E" w:rsidRDefault="005750DF" w:rsidP="002C64D4">
          <w:pPr>
            <w:pStyle w:val="TOC1"/>
            <w:rPr>
              <w:rFonts w:eastAsiaTheme="minorEastAsia"/>
              <w:noProof/>
            </w:rPr>
          </w:pPr>
          <w:hyperlink w:anchor="_Toc95397090" w:history="1">
            <w:r w:rsidR="002C64D4">
              <w:rPr>
                <w:rStyle w:val="Hyperlink"/>
                <w:rFonts w:asciiTheme="minorHAnsi" w:eastAsia="Georgia" w:hAnsiTheme="minorHAnsi" w:cstheme="minorHAnsi"/>
                <w:noProof/>
              </w:rPr>
              <w:t>3</w:t>
            </w:r>
            <w:r w:rsidR="002C64D4" w:rsidRPr="004F0D3E">
              <w:rPr>
                <w:rStyle w:val="Hyperlink"/>
                <w:rFonts w:asciiTheme="minorHAnsi" w:eastAsia="Georgia" w:hAnsiTheme="minorHAnsi" w:cstheme="minorHAnsi"/>
                <w:noProof/>
              </w:rPr>
              <w:t xml:space="preserve">. </w:t>
            </w:r>
            <w:r w:rsidR="002C64D4" w:rsidRPr="004F0D3E">
              <w:rPr>
                <w:rFonts w:eastAsiaTheme="minorEastAsia"/>
                <w:noProof/>
              </w:rPr>
              <w:tab/>
            </w:r>
            <w:r w:rsidR="002C64D4" w:rsidRPr="006A5361">
              <w:rPr>
                <w:rStyle w:val="Hyperlink"/>
                <w:rFonts w:asciiTheme="minorHAnsi" w:eastAsia="Georgia" w:hAnsiTheme="minorHAnsi" w:cstheme="minorHAnsi"/>
                <w:noProof/>
              </w:rPr>
              <w:t>Updating the schedule of default emissions factors for natural gas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_Toc95397090 \h </w:instrText>
            </w:r>
            <w:r w:rsidR="002C64D4" w:rsidRPr="004F0D3E">
              <w:rPr>
                <w:noProof/>
                <w:webHidden/>
              </w:rPr>
            </w:r>
            <w:r w:rsidR="002C64D4" w:rsidRPr="004F0D3E">
              <w:rPr>
                <w:noProof/>
                <w:webHidden/>
              </w:rPr>
              <w:fldChar w:fldCharType="separate"/>
            </w:r>
            <w:r w:rsidR="00457784">
              <w:rPr>
                <w:noProof/>
                <w:webHidden/>
              </w:rPr>
              <w:t>19</w:t>
            </w:r>
            <w:r w:rsidR="002C64D4" w:rsidRPr="004F0D3E">
              <w:rPr>
                <w:noProof/>
                <w:webHidden/>
              </w:rPr>
              <w:fldChar w:fldCharType="end"/>
            </w:r>
          </w:hyperlink>
        </w:p>
        <w:p w14:paraId="433883E5" w14:textId="33234770" w:rsidR="002C64D4" w:rsidRPr="004F0D3E" w:rsidRDefault="005750DF" w:rsidP="002C64D4">
          <w:pPr>
            <w:pStyle w:val="TOC2"/>
            <w:rPr>
              <w:rFonts w:eastAsiaTheme="minorEastAsia"/>
              <w:noProof/>
            </w:rPr>
          </w:pPr>
          <w:hyperlink w:anchor="_Toc95397091" w:history="1">
            <w:r w:rsidR="002C64D4" w:rsidRPr="004F0D3E">
              <w:rPr>
                <w:rStyle w:val="Hyperlink"/>
                <w:rFonts w:asciiTheme="minorHAnsi" w:eastAsia="Georgia" w:hAnsiTheme="minorHAnsi" w:cstheme="minorHAnsi"/>
                <w:noProof/>
              </w:rPr>
              <w:t>Background</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_Toc95397091 \h </w:instrText>
            </w:r>
            <w:r w:rsidR="002C64D4" w:rsidRPr="004F0D3E">
              <w:rPr>
                <w:noProof/>
                <w:webHidden/>
              </w:rPr>
            </w:r>
            <w:r w:rsidR="002C64D4" w:rsidRPr="004F0D3E">
              <w:rPr>
                <w:noProof/>
                <w:webHidden/>
              </w:rPr>
              <w:fldChar w:fldCharType="separate"/>
            </w:r>
            <w:r w:rsidR="00457784">
              <w:rPr>
                <w:noProof/>
                <w:webHidden/>
              </w:rPr>
              <w:t>19</w:t>
            </w:r>
            <w:r w:rsidR="002C64D4" w:rsidRPr="004F0D3E">
              <w:rPr>
                <w:noProof/>
                <w:webHidden/>
              </w:rPr>
              <w:fldChar w:fldCharType="end"/>
            </w:r>
          </w:hyperlink>
        </w:p>
        <w:p w14:paraId="6A28C52D" w14:textId="0606061B" w:rsidR="002C64D4" w:rsidRPr="004F0D3E" w:rsidRDefault="005750DF" w:rsidP="002C64D4">
          <w:pPr>
            <w:pStyle w:val="TOC2"/>
            <w:rPr>
              <w:rFonts w:eastAsiaTheme="minorEastAsia"/>
              <w:noProof/>
            </w:rPr>
          </w:pPr>
          <w:hyperlink w:anchor="_Toc95397092" w:history="1">
            <w:r w:rsidR="002C64D4" w:rsidRPr="004F0D3E">
              <w:rPr>
                <w:rStyle w:val="Hyperlink"/>
                <w:rFonts w:asciiTheme="minorHAnsi" w:eastAsia="Georgia" w:hAnsiTheme="minorHAnsi" w:cstheme="minorHAnsi"/>
                <w:noProof/>
              </w:rPr>
              <w:t>Why update the schedule of natural gas DEFs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_Toc95397092 \h </w:instrText>
            </w:r>
            <w:r w:rsidR="002C64D4" w:rsidRPr="004F0D3E">
              <w:rPr>
                <w:noProof/>
                <w:webHidden/>
              </w:rPr>
            </w:r>
            <w:r w:rsidR="002C64D4" w:rsidRPr="004F0D3E">
              <w:rPr>
                <w:noProof/>
                <w:webHidden/>
              </w:rPr>
              <w:fldChar w:fldCharType="separate"/>
            </w:r>
            <w:r w:rsidR="00457784">
              <w:rPr>
                <w:noProof/>
                <w:webHidden/>
              </w:rPr>
              <w:t>19</w:t>
            </w:r>
            <w:r w:rsidR="002C64D4" w:rsidRPr="004F0D3E">
              <w:rPr>
                <w:noProof/>
                <w:webHidden/>
              </w:rPr>
              <w:fldChar w:fldCharType="end"/>
            </w:r>
          </w:hyperlink>
        </w:p>
        <w:p w14:paraId="39213926" w14:textId="157BC681" w:rsidR="002C64D4" w:rsidRPr="006B3BD6" w:rsidRDefault="005750DF" w:rsidP="002C64D4">
          <w:pPr>
            <w:pStyle w:val="TOC2"/>
            <w:rPr>
              <w:rFonts w:eastAsiaTheme="minorEastAsia"/>
              <w:noProof/>
            </w:rPr>
          </w:pPr>
          <w:hyperlink w:anchor="_Toc95397093" w:history="1">
            <w:r w:rsidR="002C64D4" w:rsidRPr="004F0D3E">
              <w:rPr>
                <w:rStyle w:val="Hyperlink"/>
                <w:rFonts w:asciiTheme="minorHAnsi" w:eastAsia="Georgia" w:hAnsiTheme="minorHAnsi" w:cstheme="minorHAnsi"/>
                <w:noProof/>
              </w:rPr>
              <w:t>Options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_Toc95397093 \h </w:instrText>
            </w:r>
            <w:r w:rsidR="002C64D4" w:rsidRPr="004F0D3E">
              <w:rPr>
                <w:noProof/>
                <w:webHidden/>
              </w:rPr>
            </w:r>
            <w:r w:rsidR="002C64D4" w:rsidRPr="004F0D3E">
              <w:rPr>
                <w:noProof/>
                <w:webHidden/>
              </w:rPr>
              <w:fldChar w:fldCharType="separate"/>
            </w:r>
            <w:r w:rsidR="00457784">
              <w:rPr>
                <w:noProof/>
                <w:webHidden/>
              </w:rPr>
              <w:t>19</w:t>
            </w:r>
            <w:r w:rsidR="002C64D4" w:rsidRPr="004F0D3E">
              <w:rPr>
                <w:noProof/>
                <w:webHidden/>
              </w:rPr>
              <w:fldChar w:fldCharType="end"/>
            </w:r>
          </w:hyperlink>
        </w:p>
        <w:p w14:paraId="4A9A2C90" w14:textId="0C747AD8" w:rsidR="002C64D4" w:rsidRPr="006B3BD6" w:rsidRDefault="005750DF" w:rsidP="002C64D4">
          <w:pPr>
            <w:pStyle w:val="TOC2"/>
            <w:rPr>
              <w:rFonts w:eastAsiaTheme="minorEastAsia"/>
              <w:noProof/>
            </w:rPr>
          </w:pPr>
          <w:hyperlink w:anchor="_Toc95397106" w:history="1">
            <w:r w:rsidR="002C64D4" w:rsidRPr="006B3BD6">
              <w:rPr>
                <w:rFonts w:eastAsiaTheme="minorEastAsia"/>
                <w:noProof/>
              </w:rPr>
              <w:t>Your views</w:t>
            </w:r>
            <w:r w:rsidR="002C64D4" w:rsidRPr="006B3BD6">
              <w:rPr>
                <w:rFonts w:eastAsiaTheme="minorEastAsia"/>
                <w:noProof/>
                <w:webHidden/>
              </w:rPr>
              <w:tab/>
              <w:t>19</w:t>
            </w:r>
          </w:hyperlink>
        </w:p>
        <w:p w14:paraId="17AC6E46" w14:textId="6B995974" w:rsidR="002C64D4" w:rsidRPr="006B3BD6" w:rsidRDefault="005750DF" w:rsidP="002C64D4">
          <w:pPr>
            <w:pStyle w:val="TOC2"/>
            <w:rPr>
              <w:rFonts w:eastAsiaTheme="minorEastAsia"/>
              <w:noProof/>
            </w:rPr>
          </w:pPr>
          <w:hyperlink w:anchor="_Toc95397106" w:history="1">
            <w:r w:rsidR="002C64D4" w:rsidRPr="006B3BD6">
              <w:rPr>
                <w:rFonts w:eastAsiaTheme="minorEastAsia"/>
                <w:noProof/>
              </w:rPr>
              <w:t>Approach</w:t>
            </w:r>
            <w:r w:rsidR="002C64D4" w:rsidRPr="006B3BD6">
              <w:rPr>
                <w:rFonts w:eastAsiaTheme="minorEastAsia"/>
                <w:noProof/>
                <w:webHidden/>
              </w:rPr>
              <w:tab/>
              <w:t>19</w:t>
            </w:r>
          </w:hyperlink>
        </w:p>
        <w:p w14:paraId="4D0F44BA" w14:textId="75099EB0" w:rsidR="002C64D4" w:rsidRPr="004F0D3E" w:rsidRDefault="005750DF" w:rsidP="002C64D4">
          <w:pPr>
            <w:pStyle w:val="TOC2"/>
            <w:rPr>
              <w:rFonts w:eastAsiaTheme="minorEastAsia"/>
              <w:noProof/>
            </w:rPr>
          </w:pPr>
          <w:hyperlink w:anchor="_Toc95397106" w:history="1">
            <w:r w:rsidR="002C64D4">
              <w:rPr>
                <w:rStyle w:val="Hyperlink"/>
                <w:rFonts w:asciiTheme="minorHAnsi" w:eastAsia="Georgia" w:hAnsiTheme="minorHAnsi" w:cstheme="minorHAnsi"/>
                <w:noProof/>
              </w:rPr>
              <w:t>Questions</w:t>
            </w:r>
            <w:r w:rsidR="002C64D4" w:rsidRPr="004F0D3E">
              <w:rPr>
                <w:noProof/>
                <w:webHidden/>
              </w:rPr>
              <w:tab/>
            </w:r>
            <w:r w:rsidR="002C64D4">
              <w:rPr>
                <w:noProof/>
                <w:webHidden/>
              </w:rPr>
              <w:t>19</w:t>
            </w:r>
          </w:hyperlink>
        </w:p>
        <w:p w14:paraId="5DCC707B" w14:textId="77777777" w:rsidR="002C64D4" w:rsidRDefault="002C64D4" w:rsidP="002C64D4">
          <w:pPr>
            <w:rPr>
              <w:noProof/>
            </w:rPr>
          </w:pPr>
          <w:r>
            <w:rPr>
              <w:noProof/>
            </w:rPr>
            <w:br w:type="page"/>
          </w:r>
        </w:p>
        <w:p w14:paraId="07040185" w14:textId="2F240678" w:rsidR="002C64D4" w:rsidRPr="004F0D3E" w:rsidRDefault="005750DF" w:rsidP="002C64D4">
          <w:pPr>
            <w:pStyle w:val="TOC1"/>
            <w:rPr>
              <w:rFonts w:eastAsiaTheme="minorEastAsia"/>
              <w:noProof/>
            </w:rPr>
          </w:pPr>
          <w:hyperlink w:anchor="_Toc95397098" w:history="1">
            <w:r w:rsidR="002C64D4">
              <w:rPr>
                <w:rStyle w:val="Hyperlink"/>
                <w:rFonts w:asciiTheme="minorHAnsi" w:eastAsia="Georgia" w:hAnsiTheme="minorHAnsi" w:cstheme="minorHAnsi"/>
                <w:noProof/>
              </w:rPr>
              <w:t>4</w:t>
            </w:r>
            <w:r w:rsidR="002C64D4" w:rsidRPr="004F0D3E">
              <w:rPr>
                <w:rStyle w:val="Hyperlink"/>
                <w:rFonts w:asciiTheme="minorHAnsi" w:eastAsia="Georgia" w:hAnsiTheme="minorHAnsi" w:cstheme="minorHAnsi"/>
                <w:noProof/>
              </w:rPr>
              <w:t xml:space="preserve">. </w:t>
            </w:r>
            <w:r w:rsidR="002C64D4" w:rsidRPr="004F0D3E">
              <w:rPr>
                <w:rFonts w:eastAsiaTheme="minorEastAsia"/>
                <w:noProof/>
              </w:rPr>
              <w:tab/>
            </w:r>
            <w:r w:rsidR="002C64D4" w:rsidRPr="004F0D3E">
              <w:rPr>
                <w:rStyle w:val="Hyperlink"/>
                <w:rFonts w:asciiTheme="minorHAnsi" w:eastAsia="Georgia" w:hAnsiTheme="minorHAnsi" w:cstheme="minorHAnsi"/>
                <w:noProof/>
              </w:rPr>
              <w:t>Changing the Climate Change (Liquid Fossil Fuels) Regulations 2008</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_Toc95397098 \h </w:instrText>
            </w:r>
            <w:r w:rsidR="002C64D4" w:rsidRPr="004F0D3E">
              <w:rPr>
                <w:noProof/>
                <w:webHidden/>
              </w:rPr>
            </w:r>
            <w:r w:rsidR="002C64D4" w:rsidRPr="004F0D3E">
              <w:rPr>
                <w:noProof/>
                <w:webHidden/>
              </w:rPr>
              <w:fldChar w:fldCharType="separate"/>
            </w:r>
            <w:r w:rsidR="00457784">
              <w:rPr>
                <w:noProof/>
                <w:webHidden/>
              </w:rPr>
              <w:t>22</w:t>
            </w:r>
            <w:r w:rsidR="002C64D4" w:rsidRPr="004F0D3E">
              <w:rPr>
                <w:noProof/>
                <w:webHidden/>
              </w:rPr>
              <w:fldChar w:fldCharType="end"/>
            </w:r>
          </w:hyperlink>
        </w:p>
        <w:p w14:paraId="3FBAEED5" w14:textId="1E550E9F" w:rsidR="002C64D4" w:rsidRPr="004F0D3E" w:rsidRDefault="005750DF" w:rsidP="002C64D4">
          <w:pPr>
            <w:pStyle w:val="TOC2"/>
            <w:rPr>
              <w:rFonts w:eastAsiaTheme="minorEastAsia"/>
              <w:noProof/>
            </w:rPr>
          </w:pPr>
          <w:hyperlink w:anchor="_Toc95397099" w:history="1">
            <w:r w:rsidR="002C64D4" w:rsidRPr="004F0D3E">
              <w:rPr>
                <w:rStyle w:val="Hyperlink"/>
                <w:rFonts w:asciiTheme="minorHAnsi" w:hAnsiTheme="minorHAnsi" w:cstheme="minorHAnsi"/>
                <w:noProof/>
              </w:rPr>
              <w:t>Context</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_Toc95397099 \h </w:instrText>
            </w:r>
            <w:r w:rsidR="002C64D4" w:rsidRPr="004F0D3E">
              <w:rPr>
                <w:noProof/>
                <w:webHidden/>
              </w:rPr>
            </w:r>
            <w:r w:rsidR="002C64D4" w:rsidRPr="004F0D3E">
              <w:rPr>
                <w:noProof/>
                <w:webHidden/>
              </w:rPr>
              <w:fldChar w:fldCharType="separate"/>
            </w:r>
            <w:r w:rsidR="00457784">
              <w:rPr>
                <w:noProof/>
                <w:webHidden/>
              </w:rPr>
              <w:t>22</w:t>
            </w:r>
            <w:r w:rsidR="002C64D4" w:rsidRPr="004F0D3E">
              <w:rPr>
                <w:noProof/>
                <w:webHidden/>
              </w:rPr>
              <w:fldChar w:fldCharType="end"/>
            </w:r>
          </w:hyperlink>
        </w:p>
        <w:p w14:paraId="01693EF8" w14:textId="717D3F17" w:rsidR="002C64D4" w:rsidRPr="004F0D3E" w:rsidRDefault="005750DF" w:rsidP="002C64D4">
          <w:pPr>
            <w:pStyle w:val="TOC2"/>
            <w:rPr>
              <w:rFonts w:eastAsiaTheme="minorEastAsia"/>
              <w:noProof/>
            </w:rPr>
          </w:pPr>
          <w:hyperlink w:anchor="_Toc95397100" w:history="1">
            <w:r w:rsidR="002C64D4" w:rsidRPr="004F0D3E">
              <w:rPr>
                <w:rStyle w:val="Hyperlink"/>
                <w:rFonts w:asciiTheme="minorHAnsi" w:eastAsia="Georgia" w:hAnsiTheme="minorHAnsi" w:cstheme="minorHAnsi"/>
                <w:noProof/>
              </w:rPr>
              <w:t>Background</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_Toc95397100 \h </w:instrText>
            </w:r>
            <w:r w:rsidR="002C64D4" w:rsidRPr="004F0D3E">
              <w:rPr>
                <w:noProof/>
                <w:webHidden/>
              </w:rPr>
            </w:r>
            <w:r w:rsidR="002C64D4" w:rsidRPr="004F0D3E">
              <w:rPr>
                <w:noProof/>
                <w:webHidden/>
              </w:rPr>
              <w:fldChar w:fldCharType="separate"/>
            </w:r>
            <w:r w:rsidR="00457784">
              <w:rPr>
                <w:noProof/>
                <w:webHidden/>
              </w:rPr>
              <w:t>22</w:t>
            </w:r>
            <w:r w:rsidR="002C64D4" w:rsidRPr="004F0D3E">
              <w:rPr>
                <w:noProof/>
                <w:webHidden/>
              </w:rPr>
              <w:fldChar w:fldCharType="end"/>
            </w:r>
          </w:hyperlink>
        </w:p>
        <w:p w14:paraId="3DA15E8D" w14:textId="704C5575" w:rsidR="002C64D4" w:rsidRPr="004F0D3E" w:rsidRDefault="005750DF" w:rsidP="002C64D4">
          <w:pPr>
            <w:pStyle w:val="TOC2"/>
            <w:rPr>
              <w:rFonts w:eastAsiaTheme="minorEastAsia"/>
              <w:noProof/>
            </w:rPr>
          </w:pPr>
          <w:hyperlink w:anchor="_Toc95397101" w:history="1">
            <w:r w:rsidR="002C64D4" w:rsidRPr="004F0D3E">
              <w:rPr>
                <w:rStyle w:val="Hyperlink"/>
                <w:rFonts w:asciiTheme="minorHAnsi" w:eastAsia="Georgia" w:hAnsiTheme="minorHAnsi" w:cstheme="minorHAnsi"/>
                <w:noProof/>
              </w:rPr>
              <w:t>Why change the Climate Change (Liquid Fossil Fuels) Regulations 2008</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_Toc95397101 \h </w:instrText>
            </w:r>
            <w:r w:rsidR="002C64D4" w:rsidRPr="004F0D3E">
              <w:rPr>
                <w:noProof/>
                <w:webHidden/>
              </w:rPr>
            </w:r>
            <w:r w:rsidR="002C64D4" w:rsidRPr="004F0D3E">
              <w:rPr>
                <w:noProof/>
                <w:webHidden/>
              </w:rPr>
              <w:fldChar w:fldCharType="separate"/>
            </w:r>
            <w:r w:rsidR="00457784">
              <w:rPr>
                <w:noProof/>
                <w:webHidden/>
              </w:rPr>
              <w:t>24</w:t>
            </w:r>
            <w:r w:rsidR="002C64D4" w:rsidRPr="004F0D3E">
              <w:rPr>
                <w:noProof/>
                <w:webHidden/>
              </w:rPr>
              <w:fldChar w:fldCharType="end"/>
            </w:r>
          </w:hyperlink>
        </w:p>
        <w:p w14:paraId="72B51260" w14:textId="6F1F1680" w:rsidR="002C64D4" w:rsidRPr="004F0D3E" w:rsidRDefault="005750DF" w:rsidP="002C64D4">
          <w:pPr>
            <w:pStyle w:val="TOC2"/>
            <w:rPr>
              <w:rFonts w:eastAsiaTheme="minorEastAsia"/>
              <w:noProof/>
            </w:rPr>
          </w:pPr>
          <w:hyperlink w:anchor="_Toc95397102" w:history="1">
            <w:r w:rsidR="002C64D4" w:rsidRPr="004F0D3E">
              <w:rPr>
                <w:rStyle w:val="Hyperlink"/>
                <w:rFonts w:asciiTheme="minorHAnsi" w:eastAsia="Georgia" w:hAnsiTheme="minorHAnsi" w:cstheme="minorHAnsi"/>
                <w:noProof/>
              </w:rPr>
              <w:t>Legislative requirements for regulations about calculating emissions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_Toc95397102 \h </w:instrText>
            </w:r>
            <w:r w:rsidR="002C64D4" w:rsidRPr="004F0D3E">
              <w:rPr>
                <w:noProof/>
                <w:webHidden/>
              </w:rPr>
            </w:r>
            <w:r w:rsidR="002C64D4" w:rsidRPr="004F0D3E">
              <w:rPr>
                <w:noProof/>
                <w:webHidden/>
              </w:rPr>
              <w:fldChar w:fldCharType="separate"/>
            </w:r>
            <w:r w:rsidR="00457784">
              <w:rPr>
                <w:noProof/>
                <w:webHidden/>
              </w:rPr>
              <w:t>26</w:t>
            </w:r>
            <w:r w:rsidR="002C64D4" w:rsidRPr="004F0D3E">
              <w:rPr>
                <w:noProof/>
                <w:webHidden/>
              </w:rPr>
              <w:fldChar w:fldCharType="end"/>
            </w:r>
          </w:hyperlink>
        </w:p>
        <w:p w14:paraId="278ED94C" w14:textId="548D1E2D" w:rsidR="002C64D4" w:rsidRPr="004F0D3E" w:rsidRDefault="005750DF" w:rsidP="002C64D4">
          <w:pPr>
            <w:pStyle w:val="TOC2"/>
            <w:rPr>
              <w:rFonts w:eastAsiaTheme="minorEastAsia"/>
              <w:noProof/>
            </w:rPr>
          </w:pPr>
          <w:hyperlink w:anchor="_Toc95397103" w:history="1">
            <w:r w:rsidR="002C64D4" w:rsidRPr="004F0D3E">
              <w:rPr>
                <w:rStyle w:val="Hyperlink"/>
                <w:rFonts w:asciiTheme="minorHAnsi" w:eastAsia="Georgia" w:hAnsiTheme="minorHAnsi" w:cstheme="minorHAnsi"/>
                <w:noProof/>
              </w:rPr>
              <w:t>Options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_Toc95397103 \h </w:instrText>
            </w:r>
            <w:r w:rsidR="002C64D4" w:rsidRPr="004F0D3E">
              <w:rPr>
                <w:noProof/>
                <w:webHidden/>
              </w:rPr>
            </w:r>
            <w:r w:rsidR="002C64D4" w:rsidRPr="004F0D3E">
              <w:rPr>
                <w:noProof/>
                <w:webHidden/>
              </w:rPr>
              <w:fldChar w:fldCharType="separate"/>
            </w:r>
            <w:r w:rsidR="00457784">
              <w:rPr>
                <w:noProof/>
                <w:webHidden/>
              </w:rPr>
              <w:t>26</w:t>
            </w:r>
            <w:r w:rsidR="002C64D4" w:rsidRPr="004F0D3E">
              <w:rPr>
                <w:noProof/>
                <w:webHidden/>
              </w:rPr>
              <w:fldChar w:fldCharType="end"/>
            </w:r>
          </w:hyperlink>
        </w:p>
        <w:p w14:paraId="2E330C28" w14:textId="4DBD68B9" w:rsidR="002C64D4" w:rsidRPr="006B3BD6" w:rsidRDefault="005750DF" w:rsidP="002C64D4">
          <w:pPr>
            <w:pStyle w:val="TOC2"/>
            <w:rPr>
              <w:rFonts w:eastAsiaTheme="minorEastAsia"/>
              <w:noProof/>
            </w:rPr>
          </w:pPr>
          <w:hyperlink w:anchor="_Toc95397106" w:history="1">
            <w:r w:rsidR="002C64D4" w:rsidRPr="006B3BD6">
              <w:rPr>
                <w:rFonts w:eastAsiaTheme="minorEastAsia"/>
                <w:noProof/>
              </w:rPr>
              <w:t>Analysis</w:t>
            </w:r>
            <w:r w:rsidR="002C64D4" w:rsidRPr="006B3BD6">
              <w:rPr>
                <w:rFonts w:eastAsiaTheme="minorEastAsia"/>
                <w:noProof/>
                <w:webHidden/>
              </w:rPr>
              <w:tab/>
            </w:r>
            <w:r w:rsidR="002C64D4" w:rsidRPr="006B3BD6">
              <w:rPr>
                <w:rFonts w:eastAsiaTheme="minorEastAsia"/>
                <w:noProof/>
                <w:webHidden/>
              </w:rPr>
              <w:fldChar w:fldCharType="begin"/>
            </w:r>
            <w:r w:rsidR="002C64D4" w:rsidRPr="006B3BD6">
              <w:rPr>
                <w:rFonts w:eastAsiaTheme="minorEastAsia"/>
                <w:noProof/>
                <w:webHidden/>
              </w:rPr>
              <w:instrText xml:space="preserve"> PAGEREF _Toc95397106 \h </w:instrText>
            </w:r>
            <w:r w:rsidR="002C64D4" w:rsidRPr="006B3BD6">
              <w:rPr>
                <w:rFonts w:eastAsiaTheme="minorEastAsia"/>
                <w:noProof/>
                <w:webHidden/>
              </w:rPr>
            </w:r>
            <w:r w:rsidR="002C64D4" w:rsidRPr="006B3BD6">
              <w:rPr>
                <w:rFonts w:eastAsiaTheme="minorEastAsia"/>
                <w:noProof/>
                <w:webHidden/>
              </w:rPr>
              <w:fldChar w:fldCharType="separate"/>
            </w:r>
            <w:r w:rsidR="00457784">
              <w:rPr>
                <w:rFonts w:eastAsiaTheme="minorEastAsia"/>
                <w:noProof/>
                <w:webHidden/>
              </w:rPr>
              <w:t>27</w:t>
            </w:r>
            <w:r w:rsidR="002C64D4" w:rsidRPr="006B3BD6">
              <w:rPr>
                <w:rFonts w:eastAsiaTheme="minorEastAsia"/>
                <w:noProof/>
                <w:webHidden/>
              </w:rPr>
              <w:fldChar w:fldCharType="end"/>
            </w:r>
          </w:hyperlink>
        </w:p>
        <w:p w14:paraId="7766224F" w14:textId="74312325" w:rsidR="002C64D4" w:rsidRPr="004F0D3E" w:rsidRDefault="005750DF" w:rsidP="002C64D4">
          <w:pPr>
            <w:pStyle w:val="TOC2"/>
            <w:rPr>
              <w:rFonts w:eastAsiaTheme="minorEastAsia"/>
              <w:noProof/>
            </w:rPr>
          </w:pPr>
          <w:hyperlink w:anchor="_Toc95397106" w:history="1">
            <w:r w:rsidR="002C64D4" w:rsidRPr="006B3BD6">
              <w:rPr>
                <w:rFonts w:eastAsiaTheme="minorEastAsia"/>
                <w:noProof/>
              </w:rPr>
              <w:t>Impacts</w:t>
            </w:r>
            <w:r w:rsidR="002C64D4" w:rsidRPr="006B3BD6">
              <w:rPr>
                <w:rFonts w:eastAsiaTheme="minorEastAsia"/>
                <w:noProof/>
                <w:webHidden/>
              </w:rPr>
              <w:tab/>
            </w:r>
            <w:r w:rsidR="002C64D4" w:rsidRPr="006B3BD6">
              <w:rPr>
                <w:rFonts w:eastAsiaTheme="minorEastAsia"/>
                <w:noProof/>
                <w:webHidden/>
              </w:rPr>
              <w:fldChar w:fldCharType="begin"/>
            </w:r>
            <w:r w:rsidR="002C64D4" w:rsidRPr="006B3BD6">
              <w:rPr>
                <w:rFonts w:eastAsiaTheme="minorEastAsia"/>
                <w:noProof/>
                <w:webHidden/>
              </w:rPr>
              <w:instrText xml:space="preserve"> PAGEREF _Toc95397106 \h </w:instrText>
            </w:r>
            <w:r w:rsidR="002C64D4" w:rsidRPr="006B3BD6">
              <w:rPr>
                <w:rFonts w:eastAsiaTheme="minorEastAsia"/>
                <w:noProof/>
                <w:webHidden/>
              </w:rPr>
            </w:r>
            <w:r w:rsidR="002C64D4" w:rsidRPr="006B3BD6">
              <w:rPr>
                <w:rFonts w:eastAsiaTheme="minorEastAsia"/>
                <w:noProof/>
                <w:webHidden/>
              </w:rPr>
              <w:fldChar w:fldCharType="separate"/>
            </w:r>
            <w:r w:rsidR="00457784">
              <w:rPr>
                <w:rFonts w:eastAsiaTheme="minorEastAsia"/>
                <w:noProof/>
                <w:webHidden/>
              </w:rPr>
              <w:t>27</w:t>
            </w:r>
            <w:r w:rsidR="002C64D4" w:rsidRPr="006B3BD6">
              <w:rPr>
                <w:rFonts w:eastAsiaTheme="minorEastAsia"/>
                <w:noProof/>
                <w:webHidden/>
              </w:rPr>
              <w:fldChar w:fldCharType="end"/>
            </w:r>
          </w:hyperlink>
        </w:p>
        <w:p w14:paraId="243F315A" w14:textId="4C40B01B" w:rsidR="002C64D4" w:rsidRPr="006B3BD6" w:rsidRDefault="005750DF" w:rsidP="002C64D4">
          <w:pPr>
            <w:pStyle w:val="TOC2"/>
            <w:rPr>
              <w:rFonts w:eastAsiaTheme="minorEastAsia"/>
              <w:noProof/>
            </w:rPr>
          </w:pPr>
          <w:hyperlink w:anchor="_Toc95397106" w:history="1">
            <w:r w:rsidR="002C64D4" w:rsidRPr="006B3BD6">
              <w:rPr>
                <w:rFonts w:eastAsiaTheme="minorEastAsia"/>
                <w:noProof/>
              </w:rPr>
              <w:t>Your view</w:t>
            </w:r>
            <w:r w:rsidR="002C64D4" w:rsidRPr="006B3BD6">
              <w:rPr>
                <w:rFonts w:eastAsiaTheme="minorEastAsia"/>
                <w:noProof/>
                <w:webHidden/>
              </w:rPr>
              <w:tab/>
            </w:r>
            <w:r w:rsidR="002C64D4" w:rsidRPr="006B3BD6">
              <w:rPr>
                <w:rFonts w:eastAsiaTheme="minorEastAsia"/>
                <w:noProof/>
                <w:webHidden/>
              </w:rPr>
              <w:fldChar w:fldCharType="begin"/>
            </w:r>
            <w:r w:rsidR="002C64D4" w:rsidRPr="006B3BD6">
              <w:rPr>
                <w:rFonts w:eastAsiaTheme="minorEastAsia"/>
                <w:noProof/>
                <w:webHidden/>
              </w:rPr>
              <w:instrText xml:space="preserve"> PAGEREF _Toc95397106 \h </w:instrText>
            </w:r>
            <w:r w:rsidR="002C64D4" w:rsidRPr="006B3BD6">
              <w:rPr>
                <w:rFonts w:eastAsiaTheme="minorEastAsia"/>
                <w:noProof/>
                <w:webHidden/>
              </w:rPr>
            </w:r>
            <w:r w:rsidR="002C64D4" w:rsidRPr="006B3BD6">
              <w:rPr>
                <w:rFonts w:eastAsiaTheme="minorEastAsia"/>
                <w:noProof/>
                <w:webHidden/>
              </w:rPr>
              <w:fldChar w:fldCharType="separate"/>
            </w:r>
            <w:r w:rsidR="00457784">
              <w:rPr>
                <w:rFonts w:eastAsiaTheme="minorEastAsia"/>
                <w:noProof/>
                <w:webHidden/>
              </w:rPr>
              <w:t>27</w:t>
            </w:r>
            <w:r w:rsidR="002C64D4" w:rsidRPr="006B3BD6">
              <w:rPr>
                <w:rFonts w:eastAsiaTheme="minorEastAsia"/>
                <w:noProof/>
                <w:webHidden/>
              </w:rPr>
              <w:fldChar w:fldCharType="end"/>
            </w:r>
          </w:hyperlink>
        </w:p>
        <w:p w14:paraId="27551EE4" w14:textId="6DD2AC4A" w:rsidR="002C64D4" w:rsidRPr="004F0D3E" w:rsidRDefault="005750DF" w:rsidP="002C64D4">
          <w:pPr>
            <w:pStyle w:val="TOC2"/>
            <w:rPr>
              <w:rFonts w:eastAsiaTheme="minorEastAsia"/>
              <w:noProof/>
            </w:rPr>
          </w:pPr>
          <w:hyperlink w:anchor="_Toc95397106" w:history="1">
            <w:r w:rsidR="002C64D4">
              <w:rPr>
                <w:rStyle w:val="Hyperlink"/>
                <w:rFonts w:asciiTheme="minorHAnsi" w:eastAsia="Georgia" w:hAnsiTheme="minorHAnsi" w:cstheme="minorHAnsi"/>
                <w:noProof/>
              </w:rPr>
              <w:t>Questions</w:t>
            </w:r>
            <w:r w:rsidR="002C64D4" w:rsidRPr="004F0D3E">
              <w:rPr>
                <w:noProof/>
                <w:webHidden/>
              </w:rPr>
              <w:tab/>
            </w:r>
            <w:r w:rsidR="002C64D4">
              <w:rPr>
                <w:noProof/>
                <w:webHidden/>
              </w:rPr>
              <w:t>24</w:t>
            </w:r>
          </w:hyperlink>
        </w:p>
        <w:p w14:paraId="078ED877" w14:textId="65541834" w:rsidR="002C64D4" w:rsidRPr="004F0D3E" w:rsidRDefault="005750DF" w:rsidP="002C64D4">
          <w:pPr>
            <w:pStyle w:val="TOC1"/>
            <w:rPr>
              <w:rFonts w:eastAsiaTheme="minorEastAsia"/>
              <w:noProof/>
            </w:rPr>
          </w:pPr>
          <w:hyperlink w:anchor="_Toc95397112" w:history="1">
            <w:r w:rsidR="002C64D4" w:rsidRPr="004F0D3E">
              <w:rPr>
                <w:rStyle w:val="Hyperlink"/>
                <w:rFonts w:asciiTheme="minorHAnsi" w:hAnsiTheme="minorHAnsi" w:cstheme="minorHAnsi"/>
                <w:noProof/>
              </w:rPr>
              <w:t>How to have your say</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_Toc95397112 \h </w:instrText>
            </w:r>
            <w:r w:rsidR="002C64D4" w:rsidRPr="004F0D3E">
              <w:rPr>
                <w:noProof/>
                <w:webHidden/>
              </w:rPr>
            </w:r>
            <w:r w:rsidR="002C64D4" w:rsidRPr="004F0D3E">
              <w:rPr>
                <w:noProof/>
                <w:webHidden/>
              </w:rPr>
              <w:fldChar w:fldCharType="separate"/>
            </w:r>
            <w:r w:rsidR="00457784">
              <w:rPr>
                <w:noProof/>
                <w:webHidden/>
              </w:rPr>
              <w:t>30</w:t>
            </w:r>
            <w:r w:rsidR="002C64D4" w:rsidRPr="004F0D3E">
              <w:rPr>
                <w:noProof/>
                <w:webHidden/>
              </w:rPr>
              <w:fldChar w:fldCharType="end"/>
            </w:r>
          </w:hyperlink>
        </w:p>
        <w:p w14:paraId="0E12F339" w14:textId="1311F1D1" w:rsidR="002C64D4" w:rsidRPr="004F0D3E" w:rsidRDefault="005750DF" w:rsidP="002C64D4">
          <w:pPr>
            <w:pStyle w:val="TOC2"/>
            <w:rPr>
              <w:rFonts w:eastAsiaTheme="minorEastAsia"/>
              <w:noProof/>
            </w:rPr>
          </w:pPr>
          <w:hyperlink w:anchor="_Toc95397113" w:history="1">
            <w:r w:rsidR="002C64D4" w:rsidRPr="004F0D3E">
              <w:rPr>
                <w:rStyle w:val="Hyperlink"/>
                <w:rFonts w:asciiTheme="minorHAnsi" w:hAnsiTheme="minorHAnsi" w:cstheme="minorHAnsi"/>
                <w:noProof/>
              </w:rPr>
              <w:t>Timeframes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_Toc95397113 \h </w:instrText>
            </w:r>
            <w:r w:rsidR="002C64D4" w:rsidRPr="004F0D3E">
              <w:rPr>
                <w:noProof/>
                <w:webHidden/>
              </w:rPr>
            </w:r>
            <w:r w:rsidR="002C64D4" w:rsidRPr="004F0D3E">
              <w:rPr>
                <w:noProof/>
                <w:webHidden/>
              </w:rPr>
              <w:fldChar w:fldCharType="separate"/>
            </w:r>
            <w:r w:rsidR="00457784">
              <w:rPr>
                <w:noProof/>
                <w:webHidden/>
              </w:rPr>
              <w:t>30</w:t>
            </w:r>
            <w:r w:rsidR="002C64D4" w:rsidRPr="004F0D3E">
              <w:rPr>
                <w:noProof/>
                <w:webHidden/>
              </w:rPr>
              <w:fldChar w:fldCharType="end"/>
            </w:r>
          </w:hyperlink>
        </w:p>
        <w:p w14:paraId="080988B5" w14:textId="0D7BC152" w:rsidR="002C64D4" w:rsidRPr="004F0D3E" w:rsidRDefault="005750DF" w:rsidP="002C64D4">
          <w:pPr>
            <w:pStyle w:val="TOC2"/>
            <w:rPr>
              <w:rFonts w:eastAsiaTheme="minorEastAsia"/>
              <w:noProof/>
            </w:rPr>
          </w:pPr>
          <w:hyperlink w:anchor="_Toc95397114" w:history="1">
            <w:r w:rsidR="002C64D4" w:rsidRPr="004F0D3E">
              <w:rPr>
                <w:rStyle w:val="Hyperlink"/>
                <w:rFonts w:asciiTheme="minorHAnsi" w:hAnsiTheme="minorHAnsi" w:cstheme="minorHAnsi"/>
                <w:noProof/>
              </w:rPr>
              <w:t>How to make a submission</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_Toc95397114 \h </w:instrText>
            </w:r>
            <w:r w:rsidR="002C64D4" w:rsidRPr="004F0D3E">
              <w:rPr>
                <w:noProof/>
                <w:webHidden/>
              </w:rPr>
            </w:r>
            <w:r w:rsidR="002C64D4" w:rsidRPr="004F0D3E">
              <w:rPr>
                <w:noProof/>
                <w:webHidden/>
              </w:rPr>
              <w:fldChar w:fldCharType="separate"/>
            </w:r>
            <w:r w:rsidR="00457784">
              <w:rPr>
                <w:noProof/>
                <w:webHidden/>
              </w:rPr>
              <w:t>30</w:t>
            </w:r>
            <w:r w:rsidR="002C64D4" w:rsidRPr="004F0D3E">
              <w:rPr>
                <w:noProof/>
                <w:webHidden/>
              </w:rPr>
              <w:fldChar w:fldCharType="end"/>
            </w:r>
          </w:hyperlink>
        </w:p>
        <w:p w14:paraId="70CE47AA" w14:textId="1D0CC11C" w:rsidR="002C64D4" w:rsidRPr="004F0D3E" w:rsidRDefault="005750DF" w:rsidP="002C64D4">
          <w:pPr>
            <w:pStyle w:val="TOC2"/>
            <w:rPr>
              <w:rFonts w:eastAsiaTheme="minorEastAsia"/>
              <w:noProof/>
            </w:rPr>
          </w:pPr>
          <w:hyperlink w:anchor="_Toc95397115" w:history="1">
            <w:r w:rsidR="002C64D4" w:rsidRPr="004F0D3E">
              <w:rPr>
                <w:rStyle w:val="Hyperlink"/>
                <w:rFonts w:asciiTheme="minorHAnsi" w:hAnsiTheme="minorHAnsi" w:cstheme="minorHAnsi"/>
                <w:noProof/>
              </w:rPr>
              <w:t>For more information</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_Toc95397115 \h </w:instrText>
            </w:r>
            <w:r w:rsidR="002C64D4" w:rsidRPr="004F0D3E">
              <w:rPr>
                <w:noProof/>
                <w:webHidden/>
              </w:rPr>
            </w:r>
            <w:r w:rsidR="002C64D4" w:rsidRPr="004F0D3E">
              <w:rPr>
                <w:noProof/>
                <w:webHidden/>
              </w:rPr>
              <w:fldChar w:fldCharType="separate"/>
            </w:r>
            <w:r w:rsidR="00457784">
              <w:rPr>
                <w:noProof/>
                <w:webHidden/>
              </w:rPr>
              <w:t>31</w:t>
            </w:r>
            <w:r w:rsidR="002C64D4" w:rsidRPr="004F0D3E">
              <w:rPr>
                <w:noProof/>
                <w:webHidden/>
              </w:rPr>
              <w:fldChar w:fldCharType="end"/>
            </w:r>
          </w:hyperlink>
        </w:p>
        <w:p w14:paraId="34A042A3" w14:textId="2AAD8D24" w:rsidR="002C64D4" w:rsidRPr="004F0D3E" w:rsidRDefault="005750DF" w:rsidP="002C64D4">
          <w:pPr>
            <w:pStyle w:val="TOC2"/>
            <w:rPr>
              <w:rFonts w:eastAsiaTheme="minorEastAsia"/>
              <w:noProof/>
            </w:rPr>
          </w:pPr>
          <w:hyperlink w:anchor="_Toc95397116" w:history="1">
            <w:r w:rsidR="002C64D4" w:rsidRPr="004F0D3E">
              <w:rPr>
                <w:rStyle w:val="Hyperlink"/>
                <w:rFonts w:asciiTheme="minorHAnsi" w:hAnsiTheme="minorHAnsi" w:cstheme="minorHAnsi"/>
                <w:noProof/>
              </w:rPr>
              <w:t>Publishing and releasing submissions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_Toc95397116 \h </w:instrText>
            </w:r>
            <w:r w:rsidR="002C64D4" w:rsidRPr="004F0D3E">
              <w:rPr>
                <w:noProof/>
                <w:webHidden/>
              </w:rPr>
            </w:r>
            <w:r w:rsidR="002C64D4" w:rsidRPr="004F0D3E">
              <w:rPr>
                <w:noProof/>
                <w:webHidden/>
              </w:rPr>
              <w:fldChar w:fldCharType="separate"/>
            </w:r>
            <w:r w:rsidR="00457784">
              <w:rPr>
                <w:noProof/>
                <w:webHidden/>
              </w:rPr>
              <w:t>31</w:t>
            </w:r>
            <w:r w:rsidR="002C64D4" w:rsidRPr="004F0D3E">
              <w:rPr>
                <w:noProof/>
                <w:webHidden/>
              </w:rPr>
              <w:fldChar w:fldCharType="end"/>
            </w:r>
          </w:hyperlink>
        </w:p>
        <w:p w14:paraId="0329470D" w14:textId="7C1F2704" w:rsidR="002C64D4" w:rsidRPr="006B3BD6" w:rsidRDefault="005750DF" w:rsidP="002C64D4">
          <w:pPr>
            <w:pStyle w:val="TOC1"/>
            <w:rPr>
              <w:rFonts w:eastAsiaTheme="minorEastAsia"/>
              <w:noProof/>
            </w:rPr>
          </w:pPr>
          <w:hyperlink w:anchor="_Toc95397117" w:history="1">
            <w:r w:rsidR="002C64D4" w:rsidRPr="004F0D3E">
              <w:rPr>
                <w:rStyle w:val="Hyperlink"/>
                <w:rFonts w:asciiTheme="minorHAnsi" w:hAnsiTheme="minorHAnsi" w:cstheme="minorHAnsi"/>
                <w:noProof/>
              </w:rPr>
              <w:t>Appendix: Other regulation changes for 2022</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_Toc95397117 \h </w:instrText>
            </w:r>
            <w:r w:rsidR="002C64D4" w:rsidRPr="004F0D3E">
              <w:rPr>
                <w:noProof/>
                <w:webHidden/>
              </w:rPr>
            </w:r>
            <w:r w:rsidR="002C64D4" w:rsidRPr="004F0D3E">
              <w:rPr>
                <w:noProof/>
                <w:webHidden/>
              </w:rPr>
              <w:fldChar w:fldCharType="separate"/>
            </w:r>
            <w:r w:rsidR="00457784">
              <w:rPr>
                <w:noProof/>
                <w:webHidden/>
              </w:rPr>
              <w:t>32</w:t>
            </w:r>
            <w:r w:rsidR="002C64D4" w:rsidRPr="004F0D3E">
              <w:rPr>
                <w:noProof/>
                <w:webHidden/>
              </w:rPr>
              <w:fldChar w:fldCharType="end"/>
            </w:r>
          </w:hyperlink>
        </w:p>
        <w:p w14:paraId="61977D69" w14:textId="7DF0F6AC" w:rsidR="002C64D4" w:rsidRPr="004F0D3E" w:rsidRDefault="005750DF" w:rsidP="002C64D4">
          <w:pPr>
            <w:pStyle w:val="TOC1"/>
            <w:rPr>
              <w:rFonts w:eastAsiaTheme="minorEastAsia"/>
              <w:noProof/>
            </w:rPr>
          </w:pPr>
          <w:hyperlink w:anchor="_Toc95397117" w:history="1">
            <w:r w:rsidR="002C64D4">
              <w:rPr>
                <w:rStyle w:val="Hyperlink"/>
                <w:rFonts w:asciiTheme="minorHAnsi" w:hAnsiTheme="minorHAnsi" w:cstheme="minorHAnsi"/>
                <w:noProof/>
              </w:rPr>
              <w:t>Glossary</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_Toc95397117 \h </w:instrText>
            </w:r>
            <w:r w:rsidR="002C64D4" w:rsidRPr="004F0D3E">
              <w:rPr>
                <w:noProof/>
                <w:webHidden/>
              </w:rPr>
            </w:r>
            <w:r w:rsidR="002C64D4" w:rsidRPr="004F0D3E">
              <w:rPr>
                <w:noProof/>
                <w:webHidden/>
              </w:rPr>
              <w:fldChar w:fldCharType="separate"/>
            </w:r>
            <w:r w:rsidR="00457784">
              <w:rPr>
                <w:noProof/>
                <w:webHidden/>
              </w:rPr>
              <w:t>32</w:t>
            </w:r>
            <w:r w:rsidR="002C64D4" w:rsidRPr="004F0D3E">
              <w:rPr>
                <w:noProof/>
                <w:webHidden/>
              </w:rPr>
              <w:fldChar w:fldCharType="end"/>
            </w:r>
          </w:hyperlink>
        </w:p>
        <w:p w14:paraId="0BB30E20" w14:textId="0C0E5EA6" w:rsidR="002C64D4" w:rsidRPr="004F0D3E" w:rsidRDefault="005750DF" w:rsidP="002C64D4">
          <w:pPr>
            <w:pStyle w:val="TOC1"/>
            <w:rPr>
              <w:rFonts w:eastAsiaTheme="minorEastAsia"/>
              <w:noProof/>
            </w:rPr>
          </w:pPr>
          <w:hyperlink w:anchor="_Toc95397118" w:history="1">
            <w:r w:rsidR="002C64D4" w:rsidRPr="004F0D3E">
              <w:rPr>
                <w:rStyle w:val="Hyperlink"/>
                <w:rFonts w:asciiTheme="minorHAnsi" w:hAnsiTheme="minorHAnsi" w:cstheme="minorHAnsi"/>
                <w:noProof/>
              </w:rPr>
              <w:t>References</w:t>
            </w:r>
            <w:r w:rsidR="002C64D4" w:rsidRPr="004F0D3E">
              <w:rPr>
                <w:noProof/>
                <w:webHidden/>
              </w:rPr>
              <w:tab/>
            </w:r>
            <w:r w:rsidR="002C64D4" w:rsidRPr="004F0D3E">
              <w:rPr>
                <w:noProof/>
                <w:webHidden/>
              </w:rPr>
              <w:fldChar w:fldCharType="begin"/>
            </w:r>
            <w:r w:rsidR="002C64D4" w:rsidRPr="004F0D3E">
              <w:rPr>
                <w:noProof/>
                <w:webHidden/>
              </w:rPr>
              <w:instrText xml:space="preserve"> PAGEREF _Toc95397118 \h </w:instrText>
            </w:r>
            <w:r w:rsidR="002C64D4" w:rsidRPr="004F0D3E">
              <w:rPr>
                <w:noProof/>
                <w:webHidden/>
              </w:rPr>
            </w:r>
            <w:r w:rsidR="002C64D4" w:rsidRPr="004F0D3E">
              <w:rPr>
                <w:noProof/>
                <w:webHidden/>
              </w:rPr>
              <w:fldChar w:fldCharType="separate"/>
            </w:r>
            <w:r w:rsidR="00457784">
              <w:rPr>
                <w:noProof/>
                <w:webHidden/>
              </w:rPr>
              <w:t>35</w:t>
            </w:r>
            <w:r w:rsidR="002C64D4" w:rsidRPr="004F0D3E">
              <w:rPr>
                <w:noProof/>
                <w:webHidden/>
              </w:rPr>
              <w:fldChar w:fldCharType="end"/>
            </w:r>
          </w:hyperlink>
        </w:p>
        <w:p w14:paraId="6F319818" w14:textId="32B4BD8C" w:rsidR="002C64D4" w:rsidRDefault="002C64D4" w:rsidP="002C64D4">
          <w:r>
            <w:rPr>
              <w:b/>
              <w:bCs/>
              <w:noProof/>
            </w:rPr>
            <w:fldChar w:fldCharType="end"/>
          </w:r>
        </w:p>
      </w:sdtContent>
    </w:sdt>
    <w:p w14:paraId="5CA4D2F1" w14:textId="77777777" w:rsidR="002C64D4" w:rsidRPr="00C1009D" w:rsidRDefault="002C64D4" w:rsidP="00C1009D">
      <w:pPr>
        <w:pStyle w:val="BodyText"/>
      </w:pPr>
      <w:bookmarkStart w:id="1" w:name="_Toc95397047"/>
      <w:r w:rsidRPr="00C1009D">
        <w:br w:type="page"/>
      </w:r>
    </w:p>
    <w:p w14:paraId="3A3D5C11" w14:textId="77777777" w:rsidR="002C64D4" w:rsidRPr="009B7715" w:rsidRDefault="002C64D4" w:rsidP="007200A6">
      <w:pPr>
        <w:pStyle w:val="Heading"/>
      </w:pPr>
      <w:r w:rsidRPr="009B7715">
        <w:lastRenderedPageBreak/>
        <w:t>Tables</w:t>
      </w:r>
      <w:bookmarkEnd w:id="1"/>
    </w:p>
    <w:p w14:paraId="5F01BCF5" w14:textId="77777777" w:rsidR="002C64D4" w:rsidRPr="000805D0" w:rsidRDefault="002C64D4" w:rsidP="002C64D4">
      <w:pPr>
        <w:pStyle w:val="TOC1"/>
        <w:rPr>
          <w:rStyle w:val="Hyperlink"/>
          <w:color w:val="auto"/>
        </w:rPr>
      </w:pPr>
      <w:r w:rsidRPr="000805D0">
        <w:rPr>
          <w:rStyle w:val="Hyperlink"/>
          <w:color w:val="auto"/>
        </w:rPr>
        <w:t>Table 1:</w:t>
      </w:r>
      <w:r w:rsidRPr="000805D0" w:rsidDel="00D21D22">
        <w:rPr>
          <w:rStyle w:val="Hyperlink"/>
          <w:color w:val="auto"/>
        </w:rPr>
        <w:t xml:space="preserve"> </w:t>
      </w:r>
      <w:r w:rsidRPr="000805D0">
        <w:rPr>
          <w:rStyle w:val="Hyperlink"/>
          <w:color w:val="auto"/>
        </w:rPr>
        <w:t>Summary of proposals</w:t>
      </w:r>
      <w:r w:rsidRPr="000805D0">
        <w:rPr>
          <w:rStyle w:val="Hyperlink"/>
          <w:color w:val="auto"/>
        </w:rPr>
        <w:tab/>
      </w:r>
      <w:r>
        <w:rPr>
          <w:rStyle w:val="Hyperlink"/>
          <w:color w:val="auto"/>
        </w:rPr>
        <w:t>10</w:t>
      </w:r>
    </w:p>
    <w:p w14:paraId="60BAF977" w14:textId="77777777" w:rsidR="002C64D4" w:rsidRPr="000805D0" w:rsidRDefault="002C64D4" w:rsidP="002C64D4">
      <w:pPr>
        <w:pStyle w:val="TOC1"/>
        <w:rPr>
          <w:rStyle w:val="Hyperlink"/>
          <w:color w:val="auto"/>
        </w:rPr>
      </w:pPr>
      <w:r w:rsidRPr="000805D0">
        <w:rPr>
          <w:rStyle w:val="Hyperlink"/>
          <w:color w:val="auto"/>
        </w:rPr>
        <w:t>Table 2: Assessing option 2 against status quo</w:t>
      </w:r>
      <w:r w:rsidRPr="000805D0">
        <w:rPr>
          <w:rStyle w:val="Hyperlink"/>
          <w:color w:val="auto"/>
        </w:rPr>
        <w:tab/>
        <w:t>1</w:t>
      </w:r>
      <w:r>
        <w:rPr>
          <w:rStyle w:val="Hyperlink"/>
          <w:color w:val="auto"/>
        </w:rPr>
        <w:t>2</w:t>
      </w:r>
    </w:p>
    <w:p w14:paraId="00012ABE" w14:textId="7DA5AC0D" w:rsidR="002C64D4" w:rsidRPr="000805D0" w:rsidRDefault="002C64D4" w:rsidP="002C64D4">
      <w:pPr>
        <w:pStyle w:val="TOC1"/>
        <w:rPr>
          <w:rStyle w:val="Hyperlink"/>
          <w:color w:val="auto"/>
        </w:rPr>
      </w:pPr>
      <w:r w:rsidRPr="000805D0">
        <w:rPr>
          <w:rStyle w:val="Hyperlink"/>
          <w:color w:val="auto"/>
        </w:rPr>
        <w:t>Table 3: Assessing option 2 against status quo</w:t>
      </w:r>
      <w:r w:rsidRPr="000805D0">
        <w:rPr>
          <w:rStyle w:val="Hyperlink"/>
          <w:color w:val="auto"/>
        </w:rPr>
        <w:tab/>
        <w:t>1</w:t>
      </w:r>
      <w:r w:rsidR="00DA567F">
        <w:rPr>
          <w:rStyle w:val="Hyperlink"/>
          <w:color w:val="auto"/>
        </w:rPr>
        <w:t>7</w:t>
      </w:r>
    </w:p>
    <w:p w14:paraId="47D16CB3" w14:textId="77777777" w:rsidR="002C64D4" w:rsidRPr="000805D0" w:rsidRDefault="002C64D4" w:rsidP="002C64D4">
      <w:pPr>
        <w:pStyle w:val="TOC1"/>
        <w:rPr>
          <w:rStyle w:val="Hyperlink"/>
          <w:color w:val="auto"/>
        </w:rPr>
      </w:pPr>
      <w:r w:rsidRPr="000805D0">
        <w:rPr>
          <w:rStyle w:val="Hyperlink"/>
          <w:color w:val="auto"/>
        </w:rPr>
        <w:t>Table 4: Assessing option 2 against status quo</w:t>
      </w:r>
      <w:r w:rsidRPr="000805D0">
        <w:rPr>
          <w:rStyle w:val="Hyperlink"/>
          <w:color w:val="auto"/>
        </w:rPr>
        <w:tab/>
        <w:t>20</w:t>
      </w:r>
    </w:p>
    <w:p w14:paraId="4843F947" w14:textId="6FA36DFC" w:rsidR="002C64D4" w:rsidRDefault="002C64D4" w:rsidP="002C64D4">
      <w:pPr>
        <w:pStyle w:val="TOC1"/>
        <w:rPr>
          <w:rStyle w:val="Hyperlink"/>
          <w:color w:val="auto"/>
        </w:rPr>
      </w:pPr>
      <w:r w:rsidRPr="000805D0">
        <w:rPr>
          <w:rStyle w:val="Hyperlink"/>
          <w:color w:val="auto"/>
        </w:rPr>
        <w:t>Table 5: Assessing option 2 against status quo</w:t>
      </w:r>
      <w:r w:rsidRPr="000805D0">
        <w:rPr>
          <w:rStyle w:val="Hyperlink"/>
          <w:color w:val="auto"/>
        </w:rPr>
        <w:tab/>
        <w:t>2</w:t>
      </w:r>
      <w:r w:rsidR="00DA567F">
        <w:rPr>
          <w:rStyle w:val="Hyperlink"/>
          <w:color w:val="auto"/>
        </w:rPr>
        <w:t>8</w:t>
      </w:r>
    </w:p>
    <w:p w14:paraId="6A8654C4" w14:textId="77777777" w:rsidR="00B22664" w:rsidRDefault="00B22664" w:rsidP="00B22664">
      <w:pPr>
        <w:rPr>
          <w:lang w:eastAsia="en-NZ"/>
        </w:rPr>
      </w:pPr>
    </w:p>
    <w:p w14:paraId="3BDDE392" w14:textId="77777777" w:rsidR="00B22664" w:rsidRDefault="00B22664" w:rsidP="00B22664">
      <w:pPr>
        <w:rPr>
          <w:lang w:eastAsia="en-NZ"/>
        </w:rPr>
      </w:pPr>
    </w:p>
    <w:p w14:paraId="4C2B0270" w14:textId="4956E204" w:rsidR="00B22664" w:rsidRDefault="00B22664" w:rsidP="007200A6">
      <w:pPr>
        <w:pStyle w:val="Heading"/>
      </w:pPr>
      <w:r>
        <w:t>Figure</w:t>
      </w:r>
    </w:p>
    <w:p w14:paraId="4415FF53" w14:textId="2862546A" w:rsidR="00B22664" w:rsidRPr="00456B33" w:rsidRDefault="00B22664" w:rsidP="00456B33">
      <w:pPr>
        <w:pStyle w:val="TOC1"/>
        <w:rPr>
          <w:rStyle w:val="Hyperlink"/>
          <w:color w:val="auto"/>
        </w:rPr>
      </w:pPr>
      <w:r w:rsidRPr="00456B33">
        <w:rPr>
          <w:rStyle w:val="Hyperlink"/>
          <w:color w:val="auto"/>
        </w:rPr>
        <w:t xml:space="preserve">Figure 1: Impacts of biofuel supply for other airlines that are not in the NZ ETS </w:t>
      </w:r>
      <w:r w:rsidR="00456B33">
        <w:rPr>
          <w:rStyle w:val="Hyperlink"/>
          <w:color w:val="auto"/>
        </w:rPr>
        <w:tab/>
      </w:r>
      <w:r w:rsidR="00DA567F" w:rsidRPr="00456B33">
        <w:rPr>
          <w:rStyle w:val="Hyperlink"/>
          <w:color w:val="auto"/>
        </w:rPr>
        <w:t>24</w:t>
      </w:r>
    </w:p>
    <w:p w14:paraId="72BEEFDB" w14:textId="77777777" w:rsidR="002C64D4" w:rsidRDefault="002C64D4" w:rsidP="002C64D4">
      <w:pPr>
        <w:pStyle w:val="BodyText"/>
      </w:pPr>
    </w:p>
    <w:p w14:paraId="2204A750" w14:textId="77777777" w:rsidR="002C64D4" w:rsidRDefault="002C64D4" w:rsidP="002C64D4">
      <w:pPr>
        <w:pStyle w:val="TOC1"/>
        <w:sectPr w:rsidR="002C64D4" w:rsidSect="00716B29">
          <w:headerReference w:type="default" r:id="rId19"/>
          <w:footerReference w:type="default" r:id="rId20"/>
          <w:pgSz w:w="11907" w:h="16840" w:code="9"/>
          <w:pgMar w:top="1134" w:right="1701" w:bottom="1134" w:left="1701" w:header="567" w:footer="567" w:gutter="0"/>
          <w:cols w:space="720"/>
          <w:docGrid w:linePitch="299"/>
        </w:sectPr>
      </w:pPr>
    </w:p>
    <w:p w14:paraId="27935A31" w14:textId="77777777" w:rsidR="002C64D4" w:rsidRDefault="002C64D4" w:rsidP="007200A6">
      <w:pPr>
        <w:pStyle w:val="Heading1"/>
      </w:pPr>
      <w:bookmarkStart w:id="2" w:name="_Toc95397049"/>
      <w:bookmarkStart w:id="3" w:name="_Toc215561202"/>
      <w:r>
        <w:rPr>
          <w:rFonts w:eastAsia="Georgia"/>
        </w:rPr>
        <w:lastRenderedPageBreak/>
        <w:t>About this consultation</w:t>
      </w:r>
      <w:bookmarkEnd w:id="2"/>
    </w:p>
    <w:p w14:paraId="5AF7D122" w14:textId="77777777" w:rsidR="002C64D4" w:rsidRPr="00CD6FBA" w:rsidRDefault="002C64D4" w:rsidP="002C64D4">
      <w:pPr>
        <w:pStyle w:val="BodyText"/>
        <w:rPr>
          <w:rFonts w:eastAsia="Segoe UI"/>
        </w:rPr>
      </w:pPr>
      <w:r>
        <w:rPr>
          <w:rFonts w:eastAsia="Segoe UI"/>
        </w:rPr>
        <w:t xml:space="preserve">The audience for this consultation are mandatory and opt-in participants in the </w:t>
      </w:r>
      <w:r>
        <w:rPr>
          <w:rFonts w:eastAsia="Calibri"/>
        </w:rPr>
        <w:t>New Zealand Emissions Trading Scheme (NZ ETS)</w:t>
      </w:r>
      <w:r>
        <w:rPr>
          <w:rFonts w:eastAsia="Segoe UI"/>
        </w:rPr>
        <w:t xml:space="preserve">, who have some technical understanding and interest in the regulatory framework underpinning it. </w:t>
      </w:r>
    </w:p>
    <w:p w14:paraId="701EDC31" w14:textId="77777777" w:rsidR="002C64D4" w:rsidRDefault="002C64D4" w:rsidP="002C64D4">
      <w:pPr>
        <w:pStyle w:val="BodyText"/>
      </w:pPr>
      <w:r>
        <w:rPr>
          <w:rFonts w:eastAsia="Segoe UI"/>
        </w:rPr>
        <w:t xml:space="preserve">This consultation contains technical language that may be unfamiliar to some readers. A </w:t>
      </w:r>
      <w:hyperlink w:anchor="_Glossary" w:history="1">
        <w:r w:rsidRPr="005A2B10">
          <w:rPr>
            <w:rStyle w:val="Hyperlink"/>
            <w:rFonts w:eastAsia="Segoe UI"/>
          </w:rPr>
          <w:t>glossary</w:t>
        </w:r>
      </w:hyperlink>
      <w:r>
        <w:rPr>
          <w:rFonts w:eastAsia="Segoe UI"/>
        </w:rPr>
        <w:t xml:space="preserve"> </w:t>
      </w:r>
      <w:r w:rsidRPr="4FFD3651">
        <w:rPr>
          <w:rFonts w:eastAsia="Segoe UI"/>
        </w:rPr>
        <w:t>provides</w:t>
      </w:r>
      <w:r>
        <w:rPr>
          <w:rFonts w:eastAsia="Segoe UI"/>
        </w:rPr>
        <w:t xml:space="preserve"> the meanings of terms used.</w:t>
      </w:r>
    </w:p>
    <w:p w14:paraId="6AF231A5" w14:textId="77777777" w:rsidR="002C64D4" w:rsidRDefault="002C64D4" w:rsidP="002C64D4">
      <w:pPr>
        <w:pStyle w:val="Heading2"/>
      </w:pPr>
      <w:bookmarkStart w:id="4" w:name="_Toc95397050"/>
      <w:r>
        <w:rPr>
          <w:rFonts w:eastAsia="Georgia"/>
        </w:rPr>
        <w:t>Background</w:t>
      </w:r>
      <w:bookmarkEnd w:id="4"/>
    </w:p>
    <w:p w14:paraId="68676BDE" w14:textId="77777777" w:rsidR="002C64D4" w:rsidRDefault="002C64D4" w:rsidP="002C64D4">
      <w:pPr>
        <w:pStyle w:val="BodyText"/>
      </w:pPr>
      <w:r>
        <w:rPr>
          <w:rFonts w:eastAsia="Calibri"/>
        </w:rPr>
        <w:t>The New Zealand Emissions Trading Scheme (NZ ETS) is one of the Government’s key tools</w:t>
      </w:r>
      <w:r w:rsidRPr="00CD6FBA">
        <w:rPr>
          <w:rFonts w:eastAsia="Calibri"/>
        </w:rPr>
        <w:t xml:space="preserve"> to address climate change</w:t>
      </w:r>
      <w:r>
        <w:rPr>
          <w:rFonts w:eastAsia="Calibri"/>
        </w:rPr>
        <w:t xml:space="preserve">. It was established by the Climate Change Response Act 2002 (the Act). The Act also established the synthetic greenhouse gas levy (SGG levy). </w:t>
      </w:r>
    </w:p>
    <w:p w14:paraId="62A21743" w14:textId="77777777" w:rsidR="002C64D4" w:rsidRDefault="002C64D4" w:rsidP="002C64D4">
      <w:pPr>
        <w:pStyle w:val="BodyText"/>
      </w:pPr>
      <w:r>
        <w:rPr>
          <w:rFonts w:eastAsia="Calibri"/>
        </w:rPr>
        <w:t xml:space="preserve">The NZ ETS and the SGG levy support and encourage domestic and global efforts to reduce greenhouse gas emissions. Their purpose is to: </w:t>
      </w:r>
    </w:p>
    <w:p w14:paraId="7F634997" w14:textId="77777777" w:rsidR="002C64D4" w:rsidRPr="006428D4" w:rsidRDefault="002C64D4" w:rsidP="002C64D4">
      <w:pPr>
        <w:pStyle w:val="Bullet"/>
        <w:numPr>
          <w:ilvl w:val="0"/>
          <w:numId w:val="3"/>
        </w:numPr>
        <w:rPr>
          <w:rFonts w:eastAsia="Calibri"/>
        </w:rPr>
      </w:pPr>
      <w:r>
        <w:rPr>
          <w:rFonts w:eastAsia="Calibri"/>
        </w:rPr>
        <w:t xml:space="preserve">assist New Zealand to meet its international obligations under the Paris Agreement </w:t>
      </w:r>
    </w:p>
    <w:p w14:paraId="1F0B2769" w14:textId="77777777" w:rsidR="002C64D4" w:rsidRPr="006428D4" w:rsidRDefault="002C64D4" w:rsidP="002C64D4">
      <w:pPr>
        <w:pStyle w:val="Bullet"/>
        <w:numPr>
          <w:ilvl w:val="0"/>
          <w:numId w:val="3"/>
        </w:numPr>
        <w:rPr>
          <w:rFonts w:eastAsia="Calibri" w:cstheme="minorHAnsi"/>
        </w:rPr>
      </w:pPr>
      <w:r>
        <w:rPr>
          <w:rFonts w:eastAsia="Calibri" w:cstheme="minorHAnsi"/>
        </w:rPr>
        <w:t xml:space="preserve">help New Zealand meet its </w:t>
      </w:r>
      <w:r w:rsidRPr="006428D4">
        <w:rPr>
          <w:rFonts w:eastAsia="Calibri" w:cstheme="minorHAnsi"/>
        </w:rPr>
        <w:t>2050 target and emissions budgets.</w:t>
      </w:r>
      <w:r w:rsidRPr="0077522C">
        <w:rPr>
          <w:rFonts w:eastAsia="Calibri"/>
        </w:rPr>
        <w:t xml:space="preserve"> </w:t>
      </w:r>
      <w:r>
        <w:rPr>
          <w:rFonts w:eastAsia="Calibri"/>
        </w:rPr>
        <w:fldChar w:fldCharType="begin"/>
      </w:r>
      <w:r>
        <w:rPr>
          <w:rFonts w:eastAsia="Calibri"/>
        </w:rPr>
        <w:instrText xml:space="preserve">https://legislation.govt.nz/regulation/public/2013/0046/latest/DLM5093451.html" </w:instrText>
      </w:r>
      <w:r>
        <w:rPr>
          <w:rFonts w:eastAsia="Calibri"/>
        </w:rPr>
        <w:fldChar w:fldCharType="separate"/>
      </w:r>
      <w:r w:rsidRPr="00193647">
        <w:rPr>
          <w:rStyle w:val="Hyperlink"/>
          <w:rFonts w:eastAsia="Calibri"/>
        </w:rPr>
        <w:t>access</w:t>
      </w:r>
      <w:r>
        <w:rPr>
          <w:rStyle w:val="Hyperlink"/>
          <w:rFonts w:eastAsia="Calibri"/>
        </w:rPr>
        <w:t xml:space="preserve">ed via </w:t>
      </w:r>
      <w:r w:rsidRPr="00193647">
        <w:rPr>
          <w:rStyle w:val="Hyperlink"/>
          <w:rFonts w:eastAsia="Calibri"/>
        </w:rPr>
        <w:t>the legislation.govt.nz website</w:t>
      </w:r>
      <w:r>
        <w:rPr>
          <w:rFonts w:eastAsia="Calibri"/>
        </w:rPr>
        <w:fldChar w:fldCharType="end"/>
      </w:r>
    </w:p>
    <w:p w14:paraId="09F39CDF" w14:textId="77777777" w:rsidR="002C64D4" w:rsidRDefault="002C64D4" w:rsidP="002C64D4">
      <w:pPr>
        <w:pStyle w:val="Heading3"/>
        <w:rPr>
          <w:rFonts w:eastAsia="Calibri"/>
        </w:rPr>
      </w:pPr>
      <w:bookmarkStart w:id="5" w:name="_Toc95397051"/>
      <w:r>
        <w:rPr>
          <w:rFonts w:eastAsia="Calibri"/>
        </w:rPr>
        <w:t xml:space="preserve">What is the SGG </w:t>
      </w:r>
      <w:r w:rsidRPr="4FFD3651">
        <w:rPr>
          <w:rFonts w:eastAsia="Calibri"/>
        </w:rPr>
        <w:t>levy</w:t>
      </w:r>
      <w:r>
        <w:rPr>
          <w:rFonts w:eastAsia="Calibri"/>
        </w:rPr>
        <w:t>?</w:t>
      </w:r>
      <w:bookmarkEnd w:id="5"/>
    </w:p>
    <w:p w14:paraId="61D5D38D" w14:textId="77777777" w:rsidR="002C64D4" w:rsidRDefault="002C64D4" w:rsidP="002C64D4">
      <w:pPr>
        <w:pStyle w:val="BodyText"/>
        <w:rPr>
          <w:rFonts w:eastAsia="Calibri"/>
        </w:rPr>
      </w:pPr>
      <w:r>
        <w:rPr>
          <w:rFonts w:eastAsia="Calibri"/>
        </w:rPr>
        <w:t xml:space="preserve">The Climate Change (Synthetic Greenhouse Gas Levies) Regulations 2013 ensure imports of synthetic greenhouse gases (SGGs) in goods and vehicles face comparable emissions costs to bulk imports of SGGs subject to the NZ ETS. This policy simplifies NZ ETS obligations for importers of goods and motor vehicles containing SGGs. </w:t>
      </w:r>
    </w:p>
    <w:p w14:paraId="6321BF6F" w14:textId="77777777" w:rsidR="002C64D4" w:rsidRDefault="002C64D4" w:rsidP="002C64D4">
      <w:pPr>
        <w:pStyle w:val="BodyText"/>
        <w:rPr>
          <w:rFonts w:eastAsia="Calibri"/>
        </w:rPr>
      </w:pPr>
      <w:r>
        <w:rPr>
          <w:rFonts w:eastAsia="Calibri"/>
        </w:rPr>
        <w:t xml:space="preserve">Importers of goods and motor vehicles must pay a levy through the New Zealand Customs Service (NZCS) or Waka Kotahi </w:t>
      </w:r>
      <w:r w:rsidRPr="4FFD3651">
        <w:rPr>
          <w:rFonts w:eastAsia="Calibri"/>
        </w:rPr>
        <w:t>NZ</w:t>
      </w:r>
      <w:r>
        <w:rPr>
          <w:rFonts w:eastAsia="Calibri"/>
        </w:rPr>
        <w:t xml:space="preserve"> Transport Agency. </w:t>
      </w:r>
      <w:r>
        <w:t>The Environmental Protection Authority (EPA) reports on the number and type of imported goods and the types of SGGs they contain.</w:t>
      </w:r>
      <w:r>
        <w:rPr>
          <w:rFonts w:eastAsia="Calibri"/>
        </w:rPr>
        <w:t xml:space="preserve"> The Working Tariff Document, which is maintained by NZCS, sets out the tariff rates on imported goods. The motor vehicle and goods levy schedules are in </w:t>
      </w:r>
      <w:hyperlink r:id="rId21" w:history="1">
        <w:r w:rsidRPr="004E258C">
          <w:rPr>
            <w:rStyle w:val="Hyperlink"/>
            <w:rFonts w:eastAsia="Calibri"/>
          </w:rPr>
          <w:t>schedules 1 and 2 of the regulations</w:t>
        </w:r>
      </w:hyperlink>
      <w:r w:rsidRPr="004E258C">
        <w:rPr>
          <w:rFonts w:eastAsia="Calibri"/>
        </w:rPr>
        <w:t>,</w:t>
      </w:r>
      <w:r>
        <w:rPr>
          <w:rFonts w:eastAsia="Calibri"/>
        </w:rPr>
        <w:t xml:space="preserve"> respectively</w:t>
      </w:r>
      <w:r w:rsidRPr="4FFD3651">
        <w:rPr>
          <w:rFonts w:eastAsia="Calibri"/>
        </w:rPr>
        <w:t>.</w:t>
      </w:r>
      <w:r>
        <w:rPr>
          <w:rFonts w:eastAsia="Calibri"/>
        </w:rPr>
        <w:t xml:space="preserve"> The SGG levy rates are updated annually in amendment regulations. </w:t>
      </w:r>
    </w:p>
    <w:p w14:paraId="20B9DECA" w14:textId="77777777" w:rsidR="002C64D4" w:rsidRPr="009E516F" w:rsidRDefault="002C64D4" w:rsidP="002C64D4">
      <w:pPr>
        <w:pStyle w:val="Heading2"/>
        <w:rPr>
          <w:rFonts w:eastAsia="Calibri"/>
        </w:rPr>
      </w:pPr>
      <w:bookmarkStart w:id="6" w:name="_Toc95397052"/>
      <w:r>
        <w:rPr>
          <w:rFonts w:eastAsia="Georgia"/>
        </w:rPr>
        <w:t xml:space="preserve">The role of the NZ </w:t>
      </w:r>
      <w:r w:rsidRPr="00943912">
        <w:rPr>
          <w:rFonts w:eastAsia="Georgia"/>
        </w:rPr>
        <w:t>ETS</w:t>
      </w:r>
      <w:r>
        <w:rPr>
          <w:rFonts w:eastAsia="Georgia"/>
        </w:rPr>
        <w:t xml:space="preserve"> </w:t>
      </w:r>
      <w:r w:rsidRPr="00943912">
        <w:rPr>
          <w:rFonts w:eastAsia="Georgia"/>
        </w:rPr>
        <w:t>a</w:t>
      </w:r>
      <w:r w:rsidRPr="00943912">
        <w:rPr>
          <w:rFonts w:eastAsia="Georgia" w:cs="Georgia"/>
          <w:szCs w:val="36"/>
        </w:rPr>
        <w:t>nd SGG levy in the emissions reduction plan</w:t>
      </w:r>
      <w:bookmarkEnd w:id="6"/>
    </w:p>
    <w:p w14:paraId="15A4C094" w14:textId="77777777" w:rsidR="002C64D4" w:rsidRDefault="002C64D4" w:rsidP="002C64D4">
      <w:pPr>
        <w:pStyle w:val="BodyText"/>
        <w:rPr>
          <w:rFonts w:eastAsia="Calibri"/>
        </w:rPr>
      </w:pPr>
      <w:r>
        <w:rPr>
          <w:rFonts w:eastAsia="Calibri"/>
        </w:rPr>
        <w:t xml:space="preserve">The Government is about to publish the first </w:t>
      </w:r>
      <w:r w:rsidRPr="4FFD3651">
        <w:rPr>
          <w:rFonts w:eastAsia="Calibri"/>
        </w:rPr>
        <w:t>emissions reduction plan</w:t>
      </w:r>
      <w:r>
        <w:rPr>
          <w:rFonts w:eastAsia="Calibri"/>
        </w:rPr>
        <w:t xml:space="preserve"> (the ERP), which will describe how we are going to meet the first (2022</w:t>
      </w:r>
      <w:r w:rsidRPr="4FFD3651">
        <w:rPr>
          <w:rFonts w:eastAsia="Calibri"/>
        </w:rPr>
        <w:t>–25</w:t>
      </w:r>
      <w:r>
        <w:rPr>
          <w:rFonts w:eastAsia="Calibri"/>
        </w:rPr>
        <w:t>), second (2026</w:t>
      </w:r>
      <w:r w:rsidRPr="4FFD3651">
        <w:rPr>
          <w:rFonts w:eastAsia="Calibri"/>
        </w:rPr>
        <w:t>–</w:t>
      </w:r>
      <w:r>
        <w:rPr>
          <w:rFonts w:eastAsia="Calibri"/>
        </w:rPr>
        <w:t>30) and third (2031</w:t>
      </w:r>
      <w:r w:rsidRPr="4FFD3651">
        <w:rPr>
          <w:rFonts w:eastAsia="Calibri"/>
        </w:rPr>
        <w:t>–</w:t>
      </w:r>
      <w:r>
        <w:rPr>
          <w:rFonts w:eastAsia="Calibri"/>
        </w:rPr>
        <w:t xml:space="preserve">35) emissions budgets and progress towards our 2050 target. </w:t>
      </w:r>
    </w:p>
    <w:p w14:paraId="6C7CB565" w14:textId="77777777" w:rsidR="002C64D4" w:rsidRDefault="002C64D4" w:rsidP="002C64D4">
      <w:pPr>
        <w:pStyle w:val="BodyText"/>
        <w:rPr>
          <w:rFonts w:eastAsia="Calibri"/>
        </w:rPr>
      </w:pPr>
      <w:r>
        <w:rPr>
          <w:rFonts w:eastAsia="Calibri"/>
        </w:rPr>
        <w:t>The ERP will include:</w:t>
      </w:r>
    </w:p>
    <w:p w14:paraId="0747D669" w14:textId="77777777" w:rsidR="002C64D4" w:rsidRPr="00943912" w:rsidRDefault="002C64D4" w:rsidP="002C64D4">
      <w:pPr>
        <w:pStyle w:val="Bullet"/>
        <w:numPr>
          <w:ilvl w:val="0"/>
          <w:numId w:val="4"/>
        </w:numPr>
        <w:rPr>
          <w:rFonts w:eastAsia="Calibri"/>
        </w:rPr>
      </w:pPr>
      <w:r w:rsidRPr="4FFD3651">
        <w:rPr>
          <w:rFonts w:eastAsia="Calibri"/>
        </w:rPr>
        <w:t xml:space="preserve">policies and strategies for specific sectors (eg, transport, waste, heat, industry, power, building and construction, agriculture and forestry) </w:t>
      </w:r>
    </w:p>
    <w:p w14:paraId="69F93137" w14:textId="77777777" w:rsidR="002C64D4" w:rsidRPr="00943912" w:rsidRDefault="002C64D4" w:rsidP="002C64D4">
      <w:pPr>
        <w:pStyle w:val="Bullet"/>
        <w:numPr>
          <w:ilvl w:val="0"/>
          <w:numId w:val="4"/>
        </w:numPr>
        <w:rPr>
          <w:rFonts w:eastAsia="Calibri"/>
        </w:rPr>
      </w:pPr>
      <w:r w:rsidRPr="00943912">
        <w:rPr>
          <w:rFonts w:eastAsia="Calibri"/>
        </w:rPr>
        <w:t xml:space="preserve">a multi-sector strategy to meet emissions budgets and improve how those sectors adapt to the effects of climate change </w:t>
      </w:r>
    </w:p>
    <w:p w14:paraId="17E1F83B" w14:textId="77777777" w:rsidR="002C64D4" w:rsidRDefault="002C64D4" w:rsidP="002C64D4">
      <w:pPr>
        <w:rPr>
          <w:rFonts w:eastAsia="Calibri"/>
        </w:rPr>
      </w:pPr>
      <w:r>
        <w:rPr>
          <w:rFonts w:eastAsia="Calibri"/>
        </w:rPr>
        <w:br w:type="page"/>
      </w:r>
    </w:p>
    <w:p w14:paraId="52FC9C77" w14:textId="77777777" w:rsidR="002C64D4" w:rsidRPr="00943912" w:rsidRDefault="002C64D4" w:rsidP="002C64D4">
      <w:pPr>
        <w:pStyle w:val="Bullet"/>
        <w:numPr>
          <w:ilvl w:val="0"/>
          <w:numId w:val="4"/>
        </w:numPr>
        <w:rPr>
          <w:rFonts w:eastAsia="Calibri"/>
        </w:rPr>
      </w:pPr>
      <w:r w:rsidRPr="00943912">
        <w:rPr>
          <w:rFonts w:eastAsia="Calibri"/>
        </w:rPr>
        <w:lastRenderedPageBreak/>
        <w:t xml:space="preserve">ways to mitigate the impacts of reducing emissions and increasing removals on employees and employers, regions, iwi and Māori, and wider communities </w:t>
      </w:r>
    </w:p>
    <w:p w14:paraId="400B6170" w14:textId="77777777" w:rsidR="002C64D4" w:rsidRPr="00943912" w:rsidRDefault="002C64D4" w:rsidP="002C64D4">
      <w:pPr>
        <w:pStyle w:val="Bullet"/>
        <w:numPr>
          <w:ilvl w:val="0"/>
          <w:numId w:val="4"/>
        </w:numPr>
        <w:rPr>
          <w:rFonts w:eastAsia="Calibri"/>
        </w:rPr>
      </w:pPr>
      <w:r w:rsidRPr="00943912">
        <w:rPr>
          <w:rFonts w:eastAsia="Calibri"/>
        </w:rPr>
        <w:t xml:space="preserve">any other policies or strategies that are necessary. </w:t>
      </w:r>
    </w:p>
    <w:p w14:paraId="0FA5E839" w14:textId="77777777" w:rsidR="002C64D4" w:rsidRDefault="002C64D4" w:rsidP="002C64D4">
      <w:pPr>
        <w:pStyle w:val="BodyText"/>
      </w:pPr>
      <w:r>
        <w:rPr>
          <w:rFonts w:eastAsia="Calibri"/>
        </w:rPr>
        <w:t>The</w:t>
      </w:r>
      <w:r w:rsidDel="00211D56">
        <w:rPr>
          <w:rFonts w:eastAsia="Calibri"/>
        </w:rPr>
        <w:t xml:space="preserve"> </w:t>
      </w:r>
      <w:r>
        <w:rPr>
          <w:rFonts w:eastAsia="Calibri"/>
        </w:rPr>
        <w:t xml:space="preserve">ERP sets out coherent measures that are complementary and reinforcing. Emissions pricing, through the NZ ETS and the SGG levy, will be a critical part of the ERP policy package. </w:t>
      </w:r>
    </w:p>
    <w:p w14:paraId="6ACA80B6" w14:textId="77777777" w:rsidR="002C64D4" w:rsidRDefault="002C64D4" w:rsidP="002C64D4">
      <w:pPr>
        <w:pStyle w:val="BodyText"/>
        <w:rPr>
          <w:rFonts w:eastAsia="Calibri"/>
        </w:rPr>
      </w:pPr>
      <w:r>
        <w:rPr>
          <w:rFonts w:eastAsia="Calibri"/>
        </w:rPr>
        <w:t xml:space="preserve">This consultation document proposes technical amendments to some of the regulations made under the Climate Change Response Act 2002 that maintain the accuracy of the NZ ETS. Any submissions received on the proposals in this consultation document are unlikely to impact the emissions reduction plan. It will take a combination of pricing and other policies and measures to move to a low-emissions economy. </w:t>
      </w:r>
    </w:p>
    <w:p w14:paraId="75B8B42F" w14:textId="77777777" w:rsidR="002C64D4" w:rsidRDefault="002C64D4" w:rsidP="002C64D4">
      <w:pPr>
        <w:pStyle w:val="Heading2"/>
      </w:pPr>
      <w:bookmarkStart w:id="7" w:name="_Toc95397053"/>
      <w:r>
        <w:rPr>
          <w:rFonts w:eastAsia="Georgia"/>
        </w:rPr>
        <w:t>How businesses interact with the NZ ETS and SGG levy</w:t>
      </w:r>
      <w:bookmarkEnd w:id="7"/>
    </w:p>
    <w:p w14:paraId="49E568D5" w14:textId="77777777" w:rsidR="002C64D4" w:rsidRDefault="002C64D4" w:rsidP="002C64D4">
      <w:pPr>
        <w:pStyle w:val="BodyText"/>
        <w:rPr>
          <w:rFonts w:eastAsia="Calibri"/>
        </w:rPr>
      </w:pPr>
      <w:r>
        <w:rPr>
          <w:rFonts w:eastAsia="Calibri"/>
        </w:rPr>
        <w:t>People and businesses interact directly with the NZ ETS and the SGG levy in several ways. These include the following</w:t>
      </w:r>
      <w:r w:rsidRPr="4FFD3651">
        <w:rPr>
          <w:rFonts w:eastAsia="Calibri"/>
        </w:rPr>
        <w:t>.</w:t>
      </w:r>
    </w:p>
    <w:p w14:paraId="00F393AA" w14:textId="5F4D3242" w:rsidR="002C64D4" w:rsidRDefault="002C64D4" w:rsidP="002C64D4">
      <w:pPr>
        <w:pStyle w:val="Heading3"/>
      </w:pPr>
      <w:bookmarkStart w:id="8" w:name="_Toc95397054"/>
      <w:r>
        <w:rPr>
          <w:rFonts w:eastAsia="Georgia"/>
        </w:rPr>
        <w:t>Reporting emissions and surrendering emissions units</w:t>
      </w:r>
      <w:bookmarkEnd w:id="8"/>
    </w:p>
    <w:p w14:paraId="1B74A3E5" w14:textId="77777777" w:rsidR="002C64D4" w:rsidRDefault="002C64D4" w:rsidP="002C64D4">
      <w:pPr>
        <w:pStyle w:val="BodyText"/>
        <w:rPr>
          <w:rFonts w:eastAsia="Calibri"/>
        </w:rPr>
      </w:pPr>
      <w:r>
        <w:rPr>
          <w:rFonts w:eastAsia="Calibri"/>
        </w:rPr>
        <w:t xml:space="preserve">Some people and businesses have obligations to report their emissions. Of these, some must surrender emissions units (NZUs) to cover their direct greenhouse gas emissions, or the emissions associated with their products. </w:t>
      </w:r>
    </w:p>
    <w:p w14:paraId="64C05870" w14:textId="77777777" w:rsidR="002C64D4" w:rsidRDefault="002C64D4" w:rsidP="002C64D4">
      <w:pPr>
        <w:pStyle w:val="BodyText"/>
      </w:pPr>
      <w:r>
        <w:rPr>
          <w:rFonts w:eastAsia="Calibri"/>
        </w:rPr>
        <w:t xml:space="preserve">To do this, businesses need to calculate the emissions from their activity over a calendar year, report to the EPA by the end of March the following year, and then surrender NZUs before the 31 May deadline. </w:t>
      </w:r>
    </w:p>
    <w:p w14:paraId="420DBAA2" w14:textId="77777777" w:rsidR="002C64D4" w:rsidRDefault="002C64D4" w:rsidP="002C64D4">
      <w:pPr>
        <w:pStyle w:val="BodyText"/>
        <w:rPr>
          <w:rFonts w:eastAsia="Calibri"/>
        </w:rPr>
      </w:pPr>
      <w:r>
        <w:rPr>
          <w:rFonts w:eastAsia="Calibri"/>
        </w:rPr>
        <w:t xml:space="preserve">This effectively puts a price on greenhouse gas emissions. Regulations set out the requirements for calculating emissions. This document contains proposals that affect people with these NZ ETS obligations. </w:t>
      </w:r>
    </w:p>
    <w:p w14:paraId="23BDB743" w14:textId="77777777" w:rsidR="002C64D4" w:rsidRDefault="002C64D4" w:rsidP="002C64D4">
      <w:pPr>
        <w:pStyle w:val="BodyText"/>
        <w:rPr>
          <w:rFonts w:eastAsia="Calibri"/>
        </w:rPr>
      </w:pPr>
      <w:r>
        <w:rPr>
          <w:rFonts w:eastAsia="Calibri"/>
        </w:rPr>
        <w:t>Some firms receive NZUs from the Government if they are emissions intensive (where a significant portion of their revenue is emissions costs passed on to the consumer) and exposed to international trade. These participants face higher costs because of the NZ ETS, including on emissions which result from their production outputs and consuming electricity, coal, or natural gas.</w:t>
      </w:r>
    </w:p>
    <w:p w14:paraId="402C5A16" w14:textId="77777777" w:rsidR="002C64D4" w:rsidRDefault="002C64D4" w:rsidP="002C64D4">
      <w:pPr>
        <w:pStyle w:val="Heading3"/>
      </w:pPr>
      <w:bookmarkStart w:id="9" w:name="_Toc95397055"/>
      <w:r>
        <w:rPr>
          <w:rFonts w:eastAsia="Georgia"/>
        </w:rPr>
        <w:t>Removing greenhouse gases</w:t>
      </w:r>
      <w:bookmarkEnd w:id="9"/>
    </w:p>
    <w:p w14:paraId="0088C22E" w14:textId="77777777" w:rsidR="002C64D4" w:rsidRDefault="002C64D4" w:rsidP="002C64D4">
      <w:pPr>
        <w:pStyle w:val="BodyText"/>
        <w:rPr>
          <w:rFonts w:eastAsia="Calibri"/>
        </w:rPr>
      </w:pPr>
      <w:r>
        <w:rPr>
          <w:rFonts w:eastAsia="Calibri"/>
        </w:rPr>
        <w:t xml:space="preserve">Some people and businesses may have opportunities to earn NZUs by carrying out an eligible removal activity. </w:t>
      </w:r>
      <w:r w:rsidRPr="4FFD3651">
        <w:rPr>
          <w:rFonts w:eastAsia="Calibri"/>
        </w:rPr>
        <w:t>This</w:t>
      </w:r>
      <w:r w:rsidDel="003A2888">
        <w:rPr>
          <w:rFonts w:eastAsia="Calibri"/>
        </w:rPr>
        <w:t xml:space="preserve"> </w:t>
      </w:r>
      <w:r>
        <w:rPr>
          <w:rFonts w:eastAsia="Calibri"/>
        </w:rPr>
        <w:t>must reduce emissions reported in New Zealand’s Greenhouse Gas Inventory (the Inventory</w:t>
      </w:r>
      <w:r w:rsidRPr="4FFD3651">
        <w:rPr>
          <w:rFonts w:eastAsia="Calibri"/>
        </w:rPr>
        <w:t>),</w:t>
      </w:r>
      <w:r>
        <w:rPr>
          <w:rFonts w:eastAsia="Calibri"/>
        </w:rPr>
        <w:t xml:space="preserve"> and units are earned to reflect this. A ‘forestry removal activity’ is one in which post-1989 forest growth sequesters carbon dioxide. An ‘other removal activity’ is one in which an eligible product must permanently embed (or at least until exported</w:t>
      </w:r>
      <w:r w:rsidRPr="4FFD3651">
        <w:rPr>
          <w:rFonts w:eastAsia="Calibri"/>
        </w:rPr>
        <w:t>)</w:t>
      </w:r>
      <w:r>
        <w:rPr>
          <w:rFonts w:eastAsia="Calibri"/>
        </w:rPr>
        <w:t xml:space="preserve"> a substance that would otherwise emit greenhouse gases to the atmosphere. This ensures that NZ ETS costs are not incurred for emissions that do not occur in New Zealand. This document contains proposals that may affect some people carrying out ‘other removal activities’.</w:t>
      </w:r>
    </w:p>
    <w:p w14:paraId="198E1D6E" w14:textId="77777777" w:rsidR="002C64D4" w:rsidRDefault="002C64D4" w:rsidP="002C64D4">
      <w:pPr>
        <w:pStyle w:val="Heading2"/>
        <w:rPr>
          <w:rFonts w:eastAsia="Georgia"/>
        </w:rPr>
      </w:pPr>
      <w:bookmarkStart w:id="10" w:name="_Toc95397056"/>
      <w:r>
        <w:rPr>
          <w:rFonts w:eastAsia="Georgia"/>
        </w:rPr>
        <w:lastRenderedPageBreak/>
        <w:t>Scope of regulations being consulted on</w:t>
      </w:r>
      <w:bookmarkEnd w:id="10"/>
    </w:p>
    <w:p w14:paraId="7C0BB9B5" w14:textId="77777777" w:rsidR="002C64D4" w:rsidRDefault="002C64D4" w:rsidP="002C64D4">
      <w:pPr>
        <w:pStyle w:val="BodyText"/>
        <w:rPr>
          <w:rFonts w:eastAsia="Calibri"/>
        </w:rPr>
      </w:pPr>
      <w:r>
        <w:rPr>
          <w:rFonts w:eastAsia="Calibri"/>
        </w:rPr>
        <w:t>A set of regulations and Orders in Council support the efficient and accurate running of the NZ ETS and SGG levy. Periodically:</w:t>
      </w:r>
    </w:p>
    <w:p w14:paraId="68E05BA9" w14:textId="77777777" w:rsidR="002C64D4" w:rsidRPr="001C60D1" w:rsidRDefault="002C64D4" w:rsidP="002C64D4">
      <w:pPr>
        <w:pStyle w:val="Bullet"/>
        <w:rPr>
          <w:rFonts w:eastAsia="Calibri"/>
        </w:rPr>
      </w:pPr>
      <w:r w:rsidRPr="001C60D1">
        <w:rPr>
          <w:rFonts w:eastAsia="Calibri"/>
        </w:rPr>
        <w:t>the</w:t>
      </w:r>
      <w:r w:rsidRPr="001C60D1" w:rsidDel="00202472">
        <w:rPr>
          <w:rFonts w:eastAsia="Calibri"/>
        </w:rPr>
        <w:t xml:space="preserve"> </w:t>
      </w:r>
      <w:r w:rsidRPr="001C60D1">
        <w:rPr>
          <w:rFonts w:eastAsia="Calibri"/>
        </w:rPr>
        <w:t xml:space="preserve">existing regulations need to be amended or replaced </w:t>
      </w:r>
    </w:p>
    <w:p w14:paraId="02295138" w14:textId="77777777" w:rsidR="002C64D4" w:rsidRPr="001C60D1" w:rsidRDefault="002C64D4" w:rsidP="002C64D4">
      <w:pPr>
        <w:pStyle w:val="Bullet"/>
        <w:rPr>
          <w:rFonts w:eastAsia="Calibri"/>
        </w:rPr>
      </w:pPr>
      <w:r w:rsidRPr="001C60D1">
        <w:rPr>
          <w:rFonts w:eastAsia="Calibri"/>
        </w:rPr>
        <w:t xml:space="preserve">new regulations need to be created </w:t>
      </w:r>
    </w:p>
    <w:p w14:paraId="061D7743" w14:textId="77777777" w:rsidR="002C64D4" w:rsidRPr="001C60D1" w:rsidRDefault="002C64D4" w:rsidP="002C64D4">
      <w:pPr>
        <w:pStyle w:val="Bullet"/>
        <w:rPr>
          <w:rFonts w:eastAsia="Calibri"/>
        </w:rPr>
      </w:pPr>
      <w:r w:rsidRPr="001C60D1">
        <w:rPr>
          <w:rFonts w:eastAsia="Calibri"/>
        </w:rPr>
        <w:t xml:space="preserve">updates to technical factors need to be made to keep them current. </w:t>
      </w:r>
    </w:p>
    <w:p w14:paraId="3374F55F" w14:textId="77777777" w:rsidR="002C64D4" w:rsidRDefault="002C64D4" w:rsidP="002C64D4">
      <w:pPr>
        <w:pStyle w:val="BodyText"/>
        <w:rPr>
          <w:rFonts w:eastAsia="Calibri"/>
        </w:rPr>
      </w:pPr>
      <w:r>
        <w:rPr>
          <w:rFonts w:eastAsia="Calibri"/>
        </w:rPr>
        <w:t>In this document, the Government is consulting on a subset of these regulations covering:</w:t>
      </w:r>
    </w:p>
    <w:p w14:paraId="28F6188B" w14:textId="77777777" w:rsidR="002C64D4" w:rsidRPr="00202472" w:rsidRDefault="002C64D4" w:rsidP="002C64D4">
      <w:pPr>
        <w:pStyle w:val="Bullet"/>
        <w:rPr>
          <w:rFonts w:eastAsia="Calibri"/>
        </w:rPr>
      </w:pPr>
      <w:r w:rsidRPr="4FFD3651">
        <w:rPr>
          <w:rFonts w:eastAsia="Calibri"/>
        </w:rPr>
        <w:t>unit registers</w:t>
      </w:r>
    </w:p>
    <w:p w14:paraId="04184B54" w14:textId="77777777" w:rsidR="002C64D4" w:rsidRPr="00863660" w:rsidRDefault="002C64D4" w:rsidP="002C64D4">
      <w:pPr>
        <w:pStyle w:val="Bullet"/>
        <w:rPr>
          <w:rFonts w:eastAsia="Calibri"/>
          <w:bCs/>
        </w:rPr>
      </w:pPr>
      <w:r w:rsidRPr="4FFD3651">
        <w:rPr>
          <w:rFonts w:eastAsia="Calibri"/>
        </w:rPr>
        <w:t xml:space="preserve">other removal activities </w:t>
      </w:r>
      <w:r w:rsidRPr="00626624">
        <w:rPr>
          <w:rFonts w:eastAsia="Calibri"/>
          <w:bCs/>
        </w:rPr>
        <w:t>(non-forestry removals)</w:t>
      </w:r>
    </w:p>
    <w:p w14:paraId="330E818A" w14:textId="77777777" w:rsidR="002C64D4" w:rsidRPr="00202472" w:rsidRDefault="002C64D4" w:rsidP="002C64D4">
      <w:pPr>
        <w:pStyle w:val="Bullet"/>
        <w:rPr>
          <w:rFonts w:eastAsia="Calibri"/>
        </w:rPr>
      </w:pPr>
      <w:r w:rsidRPr="4FFD3651">
        <w:rPr>
          <w:rFonts w:eastAsia="Calibri"/>
        </w:rPr>
        <w:t xml:space="preserve">emission factors for natural gas </w:t>
      </w:r>
    </w:p>
    <w:p w14:paraId="4E8C46D0" w14:textId="77777777" w:rsidR="002C64D4" w:rsidRPr="00202472" w:rsidRDefault="002C64D4" w:rsidP="002C64D4">
      <w:pPr>
        <w:pStyle w:val="Bullet"/>
        <w:rPr>
          <w:rFonts w:eastAsia="Calibri"/>
        </w:rPr>
      </w:pPr>
      <w:r w:rsidRPr="4FFD3651">
        <w:rPr>
          <w:rFonts w:eastAsia="Calibri"/>
        </w:rPr>
        <w:t xml:space="preserve">liquid fossil fuels. </w:t>
      </w:r>
    </w:p>
    <w:p w14:paraId="76857A2E" w14:textId="77777777" w:rsidR="002C64D4" w:rsidRDefault="002C64D4" w:rsidP="002C64D4">
      <w:pPr>
        <w:pStyle w:val="BodyText"/>
        <w:rPr>
          <w:rFonts w:eastAsia="Calibri"/>
        </w:rPr>
      </w:pPr>
      <w:r>
        <w:rPr>
          <w:rFonts w:eastAsia="Calibri"/>
        </w:rPr>
        <w:t xml:space="preserve">This consultation does not include: </w:t>
      </w:r>
    </w:p>
    <w:p w14:paraId="79AD2C58" w14:textId="77777777" w:rsidR="002C64D4" w:rsidRPr="00202472" w:rsidRDefault="002C64D4" w:rsidP="002C64D4">
      <w:pPr>
        <w:pStyle w:val="Bullet"/>
        <w:rPr>
          <w:rFonts w:eastAsia="Calibri"/>
        </w:rPr>
      </w:pPr>
      <w:r w:rsidRPr="00202472">
        <w:rPr>
          <w:rFonts w:eastAsia="Calibri"/>
        </w:rPr>
        <w:t>updates to the unit supply settings and price controls for the NZ ETS</w:t>
      </w:r>
    </w:p>
    <w:p w14:paraId="038B3312" w14:textId="77777777" w:rsidR="002C64D4" w:rsidRDefault="002C64D4" w:rsidP="002C64D4">
      <w:pPr>
        <w:pStyle w:val="Bullet"/>
        <w:rPr>
          <w:rFonts w:eastAsia="Calibri"/>
        </w:rPr>
      </w:pPr>
      <w:r w:rsidRPr="00202472">
        <w:rPr>
          <w:rFonts w:eastAsia="Calibri"/>
        </w:rPr>
        <w:t>any changes affecting forestry participants in the NZ ETS</w:t>
      </w:r>
    </w:p>
    <w:p w14:paraId="0E32D9D6" w14:textId="77777777" w:rsidR="002C64D4" w:rsidRPr="00202472" w:rsidRDefault="002C64D4" w:rsidP="002C64D4">
      <w:pPr>
        <w:pStyle w:val="Bullet"/>
        <w:rPr>
          <w:rFonts w:eastAsia="Calibri"/>
        </w:rPr>
      </w:pPr>
      <w:r>
        <w:rPr>
          <w:rFonts w:eastAsia="Calibri"/>
        </w:rPr>
        <w:t>any changes affecting industrial allocation in the NZ ETS</w:t>
      </w:r>
    </w:p>
    <w:p w14:paraId="4FDBA53B" w14:textId="77777777" w:rsidR="002C64D4" w:rsidRPr="00202472" w:rsidRDefault="002C64D4" w:rsidP="002C64D4">
      <w:pPr>
        <w:pStyle w:val="Bullet"/>
        <w:rPr>
          <w:rFonts w:eastAsia="Calibri"/>
        </w:rPr>
      </w:pPr>
      <w:r w:rsidRPr="4FFD3651">
        <w:rPr>
          <w:rFonts w:eastAsia="Calibri"/>
        </w:rPr>
        <w:t>regulation updates that do not require consultation.</w:t>
      </w:r>
    </w:p>
    <w:p w14:paraId="385EB501" w14:textId="77777777" w:rsidR="002C64D4" w:rsidRDefault="002C64D4" w:rsidP="002C64D4">
      <w:pPr>
        <w:pStyle w:val="BodyText"/>
        <w:rPr>
          <w:rFonts w:eastAsia="Calibri"/>
        </w:rPr>
      </w:pPr>
      <w:r>
        <w:rPr>
          <w:rFonts w:eastAsia="Calibri"/>
        </w:rPr>
        <w:t xml:space="preserve">Consultation on unit supply and price control settings will happen until after emissions budgets have been finalised in May 2022 and the Climate Change Commission has provided its unit supply and price control setting recommendations to the Government. </w:t>
      </w:r>
    </w:p>
    <w:p w14:paraId="2452C8C6" w14:textId="77777777" w:rsidR="002C64D4" w:rsidRDefault="002C64D4" w:rsidP="002C64D4">
      <w:pPr>
        <w:pStyle w:val="BodyText"/>
        <w:rPr>
          <w:rFonts w:eastAsia="Calibri"/>
        </w:rPr>
      </w:pPr>
      <w:r>
        <w:rPr>
          <w:rFonts w:eastAsia="Calibri"/>
        </w:rPr>
        <w:t>The Government has consulted on proposed new regulations for forestry through a different process. Information on those proposals is available on th</w:t>
      </w:r>
      <w:r w:rsidRPr="00581CE9">
        <w:rPr>
          <w:rFonts w:eastAsia="Calibri"/>
        </w:rPr>
        <w:t xml:space="preserve">e </w:t>
      </w:r>
      <w:hyperlink r:id="rId22" w:history="1">
        <w:r w:rsidRPr="00767652">
          <w:rPr>
            <w:rStyle w:val="Hyperlink"/>
            <w:rFonts w:eastAsia="Calibri"/>
          </w:rPr>
          <w:t>Ministry for Primary Industries website</w:t>
        </w:r>
      </w:hyperlink>
      <w:r w:rsidRPr="00581CE9">
        <w:rPr>
          <w:rFonts w:eastAsia="Calibri"/>
        </w:rPr>
        <w:t>.</w:t>
      </w:r>
    </w:p>
    <w:p w14:paraId="16ED0C81" w14:textId="77777777" w:rsidR="002C64D4" w:rsidRDefault="002C64D4" w:rsidP="002C64D4">
      <w:pPr>
        <w:pStyle w:val="BodyText"/>
        <w:rPr>
          <w:rFonts w:eastAsia="Calibri"/>
        </w:rPr>
      </w:pPr>
      <w:r>
        <w:rPr>
          <w:rFonts w:eastAsia="Calibri"/>
        </w:rPr>
        <w:t xml:space="preserve">Several other updates to regulations and one set of new regulations are not part of this consultation. The </w:t>
      </w:r>
      <w:hyperlink w:anchor="_Appendix_1:_Other" w:history="1">
        <w:r w:rsidRPr="00863660">
          <w:rPr>
            <w:rStyle w:val="Hyperlink"/>
            <w:rFonts w:eastAsia="Calibri"/>
          </w:rPr>
          <w:t>appendix</w:t>
        </w:r>
      </w:hyperlink>
      <w:r>
        <w:rPr>
          <w:rFonts w:eastAsia="Calibri"/>
        </w:rPr>
        <w:t xml:space="preserve"> briefly outlines the information and context for these other regulation changes. These matters have either already been consulted on and</w:t>
      </w:r>
      <w:r w:rsidDel="00202472">
        <w:rPr>
          <w:rFonts w:eastAsia="Calibri"/>
        </w:rPr>
        <w:t xml:space="preserve"> </w:t>
      </w:r>
      <w:r>
        <w:rPr>
          <w:rFonts w:eastAsia="Calibri"/>
        </w:rPr>
        <w:t>have policy approvals, are technical, or do not require consultation or Cabinet policy decisions.</w:t>
      </w:r>
    </w:p>
    <w:p w14:paraId="1F0569A9" w14:textId="77777777" w:rsidR="002C64D4" w:rsidRDefault="002C64D4" w:rsidP="002C64D4">
      <w:pPr>
        <w:pStyle w:val="Heading3"/>
        <w:rPr>
          <w:rFonts w:eastAsia="Calibri"/>
        </w:rPr>
      </w:pPr>
      <w:r>
        <w:rPr>
          <w:rFonts w:eastAsia="Calibri"/>
        </w:rPr>
        <w:t>The impact on M</w:t>
      </w:r>
      <w:r>
        <w:rPr>
          <w:rFonts w:ascii="Calibri" w:eastAsia="Calibri" w:hAnsi="Calibri" w:cs="Calibri"/>
        </w:rPr>
        <w:t>ā</w:t>
      </w:r>
      <w:r>
        <w:rPr>
          <w:rFonts w:eastAsia="Calibri"/>
        </w:rPr>
        <w:t>ori of these proposed changes</w:t>
      </w:r>
    </w:p>
    <w:p w14:paraId="2DB34619" w14:textId="77777777" w:rsidR="002C64D4" w:rsidRDefault="002C64D4" w:rsidP="002C64D4">
      <w:pPr>
        <w:pStyle w:val="BodyText"/>
        <w:rPr>
          <w:rFonts w:eastAsia="Calibri"/>
        </w:rPr>
      </w:pPr>
      <w:r>
        <w:rPr>
          <w:rFonts w:eastAsia="Calibri"/>
        </w:rPr>
        <w:t xml:space="preserve">We recognise </w:t>
      </w:r>
      <w:r w:rsidRPr="0023263F">
        <w:rPr>
          <w:rFonts w:eastAsia="Calibri"/>
        </w:rPr>
        <w:t xml:space="preserve">Māori have a significant interest in climate change action and the NZ ETS. </w:t>
      </w:r>
    </w:p>
    <w:p w14:paraId="5194EE6B" w14:textId="77777777" w:rsidR="002C64D4" w:rsidRDefault="002C64D4" w:rsidP="002C64D4">
      <w:pPr>
        <w:pStyle w:val="BodyText"/>
        <w:rPr>
          <w:rFonts w:eastAsia="Calibri"/>
        </w:rPr>
      </w:pPr>
      <w:r>
        <w:rPr>
          <w:rFonts w:eastAsia="Calibri"/>
        </w:rPr>
        <w:t>We have assessed that there is unlikely to be a disproportionate negative impact on Māori due to any proposed change in this consultation</w:t>
      </w:r>
      <w:r w:rsidRPr="0023263F">
        <w:rPr>
          <w:rFonts w:eastAsia="Calibri"/>
        </w:rPr>
        <w:t xml:space="preserve">. </w:t>
      </w:r>
      <w:r>
        <w:rPr>
          <w:rFonts w:eastAsia="Calibri"/>
        </w:rPr>
        <w:t>However, we acknowledge there is a possibility of gaps in our analysis. Therefore, we are specifically requesting as part of this consultation that submitters consider whether there could be disproportionate impacts on Māori from the proposed changes. We have included this question against each proposed change.</w:t>
      </w:r>
    </w:p>
    <w:p w14:paraId="598B67B2" w14:textId="77777777" w:rsidR="002C64D4" w:rsidRPr="0037241A" w:rsidRDefault="002C64D4" w:rsidP="0037241A">
      <w:pPr>
        <w:pStyle w:val="BodyText"/>
        <w:rPr>
          <w:rFonts w:eastAsia="Georgia"/>
        </w:rPr>
      </w:pPr>
      <w:bookmarkStart w:id="11" w:name="_Toc95397057"/>
      <w:r w:rsidRPr="0037241A">
        <w:rPr>
          <w:rFonts w:eastAsia="Georgia"/>
        </w:rPr>
        <w:br w:type="page"/>
      </w:r>
    </w:p>
    <w:p w14:paraId="5415F5EC" w14:textId="77777777" w:rsidR="002C64D4" w:rsidRDefault="002C64D4" w:rsidP="002C64D4">
      <w:pPr>
        <w:pStyle w:val="Heading2"/>
      </w:pPr>
      <w:r>
        <w:rPr>
          <w:rFonts w:eastAsia="Georgia"/>
        </w:rPr>
        <w:lastRenderedPageBreak/>
        <w:t>Criteria for assessing options</w:t>
      </w:r>
      <w:bookmarkEnd w:id="11"/>
    </w:p>
    <w:p w14:paraId="69884BE7" w14:textId="77777777" w:rsidR="002C64D4" w:rsidRDefault="002C64D4" w:rsidP="002C64D4">
      <w:pPr>
        <w:pStyle w:val="BodyText"/>
      </w:pPr>
      <w:r>
        <w:rPr>
          <w:rFonts w:eastAsia="Calibri"/>
        </w:rPr>
        <w:t xml:space="preserve">Changing regulations that impact the NZ ETS contribute to meeting its objectives. Therefore, changes must be accurate, efficient and clear. </w:t>
      </w:r>
    </w:p>
    <w:p w14:paraId="2CD4CFB6" w14:textId="77777777" w:rsidR="002C64D4" w:rsidRDefault="002C64D4" w:rsidP="002C64D4">
      <w:pPr>
        <w:pStyle w:val="BodyText"/>
      </w:pPr>
      <w:r>
        <w:rPr>
          <w:rFonts w:eastAsia="Calibri"/>
        </w:rPr>
        <w:t xml:space="preserve">Each option in this document is assessed against the status quo using the following four criteria. </w:t>
      </w:r>
    </w:p>
    <w:p w14:paraId="7B313714" w14:textId="77777777" w:rsidR="002C64D4" w:rsidRPr="000A38B1" w:rsidRDefault="002C64D4" w:rsidP="002C64D4">
      <w:pPr>
        <w:pStyle w:val="Bullet"/>
        <w:rPr>
          <w:rFonts w:eastAsia="Calibri"/>
        </w:rPr>
      </w:pPr>
      <w:r w:rsidRPr="4FFD3651">
        <w:rPr>
          <w:rFonts w:eastAsia="Calibri"/>
          <w:b/>
        </w:rPr>
        <w:t>Alignment</w:t>
      </w:r>
      <w:r w:rsidRPr="4FFD3651">
        <w:rPr>
          <w:rFonts w:eastAsia="Calibri"/>
        </w:rPr>
        <w:t xml:space="preserve"> with the objectives of the NZ ETS. The objectives are to support and encourage global efforts to reduce the emission of greenhouse gases by helping New Zealand meet</w:t>
      </w:r>
      <w:r w:rsidRPr="4FFD3651" w:rsidDel="0047688D">
        <w:rPr>
          <w:rFonts w:eastAsia="Calibri"/>
        </w:rPr>
        <w:t xml:space="preserve"> </w:t>
      </w:r>
      <w:r w:rsidRPr="4FFD3651">
        <w:rPr>
          <w:rFonts w:eastAsia="Calibri"/>
        </w:rPr>
        <w:t>its international climate obligations</w:t>
      </w:r>
      <w:r w:rsidRPr="4FFD3651">
        <w:rPr>
          <w:rStyle w:val="FootnoteReference"/>
          <w:rFonts w:asciiTheme="minorHAnsi" w:eastAsia="Calibri" w:hAnsiTheme="minorHAnsi" w:cstheme="minorBidi"/>
        </w:rPr>
        <w:footnoteReference w:id="2"/>
      </w:r>
      <w:r w:rsidRPr="4FFD3651">
        <w:rPr>
          <w:rFonts w:eastAsia="Calibri"/>
        </w:rPr>
        <w:t xml:space="preserve"> as well as the 2050 domestic target and emissions budgets. </w:t>
      </w:r>
    </w:p>
    <w:p w14:paraId="2A1B02C9" w14:textId="77777777" w:rsidR="002C64D4" w:rsidRPr="000A38B1" w:rsidRDefault="002C64D4" w:rsidP="002C64D4">
      <w:pPr>
        <w:pStyle w:val="Bullet"/>
        <w:rPr>
          <w:rFonts w:eastAsia="Calibri"/>
        </w:rPr>
      </w:pPr>
      <w:r w:rsidRPr="000A38B1">
        <w:rPr>
          <w:rFonts w:eastAsia="Calibri"/>
          <w:b/>
        </w:rPr>
        <w:t>Accuracy</w:t>
      </w:r>
      <w:r w:rsidRPr="000A38B1">
        <w:rPr>
          <w:rFonts w:eastAsia="Calibri"/>
        </w:rPr>
        <w:t xml:space="preserve"> means ensuring the methodologies and emissions factors in the regulations result in calculations of emissions that are as close as practically possible to those that are released into the atmosphere from the activity.</w:t>
      </w:r>
    </w:p>
    <w:p w14:paraId="6946B10F" w14:textId="77777777" w:rsidR="002C64D4" w:rsidRPr="000A38B1" w:rsidRDefault="002C64D4" w:rsidP="002C64D4">
      <w:pPr>
        <w:pStyle w:val="Bullet"/>
        <w:rPr>
          <w:rFonts w:eastAsia="Calibri"/>
        </w:rPr>
      </w:pPr>
      <w:r w:rsidRPr="000A38B1">
        <w:rPr>
          <w:rFonts w:eastAsia="Calibri"/>
          <w:b/>
        </w:rPr>
        <w:t xml:space="preserve">Efficiency </w:t>
      </w:r>
      <w:r w:rsidRPr="000A38B1">
        <w:rPr>
          <w:rFonts w:eastAsia="Calibri"/>
        </w:rPr>
        <w:t>concerns administrative and compliance costs for participants and the Government.</w:t>
      </w:r>
    </w:p>
    <w:p w14:paraId="580376B2" w14:textId="77777777" w:rsidR="002C64D4" w:rsidRDefault="002C64D4" w:rsidP="002C64D4">
      <w:pPr>
        <w:pStyle w:val="Bullet"/>
        <w:rPr>
          <w:rFonts w:eastAsia="Calibri"/>
        </w:rPr>
      </w:pPr>
      <w:r w:rsidRPr="000A38B1">
        <w:rPr>
          <w:rFonts w:eastAsia="Calibri"/>
          <w:b/>
        </w:rPr>
        <w:t>Clarity</w:t>
      </w:r>
      <w:r w:rsidRPr="000A38B1">
        <w:rPr>
          <w:rFonts w:eastAsia="Calibri"/>
        </w:rPr>
        <w:t xml:space="preserve"> means the regulations must be unambiguous and consistent, so the obligations and costs imposed on regulated parties are equivalent and unavoidable</w:t>
      </w:r>
      <w:r>
        <w:rPr>
          <w:rFonts w:eastAsia="Calibri"/>
        </w:rPr>
        <w:t xml:space="preserve">. </w:t>
      </w:r>
    </w:p>
    <w:p w14:paraId="17ED7A3C" w14:textId="77777777" w:rsidR="002C64D4" w:rsidRDefault="002C64D4" w:rsidP="002C64D4">
      <w:pPr>
        <w:pStyle w:val="BodyText"/>
        <w:rPr>
          <w:rFonts w:eastAsia="Calibri"/>
        </w:rPr>
      </w:pPr>
      <w:r>
        <w:rPr>
          <w:rFonts w:eastAsia="Calibri"/>
        </w:rPr>
        <w:t xml:space="preserve">Assessment of each option against each criterion is given a rating of poor, good or no change. </w:t>
      </w:r>
    </w:p>
    <w:p w14:paraId="0C771509" w14:textId="77777777" w:rsidR="002C64D4" w:rsidRPr="001C60D1" w:rsidRDefault="002C64D4" w:rsidP="002C64D4">
      <w:pPr>
        <w:pStyle w:val="Bullet"/>
        <w:rPr>
          <w:rFonts w:eastAsia="Calibri"/>
        </w:rPr>
      </w:pPr>
      <w:r w:rsidRPr="001C60D1">
        <w:rPr>
          <w:rFonts w:eastAsia="Calibri"/>
        </w:rPr>
        <w:t xml:space="preserve">Poor – the option performs poorly against the status quo. </w:t>
      </w:r>
    </w:p>
    <w:p w14:paraId="4F6EA773" w14:textId="77777777" w:rsidR="002C64D4" w:rsidRPr="000A38B1" w:rsidRDefault="002C64D4" w:rsidP="002C64D4">
      <w:pPr>
        <w:pStyle w:val="Bullet"/>
        <w:rPr>
          <w:rFonts w:eastAsia="Calibri"/>
        </w:rPr>
      </w:pPr>
      <w:r w:rsidRPr="000A38B1">
        <w:rPr>
          <w:rFonts w:eastAsia="Calibri"/>
        </w:rPr>
        <w:t>Good – the option performs well against the status quo.</w:t>
      </w:r>
    </w:p>
    <w:p w14:paraId="631AD4EC" w14:textId="77777777" w:rsidR="002C64D4" w:rsidRDefault="002C64D4" w:rsidP="002C64D4">
      <w:pPr>
        <w:pStyle w:val="Heading2"/>
        <w:rPr>
          <w:rFonts w:eastAsia="Georgia" w:cs="Georgia"/>
          <w:b w:val="0"/>
          <w:color w:val="1C556C"/>
          <w:sz w:val="48"/>
          <w:szCs w:val="48"/>
        </w:rPr>
      </w:pPr>
      <w:bookmarkStart w:id="12" w:name="_Toc95397058"/>
      <w:r>
        <w:rPr>
          <w:rFonts w:eastAsia="Georgia"/>
        </w:rPr>
        <w:t>Your views</w:t>
      </w:r>
      <w:bookmarkEnd w:id="12"/>
    </w:p>
    <w:p w14:paraId="17673C07" w14:textId="77777777" w:rsidR="002C64D4" w:rsidRDefault="002C64D4" w:rsidP="002C64D4">
      <w:pPr>
        <w:pStyle w:val="BodyText"/>
      </w:pPr>
      <w:r>
        <w:rPr>
          <w:rFonts w:eastAsia="Calibri"/>
        </w:rPr>
        <w:t xml:space="preserve">We want to know your thoughts on the proposed updates to regulations outlined in this document. Your response will help us understand the issues and options, and their impact. </w:t>
      </w:r>
    </w:p>
    <w:p w14:paraId="6E76874C" w14:textId="77777777" w:rsidR="002C64D4" w:rsidRDefault="002C64D4" w:rsidP="002C64D4">
      <w:pPr>
        <w:pStyle w:val="BodyText"/>
        <w:rPr>
          <w:rFonts w:eastAsia="Calibri" w:cs="Calibri"/>
        </w:rPr>
      </w:pPr>
      <w:r>
        <w:rPr>
          <w:rFonts w:eastAsia="Calibri" w:cs="Calibri"/>
        </w:rPr>
        <w:t xml:space="preserve">The sections </w:t>
      </w:r>
      <w:r w:rsidDel="0047688D">
        <w:rPr>
          <w:rFonts w:eastAsia="Calibri" w:cs="Calibri"/>
        </w:rPr>
        <w:t>of</w:t>
      </w:r>
      <w:r>
        <w:rPr>
          <w:rFonts w:eastAsia="Calibri" w:cs="Calibri"/>
        </w:rPr>
        <w:t xml:space="preserve"> this document </w:t>
      </w:r>
      <w:r w:rsidRPr="4FFD3651">
        <w:rPr>
          <w:rFonts w:eastAsia="Calibri" w:cs="Calibri"/>
        </w:rPr>
        <w:t>explain</w:t>
      </w:r>
      <w:r>
        <w:rPr>
          <w:rFonts w:eastAsia="Calibri" w:cs="Calibri"/>
        </w:rPr>
        <w:t xml:space="preserve"> the issues, </w:t>
      </w:r>
      <w:r w:rsidRPr="4FFD3651">
        <w:rPr>
          <w:rFonts w:eastAsia="Calibri" w:cs="Calibri"/>
        </w:rPr>
        <w:t>present</w:t>
      </w:r>
      <w:r>
        <w:rPr>
          <w:rFonts w:eastAsia="Calibri" w:cs="Calibri"/>
        </w:rPr>
        <w:t xml:space="preserve"> options and analysis, and </w:t>
      </w:r>
      <w:r w:rsidRPr="4FFD3651">
        <w:rPr>
          <w:rFonts w:eastAsia="Calibri" w:cs="Calibri"/>
        </w:rPr>
        <w:t>include</w:t>
      </w:r>
      <w:r>
        <w:rPr>
          <w:rFonts w:eastAsia="Calibri" w:cs="Calibri"/>
        </w:rPr>
        <w:t xml:space="preserve"> questions for you to consider. Your views will help us fill information gaps and measure support for the options.</w:t>
      </w:r>
    </w:p>
    <w:p w14:paraId="543155A3" w14:textId="77777777" w:rsidR="002C64D4" w:rsidRDefault="002C64D4" w:rsidP="002C64D4">
      <w:pPr>
        <w:pStyle w:val="Heading2"/>
      </w:pPr>
      <w:bookmarkStart w:id="13" w:name="_Toc95397059"/>
      <w:r>
        <w:rPr>
          <w:rFonts w:eastAsia="Georgia"/>
        </w:rPr>
        <w:t>Consultation process</w:t>
      </w:r>
      <w:bookmarkEnd w:id="13"/>
    </w:p>
    <w:p w14:paraId="03AF1EC4" w14:textId="77777777" w:rsidR="002C64D4" w:rsidRDefault="002C64D4" w:rsidP="002C64D4">
      <w:pPr>
        <w:pStyle w:val="BodyText"/>
      </w:pPr>
      <w:r>
        <w:rPr>
          <w:rFonts w:eastAsia="Calibri"/>
        </w:rPr>
        <w:t xml:space="preserve">This consultation will </w:t>
      </w:r>
      <w:r w:rsidRPr="00932BC0">
        <w:rPr>
          <w:rFonts w:eastAsia="Calibri"/>
        </w:rPr>
        <w:t>close at 5pm on Thursday 28 April 2022. Once we have considered submissions, we will put final proposals to the Minister of Climate Change</w:t>
      </w:r>
      <w:r>
        <w:rPr>
          <w:rFonts w:eastAsia="Calibri"/>
        </w:rPr>
        <w:t xml:space="preserve"> and Cabinet for approval. Following Cabinet approval, any new regulations or amendments to existing regulations will be published in the New Zealand Gazette by late September 2022 and come into force from 1 January 2023.</w:t>
      </w:r>
    </w:p>
    <w:p w14:paraId="703C02CB" w14:textId="77777777" w:rsidR="002C64D4" w:rsidRDefault="002C64D4" w:rsidP="002C64D4">
      <w:pPr>
        <w:pStyle w:val="Heading2"/>
      </w:pPr>
      <w:bookmarkStart w:id="14" w:name="_Toc95397060"/>
      <w:r>
        <w:rPr>
          <w:rFonts w:eastAsia="Georgia"/>
        </w:rPr>
        <w:t>Submitting your views</w:t>
      </w:r>
      <w:bookmarkEnd w:id="14"/>
    </w:p>
    <w:p w14:paraId="49440B6C" w14:textId="77777777" w:rsidR="002C64D4" w:rsidRDefault="002C64D4" w:rsidP="002C64D4">
      <w:r>
        <w:rPr>
          <w:rFonts w:eastAsia="Calibri" w:cs="Calibri"/>
        </w:rPr>
        <w:t xml:space="preserve">For details on sending feedback to us, see the </w:t>
      </w:r>
      <w:hyperlink w:anchor="_How_to_have" w:history="1">
        <w:r w:rsidRPr="00854F9F">
          <w:rPr>
            <w:rStyle w:val="Hyperlink"/>
            <w:rFonts w:eastAsia="Calibri" w:cs="Calibri"/>
          </w:rPr>
          <w:t>How to have your say</w:t>
        </w:r>
      </w:hyperlink>
      <w:r>
        <w:rPr>
          <w:rFonts w:eastAsia="Calibri" w:cs="Calibri"/>
        </w:rPr>
        <w:t xml:space="preserve"> section</w:t>
      </w:r>
      <w:r w:rsidRPr="00AE4C78">
        <w:rPr>
          <w:rFonts w:eastAsia="Calibri" w:cs="Calibri"/>
        </w:rPr>
        <w:t>.</w:t>
      </w:r>
      <w:r>
        <w:br w:type="page"/>
      </w:r>
    </w:p>
    <w:p w14:paraId="52771ACE" w14:textId="77777777" w:rsidR="002C64D4" w:rsidRDefault="002C64D4" w:rsidP="002C64D4">
      <w:pPr>
        <w:spacing w:after="0" w:line="240" w:lineRule="auto"/>
        <w:sectPr w:rsidR="002C64D4" w:rsidSect="002F0D56">
          <w:pgSz w:w="11907" w:h="16840"/>
          <w:pgMar w:top="1134" w:right="1701" w:bottom="1134" w:left="1701" w:header="567" w:footer="567" w:gutter="0"/>
          <w:cols w:space="720"/>
          <w:docGrid w:linePitch="299"/>
        </w:sectPr>
      </w:pPr>
    </w:p>
    <w:p w14:paraId="3E4C323E" w14:textId="77777777" w:rsidR="002C64D4" w:rsidRDefault="002C64D4" w:rsidP="007200A6">
      <w:pPr>
        <w:pStyle w:val="Heading1"/>
        <w:rPr>
          <w:rFonts w:eastAsia="Georgia"/>
        </w:rPr>
      </w:pPr>
      <w:bookmarkStart w:id="15" w:name="_Toc95397061"/>
      <w:r>
        <w:rPr>
          <w:rFonts w:eastAsia="Georgia"/>
        </w:rPr>
        <w:lastRenderedPageBreak/>
        <w:t>Summary of proposals</w:t>
      </w:r>
      <w:bookmarkEnd w:id="15"/>
    </w:p>
    <w:p w14:paraId="0C305376" w14:textId="77777777" w:rsidR="002C64D4" w:rsidRDefault="002C64D4" w:rsidP="002C64D4">
      <w:pPr>
        <w:pStyle w:val="Tableheading"/>
        <w:rPr>
          <w:rFonts w:eastAsia="Calibri"/>
        </w:rPr>
      </w:pPr>
      <w:r>
        <w:rPr>
          <w:rFonts w:eastAsia="Calibri"/>
        </w:rPr>
        <w:t>Table 1: Summary of proposals</w:t>
      </w:r>
    </w:p>
    <w:tbl>
      <w:tblPr>
        <w:tblW w:w="8505" w:type="dxa"/>
        <w:tblInd w:w="108" w:type="dxa"/>
        <w:tblBorders>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2377"/>
        <w:gridCol w:w="3044"/>
        <w:gridCol w:w="3084"/>
      </w:tblGrid>
      <w:tr w:rsidR="002C64D4" w:rsidRPr="004559F7" w14:paraId="7824E8B6" w14:textId="77777777" w:rsidTr="00DA2CBF">
        <w:tc>
          <w:tcPr>
            <w:tcW w:w="2433" w:type="dxa"/>
            <w:shd w:val="clear" w:color="auto" w:fill="1C556C"/>
            <w:hideMark/>
          </w:tcPr>
          <w:p w14:paraId="34FE8EAA" w14:textId="77777777" w:rsidR="002C64D4" w:rsidRPr="004559F7" w:rsidRDefault="002C64D4" w:rsidP="00DA2CBF">
            <w:pPr>
              <w:pStyle w:val="TableText"/>
              <w:rPr>
                <w:rFonts w:eastAsia="Calibri"/>
                <w:b/>
                <w:color w:val="FFFFFF" w:themeColor="background1"/>
                <w:lang w:val="en-US"/>
              </w:rPr>
            </w:pPr>
            <w:r w:rsidRPr="004559F7">
              <w:rPr>
                <w:rFonts w:eastAsia="Calibri"/>
                <w:b/>
                <w:color w:val="FFFFFF" w:themeColor="background1"/>
              </w:rPr>
              <w:t>Regulations</w:t>
            </w:r>
          </w:p>
        </w:tc>
        <w:tc>
          <w:tcPr>
            <w:tcW w:w="3119" w:type="dxa"/>
            <w:shd w:val="clear" w:color="auto" w:fill="1C556C"/>
            <w:hideMark/>
          </w:tcPr>
          <w:p w14:paraId="24B3DD76" w14:textId="77777777" w:rsidR="002C64D4" w:rsidRPr="004559F7" w:rsidRDefault="002C64D4" w:rsidP="00DA2CBF">
            <w:pPr>
              <w:pStyle w:val="TableText"/>
              <w:rPr>
                <w:rFonts w:eastAsia="Calibri"/>
                <w:b/>
                <w:color w:val="FFFFFF" w:themeColor="background1"/>
                <w:lang w:val="en-US"/>
              </w:rPr>
            </w:pPr>
            <w:r w:rsidRPr="004559F7">
              <w:rPr>
                <w:rFonts w:eastAsia="Calibri"/>
                <w:b/>
                <w:color w:val="FFFFFF" w:themeColor="background1"/>
              </w:rPr>
              <w:t>Proposal</w:t>
            </w:r>
          </w:p>
        </w:tc>
        <w:tc>
          <w:tcPr>
            <w:tcW w:w="3160" w:type="dxa"/>
            <w:shd w:val="clear" w:color="auto" w:fill="1C556C"/>
            <w:hideMark/>
          </w:tcPr>
          <w:p w14:paraId="2343B935" w14:textId="77777777" w:rsidR="002C64D4" w:rsidRPr="004559F7" w:rsidRDefault="002C64D4" w:rsidP="00DA2CBF">
            <w:pPr>
              <w:pStyle w:val="TableText"/>
              <w:rPr>
                <w:rFonts w:eastAsia="Calibri"/>
                <w:b/>
                <w:color w:val="FFFFFF" w:themeColor="background1"/>
              </w:rPr>
            </w:pPr>
            <w:r w:rsidRPr="004559F7">
              <w:rPr>
                <w:rFonts w:eastAsia="Calibri"/>
                <w:b/>
                <w:color w:val="FFFFFF" w:themeColor="background1"/>
              </w:rPr>
              <w:t>Rationale</w:t>
            </w:r>
          </w:p>
        </w:tc>
      </w:tr>
      <w:tr w:rsidR="002C64D4" w:rsidRPr="00BD3FAA" w14:paraId="35F5C0D2" w14:textId="77777777" w:rsidTr="00DA2CBF">
        <w:trPr>
          <w:trHeight w:val="2948"/>
        </w:trPr>
        <w:tc>
          <w:tcPr>
            <w:tcW w:w="2433" w:type="dxa"/>
            <w:hideMark/>
          </w:tcPr>
          <w:p w14:paraId="3B0092BE" w14:textId="77777777" w:rsidR="002C64D4" w:rsidRPr="00BD3FAA" w:rsidRDefault="002C64D4" w:rsidP="00C1009D">
            <w:pPr>
              <w:pStyle w:val="TableText"/>
              <w:rPr>
                <w:rFonts w:eastAsia="Calibri"/>
                <w:sz w:val="20"/>
                <w:szCs w:val="20"/>
                <w:lang w:val="en-US"/>
              </w:rPr>
            </w:pPr>
            <w:r w:rsidRPr="00BD3FAA">
              <w:rPr>
                <w:rFonts w:eastAsia="Calibri"/>
                <w:sz w:val="20"/>
                <w:szCs w:val="20"/>
              </w:rPr>
              <w:t>Climate Change (Unit Register) Regulations 2008</w:t>
            </w:r>
            <w:r w:rsidRPr="00BD3FAA" w:rsidDel="00D21D22">
              <w:rPr>
                <w:rFonts w:eastAsia="Calibri"/>
                <w:sz w:val="20"/>
                <w:szCs w:val="20"/>
              </w:rPr>
              <w:t xml:space="preserve"> </w:t>
            </w:r>
          </w:p>
        </w:tc>
        <w:tc>
          <w:tcPr>
            <w:tcW w:w="3119" w:type="dxa"/>
            <w:hideMark/>
          </w:tcPr>
          <w:p w14:paraId="200A49FC" w14:textId="77777777" w:rsidR="002C64D4" w:rsidRPr="00BD3FAA" w:rsidRDefault="002C64D4" w:rsidP="00C1009D">
            <w:pPr>
              <w:pStyle w:val="TableText"/>
              <w:rPr>
                <w:rFonts w:eastAsia="Calibri"/>
                <w:sz w:val="20"/>
                <w:szCs w:val="20"/>
                <w:lang w:val="en-US"/>
              </w:rPr>
            </w:pPr>
            <w:r w:rsidRPr="00BD3FAA">
              <w:rPr>
                <w:rFonts w:eastAsia="Calibri"/>
                <w:sz w:val="20"/>
                <w:szCs w:val="20"/>
              </w:rPr>
              <w:t xml:space="preserve">Repeal Regulation 11D to remove an accounting transaction which relates to voluntary emissions offsetting activity during the Kyoto Protocol commitment periods (2008–12 and 2013–20 inclusive). </w:t>
            </w:r>
          </w:p>
        </w:tc>
        <w:tc>
          <w:tcPr>
            <w:tcW w:w="3160" w:type="dxa"/>
            <w:hideMark/>
          </w:tcPr>
          <w:p w14:paraId="45C4FC8C" w14:textId="77777777" w:rsidR="002C64D4" w:rsidRPr="00BD3FAA" w:rsidRDefault="002C64D4" w:rsidP="00C1009D">
            <w:pPr>
              <w:pStyle w:val="TableText"/>
              <w:rPr>
                <w:rFonts w:eastAsia="Calibri"/>
                <w:sz w:val="20"/>
                <w:szCs w:val="20"/>
                <w:lang w:val="en-US"/>
              </w:rPr>
            </w:pPr>
            <w:r w:rsidRPr="00BD3FAA">
              <w:rPr>
                <w:rFonts w:eastAsia="Calibri"/>
                <w:sz w:val="20"/>
                <w:szCs w:val="20"/>
              </w:rPr>
              <w:t>The use of Kyoto Protocol-era emission units is no longer consistent with our updated guidance on voluntary emissions offsetting.</w:t>
            </w:r>
          </w:p>
          <w:p w14:paraId="311962F3" w14:textId="77777777" w:rsidR="002C64D4" w:rsidRPr="00BD3FAA" w:rsidRDefault="002C64D4" w:rsidP="00C1009D">
            <w:pPr>
              <w:pStyle w:val="TableText"/>
              <w:rPr>
                <w:rFonts w:eastAsia="Calibri"/>
                <w:sz w:val="20"/>
                <w:szCs w:val="20"/>
                <w:lang w:val="en-US"/>
              </w:rPr>
            </w:pPr>
            <w:r w:rsidRPr="00BD3FAA">
              <w:rPr>
                <w:rFonts w:eastAsia="Calibri"/>
                <w:sz w:val="20"/>
                <w:szCs w:val="20"/>
              </w:rPr>
              <w:t xml:space="preserve">We have recently published new interim guidance on offsetting activities for post-2020 emissions and </w:t>
            </w:r>
            <w:r w:rsidRPr="00BD3FAA" w:rsidDel="00F5403B">
              <w:rPr>
                <w:rFonts w:eastAsia="Calibri"/>
                <w:sz w:val="20"/>
                <w:szCs w:val="20"/>
              </w:rPr>
              <w:t xml:space="preserve">will </w:t>
            </w:r>
            <w:r w:rsidRPr="00BD3FAA">
              <w:rPr>
                <w:rFonts w:eastAsia="Calibri"/>
                <w:sz w:val="20"/>
                <w:szCs w:val="20"/>
              </w:rPr>
              <w:t xml:space="preserve">further update this guidance over time. According to the most recent Environmental Protection Agency data, no participants are using this method anymore. </w:t>
            </w:r>
          </w:p>
        </w:tc>
      </w:tr>
      <w:tr w:rsidR="002C64D4" w:rsidRPr="00BD3FAA" w14:paraId="1D83C5EA" w14:textId="77777777" w:rsidTr="00DA2CBF">
        <w:tc>
          <w:tcPr>
            <w:tcW w:w="2433" w:type="dxa"/>
            <w:hideMark/>
          </w:tcPr>
          <w:p w14:paraId="2FF30923" w14:textId="77777777" w:rsidR="002C64D4" w:rsidRPr="00BD3FAA" w:rsidRDefault="002C64D4" w:rsidP="00C1009D">
            <w:pPr>
              <w:pStyle w:val="TableText"/>
              <w:rPr>
                <w:rFonts w:eastAsia="Calibri"/>
                <w:sz w:val="20"/>
                <w:szCs w:val="20"/>
                <w:lang w:val="en-US"/>
              </w:rPr>
            </w:pPr>
            <w:r w:rsidRPr="00BD3FAA">
              <w:rPr>
                <w:rFonts w:eastAsia="Calibri"/>
                <w:sz w:val="20"/>
                <w:szCs w:val="20"/>
              </w:rPr>
              <w:t>Climate Change (Other Removal Activities) Regulations 2009</w:t>
            </w:r>
            <w:r w:rsidRPr="00BD3FAA" w:rsidDel="00D21D22">
              <w:rPr>
                <w:rFonts w:eastAsia="Calibri"/>
                <w:sz w:val="20"/>
                <w:szCs w:val="20"/>
              </w:rPr>
              <w:t xml:space="preserve"> </w:t>
            </w:r>
          </w:p>
        </w:tc>
        <w:tc>
          <w:tcPr>
            <w:tcW w:w="3119" w:type="dxa"/>
            <w:hideMark/>
          </w:tcPr>
          <w:p w14:paraId="19B25D2F" w14:textId="77777777" w:rsidR="002C64D4" w:rsidRPr="00BD3FAA" w:rsidRDefault="002C64D4" w:rsidP="00C1009D">
            <w:pPr>
              <w:pStyle w:val="TableText"/>
              <w:rPr>
                <w:rFonts w:eastAsia="Calibri"/>
                <w:sz w:val="20"/>
                <w:szCs w:val="20"/>
                <w:lang w:val="en-US"/>
              </w:rPr>
            </w:pPr>
            <w:r w:rsidRPr="00BD3FAA">
              <w:rPr>
                <w:rFonts w:eastAsia="Calibri"/>
                <w:sz w:val="20"/>
                <w:szCs w:val="20"/>
              </w:rPr>
              <w:t xml:space="preserve">Update to the regulations to remove the criteria for registering as a participant in relation to specific potent greenhouse gas removal activities. </w:t>
            </w:r>
          </w:p>
        </w:tc>
        <w:tc>
          <w:tcPr>
            <w:tcW w:w="3160" w:type="dxa"/>
            <w:hideMark/>
          </w:tcPr>
          <w:p w14:paraId="6AAD82E7" w14:textId="77777777" w:rsidR="002C64D4" w:rsidRPr="00BD3FAA" w:rsidRDefault="002C64D4" w:rsidP="00C1009D">
            <w:pPr>
              <w:pStyle w:val="TableText"/>
              <w:rPr>
                <w:rFonts w:eastAsia="Calibri"/>
                <w:sz w:val="20"/>
                <w:szCs w:val="20"/>
                <w:lang w:val="en-US"/>
              </w:rPr>
            </w:pPr>
            <w:r w:rsidRPr="00BD3FAA">
              <w:rPr>
                <w:rFonts w:eastAsia="Calibri"/>
                <w:sz w:val="20"/>
                <w:szCs w:val="20"/>
              </w:rPr>
              <w:t xml:space="preserve">Updating these regulations may increase the number of people that register to participate in the New Zealand Emissions Trading Scheme for exporting or destroying specific </w:t>
            </w:r>
            <w:r w:rsidRPr="00BD3FAA">
              <w:rPr>
                <w:sz w:val="20"/>
                <w:szCs w:val="20"/>
              </w:rPr>
              <w:t xml:space="preserve">potent greenhouse gases </w:t>
            </w:r>
            <w:r w:rsidRPr="00BD3FAA">
              <w:rPr>
                <w:rFonts w:eastAsia="Calibri"/>
                <w:sz w:val="20"/>
                <w:szCs w:val="20"/>
              </w:rPr>
              <w:t xml:space="preserve">and increase the amount of gases that are exported or destroyed. </w:t>
            </w:r>
          </w:p>
        </w:tc>
      </w:tr>
      <w:tr w:rsidR="002C64D4" w:rsidRPr="00BD3FAA" w14:paraId="759FCA56" w14:textId="77777777" w:rsidTr="00DA2CBF">
        <w:tc>
          <w:tcPr>
            <w:tcW w:w="2433" w:type="dxa"/>
            <w:hideMark/>
          </w:tcPr>
          <w:p w14:paraId="634C6E5C" w14:textId="77777777" w:rsidR="002C64D4" w:rsidRPr="00BD3FAA" w:rsidRDefault="002C64D4" w:rsidP="00C1009D">
            <w:pPr>
              <w:pStyle w:val="TableText"/>
              <w:rPr>
                <w:rFonts w:eastAsia="Calibri"/>
                <w:sz w:val="20"/>
                <w:szCs w:val="20"/>
                <w:lang w:val="en-US"/>
              </w:rPr>
            </w:pPr>
            <w:r w:rsidRPr="00BD3FAA">
              <w:rPr>
                <w:rFonts w:eastAsia="Calibri"/>
                <w:sz w:val="20"/>
                <w:szCs w:val="20"/>
              </w:rPr>
              <w:t>Climate Change (Stationary Energy and Industrial Processes) Regulations 2009</w:t>
            </w:r>
          </w:p>
        </w:tc>
        <w:tc>
          <w:tcPr>
            <w:tcW w:w="3119" w:type="dxa"/>
            <w:hideMark/>
          </w:tcPr>
          <w:p w14:paraId="06329CC9" w14:textId="77777777" w:rsidR="002C64D4" w:rsidRPr="00BD3FAA" w:rsidRDefault="002C64D4" w:rsidP="00C1009D">
            <w:pPr>
              <w:pStyle w:val="TableText"/>
              <w:rPr>
                <w:rFonts w:eastAsia="Calibri" w:cstheme="minorBidi"/>
                <w:sz w:val="20"/>
                <w:szCs w:val="20"/>
                <w:lang w:val="en-US"/>
              </w:rPr>
            </w:pPr>
            <w:r w:rsidRPr="00BD3FAA">
              <w:rPr>
                <w:rFonts w:eastAsia="Calibri" w:cstheme="minorBidi"/>
                <w:sz w:val="20"/>
                <w:szCs w:val="20"/>
              </w:rPr>
              <w:t>Update the schedule of emissions factors listed in regulations to reflect changes to the chemistry of mined natural gas.</w:t>
            </w:r>
          </w:p>
        </w:tc>
        <w:tc>
          <w:tcPr>
            <w:tcW w:w="3160" w:type="dxa"/>
            <w:hideMark/>
          </w:tcPr>
          <w:p w14:paraId="5EB58AEF" w14:textId="77777777" w:rsidR="002C64D4" w:rsidRPr="00BD3FAA" w:rsidRDefault="002C64D4" w:rsidP="00C1009D">
            <w:pPr>
              <w:pStyle w:val="TableText"/>
              <w:rPr>
                <w:rFonts w:eastAsia="Calibri"/>
                <w:sz w:val="20"/>
                <w:szCs w:val="20"/>
                <w:lang w:val="en-US"/>
              </w:rPr>
            </w:pPr>
            <w:r w:rsidRPr="00BD3FAA">
              <w:rPr>
                <w:rFonts w:eastAsia="Calibri"/>
                <w:sz w:val="20"/>
                <w:szCs w:val="20"/>
              </w:rPr>
              <w:t>Emissions factors for sources of mined natural gas change over time. These regulations need to be updated periodically to reflect those changes so 24 natural gas mining participants can minimise their New Zealand Emissions Trading Scheme administration costs.</w:t>
            </w:r>
          </w:p>
        </w:tc>
      </w:tr>
      <w:tr w:rsidR="002C64D4" w:rsidRPr="00BD3FAA" w14:paraId="6E2F20F0" w14:textId="77777777" w:rsidTr="00DA2CBF">
        <w:trPr>
          <w:trHeight w:val="1940"/>
        </w:trPr>
        <w:tc>
          <w:tcPr>
            <w:tcW w:w="2433" w:type="dxa"/>
            <w:hideMark/>
          </w:tcPr>
          <w:p w14:paraId="0E224B71" w14:textId="77777777" w:rsidR="002C64D4" w:rsidRPr="00BD3FAA" w:rsidRDefault="002C64D4" w:rsidP="00C1009D">
            <w:pPr>
              <w:pStyle w:val="TableText"/>
              <w:rPr>
                <w:rFonts w:eastAsia="Calibri"/>
                <w:sz w:val="20"/>
                <w:szCs w:val="20"/>
                <w:lang w:val="en-US"/>
              </w:rPr>
            </w:pPr>
            <w:r w:rsidRPr="00BD3FAA">
              <w:rPr>
                <w:rFonts w:eastAsia="Calibri"/>
                <w:sz w:val="20"/>
                <w:szCs w:val="20"/>
              </w:rPr>
              <w:t>Climate Change (Liquid Fossil Fuels) Regulations 2008</w:t>
            </w:r>
            <w:r w:rsidRPr="00BD3FAA" w:rsidDel="00D21D22">
              <w:rPr>
                <w:rFonts w:eastAsia="Calibri"/>
                <w:sz w:val="20"/>
                <w:szCs w:val="20"/>
              </w:rPr>
              <w:t xml:space="preserve"> </w:t>
            </w:r>
          </w:p>
        </w:tc>
        <w:tc>
          <w:tcPr>
            <w:tcW w:w="3119" w:type="dxa"/>
          </w:tcPr>
          <w:p w14:paraId="54B4EDD0" w14:textId="77777777" w:rsidR="002C64D4" w:rsidRPr="00BD3FAA" w:rsidRDefault="002C64D4" w:rsidP="00C1009D">
            <w:pPr>
              <w:pStyle w:val="TableText"/>
              <w:rPr>
                <w:rFonts w:eastAsia="Calibri"/>
                <w:sz w:val="20"/>
                <w:szCs w:val="20"/>
              </w:rPr>
            </w:pPr>
            <w:r w:rsidRPr="00BD3FAA">
              <w:rPr>
                <w:rFonts w:eastAsia="Calibri"/>
                <w:sz w:val="20"/>
                <w:szCs w:val="20"/>
              </w:rPr>
              <w:t xml:space="preserve">Change the methodologies that opt-in participant and obligation fuel participants use to calculate emissions, so the full reduction in emissions caused by the opt-in participant’s supply of biofuel is part of their emissions return. </w:t>
            </w:r>
          </w:p>
        </w:tc>
        <w:tc>
          <w:tcPr>
            <w:tcW w:w="3160" w:type="dxa"/>
            <w:hideMark/>
          </w:tcPr>
          <w:p w14:paraId="3C143482" w14:textId="77777777" w:rsidR="002C64D4" w:rsidRPr="00BD3FAA" w:rsidRDefault="002C64D4" w:rsidP="00C1009D">
            <w:pPr>
              <w:pStyle w:val="TableText"/>
              <w:rPr>
                <w:rFonts w:eastAsia="Calibri"/>
                <w:sz w:val="20"/>
                <w:szCs w:val="20"/>
              </w:rPr>
            </w:pPr>
            <w:r w:rsidRPr="00BD3FAA">
              <w:rPr>
                <w:rFonts w:eastAsia="Calibri"/>
                <w:sz w:val="20"/>
                <w:szCs w:val="20"/>
              </w:rPr>
              <w:t xml:space="preserve">If opt-in participants can use the total volume of biofuel they supply to reduce their surrender obligations, instead of only the volume they use, this may reduce the cost of supplying biofuel which in turn could potentially increase its use. </w:t>
            </w:r>
          </w:p>
        </w:tc>
      </w:tr>
    </w:tbl>
    <w:p w14:paraId="210F7C7E" w14:textId="77777777" w:rsidR="002C64D4" w:rsidRDefault="002C64D4" w:rsidP="002C64D4">
      <w:pPr>
        <w:pStyle w:val="BodyText"/>
      </w:pPr>
    </w:p>
    <w:p w14:paraId="6A27B76D" w14:textId="77777777" w:rsidR="002C64D4" w:rsidRDefault="002C64D4" w:rsidP="002C64D4">
      <w:r>
        <w:br w:type="page"/>
      </w:r>
    </w:p>
    <w:p w14:paraId="10B4BFA5" w14:textId="77777777" w:rsidR="002C64D4" w:rsidRDefault="002C64D4" w:rsidP="002C64D4">
      <w:pPr>
        <w:pStyle w:val="BodyText"/>
        <w:ind w:left="960" w:hanging="960"/>
        <w:rPr>
          <w:rStyle w:val="Heading1Char"/>
          <w:rFonts w:eastAsia="Georgia" w:cs="Georgia"/>
          <w:b w:val="0"/>
        </w:rPr>
      </w:pPr>
      <w:bookmarkStart w:id="16" w:name="_Toc95397062"/>
      <w:r w:rsidRPr="0215BC76">
        <w:rPr>
          <w:rStyle w:val="Heading1Char"/>
          <w:rFonts w:eastAsia="Georgia" w:cs="Georgia"/>
        </w:rPr>
        <w:lastRenderedPageBreak/>
        <w:t>1.</w:t>
      </w:r>
      <w:bookmarkEnd w:id="16"/>
      <w:r w:rsidRPr="0215BC76">
        <w:rPr>
          <w:rStyle w:val="Heading1Char"/>
          <w:rFonts w:eastAsia="Georgia" w:cs="Georgia"/>
        </w:rPr>
        <w:t xml:space="preserve"> </w:t>
      </w:r>
      <w:r>
        <w:rPr>
          <w:rFonts w:eastAsia="Georgia"/>
        </w:rPr>
        <w:tab/>
      </w:r>
      <w:r w:rsidRPr="0215BC76">
        <w:rPr>
          <w:rStyle w:val="Heading1Char"/>
          <w:rFonts w:eastAsia="Georgia" w:cs="Georgia"/>
        </w:rPr>
        <w:t>Updating the Climate Change (Unit Register) Regulations 2008</w:t>
      </w:r>
    </w:p>
    <w:p w14:paraId="0128D7C4" w14:textId="77777777" w:rsidR="002C64D4" w:rsidRDefault="002C64D4" w:rsidP="002C64D4">
      <w:pPr>
        <w:pStyle w:val="Heading2"/>
      </w:pPr>
      <w:bookmarkStart w:id="17" w:name="_Toc95397063"/>
      <w:r>
        <w:rPr>
          <w:rFonts w:eastAsia="Georgia"/>
        </w:rPr>
        <w:t>Context</w:t>
      </w:r>
      <w:bookmarkEnd w:id="17"/>
    </w:p>
    <w:p w14:paraId="16EA1DDF" w14:textId="77777777" w:rsidR="002C64D4" w:rsidRDefault="002C64D4" w:rsidP="002C64D4">
      <w:pPr>
        <w:pStyle w:val="BodyText"/>
        <w:rPr>
          <w:rFonts w:eastAsia="Calibri"/>
        </w:rPr>
      </w:pPr>
      <w:r>
        <w:rPr>
          <w:rFonts w:eastAsia="Calibri" w:cs="Calibri"/>
        </w:rPr>
        <w:t xml:space="preserve">Currently, NZ ETS account holders exchange NZUs they own for Crown-held New Zealand Assigned Amount Units (AAUs), which they can then cancel. This has been important in the past for participants in voluntary emission offsetting markets to meet our previous guidance on what constitutes credible voluntary carbon offsetting. </w:t>
      </w:r>
      <w:r>
        <w:rPr>
          <w:rFonts w:eastAsia="Calibri"/>
        </w:rPr>
        <w:t>However, continuing this method for cancellation under Regulation 11D allows access to a way of making offsetting claims that are no longer credible due to the Paris Agreement.</w:t>
      </w:r>
    </w:p>
    <w:p w14:paraId="2E88B92C" w14:textId="77777777" w:rsidR="002C64D4" w:rsidRDefault="002C64D4" w:rsidP="002C64D4">
      <w:pPr>
        <w:rPr>
          <w:rFonts w:eastAsia="Calibri"/>
        </w:rPr>
      </w:pPr>
      <w:r>
        <w:rPr>
          <w:rFonts w:eastAsia="Calibri" w:cs="Calibri"/>
        </w:rPr>
        <w:t xml:space="preserve">We have published new </w:t>
      </w:r>
      <w:hyperlink r:id="rId23" w:history="1">
        <w:r w:rsidRPr="00534EFF">
          <w:rPr>
            <w:rStyle w:val="Hyperlink"/>
            <w:rFonts w:eastAsia="Calibri" w:cs="Calibri"/>
          </w:rPr>
          <w:t>interim guidance on voluntary climate change mitigation</w:t>
        </w:r>
      </w:hyperlink>
      <w:r>
        <w:rPr>
          <w:rFonts w:eastAsia="Calibri" w:cs="Calibri"/>
        </w:rPr>
        <w:t xml:space="preserve">  for post-2020 emissions and will update the guidance further over time. </w:t>
      </w:r>
    </w:p>
    <w:p w14:paraId="4E34A510" w14:textId="77777777" w:rsidR="002C64D4" w:rsidRDefault="002C64D4" w:rsidP="002C64D4">
      <w:pPr>
        <w:pStyle w:val="Heading2"/>
        <w:rPr>
          <w:rFonts w:eastAsia="Georgia"/>
        </w:rPr>
      </w:pPr>
      <w:bookmarkStart w:id="18" w:name="_Toc95397064"/>
      <w:r>
        <w:rPr>
          <w:rFonts w:eastAsia="Georgia"/>
        </w:rPr>
        <w:t>Background</w:t>
      </w:r>
      <w:bookmarkEnd w:id="18"/>
    </w:p>
    <w:p w14:paraId="54AD315D" w14:textId="77777777" w:rsidR="002C64D4" w:rsidRDefault="002C64D4" w:rsidP="002C64D4">
      <w:r>
        <w:rPr>
          <w:rFonts w:eastAsia="Calibri" w:cs="Calibri"/>
        </w:rPr>
        <w:t xml:space="preserve">Under current regulations, holders of NZUs can apply to have an AAU allocated to them for cancellation. The regulation’s purpose is to allow ETS account holders with NZUs a way to use AAUs for unit conversion to support claims related to voluntary carbon offsetting. </w:t>
      </w:r>
    </w:p>
    <w:p w14:paraId="134B9727" w14:textId="77777777" w:rsidR="002C64D4" w:rsidRDefault="002C64D4" w:rsidP="002C64D4">
      <w:r>
        <w:rPr>
          <w:rFonts w:eastAsia="Calibri" w:cs="Calibri"/>
        </w:rPr>
        <w:t xml:space="preserve">We publish guidance to provide good practice principles for offsetting activities in the voluntary carbon market. Up until the end of 2020, this guidance recommended cancelling AAUs as a means of accounting for voluntary offsets against New Zealand’s international targets. </w:t>
      </w:r>
      <w:r>
        <w:rPr>
          <w:rStyle w:val="BodyTextChar"/>
          <w:rFonts w:eastAsia="Calibri"/>
        </w:rPr>
        <w:t xml:space="preserve">Regulation 11D </w:t>
      </w:r>
      <w:r w:rsidRPr="005766D3">
        <w:rPr>
          <w:rStyle w:val="BodyTextChar"/>
          <w:rFonts w:eastAsia="Calibri"/>
        </w:rPr>
        <w:t>o</w:t>
      </w:r>
      <w:r>
        <w:rPr>
          <w:rFonts w:eastAsia="Calibri" w:cs="Calibri"/>
        </w:rPr>
        <w:t>f the requires the Registrar to give effect to this cancellation process.</w:t>
      </w:r>
    </w:p>
    <w:p w14:paraId="55F268E4" w14:textId="77777777" w:rsidR="002C64D4" w:rsidRDefault="002C64D4" w:rsidP="002C64D4">
      <w:r>
        <w:rPr>
          <w:rFonts w:eastAsia="Calibri" w:cs="Calibri"/>
        </w:rPr>
        <w:t xml:space="preserve">The cancellation process has been kept in place beyond 31 December 2020, and voluntary offset providers have continued to use it to account for offsetting activities that occurred before that date. From 2009 through to 2021, approximately 1.5 million NZUs were converted to AAUs for cancellation. Over 100,000 of those conversions occurred in 2021. Its use has never been recommended for activities that occurred after 2020. Consequently, it is not appropriate for regulations to continue to allow this process. </w:t>
      </w:r>
    </w:p>
    <w:p w14:paraId="4FAED5BC" w14:textId="77777777" w:rsidR="002C64D4" w:rsidRDefault="002C64D4" w:rsidP="002C64D4">
      <w:pPr>
        <w:pStyle w:val="Heading2"/>
      </w:pPr>
      <w:bookmarkStart w:id="19" w:name="_Toc95397065"/>
      <w:r>
        <w:rPr>
          <w:rFonts w:eastAsia="Georgia"/>
        </w:rPr>
        <w:t xml:space="preserve">Why update the Climate Change </w:t>
      </w:r>
      <w:r w:rsidRPr="00544C27">
        <w:rPr>
          <w:rFonts w:eastAsia="Georgia" w:cs="Georgia"/>
        </w:rPr>
        <w:t>(Unit Register) Regulations 2008</w:t>
      </w:r>
      <w:bookmarkEnd w:id="19"/>
    </w:p>
    <w:p w14:paraId="014A5E26" w14:textId="77777777" w:rsidR="002C64D4" w:rsidRDefault="002C64D4" w:rsidP="002C64D4">
      <w:r>
        <w:rPr>
          <w:rFonts w:eastAsia="Calibri" w:cs="Calibri"/>
        </w:rPr>
        <w:t xml:space="preserve">We have published interim guidance on voluntary carbon market participation with support and input from voluntary carbon market stakeholders. The guidance better reflects developments internationally in voluntary carbon offsetting practices. Regulation 11D is currently redundant in the recommended process for offsetting in the interim guidance. Repealing this regulation will ensure current regulations are in line with our guidance and with prevailing practice in voluntary carbon market activities in New Zealand and internationally. </w:t>
      </w:r>
    </w:p>
    <w:p w14:paraId="1D0A8AE9" w14:textId="77777777" w:rsidR="002C64D4" w:rsidRDefault="002C64D4" w:rsidP="002C64D4">
      <w:pPr>
        <w:rPr>
          <w:rFonts w:ascii="Georgia" w:eastAsia="Georgia" w:hAnsi="Georgia"/>
          <w:b/>
          <w:bCs/>
          <w:color w:val="1B556B"/>
          <w:sz w:val="36"/>
          <w:szCs w:val="26"/>
        </w:rPr>
      </w:pPr>
      <w:bookmarkStart w:id="20" w:name="_Toc95397066"/>
      <w:r>
        <w:rPr>
          <w:rFonts w:eastAsia="Georgia"/>
        </w:rPr>
        <w:br w:type="page"/>
      </w:r>
    </w:p>
    <w:p w14:paraId="387FBB7A" w14:textId="77777777" w:rsidR="002C64D4" w:rsidRDefault="002C64D4" w:rsidP="002C64D4">
      <w:pPr>
        <w:pStyle w:val="Heading2"/>
      </w:pPr>
      <w:r>
        <w:rPr>
          <w:rFonts w:eastAsia="Georgia"/>
        </w:rPr>
        <w:lastRenderedPageBreak/>
        <w:t>Options</w:t>
      </w:r>
      <w:bookmarkEnd w:id="20"/>
    </w:p>
    <w:p w14:paraId="17480A75" w14:textId="77777777" w:rsidR="002C64D4" w:rsidRDefault="002C64D4" w:rsidP="002C64D4">
      <w:pPr>
        <w:pStyle w:val="BodyText"/>
        <w:rPr>
          <w:rFonts w:eastAsia="Calibri"/>
        </w:rPr>
      </w:pPr>
      <w:r>
        <w:rPr>
          <w:rFonts w:eastAsia="Calibri"/>
        </w:rPr>
        <w:t xml:space="preserve">We have assessed the status quo (option 1) against the proposal to update them as outlined above (option 2). </w:t>
      </w:r>
    </w:p>
    <w:p w14:paraId="41C5DF1B" w14:textId="77777777" w:rsidR="002C64D4" w:rsidRDefault="002C64D4" w:rsidP="002C64D4">
      <w:pPr>
        <w:pStyle w:val="Heading3"/>
      </w:pPr>
      <w:bookmarkStart w:id="21" w:name="_Toc95397067"/>
      <w:r>
        <w:rPr>
          <w:rFonts w:eastAsia="Georgia"/>
        </w:rPr>
        <w:t>Option 1: Status quo—</w:t>
      </w:r>
      <w:r>
        <w:rPr>
          <w:rFonts w:eastAsia="Georgia" w:cs="Georgia"/>
          <w:color w:val="000000" w:themeColor="text1"/>
          <w:szCs w:val="24"/>
        </w:rPr>
        <w:t>No update</w:t>
      </w:r>
      <w:bookmarkEnd w:id="21"/>
    </w:p>
    <w:p w14:paraId="5F0CD5EA" w14:textId="77777777" w:rsidR="002C64D4" w:rsidRDefault="002C64D4" w:rsidP="002C64D4">
      <w:pPr>
        <w:pStyle w:val="BodyText"/>
        <w:rPr>
          <w:rFonts w:eastAsia="Calibri"/>
        </w:rPr>
      </w:pPr>
      <w:r>
        <w:rPr>
          <w:rFonts w:eastAsia="Calibri"/>
        </w:rPr>
        <w:t xml:space="preserve">Under this option there will be no change to the regulation, and people will continue to be able to apply to convert NZUs into AAUs and have these cancelled, for as long as the Government continues to hold AAUs. </w:t>
      </w:r>
    </w:p>
    <w:p w14:paraId="0A775A50" w14:textId="77777777" w:rsidR="002C64D4" w:rsidRDefault="002C64D4" w:rsidP="002C64D4">
      <w:pPr>
        <w:pStyle w:val="Heading3"/>
      </w:pPr>
      <w:bookmarkStart w:id="22" w:name="_Toc95397068"/>
      <w:r>
        <w:rPr>
          <w:rFonts w:eastAsia="Georgia"/>
        </w:rPr>
        <w:t>Option 2: Update the Climate Change (Unit Register) Regulations 2008</w:t>
      </w:r>
      <w:bookmarkEnd w:id="22"/>
    </w:p>
    <w:p w14:paraId="1FD05C8C" w14:textId="77777777" w:rsidR="002C64D4" w:rsidRDefault="002C64D4" w:rsidP="002C64D4">
      <w:pPr>
        <w:pStyle w:val="BodyText"/>
      </w:pPr>
      <w:r>
        <w:rPr>
          <w:rFonts w:eastAsia="Calibri"/>
        </w:rPr>
        <w:t xml:space="preserve">Under this option, account holders will not be able to apply to the Registrar to convert any held NZUs into NZ AAUs for cancellation from 1 January 2023. </w:t>
      </w:r>
    </w:p>
    <w:p w14:paraId="177B2427" w14:textId="77777777" w:rsidR="002C64D4" w:rsidRDefault="002C64D4" w:rsidP="002C64D4">
      <w:pPr>
        <w:pStyle w:val="Heading3"/>
      </w:pPr>
      <w:bookmarkStart w:id="23" w:name="_Toc95397069"/>
      <w:r>
        <w:rPr>
          <w:rFonts w:eastAsia="Georgia"/>
        </w:rPr>
        <w:t>Assessing the options</w:t>
      </w:r>
      <w:bookmarkEnd w:id="23"/>
    </w:p>
    <w:p w14:paraId="6A26B5F8" w14:textId="77777777" w:rsidR="002C64D4" w:rsidRDefault="002C64D4" w:rsidP="002C64D4">
      <w:pPr>
        <w:pStyle w:val="BodyText"/>
      </w:pPr>
      <w:r>
        <w:rPr>
          <w:rFonts w:eastAsia="Calibri"/>
        </w:rPr>
        <w:t xml:space="preserve">Table 2 </w:t>
      </w:r>
      <w:r w:rsidRPr="3AEDF885">
        <w:rPr>
          <w:rFonts w:eastAsia="Calibri"/>
        </w:rPr>
        <w:t>assesses</w:t>
      </w:r>
      <w:r>
        <w:rPr>
          <w:rFonts w:eastAsia="Calibri"/>
        </w:rPr>
        <w:t xml:space="preserve"> the</w:t>
      </w:r>
      <w:r w:rsidRPr="003A62B9">
        <w:t xml:space="preserve"> </w:t>
      </w:r>
      <w:r>
        <w:t>status quo against the criteria on page 9, and</w:t>
      </w:r>
      <w:r>
        <w:rPr>
          <w:rFonts w:eastAsia="Calibri"/>
        </w:rPr>
        <w:t xml:space="preserve"> option </w:t>
      </w:r>
      <w:r w:rsidRPr="3AEDF885">
        <w:rPr>
          <w:rFonts w:eastAsia="Calibri"/>
        </w:rPr>
        <w:t xml:space="preserve">2 </w:t>
      </w:r>
      <w:r>
        <w:rPr>
          <w:rFonts w:eastAsia="Calibri"/>
        </w:rPr>
        <w:t xml:space="preserve">against </w:t>
      </w:r>
      <w:r>
        <w:t xml:space="preserve">those same criteria and </w:t>
      </w:r>
      <w:r>
        <w:rPr>
          <w:rFonts w:eastAsia="Calibri"/>
        </w:rPr>
        <w:t xml:space="preserve">the status quo. We believe the most important criteria for this decision are alignment and clarity. </w:t>
      </w:r>
    </w:p>
    <w:p w14:paraId="6A1FE812" w14:textId="77777777" w:rsidR="002C64D4" w:rsidRPr="00D6774D" w:rsidRDefault="002C64D4" w:rsidP="002C64D4">
      <w:pPr>
        <w:pStyle w:val="Tableheading"/>
      </w:pPr>
      <w:r w:rsidRPr="00D6774D">
        <w:rPr>
          <w:rFonts w:eastAsia="Calibri"/>
        </w:rPr>
        <w:t>Table 2: Assessing option 2 against</w:t>
      </w:r>
      <w:r>
        <w:rPr>
          <w:rFonts w:eastAsia="Calibri"/>
        </w:rPr>
        <w:t xml:space="preserve"> the</w:t>
      </w:r>
      <w:r w:rsidRPr="00D6774D">
        <w:rPr>
          <w:rFonts w:eastAsia="Calibri"/>
        </w:rPr>
        <w:t xml:space="preserve"> status quo </w:t>
      </w:r>
    </w:p>
    <w:tbl>
      <w:tblPr>
        <w:tblW w:w="8505" w:type="dxa"/>
        <w:tblInd w:w="105" w:type="dxa"/>
        <w:tblLayout w:type="fixed"/>
        <w:tblLook w:val="04A0" w:firstRow="1" w:lastRow="0" w:firstColumn="1" w:lastColumn="0" w:noHBand="0" w:noVBand="1"/>
      </w:tblPr>
      <w:tblGrid>
        <w:gridCol w:w="1073"/>
        <w:gridCol w:w="1670"/>
        <w:gridCol w:w="1709"/>
        <w:gridCol w:w="1823"/>
        <w:gridCol w:w="2230"/>
      </w:tblGrid>
      <w:tr w:rsidR="002C64D4" w:rsidRPr="00D6774D" w14:paraId="1A1E7C07" w14:textId="77777777" w:rsidTr="00DA2CBF">
        <w:tc>
          <w:tcPr>
            <w:tcW w:w="1125" w:type="dxa"/>
            <w:tcBorders>
              <w:top w:val="single" w:sz="8" w:space="0" w:color="1C556C"/>
              <w:left w:val="nil"/>
              <w:right w:val="single" w:sz="8" w:space="0" w:color="1C556C"/>
            </w:tcBorders>
            <w:shd w:val="clear" w:color="auto" w:fill="1B556B"/>
            <w:hideMark/>
          </w:tcPr>
          <w:p w14:paraId="6516F9D7" w14:textId="77777777" w:rsidR="002C64D4" w:rsidRPr="00D6774D" w:rsidRDefault="002C64D4" w:rsidP="00DA2CBF">
            <w:pPr>
              <w:pStyle w:val="TableText"/>
              <w:rPr>
                <w:b/>
                <w:color w:val="FFFFFF" w:themeColor="background1"/>
              </w:rPr>
            </w:pPr>
            <w:r w:rsidRPr="00D6774D">
              <w:rPr>
                <w:rFonts w:eastAsia="Calibri"/>
                <w:b/>
                <w:color w:val="FFFFFF" w:themeColor="background1"/>
              </w:rPr>
              <w:t xml:space="preserve">Option </w:t>
            </w:r>
          </w:p>
        </w:tc>
        <w:tc>
          <w:tcPr>
            <w:tcW w:w="1758" w:type="dxa"/>
            <w:tcBorders>
              <w:top w:val="single" w:sz="8" w:space="0" w:color="1C556C"/>
              <w:left w:val="single" w:sz="8" w:space="0" w:color="1C556C"/>
              <w:right w:val="single" w:sz="8" w:space="0" w:color="1C556C"/>
            </w:tcBorders>
            <w:shd w:val="clear" w:color="auto" w:fill="1B556B"/>
            <w:hideMark/>
          </w:tcPr>
          <w:p w14:paraId="3D7B9E3F" w14:textId="77777777" w:rsidR="002C64D4" w:rsidRPr="00D6774D" w:rsidRDefault="002C64D4" w:rsidP="00DA2CBF">
            <w:pPr>
              <w:pStyle w:val="TableText"/>
              <w:rPr>
                <w:b/>
                <w:color w:val="FFFFFF" w:themeColor="background1"/>
              </w:rPr>
            </w:pPr>
            <w:r w:rsidRPr="00D6774D">
              <w:rPr>
                <w:rFonts w:eastAsia="Calibri"/>
                <w:b/>
                <w:color w:val="FFFFFF" w:themeColor="background1"/>
              </w:rPr>
              <w:t xml:space="preserve">Alignment </w:t>
            </w:r>
          </w:p>
        </w:tc>
        <w:tc>
          <w:tcPr>
            <w:tcW w:w="1800" w:type="dxa"/>
            <w:tcBorders>
              <w:top w:val="single" w:sz="8" w:space="0" w:color="1C556C"/>
              <w:left w:val="single" w:sz="8" w:space="0" w:color="1C556C"/>
              <w:right w:val="single" w:sz="8" w:space="0" w:color="1C556C"/>
            </w:tcBorders>
            <w:shd w:val="clear" w:color="auto" w:fill="1B556B"/>
            <w:hideMark/>
          </w:tcPr>
          <w:p w14:paraId="4A72BB5E" w14:textId="77777777" w:rsidR="002C64D4" w:rsidRPr="00D6774D" w:rsidRDefault="002C64D4" w:rsidP="00DA2CBF">
            <w:pPr>
              <w:pStyle w:val="TableText"/>
              <w:rPr>
                <w:b/>
                <w:color w:val="FFFFFF" w:themeColor="background1"/>
              </w:rPr>
            </w:pPr>
            <w:r w:rsidRPr="00D6774D">
              <w:rPr>
                <w:rFonts w:eastAsia="Calibri"/>
                <w:b/>
                <w:color w:val="FFFFFF" w:themeColor="background1"/>
              </w:rPr>
              <w:t xml:space="preserve">Accuracy </w:t>
            </w:r>
          </w:p>
        </w:tc>
        <w:tc>
          <w:tcPr>
            <w:tcW w:w="1920" w:type="dxa"/>
            <w:tcBorders>
              <w:top w:val="single" w:sz="8" w:space="0" w:color="1C556C"/>
              <w:left w:val="single" w:sz="8" w:space="0" w:color="1C556C"/>
              <w:right w:val="single" w:sz="8" w:space="0" w:color="1C556C"/>
            </w:tcBorders>
            <w:shd w:val="clear" w:color="auto" w:fill="1B556B"/>
            <w:hideMark/>
          </w:tcPr>
          <w:p w14:paraId="2E8ACEE1" w14:textId="77777777" w:rsidR="002C64D4" w:rsidRPr="00D6774D" w:rsidRDefault="002C64D4" w:rsidP="00DA2CBF">
            <w:pPr>
              <w:pStyle w:val="TableText"/>
              <w:rPr>
                <w:b/>
                <w:color w:val="FFFFFF" w:themeColor="background1"/>
              </w:rPr>
            </w:pPr>
            <w:r w:rsidRPr="00D6774D">
              <w:rPr>
                <w:rFonts w:eastAsia="Calibri"/>
                <w:b/>
                <w:color w:val="FFFFFF" w:themeColor="background1"/>
              </w:rPr>
              <w:t xml:space="preserve">Efficiency </w:t>
            </w:r>
          </w:p>
        </w:tc>
        <w:tc>
          <w:tcPr>
            <w:tcW w:w="2352" w:type="dxa"/>
            <w:tcBorders>
              <w:top w:val="single" w:sz="8" w:space="0" w:color="1C556C"/>
              <w:left w:val="single" w:sz="8" w:space="0" w:color="1C556C"/>
              <w:right w:val="nil"/>
            </w:tcBorders>
            <w:shd w:val="clear" w:color="auto" w:fill="1B556B"/>
            <w:hideMark/>
          </w:tcPr>
          <w:p w14:paraId="1E2F5D64" w14:textId="77777777" w:rsidR="002C64D4" w:rsidRPr="00D6774D" w:rsidRDefault="002C64D4" w:rsidP="00DA2CBF">
            <w:pPr>
              <w:pStyle w:val="TableText"/>
              <w:rPr>
                <w:b/>
                <w:color w:val="FFFFFF" w:themeColor="background1"/>
              </w:rPr>
            </w:pPr>
            <w:r w:rsidRPr="00D6774D">
              <w:rPr>
                <w:rFonts w:eastAsia="Calibri"/>
                <w:b/>
                <w:color w:val="FFFFFF" w:themeColor="background1"/>
              </w:rPr>
              <w:t xml:space="preserve">Clarity </w:t>
            </w:r>
          </w:p>
        </w:tc>
      </w:tr>
      <w:tr w:rsidR="002C64D4" w:rsidRPr="00BD3FAA" w14:paraId="127C3AC0" w14:textId="77777777" w:rsidTr="00DA2CBF">
        <w:tc>
          <w:tcPr>
            <w:tcW w:w="1125" w:type="dxa"/>
            <w:tcBorders>
              <w:left w:val="nil"/>
              <w:bottom w:val="single" w:sz="8" w:space="0" w:color="1C556C"/>
              <w:right w:val="single" w:sz="8" w:space="0" w:color="1C556C"/>
            </w:tcBorders>
          </w:tcPr>
          <w:p w14:paraId="1E88E2F3" w14:textId="72049A6A" w:rsidR="002C64D4" w:rsidRPr="00BD3FAA" w:rsidRDefault="002C64D4" w:rsidP="00BD3FAA">
            <w:pPr>
              <w:pStyle w:val="TableText"/>
              <w:rPr>
                <w:rFonts w:eastAsia="Calibri" w:cs="Calibri"/>
                <w:sz w:val="20"/>
                <w:szCs w:val="20"/>
              </w:rPr>
            </w:pPr>
            <w:r w:rsidRPr="00BD3FAA">
              <w:rPr>
                <w:rFonts w:eastAsia="Calibri" w:cs="Calibri"/>
                <w:sz w:val="20"/>
                <w:szCs w:val="20"/>
              </w:rPr>
              <w:t xml:space="preserve">Option 1 </w:t>
            </w:r>
            <w:r w:rsidR="00E676C2" w:rsidRPr="00BD3FAA">
              <w:rPr>
                <w:rFonts w:eastAsia="Calibri" w:cs="Calibri"/>
                <w:sz w:val="20"/>
                <w:szCs w:val="20"/>
              </w:rPr>
              <w:t>–</w:t>
            </w:r>
            <w:r w:rsidRPr="00BD3FAA">
              <w:rPr>
                <w:rFonts w:eastAsia="Calibri" w:cs="Calibri"/>
                <w:sz w:val="20"/>
                <w:szCs w:val="20"/>
              </w:rPr>
              <w:t>Status quo</w:t>
            </w:r>
          </w:p>
        </w:tc>
        <w:tc>
          <w:tcPr>
            <w:tcW w:w="1758" w:type="dxa"/>
            <w:tcBorders>
              <w:left w:val="single" w:sz="8" w:space="0" w:color="1C556C"/>
              <w:bottom w:val="single" w:sz="8" w:space="0" w:color="1C556C"/>
              <w:right w:val="single" w:sz="8" w:space="0" w:color="1C556C"/>
            </w:tcBorders>
          </w:tcPr>
          <w:p w14:paraId="047745EB" w14:textId="77777777" w:rsidR="002C64D4" w:rsidRPr="00BD3FAA" w:rsidRDefault="002C64D4" w:rsidP="00BD3FAA">
            <w:pPr>
              <w:pStyle w:val="TableText"/>
              <w:rPr>
                <w:rFonts w:eastAsia="Calibri" w:cs="Calibri"/>
                <w:sz w:val="20"/>
                <w:szCs w:val="20"/>
              </w:rPr>
            </w:pPr>
            <w:r w:rsidRPr="00BD3FAA">
              <w:rPr>
                <w:rFonts w:eastAsia="Calibri" w:cs="Calibri"/>
                <w:sz w:val="20"/>
                <w:szCs w:val="20"/>
              </w:rPr>
              <w:t>Poor – does not align with NZ ETS objectives as it is now redundant.</w:t>
            </w:r>
          </w:p>
        </w:tc>
        <w:tc>
          <w:tcPr>
            <w:tcW w:w="1800" w:type="dxa"/>
            <w:tcBorders>
              <w:left w:val="single" w:sz="8" w:space="0" w:color="1C556C"/>
              <w:bottom w:val="single" w:sz="8" w:space="0" w:color="1C556C"/>
              <w:right w:val="single" w:sz="8" w:space="0" w:color="1C556C"/>
            </w:tcBorders>
          </w:tcPr>
          <w:p w14:paraId="6EC20057" w14:textId="77777777" w:rsidR="002C64D4" w:rsidRPr="00BD3FAA" w:rsidRDefault="002C64D4" w:rsidP="00BD3FAA">
            <w:pPr>
              <w:pStyle w:val="TableText"/>
              <w:rPr>
                <w:rFonts w:eastAsia="Calibri" w:cs="Calibri"/>
                <w:sz w:val="20"/>
                <w:szCs w:val="20"/>
              </w:rPr>
            </w:pPr>
            <w:r w:rsidRPr="00BD3FAA">
              <w:rPr>
                <w:rFonts w:eastAsia="Calibri" w:cs="Calibri"/>
                <w:sz w:val="20"/>
                <w:szCs w:val="20"/>
              </w:rPr>
              <w:t>No change – no impact on emissions factors or methodologies related to the removal of greenhouse gases.</w:t>
            </w:r>
          </w:p>
        </w:tc>
        <w:tc>
          <w:tcPr>
            <w:tcW w:w="1920" w:type="dxa"/>
            <w:tcBorders>
              <w:left w:val="single" w:sz="8" w:space="0" w:color="1C556C"/>
              <w:bottom w:val="single" w:sz="8" w:space="0" w:color="1C556C"/>
              <w:right w:val="single" w:sz="8" w:space="0" w:color="1C556C"/>
            </w:tcBorders>
          </w:tcPr>
          <w:p w14:paraId="2393FDBF" w14:textId="77777777" w:rsidR="002C64D4" w:rsidRPr="00BD3FAA" w:rsidRDefault="002C64D4" w:rsidP="00BD3FAA">
            <w:pPr>
              <w:pStyle w:val="TableText"/>
              <w:rPr>
                <w:rFonts w:eastAsia="Calibri" w:cs="Calibri"/>
                <w:sz w:val="20"/>
                <w:szCs w:val="20"/>
              </w:rPr>
            </w:pPr>
            <w:r w:rsidRPr="00BD3FAA">
              <w:rPr>
                <w:rFonts w:eastAsia="Calibri" w:cs="Calibri"/>
                <w:sz w:val="20"/>
                <w:szCs w:val="20"/>
              </w:rPr>
              <w:t>Poor – maintains administrative and compliance burdens on the Registrar.</w:t>
            </w:r>
          </w:p>
        </w:tc>
        <w:tc>
          <w:tcPr>
            <w:tcW w:w="2352" w:type="dxa"/>
            <w:tcBorders>
              <w:left w:val="single" w:sz="8" w:space="0" w:color="1C556C"/>
              <w:bottom w:val="single" w:sz="8" w:space="0" w:color="1C556C"/>
              <w:right w:val="nil"/>
            </w:tcBorders>
          </w:tcPr>
          <w:p w14:paraId="7F7A50D7" w14:textId="77777777" w:rsidR="002C64D4" w:rsidRPr="00BD3FAA" w:rsidRDefault="002C64D4" w:rsidP="00BD3FAA">
            <w:pPr>
              <w:pStyle w:val="TableText"/>
              <w:rPr>
                <w:rFonts w:eastAsia="Calibri" w:cs="Calibri"/>
                <w:sz w:val="20"/>
                <w:szCs w:val="20"/>
              </w:rPr>
            </w:pPr>
            <w:r w:rsidRPr="00BD3FAA">
              <w:rPr>
                <w:rFonts w:eastAsia="Calibri" w:cs="Calibri"/>
                <w:sz w:val="20"/>
                <w:szCs w:val="20"/>
              </w:rPr>
              <w:t>Poor – does not align with the Government’s interim guidance on voluntary carbon market participation.</w:t>
            </w:r>
          </w:p>
        </w:tc>
      </w:tr>
      <w:tr w:rsidR="002C64D4" w:rsidRPr="00BD3FAA" w14:paraId="04E1F1D2" w14:textId="77777777" w:rsidTr="00DA2CBF">
        <w:tc>
          <w:tcPr>
            <w:tcW w:w="1125" w:type="dxa"/>
            <w:tcBorders>
              <w:left w:val="nil"/>
              <w:bottom w:val="single" w:sz="8" w:space="0" w:color="1C556C"/>
              <w:right w:val="single" w:sz="8" w:space="0" w:color="1C556C"/>
            </w:tcBorders>
            <w:hideMark/>
          </w:tcPr>
          <w:p w14:paraId="42E687EE" w14:textId="77777777" w:rsidR="002C64D4" w:rsidRPr="00BD3FAA" w:rsidRDefault="002C64D4" w:rsidP="00BD3FAA">
            <w:pPr>
              <w:pStyle w:val="TableText"/>
              <w:rPr>
                <w:sz w:val="20"/>
                <w:szCs w:val="20"/>
              </w:rPr>
            </w:pPr>
            <w:r w:rsidRPr="00BD3FAA">
              <w:rPr>
                <w:rFonts w:eastAsia="Calibri" w:cs="Calibri"/>
                <w:sz w:val="20"/>
                <w:szCs w:val="20"/>
              </w:rPr>
              <w:t xml:space="preserve">Option 2 </w:t>
            </w:r>
          </w:p>
        </w:tc>
        <w:tc>
          <w:tcPr>
            <w:tcW w:w="1758" w:type="dxa"/>
            <w:tcBorders>
              <w:left w:val="single" w:sz="8" w:space="0" w:color="1C556C"/>
              <w:bottom w:val="single" w:sz="8" w:space="0" w:color="1C556C"/>
              <w:right w:val="single" w:sz="8" w:space="0" w:color="1C556C"/>
            </w:tcBorders>
            <w:hideMark/>
          </w:tcPr>
          <w:p w14:paraId="20F9876F" w14:textId="77777777" w:rsidR="002C64D4" w:rsidRPr="00BD3FAA" w:rsidRDefault="002C64D4" w:rsidP="00BD3FAA">
            <w:pPr>
              <w:pStyle w:val="TableText"/>
              <w:rPr>
                <w:sz w:val="20"/>
                <w:szCs w:val="20"/>
              </w:rPr>
            </w:pPr>
            <w:r w:rsidRPr="00BD3FAA">
              <w:rPr>
                <w:rFonts w:eastAsia="Calibri" w:cs="Calibri"/>
                <w:sz w:val="20"/>
                <w:szCs w:val="20"/>
              </w:rPr>
              <w:t>Good – this change aligns with NZ ETS objectives to support meeting emissions targets aligned with New Zealand's obligations.</w:t>
            </w:r>
          </w:p>
        </w:tc>
        <w:tc>
          <w:tcPr>
            <w:tcW w:w="1800" w:type="dxa"/>
            <w:tcBorders>
              <w:left w:val="single" w:sz="8" w:space="0" w:color="1C556C"/>
              <w:bottom w:val="single" w:sz="8" w:space="0" w:color="1C556C"/>
              <w:right w:val="single" w:sz="8" w:space="0" w:color="1C556C"/>
            </w:tcBorders>
            <w:hideMark/>
          </w:tcPr>
          <w:p w14:paraId="1FCD7C3A" w14:textId="77777777" w:rsidR="002C64D4" w:rsidRPr="00BD3FAA" w:rsidRDefault="002C64D4" w:rsidP="00BD3FAA">
            <w:pPr>
              <w:pStyle w:val="TableText"/>
              <w:rPr>
                <w:sz w:val="20"/>
                <w:szCs w:val="20"/>
              </w:rPr>
            </w:pPr>
            <w:r w:rsidRPr="00BD3FAA">
              <w:rPr>
                <w:rFonts w:eastAsia="Calibri" w:cs="Calibri"/>
                <w:sz w:val="20"/>
                <w:szCs w:val="20"/>
              </w:rPr>
              <w:t>No change – no impact on emissions factors or methodologies related to the removal of greenhouse gases.</w:t>
            </w:r>
          </w:p>
        </w:tc>
        <w:tc>
          <w:tcPr>
            <w:tcW w:w="1920" w:type="dxa"/>
            <w:tcBorders>
              <w:left w:val="single" w:sz="8" w:space="0" w:color="1C556C"/>
              <w:bottom w:val="single" w:sz="8" w:space="0" w:color="1C556C"/>
              <w:right w:val="single" w:sz="8" w:space="0" w:color="1C556C"/>
            </w:tcBorders>
            <w:hideMark/>
          </w:tcPr>
          <w:p w14:paraId="29237AD0" w14:textId="77777777" w:rsidR="002C64D4" w:rsidRPr="00BD3FAA" w:rsidRDefault="002C64D4" w:rsidP="00BD3FAA">
            <w:pPr>
              <w:pStyle w:val="TableText"/>
              <w:rPr>
                <w:sz w:val="20"/>
                <w:szCs w:val="20"/>
              </w:rPr>
            </w:pPr>
            <w:r w:rsidRPr="00BD3FAA">
              <w:rPr>
                <w:rFonts w:eastAsia="Calibri" w:cs="Calibri"/>
                <w:sz w:val="20"/>
                <w:szCs w:val="20"/>
              </w:rPr>
              <w:t>Good – removes administration and compliance burdens for the Registrar.</w:t>
            </w:r>
          </w:p>
        </w:tc>
        <w:tc>
          <w:tcPr>
            <w:tcW w:w="2352" w:type="dxa"/>
            <w:tcBorders>
              <w:left w:val="single" w:sz="8" w:space="0" w:color="1C556C"/>
              <w:bottom w:val="single" w:sz="8" w:space="0" w:color="1C556C"/>
              <w:right w:val="nil"/>
            </w:tcBorders>
            <w:hideMark/>
          </w:tcPr>
          <w:p w14:paraId="512B4AD0" w14:textId="77777777" w:rsidR="002C64D4" w:rsidRPr="00BD3FAA" w:rsidRDefault="002C64D4" w:rsidP="00BD3FAA">
            <w:pPr>
              <w:pStyle w:val="TableText"/>
              <w:rPr>
                <w:rFonts w:eastAsia="Calibri" w:cs="Calibri"/>
                <w:sz w:val="20"/>
                <w:szCs w:val="20"/>
              </w:rPr>
            </w:pPr>
            <w:r w:rsidRPr="00BD3FAA">
              <w:rPr>
                <w:rFonts w:eastAsia="Calibri" w:cs="Calibri"/>
                <w:sz w:val="20"/>
                <w:szCs w:val="20"/>
              </w:rPr>
              <w:t>Good – improves consistency with the Government’s interim guidance on voluntary carbon market participation.</w:t>
            </w:r>
          </w:p>
        </w:tc>
      </w:tr>
    </w:tbl>
    <w:p w14:paraId="6B06BA1C" w14:textId="77777777" w:rsidR="002C64D4" w:rsidRDefault="002C64D4" w:rsidP="002C64D4">
      <w:pPr>
        <w:pStyle w:val="Heading2"/>
        <w:rPr>
          <w:rFonts w:eastAsia="Georgia" w:cs="Georgia"/>
          <w:color w:val="1C556C"/>
          <w:sz w:val="32"/>
          <w:szCs w:val="32"/>
        </w:rPr>
      </w:pPr>
      <w:bookmarkStart w:id="24" w:name="_Toc95397070"/>
      <w:r>
        <w:rPr>
          <w:rFonts w:eastAsia="Georgia"/>
        </w:rPr>
        <w:lastRenderedPageBreak/>
        <w:t>Analysis</w:t>
      </w:r>
      <w:bookmarkEnd w:id="24"/>
    </w:p>
    <w:p w14:paraId="7C1EC68B" w14:textId="77777777" w:rsidR="002C64D4" w:rsidRDefault="002C64D4" w:rsidP="002C64D4">
      <w:pPr>
        <w:pStyle w:val="Heading3"/>
        <w:rPr>
          <w:rFonts w:eastAsia="Georgia"/>
        </w:rPr>
      </w:pPr>
      <w:bookmarkStart w:id="25" w:name="_Toc95397071"/>
      <w:r>
        <w:rPr>
          <w:rFonts w:eastAsia="Georgia"/>
        </w:rPr>
        <w:t xml:space="preserve">Who would be affected by </w:t>
      </w:r>
      <w:r>
        <w:rPr>
          <w:rFonts w:eastAsia="Georgia" w:cs="Georgia"/>
          <w:szCs w:val="24"/>
        </w:rPr>
        <w:t>updating</w:t>
      </w:r>
      <w:bookmarkEnd w:id="25"/>
    </w:p>
    <w:p w14:paraId="43B3C4CC" w14:textId="77777777" w:rsidR="002C64D4" w:rsidRPr="0009373D" w:rsidRDefault="002C64D4" w:rsidP="002C64D4">
      <w:pPr>
        <w:pStyle w:val="BodyText"/>
        <w:rPr>
          <w:rFonts w:eastAsia="Calibri"/>
        </w:rPr>
      </w:pPr>
      <w:r>
        <w:rPr>
          <w:rFonts w:eastAsia="Calibri"/>
        </w:rPr>
        <w:t>Participants</w:t>
      </w:r>
      <w:r w:rsidRPr="0009373D">
        <w:rPr>
          <w:rFonts w:eastAsia="Calibri"/>
        </w:rPr>
        <w:t xml:space="preserve"> who would convert their NZUs into AAUs for cancellation as part of voluntary carbon market offsetting activities.</w:t>
      </w:r>
    </w:p>
    <w:p w14:paraId="62919B27" w14:textId="77777777" w:rsidR="002C64D4" w:rsidRDefault="002C64D4" w:rsidP="002C64D4">
      <w:pPr>
        <w:pStyle w:val="Heading2"/>
        <w:rPr>
          <w:rFonts w:eastAsia="Georgia"/>
        </w:rPr>
      </w:pPr>
      <w:bookmarkStart w:id="26" w:name="_Toc95397072"/>
      <w:r>
        <w:rPr>
          <w:rFonts w:eastAsia="Georgia"/>
        </w:rPr>
        <w:t>Your views</w:t>
      </w:r>
      <w:bookmarkEnd w:id="26"/>
    </w:p>
    <w:p w14:paraId="06FA073B" w14:textId="77777777" w:rsidR="002C64D4" w:rsidRDefault="002C64D4" w:rsidP="002C64D4">
      <w:pPr>
        <w:pStyle w:val="BodyText"/>
        <w:rPr>
          <w:rFonts w:eastAsia="Calibri"/>
        </w:rPr>
      </w:pPr>
      <w:r>
        <w:rPr>
          <w:rFonts w:eastAsia="Calibri"/>
        </w:rPr>
        <w:t xml:space="preserve">We are interested in your views of our analysis and the assessment against the criteria in table 2. This includes whether you think any criteria should be given more weighting than others. </w:t>
      </w:r>
    </w:p>
    <w:p w14:paraId="40F410AA" w14:textId="77777777" w:rsidR="002C64D4" w:rsidRPr="00544C27" w:rsidRDefault="002C64D4" w:rsidP="002C64D4">
      <w:pPr>
        <w:pStyle w:val="Heading2"/>
        <w:spacing w:after="120"/>
        <w:rPr>
          <w:rFonts w:eastAsia="Georgia"/>
        </w:rPr>
      </w:pPr>
      <w:bookmarkStart w:id="27" w:name="_Toc95397073"/>
      <w:r w:rsidRPr="00306703">
        <w:rPr>
          <w:rFonts w:eastAsia="Georgia"/>
        </w:rPr>
        <w:t>Q</w:t>
      </w:r>
      <w:r w:rsidRPr="00544C27">
        <w:rPr>
          <w:rFonts w:eastAsia="Georgia"/>
        </w:rPr>
        <w:t>uestions</w:t>
      </w:r>
      <w:bookmarkEnd w:id="27"/>
    </w:p>
    <w:p w14:paraId="6E30265E" w14:textId="77777777" w:rsidR="002C64D4" w:rsidRPr="00544C27" w:rsidRDefault="002C64D4" w:rsidP="002C64D4">
      <w:pPr>
        <w:pStyle w:val="Bullet"/>
        <w:numPr>
          <w:ilvl w:val="0"/>
          <w:numId w:val="24"/>
        </w:numPr>
        <w:rPr>
          <w:rFonts w:eastAsia="Calibri"/>
          <w:szCs w:val="20"/>
        </w:rPr>
      </w:pPr>
      <w:r w:rsidRPr="00544C27">
        <w:rPr>
          <w:rFonts w:eastAsia="Calibri"/>
        </w:rPr>
        <w:t xml:space="preserve">To what extent do you agree with the way we have described the issue? Please explain any additional aspects of the problem you think we should consider. </w:t>
      </w:r>
    </w:p>
    <w:p w14:paraId="483CD178" w14:textId="77777777" w:rsidR="002C64D4" w:rsidRPr="00544C27" w:rsidRDefault="002C64D4" w:rsidP="002C64D4">
      <w:pPr>
        <w:pStyle w:val="Bullet"/>
        <w:numPr>
          <w:ilvl w:val="0"/>
          <w:numId w:val="24"/>
        </w:numPr>
        <w:rPr>
          <w:rFonts w:eastAsia="Calibri"/>
        </w:rPr>
      </w:pPr>
      <w:r w:rsidRPr="00544C27">
        <w:rPr>
          <w:rFonts w:eastAsia="Calibri"/>
        </w:rPr>
        <w:t xml:space="preserve">Do you agree that the option outlined in this consultation document is the correct one to consider? If not, why not? </w:t>
      </w:r>
    </w:p>
    <w:p w14:paraId="603CC308" w14:textId="77777777" w:rsidR="002C64D4" w:rsidRDefault="002C64D4" w:rsidP="002C64D4">
      <w:pPr>
        <w:pStyle w:val="Bullet"/>
        <w:numPr>
          <w:ilvl w:val="0"/>
          <w:numId w:val="24"/>
        </w:numPr>
        <w:rPr>
          <w:rFonts w:eastAsia="Calibri"/>
        </w:rPr>
      </w:pPr>
      <w:r w:rsidRPr="00544C27">
        <w:rPr>
          <w:rFonts w:eastAsia="Calibri"/>
        </w:rPr>
        <w:t xml:space="preserve">Do you have views on the timing </w:t>
      </w:r>
      <w:r>
        <w:rPr>
          <w:rFonts w:eastAsia="Calibri"/>
        </w:rPr>
        <w:t>for</w:t>
      </w:r>
      <w:r w:rsidRPr="00544C27">
        <w:rPr>
          <w:rFonts w:eastAsia="Calibri"/>
        </w:rPr>
        <w:t xml:space="preserve"> </w:t>
      </w:r>
      <w:r>
        <w:rPr>
          <w:rFonts w:eastAsia="Calibri"/>
        </w:rPr>
        <w:t>implementing</w:t>
      </w:r>
      <w:r w:rsidRPr="00544C27">
        <w:rPr>
          <w:rFonts w:eastAsia="Calibri"/>
        </w:rPr>
        <w:t xml:space="preserve"> this update?</w:t>
      </w:r>
    </w:p>
    <w:p w14:paraId="1612ECF7" w14:textId="180C98F4" w:rsidR="002C64D4" w:rsidRDefault="002C64D4" w:rsidP="002C64D4">
      <w:pPr>
        <w:pStyle w:val="Bullet"/>
        <w:numPr>
          <w:ilvl w:val="0"/>
          <w:numId w:val="24"/>
        </w:numPr>
        <w:rPr>
          <w:rFonts w:eastAsia="Calibri"/>
        </w:rPr>
      </w:pPr>
      <w:r w:rsidRPr="00B11056">
        <w:rPr>
          <w:rFonts w:eastAsia="Calibri"/>
        </w:rPr>
        <w:t xml:space="preserve">In </w:t>
      </w:r>
      <w:r w:rsidRPr="00B416A9">
        <w:rPr>
          <w:rFonts w:eastAsia="Calibri"/>
        </w:rPr>
        <w:t>your opinion, could the proposed change</w:t>
      </w:r>
      <w:r>
        <w:rPr>
          <w:rFonts w:eastAsia="Calibri"/>
        </w:rPr>
        <w:t xml:space="preserve"> to</w:t>
      </w:r>
      <w:r w:rsidRPr="00B416A9">
        <w:rPr>
          <w:rFonts w:eastAsia="Calibri"/>
        </w:rPr>
        <w:t xml:space="preserve"> regulations impact Māori negatively? If so, what are the impacts? Why might they occur?</w:t>
      </w:r>
    </w:p>
    <w:p w14:paraId="6F197826" w14:textId="77777777" w:rsidR="002C64D4" w:rsidRPr="00544C27" w:rsidRDefault="002C64D4" w:rsidP="002C64D4">
      <w:pPr>
        <w:pStyle w:val="Bullet"/>
        <w:numPr>
          <w:ilvl w:val="0"/>
          <w:numId w:val="0"/>
        </w:numPr>
        <w:ind w:left="397"/>
        <w:rPr>
          <w:rFonts w:eastAsia="Calibri"/>
        </w:rPr>
      </w:pPr>
    </w:p>
    <w:p w14:paraId="3F234164" w14:textId="77777777" w:rsidR="002C64D4" w:rsidRPr="00534EFF" w:rsidRDefault="002C64D4" w:rsidP="002C64D4">
      <w:pPr>
        <w:pStyle w:val="BodyText"/>
        <w:rPr>
          <w:rFonts w:eastAsia="Georgia"/>
        </w:rPr>
      </w:pPr>
      <w:r>
        <w:rPr>
          <w:rFonts w:eastAsia="Georgia"/>
        </w:rPr>
        <w:br w:type="page"/>
      </w:r>
    </w:p>
    <w:p w14:paraId="46906F45" w14:textId="77777777" w:rsidR="002C64D4" w:rsidRPr="009E516F" w:rsidRDefault="002C64D4" w:rsidP="007200A6">
      <w:pPr>
        <w:pStyle w:val="Heading1"/>
      </w:pPr>
      <w:bookmarkStart w:id="28" w:name="_Toc95397074"/>
      <w:r>
        <w:rPr>
          <w:rFonts w:eastAsia="Georgia"/>
        </w:rPr>
        <w:lastRenderedPageBreak/>
        <w:t>2.</w:t>
      </w:r>
      <w:bookmarkEnd w:id="3"/>
      <w:r>
        <w:rPr>
          <w:rFonts w:eastAsia="Georgia"/>
        </w:rPr>
        <w:t xml:space="preserve"> </w:t>
      </w:r>
      <w:r>
        <w:rPr>
          <w:rFonts w:eastAsia="Georgia"/>
        </w:rPr>
        <w:tab/>
        <w:t>Updating the Climate Change (Other Removal Activities) Regulations 2009</w:t>
      </w:r>
      <w:bookmarkEnd w:id="28"/>
    </w:p>
    <w:p w14:paraId="2E099105" w14:textId="77777777" w:rsidR="002C64D4" w:rsidRDefault="002C64D4" w:rsidP="002C64D4">
      <w:pPr>
        <w:pStyle w:val="Heading2"/>
      </w:pPr>
      <w:bookmarkStart w:id="29" w:name="_Toc95397075"/>
      <w:r>
        <w:t>Context</w:t>
      </w:r>
      <w:bookmarkEnd w:id="29"/>
    </w:p>
    <w:p w14:paraId="400D3652" w14:textId="77777777" w:rsidR="002C64D4" w:rsidRDefault="002C64D4" w:rsidP="002C64D4">
      <w:pPr>
        <w:pStyle w:val="BodyText"/>
      </w:pPr>
      <w:r>
        <w:t xml:space="preserve">The Climate Change (Other Removal Activities) Regulations 2009 require persons exporting or destroying hydrofluorocarbons (HFCs) or perfluorocarbons (PFCs) to meet eligibility criteria to receive NZUs. To be eligible to receive NZUs, persons must know if the date of the exported refrigerants imported into New Zealand was on or after 1 January 2013, or to be part of a registered product stewardship scheme. </w:t>
      </w:r>
    </w:p>
    <w:p w14:paraId="55E9C8E5" w14:textId="77777777" w:rsidR="002C64D4" w:rsidRDefault="002C64D4" w:rsidP="002C64D4">
      <w:pPr>
        <w:pStyle w:val="Heading3"/>
      </w:pPr>
      <w:bookmarkStart w:id="30" w:name="_Toc95397076"/>
      <w:r>
        <w:t>Intent of original regulation no longer holds</w:t>
      </w:r>
      <w:bookmarkEnd w:id="30"/>
    </w:p>
    <w:p w14:paraId="04CCE29F" w14:textId="77777777" w:rsidR="002C64D4" w:rsidRDefault="002C64D4" w:rsidP="002C64D4">
      <w:pPr>
        <w:pStyle w:val="BodyText"/>
      </w:pPr>
      <w:r>
        <w:t>This regulation was introduced to stop stockpiling of SGGs for re-export and earning units before the start of NZ ETS coverage. This risk has been mitigated by the passage of time.</w:t>
      </w:r>
    </w:p>
    <w:p w14:paraId="431E90AE" w14:textId="77777777" w:rsidR="002C64D4" w:rsidRDefault="002C64D4" w:rsidP="002C64D4">
      <w:pPr>
        <w:pStyle w:val="Heading3"/>
      </w:pPr>
      <w:bookmarkStart w:id="31" w:name="_Toc95397077"/>
      <w:r>
        <w:t>Product stewardship</w:t>
      </w:r>
      <w:bookmarkEnd w:id="31"/>
    </w:p>
    <w:p w14:paraId="06A12F6B" w14:textId="77777777" w:rsidR="002C64D4" w:rsidRDefault="002C64D4" w:rsidP="002C64D4">
      <w:pPr>
        <w:pStyle w:val="BodyText"/>
      </w:pPr>
      <w:r>
        <w:t>Product stewardship is when a producer, brand owner, importer, retailer or consumer accepts responsibility for reducing a product’s environmental impact.</w:t>
      </w:r>
      <w:r>
        <w:rPr>
          <w:rStyle w:val="FootnoteReference"/>
        </w:rPr>
        <w:footnoteReference w:id="3"/>
      </w:r>
      <w:r>
        <w:t xml:space="preserve"> Product stewardship schemes are co-designed with stakeholders and shift the responsibility for managing the harm of certain products away from communities, councils, neighbourhoods and nature.</w:t>
      </w:r>
    </w:p>
    <w:p w14:paraId="70A4C4EE" w14:textId="77777777" w:rsidR="002C64D4" w:rsidRDefault="002C64D4" w:rsidP="002C64D4">
      <w:pPr>
        <w:pStyle w:val="BodyText"/>
      </w:pPr>
      <w:r>
        <w:t>Only one product stewardship scheme currently exists for HFC and PFC removal activity — The Recovery Trust (Refrigerant Recovery New Zealand). It has been running since 1993, is accredited by the Ministry and reports on its performance to us.</w:t>
      </w:r>
      <w:r>
        <w:rPr>
          <w:rStyle w:val="FootnoteReference"/>
        </w:rPr>
        <w:footnoteReference w:id="4"/>
      </w:r>
      <w:r>
        <w:t xml:space="preserve"> </w:t>
      </w:r>
    </w:p>
    <w:p w14:paraId="7C23CCFA" w14:textId="77777777" w:rsidR="002C64D4" w:rsidRPr="00544C27" w:rsidRDefault="002C64D4" w:rsidP="002C64D4">
      <w:pPr>
        <w:pStyle w:val="Heading2"/>
      </w:pPr>
      <w:bookmarkStart w:id="32" w:name="_Toc95397078"/>
      <w:r>
        <w:rPr>
          <w:rFonts w:eastAsia="Georgia"/>
        </w:rPr>
        <w:t xml:space="preserve">Why update the Climate Change </w:t>
      </w:r>
      <w:r w:rsidRPr="003249F2">
        <w:rPr>
          <w:rFonts w:eastAsia="Georgia"/>
        </w:rPr>
        <w:t>(</w:t>
      </w:r>
      <w:r w:rsidRPr="00544C27">
        <w:rPr>
          <w:rFonts w:eastAsia="Georgia" w:cs="Georgia"/>
          <w:szCs w:val="36"/>
        </w:rPr>
        <w:t>Other Removal Activities) Regulations 2009</w:t>
      </w:r>
      <w:bookmarkEnd w:id="32"/>
    </w:p>
    <w:p w14:paraId="047B9008" w14:textId="77777777" w:rsidR="002C64D4" w:rsidRDefault="002C64D4" w:rsidP="002C64D4">
      <w:pPr>
        <w:pStyle w:val="BodyText"/>
      </w:pPr>
      <w:r>
        <w:t xml:space="preserve">Updating the Climate Change (Other Removal Activities) Regulations 2009 to remove the 2013 date and the product stewardship scheme requirements under Regulation 22 will allow people to receive NZUs for exporting or destroying HFCs and PFCs as a removal activity. This is regardless of when the greenhouse gases were imported or whether they are a member of a product stewardship scheme. </w:t>
      </w:r>
    </w:p>
    <w:p w14:paraId="1351241A" w14:textId="77777777" w:rsidR="002C64D4" w:rsidRDefault="002C64D4" w:rsidP="002C64D4">
      <w:pPr>
        <w:pStyle w:val="BodyText"/>
      </w:pPr>
      <w:r>
        <w:t>This change would take effect in January 2023 and would not be applied retrospectively to pre-2013 HFCs and PFCs exported or destroyed by non-product stewardship scheme members between 2013 and the end of 2022. Non-product stewardship scheme members exporting HFCs and PFCs after the 2013 import date would have already been covered by the current regulations to earn NZUs.</w:t>
      </w:r>
    </w:p>
    <w:p w14:paraId="2AE2BED5" w14:textId="77777777" w:rsidR="002C64D4" w:rsidRDefault="002C64D4" w:rsidP="002C64D4">
      <w:pPr>
        <w:pStyle w:val="BodyText"/>
      </w:pPr>
      <w:r>
        <w:lastRenderedPageBreak/>
        <w:t xml:space="preserve">This can help encourage the export or destruction of potent greenhouse gases, which can in turn help New Zealand meet international climate change obligations and the 2050 target and emissions budgets. This change also has an environmental benefit as it would increase the potential for collection and recycling, or destruction, of these potent greenhouse gases. </w:t>
      </w:r>
    </w:p>
    <w:p w14:paraId="57BFAC7F" w14:textId="77777777" w:rsidR="002C64D4" w:rsidRDefault="002C64D4" w:rsidP="002C64D4">
      <w:pPr>
        <w:pStyle w:val="BodyText"/>
      </w:pPr>
      <w:r>
        <w:t>There is no rationale for removing just one of the eligibility criteria (ie, the import date or participation in a product stewardship scheme) when the objective is to increase the amount of greenhouse gases collected for export or destruction. Multiple criteria allow persons flexibility in achieving eligibility, while mitigating the risks of undesirable outcomes such as opportunities for arbitrage.</w:t>
      </w:r>
    </w:p>
    <w:p w14:paraId="6F496A09" w14:textId="77777777" w:rsidR="002C64D4" w:rsidRPr="00FE58BD" w:rsidRDefault="002C64D4" w:rsidP="002C64D4">
      <w:pPr>
        <w:pStyle w:val="Heading2"/>
        <w:rPr>
          <w:rFonts w:eastAsia="Georgia"/>
        </w:rPr>
      </w:pPr>
      <w:bookmarkStart w:id="33" w:name="_Toc95397079"/>
      <w:r>
        <w:rPr>
          <w:rFonts w:eastAsia="Georgia"/>
        </w:rPr>
        <w:t>Legislative requirements</w:t>
      </w:r>
      <w:r w:rsidRPr="00FE58BD">
        <w:rPr>
          <w:rFonts w:eastAsia="Georgia"/>
        </w:rPr>
        <w:t xml:space="preserve"> for the Climate Change (Other Removal Activities) Regulations 2009</w:t>
      </w:r>
      <w:bookmarkEnd w:id="33"/>
    </w:p>
    <w:p w14:paraId="6E75DCAB" w14:textId="77777777" w:rsidR="002C64D4" w:rsidRDefault="002C64D4" w:rsidP="002C64D4">
      <w:pPr>
        <w:pStyle w:val="BodyText"/>
      </w:pPr>
      <w:r>
        <w:t xml:space="preserve">Schedule 4 Part 2 subpart 3 of the Act allows people exporting or destroying HFCs or PFCs, including those contained in goods, to be a participant under the NZ ETS as they are performing a removal activity. </w:t>
      </w:r>
    </w:p>
    <w:p w14:paraId="3A9F80A3" w14:textId="77777777" w:rsidR="002C64D4" w:rsidRDefault="002C64D4" w:rsidP="002C64D4">
      <w:pPr>
        <w:pStyle w:val="BodyText"/>
      </w:pPr>
      <w:r>
        <w:t>In October 2016, New Zealand joined 196 other countries to adopt the Kigali Amendment to the Montreal Protocol on Substances that Deplete the Ozone Layer.</w:t>
      </w:r>
      <w:r>
        <w:rPr>
          <w:rStyle w:val="FootnoteReference"/>
        </w:rPr>
        <w:footnoteReference w:id="5"/>
      </w:r>
      <w:r>
        <w:t xml:space="preserve"> The Kigali Amendment aims to phase down the production and use of refrigerants that contribute to climate change and are substitutes for ozone-depleting substances. </w:t>
      </w:r>
    </w:p>
    <w:p w14:paraId="1416B214" w14:textId="77777777" w:rsidR="002C64D4" w:rsidRPr="009E516F" w:rsidRDefault="002C64D4" w:rsidP="002C64D4">
      <w:pPr>
        <w:pStyle w:val="Heading2"/>
        <w:rPr>
          <w:rFonts w:eastAsia="Georgia"/>
        </w:rPr>
      </w:pPr>
      <w:bookmarkStart w:id="34" w:name="_Toc95397080"/>
      <w:r w:rsidRPr="003249F2">
        <w:rPr>
          <w:rFonts w:eastAsia="Georgia"/>
        </w:rPr>
        <w:t>O</w:t>
      </w:r>
      <w:r w:rsidRPr="00FE68D7">
        <w:rPr>
          <w:rFonts w:eastAsia="Georgia"/>
        </w:rPr>
        <w:t>ptions</w:t>
      </w:r>
      <w:bookmarkEnd w:id="34"/>
    </w:p>
    <w:p w14:paraId="45BA59F8" w14:textId="77777777" w:rsidR="002C64D4" w:rsidRDefault="002C64D4" w:rsidP="002C64D4">
      <w:pPr>
        <w:pStyle w:val="BodyText"/>
      </w:pPr>
      <w:r>
        <w:t xml:space="preserve">The options for addressing this issue are limited to updating the requirements which prohibit people from participating in the NZ ETS for performing the removal activity of exporting or destroying HFCs or PFCs, including those contained in goods. </w:t>
      </w:r>
    </w:p>
    <w:p w14:paraId="191A5B7C" w14:textId="77777777" w:rsidR="002C64D4" w:rsidRDefault="002C64D4" w:rsidP="002C64D4">
      <w:pPr>
        <w:pStyle w:val="BodyText"/>
      </w:pPr>
      <w:r>
        <w:t>We considered removing only the import date or product stewardship scheme requirements to include as options for this change. However, we assessed the following.</w:t>
      </w:r>
    </w:p>
    <w:p w14:paraId="2334561A" w14:textId="77777777" w:rsidR="002C64D4" w:rsidRPr="00544C27" w:rsidRDefault="002C64D4" w:rsidP="002C64D4">
      <w:pPr>
        <w:pStyle w:val="Bullet"/>
        <w:numPr>
          <w:ilvl w:val="0"/>
          <w:numId w:val="9"/>
        </w:numPr>
      </w:pPr>
      <w:r w:rsidRPr="00544C27">
        <w:t xml:space="preserve">Removing only the 2013 import date requirement from regulations would not work as an option for this change. This removal activity is already valid as part of the </w:t>
      </w:r>
      <w:r>
        <w:t>product stewardship</w:t>
      </w:r>
      <w:r w:rsidRPr="00544C27">
        <w:t xml:space="preserve"> scheme despite the import date criteria. Therefore, only removing the import date is redundant.</w:t>
      </w:r>
    </w:p>
    <w:p w14:paraId="29D7E3CF" w14:textId="77777777" w:rsidR="002C64D4" w:rsidRPr="00544C27" w:rsidRDefault="002C64D4" w:rsidP="002C64D4">
      <w:pPr>
        <w:pStyle w:val="Bullet"/>
        <w:numPr>
          <w:ilvl w:val="0"/>
          <w:numId w:val="9"/>
        </w:numPr>
      </w:pPr>
      <w:r w:rsidRPr="00544C27">
        <w:t xml:space="preserve">Removing only the requirement to be part of a </w:t>
      </w:r>
      <w:r>
        <w:t>product stewardship</w:t>
      </w:r>
      <w:r w:rsidRPr="00576423">
        <w:t xml:space="preserve"> </w:t>
      </w:r>
      <w:r w:rsidRPr="00544C27">
        <w:t xml:space="preserve">scheme would not work as an option for this change. Such a change would mean any pre-2013 SGGs could not be exported or destroyed, as the current </w:t>
      </w:r>
      <w:r>
        <w:t>product stewardship</w:t>
      </w:r>
      <w:r w:rsidRPr="00576423">
        <w:t xml:space="preserve"> </w:t>
      </w:r>
      <w:r w:rsidRPr="00544C27">
        <w:t>scheme covers those.</w:t>
      </w:r>
    </w:p>
    <w:p w14:paraId="5A4B5729" w14:textId="3180763D" w:rsidR="002C64D4" w:rsidRDefault="002C64D4" w:rsidP="002C64D4">
      <w:pPr>
        <w:pStyle w:val="BodyText"/>
      </w:pPr>
      <w:r>
        <w:t xml:space="preserve">As a result of the above, we have assessed one option against the status quo or no regulatory change. </w:t>
      </w:r>
    </w:p>
    <w:p w14:paraId="4228B8F3" w14:textId="3180763D" w:rsidR="002F72C9" w:rsidRDefault="002F72C9">
      <w:pPr>
        <w:rPr>
          <w:rFonts w:ascii="Georgia" w:eastAsia="Georgia" w:hAnsi="Georgia" w:cs="Times New Roman"/>
          <w:b/>
          <w:sz w:val="28"/>
          <w:szCs w:val="28"/>
          <w:lang w:eastAsia="en-NZ"/>
        </w:rPr>
      </w:pPr>
      <w:bookmarkStart w:id="35" w:name="_Toc95397081"/>
      <w:r>
        <w:rPr>
          <w:rFonts w:eastAsia="Georgia"/>
        </w:rPr>
        <w:br w:type="page"/>
      </w:r>
    </w:p>
    <w:p w14:paraId="175BAD5E" w14:textId="77777777" w:rsidR="002C64D4" w:rsidRDefault="002C64D4" w:rsidP="002C64D4">
      <w:pPr>
        <w:pStyle w:val="Heading3"/>
      </w:pPr>
      <w:r>
        <w:rPr>
          <w:rFonts w:eastAsia="Georgia"/>
        </w:rPr>
        <w:lastRenderedPageBreak/>
        <w:t>Option 1: Status quo — no update</w:t>
      </w:r>
      <w:bookmarkEnd w:id="35"/>
    </w:p>
    <w:p w14:paraId="3316B116" w14:textId="77777777" w:rsidR="002C64D4" w:rsidRDefault="002C64D4" w:rsidP="002C64D4">
      <w:pPr>
        <w:pStyle w:val="BodyText"/>
      </w:pPr>
      <w:r>
        <w:t xml:space="preserve">Under this option there will be no change to the Climate Change (Other Removal Activities) Regulations 2009. Only persons that export or destroy HFCs or PFCs that are part of a </w:t>
      </w:r>
      <w:r>
        <w:rPr>
          <w:rFonts w:asciiTheme="minorHAnsi" w:hAnsiTheme="minorHAnsi" w:cstheme="minorHAnsi"/>
        </w:rPr>
        <w:t>product stewardship</w:t>
      </w:r>
      <w:r w:rsidRPr="00576423">
        <w:rPr>
          <w:rFonts w:asciiTheme="minorHAnsi" w:hAnsiTheme="minorHAnsi" w:cstheme="minorHAnsi"/>
        </w:rPr>
        <w:t xml:space="preserve"> </w:t>
      </w:r>
      <w:r>
        <w:t xml:space="preserve">scheme, or remove those which were imported after 2013, can earn NZUs from this removal activity. </w:t>
      </w:r>
    </w:p>
    <w:p w14:paraId="08946CD7" w14:textId="77777777" w:rsidR="002C64D4" w:rsidRDefault="002C64D4" w:rsidP="002C64D4">
      <w:pPr>
        <w:pStyle w:val="Heading3"/>
      </w:pPr>
      <w:bookmarkStart w:id="36" w:name="_Toc95397082"/>
      <w:r>
        <w:t>Option 2: Update the Climate Change (Other Removal Activities) regulations 2009</w:t>
      </w:r>
      <w:bookmarkEnd w:id="36"/>
    </w:p>
    <w:p w14:paraId="41203166" w14:textId="77777777" w:rsidR="002C64D4" w:rsidRDefault="002C64D4" w:rsidP="002C64D4">
      <w:pPr>
        <w:pStyle w:val="BodyText"/>
      </w:pPr>
      <w:r>
        <w:t xml:space="preserve">Under option 2, anyone can receive NZUs for exporting or destroying HFCs or PFCs, including those gases contained in goods. The import date of the HFCs or PFCs would not impact their eligibility to earn NZUs. There would also be no requirement to participate in a </w:t>
      </w:r>
      <w:r>
        <w:rPr>
          <w:rFonts w:asciiTheme="minorHAnsi" w:hAnsiTheme="minorHAnsi" w:cstheme="minorHAnsi"/>
        </w:rPr>
        <w:t>product stewardship</w:t>
      </w:r>
      <w:r w:rsidRPr="00576423">
        <w:rPr>
          <w:rFonts w:asciiTheme="minorHAnsi" w:hAnsiTheme="minorHAnsi" w:cstheme="minorHAnsi"/>
        </w:rPr>
        <w:t xml:space="preserve"> </w:t>
      </w:r>
      <w:r>
        <w:t xml:space="preserve">scheme. </w:t>
      </w:r>
    </w:p>
    <w:p w14:paraId="0B13DFDD" w14:textId="77777777" w:rsidR="002C64D4" w:rsidRDefault="002C64D4" w:rsidP="002C64D4">
      <w:pPr>
        <w:pStyle w:val="BodyText"/>
      </w:pPr>
      <w:r>
        <w:t>This change would take effect in January 2023 and could not be applied retrospectively to pre-2013 HFCs and PFCs which were exported or destroyed by non-product stewardship scheme members between 2013 and the end of 2022. Such activity would have been against the regulations. Non-product stewardship scheme persons exporting HFCs and PFCs imported after the 2013 date would have already been covered by the current regulations to earn NZUs.</w:t>
      </w:r>
    </w:p>
    <w:p w14:paraId="147FD18B" w14:textId="77777777" w:rsidR="002C64D4" w:rsidRDefault="002C64D4" w:rsidP="002C64D4">
      <w:pPr>
        <w:pStyle w:val="Heading3"/>
        <w:rPr>
          <w:szCs w:val="24"/>
        </w:rPr>
      </w:pPr>
      <w:bookmarkStart w:id="37" w:name="_Toc95397083"/>
      <w:r>
        <w:t>Assessing the options</w:t>
      </w:r>
      <w:bookmarkEnd w:id="37"/>
    </w:p>
    <w:p w14:paraId="06967414" w14:textId="5F6DC8F5" w:rsidR="002C64D4" w:rsidRDefault="002C64D4" w:rsidP="002C64D4">
      <w:pPr>
        <w:pStyle w:val="BodyText"/>
      </w:pPr>
      <w:r>
        <w:t xml:space="preserve">Table 3 assesses the status quo against the criteria on page 9, and option 2 against those same criteria and the status quo. We think the most important criterion for this decision is alignment with the NZ ETS objectives. </w:t>
      </w:r>
    </w:p>
    <w:p w14:paraId="13E2B377" w14:textId="5F6DC8F5" w:rsidR="002F72C9" w:rsidRDefault="002F72C9">
      <w:pPr>
        <w:rPr>
          <w:rFonts w:ascii="Calibri" w:eastAsia="Times New Roman" w:hAnsi="Calibri" w:cs="Times New Roman"/>
          <w:b/>
          <w:color w:val="000000" w:themeColor="text1"/>
          <w:sz w:val="20"/>
          <w:szCs w:val="20"/>
          <w:lang w:eastAsia="en-NZ"/>
        </w:rPr>
      </w:pPr>
      <w:r>
        <w:br w:type="page"/>
      </w:r>
    </w:p>
    <w:p w14:paraId="54EFC7AE" w14:textId="77777777" w:rsidR="002C64D4" w:rsidRPr="00D6774D" w:rsidRDefault="002C64D4" w:rsidP="002C64D4">
      <w:pPr>
        <w:pStyle w:val="Tableheading"/>
      </w:pPr>
      <w:r w:rsidRPr="00D6774D">
        <w:lastRenderedPageBreak/>
        <w:t xml:space="preserve">Table 3: Assessing option 2 against </w:t>
      </w:r>
      <w:r>
        <w:t xml:space="preserve">the </w:t>
      </w:r>
      <w:r w:rsidRPr="00D6774D">
        <w:t xml:space="preserve">status quo </w:t>
      </w:r>
    </w:p>
    <w:tbl>
      <w:tblPr>
        <w:tblW w:w="0" w:type="auto"/>
        <w:tblInd w:w="11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588"/>
        <w:gridCol w:w="1970"/>
        <w:gridCol w:w="1780"/>
        <w:gridCol w:w="1788"/>
        <w:gridCol w:w="1787"/>
      </w:tblGrid>
      <w:tr w:rsidR="002C64D4" w:rsidRPr="007120EE" w14:paraId="196AEBA6" w14:textId="77777777" w:rsidTr="002F72C9">
        <w:tc>
          <w:tcPr>
            <w:tcW w:w="1588" w:type="dxa"/>
            <w:shd w:val="clear" w:color="auto" w:fill="1B556B"/>
            <w:hideMark/>
          </w:tcPr>
          <w:p w14:paraId="0DCC42B1"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Option</w:t>
            </w:r>
          </w:p>
        </w:tc>
        <w:tc>
          <w:tcPr>
            <w:tcW w:w="1970" w:type="dxa"/>
            <w:shd w:val="clear" w:color="auto" w:fill="1B556B"/>
            <w:hideMark/>
          </w:tcPr>
          <w:p w14:paraId="70274A07"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 xml:space="preserve">Alignment </w:t>
            </w:r>
          </w:p>
        </w:tc>
        <w:tc>
          <w:tcPr>
            <w:tcW w:w="1780" w:type="dxa"/>
            <w:shd w:val="clear" w:color="auto" w:fill="1B556B"/>
            <w:hideMark/>
          </w:tcPr>
          <w:p w14:paraId="2E4FE48E"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Accuracy</w:t>
            </w:r>
          </w:p>
        </w:tc>
        <w:tc>
          <w:tcPr>
            <w:tcW w:w="1788" w:type="dxa"/>
            <w:shd w:val="clear" w:color="auto" w:fill="1B556B"/>
            <w:hideMark/>
          </w:tcPr>
          <w:p w14:paraId="49FFF8B9"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 xml:space="preserve">Efficiency </w:t>
            </w:r>
          </w:p>
        </w:tc>
        <w:tc>
          <w:tcPr>
            <w:tcW w:w="1787" w:type="dxa"/>
            <w:shd w:val="clear" w:color="auto" w:fill="1B556B"/>
            <w:hideMark/>
          </w:tcPr>
          <w:p w14:paraId="7BF5A293"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 xml:space="preserve">Clarity </w:t>
            </w:r>
          </w:p>
        </w:tc>
      </w:tr>
      <w:tr w:rsidR="002C64D4" w:rsidRPr="00BD3FAA" w14:paraId="6D5AD7FC" w14:textId="77777777" w:rsidTr="0071696F">
        <w:trPr>
          <w:trHeight w:val="975"/>
        </w:trPr>
        <w:tc>
          <w:tcPr>
            <w:tcW w:w="1588" w:type="dxa"/>
            <w:tcBorders>
              <w:bottom w:val="single" w:sz="4" w:space="0" w:color="1C556C"/>
            </w:tcBorders>
          </w:tcPr>
          <w:p w14:paraId="35DEF7BA" w14:textId="668677E9" w:rsidR="002C64D4" w:rsidRPr="00BD3FAA" w:rsidRDefault="002C64D4" w:rsidP="00BD3FAA">
            <w:pPr>
              <w:pStyle w:val="TableText"/>
              <w:rPr>
                <w:sz w:val="20"/>
                <w:szCs w:val="20"/>
              </w:rPr>
            </w:pPr>
            <w:r w:rsidRPr="00BD3FAA">
              <w:rPr>
                <w:sz w:val="20"/>
                <w:szCs w:val="20"/>
              </w:rPr>
              <w:t xml:space="preserve">Option 1 </w:t>
            </w:r>
            <w:r w:rsidR="00A40DC9" w:rsidRPr="00BD3FAA">
              <w:rPr>
                <w:sz w:val="20"/>
                <w:szCs w:val="20"/>
              </w:rPr>
              <w:t>–</w:t>
            </w:r>
            <w:r w:rsidRPr="00BD3FAA">
              <w:rPr>
                <w:sz w:val="20"/>
                <w:szCs w:val="20"/>
              </w:rPr>
              <w:t xml:space="preserve"> Status quo</w:t>
            </w:r>
          </w:p>
        </w:tc>
        <w:tc>
          <w:tcPr>
            <w:tcW w:w="1970" w:type="dxa"/>
            <w:tcBorders>
              <w:bottom w:val="single" w:sz="4" w:space="0" w:color="1C556C"/>
            </w:tcBorders>
          </w:tcPr>
          <w:p w14:paraId="45D26BCB" w14:textId="77777777" w:rsidR="002C64D4" w:rsidRPr="00BD3FAA" w:rsidRDefault="002C64D4" w:rsidP="00BD3FAA">
            <w:pPr>
              <w:pStyle w:val="TableText"/>
              <w:rPr>
                <w:sz w:val="20"/>
                <w:szCs w:val="20"/>
              </w:rPr>
            </w:pPr>
            <w:r w:rsidRPr="00BD3FAA">
              <w:rPr>
                <w:sz w:val="20"/>
                <w:szCs w:val="20"/>
              </w:rPr>
              <w:t>Poor – does not encourage increased participation in the removal of the activity, limiting opportunities to meet 2050 emissions target goals and international agreements to which New Zealand is a party.</w:t>
            </w:r>
          </w:p>
        </w:tc>
        <w:tc>
          <w:tcPr>
            <w:tcW w:w="1780" w:type="dxa"/>
            <w:tcBorders>
              <w:bottom w:val="single" w:sz="4" w:space="0" w:color="1C556C"/>
            </w:tcBorders>
          </w:tcPr>
          <w:p w14:paraId="347E20B1" w14:textId="77777777" w:rsidR="002C64D4" w:rsidRPr="00BD3FAA" w:rsidRDefault="002C64D4" w:rsidP="00BD3FAA">
            <w:pPr>
              <w:pStyle w:val="TableText"/>
              <w:rPr>
                <w:sz w:val="20"/>
                <w:szCs w:val="20"/>
              </w:rPr>
            </w:pPr>
            <w:r w:rsidRPr="00BD3FAA">
              <w:rPr>
                <w:sz w:val="20"/>
                <w:szCs w:val="20"/>
              </w:rPr>
              <w:t>No change – no impacts on measuring emissions.</w:t>
            </w:r>
          </w:p>
        </w:tc>
        <w:tc>
          <w:tcPr>
            <w:tcW w:w="1788" w:type="dxa"/>
            <w:tcBorders>
              <w:bottom w:val="single" w:sz="4" w:space="0" w:color="1C556C"/>
            </w:tcBorders>
          </w:tcPr>
          <w:p w14:paraId="65B8E6E3" w14:textId="77777777" w:rsidR="002C64D4" w:rsidRPr="00BD3FAA" w:rsidRDefault="002C64D4" w:rsidP="00BD3FAA">
            <w:pPr>
              <w:pStyle w:val="TableText"/>
              <w:rPr>
                <w:sz w:val="20"/>
                <w:szCs w:val="20"/>
              </w:rPr>
            </w:pPr>
            <w:r w:rsidRPr="00BD3FAA">
              <w:rPr>
                <w:sz w:val="20"/>
                <w:szCs w:val="20"/>
              </w:rPr>
              <w:t>Poor – maintains administrative burdens on disposal processes and discourages people from participating in the removal activity.</w:t>
            </w:r>
          </w:p>
        </w:tc>
        <w:tc>
          <w:tcPr>
            <w:tcW w:w="1787" w:type="dxa"/>
            <w:tcBorders>
              <w:bottom w:val="single" w:sz="4" w:space="0" w:color="1C556C"/>
            </w:tcBorders>
          </w:tcPr>
          <w:p w14:paraId="017E8256" w14:textId="77777777" w:rsidR="002C64D4" w:rsidRPr="00BD3FAA" w:rsidRDefault="002C64D4" w:rsidP="00BD3FAA">
            <w:pPr>
              <w:pStyle w:val="TableText"/>
              <w:rPr>
                <w:sz w:val="20"/>
                <w:szCs w:val="20"/>
              </w:rPr>
            </w:pPr>
            <w:r w:rsidRPr="00BD3FAA">
              <w:rPr>
                <w:sz w:val="20"/>
                <w:szCs w:val="20"/>
              </w:rPr>
              <w:t>Good – current regulations are unambiguous and consistent.</w:t>
            </w:r>
          </w:p>
        </w:tc>
      </w:tr>
      <w:tr w:rsidR="002C64D4" w:rsidRPr="00BD3FAA" w14:paraId="591E1F8A" w14:textId="77777777" w:rsidTr="002F72C9">
        <w:trPr>
          <w:trHeight w:val="975"/>
        </w:trPr>
        <w:tc>
          <w:tcPr>
            <w:tcW w:w="1588" w:type="dxa"/>
            <w:hideMark/>
          </w:tcPr>
          <w:p w14:paraId="511CC7F9" w14:textId="77777777" w:rsidR="002C64D4" w:rsidRPr="00BD3FAA" w:rsidRDefault="002C64D4" w:rsidP="00BD3FAA">
            <w:pPr>
              <w:pStyle w:val="TableText"/>
              <w:rPr>
                <w:sz w:val="20"/>
                <w:szCs w:val="20"/>
              </w:rPr>
            </w:pPr>
            <w:r w:rsidRPr="00BD3FAA">
              <w:rPr>
                <w:sz w:val="20"/>
                <w:szCs w:val="20"/>
              </w:rPr>
              <w:t>Option 2</w:t>
            </w:r>
          </w:p>
        </w:tc>
        <w:tc>
          <w:tcPr>
            <w:tcW w:w="1970" w:type="dxa"/>
            <w:hideMark/>
          </w:tcPr>
          <w:p w14:paraId="5830705A" w14:textId="77777777" w:rsidR="002C64D4" w:rsidRPr="00BD3FAA" w:rsidRDefault="002C64D4" w:rsidP="00BD3FAA">
            <w:pPr>
              <w:pStyle w:val="TableText"/>
              <w:rPr>
                <w:sz w:val="20"/>
                <w:szCs w:val="20"/>
              </w:rPr>
            </w:pPr>
            <w:r w:rsidRPr="00BD3FAA">
              <w:rPr>
                <w:sz w:val="20"/>
                <w:szCs w:val="20"/>
              </w:rPr>
              <w:t>Good – aligns with 2050 emissions target goals and international agreements to which New Zealand is a party. Could support the introduction of novel technology and new companies to this removal activity, potentially accelerating the timeframes for meeting those emission targets.</w:t>
            </w:r>
          </w:p>
        </w:tc>
        <w:tc>
          <w:tcPr>
            <w:tcW w:w="1780" w:type="dxa"/>
            <w:hideMark/>
          </w:tcPr>
          <w:p w14:paraId="5552FED1" w14:textId="77777777" w:rsidR="002C64D4" w:rsidRPr="00BD3FAA" w:rsidRDefault="002C64D4" w:rsidP="00BD3FAA">
            <w:pPr>
              <w:pStyle w:val="TableText"/>
              <w:rPr>
                <w:sz w:val="20"/>
                <w:szCs w:val="20"/>
              </w:rPr>
            </w:pPr>
            <w:r w:rsidRPr="00BD3FAA">
              <w:rPr>
                <w:sz w:val="20"/>
                <w:szCs w:val="20"/>
              </w:rPr>
              <w:t>No change – no impacts on measuring emissions.</w:t>
            </w:r>
          </w:p>
        </w:tc>
        <w:tc>
          <w:tcPr>
            <w:tcW w:w="1788" w:type="dxa"/>
            <w:hideMark/>
          </w:tcPr>
          <w:p w14:paraId="6C0674C2" w14:textId="77777777" w:rsidR="002C64D4" w:rsidRPr="00BD3FAA" w:rsidRDefault="002C64D4" w:rsidP="00BD3FAA">
            <w:pPr>
              <w:pStyle w:val="TableText"/>
              <w:rPr>
                <w:sz w:val="20"/>
                <w:szCs w:val="20"/>
              </w:rPr>
            </w:pPr>
            <w:r w:rsidRPr="00BD3FAA">
              <w:rPr>
                <w:sz w:val="20"/>
                <w:szCs w:val="20"/>
              </w:rPr>
              <w:t xml:space="preserve">Good – reduces administrative burdens from disposal processes. Removes barriers to persons wanting to participate in the removal activity. </w:t>
            </w:r>
          </w:p>
        </w:tc>
        <w:tc>
          <w:tcPr>
            <w:tcW w:w="1787" w:type="dxa"/>
            <w:hideMark/>
          </w:tcPr>
          <w:p w14:paraId="4EBA38B4" w14:textId="77777777" w:rsidR="002C64D4" w:rsidRPr="00BD3FAA" w:rsidRDefault="002C64D4" w:rsidP="00BD3FAA">
            <w:pPr>
              <w:pStyle w:val="TableText"/>
              <w:rPr>
                <w:sz w:val="20"/>
                <w:szCs w:val="20"/>
              </w:rPr>
            </w:pPr>
            <w:r w:rsidRPr="00BD3FAA">
              <w:rPr>
                <w:sz w:val="20"/>
                <w:szCs w:val="20"/>
              </w:rPr>
              <w:t>Good – by removing criteria, the clarity of who can participate becomes clearer. Clarity of purpose in the regulation is compounded by this, as there are less technical requirements to participate in the removal activity.</w:t>
            </w:r>
          </w:p>
        </w:tc>
      </w:tr>
    </w:tbl>
    <w:p w14:paraId="73ACDC47" w14:textId="77777777" w:rsidR="002C64D4" w:rsidRDefault="002C64D4" w:rsidP="002C64D4">
      <w:pPr>
        <w:pStyle w:val="Heading2"/>
        <w:rPr>
          <w:rFonts w:eastAsia="Georgia"/>
        </w:rPr>
      </w:pPr>
      <w:bookmarkStart w:id="38" w:name="_Toc95397084"/>
      <w:r>
        <w:rPr>
          <w:rFonts w:eastAsia="Georgia"/>
        </w:rPr>
        <w:t>Analysis</w:t>
      </w:r>
      <w:bookmarkEnd w:id="38"/>
    </w:p>
    <w:p w14:paraId="498B8641" w14:textId="77777777" w:rsidR="002C64D4" w:rsidRDefault="002C64D4" w:rsidP="002C64D4">
      <w:pPr>
        <w:pStyle w:val="Heading3"/>
      </w:pPr>
      <w:bookmarkStart w:id="39" w:name="_Toc95397085"/>
      <w:r>
        <w:t>Who would be affected by updating the Climate Change (Other Removal Activities) Regulations 2009?</w:t>
      </w:r>
      <w:bookmarkEnd w:id="39"/>
    </w:p>
    <w:p w14:paraId="08AA4C33" w14:textId="77777777" w:rsidR="002C64D4" w:rsidRPr="000A38B1" w:rsidRDefault="002C64D4" w:rsidP="002C64D4">
      <w:pPr>
        <w:pStyle w:val="Bullet"/>
        <w:numPr>
          <w:ilvl w:val="0"/>
          <w:numId w:val="10"/>
        </w:numPr>
        <w:spacing w:before="120"/>
        <w:ind w:left="357" w:hanging="357"/>
        <w:rPr>
          <w:rFonts w:eastAsia="Calibri"/>
          <w:color w:val="000000" w:themeColor="text1"/>
        </w:rPr>
      </w:pPr>
      <w:r>
        <w:t>People</w:t>
      </w:r>
      <w:r w:rsidRPr="000A38B1">
        <w:t xml:space="preserve"> wanting to collect HFCs</w:t>
      </w:r>
      <w:r w:rsidRPr="000A38B1">
        <w:rPr>
          <w:rFonts w:eastAsia="Calibri"/>
          <w:color w:val="000000" w:themeColor="text1"/>
        </w:rPr>
        <w:t xml:space="preserve"> or PFCs for </w:t>
      </w:r>
      <w:r w:rsidRPr="000A38B1">
        <w:t>export or destruction</w:t>
      </w:r>
      <w:r w:rsidRPr="000A38B1">
        <w:rPr>
          <w:rFonts w:eastAsia="Calibri"/>
          <w:color w:val="000000" w:themeColor="text1"/>
        </w:rPr>
        <w:t>.</w:t>
      </w:r>
    </w:p>
    <w:p w14:paraId="0839F92D" w14:textId="77777777" w:rsidR="002C64D4" w:rsidRPr="000A38B1" w:rsidRDefault="002C64D4" w:rsidP="002C64D4">
      <w:pPr>
        <w:pStyle w:val="Bullet"/>
        <w:numPr>
          <w:ilvl w:val="0"/>
          <w:numId w:val="10"/>
        </w:numPr>
        <w:rPr>
          <w:rFonts w:eastAsia="Calibri"/>
        </w:rPr>
      </w:pPr>
      <w:r w:rsidRPr="000A38B1">
        <w:rPr>
          <w:rFonts w:eastAsia="Calibri"/>
        </w:rPr>
        <w:t xml:space="preserve">Product </w:t>
      </w:r>
      <w:r>
        <w:rPr>
          <w:rFonts w:eastAsia="Calibri"/>
        </w:rPr>
        <w:t>s</w:t>
      </w:r>
      <w:r w:rsidRPr="000A38B1">
        <w:rPr>
          <w:rFonts w:eastAsia="Calibri"/>
        </w:rPr>
        <w:t xml:space="preserve">tewardship </w:t>
      </w:r>
      <w:r>
        <w:rPr>
          <w:rFonts w:eastAsia="Calibri"/>
        </w:rPr>
        <w:t>s</w:t>
      </w:r>
      <w:r w:rsidRPr="000A38B1">
        <w:rPr>
          <w:rFonts w:eastAsia="Calibri"/>
        </w:rPr>
        <w:t xml:space="preserve">cheme administrators and participants, in particular </w:t>
      </w:r>
      <w:r w:rsidRPr="000A38B1">
        <w:t>Refrigerant Recovery New Zealand (</w:t>
      </w:r>
      <w:r w:rsidRPr="000A38B1">
        <w:rPr>
          <w:rFonts w:eastAsia="Calibri"/>
        </w:rPr>
        <w:t xml:space="preserve">the </w:t>
      </w:r>
      <w:r w:rsidRPr="000A38B1">
        <w:t>Recovery Trust) and its members.</w:t>
      </w:r>
    </w:p>
    <w:p w14:paraId="3318F31D" w14:textId="77777777" w:rsidR="002C64D4" w:rsidRDefault="002C64D4" w:rsidP="002C64D4">
      <w:pPr>
        <w:pStyle w:val="Heading2"/>
        <w:rPr>
          <w:rFonts w:eastAsia="Georgia"/>
          <w:sz w:val="32"/>
          <w:szCs w:val="32"/>
        </w:rPr>
      </w:pPr>
      <w:bookmarkStart w:id="40" w:name="_Toc95397086"/>
      <w:r>
        <w:rPr>
          <w:rFonts w:eastAsia="Georgia"/>
        </w:rPr>
        <w:t>Impacts</w:t>
      </w:r>
      <w:bookmarkEnd w:id="40"/>
    </w:p>
    <w:p w14:paraId="5F33691D" w14:textId="77777777" w:rsidR="002C64D4" w:rsidRDefault="002C64D4" w:rsidP="002C64D4">
      <w:pPr>
        <w:pStyle w:val="BodyText"/>
        <w:rPr>
          <w:rFonts w:eastAsia="Calibri"/>
        </w:rPr>
      </w:pPr>
      <w:r>
        <w:t xml:space="preserve">Updating the Climate Change (Other Removal Activities) Regulations 2009 to remove the 2013 import date and </w:t>
      </w:r>
      <w:r>
        <w:rPr>
          <w:rFonts w:asciiTheme="minorHAnsi" w:eastAsia="Calibri" w:hAnsiTheme="minorHAnsi" w:cstheme="minorHAnsi"/>
          <w:color w:val="000000" w:themeColor="text1"/>
        </w:rPr>
        <w:t>p</w:t>
      </w:r>
      <w:r w:rsidRPr="00576423">
        <w:rPr>
          <w:rFonts w:asciiTheme="minorHAnsi" w:eastAsia="Calibri" w:hAnsiTheme="minorHAnsi" w:cstheme="minorHAnsi"/>
          <w:color w:val="000000" w:themeColor="text1"/>
        </w:rPr>
        <w:t xml:space="preserve">roduct </w:t>
      </w:r>
      <w:r>
        <w:rPr>
          <w:rFonts w:asciiTheme="minorHAnsi" w:eastAsia="Calibri" w:hAnsiTheme="minorHAnsi" w:cstheme="minorHAnsi"/>
          <w:color w:val="000000" w:themeColor="text1"/>
        </w:rPr>
        <w:t>s</w:t>
      </w:r>
      <w:r w:rsidRPr="00576423">
        <w:rPr>
          <w:rFonts w:asciiTheme="minorHAnsi" w:eastAsia="Calibri" w:hAnsiTheme="minorHAnsi" w:cstheme="minorHAnsi"/>
          <w:color w:val="000000" w:themeColor="text1"/>
        </w:rPr>
        <w:t xml:space="preserve">tewardship </w:t>
      </w:r>
      <w:r>
        <w:t>scheme requirements will motivate people to collect HFCs or PFCs for export or destruction. This could contribute towards the Paris Agreement’s objective of keeping the global temperature rise “well below” 2 degrees Celsius. It is also in line with commitments made under the Kigali Amendment.</w:t>
      </w:r>
    </w:p>
    <w:p w14:paraId="5254659C" w14:textId="77777777" w:rsidR="002C64D4" w:rsidRDefault="002C64D4" w:rsidP="002C64D4">
      <w:pPr>
        <w:pStyle w:val="BodyText"/>
      </w:pPr>
      <w:r>
        <w:lastRenderedPageBreak/>
        <w:t xml:space="preserve">Removing the </w:t>
      </w:r>
      <w:r>
        <w:rPr>
          <w:rFonts w:asciiTheme="minorHAnsi" w:eastAsia="Calibri" w:hAnsiTheme="minorHAnsi" w:cstheme="minorHAnsi"/>
          <w:color w:val="000000" w:themeColor="text1"/>
        </w:rPr>
        <w:t>p</w:t>
      </w:r>
      <w:r w:rsidRPr="00576423">
        <w:rPr>
          <w:rFonts w:asciiTheme="minorHAnsi" w:eastAsia="Calibri" w:hAnsiTheme="minorHAnsi" w:cstheme="minorHAnsi"/>
          <w:color w:val="000000" w:themeColor="text1"/>
        </w:rPr>
        <w:t xml:space="preserve">roduct </w:t>
      </w:r>
      <w:r>
        <w:rPr>
          <w:rFonts w:asciiTheme="minorHAnsi" w:eastAsia="Calibri" w:hAnsiTheme="minorHAnsi" w:cstheme="minorHAnsi"/>
          <w:color w:val="000000" w:themeColor="text1"/>
        </w:rPr>
        <w:t>s</w:t>
      </w:r>
      <w:r w:rsidRPr="00576423">
        <w:rPr>
          <w:rFonts w:asciiTheme="minorHAnsi" w:eastAsia="Calibri" w:hAnsiTheme="minorHAnsi" w:cstheme="minorHAnsi"/>
          <w:color w:val="000000" w:themeColor="text1"/>
        </w:rPr>
        <w:t xml:space="preserve">tewardship </w:t>
      </w:r>
      <w:r>
        <w:t xml:space="preserve">scheme requirements is unlikely to increase the risk of undesirable environmental outcomes, given the regulations already allow people to be considered eligible removal participants if they can show the HFCs or PFCs exported or destroyed were imported after 1 January 2013. </w:t>
      </w:r>
    </w:p>
    <w:p w14:paraId="0ACAF6FA" w14:textId="77777777" w:rsidR="002C64D4" w:rsidRDefault="002C64D4" w:rsidP="002C64D4">
      <w:pPr>
        <w:pStyle w:val="BodyText"/>
      </w:pPr>
      <w:r>
        <w:t>Additionally, this change in regulations would allow people to earn NZUs if a facility for destroying HFC and PFC gases was built in New Zealand, because the regulation would continue to classify the activity as a removal if that person exported or destroyed the gases.</w:t>
      </w:r>
    </w:p>
    <w:p w14:paraId="27719E7A" w14:textId="77777777" w:rsidR="002C64D4" w:rsidRDefault="002C64D4" w:rsidP="002C64D4">
      <w:pPr>
        <w:pStyle w:val="Heading3"/>
      </w:pPr>
      <w:bookmarkStart w:id="41" w:name="_Toc95397087"/>
      <w:r>
        <w:t>Possible impacts on Refrigerant Recovery New Zealand</w:t>
      </w:r>
      <w:bookmarkEnd w:id="41"/>
    </w:p>
    <w:p w14:paraId="4CD97700" w14:textId="77777777" w:rsidR="002C64D4" w:rsidRDefault="002C64D4" w:rsidP="002C64D4">
      <w:pPr>
        <w:pStyle w:val="BodyText"/>
      </w:pPr>
      <w:r>
        <w:t xml:space="preserve">The Recovery Trust is New Zealand’s only </w:t>
      </w:r>
      <w:r>
        <w:rPr>
          <w:rFonts w:asciiTheme="minorHAnsi" w:eastAsia="Calibri" w:hAnsiTheme="minorHAnsi" w:cstheme="minorHAnsi"/>
          <w:color w:val="000000" w:themeColor="text1"/>
        </w:rPr>
        <w:t>p</w:t>
      </w:r>
      <w:r w:rsidRPr="00576423">
        <w:rPr>
          <w:rFonts w:asciiTheme="minorHAnsi" w:eastAsia="Calibri" w:hAnsiTheme="minorHAnsi" w:cstheme="minorHAnsi"/>
          <w:color w:val="000000" w:themeColor="text1"/>
        </w:rPr>
        <w:t xml:space="preserve">roduct </w:t>
      </w:r>
      <w:r>
        <w:rPr>
          <w:rFonts w:asciiTheme="minorHAnsi" w:eastAsia="Calibri" w:hAnsiTheme="minorHAnsi" w:cstheme="minorHAnsi"/>
          <w:color w:val="000000" w:themeColor="text1"/>
        </w:rPr>
        <w:t>s</w:t>
      </w:r>
      <w:r w:rsidRPr="00576423">
        <w:rPr>
          <w:rFonts w:asciiTheme="minorHAnsi" w:eastAsia="Calibri" w:hAnsiTheme="minorHAnsi" w:cstheme="minorHAnsi"/>
          <w:color w:val="000000" w:themeColor="text1"/>
        </w:rPr>
        <w:t xml:space="preserve">tewardship </w:t>
      </w:r>
      <w:r>
        <w:t xml:space="preserve">scheme for HFC and PFC removal activity and is a not-for-profit organisation. </w:t>
      </w:r>
      <w:r>
        <w:rPr>
          <w:rFonts w:eastAsia="Georgia"/>
        </w:rPr>
        <w:t xml:space="preserve">The </w:t>
      </w:r>
      <w:r>
        <w:t xml:space="preserve">Trust ensures the HFCs and PFCs are both removed from New Zealand as well as permanently from circulation in the global market. Implementing option 2 would not require the safe disposal of gases, only that they were either exported or destroyed. </w:t>
      </w:r>
    </w:p>
    <w:p w14:paraId="4DB71C2E" w14:textId="77777777" w:rsidR="002C64D4" w:rsidRDefault="002C64D4" w:rsidP="002C64D4">
      <w:pPr>
        <w:pStyle w:val="BodyText"/>
      </w:pPr>
      <w:r>
        <w:t>The Recovery Trust will likely be impacted financially if option 2 is implemented. The Trust finances their activities using NZUs they earn, as well as a voluntary advanced disposal fee paid by importers of bulk refrigerants. If the Trust needs to compete with for-profit entities undertaking the same removal activity, a mandatory fee may need to be introduced to help cover costs.</w:t>
      </w:r>
    </w:p>
    <w:p w14:paraId="04C1011B" w14:textId="77777777" w:rsidR="002C64D4" w:rsidRDefault="002C64D4" w:rsidP="002C64D4">
      <w:pPr>
        <w:pStyle w:val="Heading2"/>
      </w:pPr>
      <w:bookmarkStart w:id="42" w:name="_Toc95397088"/>
      <w:r>
        <w:rPr>
          <w:rFonts w:eastAsia="Georgia"/>
        </w:rPr>
        <w:t>Your views</w:t>
      </w:r>
      <w:bookmarkEnd w:id="42"/>
    </w:p>
    <w:p w14:paraId="7B542DF7" w14:textId="77777777" w:rsidR="002C64D4" w:rsidRDefault="002C64D4" w:rsidP="002C64D4">
      <w:pPr>
        <w:pStyle w:val="BodyText"/>
      </w:pPr>
      <w:r>
        <w:t xml:space="preserve">We are seeking your feedback on: </w:t>
      </w:r>
    </w:p>
    <w:p w14:paraId="67744FAB" w14:textId="77777777" w:rsidR="002C64D4" w:rsidRPr="000A38B1" w:rsidRDefault="002C64D4" w:rsidP="002C64D4">
      <w:pPr>
        <w:pStyle w:val="Bullet"/>
        <w:numPr>
          <w:ilvl w:val="0"/>
          <w:numId w:val="11"/>
        </w:numPr>
        <w:rPr>
          <w:rFonts w:eastAsia="Calibri"/>
        </w:rPr>
      </w:pPr>
      <w:r w:rsidRPr="000A38B1">
        <w:t xml:space="preserve">the option to update the Climate Change (Other Removal Activities) Regulations 2009 to remove the 2013 date and the </w:t>
      </w:r>
      <w:r>
        <w:rPr>
          <w:rFonts w:eastAsia="Calibri"/>
          <w:color w:val="000000" w:themeColor="text1"/>
        </w:rPr>
        <w:t>p</w:t>
      </w:r>
      <w:r w:rsidRPr="00576423">
        <w:rPr>
          <w:rFonts w:eastAsia="Calibri"/>
          <w:color w:val="000000" w:themeColor="text1"/>
        </w:rPr>
        <w:t xml:space="preserve">roduct </w:t>
      </w:r>
      <w:r>
        <w:rPr>
          <w:rFonts w:eastAsia="Calibri"/>
          <w:color w:val="000000" w:themeColor="text1"/>
        </w:rPr>
        <w:t>s</w:t>
      </w:r>
      <w:r w:rsidRPr="00576423">
        <w:rPr>
          <w:rFonts w:eastAsia="Calibri"/>
          <w:color w:val="000000" w:themeColor="text1"/>
        </w:rPr>
        <w:t xml:space="preserve">tewardship </w:t>
      </w:r>
      <w:r>
        <w:t>s</w:t>
      </w:r>
      <w:r w:rsidRPr="000A38B1">
        <w:t xml:space="preserve">cheme participation requirements </w:t>
      </w:r>
    </w:p>
    <w:p w14:paraId="74214589" w14:textId="77777777" w:rsidR="002C64D4" w:rsidRPr="000A38B1" w:rsidRDefault="002C64D4" w:rsidP="002C64D4">
      <w:pPr>
        <w:pStyle w:val="Bullet"/>
        <w:numPr>
          <w:ilvl w:val="0"/>
          <w:numId w:val="11"/>
        </w:numPr>
      </w:pPr>
      <w:r w:rsidRPr="000A38B1">
        <w:t>our assessment against the criteria in table 3, including whether you think any criteria should be given more weight than others.</w:t>
      </w:r>
    </w:p>
    <w:p w14:paraId="3B75809F" w14:textId="77777777" w:rsidR="002C64D4" w:rsidRDefault="002C64D4" w:rsidP="002C64D4">
      <w:pPr>
        <w:pStyle w:val="Heading2"/>
        <w:rPr>
          <w:rFonts w:eastAsia="Georgia" w:cs="Georgia"/>
          <w:b w:val="0"/>
          <w:color w:val="1C556C"/>
          <w:szCs w:val="36"/>
        </w:rPr>
      </w:pPr>
      <w:bookmarkStart w:id="43" w:name="_Toc95397089"/>
      <w:r>
        <w:rPr>
          <w:rFonts w:eastAsia="Georgia"/>
        </w:rPr>
        <w:t>Questions</w:t>
      </w:r>
      <w:bookmarkEnd w:id="43"/>
    </w:p>
    <w:p w14:paraId="25D42450" w14:textId="77777777" w:rsidR="002C64D4" w:rsidRPr="000A38B1" w:rsidRDefault="002C64D4" w:rsidP="002C64D4">
      <w:pPr>
        <w:pStyle w:val="Bullet"/>
        <w:numPr>
          <w:ilvl w:val="0"/>
          <w:numId w:val="24"/>
        </w:numPr>
        <w:spacing w:before="120"/>
        <w:rPr>
          <w:rFonts w:eastAsia="Calibri"/>
          <w:szCs w:val="20"/>
        </w:rPr>
      </w:pPr>
      <w:r w:rsidRPr="000A38B1">
        <w:t xml:space="preserve">To what extent do you agree with the way we have described the issue? Please explain any additional aspects of the problem you think we should consider. </w:t>
      </w:r>
    </w:p>
    <w:p w14:paraId="5681CEA7" w14:textId="77777777" w:rsidR="002C64D4" w:rsidRDefault="002C64D4" w:rsidP="002C64D4">
      <w:pPr>
        <w:pStyle w:val="Bullet"/>
        <w:numPr>
          <w:ilvl w:val="0"/>
          <w:numId w:val="24"/>
        </w:numPr>
      </w:pPr>
      <w:r w:rsidRPr="000A38B1">
        <w:t>Do you agree that the option outlined in this consultation document is the correct one to consider? If not, why not?</w:t>
      </w:r>
    </w:p>
    <w:p w14:paraId="4CE1C258" w14:textId="66D719F5" w:rsidR="002C64D4" w:rsidRPr="00160EEE" w:rsidRDefault="002C64D4" w:rsidP="002C64D4">
      <w:pPr>
        <w:pStyle w:val="Bullet"/>
        <w:numPr>
          <w:ilvl w:val="0"/>
          <w:numId w:val="24"/>
        </w:numPr>
        <w:rPr>
          <w:rFonts w:eastAsia="Calibri"/>
        </w:rPr>
      </w:pPr>
      <w:r w:rsidRPr="00B11056">
        <w:rPr>
          <w:rFonts w:eastAsia="Calibri"/>
        </w:rPr>
        <w:t xml:space="preserve">In </w:t>
      </w:r>
      <w:r w:rsidRPr="00B416A9">
        <w:rPr>
          <w:rFonts w:eastAsia="Calibri"/>
        </w:rPr>
        <w:t>your opinion, could the proposed change</w:t>
      </w:r>
      <w:r>
        <w:rPr>
          <w:rFonts w:eastAsia="Calibri"/>
        </w:rPr>
        <w:t xml:space="preserve"> to</w:t>
      </w:r>
      <w:r w:rsidRPr="00B416A9">
        <w:rPr>
          <w:rFonts w:eastAsia="Calibri"/>
        </w:rPr>
        <w:t xml:space="preserve"> regulations impact Māori negatively? If so, what are the impacts? Why might they occur?</w:t>
      </w:r>
    </w:p>
    <w:p w14:paraId="0BE99678" w14:textId="77777777" w:rsidR="002C64D4" w:rsidRDefault="002C64D4" w:rsidP="002C64D4">
      <w:pPr>
        <w:pStyle w:val="BodyText"/>
      </w:pPr>
    </w:p>
    <w:p w14:paraId="1B3E2DAC" w14:textId="77777777" w:rsidR="002C64D4" w:rsidRDefault="002C64D4" w:rsidP="002C64D4">
      <w:pPr>
        <w:pStyle w:val="BodyText"/>
        <w:rPr>
          <w:rFonts w:eastAsia="Georgia"/>
        </w:rPr>
      </w:pPr>
      <w:r>
        <w:rPr>
          <w:rFonts w:eastAsia="Georgia"/>
        </w:rPr>
        <w:br w:type="page"/>
      </w:r>
    </w:p>
    <w:p w14:paraId="3B6ADC2D" w14:textId="77777777" w:rsidR="002C64D4" w:rsidRPr="005F2243" w:rsidRDefault="002C64D4" w:rsidP="007200A6">
      <w:pPr>
        <w:pStyle w:val="Heading1"/>
        <w:rPr>
          <w:rFonts w:eastAsia="Georgia"/>
        </w:rPr>
      </w:pPr>
      <w:bookmarkStart w:id="44" w:name="_Toc95397090"/>
      <w:r>
        <w:rPr>
          <w:rFonts w:eastAsia="Georgia"/>
        </w:rPr>
        <w:lastRenderedPageBreak/>
        <w:t xml:space="preserve">3. </w:t>
      </w:r>
      <w:r>
        <w:rPr>
          <w:rFonts w:eastAsia="Georgia"/>
        </w:rPr>
        <w:tab/>
      </w:r>
      <w:r w:rsidRPr="000A38B1">
        <w:rPr>
          <w:rFonts w:eastAsia="Georgia"/>
        </w:rPr>
        <w:t>Updating the schedule of default emissions factors for natural gas</w:t>
      </w:r>
      <w:bookmarkEnd w:id="44"/>
    </w:p>
    <w:p w14:paraId="0D8D8923" w14:textId="77777777" w:rsidR="002C64D4" w:rsidRDefault="002C64D4" w:rsidP="002C64D4">
      <w:pPr>
        <w:pStyle w:val="Heading2"/>
      </w:pPr>
      <w:bookmarkStart w:id="45" w:name="_Toc95397091"/>
      <w:r>
        <w:rPr>
          <w:rFonts w:eastAsia="Georgia"/>
        </w:rPr>
        <w:t>Background</w:t>
      </w:r>
      <w:bookmarkEnd w:id="45"/>
    </w:p>
    <w:p w14:paraId="09D2AE94" w14:textId="77777777" w:rsidR="002C64D4" w:rsidRDefault="002C64D4" w:rsidP="002C64D4">
      <w:pPr>
        <w:pStyle w:val="BodyText"/>
        <w:rPr>
          <w:rFonts w:eastAsia="Calibri"/>
        </w:rPr>
      </w:pPr>
      <w:r>
        <w:rPr>
          <w:rFonts w:eastAsia="Calibri"/>
        </w:rPr>
        <w:t xml:space="preserve">The schedule of prescribed emissions factors for natural gas fields needs regular updating due to changes in the composition of mined gas over time and the opening of new fields. We are consulting on updating the schedule of default emissions factors (DEFs) for natural gas fields. This update occurs most years to maintain the accuracy of emissions reported in the NZ ETS. </w:t>
      </w:r>
    </w:p>
    <w:p w14:paraId="72801358" w14:textId="77777777" w:rsidR="002C64D4" w:rsidRDefault="002C64D4" w:rsidP="002C64D4">
      <w:pPr>
        <w:pStyle w:val="BodyText"/>
        <w:rPr>
          <w:rFonts w:eastAsia="Calibri"/>
        </w:rPr>
      </w:pPr>
      <w:r>
        <w:rPr>
          <w:rFonts w:eastAsia="Calibri"/>
        </w:rPr>
        <w:t xml:space="preserve">Natural gas miners and NZ ETS opt-in participants use the methodologies and emissions factors in the Climate Change (Stationary Energy and Industrial Processes) Regulations 2009 (SEIP) to calculate their emissions. </w:t>
      </w:r>
    </w:p>
    <w:p w14:paraId="3672FDEC" w14:textId="77777777" w:rsidR="002C64D4" w:rsidRDefault="002C64D4" w:rsidP="002C64D4">
      <w:pPr>
        <w:pStyle w:val="BodyText"/>
        <w:rPr>
          <w:rFonts w:eastAsia="Calibri"/>
        </w:rPr>
      </w:pPr>
      <w:r>
        <w:rPr>
          <w:rFonts w:eastAsia="Calibri"/>
        </w:rPr>
        <w:t xml:space="preserve">Gas miners are required to run various tests on their gas to calculate an emissions factor specific to their field. Opt-in participants are not required to perform the same gas tests as gas miners. Instead, they can report emissions by referring to the gas field-specific and national average DEFs in Table 10, Schedule 2 of the SEIP regulations. </w:t>
      </w:r>
    </w:p>
    <w:p w14:paraId="74841063" w14:textId="77777777" w:rsidR="002C64D4" w:rsidRDefault="002C64D4" w:rsidP="002C64D4">
      <w:pPr>
        <w:pStyle w:val="BodyText"/>
        <w:rPr>
          <w:rFonts w:eastAsia="Calibri"/>
        </w:rPr>
      </w:pPr>
      <w:r>
        <w:rPr>
          <w:rFonts w:eastAsia="Calibri"/>
        </w:rPr>
        <w:t xml:space="preserve">DEFs allow gas purchasing (opt-in) participants to report their emissions without seeking information beyond total terajoules in the natural gas from the gas miner. </w:t>
      </w:r>
    </w:p>
    <w:p w14:paraId="09759503" w14:textId="77777777" w:rsidR="002C64D4" w:rsidRDefault="002C64D4" w:rsidP="002C64D4">
      <w:pPr>
        <w:pStyle w:val="BodyText"/>
      </w:pPr>
      <w:r>
        <w:rPr>
          <w:rFonts w:eastAsia="Calibri"/>
        </w:rPr>
        <w:t>Updating the schedule of prescribed emissions factors for natural gas fields is routine. The precise changes to the schedule can only be determined, then shared, once the Environmental Protection Authority (EPA) has reviewed the emissions returns of gas miners.</w:t>
      </w:r>
    </w:p>
    <w:p w14:paraId="7EE24F0E" w14:textId="77777777" w:rsidR="002C64D4" w:rsidRDefault="002C64D4" w:rsidP="002C64D4">
      <w:pPr>
        <w:pStyle w:val="Heading2"/>
      </w:pPr>
      <w:bookmarkStart w:id="46" w:name="_Toc95397092"/>
      <w:r>
        <w:rPr>
          <w:rFonts w:eastAsia="Georgia"/>
        </w:rPr>
        <w:t>Why update the schedule of natural gas DEFs</w:t>
      </w:r>
      <w:bookmarkEnd w:id="46"/>
    </w:p>
    <w:p w14:paraId="4AFFCA6A" w14:textId="77777777" w:rsidR="002C64D4" w:rsidRDefault="002C64D4" w:rsidP="002C64D4">
      <w:pPr>
        <w:pStyle w:val="BodyText"/>
      </w:pPr>
      <w:r>
        <w:t xml:space="preserve">The schedule of DEFs for natural gas needs to be updated regularly because the chemistry of natural gas from any one field is not constant, and because new fields open. If the schedule is not updated, gas purchasing (opt-in) participants will either inaccurately report emissions or have to contact gas miners for accurate information. The latter option would impose administrative and compliance costs on participants. </w:t>
      </w:r>
    </w:p>
    <w:p w14:paraId="520527F0" w14:textId="77777777" w:rsidR="002C64D4" w:rsidRDefault="002C64D4" w:rsidP="002C64D4">
      <w:pPr>
        <w:pStyle w:val="BodyText"/>
      </w:pPr>
      <w:r>
        <w:t>The schedule of DEFs has been regularly updated in the past to ensure it continues to reflect current field operations and remains accurate. This involves exchange of data between the EPA and the Ministry for the Environment.</w:t>
      </w:r>
    </w:p>
    <w:p w14:paraId="2AD9FD74" w14:textId="77777777" w:rsidR="002C64D4" w:rsidRPr="00A75089" w:rsidRDefault="002C64D4" w:rsidP="002C64D4">
      <w:pPr>
        <w:pStyle w:val="Heading2"/>
        <w:rPr>
          <w:rFonts w:eastAsia="Georgia"/>
        </w:rPr>
      </w:pPr>
      <w:bookmarkStart w:id="47" w:name="_Toc95397093"/>
      <w:r>
        <w:rPr>
          <w:rFonts w:eastAsia="Georgia"/>
        </w:rPr>
        <w:t>Options</w:t>
      </w:r>
      <w:bookmarkEnd w:id="47"/>
    </w:p>
    <w:p w14:paraId="07DD07C3" w14:textId="77777777" w:rsidR="002C64D4" w:rsidRDefault="002C64D4" w:rsidP="002C64D4">
      <w:pPr>
        <w:pStyle w:val="BodyText"/>
      </w:pPr>
      <w:r>
        <w:t xml:space="preserve">The options for maintaining the accuracy of the schedule of DEFs for natural gas are limited to updating it or not updating it. DEFs are calculated based on gas composition, so any change depends on robust and reliable data. </w:t>
      </w:r>
    </w:p>
    <w:p w14:paraId="457F754B" w14:textId="77777777" w:rsidR="002C64D4" w:rsidRDefault="002C64D4" w:rsidP="002C64D4">
      <w:pPr>
        <w:pStyle w:val="BodyText"/>
      </w:pPr>
      <w:r>
        <w:t xml:space="preserve">The schedule can be updated for gas fields from emissions returns data. This increases the accuracy of the NZ ETS and potentially lowers administrative costs for participants. </w:t>
      </w:r>
    </w:p>
    <w:p w14:paraId="45C39397" w14:textId="77777777" w:rsidR="002C64D4" w:rsidRDefault="002C64D4" w:rsidP="002C64D4">
      <w:pPr>
        <w:pStyle w:val="BodyText"/>
      </w:pPr>
      <w:r>
        <w:t xml:space="preserve">Feedback from previous updates was that opt-in participants (and some gas miners) strongly supported the retention and regular updating of Table 10 in Schedule 2. </w:t>
      </w:r>
    </w:p>
    <w:p w14:paraId="7B01DD6C" w14:textId="77777777" w:rsidR="002C64D4" w:rsidRPr="00E04DD0" w:rsidRDefault="002C64D4" w:rsidP="002C64D4">
      <w:pPr>
        <w:pStyle w:val="BodyText"/>
      </w:pPr>
      <w:r w:rsidRPr="00E04DD0">
        <w:lastRenderedPageBreak/>
        <w:t xml:space="preserve">The schedule of DEFs was last updated on 1 January 2022 and enabled it to be used for reporting emissions for the 2021 calendar year. </w:t>
      </w:r>
    </w:p>
    <w:p w14:paraId="119862B6" w14:textId="77777777" w:rsidR="002C64D4" w:rsidRDefault="002C64D4" w:rsidP="002C64D4">
      <w:pPr>
        <w:pStyle w:val="Heading3"/>
        <w:rPr>
          <w:szCs w:val="24"/>
        </w:rPr>
      </w:pPr>
      <w:bookmarkStart w:id="48" w:name="_Toc95397094"/>
      <w:r>
        <w:t>Assessing the options</w:t>
      </w:r>
      <w:bookmarkEnd w:id="48"/>
    </w:p>
    <w:p w14:paraId="1E0F97F1" w14:textId="77777777" w:rsidR="002C64D4" w:rsidRPr="00D6774D" w:rsidRDefault="002C64D4" w:rsidP="002C64D4">
      <w:pPr>
        <w:pStyle w:val="Tableheading"/>
      </w:pPr>
      <w:r w:rsidRPr="00D6774D">
        <w:t xml:space="preserve">Table 4: Assessing option </w:t>
      </w:r>
      <w:r>
        <w:t xml:space="preserve">2 </w:t>
      </w:r>
      <w:r w:rsidRPr="00D6774D">
        <w:t xml:space="preserve">against </w:t>
      </w:r>
      <w:r>
        <w:t xml:space="preserve">the </w:t>
      </w:r>
      <w:r w:rsidRPr="00D6774D">
        <w:t xml:space="preserve">status quo </w:t>
      </w:r>
    </w:p>
    <w:tbl>
      <w:tblPr>
        <w:tblW w:w="0" w:type="auto"/>
        <w:tblInd w:w="11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684"/>
        <w:gridCol w:w="1715"/>
        <w:gridCol w:w="1711"/>
        <w:gridCol w:w="1750"/>
        <w:gridCol w:w="1747"/>
      </w:tblGrid>
      <w:tr w:rsidR="002C64D4" w:rsidRPr="007120EE" w14:paraId="7761F36B" w14:textId="77777777" w:rsidTr="00DA2CBF">
        <w:tc>
          <w:tcPr>
            <w:tcW w:w="1684" w:type="dxa"/>
            <w:tcBorders>
              <w:top w:val="single" w:sz="4" w:space="0" w:color="1C556C"/>
              <w:left w:val="nil"/>
              <w:bottom w:val="single" w:sz="4" w:space="0" w:color="1C556C"/>
              <w:right w:val="single" w:sz="4" w:space="0" w:color="1C556C"/>
            </w:tcBorders>
            <w:shd w:val="clear" w:color="auto" w:fill="1B556B"/>
            <w:hideMark/>
          </w:tcPr>
          <w:p w14:paraId="5744B863"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Option</w:t>
            </w:r>
          </w:p>
        </w:tc>
        <w:tc>
          <w:tcPr>
            <w:tcW w:w="1715" w:type="dxa"/>
            <w:tcBorders>
              <w:top w:val="single" w:sz="4" w:space="0" w:color="1C556C"/>
              <w:left w:val="single" w:sz="4" w:space="0" w:color="1C556C"/>
              <w:bottom w:val="single" w:sz="4" w:space="0" w:color="1C556C"/>
              <w:right w:val="single" w:sz="4" w:space="0" w:color="1C556C"/>
            </w:tcBorders>
            <w:shd w:val="clear" w:color="auto" w:fill="1B556B"/>
            <w:hideMark/>
          </w:tcPr>
          <w:p w14:paraId="0262A4E1"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 xml:space="preserve">Alignment </w:t>
            </w:r>
          </w:p>
        </w:tc>
        <w:tc>
          <w:tcPr>
            <w:tcW w:w="1711" w:type="dxa"/>
            <w:tcBorders>
              <w:top w:val="single" w:sz="4" w:space="0" w:color="1C556C"/>
              <w:left w:val="single" w:sz="4" w:space="0" w:color="1C556C"/>
              <w:bottom w:val="single" w:sz="4" w:space="0" w:color="1C556C"/>
              <w:right w:val="single" w:sz="4" w:space="0" w:color="1C556C"/>
            </w:tcBorders>
            <w:shd w:val="clear" w:color="auto" w:fill="1B556B"/>
            <w:hideMark/>
          </w:tcPr>
          <w:p w14:paraId="1D5C0955"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Accuracy</w:t>
            </w:r>
          </w:p>
        </w:tc>
        <w:tc>
          <w:tcPr>
            <w:tcW w:w="1750" w:type="dxa"/>
            <w:tcBorders>
              <w:top w:val="single" w:sz="4" w:space="0" w:color="1C556C"/>
              <w:left w:val="single" w:sz="4" w:space="0" w:color="1C556C"/>
              <w:bottom w:val="single" w:sz="4" w:space="0" w:color="1C556C"/>
              <w:right w:val="single" w:sz="4" w:space="0" w:color="1C556C"/>
            </w:tcBorders>
            <w:shd w:val="clear" w:color="auto" w:fill="1B556B"/>
            <w:hideMark/>
          </w:tcPr>
          <w:p w14:paraId="6EDEC131"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 xml:space="preserve">Efficiency </w:t>
            </w:r>
          </w:p>
        </w:tc>
        <w:tc>
          <w:tcPr>
            <w:tcW w:w="1747" w:type="dxa"/>
            <w:tcBorders>
              <w:top w:val="single" w:sz="4" w:space="0" w:color="1C556C"/>
              <w:left w:val="single" w:sz="4" w:space="0" w:color="1C556C"/>
              <w:bottom w:val="single" w:sz="4" w:space="0" w:color="1C556C"/>
              <w:right w:val="nil"/>
            </w:tcBorders>
            <w:shd w:val="clear" w:color="auto" w:fill="1B556B"/>
            <w:hideMark/>
          </w:tcPr>
          <w:p w14:paraId="72A6784C" w14:textId="77777777" w:rsidR="002C64D4" w:rsidRPr="000A38B1" w:rsidRDefault="002C64D4" w:rsidP="00DA2CBF">
            <w:pPr>
              <w:pStyle w:val="TableTextbold"/>
              <w:rPr>
                <w:color w:val="FFFFFF" w:themeColor="background1"/>
                <w:sz w:val="20"/>
                <w:szCs w:val="20"/>
              </w:rPr>
            </w:pPr>
            <w:r w:rsidRPr="000A38B1">
              <w:rPr>
                <w:color w:val="FFFFFF" w:themeColor="background1"/>
                <w:sz w:val="20"/>
                <w:szCs w:val="20"/>
              </w:rPr>
              <w:t xml:space="preserve">Clarity </w:t>
            </w:r>
          </w:p>
        </w:tc>
      </w:tr>
      <w:tr w:rsidR="002C64D4" w:rsidRPr="00BD3FAA" w14:paraId="7A00B412" w14:textId="77777777" w:rsidTr="00DA2CBF">
        <w:tc>
          <w:tcPr>
            <w:tcW w:w="1684" w:type="dxa"/>
            <w:tcBorders>
              <w:top w:val="single" w:sz="4" w:space="0" w:color="1C556C"/>
              <w:left w:val="nil"/>
              <w:bottom w:val="single" w:sz="4" w:space="0" w:color="1C556C"/>
              <w:right w:val="single" w:sz="4" w:space="0" w:color="1C556C"/>
            </w:tcBorders>
          </w:tcPr>
          <w:p w14:paraId="03C43ACC" w14:textId="0597C44D" w:rsidR="002C64D4" w:rsidRPr="00BD3FAA" w:rsidRDefault="002C64D4" w:rsidP="00BD3FAA">
            <w:pPr>
              <w:pStyle w:val="TableText"/>
              <w:rPr>
                <w:sz w:val="20"/>
                <w:szCs w:val="20"/>
              </w:rPr>
            </w:pPr>
            <w:r w:rsidRPr="00BD3FAA">
              <w:rPr>
                <w:sz w:val="20"/>
                <w:szCs w:val="20"/>
              </w:rPr>
              <w:t xml:space="preserve">Option 1 </w:t>
            </w:r>
            <w:r w:rsidR="002F72C9" w:rsidRPr="00BD3FAA">
              <w:rPr>
                <w:sz w:val="20"/>
                <w:szCs w:val="20"/>
              </w:rPr>
              <w:t>–</w:t>
            </w:r>
            <w:r w:rsidRPr="00BD3FAA">
              <w:rPr>
                <w:sz w:val="20"/>
                <w:szCs w:val="20"/>
              </w:rPr>
              <w:t xml:space="preserve"> Status quo</w:t>
            </w:r>
          </w:p>
        </w:tc>
        <w:tc>
          <w:tcPr>
            <w:tcW w:w="1715" w:type="dxa"/>
            <w:tcBorders>
              <w:top w:val="single" w:sz="4" w:space="0" w:color="1C556C"/>
              <w:left w:val="single" w:sz="4" w:space="0" w:color="1C556C"/>
              <w:bottom w:val="single" w:sz="4" w:space="0" w:color="1C556C"/>
              <w:right w:val="single" w:sz="4" w:space="0" w:color="1C556C"/>
            </w:tcBorders>
          </w:tcPr>
          <w:p w14:paraId="1A105F61" w14:textId="77777777" w:rsidR="002C64D4" w:rsidRPr="00BD3FAA" w:rsidRDefault="002C64D4" w:rsidP="00BD3FAA">
            <w:pPr>
              <w:pStyle w:val="TableText"/>
              <w:rPr>
                <w:sz w:val="20"/>
                <w:szCs w:val="20"/>
              </w:rPr>
            </w:pPr>
            <w:r w:rsidRPr="00BD3FAA">
              <w:rPr>
                <w:sz w:val="20"/>
                <w:szCs w:val="20"/>
              </w:rPr>
              <w:t>Poor – reported emissions and associated NZ ETS costs are not consistent with actual emissions.</w:t>
            </w:r>
          </w:p>
        </w:tc>
        <w:tc>
          <w:tcPr>
            <w:tcW w:w="1711" w:type="dxa"/>
            <w:tcBorders>
              <w:top w:val="single" w:sz="4" w:space="0" w:color="1C556C"/>
              <w:left w:val="single" w:sz="4" w:space="0" w:color="1C556C"/>
              <w:bottom w:val="single" w:sz="4" w:space="0" w:color="1C556C"/>
              <w:right w:val="single" w:sz="4" w:space="0" w:color="1C556C"/>
            </w:tcBorders>
          </w:tcPr>
          <w:p w14:paraId="0127D9B8" w14:textId="77777777" w:rsidR="002C64D4" w:rsidRPr="00BD3FAA" w:rsidRDefault="002C64D4" w:rsidP="00BD3FAA">
            <w:pPr>
              <w:pStyle w:val="TableText"/>
              <w:rPr>
                <w:sz w:val="20"/>
                <w:szCs w:val="20"/>
              </w:rPr>
            </w:pPr>
            <w:r w:rsidRPr="00BD3FAA">
              <w:rPr>
                <w:sz w:val="20"/>
                <w:szCs w:val="20"/>
              </w:rPr>
              <w:t>Poor — does not reflect current data and actual emissions.</w:t>
            </w:r>
          </w:p>
        </w:tc>
        <w:tc>
          <w:tcPr>
            <w:tcW w:w="1750" w:type="dxa"/>
            <w:tcBorders>
              <w:top w:val="single" w:sz="4" w:space="0" w:color="1C556C"/>
              <w:left w:val="single" w:sz="4" w:space="0" w:color="1C556C"/>
              <w:bottom w:val="single" w:sz="4" w:space="0" w:color="1C556C"/>
              <w:right w:val="single" w:sz="4" w:space="0" w:color="1C556C"/>
            </w:tcBorders>
          </w:tcPr>
          <w:p w14:paraId="70D81446" w14:textId="77777777" w:rsidR="002C64D4" w:rsidRPr="00BD3FAA" w:rsidRDefault="002C64D4" w:rsidP="00BD3FAA">
            <w:pPr>
              <w:pStyle w:val="TableText"/>
              <w:rPr>
                <w:sz w:val="20"/>
                <w:szCs w:val="20"/>
              </w:rPr>
            </w:pPr>
            <w:r w:rsidRPr="00BD3FAA">
              <w:rPr>
                <w:sz w:val="20"/>
                <w:szCs w:val="20"/>
              </w:rPr>
              <w:t>Poor – adds cost for opt-in participants who must perform their own tests to calculate emissions accurately.</w:t>
            </w:r>
          </w:p>
        </w:tc>
        <w:tc>
          <w:tcPr>
            <w:tcW w:w="1747" w:type="dxa"/>
            <w:tcBorders>
              <w:top w:val="single" w:sz="4" w:space="0" w:color="1C556C"/>
              <w:left w:val="single" w:sz="4" w:space="0" w:color="1C556C"/>
              <w:bottom w:val="single" w:sz="4" w:space="0" w:color="1C556C"/>
              <w:right w:val="nil"/>
            </w:tcBorders>
          </w:tcPr>
          <w:p w14:paraId="2C8EB69F" w14:textId="77777777" w:rsidR="002C64D4" w:rsidRPr="00BD3FAA" w:rsidRDefault="002C64D4" w:rsidP="00BD3FAA">
            <w:pPr>
              <w:pStyle w:val="TableText"/>
              <w:rPr>
                <w:sz w:val="20"/>
                <w:szCs w:val="20"/>
              </w:rPr>
            </w:pPr>
            <w:r w:rsidRPr="00BD3FAA">
              <w:rPr>
                <w:sz w:val="20"/>
                <w:szCs w:val="20"/>
              </w:rPr>
              <w:t>No change – numbers in the schedule would be static and make no difference to the interpretation of the regulation by mandatory or opt-in participants.</w:t>
            </w:r>
          </w:p>
        </w:tc>
      </w:tr>
      <w:tr w:rsidR="002C64D4" w:rsidRPr="00BD3FAA" w14:paraId="42E259C9" w14:textId="77777777" w:rsidTr="00DA2CBF">
        <w:tc>
          <w:tcPr>
            <w:tcW w:w="1684" w:type="dxa"/>
            <w:tcBorders>
              <w:top w:val="single" w:sz="4" w:space="0" w:color="1C556C"/>
              <w:left w:val="nil"/>
              <w:bottom w:val="single" w:sz="4" w:space="0" w:color="1C556C"/>
              <w:right w:val="single" w:sz="4" w:space="0" w:color="1C556C"/>
            </w:tcBorders>
            <w:hideMark/>
          </w:tcPr>
          <w:p w14:paraId="08090D3B" w14:textId="77777777" w:rsidR="002C64D4" w:rsidRPr="00BD3FAA" w:rsidRDefault="002C64D4" w:rsidP="00BD3FAA">
            <w:pPr>
              <w:pStyle w:val="TableText"/>
              <w:rPr>
                <w:sz w:val="20"/>
                <w:szCs w:val="20"/>
              </w:rPr>
            </w:pPr>
            <w:r w:rsidRPr="00BD3FAA">
              <w:rPr>
                <w:sz w:val="20"/>
                <w:szCs w:val="20"/>
              </w:rPr>
              <w:t>Option 2</w:t>
            </w:r>
          </w:p>
        </w:tc>
        <w:tc>
          <w:tcPr>
            <w:tcW w:w="1715" w:type="dxa"/>
            <w:tcBorders>
              <w:top w:val="single" w:sz="4" w:space="0" w:color="1C556C"/>
              <w:left w:val="single" w:sz="4" w:space="0" w:color="1C556C"/>
              <w:bottom w:val="single" w:sz="4" w:space="0" w:color="1C556C"/>
              <w:right w:val="single" w:sz="4" w:space="0" w:color="1C556C"/>
            </w:tcBorders>
            <w:hideMark/>
          </w:tcPr>
          <w:p w14:paraId="5E4D391E" w14:textId="77777777" w:rsidR="002C64D4" w:rsidRPr="00BD3FAA" w:rsidRDefault="002C64D4" w:rsidP="00BD3FAA">
            <w:pPr>
              <w:pStyle w:val="TableText"/>
              <w:rPr>
                <w:sz w:val="20"/>
                <w:szCs w:val="20"/>
              </w:rPr>
            </w:pPr>
            <w:r w:rsidRPr="00BD3FAA">
              <w:rPr>
                <w:sz w:val="20"/>
                <w:szCs w:val="20"/>
              </w:rPr>
              <w:t>Good – reported emissions and associated NZ ETS costs consistent with actual emissions.</w:t>
            </w:r>
            <w:r w:rsidRPr="00BD3FAA">
              <w:rPr>
                <w:sz w:val="20"/>
                <w:szCs w:val="20"/>
              </w:rPr>
              <w:cr/>
              <w:t xml:space="preserve"> This change also helps ensure that the cost of emissions to people and companies helps New Zealand. </w:t>
            </w:r>
          </w:p>
        </w:tc>
        <w:tc>
          <w:tcPr>
            <w:tcW w:w="1711" w:type="dxa"/>
            <w:tcBorders>
              <w:top w:val="single" w:sz="4" w:space="0" w:color="1C556C"/>
              <w:left w:val="single" w:sz="4" w:space="0" w:color="1C556C"/>
              <w:bottom w:val="single" w:sz="4" w:space="0" w:color="1C556C"/>
              <w:right w:val="single" w:sz="4" w:space="0" w:color="1C556C"/>
            </w:tcBorders>
            <w:hideMark/>
          </w:tcPr>
          <w:p w14:paraId="539525F0" w14:textId="77777777" w:rsidR="002C64D4" w:rsidRPr="00BD3FAA" w:rsidRDefault="002C64D4" w:rsidP="00BD3FAA">
            <w:pPr>
              <w:pStyle w:val="TableText"/>
              <w:rPr>
                <w:sz w:val="20"/>
                <w:szCs w:val="20"/>
              </w:rPr>
            </w:pPr>
            <w:r w:rsidRPr="00BD3FAA">
              <w:rPr>
                <w:sz w:val="20"/>
                <w:szCs w:val="20"/>
              </w:rPr>
              <w:t>Good — reflects current data and actual emissions. Using up-to-date data to calculate the emissions and ensure these are accurate is essential to meeting emissions targets.</w:t>
            </w:r>
          </w:p>
        </w:tc>
        <w:tc>
          <w:tcPr>
            <w:tcW w:w="1750" w:type="dxa"/>
            <w:tcBorders>
              <w:top w:val="single" w:sz="4" w:space="0" w:color="1C556C"/>
              <w:left w:val="single" w:sz="4" w:space="0" w:color="1C556C"/>
              <w:bottom w:val="single" w:sz="4" w:space="0" w:color="1C556C"/>
              <w:right w:val="single" w:sz="4" w:space="0" w:color="1C556C"/>
            </w:tcBorders>
            <w:hideMark/>
          </w:tcPr>
          <w:p w14:paraId="1BDD5390" w14:textId="77777777" w:rsidR="002C64D4" w:rsidRPr="00BD3FAA" w:rsidRDefault="002C64D4" w:rsidP="00BD3FAA">
            <w:pPr>
              <w:pStyle w:val="TableText"/>
              <w:rPr>
                <w:sz w:val="20"/>
                <w:szCs w:val="20"/>
              </w:rPr>
            </w:pPr>
            <w:r w:rsidRPr="00BD3FAA">
              <w:rPr>
                <w:sz w:val="20"/>
                <w:szCs w:val="20"/>
              </w:rPr>
              <w:t>Good – avoids cost for opt-in participants in performing their own chemical tests to calculate emissions accurately. This change lowers the total administrative burden associated with emissions reporting for these participants.</w:t>
            </w:r>
          </w:p>
        </w:tc>
        <w:tc>
          <w:tcPr>
            <w:tcW w:w="1747" w:type="dxa"/>
            <w:tcBorders>
              <w:top w:val="single" w:sz="4" w:space="0" w:color="1C556C"/>
              <w:left w:val="single" w:sz="4" w:space="0" w:color="1C556C"/>
              <w:bottom w:val="single" w:sz="4" w:space="0" w:color="1C556C"/>
              <w:right w:val="nil"/>
            </w:tcBorders>
            <w:hideMark/>
          </w:tcPr>
          <w:p w14:paraId="14DB79F5" w14:textId="77777777" w:rsidR="002C64D4" w:rsidRPr="00BD3FAA" w:rsidRDefault="002C64D4" w:rsidP="00BD3FAA">
            <w:pPr>
              <w:pStyle w:val="TableText"/>
              <w:rPr>
                <w:sz w:val="20"/>
                <w:szCs w:val="20"/>
              </w:rPr>
            </w:pPr>
            <w:r w:rsidRPr="00BD3FAA">
              <w:rPr>
                <w:sz w:val="20"/>
                <w:szCs w:val="20"/>
              </w:rPr>
              <w:t>No change – the option only changes the number in a schedule, making no difference to the interpretation of the regulation by mandatory or opt-in participants.</w:t>
            </w:r>
          </w:p>
        </w:tc>
      </w:tr>
    </w:tbl>
    <w:p w14:paraId="009B4D30" w14:textId="77777777" w:rsidR="002C64D4" w:rsidRPr="00A75089" w:rsidRDefault="002C64D4" w:rsidP="002C64D4">
      <w:pPr>
        <w:pStyle w:val="Heading2"/>
        <w:rPr>
          <w:rFonts w:eastAsia="Calibri"/>
        </w:rPr>
      </w:pPr>
      <w:bookmarkStart w:id="49" w:name="_Toc95397095"/>
      <w:r>
        <w:rPr>
          <w:rFonts w:eastAsia="Georgia"/>
        </w:rPr>
        <w:t>Your views</w:t>
      </w:r>
      <w:bookmarkEnd w:id="49"/>
    </w:p>
    <w:p w14:paraId="60ECE3C2" w14:textId="77777777" w:rsidR="002C64D4" w:rsidRDefault="002C64D4" w:rsidP="002C64D4">
      <w:pPr>
        <w:pStyle w:val="BodyText"/>
        <w:rPr>
          <w:rFonts w:eastAsia="Calibri"/>
        </w:rPr>
      </w:pPr>
      <w:r>
        <w:rPr>
          <w:rFonts w:eastAsia="Calibri"/>
        </w:rPr>
        <w:t xml:space="preserve">We are seeking your feedback on: </w:t>
      </w:r>
    </w:p>
    <w:p w14:paraId="7AEA6197" w14:textId="77777777" w:rsidR="002C64D4" w:rsidRPr="00194017" w:rsidRDefault="002C64D4" w:rsidP="002C64D4">
      <w:pPr>
        <w:pStyle w:val="Bullet"/>
        <w:rPr>
          <w:rFonts w:eastAsiaTheme="minorEastAsia"/>
        </w:rPr>
      </w:pPr>
      <w:r w:rsidRPr="00194017">
        <w:rPr>
          <w:rFonts w:eastAsiaTheme="minorEastAsia"/>
        </w:rPr>
        <w:t>the proposal to update the schedule of DEFs for natural gas</w:t>
      </w:r>
    </w:p>
    <w:p w14:paraId="0CAEDA8A" w14:textId="77777777" w:rsidR="002C64D4" w:rsidRPr="00194017" w:rsidRDefault="002C64D4" w:rsidP="002C64D4">
      <w:pPr>
        <w:pStyle w:val="Bullet"/>
        <w:rPr>
          <w:rFonts w:eastAsiaTheme="minorEastAsia"/>
        </w:rPr>
      </w:pPr>
      <w:r w:rsidRPr="00194017">
        <w:rPr>
          <w:rFonts w:eastAsiaTheme="minorEastAsia"/>
        </w:rPr>
        <w:t>our assessment against the criteria in table 4, including whether you think any criteria should be given more weight than others.</w:t>
      </w:r>
    </w:p>
    <w:p w14:paraId="2B029D33" w14:textId="77777777" w:rsidR="002C64D4" w:rsidRPr="00A75089" w:rsidRDefault="002C64D4" w:rsidP="002C64D4">
      <w:pPr>
        <w:pStyle w:val="Heading2"/>
      </w:pPr>
      <w:bookmarkStart w:id="50" w:name="_Toc95397096"/>
      <w:r>
        <w:rPr>
          <w:rFonts w:eastAsia="Georgia"/>
        </w:rPr>
        <w:t>Approach</w:t>
      </w:r>
      <w:bookmarkEnd w:id="50"/>
    </w:p>
    <w:p w14:paraId="1E5588CB" w14:textId="77777777" w:rsidR="002C64D4" w:rsidRDefault="002C64D4" w:rsidP="002C64D4">
      <w:pPr>
        <w:pStyle w:val="BodyText"/>
      </w:pPr>
      <w:r>
        <w:t>Any updates would involve estimating national and field-specific DEFs from the annual emissions returns data that gas miners provide to the EPA. A draft Table 10, Schedule 2 of the SEIP regulations will be separately forwarded to all affected NZ ETS gas mining and opt-in purchasing participants for comment by the end of June.</w:t>
      </w:r>
    </w:p>
    <w:p w14:paraId="526D905D" w14:textId="77777777" w:rsidR="002C64D4" w:rsidRDefault="002C64D4" w:rsidP="002C64D4">
      <w:pPr>
        <w:pStyle w:val="BodyText"/>
      </w:pPr>
      <w:r>
        <w:t>The schedule of DEFs for natural gas fields was last updated in the 2021 reporting year. These returns will be used to estimate national and field-specific DEFs for the 2022 reporting year.</w:t>
      </w:r>
    </w:p>
    <w:p w14:paraId="5048179A" w14:textId="77777777" w:rsidR="002C64D4" w:rsidRDefault="002C64D4" w:rsidP="002C64D4">
      <w:pPr>
        <w:pStyle w:val="Heading2"/>
      </w:pPr>
      <w:bookmarkStart w:id="51" w:name="_Toc95397097"/>
      <w:bookmarkStart w:id="52" w:name="_Toc455564073"/>
      <w:r>
        <w:rPr>
          <w:rFonts w:eastAsia="Georgia"/>
        </w:rPr>
        <w:lastRenderedPageBreak/>
        <w:t>Questions</w:t>
      </w:r>
      <w:bookmarkEnd w:id="51"/>
    </w:p>
    <w:p w14:paraId="78BE4449" w14:textId="77777777" w:rsidR="002C64D4" w:rsidRPr="000A38B1" w:rsidRDefault="002C64D4" w:rsidP="002C64D4">
      <w:pPr>
        <w:pStyle w:val="Bullet"/>
        <w:numPr>
          <w:ilvl w:val="0"/>
          <w:numId w:val="24"/>
        </w:numPr>
        <w:spacing w:before="120"/>
        <w:rPr>
          <w:rFonts w:eastAsiaTheme="minorEastAsia"/>
        </w:rPr>
      </w:pPr>
      <w:r w:rsidRPr="000A38B1">
        <w:rPr>
          <w:rFonts w:eastAsiaTheme="minorEastAsia"/>
        </w:rPr>
        <w:t>To what extent do you agree with the way we have described the issue? Please explain any additional aspects of the problem you think we should consider.</w:t>
      </w:r>
    </w:p>
    <w:p w14:paraId="364EA074" w14:textId="77777777" w:rsidR="002C64D4" w:rsidRDefault="002C64D4" w:rsidP="002C64D4">
      <w:pPr>
        <w:pStyle w:val="Bullet"/>
        <w:numPr>
          <w:ilvl w:val="0"/>
          <w:numId w:val="24"/>
        </w:numPr>
      </w:pPr>
      <w:r w:rsidRPr="000A38B1">
        <w:t>Would you prefer the DEFs to be updated or for the current DEFs to remain unchanged?</w:t>
      </w:r>
    </w:p>
    <w:p w14:paraId="016E4668" w14:textId="77777777" w:rsidR="002C64D4" w:rsidRPr="003D55DA" w:rsidRDefault="002C64D4" w:rsidP="002C64D4">
      <w:pPr>
        <w:pStyle w:val="Bullet"/>
        <w:numPr>
          <w:ilvl w:val="0"/>
          <w:numId w:val="24"/>
        </w:numPr>
        <w:rPr>
          <w:rFonts w:eastAsia="Calibri"/>
        </w:rPr>
      </w:pPr>
      <w:r w:rsidRPr="00B11056">
        <w:rPr>
          <w:rFonts w:eastAsia="Calibri"/>
        </w:rPr>
        <w:t xml:space="preserve">In </w:t>
      </w:r>
      <w:r w:rsidRPr="00B416A9">
        <w:rPr>
          <w:rFonts w:eastAsia="Calibri"/>
        </w:rPr>
        <w:t>your opinion, could the proposed change</w:t>
      </w:r>
      <w:r>
        <w:rPr>
          <w:rFonts w:eastAsia="Calibri"/>
        </w:rPr>
        <w:t xml:space="preserve"> to</w:t>
      </w:r>
      <w:r w:rsidRPr="00B416A9">
        <w:rPr>
          <w:rFonts w:eastAsia="Calibri"/>
        </w:rPr>
        <w:t xml:space="preserve"> regulations impact Māori negatively? If so, what are the impacts? Why might they occur?  </w:t>
      </w:r>
    </w:p>
    <w:p w14:paraId="7E8FA319" w14:textId="5F6DC8F5" w:rsidR="002C64D4" w:rsidRPr="00E04DD0" w:rsidRDefault="002C64D4" w:rsidP="002C64D4">
      <w:pPr>
        <w:pStyle w:val="BodyText"/>
        <w:rPr>
          <w:rStyle w:val="Heading1Char"/>
          <w:rFonts w:ascii="Calibri" w:eastAsia="Georgia" w:hAnsi="Calibri"/>
          <w:b w:val="0"/>
          <w:bCs w:val="0"/>
          <w:color w:val="auto"/>
          <w:sz w:val="22"/>
          <w:szCs w:val="22"/>
        </w:rPr>
      </w:pPr>
    </w:p>
    <w:p w14:paraId="645F8DB5" w14:textId="5F6DC8F5" w:rsidR="002F72C9" w:rsidRPr="00BD3FAA" w:rsidRDefault="002F72C9" w:rsidP="00BD3FAA">
      <w:pPr>
        <w:pStyle w:val="BodyText"/>
        <w:rPr>
          <w:rStyle w:val="Heading1Char"/>
          <w:rFonts w:ascii="Calibri" w:eastAsia="Georgia" w:hAnsi="Calibri"/>
          <w:b w:val="0"/>
          <w:bCs w:val="0"/>
          <w:color w:val="auto"/>
          <w:sz w:val="22"/>
          <w:szCs w:val="22"/>
        </w:rPr>
      </w:pPr>
      <w:bookmarkStart w:id="53" w:name="_Toc95397098"/>
      <w:r w:rsidRPr="00BD3FAA">
        <w:rPr>
          <w:rStyle w:val="Heading1Char"/>
          <w:rFonts w:ascii="Calibri" w:eastAsia="Georgia" w:hAnsi="Calibri"/>
          <w:b w:val="0"/>
          <w:bCs w:val="0"/>
          <w:color w:val="auto"/>
          <w:sz w:val="22"/>
          <w:szCs w:val="22"/>
        </w:rPr>
        <w:br w:type="page"/>
      </w:r>
    </w:p>
    <w:p w14:paraId="6770F370" w14:textId="77777777" w:rsidR="002C64D4" w:rsidRDefault="002C64D4" w:rsidP="007200A6">
      <w:pPr>
        <w:pStyle w:val="Heading1"/>
        <w:rPr>
          <w:rStyle w:val="Heading1Char"/>
          <w:rFonts w:eastAsia="Georgia" w:cs="Georgia"/>
          <w:b/>
          <w:bCs/>
        </w:rPr>
      </w:pPr>
      <w:r>
        <w:rPr>
          <w:rStyle w:val="Heading1Char"/>
          <w:rFonts w:eastAsia="Georgia" w:cs="Georgia"/>
          <w:b/>
          <w:bCs/>
        </w:rPr>
        <w:lastRenderedPageBreak/>
        <w:t xml:space="preserve">4. </w:t>
      </w:r>
      <w:r>
        <w:rPr>
          <w:rStyle w:val="Heading1Char"/>
          <w:rFonts w:eastAsia="Georgia" w:cs="Georgia"/>
          <w:b/>
          <w:bCs/>
        </w:rPr>
        <w:tab/>
        <w:t>Changing the Climate Change (Liquid Fossil Fuels) Regulations 2008</w:t>
      </w:r>
      <w:bookmarkEnd w:id="53"/>
    </w:p>
    <w:p w14:paraId="7337F0B8" w14:textId="77777777" w:rsidR="002C64D4" w:rsidRPr="003D55DA" w:rsidRDefault="002C64D4" w:rsidP="002C64D4">
      <w:pPr>
        <w:pStyle w:val="Heading2"/>
        <w:rPr>
          <w:rStyle w:val="Heading1Char"/>
          <w:rFonts w:eastAsia="Georgia"/>
          <w:b/>
          <w:color w:val="1B556B"/>
          <w:sz w:val="36"/>
          <w:szCs w:val="26"/>
        </w:rPr>
      </w:pPr>
      <w:bookmarkStart w:id="54" w:name="_Toc95397099"/>
      <w:r>
        <w:t>Context</w:t>
      </w:r>
    </w:p>
    <w:p w14:paraId="441AA54D" w14:textId="77777777" w:rsidR="002C64D4" w:rsidRPr="00F368E2" w:rsidRDefault="002C64D4" w:rsidP="002C64D4">
      <w:pPr>
        <w:pStyle w:val="BodyText"/>
      </w:pPr>
      <w:r w:rsidRPr="00F568A0">
        <w:t>Regulations for the NZ ETS allow</w:t>
      </w:r>
      <w:r>
        <w:t xml:space="preserve"> </w:t>
      </w:r>
      <w:r w:rsidRPr="00F568A0">
        <w:t xml:space="preserve">participants </w:t>
      </w:r>
      <w:r>
        <w:t>that</w:t>
      </w:r>
      <w:r w:rsidRPr="00F568A0">
        <w:t xml:space="preserve"> supply liquid fossil fuels to deduct the supply of biofuels when calculating</w:t>
      </w:r>
      <w:r>
        <w:t xml:space="preserve"> </w:t>
      </w:r>
      <w:r w:rsidRPr="00F568A0">
        <w:t xml:space="preserve">emissions. </w:t>
      </w:r>
      <w:r>
        <w:t>Some participants voluntarily opt-in to the NZ ETS</w:t>
      </w:r>
      <w:r w:rsidRPr="00F568A0">
        <w:t xml:space="preserve"> because they are large fuel users</w:t>
      </w:r>
      <w:r>
        <w:t>,</w:t>
      </w:r>
      <w:r w:rsidRPr="00F568A0">
        <w:t xml:space="preserve"> such as airlines</w:t>
      </w:r>
      <w:r>
        <w:t>. For opt-in</w:t>
      </w:r>
      <w:r w:rsidRPr="283412E9">
        <w:t xml:space="preserve"> airline</w:t>
      </w:r>
      <w:r>
        <w:t xml:space="preserve"> participants,</w:t>
      </w:r>
      <w:r w:rsidRPr="00F568A0">
        <w:t xml:space="preserve"> </w:t>
      </w:r>
      <w:r>
        <w:t>biofuels supplied by the upstream supplier can be excluded from emissions calculations</w:t>
      </w:r>
      <w:r w:rsidRPr="00F568A0">
        <w:t>.</w:t>
      </w:r>
    </w:p>
    <w:p w14:paraId="4D444886" w14:textId="77777777" w:rsidR="002C64D4" w:rsidRDefault="002C64D4" w:rsidP="002C64D4">
      <w:pPr>
        <w:pStyle w:val="BodyText"/>
      </w:pPr>
      <w:r w:rsidRPr="00F568A0">
        <w:t xml:space="preserve">The regulations do not enable an opt-in </w:t>
      </w:r>
      <w:r>
        <w:t xml:space="preserve">airline </w:t>
      </w:r>
      <w:r w:rsidRPr="00F568A0">
        <w:t xml:space="preserve">participant that is also a supplier of biofuels to </w:t>
      </w:r>
      <w:r>
        <w:t xml:space="preserve">include the full emissions reduction benefits from </w:t>
      </w:r>
      <w:r w:rsidRPr="00F568A0">
        <w:t xml:space="preserve">the supply of biofuels as a deduction in </w:t>
      </w:r>
      <w:r>
        <w:t xml:space="preserve">their opt in </w:t>
      </w:r>
      <w:r w:rsidRPr="00F568A0">
        <w:t>emissions calculations</w:t>
      </w:r>
      <w:r>
        <w:t>.</w:t>
      </w:r>
      <w:r w:rsidDel="003F270A">
        <w:rPr>
          <w:lang w:val="en-US"/>
        </w:rPr>
        <w:t xml:space="preserve"> </w:t>
      </w:r>
      <w:r>
        <w:rPr>
          <w:lang w:val="en-US"/>
        </w:rPr>
        <w:t xml:space="preserve">The regulations only refer to biofuels supplied by the obligation fuel supplier. Although biofuels that enter the supply chain later will result in reduced fossil fuel use by the opt-in participant, that participant cannot claim all the emissions benefits. </w:t>
      </w:r>
      <w:r>
        <w:t>This is because the infrastructure at airports mixes and shares fuel to all airlines when needed.</w:t>
      </w:r>
    </w:p>
    <w:p w14:paraId="4F9F1671" w14:textId="77777777" w:rsidR="002C64D4" w:rsidRPr="008C7280" w:rsidRDefault="002C64D4" w:rsidP="002C64D4">
      <w:pPr>
        <w:pStyle w:val="BodyText"/>
      </w:pPr>
      <w:r w:rsidRPr="00F568A0">
        <w:t>Sustainable aviation fuel (SAF) is</w:t>
      </w:r>
      <w:r>
        <w:t xml:space="preserve"> a</w:t>
      </w:r>
      <w:r w:rsidRPr="00F568A0">
        <w:t xml:space="preserve"> biofuel that can replace a portion of fossil fuels in jet aircraft</w:t>
      </w:r>
      <w:r>
        <w:t>s</w:t>
      </w:r>
      <w:r w:rsidRPr="00F568A0">
        <w:t>. SAF is currentl</w:t>
      </w:r>
      <w:r>
        <w:t>y</w:t>
      </w:r>
      <w:r w:rsidRPr="00F568A0">
        <w:t xml:space="preserve"> more expensive than jet fuel, but airlines </w:t>
      </w:r>
      <w:r>
        <w:t>internationally</w:t>
      </w:r>
      <w:r w:rsidRPr="00F568A0">
        <w:t xml:space="preserve"> are developing sources of SAF and </w:t>
      </w:r>
      <w:r>
        <w:t>aim</w:t>
      </w:r>
      <w:r w:rsidRPr="00F568A0">
        <w:t xml:space="preserve"> to increase its use. </w:t>
      </w:r>
    </w:p>
    <w:p w14:paraId="252CDE1F" w14:textId="77777777" w:rsidR="002C64D4" w:rsidRDefault="002C64D4" w:rsidP="002C64D4">
      <w:pPr>
        <w:pStyle w:val="BodyText"/>
        <w:rPr>
          <w:rFonts w:eastAsia="Calibri"/>
        </w:rPr>
      </w:pPr>
      <w:r>
        <w:t xml:space="preserve">This consultation explores an update to the Climate Change (Liquid Fossil Fuels) Regulations 2008, so </w:t>
      </w:r>
      <w:r w:rsidRPr="72E97E73">
        <w:rPr>
          <w:rFonts w:eastAsia="Calibri"/>
          <w:color w:val="000000" w:themeColor="text1"/>
        </w:rPr>
        <w:t xml:space="preserve">an opt-in airline participant that has supplied SAF during the reporting year can </w:t>
      </w:r>
      <w:r>
        <w:rPr>
          <w:rFonts w:eastAsia="Calibri"/>
          <w:color w:val="000000" w:themeColor="text1"/>
        </w:rPr>
        <w:t>use</w:t>
      </w:r>
      <w:r w:rsidRPr="72E97E73">
        <w:rPr>
          <w:rFonts w:eastAsia="Calibri"/>
          <w:color w:val="000000" w:themeColor="text1"/>
        </w:rPr>
        <w:t xml:space="preserve"> the total amount of SAF </w:t>
      </w:r>
      <w:r w:rsidRPr="0E8913A1">
        <w:rPr>
          <w:rFonts w:eastAsia="Calibri"/>
          <w:color w:val="000000" w:themeColor="text1"/>
        </w:rPr>
        <w:t xml:space="preserve">supplied </w:t>
      </w:r>
      <w:r>
        <w:rPr>
          <w:rFonts w:eastAsia="Calibri"/>
          <w:color w:val="000000" w:themeColor="text1"/>
        </w:rPr>
        <w:t>when calculating</w:t>
      </w:r>
      <w:r w:rsidRPr="72E97E73">
        <w:rPr>
          <w:rFonts w:eastAsia="Calibri"/>
          <w:color w:val="000000" w:themeColor="text1"/>
        </w:rPr>
        <w:t xml:space="preserve"> their </w:t>
      </w:r>
      <w:r w:rsidRPr="0E8913A1">
        <w:rPr>
          <w:rFonts w:eastAsia="Calibri"/>
          <w:color w:val="000000" w:themeColor="text1"/>
        </w:rPr>
        <w:t xml:space="preserve">opt in </w:t>
      </w:r>
      <w:r w:rsidRPr="72E97E73">
        <w:rPr>
          <w:rFonts w:eastAsia="Calibri"/>
          <w:color w:val="000000" w:themeColor="text1"/>
        </w:rPr>
        <w:t>emissions</w:t>
      </w:r>
      <w:r w:rsidRPr="0E8913A1">
        <w:rPr>
          <w:rFonts w:eastAsia="Calibri"/>
          <w:color w:val="000000" w:themeColor="text1"/>
        </w:rPr>
        <w:t>.</w:t>
      </w:r>
      <w:r w:rsidRPr="72E97E73">
        <w:rPr>
          <w:rFonts w:eastAsia="Calibri"/>
          <w:color w:val="000000" w:themeColor="text1"/>
        </w:rPr>
        <w:t xml:space="preserve"> To avoid double counting, the methodology for any obligation fuel suppliers would need to be adjusted as well. As a result, the opt-in participant would receive an economic reward (eg, reduced NZ ETS costs) for enabling emission reductions from other users, increasing the likelihood of SAF use.</w:t>
      </w:r>
      <w:bookmarkEnd w:id="54"/>
    </w:p>
    <w:p w14:paraId="45520269" w14:textId="77777777" w:rsidR="002C64D4" w:rsidRDefault="002C64D4" w:rsidP="002C64D4">
      <w:pPr>
        <w:pStyle w:val="Heading2"/>
      </w:pPr>
      <w:bookmarkStart w:id="55" w:name="_Toc95397100"/>
      <w:r>
        <w:rPr>
          <w:rFonts w:eastAsia="Georgia"/>
        </w:rPr>
        <w:t>Background</w:t>
      </w:r>
      <w:bookmarkEnd w:id="55"/>
    </w:p>
    <w:p w14:paraId="763343FE" w14:textId="77777777" w:rsidR="002C64D4" w:rsidRDefault="002C64D4" w:rsidP="002C64D4">
      <w:pPr>
        <w:pStyle w:val="Heading3"/>
      </w:pPr>
      <w:r>
        <w:t>Points of obligation for liquid fossil fuels</w:t>
      </w:r>
    </w:p>
    <w:p w14:paraId="27C45CEA" w14:textId="12624695" w:rsidR="002C64D4" w:rsidRDefault="002C64D4" w:rsidP="002C64D4">
      <w:pPr>
        <w:pStyle w:val="BodyText"/>
      </w:pPr>
      <w:r w:rsidRPr="00F27CFF">
        <w:t>Points of obligation are defined by legislation for each greenhouse gas emitting activity</w:t>
      </w:r>
      <w:r>
        <w:t>.</w:t>
      </w:r>
      <w:r w:rsidRPr="00F27CFF">
        <w:t xml:space="preserve"> </w:t>
      </w:r>
      <w:r>
        <w:t>Liquid fossil fuel emission</w:t>
      </w:r>
      <w:r w:rsidRPr="00F27CFF">
        <w:t xml:space="preserve"> obligations apply at the point </w:t>
      </w:r>
      <w:r>
        <w:t>where fuel is removed from import or refining for consumption. This means fuel suppliers</w:t>
      </w:r>
      <w:r w:rsidRPr="00F27CFF">
        <w:t xml:space="preserve"> measur</w:t>
      </w:r>
      <w:r>
        <w:t>e</w:t>
      </w:r>
      <w:r w:rsidRPr="00F27CFF">
        <w:t xml:space="preserve"> and report the emissions from </w:t>
      </w:r>
      <w:r>
        <w:t xml:space="preserve">the </w:t>
      </w:r>
      <w:r w:rsidRPr="00F27CFF">
        <w:t>carbon emitting fuel they supply to the New Zealand market</w:t>
      </w:r>
      <w:r>
        <w:t>, less any intended for export, allowing</w:t>
      </w:r>
      <w:r w:rsidRPr="00F27CFF">
        <w:t xml:space="preserve"> most of the emissions from fuel use</w:t>
      </w:r>
      <w:r>
        <w:t xml:space="preserve"> to be accounted for</w:t>
      </w:r>
      <w:r w:rsidRPr="00F27CFF">
        <w:t>. For purchasers/users of the carbon-emitting fuel, there are no mandatory NZ ETS obligations to measure or report emissions.</w:t>
      </w:r>
    </w:p>
    <w:p w14:paraId="332D3761" w14:textId="77777777" w:rsidR="002C64D4" w:rsidRPr="00F27CFF" w:rsidRDefault="002C64D4" w:rsidP="002C64D4">
      <w:pPr>
        <w:pStyle w:val="Heading3"/>
      </w:pPr>
      <w:r>
        <w:t>Large fuel users can opt-in to the NZ ETS</w:t>
      </w:r>
    </w:p>
    <w:p w14:paraId="68B24AD2" w14:textId="77777777" w:rsidR="002C64D4" w:rsidRPr="00F27CFF" w:rsidRDefault="002C64D4" w:rsidP="002C64D4">
      <w:pPr>
        <w:pStyle w:val="BodyText"/>
      </w:pPr>
      <w:r>
        <w:t xml:space="preserve">Despite fuel use not being a point of obligation as described above, the Act allows large fuel users to voluntarily opt-in to the NZ ETS. By doing this, they take on the obligation themselves, with a corresponding carve-out of the upstream obligation from the supplier. There is one liquid fossil fuel opt-in participant at present; Air NZ Limited. </w:t>
      </w:r>
    </w:p>
    <w:p w14:paraId="1AED382D" w14:textId="77777777" w:rsidR="002C64D4" w:rsidRPr="00F27CFF" w:rsidRDefault="002C64D4" w:rsidP="002C64D4">
      <w:pPr>
        <w:pStyle w:val="Heading3"/>
      </w:pPr>
      <w:r>
        <w:lastRenderedPageBreak/>
        <w:t>The impact of biofuel on NZ ETS participant emissions calculations</w:t>
      </w:r>
    </w:p>
    <w:p w14:paraId="1990E0AE" w14:textId="77777777" w:rsidR="002C64D4" w:rsidRPr="00F27CFF" w:rsidRDefault="002C64D4" w:rsidP="002C64D4">
      <w:pPr>
        <w:pStyle w:val="BodyText"/>
      </w:pPr>
      <w:r>
        <w:t xml:space="preserve">The NZ ETS puts an emissions price on almost all liquid fossil fuels. The person </w:t>
      </w:r>
      <w:r w:rsidRPr="00F27CFF">
        <w:t xml:space="preserve">that reports emissions </w:t>
      </w:r>
      <w:r>
        <w:t xml:space="preserve">– </w:t>
      </w:r>
      <w:r w:rsidRPr="00F27CFF">
        <w:t xml:space="preserve">either the fuel supplier or an opt-in participant </w:t>
      </w:r>
      <w:r>
        <w:t xml:space="preserve">– should not include </w:t>
      </w:r>
      <w:r w:rsidRPr="00F27CFF">
        <w:t xml:space="preserve">any biofuel </w:t>
      </w:r>
      <w:r>
        <w:t xml:space="preserve">supplied or used when determining the amount of fuel for their emissions calculations. </w:t>
      </w:r>
    </w:p>
    <w:p w14:paraId="66082DE1" w14:textId="77777777" w:rsidR="002C64D4" w:rsidRDefault="002C64D4" w:rsidP="002C64D4">
      <w:pPr>
        <w:pStyle w:val="BodyText"/>
      </w:pPr>
      <w:r>
        <w:t>Biofuels can replace fossil fuels. If the supplier supplies biofuels,</w:t>
      </w:r>
      <w:r w:rsidDel="00DF061F">
        <w:t xml:space="preserve"> </w:t>
      </w:r>
      <w:r>
        <w:t>this should not be part of their emissions obligations. This is because burning biofuel does not add to atmospheric concentrations of greenhouse gases</w:t>
      </w:r>
      <w:r w:rsidRPr="007D3EBA">
        <w:t>.</w:t>
      </w:r>
      <w:r>
        <w:t xml:space="preserve"> Similarly, opt-in participants do not need to account for the biofuels they receive from the obligation fuel supplier.</w:t>
      </w:r>
    </w:p>
    <w:p w14:paraId="62D4F331" w14:textId="77777777" w:rsidR="002C64D4" w:rsidRDefault="002C64D4" w:rsidP="002C64D4">
      <w:pPr>
        <w:pStyle w:val="BodyText"/>
      </w:pPr>
      <w:r>
        <w:t>SAF is a form of biofuel. This document explores an opportunity to increase the use of SAF by changing the methodologies in the regulations. In this case, the possible SAF supplier is also the opt-in airline participant.</w:t>
      </w:r>
    </w:p>
    <w:p w14:paraId="1E829291" w14:textId="77777777" w:rsidR="002C64D4" w:rsidRDefault="002C64D4" w:rsidP="002C64D4">
      <w:pPr>
        <w:pStyle w:val="BodyText"/>
        <w:rPr>
          <w:rFonts w:eastAsia="Calibri" w:cs="Calibri"/>
          <w:color w:val="000000" w:themeColor="text1"/>
        </w:rPr>
      </w:pPr>
      <w:r>
        <w:t xml:space="preserve">The diagram below outlines </w:t>
      </w:r>
      <w:r w:rsidRPr="3A299E76">
        <w:rPr>
          <w:rFonts w:eastAsia="Calibri" w:cs="Calibri"/>
          <w:color w:val="000000" w:themeColor="text1"/>
        </w:rPr>
        <w:t xml:space="preserve">how the supply of biofuels from an opt-in airline participant impacts the emissions costs for other airlines. </w:t>
      </w:r>
    </w:p>
    <w:p w14:paraId="123D9082" w14:textId="5F6DC8F5" w:rsidR="002C64D4" w:rsidRDefault="002C64D4" w:rsidP="002C64D4">
      <w:pPr>
        <w:pStyle w:val="BodyText"/>
        <w:rPr>
          <w:color w:val="000000" w:themeColor="text1"/>
        </w:rPr>
      </w:pPr>
      <w:r w:rsidRPr="3A299E76">
        <w:rPr>
          <w:color w:val="000000" w:themeColor="text1"/>
        </w:rPr>
        <w:t>For the purposes of this diagram, we have simplified the values.</w:t>
      </w:r>
      <w:r>
        <w:rPr>
          <w:color w:val="000000" w:themeColor="text1"/>
        </w:rPr>
        <w:t xml:space="preserve"> Explanations of the scenarios are below the diagram. </w:t>
      </w:r>
    </w:p>
    <w:p w14:paraId="79ABAA1D" w14:textId="5F6DC8F5" w:rsidR="002F72C9" w:rsidRDefault="002F72C9">
      <w:pPr>
        <w:rPr>
          <w:rFonts w:ascii="Calibri" w:eastAsia="Times New Roman" w:hAnsi="Calibri" w:cs="Times New Roman"/>
          <w:b/>
          <w:bCs/>
          <w:lang w:eastAsia="en-NZ"/>
        </w:rPr>
      </w:pPr>
      <w:r>
        <w:rPr>
          <w:b/>
          <w:bCs/>
        </w:rPr>
        <w:br w:type="page"/>
      </w:r>
    </w:p>
    <w:p w14:paraId="5EDD77CF" w14:textId="77777777" w:rsidR="002C64D4" w:rsidRDefault="002C64D4" w:rsidP="00BA16C9">
      <w:pPr>
        <w:pStyle w:val="Tableheading"/>
        <w:rPr>
          <w:rFonts w:eastAsia="Calibri"/>
        </w:rPr>
      </w:pPr>
      <w:r w:rsidRPr="5F44C428">
        <w:rPr>
          <w:bCs/>
        </w:rPr>
        <w:lastRenderedPageBreak/>
        <w:t>Figure 1:</w:t>
      </w:r>
      <w:r>
        <w:t xml:space="preserve"> Impacts of biofuel supply </w:t>
      </w:r>
      <w:r w:rsidRPr="5F44C428">
        <w:rPr>
          <w:rFonts w:eastAsia="Calibri"/>
        </w:rPr>
        <w:t>for other airlines that are not in the NZ ETS</w:t>
      </w:r>
    </w:p>
    <w:p w14:paraId="714A1CF5" w14:textId="77777777" w:rsidR="002C64D4" w:rsidRDefault="002C64D4" w:rsidP="002C64D4">
      <w:pPr>
        <w:pStyle w:val="BodyText"/>
        <w:rPr>
          <w:rFonts w:eastAsia="Georgia"/>
        </w:rPr>
      </w:pPr>
      <w:r>
        <w:rPr>
          <w:noProof/>
        </w:rPr>
        <w:drawing>
          <wp:inline distT="0" distB="0" distL="0" distR="0" wp14:anchorId="50B8FBD6" wp14:editId="60370A1A">
            <wp:extent cx="5653454" cy="6340324"/>
            <wp:effectExtent l="0" t="0" r="4445" b="3810"/>
            <wp:docPr id="1451097989" name="Picture 14510979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97989" name="Picture 1451097989"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660735" cy="6348490"/>
                    </a:xfrm>
                    <a:prstGeom prst="rect">
                      <a:avLst/>
                    </a:prstGeom>
                  </pic:spPr>
                </pic:pic>
              </a:graphicData>
            </a:graphic>
          </wp:inline>
        </w:drawing>
      </w:r>
      <w:bookmarkStart w:id="56" w:name="_Toc95397101"/>
    </w:p>
    <w:p w14:paraId="4345DE43" w14:textId="12509CFB" w:rsidR="002C64D4" w:rsidRPr="009C129D" w:rsidRDefault="002C64D4" w:rsidP="006F0AE9">
      <w:pPr>
        <w:pStyle w:val="Heading4"/>
        <w:rPr>
          <w:rFonts w:eastAsia="Georgia"/>
        </w:rPr>
      </w:pPr>
      <w:r w:rsidRPr="009C129D">
        <w:rPr>
          <w:rFonts w:eastAsia="Georgia"/>
        </w:rPr>
        <w:t>Status quo with no supply of biofuels</w:t>
      </w:r>
    </w:p>
    <w:p w14:paraId="6A6C8289" w14:textId="443AA062" w:rsidR="002C64D4" w:rsidRPr="00B67D32" w:rsidRDefault="002C64D4" w:rsidP="009C129D">
      <w:pPr>
        <w:pStyle w:val="BodyText"/>
      </w:pPr>
      <w:r w:rsidRPr="7F6C693E">
        <w:t>Under the status quo with no supply of biofuels the opt-in participant is responsible for 80 kilolitres of liquid fossil fuel (80%), and no ETS costs passed through to them from the obligation fuel supplier. This is because that participant has taken the ETS obligation on themselves, and the fuel supplier does not need to report the emissions or surrender units from that portion of fuel supply.</w:t>
      </w:r>
    </w:p>
    <w:p w14:paraId="5FD8A593" w14:textId="46B7D6D1" w:rsidR="002C64D4" w:rsidRDefault="002C64D4" w:rsidP="009C129D">
      <w:pPr>
        <w:pStyle w:val="BodyText"/>
      </w:pPr>
      <w:r w:rsidRPr="7F6C693E">
        <w:t>Other airlines purchase 20 kilolitres of liquid fossil fuel (20%). The fuel supplier probably passes through the ETS costs to the other airlines through the price of the fuel.</w:t>
      </w:r>
    </w:p>
    <w:p w14:paraId="1554D025" w14:textId="5F6DC8F5" w:rsidR="002C64D4" w:rsidRPr="009C129D" w:rsidRDefault="002C64D4" w:rsidP="009C129D">
      <w:pPr>
        <w:pStyle w:val="BodyText"/>
      </w:pPr>
    </w:p>
    <w:p w14:paraId="3BA43E00" w14:textId="5F6DC8F5" w:rsidR="009C129D" w:rsidRDefault="009C129D">
      <w:pPr>
        <w:rPr>
          <w:rFonts w:ascii="Georgia" w:eastAsia="Georgia" w:hAnsi="Georgia" w:cs="Georgia"/>
          <w:b/>
          <w:color w:val="000000" w:themeColor="text1"/>
          <w:sz w:val="28"/>
          <w:szCs w:val="28"/>
        </w:rPr>
      </w:pPr>
      <w:r>
        <w:rPr>
          <w:rFonts w:ascii="Georgia" w:eastAsia="Georgia" w:hAnsi="Georgia" w:cs="Georgia"/>
          <w:b/>
          <w:color w:val="000000" w:themeColor="text1"/>
          <w:sz w:val="28"/>
          <w:szCs w:val="28"/>
        </w:rPr>
        <w:br w:type="page"/>
      </w:r>
    </w:p>
    <w:p w14:paraId="71C1E9D0" w14:textId="4BDC6F47" w:rsidR="002C64D4" w:rsidRPr="0026428E" w:rsidRDefault="002C64D4" w:rsidP="006F0AE9">
      <w:pPr>
        <w:pStyle w:val="Heading4"/>
        <w:rPr>
          <w:rFonts w:eastAsia="Georgia"/>
        </w:rPr>
      </w:pPr>
      <w:r w:rsidRPr="5F44C428">
        <w:rPr>
          <w:rFonts w:eastAsia="Georgia"/>
        </w:rPr>
        <w:lastRenderedPageBreak/>
        <w:t>Status quo with supply of biofuels from opt-in participant</w:t>
      </w:r>
    </w:p>
    <w:p w14:paraId="3733D09E" w14:textId="17B6CC9F" w:rsidR="002C64D4" w:rsidRPr="009C129D" w:rsidRDefault="002C64D4" w:rsidP="009C129D">
      <w:pPr>
        <w:pStyle w:val="BodyText"/>
      </w:pPr>
      <w:r w:rsidRPr="7F6C693E">
        <w:t xml:space="preserve">Under the status quo with new supply of biofuels (from the opt-in participant), 40 kilolitres of biofuel replace the need for </w:t>
      </w:r>
      <w:r w:rsidR="005750DF">
        <w:t>4</w:t>
      </w:r>
      <w:r w:rsidRPr="7F6C693E">
        <w:t>0 kilolitres of liquid fossil fuel.</w:t>
      </w:r>
    </w:p>
    <w:p w14:paraId="59D70135" w14:textId="1474287D" w:rsidR="002C64D4" w:rsidRPr="009C129D" w:rsidRDefault="002C64D4" w:rsidP="009C129D">
      <w:pPr>
        <w:pStyle w:val="BodyText"/>
      </w:pPr>
      <w:r w:rsidRPr="7F6C693E">
        <w:t>The opt-in participant pays for the 40 kilolitres of supplied biofuel but can only use the emissions benefits from consuming 32 kilolitres of it because of the regulations and the airport fuel supply infrastructure. The opt-in participant continues to report for 48 kilolitres of liquid fossil fuel (80% of the total fossil fuel consumed)</w:t>
      </w:r>
      <w:r w:rsidR="009C129D">
        <w:t>.</w:t>
      </w:r>
    </w:p>
    <w:p w14:paraId="285636DB" w14:textId="5F6DC8F5" w:rsidR="002C64D4" w:rsidRDefault="002C64D4" w:rsidP="009C129D">
      <w:pPr>
        <w:pStyle w:val="BodyText"/>
      </w:pPr>
      <w:r w:rsidRPr="7F6C693E">
        <w:t>The obligation fuel supplier is responsible for the ETS obligations for the remaining 12 kilolitres of fossil fuel, which it is likely to pass through to the other airlines. This is a reduction because less fossil fuel is being supplied due to the biofuel substitution at the airport fuel supply infrastructure.</w:t>
      </w:r>
    </w:p>
    <w:p w14:paraId="5B2B3C2D" w14:textId="41757788" w:rsidR="002C64D4" w:rsidRPr="0026428E" w:rsidRDefault="002C64D4" w:rsidP="006F0AE9">
      <w:pPr>
        <w:pStyle w:val="Heading4"/>
        <w:rPr>
          <w:rFonts w:eastAsia="Georgia"/>
        </w:rPr>
      </w:pPr>
      <w:r w:rsidRPr="5F44C428">
        <w:rPr>
          <w:rFonts w:eastAsia="Georgia"/>
        </w:rPr>
        <w:t>Option 2 with supply of biofuels from opt-in participant</w:t>
      </w:r>
    </w:p>
    <w:p w14:paraId="24B07C04" w14:textId="4BF84117" w:rsidR="002C64D4" w:rsidRPr="009C129D" w:rsidRDefault="002C64D4" w:rsidP="009C129D">
      <w:pPr>
        <w:pStyle w:val="BodyText"/>
      </w:pPr>
      <w:r w:rsidRPr="7F6C693E">
        <w:t>Under option 2, despite the opt in participant actually consuming 48 kilolitres of liquid fossil fuel (80%), it is able to reduce its emissions costs by deducting the full supply of biofuel from fuels consumed. While it will still be consuming 48 kilolitres of fossil fuel, it will only report emissions for 40 kilolitres. This is because its supply of biofuels to the other users displaced 8 kilolitres of fossil fuels. While the opt in participant only uses 32 kilolitres of the biofuel, it receives the full benefit of supplying the total 40 kilolitres.</w:t>
      </w:r>
    </w:p>
    <w:p w14:paraId="21926DFC" w14:textId="5F6DC8F5" w:rsidR="002C64D4" w:rsidRPr="009C129D" w:rsidRDefault="002C64D4" w:rsidP="009C129D">
      <w:pPr>
        <w:pStyle w:val="BodyText"/>
      </w:pPr>
      <w:r w:rsidRPr="7F6C693E">
        <w:t xml:space="preserve">Initially, the obligation fuel supplier will calculate emissions having supplied 60 kilolitres of fossil fuel. Consequently, </w:t>
      </w:r>
      <w:r w:rsidR="00CE63D5">
        <w:t>i</w:t>
      </w:r>
      <w:r w:rsidRPr="7F6C693E">
        <w:t>t also receives the full benefit of the biofuel supply. There is a double counting of the emissions benefit from reduced fossil fuel supply to the other airlines</w:t>
      </w:r>
      <w:r w:rsidRPr="009C129D">
        <w:t>.</w:t>
      </w:r>
    </w:p>
    <w:p w14:paraId="48405104" w14:textId="19586DE3" w:rsidR="002C64D4" w:rsidRPr="009C129D" w:rsidRDefault="002C64D4" w:rsidP="009C129D">
      <w:pPr>
        <w:pStyle w:val="BodyText"/>
      </w:pPr>
      <w:r w:rsidRPr="7F6C693E">
        <w:t>To avoid this double counting, information would need to be shared between the opt-in participant and the fossil fuel supplier. This information would be the difference between the biofuel supplied and what the opt-in participant consumed. This difference would need to be added to the fossil fuel supplier ETS obligation and costs recovered from other airlines.</w:t>
      </w:r>
    </w:p>
    <w:p w14:paraId="6670F139" w14:textId="35B3D423" w:rsidR="002C64D4" w:rsidRPr="009C129D" w:rsidRDefault="002C64D4" w:rsidP="009C129D">
      <w:pPr>
        <w:pStyle w:val="BodyText"/>
        <w:rPr>
          <w:rFonts w:eastAsia="Georgia"/>
        </w:rPr>
      </w:pPr>
      <w:r w:rsidRPr="0026428E">
        <w:t xml:space="preserve">Consequently, under this option and to avoid double counting, those other airlines will face emissions costs for as if they consumed 28 kilolitres of liquid fossil fuel, when they only consumed </w:t>
      </w:r>
      <w:r w:rsidR="00A42F5D">
        <w:br/>
      </w:r>
      <w:r w:rsidRPr="0026428E">
        <w:t>12 kilolitres.</w:t>
      </w:r>
    </w:p>
    <w:p w14:paraId="15E311B1" w14:textId="77777777" w:rsidR="002C64D4" w:rsidRPr="000A38B1" w:rsidRDefault="002C64D4" w:rsidP="002C64D4">
      <w:pPr>
        <w:pStyle w:val="Heading2"/>
        <w:rPr>
          <w:rFonts w:eastAsia="Georgia" w:cs="Georgia"/>
        </w:rPr>
      </w:pPr>
      <w:r>
        <w:rPr>
          <w:rFonts w:eastAsia="Georgia"/>
        </w:rPr>
        <w:t xml:space="preserve">Why change the Climate Change </w:t>
      </w:r>
      <w:r w:rsidRPr="00411D13">
        <w:rPr>
          <w:rFonts w:eastAsia="Georgia"/>
        </w:rPr>
        <w:t>(Liq</w:t>
      </w:r>
      <w:r w:rsidRPr="000A38B1">
        <w:rPr>
          <w:rFonts w:eastAsia="Georgia" w:cs="Georgia"/>
        </w:rPr>
        <w:t>uid Fossil Fuels) Regulations 2008</w:t>
      </w:r>
      <w:bookmarkEnd w:id="56"/>
    </w:p>
    <w:p w14:paraId="432A820D" w14:textId="77777777" w:rsidR="002C64D4" w:rsidRDefault="002C64D4" w:rsidP="002C64D4">
      <w:pPr>
        <w:pStyle w:val="BodyText"/>
        <w:rPr>
          <w:rFonts w:eastAsia="Calibri"/>
        </w:rPr>
      </w:pPr>
      <w:r w:rsidRPr="25866544">
        <w:rPr>
          <w:rFonts w:cs="Calibri"/>
        </w:rPr>
        <w:t xml:space="preserve">The regulations do not enable an opt-in airline participant that is also a supplier of biofuels to </w:t>
      </w:r>
      <w:r w:rsidRPr="669C67FA">
        <w:rPr>
          <w:rFonts w:cs="Calibri"/>
        </w:rPr>
        <w:t xml:space="preserve">include </w:t>
      </w:r>
      <w:r w:rsidRPr="25866544">
        <w:rPr>
          <w:rFonts w:cs="Calibri"/>
        </w:rPr>
        <w:t xml:space="preserve">the </w:t>
      </w:r>
      <w:r w:rsidRPr="669C67FA">
        <w:rPr>
          <w:rFonts w:cs="Calibri"/>
        </w:rPr>
        <w:t>full emissions impact of supplying</w:t>
      </w:r>
      <w:r w:rsidRPr="25866544">
        <w:rPr>
          <w:rFonts w:cs="Calibri"/>
        </w:rPr>
        <w:t xml:space="preserve"> of biofuels in </w:t>
      </w:r>
      <w:r w:rsidRPr="67C3443D">
        <w:rPr>
          <w:rFonts w:cs="Calibri"/>
        </w:rPr>
        <w:t xml:space="preserve">its </w:t>
      </w:r>
      <w:r w:rsidRPr="25866544">
        <w:rPr>
          <w:rFonts w:cs="Calibri"/>
        </w:rPr>
        <w:t>emissions calculations</w:t>
      </w:r>
      <w:r w:rsidRPr="669C67FA">
        <w:rPr>
          <w:rFonts w:cs="Calibri"/>
        </w:rPr>
        <w:t>. This is partially</w:t>
      </w:r>
      <w:r w:rsidRPr="25866544">
        <w:rPr>
          <w:rFonts w:cs="Calibri"/>
        </w:rPr>
        <w:t xml:space="preserve"> because of airport infrastructure. SAF that has been imported by a supplier cannot be accurately traced into the importing supplier’s planes. This is because all jet fuel, including SAF, is mixed into a common supply tank known as the airport fuel hydrant. The airport fuel hydrant blends all fuel supplies and distributes it to each airline's planes. </w:t>
      </w:r>
      <w:r w:rsidRPr="669C67FA">
        <w:rPr>
          <w:rFonts w:cs="Calibri"/>
        </w:rPr>
        <w:t xml:space="preserve">All users of fuel from the airport fuel hydrant have reduced emissions if biofuel is added, not just the opt in participant. </w:t>
      </w:r>
      <w:r w:rsidRPr="25866544">
        <w:rPr>
          <w:rFonts w:eastAsia="Calibri"/>
        </w:rPr>
        <w:t xml:space="preserve">Therefore, opt-in airline participants that also supply SAF cannot receive the full benefit of the supply under the NZ ETS and thus have less incentive to buy it. </w:t>
      </w:r>
    </w:p>
    <w:p w14:paraId="50CC02E4" w14:textId="77777777" w:rsidR="002C64D4" w:rsidRDefault="002C64D4" w:rsidP="002C64D4">
      <w:pPr>
        <w:pStyle w:val="BodyText"/>
        <w:rPr>
          <w:rFonts w:eastAsia="Calibri"/>
        </w:rPr>
      </w:pPr>
      <w:r w:rsidRPr="67C3443D">
        <w:rPr>
          <w:rFonts w:eastAsia="Calibri"/>
        </w:rPr>
        <w:t xml:space="preserve">If the biofuel was only used by the opt-in participant, then there would be no problem. The opt-in participant is still only required to report emissions from the fossil fuel it uses, which would be less </w:t>
      </w:r>
      <w:r w:rsidRPr="67C3443D">
        <w:rPr>
          <w:rFonts w:eastAsia="Calibri"/>
        </w:rPr>
        <w:lastRenderedPageBreak/>
        <w:t xml:space="preserve">as some have been replaced with biofuels. But because the fuel is mixed, the emissions benefit is shared. </w:t>
      </w:r>
    </w:p>
    <w:p w14:paraId="3D97BA52" w14:textId="77777777" w:rsidR="002C64D4" w:rsidRDefault="002C64D4" w:rsidP="002C64D4">
      <w:pPr>
        <w:pStyle w:val="BodyText"/>
      </w:pPr>
      <w:r>
        <w:t xml:space="preserve">SAF is more expensive than fossil jet fuel. If opt-in participants could include the full volume of SAF supplied in their emissions calculations, this could make its use more economic. </w:t>
      </w:r>
    </w:p>
    <w:p w14:paraId="00D3BF4C" w14:textId="77777777" w:rsidR="002C64D4" w:rsidDel="00C346FE" w:rsidRDefault="002C64D4" w:rsidP="002C64D4">
      <w:pPr>
        <w:pStyle w:val="BodyText"/>
      </w:pPr>
      <w:r w:rsidDel="00C346FE">
        <w:t xml:space="preserve">However, given obligation fuel suppliers would also report less emissions due the substitution of some of its fossil fuel supply with SAF, the amended regulations would also need to avoid double counting. This would occur because the obligation fuel supplier would report less emissions due to some of its supply to </w:t>
      </w:r>
      <w:r>
        <w:t>other airlines</w:t>
      </w:r>
      <w:r w:rsidDel="00C346FE">
        <w:t xml:space="preserve"> being replaced by biofuels. But if the opt-in participant is already claiming those benefits, there would be double counting.</w:t>
      </w:r>
    </w:p>
    <w:p w14:paraId="565E827A" w14:textId="77777777" w:rsidR="002C64D4" w:rsidDel="00C346FE" w:rsidRDefault="002C64D4" w:rsidP="002C64D4">
      <w:pPr>
        <w:pStyle w:val="BodyText"/>
      </w:pPr>
      <w:r w:rsidDel="00C346FE">
        <w:t xml:space="preserve">To avoid double counting, this proposal includes an adjustment to the emissions calculations of obligation fuel suppliers. These suppliers must add to their fuel supply calculations the quantity of fossil fuels displaced by the biofuels used by </w:t>
      </w:r>
      <w:r>
        <w:t>other airlines.</w:t>
      </w:r>
      <w:r w:rsidDel="00C346FE">
        <w:t xml:space="preserve"> This will require information sharing between the opt-in participant</w:t>
      </w:r>
      <w:r>
        <w:t>, other airlines,</w:t>
      </w:r>
      <w:r w:rsidDel="00C346FE">
        <w:t xml:space="preserve"> and the obligation fuel supplier.</w:t>
      </w:r>
    </w:p>
    <w:p w14:paraId="02C0612F" w14:textId="77777777" w:rsidR="002C64D4" w:rsidRDefault="002C64D4" w:rsidP="002C64D4">
      <w:pPr>
        <w:pStyle w:val="Heading2"/>
      </w:pPr>
      <w:bookmarkStart w:id="57" w:name="_Toc95397102"/>
      <w:r>
        <w:rPr>
          <w:rFonts w:eastAsia="Georgia"/>
        </w:rPr>
        <w:t>Legislative requirements for regulations about calculating emissions</w:t>
      </w:r>
      <w:bookmarkEnd w:id="57"/>
      <w:r>
        <w:rPr>
          <w:rFonts w:eastAsia="Georgia"/>
        </w:rPr>
        <w:t xml:space="preserve"> </w:t>
      </w:r>
    </w:p>
    <w:p w14:paraId="295D055E" w14:textId="77777777" w:rsidR="002C64D4" w:rsidRDefault="002C64D4" w:rsidP="002C64D4">
      <w:pPr>
        <w:pStyle w:val="BodyText"/>
        <w:rPr>
          <w:rFonts w:eastAsia="Calibri"/>
        </w:rPr>
      </w:pPr>
      <w:r>
        <w:rPr>
          <w:rFonts w:eastAsia="Calibri"/>
        </w:rPr>
        <w:t xml:space="preserve">Section 62(b) of the Act states a participant must collect data about their activity and calculate their emissions and removals from that activity in accordance with the methodology set out in the regulations. The </w:t>
      </w:r>
      <w:r w:rsidRPr="000857B9">
        <w:rPr>
          <w:rFonts w:eastAsia="Calibri"/>
        </w:rPr>
        <w:t>Climate Change (Liquid Fossil Fuels) Regulations 2008</w:t>
      </w:r>
      <w:r>
        <w:rPr>
          <w:rFonts w:eastAsia="Calibri"/>
        </w:rPr>
        <w:t xml:space="preserve"> set out the information required to be collected and the methodologies to be followed by obligation fuel suppliers and any opt in participants.</w:t>
      </w:r>
    </w:p>
    <w:p w14:paraId="70A3B0F4" w14:textId="77777777" w:rsidR="002C64D4" w:rsidRDefault="002C64D4" w:rsidP="002C64D4">
      <w:pPr>
        <w:pStyle w:val="Heading2"/>
      </w:pPr>
      <w:bookmarkStart w:id="58" w:name="_Toc95397103"/>
      <w:r>
        <w:rPr>
          <w:rFonts w:eastAsia="Georgia"/>
        </w:rPr>
        <w:t>Options</w:t>
      </w:r>
      <w:bookmarkEnd w:id="58"/>
    </w:p>
    <w:p w14:paraId="52C86E43" w14:textId="77777777" w:rsidR="002C64D4" w:rsidRDefault="002C64D4" w:rsidP="002C64D4">
      <w:pPr>
        <w:pStyle w:val="BodyText"/>
      </w:pPr>
      <w:r>
        <w:t xml:space="preserve">The options for addressing this issue are limited to the status quo or adjusting the methodologies for obligation fuel suppliers and opt-in participants where an opt-in participant also supplies biofuels to the market. </w:t>
      </w:r>
    </w:p>
    <w:p w14:paraId="6E3AD049" w14:textId="77777777" w:rsidR="002C64D4" w:rsidRPr="0009669D" w:rsidRDefault="002C64D4" w:rsidP="002C64D4">
      <w:pPr>
        <w:pStyle w:val="BodyText"/>
        <w:rPr>
          <w:rStyle w:val="normaltextrun"/>
        </w:rPr>
      </w:pPr>
      <w:r>
        <w:rPr>
          <w:rStyle w:val="normaltextrun"/>
          <w:rFonts w:cs="Calibri"/>
        </w:rPr>
        <w:t>We considered only updating the methodology that opt-in participants use. However, we decided that only</w:t>
      </w:r>
      <w:r w:rsidRPr="0009669D">
        <w:rPr>
          <w:rStyle w:val="normaltextrun"/>
        </w:rPr>
        <w:t xml:space="preserve"> updating the methodology for opt-in participants</w:t>
      </w:r>
      <w:r>
        <w:rPr>
          <w:rStyle w:val="normaltextrun"/>
        </w:rPr>
        <w:t xml:space="preserve"> </w:t>
      </w:r>
      <w:r w:rsidRPr="0009669D">
        <w:rPr>
          <w:rStyle w:val="normaltextrun"/>
        </w:rPr>
        <w:t>would lead to the double counting of emissions. This is not in line with the objectives of the NZ ETS and poses risks New Zealand meeting its climate change objectives.</w:t>
      </w:r>
    </w:p>
    <w:p w14:paraId="61557974" w14:textId="77777777" w:rsidR="002C64D4" w:rsidRPr="0009669D" w:rsidRDefault="002C64D4" w:rsidP="002C64D4">
      <w:pPr>
        <w:pStyle w:val="BodyText"/>
      </w:pPr>
      <w:r>
        <w:rPr>
          <w:rStyle w:val="normaltextrun"/>
          <w:rFonts w:cs="Calibri"/>
        </w:rPr>
        <w:t>As a result of the above, we have assessed one option against the status quo or no regulatory change.</w:t>
      </w:r>
    </w:p>
    <w:p w14:paraId="27213793" w14:textId="77777777" w:rsidR="002C64D4" w:rsidRDefault="002C64D4" w:rsidP="002C64D4">
      <w:pPr>
        <w:pStyle w:val="Heading3"/>
        <w:rPr>
          <w:rFonts w:ascii="Calibri" w:hAnsi="Calibri"/>
          <w:sz w:val="22"/>
        </w:rPr>
      </w:pPr>
      <w:bookmarkStart w:id="59" w:name="_Toc95397104"/>
      <w:r>
        <w:rPr>
          <w:rFonts w:eastAsia="Georgia" w:cs="Georgia"/>
          <w:color w:val="000000" w:themeColor="text1"/>
        </w:rPr>
        <w:t xml:space="preserve">Option 1: Status quo </w:t>
      </w:r>
      <w:r w:rsidRPr="0215BC76">
        <w:rPr>
          <w:rFonts w:eastAsia="Georgia" w:cs="Georgia"/>
          <w:color w:val="000000" w:themeColor="text1"/>
        </w:rPr>
        <w:t>— no</w:t>
      </w:r>
      <w:r>
        <w:rPr>
          <w:rFonts w:eastAsia="Georgia" w:cs="Georgia"/>
          <w:color w:val="000000" w:themeColor="text1"/>
        </w:rPr>
        <w:t xml:space="preserve"> change to the C</w:t>
      </w:r>
      <w:r>
        <w:t>limate Change (Liquid Fossil Fuel) Regulations 2008</w:t>
      </w:r>
      <w:bookmarkEnd w:id="59"/>
    </w:p>
    <w:p w14:paraId="405DD37A" w14:textId="77777777" w:rsidR="002C64D4" w:rsidRDefault="002C64D4" w:rsidP="002C64D4">
      <w:pPr>
        <w:pStyle w:val="BodyText"/>
      </w:pPr>
      <w:r>
        <w:t xml:space="preserve">Under this option, there would be no change to the current list of obligations fuels or the prescribed methodology. </w:t>
      </w:r>
    </w:p>
    <w:p w14:paraId="6A86B753" w14:textId="77777777" w:rsidR="002C64D4" w:rsidRDefault="002C64D4" w:rsidP="002C64D4">
      <w:pPr>
        <w:pStyle w:val="BodyText"/>
      </w:pPr>
      <w:r>
        <w:t xml:space="preserve">The supply and use of biofuels depends largely on how cost competitive they are against other fuels, as well as any legal requirements. A biofuel supplier benefits from emissions pricing as the price of emission units increases the costs of using fossil fuel, making biofuels more cost competitive. Biofuel demand may increase over time and influence a wide range of supply- and demand-side changes. This impact on relative costs is a core feature of any emissions pricing regime. </w:t>
      </w:r>
    </w:p>
    <w:p w14:paraId="4D33DA58" w14:textId="77777777" w:rsidR="002C64D4" w:rsidRDefault="002C64D4" w:rsidP="002C64D4">
      <w:pPr>
        <w:pStyle w:val="BodyText"/>
      </w:pPr>
      <w:r>
        <w:lastRenderedPageBreak/>
        <w:t xml:space="preserve">Under the status quo, the opt-in participant should not include any biofuel they used in their emissions calculations and obligations. This begins with recording the fuel they have received from the obligation fuel supplier over the year and noting how much of this is biofuel. Similarly, the upstream obligation fuel supplier will record the fossil fuel supplied to market as well as any biofuels. </w:t>
      </w:r>
    </w:p>
    <w:p w14:paraId="594C5116" w14:textId="77777777" w:rsidR="002C64D4" w:rsidRDefault="002C64D4" w:rsidP="002C64D4">
      <w:pPr>
        <w:pStyle w:val="BodyText"/>
      </w:pPr>
      <w:r>
        <w:t>This proposal examines the situation where if a biofuel supplier is also an opt-in participant, there might be changes to regulations that would further motivate the supply of biofuel.</w:t>
      </w:r>
    </w:p>
    <w:p w14:paraId="5FCFA124" w14:textId="77777777" w:rsidR="002C64D4" w:rsidRDefault="002C64D4" w:rsidP="002C64D4">
      <w:pPr>
        <w:pStyle w:val="Heading3"/>
      </w:pPr>
      <w:bookmarkStart w:id="60" w:name="_Toc95397105"/>
      <w:r>
        <w:t>Option 2: Change the Climate Change (Liquid Fossil Fuel) Regulations 2008</w:t>
      </w:r>
      <w:bookmarkEnd w:id="60"/>
    </w:p>
    <w:p w14:paraId="3B65CE5A" w14:textId="77777777" w:rsidR="002C64D4" w:rsidRDefault="002C64D4" w:rsidP="002C64D4">
      <w:pPr>
        <w:pStyle w:val="BodyText"/>
      </w:pPr>
      <w:r>
        <w:t>Under this option, the prescribed methodologies for how obligation fuel suppliers and opt-in participants calculate emissions would be changed in two ways:</w:t>
      </w:r>
    </w:p>
    <w:p w14:paraId="4BAA183A" w14:textId="77777777" w:rsidR="002C64D4" w:rsidRPr="00544C27" w:rsidRDefault="002C64D4" w:rsidP="002C64D4">
      <w:pPr>
        <w:pStyle w:val="Bullet"/>
        <w:numPr>
          <w:ilvl w:val="0"/>
          <w:numId w:val="15"/>
        </w:numPr>
      </w:pPr>
      <w:r>
        <w:t xml:space="preserve">First, change the methodology for an opt-in participant to require them to collect the volume of biofuel they have supplied in the year to their airport fuel hydrant and used by other airlines. This figure is then deducted from their fuel consumption calculation.  </w:t>
      </w:r>
    </w:p>
    <w:p w14:paraId="5770587D" w14:textId="77777777" w:rsidR="002C64D4" w:rsidRDefault="002C64D4" w:rsidP="002C64D4">
      <w:pPr>
        <w:pStyle w:val="Bullet"/>
        <w:numPr>
          <w:ilvl w:val="0"/>
          <w:numId w:val="15"/>
        </w:numPr>
      </w:pPr>
      <w:r>
        <w:t xml:space="preserve">Secondly, change the methodology for obligation fuel suppliers so that the emissions from fuel that the biofuel has displaced for non-opt-in participants is added to their obligations. This would avoid double counting the emissions benefits of biofuel use. </w:t>
      </w:r>
    </w:p>
    <w:p w14:paraId="666D3B53" w14:textId="77777777" w:rsidR="002C64D4" w:rsidRDefault="002C64D4" w:rsidP="002C64D4">
      <w:pPr>
        <w:pStyle w:val="BodyText"/>
      </w:pPr>
      <w:r>
        <w:t xml:space="preserve">Pending your consultation feedback and consideration by Cabinet, any regulation changes would be published in the New Zealand Gazette by September 2022 and come into force from 1 January 2023. </w:t>
      </w:r>
    </w:p>
    <w:p w14:paraId="0789CC8D" w14:textId="77777777" w:rsidR="002C64D4" w:rsidRPr="00F755A5" w:rsidRDefault="002C64D4" w:rsidP="002C64D4">
      <w:pPr>
        <w:pStyle w:val="Heading2"/>
      </w:pPr>
      <w:bookmarkStart w:id="61" w:name="_Toc95397106"/>
      <w:r>
        <w:rPr>
          <w:rFonts w:eastAsia="Georgia"/>
        </w:rPr>
        <w:t>Analysis</w:t>
      </w:r>
      <w:bookmarkEnd w:id="61"/>
    </w:p>
    <w:p w14:paraId="4C78F831" w14:textId="77777777" w:rsidR="002C64D4" w:rsidRDefault="002C64D4" w:rsidP="002C64D4">
      <w:pPr>
        <w:pStyle w:val="Heading3"/>
      </w:pPr>
      <w:bookmarkStart w:id="62" w:name="_Toc95397107"/>
      <w:r>
        <w:t>Who would be affected by changing the Climate Change (Liquid Fossil Fuels) Regulations 2008?</w:t>
      </w:r>
      <w:bookmarkEnd w:id="62"/>
    </w:p>
    <w:p w14:paraId="57D647C4" w14:textId="77777777" w:rsidR="002C64D4" w:rsidRDefault="002C64D4" w:rsidP="002C64D4">
      <w:pPr>
        <w:pStyle w:val="BodyText"/>
      </w:pPr>
      <w:r>
        <w:t xml:space="preserve">Changing the regulations would affect obligation fuel suppliers and all users of obligation fuel where there is an opt-in participant who is also supplying biofuel into the distribution system at an airport. </w:t>
      </w:r>
      <w:bookmarkStart w:id="63" w:name="_Toc95397108"/>
      <w:r>
        <w:t>Assessing the options</w:t>
      </w:r>
      <w:bookmarkEnd w:id="63"/>
    </w:p>
    <w:p w14:paraId="528C0D7B" w14:textId="5F6DC8F5" w:rsidR="002C64D4" w:rsidRDefault="002C64D4" w:rsidP="002C64D4">
      <w:pPr>
        <w:pStyle w:val="BodyText"/>
      </w:pPr>
      <w:r>
        <w:t>Table 5 assesses the</w:t>
      </w:r>
      <w:r w:rsidRPr="001C4B34">
        <w:t xml:space="preserve"> status quo against the criteria on page 9, and </w:t>
      </w:r>
      <w:r>
        <w:t>option 2</w:t>
      </w:r>
      <w:r w:rsidDel="00A5073D">
        <w:t xml:space="preserve"> </w:t>
      </w:r>
      <w:r>
        <w:t xml:space="preserve">against those same criteria and the status quo. We think the most important criterion for this decision is alignment with the NZ ETS objectives. </w:t>
      </w:r>
    </w:p>
    <w:p w14:paraId="5D83DDCC" w14:textId="5F6DC8F5" w:rsidR="001C4BA7" w:rsidRDefault="001C4BA7">
      <w:pPr>
        <w:rPr>
          <w:rFonts w:ascii="Calibri" w:eastAsia="Times New Roman" w:hAnsi="Calibri" w:cs="Times New Roman"/>
          <w:b/>
          <w:color w:val="000000" w:themeColor="text1"/>
          <w:sz w:val="18"/>
          <w:szCs w:val="18"/>
          <w:lang w:eastAsia="en-NZ"/>
        </w:rPr>
      </w:pPr>
      <w:r>
        <w:rPr>
          <w:sz w:val="18"/>
          <w:szCs w:val="18"/>
        </w:rPr>
        <w:br w:type="page"/>
      </w:r>
    </w:p>
    <w:p w14:paraId="61EE1B5F" w14:textId="0DC51A05" w:rsidR="002C64D4" w:rsidRDefault="002C64D4" w:rsidP="002C64D4">
      <w:pPr>
        <w:pStyle w:val="Tableheading"/>
        <w:rPr>
          <w:sz w:val="18"/>
          <w:szCs w:val="18"/>
        </w:rPr>
      </w:pPr>
      <w:r>
        <w:rPr>
          <w:sz w:val="18"/>
          <w:szCs w:val="18"/>
        </w:rPr>
        <w:lastRenderedPageBreak/>
        <w:t xml:space="preserve">Table 5: </w:t>
      </w:r>
      <w:r w:rsidRPr="0215BC76">
        <w:rPr>
          <w:sz w:val="18"/>
          <w:szCs w:val="18"/>
        </w:rPr>
        <w:t>Assessing</w:t>
      </w:r>
      <w:r>
        <w:rPr>
          <w:sz w:val="18"/>
          <w:szCs w:val="18"/>
        </w:rPr>
        <w:t xml:space="preserve"> option 2 against </w:t>
      </w:r>
      <w:r w:rsidRPr="3AEDF885">
        <w:rPr>
          <w:sz w:val="18"/>
          <w:szCs w:val="18"/>
        </w:rPr>
        <w:t xml:space="preserve">the </w:t>
      </w:r>
      <w:r>
        <w:rPr>
          <w:sz w:val="18"/>
          <w:szCs w:val="18"/>
        </w:rPr>
        <w:t xml:space="preserve">status quo </w:t>
      </w:r>
    </w:p>
    <w:tbl>
      <w:tblPr>
        <w:tblW w:w="8505" w:type="dxa"/>
        <w:tblInd w:w="113"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1701"/>
        <w:gridCol w:w="1701"/>
        <w:gridCol w:w="1701"/>
        <w:gridCol w:w="1701"/>
        <w:gridCol w:w="1701"/>
      </w:tblGrid>
      <w:tr w:rsidR="002C64D4" w:rsidRPr="00544C27" w14:paraId="0EE3039F" w14:textId="77777777" w:rsidTr="00DA2CBF">
        <w:trPr>
          <w:trHeight w:val="360"/>
        </w:trPr>
        <w:tc>
          <w:tcPr>
            <w:tcW w:w="1728" w:type="dxa"/>
            <w:tcBorders>
              <w:top w:val="single" w:sz="4" w:space="0" w:color="1C556C"/>
              <w:left w:val="nil"/>
              <w:bottom w:val="single" w:sz="4" w:space="0" w:color="1C556C"/>
              <w:right w:val="single" w:sz="4" w:space="0" w:color="1C556C"/>
            </w:tcBorders>
            <w:shd w:val="clear" w:color="auto" w:fill="1B556B"/>
            <w:hideMark/>
          </w:tcPr>
          <w:p w14:paraId="069CF6BD" w14:textId="77777777" w:rsidR="002C64D4" w:rsidRPr="00544C27" w:rsidRDefault="002C64D4" w:rsidP="00DA2CBF">
            <w:pPr>
              <w:pStyle w:val="TableTextbold"/>
              <w:rPr>
                <w:color w:val="FFFFFF" w:themeColor="background1"/>
                <w:sz w:val="20"/>
                <w:szCs w:val="20"/>
              </w:rPr>
            </w:pPr>
            <w:r w:rsidRPr="00544C27">
              <w:rPr>
                <w:color w:val="FFFFFF" w:themeColor="background1"/>
                <w:sz w:val="20"/>
                <w:szCs w:val="20"/>
              </w:rPr>
              <w:t>Option</w:t>
            </w:r>
          </w:p>
        </w:tc>
        <w:tc>
          <w:tcPr>
            <w:tcW w:w="1728" w:type="dxa"/>
            <w:tcBorders>
              <w:top w:val="single" w:sz="4" w:space="0" w:color="1C556C"/>
              <w:left w:val="single" w:sz="4" w:space="0" w:color="1C556C"/>
              <w:bottom w:val="single" w:sz="4" w:space="0" w:color="1C556C"/>
              <w:right w:val="single" w:sz="4" w:space="0" w:color="1C556C"/>
            </w:tcBorders>
            <w:shd w:val="clear" w:color="auto" w:fill="1B556B"/>
            <w:hideMark/>
          </w:tcPr>
          <w:p w14:paraId="4EB2615D" w14:textId="77777777" w:rsidR="002C64D4" w:rsidRPr="00544C27" w:rsidRDefault="002C64D4" w:rsidP="00DA2CBF">
            <w:pPr>
              <w:pStyle w:val="TableTextbold"/>
              <w:rPr>
                <w:color w:val="FFFFFF" w:themeColor="background1"/>
                <w:sz w:val="20"/>
                <w:szCs w:val="20"/>
              </w:rPr>
            </w:pPr>
            <w:r w:rsidRPr="00544C27">
              <w:rPr>
                <w:color w:val="FFFFFF" w:themeColor="background1"/>
                <w:sz w:val="20"/>
                <w:szCs w:val="20"/>
              </w:rPr>
              <w:t xml:space="preserve">Alignment </w:t>
            </w:r>
          </w:p>
        </w:tc>
        <w:tc>
          <w:tcPr>
            <w:tcW w:w="1728" w:type="dxa"/>
            <w:tcBorders>
              <w:top w:val="single" w:sz="4" w:space="0" w:color="1C556C"/>
              <w:left w:val="single" w:sz="4" w:space="0" w:color="1C556C"/>
              <w:bottom w:val="single" w:sz="4" w:space="0" w:color="1C556C"/>
              <w:right w:val="single" w:sz="4" w:space="0" w:color="1C556C"/>
            </w:tcBorders>
            <w:shd w:val="clear" w:color="auto" w:fill="1B556B"/>
            <w:hideMark/>
          </w:tcPr>
          <w:p w14:paraId="2C4E092C" w14:textId="77777777" w:rsidR="002C64D4" w:rsidRPr="00544C27" w:rsidRDefault="002C64D4" w:rsidP="00DA2CBF">
            <w:pPr>
              <w:pStyle w:val="TableTextbold"/>
              <w:rPr>
                <w:color w:val="FFFFFF" w:themeColor="background1"/>
                <w:sz w:val="20"/>
                <w:szCs w:val="20"/>
              </w:rPr>
            </w:pPr>
            <w:r w:rsidRPr="00544C27">
              <w:rPr>
                <w:color w:val="FFFFFF" w:themeColor="background1"/>
                <w:sz w:val="20"/>
                <w:szCs w:val="20"/>
              </w:rPr>
              <w:t>Accuracy</w:t>
            </w:r>
          </w:p>
        </w:tc>
        <w:tc>
          <w:tcPr>
            <w:tcW w:w="1728" w:type="dxa"/>
            <w:tcBorders>
              <w:top w:val="single" w:sz="4" w:space="0" w:color="1C556C"/>
              <w:left w:val="single" w:sz="4" w:space="0" w:color="1C556C"/>
              <w:bottom w:val="single" w:sz="4" w:space="0" w:color="1C556C"/>
              <w:right w:val="single" w:sz="4" w:space="0" w:color="1C556C"/>
            </w:tcBorders>
            <w:shd w:val="clear" w:color="auto" w:fill="1B556B"/>
            <w:hideMark/>
          </w:tcPr>
          <w:p w14:paraId="48C2B566" w14:textId="77777777" w:rsidR="002C64D4" w:rsidRPr="00544C27" w:rsidRDefault="002C64D4" w:rsidP="00DA2CBF">
            <w:pPr>
              <w:pStyle w:val="TableTextbold"/>
              <w:rPr>
                <w:color w:val="FFFFFF" w:themeColor="background1"/>
                <w:sz w:val="20"/>
                <w:szCs w:val="20"/>
              </w:rPr>
            </w:pPr>
            <w:r w:rsidRPr="00544C27">
              <w:rPr>
                <w:color w:val="FFFFFF" w:themeColor="background1"/>
                <w:sz w:val="20"/>
                <w:szCs w:val="20"/>
              </w:rPr>
              <w:t xml:space="preserve">Efficiency </w:t>
            </w:r>
          </w:p>
        </w:tc>
        <w:tc>
          <w:tcPr>
            <w:tcW w:w="1728" w:type="dxa"/>
            <w:tcBorders>
              <w:top w:val="single" w:sz="4" w:space="0" w:color="1C556C"/>
              <w:left w:val="single" w:sz="4" w:space="0" w:color="1C556C"/>
              <w:bottom w:val="single" w:sz="4" w:space="0" w:color="1C556C"/>
              <w:right w:val="nil"/>
            </w:tcBorders>
            <w:shd w:val="clear" w:color="auto" w:fill="1B556B"/>
            <w:hideMark/>
          </w:tcPr>
          <w:p w14:paraId="70B5F0C7" w14:textId="77777777" w:rsidR="002C64D4" w:rsidRPr="00544C27" w:rsidRDefault="002C64D4" w:rsidP="00DA2CBF">
            <w:pPr>
              <w:pStyle w:val="TableTextbold"/>
              <w:rPr>
                <w:color w:val="FFFFFF" w:themeColor="background1"/>
                <w:sz w:val="20"/>
                <w:szCs w:val="20"/>
              </w:rPr>
            </w:pPr>
            <w:r w:rsidRPr="00544C27">
              <w:rPr>
                <w:color w:val="FFFFFF" w:themeColor="background1"/>
                <w:sz w:val="20"/>
                <w:szCs w:val="20"/>
              </w:rPr>
              <w:t xml:space="preserve">Clarity </w:t>
            </w:r>
          </w:p>
        </w:tc>
      </w:tr>
      <w:tr w:rsidR="002C64D4" w:rsidRPr="00BD3FAA" w14:paraId="474AA8AB" w14:textId="77777777" w:rsidTr="00DA2CBF">
        <w:trPr>
          <w:trHeight w:val="841"/>
        </w:trPr>
        <w:tc>
          <w:tcPr>
            <w:tcW w:w="1728" w:type="dxa"/>
            <w:tcBorders>
              <w:top w:val="single" w:sz="4" w:space="0" w:color="1C556C"/>
              <w:left w:val="nil"/>
              <w:bottom w:val="single" w:sz="4" w:space="0" w:color="1C556C"/>
              <w:right w:val="single" w:sz="4" w:space="0" w:color="1C556C"/>
            </w:tcBorders>
          </w:tcPr>
          <w:p w14:paraId="360EB205" w14:textId="47848341" w:rsidR="002C64D4" w:rsidRPr="00BD3FAA" w:rsidRDefault="002C64D4" w:rsidP="00BD3FAA">
            <w:pPr>
              <w:pStyle w:val="TableText"/>
              <w:rPr>
                <w:sz w:val="20"/>
                <w:szCs w:val="20"/>
              </w:rPr>
            </w:pPr>
            <w:r w:rsidRPr="00BD3FAA">
              <w:rPr>
                <w:sz w:val="20"/>
                <w:szCs w:val="20"/>
              </w:rPr>
              <w:t xml:space="preserve">Option 1 </w:t>
            </w:r>
            <w:r w:rsidR="00BD3FAA">
              <w:rPr>
                <w:sz w:val="20"/>
                <w:szCs w:val="20"/>
              </w:rPr>
              <w:t>–</w:t>
            </w:r>
            <w:r w:rsidRPr="00BD3FAA">
              <w:rPr>
                <w:sz w:val="20"/>
                <w:szCs w:val="20"/>
              </w:rPr>
              <w:t xml:space="preserve"> Status quo</w:t>
            </w:r>
          </w:p>
        </w:tc>
        <w:tc>
          <w:tcPr>
            <w:tcW w:w="1728" w:type="dxa"/>
            <w:tcBorders>
              <w:top w:val="single" w:sz="4" w:space="0" w:color="1C556C"/>
              <w:left w:val="single" w:sz="4" w:space="0" w:color="1C556C"/>
              <w:bottom w:val="single" w:sz="4" w:space="0" w:color="1C556C"/>
              <w:right w:val="single" w:sz="4" w:space="0" w:color="1C556C"/>
            </w:tcBorders>
          </w:tcPr>
          <w:p w14:paraId="6CD039B0" w14:textId="77777777" w:rsidR="002C64D4" w:rsidRPr="00BD3FAA" w:rsidRDefault="002C64D4" w:rsidP="00BD3FAA">
            <w:pPr>
              <w:pStyle w:val="TableText"/>
              <w:rPr>
                <w:sz w:val="20"/>
                <w:szCs w:val="20"/>
              </w:rPr>
            </w:pPr>
            <w:r w:rsidRPr="00BD3FAA">
              <w:rPr>
                <w:sz w:val="20"/>
                <w:szCs w:val="20"/>
              </w:rPr>
              <w:t xml:space="preserve">Good - the status quo supports global efforts to reduce the emission of greenhouse gases by recognising the emissions benefits from supply biofuels, through reduce obligations for opt-in participants and obligation fuel suppliers. </w:t>
            </w:r>
          </w:p>
        </w:tc>
        <w:tc>
          <w:tcPr>
            <w:tcW w:w="1728" w:type="dxa"/>
            <w:tcBorders>
              <w:top w:val="single" w:sz="4" w:space="0" w:color="1C556C"/>
              <w:left w:val="single" w:sz="4" w:space="0" w:color="1C556C"/>
              <w:bottom w:val="single" w:sz="4" w:space="0" w:color="1C556C"/>
              <w:right w:val="single" w:sz="4" w:space="0" w:color="1C556C"/>
            </w:tcBorders>
          </w:tcPr>
          <w:p w14:paraId="0B4206E8" w14:textId="77777777" w:rsidR="002C64D4" w:rsidRPr="00BD3FAA" w:rsidRDefault="002C64D4" w:rsidP="00BD3FAA">
            <w:pPr>
              <w:pStyle w:val="TableText"/>
              <w:rPr>
                <w:sz w:val="20"/>
                <w:szCs w:val="20"/>
              </w:rPr>
            </w:pPr>
            <w:r w:rsidRPr="00BD3FAA">
              <w:rPr>
                <w:sz w:val="20"/>
                <w:szCs w:val="20"/>
              </w:rPr>
              <w:t xml:space="preserve">Good – the current methodology allows the calculation of fossil fuel   </w:t>
            </w:r>
            <w:r w:rsidRPr="00BD3FAA">
              <w:rPr>
                <w:rFonts w:eastAsia="Calibri"/>
                <w:sz w:val="20"/>
                <w:szCs w:val="20"/>
              </w:rPr>
              <w:t xml:space="preserve">emissions </w:t>
            </w:r>
            <w:r w:rsidRPr="00BD3FAA">
              <w:rPr>
                <w:sz w:val="20"/>
                <w:szCs w:val="20"/>
              </w:rPr>
              <w:t>to be</w:t>
            </w:r>
            <w:r w:rsidRPr="00BD3FAA">
              <w:rPr>
                <w:rFonts w:eastAsia="Calibri"/>
                <w:sz w:val="20"/>
                <w:szCs w:val="20"/>
              </w:rPr>
              <w:t xml:space="preserve"> as close as </w:t>
            </w:r>
            <w:r w:rsidRPr="00BD3FAA">
              <w:rPr>
                <w:sz w:val="20"/>
                <w:szCs w:val="20"/>
              </w:rPr>
              <w:t xml:space="preserve">practically possible to those that are released into the atmosphere from the activity. </w:t>
            </w:r>
          </w:p>
        </w:tc>
        <w:tc>
          <w:tcPr>
            <w:tcW w:w="1728" w:type="dxa"/>
            <w:tcBorders>
              <w:top w:val="single" w:sz="4" w:space="0" w:color="1C556C"/>
              <w:left w:val="single" w:sz="4" w:space="0" w:color="1C556C"/>
              <w:bottom w:val="single" w:sz="4" w:space="0" w:color="1C556C"/>
              <w:right w:val="single" w:sz="4" w:space="0" w:color="1C556C"/>
            </w:tcBorders>
          </w:tcPr>
          <w:p w14:paraId="7F0FB065" w14:textId="77777777" w:rsidR="002C64D4" w:rsidRPr="00BD3FAA" w:rsidRDefault="002C64D4" w:rsidP="00BD3FAA">
            <w:pPr>
              <w:pStyle w:val="TableText"/>
              <w:rPr>
                <w:sz w:val="20"/>
                <w:szCs w:val="20"/>
              </w:rPr>
            </w:pPr>
            <w:r w:rsidRPr="00BD3FAA">
              <w:rPr>
                <w:sz w:val="20"/>
                <w:szCs w:val="20"/>
              </w:rPr>
              <w:t xml:space="preserve">Good – the status quo does not place unnecessary administrative burden between an opt-in participant and an obligation participant. </w:t>
            </w:r>
          </w:p>
        </w:tc>
        <w:tc>
          <w:tcPr>
            <w:tcW w:w="1728" w:type="dxa"/>
            <w:tcBorders>
              <w:top w:val="single" w:sz="4" w:space="0" w:color="1C556C"/>
              <w:left w:val="single" w:sz="4" w:space="0" w:color="1C556C"/>
              <w:bottom w:val="single" w:sz="4" w:space="0" w:color="1C556C"/>
              <w:right w:val="nil"/>
            </w:tcBorders>
          </w:tcPr>
          <w:p w14:paraId="17EF02C9" w14:textId="77777777" w:rsidR="002C64D4" w:rsidRPr="00BD3FAA" w:rsidRDefault="002C64D4" w:rsidP="00BD3FAA">
            <w:pPr>
              <w:pStyle w:val="TableText"/>
              <w:rPr>
                <w:sz w:val="20"/>
                <w:szCs w:val="20"/>
              </w:rPr>
            </w:pPr>
            <w:r w:rsidRPr="00BD3FAA">
              <w:rPr>
                <w:sz w:val="20"/>
                <w:szCs w:val="20"/>
              </w:rPr>
              <w:t xml:space="preserve">No change. </w:t>
            </w:r>
          </w:p>
        </w:tc>
      </w:tr>
      <w:tr w:rsidR="002C64D4" w:rsidRPr="00BD3FAA" w14:paraId="2CB72ABA" w14:textId="77777777" w:rsidTr="00DA2CBF">
        <w:trPr>
          <w:trHeight w:val="2805"/>
        </w:trPr>
        <w:tc>
          <w:tcPr>
            <w:tcW w:w="1728" w:type="dxa"/>
            <w:tcBorders>
              <w:top w:val="single" w:sz="4" w:space="0" w:color="1C556C"/>
              <w:left w:val="nil"/>
              <w:bottom w:val="single" w:sz="4" w:space="0" w:color="1C556C"/>
              <w:right w:val="single" w:sz="4" w:space="0" w:color="1C556C"/>
            </w:tcBorders>
            <w:hideMark/>
          </w:tcPr>
          <w:p w14:paraId="1635852F" w14:textId="77777777" w:rsidR="002C64D4" w:rsidRPr="00BD3FAA" w:rsidRDefault="002C64D4" w:rsidP="00BD3FAA">
            <w:pPr>
              <w:pStyle w:val="TableText"/>
              <w:rPr>
                <w:sz w:val="20"/>
                <w:szCs w:val="20"/>
              </w:rPr>
            </w:pPr>
            <w:r w:rsidRPr="00BD3FAA">
              <w:rPr>
                <w:sz w:val="20"/>
                <w:szCs w:val="20"/>
              </w:rPr>
              <w:t>Option 2</w:t>
            </w:r>
          </w:p>
        </w:tc>
        <w:tc>
          <w:tcPr>
            <w:tcW w:w="1728" w:type="dxa"/>
            <w:tcBorders>
              <w:top w:val="single" w:sz="4" w:space="0" w:color="1C556C"/>
              <w:left w:val="single" w:sz="4" w:space="0" w:color="1C556C"/>
              <w:bottom w:val="single" w:sz="4" w:space="0" w:color="1C556C"/>
              <w:right w:val="single" w:sz="4" w:space="0" w:color="1C556C"/>
            </w:tcBorders>
            <w:hideMark/>
          </w:tcPr>
          <w:p w14:paraId="1E43267B" w14:textId="77777777" w:rsidR="002C64D4" w:rsidRPr="00BD3FAA" w:rsidRDefault="002C64D4" w:rsidP="00BD3FAA">
            <w:pPr>
              <w:pStyle w:val="TableText"/>
              <w:rPr>
                <w:sz w:val="20"/>
                <w:szCs w:val="20"/>
              </w:rPr>
            </w:pPr>
            <w:r w:rsidRPr="00BD3FAA">
              <w:rPr>
                <w:sz w:val="20"/>
                <w:szCs w:val="20"/>
              </w:rPr>
              <w:t>Good – the option performs well against the status quo as it increases the support for biofuel supply and use. This option increases alignment with a key NZ ETS objective to drive investment in lower emission technologies.</w:t>
            </w:r>
          </w:p>
        </w:tc>
        <w:tc>
          <w:tcPr>
            <w:tcW w:w="1728" w:type="dxa"/>
            <w:tcBorders>
              <w:top w:val="single" w:sz="4" w:space="0" w:color="1C556C"/>
              <w:left w:val="single" w:sz="4" w:space="0" w:color="1C556C"/>
              <w:bottom w:val="single" w:sz="4" w:space="0" w:color="1C556C"/>
              <w:right w:val="single" w:sz="4" w:space="0" w:color="1C556C"/>
            </w:tcBorders>
            <w:hideMark/>
          </w:tcPr>
          <w:p w14:paraId="1127FE53" w14:textId="77777777" w:rsidR="002C64D4" w:rsidRPr="00BD3FAA" w:rsidRDefault="002C64D4" w:rsidP="00BD3FAA">
            <w:pPr>
              <w:pStyle w:val="TableText"/>
              <w:rPr>
                <w:sz w:val="20"/>
                <w:szCs w:val="20"/>
              </w:rPr>
            </w:pPr>
            <w:r w:rsidRPr="00BD3FAA">
              <w:rPr>
                <w:sz w:val="20"/>
                <w:szCs w:val="20"/>
              </w:rPr>
              <w:t>Poor – the option requires inaccurate reporting of emissions at the participant level, even though they net out accurately at the sector level.</w:t>
            </w:r>
          </w:p>
        </w:tc>
        <w:tc>
          <w:tcPr>
            <w:tcW w:w="1728" w:type="dxa"/>
            <w:tcBorders>
              <w:top w:val="single" w:sz="4" w:space="0" w:color="1C556C"/>
              <w:left w:val="single" w:sz="4" w:space="0" w:color="1C556C"/>
              <w:bottom w:val="single" w:sz="4" w:space="0" w:color="1C556C"/>
              <w:right w:val="single" w:sz="4" w:space="0" w:color="1C556C"/>
            </w:tcBorders>
            <w:hideMark/>
          </w:tcPr>
          <w:p w14:paraId="46546E20" w14:textId="77777777" w:rsidR="002C64D4" w:rsidRPr="00BD3FAA" w:rsidRDefault="002C64D4" w:rsidP="00BD3FAA">
            <w:pPr>
              <w:pStyle w:val="TableText"/>
              <w:rPr>
                <w:sz w:val="20"/>
                <w:szCs w:val="20"/>
              </w:rPr>
            </w:pPr>
            <w:r w:rsidRPr="00BD3FAA">
              <w:rPr>
                <w:sz w:val="20"/>
                <w:szCs w:val="20"/>
              </w:rPr>
              <w:t>Poor – the option requires additional information sharing and administrative adjustments for the opt-in participant and upstream obligation fuel supplier before</w:t>
            </w:r>
            <w:r w:rsidRPr="00BD3FAA" w:rsidDel="004C569F">
              <w:rPr>
                <w:sz w:val="20"/>
                <w:szCs w:val="20"/>
              </w:rPr>
              <w:t xml:space="preserve"> </w:t>
            </w:r>
            <w:r w:rsidRPr="00BD3FAA">
              <w:rPr>
                <w:sz w:val="20"/>
                <w:szCs w:val="20"/>
              </w:rPr>
              <w:t xml:space="preserve">they submit their emissions returns. </w:t>
            </w:r>
          </w:p>
        </w:tc>
        <w:tc>
          <w:tcPr>
            <w:tcW w:w="1728" w:type="dxa"/>
            <w:tcBorders>
              <w:top w:val="single" w:sz="4" w:space="0" w:color="1C556C"/>
              <w:left w:val="single" w:sz="4" w:space="0" w:color="1C556C"/>
              <w:bottom w:val="single" w:sz="4" w:space="0" w:color="1C556C"/>
              <w:right w:val="nil"/>
            </w:tcBorders>
            <w:hideMark/>
          </w:tcPr>
          <w:p w14:paraId="30118F67" w14:textId="77777777" w:rsidR="002C64D4" w:rsidRPr="00BD3FAA" w:rsidRDefault="002C64D4" w:rsidP="00BD3FAA">
            <w:pPr>
              <w:pStyle w:val="TableText"/>
              <w:rPr>
                <w:sz w:val="20"/>
                <w:szCs w:val="20"/>
              </w:rPr>
            </w:pPr>
            <w:r w:rsidRPr="00BD3FAA">
              <w:rPr>
                <w:sz w:val="20"/>
                <w:szCs w:val="20"/>
              </w:rPr>
              <w:t>No change.</w:t>
            </w:r>
          </w:p>
        </w:tc>
      </w:tr>
    </w:tbl>
    <w:p w14:paraId="09EEDFEA" w14:textId="77777777" w:rsidR="002C64D4" w:rsidRDefault="002C64D4" w:rsidP="002C64D4">
      <w:pPr>
        <w:pStyle w:val="Heading2"/>
        <w:rPr>
          <w:rFonts w:eastAsia="Georgia" w:cs="Georgia"/>
          <w:b w:val="0"/>
          <w:bCs w:val="0"/>
          <w:color w:val="1C556C"/>
          <w:sz w:val="32"/>
          <w:szCs w:val="32"/>
        </w:rPr>
      </w:pPr>
      <w:bookmarkStart w:id="64" w:name="_Toc95397109"/>
      <w:r>
        <w:rPr>
          <w:rFonts w:eastAsia="Georgia"/>
        </w:rPr>
        <w:t>Impacts</w:t>
      </w:r>
      <w:bookmarkEnd w:id="64"/>
    </w:p>
    <w:p w14:paraId="2C10CC48" w14:textId="77777777" w:rsidR="002C64D4" w:rsidRDefault="002C64D4" w:rsidP="002C64D4">
      <w:pPr>
        <w:pStyle w:val="BodyText"/>
      </w:pPr>
      <w:r>
        <w:t xml:space="preserve">Implementing option 2, compared to the status quo, would encourage reduced emissions from domestic aviation by further incentivising the supply of SAF. </w:t>
      </w:r>
    </w:p>
    <w:p w14:paraId="1B79A972" w14:textId="77777777" w:rsidR="002C64D4" w:rsidRDefault="002C64D4" w:rsidP="002C64D4">
      <w:pPr>
        <w:pStyle w:val="BodyText"/>
      </w:pPr>
      <w:r>
        <w:t xml:space="preserve">In effect, the NZ ETS would price the correct amount of emissions. However, the benefits would accrue solely to the opt-in participant who is supplying the SAF into the airport distribution system. It is worth noting this would mean the opt-in participant would no longer be reporting their actual fossil fuel emissions or facing a full NZ ETS cost for those emissions.  </w:t>
      </w:r>
      <w:r w:rsidRPr="00A62C26">
        <w:rPr>
          <w:rFonts w:eastAsia="Segoe UI"/>
        </w:rPr>
        <w:t>Other SAF users may be incurring NZ ETS costs for emissions they have not physically emitted.</w:t>
      </w:r>
    </w:p>
    <w:p w14:paraId="2566323D" w14:textId="77777777" w:rsidR="002C64D4" w:rsidRDefault="002C64D4" w:rsidP="002C64D4">
      <w:pPr>
        <w:pStyle w:val="BodyText"/>
      </w:pPr>
      <w:r>
        <w:t>There is also some precedent risk involved in implementing option 2. There</w:t>
      </w:r>
      <w:r w:rsidDel="00A72360">
        <w:t xml:space="preserve"> </w:t>
      </w:r>
      <w:r>
        <w:t>might be similarities with other NZ ETS activities where an opt-in participant involved in different emissions trading activities could displace emissions within their sector through an upstream intervention. For example, such an occurrence would be possible in natural gas mining.</w:t>
      </w:r>
    </w:p>
    <w:p w14:paraId="5CA20DFF" w14:textId="77777777" w:rsidR="002C64D4" w:rsidRDefault="002C64D4" w:rsidP="002C64D4">
      <w:pPr>
        <w:pStyle w:val="Heading2"/>
        <w:rPr>
          <w:rFonts w:eastAsia="Georgia"/>
        </w:rPr>
      </w:pPr>
      <w:bookmarkStart w:id="65" w:name="_Toc95397110"/>
      <w:r>
        <w:rPr>
          <w:rFonts w:eastAsia="Georgia"/>
        </w:rPr>
        <w:lastRenderedPageBreak/>
        <w:t>Your views</w:t>
      </w:r>
      <w:bookmarkEnd w:id="65"/>
    </w:p>
    <w:p w14:paraId="4FFFE68C" w14:textId="77777777" w:rsidR="002C64D4" w:rsidRDefault="002C64D4" w:rsidP="002C64D4">
      <w:pPr>
        <w:pStyle w:val="BodyText"/>
      </w:pPr>
      <w:r>
        <w:t>We are interested in your views of our assessment against the criteria in table 5. This includes whether you think any criteria should be given more weight than others.</w:t>
      </w:r>
      <w:r>
        <w:rPr>
          <w:rFonts w:eastAsia="Georgia"/>
        </w:rPr>
        <w:t xml:space="preserve"> </w:t>
      </w:r>
    </w:p>
    <w:p w14:paraId="273C6CD1" w14:textId="77777777" w:rsidR="002C64D4" w:rsidRDefault="002C64D4" w:rsidP="002C64D4">
      <w:pPr>
        <w:pStyle w:val="Heading2"/>
        <w:rPr>
          <w:rFonts w:eastAsia="Georgia" w:cs="Georgia"/>
          <w:b w:val="0"/>
          <w:bCs w:val="0"/>
          <w:color w:val="1C556C"/>
        </w:rPr>
      </w:pPr>
      <w:bookmarkStart w:id="66" w:name="_Toc95397111"/>
      <w:r>
        <w:rPr>
          <w:rFonts w:eastAsia="Georgia"/>
        </w:rPr>
        <w:t>Questions</w:t>
      </w:r>
      <w:bookmarkEnd w:id="66"/>
    </w:p>
    <w:p w14:paraId="54274D3D" w14:textId="77777777" w:rsidR="002C64D4" w:rsidRPr="00544C27" w:rsidRDefault="002C64D4" w:rsidP="002C64D4">
      <w:pPr>
        <w:pStyle w:val="Bullet"/>
        <w:numPr>
          <w:ilvl w:val="0"/>
          <w:numId w:val="24"/>
        </w:numPr>
        <w:spacing w:before="120"/>
        <w:rPr>
          <w:rFonts w:eastAsia="Calibri"/>
        </w:rPr>
      </w:pPr>
      <w:r w:rsidRPr="00544C27">
        <w:t xml:space="preserve">To what extent do you agree with the way we have described the issue? Please explain any additional aspects of the problem you think we should consider. </w:t>
      </w:r>
    </w:p>
    <w:p w14:paraId="02CB09A9" w14:textId="77777777" w:rsidR="002C64D4" w:rsidRPr="00544C27" w:rsidRDefault="002C64D4" w:rsidP="002C64D4">
      <w:pPr>
        <w:pStyle w:val="Bullet"/>
        <w:numPr>
          <w:ilvl w:val="0"/>
          <w:numId w:val="24"/>
        </w:numPr>
      </w:pPr>
      <w:r w:rsidRPr="00544C27">
        <w:t xml:space="preserve">Do you agree that the option outlined in this consultation document is the correct one to consider? If not, why not? </w:t>
      </w:r>
    </w:p>
    <w:p w14:paraId="423E4C78" w14:textId="77777777" w:rsidR="002C64D4" w:rsidRPr="00544C27" w:rsidRDefault="002C64D4" w:rsidP="002C64D4">
      <w:pPr>
        <w:pStyle w:val="Bullet"/>
        <w:numPr>
          <w:ilvl w:val="0"/>
          <w:numId w:val="24"/>
        </w:numPr>
        <w:rPr>
          <w:rFonts w:eastAsia="Calibri"/>
        </w:rPr>
      </w:pPr>
      <w:r w:rsidRPr="0215BC76">
        <w:t>Do you have views on the timing for implementing this update?</w:t>
      </w:r>
    </w:p>
    <w:p w14:paraId="6B087AA6" w14:textId="77777777" w:rsidR="002C64D4" w:rsidRDefault="002C64D4" w:rsidP="002C64D4">
      <w:pPr>
        <w:pStyle w:val="Bullet"/>
        <w:numPr>
          <w:ilvl w:val="0"/>
          <w:numId w:val="24"/>
        </w:numPr>
      </w:pPr>
      <w:r w:rsidRPr="0215BC76">
        <w:t>Do you think there are any other options to consider for addressing this issue?</w:t>
      </w:r>
    </w:p>
    <w:p w14:paraId="3F562818" w14:textId="77777777" w:rsidR="002C64D4" w:rsidRPr="00160EEE" w:rsidRDefault="002C64D4" w:rsidP="002C64D4">
      <w:pPr>
        <w:pStyle w:val="Bullet"/>
        <w:numPr>
          <w:ilvl w:val="0"/>
          <w:numId w:val="24"/>
        </w:numPr>
        <w:rPr>
          <w:rFonts w:eastAsia="Calibri"/>
        </w:rPr>
      </w:pPr>
      <w:r w:rsidRPr="00B11056">
        <w:rPr>
          <w:rFonts w:eastAsia="Calibri"/>
        </w:rPr>
        <w:t xml:space="preserve">In </w:t>
      </w:r>
      <w:r w:rsidRPr="00B416A9">
        <w:rPr>
          <w:rFonts w:eastAsia="Calibri"/>
        </w:rPr>
        <w:t>your opinion, could the proposed change</w:t>
      </w:r>
      <w:r>
        <w:rPr>
          <w:rFonts w:eastAsia="Calibri"/>
        </w:rPr>
        <w:t xml:space="preserve"> to</w:t>
      </w:r>
      <w:r w:rsidRPr="00B416A9">
        <w:rPr>
          <w:rFonts w:eastAsia="Calibri"/>
        </w:rPr>
        <w:t xml:space="preserve"> regulations disproportionately impact Māori negatively? If so, what are the impacts? Why might they occur?  </w:t>
      </w:r>
    </w:p>
    <w:p w14:paraId="674CE8DF" w14:textId="77777777" w:rsidR="002C64D4" w:rsidRDefault="002C64D4" w:rsidP="002C64D4">
      <w:pPr>
        <w:pStyle w:val="BodyText"/>
      </w:pPr>
    </w:p>
    <w:p w14:paraId="0C8EB025" w14:textId="77777777" w:rsidR="002C64D4" w:rsidRPr="00140329" w:rsidRDefault="002C64D4" w:rsidP="002C64D4">
      <w:pPr>
        <w:pStyle w:val="BodyText"/>
      </w:pPr>
      <w:r w:rsidRPr="00140329">
        <w:br w:type="page"/>
      </w:r>
    </w:p>
    <w:p w14:paraId="59083BF4" w14:textId="77777777" w:rsidR="002C64D4" w:rsidRDefault="002C64D4" w:rsidP="007200A6">
      <w:pPr>
        <w:pStyle w:val="Heading1"/>
      </w:pPr>
      <w:bookmarkStart w:id="67" w:name="_How_to_have"/>
      <w:bookmarkStart w:id="68" w:name="_Toc69287612"/>
      <w:bookmarkStart w:id="69" w:name="_Ref69373043"/>
      <w:bookmarkStart w:id="70" w:name="_Toc95397112"/>
      <w:bookmarkEnd w:id="67"/>
      <w:r>
        <w:lastRenderedPageBreak/>
        <w:t>How to have your say</w:t>
      </w:r>
      <w:bookmarkEnd w:id="68"/>
      <w:bookmarkEnd w:id="69"/>
      <w:bookmarkEnd w:id="70"/>
    </w:p>
    <w:p w14:paraId="2BF0E88B" w14:textId="77777777" w:rsidR="002C64D4" w:rsidRDefault="002C64D4" w:rsidP="002C64D4">
      <w:pPr>
        <w:pStyle w:val="BodyText"/>
      </w:pPr>
      <w:r>
        <w:t>The Government welcomes your feedback on this consultation document. The questions throughout the document and summarised here are a guide only. You do not have to answer them all and any additional comments are welcome.</w:t>
      </w:r>
    </w:p>
    <w:p w14:paraId="5415DB5C" w14:textId="77777777" w:rsidR="002C64D4" w:rsidRDefault="002C64D4" w:rsidP="002C64D4">
      <w:pPr>
        <w:pStyle w:val="BodyText"/>
      </w:pPr>
      <w:r>
        <w:t>To ensure others clearly understand your point of view, you should explain the reasons for your views and give any supporting evidence.</w:t>
      </w:r>
    </w:p>
    <w:p w14:paraId="658D4178" w14:textId="77777777" w:rsidR="002C64D4" w:rsidRDefault="002C64D4" w:rsidP="002C64D4">
      <w:pPr>
        <w:pStyle w:val="Heading2"/>
        <w:spacing w:before="240"/>
      </w:pPr>
      <w:bookmarkStart w:id="71" w:name="_Toc69287613"/>
      <w:bookmarkStart w:id="72" w:name="_Toc95397113"/>
      <w:r>
        <w:t>Timeframes</w:t>
      </w:r>
      <w:bookmarkEnd w:id="71"/>
      <w:bookmarkEnd w:id="72"/>
    </w:p>
    <w:p w14:paraId="77158BC1" w14:textId="71E4074F" w:rsidR="002C64D4" w:rsidRDefault="002C64D4" w:rsidP="002C64D4">
      <w:pPr>
        <w:pStyle w:val="BodyText"/>
      </w:pPr>
      <w:r>
        <w:t xml:space="preserve">This consultation starts on </w:t>
      </w:r>
      <w:r w:rsidR="009C6EE4">
        <w:t xml:space="preserve">17 </w:t>
      </w:r>
      <w:r w:rsidRPr="00A62C26">
        <w:t xml:space="preserve">March 2022 and ends on </w:t>
      </w:r>
      <w:r w:rsidR="009C6EE4">
        <w:t xml:space="preserve">28 </w:t>
      </w:r>
      <w:r w:rsidRPr="00A62C26">
        <w:t>April 2022.</w:t>
      </w:r>
    </w:p>
    <w:p w14:paraId="109F724A" w14:textId="77777777" w:rsidR="002C64D4" w:rsidRDefault="002C64D4" w:rsidP="002C64D4">
      <w:pPr>
        <w:pStyle w:val="BodyText"/>
      </w:pPr>
      <w:r>
        <w:t>When the consultation period has ended, we will develop recommendations on changes to regulations.</w:t>
      </w:r>
    </w:p>
    <w:p w14:paraId="4FF02812" w14:textId="77777777" w:rsidR="002C64D4" w:rsidRDefault="002C64D4" w:rsidP="002C64D4">
      <w:pPr>
        <w:pStyle w:val="Heading2"/>
        <w:spacing w:before="240"/>
      </w:pPr>
      <w:bookmarkStart w:id="73" w:name="_Toc69287614"/>
      <w:bookmarkStart w:id="74" w:name="_Toc95397114"/>
      <w:r>
        <w:t>How to make a submission</w:t>
      </w:r>
      <w:bookmarkEnd w:id="73"/>
      <w:bookmarkEnd w:id="74"/>
    </w:p>
    <w:p w14:paraId="4B3E144E" w14:textId="77777777" w:rsidR="002C64D4" w:rsidRDefault="002C64D4" w:rsidP="002C64D4">
      <w:pPr>
        <w:pStyle w:val="BodyText"/>
      </w:pPr>
      <w:r>
        <w:t>There are two ways you can make a submission.</w:t>
      </w:r>
    </w:p>
    <w:p w14:paraId="279DBF0B" w14:textId="029E935A" w:rsidR="002C64D4" w:rsidRDefault="00457784" w:rsidP="00567EB6">
      <w:pPr>
        <w:pStyle w:val="Numberedparagraph"/>
        <w:ind w:left="425" w:hanging="425"/>
      </w:pPr>
      <w:r>
        <w:t>V</w:t>
      </w:r>
      <w:r w:rsidR="002C64D4">
        <w:t>ia Citizen Space, our consultation hub</w:t>
      </w:r>
      <w:r w:rsidR="00E84792">
        <w:t>:</w:t>
      </w:r>
      <w:r w:rsidR="00F306F4">
        <w:t xml:space="preserve"> </w:t>
      </w:r>
      <w:r w:rsidR="00E75567">
        <w:br/>
      </w:r>
      <w:hyperlink r:id="rId25" w:history="1">
        <w:r w:rsidR="004F4AED" w:rsidRPr="00FE0917">
          <w:rPr>
            <w:rStyle w:val="Hyperlink"/>
          </w:rPr>
          <w:t>https://consult.environment.govt.nz/climate/proposed-changes-nz-ets-2022</w:t>
        </w:r>
      </w:hyperlink>
      <w:r w:rsidR="008C53A2">
        <w:t>.</w:t>
      </w:r>
    </w:p>
    <w:p w14:paraId="69B6C024" w14:textId="1EB92C8F" w:rsidR="002C64D4" w:rsidRDefault="002C64D4" w:rsidP="00457784">
      <w:pPr>
        <w:pStyle w:val="Numberedparagraph"/>
        <w:ind w:left="426" w:hanging="426"/>
      </w:pPr>
      <w:r>
        <w:t>Write your own submission.</w:t>
      </w:r>
    </w:p>
    <w:p w14:paraId="22F6194B" w14:textId="77777777" w:rsidR="002C64D4" w:rsidRPr="008F3763" w:rsidRDefault="002C64D4" w:rsidP="002C64D4">
      <w:pPr>
        <w:pStyle w:val="BodyText"/>
        <w:rPr>
          <w:lang w:eastAsia="en-GB"/>
        </w:rPr>
      </w:pPr>
      <w:r w:rsidRPr="008F3763">
        <w:rPr>
          <w:lang w:eastAsia="en-GB"/>
        </w:rPr>
        <w:t>If you want to provide your own written submission you can provide this as an uploaded file in Citizen Space.</w:t>
      </w:r>
    </w:p>
    <w:p w14:paraId="56352185" w14:textId="77777777" w:rsidR="002C64D4" w:rsidRPr="008F3763" w:rsidRDefault="002C64D4" w:rsidP="002C64D4">
      <w:pPr>
        <w:pStyle w:val="BodyText"/>
        <w:rPr>
          <w:lang w:eastAsia="en-GB"/>
        </w:rPr>
      </w:pPr>
      <w:r w:rsidRPr="008F3763">
        <w:rPr>
          <w:lang w:eastAsia="en-GB"/>
        </w:rPr>
        <w:t>We request that you don’t email or post submissions as this makes analysis more difficult. However, if you need to please send written submissions to</w:t>
      </w:r>
      <w:r>
        <w:rPr>
          <w:lang w:eastAsia="en-GB"/>
        </w:rPr>
        <w:t xml:space="preserve"> ETS regulation updates,</w:t>
      </w:r>
      <w:r w:rsidRPr="008F3763">
        <w:rPr>
          <w:lang w:eastAsia="en-GB"/>
        </w:rPr>
        <w:t xml:space="preserve"> Ministry for the Environment, PO Box 10362, Wellington 6143 and include:</w:t>
      </w:r>
    </w:p>
    <w:p w14:paraId="4F53CBE6" w14:textId="77777777" w:rsidR="002C64D4" w:rsidRPr="00544C27" w:rsidRDefault="002C64D4" w:rsidP="002C64D4">
      <w:pPr>
        <w:pStyle w:val="Bullet"/>
      </w:pPr>
      <w:r>
        <w:t>the title of the consultation</w:t>
      </w:r>
    </w:p>
    <w:p w14:paraId="5CC21590" w14:textId="77777777" w:rsidR="002C64D4" w:rsidRPr="00544C27" w:rsidRDefault="002C64D4" w:rsidP="002C64D4">
      <w:pPr>
        <w:pStyle w:val="Bullet"/>
      </w:pPr>
      <w:r>
        <w:t>your name or organisation</w:t>
      </w:r>
    </w:p>
    <w:p w14:paraId="1CC21B71" w14:textId="77777777" w:rsidR="002C64D4" w:rsidRPr="00544C27" w:rsidRDefault="002C64D4" w:rsidP="002C64D4">
      <w:pPr>
        <w:pStyle w:val="Bullet"/>
      </w:pPr>
      <w:r>
        <w:t>your postal address</w:t>
      </w:r>
    </w:p>
    <w:p w14:paraId="5DA387A1" w14:textId="77777777" w:rsidR="002C64D4" w:rsidRPr="00544C27" w:rsidRDefault="002C64D4" w:rsidP="002C64D4">
      <w:pPr>
        <w:pStyle w:val="Bullet"/>
      </w:pPr>
      <w:r>
        <w:t>your telephone number</w:t>
      </w:r>
    </w:p>
    <w:p w14:paraId="65971390" w14:textId="77777777" w:rsidR="002C64D4" w:rsidRPr="00544C27" w:rsidRDefault="002C64D4" w:rsidP="002C64D4">
      <w:pPr>
        <w:pStyle w:val="Bullet"/>
      </w:pPr>
      <w:r>
        <w:t>your email address.</w:t>
      </w:r>
    </w:p>
    <w:p w14:paraId="6FD6609D" w14:textId="77777777" w:rsidR="002C64D4" w:rsidRPr="00544C27" w:rsidRDefault="002C64D4" w:rsidP="002C64D4">
      <w:pPr>
        <w:pStyle w:val="BodyText"/>
        <w:spacing w:before="240"/>
        <w:rPr>
          <w:rFonts w:asciiTheme="minorHAnsi" w:hAnsiTheme="minorHAnsi" w:cstheme="minorBidi"/>
        </w:rPr>
      </w:pPr>
      <w:r w:rsidRPr="005E5305">
        <w:rPr>
          <w:rFonts w:asciiTheme="minorHAnsi" w:hAnsiTheme="minorHAnsi" w:cstheme="minorBidi"/>
        </w:rPr>
        <w:t xml:space="preserve">If you are emailing your submission, send it to </w:t>
      </w:r>
      <w:hyperlink r:id="rId26" w:history="1">
        <w:r w:rsidRPr="000805D0">
          <w:rPr>
            <w:rStyle w:val="Hyperlink"/>
            <w:rFonts w:asciiTheme="minorHAnsi" w:hAnsiTheme="minorHAnsi" w:cstheme="minorBidi"/>
          </w:rPr>
          <w:t>etsconsultation@mfe.govt.nz</w:t>
        </w:r>
      </w:hyperlink>
      <w:r w:rsidRPr="005E5305">
        <w:rPr>
          <w:rFonts w:asciiTheme="minorHAnsi" w:hAnsiTheme="minorHAnsi" w:cstheme="minorBidi"/>
        </w:rPr>
        <w:t xml:space="preserve"> as a:</w:t>
      </w:r>
    </w:p>
    <w:p w14:paraId="0E45570E" w14:textId="77777777" w:rsidR="002C64D4" w:rsidRPr="00544C27" w:rsidRDefault="002C64D4" w:rsidP="002C64D4">
      <w:pPr>
        <w:pStyle w:val="Bullet"/>
      </w:pPr>
      <w:r>
        <w:t>PDF</w:t>
      </w:r>
    </w:p>
    <w:p w14:paraId="15297CD8" w14:textId="77777777" w:rsidR="002C64D4" w:rsidRDefault="002C64D4" w:rsidP="002C64D4">
      <w:pPr>
        <w:pStyle w:val="Bullet"/>
      </w:pPr>
      <w:r>
        <w:t>Microsoft Word document (2003 or later version).</w:t>
      </w:r>
    </w:p>
    <w:p w14:paraId="73A72C41" w14:textId="77777777" w:rsidR="002C64D4" w:rsidRDefault="002C64D4" w:rsidP="002C64D4">
      <w:pPr>
        <w:pStyle w:val="BodyText"/>
        <w:spacing w:before="240" w:after="240"/>
        <w:rPr>
          <w:b/>
          <w:bCs/>
        </w:rPr>
      </w:pPr>
      <w:r>
        <w:rPr>
          <w:b/>
          <w:bCs/>
        </w:rPr>
        <w:t>Submissions close on Thursday 28 April 2022.</w:t>
      </w:r>
    </w:p>
    <w:p w14:paraId="6807C90B" w14:textId="77777777" w:rsidR="004E309A" w:rsidRPr="004E309A" w:rsidRDefault="004E309A" w:rsidP="004E309A">
      <w:pPr>
        <w:pStyle w:val="BodyText"/>
      </w:pPr>
      <w:bookmarkStart w:id="75" w:name="_Toc69287615"/>
      <w:bookmarkStart w:id="76" w:name="_Toc95397115"/>
      <w:r w:rsidRPr="004E309A">
        <w:br w:type="page"/>
      </w:r>
    </w:p>
    <w:p w14:paraId="6F59A5E2" w14:textId="2FA85669" w:rsidR="002C64D4" w:rsidRDefault="002C64D4" w:rsidP="002C64D4">
      <w:pPr>
        <w:pStyle w:val="Heading2"/>
        <w:spacing w:before="240"/>
      </w:pPr>
      <w:r>
        <w:lastRenderedPageBreak/>
        <w:t>For more information</w:t>
      </w:r>
      <w:bookmarkEnd w:id="75"/>
      <w:bookmarkEnd w:id="76"/>
    </w:p>
    <w:p w14:paraId="5D3DBB12" w14:textId="77777777" w:rsidR="002C64D4" w:rsidRDefault="002C64D4" w:rsidP="002C64D4">
      <w:pPr>
        <w:pStyle w:val="BodyText"/>
      </w:pPr>
      <w:r>
        <w:t>Please direct any queries to:</w:t>
      </w:r>
    </w:p>
    <w:p w14:paraId="243E9801" w14:textId="77777777" w:rsidR="002C64D4" w:rsidRPr="004559F7" w:rsidRDefault="002C64D4" w:rsidP="002C64D4">
      <w:pPr>
        <w:pStyle w:val="BodyText"/>
        <w:spacing w:before="0" w:after="0"/>
      </w:pPr>
      <w:r w:rsidRPr="004559F7">
        <w:t xml:space="preserve">Email: </w:t>
      </w:r>
      <w:r w:rsidRPr="004559F7">
        <w:tab/>
        <w:t>etsconsultation@mfe.govt.nz</w:t>
      </w:r>
    </w:p>
    <w:p w14:paraId="105A1883" w14:textId="14733E82" w:rsidR="002C64D4" w:rsidRDefault="002C64D4" w:rsidP="002C64D4">
      <w:pPr>
        <w:pStyle w:val="BodyText"/>
        <w:rPr>
          <w:highlight w:val="yellow"/>
        </w:rPr>
      </w:pPr>
      <w:r w:rsidRPr="004559F7">
        <w:t xml:space="preserve">Postal: </w:t>
      </w:r>
      <w:r>
        <w:tab/>
        <w:t xml:space="preserve">ETS regulation updates, Ministry for the Environment, PO Box 10362, </w:t>
      </w:r>
      <w:r>
        <w:br/>
      </w:r>
      <w:r>
        <w:tab/>
        <w:t>Wellington 6143</w:t>
      </w:r>
    </w:p>
    <w:p w14:paraId="6B6B0B44" w14:textId="0DB88F1B" w:rsidR="002C64D4" w:rsidRDefault="002C64D4" w:rsidP="002C64D4">
      <w:pPr>
        <w:pStyle w:val="Heading2"/>
      </w:pPr>
      <w:bookmarkStart w:id="77" w:name="_Toc69287616"/>
      <w:bookmarkStart w:id="78" w:name="_Toc95397116"/>
      <w:r>
        <w:t>Publishing and releasing submissions</w:t>
      </w:r>
      <w:bookmarkEnd w:id="77"/>
      <w:bookmarkEnd w:id="78"/>
    </w:p>
    <w:p w14:paraId="049C19F5" w14:textId="77777777" w:rsidR="002C64D4" w:rsidRPr="008F3763" w:rsidRDefault="002C64D4" w:rsidP="002C64D4">
      <w:pPr>
        <w:pStyle w:val="BodyText"/>
      </w:pPr>
      <w:r w:rsidRPr="008F3763">
        <w:t>All or part of any written comments (including names of submitters), may be published on the</w:t>
      </w:r>
      <w:r>
        <w:t xml:space="preserve"> </w:t>
      </w:r>
      <w:r w:rsidRPr="008F3763">
        <w:t xml:space="preserve">Ministry for the Environment’s website, </w:t>
      </w:r>
      <w:hyperlink r:id="rId27" w:history="1">
        <w:r w:rsidRPr="008F3763">
          <w:rPr>
            <w:rStyle w:val="Hyperlink"/>
            <w:color w:val="0F7B87"/>
          </w:rPr>
          <w:t>environment.govt.nz</w:t>
        </w:r>
      </w:hyperlink>
      <w:r w:rsidRPr="008F3763">
        <w:t>. Unless you clearly specify otherwise in your submission, the Ministry will consider that you have consented to website posting of both your submission and your name.</w:t>
      </w:r>
    </w:p>
    <w:p w14:paraId="739C6EFE" w14:textId="252C1A9D" w:rsidR="002C64D4" w:rsidRPr="008F3763" w:rsidRDefault="002C64D4" w:rsidP="002C64D4">
      <w:pPr>
        <w:pStyle w:val="BodyText"/>
      </w:pPr>
      <w:r w:rsidRPr="008F3763">
        <w:t>Contents of submissions may be released to the public under the Official Information Act 1982 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take into account all such objections when responding to</w:t>
      </w:r>
      <w:r w:rsidR="006C53F7">
        <w:t xml:space="preserve"> </w:t>
      </w:r>
      <w:r w:rsidRPr="008F3763">
        <w:t>requests for copies of, and information on, submissions to this document under the Official Information Act.</w:t>
      </w:r>
    </w:p>
    <w:p w14:paraId="535AFFCE" w14:textId="77777777" w:rsidR="002C64D4" w:rsidRPr="008F3763" w:rsidRDefault="002C64D4" w:rsidP="002C64D4">
      <w:pPr>
        <w:pStyle w:val="BodyText"/>
      </w:pPr>
      <w:r w:rsidRPr="008F3763">
        <w:t>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p>
    <w:p w14:paraId="651473A6" w14:textId="5A01C2AB" w:rsidR="002C64D4" w:rsidRPr="00626624" w:rsidRDefault="002C64D4" w:rsidP="002C64D4">
      <w:pPr>
        <w:pStyle w:val="BodyText"/>
        <w:rPr>
          <w:b/>
          <w:bCs/>
        </w:rPr>
      </w:pPr>
      <w:r w:rsidRPr="00590B7E">
        <w:t xml:space="preserve">If you have any questions or want more information about the submission process, please email </w:t>
      </w:r>
      <w:hyperlink r:id="rId28" w:history="1">
        <w:r w:rsidRPr="00590B7E">
          <w:rPr>
            <w:rStyle w:val="Hyperlink"/>
            <w:rFonts w:asciiTheme="minorHAnsi" w:hAnsiTheme="minorHAnsi" w:cstheme="minorBidi"/>
          </w:rPr>
          <w:t>etsconsultation@mfe.govt.nz</w:t>
        </w:r>
      </w:hyperlink>
      <w:r w:rsidRPr="004021FD">
        <w:rPr>
          <w:rStyle w:val="Hyperlink"/>
          <w:rFonts w:asciiTheme="minorHAnsi" w:hAnsiTheme="minorHAnsi" w:cstheme="minorBidi"/>
          <w:color w:val="auto"/>
        </w:rPr>
        <w:t>.</w:t>
      </w:r>
    </w:p>
    <w:p w14:paraId="5CA5A422" w14:textId="77777777" w:rsidR="002C64D4" w:rsidRPr="000F07E9" w:rsidRDefault="002C64D4" w:rsidP="002C64D4">
      <w:pPr>
        <w:pStyle w:val="BodyText"/>
      </w:pPr>
      <w:r w:rsidRPr="000F07E9">
        <w:br w:type="page"/>
      </w:r>
    </w:p>
    <w:p w14:paraId="59969DB8" w14:textId="7C56A5B1" w:rsidR="002C64D4" w:rsidRDefault="002C64D4" w:rsidP="007200A6">
      <w:pPr>
        <w:pStyle w:val="Heading1"/>
      </w:pPr>
      <w:bookmarkStart w:id="79" w:name="_Appendix_1:_Other"/>
      <w:bookmarkStart w:id="80" w:name="_Toc95397117"/>
      <w:bookmarkEnd w:id="79"/>
      <w:r>
        <w:lastRenderedPageBreak/>
        <w:t>Appendix: Other regulation changes for 2022</w:t>
      </w:r>
      <w:bookmarkEnd w:id="52"/>
      <w:bookmarkEnd w:id="80"/>
    </w:p>
    <w:p w14:paraId="022D6EDE" w14:textId="77777777" w:rsidR="002C64D4" w:rsidRDefault="002C64D4" w:rsidP="002C64D4">
      <w:pPr>
        <w:pStyle w:val="BodyText"/>
        <w:rPr>
          <w:rFonts w:asciiTheme="minorHAnsi" w:eastAsia="Arial" w:hAnsiTheme="minorHAnsi" w:cstheme="minorBidi"/>
          <w:color w:val="000000" w:themeColor="text1"/>
        </w:rPr>
      </w:pPr>
      <w:r>
        <w:rPr>
          <w:rFonts w:eastAsia="Arial"/>
        </w:rPr>
        <w:t xml:space="preserve">The following items are </w:t>
      </w:r>
      <w:r w:rsidRPr="0215BC76">
        <w:rPr>
          <w:rFonts w:eastAsia="Arial"/>
        </w:rPr>
        <w:t>due</w:t>
      </w:r>
      <w:r>
        <w:rPr>
          <w:rFonts w:eastAsia="Arial"/>
        </w:rPr>
        <w:t xml:space="preserve"> to be implemented in 2022 but </w:t>
      </w:r>
      <w:r w:rsidDel="005B05AB">
        <w:rPr>
          <w:rFonts w:eastAsia="Arial"/>
        </w:rPr>
        <w:t>a</w:t>
      </w:r>
      <w:r>
        <w:rPr>
          <w:rFonts w:eastAsia="Arial"/>
        </w:rPr>
        <w:t xml:space="preserve">re not being consulted on as they have either </w:t>
      </w:r>
      <w:r w:rsidRPr="0215BC76">
        <w:rPr>
          <w:rFonts w:asciiTheme="minorHAnsi" w:eastAsia="Arial" w:hAnsiTheme="minorHAnsi" w:cstheme="minorBidi"/>
          <w:color w:val="000000" w:themeColor="text1"/>
        </w:rPr>
        <w:t xml:space="preserve">already been consulted on, already have policy approvals, or are minor and technical and do not require consultation or policy decisions from Cabinet. </w:t>
      </w:r>
    </w:p>
    <w:p w14:paraId="2402F804" w14:textId="77777777" w:rsidR="002C64D4" w:rsidRDefault="002C64D4" w:rsidP="002C64D4">
      <w:pPr>
        <w:pStyle w:val="BodyText"/>
        <w:rPr>
          <w:rFonts w:asciiTheme="minorHAnsi" w:eastAsia="Arial" w:hAnsiTheme="minorHAnsi" w:cstheme="minorBidi"/>
          <w:color w:val="000000" w:themeColor="text1"/>
        </w:rPr>
      </w:pPr>
      <w:r w:rsidRPr="0215BC76">
        <w:rPr>
          <w:rFonts w:asciiTheme="minorHAnsi" w:eastAsia="Arial" w:hAnsiTheme="minorHAnsi" w:cstheme="minorBidi"/>
          <w:color w:val="000000" w:themeColor="text1"/>
        </w:rPr>
        <w:t xml:space="preserve">Details on these changes were consulted on in 2021 and can be found </w:t>
      </w:r>
      <w:hyperlink r:id="rId29">
        <w:r w:rsidRPr="00A62C26">
          <w:rPr>
            <w:rStyle w:val="Hyperlink"/>
            <w:rFonts w:asciiTheme="minorHAnsi" w:eastAsia="Arial" w:hAnsiTheme="minorHAnsi" w:cstheme="minorBidi"/>
          </w:rPr>
          <w:t>on our website</w:t>
        </w:r>
      </w:hyperlink>
      <w:r w:rsidRPr="00A62C26" w:rsidDel="00207B23">
        <w:fldChar w:fldCharType="begin"/>
      </w:r>
      <w:r w:rsidRPr="00A62C26" w:rsidDel="00207B23">
        <w:fldChar w:fldCharType="separate"/>
      </w:r>
      <w:r w:rsidRPr="00A62C26">
        <w:rPr>
          <w:rFonts w:asciiTheme="minorHAnsi" w:eastAsia="Arial" w:hAnsiTheme="minorHAnsi" w:cstheme="minorBidi"/>
          <w:u w:val="single"/>
        </w:rPr>
        <w:t>our website</w:t>
      </w:r>
      <w:r w:rsidRPr="00A62C26" w:rsidDel="00207B23">
        <w:rPr>
          <w:rStyle w:val="Hyperlink"/>
          <w:rFonts w:asciiTheme="minorHAnsi" w:eastAsia="Arial" w:hAnsiTheme="minorHAnsi" w:cstheme="minorBidi"/>
          <w:u w:val="single"/>
        </w:rPr>
        <w:fldChar w:fldCharType="end"/>
      </w:r>
      <w:r w:rsidRPr="00A62C26">
        <w:rPr>
          <w:rFonts w:asciiTheme="minorHAnsi" w:eastAsia="Arial" w:hAnsiTheme="minorHAnsi" w:cstheme="minorBidi"/>
          <w:color w:val="000000" w:themeColor="text1"/>
        </w:rPr>
        <w:t>.</w:t>
      </w:r>
      <w:r w:rsidRPr="0215BC76">
        <w:rPr>
          <w:rFonts w:asciiTheme="minorHAnsi" w:eastAsia="Arial" w:hAnsiTheme="minorHAnsi" w:cstheme="minorBidi"/>
          <w:color w:val="000000" w:themeColor="text1"/>
        </w:rPr>
        <w:t xml:space="preserve"> </w:t>
      </w:r>
    </w:p>
    <w:p w14:paraId="20F1823B" w14:textId="77777777" w:rsidR="002C64D4" w:rsidRDefault="002C64D4" w:rsidP="002C64D4">
      <w:pPr>
        <w:pStyle w:val="BodyText"/>
        <w:rPr>
          <w:rFonts w:asciiTheme="minorHAnsi" w:eastAsia="Arial" w:hAnsiTheme="minorHAnsi" w:cstheme="minorBidi"/>
          <w:color w:val="000000" w:themeColor="text1"/>
        </w:rPr>
      </w:pPr>
      <w:r w:rsidRPr="0215BC76">
        <w:rPr>
          <w:rFonts w:asciiTheme="minorHAnsi" w:eastAsia="Arial" w:hAnsiTheme="minorHAnsi" w:cstheme="minorBidi"/>
          <w:color w:val="000000" w:themeColor="text1"/>
        </w:rPr>
        <w:t>The changes were:</w:t>
      </w:r>
    </w:p>
    <w:p w14:paraId="6C1DD491" w14:textId="77777777" w:rsidR="002C64D4" w:rsidRPr="00194017" w:rsidRDefault="002C64D4" w:rsidP="002C64D4">
      <w:pPr>
        <w:pStyle w:val="Bullet"/>
        <w:rPr>
          <w:rFonts w:eastAsia="Arial"/>
        </w:rPr>
      </w:pPr>
      <w:r>
        <w:rPr>
          <w:rFonts w:eastAsia="Arial"/>
        </w:rPr>
        <w:t>t</w:t>
      </w:r>
      <w:r w:rsidRPr="00194017">
        <w:rPr>
          <w:rFonts w:eastAsia="Arial"/>
        </w:rPr>
        <w:t>he annual update to the price of carbon used in calculation of the SGG levy and NZ ETS administrative penalties and the annual update to the SGG levy</w:t>
      </w:r>
    </w:p>
    <w:p w14:paraId="4F70B549" w14:textId="77777777" w:rsidR="002C64D4" w:rsidRPr="00194017" w:rsidRDefault="002C64D4" w:rsidP="002C64D4">
      <w:pPr>
        <w:pStyle w:val="Bullet"/>
        <w:rPr>
          <w:rFonts w:eastAsia="Arial"/>
        </w:rPr>
      </w:pPr>
      <w:r>
        <w:rPr>
          <w:rFonts w:eastAsia="Arial"/>
        </w:rPr>
        <w:t>m</w:t>
      </w:r>
      <w:r w:rsidRPr="00194017">
        <w:rPr>
          <w:rFonts w:eastAsia="Arial"/>
        </w:rPr>
        <w:t>inor corrections to align SGG levy regulations with changes to tariff codes</w:t>
      </w:r>
    </w:p>
    <w:p w14:paraId="31E7A00A" w14:textId="77777777" w:rsidR="002C64D4" w:rsidRPr="00194017" w:rsidRDefault="002C64D4" w:rsidP="002C64D4">
      <w:pPr>
        <w:pStyle w:val="Bullet"/>
        <w:rPr>
          <w:rFonts w:eastAsia="Arial"/>
        </w:rPr>
      </w:pPr>
      <w:r>
        <w:rPr>
          <w:rFonts w:eastAsia="Arial"/>
        </w:rPr>
        <w:t>u</w:t>
      </w:r>
      <w:r w:rsidRPr="00194017">
        <w:rPr>
          <w:rFonts w:eastAsia="Arial"/>
        </w:rPr>
        <w:t xml:space="preserve">pdating the </w:t>
      </w:r>
      <w:r>
        <w:rPr>
          <w:rFonts w:eastAsia="Arial"/>
        </w:rPr>
        <w:t>g</w:t>
      </w:r>
      <w:r w:rsidRPr="00194017">
        <w:rPr>
          <w:rFonts w:eastAsia="Arial"/>
        </w:rPr>
        <w:t xml:space="preserve">lobal </w:t>
      </w:r>
      <w:r>
        <w:rPr>
          <w:rFonts w:eastAsia="Arial"/>
        </w:rPr>
        <w:t>w</w:t>
      </w:r>
      <w:r w:rsidRPr="00194017">
        <w:rPr>
          <w:rFonts w:eastAsia="Arial"/>
        </w:rPr>
        <w:t xml:space="preserve">arming </w:t>
      </w:r>
      <w:r>
        <w:rPr>
          <w:rFonts w:eastAsia="Arial"/>
        </w:rPr>
        <w:t>p</w:t>
      </w:r>
      <w:r w:rsidRPr="00194017">
        <w:rPr>
          <w:rFonts w:eastAsia="Arial"/>
        </w:rPr>
        <w:t>otential values for certain substances to align with AR5 data.</w:t>
      </w:r>
    </w:p>
    <w:p w14:paraId="1DF37667" w14:textId="77777777" w:rsidR="002C64D4" w:rsidRDefault="002C64D4" w:rsidP="002C64D4">
      <w:pPr>
        <w:pStyle w:val="BodyText"/>
      </w:pPr>
    </w:p>
    <w:p w14:paraId="20120DEF" w14:textId="77777777" w:rsidR="002C64D4" w:rsidRDefault="002C64D4" w:rsidP="002C64D4">
      <w:r>
        <w:br w:type="page"/>
      </w:r>
    </w:p>
    <w:p w14:paraId="6FAD4C5C" w14:textId="77777777" w:rsidR="002C64D4" w:rsidRPr="00306703" w:rsidRDefault="002C64D4" w:rsidP="007200A6">
      <w:pPr>
        <w:pStyle w:val="Heading1"/>
        <w:rPr>
          <w:rFonts w:eastAsia="Georgia"/>
        </w:rPr>
      </w:pPr>
      <w:bookmarkStart w:id="81" w:name="_Glossary"/>
      <w:bookmarkStart w:id="82" w:name="_Toc455564074"/>
      <w:bookmarkEnd w:id="81"/>
      <w:r w:rsidRPr="00306703">
        <w:rPr>
          <w:rFonts w:eastAsia="Georgia"/>
        </w:rPr>
        <w:lastRenderedPageBreak/>
        <w:t>Glossary</w:t>
      </w:r>
    </w:p>
    <w:tbl>
      <w:tblPr>
        <w:tblStyle w:val="TableGrid"/>
        <w:tblW w:w="8505"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02"/>
        <w:gridCol w:w="6103"/>
      </w:tblGrid>
      <w:tr w:rsidR="002C64D4" w14:paraId="15D86EBC" w14:textId="77777777" w:rsidTr="00DA2CBF">
        <w:tc>
          <w:tcPr>
            <w:tcW w:w="2402" w:type="dxa"/>
          </w:tcPr>
          <w:p w14:paraId="66574AA6" w14:textId="77777777" w:rsidR="002C64D4" w:rsidRDefault="002C64D4" w:rsidP="004E309A">
            <w:pPr>
              <w:spacing w:before="60" w:after="60"/>
              <w:rPr>
                <w:rFonts w:eastAsia="Calibri" w:cs="Calibri"/>
                <w:color w:val="000000" w:themeColor="text1"/>
              </w:rPr>
            </w:pPr>
            <w:r>
              <w:rPr>
                <w:rFonts w:eastAsia="Calibri" w:cs="Calibri"/>
                <w:color w:val="000000" w:themeColor="text1"/>
              </w:rPr>
              <w:t>Biogenic cycle</w:t>
            </w:r>
          </w:p>
        </w:tc>
        <w:tc>
          <w:tcPr>
            <w:tcW w:w="6103" w:type="dxa"/>
          </w:tcPr>
          <w:p w14:paraId="3DD7AB6E" w14:textId="77777777" w:rsidR="002C64D4" w:rsidRDefault="002C64D4" w:rsidP="004E309A">
            <w:pPr>
              <w:spacing w:before="60" w:after="60"/>
              <w:rPr>
                <w:rFonts w:eastAsia="Calibri" w:cs="Calibri"/>
                <w:color w:val="000000" w:themeColor="text1"/>
              </w:rPr>
            </w:pPr>
            <w:r>
              <w:rPr>
                <w:rFonts w:eastAsia="Calibri" w:cs="Calibri"/>
                <w:color w:val="000000" w:themeColor="text1"/>
              </w:rPr>
              <w:t>Carbon cycles between plants and the atmosphere in a short period of time, usually in the range of a few years to a few decades</w:t>
            </w:r>
          </w:p>
        </w:tc>
      </w:tr>
      <w:tr w:rsidR="002C64D4" w14:paraId="34794B2E" w14:textId="77777777" w:rsidTr="00DA2CBF">
        <w:tc>
          <w:tcPr>
            <w:tcW w:w="2402" w:type="dxa"/>
          </w:tcPr>
          <w:p w14:paraId="2B1CD89F" w14:textId="2CEE50CE" w:rsidR="002C64D4" w:rsidRDefault="002C64D4" w:rsidP="004E309A">
            <w:pPr>
              <w:spacing w:before="60" w:after="60"/>
              <w:rPr>
                <w:rFonts w:eastAsia="Calibri" w:cs="Calibri"/>
                <w:color w:val="000000" w:themeColor="text1"/>
              </w:rPr>
            </w:pPr>
            <w:r>
              <w:rPr>
                <w:rFonts w:eastAsia="Calibri" w:cs="Calibri"/>
              </w:rPr>
              <w:t>Carbon sequestration</w:t>
            </w:r>
          </w:p>
        </w:tc>
        <w:tc>
          <w:tcPr>
            <w:tcW w:w="6103" w:type="dxa"/>
          </w:tcPr>
          <w:p w14:paraId="0CAF19B1" w14:textId="77777777" w:rsidR="002C64D4" w:rsidRDefault="002C64D4" w:rsidP="004E309A">
            <w:pPr>
              <w:spacing w:before="60" w:after="60"/>
              <w:rPr>
                <w:rFonts w:eastAsia="Calibri" w:cs="Calibri"/>
                <w:color w:val="000000" w:themeColor="text1"/>
              </w:rPr>
            </w:pPr>
            <w:r>
              <w:rPr>
                <w:rFonts w:eastAsia="Calibri" w:cs="Calibri"/>
              </w:rPr>
              <w:t>C</w:t>
            </w:r>
            <w:r>
              <w:rPr>
                <w:rFonts w:eastAsia="Calibri" w:cs="Calibri"/>
                <w:color w:val="000000" w:themeColor="text1"/>
              </w:rPr>
              <w:t xml:space="preserve">apturing and storing atmospheric </w:t>
            </w:r>
            <w:r>
              <w:rPr>
                <w:rFonts w:eastAsia="Calibri" w:cs="Calibri"/>
              </w:rPr>
              <w:t>CO</w:t>
            </w:r>
            <w:r>
              <w:rPr>
                <w:rFonts w:eastAsia="Calibri" w:cs="Calibri"/>
                <w:vertAlign w:val="subscript"/>
              </w:rPr>
              <w:t>2</w:t>
            </w:r>
          </w:p>
        </w:tc>
      </w:tr>
      <w:tr w:rsidR="002C64D4" w14:paraId="45CD33C1" w14:textId="77777777" w:rsidTr="00DA2CBF">
        <w:tc>
          <w:tcPr>
            <w:tcW w:w="2402" w:type="dxa"/>
          </w:tcPr>
          <w:p w14:paraId="2C46002D" w14:textId="77777777" w:rsidR="002C64D4" w:rsidRDefault="002C64D4" w:rsidP="004E309A">
            <w:pPr>
              <w:spacing w:before="60" w:after="60"/>
              <w:rPr>
                <w:rFonts w:eastAsia="Calibri" w:cs="Calibri"/>
                <w:color w:val="000000" w:themeColor="text1"/>
              </w:rPr>
            </w:pPr>
            <w:r>
              <w:rPr>
                <w:rFonts w:eastAsia="Calibri" w:cs="Calibri"/>
              </w:rPr>
              <w:t>CO</w:t>
            </w:r>
            <w:r>
              <w:rPr>
                <w:rFonts w:eastAsia="Calibri" w:cs="Calibri"/>
                <w:vertAlign w:val="subscript"/>
              </w:rPr>
              <w:t>2</w:t>
            </w:r>
          </w:p>
        </w:tc>
        <w:tc>
          <w:tcPr>
            <w:tcW w:w="6103" w:type="dxa"/>
          </w:tcPr>
          <w:p w14:paraId="1481775F" w14:textId="77777777" w:rsidR="002C64D4" w:rsidRDefault="002C64D4" w:rsidP="004E309A">
            <w:pPr>
              <w:spacing w:before="60" w:after="60"/>
              <w:rPr>
                <w:rFonts w:eastAsia="Calibri" w:cs="Calibri"/>
                <w:color w:val="000000" w:themeColor="text1"/>
              </w:rPr>
            </w:pPr>
            <w:r>
              <w:rPr>
                <w:rFonts w:eastAsia="Calibri" w:cs="Calibri"/>
              </w:rPr>
              <w:t>Carbon dioxide</w:t>
            </w:r>
          </w:p>
        </w:tc>
      </w:tr>
      <w:tr w:rsidR="002C64D4" w14:paraId="492C626A" w14:textId="77777777" w:rsidTr="00DA2CBF">
        <w:tc>
          <w:tcPr>
            <w:tcW w:w="2402" w:type="dxa"/>
          </w:tcPr>
          <w:p w14:paraId="6C474E73" w14:textId="77777777" w:rsidR="002C64D4" w:rsidRDefault="002C64D4" w:rsidP="004E309A">
            <w:pPr>
              <w:spacing w:before="60" w:after="60"/>
              <w:rPr>
                <w:rFonts w:eastAsia="Calibri" w:cs="Calibri"/>
                <w:color w:val="000000" w:themeColor="text1"/>
              </w:rPr>
            </w:pPr>
            <w:r>
              <w:rPr>
                <w:rFonts w:eastAsia="Calibri" w:cs="Calibri"/>
              </w:rPr>
              <w:t>CO</w:t>
            </w:r>
            <w:r>
              <w:rPr>
                <w:rFonts w:eastAsia="Calibri" w:cs="Calibri"/>
                <w:vertAlign w:val="subscript"/>
              </w:rPr>
              <w:t>2</w:t>
            </w:r>
            <w:r>
              <w:rPr>
                <w:rFonts w:eastAsia="Calibri" w:cs="Calibri"/>
              </w:rPr>
              <w:t>e</w:t>
            </w:r>
          </w:p>
        </w:tc>
        <w:tc>
          <w:tcPr>
            <w:tcW w:w="6103" w:type="dxa"/>
          </w:tcPr>
          <w:p w14:paraId="06997BBB" w14:textId="77777777" w:rsidR="002C64D4" w:rsidRDefault="002C64D4" w:rsidP="004E309A">
            <w:pPr>
              <w:spacing w:before="60" w:after="60"/>
              <w:rPr>
                <w:rFonts w:eastAsia="Calibri" w:cs="Calibri"/>
                <w:color w:val="000000" w:themeColor="text1"/>
              </w:rPr>
            </w:pPr>
            <w:r>
              <w:rPr>
                <w:rFonts w:eastAsia="Calibri" w:cs="Calibri"/>
              </w:rPr>
              <w:t>Carbon dioxide equivalent. T</w:t>
            </w:r>
            <w:r>
              <w:rPr>
                <w:rFonts w:eastAsia="Calibri" w:cs="Calibri"/>
                <w:color w:val="000000" w:themeColor="text1"/>
              </w:rPr>
              <w:t xml:space="preserve">he amount of another greenhouse gas with the same global warming potential as one tonne of </w:t>
            </w:r>
            <w:r>
              <w:rPr>
                <w:rFonts w:eastAsia="Calibri" w:cs="Calibri"/>
              </w:rPr>
              <w:t>CO</w:t>
            </w:r>
            <w:r>
              <w:rPr>
                <w:rFonts w:eastAsia="Calibri" w:cs="Calibri"/>
                <w:vertAlign w:val="subscript"/>
              </w:rPr>
              <w:t>2</w:t>
            </w:r>
          </w:p>
        </w:tc>
      </w:tr>
      <w:tr w:rsidR="002C64D4" w14:paraId="684F3D6D" w14:textId="77777777" w:rsidTr="00DA2CBF">
        <w:tc>
          <w:tcPr>
            <w:tcW w:w="2402" w:type="dxa"/>
          </w:tcPr>
          <w:p w14:paraId="46C8602A" w14:textId="77777777" w:rsidR="002C64D4" w:rsidRDefault="002C64D4" w:rsidP="004E309A">
            <w:pPr>
              <w:spacing w:before="60" w:after="60"/>
              <w:rPr>
                <w:rFonts w:eastAsia="Calibri" w:cs="Calibri"/>
                <w:color w:val="000000" w:themeColor="text1"/>
              </w:rPr>
            </w:pPr>
            <w:r>
              <w:rPr>
                <w:rFonts w:eastAsia="Calibri" w:cs="Calibri"/>
              </w:rPr>
              <w:t>DEF</w:t>
            </w:r>
          </w:p>
        </w:tc>
        <w:tc>
          <w:tcPr>
            <w:tcW w:w="6103" w:type="dxa"/>
          </w:tcPr>
          <w:p w14:paraId="101DF511" w14:textId="77777777" w:rsidR="002C64D4" w:rsidRDefault="002C64D4" w:rsidP="004E309A">
            <w:pPr>
              <w:spacing w:before="60" w:after="60"/>
              <w:rPr>
                <w:rFonts w:eastAsia="Calibri" w:cs="Calibri"/>
                <w:color w:val="000000" w:themeColor="text1"/>
              </w:rPr>
            </w:pPr>
            <w:r>
              <w:rPr>
                <w:rFonts w:eastAsia="Calibri" w:cs="Calibri"/>
              </w:rPr>
              <w:t>Default emissions factor</w:t>
            </w:r>
          </w:p>
        </w:tc>
      </w:tr>
      <w:tr w:rsidR="002C64D4" w14:paraId="5A0F7E24" w14:textId="77777777" w:rsidTr="00DA2CBF">
        <w:tc>
          <w:tcPr>
            <w:tcW w:w="2402" w:type="dxa"/>
          </w:tcPr>
          <w:p w14:paraId="42F47DE7" w14:textId="77777777" w:rsidR="002C64D4" w:rsidRDefault="002C64D4" w:rsidP="004E309A">
            <w:pPr>
              <w:spacing w:before="60" w:after="60"/>
              <w:rPr>
                <w:rFonts w:eastAsia="Calibri" w:cs="Calibri"/>
                <w:color w:val="000000" w:themeColor="text1"/>
              </w:rPr>
            </w:pPr>
            <w:r>
              <w:rPr>
                <w:rFonts w:eastAsia="Calibri" w:cs="Calibri"/>
              </w:rPr>
              <w:t>Emissions factor</w:t>
            </w:r>
          </w:p>
        </w:tc>
        <w:tc>
          <w:tcPr>
            <w:tcW w:w="6103" w:type="dxa"/>
          </w:tcPr>
          <w:p w14:paraId="388ED1B2" w14:textId="77777777" w:rsidR="002C64D4" w:rsidRDefault="002C64D4" w:rsidP="004E309A">
            <w:pPr>
              <w:spacing w:before="60" w:after="60"/>
              <w:rPr>
                <w:rFonts w:eastAsia="Calibri" w:cs="Calibri"/>
                <w:color w:val="000000" w:themeColor="text1"/>
              </w:rPr>
            </w:pPr>
            <w:r>
              <w:rPr>
                <w:rFonts w:eastAsia="Calibri" w:cs="Calibri"/>
              </w:rPr>
              <w:t>A</w:t>
            </w:r>
            <w:r>
              <w:rPr>
                <w:rFonts w:eastAsia="Calibri" w:cs="Calibri"/>
                <w:color w:val="000000" w:themeColor="text1"/>
              </w:rPr>
              <w:t xml:space="preserve"> value given to an activity in the NZ ETS based on how emissions-intensive it is</w:t>
            </w:r>
            <w:r>
              <w:rPr>
                <w:rFonts w:eastAsia="Calibri" w:cs="Calibri"/>
              </w:rPr>
              <w:t xml:space="preserve"> and used to calculate emissions</w:t>
            </w:r>
          </w:p>
        </w:tc>
      </w:tr>
      <w:tr w:rsidR="002C64D4" w14:paraId="3E5EC1EA" w14:textId="77777777" w:rsidTr="00DA2CBF">
        <w:tc>
          <w:tcPr>
            <w:tcW w:w="2402" w:type="dxa"/>
          </w:tcPr>
          <w:p w14:paraId="1F671B2C" w14:textId="77777777" w:rsidR="002C64D4" w:rsidRDefault="002C64D4" w:rsidP="004E309A">
            <w:pPr>
              <w:spacing w:before="60" w:after="60"/>
              <w:rPr>
                <w:rFonts w:eastAsia="Calibri" w:cs="Calibri"/>
              </w:rPr>
            </w:pPr>
            <w:r>
              <w:rPr>
                <w:rFonts w:eastAsia="Calibri" w:cs="Calibri"/>
              </w:rPr>
              <w:t>Emission unit</w:t>
            </w:r>
          </w:p>
        </w:tc>
        <w:tc>
          <w:tcPr>
            <w:tcW w:w="6103" w:type="dxa"/>
          </w:tcPr>
          <w:p w14:paraId="518A36A2" w14:textId="77777777" w:rsidR="002C64D4" w:rsidRDefault="002C64D4" w:rsidP="004E309A">
            <w:pPr>
              <w:spacing w:before="60" w:after="60"/>
              <w:rPr>
                <w:rFonts w:eastAsia="Calibri" w:cs="Calibri"/>
              </w:rPr>
            </w:pPr>
            <w:r>
              <w:rPr>
                <w:rFonts w:eastAsia="Calibri" w:cs="Calibri"/>
              </w:rPr>
              <w:t>R</w:t>
            </w:r>
            <w:r>
              <w:rPr>
                <w:rFonts w:eastAsia="Calibri" w:cs="Calibri"/>
                <w:color w:val="000000" w:themeColor="text1"/>
              </w:rPr>
              <w:t xml:space="preserve">epresents one metric tonne of </w:t>
            </w:r>
            <w:r>
              <w:rPr>
                <w:rFonts w:eastAsia="Calibri" w:cs="Calibri"/>
              </w:rPr>
              <w:t>CO</w:t>
            </w:r>
            <w:r>
              <w:rPr>
                <w:rFonts w:eastAsia="Calibri" w:cs="Calibri"/>
                <w:vertAlign w:val="subscript"/>
              </w:rPr>
              <w:t>2</w:t>
            </w:r>
            <w:r>
              <w:rPr>
                <w:rFonts w:eastAsia="Calibri" w:cs="Calibri"/>
                <w:color w:val="000000" w:themeColor="text1"/>
              </w:rPr>
              <w:t xml:space="preserve"> or </w:t>
            </w:r>
            <w:r>
              <w:rPr>
                <w:rFonts w:eastAsia="Calibri" w:cs="Calibri"/>
              </w:rPr>
              <w:t>CO</w:t>
            </w:r>
            <w:r>
              <w:rPr>
                <w:rFonts w:eastAsia="Calibri" w:cs="Calibri"/>
                <w:vertAlign w:val="subscript"/>
              </w:rPr>
              <w:t>2</w:t>
            </w:r>
            <w:r>
              <w:rPr>
                <w:rFonts w:eastAsia="Calibri" w:cs="Calibri"/>
              </w:rPr>
              <w:t>e</w:t>
            </w:r>
          </w:p>
        </w:tc>
      </w:tr>
      <w:tr w:rsidR="002C64D4" w14:paraId="18B5B5C7" w14:textId="77777777" w:rsidTr="00DA2CBF">
        <w:tc>
          <w:tcPr>
            <w:tcW w:w="2402" w:type="dxa"/>
          </w:tcPr>
          <w:p w14:paraId="5441F869" w14:textId="77777777" w:rsidR="002C64D4" w:rsidRDefault="002C64D4" w:rsidP="004E309A">
            <w:pPr>
              <w:spacing w:before="60" w:after="60"/>
              <w:rPr>
                <w:rFonts w:eastAsia="Calibri" w:cs="Calibri"/>
              </w:rPr>
            </w:pPr>
            <w:r>
              <w:rPr>
                <w:rFonts w:eastAsia="Calibri" w:cs="Calibri"/>
              </w:rPr>
              <w:t>Emissions return</w:t>
            </w:r>
          </w:p>
        </w:tc>
        <w:tc>
          <w:tcPr>
            <w:tcW w:w="6103" w:type="dxa"/>
          </w:tcPr>
          <w:p w14:paraId="01E3BC26" w14:textId="77777777" w:rsidR="002C64D4" w:rsidRPr="00340C4C" w:rsidRDefault="002C64D4" w:rsidP="004E309A">
            <w:pPr>
              <w:spacing w:before="60" w:after="60"/>
              <w:rPr>
                <w:rFonts w:eastAsia="Calibri" w:cs="Calibri"/>
                <w:color w:val="000000" w:themeColor="text1"/>
              </w:rPr>
            </w:pPr>
            <w:r>
              <w:rPr>
                <w:rFonts w:eastAsia="Calibri" w:cs="Calibri"/>
              </w:rPr>
              <w:t xml:space="preserve">Data submitted by an NZ ETS participant about the emissions caused by carrying out their activity, </w:t>
            </w:r>
            <w:r>
              <w:rPr>
                <w:rFonts w:eastAsia="Calibri" w:cs="Calibri"/>
                <w:color w:val="000000" w:themeColor="text1"/>
              </w:rPr>
              <w:t>and/or about removals of greenhouse gases from the atmosphere</w:t>
            </w:r>
          </w:p>
        </w:tc>
      </w:tr>
      <w:tr w:rsidR="002C64D4" w14:paraId="0BE73679" w14:textId="77777777" w:rsidTr="00DA2CBF">
        <w:tc>
          <w:tcPr>
            <w:tcW w:w="2402" w:type="dxa"/>
          </w:tcPr>
          <w:p w14:paraId="0E0B6113" w14:textId="77777777" w:rsidR="002C64D4" w:rsidRDefault="002C64D4" w:rsidP="004E309A">
            <w:pPr>
              <w:spacing w:before="60" w:after="60"/>
              <w:rPr>
                <w:rFonts w:eastAsia="Calibri" w:cs="Calibri"/>
              </w:rPr>
            </w:pPr>
            <w:r>
              <w:rPr>
                <w:rFonts w:eastAsia="Calibri" w:cs="Calibri"/>
              </w:rPr>
              <w:t>EPA</w:t>
            </w:r>
          </w:p>
        </w:tc>
        <w:tc>
          <w:tcPr>
            <w:tcW w:w="6103" w:type="dxa"/>
          </w:tcPr>
          <w:p w14:paraId="6597CED9" w14:textId="77777777" w:rsidR="002C64D4" w:rsidRDefault="002C64D4" w:rsidP="004E309A">
            <w:pPr>
              <w:spacing w:before="60" w:after="60"/>
              <w:rPr>
                <w:rFonts w:eastAsia="Calibri" w:cs="Calibri"/>
              </w:rPr>
            </w:pPr>
            <w:r>
              <w:rPr>
                <w:rFonts w:eastAsia="Calibri" w:cs="Calibri"/>
              </w:rPr>
              <w:t>Environmental Protection Authority</w:t>
            </w:r>
          </w:p>
        </w:tc>
      </w:tr>
      <w:tr w:rsidR="002C64D4" w14:paraId="7BC327D3" w14:textId="77777777" w:rsidTr="00DA2CBF">
        <w:tc>
          <w:tcPr>
            <w:tcW w:w="2402" w:type="dxa"/>
          </w:tcPr>
          <w:p w14:paraId="4021790D" w14:textId="77777777" w:rsidR="002C64D4" w:rsidRDefault="002C64D4" w:rsidP="004E309A">
            <w:pPr>
              <w:spacing w:before="60" w:after="60"/>
              <w:rPr>
                <w:rFonts w:eastAsia="Calibri" w:cs="Calibri"/>
              </w:rPr>
            </w:pPr>
            <w:r>
              <w:rPr>
                <w:rFonts w:eastAsia="Calibri" w:cs="Calibri"/>
              </w:rPr>
              <w:t>GHG</w:t>
            </w:r>
          </w:p>
        </w:tc>
        <w:tc>
          <w:tcPr>
            <w:tcW w:w="6103" w:type="dxa"/>
          </w:tcPr>
          <w:p w14:paraId="5F2DD14C" w14:textId="77777777" w:rsidR="002C64D4" w:rsidRDefault="002C64D4" w:rsidP="004E309A">
            <w:pPr>
              <w:spacing w:before="60" w:after="60"/>
              <w:rPr>
                <w:rFonts w:eastAsia="Calibri" w:cs="Calibri"/>
              </w:rPr>
            </w:pPr>
            <w:r>
              <w:rPr>
                <w:rFonts w:eastAsia="Calibri" w:cs="Calibri"/>
              </w:rPr>
              <w:t>Greenhouse gas</w:t>
            </w:r>
          </w:p>
        </w:tc>
      </w:tr>
      <w:tr w:rsidR="002C64D4" w14:paraId="2783D09F" w14:textId="77777777" w:rsidTr="00DA2CBF">
        <w:tc>
          <w:tcPr>
            <w:tcW w:w="2402" w:type="dxa"/>
          </w:tcPr>
          <w:p w14:paraId="08DBB3FB" w14:textId="77777777" w:rsidR="002C64D4" w:rsidRDefault="002C64D4" w:rsidP="004E309A">
            <w:pPr>
              <w:spacing w:before="60" w:after="60"/>
              <w:rPr>
                <w:rFonts w:eastAsia="Calibri" w:cs="Calibri"/>
              </w:rPr>
            </w:pPr>
            <w:r>
              <w:rPr>
                <w:rFonts w:eastAsia="Calibri" w:cs="Calibri"/>
              </w:rPr>
              <w:t>HFC</w:t>
            </w:r>
          </w:p>
        </w:tc>
        <w:tc>
          <w:tcPr>
            <w:tcW w:w="6103" w:type="dxa"/>
          </w:tcPr>
          <w:p w14:paraId="6F944E11" w14:textId="77777777" w:rsidR="002C64D4" w:rsidRDefault="002C64D4" w:rsidP="004E309A">
            <w:pPr>
              <w:spacing w:before="60" w:after="60"/>
              <w:rPr>
                <w:rFonts w:eastAsia="Calibri" w:cs="Calibri"/>
              </w:rPr>
            </w:pPr>
            <w:r>
              <w:rPr>
                <w:rFonts w:eastAsia="Calibri" w:cs="Calibri"/>
              </w:rPr>
              <w:t>Hydrofluorocarbon</w:t>
            </w:r>
          </w:p>
        </w:tc>
      </w:tr>
      <w:tr w:rsidR="002C64D4" w14:paraId="15760339" w14:textId="77777777" w:rsidTr="00DA2CBF">
        <w:tc>
          <w:tcPr>
            <w:tcW w:w="2402" w:type="dxa"/>
          </w:tcPr>
          <w:p w14:paraId="06E733B7" w14:textId="77777777" w:rsidR="002C64D4" w:rsidRDefault="002C64D4" w:rsidP="004E309A">
            <w:pPr>
              <w:spacing w:before="60" w:after="60"/>
              <w:rPr>
                <w:rFonts w:eastAsia="Calibri" w:cs="Calibri"/>
              </w:rPr>
            </w:pPr>
            <w:r>
              <w:rPr>
                <w:rFonts w:eastAsia="Calibri" w:cs="Calibri"/>
              </w:rPr>
              <w:t>Inventory</w:t>
            </w:r>
          </w:p>
        </w:tc>
        <w:tc>
          <w:tcPr>
            <w:tcW w:w="6103" w:type="dxa"/>
          </w:tcPr>
          <w:p w14:paraId="6EB79FB0" w14:textId="77777777" w:rsidR="002C64D4" w:rsidRDefault="002C64D4" w:rsidP="004E309A">
            <w:pPr>
              <w:spacing w:before="60" w:after="60"/>
              <w:rPr>
                <w:rFonts w:eastAsia="Calibri" w:cs="Calibri"/>
              </w:rPr>
            </w:pPr>
            <w:r>
              <w:rPr>
                <w:rFonts w:eastAsia="Calibri" w:cs="Calibri"/>
              </w:rPr>
              <w:t>New Zealand’s Greenhouse Gas Inventory — the official annual estimate of GHG emissions and removals which have occurred here since 1990</w:t>
            </w:r>
          </w:p>
        </w:tc>
      </w:tr>
      <w:tr w:rsidR="002C64D4" w14:paraId="24E4FED1" w14:textId="77777777" w:rsidTr="00DA2CBF">
        <w:tc>
          <w:tcPr>
            <w:tcW w:w="2402" w:type="dxa"/>
          </w:tcPr>
          <w:p w14:paraId="6B6664EA" w14:textId="77777777" w:rsidR="002C64D4" w:rsidRDefault="002C64D4" w:rsidP="004E309A">
            <w:pPr>
              <w:spacing w:before="60" w:after="60"/>
              <w:rPr>
                <w:rFonts w:eastAsia="Calibri" w:cs="Calibri"/>
              </w:rPr>
            </w:pPr>
            <w:r>
              <w:rPr>
                <w:rFonts w:eastAsia="Calibri" w:cs="Calibri"/>
              </w:rPr>
              <w:t>Kigali Amendment</w:t>
            </w:r>
          </w:p>
        </w:tc>
        <w:tc>
          <w:tcPr>
            <w:tcW w:w="6103" w:type="dxa"/>
          </w:tcPr>
          <w:p w14:paraId="523A6296" w14:textId="77777777" w:rsidR="002C64D4" w:rsidRDefault="002C64D4" w:rsidP="004E309A">
            <w:pPr>
              <w:spacing w:before="60" w:after="60"/>
              <w:rPr>
                <w:rFonts w:eastAsia="Calibri" w:cs="Calibri"/>
              </w:rPr>
            </w:pPr>
            <w:r>
              <w:rPr>
                <w:rFonts w:eastAsia="Calibri" w:cs="Calibri"/>
              </w:rPr>
              <w:t>An international agreement to gradually reduce the consumption and production of hydrofluorocarbons</w:t>
            </w:r>
          </w:p>
        </w:tc>
      </w:tr>
      <w:tr w:rsidR="002C64D4" w14:paraId="2A7C37DF" w14:textId="77777777" w:rsidTr="00DA2CBF">
        <w:tc>
          <w:tcPr>
            <w:tcW w:w="2402" w:type="dxa"/>
          </w:tcPr>
          <w:p w14:paraId="0010681A" w14:textId="77777777" w:rsidR="002C64D4" w:rsidRDefault="002C64D4" w:rsidP="004E309A">
            <w:pPr>
              <w:spacing w:before="60" w:after="60"/>
              <w:rPr>
                <w:rFonts w:eastAsia="Calibri" w:cs="Calibri"/>
              </w:rPr>
            </w:pPr>
            <w:r>
              <w:rPr>
                <w:rFonts w:eastAsia="Calibri" w:cs="Calibri"/>
              </w:rPr>
              <w:t>Kyoto Protocol</w:t>
            </w:r>
          </w:p>
        </w:tc>
        <w:tc>
          <w:tcPr>
            <w:tcW w:w="6103" w:type="dxa"/>
          </w:tcPr>
          <w:p w14:paraId="10766E90" w14:textId="77777777" w:rsidR="002C64D4" w:rsidRDefault="002C64D4" w:rsidP="004E309A">
            <w:pPr>
              <w:spacing w:before="60" w:after="60"/>
              <w:rPr>
                <w:rFonts w:eastAsia="Calibri" w:cs="Calibri"/>
              </w:rPr>
            </w:pPr>
            <w:r>
              <w:rPr>
                <w:rFonts w:eastAsia="Calibri" w:cs="Calibri"/>
              </w:rPr>
              <w:t>An international treaty which extended the 1992 United Nations Framework Convention on Climate Change that commits state parties to reduce greenhouse gas emissions</w:t>
            </w:r>
          </w:p>
        </w:tc>
      </w:tr>
      <w:tr w:rsidR="002C64D4" w14:paraId="1D71AB36" w14:textId="77777777" w:rsidTr="00DA2CBF">
        <w:tc>
          <w:tcPr>
            <w:tcW w:w="2402" w:type="dxa"/>
          </w:tcPr>
          <w:p w14:paraId="7A7837ED" w14:textId="77777777" w:rsidR="002C64D4" w:rsidRDefault="002C64D4" w:rsidP="004E309A">
            <w:pPr>
              <w:spacing w:before="60" w:after="60"/>
              <w:rPr>
                <w:rFonts w:eastAsia="Calibri" w:cs="Calibri"/>
              </w:rPr>
            </w:pPr>
            <w:r>
              <w:rPr>
                <w:rFonts w:eastAsia="Calibri" w:cs="Calibri"/>
              </w:rPr>
              <w:t>Mandatory participant</w:t>
            </w:r>
          </w:p>
        </w:tc>
        <w:tc>
          <w:tcPr>
            <w:tcW w:w="6103" w:type="dxa"/>
          </w:tcPr>
          <w:p w14:paraId="71066586" w14:textId="77777777" w:rsidR="002C64D4" w:rsidRDefault="002C64D4" w:rsidP="004E309A">
            <w:pPr>
              <w:spacing w:before="60" w:after="60"/>
              <w:rPr>
                <w:rFonts w:eastAsia="Calibri" w:cs="Calibri"/>
              </w:rPr>
            </w:pPr>
            <w:r>
              <w:rPr>
                <w:rFonts w:eastAsia="Calibri" w:cs="Calibri"/>
              </w:rPr>
              <w:t>Participants in the New Zealand Emissions Trading Scheme (NZ ETS) required to meet a number of obligations in the scheme</w:t>
            </w:r>
          </w:p>
        </w:tc>
      </w:tr>
      <w:tr w:rsidR="002C64D4" w14:paraId="02AC073D" w14:textId="77777777" w:rsidTr="00DA2CBF">
        <w:tc>
          <w:tcPr>
            <w:tcW w:w="2402" w:type="dxa"/>
          </w:tcPr>
          <w:p w14:paraId="19B59B0C" w14:textId="77777777" w:rsidR="002C64D4" w:rsidRDefault="002C64D4" w:rsidP="004E309A">
            <w:pPr>
              <w:spacing w:before="60" w:after="60"/>
              <w:rPr>
                <w:rFonts w:eastAsia="Calibri" w:cs="Calibri"/>
              </w:rPr>
            </w:pPr>
            <w:r>
              <w:rPr>
                <w:rFonts w:eastAsia="Calibri" w:cs="Calibri"/>
              </w:rPr>
              <w:t xml:space="preserve">Montreal Protocol </w:t>
            </w:r>
          </w:p>
        </w:tc>
        <w:tc>
          <w:tcPr>
            <w:tcW w:w="6103" w:type="dxa"/>
          </w:tcPr>
          <w:p w14:paraId="6709EBE8" w14:textId="77777777" w:rsidR="002C64D4" w:rsidRDefault="002C64D4" w:rsidP="004E309A">
            <w:pPr>
              <w:spacing w:before="60" w:after="60"/>
              <w:rPr>
                <w:rFonts w:eastAsia="Calibri" w:cs="Calibri"/>
              </w:rPr>
            </w:pPr>
            <w:r>
              <w:rPr>
                <w:rFonts w:eastAsia="Calibri" w:cs="Calibri"/>
              </w:rPr>
              <w:t>An international treaty designed to protect the ozone layer by phasing out the production of numerous substances that are responsible for ozone depletion</w:t>
            </w:r>
          </w:p>
        </w:tc>
      </w:tr>
      <w:tr w:rsidR="002C64D4" w14:paraId="1314C796" w14:textId="77777777" w:rsidTr="00DA2CBF">
        <w:tc>
          <w:tcPr>
            <w:tcW w:w="2402" w:type="dxa"/>
          </w:tcPr>
          <w:p w14:paraId="1C9E6E7A" w14:textId="77777777" w:rsidR="002C64D4" w:rsidRDefault="002C64D4" w:rsidP="004E309A">
            <w:pPr>
              <w:spacing w:before="60" w:after="60"/>
              <w:rPr>
                <w:rFonts w:eastAsia="Calibri" w:cs="Calibri"/>
              </w:rPr>
            </w:pPr>
            <w:r>
              <w:rPr>
                <w:rFonts w:eastAsia="Calibri" w:cs="Calibri"/>
              </w:rPr>
              <w:t>Mt CO</w:t>
            </w:r>
            <w:r>
              <w:rPr>
                <w:rFonts w:eastAsia="Calibri" w:cs="Calibri"/>
                <w:vertAlign w:val="subscript"/>
              </w:rPr>
              <w:t>2</w:t>
            </w:r>
            <w:r>
              <w:rPr>
                <w:rFonts w:eastAsia="Calibri" w:cs="Calibri"/>
              </w:rPr>
              <w:t>-e</w:t>
            </w:r>
          </w:p>
        </w:tc>
        <w:tc>
          <w:tcPr>
            <w:tcW w:w="6103" w:type="dxa"/>
          </w:tcPr>
          <w:p w14:paraId="05010476" w14:textId="77777777" w:rsidR="002C64D4" w:rsidRDefault="002C64D4" w:rsidP="004E309A">
            <w:pPr>
              <w:spacing w:before="60" w:after="60"/>
              <w:rPr>
                <w:rFonts w:eastAsia="Calibri" w:cs="Calibri"/>
              </w:rPr>
            </w:pPr>
            <w:r>
              <w:rPr>
                <w:rFonts w:eastAsia="Calibri" w:cs="Calibri"/>
              </w:rPr>
              <w:t>Megatonnes carbon dioxide equivalent</w:t>
            </w:r>
          </w:p>
        </w:tc>
      </w:tr>
      <w:tr w:rsidR="002C64D4" w14:paraId="3DD87360" w14:textId="77777777" w:rsidTr="00DA2CBF">
        <w:tc>
          <w:tcPr>
            <w:tcW w:w="2402" w:type="dxa"/>
          </w:tcPr>
          <w:p w14:paraId="1F39791F" w14:textId="77777777" w:rsidR="002C64D4" w:rsidRDefault="002C64D4" w:rsidP="004E309A">
            <w:pPr>
              <w:spacing w:before="60" w:after="60"/>
              <w:rPr>
                <w:rFonts w:eastAsia="Calibri" w:cs="Calibri"/>
              </w:rPr>
            </w:pPr>
            <w:r>
              <w:rPr>
                <w:rFonts w:eastAsia="Calibri" w:cs="Calibri"/>
              </w:rPr>
              <w:t>NZ ETS (New Zealand Emissions Trading Scheme)</w:t>
            </w:r>
          </w:p>
        </w:tc>
        <w:tc>
          <w:tcPr>
            <w:tcW w:w="6103" w:type="dxa"/>
          </w:tcPr>
          <w:p w14:paraId="7AE85381" w14:textId="77777777" w:rsidR="002C64D4" w:rsidRDefault="002C64D4" w:rsidP="004E309A">
            <w:pPr>
              <w:spacing w:before="60" w:after="60"/>
              <w:rPr>
                <w:rFonts w:eastAsia="Calibri" w:cs="Calibri"/>
              </w:rPr>
            </w:pPr>
            <w:r>
              <w:rPr>
                <w:rFonts w:eastAsia="Calibri" w:cs="Calibri"/>
              </w:rPr>
              <w:t>T</w:t>
            </w:r>
            <w:r>
              <w:rPr>
                <w:rFonts w:eastAsia="Calibri" w:cs="Calibri"/>
                <w:color w:val="000000" w:themeColor="text1"/>
              </w:rPr>
              <w:t>he Government’s main tool for meeting international and domestic climate change targets. The scheme aims to encourage people to reduce GHG emissions.</w:t>
            </w:r>
          </w:p>
        </w:tc>
      </w:tr>
      <w:tr w:rsidR="002C64D4" w14:paraId="2A0A024E" w14:textId="77777777" w:rsidTr="00DA2CBF">
        <w:tc>
          <w:tcPr>
            <w:tcW w:w="2402" w:type="dxa"/>
          </w:tcPr>
          <w:p w14:paraId="33CEF8ED" w14:textId="77777777" w:rsidR="002C64D4" w:rsidRDefault="002C64D4" w:rsidP="004E309A">
            <w:pPr>
              <w:spacing w:before="60" w:after="60"/>
              <w:rPr>
                <w:rFonts w:eastAsia="Calibri" w:cs="Calibri"/>
              </w:rPr>
            </w:pPr>
            <w:r>
              <w:rPr>
                <w:rFonts w:eastAsia="Calibri" w:cs="Calibri"/>
              </w:rPr>
              <w:t>NZU (New Zealand Unit)</w:t>
            </w:r>
          </w:p>
        </w:tc>
        <w:tc>
          <w:tcPr>
            <w:tcW w:w="6103" w:type="dxa"/>
          </w:tcPr>
          <w:p w14:paraId="263067C7" w14:textId="77777777" w:rsidR="002C64D4" w:rsidRDefault="002C64D4" w:rsidP="004E309A">
            <w:pPr>
              <w:spacing w:before="60" w:after="60"/>
              <w:rPr>
                <w:rFonts w:eastAsia="Calibri" w:cs="Calibri"/>
              </w:rPr>
            </w:pPr>
            <w:r>
              <w:rPr>
                <w:rFonts w:eastAsia="Calibri" w:cs="Calibri"/>
              </w:rPr>
              <w:t>This represents one metric tonne of CO</w:t>
            </w:r>
            <w:r>
              <w:rPr>
                <w:rFonts w:eastAsia="Calibri" w:cs="Calibri"/>
                <w:vertAlign w:val="subscript"/>
              </w:rPr>
              <w:t>2</w:t>
            </w:r>
            <w:r>
              <w:rPr>
                <w:rFonts w:eastAsia="Calibri" w:cs="Calibri"/>
              </w:rPr>
              <w:t xml:space="preserve"> or CO</w:t>
            </w:r>
            <w:r>
              <w:rPr>
                <w:rFonts w:eastAsia="Calibri" w:cs="Calibri"/>
                <w:vertAlign w:val="subscript"/>
              </w:rPr>
              <w:t>2</w:t>
            </w:r>
            <w:r>
              <w:rPr>
                <w:rFonts w:eastAsia="Calibri" w:cs="Calibri"/>
              </w:rPr>
              <w:t>e</w:t>
            </w:r>
          </w:p>
        </w:tc>
      </w:tr>
      <w:tr w:rsidR="002C64D4" w14:paraId="1E9926E6" w14:textId="77777777" w:rsidTr="00DA2CBF">
        <w:tc>
          <w:tcPr>
            <w:tcW w:w="2402" w:type="dxa"/>
          </w:tcPr>
          <w:p w14:paraId="5D0728F9" w14:textId="77777777" w:rsidR="002C64D4" w:rsidRDefault="002C64D4" w:rsidP="004E309A">
            <w:pPr>
              <w:spacing w:before="60" w:after="60"/>
              <w:rPr>
                <w:rFonts w:eastAsia="Calibri" w:cs="Calibri"/>
              </w:rPr>
            </w:pPr>
            <w:r>
              <w:rPr>
                <w:rFonts w:eastAsia="Calibri" w:cs="Calibri"/>
              </w:rPr>
              <w:t>Obligation fuel</w:t>
            </w:r>
          </w:p>
        </w:tc>
        <w:tc>
          <w:tcPr>
            <w:tcW w:w="6103" w:type="dxa"/>
          </w:tcPr>
          <w:p w14:paraId="76BBD2F6" w14:textId="77777777" w:rsidR="002C64D4" w:rsidRDefault="002C64D4" w:rsidP="004E309A">
            <w:pPr>
              <w:spacing w:before="60" w:after="60"/>
              <w:rPr>
                <w:rFonts w:eastAsia="Calibri" w:cs="Calibri"/>
              </w:rPr>
            </w:pPr>
            <w:r>
              <w:rPr>
                <w:rFonts w:eastAsia="Calibri" w:cs="Calibri"/>
              </w:rPr>
              <w:t>Fuel that is imported or removed from a New Zealand Customs-controlled area for use in New Zealand which is required to be reported on by NZ ETS participants</w:t>
            </w:r>
          </w:p>
        </w:tc>
      </w:tr>
      <w:tr w:rsidR="002C64D4" w14:paraId="4A49138F" w14:textId="77777777" w:rsidTr="00DA2CBF">
        <w:tc>
          <w:tcPr>
            <w:tcW w:w="2402" w:type="dxa"/>
          </w:tcPr>
          <w:p w14:paraId="7475FF06" w14:textId="77777777" w:rsidR="002C64D4" w:rsidRDefault="002C64D4" w:rsidP="004E309A">
            <w:pPr>
              <w:spacing w:before="60" w:after="60"/>
              <w:rPr>
                <w:rFonts w:eastAsia="Calibri" w:cs="Calibri"/>
              </w:rPr>
            </w:pPr>
            <w:r>
              <w:rPr>
                <w:rFonts w:eastAsia="Calibri" w:cs="Calibri"/>
              </w:rPr>
              <w:lastRenderedPageBreak/>
              <w:t>Opt-in participant</w:t>
            </w:r>
          </w:p>
        </w:tc>
        <w:tc>
          <w:tcPr>
            <w:tcW w:w="6103" w:type="dxa"/>
          </w:tcPr>
          <w:p w14:paraId="6DC56F3B" w14:textId="77777777" w:rsidR="002C64D4" w:rsidRDefault="002C64D4" w:rsidP="004E309A">
            <w:pPr>
              <w:spacing w:before="60" w:after="60"/>
              <w:rPr>
                <w:rFonts w:eastAsia="Calibri" w:cs="Calibri"/>
              </w:rPr>
            </w:pPr>
            <w:r>
              <w:rPr>
                <w:rFonts w:eastAsia="Calibri" w:cs="Calibri"/>
              </w:rPr>
              <w:t>A voluntary participant in the NZ ETS who takes on obligations that would normally be the responsibility of a mandatory participant</w:t>
            </w:r>
          </w:p>
        </w:tc>
      </w:tr>
      <w:tr w:rsidR="002C64D4" w14:paraId="31B95460" w14:textId="77777777" w:rsidTr="00DA2CBF">
        <w:tc>
          <w:tcPr>
            <w:tcW w:w="2402" w:type="dxa"/>
          </w:tcPr>
          <w:p w14:paraId="708028CB" w14:textId="77777777" w:rsidR="002C64D4" w:rsidRDefault="002C64D4" w:rsidP="004E309A">
            <w:pPr>
              <w:spacing w:before="60" w:after="60"/>
              <w:rPr>
                <w:rFonts w:eastAsia="Calibri" w:cs="Calibri"/>
              </w:rPr>
            </w:pPr>
            <w:r>
              <w:rPr>
                <w:rFonts w:eastAsia="Calibri" w:cs="Calibri"/>
              </w:rPr>
              <w:t>Paris Agreement</w:t>
            </w:r>
          </w:p>
        </w:tc>
        <w:tc>
          <w:tcPr>
            <w:tcW w:w="6103" w:type="dxa"/>
          </w:tcPr>
          <w:p w14:paraId="7FA9D766" w14:textId="77777777" w:rsidR="002C64D4" w:rsidRDefault="002C64D4" w:rsidP="004E309A">
            <w:pPr>
              <w:spacing w:before="60" w:after="60"/>
              <w:rPr>
                <w:rFonts w:eastAsia="Calibri" w:cs="Calibri"/>
              </w:rPr>
            </w:pPr>
            <w:r>
              <w:rPr>
                <w:rFonts w:eastAsia="Calibri" w:cs="Calibri"/>
              </w:rPr>
              <w:t>An</w:t>
            </w:r>
            <w:r>
              <w:rPr>
                <w:rFonts w:eastAsia="Calibri" w:cs="Calibri"/>
                <w:color w:val="000000" w:themeColor="text1"/>
              </w:rPr>
              <w:t xml:space="preserve"> international treaty on climate change which came into force on 4 November 2016. Its goal is to limit global warming to well below 2 degrees Celsius (preferably below 1.5 degrees) compared to pre-industrial levels.</w:t>
            </w:r>
          </w:p>
        </w:tc>
      </w:tr>
      <w:tr w:rsidR="002C64D4" w14:paraId="1299BFCC" w14:textId="77777777" w:rsidTr="00DA2CBF">
        <w:tc>
          <w:tcPr>
            <w:tcW w:w="2402" w:type="dxa"/>
          </w:tcPr>
          <w:p w14:paraId="2DE6A524" w14:textId="77777777" w:rsidR="002C64D4" w:rsidRDefault="002C64D4" w:rsidP="004E309A">
            <w:pPr>
              <w:spacing w:before="60" w:after="60"/>
              <w:rPr>
                <w:rFonts w:eastAsia="Calibri" w:cs="Calibri"/>
              </w:rPr>
            </w:pPr>
            <w:r>
              <w:rPr>
                <w:rFonts w:eastAsia="Calibri" w:cs="Calibri"/>
              </w:rPr>
              <w:t>PFC</w:t>
            </w:r>
          </w:p>
        </w:tc>
        <w:tc>
          <w:tcPr>
            <w:tcW w:w="6103" w:type="dxa"/>
          </w:tcPr>
          <w:p w14:paraId="045A2DC0" w14:textId="77777777" w:rsidR="002C64D4" w:rsidRDefault="002C64D4" w:rsidP="004E309A">
            <w:pPr>
              <w:spacing w:before="60" w:after="60"/>
              <w:rPr>
                <w:rFonts w:eastAsia="Calibri" w:cs="Calibri"/>
              </w:rPr>
            </w:pPr>
            <w:r>
              <w:rPr>
                <w:rFonts w:eastAsia="Calibri" w:cs="Calibri"/>
              </w:rPr>
              <w:t>Perfluorocarbon</w:t>
            </w:r>
          </w:p>
        </w:tc>
      </w:tr>
      <w:tr w:rsidR="002C64D4" w14:paraId="31E494DB" w14:textId="77777777" w:rsidTr="00DA2CBF">
        <w:tc>
          <w:tcPr>
            <w:tcW w:w="2402" w:type="dxa"/>
          </w:tcPr>
          <w:p w14:paraId="2F5FAC8F" w14:textId="77777777" w:rsidR="002C64D4" w:rsidRDefault="002C64D4" w:rsidP="004E309A">
            <w:pPr>
              <w:spacing w:before="60" w:after="60"/>
              <w:rPr>
                <w:rFonts w:eastAsia="Calibri" w:cs="Calibri"/>
              </w:rPr>
            </w:pPr>
            <w:r>
              <w:rPr>
                <w:rFonts w:eastAsia="Calibri" w:cs="Calibri"/>
              </w:rPr>
              <w:t>Register</w:t>
            </w:r>
          </w:p>
        </w:tc>
        <w:tc>
          <w:tcPr>
            <w:tcW w:w="6103" w:type="dxa"/>
          </w:tcPr>
          <w:p w14:paraId="046BAD50" w14:textId="77777777" w:rsidR="002C64D4" w:rsidRDefault="002C64D4" w:rsidP="004E309A">
            <w:pPr>
              <w:spacing w:before="60" w:after="60"/>
              <w:rPr>
                <w:rFonts w:eastAsia="Calibri" w:cs="Calibri"/>
              </w:rPr>
            </w:pPr>
            <w:r>
              <w:rPr>
                <w:rFonts w:eastAsia="Calibri" w:cs="Calibri"/>
              </w:rPr>
              <w:t>The Register acts like a bank but holds emission units instead of money. Businesses must have an account in the Register to be able to own or trade emission units in New Zealand.</w:t>
            </w:r>
          </w:p>
        </w:tc>
      </w:tr>
      <w:tr w:rsidR="002C64D4" w14:paraId="21D909EA" w14:textId="77777777" w:rsidTr="00DA2CBF">
        <w:tc>
          <w:tcPr>
            <w:tcW w:w="2402" w:type="dxa"/>
          </w:tcPr>
          <w:p w14:paraId="292F5147" w14:textId="77777777" w:rsidR="002C64D4" w:rsidRDefault="002C64D4" w:rsidP="004E309A">
            <w:pPr>
              <w:spacing w:before="60" w:after="60"/>
              <w:rPr>
                <w:rFonts w:eastAsia="Calibri" w:cs="Calibri"/>
              </w:rPr>
            </w:pPr>
            <w:r>
              <w:rPr>
                <w:rFonts w:eastAsia="Calibri" w:cs="Calibri"/>
              </w:rPr>
              <w:t>Removal</w:t>
            </w:r>
          </w:p>
        </w:tc>
        <w:tc>
          <w:tcPr>
            <w:tcW w:w="6103" w:type="dxa"/>
          </w:tcPr>
          <w:p w14:paraId="174DE1B8" w14:textId="77777777" w:rsidR="002C64D4" w:rsidRDefault="002C64D4" w:rsidP="004E309A">
            <w:pPr>
              <w:spacing w:before="60" w:after="60"/>
              <w:rPr>
                <w:rFonts w:eastAsia="Calibri" w:cs="Calibri"/>
              </w:rPr>
            </w:pPr>
            <w:r>
              <w:rPr>
                <w:rFonts w:eastAsia="Calibri" w:cs="Calibri"/>
              </w:rPr>
              <w:t>Withdrawal of a greenhouse gas from the atmosphere</w:t>
            </w:r>
          </w:p>
        </w:tc>
      </w:tr>
      <w:tr w:rsidR="002C64D4" w14:paraId="40D3EE0C" w14:textId="77777777" w:rsidTr="00DA2CBF">
        <w:tc>
          <w:tcPr>
            <w:tcW w:w="2402" w:type="dxa"/>
          </w:tcPr>
          <w:p w14:paraId="1E5E2715" w14:textId="77777777" w:rsidR="002C64D4" w:rsidRDefault="002C64D4" w:rsidP="004E309A">
            <w:pPr>
              <w:spacing w:before="60" w:after="60"/>
              <w:rPr>
                <w:rFonts w:eastAsia="Calibri" w:cs="Calibri"/>
              </w:rPr>
            </w:pPr>
            <w:r>
              <w:rPr>
                <w:rFonts w:eastAsia="Calibri" w:cs="Calibri"/>
              </w:rPr>
              <w:t>SAF</w:t>
            </w:r>
          </w:p>
        </w:tc>
        <w:tc>
          <w:tcPr>
            <w:tcW w:w="6103" w:type="dxa"/>
          </w:tcPr>
          <w:p w14:paraId="1D0E18A3" w14:textId="77777777" w:rsidR="002C64D4" w:rsidRPr="00340C4C" w:rsidRDefault="002C64D4" w:rsidP="004E309A">
            <w:pPr>
              <w:spacing w:before="60" w:after="60"/>
            </w:pPr>
            <w:r>
              <w:t>Sustainable aviation fuel</w:t>
            </w:r>
          </w:p>
        </w:tc>
      </w:tr>
      <w:tr w:rsidR="002C64D4" w14:paraId="2D7308D9" w14:textId="77777777" w:rsidTr="00DA2CBF">
        <w:tc>
          <w:tcPr>
            <w:tcW w:w="2402" w:type="dxa"/>
          </w:tcPr>
          <w:p w14:paraId="1D600B1E" w14:textId="77777777" w:rsidR="002C64D4" w:rsidRDefault="002C64D4" w:rsidP="004E309A">
            <w:pPr>
              <w:spacing w:before="60" w:after="60"/>
              <w:rPr>
                <w:rFonts w:eastAsia="Calibri" w:cs="Calibri"/>
              </w:rPr>
            </w:pPr>
            <w:r>
              <w:rPr>
                <w:rFonts w:eastAsia="Calibri" w:cs="Calibri"/>
              </w:rPr>
              <w:t>SEIP</w:t>
            </w:r>
          </w:p>
        </w:tc>
        <w:tc>
          <w:tcPr>
            <w:tcW w:w="6103" w:type="dxa"/>
          </w:tcPr>
          <w:p w14:paraId="08973FB0" w14:textId="77777777" w:rsidR="002C64D4" w:rsidRDefault="002C64D4" w:rsidP="004E309A">
            <w:pPr>
              <w:spacing w:before="60" w:after="60"/>
              <w:rPr>
                <w:rFonts w:eastAsia="Calibri" w:cs="Calibri"/>
              </w:rPr>
            </w:pPr>
            <w:r>
              <w:rPr>
                <w:rFonts w:eastAsia="Calibri" w:cs="Calibri"/>
              </w:rPr>
              <w:t>Stationary energy and industrial processes</w:t>
            </w:r>
          </w:p>
        </w:tc>
      </w:tr>
      <w:tr w:rsidR="002C64D4" w14:paraId="46A1ED8D" w14:textId="77777777" w:rsidTr="00DA2CBF">
        <w:tc>
          <w:tcPr>
            <w:tcW w:w="2402" w:type="dxa"/>
          </w:tcPr>
          <w:p w14:paraId="3127325E" w14:textId="77777777" w:rsidR="002C64D4" w:rsidRDefault="002C64D4" w:rsidP="004E309A">
            <w:pPr>
              <w:spacing w:before="60" w:after="60"/>
              <w:rPr>
                <w:rFonts w:eastAsia="Calibri" w:cs="Calibri"/>
              </w:rPr>
            </w:pPr>
            <w:r>
              <w:rPr>
                <w:rFonts w:eastAsia="Calibri" w:cs="Calibri"/>
              </w:rPr>
              <w:t>SGG</w:t>
            </w:r>
          </w:p>
        </w:tc>
        <w:tc>
          <w:tcPr>
            <w:tcW w:w="6103" w:type="dxa"/>
          </w:tcPr>
          <w:p w14:paraId="47C40934" w14:textId="77777777" w:rsidR="002C64D4" w:rsidRDefault="002C64D4" w:rsidP="004E309A">
            <w:pPr>
              <w:spacing w:before="60" w:after="60"/>
              <w:rPr>
                <w:rFonts w:eastAsia="Calibri" w:cs="Calibri"/>
              </w:rPr>
            </w:pPr>
            <w:r>
              <w:rPr>
                <w:rFonts w:eastAsia="Calibri" w:cs="Calibri"/>
              </w:rPr>
              <w:t>Synthetic greenhouse gas</w:t>
            </w:r>
          </w:p>
        </w:tc>
      </w:tr>
      <w:tr w:rsidR="002C64D4" w14:paraId="4745DE98" w14:textId="77777777" w:rsidTr="00DA2CBF">
        <w:tc>
          <w:tcPr>
            <w:tcW w:w="2402" w:type="dxa"/>
          </w:tcPr>
          <w:p w14:paraId="4D231602" w14:textId="77777777" w:rsidR="002C64D4" w:rsidRDefault="002C64D4" w:rsidP="004E309A">
            <w:pPr>
              <w:spacing w:before="60" w:after="60"/>
              <w:rPr>
                <w:rFonts w:eastAsia="Calibri" w:cs="Calibri"/>
              </w:rPr>
            </w:pPr>
            <w:r>
              <w:rPr>
                <w:rFonts w:eastAsia="Calibri" w:cs="Calibri"/>
              </w:rPr>
              <w:t>Surrender obligations</w:t>
            </w:r>
          </w:p>
        </w:tc>
        <w:tc>
          <w:tcPr>
            <w:tcW w:w="6103" w:type="dxa"/>
          </w:tcPr>
          <w:p w14:paraId="5610381F" w14:textId="77777777" w:rsidR="002C64D4" w:rsidRDefault="002C64D4" w:rsidP="004E309A">
            <w:pPr>
              <w:spacing w:before="60" w:after="60"/>
              <w:rPr>
                <w:rFonts w:eastAsia="Calibri" w:cs="Calibri"/>
              </w:rPr>
            </w:pPr>
            <w:r>
              <w:rPr>
                <w:rFonts w:eastAsia="Calibri" w:cs="Calibri"/>
              </w:rPr>
              <w:t>Obligations to surrender NZUs equal to the emissions reported in an emission return</w:t>
            </w:r>
          </w:p>
        </w:tc>
      </w:tr>
      <w:tr w:rsidR="002C64D4" w14:paraId="16D41363" w14:textId="77777777" w:rsidTr="00DA2CBF">
        <w:tc>
          <w:tcPr>
            <w:tcW w:w="2402" w:type="dxa"/>
          </w:tcPr>
          <w:p w14:paraId="5E79452F" w14:textId="77777777" w:rsidR="002C64D4" w:rsidRDefault="002C64D4" w:rsidP="004E309A">
            <w:pPr>
              <w:spacing w:before="60" w:after="60"/>
              <w:rPr>
                <w:rFonts w:eastAsia="Calibri" w:cs="Calibri"/>
              </w:rPr>
            </w:pPr>
            <w:r>
              <w:rPr>
                <w:rFonts w:eastAsia="Calibri" w:cs="Calibri"/>
              </w:rPr>
              <w:t>UEF</w:t>
            </w:r>
          </w:p>
        </w:tc>
        <w:tc>
          <w:tcPr>
            <w:tcW w:w="6103" w:type="dxa"/>
          </w:tcPr>
          <w:p w14:paraId="6D5FFF5A" w14:textId="77777777" w:rsidR="002C64D4" w:rsidRDefault="002C64D4" w:rsidP="004E309A">
            <w:pPr>
              <w:spacing w:before="60" w:after="60"/>
              <w:rPr>
                <w:rFonts w:eastAsia="Calibri" w:cs="Calibri"/>
              </w:rPr>
            </w:pPr>
            <w:r>
              <w:rPr>
                <w:rFonts w:eastAsia="Calibri" w:cs="Calibri"/>
              </w:rPr>
              <w:t>Unique emissions factor. A value given to an activity based on a unique estimate of how emissions-intensive it is. Used to calculate emissions. UEFs must be applied for and approved for use by the EPA.</w:t>
            </w:r>
          </w:p>
        </w:tc>
      </w:tr>
    </w:tbl>
    <w:p w14:paraId="60F881D2" w14:textId="77777777" w:rsidR="002C64D4" w:rsidRDefault="002C64D4" w:rsidP="002C64D4">
      <w:pPr>
        <w:pStyle w:val="BodyText"/>
      </w:pPr>
    </w:p>
    <w:p w14:paraId="389952B8" w14:textId="77777777" w:rsidR="002C64D4" w:rsidRPr="00F97CA5" w:rsidRDefault="002C64D4" w:rsidP="002C64D4">
      <w:pPr>
        <w:pStyle w:val="BodyText"/>
      </w:pPr>
      <w:r w:rsidRPr="00F97CA5">
        <w:br w:type="page"/>
      </w:r>
    </w:p>
    <w:p w14:paraId="6D07393A" w14:textId="77777777" w:rsidR="002C64D4" w:rsidRDefault="002C64D4" w:rsidP="007200A6">
      <w:pPr>
        <w:pStyle w:val="Heading1"/>
      </w:pPr>
      <w:bookmarkStart w:id="83" w:name="_Toc95397118"/>
      <w:r>
        <w:lastRenderedPageBreak/>
        <w:t>References</w:t>
      </w:r>
      <w:bookmarkEnd w:id="82"/>
      <w:bookmarkEnd w:id="83"/>
    </w:p>
    <w:p w14:paraId="492B64D9" w14:textId="77777777" w:rsidR="002C64D4" w:rsidRPr="00576423" w:rsidRDefault="002C64D4" w:rsidP="002C64D4">
      <w:pPr>
        <w:rPr>
          <w:rFonts w:eastAsia="Calibri" w:cs="Calibri"/>
        </w:rPr>
      </w:pPr>
      <w:r w:rsidRPr="00576423">
        <w:rPr>
          <w:rFonts w:eastAsia="Calibri" w:cs="Calibri"/>
          <w:color w:val="000000" w:themeColor="text1"/>
        </w:rPr>
        <w:t xml:space="preserve">Air New Zealand. May 2021. </w:t>
      </w:r>
      <w:r w:rsidRPr="00576423">
        <w:rPr>
          <w:rFonts w:eastAsia="Calibri" w:cs="Calibri"/>
          <w:i/>
          <w:iCs/>
          <w:color w:val="000000" w:themeColor="text1"/>
        </w:rPr>
        <w:t>Sustainable Aviation Fuel in New Zealand.</w:t>
      </w:r>
      <w:r>
        <w:rPr>
          <w:rFonts w:eastAsia="Calibri" w:cs="Calibri"/>
          <w:i/>
          <w:iCs/>
          <w:color w:val="000000" w:themeColor="text1"/>
        </w:rPr>
        <w:t xml:space="preserve"> </w:t>
      </w:r>
    </w:p>
    <w:p w14:paraId="20C8BF90" w14:textId="77777777" w:rsidR="002C64D4" w:rsidRDefault="002C64D4" w:rsidP="002C64D4">
      <w:pPr>
        <w:rPr>
          <w:sz w:val="20"/>
          <w:szCs w:val="20"/>
        </w:rPr>
      </w:pPr>
      <w:r w:rsidRPr="00576423">
        <w:t>Chandrasekhar</w:t>
      </w:r>
      <w:r>
        <w:t>,</w:t>
      </w:r>
      <w:r w:rsidRPr="00576423">
        <w:t xml:space="preserve"> </w:t>
      </w:r>
      <w:r>
        <w:t>B</w:t>
      </w:r>
      <w:r w:rsidRPr="00576423">
        <w:t xml:space="preserve">. </w:t>
      </w:r>
      <w:r>
        <w:t>2022</w:t>
      </w:r>
      <w:r w:rsidRPr="00576423">
        <w:t xml:space="preserve">. </w:t>
      </w:r>
      <w:r w:rsidRPr="00576423">
        <w:rPr>
          <w:i/>
          <w:iCs/>
        </w:rPr>
        <w:t xml:space="preserve">Solving aviation fuel complexities through hyper spectral imaging. </w:t>
      </w:r>
      <w:r w:rsidRPr="00576423">
        <w:t>WIPRO Limited</w:t>
      </w:r>
      <w:r>
        <w:rPr>
          <w:sz w:val="20"/>
          <w:szCs w:val="20"/>
        </w:rPr>
        <w:t xml:space="preserve">. </w:t>
      </w:r>
    </w:p>
    <w:p w14:paraId="5069ABE9" w14:textId="77777777" w:rsidR="002C64D4" w:rsidRPr="00544C27" w:rsidRDefault="002C64D4" w:rsidP="002C64D4">
      <w:pPr>
        <w:pStyle w:val="References"/>
        <w:rPr>
          <w:sz w:val="22"/>
        </w:rPr>
      </w:pPr>
      <w:r w:rsidRPr="00544C27">
        <w:rPr>
          <w:sz w:val="22"/>
        </w:rPr>
        <w:t xml:space="preserve">Ministry for the Environment. 2007. </w:t>
      </w:r>
      <w:r w:rsidRPr="00544C27">
        <w:rPr>
          <w:i/>
          <w:sz w:val="22"/>
        </w:rPr>
        <w:t>Environment New Zealand 2007</w:t>
      </w:r>
      <w:r w:rsidRPr="00544C27">
        <w:rPr>
          <w:sz w:val="22"/>
        </w:rPr>
        <w:t>. Wellington: Ministry for the Environment.</w:t>
      </w:r>
    </w:p>
    <w:p w14:paraId="00F4F71E" w14:textId="77777777" w:rsidR="002C64D4" w:rsidRPr="00544C27" w:rsidRDefault="002C64D4" w:rsidP="002C64D4">
      <w:pPr>
        <w:rPr>
          <w:rFonts w:eastAsia="Calibri" w:cs="Calibri"/>
        </w:rPr>
      </w:pPr>
      <w:r w:rsidRPr="00544C27">
        <w:rPr>
          <w:rFonts w:eastAsia="Calibri" w:cs="Calibri"/>
        </w:rPr>
        <w:t xml:space="preserve">Ministry for the Environment. 2022. </w:t>
      </w:r>
      <w:r w:rsidRPr="00626624">
        <w:rPr>
          <w:rFonts w:eastAsia="Calibri" w:cs="Calibri"/>
          <w:i/>
          <w:iCs/>
        </w:rPr>
        <w:t>Proposed changes to the NZ ETS and SGG levy regulations 2022: Consultation document</w:t>
      </w:r>
      <w:r w:rsidRPr="00544C27">
        <w:rPr>
          <w:rFonts w:eastAsia="Calibri" w:cs="Calibri"/>
        </w:rPr>
        <w:t>. Wellington: Ministry for the Environment.</w:t>
      </w:r>
    </w:p>
    <w:p w14:paraId="0BD80D7C" w14:textId="77777777" w:rsidR="00A73584" w:rsidRDefault="00A73584"/>
    <w:sectPr w:rsidR="00A735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E8016" w14:textId="77777777" w:rsidR="002C64D4" w:rsidRDefault="002C64D4" w:rsidP="002C64D4">
      <w:pPr>
        <w:spacing w:after="0" w:line="240" w:lineRule="auto"/>
      </w:pPr>
      <w:r>
        <w:separator/>
      </w:r>
    </w:p>
  </w:endnote>
  <w:endnote w:type="continuationSeparator" w:id="0">
    <w:p w14:paraId="2AB290F8" w14:textId="77777777" w:rsidR="002C64D4" w:rsidRDefault="002C64D4" w:rsidP="002C64D4">
      <w:pPr>
        <w:spacing w:after="0" w:line="240" w:lineRule="auto"/>
      </w:pPr>
      <w:r>
        <w:continuationSeparator/>
      </w:r>
    </w:p>
  </w:endnote>
  <w:endnote w:type="continuationNotice" w:id="1">
    <w:p w14:paraId="33454A04" w14:textId="77777777" w:rsidR="00BD6CCF" w:rsidRDefault="00BD6C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151953"/>
      <w:docPartObj>
        <w:docPartGallery w:val="Page Numbers (Bottom of Page)"/>
        <w:docPartUnique/>
      </w:docPartObj>
    </w:sdtPr>
    <w:sdtEndPr>
      <w:rPr>
        <w:noProof/>
      </w:rPr>
    </w:sdtEndPr>
    <w:sdtContent>
      <w:p w14:paraId="335F18CD" w14:textId="77473A51" w:rsidR="00420831" w:rsidRDefault="00B630B8" w:rsidP="001F1791">
        <w:pPr>
          <w:pStyle w:val="Footer"/>
          <w:tabs>
            <w:tab w:val="clear" w:pos="4513"/>
            <w:tab w:val="center" w:pos="2268"/>
          </w:tabs>
        </w:pPr>
        <w:r w:rsidRPr="00B630B8">
          <w:rPr>
            <w:sz w:val="16"/>
            <w:szCs w:val="16"/>
          </w:rPr>
          <w:fldChar w:fldCharType="begin"/>
        </w:r>
        <w:r w:rsidRPr="00B630B8">
          <w:rPr>
            <w:sz w:val="16"/>
            <w:szCs w:val="16"/>
          </w:rPr>
          <w:instrText xml:space="preserve"> PAGE   \* MERGEFORMAT </w:instrText>
        </w:r>
        <w:r w:rsidRPr="00B630B8">
          <w:rPr>
            <w:sz w:val="16"/>
            <w:szCs w:val="16"/>
          </w:rPr>
          <w:fldChar w:fldCharType="separate"/>
        </w:r>
        <w:r w:rsidRPr="00B630B8">
          <w:rPr>
            <w:noProof/>
            <w:sz w:val="16"/>
            <w:szCs w:val="16"/>
          </w:rPr>
          <w:t>2</w:t>
        </w:r>
        <w:r w:rsidRPr="00B630B8">
          <w:rPr>
            <w:noProof/>
            <w:sz w:val="16"/>
            <w:szCs w:val="16"/>
          </w:rPr>
          <w:fldChar w:fldCharType="end"/>
        </w:r>
        <w:r w:rsidRPr="00B630B8">
          <w:rPr>
            <w:noProof/>
            <w:sz w:val="16"/>
            <w:szCs w:val="16"/>
          </w:rPr>
          <w:tab/>
        </w:r>
        <w:r w:rsidRPr="002F0D56">
          <w:rPr>
            <w:noProof/>
            <w:sz w:val="16"/>
            <w:szCs w:val="16"/>
          </w:rPr>
          <w:t>Proposed changes to regulations for the NZ ETS</w:t>
        </w:r>
        <w:r>
          <w:rPr>
            <w:noProof/>
            <w:sz w:val="16"/>
            <w:szCs w:val="16"/>
          </w:rPr>
          <w:t xml:space="preserve"> 2022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6F9E" w14:textId="77777777" w:rsidR="00420831" w:rsidRDefault="00420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1415" w14:textId="77777777" w:rsidR="00420831" w:rsidRDefault="004208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514682"/>
      <w:docPartObj>
        <w:docPartGallery w:val="Page Numbers (Bottom of Page)"/>
        <w:docPartUnique/>
      </w:docPartObj>
    </w:sdtPr>
    <w:sdtEndPr>
      <w:rPr>
        <w:noProof/>
      </w:rPr>
    </w:sdtEndPr>
    <w:sdtContent>
      <w:p w14:paraId="016B6F17" w14:textId="0212DAE2" w:rsidR="002C64D4" w:rsidRPr="002F0D56" w:rsidRDefault="005750DF" w:rsidP="001F1791">
        <w:pPr>
          <w:pStyle w:val="Footer"/>
          <w:tabs>
            <w:tab w:val="clear" w:pos="4513"/>
            <w:tab w:val="clear" w:pos="9026"/>
            <w:tab w:val="right" w:pos="8505"/>
          </w:tabs>
          <w:ind w:firstLine="3969"/>
          <w:rPr>
            <w:noProof/>
            <w:sz w:val="18"/>
            <w:szCs w:val="18"/>
          </w:rPr>
        </w:pPr>
        <w:sdt>
          <w:sdtPr>
            <w:id w:val="3330243"/>
            <w:docPartObj>
              <w:docPartGallery w:val="Page Numbers (Bottom of Page)"/>
              <w:docPartUnique/>
            </w:docPartObj>
          </w:sdtPr>
          <w:sdtEndPr>
            <w:rPr>
              <w:noProof/>
              <w:sz w:val="18"/>
              <w:szCs w:val="18"/>
            </w:rPr>
          </w:sdtEndPr>
          <w:sdtContent>
            <w:r w:rsidR="002C64D4" w:rsidRPr="002F0D56">
              <w:rPr>
                <w:noProof/>
                <w:sz w:val="16"/>
                <w:szCs w:val="16"/>
              </w:rPr>
              <w:t>Proposed changes to regulations for the NZ ETS</w:t>
            </w:r>
            <w:r w:rsidR="004E309A">
              <w:rPr>
                <w:noProof/>
                <w:sz w:val="16"/>
                <w:szCs w:val="16"/>
              </w:rPr>
              <w:t xml:space="preserve"> 2022</w:t>
            </w:r>
            <w:r w:rsidR="002C64D4">
              <w:rPr>
                <w:noProof/>
                <w:sz w:val="16"/>
                <w:szCs w:val="16"/>
              </w:rPr>
              <w:tab/>
            </w:r>
          </w:sdtContent>
        </w:sdt>
        <w:r w:rsidR="002C64D4" w:rsidRPr="002F0D56">
          <w:rPr>
            <w:sz w:val="16"/>
            <w:szCs w:val="16"/>
          </w:rPr>
          <w:fldChar w:fldCharType="begin"/>
        </w:r>
        <w:r w:rsidR="002C64D4" w:rsidRPr="002F0D56">
          <w:rPr>
            <w:sz w:val="16"/>
            <w:szCs w:val="16"/>
          </w:rPr>
          <w:instrText xml:space="preserve"> PAGE   \* MERGEFORMAT </w:instrText>
        </w:r>
        <w:r w:rsidR="002C64D4" w:rsidRPr="002F0D56">
          <w:rPr>
            <w:sz w:val="16"/>
            <w:szCs w:val="16"/>
          </w:rPr>
          <w:fldChar w:fldCharType="separate"/>
        </w:r>
        <w:r w:rsidR="002C64D4">
          <w:rPr>
            <w:noProof/>
            <w:sz w:val="16"/>
            <w:szCs w:val="16"/>
          </w:rPr>
          <w:t>19</w:t>
        </w:r>
        <w:r w:rsidR="002C64D4" w:rsidRPr="002F0D56">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830F5" w14:textId="77777777" w:rsidR="002C64D4" w:rsidRDefault="002C64D4" w:rsidP="002C64D4">
      <w:pPr>
        <w:spacing w:after="0" w:line="240" w:lineRule="auto"/>
      </w:pPr>
      <w:r>
        <w:separator/>
      </w:r>
    </w:p>
  </w:footnote>
  <w:footnote w:type="continuationSeparator" w:id="0">
    <w:p w14:paraId="5191B9F8" w14:textId="77777777" w:rsidR="002C64D4" w:rsidRDefault="002C64D4" w:rsidP="002C64D4">
      <w:pPr>
        <w:spacing w:after="0" w:line="240" w:lineRule="auto"/>
      </w:pPr>
      <w:r>
        <w:continuationSeparator/>
      </w:r>
    </w:p>
  </w:footnote>
  <w:footnote w:type="continuationNotice" w:id="1">
    <w:p w14:paraId="11AD3069" w14:textId="77777777" w:rsidR="00BD6CCF" w:rsidRDefault="00BD6CCF">
      <w:pPr>
        <w:spacing w:after="0" w:line="240" w:lineRule="auto"/>
      </w:pPr>
    </w:p>
  </w:footnote>
  <w:footnote w:id="2">
    <w:p w14:paraId="079D21D3" w14:textId="77777777" w:rsidR="002C64D4" w:rsidRDefault="002C64D4" w:rsidP="002C64D4">
      <w:pPr>
        <w:pStyle w:val="FootnoteText"/>
      </w:pPr>
      <w:r>
        <w:rPr>
          <w:rStyle w:val="FootnoteReference"/>
        </w:rPr>
        <w:footnoteRef/>
      </w:r>
      <w:r>
        <w:t xml:space="preserve"> </w:t>
      </w:r>
      <w:r>
        <w:tab/>
        <w:t>Under the United Nations Framework Convention on Climate Change, the Kyoto Protocol and the Paris Agreement.</w:t>
      </w:r>
    </w:p>
  </w:footnote>
  <w:footnote w:id="3">
    <w:p w14:paraId="32276190" w14:textId="77777777" w:rsidR="002C64D4" w:rsidRDefault="002C64D4" w:rsidP="002C64D4">
      <w:pPr>
        <w:pStyle w:val="References"/>
        <w:tabs>
          <w:tab w:val="left" w:pos="240"/>
        </w:tabs>
        <w:ind w:left="240" w:hanging="240"/>
        <w:rPr>
          <w:sz w:val="19"/>
          <w:szCs w:val="19"/>
        </w:rPr>
      </w:pPr>
      <w:r w:rsidRPr="00194017">
        <w:rPr>
          <w:rStyle w:val="FootnoteReference"/>
          <w:color w:val="000000" w:themeColor="text1"/>
        </w:rPr>
        <w:footnoteRef/>
      </w:r>
      <w:r w:rsidRPr="00194017">
        <w:rPr>
          <w:color w:val="000000" w:themeColor="text1"/>
        </w:rPr>
        <w:t xml:space="preserve"> </w:t>
      </w:r>
      <w:r>
        <w:tab/>
      </w:r>
      <w:hyperlink r:id="rId1" w:history="1">
        <w:r w:rsidRPr="00E649F7">
          <w:rPr>
            <w:rStyle w:val="Hyperlink"/>
            <w:sz w:val="19"/>
            <w:szCs w:val="19"/>
          </w:rPr>
          <w:t>About product stewardship in New Zealand</w:t>
        </w:r>
      </w:hyperlink>
      <w:r>
        <w:rPr>
          <w:color w:val="000000" w:themeColor="text1"/>
          <w:sz w:val="19"/>
          <w:szCs w:val="19"/>
        </w:rPr>
        <w:t xml:space="preserve"> — </w:t>
      </w:r>
      <w:r w:rsidRPr="00194017">
        <w:rPr>
          <w:color w:val="000000" w:themeColor="text1"/>
          <w:sz w:val="19"/>
          <w:szCs w:val="19"/>
        </w:rPr>
        <w:t>A</w:t>
      </w:r>
      <w:r>
        <w:rPr>
          <w:sz w:val="19"/>
          <w:szCs w:val="19"/>
        </w:rPr>
        <w:t>ccessed 17 January 2022.</w:t>
      </w:r>
    </w:p>
  </w:footnote>
  <w:footnote w:id="4">
    <w:p w14:paraId="2BD696D9" w14:textId="77777777" w:rsidR="002C64D4" w:rsidRDefault="002C64D4" w:rsidP="002C64D4">
      <w:pPr>
        <w:pStyle w:val="References"/>
        <w:tabs>
          <w:tab w:val="left" w:pos="240"/>
        </w:tabs>
      </w:pPr>
      <w:r w:rsidRPr="00194017">
        <w:rPr>
          <w:rStyle w:val="FootnoteReference"/>
          <w:color w:val="000000" w:themeColor="text1"/>
        </w:rPr>
        <w:footnoteRef/>
      </w:r>
      <w:r w:rsidRPr="00194017">
        <w:rPr>
          <w:color w:val="000000" w:themeColor="text1"/>
        </w:rPr>
        <w:t xml:space="preserve"> </w:t>
      </w:r>
      <w:r>
        <w:tab/>
      </w:r>
      <w:hyperlink r:id="rId2" w:history="1">
        <w:r w:rsidRPr="00E649F7">
          <w:rPr>
            <w:rStyle w:val="Hyperlink"/>
            <w:sz w:val="19"/>
            <w:szCs w:val="19"/>
          </w:rPr>
          <w:t>What is product stewardship?</w:t>
        </w:r>
      </w:hyperlink>
      <w:r>
        <w:rPr>
          <w:color w:val="000000" w:themeColor="text1"/>
          <w:sz w:val="19"/>
          <w:szCs w:val="19"/>
        </w:rPr>
        <w:t xml:space="preserve"> – </w:t>
      </w:r>
      <w:r>
        <w:rPr>
          <w:sz w:val="19"/>
          <w:szCs w:val="19"/>
        </w:rPr>
        <w:t>Accessed 17 January 2022.</w:t>
      </w:r>
      <w:r>
        <w:t xml:space="preserve"> </w:t>
      </w:r>
    </w:p>
  </w:footnote>
  <w:footnote w:id="5">
    <w:p w14:paraId="6265CBE3" w14:textId="77777777" w:rsidR="002C64D4" w:rsidRDefault="002C64D4" w:rsidP="002C64D4">
      <w:pPr>
        <w:pStyle w:val="References"/>
        <w:tabs>
          <w:tab w:val="left" w:pos="240"/>
        </w:tabs>
        <w:ind w:left="240" w:hanging="240"/>
      </w:pPr>
      <w:r w:rsidRPr="00194017">
        <w:rPr>
          <w:rStyle w:val="FootnoteReference"/>
          <w:color w:val="000000" w:themeColor="text1"/>
        </w:rPr>
        <w:footnoteRef/>
      </w:r>
      <w:r w:rsidRPr="00194017">
        <w:rPr>
          <w:color w:val="000000" w:themeColor="text1"/>
        </w:rPr>
        <w:t xml:space="preserve"> </w:t>
      </w:r>
      <w:r>
        <w:tab/>
      </w:r>
      <w:r w:rsidRPr="00FE58BD">
        <w:rPr>
          <w:sz w:val="19"/>
          <w:szCs w:val="19"/>
        </w:rPr>
        <w:t xml:space="preserve">The </w:t>
      </w:r>
      <w:hyperlink r:id="rId3" w:history="1">
        <w:r w:rsidRPr="00FE58BD">
          <w:rPr>
            <w:rStyle w:val="Hyperlink"/>
            <w:sz w:val="19"/>
            <w:szCs w:val="19"/>
          </w:rPr>
          <w:t>Montreal Protocol on Substances that Deplete the Ozone Layer</w:t>
        </w:r>
      </w:hyperlink>
      <w:r w:rsidRPr="00FE58BD">
        <w:rPr>
          <w:sz w:val="19"/>
          <w:szCs w:val="19"/>
        </w:rPr>
        <w:t xml:space="preserve"> | Ozone Secretariat (unep.org)</w:t>
      </w:r>
      <w:r>
        <w:rPr>
          <w:color w:val="000000" w:themeColor="text1"/>
          <w:sz w:val="19"/>
          <w:szCs w:val="19"/>
        </w:rPr>
        <w:t xml:space="preserve"> —</w:t>
      </w:r>
      <w:r>
        <w:rPr>
          <w:sz w:val="19"/>
          <w:szCs w:val="19"/>
        </w:rPr>
        <w:t>Accessed 11 January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AD16" w14:textId="77777777" w:rsidR="00420831" w:rsidRDefault="004208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9843" w14:textId="77777777" w:rsidR="00420831" w:rsidRDefault="004208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7260" w14:textId="77777777" w:rsidR="00420831" w:rsidRDefault="004208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BD9D" w14:textId="77777777" w:rsidR="002C64D4" w:rsidRDefault="002C6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973CA"/>
    <w:multiLevelType w:val="hybridMultilevel"/>
    <w:tmpl w:val="D2826DF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 w15:restartNumberingAfterBreak="0">
    <w:nsid w:val="1578505E"/>
    <w:multiLevelType w:val="hybridMultilevel"/>
    <w:tmpl w:val="CD8291C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 w15:restartNumberingAfterBreak="0">
    <w:nsid w:val="19FB675A"/>
    <w:multiLevelType w:val="hybridMultilevel"/>
    <w:tmpl w:val="498618D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 w15:restartNumberingAfterBreak="0">
    <w:nsid w:val="1D7D768F"/>
    <w:multiLevelType w:val="hybridMultilevel"/>
    <w:tmpl w:val="9BE2A392"/>
    <w:lvl w:ilvl="0" w:tplc="14090001">
      <w:start w:val="1"/>
      <w:numFmt w:val="bullet"/>
      <w:lvlText w:val=""/>
      <w:lvlJc w:val="left"/>
      <w:pPr>
        <w:ind w:left="-1080" w:firstLine="0"/>
      </w:pPr>
      <w:rPr>
        <w:rFonts w:ascii="Symbol" w:hAnsi="Symbol" w:hint="default"/>
      </w:rPr>
    </w:lvl>
    <w:lvl w:ilvl="1" w:tplc="14090003">
      <w:start w:val="1"/>
      <w:numFmt w:val="bullet"/>
      <w:lvlText w:val="o"/>
      <w:lvlJc w:val="left"/>
      <w:pPr>
        <w:ind w:left="720" w:hanging="360"/>
      </w:pPr>
      <w:rPr>
        <w:rFonts w:ascii="Courier New" w:hAnsi="Courier New" w:cs="Courier New" w:hint="default"/>
      </w:rPr>
    </w:lvl>
    <w:lvl w:ilvl="2" w:tplc="14090005">
      <w:start w:val="1"/>
      <w:numFmt w:val="bullet"/>
      <w:lvlText w:val=""/>
      <w:lvlJc w:val="left"/>
      <w:pPr>
        <w:ind w:left="1440" w:hanging="360"/>
      </w:pPr>
      <w:rPr>
        <w:rFonts w:ascii="Wingdings" w:hAnsi="Wingdings" w:hint="default"/>
      </w:rPr>
    </w:lvl>
    <w:lvl w:ilvl="3" w:tplc="14090001">
      <w:start w:val="1"/>
      <w:numFmt w:val="bullet"/>
      <w:lvlText w:val=""/>
      <w:lvlJc w:val="left"/>
      <w:pPr>
        <w:ind w:left="2160" w:hanging="360"/>
      </w:pPr>
      <w:rPr>
        <w:rFonts w:ascii="Symbol" w:hAnsi="Symbol" w:hint="default"/>
      </w:rPr>
    </w:lvl>
    <w:lvl w:ilvl="4" w:tplc="14090003">
      <w:start w:val="1"/>
      <w:numFmt w:val="bullet"/>
      <w:lvlText w:val="o"/>
      <w:lvlJc w:val="left"/>
      <w:pPr>
        <w:ind w:left="2880" w:hanging="360"/>
      </w:pPr>
      <w:rPr>
        <w:rFonts w:ascii="Courier New" w:hAnsi="Courier New" w:cs="Courier New" w:hint="default"/>
      </w:rPr>
    </w:lvl>
    <w:lvl w:ilvl="5" w:tplc="14090005">
      <w:start w:val="1"/>
      <w:numFmt w:val="bullet"/>
      <w:lvlText w:val=""/>
      <w:lvlJc w:val="left"/>
      <w:pPr>
        <w:ind w:left="3600" w:hanging="360"/>
      </w:pPr>
      <w:rPr>
        <w:rFonts w:ascii="Wingdings" w:hAnsi="Wingdings" w:hint="default"/>
      </w:rPr>
    </w:lvl>
    <w:lvl w:ilvl="6" w:tplc="14090001">
      <w:start w:val="1"/>
      <w:numFmt w:val="bullet"/>
      <w:lvlText w:val=""/>
      <w:lvlJc w:val="left"/>
      <w:pPr>
        <w:ind w:left="4320" w:hanging="360"/>
      </w:pPr>
      <w:rPr>
        <w:rFonts w:ascii="Symbol" w:hAnsi="Symbol" w:hint="default"/>
      </w:rPr>
    </w:lvl>
    <w:lvl w:ilvl="7" w:tplc="14090003">
      <w:start w:val="1"/>
      <w:numFmt w:val="bullet"/>
      <w:lvlText w:val="o"/>
      <w:lvlJc w:val="left"/>
      <w:pPr>
        <w:ind w:left="5040" w:hanging="360"/>
      </w:pPr>
      <w:rPr>
        <w:rFonts w:ascii="Courier New" w:hAnsi="Courier New" w:cs="Courier New" w:hint="default"/>
      </w:rPr>
    </w:lvl>
    <w:lvl w:ilvl="8" w:tplc="14090005">
      <w:start w:val="1"/>
      <w:numFmt w:val="bullet"/>
      <w:lvlText w:val=""/>
      <w:lvlJc w:val="left"/>
      <w:pPr>
        <w:ind w:left="5760" w:hanging="360"/>
      </w:pPr>
      <w:rPr>
        <w:rFonts w:ascii="Wingdings" w:hAnsi="Wingdings" w:hint="default"/>
      </w:rPr>
    </w:lvl>
  </w:abstractNum>
  <w:abstractNum w:abstractNumId="4" w15:restartNumberingAfterBreak="0">
    <w:nsid w:val="1FC75056"/>
    <w:multiLevelType w:val="hybridMultilevel"/>
    <w:tmpl w:val="D7AC7C8C"/>
    <w:lvl w:ilvl="0" w:tplc="14090001">
      <w:start w:val="1"/>
      <w:numFmt w:val="bullet"/>
      <w:lvlText w:val=""/>
      <w:lvlJc w:val="left"/>
      <w:pPr>
        <w:ind w:left="360" w:hanging="360"/>
      </w:pPr>
      <w:rPr>
        <w:rFonts w:ascii="Symbol" w:hAnsi="Symbol" w:hint="default"/>
      </w:rPr>
    </w:lvl>
    <w:lvl w:ilvl="1" w:tplc="853A943A">
      <w:numFmt w:val="bullet"/>
      <w:lvlText w:val="•"/>
      <w:lvlJc w:val="left"/>
      <w:pPr>
        <w:ind w:left="1080" w:hanging="360"/>
      </w:pPr>
      <w:rPr>
        <w:rFonts w:ascii="Calibri" w:eastAsia="Times New Roman" w:hAnsi="Calibri" w:cs="Calibri"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5" w15:restartNumberingAfterBreak="0">
    <w:nsid w:val="2A9A0289"/>
    <w:multiLevelType w:val="hybridMultilevel"/>
    <w:tmpl w:val="C41A8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hybridMultilevel"/>
    <w:tmpl w:val="E9D29C0A"/>
    <w:lvl w:ilvl="0" w:tplc="6F14BEE4">
      <w:start w:val="1"/>
      <w:numFmt w:val="decimal"/>
      <w:pStyle w:val="Numberedparagraph"/>
      <w:lvlText w:val="%1."/>
      <w:lvlJc w:val="left"/>
      <w:pPr>
        <w:ind w:left="0" w:firstLine="397"/>
      </w:pPr>
      <w:rPr>
        <w:rFonts w:ascii="Calibri" w:hAnsi="Calibri" w:cs="Arial" w:hint="default"/>
        <w:b w:val="0"/>
        <w:i w:val="0"/>
        <w:sz w:val="22"/>
        <w:szCs w:val="22"/>
      </w:rPr>
    </w:lvl>
    <w:lvl w:ilvl="1" w:tplc="07AA6058">
      <w:start w:val="1"/>
      <w:numFmt w:val="lowerLetter"/>
      <w:lvlText w:val="%2."/>
      <w:lvlJc w:val="left"/>
      <w:pPr>
        <w:ind w:left="397" w:firstLine="397"/>
      </w:pPr>
    </w:lvl>
    <w:lvl w:ilvl="2" w:tplc="92B004D2">
      <w:start w:val="1"/>
      <w:numFmt w:val="lowerRoman"/>
      <w:lvlText w:val="%3."/>
      <w:lvlJc w:val="right"/>
      <w:pPr>
        <w:ind w:left="794" w:firstLine="397"/>
      </w:pPr>
    </w:lvl>
    <w:lvl w:ilvl="3" w:tplc="66403AFE">
      <w:start w:val="1"/>
      <w:numFmt w:val="decimal"/>
      <w:lvlText w:val="%4."/>
      <w:lvlJc w:val="left"/>
      <w:pPr>
        <w:ind w:left="1191" w:firstLine="397"/>
      </w:pPr>
    </w:lvl>
    <w:lvl w:ilvl="4" w:tplc="85B630CE">
      <w:start w:val="1"/>
      <w:numFmt w:val="lowerLetter"/>
      <w:lvlText w:val="%5."/>
      <w:lvlJc w:val="left"/>
      <w:pPr>
        <w:ind w:left="1588" w:firstLine="397"/>
      </w:pPr>
    </w:lvl>
    <w:lvl w:ilvl="5" w:tplc="CBA6194A">
      <w:start w:val="1"/>
      <w:numFmt w:val="lowerRoman"/>
      <w:lvlText w:val="%6."/>
      <w:lvlJc w:val="right"/>
      <w:pPr>
        <w:ind w:left="1985" w:firstLine="397"/>
      </w:pPr>
    </w:lvl>
    <w:lvl w:ilvl="6" w:tplc="7D00D552">
      <w:start w:val="1"/>
      <w:numFmt w:val="decimal"/>
      <w:lvlText w:val="%7."/>
      <w:lvlJc w:val="left"/>
      <w:pPr>
        <w:ind w:left="2382" w:firstLine="397"/>
      </w:pPr>
    </w:lvl>
    <w:lvl w:ilvl="7" w:tplc="260A98D0">
      <w:start w:val="1"/>
      <w:numFmt w:val="lowerLetter"/>
      <w:lvlText w:val="%8."/>
      <w:lvlJc w:val="left"/>
      <w:pPr>
        <w:ind w:left="2779" w:firstLine="397"/>
      </w:pPr>
    </w:lvl>
    <w:lvl w:ilvl="8" w:tplc="EE5CDCDE">
      <w:start w:val="1"/>
      <w:numFmt w:val="lowerRoman"/>
      <w:lvlText w:val="%9."/>
      <w:lvlJc w:val="right"/>
      <w:pPr>
        <w:ind w:left="3176" w:firstLine="397"/>
      </w:pPr>
    </w:lvl>
  </w:abstractNum>
  <w:abstractNum w:abstractNumId="7" w15:restartNumberingAfterBreak="0">
    <w:nsid w:val="2DC92AC4"/>
    <w:multiLevelType w:val="multilevel"/>
    <w:tmpl w:val="A2C8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3631D1"/>
    <w:multiLevelType w:val="hybridMultilevel"/>
    <w:tmpl w:val="98848CC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9" w15:restartNumberingAfterBreak="0">
    <w:nsid w:val="32942674"/>
    <w:multiLevelType w:val="hybridMultilevel"/>
    <w:tmpl w:val="BC187BEA"/>
    <w:lvl w:ilvl="0" w:tplc="248A4600">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44D1BF6"/>
    <w:multiLevelType w:val="multilevel"/>
    <w:tmpl w:val="C9D8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B30273"/>
    <w:multiLevelType w:val="hybridMultilevel"/>
    <w:tmpl w:val="1F7AFB56"/>
    <w:lvl w:ilvl="0" w:tplc="98E61568">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2" w15:restartNumberingAfterBreak="0">
    <w:nsid w:val="3D465A16"/>
    <w:multiLevelType w:val="multilevel"/>
    <w:tmpl w:val="EA8CA7B0"/>
    <w:lvl w:ilvl="0">
      <w:start w:val="1"/>
      <w:numFmt w:val="bullet"/>
      <w:pStyle w:val="Box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FB01468"/>
    <w:multiLevelType w:val="hybridMultilevel"/>
    <w:tmpl w:val="4A5AF752"/>
    <w:lvl w:ilvl="0" w:tplc="A0345EE2">
      <w:start w:val="1"/>
      <w:numFmt w:val="bullet"/>
      <w:pStyle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4" w15:restartNumberingAfterBreak="0">
    <w:nsid w:val="461731A8"/>
    <w:multiLevelType w:val="hybridMultilevel"/>
    <w:tmpl w:val="7456692C"/>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 w15:restartNumberingAfterBreak="0">
    <w:nsid w:val="50D83E20"/>
    <w:multiLevelType w:val="hybridMultilevel"/>
    <w:tmpl w:val="296C8A3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50FF0A7B"/>
    <w:multiLevelType w:val="hybridMultilevel"/>
    <w:tmpl w:val="5F76B3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7" w15:restartNumberingAfterBreak="0">
    <w:nsid w:val="534C45F4"/>
    <w:multiLevelType w:val="hybridMultilevel"/>
    <w:tmpl w:val="CF14EF22"/>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5613598D"/>
    <w:multiLevelType w:val="hybridMultilevel"/>
    <w:tmpl w:val="7D0A6E5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9" w15:restartNumberingAfterBreak="0">
    <w:nsid w:val="610E2502"/>
    <w:multiLevelType w:val="hybridMultilevel"/>
    <w:tmpl w:val="BEE4AA2E"/>
    <w:lvl w:ilvl="0" w:tplc="FA2C0F66">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620B1598"/>
    <w:multiLevelType w:val="hybridMultilevel"/>
    <w:tmpl w:val="3D983BEC"/>
    <w:lvl w:ilvl="0" w:tplc="248A4600">
      <w:numFmt w:val="bullet"/>
      <w:lvlText w:val="•"/>
      <w:lvlJc w:val="left"/>
      <w:pPr>
        <w:ind w:left="1200" w:hanging="360"/>
      </w:pPr>
      <w:rPr>
        <w:rFonts w:ascii="Calibri" w:eastAsia="Times New Roman" w:hAnsi="Calibri" w:cs="Calibri"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21" w15:restartNumberingAfterBreak="0">
    <w:nsid w:val="65930558"/>
    <w:multiLevelType w:val="hybridMultilevel"/>
    <w:tmpl w:val="7BFC0C2A"/>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665464BF"/>
    <w:multiLevelType w:val="hybridMultilevel"/>
    <w:tmpl w:val="7CBA694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3" w15:restartNumberingAfterBreak="0">
    <w:nsid w:val="67E456CA"/>
    <w:multiLevelType w:val="hybridMultilevel"/>
    <w:tmpl w:val="8B5A8CE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4" w15:restartNumberingAfterBreak="0">
    <w:nsid w:val="6FC94359"/>
    <w:multiLevelType w:val="hybridMultilevel"/>
    <w:tmpl w:val="E0F81E8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25" w15:restartNumberingAfterBreak="0">
    <w:nsid w:val="706402A7"/>
    <w:multiLevelType w:val="hybridMultilevel"/>
    <w:tmpl w:val="F93895F4"/>
    <w:lvl w:ilvl="0" w:tplc="6F602E28">
      <w:start w:val="1"/>
      <w:numFmt w:val="decimal"/>
      <w:lvlText w:val="%1."/>
      <w:lvlJc w:val="left"/>
      <w:pPr>
        <w:ind w:left="930" w:hanging="570"/>
      </w:pPr>
      <w:rPr>
        <w:rFonts w:asciiTheme="minorHAnsi" w:eastAsia="Georgia" w:hAnsiTheme="minorHAnsi" w:cstheme="minorHAnsi" w:hint="default"/>
        <w:color w:val="32809C"/>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47039F5"/>
    <w:multiLevelType w:val="hybridMultilevel"/>
    <w:tmpl w:val="B582C058"/>
    <w:lvl w:ilvl="0" w:tplc="14090001">
      <w:start w:val="1"/>
      <w:numFmt w:val="bullet"/>
      <w:lvlText w:val=""/>
      <w:lvlJc w:val="left"/>
      <w:pPr>
        <w:ind w:left="-1080" w:firstLine="0"/>
      </w:pPr>
      <w:rPr>
        <w:rFonts w:ascii="Symbol" w:hAnsi="Symbol" w:hint="default"/>
      </w:rPr>
    </w:lvl>
    <w:lvl w:ilvl="1" w:tplc="14090003">
      <w:start w:val="1"/>
      <w:numFmt w:val="bullet"/>
      <w:lvlText w:val="o"/>
      <w:lvlJc w:val="left"/>
      <w:pPr>
        <w:ind w:left="720" w:hanging="360"/>
      </w:pPr>
      <w:rPr>
        <w:rFonts w:ascii="Courier New" w:hAnsi="Courier New" w:cs="Courier New" w:hint="default"/>
      </w:rPr>
    </w:lvl>
    <w:lvl w:ilvl="2" w:tplc="14090005">
      <w:start w:val="1"/>
      <w:numFmt w:val="bullet"/>
      <w:lvlText w:val=""/>
      <w:lvlJc w:val="left"/>
      <w:pPr>
        <w:ind w:left="1440" w:hanging="360"/>
      </w:pPr>
      <w:rPr>
        <w:rFonts w:ascii="Wingdings" w:hAnsi="Wingdings" w:hint="default"/>
      </w:rPr>
    </w:lvl>
    <w:lvl w:ilvl="3" w:tplc="14090001">
      <w:start w:val="1"/>
      <w:numFmt w:val="bullet"/>
      <w:lvlText w:val=""/>
      <w:lvlJc w:val="left"/>
      <w:pPr>
        <w:ind w:left="2160" w:hanging="360"/>
      </w:pPr>
      <w:rPr>
        <w:rFonts w:ascii="Symbol" w:hAnsi="Symbol" w:hint="default"/>
      </w:rPr>
    </w:lvl>
    <w:lvl w:ilvl="4" w:tplc="14090003">
      <w:start w:val="1"/>
      <w:numFmt w:val="bullet"/>
      <w:lvlText w:val="o"/>
      <w:lvlJc w:val="left"/>
      <w:pPr>
        <w:ind w:left="2880" w:hanging="360"/>
      </w:pPr>
      <w:rPr>
        <w:rFonts w:ascii="Courier New" w:hAnsi="Courier New" w:cs="Courier New" w:hint="default"/>
      </w:rPr>
    </w:lvl>
    <w:lvl w:ilvl="5" w:tplc="14090005">
      <w:start w:val="1"/>
      <w:numFmt w:val="bullet"/>
      <w:lvlText w:val=""/>
      <w:lvlJc w:val="left"/>
      <w:pPr>
        <w:ind w:left="3600" w:hanging="360"/>
      </w:pPr>
      <w:rPr>
        <w:rFonts w:ascii="Wingdings" w:hAnsi="Wingdings" w:hint="default"/>
      </w:rPr>
    </w:lvl>
    <w:lvl w:ilvl="6" w:tplc="14090001">
      <w:start w:val="1"/>
      <w:numFmt w:val="bullet"/>
      <w:lvlText w:val=""/>
      <w:lvlJc w:val="left"/>
      <w:pPr>
        <w:ind w:left="4320" w:hanging="360"/>
      </w:pPr>
      <w:rPr>
        <w:rFonts w:ascii="Symbol" w:hAnsi="Symbol" w:hint="default"/>
      </w:rPr>
    </w:lvl>
    <w:lvl w:ilvl="7" w:tplc="14090003">
      <w:start w:val="1"/>
      <w:numFmt w:val="bullet"/>
      <w:lvlText w:val="o"/>
      <w:lvlJc w:val="left"/>
      <w:pPr>
        <w:ind w:left="5040" w:hanging="360"/>
      </w:pPr>
      <w:rPr>
        <w:rFonts w:ascii="Courier New" w:hAnsi="Courier New" w:cs="Courier New" w:hint="default"/>
      </w:rPr>
    </w:lvl>
    <w:lvl w:ilvl="8" w:tplc="14090005">
      <w:start w:val="1"/>
      <w:numFmt w:val="bullet"/>
      <w:lvlText w:val=""/>
      <w:lvlJc w:val="left"/>
      <w:pPr>
        <w:ind w:left="5760" w:hanging="360"/>
      </w:pPr>
      <w:rPr>
        <w:rFonts w:ascii="Wingdings" w:hAnsi="Wingdings" w:hint="default"/>
      </w:rPr>
    </w:lvl>
  </w:abstractNum>
  <w:abstractNum w:abstractNumId="27" w15:restartNumberingAfterBreak="0">
    <w:nsid w:val="7A0D0AAD"/>
    <w:multiLevelType w:val="hybridMultilevel"/>
    <w:tmpl w:val="6DFA82B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16cid:durableId="48649150">
    <w:abstractNumId w:val="12"/>
  </w:num>
  <w:num w:numId="2" w16cid:durableId="414133221">
    <w:abstractNumId w:val="6"/>
  </w:num>
  <w:num w:numId="3" w16cid:durableId="631206822">
    <w:abstractNumId w:val="0"/>
  </w:num>
  <w:num w:numId="4" w16cid:durableId="2055613140">
    <w:abstractNumId w:val="8"/>
  </w:num>
  <w:num w:numId="5" w16cid:durableId="998271731">
    <w:abstractNumId w:val="24"/>
  </w:num>
  <w:num w:numId="6" w16cid:durableId="1092243488">
    <w:abstractNumId w:val="11"/>
  </w:num>
  <w:num w:numId="7" w16cid:durableId="2044744877">
    <w:abstractNumId w:val="13"/>
  </w:num>
  <w:num w:numId="8" w16cid:durableId="949897875">
    <w:abstractNumId w:val="22"/>
  </w:num>
  <w:num w:numId="9" w16cid:durableId="904990716">
    <w:abstractNumId w:val="16"/>
  </w:num>
  <w:num w:numId="10" w16cid:durableId="1498838601">
    <w:abstractNumId w:val="18"/>
  </w:num>
  <w:num w:numId="11" w16cid:durableId="1176461303">
    <w:abstractNumId w:val="4"/>
  </w:num>
  <w:num w:numId="12" w16cid:durableId="1199271561">
    <w:abstractNumId w:val="27"/>
  </w:num>
  <w:num w:numId="13" w16cid:durableId="1195928426">
    <w:abstractNumId w:val="26"/>
  </w:num>
  <w:num w:numId="14" w16cid:durableId="439029264">
    <w:abstractNumId w:val="15"/>
  </w:num>
  <w:num w:numId="15" w16cid:durableId="767887961">
    <w:abstractNumId w:val="1"/>
  </w:num>
  <w:num w:numId="16" w16cid:durableId="623385531">
    <w:abstractNumId w:val="2"/>
  </w:num>
  <w:num w:numId="17" w16cid:durableId="1080712336">
    <w:abstractNumId w:val="23"/>
  </w:num>
  <w:num w:numId="18" w16cid:durableId="1636138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9768261">
    <w:abstractNumId w:val="3"/>
  </w:num>
  <w:num w:numId="20" w16cid:durableId="183633201">
    <w:abstractNumId w:val="5"/>
  </w:num>
  <w:num w:numId="21" w16cid:durableId="5598442">
    <w:abstractNumId w:val="9"/>
  </w:num>
  <w:num w:numId="22" w16cid:durableId="944188319">
    <w:abstractNumId w:val="20"/>
  </w:num>
  <w:num w:numId="23" w16cid:durableId="88158063">
    <w:abstractNumId w:val="25"/>
  </w:num>
  <w:num w:numId="24" w16cid:durableId="1035350628">
    <w:abstractNumId w:val="19"/>
  </w:num>
  <w:num w:numId="25" w16cid:durableId="1807119050">
    <w:abstractNumId w:val="17"/>
  </w:num>
  <w:num w:numId="26" w16cid:durableId="2033720756">
    <w:abstractNumId w:val="21"/>
  </w:num>
  <w:num w:numId="27" w16cid:durableId="766779630">
    <w:abstractNumId w:val="14"/>
  </w:num>
  <w:num w:numId="28" w16cid:durableId="60057890">
    <w:abstractNumId w:val="10"/>
  </w:num>
  <w:num w:numId="29" w16cid:durableId="807093360">
    <w:abstractNumId w:val="7"/>
  </w:num>
  <w:num w:numId="30" w16cid:durableId="19219878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D4"/>
    <w:rsid w:val="0000162B"/>
    <w:rsid w:val="000032DD"/>
    <w:rsid w:val="00016592"/>
    <w:rsid w:val="00096AB8"/>
    <w:rsid w:val="00173C5B"/>
    <w:rsid w:val="001C4BA7"/>
    <w:rsid w:val="001F144B"/>
    <w:rsid w:val="001F1791"/>
    <w:rsid w:val="00244CC7"/>
    <w:rsid w:val="00254CF9"/>
    <w:rsid w:val="0026350C"/>
    <w:rsid w:val="002A7E02"/>
    <w:rsid w:val="002C64D4"/>
    <w:rsid w:val="002F72C9"/>
    <w:rsid w:val="0037241A"/>
    <w:rsid w:val="003B6369"/>
    <w:rsid w:val="004021FD"/>
    <w:rsid w:val="00406BF6"/>
    <w:rsid w:val="00420831"/>
    <w:rsid w:val="00420B91"/>
    <w:rsid w:val="00456B33"/>
    <w:rsid w:val="00457784"/>
    <w:rsid w:val="004E309A"/>
    <w:rsid w:val="004F4AED"/>
    <w:rsid w:val="00533261"/>
    <w:rsid w:val="00567EB6"/>
    <w:rsid w:val="005750DF"/>
    <w:rsid w:val="005762E2"/>
    <w:rsid w:val="00576376"/>
    <w:rsid w:val="005A78A6"/>
    <w:rsid w:val="005B1E24"/>
    <w:rsid w:val="005D3118"/>
    <w:rsid w:val="005F0C3E"/>
    <w:rsid w:val="006C53F7"/>
    <w:rsid w:val="006D6FF0"/>
    <w:rsid w:val="006F0AE9"/>
    <w:rsid w:val="00711702"/>
    <w:rsid w:val="0071696F"/>
    <w:rsid w:val="007200A6"/>
    <w:rsid w:val="007505BD"/>
    <w:rsid w:val="00776BCE"/>
    <w:rsid w:val="007B334B"/>
    <w:rsid w:val="007D7F2C"/>
    <w:rsid w:val="008535A6"/>
    <w:rsid w:val="00854D06"/>
    <w:rsid w:val="00857784"/>
    <w:rsid w:val="008C53A2"/>
    <w:rsid w:val="0094741B"/>
    <w:rsid w:val="009746CC"/>
    <w:rsid w:val="009C129D"/>
    <w:rsid w:val="009C6EE4"/>
    <w:rsid w:val="009E02DA"/>
    <w:rsid w:val="00A30413"/>
    <w:rsid w:val="00A40DC9"/>
    <w:rsid w:val="00A42F5D"/>
    <w:rsid w:val="00A73584"/>
    <w:rsid w:val="00AA02A5"/>
    <w:rsid w:val="00AB4E9E"/>
    <w:rsid w:val="00AC4D19"/>
    <w:rsid w:val="00AF01F4"/>
    <w:rsid w:val="00B16D0A"/>
    <w:rsid w:val="00B219DE"/>
    <w:rsid w:val="00B22664"/>
    <w:rsid w:val="00B630B8"/>
    <w:rsid w:val="00B67D32"/>
    <w:rsid w:val="00BA16C9"/>
    <w:rsid w:val="00BD3FAA"/>
    <w:rsid w:val="00BD6CCF"/>
    <w:rsid w:val="00C1009D"/>
    <w:rsid w:val="00CE63D5"/>
    <w:rsid w:val="00D97D6B"/>
    <w:rsid w:val="00DA567F"/>
    <w:rsid w:val="00E676C2"/>
    <w:rsid w:val="00E75567"/>
    <w:rsid w:val="00E84792"/>
    <w:rsid w:val="00E8680E"/>
    <w:rsid w:val="00F306F4"/>
    <w:rsid w:val="00F47048"/>
    <w:rsid w:val="00FA3206"/>
    <w:rsid w:val="00FC34D3"/>
    <w:rsid w:val="4A7C4682"/>
    <w:rsid w:val="65D923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2007D"/>
  <w15:chartTrackingRefBased/>
  <w15:docId w15:val="{057A5B6D-88E0-4078-B57D-81CC42F77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autoRedefine/>
    <w:qFormat/>
    <w:rsid w:val="007200A6"/>
    <w:pPr>
      <w:keepNext/>
      <w:tabs>
        <w:tab w:val="left" w:pos="851"/>
      </w:tabs>
      <w:spacing w:after="240" w:line="600" w:lineRule="exact"/>
      <w:outlineLvl w:val="0"/>
    </w:pPr>
    <w:rPr>
      <w:rFonts w:ascii="Georgia" w:eastAsia="Times New Roman" w:hAnsi="Georgia" w:cs="Times New Roman"/>
      <w:b/>
      <w:bCs/>
      <w:color w:val="1C556C"/>
      <w:sz w:val="48"/>
      <w:szCs w:val="28"/>
      <w:lang w:eastAsia="en-NZ"/>
    </w:rPr>
  </w:style>
  <w:style w:type="paragraph" w:styleId="Heading2">
    <w:name w:val="heading 2"/>
    <w:basedOn w:val="Normal"/>
    <w:next w:val="BodyText"/>
    <w:link w:val="Heading2Char"/>
    <w:unhideWhenUsed/>
    <w:qFormat/>
    <w:rsid w:val="002C64D4"/>
    <w:pPr>
      <w:keepNext/>
      <w:tabs>
        <w:tab w:val="left" w:pos="851"/>
      </w:tabs>
      <w:spacing w:before="360" w:after="0" w:line="440" w:lineRule="exact"/>
      <w:outlineLvl w:val="1"/>
    </w:pPr>
    <w:rPr>
      <w:rFonts w:ascii="Georgia" w:eastAsia="Times New Roman" w:hAnsi="Georgia" w:cs="Times New Roman"/>
      <w:b/>
      <w:bCs/>
      <w:color w:val="1B556B"/>
      <w:sz w:val="36"/>
      <w:szCs w:val="26"/>
      <w:lang w:eastAsia="en-NZ"/>
    </w:rPr>
  </w:style>
  <w:style w:type="paragraph" w:styleId="Heading3">
    <w:name w:val="heading 3"/>
    <w:basedOn w:val="Normal"/>
    <w:next w:val="BodyText"/>
    <w:link w:val="Heading3Char"/>
    <w:unhideWhenUsed/>
    <w:qFormat/>
    <w:rsid w:val="002C64D4"/>
    <w:pPr>
      <w:keepNext/>
      <w:tabs>
        <w:tab w:val="left" w:pos="851"/>
      </w:tabs>
      <w:spacing w:before="360" w:after="0" w:line="440" w:lineRule="exact"/>
      <w:outlineLvl w:val="2"/>
    </w:pPr>
    <w:rPr>
      <w:rFonts w:ascii="Georgia" w:eastAsia="Times New Roman" w:hAnsi="Georgia" w:cs="Times New Roman"/>
      <w:b/>
      <w:bCs/>
      <w:sz w:val="28"/>
      <w:lang w:eastAsia="en-NZ"/>
    </w:rPr>
  </w:style>
  <w:style w:type="paragraph" w:styleId="Heading4">
    <w:name w:val="heading 4"/>
    <w:basedOn w:val="Heading3"/>
    <w:next w:val="BodyText"/>
    <w:link w:val="Heading4Char"/>
    <w:autoRedefine/>
    <w:unhideWhenUsed/>
    <w:qFormat/>
    <w:rsid w:val="002C64D4"/>
    <w:pPr>
      <w:outlineLvl w:val="3"/>
    </w:pPr>
    <w:rPr>
      <w:sz w:val="24"/>
    </w:rPr>
  </w:style>
  <w:style w:type="paragraph" w:styleId="Heading5">
    <w:name w:val="heading 5"/>
    <w:basedOn w:val="Normal"/>
    <w:next w:val="BodyText"/>
    <w:link w:val="Heading5Char"/>
    <w:unhideWhenUsed/>
    <w:qFormat/>
    <w:rsid w:val="002C64D4"/>
    <w:pPr>
      <w:keepNext/>
      <w:spacing w:before="320" w:after="0" w:line="240" w:lineRule="auto"/>
      <w:outlineLvl w:val="4"/>
    </w:pPr>
    <w:rPr>
      <w:rFonts w:ascii="Calibri" w:eastAsia="Times New Roman" w:hAnsi="Calibri" w:cs="Times New Roman"/>
      <w:i/>
      <w:sz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A6"/>
    <w:rPr>
      <w:rFonts w:ascii="Georgia" w:eastAsia="Times New Roman" w:hAnsi="Georgia" w:cs="Times New Roman"/>
      <w:b/>
      <w:bCs/>
      <w:color w:val="1C556C"/>
      <w:sz w:val="48"/>
      <w:szCs w:val="28"/>
      <w:lang w:eastAsia="en-NZ"/>
    </w:rPr>
  </w:style>
  <w:style w:type="character" w:customStyle="1" w:styleId="Heading2Char">
    <w:name w:val="Heading 2 Char"/>
    <w:basedOn w:val="DefaultParagraphFont"/>
    <w:link w:val="Heading2"/>
    <w:rsid w:val="002C64D4"/>
    <w:rPr>
      <w:rFonts w:ascii="Georgia" w:eastAsia="Times New Roman" w:hAnsi="Georgia" w:cs="Times New Roman"/>
      <w:b/>
      <w:bCs/>
      <w:color w:val="1B556B"/>
      <w:sz w:val="36"/>
      <w:szCs w:val="26"/>
      <w:lang w:eastAsia="en-NZ"/>
    </w:rPr>
  </w:style>
  <w:style w:type="character" w:customStyle="1" w:styleId="Heading3Char">
    <w:name w:val="Heading 3 Char"/>
    <w:basedOn w:val="DefaultParagraphFont"/>
    <w:link w:val="Heading3"/>
    <w:rsid w:val="002C64D4"/>
    <w:rPr>
      <w:rFonts w:ascii="Georgia" w:eastAsia="Times New Roman" w:hAnsi="Georgia" w:cs="Times New Roman"/>
      <w:b/>
      <w:bCs/>
      <w:sz w:val="28"/>
      <w:lang w:eastAsia="en-NZ"/>
    </w:rPr>
  </w:style>
  <w:style w:type="character" w:customStyle="1" w:styleId="Heading4Char">
    <w:name w:val="Heading 4 Char"/>
    <w:basedOn w:val="DefaultParagraphFont"/>
    <w:link w:val="Heading4"/>
    <w:rsid w:val="002C64D4"/>
    <w:rPr>
      <w:rFonts w:ascii="Georgia" w:eastAsia="Times New Roman" w:hAnsi="Georgia" w:cs="Times New Roman"/>
      <w:b/>
      <w:bCs/>
      <w:sz w:val="24"/>
      <w:lang w:eastAsia="en-NZ"/>
    </w:rPr>
  </w:style>
  <w:style w:type="character" w:customStyle="1" w:styleId="Heading5Char">
    <w:name w:val="Heading 5 Char"/>
    <w:basedOn w:val="DefaultParagraphFont"/>
    <w:link w:val="Heading5"/>
    <w:rsid w:val="002C64D4"/>
    <w:rPr>
      <w:rFonts w:ascii="Calibri" w:eastAsia="Times New Roman" w:hAnsi="Calibri" w:cs="Times New Roman"/>
      <w:i/>
      <w:sz w:val="24"/>
      <w:lang w:eastAsia="en-NZ"/>
    </w:rPr>
  </w:style>
  <w:style w:type="character" w:styleId="Hyperlink">
    <w:name w:val="Hyperlink"/>
    <w:uiPriority w:val="99"/>
    <w:unhideWhenUsed/>
    <w:qFormat/>
    <w:rsid w:val="002C64D4"/>
    <w:rPr>
      <w:strike w:val="0"/>
      <w:dstrike w:val="0"/>
      <w:color w:val="32809C"/>
      <w:u w:val="none"/>
      <w:effect w:val="none"/>
    </w:rPr>
  </w:style>
  <w:style w:type="paragraph" w:styleId="BodyText">
    <w:name w:val="Body Text"/>
    <w:basedOn w:val="Normal"/>
    <w:link w:val="BodyTextChar"/>
    <w:unhideWhenUsed/>
    <w:qFormat/>
    <w:rsid w:val="002C64D4"/>
    <w:pPr>
      <w:spacing w:before="120" w:after="120" w:line="280" w:lineRule="atLeast"/>
    </w:pPr>
    <w:rPr>
      <w:rFonts w:ascii="Calibri" w:eastAsia="Times New Roman" w:hAnsi="Calibri" w:cs="Times New Roman"/>
      <w:lang w:eastAsia="en-NZ"/>
    </w:rPr>
  </w:style>
  <w:style w:type="character" w:customStyle="1" w:styleId="BodyTextChar">
    <w:name w:val="Body Text Char"/>
    <w:basedOn w:val="DefaultParagraphFont"/>
    <w:link w:val="BodyText"/>
    <w:rsid w:val="002C64D4"/>
    <w:rPr>
      <w:rFonts w:ascii="Calibri" w:eastAsia="Times New Roman" w:hAnsi="Calibri" w:cs="Times New Roman"/>
      <w:lang w:eastAsia="en-NZ"/>
    </w:rPr>
  </w:style>
  <w:style w:type="paragraph" w:styleId="TOC1">
    <w:name w:val="toc 1"/>
    <w:basedOn w:val="Normal"/>
    <w:next w:val="Normal"/>
    <w:autoRedefine/>
    <w:uiPriority w:val="39"/>
    <w:unhideWhenUsed/>
    <w:rsid w:val="002C64D4"/>
    <w:pPr>
      <w:tabs>
        <w:tab w:val="left" w:pos="8278"/>
      </w:tabs>
      <w:spacing w:before="280" w:after="0" w:line="240" w:lineRule="auto"/>
      <w:ind w:left="567" w:right="567" w:hanging="567"/>
    </w:pPr>
    <w:rPr>
      <w:rFonts w:ascii="Calibri" w:eastAsia="Times New Roman" w:hAnsi="Calibri" w:cs="Times New Roman"/>
      <w:lang w:eastAsia="en-NZ"/>
    </w:rPr>
  </w:style>
  <w:style w:type="paragraph" w:styleId="TOC2">
    <w:name w:val="toc 2"/>
    <w:basedOn w:val="Normal"/>
    <w:next w:val="Normal"/>
    <w:autoRedefine/>
    <w:uiPriority w:val="39"/>
    <w:unhideWhenUsed/>
    <w:rsid w:val="002C64D4"/>
    <w:pPr>
      <w:tabs>
        <w:tab w:val="left" w:pos="600"/>
        <w:tab w:val="left" w:pos="8278"/>
      </w:tabs>
      <w:spacing w:before="60" w:after="60" w:line="240" w:lineRule="auto"/>
      <w:ind w:left="600" w:right="464"/>
    </w:pPr>
    <w:rPr>
      <w:rFonts w:ascii="Calibri" w:eastAsia="Times New Roman" w:hAnsi="Calibri" w:cs="Times New Roman"/>
      <w:lang w:eastAsia="en-NZ"/>
    </w:rPr>
  </w:style>
  <w:style w:type="paragraph" w:styleId="FootnoteText">
    <w:name w:val="footnote text"/>
    <w:basedOn w:val="Normal"/>
    <w:link w:val="FootnoteTextChar"/>
    <w:uiPriority w:val="99"/>
    <w:semiHidden/>
    <w:unhideWhenUsed/>
    <w:rsid w:val="002C64D4"/>
    <w:pPr>
      <w:spacing w:after="60" w:line="240" w:lineRule="atLeast"/>
      <w:ind w:left="284" w:hanging="284"/>
    </w:pPr>
    <w:rPr>
      <w:rFonts w:ascii="Calibri" w:eastAsia="Times New Roman" w:hAnsi="Calibri" w:cs="Times New Roman"/>
      <w:sz w:val="19"/>
      <w:lang w:eastAsia="en-NZ"/>
    </w:rPr>
  </w:style>
  <w:style w:type="character" w:customStyle="1" w:styleId="FootnoteTextChar">
    <w:name w:val="Footnote Text Char"/>
    <w:basedOn w:val="DefaultParagraphFont"/>
    <w:link w:val="FootnoteText"/>
    <w:uiPriority w:val="99"/>
    <w:semiHidden/>
    <w:rsid w:val="002C64D4"/>
    <w:rPr>
      <w:rFonts w:ascii="Calibri" w:eastAsia="Times New Roman" w:hAnsi="Calibri" w:cs="Times New Roman"/>
      <w:sz w:val="19"/>
      <w:lang w:eastAsia="en-NZ"/>
    </w:rPr>
  </w:style>
  <w:style w:type="paragraph" w:styleId="TableofFigures">
    <w:name w:val="table of figures"/>
    <w:basedOn w:val="Normal"/>
    <w:next w:val="Normal"/>
    <w:uiPriority w:val="99"/>
    <w:semiHidden/>
    <w:unhideWhenUsed/>
    <w:rsid w:val="002C64D4"/>
    <w:pPr>
      <w:spacing w:after="120" w:line="280" w:lineRule="atLeast"/>
      <w:ind w:left="1134" w:right="567" w:hanging="1134"/>
    </w:pPr>
    <w:rPr>
      <w:rFonts w:ascii="Calibri" w:eastAsia="Times New Roman" w:hAnsi="Calibri" w:cs="Times New Roman"/>
      <w:lang w:eastAsia="en-NZ"/>
    </w:rPr>
  </w:style>
  <w:style w:type="paragraph" w:styleId="Title">
    <w:name w:val="Title"/>
    <w:basedOn w:val="Normal"/>
    <w:link w:val="TitleChar"/>
    <w:uiPriority w:val="2"/>
    <w:qFormat/>
    <w:rsid w:val="002C64D4"/>
    <w:pPr>
      <w:spacing w:before="120" w:after="120" w:line="360" w:lineRule="auto"/>
      <w:jc w:val="center"/>
    </w:pPr>
    <w:rPr>
      <w:rFonts w:ascii="Calibri" w:eastAsia="Times New Roman" w:hAnsi="Calibri" w:cs="Times New Roman"/>
      <w:b/>
      <w:color w:val="17556C"/>
      <w:sz w:val="52"/>
      <w:lang w:eastAsia="en-NZ"/>
    </w:rPr>
  </w:style>
  <w:style w:type="character" w:customStyle="1" w:styleId="TitleChar">
    <w:name w:val="Title Char"/>
    <w:basedOn w:val="DefaultParagraphFont"/>
    <w:link w:val="Title"/>
    <w:uiPriority w:val="2"/>
    <w:rsid w:val="002C64D4"/>
    <w:rPr>
      <w:rFonts w:ascii="Calibri" w:eastAsia="Times New Roman" w:hAnsi="Calibri" w:cs="Times New Roman"/>
      <w:b/>
      <w:color w:val="17556C"/>
      <w:sz w:val="52"/>
      <w:lang w:eastAsia="en-NZ"/>
    </w:rPr>
  </w:style>
  <w:style w:type="paragraph" w:styleId="Subtitle">
    <w:name w:val="Subtitle"/>
    <w:basedOn w:val="Title"/>
    <w:link w:val="SubtitleChar"/>
    <w:uiPriority w:val="2"/>
    <w:qFormat/>
    <w:rsid w:val="002C64D4"/>
    <w:pPr>
      <w:spacing w:before="600" w:line="240" w:lineRule="auto"/>
    </w:pPr>
    <w:rPr>
      <w:sz w:val="36"/>
      <w:szCs w:val="36"/>
    </w:rPr>
  </w:style>
  <w:style w:type="character" w:customStyle="1" w:styleId="SubtitleChar">
    <w:name w:val="Subtitle Char"/>
    <w:basedOn w:val="DefaultParagraphFont"/>
    <w:link w:val="Subtitle"/>
    <w:uiPriority w:val="2"/>
    <w:rsid w:val="002C64D4"/>
    <w:rPr>
      <w:rFonts w:ascii="Calibri" w:eastAsia="Times New Roman" w:hAnsi="Calibri" w:cs="Times New Roman"/>
      <w:b/>
      <w:color w:val="17556C"/>
      <w:sz w:val="36"/>
      <w:szCs w:val="36"/>
      <w:lang w:eastAsia="en-NZ"/>
    </w:rPr>
  </w:style>
  <w:style w:type="paragraph" w:customStyle="1" w:styleId="Boxbullet">
    <w:name w:val="Box bullet"/>
    <w:basedOn w:val="Normal"/>
    <w:uiPriority w:val="1"/>
    <w:qFormat/>
    <w:rsid w:val="002C64D4"/>
    <w:pPr>
      <w:numPr>
        <w:numId w:val="1"/>
      </w:numPr>
      <w:pBdr>
        <w:top w:val="single" w:sz="4" w:space="15" w:color="D2DDE2"/>
        <w:left w:val="single" w:sz="4" w:space="15" w:color="D2DDE2"/>
        <w:bottom w:val="single" w:sz="4" w:space="15" w:color="D2DDE2"/>
        <w:right w:val="single" w:sz="4" w:space="15" w:color="D2DDE2"/>
      </w:pBdr>
      <w:shd w:val="clear" w:color="auto" w:fill="D2DDE2"/>
      <w:tabs>
        <w:tab w:val="left" w:pos="680"/>
      </w:tabs>
      <w:spacing w:after="120" w:line="280" w:lineRule="atLeast"/>
      <w:ind w:right="284"/>
    </w:pPr>
    <w:rPr>
      <w:rFonts w:ascii="Calibri" w:eastAsia="Times New Roman" w:hAnsi="Calibri" w:cs="Times New Roman"/>
      <w:color w:val="1C556C"/>
      <w:sz w:val="20"/>
      <w:lang w:eastAsia="en-NZ"/>
    </w:rPr>
  </w:style>
  <w:style w:type="character" w:customStyle="1" w:styleId="BulletChar">
    <w:name w:val="Bullet Char"/>
    <w:link w:val="Bullet"/>
    <w:locked/>
    <w:rsid w:val="002C64D4"/>
    <w:rPr>
      <w:rFonts w:eastAsia="Times New Roman" w:cs="Times New Roman"/>
    </w:rPr>
  </w:style>
  <w:style w:type="paragraph" w:customStyle="1" w:styleId="Bullet">
    <w:name w:val="Bullet"/>
    <w:basedOn w:val="Normal"/>
    <w:link w:val="BulletChar"/>
    <w:qFormat/>
    <w:rsid w:val="002C64D4"/>
    <w:pPr>
      <w:numPr>
        <w:numId w:val="7"/>
      </w:numPr>
      <w:tabs>
        <w:tab w:val="left" w:pos="397"/>
      </w:tabs>
      <w:spacing w:after="120" w:line="280" w:lineRule="exact"/>
      <w:ind w:left="397" w:hanging="397"/>
    </w:pPr>
    <w:rPr>
      <w:rFonts w:eastAsia="Times New Roman" w:cs="Times New Roman"/>
    </w:rPr>
  </w:style>
  <w:style w:type="paragraph" w:customStyle="1" w:styleId="Heading">
    <w:name w:val="Heading"/>
    <w:basedOn w:val="Heading1"/>
    <w:next w:val="Normal"/>
    <w:uiPriority w:val="3"/>
    <w:rsid w:val="002C64D4"/>
  </w:style>
  <w:style w:type="paragraph" w:customStyle="1" w:styleId="Imprint">
    <w:name w:val="Imprint"/>
    <w:basedOn w:val="Normal"/>
    <w:uiPriority w:val="3"/>
    <w:rsid w:val="002C64D4"/>
    <w:pPr>
      <w:spacing w:before="120" w:after="120" w:line="280" w:lineRule="atLeast"/>
    </w:pPr>
    <w:rPr>
      <w:rFonts w:ascii="Calibri" w:eastAsia="Times New Roman" w:hAnsi="Calibri" w:cs="Times New Roman"/>
      <w:lang w:eastAsia="en-NZ"/>
    </w:rPr>
  </w:style>
  <w:style w:type="paragraph" w:customStyle="1" w:styleId="References">
    <w:name w:val="References"/>
    <w:basedOn w:val="Normal"/>
    <w:uiPriority w:val="1"/>
    <w:qFormat/>
    <w:rsid w:val="002C64D4"/>
    <w:pPr>
      <w:spacing w:after="120" w:line="260" w:lineRule="atLeast"/>
    </w:pPr>
    <w:rPr>
      <w:rFonts w:ascii="Calibri" w:eastAsia="Times New Roman" w:hAnsi="Calibri" w:cs="Times New Roman"/>
      <w:sz w:val="20"/>
      <w:lang w:eastAsia="en-NZ"/>
    </w:rPr>
  </w:style>
  <w:style w:type="paragraph" w:customStyle="1" w:styleId="Tableheading">
    <w:name w:val="Table heading"/>
    <w:basedOn w:val="Normal"/>
    <w:next w:val="Normal"/>
    <w:qFormat/>
    <w:rsid w:val="002C64D4"/>
    <w:pPr>
      <w:keepNext/>
      <w:spacing w:before="120" w:after="120" w:line="280" w:lineRule="atLeast"/>
      <w:ind w:left="1134" w:hanging="1134"/>
    </w:pPr>
    <w:rPr>
      <w:rFonts w:ascii="Calibri" w:eastAsia="Times New Roman" w:hAnsi="Calibri" w:cs="Times New Roman"/>
      <w:b/>
      <w:color w:val="000000" w:themeColor="text1"/>
      <w:sz w:val="20"/>
      <w:lang w:eastAsia="en-NZ"/>
    </w:rPr>
  </w:style>
  <w:style w:type="paragraph" w:customStyle="1" w:styleId="TableText">
    <w:name w:val="TableText"/>
    <w:basedOn w:val="Normal"/>
    <w:qFormat/>
    <w:rsid w:val="002C64D4"/>
    <w:pPr>
      <w:spacing w:before="60" w:after="60" w:line="240" w:lineRule="atLeast"/>
    </w:pPr>
    <w:rPr>
      <w:rFonts w:ascii="Calibri" w:eastAsia="Times New Roman" w:hAnsi="Calibri" w:cs="Times New Roman"/>
      <w:sz w:val="18"/>
      <w:lang w:eastAsia="en-NZ"/>
    </w:rPr>
  </w:style>
  <w:style w:type="paragraph" w:customStyle="1" w:styleId="TableTextbold">
    <w:name w:val="TableText bold"/>
    <w:basedOn w:val="TableText"/>
    <w:rsid w:val="002C64D4"/>
    <w:rPr>
      <w:b/>
    </w:rPr>
  </w:style>
  <w:style w:type="paragraph" w:customStyle="1" w:styleId="Glossary">
    <w:name w:val="Glossary"/>
    <w:basedOn w:val="Normal"/>
    <w:uiPriority w:val="1"/>
    <w:qFormat/>
    <w:rsid w:val="002C64D4"/>
    <w:pPr>
      <w:tabs>
        <w:tab w:val="left" w:pos="2835"/>
      </w:tabs>
      <w:spacing w:before="120" w:after="0" w:line="280" w:lineRule="atLeast"/>
    </w:pPr>
    <w:rPr>
      <w:rFonts w:ascii="Calibri" w:eastAsia="Times New Roman" w:hAnsi="Calibri" w:cs="Times New Roman"/>
      <w:lang w:eastAsia="en-NZ"/>
    </w:rPr>
  </w:style>
  <w:style w:type="paragraph" w:customStyle="1" w:styleId="Numberedparagraph">
    <w:name w:val="Numbered paragraph"/>
    <w:basedOn w:val="Normal"/>
    <w:uiPriority w:val="1"/>
    <w:qFormat/>
    <w:rsid w:val="002C64D4"/>
    <w:pPr>
      <w:numPr>
        <w:numId w:val="2"/>
      </w:numPr>
      <w:spacing w:after="120" w:line="280" w:lineRule="atLeast"/>
    </w:pPr>
    <w:rPr>
      <w:rFonts w:ascii="Calibri" w:eastAsia="Times New Roman" w:hAnsi="Calibri" w:cs="Times New Roman"/>
      <w:lang w:eastAsia="en-NZ"/>
    </w:rPr>
  </w:style>
  <w:style w:type="character" w:styleId="FootnoteReference">
    <w:name w:val="footnote reference"/>
    <w:semiHidden/>
    <w:unhideWhenUsed/>
    <w:rsid w:val="002C64D4"/>
    <w:rPr>
      <w:rFonts w:ascii="Calibri" w:hAnsi="Calibri" w:cs="Calibri" w:hint="default"/>
      <w:color w:val="183C47"/>
      <w:sz w:val="22"/>
      <w:vertAlign w:val="superscript"/>
    </w:rPr>
  </w:style>
  <w:style w:type="paragraph" w:styleId="Header">
    <w:name w:val="header"/>
    <w:basedOn w:val="Normal"/>
    <w:link w:val="HeaderChar"/>
    <w:uiPriority w:val="99"/>
    <w:unhideWhenUsed/>
    <w:rsid w:val="002C64D4"/>
    <w:pPr>
      <w:tabs>
        <w:tab w:val="center" w:pos="4513"/>
        <w:tab w:val="right" w:pos="9026"/>
      </w:tabs>
      <w:spacing w:after="0" w:line="240" w:lineRule="auto"/>
      <w:jc w:val="both"/>
    </w:pPr>
    <w:rPr>
      <w:rFonts w:ascii="Calibri" w:eastAsia="Times New Roman" w:hAnsi="Calibri" w:cs="Times New Roman"/>
      <w:lang w:eastAsia="en-NZ"/>
    </w:rPr>
  </w:style>
  <w:style w:type="character" w:customStyle="1" w:styleId="HeaderChar">
    <w:name w:val="Header Char"/>
    <w:basedOn w:val="DefaultParagraphFont"/>
    <w:link w:val="Header"/>
    <w:uiPriority w:val="99"/>
    <w:rsid w:val="002C64D4"/>
    <w:rPr>
      <w:rFonts w:ascii="Calibri" w:eastAsia="Times New Roman" w:hAnsi="Calibri" w:cs="Times New Roman"/>
      <w:lang w:eastAsia="en-NZ"/>
    </w:rPr>
  </w:style>
  <w:style w:type="paragraph" w:styleId="Footer">
    <w:name w:val="footer"/>
    <w:basedOn w:val="Normal"/>
    <w:link w:val="FooterChar"/>
    <w:uiPriority w:val="99"/>
    <w:unhideWhenUsed/>
    <w:rsid w:val="002C64D4"/>
    <w:pPr>
      <w:tabs>
        <w:tab w:val="center" w:pos="4513"/>
        <w:tab w:val="right" w:pos="9026"/>
      </w:tabs>
      <w:spacing w:after="0" w:line="240" w:lineRule="auto"/>
      <w:jc w:val="both"/>
    </w:pPr>
    <w:rPr>
      <w:rFonts w:ascii="Calibri" w:eastAsia="Times New Roman" w:hAnsi="Calibri" w:cs="Times New Roman"/>
      <w:lang w:eastAsia="en-NZ"/>
    </w:rPr>
  </w:style>
  <w:style w:type="character" w:customStyle="1" w:styleId="FooterChar">
    <w:name w:val="Footer Char"/>
    <w:basedOn w:val="DefaultParagraphFont"/>
    <w:link w:val="Footer"/>
    <w:uiPriority w:val="99"/>
    <w:rsid w:val="002C64D4"/>
    <w:rPr>
      <w:rFonts w:ascii="Calibri" w:eastAsia="Times New Roman" w:hAnsi="Calibri" w:cs="Times New Roman"/>
      <w:lang w:eastAsia="en-NZ"/>
    </w:rPr>
  </w:style>
  <w:style w:type="paragraph" w:styleId="BalloonText">
    <w:name w:val="Balloon Text"/>
    <w:basedOn w:val="Normal"/>
    <w:link w:val="BalloonTextChar"/>
    <w:uiPriority w:val="99"/>
    <w:semiHidden/>
    <w:unhideWhenUsed/>
    <w:rsid w:val="002C64D4"/>
    <w:pPr>
      <w:spacing w:after="0" w:line="240" w:lineRule="auto"/>
      <w:jc w:val="both"/>
    </w:pPr>
    <w:rPr>
      <w:rFonts w:ascii="Tahoma" w:eastAsia="Times New Roman" w:hAnsi="Tahoma" w:cs="Tahoma"/>
      <w:sz w:val="16"/>
      <w:szCs w:val="16"/>
      <w:lang w:eastAsia="en-NZ"/>
    </w:rPr>
  </w:style>
  <w:style w:type="character" w:customStyle="1" w:styleId="BalloonTextChar">
    <w:name w:val="Balloon Text Char"/>
    <w:basedOn w:val="DefaultParagraphFont"/>
    <w:link w:val="BalloonText"/>
    <w:uiPriority w:val="99"/>
    <w:semiHidden/>
    <w:rsid w:val="002C64D4"/>
    <w:rPr>
      <w:rFonts w:ascii="Tahoma" w:eastAsia="Times New Roman" w:hAnsi="Tahoma" w:cs="Tahoma"/>
      <w:sz w:val="16"/>
      <w:szCs w:val="16"/>
      <w:lang w:eastAsia="en-NZ"/>
    </w:rPr>
  </w:style>
  <w:style w:type="character" w:styleId="CommentReference">
    <w:name w:val="annotation reference"/>
    <w:basedOn w:val="DefaultParagraphFont"/>
    <w:uiPriority w:val="99"/>
    <w:semiHidden/>
    <w:unhideWhenUsed/>
    <w:rsid w:val="002C64D4"/>
    <w:rPr>
      <w:sz w:val="16"/>
      <w:szCs w:val="16"/>
    </w:rPr>
  </w:style>
  <w:style w:type="paragraph" w:styleId="CommentText">
    <w:name w:val="annotation text"/>
    <w:basedOn w:val="Normal"/>
    <w:link w:val="CommentTextChar"/>
    <w:uiPriority w:val="99"/>
    <w:unhideWhenUsed/>
    <w:rsid w:val="002C64D4"/>
    <w:pPr>
      <w:spacing w:before="120" w:after="120" w:line="240" w:lineRule="auto"/>
      <w:jc w:val="both"/>
    </w:pPr>
    <w:rPr>
      <w:rFonts w:ascii="Calibri" w:eastAsia="Times New Roman" w:hAnsi="Calibri" w:cs="Times New Roman"/>
      <w:sz w:val="20"/>
      <w:szCs w:val="20"/>
      <w:lang w:eastAsia="en-NZ"/>
    </w:rPr>
  </w:style>
  <w:style w:type="character" w:customStyle="1" w:styleId="CommentTextChar">
    <w:name w:val="Comment Text Char"/>
    <w:basedOn w:val="DefaultParagraphFont"/>
    <w:link w:val="CommentText"/>
    <w:uiPriority w:val="99"/>
    <w:rsid w:val="002C64D4"/>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2C64D4"/>
    <w:rPr>
      <w:b/>
      <w:bCs/>
    </w:rPr>
  </w:style>
  <w:style w:type="character" w:customStyle="1" w:styleId="CommentSubjectChar">
    <w:name w:val="Comment Subject Char"/>
    <w:basedOn w:val="CommentTextChar"/>
    <w:link w:val="CommentSubject"/>
    <w:uiPriority w:val="99"/>
    <w:semiHidden/>
    <w:rsid w:val="002C64D4"/>
    <w:rPr>
      <w:rFonts w:ascii="Calibri" w:eastAsia="Times New Roman" w:hAnsi="Calibri" w:cs="Times New Roman"/>
      <w:b/>
      <w:bCs/>
      <w:sz w:val="20"/>
      <w:szCs w:val="20"/>
      <w:lang w:eastAsia="en-NZ"/>
    </w:rPr>
  </w:style>
  <w:style w:type="paragraph" w:styleId="Revision">
    <w:name w:val="Revision"/>
    <w:hidden/>
    <w:uiPriority w:val="99"/>
    <w:semiHidden/>
    <w:rsid w:val="002C64D4"/>
    <w:pPr>
      <w:spacing w:after="0" w:line="240" w:lineRule="auto"/>
    </w:pPr>
    <w:rPr>
      <w:rFonts w:ascii="Calibri" w:eastAsia="Times New Roman" w:hAnsi="Calibri" w:cs="Times New Roman"/>
      <w:lang w:eastAsia="en-NZ"/>
    </w:rPr>
  </w:style>
  <w:style w:type="table" w:styleId="TableGrid">
    <w:name w:val="Table Grid"/>
    <w:basedOn w:val="TableNormal"/>
    <w:uiPriority w:val="39"/>
    <w:rsid w:val="002C6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C64D4"/>
    <w:rPr>
      <w:color w:val="605E5C"/>
      <w:shd w:val="clear" w:color="auto" w:fill="E1DFDD"/>
    </w:rPr>
  </w:style>
  <w:style w:type="paragraph" w:styleId="TOCHeading">
    <w:name w:val="TOC Heading"/>
    <w:basedOn w:val="Heading1"/>
    <w:next w:val="Normal"/>
    <w:uiPriority w:val="39"/>
    <w:unhideWhenUsed/>
    <w:qFormat/>
    <w:rsid w:val="002C64D4"/>
    <w:pPr>
      <w:keepLines/>
      <w:tabs>
        <w:tab w:val="clear" w:pos="851"/>
      </w:tabs>
      <w:spacing w:before="480" w:after="0" w:line="276" w:lineRule="auto"/>
      <w:outlineLvl w:val="9"/>
    </w:pPr>
    <w:rPr>
      <w:rFonts w:asciiTheme="majorHAnsi" w:eastAsiaTheme="majorEastAsia" w:hAnsiTheme="majorHAnsi" w:cstheme="majorBidi"/>
      <w:color w:val="2F5496" w:themeColor="accent1" w:themeShade="BF"/>
      <w:sz w:val="28"/>
      <w:lang w:val="en-US" w:eastAsia="ja-JP"/>
    </w:rPr>
  </w:style>
  <w:style w:type="paragraph" w:styleId="TOC3">
    <w:name w:val="toc 3"/>
    <w:basedOn w:val="Normal"/>
    <w:next w:val="Normal"/>
    <w:autoRedefine/>
    <w:uiPriority w:val="39"/>
    <w:unhideWhenUsed/>
    <w:rsid w:val="002C64D4"/>
    <w:pPr>
      <w:tabs>
        <w:tab w:val="left" w:pos="600"/>
        <w:tab w:val="right" w:leader="dot" w:pos="8280"/>
      </w:tabs>
      <w:spacing w:before="120" w:after="100" w:line="280" w:lineRule="atLeast"/>
      <w:ind w:left="600" w:hanging="600"/>
    </w:pPr>
    <w:rPr>
      <w:rFonts w:ascii="Calibri" w:eastAsia="Times New Roman" w:hAnsi="Calibri" w:cs="Times New Roman"/>
      <w:lang w:eastAsia="en-NZ"/>
    </w:rPr>
  </w:style>
  <w:style w:type="character" w:styleId="UnresolvedMention">
    <w:name w:val="Unresolved Mention"/>
    <w:basedOn w:val="DefaultParagraphFont"/>
    <w:uiPriority w:val="99"/>
    <w:unhideWhenUsed/>
    <w:rsid w:val="002C64D4"/>
    <w:rPr>
      <w:color w:val="605E5C"/>
      <w:shd w:val="clear" w:color="auto" w:fill="E1DFDD"/>
    </w:rPr>
  </w:style>
  <w:style w:type="character" w:styleId="FollowedHyperlink">
    <w:name w:val="FollowedHyperlink"/>
    <w:basedOn w:val="DefaultParagraphFont"/>
    <w:uiPriority w:val="99"/>
    <w:semiHidden/>
    <w:unhideWhenUsed/>
    <w:rsid w:val="002C64D4"/>
    <w:rPr>
      <w:color w:val="954F72" w:themeColor="followedHyperlink"/>
      <w:u w:val="single"/>
    </w:rPr>
  </w:style>
  <w:style w:type="character" w:styleId="Mention">
    <w:name w:val="Mention"/>
    <w:basedOn w:val="DefaultParagraphFont"/>
    <w:uiPriority w:val="99"/>
    <w:unhideWhenUsed/>
    <w:rsid w:val="002C64D4"/>
    <w:rPr>
      <w:color w:val="2B579A"/>
      <w:shd w:val="clear" w:color="auto" w:fill="E1DFDD"/>
    </w:rPr>
  </w:style>
  <w:style w:type="paragraph" w:customStyle="1" w:styleId="paragraph">
    <w:name w:val="paragraph"/>
    <w:basedOn w:val="Normal"/>
    <w:rsid w:val="002C64D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2C64D4"/>
  </w:style>
  <w:style w:type="character" w:customStyle="1" w:styleId="eop">
    <w:name w:val="eop"/>
    <w:basedOn w:val="DefaultParagraphFont"/>
    <w:rsid w:val="002C64D4"/>
  </w:style>
  <w:style w:type="paragraph" w:styleId="NormalWeb">
    <w:name w:val="Normal (Web)"/>
    <w:basedOn w:val="Normal"/>
    <w:uiPriority w:val="99"/>
    <w:semiHidden/>
    <w:unhideWhenUsed/>
    <w:rsid w:val="002C64D4"/>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etsconsultation@mfe.govt.nz" TargetMode="External"/><Relationship Id="rId3" Type="http://schemas.openxmlformats.org/officeDocument/2006/relationships/customXml" Target="../customXml/item3.xml"/><Relationship Id="rId21" Type="http://schemas.openxmlformats.org/officeDocument/2006/relationships/hyperlink" Target="https://legislation.govt.nz/regulation/public/2013/0046/latest/DLM5093451.html" TargetMode="External"/><Relationship Id="rId7" Type="http://schemas.openxmlformats.org/officeDocument/2006/relationships/settings" Target="settings.xml"/><Relationship Id="rId12" Type="http://schemas.openxmlformats.org/officeDocument/2006/relationships/hyperlink" Target="http://www.environment.govt.nz/" TargetMode="External"/><Relationship Id="rId17" Type="http://schemas.openxmlformats.org/officeDocument/2006/relationships/header" Target="header3.xml"/><Relationship Id="rId25" Type="http://schemas.openxmlformats.org/officeDocument/2006/relationships/hyperlink" Target="https://consult.environment.govt.nz/climate/proposed-changes-nz-ets-2022"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consult.environment.govt.nz/comms/proposed-nz-ets-changes20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nvironment.govt.nz/publications/interim-guidance-for-voluntary-climate-change-mitigation" TargetMode="External"/><Relationship Id="rId28" Type="http://schemas.openxmlformats.org/officeDocument/2006/relationships/hyperlink" Target="mailto:etsconsultation@mfe.govt.nz"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mpi.govt.nz/consultations/" TargetMode="External"/><Relationship Id="rId27" Type="http://schemas.openxmlformats.org/officeDocument/2006/relationships/hyperlink" Target="http://www.environment.govt.nz"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refrigerantrecovery.co.nz/product-stewardship/" TargetMode="External"/><Relationship Id="rId2" Type="http://schemas.openxmlformats.org/officeDocument/2006/relationships/hyperlink" Target="https://www.refrigerantrecovery.co.nz/product-stewardship/" TargetMode="External"/><Relationship Id="rId1" Type="http://schemas.openxmlformats.org/officeDocument/2006/relationships/hyperlink" Target="https://environment.govt.nz/what-government-is-doing/areas-of-work/waste/product-stewardship/about-product-stewardship-in-new-zea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TS_x0020_ID xmlns="0260602b-329e-45fc-b32d-889d2cd1ae59" xsi:nil="true"/>
    <_ip_UnifiedCompliancePolicyUIAction xmlns="http://schemas.microsoft.com/sharepoint/v3" xsi:nil="true"/>
    <Sender xmlns="0260602b-329e-45fc-b32d-889d2cd1ae59" xsi:nil="true"/>
    <Class xmlns="0260602b-329e-45fc-b32d-889d2cd1ae59" xsi:nil="true"/>
    <Document_x0020_Type xmlns="0260602b-329e-45fc-b32d-889d2cd1ae59" xsi:nil="true"/>
    <Receiver_x0020_Date xmlns="0260602b-329e-45fc-b32d-889d2cd1ae59" xsi:nil="true"/>
    <Legacy_x0020_Version xmlns="0260602b-329e-45fc-b32d-889d2cd1ae59" xsi:nil="true"/>
    <Status xmlns="0260602b-329e-45fc-b32d-889d2cd1ae59" xsi:nil="true"/>
    <Supplemental_x0020_Markings xmlns="0260602b-329e-45fc-b32d-889d2cd1ae59" xsi:nil="true"/>
    <Year xmlns="0260602b-329e-45fc-b32d-889d2cd1ae59" xsi:nil="true"/>
    <_ip_UnifiedCompliancePolicyProperties xmlns="http://schemas.microsoft.com/sharepoint/v3" xsi:nil="true"/>
    <Sender_x0020_Date xmlns="0260602b-329e-45fc-b32d-889d2cd1ae59" xsi:nil="true"/>
    <Carbon_x0020_Copy xmlns="0260602b-329e-45fc-b32d-889d2cd1ae59" xsi:nil="true"/>
    <Receiver xmlns="0260602b-329e-45fc-b32d-889d2cd1ae59" xsi:nil="true"/>
    <MTS_x0020_Type xmlns="0260602b-329e-45fc-b32d-889d2cd1ae59" xsi:nil="true"/>
    <Library xmlns="0260602b-329e-45fc-b32d-889d2cd1ae59" xsi:nil="true"/>
    <Author0 xmlns="0260602b-329e-45fc-b32d-889d2cd1ae59" xsi:nil="true"/>
    <Email_x0020_Table xmlns="0260602b-329e-45fc-b32d-889d2cd1ae59" xsi:nil="true"/>
    <Other_x0020_Details xmlns="0260602b-329e-45fc-b32d-889d2cd1ae59" xsi:nil="true"/>
    <Legacy_x0020_DocID xmlns="0260602b-329e-45fc-b32d-889d2cd1ae59" xsi:nil="true"/>
    <_dlc_DocId xmlns="58a6f171-52cb-4404-b47d-af1c8daf8fd1">ECM-1896812316-35118</_dlc_DocId>
    <_dlc_DocIdUrl xmlns="58a6f171-52cb-4404-b47d-af1c8daf8fd1">
      <Url>https://ministryforenvironment.sharepoint.com/sites/ECM-Pol-ETS/_layouts/15/DocIdRedir.aspx?ID=ECM-1896812316-35118</Url>
      <Description>ECM-1896812316-35118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35" ma:contentTypeDescription="Create a new document." ma:contentTypeScope="" ma:versionID="3da549df1ce43677787b5c113fde8ca3">
  <xsd:schema xmlns:xsd="http://www.w3.org/2001/XMLSchema" xmlns:xs="http://www.w3.org/2001/XMLSchema" xmlns:p="http://schemas.microsoft.com/office/2006/metadata/properties" xmlns:ns1="http://schemas.microsoft.com/sharepoint/v3" xmlns:ns2="58a6f171-52cb-4404-b47d-af1c8daf8fd1" xmlns:ns3="0260602b-329e-45fc-b32d-889d2cd1ae59" xmlns:ns4="65e65512-4319-4e85-9548-8afb53a63346" targetNamespace="http://schemas.microsoft.com/office/2006/metadata/properties" ma:root="true" ma:fieldsID="38d149a3bdb2c843ee54cfba19fe4434" ns1:_="" ns2:_="" ns3:_="" ns4:_="">
    <xsd:import namespace="http://schemas.microsoft.com/sharepoint/v3"/>
    <xsd:import namespace="58a6f171-52cb-4404-b47d-af1c8daf8fd1"/>
    <xsd:import namespace="0260602b-329e-45fc-b32d-889d2cd1ae59"/>
    <xsd:import namespace="65e65512-4319-4e85-9548-8afb53a63346"/>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Supplemental_x0020_Markings" minOccurs="0"/>
                <xsd:element ref="ns3:MTS_x0020_Type" minOccurs="0"/>
                <xsd:element ref="ns3:MTS_x0020_ID"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Supplemental_x0020_Markings" ma:index="23" nillable="true" ma:displayName="Supplemental Markings" ma:description="" ma:internalName="Supplemental_x0020_Markings">
      <xsd:simpleType>
        <xsd:restriction base="dms:Note">
          <xsd:maxLength value="255"/>
        </xsd:restriction>
      </xsd:simpleType>
    </xsd:element>
    <xsd:element name="MTS_x0020_Type" ma:index="24" nillable="true" ma:displayName="MTS Type" ma:default="" ma:description="" ma:internalName="MTS_x0020_Type">
      <xsd:simpleType>
        <xsd:restriction base="dms:Note">
          <xsd:maxLength value="255"/>
        </xsd:restriction>
      </xsd:simpleType>
    </xsd:element>
    <xsd:element name="MTS_x0020_ID" ma:index="25" nillable="true" ma:displayName="MTS ID" ma:default="" ma:description="" ma:internalName="MTS_x0020_ID">
      <xsd:simpleType>
        <xsd:restriction base="dms:Text">
          <xsd:maxLength value="255"/>
        </xsd:restriction>
      </xsd:simpleType>
    </xsd:element>
    <xsd:element name="Library" ma:index="26" nillable="true" ma:displayName="Library" ma:default="" ma:description="" ma:internalName="Library">
      <xsd:simpleType>
        <xsd:restriction base="dms:Text">
          <xsd:maxLength value="255"/>
        </xsd:restriction>
      </xsd:simpleType>
    </xsd:element>
    <xsd:element name="Legacy_x0020_DocID" ma:index="27" nillable="true" ma:displayName="Legacy DocID" ma:decimals="-1" ma:default="" ma:description="" ma:internalName="Legacy_x0020_DocID">
      <xsd:simpleType>
        <xsd:restriction base="dms:Number"/>
      </xsd:simpleType>
    </xsd:element>
    <xsd:element name="Legacy_x0020_Version" ma:index="28" nillable="true" ma:displayName="Legacy Version" ma:default="" ma:description="" ma:internalName="Legacy_x0020_Version">
      <xsd:simpleType>
        <xsd:restriction base="dms:Text">
          <xsd:maxLength value="255"/>
        </xsd:restriction>
      </xsd:simpleType>
    </xsd:element>
    <xsd:element name="Class" ma:index="29" nillable="true" ma:displayName="Class" ma:default="" ma:description="" ma:internalName="Class">
      <xsd:simpleType>
        <xsd:restriction base="dms:Text">
          <xsd:maxLength value="255"/>
        </xsd:restriction>
      </xsd:simpleType>
    </xsd:element>
    <xsd:element name="Author0" ma:index="30" nillable="true" ma:displayName="Author" ma:default="" ma:description="" ma:internalName="Author0">
      <xsd:simpleType>
        <xsd:restriction base="dms:Text">
          <xsd:maxLength value="255"/>
        </xsd:restriction>
      </xsd:simpleType>
    </xsd:element>
    <xsd:element name="Status" ma:index="31" nillable="true" ma:displayName="Status" ma:default="" ma:description="" ma:internalName="Status">
      <xsd:simpleType>
        <xsd:restriction base="dms:Text">
          <xsd:maxLength value="255"/>
        </xsd:restriction>
      </xsd:simpleType>
    </xsd:element>
    <xsd:element name="Year" ma:index="32" nillable="true" ma:displayName="Year" ma:default="" ma:description="" ma:internalName="Year">
      <xsd:simpleType>
        <xsd:restriction base="dms:Text">
          <xsd:maxLength value="255"/>
        </xsd:restriction>
      </xsd:simpleType>
    </xsd:element>
    <xsd:element name="Other_x0020_Details" ma:index="33" nillable="true" ma:displayName="Other Details" ma:default="" ma:description="" ma:internalName="Other_x0020_Details">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LengthInSeconds" ma:index="4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22E8876-CF1E-4361-B6CE-104E4A17FBA4}">
  <ds:schemaRefs>
    <ds:schemaRef ds:uri="http://schemas.microsoft.com/sharepoint/v3/contenttype/forms"/>
  </ds:schemaRefs>
</ds:datastoreItem>
</file>

<file path=customXml/itemProps2.xml><?xml version="1.0" encoding="utf-8"?>
<ds:datastoreItem xmlns:ds="http://schemas.openxmlformats.org/officeDocument/2006/customXml" ds:itemID="{AB9762F0-5CE8-4A48-B919-F19B4055F80B}">
  <ds:schemaRefs>
    <ds:schemaRef ds:uri="http://purl.org/dc/dcmitype/"/>
    <ds:schemaRef ds:uri="http://purl.org/dc/elements/1.1/"/>
    <ds:schemaRef ds:uri="http://schemas.microsoft.com/office/2006/documentManagement/types"/>
    <ds:schemaRef ds:uri="http://schemas.microsoft.com/sharepoint/v3"/>
    <ds:schemaRef ds:uri="http://schemas.microsoft.com/office/2006/metadata/properties"/>
    <ds:schemaRef ds:uri="http://www.w3.org/XML/1998/namespace"/>
    <ds:schemaRef ds:uri="65e65512-4319-4e85-9548-8afb53a63346"/>
    <ds:schemaRef ds:uri="http://schemas.microsoft.com/office/infopath/2007/PartnerControls"/>
    <ds:schemaRef ds:uri="http://schemas.openxmlformats.org/package/2006/metadata/core-properties"/>
    <ds:schemaRef ds:uri="0260602b-329e-45fc-b32d-889d2cd1ae59"/>
    <ds:schemaRef ds:uri="58a6f171-52cb-4404-b47d-af1c8daf8fd1"/>
    <ds:schemaRef ds:uri="http://purl.org/dc/terms/"/>
  </ds:schemaRefs>
</ds:datastoreItem>
</file>

<file path=customXml/itemProps3.xml><?xml version="1.0" encoding="utf-8"?>
<ds:datastoreItem xmlns:ds="http://schemas.openxmlformats.org/officeDocument/2006/customXml" ds:itemID="{28D4D4C0-5C22-463D-BDEB-D63589865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0260602b-329e-45fc-b32d-889d2cd1ae59"/>
    <ds:schemaRef ds:uri="65e65512-4319-4e85-9548-8afb53a63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C0D5AE-EDFD-4A1D-9176-D58833DE98B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9504</Words>
  <Characters>54176</Characters>
  <Application>Microsoft Office Word</Application>
  <DocSecurity>0</DocSecurity>
  <Lines>451</Lines>
  <Paragraphs>127</Paragraphs>
  <ScaleCrop>false</ScaleCrop>
  <Company/>
  <LinksUpToDate>false</LinksUpToDate>
  <CharactersWithSpaces>63553</CharactersWithSpaces>
  <SharedDoc>false</SharedDoc>
  <HLinks>
    <vt:vector size="402" baseType="variant">
      <vt:variant>
        <vt:i4>4063273</vt:i4>
      </vt:variant>
      <vt:variant>
        <vt:i4>333</vt:i4>
      </vt:variant>
      <vt:variant>
        <vt:i4>0</vt:i4>
      </vt:variant>
      <vt:variant>
        <vt:i4>5</vt:i4>
      </vt:variant>
      <vt:variant>
        <vt:lpwstr>https://consult.environment.govt.nz/comms/proposed-nz-ets-changes2021/</vt:lpwstr>
      </vt:variant>
      <vt:variant>
        <vt:lpwstr/>
      </vt:variant>
      <vt:variant>
        <vt:i4>3080276</vt:i4>
      </vt:variant>
      <vt:variant>
        <vt:i4>330</vt:i4>
      </vt:variant>
      <vt:variant>
        <vt:i4>0</vt:i4>
      </vt:variant>
      <vt:variant>
        <vt:i4>5</vt:i4>
      </vt:variant>
      <vt:variant>
        <vt:lpwstr>mailto:etsconsultation@mfe.govt.nz</vt:lpwstr>
      </vt:variant>
      <vt:variant>
        <vt:lpwstr/>
      </vt:variant>
      <vt:variant>
        <vt:i4>7340128</vt:i4>
      </vt:variant>
      <vt:variant>
        <vt:i4>327</vt:i4>
      </vt:variant>
      <vt:variant>
        <vt:i4>0</vt:i4>
      </vt:variant>
      <vt:variant>
        <vt:i4>5</vt:i4>
      </vt:variant>
      <vt:variant>
        <vt:lpwstr>http://www.environment.govt.nz/</vt:lpwstr>
      </vt:variant>
      <vt:variant>
        <vt:lpwstr/>
      </vt:variant>
      <vt:variant>
        <vt:i4>3080276</vt:i4>
      </vt:variant>
      <vt:variant>
        <vt:i4>324</vt:i4>
      </vt:variant>
      <vt:variant>
        <vt:i4>0</vt:i4>
      </vt:variant>
      <vt:variant>
        <vt:i4>5</vt:i4>
      </vt:variant>
      <vt:variant>
        <vt:lpwstr>mailto:etsconsultation@mfe.govt.nz</vt:lpwstr>
      </vt:variant>
      <vt:variant>
        <vt:lpwstr/>
      </vt:variant>
      <vt:variant>
        <vt:i4>1114115</vt:i4>
      </vt:variant>
      <vt:variant>
        <vt:i4>321</vt:i4>
      </vt:variant>
      <vt:variant>
        <vt:i4>0</vt:i4>
      </vt:variant>
      <vt:variant>
        <vt:i4>5</vt:i4>
      </vt:variant>
      <vt:variant>
        <vt:lpwstr>https://consult.environment.govt.nz/climate/proposed-changes-nz-ets-2022</vt:lpwstr>
      </vt:variant>
      <vt:variant>
        <vt:lpwstr/>
      </vt:variant>
      <vt:variant>
        <vt:i4>1179722</vt:i4>
      </vt:variant>
      <vt:variant>
        <vt:i4>318</vt:i4>
      </vt:variant>
      <vt:variant>
        <vt:i4>0</vt:i4>
      </vt:variant>
      <vt:variant>
        <vt:i4>5</vt:i4>
      </vt:variant>
      <vt:variant>
        <vt:lpwstr>https://environment.govt.nz/publications/interim-guidance-for-voluntary-climate-change-mitigation</vt:lpwstr>
      </vt:variant>
      <vt:variant>
        <vt:lpwstr/>
      </vt:variant>
      <vt:variant>
        <vt:i4>3145758</vt:i4>
      </vt:variant>
      <vt:variant>
        <vt:i4>315</vt:i4>
      </vt:variant>
      <vt:variant>
        <vt:i4>0</vt:i4>
      </vt:variant>
      <vt:variant>
        <vt:i4>5</vt:i4>
      </vt:variant>
      <vt:variant>
        <vt:lpwstr/>
      </vt:variant>
      <vt:variant>
        <vt:lpwstr>_How_to_have</vt:lpwstr>
      </vt:variant>
      <vt:variant>
        <vt:i4>393257</vt:i4>
      </vt:variant>
      <vt:variant>
        <vt:i4>312</vt:i4>
      </vt:variant>
      <vt:variant>
        <vt:i4>0</vt:i4>
      </vt:variant>
      <vt:variant>
        <vt:i4>5</vt:i4>
      </vt:variant>
      <vt:variant>
        <vt:lpwstr/>
      </vt:variant>
      <vt:variant>
        <vt:lpwstr>_Appendix_1:_Other</vt:lpwstr>
      </vt:variant>
      <vt:variant>
        <vt:i4>7667813</vt:i4>
      </vt:variant>
      <vt:variant>
        <vt:i4>309</vt:i4>
      </vt:variant>
      <vt:variant>
        <vt:i4>0</vt:i4>
      </vt:variant>
      <vt:variant>
        <vt:i4>5</vt:i4>
      </vt:variant>
      <vt:variant>
        <vt:lpwstr>https://www.mpi.govt.nz/consultations/</vt:lpwstr>
      </vt:variant>
      <vt:variant>
        <vt:lpwstr/>
      </vt:variant>
      <vt:variant>
        <vt:i4>7143458</vt:i4>
      </vt:variant>
      <vt:variant>
        <vt:i4>306</vt:i4>
      </vt:variant>
      <vt:variant>
        <vt:i4>0</vt:i4>
      </vt:variant>
      <vt:variant>
        <vt:i4>5</vt:i4>
      </vt:variant>
      <vt:variant>
        <vt:lpwstr>https://legislation.govt.nz/regulation/public/2013/0046/latest/DLM5093451.html</vt:lpwstr>
      </vt:variant>
      <vt:variant>
        <vt:lpwstr/>
      </vt:variant>
      <vt:variant>
        <vt:i4>589857</vt:i4>
      </vt:variant>
      <vt:variant>
        <vt:i4>300</vt:i4>
      </vt:variant>
      <vt:variant>
        <vt:i4>0</vt:i4>
      </vt:variant>
      <vt:variant>
        <vt:i4>5</vt:i4>
      </vt:variant>
      <vt:variant>
        <vt:lpwstr/>
      </vt:variant>
      <vt:variant>
        <vt:lpwstr>_Glossary</vt:lpwstr>
      </vt:variant>
      <vt:variant>
        <vt:i4>1179708</vt:i4>
      </vt:variant>
      <vt:variant>
        <vt:i4>293</vt:i4>
      </vt:variant>
      <vt:variant>
        <vt:i4>0</vt:i4>
      </vt:variant>
      <vt:variant>
        <vt:i4>5</vt:i4>
      </vt:variant>
      <vt:variant>
        <vt:lpwstr/>
      </vt:variant>
      <vt:variant>
        <vt:lpwstr>_Toc95397118</vt:lpwstr>
      </vt:variant>
      <vt:variant>
        <vt:i4>1900604</vt:i4>
      </vt:variant>
      <vt:variant>
        <vt:i4>287</vt:i4>
      </vt:variant>
      <vt:variant>
        <vt:i4>0</vt:i4>
      </vt:variant>
      <vt:variant>
        <vt:i4>5</vt:i4>
      </vt:variant>
      <vt:variant>
        <vt:lpwstr/>
      </vt:variant>
      <vt:variant>
        <vt:lpwstr>_Toc95397117</vt:lpwstr>
      </vt:variant>
      <vt:variant>
        <vt:i4>1900604</vt:i4>
      </vt:variant>
      <vt:variant>
        <vt:i4>281</vt:i4>
      </vt:variant>
      <vt:variant>
        <vt:i4>0</vt:i4>
      </vt:variant>
      <vt:variant>
        <vt:i4>5</vt:i4>
      </vt:variant>
      <vt:variant>
        <vt:lpwstr/>
      </vt:variant>
      <vt:variant>
        <vt:lpwstr>_Toc95397117</vt:lpwstr>
      </vt:variant>
      <vt:variant>
        <vt:i4>1835068</vt:i4>
      </vt:variant>
      <vt:variant>
        <vt:i4>275</vt:i4>
      </vt:variant>
      <vt:variant>
        <vt:i4>0</vt:i4>
      </vt:variant>
      <vt:variant>
        <vt:i4>5</vt:i4>
      </vt:variant>
      <vt:variant>
        <vt:lpwstr/>
      </vt:variant>
      <vt:variant>
        <vt:lpwstr>_Toc95397116</vt:lpwstr>
      </vt:variant>
      <vt:variant>
        <vt:i4>2031676</vt:i4>
      </vt:variant>
      <vt:variant>
        <vt:i4>269</vt:i4>
      </vt:variant>
      <vt:variant>
        <vt:i4>0</vt:i4>
      </vt:variant>
      <vt:variant>
        <vt:i4>5</vt:i4>
      </vt:variant>
      <vt:variant>
        <vt:lpwstr/>
      </vt:variant>
      <vt:variant>
        <vt:lpwstr>_Toc95397115</vt:lpwstr>
      </vt:variant>
      <vt:variant>
        <vt:i4>1966140</vt:i4>
      </vt:variant>
      <vt:variant>
        <vt:i4>263</vt:i4>
      </vt:variant>
      <vt:variant>
        <vt:i4>0</vt:i4>
      </vt:variant>
      <vt:variant>
        <vt:i4>5</vt:i4>
      </vt:variant>
      <vt:variant>
        <vt:lpwstr/>
      </vt:variant>
      <vt:variant>
        <vt:lpwstr>_Toc95397114</vt:lpwstr>
      </vt:variant>
      <vt:variant>
        <vt:i4>1638460</vt:i4>
      </vt:variant>
      <vt:variant>
        <vt:i4>257</vt:i4>
      </vt:variant>
      <vt:variant>
        <vt:i4>0</vt:i4>
      </vt:variant>
      <vt:variant>
        <vt:i4>5</vt:i4>
      </vt:variant>
      <vt:variant>
        <vt:lpwstr/>
      </vt:variant>
      <vt:variant>
        <vt:lpwstr>_Toc95397113</vt:lpwstr>
      </vt:variant>
      <vt:variant>
        <vt:i4>1572924</vt:i4>
      </vt:variant>
      <vt:variant>
        <vt:i4>251</vt:i4>
      </vt:variant>
      <vt:variant>
        <vt:i4>0</vt:i4>
      </vt:variant>
      <vt:variant>
        <vt:i4>5</vt:i4>
      </vt:variant>
      <vt:variant>
        <vt:lpwstr/>
      </vt:variant>
      <vt:variant>
        <vt:lpwstr>_Toc95397112</vt:lpwstr>
      </vt:variant>
      <vt:variant>
        <vt:i4>1835069</vt:i4>
      </vt:variant>
      <vt:variant>
        <vt:i4>248</vt:i4>
      </vt:variant>
      <vt:variant>
        <vt:i4>0</vt:i4>
      </vt:variant>
      <vt:variant>
        <vt:i4>5</vt:i4>
      </vt:variant>
      <vt:variant>
        <vt:lpwstr/>
      </vt:variant>
      <vt:variant>
        <vt:lpwstr>_Toc95397106</vt:lpwstr>
      </vt:variant>
      <vt:variant>
        <vt:i4>1835069</vt:i4>
      </vt:variant>
      <vt:variant>
        <vt:i4>242</vt:i4>
      </vt:variant>
      <vt:variant>
        <vt:i4>0</vt:i4>
      </vt:variant>
      <vt:variant>
        <vt:i4>5</vt:i4>
      </vt:variant>
      <vt:variant>
        <vt:lpwstr/>
      </vt:variant>
      <vt:variant>
        <vt:lpwstr>_Toc95397106</vt:lpwstr>
      </vt:variant>
      <vt:variant>
        <vt:i4>1835069</vt:i4>
      </vt:variant>
      <vt:variant>
        <vt:i4>236</vt:i4>
      </vt:variant>
      <vt:variant>
        <vt:i4>0</vt:i4>
      </vt:variant>
      <vt:variant>
        <vt:i4>5</vt:i4>
      </vt:variant>
      <vt:variant>
        <vt:lpwstr/>
      </vt:variant>
      <vt:variant>
        <vt:lpwstr>_Toc95397106</vt:lpwstr>
      </vt:variant>
      <vt:variant>
        <vt:i4>1835069</vt:i4>
      </vt:variant>
      <vt:variant>
        <vt:i4>230</vt:i4>
      </vt:variant>
      <vt:variant>
        <vt:i4>0</vt:i4>
      </vt:variant>
      <vt:variant>
        <vt:i4>5</vt:i4>
      </vt:variant>
      <vt:variant>
        <vt:lpwstr/>
      </vt:variant>
      <vt:variant>
        <vt:lpwstr>_Toc95397106</vt:lpwstr>
      </vt:variant>
      <vt:variant>
        <vt:i4>1638461</vt:i4>
      </vt:variant>
      <vt:variant>
        <vt:i4>224</vt:i4>
      </vt:variant>
      <vt:variant>
        <vt:i4>0</vt:i4>
      </vt:variant>
      <vt:variant>
        <vt:i4>5</vt:i4>
      </vt:variant>
      <vt:variant>
        <vt:lpwstr/>
      </vt:variant>
      <vt:variant>
        <vt:lpwstr>_Toc95397103</vt:lpwstr>
      </vt:variant>
      <vt:variant>
        <vt:i4>1572925</vt:i4>
      </vt:variant>
      <vt:variant>
        <vt:i4>218</vt:i4>
      </vt:variant>
      <vt:variant>
        <vt:i4>0</vt:i4>
      </vt:variant>
      <vt:variant>
        <vt:i4>5</vt:i4>
      </vt:variant>
      <vt:variant>
        <vt:lpwstr/>
      </vt:variant>
      <vt:variant>
        <vt:lpwstr>_Toc95397102</vt:lpwstr>
      </vt:variant>
      <vt:variant>
        <vt:i4>1769533</vt:i4>
      </vt:variant>
      <vt:variant>
        <vt:i4>212</vt:i4>
      </vt:variant>
      <vt:variant>
        <vt:i4>0</vt:i4>
      </vt:variant>
      <vt:variant>
        <vt:i4>5</vt:i4>
      </vt:variant>
      <vt:variant>
        <vt:lpwstr/>
      </vt:variant>
      <vt:variant>
        <vt:lpwstr>_Toc95397101</vt:lpwstr>
      </vt:variant>
      <vt:variant>
        <vt:i4>1703997</vt:i4>
      </vt:variant>
      <vt:variant>
        <vt:i4>206</vt:i4>
      </vt:variant>
      <vt:variant>
        <vt:i4>0</vt:i4>
      </vt:variant>
      <vt:variant>
        <vt:i4>5</vt:i4>
      </vt:variant>
      <vt:variant>
        <vt:lpwstr/>
      </vt:variant>
      <vt:variant>
        <vt:lpwstr>_Toc95397100</vt:lpwstr>
      </vt:variant>
      <vt:variant>
        <vt:i4>1179700</vt:i4>
      </vt:variant>
      <vt:variant>
        <vt:i4>200</vt:i4>
      </vt:variant>
      <vt:variant>
        <vt:i4>0</vt:i4>
      </vt:variant>
      <vt:variant>
        <vt:i4>5</vt:i4>
      </vt:variant>
      <vt:variant>
        <vt:lpwstr/>
      </vt:variant>
      <vt:variant>
        <vt:lpwstr>_Toc95397099</vt:lpwstr>
      </vt:variant>
      <vt:variant>
        <vt:i4>1245236</vt:i4>
      </vt:variant>
      <vt:variant>
        <vt:i4>194</vt:i4>
      </vt:variant>
      <vt:variant>
        <vt:i4>0</vt:i4>
      </vt:variant>
      <vt:variant>
        <vt:i4>5</vt:i4>
      </vt:variant>
      <vt:variant>
        <vt:lpwstr/>
      </vt:variant>
      <vt:variant>
        <vt:lpwstr>_Toc95397098</vt:lpwstr>
      </vt:variant>
      <vt:variant>
        <vt:i4>1835069</vt:i4>
      </vt:variant>
      <vt:variant>
        <vt:i4>191</vt:i4>
      </vt:variant>
      <vt:variant>
        <vt:i4>0</vt:i4>
      </vt:variant>
      <vt:variant>
        <vt:i4>5</vt:i4>
      </vt:variant>
      <vt:variant>
        <vt:lpwstr/>
      </vt:variant>
      <vt:variant>
        <vt:lpwstr>_Toc95397106</vt:lpwstr>
      </vt:variant>
      <vt:variant>
        <vt:i4>1835069</vt:i4>
      </vt:variant>
      <vt:variant>
        <vt:i4>188</vt:i4>
      </vt:variant>
      <vt:variant>
        <vt:i4>0</vt:i4>
      </vt:variant>
      <vt:variant>
        <vt:i4>5</vt:i4>
      </vt:variant>
      <vt:variant>
        <vt:lpwstr/>
      </vt:variant>
      <vt:variant>
        <vt:lpwstr>_Toc95397106</vt:lpwstr>
      </vt:variant>
      <vt:variant>
        <vt:i4>1835069</vt:i4>
      </vt:variant>
      <vt:variant>
        <vt:i4>185</vt:i4>
      </vt:variant>
      <vt:variant>
        <vt:i4>0</vt:i4>
      </vt:variant>
      <vt:variant>
        <vt:i4>5</vt:i4>
      </vt:variant>
      <vt:variant>
        <vt:lpwstr/>
      </vt:variant>
      <vt:variant>
        <vt:lpwstr>_Toc95397106</vt:lpwstr>
      </vt:variant>
      <vt:variant>
        <vt:i4>1572916</vt:i4>
      </vt:variant>
      <vt:variant>
        <vt:i4>179</vt:i4>
      </vt:variant>
      <vt:variant>
        <vt:i4>0</vt:i4>
      </vt:variant>
      <vt:variant>
        <vt:i4>5</vt:i4>
      </vt:variant>
      <vt:variant>
        <vt:lpwstr/>
      </vt:variant>
      <vt:variant>
        <vt:lpwstr>_Toc95397093</vt:lpwstr>
      </vt:variant>
      <vt:variant>
        <vt:i4>1638452</vt:i4>
      </vt:variant>
      <vt:variant>
        <vt:i4>173</vt:i4>
      </vt:variant>
      <vt:variant>
        <vt:i4>0</vt:i4>
      </vt:variant>
      <vt:variant>
        <vt:i4>5</vt:i4>
      </vt:variant>
      <vt:variant>
        <vt:lpwstr/>
      </vt:variant>
      <vt:variant>
        <vt:lpwstr>_Toc95397092</vt:lpwstr>
      </vt:variant>
      <vt:variant>
        <vt:i4>1703988</vt:i4>
      </vt:variant>
      <vt:variant>
        <vt:i4>167</vt:i4>
      </vt:variant>
      <vt:variant>
        <vt:i4>0</vt:i4>
      </vt:variant>
      <vt:variant>
        <vt:i4>5</vt:i4>
      </vt:variant>
      <vt:variant>
        <vt:lpwstr/>
      </vt:variant>
      <vt:variant>
        <vt:lpwstr>_Toc95397091</vt:lpwstr>
      </vt:variant>
      <vt:variant>
        <vt:i4>1769524</vt:i4>
      </vt:variant>
      <vt:variant>
        <vt:i4>161</vt:i4>
      </vt:variant>
      <vt:variant>
        <vt:i4>0</vt:i4>
      </vt:variant>
      <vt:variant>
        <vt:i4>5</vt:i4>
      </vt:variant>
      <vt:variant>
        <vt:lpwstr/>
      </vt:variant>
      <vt:variant>
        <vt:lpwstr>_Toc95397090</vt:lpwstr>
      </vt:variant>
      <vt:variant>
        <vt:i4>1179701</vt:i4>
      </vt:variant>
      <vt:variant>
        <vt:i4>155</vt:i4>
      </vt:variant>
      <vt:variant>
        <vt:i4>0</vt:i4>
      </vt:variant>
      <vt:variant>
        <vt:i4>5</vt:i4>
      </vt:variant>
      <vt:variant>
        <vt:lpwstr/>
      </vt:variant>
      <vt:variant>
        <vt:lpwstr>_Toc95397089</vt:lpwstr>
      </vt:variant>
      <vt:variant>
        <vt:i4>1245237</vt:i4>
      </vt:variant>
      <vt:variant>
        <vt:i4>149</vt:i4>
      </vt:variant>
      <vt:variant>
        <vt:i4>0</vt:i4>
      </vt:variant>
      <vt:variant>
        <vt:i4>5</vt:i4>
      </vt:variant>
      <vt:variant>
        <vt:lpwstr/>
      </vt:variant>
      <vt:variant>
        <vt:lpwstr>_Toc95397088</vt:lpwstr>
      </vt:variant>
      <vt:variant>
        <vt:i4>1900597</vt:i4>
      </vt:variant>
      <vt:variant>
        <vt:i4>143</vt:i4>
      </vt:variant>
      <vt:variant>
        <vt:i4>0</vt:i4>
      </vt:variant>
      <vt:variant>
        <vt:i4>5</vt:i4>
      </vt:variant>
      <vt:variant>
        <vt:lpwstr/>
      </vt:variant>
      <vt:variant>
        <vt:lpwstr>_Toc95397086</vt:lpwstr>
      </vt:variant>
      <vt:variant>
        <vt:i4>1900597</vt:i4>
      </vt:variant>
      <vt:variant>
        <vt:i4>137</vt:i4>
      </vt:variant>
      <vt:variant>
        <vt:i4>0</vt:i4>
      </vt:variant>
      <vt:variant>
        <vt:i4>5</vt:i4>
      </vt:variant>
      <vt:variant>
        <vt:lpwstr/>
      </vt:variant>
      <vt:variant>
        <vt:lpwstr>_Toc95397086</vt:lpwstr>
      </vt:variant>
      <vt:variant>
        <vt:i4>1769525</vt:i4>
      </vt:variant>
      <vt:variant>
        <vt:i4>131</vt:i4>
      </vt:variant>
      <vt:variant>
        <vt:i4>0</vt:i4>
      </vt:variant>
      <vt:variant>
        <vt:i4>5</vt:i4>
      </vt:variant>
      <vt:variant>
        <vt:lpwstr/>
      </vt:variant>
      <vt:variant>
        <vt:lpwstr>_Toc95397080</vt:lpwstr>
      </vt:variant>
      <vt:variant>
        <vt:i4>1179706</vt:i4>
      </vt:variant>
      <vt:variant>
        <vt:i4>125</vt:i4>
      </vt:variant>
      <vt:variant>
        <vt:i4>0</vt:i4>
      </vt:variant>
      <vt:variant>
        <vt:i4>5</vt:i4>
      </vt:variant>
      <vt:variant>
        <vt:lpwstr/>
      </vt:variant>
      <vt:variant>
        <vt:lpwstr>_Toc95397079</vt:lpwstr>
      </vt:variant>
      <vt:variant>
        <vt:i4>1245242</vt:i4>
      </vt:variant>
      <vt:variant>
        <vt:i4>119</vt:i4>
      </vt:variant>
      <vt:variant>
        <vt:i4>0</vt:i4>
      </vt:variant>
      <vt:variant>
        <vt:i4>5</vt:i4>
      </vt:variant>
      <vt:variant>
        <vt:lpwstr/>
      </vt:variant>
      <vt:variant>
        <vt:lpwstr>_Toc95397078</vt:lpwstr>
      </vt:variant>
      <vt:variant>
        <vt:i4>1966138</vt:i4>
      </vt:variant>
      <vt:variant>
        <vt:i4>113</vt:i4>
      </vt:variant>
      <vt:variant>
        <vt:i4>0</vt:i4>
      </vt:variant>
      <vt:variant>
        <vt:i4>5</vt:i4>
      </vt:variant>
      <vt:variant>
        <vt:lpwstr/>
      </vt:variant>
      <vt:variant>
        <vt:lpwstr>_Toc95397075</vt:lpwstr>
      </vt:variant>
      <vt:variant>
        <vt:i4>2031674</vt:i4>
      </vt:variant>
      <vt:variant>
        <vt:i4>107</vt:i4>
      </vt:variant>
      <vt:variant>
        <vt:i4>0</vt:i4>
      </vt:variant>
      <vt:variant>
        <vt:i4>5</vt:i4>
      </vt:variant>
      <vt:variant>
        <vt:lpwstr/>
      </vt:variant>
      <vt:variant>
        <vt:lpwstr>_Toc95397074</vt:lpwstr>
      </vt:variant>
      <vt:variant>
        <vt:i4>1572922</vt:i4>
      </vt:variant>
      <vt:variant>
        <vt:i4>101</vt:i4>
      </vt:variant>
      <vt:variant>
        <vt:i4>0</vt:i4>
      </vt:variant>
      <vt:variant>
        <vt:i4>5</vt:i4>
      </vt:variant>
      <vt:variant>
        <vt:lpwstr/>
      </vt:variant>
      <vt:variant>
        <vt:lpwstr>_Toc95397073</vt:lpwstr>
      </vt:variant>
      <vt:variant>
        <vt:i4>1638458</vt:i4>
      </vt:variant>
      <vt:variant>
        <vt:i4>95</vt:i4>
      </vt:variant>
      <vt:variant>
        <vt:i4>0</vt:i4>
      </vt:variant>
      <vt:variant>
        <vt:i4>5</vt:i4>
      </vt:variant>
      <vt:variant>
        <vt:lpwstr/>
      </vt:variant>
      <vt:variant>
        <vt:lpwstr>_Toc95397072</vt:lpwstr>
      </vt:variant>
      <vt:variant>
        <vt:i4>1769530</vt:i4>
      </vt:variant>
      <vt:variant>
        <vt:i4>89</vt:i4>
      </vt:variant>
      <vt:variant>
        <vt:i4>0</vt:i4>
      </vt:variant>
      <vt:variant>
        <vt:i4>5</vt:i4>
      </vt:variant>
      <vt:variant>
        <vt:lpwstr/>
      </vt:variant>
      <vt:variant>
        <vt:lpwstr>_Toc95397070</vt:lpwstr>
      </vt:variant>
      <vt:variant>
        <vt:i4>1900603</vt:i4>
      </vt:variant>
      <vt:variant>
        <vt:i4>83</vt:i4>
      </vt:variant>
      <vt:variant>
        <vt:i4>0</vt:i4>
      </vt:variant>
      <vt:variant>
        <vt:i4>5</vt:i4>
      </vt:variant>
      <vt:variant>
        <vt:lpwstr/>
      </vt:variant>
      <vt:variant>
        <vt:lpwstr>_Toc95397066</vt:lpwstr>
      </vt:variant>
      <vt:variant>
        <vt:i4>1966139</vt:i4>
      </vt:variant>
      <vt:variant>
        <vt:i4>77</vt:i4>
      </vt:variant>
      <vt:variant>
        <vt:i4>0</vt:i4>
      </vt:variant>
      <vt:variant>
        <vt:i4>5</vt:i4>
      </vt:variant>
      <vt:variant>
        <vt:lpwstr/>
      </vt:variant>
      <vt:variant>
        <vt:lpwstr>_Toc95397065</vt:lpwstr>
      </vt:variant>
      <vt:variant>
        <vt:i4>2031675</vt:i4>
      </vt:variant>
      <vt:variant>
        <vt:i4>71</vt:i4>
      </vt:variant>
      <vt:variant>
        <vt:i4>0</vt:i4>
      </vt:variant>
      <vt:variant>
        <vt:i4>5</vt:i4>
      </vt:variant>
      <vt:variant>
        <vt:lpwstr/>
      </vt:variant>
      <vt:variant>
        <vt:lpwstr>_Toc95397064</vt:lpwstr>
      </vt:variant>
      <vt:variant>
        <vt:i4>1572923</vt:i4>
      </vt:variant>
      <vt:variant>
        <vt:i4>65</vt:i4>
      </vt:variant>
      <vt:variant>
        <vt:i4>0</vt:i4>
      </vt:variant>
      <vt:variant>
        <vt:i4>5</vt:i4>
      </vt:variant>
      <vt:variant>
        <vt:lpwstr/>
      </vt:variant>
      <vt:variant>
        <vt:lpwstr>_Toc95397063</vt:lpwstr>
      </vt:variant>
      <vt:variant>
        <vt:i4>2031674</vt:i4>
      </vt:variant>
      <vt:variant>
        <vt:i4>62</vt:i4>
      </vt:variant>
      <vt:variant>
        <vt:i4>0</vt:i4>
      </vt:variant>
      <vt:variant>
        <vt:i4>5</vt:i4>
      </vt:variant>
      <vt:variant>
        <vt:lpwstr/>
      </vt:variant>
      <vt:variant>
        <vt:lpwstr>_Toc95397074</vt:lpwstr>
      </vt:variant>
      <vt:variant>
        <vt:i4>1703995</vt:i4>
      </vt:variant>
      <vt:variant>
        <vt:i4>56</vt:i4>
      </vt:variant>
      <vt:variant>
        <vt:i4>0</vt:i4>
      </vt:variant>
      <vt:variant>
        <vt:i4>5</vt:i4>
      </vt:variant>
      <vt:variant>
        <vt:lpwstr/>
      </vt:variant>
      <vt:variant>
        <vt:lpwstr>_Toc95397061</vt:lpwstr>
      </vt:variant>
      <vt:variant>
        <vt:i4>1769531</vt:i4>
      </vt:variant>
      <vt:variant>
        <vt:i4>50</vt:i4>
      </vt:variant>
      <vt:variant>
        <vt:i4>0</vt:i4>
      </vt:variant>
      <vt:variant>
        <vt:i4>5</vt:i4>
      </vt:variant>
      <vt:variant>
        <vt:lpwstr/>
      </vt:variant>
      <vt:variant>
        <vt:lpwstr>_Toc95397060</vt:lpwstr>
      </vt:variant>
      <vt:variant>
        <vt:i4>1179704</vt:i4>
      </vt:variant>
      <vt:variant>
        <vt:i4>44</vt:i4>
      </vt:variant>
      <vt:variant>
        <vt:i4>0</vt:i4>
      </vt:variant>
      <vt:variant>
        <vt:i4>5</vt:i4>
      </vt:variant>
      <vt:variant>
        <vt:lpwstr/>
      </vt:variant>
      <vt:variant>
        <vt:lpwstr>_Toc95397059</vt:lpwstr>
      </vt:variant>
      <vt:variant>
        <vt:i4>1245240</vt:i4>
      </vt:variant>
      <vt:variant>
        <vt:i4>38</vt:i4>
      </vt:variant>
      <vt:variant>
        <vt:i4>0</vt:i4>
      </vt:variant>
      <vt:variant>
        <vt:i4>5</vt:i4>
      </vt:variant>
      <vt:variant>
        <vt:lpwstr/>
      </vt:variant>
      <vt:variant>
        <vt:lpwstr>_Toc95397058</vt:lpwstr>
      </vt:variant>
      <vt:variant>
        <vt:i4>1835064</vt:i4>
      </vt:variant>
      <vt:variant>
        <vt:i4>32</vt:i4>
      </vt:variant>
      <vt:variant>
        <vt:i4>0</vt:i4>
      </vt:variant>
      <vt:variant>
        <vt:i4>5</vt:i4>
      </vt:variant>
      <vt:variant>
        <vt:lpwstr/>
      </vt:variant>
      <vt:variant>
        <vt:lpwstr>_Toc95397057</vt:lpwstr>
      </vt:variant>
      <vt:variant>
        <vt:i4>1900600</vt:i4>
      </vt:variant>
      <vt:variant>
        <vt:i4>26</vt:i4>
      </vt:variant>
      <vt:variant>
        <vt:i4>0</vt:i4>
      </vt:variant>
      <vt:variant>
        <vt:i4>5</vt:i4>
      </vt:variant>
      <vt:variant>
        <vt:lpwstr/>
      </vt:variant>
      <vt:variant>
        <vt:lpwstr>_Toc95397056</vt:lpwstr>
      </vt:variant>
      <vt:variant>
        <vt:i4>1572920</vt:i4>
      </vt:variant>
      <vt:variant>
        <vt:i4>20</vt:i4>
      </vt:variant>
      <vt:variant>
        <vt:i4>0</vt:i4>
      </vt:variant>
      <vt:variant>
        <vt:i4>5</vt:i4>
      </vt:variant>
      <vt:variant>
        <vt:lpwstr/>
      </vt:variant>
      <vt:variant>
        <vt:lpwstr>_Toc95397053</vt:lpwstr>
      </vt:variant>
      <vt:variant>
        <vt:i4>1638456</vt:i4>
      </vt:variant>
      <vt:variant>
        <vt:i4>14</vt:i4>
      </vt:variant>
      <vt:variant>
        <vt:i4>0</vt:i4>
      </vt:variant>
      <vt:variant>
        <vt:i4>5</vt:i4>
      </vt:variant>
      <vt:variant>
        <vt:lpwstr/>
      </vt:variant>
      <vt:variant>
        <vt:lpwstr>_Toc95397052</vt:lpwstr>
      </vt:variant>
      <vt:variant>
        <vt:i4>1769528</vt:i4>
      </vt:variant>
      <vt:variant>
        <vt:i4>8</vt:i4>
      </vt:variant>
      <vt:variant>
        <vt:i4>0</vt:i4>
      </vt:variant>
      <vt:variant>
        <vt:i4>5</vt:i4>
      </vt:variant>
      <vt:variant>
        <vt:lpwstr/>
      </vt:variant>
      <vt:variant>
        <vt:lpwstr>_Toc95397050</vt:lpwstr>
      </vt:variant>
      <vt:variant>
        <vt:i4>1179705</vt:i4>
      </vt:variant>
      <vt:variant>
        <vt:i4>5</vt:i4>
      </vt:variant>
      <vt:variant>
        <vt:i4>0</vt:i4>
      </vt:variant>
      <vt:variant>
        <vt:i4>5</vt:i4>
      </vt:variant>
      <vt:variant>
        <vt:lpwstr/>
      </vt:variant>
      <vt:variant>
        <vt:lpwstr>_Toc95397049</vt:lpwstr>
      </vt:variant>
      <vt:variant>
        <vt:i4>7340128</vt:i4>
      </vt:variant>
      <vt:variant>
        <vt:i4>0</vt:i4>
      </vt:variant>
      <vt:variant>
        <vt:i4>0</vt:i4>
      </vt:variant>
      <vt:variant>
        <vt:i4>5</vt:i4>
      </vt:variant>
      <vt:variant>
        <vt:lpwstr>http://www.environment.govt.nz/</vt:lpwstr>
      </vt:variant>
      <vt:variant>
        <vt:lpwstr/>
      </vt:variant>
      <vt:variant>
        <vt:i4>2949241</vt:i4>
      </vt:variant>
      <vt:variant>
        <vt:i4>6</vt:i4>
      </vt:variant>
      <vt:variant>
        <vt:i4>0</vt:i4>
      </vt:variant>
      <vt:variant>
        <vt:i4>5</vt:i4>
      </vt:variant>
      <vt:variant>
        <vt:lpwstr>https://www.refrigerantrecovery.co.nz/product-stewardship/</vt:lpwstr>
      </vt:variant>
      <vt:variant>
        <vt:lpwstr/>
      </vt:variant>
      <vt:variant>
        <vt:i4>2949241</vt:i4>
      </vt:variant>
      <vt:variant>
        <vt:i4>3</vt:i4>
      </vt:variant>
      <vt:variant>
        <vt:i4>0</vt:i4>
      </vt:variant>
      <vt:variant>
        <vt:i4>5</vt:i4>
      </vt:variant>
      <vt:variant>
        <vt:lpwstr>https://www.refrigerantrecovery.co.nz/product-stewardship/</vt:lpwstr>
      </vt:variant>
      <vt:variant>
        <vt:lpwstr/>
      </vt:variant>
      <vt:variant>
        <vt:i4>2621478</vt:i4>
      </vt:variant>
      <vt:variant>
        <vt:i4>0</vt:i4>
      </vt:variant>
      <vt:variant>
        <vt:i4>0</vt:i4>
      </vt:variant>
      <vt:variant>
        <vt:i4>5</vt:i4>
      </vt:variant>
      <vt:variant>
        <vt:lpwstr>https://environment.govt.nz/what-government-is-doing/areas-of-work/waste/product-stewardship/about-product-stewardship-in-new-zealand/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Maisie Hance</dc:creator>
  <cp:keywords/>
  <dc:description/>
  <cp:lastModifiedBy>Linda Stirling</cp:lastModifiedBy>
  <cp:revision>3</cp:revision>
  <dcterms:created xsi:type="dcterms:W3CDTF">2022-03-14T03:59:00Z</dcterms:created>
  <dcterms:modified xsi:type="dcterms:W3CDTF">2022-04-21T02:18:00Z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2022-03-14T02:20:13Z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3e8328d5-8a7e-4e4d-b6f3-b61e14e0232c</vt:lpwstr>
  </property>
  <property fmtid="{D5CDD505-2E9C-101B-9397-08002B2CF9AE}" pid="8" name="MSIP_Label_52dda6cc-d61d-4fd2-bf18-9b3017d931cc_ContentBits">
    <vt:lpwstr>0</vt:lpwstr>
  </property>
  <property fmtid="{D5CDD505-2E9C-101B-9397-08002B2CF9AE}" pid="9" name="ContentTypeId">
    <vt:lpwstr>0x010100F01ED631E09C5F47A877DCE13B9406DB</vt:lpwstr>
  </property>
  <property fmtid="{D5CDD505-2E9C-101B-9397-08002B2CF9AE}" pid="10" name="_dlc_DocIdItemGuid">
    <vt:lpwstr>85cf9df5-abc6-4502-bc26-5db4ca912cb8</vt:lpwstr>
  </property>
</Properties>
</file>