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26C5C" w14:textId="6F07DD57" w:rsidR="00E81048" w:rsidRDefault="00E47362" w:rsidP="00280824">
      <w:pPr>
        <w:pStyle w:val="BodyText"/>
        <w:sectPr w:rsidR="00E81048" w:rsidSect="00A30F6E">
          <w:headerReference w:type="default" r:id="rId12"/>
          <w:pgSz w:w="11907" w:h="16840" w:code="9"/>
          <w:pgMar w:top="1134" w:right="1701" w:bottom="1134" w:left="1701" w:header="567" w:footer="567" w:gutter="0"/>
          <w:pgNumType w:fmt="lowerRoman"/>
          <w:cols w:space="720"/>
        </w:sectPr>
      </w:pPr>
      <w:r>
        <w:rPr>
          <w:noProof/>
        </w:rPr>
        <w:drawing>
          <wp:anchor distT="0" distB="0" distL="114300" distR="114300" simplePos="0" relativeHeight="251658240" behindDoc="0" locked="0" layoutInCell="1" allowOverlap="1" wp14:anchorId="5D382418" wp14:editId="3DDD9670">
            <wp:simplePos x="0" y="0"/>
            <wp:positionH relativeFrom="page">
              <wp:posOffset>19050</wp:posOffset>
            </wp:positionH>
            <wp:positionV relativeFrom="page">
              <wp:align>top</wp:align>
            </wp:positionV>
            <wp:extent cx="7568137" cy="10706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7568137" cy="10706100"/>
                    </a:xfrm>
                    <a:prstGeom prst="rect">
                      <a:avLst/>
                    </a:prstGeom>
                  </pic:spPr>
                </pic:pic>
              </a:graphicData>
            </a:graphic>
            <wp14:sizeRelH relativeFrom="margin">
              <wp14:pctWidth>0</wp14:pctWidth>
            </wp14:sizeRelH>
            <wp14:sizeRelV relativeFrom="margin">
              <wp14:pctHeight>0</wp14:pctHeight>
            </wp14:sizeRelV>
          </wp:anchor>
        </w:drawing>
      </w:r>
    </w:p>
    <w:p w14:paraId="4E885CE6" w14:textId="799F4868" w:rsidR="00452EC4" w:rsidRPr="0082483D" w:rsidRDefault="00452EC4" w:rsidP="00775F57">
      <w:pPr>
        <w:pStyle w:val="Imprint"/>
        <w:spacing w:before="0" w:after="0"/>
        <w:rPr>
          <w:b/>
        </w:rPr>
      </w:pPr>
      <w:r w:rsidRPr="0082483D">
        <w:rPr>
          <w:b/>
        </w:rPr>
        <w:lastRenderedPageBreak/>
        <w:t>Disclaimer</w:t>
      </w:r>
    </w:p>
    <w:p w14:paraId="2BDD39C6" w14:textId="64A895F8" w:rsidR="004276B3" w:rsidRDefault="004276B3" w:rsidP="004276B3">
      <w:pPr>
        <w:pStyle w:val="Imprint"/>
      </w:pPr>
      <w:r>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60FE396B" w14:textId="73BA8EC8" w:rsidR="004276B3" w:rsidRDefault="004276B3" w:rsidP="007A6990">
      <w:pPr>
        <w:pStyle w:val="Bullet"/>
      </w:pPr>
      <w:r>
        <w:t>The information does not alter the laws of New Zealand, other official guidelines, or requirements.</w:t>
      </w:r>
    </w:p>
    <w:p w14:paraId="13EDAB92" w14:textId="570475FB" w:rsidR="004276B3" w:rsidRDefault="004276B3" w:rsidP="007A6990">
      <w:pPr>
        <w:pStyle w:val="Bullet"/>
      </w:pPr>
      <w:r>
        <w:t>It does not constitute legal advice, and users should take specific advice from qualified professionals before taking any action based on information in this publication.</w:t>
      </w:r>
    </w:p>
    <w:p w14:paraId="1FDBB085" w14:textId="612F0A9A" w:rsidR="004276B3" w:rsidRDefault="004276B3" w:rsidP="007A6990">
      <w:pPr>
        <w:pStyle w:val="Bullet"/>
      </w:pPr>
      <w: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4A0FA5CC" w14:textId="4095EA15" w:rsidR="004276B3" w:rsidRPr="0082483D" w:rsidRDefault="004276B3" w:rsidP="007A6990">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39F69153" w14:textId="7630F171" w:rsidR="004C579A" w:rsidRPr="00566CEE" w:rsidRDefault="00C2639B" w:rsidP="004E309B">
      <w:pPr>
        <w:pStyle w:val="Imprint"/>
        <w:spacing w:before="240" w:after="0"/>
        <w:rPr>
          <w:b/>
          <w:bCs/>
        </w:rPr>
      </w:pPr>
      <w:r w:rsidRPr="00566CEE">
        <w:rPr>
          <w:b/>
          <w:bCs/>
        </w:rPr>
        <w:t>Citati</w:t>
      </w:r>
      <w:r w:rsidR="00566CEE" w:rsidRPr="00566CEE">
        <w:rPr>
          <w:b/>
          <w:bCs/>
        </w:rPr>
        <w:t>on</w:t>
      </w:r>
    </w:p>
    <w:p w14:paraId="198F3EA4" w14:textId="48B26DEE" w:rsidR="00452EC4" w:rsidRPr="0082483D" w:rsidRDefault="00452EC4" w:rsidP="00452EC4">
      <w:pPr>
        <w:pStyle w:val="Imprint"/>
      </w:pPr>
      <w:r w:rsidRPr="0082483D">
        <w:t xml:space="preserve">This </w:t>
      </w:r>
      <w:r w:rsidR="00775F57" w:rsidRPr="0082483D">
        <w:t>document</w:t>
      </w:r>
      <w:r w:rsidRPr="0082483D">
        <w:t xml:space="preserve"> may be cited as:</w:t>
      </w:r>
      <w:r w:rsidR="00775F57" w:rsidRPr="0082483D">
        <w:t xml:space="preserve"> Ministry for the Environment. </w:t>
      </w:r>
      <w:r w:rsidR="004068CD" w:rsidRPr="0082483D">
        <w:t>202</w:t>
      </w:r>
      <w:r w:rsidR="00525814">
        <w:t>2</w:t>
      </w:r>
      <w:r w:rsidR="00775F57" w:rsidRPr="0082483D">
        <w:t xml:space="preserve">. </w:t>
      </w:r>
      <w:r w:rsidR="00492D76" w:rsidRPr="00492D76">
        <w:t>Proposed changes to the Exclusive Economic Zone and Continental Shelf (Fees and Charges) Regulations 2013</w:t>
      </w:r>
      <w:r w:rsidR="00E30DA6">
        <w:t>:</w:t>
      </w:r>
      <w:r w:rsidR="00E30DA6" w:rsidRPr="00E30DA6">
        <w:t xml:space="preserve"> </w:t>
      </w:r>
      <w:r w:rsidR="002D4F05">
        <w:t>Discussion</w:t>
      </w:r>
      <w:r w:rsidR="002D4F05">
        <w:t xml:space="preserve"> </w:t>
      </w:r>
      <w:r w:rsidR="00E30DA6">
        <w:t>document</w:t>
      </w:r>
      <w:r w:rsidR="00775F57" w:rsidRPr="0082483D">
        <w:t>. Wellington: Ministry for the Environment.</w:t>
      </w:r>
    </w:p>
    <w:p w14:paraId="5F6748C4" w14:textId="08FE6BDA" w:rsidR="00637C42" w:rsidRDefault="00637C42" w:rsidP="00452EC4">
      <w:pPr>
        <w:pStyle w:val="Imprint"/>
      </w:pPr>
    </w:p>
    <w:p w14:paraId="237C38BA" w14:textId="6F9909B0" w:rsidR="00637C42" w:rsidRDefault="00637C42" w:rsidP="00452EC4">
      <w:pPr>
        <w:pStyle w:val="Imprint"/>
      </w:pPr>
    </w:p>
    <w:p w14:paraId="624911F0" w14:textId="77777777" w:rsidR="00E16322" w:rsidRDefault="00E16322" w:rsidP="00452EC4">
      <w:pPr>
        <w:pStyle w:val="Imprint"/>
      </w:pPr>
    </w:p>
    <w:p w14:paraId="42756F3E" w14:textId="77777777" w:rsidR="00E16322" w:rsidRDefault="00E16322" w:rsidP="00452EC4">
      <w:pPr>
        <w:pStyle w:val="Imprint"/>
      </w:pPr>
    </w:p>
    <w:p w14:paraId="72B279C9" w14:textId="77777777" w:rsidR="00E16322" w:rsidRDefault="00E16322" w:rsidP="00452EC4">
      <w:pPr>
        <w:pStyle w:val="Imprint"/>
      </w:pPr>
    </w:p>
    <w:p w14:paraId="6B941947" w14:textId="77777777" w:rsidR="00E16322" w:rsidRDefault="00E16322" w:rsidP="00452EC4">
      <w:pPr>
        <w:pStyle w:val="Imprint"/>
      </w:pPr>
    </w:p>
    <w:p w14:paraId="0A23FAB0" w14:textId="4B789F15" w:rsidR="0080531E" w:rsidRPr="0082483D" w:rsidRDefault="0080531E" w:rsidP="0080531E">
      <w:pPr>
        <w:pStyle w:val="Imprint"/>
      </w:pPr>
      <w:r w:rsidRPr="0082483D">
        <w:t xml:space="preserve">Published in </w:t>
      </w:r>
      <w:r w:rsidR="37A83744" w:rsidRPr="00032E1E">
        <w:t>December</w:t>
      </w:r>
      <w:r w:rsidR="00406566">
        <w:t xml:space="preserve"> </w:t>
      </w:r>
      <w:r w:rsidR="005D3651" w:rsidRPr="0082483D">
        <w:t>20</w:t>
      </w:r>
      <w:r w:rsidR="008E6CD1" w:rsidRPr="0082483D">
        <w:t>2</w:t>
      </w:r>
      <w:r w:rsidR="00525814">
        <w:t>2</w:t>
      </w:r>
      <w:r w:rsidRPr="0082483D">
        <w:t xml:space="preserve"> by the</w:t>
      </w:r>
      <w:r w:rsidRPr="0082483D">
        <w:br/>
        <w:t xml:space="preserve">Ministry for the Environment </w:t>
      </w:r>
      <w:r w:rsidRPr="0082483D">
        <w:br/>
      </w:r>
      <w:proofErr w:type="spellStart"/>
      <w:r w:rsidRPr="0082483D">
        <w:t>Manatū</w:t>
      </w:r>
      <w:proofErr w:type="spellEnd"/>
      <w:r w:rsidRPr="0082483D">
        <w:t xml:space="preserve"> </w:t>
      </w:r>
      <w:proofErr w:type="spellStart"/>
      <w:r w:rsidRPr="0082483D">
        <w:t>Mō</w:t>
      </w:r>
      <w:proofErr w:type="spellEnd"/>
      <w:r w:rsidRPr="0082483D">
        <w:t xml:space="preserve"> </w:t>
      </w:r>
      <w:proofErr w:type="spellStart"/>
      <w:r w:rsidRPr="0082483D">
        <w:t>Te</w:t>
      </w:r>
      <w:proofErr w:type="spellEnd"/>
      <w:r w:rsidRPr="0082483D">
        <w:t xml:space="preserve"> </w:t>
      </w:r>
      <w:proofErr w:type="spellStart"/>
      <w:r w:rsidRPr="0082483D">
        <w:t>Taiao</w:t>
      </w:r>
      <w:proofErr w:type="spellEnd"/>
      <w:r w:rsidRPr="0082483D">
        <w:br/>
        <w:t>PO Box 10362, Wellington 6143, New Zealand</w:t>
      </w:r>
    </w:p>
    <w:p w14:paraId="50090FA8" w14:textId="6426C1D7" w:rsidR="0080531E" w:rsidRPr="0082483D" w:rsidRDefault="0080531E" w:rsidP="00637C42">
      <w:pPr>
        <w:pStyle w:val="Imprint"/>
      </w:pPr>
      <w:r w:rsidRPr="0082483D">
        <w:t xml:space="preserve">ISBN: </w:t>
      </w:r>
      <w:r w:rsidR="00DD7194" w:rsidRPr="00E63FBF">
        <w:rPr>
          <w:rStyle w:val="normaltextrun"/>
          <w:rFonts w:asciiTheme="minorHAnsi" w:hAnsiTheme="minorHAnsi" w:cstheme="minorHAnsi"/>
          <w:color w:val="000000"/>
          <w:bdr w:val="none" w:sz="0" w:space="0" w:color="auto" w:frame="1"/>
          <w:lang w:val="en-US"/>
        </w:rPr>
        <w:t>978-1-99-102574-6</w:t>
      </w:r>
      <w:r w:rsidR="00637C42">
        <w:br/>
      </w:r>
      <w:r w:rsidRPr="0082483D">
        <w:t xml:space="preserve">Publication number: </w:t>
      </w:r>
      <w:r w:rsidRPr="00EE4517">
        <w:t xml:space="preserve">ME </w:t>
      </w:r>
      <w:r w:rsidR="00DD7194">
        <w:t>1684</w:t>
      </w:r>
    </w:p>
    <w:p w14:paraId="06AA6DF6" w14:textId="23A5BC4F" w:rsidR="0080531E" w:rsidRPr="0082483D" w:rsidRDefault="0080531E" w:rsidP="00593E94">
      <w:pPr>
        <w:pStyle w:val="Imprint"/>
        <w:spacing w:after="80"/>
      </w:pPr>
      <w:r w:rsidRPr="0082483D">
        <w:t xml:space="preserve">© Crown copyright New Zealand </w:t>
      </w:r>
      <w:r w:rsidR="00264685" w:rsidRPr="0082483D">
        <w:t>202</w:t>
      </w:r>
      <w:r w:rsidR="00264685">
        <w:t>2</w:t>
      </w:r>
    </w:p>
    <w:p w14:paraId="5349263F" w14:textId="2B535C36" w:rsidR="00A84FE1" w:rsidRPr="0082483D" w:rsidRDefault="0080531E" w:rsidP="00A84FE1">
      <w:pPr>
        <w:pStyle w:val="Imprint"/>
        <w:spacing w:before="240" w:after="0"/>
      </w:pPr>
      <w:r w:rsidRPr="0082483D">
        <w:t>This document is available on the Ministry for</w:t>
      </w:r>
      <w:r w:rsidR="004C4E8A" w:rsidRPr="0082483D">
        <w:t xml:space="preserve"> the Environment </w:t>
      </w:r>
      <w:r w:rsidR="00CB557F" w:rsidRPr="0082483D">
        <w:t>website</w:t>
      </w:r>
      <w:r w:rsidRPr="0082483D">
        <w:t xml:space="preserve">: </w:t>
      </w:r>
      <w:hyperlink r:id="rId14" w:history="1">
        <w:r w:rsidR="004276B3" w:rsidRPr="004276B3">
          <w:rPr>
            <w:rStyle w:val="Hyperlink"/>
          </w:rPr>
          <w:t>environment</w:t>
        </w:r>
        <w:r w:rsidRPr="004276B3">
          <w:rPr>
            <w:rStyle w:val="Hyperlink"/>
          </w:rPr>
          <w:t>.govt.nz</w:t>
        </w:r>
      </w:hyperlink>
    </w:p>
    <w:p w14:paraId="384D1B59" w14:textId="69EE61C8" w:rsidR="004C579A" w:rsidRPr="004C579A" w:rsidRDefault="004C579A" w:rsidP="004C579A">
      <w:pPr>
        <w:tabs>
          <w:tab w:val="left" w:pos="3105"/>
        </w:tabs>
        <w:sectPr w:rsidR="004C579A" w:rsidRPr="004C579A" w:rsidSect="00A30F6E">
          <w:footerReference w:type="default" r:id="rId15"/>
          <w:pgSz w:w="11907" w:h="16840" w:code="9"/>
          <w:pgMar w:top="1134" w:right="1701" w:bottom="1134" w:left="1701" w:header="567" w:footer="567" w:gutter="0"/>
          <w:pgNumType w:fmt="lowerRoman"/>
          <w:cols w:space="720"/>
        </w:sectPr>
      </w:pPr>
      <w:r>
        <w:tab/>
      </w:r>
    </w:p>
    <w:p w14:paraId="011F04B8" w14:textId="77777777" w:rsidR="0080531E" w:rsidRPr="0082483D" w:rsidRDefault="0080531E" w:rsidP="00EE4517">
      <w:pPr>
        <w:pStyle w:val="Heading"/>
        <w:spacing w:after="0" w:line="240" w:lineRule="auto"/>
      </w:pPr>
      <w:r w:rsidRPr="0082483D">
        <w:lastRenderedPageBreak/>
        <w:t>Contents</w:t>
      </w:r>
    </w:p>
    <w:p w14:paraId="6F4E3FDA" w14:textId="7AF3E545" w:rsidR="00CA313E" w:rsidRDefault="00775F57">
      <w:pPr>
        <w:pStyle w:val="TOC1"/>
        <w:rPr>
          <w:rFonts w:asciiTheme="minorHAnsi" w:hAnsiTheme="minorHAnsi"/>
          <w:noProof/>
        </w:rPr>
      </w:pPr>
      <w:r w:rsidRPr="0082483D">
        <w:rPr>
          <w:color w:val="0092CF"/>
          <w:shd w:val="clear" w:color="auto" w:fill="E6E6E6"/>
        </w:rPr>
        <w:fldChar w:fldCharType="begin"/>
      </w:r>
      <w:r w:rsidRPr="0082483D">
        <w:rPr>
          <w:color w:val="0092CF"/>
        </w:rPr>
        <w:instrText xml:space="preserve"> TOC \h \z \t "Heading 1,1,Heading 2,2" </w:instrText>
      </w:r>
      <w:r w:rsidRPr="0082483D">
        <w:rPr>
          <w:color w:val="0092CF"/>
          <w:shd w:val="clear" w:color="auto" w:fill="E6E6E6"/>
        </w:rPr>
        <w:fldChar w:fldCharType="separate"/>
      </w:r>
    </w:p>
    <w:p w14:paraId="674AA760" w14:textId="4CDFAC23" w:rsidR="00CA313E" w:rsidRDefault="002D4F05" w:rsidP="00EE4517">
      <w:pPr>
        <w:pStyle w:val="TOC2"/>
        <w:spacing w:before="0"/>
        <w:ind w:hanging="1134"/>
        <w:rPr>
          <w:rFonts w:asciiTheme="minorHAnsi" w:hAnsiTheme="minorHAnsi"/>
          <w:noProof/>
        </w:rPr>
      </w:pPr>
      <w:hyperlink w:anchor="_Toc114734483" w:history="1">
        <w:r w:rsidR="00CA313E" w:rsidRPr="000920A9">
          <w:rPr>
            <w:rStyle w:val="Hyperlink"/>
            <w:noProof/>
          </w:rPr>
          <w:t>Abbreviations</w:t>
        </w:r>
        <w:r w:rsidR="00CA313E">
          <w:rPr>
            <w:noProof/>
            <w:webHidden/>
          </w:rPr>
          <w:tab/>
        </w:r>
        <w:r w:rsidR="00CA313E">
          <w:rPr>
            <w:noProof/>
            <w:webHidden/>
          </w:rPr>
          <w:fldChar w:fldCharType="begin"/>
        </w:r>
        <w:r w:rsidR="00CA313E">
          <w:rPr>
            <w:noProof/>
            <w:webHidden/>
          </w:rPr>
          <w:instrText xml:space="preserve"> PAGEREF _Toc114734483 \h </w:instrText>
        </w:r>
        <w:r w:rsidR="00CA313E">
          <w:rPr>
            <w:noProof/>
            <w:webHidden/>
          </w:rPr>
        </w:r>
        <w:r w:rsidR="00CA313E">
          <w:rPr>
            <w:noProof/>
            <w:webHidden/>
          </w:rPr>
          <w:fldChar w:fldCharType="separate"/>
        </w:r>
        <w:r w:rsidR="00E16322">
          <w:rPr>
            <w:noProof/>
            <w:webHidden/>
          </w:rPr>
          <w:t>4</w:t>
        </w:r>
        <w:r w:rsidR="00CA313E">
          <w:rPr>
            <w:noProof/>
            <w:webHidden/>
          </w:rPr>
          <w:fldChar w:fldCharType="end"/>
        </w:r>
      </w:hyperlink>
    </w:p>
    <w:p w14:paraId="3603FAF9" w14:textId="34D68A6A" w:rsidR="00CA313E" w:rsidRDefault="002D4F05">
      <w:pPr>
        <w:pStyle w:val="TOC1"/>
        <w:rPr>
          <w:rFonts w:asciiTheme="minorHAnsi" w:hAnsiTheme="minorHAnsi"/>
          <w:noProof/>
        </w:rPr>
      </w:pPr>
      <w:hyperlink w:anchor="_Toc114734484" w:history="1">
        <w:r w:rsidR="00CA313E" w:rsidRPr="000920A9">
          <w:rPr>
            <w:rStyle w:val="Hyperlink"/>
            <w:noProof/>
          </w:rPr>
          <w:t>About this consultation</w:t>
        </w:r>
        <w:r w:rsidR="00CA313E">
          <w:rPr>
            <w:noProof/>
            <w:webHidden/>
          </w:rPr>
          <w:tab/>
        </w:r>
        <w:r w:rsidR="00CA313E">
          <w:rPr>
            <w:noProof/>
            <w:webHidden/>
          </w:rPr>
          <w:fldChar w:fldCharType="begin"/>
        </w:r>
        <w:r w:rsidR="00CA313E">
          <w:rPr>
            <w:noProof/>
            <w:webHidden/>
          </w:rPr>
          <w:instrText xml:space="preserve"> PAGEREF _Toc114734484 \h </w:instrText>
        </w:r>
        <w:r w:rsidR="00CA313E">
          <w:rPr>
            <w:noProof/>
            <w:webHidden/>
          </w:rPr>
        </w:r>
        <w:r w:rsidR="00CA313E">
          <w:rPr>
            <w:noProof/>
            <w:webHidden/>
          </w:rPr>
          <w:fldChar w:fldCharType="separate"/>
        </w:r>
        <w:r w:rsidR="00E16322">
          <w:rPr>
            <w:noProof/>
            <w:webHidden/>
          </w:rPr>
          <w:t>5</w:t>
        </w:r>
        <w:r w:rsidR="00CA313E">
          <w:rPr>
            <w:noProof/>
            <w:webHidden/>
          </w:rPr>
          <w:fldChar w:fldCharType="end"/>
        </w:r>
      </w:hyperlink>
    </w:p>
    <w:p w14:paraId="646140E3" w14:textId="019EC568" w:rsidR="00CA313E" w:rsidRDefault="002D4F05">
      <w:pPr>
        <w:pStyle w:val="TOC1"/>
        <w:rPr>
          <w:rFonts w:asciiTheme="minorHAnsi" w:hAnsiTheme="minorHAnsi"/>
          <w:noProof/>
        </w:rPr>
      </w:pPr>
      <w:hyperlink w:anchor="_Toc114734490" w:history="1">
        <w:r w:rsidR="00CA313E" w:rsidRPr="000920A9">
          <w:rPr>
            <w:rStyle w:val="Hyperlink"/>
            <w:noProof/>
          </w:rPr>
          <w:t>Summary of proposals</w:t>
        </w:r>
        <w:r w:rsidR="00CA313E">
          <w:rPr>
            <w:noProof/>
            <w:webHidden/>
          </w:rPr>
          <w:tab/>
        </w:r>
        <w:r w:rsidR="00CA313E">
          <w:rPr>
            <w:noProof/>
            <w:webHidden/>
          </w:rPr>
          <w:fldChar w:fldCharType="begin"/>
        </w:r>
        <w:r w:rsidR="00CA313E">
          <w:rPr>
            <w:noProof/>
            <w:webHidden/>
          </w:rPr>
          <w:instrText xml:space="preserve"> PAGEREF _Toc114734490 \h </w:instrText>
        </w:r>
        <w:r w:rsidR="00CA313E">
          <w:rPr>
            <w:noProof/>
            <w:webHidden/>
          </w:rPr>
        </w:r>
        <w:r w:rsidR="00CA313E">
          <w:rPr>
            <w:noProof/>
            <w:webHidden/>
          </w:rPr>
          <w:fldChar w:fldCharType="separate"/>
        </w:r>
        <w:r w:rsidR="00E16322">
          <w:rPr>
            <w:noProof/>
            <w:webHidden/>
          </w:rPr>
          <w:t>7</w:t>
        </w:r>
        <w:r w:rsidR="00CA313E">
          <w:rPr>
            <w:noProof/>
            <w:webHidden/>
          </w:rPr>
          <w:fldChar w:fldCharType="end"/>
        </w:r>
      </w:hyperlink>
    </w:p>
    <w:p w14:paraId="02032188" w14:textId="1BB60060" w:rsidR="00CA313E" w:rsidRDefault="002D4F05" w:rsidP="00EE4517">
      <w:pPr>
        <w:pStyle w:val="TOC1"/>
        <w:tabs>
          <w:tab w:val="left" w:pos="567"/>
        </w:tabs>
        <w:rPr>
          <w:rFonts w:asciiTheme="minorHAnsi" w:hAnsiTheme="minorHAnsi"/>
          <w:noProof/>
        </w:rPr>
      </w:pPr>
      <w:hyperlink w:anchor="_Toc114734491" w:history="1">
        <w:r w:rsidR="00CA313E" w:rsidRPr="000920A9">
          <w:rPr>
            <w:rStyle w:val="Hyperlink"/>
            <w:noProof/>
          </w:rPr>
          <w:t xml:space="preserve">1. </w:t>
        </w:r>
        <w:r w:rsidR="00EE4517">
          <w:rPr>
            <w:rStyle w:val="Hyperlink"/>
            <w:noProof/>
          </w:rPr>
          <w:tab/>
        </w:r>
        <w:r w:rsidR="00CA313E" w:rsidRPr="000920A9">
          <w:rPr>
            <w:rStyle w:val="Hyperlink"/>
            <w:noProof/>
          </w:rPr>
          <w:t>Current arrangements for cost recovery under the EEZ Act</w:t>
        </w:r>
        <w:r w:rsidR="00CA313E">
          <w:rPr>
            <w:noProof/>
            <w:webHidden/>
          </w:rPr>
          <w:tab/>
        </w:r>
        <w:r w:rsidR="00CA313E">
          <w:rPr>
            <w:noProof/>
            <w:webHidden/>
          </w:rPr>
          <w:fldChar w:fldCharType="begin"/>
        </w:r>
        <w:r w:rsidR="00CA313E">
          <w:rPr>
            <w:noProof/>
            <w:webHidden/>
          </w:rPr>
          <w:instrText xml:space="preserve"> PAGEREF _Toc114734491 \h </w:instrText>
        </w:r>
        <w:r w:rsidR="00CA313E">
          <w:rPr>
            <w:noProof/>
            <w:webHidden/>
          </w:rPr>
        </w:r>
        <w:r w:rsidR="00CA313E">
          <w:rPr>
            <w:noProof/>
            <w:webHidden/>
          </w:rPr>
          <w:fldChar w:fldCharType="separate"/>
        </w:r>
        <w:r w:rsidR="00E16322">
          <w:rPr>
            <w:noProof/>
            <w:webHidden/>
          </w:rPr>
          <w:t>9</w:t>
        </w:r>
        <w:r w:rsidR="00CA313E">
          <w:rPr>
            <w:noProof/>
            <w:webHidden/>
          </w:rPr>
          <w:fldChar w:fldCharType="end"/>
        </w:r>
      </w:hyperlink>
    </w:p>
    <w:p w14:paraId="5FACB76A" w14:textId="5DA4FF81" w:rsidR="00CA313E" w:rsidRDefault="002D4F05" w:rsidP="00EE4517">
      <w:pPr>
        <w:pStyle w:val="TOC1"/>
        <w:tabs>
          <w:tab w:val="left" w:pos="567"/>
        </w:tabs>
        <w:rPr>
          <w:rFonts w:asciiTheme="minorHAnsi" w:hAnsiTheme="minorHAnsi"/>
          <w:noProof/>
        </w:rPr>
      </w:pPr>
      <w:hyperlink w:anchor="_Toc114734493" w:history="1">
        <w:r w:rsidR="00CA313E" w:rsidRPr="000920A9">
          <w:rPr>
            <w:rStyle w:val="Hyperlink"/>
            <w:noProof/>
          </w:rPr>
          <w:t xml:space="preserve">2. </w:t>
        </w:r>
        <w:r w:rsidR="00EE4517">
          <w:rPr>
            <w:rStyle w:val="Hyperlink"/>
            <w:noProof/>
          </w:rPr>
          <w:tab/>
        </w:r>
        <w:r w:rsidR="00CA313E" w:rsidRPr="000920A9">
          <w:rPr>
            <w:rStyle w:val="Hyperlink"/>
            <w:noProof/>
          </w:rPr>
          <w:t>Why is this review needed?</w:t>
        </w:r>
        <w:r w:rsidR="00CA313E">
          <w:rPr>
            <w:noProof/>
            <w:webHidden/>
          </w:rPr>
          <w:tab/>
        </w:r>
        <w:r w:rsidR="00CA313E">
          <w:rPr>
            <w:noProof/>
            <w:webHidden/>
          </w:rPr>
          <w:fldChar w:fldCharType="begin"/>
        </w:r>
        <w:r w:rsidR="00CA313E">
          <w:rPr>
            <w:noProof/>
            <w:webHidden/>
          </w:rPr>
          <w:instrText xml:space="preserve"> PAGEREF _Toc114734493 \h </w:instrText>
        </w:r>
        <w:r w:rsidR="00CA313E">
          <w:rPr>
            <w:noProof/>
            <w:webHidden/>
          </w:rPr>
        </w:r>
        <w:r w:rsidR="00CA313E">
          <w:rPr>
            <w:noProof/>
            <w:webHidden/>
          </w:rPr>
          <w:fldChar w:fldCharType="separate"/>
        </w:r>
        <w:r w:rsidR="00E16322">
          <w:rPr>
            <w:noProof/>
            <w:webHidden/>
          </w:rPr>
          <w:t>12</w:t>
        </w:r>
        <w:r w:rsidR="00CA313E">
          <w:rPr>
            <w:noProof/>
            <w:webHidden/>
          </w:rPr>
          <w:fldChar w:fldCharType="end"/>
        </w:r>
      </w:hyperlink>
    </w:p>
    <w:p w14:paraId="000552DA" w14:textId="31EE1BE1" w:rsidR="00CA313E" w:rsidRDefault="002D4F05" w:rsidP="00EE4517">
      <w:pPr>
        <w:pStyle w:val="TOC1"/>
        <w:tabs>
          <w:tab w:val="left" w:pos="567"/>
        </w:tabs>
        <w:rPr>
          <w:rFonts w:asciiTheme="minorHAnsi" w:hAnsiTheme="minorHAnsi"/>
          <w:noProof/>
        </w:rPr>
      </w:pPr>
      <w:hyperlink w:anchor="_Toc114734494" w:history="1">
        <w:r w:rsidR="00CA313E" w:rsidRPr="000920A9">
          <w:rPr>
            <w:rStyle w:val="Hyperlink"/>
            <w:noProof/>
          </w:rPr>
          <w:t xml:space="preserve">3. </w:t>
        </w:r>
        <w:r w:rsidR="00EE4517">
          <w:rPr>
            <w:rStyle w:val="Hyperlink"/>
            <w:noProof/>
          </w:rPr>
          <w:tab/>
        </w:r>
        <w:r w:rsidR="00CA313E" w:rsidRPr="000920A9">
          <w:rPr>
            <w:rStyle w:val="Hyperlink"/>
            <w:noProof/>
          </w:rPr>
          <w:t>What does our review involve?</w:t>
        </w:r>
        <w:r w:rsidR="00CA313E">
          <w:rPr>
            <w:noProof/>
            <w:webHidden/>
          </w:rPr>
          <w:tab/>
        </w:r>
        <w:r w:rsidR="00CA313E">
          <w:rPr>
            <w:noProof/>
            <w:webHidden/>
          </w:rPr>
          <w:fldChar w:fldCharType="begin"/>
        </w:r>
        <w:r w:rsidR="00CA313E">
          <w:rPr>
            <w:noProof/>
            <w:webHidden/>
          </w:rPr>
          <w:instrText xml:space="preserve"> PAGEREF _Toc114734494 \h </w:instrText>
        </w:r>
        <w:r w:rsidR="00CA313E">
          <w:rPr>
            <w:noProof/>
            <w:webHidden/>
          </w:rPr>
        </w:r>
        <w:r w:rsidR="00CA313E">
          <w:rPr>
            <w:noProof/>
            <w:webHidden/>
          </w:rPr>
          <w:fldChar w:fldCharType="separate"/>
        </w:r>
        <w:r w:rsidR="00E16322">
          <w:rPr>
            <w:noProof/>
            <w:webHidden/>
          </w:rPr>
          <w:t>13</w:t>
        </w:r>
        <w:r w:rsidR="00CA313E">
          <w:rPr>
            <w:noProof/>
            <w:webHidden/>
          </w:rPr>
          <w:fldChar w:fldCharType="end"/>
        </w:r>
      </w:hyperlink>
    </w:p>
    <w:p w14:paraId="6748138A" w14:textId="14C0AF07" w:rsidR="00CA313E" w:rsidRDefault="002D4F05" w:rsidP="00EE4517">
      <w:pPr>
        <w:pStyle w:val="TOC1"/>
        <w:tabs>
          <w:tab w:val="left" w:pos="567"/>
        </w:tabs>
        <w:rPr>
          <w:rFonts w:asciiTheme="minorHAnsi" w:hAnsiTheme="minorHAnsi"/>
          <w:noProof/>
        </w:rPr>
      </w:pPr>
      <w:hyperlink w:anchor="_Toc114734495" w:history="1">
        <w:r w:rsidR="00CA313E" w:rsidRPr="000920A9">
          <w:rPr>
            <w:rStyle w:val="Hyperlink"/>
            <w:noProof/>
          </w:rPr>
          <w:t xml:space="preserve">4. </w:t>
        </w:r>
        <w:r w:rsidR="00EE4517">
          <w:rPr>
            <w:rStyle w:val="Hyperlink"/>
            <w:noProof/>
          </w:rPr>
          <w:tab/>
        </w:r>
        <w:r w:rsidR="00CA313E" w:rsidRPr="000920A9">
          <w:rPr>
            <w:rStyle w:val="Hyperlink"/>
            <w:noProof/>
          </w:rPr>
          <w:t>Should the EPA keep using hourly rates?</w:t>
        </w:r>
        <w:r w:rsidR="00CA313E">
          <w:rPr>
            <w:noProof/>
            <w:webHidden/>
          </w:rPr>
          <w:tab/>
        </w:r>
        <w:r w:rsidR="00CA313E">
          <w:rPr>
            <w:noProof/>
            <w:webHidden/>
          </w:rPr>
          <w:fldChar w:fldCharType="begin"/>
        </w:r>
        <w:r w:rsidR="00CA313E">
          <w:rPr>
            <w:noProof/>
            <w:webHidden/>
          </w:rPr>
          <w:instrText xml:space="preserve"> PAGEREF _Toc114734495 \h </w:instrText>
        </w:r>
        <w:r w:rsidR="00CA313E">
          <w:rPr>
            <w:noProof/>
            <w:webHidden/>
          </w:rPr>
        </w:r>
        <w:r w:rsidR="00CA313E">
          <w:rPr>
            <w:noProof/>
            <w:webHidden/>
          </w:rPr>
          <w:fldChar w:fldCharType="separate"/>
        </w:r>
        <w:r w:rsidR="00E16322">
          <w:rPr>
            <w:noProof/>
            <w:webHidden/>
          </w:rPr>
          <w:t>15</w:t>
        </w:r>
        <w:r w:rsidR="00CA313E">
          <w:rPr>
            <w:noProof/>
            <w:webHidden/>
          </w:rPr>
          <w:fldChar w:fldCharType="end"/>
        </w:r>
      </w:hyperlink>
    </w:p>
    <w:p w14:paraId="532284A0" w14:textId="5F57A8D1" w:rsidR="00CA313E" w:rsidRDefault="002D4F05" w:rsidP="00EE4517">
      <w:pPr>
        <w:pStyle w:val="TOC1"/>
        <w:tabs>
          <w:tab w:val="left" w:pos="567"/>
        </w:tabs>
        <w:rPr>
          <w:rFonts w:asciiTheme="minorHAnsi" w:hAnsiTheme="minorHAnsi"/>
          <w:noProof/>
        </w:rPr>
      </w:pPr>
      <w:hyperlink w:anchor="_Toc114734496" w:history="1">
        <w:r w:rsidR="00CA313E" w:rsidRPr="000920A9">
          <w:rPr>
            <w:rStyle w:val="Hyperlink"/>
            <w:noProof/>
          </w:rPr>
          <w:t xml:space="preserve">5. </w:t>
        </w:r>
        <w:r w:rsidR="00EE4517">
          <w:rPr>
            <w:rStyle w:val="Hyperlink"/>
            <w:noProof/>
          </w:rPr>
          <w:tab/>
        </w:r>
        <w:r w:rsidR="00CA313E" w:rsidRPr="000920A9">
          <w:rPr>
            <w:rStyle w:val="Hyperlink"/>
            <w:noProof/>
          </w:rPr>
          <w:t>How have we set the proposed new hourly charge-out rates?</w:t>
        </w:r>
        <w:r w:rsidR="00CA313E">
          <w:rPr>
            <w:noProof/>
            <w:webHidden/>
          </w:rPr>
          <w:tab/>
        </w:r>
        <w:r w:rsidR="00CA313E">
          <w:rPr>
            <w:noProof/>
            <w:webHidden/>
          </w:rPr>
          <w:fldChar w:fldCharType="begin"/>
        </w:r>
        <w:r w:rsidR="00CA313E">
          <w:rPr>
            <w:noProof/>
            <w:webHidden/>
          </w:rPr>
          <w:instrText xml:space="preserve"> PAGEREF _Toc114734496 \h </w:instrText>
        </w:r>
        <w:r w:rsidR="00CA313E">
          <w:rPr>
            <w:noProof/>
            <w:webHidden/>
          </w:rPr>
        </w:r>
        <w:r w:rsidR="00CA313E">
          <w:rPr>
            <w:noProof/>
            <w:webHidden/>
          </w:rPr>
          <w:fldChar w:fldCharType="separate"/>
        </w:r>
        <w:r w:rsidR="00E16322">
          <w:rPr>
            <w:noProof/>
            <w:webHidden/>
          </w:rPr>
          <w:t>17</w:t>
        </w:r>
        <w:r w:rsidR="00CA313E">
          <w:rPr>
            <w:noProof/>
            <w:webHidden/>
          </w:rPr>
          <w:fldChar w:fldCharType="end"/>
        </w:r>
      </w:hyperlink>
    </w:p>
    <w:p w14:paraId="6B730E01" w14:textId="372B856F" w:rsidR="00CA313E" w:rsidRDefault="002D4F05" w:rsidP="00EE4517">
      <w:pPr>
        <w:pStyle w:val="TOC1"/>
        <w:tabs>
          <w:tab w:val="left" w:pos="567"/>
        </w:tabs>
        <w:rPr>
          <w:rFonts w:asciiTheme="minorHAnsi" w:hAnsiTheme="minorHAnsi"/>
          <w:noProof/>
        </w:rPr>
      </w:pPr>
      <w:hyperlink w:anchor="_Toc114734500" w:history="1">
        <w:r w:rsidR="00CA313E" w:rsidRPr="000920A9">
          <w:rPr>
            <w:rStyle w:val="Hyperlink"/>
            <w:noProof/>
          </w:rPr>
          <w:t xml:space="preserve">6. </w:t>
        </w:r>
        <w:r w:rsidR="00EE4517">
          <w:rPr>
            <w:rStyle w:val="Hyperlink"/>
            <w:noProof/>
          </w:rPr>
          <w:tab/>
        </w:r>
        <w:r w:rsidR="00CA313E" w:rsidRPr="000920A9">
          <w:rPr>
            <w:rStyle w:val="Hyperlink"/>
            <w:noProof/>
          </w:rPr>
          <w:t xml:space="preserve">How will changes to the rates affect </w:t>
        </w:r>
        <w:r w:rsidR="000855AE">
          <w:rPr>
            <w:rStyle w:val="Hyperlink"/>
            <w:noProof/>
          </w:rPr>
          <w:t>users</w:t>
        </w:r>
        <w:r w:rsidR="00CA313E" w:rsidRPr="000920A9">
          <w:rPr>
            <w:rStyle w:val="Hyperlink"/>
            <w:noProof/>
          </w:rPr>
          <w:t>?</w:t>
        </w:r>
        <w:r w:rsidR="00CA313E">
          <w:rPr>
            <w:noProof/>
            <w:webHidden/>
          </w:rPr>
          <w:tab/>
        </w:r>
        <w:r w:rsidR="00CA313E">
          <w:rPr>
            <w:noProof/>
            <w:webHidden/>
          </w:rPr>
          <w:fldChar w:fldCharType="begin"/>
        </w:r>
        <w:r w:rsidR="00CA313E">
          <w:rPr>
            <w:noProof/>
            <w:webHidden/>
          </w:rPr>
          <w:instrText xml:space="preserve"> PAGEREF _Toc114734500 \h </w:instrText>
        </w:r>
        <w:r w:rsidR="00CA313E">
          <w:rPr>
            <w:noProof/>
            <w:webHidden/>
          </w:rPr>
        </w:r>
        <w:r w:rsidR="00CA313E">
          <w:rPr>
            <w:noProof/>
            <w:webHidden/>
          </w:rPr>
          <w:fldChar w:fldCharType="separate"/>
        </w:r>
        <w:r w:rsidR="00E16322">
          <w:rPr>
            <w:noProof/>
            <w:webHidden/>
          </w:rPr>
          <w:t>25</w:t>
        </w:r>
        <w:r w:rsidR="00CA313E">
          <w:rPr>
            <w:noProof/>
            <w:webHidden/>
          </w:rPr>
          <w:fldChar w:fldCharType="end"/>
        </w:r>
      </w:hyperlink>
    </w:p>
    <w:p w14:paraId="37ED22A4" w14:textId="22547117" w:rsidR="00CA313E" w:rsidRDefault="002D4F05" w:rsidP="00EE4517">
      <w:pPr>
        <w:pStyle w:val="TOC1"/>
        <w:tabs>
          <w:tab w:val="left" w:pos="567"/>
        </w:tabs>
        <w:rPr>
          <w:rFonts w:asciiTheme="minorHAnsi" w:hAnsiTheme="minorHAnsi"/>
          <w:noProof/>
        </w:rPr>
      </w:pPr>
      <w:hyperlink w:anchor="_Toc114734501" w:history="1">
        <w:r w:rsidR="00CA313E" w:rsidRPr="000920A9">
          <w:rPr>
            <w:rStyle w:val="Hyperlink"/>
            <w:noProof/>
          </w:rPr>
          <w:t xml:space="preserve">7. </w:t>
        </w:r>
        <w:r w:rsidR="00EE4517">
          <w:rPr>
            <w:rStyle w:val="Hyperlink"/>
            <w:noProof/>
          </w:rPr>
          <w:tab/>
        </w:r>
        <w:r w:rsidR="00CA313E" w:rsidRPr="000920A9">
          <w:rPr>
            <w:rStyle w:val="Hyperlink"/>
            <w:noProof/>
          </w:rPr>
          <w:t>Implementing and reviewing the proposed changes</w:t>
        </w:r>
        <w:r w:rsidR="00CA313E">
          <w:rPr>
            <w:noProof/>
            <w:webHidden/>
          </w:rPr>
          <w:tab/>
        </w:r>
        <w:r w:rsidR="00CA313E">
          <w:rPr>
            <w:noProof/>
            <w:webHidden/>
          </w:rPr>
          <w:fldChar w:fldCharType="begin"/>
        </w:r>
        <w:r w:rsidR="00CA313E">
          <w:rPr>
            <w:noProof/>
            <w:webHidden/>
          </w:rPr>
          <w:instrText xml:space="preserve"> PAGEREF _Toc114734501 \h </w:instrText>
        </w:r>
        <w:r w:rsidR="00CA313E">
          <w:rPr>
            <w:noProof/>
            <w:webHidden/>
          </w:rPr>
        </w:r>
        <w:r w:rsidR="00CA313E">
          <w:rPr>
            <w:noProof/>
            <w:webHidden/>
          </w:rPr>
          <w:fldChar w:fldCharType="separate"/>
        </w:r>
        <w:r w:rsidR="00E16322">
          <w:rPr>
            <w:noProof/>
            <w:webHidden/>
          </w:rPr>
          <w:t>26</w:t>
        </w:r>
        <w:r w:rsidR="00CA313E">
          <w:rPr>
            <w:noProof/>
            <w:webHidden/>
          </w:rPr>
          <w:fldChar w:fldCharType="end"/>
        </w:r>
      </w:hyperlink>
    </w:p>
    <w:p w14:paraId="75C5B62A" w14:textId="14337D8C" w:rsidR="00CA313E" w:rsidRDefault="002D4F05">
      <w:pPr>
        <w:pStyle w:val="TOC1"/>
        <w:rPr>
          <w:rFonts w:asciiTheme="minorHAnsi" w:hAnsiTheme="minorHAnsi"/>
          <w:noProof/>
        </w:rPr>
      </w:pPr>
      <w:hyperlink w:anchor="_Toc114734504" w:history="1">
        <w:r w:rsidR="00CA313E" w:rsidRPr="000920A9">
          <w:rPr>
            <w:rStyle w:val="Hyperlink"/>
            <w:noProof/>
          </w:rPr>
          <w:t>Appendix 1: List of consultation questions</w:t>
        </w:r>
        <w:r w:rsidR="00CA313E">
          <w:rPr>
            <w:noProof/>
            <w:webHidden/>
          </w:rPr>
          <w:tab/>
        </w:r>
        <w:r w:rsidR="00CA313E">
          <w:rPr>
            <w:noProof/>
            <w:webHidden/>
          </w:rPr>
          <w:fldChar w:fldCharType="begin"/>
        </w:r>
        <w:r w:rsidR="00CA313E">
          <w:rPr>
            <w:noProof/>
            <w:webHidden/>
          </w:rPr>
          <w:instrText xml:space="preserve"> PAGEREF _Toc114734504 \h </w:instrText>
        </w:r>
        <w:r w:rsidR="00CA313E">
          <w:rPr>
            <w:noProof/>
            <w:webHidden/>
          </w:rPr>
        </w:r>
        <w:r w:rsidR="00CA313E">
          <w:rPr>
            <w:noProof/>
            <w:webHidden/>
          </w:rPr>
          <w:fldChar w:fldCharType="separate"/>
        </w:r>
        <w:r w:rsidR="00E16322">
          <w:rPr>
            <w:noProof/>
            <w:webHidden/>
          </w:rPr>
          <w:t>27</w:t>
        </w:r>
        <w:r w:rsidR="00CA313E">
          <w:rPr>
            <w:noProof/>
            <w:webHidden/>
          </w:rPr>
          <w:fldChar w:fldCharType="end"/>
        </w:r>
      </w:hyperlink>
    </w:p>
    <w:p w14:paraId="3CEA529C" w14:textId="1FFBB6F0" w:rsidR="00CA313E" w:rsidRDefault="002D4F05">
      <w:pPr>
        <w:pStyle w:val="TOC1"/>
        <w:rPr>
          <w:rFonts w:asciiTheme="minorHAnsi" w:hAnsiTheme="minorHAnsi"/>
          <w:noProof/>
        </w:rPr>
      </w:pPr>
      <w:hyperlink w:anchor="_Toc114734505" w:history="1">
        <w:r w:rsidR="00CA313E" w:rsidRPr="000920A9">
          <w:rPr>
            <w:rStyle w:val="Hyperlink"/>
            <w:noProof/>
          </w:rPr>
          <w:t>Appendix 2: Background information on the current EEZ Fees Regulations</w:t>
        </w:r>
        <w:r w:rsidR="00CA313E">
          <w:rPr>
            <w:noProof/>
            <w:webHidden/>
          </w:rPr>
          <w:tab/>
        </w:r>
        <w:r w:rsidR="00CA313E">
          <w:rPr>
            <w:noProof/>
            <w:webHidden/>
          </w:rPr>
          <w:fldChar w:fldCharType="begin"/>
        </w:r>
        <w:r w:rsidR="00CA313E">
          <w:rPr>
            <w:noProof/>
            <w:webHidden/>
          </w:rPr>
          <w:instrText xml:space="preserve"> PAGEREF _Toc114734505 \h </w:instrText>
        </w:r>
        <w:r w:rsidR="00CA313E">
          <w:rPr>
            <w:noProof/>
            <w:webHidden/>
          </w:rPr>
        </w:r>
        <w:r w:rsidR="00CA313E">
          <w:rPr>
            <w:noProof/>
            <w:webHidden/>
          </w:rPr>
          <w:fldChar w:fldCharType="separate"/>
        </w:r>
        <w:r w:rsidR="00E16322">
          <w:rPr>
            <w:noProof/>
            <w:webHidden/>
          </w:rPr>
          <w:t>29</w:t>
        </w:r>
        <w:r w:rsidR="00CA313E">
          <w:rPr>
            <w:noProof/>
            <w:webHidden/>
          </w:rPr>
          <w:fldChar w:fldCharType="end"/>
        </w:r>
      </w:hyperlink>
    </w:p>
    <w:p w14:paraId="046FED23" w14:textId="5DB23212" w:rsidR="00CA313E" w:rsidRDefault="002D4F05">
      <w:pPr>
        <w:pStyle w:val="TOC1"/>
        <w:rPr>
          <w:rFonts w:asciiTheme="minorHAnsi" w:hAnsiTheme="minorHAnsi"/>
          <w:noProof/>
        </w:rPr>
      </w:pPr>
      <w:hyperlink w:anchor="_Toc114734506" w:history="1">
        <w:r w:rsidR="00CA313E" w:rsidRPr="000920A9">
          <w:rPr>
            <w:rStyle w:val="Hyperlink"/>
            <w:noProof/>
          </w:rPr>
          <w:t xml:space="preserve">Appendix 3: Estimates and case studies of impact on </w:t>
        </w:r>
        <w:r w:rsidR="006F342D">
          <w:rPr>
            <w:rStyle w:val="Hyperlink"/>
            <w:noProof/>
          </w:rPr>
          <w:t>applicants and duty holders</w:t>
        </w:r>
        <w:r w:rsidR="00CA313E">
          <w:rPr>
            <w:noProof/>
            <w:webHidden/>
          </w:rPr>
          <w:tab/>
        </w:r>
        <w:r w:rsidR="00CA313E">
          <w:rPr>
            <w:noProof/>
            <w:webHidden/>
          </w:rPr>
          <w:fldChar w:fldCharType="begin"/>
        </w:r>
        <w:r w:rsidR="00CA313E">
          <w:rPr>
            <w:noProof/>
            <w:webHidden/>
          </w:rPr>
          <w:instrText xml:space="preserve"> PAGEREF _Toc114734506 \h </w:instrText>
        </w:r>
        <w:r w:rsidR="00CA313E">
          <w:rPr>
            <w:noProof/>
            <w:webHidden/>
          </w:rPr>
        </w:r>
        <w:r w:rsidR="00CA313E">
          <w:rPr>
            <w:noProof/>
            <w:webHidden/>
          </w:rPr>
          <w:fldChar w:fldCharType="separate"/>
        </w:r>
        <w:r w:rsidR="00E16322">
          <w:rPr>
            <w:noProof/>
            <w:webHidden/>
          </w:rPr>
          <w:t>30</w:t>
        </w:r>
        <w:r w:rsidR="00CA313E">
          <w:rPr>
            <w:noProof/>
            <w:webHidden/>
          </w:rPr>
          <w:fldChar w:fldCharType="end"/>
        </w:r>
      </w:hyperlink>
    </w:p>
    <w:p w14:paraId="46DAEAE5" w14:textId="0DD44020" w:rsidR="00CA313E" w:rsidRDefault="002D4F05">
      <w:pPr>
        <w:pStyle w:val="TOC1"/>
        <w:rPr>
          <w:rFonts w:asciiTheme="minorHAnsi" w:hAnsiTheme="minorHAnsi"/>
          <w:noProof/>
        </w:rPr>
      </w:pPr>
      <w:hyperlink w:anchor="_Toc114734509" w:history="1">
        <w:r w:rsidR="00CA313E" w:rsidRPr="000920A9">
          <w:rPr>
            <w:rStyle w:val="Hyperlink"/>
            <w:noProof/>
          </w:rPr>
          <w:t>References</w:t>
        </w:r>
        <w:r w:rsidR="00CA313E">
          <w:rPr>
            <w:noProof/>
            <w:webHidden/>
          </w:rPr>
          <w:tab/>
        </w:r>
        <w:r w:rsidR="00CA313E">
          <w:rPr>
            <w:noProof/>
            <w:webHidden/>
          </w:rPr>
          <w:fldChar w:fldCharType="begin"/>
        </w:r>
        <w:r w:rsidR="00CA313E">
          <w:rPr>
            <w:noProof/>
            <w:webHidden/>
          </w:rPr>
          <w:instrText xml:space="preserve"> PAGEREF _Toc114734509 \h </w:instrText>
        </w:r>
        <w:r w:rsidR="00CA313E">
          <w:rPr>
            <w:noProof/>
            <w:webHidden/>
          </w:rPr>
        </w:r>
        <w:r w:rsidR="00CA313E">
          <w:rPr>
            <w:noProof/>
            <w:webHidden/>
          </w:rPr>
          <w:fldChar w:fldCharType="separate"/>
        </w:r>
        <w:r w:rsidR="00E16322">
          <w:rPr>
            <w:noProof/>
            <w:webHidden/>
          </w:rPr>
          <w:t>32</w:t>
        </w:r>
        <w:r w:rsidR="00CA313E">
          <w:rPr>
            <w:noProof/>
            <w:webHidden/>
          </w:rPr>
          <w:fldChar w:fldCharType="end"/>
        </w:r>
      </w:hyperlink>
    </w:p>
    <w:p w14:paraId="30282127" w14:textId="4FADD9C8" w:rsidR="00796A6F" w:rsidRPr="0082483D" w:rsidRDefault="00775F57" w:rsidP="00D43B89">
      <w:pPr>
        <w:pStyle w:val="Glossary"/>
      </w:pPr>
      <w:r w:rsidRPr="0082483D">
        <w:rPr>
          <w:color w:val="0092CF"/>
          <w:shd w:val="clear" w:color="auto" w:fill="E6E6E6"/>
        </w:rPr>
        <w:fldChar w:fldCharType="end"/>
      </w:r>
      <w:r w:rsidR="00796A6F" w:rsidRPr="0082483D">
        <w:br w:type="page"/>
      </w:r>
    </w:p>
    <w:p w14:paraId="0E8CA75E" w14:textId="77777777" w:rsidR="00532334" w:rsidRPr="00E63FBF" w:rsidRDefault="00532334" w:rsidP="00E63FBF">
      <w:pPr>
        <w:pStyle w:val="Heading2"/>
        <w:spacing w:after="240"/>
        <w:rPr>
          <w:sz w:val="48"/>
          <w:szCs w:val="48"/>
        </w:rPr>
      </w:pPr>
      <w:bookmarkStart w:id="0" w:name="_Toc114734482"/>
      <w:r w:rsidRPr="00E63FBF">
        <w:rPr>
          <w:sz w:val="48"/>
          <w:szCs w:val="48"/>
        </w:rPr>
        <w:lastRenderedPageBreak/>
        <w:t>Tables</w:t>
      </w:r>
      <w:bookmarkEnd w:id="0"/>
    </w:p>
    <w:p w14:paraId="74A458D2" w14:textId="1DC78DC8" w:rsidR="006F342D" w:rsidRDefault="000B67CB">
      <w:pPr>
        <w:pStyle w:val="TableofFigures"/>
        <w:tabs>
          <w:tab w:val="right" w:pos="8495"/>
        </w:tabs>
        <w:rPr>
          <w:rFonts w:asciiTheme="minorHAnsi" w:hAnsiTheme="minorHAnsi"/>
          <w:noProof/>
        </w:rPr>
      </w:pPr>
      <w:r>
        <w:fldChar w:fldCharType="begin"/>
      </w:r>
      <w:r>
        <w:instrText xml:space="preserve"> TOC \h \z \c "Table" </w:instrText>
      </w:r>
      <w:r>
        <w:fldChar w:fldCharType="separate"/>
      </w:r>
      <w:hyperlink w:anchor="_Toc115682238" w:history="1">
        <w:r w:rsidR="006F342D" w:rsidRPr="009165A0">
          <w:rPr>
            <w:rStyle w:val="Hyperlink"/>
            <w:noProof/>
          </w:rPr>
          <w:t xml:space="preserve">Table 1: </w:t>
        </w:r>
        <w:r w:rsidR="006F342D">
          <w:rPr>
            <w:rFonts w:asciiTheme="minorHAnsi" w:hAnsiTheme="minorHAnsi"/>
            <w:noProof/>
          </w:rPr>
          <w:tab/>
        </w:r>
        <w:r w:rsidR="006F342D" w:rsidRPr="009165A0">
          <w:rPr>
            <w:rStyle w:val="Hyperlink"/>
            <w:noProof/>
          </w:rPr>
          <w:t>Current charge-out rates in the EEZ Fees Regulations</w:t>
        </w:r>
        <w:r w:rsidR="006F342D">
          <w:rPr>
            <w:noProof/>
            <w:webHidden/>
          </w:rPr>
          <w:tab/>
        </w:r>
        <w:r w:rsidR="006F342D">
          <w:rPr>
            <w:noProof/>
            <w:webHidden/>
          </w:rPr>
          <w:fldChar w:fldCharType="begin"/>
        </w:r>
        <w:r w:rsidR="006F342D">
          <w:rPr>
            <w:noProof/>
            <w:webHidden/>
          </w:rPr>
          <w:instrText xml:space="preserve"> PAGEREF _Toc115682238 \h </w:instrText>
        </w:r>
        <w:r w:rsidR="006F342D">
          <w:rPr>
            <w:noProof/>
            <w:webHidden/>
          </w:rPr>
        </w:r>
        <w:r w:rsidR="006F342D">
          <w:rPr>
            <w:noProof/>
            <w:webHidden/>
          </w:rPr>
          <w:fldChar w:fldCharType="separate"/>
        </w:r>
        <w:r w:rsidR="00E16322">
          <w:rPr>
            <w:noProof/>
            <w:webHidden/>
          </w:rPr>
          <w:t>8</w:t>
        </w:r>
        <w:r w:rsidR="006F342D">
          <w:rPr>
            <w:noProof/>
            <w:webHidden/>
          </w:rPr>
          <w:fldChar w:fldCharType="end"/>
        </w:r>
      </w:hyperlink>
    </w:p>
    <w:p w14:paraId="5FF0609B" w14:textId="2F5761A2" w:rsidR="006F342D" w:rsidRDefault="002D4F05">
      <w:pPr>
        <w:pStyle w:val="TableofFigures"/>
        <w:tabs>
          <w:tab w:val="right" w:pos="8495"/>
        </w:tabs>
        <w:rPr>
          <w:rFonts w:asciiTheme="minorHAnsi" w:hAnsiTheme="minorHAnsi"/>
          <w:noProof/>
        </w:rPr>
      </w:pPr>
      <w:hyperlink w:anchor="_Toc115682239" w:history="1">
        <w:r w:rsidR="006F342D" w:rsidRPr="009165A0">
          <w:rPr>
            <w:rStyle w:val="Hyperlink"/>
            <w:noProof/>
          </w:rPr>
          <w:t xml:space="preserve">Table 2: </w:t>
        </w:r>
        <w:r w:rsidR="006F342D">
          <w:rPr>
            <w:rFonts w:asciiTheme="minorHAnsi" w:hAnsiTheme="minorHAnsi"/>
            <w:noProof/>
          </w:rPr>
          <w:tab/>
        </w:r>
        <w:r w:rsidR="006F342D" w:rsidRPr="009165A0">
          <w:rPr>
            <w:rStyle w:val="Hyperlink"/>
            <w:noProof/>
          </w:rPr>
          <w:t>Proposed new hourly charge-out rates (ex GST)</w:t>
        </w:r>
        <w:r w:rsidR="006F342D">
          <w:rPr>
            <w:noProof/>
            <w:webHidden/>
          </w:rPr>
          <w:tab/>
        </w:r>
        <w:r w:rsidR="006F342D">
          <w:rPr>
            <w:noProof/>
            <w:webHidden/>
          </w:rPr>
          <w:fldChar w:fldCharType="begin"/>
        </w:r>
        <w:r w:rsidR="006F342D">
          <w:rPr>
            <w:noProof/>
            <w:webHidden/>
          </w:rPr>
          <w:instrText xml:space="preserve"> PAGEREF _Toc115682239 \h </w:instrText>
        </w:r>
        <w:r w:rsidR="006F342D">
          <w:rPr>
            <w:noProof/>
            <w:webHidden/>
          </w:rPr>
        </w:r>
        <w:r w:rsidR="006F342D">
          <w:rPr>
            <w:noProof/>
            <w:webHidden/>
          </w:rPr>
          <w:fldChar w:fldCharType="separate"/>
        </w:r>
        <w:r w:rsidR="00E16322">
          <w:rPr>
            <w:noProof/>
            <w:webHidden/>
          </w:rPr>
          <w:t>8</w:t>
        </w:r>
        <w:r w:rsidR="006F342D">
          <w:rPr>
            <w:noProof/>
            <w:webHidden/>
          </w:rPr>
          <w:fldChar w:fldCharType="end"/>
        </w:r>
      </w:hyperlink>
    </w:p>
    <w:p w14:paraId="23B6FEF0" w14:textId="43C2AB81" w:rsidR="006F342D" w:rsidRDefault="002D4F05">
      <w:pPr>
        <w:pStyle w:val="TableofFigures"/>
        <w:tabs>
          <w:tab w:val="right" w:pos="8495"/>
        </w:tabs>
        <w:rPr>
          <w:rFonts w:asciiTheme="minorHAnsi" w:hAnsiTheme="minorHAnsi"/>
          <w:noProof/>
        </w:rPr>
      </w:pPr>
      <w:hyperlink w:anchor="_Toc115682240" w:history="1">
        <w:r w:rsidR="006F342D" w:rsidRPr="009165A0">
          <w:rPr>
            <w:rStyle w:val="Hyperlink"/>
            <w:noProof/>
          </w:rPr>
          <w:t xml:space="preserve">Table 3: </w:t>
        </w:r>
        <w:r w:rsidR="006F342D">
          <w:rPr>
            <w:rFonts w:asciiTheme="minorHAnsi" w:hAnsiTheme="minorHAnsi"/>
            <w:noProof/>
          </w:rPr>
          <w:tab/>
        </w:r>
        <w:r w:rsidR="006F342D" w:rsidRPr="009165A0">
          <w:rPr>
            <w:rStyle w:val="Hyperlink"/>
            <w:noProof/>
          </w:rPr>
          <w:t>EPA EEZ functions and services – cost-recovery categories</w:t>
        </w:r>
        <w:r w:rsidR="006F342D">
          <w:rPr>
            <w:noProof/>
            <w:webHidden/>
          </w:rPr>
          <w:tab/>
        </w:r>
        <w:r w:rsidR="006F342D">
          <w:rPr>
            <w:noProof/>
            <w:webHidden/>
          </w:rPr>
          <w:fldChar w:fldCharType="begin"/>
        </w:r>
        <w:r w:rsidR="006F342D">
          <w:rPr>
            <w:noProof/>
            <w:webHidden/>
          </w:rPr>
          <w:instrText xml:space="preserve"> PAGEREF _Toc115682240 \h </w:instrText>
        </w:r>
        <w:r w:rsidR="006F342D">
          <w:rPr>
            <w:noProof/>
            <w:webHidden/>
          </w:rPr>
        </w:r>
        <w:r w:rsidR="006F342D">
          <w:rPr>
            <w:noProof/>
            <w:webHidden/>
          </w:rPr>
          <w:fldChar w:fldCharType="separate"/>
        </w:r>
        <w:r w:rsidR="00E16322">
          <w:rPr>
            <w:noProof/>
            <w:webHidden/>
          </w:rPr>
          <w:t>10</w:t>
        </w:r>
        <w:r w:rsidR="006F342D">
          <w:rPr>
            <w:noProof/>
            <w:webHidden/>
          </w:rPr>
          <w:fldChar w:fldCharType="end"/>
        </w:r>
      </w:hyperlink>
    </w:p>
    <w:p w14:paraId="3E5F14DB" w14:textId="6F68F79E" w:rsidR="006F342D" w:rsidRDefault="002D4F05">
      <w:pPr>
        <w:pStyle w:val="TableofFigures"/>
        <w:tabs>
          <w:tab w:val="right" w:pos="8495"/>
        </w:tabs>
        <w:rPr>
          <w:rFonts w:asciiTheme="minorHAnsi" w:hAnsiTheme="minorHAnsi"/>
          <w:noProof/>
        </w:rPr>
      </w:pPr>
      <w:hyperlink w:anchor="_Toc115682241" w:history="1">
        <w:r w:rsidR="006F342D" w:rsidRPr="009165A0">
          <w:rPr>
            <w:rStyle w:val="Hyperlink"/>
            <w:noProof/>
          </w:rPr>
          <w:t xml:space="preserve">Table 4: </w:t>
        </w:r>
        <w:r w:rsidR="006F342D">
          <w:rPr>
            <w:rFonts w:asciiTheme="minorHAnsi" w:hAnsiTheme="minorHAnsi"/>
            <w:noProof/>
          </w:rPr>
          <w:tab/>
        </w:r>
        <w:r w:rsidR="006F342D" w:rsidRPr="009165A0">
          <w:rPr>
            <w:rStyle w:val="Hyperlink"/>
            <w:noProof/>
          </w:rPr>
          <w:t>Current Fee Regulations cost recovery hourly charge-out rates</w:t>
        </w:r>
        <w:r w:rsidR="006F342D">
          <w:rPr>
            <w:noProof/>
            <w:webHidden/>
          </w:rPr>
          <w:tab/>
        </w:r>
        <w:r w:rsidR="006F342D">
          <w:rPr>
            <w:noProof/>
            <w:webHidden/>
          </w:rPr>
          <w:fldChar w:fldCharType="begin"/>
        </w:r>
        <w:r w:rsidR="006F342D">
          <w:rPr>
            <w:noProof/>
            <w:webHidden/>
          </w:rPr>
          <w:instrText xml:space="preserve"> PAGEREF _Toc115682241 \h </w:instrText>
        </w:r>
        <w:r w:rsidR="006F342D">
          <w:rPr>
            <w:noProof/>
            <w:webHidden/>
          </w:rPr>
        </w:r>
        <w:r w:rsidR="006F342D">
          <w:rPr>
            <w:noProof/>
            <w:webHidden/>
          </w:rPr>
          <w:fldChar w:fldCharType="separate"/>
        </w:r>
        <w:r w:rsidR="00E16322">
          <w:rPr>
            <w:noProof/>
            <w:webHidden/>
          </w:rPr>
          <w:t>11</w:t>
        </w:r>
        <w:r w:rsidR="006F342D">
          <w:rPr>
            <w:noProof/>
            <w:webHidden/>
          </w:rPr>
          <w:fldChar w:fldCharType="end"/>
        </w:r>
      </w:hyperlink>
    </w:p>
    <w:p w14:paraId="60AFDCF7" w14:textId="59F71753" w:rsidR="006F342D" w:rsidRDefault="002D4F05">
      <w:pPr>
        <w:pStyle w:val="TableofFigures"/>
        <w:tabs>
          <w:tab w:val="right" w:pos="8495"/>
        </w:tabs>
        <w:rPr>
          <w:rFonts w:asciiTheme="minorHAnsi" w:hAnsiTheme="minorHAnsi"/>
          <w:noProof/>
        </w:rPr>
      </w:pPr>
      <w:hyperlink w:anchor="_Toc115682242" w:history="1">
        <w:r w:rsidR="006F342D" w:rsidRPr="009165A0">
          <w:rPr>
            <w:rStyle w:val="Hyperlink"/>
            <w:noProof/>
          </w:rPr>
          <w:t xml:space="preserve">Table 5: </w:t>
        </w:r>
        <w:r w:rsidR="006F342D">
          <w:rPr>
            <w:rFonts w:asciiTheme="minorHAnsi" w:hAnsiTheme="minorHAnsi"/>
            <w:noProof/>
          </w:rPr>
          <w:tab/>
        </w:r>
        <w:r w:rsidR="006F342D" w:rsidRPr="009165A0">
          <w:rPr>
            <w:rStyle w:val="Hyperlink"/>
            <w:noProof/>
          </w:rPr>
          <w:t>Proposed charge-out rates and staff categories (ex GST)</w:t>
        </w:r>
        <w:r w:rsidR="006F342D">
          <w:rPr>
            <w:noProof/>
            <w:webHidden/>
          </w:rPr>
          <w:tab/>
        </w:r>
        <w:r w:rsidR="006F342D">
          <w:rPr>
            <w:noProof/>
            <w:webHidden/>
          </w:rPr>
          <w:fldChar w:fldCharType="begin"/>
        </w:r>
        <w:r w:rsidR="006F342D">
          <w:rPr>
            <w:noProof/>
            <w:webHidden/>
          </w:rPr>
          <w:instrText xml:space="preserve"> PAGEREF _Toc115682242 \h </w:instrText>
        </w:r>
        <w:r w:rsidR="006F342D">
          <w:rPr>
            <w:noProof/>
            <w:webHidden/>
          </w:rPr>
        </w:r>
        <w:r w:rsidR="006F342D">
          <w:rPr>
            <w:noProof/>
            <w:webHidden/>
          </w:rPr>
          <w:fldChar w:fldCharType="separate"/>
        </w:r>
        <w:r w:rsidR="00E16322">
          <w:rPr>
            <w:noProof/>
            <w:webHidden/>
          </w:rPr>
          <w:t>17</w:t>
        </w:r>
        <w:r w:rsidR="006F342D">
          <w:rPr>
            <w:noProof/>
            <w:webHidden/>
          </w:rPr>
          <w:fldChar w:fldCharType="end"/>
        </w:r>
      </w:hyperlink>
    </w:p>
    <w:p w14:paraId="55BCCD8A" w14:textId="38020B0D" w:rsidR="006F342D" w:rsidRDefault="002D4F05">
      <w:pPr>
        <w:pStyle w:val="TableofFigures"/>
        <w:tabs>
          <w:tab w:val="right" w:pos="8495"/>
        </w:tabs>
        <w:rPr>
          <w:rFonts w:asciiTheme="minorHAnsi" w:hAnsiTheme="minorHAnsi"/>
          <w:noProof/>
        </w:rPr>
      </w:pPr>
      <w:hyperlink w:anchor="_Toc115682243" w:history="1">
        <w:r w:rsidR="006F342D" w:rsidRPr="009165A0">
          <w:rPr>
            <w:rStyle w:val="Hyperlink"/>
            <w:noProof/>
          </w:rPr>
          <w:t xml:space="preserve">Table 6: </w:t>
        </w:r>
        <w:r w:rsidR="006F342D">
          <w:rPr>
            <w:rFonts w:asciiTheme="minorHAnsi" w:hAnsiTheme="minorHAnsi"/>
            <w:noProof/>
          </w:rPr>
          <w:tab/>
        </w:r>
        <w:r w:rsidR="006F342D" w:rsidRPr="009165A0">
          <w:rPr>
            <w:rStyle w:val="Hyperlink"/>
            <w:noProof/>
          </w:rPr>
          <w:t xml:space="preserve">Comparison of 2023/24 rates vs current hourly rates and staff categories </w:t>
        </w:r>
        <w:r w:rsidR="003403C8">
          <w:rPr>
            <w:rStyle w:val="Hyperlink"/>
            <w:noProof/>
          </w:rPr>
          <w:t>(ex GST)</w:t>
        </w:r>
        <w:r w:rsidR="006F342D">
          <w:rPr>
            <w:noProof/>
            <w:webHidden/>
          </w:rPr>
          <w:tab/>
        </w:r>
        <w:r w:rsidR="006F342D">
          <w:rPr>
            <w:noProof/>
            <w:webHidden/>
          </w:rPr>
          <w:fldChar w:fldCharType="begin"/>
        </w:r>
        <w:r w:rsidR="006F342D">
          <w:rPr>
            <w:noProof/>
            <w:webHidden/>
          </w:rPr>
          <w:instrText xml:space="preserve"> PAGEREF _Toc115682243 \h </w:instrText>
        </w:r>
        <w:r w:rsidR="006F342D">
          <w:rPr>
            <w:noProof/>
            <w:webHidden/>
          </w:rPr>
        </w:r>
        <w:r w:rsidR="006F342D">
          <w:rPr>
            <w:noProof/>
            <w:webHidden/>
          </w:rPr>
          <w:fldChar w:fldCharType="separate"/>
        </w:r>
        <w:r w:rsidR="00E16322">
          <w:rPr>
            <w:noProof/>
            <w:webHidden/>
          </w:rPr>
          <w:t>18</w:t>
        </w:r>
        <w:r w:rsidR="006F342D">
          <w:rPr>
            <w:noProof/>
            <w:webHidden/>
          </w:rPr>
          <w:fldChar w:fldCharType="end"/>
        </w:r>
      </w:hyperlink>
    </w:p>
    <w:p w14:paraId="472610DB" w14:textId="4B25E6D5" w:rsidR="006F342D" w:rsidRDefault="002D4F05">
      <w:pPr>
        <w:pStyle w:val="TableofFigures"/>
        <w:tabs>
          <w:tab w:val="right" w:pos="8495"/>
        </w:tabs>
        <w:rPr>
          <w:rFonts w:asciiTheme="minorHAnsi" w:hAnsiTheme="minorHAnsi"/>
          <w:noProof/>
        </w:rPr>
      </w:pPr>
      <w:hyperlink w:anchor="_Toc115682244" w:history="1">
        <w:r w:rsidR="006F342D" w:rsidRPr="009165A0">
          <w:rPr>
            <w:rStyle w:val="Hyperlink"/>
            <w:noProof/>
          </w:rPr>
          <w:t xml:space="preserve">Table 7: </w:t>
        </w:r>
        <w:r w:rsidR="006F342D">
          <w:rPr>
            <w:rFonts w:asciiTheme="minorHAnsi" w:hAnsiTheme="minorHAnsi"/>
            <w:noProof/>
          </w:rPr>
          <w:tab/>
        </w:r>
        <w:r w:rsidR="006F342D" w:rsidRPr="009165A0">
          <w:rPr>
            <w:rStyle w:val="Hyperlink"/>
            <w:noProof/>
          </w:rPr>
          <w:t>Business NZ Labour cost index forecast March 2022</w:t>
        </w:r>
        <w:r w:rsidR="006F342D">
          <w:rPr>
            <w:noProof/>
            <w:webHidden/>
          </w:rPr>
          <w:tab/>
        </w:r>
        <w:r w:rsidR="006F342D">
          <w:rPr>
            <w:noProof/>
            <w:webHidden/>
          </w:rPr>
          <w:fldChar w:fldCharType="begin"/>
        </w:r>
        <w:r w:rsidR="006F342D">
          <w:rPr>
            <w:noProof/>
            <w:webHidden/>
          </w:rPr>
          <w:instrText xml:space="preserve"> PAGEREF _Toc115682244 \h </w:instrText>
        </w:r>
        <w:r w:rsidR="006F342D">
          <w:rPr>
            <w:noProof/>
            <w:webHidden/>
          </w:rPr>
        </w:r>
        <w:r w:rsidR="006F342D">
          <w:rPr>
            <w:noProof/>
            <w:webHidden/>
          </w:rPr>
          <w:fldChar w:fldCharType="separate"/>
        </w:r>
        <w:r w:rsidR="00E16322">
          <w:rPr>
            <w:noProof/>
            <w:webHidden/>
          </w:rPr>
          <w:t>19</w:t>
        </w:r>
        <w:r w:rsidR="006F342D">
          <w:rPr>
            <w:noProof/>
            <w:webHidden/>
          </w:rPr>
          <w:fldChar w:fldCharType="end"/>
        </w:r>
      </w:hyperlink>
    </w:p>
    <w:p w14:paraId="1A6186B7" w14:textId="4E460AAE" w:rsidR="006F342D" w:rsidRDefault="002D4F05">
      <w:pPr>
        <w:pStyle w:val="TableofFigures"/>
        <w:tabs>
          <w:tab w:val="right" w:pos="8495"/>
        </w:tabs>
        <w:rPr>
          <w:rFonts w:asciiTheme="minorHAnsi" w:hAnsiTheme="minorHAnsi"/>
          <w:noProof/>
        </w:rPr>
      </w:pPr>
      <w:hyperlink w:anchor="_Toc115682245" w:history="1">
        <w:r w:rsidR="006F342D" w:rsidRPr="009165A0">
          <w:rPr>
            <w:rStyle w:val="Hyperlink"/>
            <w:noProof/>
          </w:rPr>
          <w:t xml:space="preserve">Table 8: </w:t>
        </w:r>
        <w:r w:rsidR="006F342D">
          <w:rPr>
            <w:rFonts w:asciiTheme="minorHAnsi" w:hAnsiTheme="minorHAnsi"/>
            <w:noProof/>
          </w:rPr>
          <w:tab/>
        </w:r>
        <w:r w:rsidR="006F342D" w:rsidRPr="009165A0">
          <w:rPr>
            <w:rStyle w:val="Hyperlink"/>
            <w:noProof/>
          </w:rPr>
          <w:t>Total hours calculation</w:t>
        </w:r>
        <w:r w:rsidR="006F342D">
          <w:rPr>
            <w:noProof/>
            <w:webHidden/>
          </w:rPr>
          <w:tab/>
        </w:r>
        <w:r w:rsidR="006F342D">
          <w:rPr>
            <w:noProof/>
            <w:webHidden/>
          </w:rPr>
          <w:fldChar w:fldCharType="begin"/>
        </w:r>
        <w:r w:rsidR="006F342D">
          <w:rPr>
            <w:noProof/>
            <w:webHidden/>
          </w:rPr>
          <w:instrText xml:space="preserve"> PAGEREF _Toc115682245 \h </w:instrText>
        </w:r>
        <w:r w:rsidR="006F342D">
          <w:rPr>
            <w:noProof/>
            <w:webHidden/>
          </w:rPr>
        </w:r>
        <w:r w:rsidR="006F342D">
          <w:rPr>
            <w:noProof/>
            <w:webHidden/>
          </w:rPr>
          <w:fldChar w:fldCharType="separate"/>
        </w:r>
        <w:r w:rsidR="00E16322">
          <w:rPr>
            <w:noProof/>
            <w:webHidden/>
          </w:rPr>
          <w:t>21</w:t>
        </w:r>
        <w:r w:rsidR="006F342D">
          <w:rPr>
            <w:noProof/>
            <w:webHidden/>
          </w:rPr>
          <w:fldChar w:fldCharType="end"/>
        </w:r>
      </w:hyperlink>
    </w:p>
    <w:p w14:paraId="2A79D633" w14:textId="3861F854" w:rsidR="006F342D" w:rsidRDefault="002D4F05">
      <w:pPr>
        <w:pStyle w:val="TableofFigures"/>
        <w:tabs>
          <w:tab w:val="right" w:pos="8495"/>
        </w:tabs>
        <w:rPr>
          <w:rFonts w:asciiTheme="minorHAnsi" w:hAnsiTheme="minorHAnsi"/>
          <w:noProof/>
        </w:rPr>
      </w:pPr>
      <w:hyperlink w:anchor="_Toc115682246" w:history="1">
        <w:r w:rsidR="006F342D" w:rsidRPr="009165A0">
          <w:rPr>
            <w:rStyle w:val="Hyperlink"/>
            <w:noProof/>
          </w:rPr>
          <w:t xml:space="preserve">Table 9: </w:t>
        </w:r>
        <w:r w:rsidR="006F342D">
          <w:rPr>
            <w:rFonts w:asciiTheme="minorHAnsi" w:hAnsiTheme="minorHAnsi"/>
            <w:noProof/>
          </w:rPr>
          <w:tab/>
        </w:r>
        <w:r w:rsidR="006F342D" w:rsidRPr="009165A0">
          <w:rPr>
            <w:rStyle w:val="Hyperlink"/>
            <w:noProof/>
          </w:rPr>
          <w:t>Other options for charge-out rates (ex GST)</w:t>
        </w:r>
        <w:r w:rsidR="006F342D">
          <w:rPr>
            <w:noProof/>
            <w:webHidden/>
          </w:rPr>
          <w:tab/>
        </w:r>
        <w:r w:rsidR="006F342D">
          <w:rPr>
            <w:noProof/>
            <w:webHidden/>
          </w:rPr>
          <w:fldChar w:fldCharType="begin"/>
        </w:r>
        <w:r w:rsidR="006F342D">
          <w:rPr>
            <w:noProof/>
            <w:webHidden/>
          </w:rPr>
          <w:instrText xml:space="preserve"> PAGEREF _Toc115682246 \h </w:instrText>
        </w:r>
        <w:r w:rsidR="006F342D">
          <w:rPr>
            <w:noProof/>
            <w:webHidden/>
          </w:rPr>
        </w:r>
        <w:r w:rsidR="006F342D">
          <w:rPr>
            <w:noProof/>
            <w:webHidden/>
          </w:rPr>
          <w:fldChar w:fldCharType="separate"/>
        </w:r>
        <w:r w:rsidR="00E16322">
          <w:rPr>
            <w:noProof/>
            <w:webHidden/>
          </w:rPr>
          <w:t>22</w:t>
        </w:r>
        <w:r w:rsidR="006F342D">
          <w:rPr>
            <w:noProof/>
            <w:webHidden/>
          </w:rPr>
          <w:fldChar w:fldCharType="end"/>
        </w:r>
      </w:hyperlink>
    </w:p>
    <w:p w14:paraId="1F1B3374" w14:textId="2301DE99" w:rsidR="006F342D" w:rsidRDefault="002D4F05">
      <w:pPr>
        <w:pStyle w:val="TableofFigures"/>
        <w:tabs>
          <w:tab w:val="right" w:pos="8495"/>
        </w:tabs>
        <w:rPr>
          <w:rFonts w:asciiTheme="minorHAnsi" w:hAnsiTheme="minorHAnsi"/>
          <w:noProof/>
        </w:rPr>
      </w:pPr>
      <w:hyperlink w:anchor="_Toc115682247" w:history="1">
        <w:r w:rsidR="006F342D" w:rsidRPr="009165A0">
          <w:rPr>
            <w:rStyle w:val="Hyperlink"/>
            <w:noProof/>
          </w:rPr>
          <w:t xml:space="preserve">Table 10: </w:t>
        </w:r>
        <w:r w:rsidR="006F342D">
          <w:rPr>
            <w:rFonts w:asciiTheme="minorHAnsi" w:hAnsiTheme="minorHAnsi"/>
            <w:noProof/>
          </w:rPr>
          <w:tab/>
        </w:r>
        <w:r w:rsidR="006F342D" w:rsidRPr="009165A0">
          <w:rPr>
            <w:rStyle w:val="Hyperlink"/>
            <w:noProof/>
          </w:rPr>
          <w:t>Assessment of preferred and alternative cost-recovery options against the cost-recovery principles and objectives</w:t>
        </w:r>
        <w:r w:rsidR="006F342D">
          <w:rPr>
            <w:noProof/>
            <w:webHidden/>
          </w:rPr>
          <w:tab/>
        </w:r>
        <w:r w:rsidR="006F342D">
          <w:rPr>
            <w:noProof/>
            <w:webHidden/>
          </w:rPr>
          <w:fldChar w:fldCharType="begin"/>
        </w:r>
        <w:r w:rsidR="006F342D">
          <w:rPr>
            <w:noProof/>
            <w:webHidden/>
          </w:rPr>
          <w:instrText xml:space="preserve"> PAGEREF _Toc115682247 \h </w:instrText>
        </w:r>
        <w:r w:rsidR="006F342D">
          <w:rPr>
            <w:noProof/>
            <w:webHidden/>
          </w:rPr>
        </w:r>
        <w:r w:rsidR="006F342D">
          <w:rPr>
            <w:noProof/>
            <w:webHidden/>
          </w:rPr>
          <w:fldChar w:fldCharType="separate"/>
        </w:r>
        <w:r w:rsidR="00E16322">
          <w:rPr>
            <w:noProof/>
            <w:webHidden/>
          </w:rPr>
          <w:t>22</w:t>
        </w:r>
        <w:r w:rsidR="006F342D">
          <w:rPr>
            <w:noProof/>
            <w:webHidden/>
          </w:rPr>
          <w:fldChar w:fldCharType="end"/>
        </w:r>
      </w:hyperlink>
    </w:p>
    <w:p w14:paraId="7191A335" w14:textId="466D7F69" w:rsidR="006F342D" w:rsidRDefault="002D4F05">
      <w:pPr>
        <w:pStyle w:val="TableofFigures"/>
        <w:tabs>
          <w:tab w:val="right" w:pos="8495"/>
        </w:tabs>
        <w:rPr>
          <w:rFonts w:asciiTheme="minorHAnsi" w:hAnsiTheme="minorHAnsi"/>
          <w:noProof/>
        </w:rPr>
      </w:pPr>
      <w:hyperlink w:anchor="_Toc115682248" w:history="1">
        <w:r w:rsidR="006F342D" w:rsidRPr="009165A0">
          <w:rPr>
            <w:rStyle w:val="Hyperlink"/>
            <w:noProof/>
          </w:rPr>
          <w:t xml:space="preserve">Table 11: </w:t>
        </w:r>
        <w:r w:rsidR="006F342D">
          <w:rPr>
            <w:rFonts w:asciiTheme="minorHAnsi" w:hAnsiTheme="minorHAnsi"/>
            <w:noProof/>
          </w:rPr>
          <w:tab/>
        </w:r>
        <w:r w:rsidR="006F342D" w:rsidRPr="009165A0">
          <w:rPr>
            <w:rStyle w:val="Hyperlink"/>
            <w:noProof/>
          </w:rPr>
          <w:t>Restated 2021/22 cost-recovery revenue</w:t>
        </w:r>
        <w:r w:rsidR="006F342D">
          <w:rPr>
            <w:noProof/>
            <w:webHidden/>
          </w:rPr>
          <w:tab/>
        </w:r>
        <w:r w:rsidR="006F342D">
          <w:rPr>
            <w:noProof/>
            <w:webHidden/>
          </w:rPr>
          <w:fldChar w:fldCharType="begin"/>
        </w:r>
        <w:r w:rsidR="006F342D">
          <w:rPr>
            <w:noProof/>
            <w:webHidden/>
          </w:rPr>
          <w:instrText xml:space="preserve"> PAGEREF _Toc115682248 \h </w:instrText>
        </w:r>
        <w:r w:rsidR="006F342D">
          <w:rPr>
            <w:noProof/>
            <w:webHidden/>
          </w:rPr>
        </w:r>
        <w:r w:rsidR="006F342D">
          <w:rPr>
            <w:noProof/>
            <w:webHidden/>
          </w:rPr>
          <w:fldChar w:fldCharType="separate"/>
        </w:r>
        <w:r w:rsidR="00E16322">
          <w:rPr>
            <w:noProof/>
            <w:webHidden/>
          </w:rPr>
          <w:t>30</w:t>
        </w:r>
        <w:r w:rsidR="006F342D">
          <w:rPr>
            <w:noProof/>
            <w:webHidden/>
          </w:rPr>
          <w:fldChar w:fldCharType="end"/>
        </w:r>
      </w:hyperlink>
    </w:p>
    <w:p w14:paraId="7B2F1FB0" w14:textId="171F0169" w:rsidR="006F342D" w:rsidRDefault="002D4F05">
      <w:pPr>
        <w:pStyle w:val="TableofFigures"/>
        <w:tabs>
          <w:tab w:val="right" w:pos="8495"/>
        </w:tabs>
        <w:rPr>
          <w:rFonts w:asciiTheme="minorHAnsi" w:hAnsiTheme="minorHAnsi"/>
          <w:noProof/>
        </w:rPr>
      </w:pPr>
      <w:hyperlink w:anchor="_Toc115682249" w:history="1">
        <w:r w:rsidR="006F342D" w:rsidRPr="009165A0">
          <w:rPr>
            <w:rStyle w:val="Hyperlink"/>
            <w:noProof/>
          </w:rPr>
          <w:t xml:space="preserve">Table 12: </w:t>
        </w:r>
        <w:r w:rsidR="006F342D">
          <w:rPr>
            <w:rFonts w:asciiTheme="minorHAnsi" w:hAnsiTheme="minorHAnsi"/>
            <w:noProof/>
          </w:rPr>
          <w:tab/>
        </w:r>
        <w:r w:rsidR="006F342D" w:rsidRPr="009165A0">
          <w:rPr>
            <w:rStyle w:val="Hyperlink"/>
            <w:noProof/>
          </w:rPr>
          <w:t>Forecast 2022/23 cost-recovery revenue</w:t>
        </w:r>
        <w:r w:rsidR="006F342D">
          <w:rPr>
            <w:noProof/>
            <w:webHidden/>
          </w:rPr>
          <w:tab/>
        </w:r>
        <w:r w:rsidR="006F342D">
          <w:rPr>
            <w:noProof/>
            <w:webHidden/>
          </w:rPr>
          <w:fldChar w:fldCharType="begin"/>
        </w:r>
        <w:r w:rsidR="006F342D">
          <w:rPr>
            <w:noProof/>
            <w:webHidden/>
          </w:rPr>
          <w:instrText xml:space="preserve"> PAGEREF _Toc115682249 \h </w:instrText>
        </w:r>
        <w:r w:rsidR="006F342D">
          <w:rPr>
            <w:noProof/>
            <w:webHidden/>
          </w:rPr>
        </w:r>
        <w:r w:rsidR="006F342D">
          <w:rPr>
            <w:noProof/>
            <w:webHidden/>
          </w:rPr>
          <w:fldChar w:fldCharType="separate"/>
        </w:r>
        <w:r w:rsidR="00E16322">
          <w:rPr>
            <w:noProof/>
            <w:webHidden/>
          </w:rPr>
          <w:t>30</w:t>
        </w:r>
        <w:r w:rsidR="006F342D">
          <w:rPr>
            <w:noProof/>
            <w:webHidden/>
          </w:rPr>
          <w:fldChar w:fldCharType="end"/>
        </w:r>
      </w:hyperlink>
    </w:p>
    <w:p w14:paraId="59DF9175" w14:textId="279B1CEC" w:rsidR="006F342D" w:rsidRDefault="002D4F05">
      <w:pPr>
        <w:pStyle w:val="TableofFigures"/>
        <w:tabs>
          <w:tab w:val="right" w:pos="8495"/>
        </w:tabs>
        <w:rPr>
          <w:rFonts w:asciiTheme="minorHAnsi" w:hAnsiTheme="minorHAnsi"/>
          <w:noProof/>
        </w:rPr>
      </w:pPr>
      <w:hyperlink w:anchor="_Toc115682250" w:history="1">
        <w:r w:rsidR="006F342D" w:rsidRPr="009165A0">
          <w:rPr>
            <w:rStyle w:val="Hyperlink"/>
            <w:noProof/>
          </w:rPr>
          <w:t xml:space="preserve">Table 13: </w:t>
        </w:r>
        <w:r w:rsidR="006F342D">
          <w:rPr>
            <w:rFonts w:asciiTheme="minorHAnsi" w:hAnsiTheme="minorHAnsi"/>
            <w:noProof/>
          </w:rPr>
          <w:tab/>
        </w:r>
        <w:r w:rsidR="006F342D" w:rsidRPr="009165A0">
          <w:rPr>
            <w:rStyle w:val="Hyperlink"/>
            <w:noProof/>
          </w:rPr>
          <w:t>Worked example of potential impact on a notified consent applicant, using the proposed 2023/24 charge-out rates</w:t>
        </w:r>
        <w:r w:rsidR="006F342D">
          <w:rPr>
            <w:noProof/>
            <w:webHidden/>
          </w:rPr>
          <w:tab/>
        </w:r>
        <w:r w:rsidR="006F342D">
          <w:rPr>
            <w:noProof/>
            <w:webHidden/>
          </w:rPr>
          <w:fldChar w:fldCharType="begin"/>
        </w:r>
        <w:r w:rsidR="006F342D">
          <w:rPr>
            <w:noProof/>
            <w:webHidden/>
          </w:rPr>
          <w:instrText xml:space="preserve"> PAGEREF _Toc115682250 \h </w:instrText>
        </w:r>
        <w:r w:rsidR="006F342D">
          <w:rPr>
            <w:noProof/>
            <w:webHidden/>
          </w:rPr>
        </w:r>
        <w:r w:rsidR="006F342D">
          <w:rPr>
            <w:noProof/>
            <w:webHidden/>
          </w:rPr>
          <w:fldChar w:fldCharType="separate"/>
        </w:r>
        <w:r w:rsidR="00E16322">
          <w:rPr>
            <w:noProof/>
            <w:webHidden/>
          </w:rPr>
          <w:t>31</w:t>
        </w:r>
        <w:r w:rsidR="006F342D">
          <w:rPr>
            <w:noProof/>
            <w:webHidden/>
          </w:rPr>
          <w:fldChar w:fldCharType="end"/>
        </w:r>
      </w:hyperlink>
    </w:p>
    <w:p w14:paraId="70DC0C58" w14:textId="5C3FA4F9" w:rsidR="006F342D" w:rsidRDefault="002D4F05">
      <w:pPr>
        <w:pStyle w:val="TableofFigures"/>
        <w:tabs>
          <w:tab w:val="right" w:pos="8495"/>
        </w:tabs>
        <w:rPr>
          <w:rFonts w:asciiTheme="minorHAnsi" w:hAnsiTheme="minorHAnsi"/>
          <w:noProof/>
        </w:rPr>
      </w:pPr>
      <w:hyperlink w:anchor="_Toc115682251" w:history="1">
        <w:r w:rsidR="006F342D" w:rsidRPr="009165A0">
          <w:rPr>
            <w:rStyle w:val="Hyperlink"/>
            <w:noProof/>
          </w:rPr>
          <w:t xml:space="preserve">Table 14: </w:t>
        </w:r>
        <w:r w:rsidR="006F342D">
          <w:rPr>
            <w:rFonts w:asciiTheme="minorHAnsi" w:hAnsiTheme="minorHAnsi"/>
            <w:noProof/>
          </w:rPr>
          <w:tab/>
        </w:r>
        <w:r w:rsidR="006F342D" w:rsidRPr="009165A0">
          <w:rPr>
            <w:rStyle w:val="Hyperlink"/>
            <w:noProof/>
          </w:rPr>
          <w:t>Worked example of potential impact on a permitted activity (monitoring costs), using the proposed 2024/25 charge-out rates</w:t>
        </w:r>
        <w:r w:rsidR="006F342D">
          <w:rPr>
            <w:noProof/>
            <w:webHidden/>
          </w:rPr>
          <w:tab/>
        </w:r>
        <w:r w:rsidR="006F342D">
          <w:rPr>
            <w:noProof/>
            <w:webHidden/>
          </w:rPr>
          <w:fldChar w:fldCharType="begin"/>
        </w:r>
        <w:r w:rsidR="006F342D">
          <w:rPr>
            <w:noProof/>
            <w:webHidden/>
          </w:rPr>
          <w:instrText xml:space="preserve"> PAGEREF _Toc115682251 \h </w:instrText>
        </w:r>
        <w:r w:rsidR="006F342D">
          <w:rPr>
            <w:noProof/>
            <w:webHidden/>
          </w:rPr>
        </w:r>
        <w:r w:rsidR="006F342D">
          <w:rPr>
            <w:noProof/>
            <w:webHidden/>
          </w:rPr>
          <w:fldChar w:fldCharType="separate"/>
        </w:r>
        <w:r w:rsidR="00E16322">
          <w:rPr>
            <w:noProof/>
            <w:webHidden/>
          </w:rPr>
          <w:t>31</w:t>
        </w:r>
        <w:r w:rsidR="006F342D">
          <w:rPr>
            <w:noProof/>
            <w:webHidden/>
          </w:rPr>
          <w:fldChar w:fldCharType="end"/>
        </w:r>
      </w:hyperlink>
    </w:p>
    <w:p w14:paraId="44D279D0" w14:textId="67688AFE" w:rsidR="006F342D" w:rsidRDefault="002D4F05">
      <w:pPr>
        <w:pStyle w:val="TableofFigures"/>
        <w:tabs>
          <w:tab w:val="right" w:pos="8495"/>
        </w:tabs>
        <w:rPr>
          <w:rFonts w:asciiTheme="minorHAnsi" w:hAnsiTheme="minorHAnsi"/>
          <w:noProof/>
        </w:rPr>
      </w:pPr>
      <w:hyperlink w:anchor="_Toc115682252" w:history="1">
        <w:r w:rsidR="006F342D" w:rsidRPr="009165A0">
          <w:rPr>
            <w:rStyle w:val="Hyperlink"/>
            <w:noProof/>
          </w:rPr>
          <w:t xml:space="preserve">Table 15: </w:t>
        </w:r>
        <w:r w:rsidR="006F342D">
          <w:rPr>
            <w:rFonts w:asciiTheme="minorHAnsi" w:hAnsiTheme="minorHAnsi"/>
            <w:noProof/>
          </w:rPr>
          <w:tab/>
        </w:r>
        <w:r w:rsidR="006F342D" w:rsidRPr="009165A0">
          <w:rPr>
            <w:rStyle w:val="Hyperlink"/>
            <w:noProof/>
          </w:rPr>
          <w:t>Worked example of potential impact on a certification of dredging sampling plan, using the proposed 2023/24 charge-out rates (ex GST)</w:t>
        </w:r>
        <w:r w:rsidR="006F342D">
          <w:rPr>
            <w:noProof/>
            <w:webHidden/>
          </w:rPr>
          <w:tab/>
        </w:r>
        <w:r w:rsidR="006F342D">
          <w:rPr>
            <w:noProof/>
            <w:webHidden/>
          </w:rPr>
          <w:fldChar w:fldCharType="begin"/>
        </w:r>
        <w:r w:rsidR="006F342D">
          <w:rPr>
            <w:noProof/>
            <w:webHidden/>
          </w:rPr>
          <w:instrText xml:space="preserve"> PAGEREF _Toc115682252 \h </w:instrText>
        </w:r>
        <w:r w:rsidR="006F342D">
          <w:rPr>
            <w:noProof/>
            <w:webHidden/>
          </w:rPr>
        </w:r>
        <w:r w:rsidR="006F342D">
          <w:rPr>
            <w:noProof/>
            <w:webHidden/>
          </w:rPr>
          <w:fldChar w:fldCharType="separate"/>
        </w:r>
        <w:r w:rsidR="00E16322">
          <w:rPr>
            <w:noProof/>
            <w:webHidden/>
          </w:rPr>
          <w:t>31</w:t>
        </w:r>
        <w:r w:rsidR="006F342D">
          <w:rPr>
            <w:noProof/>
            <w:webHidden/>
          </w:rPr>
          <w:fldChar w:fldCharType="end"/>
        </w:r>
      </w:hyperlink>
    </w:p>
    <w:p w14:paraId="61D8E173" w14:textId="5998057D" w:rsidR="000B67CB" w:rsidRDefault="000B67CB" w:rsidP="00FC1182">
      <w:pPr>
        <w:pStyle w:val="BodyText"/>
      </w:pPr>
      <w:r>
        <w:fldChar w:fldCharType="end"/>
      </w:r>
    </w:p>
    <w:p w14:paraId="5FA023FE" w14:textId="0FFC6C71" w:rsidR="008A2FF1" w:rsidRPr="00E63FBF" w:rsidRDefault="00214E62" w:rsidP="00E63FBF">
      <w:pPr>
        <w:pStyle w:val="Heading2"/>
        <w:spacing w:after="240"/>
        <w:rPr>
          <w:sz w:val="48"/>
          <w:szCs w:val="48"/>
        </w:rPr>
      </w:pPr>
      <w:bookmarkStart w:id="1" w:name="_Toc114734483"/>
      <w:r w:rsidRPr="00E63FBF">
        <w:rPr>
          <w:sz w:val="48"/>
          <w:szCs w:val="48"/>
        </w:rPr>
        <w:t>Abbreviations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090"/>
      </w:tblGrid>
      <w:tr w:rsidR="00E40DBB" w14:paraId="16B7AB20" w14:textId="77777777" w:rsidTr="00E63FBF">
        <w:tc>
          <w:tcPr>
            <w:tcW w:w="2405" w:type="dxa"/>
          </w:tcPr>
          <w:p w14:paraId="70119D05" w14:textId="7CBF40D3" w:rsidR="00E40DBB" w:rsidRPr="00E63FBF" w:rsidRDefault="00E40DBB" w:rsidP="00ED69F8">
            <w:pPr>
              <w:pStyle w:val="TableText"/>
              <w:rPr>
                <w:sz w:val="22"/>
                <w:szCs w:val="22"/>
              </w:rPr>
            </w:pPr>
            <w:r w:rsidRPr="00E63FBF">
              <w:rPr>
                <w:sz w:val="22"/>
                <w:szCs w:val="22"/>
              </w:rPr>
              <w:t>EEZ</w:t>
            </w:r>
          </w:p>
        </w:tc>
        <w:tc>
          <w:tcPr>
            <w:tcW w:w="6090" w:type="dxa"/>
          </w:tcPr>
          <w:p w14:paraId="6EC1AA85" w14:textId="4D61380F" w:rsidR="00E40DBB" w:rsidRPr="00E63FBF" w:rsidRDefault="00E40DBB" w:rsidP="00ED69F8">
            <w:pPr>
              <w:pStyle w:val="TableText"/>
              <w:rPr>
                <w:sz w:val="22"/>
                <w:szCs w:val="22"/>
              </w:rPr>
            </w:pPr>
            <w:r w:rsidRPr="00E63FBF">
              <w:rPr>
                <w:sz w:val="22"/>
                <w:szCs w:val="22"/>
              </w:rPr>
              <w:t>Exclusive Economic Zone</w:t>
            </w:r>
            <w:r w:rsidR="002F1FB6" w:rsidRPr="00E63FBF">
              <w:rPr>
                <w:sz w:val="22"/>
                <w:szCs w:val="22"/>
              </w:rPr>
              <w:t xml:space="preserve"> and extended continental shelf</w:t>
            </w:r>
          </w:p>
        </w:tc>
      </w:tr>
      <w:tr w:rsidR="00E40DBB" w14:paraId="041A717E" w14:textId="77777777" w:rsidTr="00E63FBF">
        <w:tc>
          <w:tcPr>
            <w:tcW w:w="2405" w:type="dxa"/>
          </w:tcPr>
          <w:p w14:paraId="1F2CB961" w14:textId="1E87411B" w:rsidR="00E40DBB" w:rsidRPr="00E63FBF" w:rsidRDefault="00E40DBB" w:rsidP="00ED69F8">
            <w:pPr>
              <w:pStyle w:val="TableText"/>
              <w:rPr>
                <w:sz w:val="22"/>
                <w:szCs w:val="22"/>
              </w:rPr>
            </w:pPr>
            <w:r w:rsidRPr="00E63FBF">
              <w:rPr>
                <w:sz w:val="22"/>
                <w:szCs w:val="22"/>
              </w:rPr>
              <w:t>EEZ Act</w:t>
            </w:r>
          </w:p>
        </w:tc>
        <w:tc>
          <w:tcPr>
            <w:tcW w:w="6090" w:type="dxa"/>
          </w:tcPr>
          <w:p w14:paraId="11D06E0C" w14:textId="45D96487" w:rsidR="00E40DBB" w:rsidRPr="00E63FBF" w:rsidRDefault="00E40DBB" w:rsidP="00ED69F8">
            <w:pPr>
              <w:pStyle w:val="TableText"/>
              <w:rPr>
                <w:sz w:val="22"/>
                <w:szCs w:val="22"/>
              </w:rPr>
            </w:pPr>
            <w:r w:rsidRPr="00E63FBF">
              <w:rPr>
                <w:sz w:val="22"/>
                <w:szCs w:val="22"/>
              </w:rPr>
              <w:t>Exclusive Economic Zone and Continental Shelf (Environmental Effects) Act 2012</w:t>
            </w:r>
          </w:p>
        </w:tc>
      </w:tr>
      <w:tr w:rsidR="00C05338" w14:paraId="0FF36105" w14:textId="77777777" w:rsidTr="00E63FBF">
        <w:tc>
          <w:tcPr>
            <w:tcW w:w="2405" w:type="dxa"/>
          </w:tcPr>
          <w:p w14:paraId="61D8D6B8" w14:textId="1D448337" w:rsidR="00C05338" w:rsidRPr="00E63FBF" w:rsidRDefault="00CD470A" w:rsidP="00ED69F8">
            <w:pPr>
              <w:pStyle w:val="TableText"/>
              <w:rPr>
                <w:sz w:val="22"/>
                <w:szCs w:val="22"/>
              </w:rPr>
            </w:pPr>
            <w:r w:rsidRPr="00E63FBF">
              <w:rPr>
                <w:rFonts w:eastAsia="Times New Roman"/>
                <w:sz w:val="22"/>
                <w:szCs w:val="22"/>
              </w:rPr>
              <w:t>EEZ Fees Regulations</w:t>
            </w:r>
          </w:p>
        </w:tc>
        <w:tc>
          <w:tcPr>
            <w:tcW w:w="6090" w:type="dxa"/>
          </w:tcPr>
          <w:p w14:paraId="56B2444F" w14:textId="14D3CB36" w:rsidR="00C05338" w:rsidRPr="00E63FBF" w:rsidRDefault="00CD470A" w:rsidP="00ED69F8">
            <w:pPr>
              <w:pStyle w:val="TableText"/>
              <w:rPr>
                <w:sz w:val="22"/>
                <w:szCs w:val="22"/>
              </w:rPr>
            </w:pPr>
            <w:r w:rsidRPr="00E63FBF">
              <w:rPr>
                <w:rFonts w:eastAsia="Times New Roman"/>
                <w:sz w:val="22"/>
                <w:szCs w:val="22"/>
              </w:rPr>
              <w:t>Exclusive Economic Zone and Continental Shelf (Fees and Charges) Regulations 2013</w:t>
            </w:r>
          </w:p>
        </w:tc>
      </w:tr>
      <w:tr w:rsidR="00E40DBB" w14:paraId="7ED88D04" w14:textId="77777777" w:rsidTr="00E63FBF">
        <w:tc>
          <w:tcPr>
            <w:tcW w:w="2405" w:type="dxa"/>
          </w:tcPr>
          <w:p w14:paraId="0580ABEB" w14:textId="6A7A8754" w:rsidR="00E40DBB" w:rsidRPr="00E63FBF" w:rsidRDefault="00E40DBB" w:rsidP="00ED69F8">
            <w:pPr>
              <w:pStyle w:val="TableText"/>
              <w:rPr>
                <w:sz w:val="22"/>
                <w:szCs w:val="22"/>
              </w:rPr>
            </w:pPr>
            <w:r w:rsidRPr="00E63FBF">
              <w:rPr>
                <w:sz w:val="22"/>
                <w:szCs w:val="22"/>
              </w:rPr>
              <w:t>EPA</w:t>
            </w:r>
          </w:p>
        </w:tc>
        <w:tc>
          <w:tcPr>
            <w:tcW w:w="6090" w:type="dxa"/>
          </w:tcPr>
          <w:p w14:paraId="3450123D" w14:textId="2C45790F" w:rsidR="00E40DBB" w:rsidRPr="00E63FBF" w:rsidRDefault="00C05338" w:rsidP="00ED69F8">
            <w:pPr>
              <w:pStyle w:val="TableText"/>
              <w:rPr>
                <w:sz w:val="22"/>
                <w:szCs w:val="22"/>
              </w:rPr>
            </w:pPr>
            <w:r w:rsidRPr="00E63FBF">
              <w:rPr>
                <w:sz w:val="22"/>
                <w:szCs w:val="22"/>
              </w:rPr>
              <w:t>Environmental Protection Authority</w:t>
            </w:r>
          </w:p>
        </w:tc>
      </w:tr>
      <w:tr w:rsidR="00E40DBB" w14:paraId="6FA3C10E" w14:textId="77777777" w:rsidTr="00E63FBF">
        <w:tc>
          <w:tcPr>
            <w:tcW w:w="2405" w:type="dxa"/>
          </w:tcPr>
          <w:p w14:paraId="54A6D102" w14:textId="4FA2A202" w:rsidR="00E40DBB" w:rsidRPr="00E63FBF" w:rsidRDefault="00CD470A" w:rsidP="00ED69F8">
            <w:pPr>
              <w:pStyle w:val="TableText"/>
              <w:rPr>
                <w:sz w:val="22"/>
                <w:szCs w:val="22"/>
              </w:rPr>
            </w:pPr>
            <w:r w:rsidRPr="00E63FBF">
              <w:rPr>
                <w:sz w:val="22"/>
                <w:szCs w:val="22"/>
              </w:rPr>
              <w:t>Ministry</w:t>
            </w:r>
          </w:p>
        </w:tc>
        <w:tc>
          <w:tcPr>
            <w:tcW w:w="6090" w:type="dxa"/>
          </w:tcPr>
          <w:p w14:paraId="1EAD0BA0" w14:textId="427B63C7" w:rsidR="00E40DBB" w:rsidRPr="00E63FBF" w:rsidRDefault="00547595" w:rsidP="00ED69F8">
            <w:pPr>
              <w:pStyle w:val="TableText"/>
              <w:rPr>
                <w:sz w:val="22"/>
                <w:szCs w:val="22"/>
              </w:rPr>
            </w:pPr>
            <w:r w:rsidRPr="00E63FBF">
              <w:rPr>
                <w:sz w:val="22"/>
                <w:szCs w:val="22"/>
              </w:rPr>
              <w:t>Ministry for the Environment</w:t>
            </w:r>
          </w:p>
        </w:tc>
      </w:tr>
    </w:tbl>
    <w:p w14:paraId="603D4069" w14:textId="77777777" w:rsidR="00796A6F" w:rsidRPr="0082483D" w:rsidRDefault="00796A6F" w:rsidP="00554B30">
      <w:bookmarkStart w:id="2" w:name="_Toc215561202"/>
      <w:r w:rsidRPr="0082483D">
        <w:br w:type="page"/>
      </w:r>
    </w:p>
    <w:p w14:paraId="3A19ACC5" w14:textId="4FCBFD14" w:rsidR="00AB7751" w:rsidRDefault="00AB7751" w:rsidP="00385F31">
      <w:pPr>
        <w:pStyle w:val="Heading1"/>
      </w:pPr>
      <w:bookmarkStart w:id="3" w:name="_Toc114734484"/>
      <w:bookmarkStart w:id="4" w:name="Other_simultaneous"/>
      <w:bookmarkStart w:id="5" w:name="_Toc345760336"/>
      <w:bookmarkEnd w:id="2"/>
      <w:r>
        <w:lastRenderedPageBreak/>
        <w:t xml:space="preserve">About this </w:t>
      </w:r>
      <w:r w:rsidRPr="0082483D">
        <w:t>consultation</w:t>
      </w:r>
      <w:bookmarkEnd w:id="3"/>
      <w:r w:rsidRPr="0082483D">
        <w:t xml:space="preserve"> </w:t>
      </w:r>
    </w:p>
    <w:p w14:paraId="55335684" w14:textId="6198063E" w:rsidR="00E128C0" w:rsidRDefault="00E128C0" w:rsidP="00E128C0">
      <w:pPr>
        <w:pStyle w:val="BodyText"/>
        <w:rPr>
          <w:rFonts w:eastAsia="Times New Roman"/>
        </w:rPr>
      </w:pPr>
      <w:r>
        <w:rPr>
          <w:rFonts w:eastAsia="Times New Roman"/>
        </w:rPr>
        <w:t xml:space="preserve">The </w:t>
      </w:r>
      <w:r w:rsidRPr="008F5BFA">
        <w:rPr>
          <w:rFonts w:eastAsia="Times New Roman"/>
        </w:rPr>
        <w:t xml:space="preserve">Exclusive Economic Zone and Continental Shelf </w:t>
      </w:r>
      <w:r>
        <w:rPr>
          <w:rFonts w:eastAsia="Times New Roman"/>
        </w:rPr>
        <w:t>(Fees and Charges) Regulations 201</w:t>
      </w:r>
      <w:r w:rsidR="00A951D7">
        <w:rPr>
          <w:rFonts w:eastAsia="Times New Roman"/>
        </w:rPr>
        <w:t>3</w:t>
      </w:r>
      <w:r>
        <w:rPr>
          <w:rFonts w:eastAsia="Times New Roman"/>
        </w:rPr>
        <w:t xml:space="preserve"> (the EEZ Fees Regulations)</w:t>
      </w:r>
      <w:r w:rsidR="00EA1401">
        <w:rPr>
          <w:rFonts w:eastAsia="Times New Roman"/>
        </w:rPr>
        <w:t xml:space="preserve"> </w:t>
      </w:r>
      <w:r>
        <w:rPr>
          <w:rFonts w:eastAsia="Times New Roman"/>
        </w:rPr>
        <w:t xml:space="preserve">set </w:t>
      </w:r>
      <w:r w:rsidR="00D674A2">
        <w:rPr>
          <w:rFonts w:eastAsia="Times New Roman"/>
        </w:rPr>
        <w:t xml:space="preserve">hourly </w:t>
      </w:r>
      <w:r w:rsidR="00D82F60">
        <w:rPr>
          <w:rFonts w:eastAsia="Times New Roman"/>
        </w:rPr>
        <w:t xml:space="preserve">charge-out </w:t>
      </w:r>
      <w:r w:rsidRPr="008F5BFA">
        <w:rPr>
          <w:rFonts w:eastAsia="Times New Roman"/>
        </w:rPr>
        <w:t xml:space="preserve">rates </w:t>
      </w:r>
      <w:r w:rsidR="00663D5D">
        <w:rPr>
          <w:rFonts w:eastAsia="Times New Roman"/>
        </w:rPr>
        <w:t xml:space="preserve">which are </w:t>
      </w:r>
      <w:r>
        <w:rPr>
          <w:rFonts w:eastAsia="Times New Roman"/>
        </w:rPr>
        <w:t xml:space="preserve">used by </w:t>
      </w:r>
      <w:r w:rsidRPr="008F5BFA">
        <w:rPr>
          <w:rFonts w:eastAsia="Times New Roman"/>
        </w:rPr>
        <w:t>the Environmental Protection Authority</w:t>
      </w:r>
      <w:r>
        <w:rPr>
          <w:rFonts w:eastAsia="Times New Roman"/>
        </w:rPr>
        <w:t xml:space="preserve"> (EPA)</w:t>
      </w:r>
      <w:r w:rsidRPr="008F5BFA">
        <w:rPr>
          <w:rFonts w:eastAsia="Times New Roman"/>
        </w:rPr>
        <w:t xml:space="preserve"> </w:t>
      </w:r>
      <w:r w:rsidR="00D674A2">
        <w:rPr>
          <w:rFonts w:eastAsia="Times New Roman"/>
        </w:rPr>
        <w:t xml:space="preserve">to charge for </w:t>
      </w:r>
      <w:r w:rsidR="00DE185C">
        <w:rPr>
          <w:rFonts w:eastAsia="Times New Roman"/>
        </w:rPr>
        <w:t xml:space="preserve">certain </w:t>
      </w:r>
      <w:r>
        <w:rPr>
          <w:rFonts w:eastAsia="Times New Roman"/>
        </w:rPr>
        <w:t>functions and services</w:t>
      </w:r>
      <w:r w:rsidR="00D674A2">
        <w:rPr>
          <w:rFonts w:eastAsia="Times New Roman"/>
        </w:rPr>
        <w:t xml:space="preserve"> </w:t>
      </w:r>
      <w:r w:rsidR="001C418A">
        <w:rPr>
          <w:rFonts w:eastAsia="Times New Roman"/>
        </w:rPr>
        <w:t>it</w:t>
      </w:r>
      <w:r w:rsidR="00D674A2">
        <w:rPr>
          <w:rFonts w:eastAsia="Times New Roman"/>
        </w:rPr>
        <w:t xml:space="preserve"> provides</w:t>
      </w:r>
      <w:r>
        <w:rPr>
          <w:rFonts w:eastAsia="Times New Roman"/>
        </w:rPr>
        <w:t xml:space="preserve"> </w:t>
      </w:r>
      <w:r w:rsidRPr="008F5BFA">
        <w:rPr>
          <w:rFonts w:eastAsia="Times New Roman"/>
        </w:rPr>
        <w:t>under the Exclusive Economic Zone and Continental Shelf (Environmental Effects) Act 2012</w:t>
      </w:r>
      <w:r>
        <w:rPr>
          <w:rFonts w:eastAsia="Times New Roman"/>
        </w:rPr>
        <w:t xml:space="preserve"> (EEZ Act)</w:t>
      </w:r>
      <w:r w:rsidRPr="008F5BFA">
        <w:rPr>
          <w:rFonts w:eastAsia="Times New Roman"/>
        </w:rPr>
        <w:t>.</w:t>
      </w:r>
      <w:r>
        <w:rPr>
          <w:rFonts w:eastAsia="Times New Roman"/>
        </w:rPr>
        <w:t xml:space="preserve"> </w:t>
      </w:r>
    </w:p>
    <w:p w14:paraId="7A66CD12" w14:textId="5AAB5546" w:rsidR="00547965" w:rsidRDefault="00547965" w:rsidP="00547965">
      <w:pPr>
        <w:pStyle w:val="BodyText"/>
      </w:pPr>
      <w:r>
        <w:t>We are proposing increase</w:t>
      </w:r>
      <w:r w:rsidR="00813FA8">
        <w:t>s to</w:t>
      </w:r>
      <w:r>
        <w:t xml:space="preserve"> th</w:t>
      </w:r>
      <w:r w:rsidR="00806E12">
        <w:t>ose</w:t>
      </w:r>
      <w:r>
        <w:t xml:space="preserve"> charge-out rates and change</w:t>
      </w:r>
      <w:r w:rsidR="00813FA8">
        <w:t>s to</w:t>
      </w:r>
      <w:r>
        <w:t xml:space="preserve"> </w:t>
      </w:r>
      <w:r w:rsidR="00806E12">
        <w:t xml:space="preserve">the </w:t>
      </w:r>
      <w:r>
        <w:t>staff categories</w:t>
      </w:r>
      <w:r w:rsidR="00806E12">
        <w:t xml:space="preserve"> used in the</w:t>
      </w:r>
      <w:r w:rsidR="000F259E">
        <w:t xml:space="preserve"> </w:t>
      </w:r>
      <w:r w:rsidR="00B51210">
        <w:t xml:space="preserve">EEZ </w:t>
      </w:r>
      <w:r w:rsidR="000F259E">
        <w:t>Fee</w:t>
      </w:r>
      <w:r w:rsidR="00B51210">
        <w:t>s</w:t>
      </w:r>
      <w:r w:rsidR="000F259E">
        <w:t xml:space="preserve"> Regulations</w:t>
      </w:r>
      <w:r>
        <w:t xml:space="preserve">. </w:t>
      </w:r>
      <w:r w:rsidR="008F257F">
        <w:t xml:space="preserve">The current charge-out rates </w:t>
      </w:r>
      <w:r w:rsidR="008F257F" w:rsidRPr="00057C22">
        <w:t xml:space="preserve">have not been revised </w:t>
      </w:r>
      <w:r w:rsidR="008F257F" w:rsidRPr="00A951D7">
        <w:t>since 2013</w:t>
      </w:r>
      <w:r w:rsidR="008F257F">
        <w:t xml:space="preserve"> </w:t>
      </w:r>
      <w:r w:rsidR="008F257F" w:rsidRPr="00A951D7">
        <w:t>and</w:t>
      </w:r>
      <w:r w:rsidR="008F257F" w:rsidRPr="00057C22">
        <w:t xml:space="preserve"> are</w:t>
      </w:r>
      <w:r w:rsidR="008F257F">
        <w:t xml:space="preserve"> not </w:t>
      </w:r>
      <w:r w:rsidR="008F257F" w:rsidRPr="00057C22">
        <w:t>recoverin</w:t>
      </w:r>
      <w:r w:rsidR="008F257F">
        <w:t xml:space="preserve">g the EPA’s costs. </w:t>
      </w:r>
    </w:p>
    <w:p w14:paraId="7C22B3BF" w14:textId="43BF13BB" w:rsidR="00B51210" w:rsidRPr="00D64BA1" w:rsidRDefault="00B51210" w:rsidP="00D64BA1">
      <w:pPr>
        <w:pStyle w:val="BodyText"/>
      </w:pPr>
      <w:r>
        <w:t>This discussion</w:t>
      </w:r>
      <w:r w:rsidRPr="00D64BA1">
        <w:t xml:space="preserve"> document describes the current arrangements for cost recovery under the EEZ Act</w:t>
      </w:r>
      <w:r w:rsidR="007F1DBD" w:rsidRPr="00D64BA1">
        <w:t xml:space="preserve">, </w:t>
      </w:r>
      <w:r w:rsidRPr="00D64BA1">
        <w:t>discusses why this review is needed and our approach to the review</w:t>
      </w:r>
      <w:r w:rsidR="003F47DF" w:rsidRPr="00D64BA1">
        <w:t>. It</w:t>
      </w:r>
      <w:r w:rsidRPr="00D64BA1">
        <w:t xml:space="preserve"> sets outs our preferred options and our analysis of the other options we considered.</w:t>
      </w:r>
      <w:r w:rsidR="00580CFE" w:rsidRPr="00D64BA1">
        <w:t xml:space="preserve"> </w:t>
      </w:r>
      <w:r w:rsidRPr="00D64BA1">
        <w:t xml:space="preserve">Complementing </w:t>
      </w:r>
      <w:r w:rsidR="003F47DF" w:rsidRPr="00D64BA1">
        <w:t>this discussion document</w:t>
      </w:r>
      <w:r w:rsidRPr="00D64BA1">
        <w:t xml:space="preserve"> is a </w:t>
      </w:r>
      <w:hyperlink r:id="rId16" w:history="1">
        <w:r w:rsidR="00247ACF" w:rsidRPr="006B6F6B">
          <w:rPr>
            <w:rStyle w:val="Hyperlink"/>
          </w:rPr>
          <w:t>c</w:t>
        </w:r>
        <w:r w:rsidRPr="006B6F6B">
          <w:rPr>
            <w:rStyle w:val="Hyperlink"/>
          </w:rPr>
          <w:t>ost recovery impact statement</w:t>
        </w:r>
      </w:hyperlink>
      <w:r w:rsidR="00B52992">
        <w:t>.</w:t>
      </w:r>
      <w:r w:rsidR="00504FC6" w:rsidRPr="00D64BA1">
        <w:t xml:space="preserve"> </w:t>
      </w:r>
    </w:p>
    <w:p w14:paraId="1E3CC2DD" w14:textId="2A3A8D7B" w:rsidR="00B51210" w:rsidRDefault="00B51210" w:rsidP="00B51210">
      <w:pPr>
        <w:pStyle w:val="BodyText"/>
        <w:rPr>
          <w:rFonts w:eastAsia="Times New Roman"/>
        </w:rPr>
      </w:pPr>
      <w:r>
        <w:t>The main parties affected by the EEZ Fees Regulations are people and companies who intend to apply for</w:t>
      </w:r>
      <w:r w:rsidR="00A30F6E">
        <w:t>,</w:t>
      </w:r>
      <w:r>
        <w:t xml:space="preserve"> or already have</w:t>
      </w:r>
      <w:r w:rsidR="00A30F6E">
        <w:t>,</w:t>
      </w:r>
      <w:r>
        <w:t xml:space="preserve"> marine consents under the </w:t>
      </w:r>
      <w:r>
        <w:rPr>
          <w:rFonts w:eastAsia="Times New Roman"/>
        </w:rPr>
        <w:t xml:space="preserve">EEZ Act, or who undertake or intend to undertake permitted activities under the EEZ Act. </w:t>
      </w:r>
    </w:p>
    <w:p w14:paraId="6A1C8280" w14:textId="24770AFB" w:rsidR="00962255" w:rsidRPr="0082483D" w:rsidRDefault="0098032B" w:rsidP="00962255">
      <w:pPr>
        <w:pStyle w:val="Heading2"/>
      </w:pPr>
      <w:bookmarkStart w:id="6" w:name="_Toc114734485"/>
      <w:r>
        <w:t>Your views</w:t>
      </w:r>
      <w:bookmarkEnd w:id="6"/>
    </w:p>
    <w:p w14:paraId="1A838037" w14:textId="597B66FB" w:rsidR="0093605F" w:rsidRDefault="00AB7751" w:rsidP="008F5BFA">
      <w:pPr>
        <w:pStyle w:val="BodyText"/>
        <w:rPr>
          <w:rFonts w:eastAsia="Times New Roman"/>
        </w:rPr>
      </w:pPr>
      <w:r>
        <w:rPr>
          <w:rFonts w:eastAsia="Times New Roman"/>
        </w:rPr>
        <w:t xml:space="preserve">We </w:t>
      </w:r>
      <w:r w:rsidR="00B27DCA">
        <w:rPr>
          <w:rFonts w:eastAsia="Times New Roman"/>
        </w:rPr>
        <w:t>want to know</w:t>
      </w:r>
      <w:r w:rsidR="00704004">
        <w:rPr>
          <w:rFonts w:eastAsia="Times New Roman"/>
        </w:rPr>
        <w:t xml:space="preserve"> y</w:t>
      </w:r>
      <w:r w:rsidR="00953C47">
        <w:rPr>
          <w:rFonts w:eastAsia="Times New Roman"/>
        </w:rPr>
        <w:t xml:space="preserve">our </w:t>
      </w:r>
      <w:r w:rsidR="00317F06">
        <w:rPr>
          <w:rFonts w:eastAsia="Times New Roman"/>
        </w:rPr>
        <w:t>thoughts</w:t>
      </w:r>
      <w:r w:rsidR="006A240E">
        <w:rPr>
          <w:rFonts w:eastAsia="Times New Roman"/>
        </w:rPr>
        <w:t xml:space="preserve"> </w:t>
      </w:r>
      <w:r w:rsidR="00317F06">
        <w:rPr>
          <w:rFonts w:eastAsia="Times New Roman"/>
        </w:rPr>
        <w:t>on the</w:t>
      </w:r>
      <w:r w:rsidR="00953C47">
        <w:rPr>
          <w:rFonts w:eastAsia="Times New Roman"/>
        </w:rPr>
        <w:t xml:space="preserve"> proposed </w:t>
      </w:r>
      <w:r w:rsidR="008F5BFA">
        <w:rPr>
          <w:rFonts w:eastAsia="Times New Roman"/>
        </w:rPr>
        <w:t>changes to the</w:t>
      </w:r>
      <w:r w:rsidR="00953C47">
        <w:rPr>
          <w:rFonts w:eastAsia="Times New Roman"/>
        </w:rPr>
        <w:t xml:space="preserve"> EEZ Fees Regulations</w:t>
      </w:r>
      <w:r w:rsidR="006A240E">
        <w:rPr>
          <w:rFonts w:eastAsia="Times New Roman"/>
        </w:rPr>
        <w:t xml:space="preserve"> </w:t>
      </w:r>
      <w:r w:rsidR="00317F06">
        <w:rPr>
          <w:rFonts w:eastAsia="Times New Roman"/>
        </w:rPr>
        <w:t>outlined in this document</w:t>
      </w:r>
      <w:r w:rsidR="00164276">
        <w:rPr>
          <w:rFonts w:eastAsia="Times New Roman"/>
        </w:rPr>
        <w:t xml:space="preserve">, including the </w:t>
      </w:r>
      <w:r w:rsidR="00A123D9">
        <w:rPr>
          <w:rFonts w:eastAsia="Times New Roman"/>
        </w:rPr>
        <w:t xml:space="preserve">calculations </w:t>
      </w:r>
      <w:r w:rsidR="0093605F">
        <w:rPr>
          <w:rFonts w:eastAsia="Times New Roman"/>
        </w:rPr>
        <w:t xml:space="preserve">and assumptions </w:t>
      </w:r>
      <w:r w:rsidR="00164276">
        <w:rPr>
          <w:rFonts w:eastAsia="Times New Roman"/>
        </w:rPr>
        <w:t xml:space="preserve">used </w:t>
      </w:r>
      <w:r w:rsidR="0093605F">
        <w:rPr>
          <w:rFonts w:eastAsia="Times New Roman"/>
        </w:rPr>
        <w:t>to set</w:t>
      </w:r>
      <w:r w:rsidR="00164276">
        <w:rPr>
          <w:rFonts w:eastAsia="Times New Roman"/>
        </w:rPr>
        <w:t xml:space="preserve"> the charge-ou</w:t>
      </w:r>
      <w:r w:rsidR="00201DB2">
        <w:rPr>
          <w:rFonts w:eastAsia="Times New Roman"/>
        </w:rPr>
        <w:t>t rates</w:t>
      </w:r>
      <w:r w:rsidR="00953C47">
        <w:rPr>
          <w:rFonts w:eastAsia="Times New Roman"/>
        </w:rPr>
        <w:t xml:space="preserve">. </w:t>
      </w:r>
    </w:p>
    <w:p w14:paraId="06F8923E" w14:textId="48FF3AD1" w:rsidR="00675DD4" w:rsidRDefault="00675DD4" w:rsidP="00675DD4">
      <w:pPr>
        <w:pStyle w:val="Heading2"/>
      </w:pPr>
      <w:bookmarkStart w:id="7" w:name="_Toc114734486"/>
      <w:r>
        <w:t>What is out of scope</w:t>
      </w:r>
      <w:bookmarkEnd w:id="7"/>
    </w:p>
    <w:p w14:paraId="5C5710C0" w14:textId="6CF350B9" w:rsidR="0091051F" w:rsidRPr="0091051F" w:rsidRDefault="00283A48" w:rsidP="00FF69E4">
      <w:pPr>
        <w:pStyle w:val="BodyText"/>
      </w:pPr>
      <w:r w:rsidRPr="0091051F">
        <w:rPr>
          <w:rFonts w:eastAsia="Times New Roman"/>
        </w:rPr>
        <w:t xml:space="preserve">This </w:t>
      </w:r>
      <w:r w:rsidR="006F78A4">
        <w:rPr>
          <w:rFonts w:eastAsia="Times New Roman"/>
        </w:rPr>
        <w:t>consultation</w:t>
      </w:r>
      <w:r w:rsidR="003E5311" w:rsidRPr="0091051F">
        <w:rPr>
          <w:rFonts w:eastAsia="Times New Roman"/>
        </w:rPr>
        <w:t xml:space="preserve"> document </w:t>
      </w:r>
      <w:r w:rsidRPr="0091051F">
        <w:rPr>
          <w:rFonts w:eastAsia="Times New Roman"/>
        </w:rPr>
        <w:t xml:space="preserve">does not </w:t>
      </w:r>
      <w:r w:rsidR="0096195F" w:rsidRPr="0091051F">
        <w:rPr>
          <w:rFonts w:eastAsia="Times New Roman"/>
        </w:rPr>
        <w:t xml:space="preserve">contain any proposals </w:t>
      </w:r>
      <w:r w:rsidR="00675DD4" w:rsidRPr="0091051F">
        <w:t>that require change</w:t>
      </w:r>
      <w:r w:rsidR="00266135" w:rsidRPr="0091051F">
        <w:t>s to the EEZ Act</w:t>
      </w:r>
      <w:r w:rsidR="00FD6F03" w:rsidRPr="0091051F">
        <w:t>,</w:t>
      </w:r>
      <w:r w:rsidR="00675DD4" w:rsidRPr="0091051F">
        <w:t xml:space="preserve"> such as creating </w:t>
      </w:r>
      <w:r w:rsidR="0080363F" w:rsidRPr="0091051F">
        <w:t>levies</w:t>
      </w:r>
      <w:r w:rsidR="00FD6F03" w:rsidRPr="0091051F">
        <w:t>,</w:t>
      </w:r>
      <w:r w:rsidR="001720B3" w:rsidRPr="0091051F">
        <w:t xml:space="preserve"> statutory review periods,</w:t>
      </w:r>
      <w:r w:rsidR="00BF69D0">
        <w:t xml:space="preserve"> or</w:t>
      </w:r>
      <w:r w:rsidR="001F1C61" w:rsidRPr="0091051F">
        <w:t xml:space="preserve"> changing the process for setting </w:t>
      </w:r>
      <w:r w:rsidR="00F559F7" w:rsidRPr="0091051F">
        <w:t xml:space="preserve">and authorising changes to </w:t>
      </w:r>
      <w:r w:rsidR="003E5311" w:rsidRPr="0091051F">
        <w:t>fees</w:t>
      </w:r>
      <w:r w:rsidR="009F0665" w:rsidRPr="0091051F">
        <w:t xml:space="preserve">. There are no current plans to review or amend the EEZ Act. </w:t>
      </w:r>
    </w:p>
    <w:p w14:paraId="5F5FBD95" w14:textId="263C3C10" w:rsidR="00FF69E4" w:rsidRDefault="00934F48" w:rsidP="00FF69E4">
      <w:pPr>
        <w:pStyle w:val="BodyText"/>
      </w:pPr>
      <w:r>
        <w:t xml:space="preserve">However, if you would like to share </w:t>
      </w:r>
      <w:r w:rsidR="008965F0">
        <w:t xml:space="preserve">your views </w:t>
      </w:r>
      <w:r>
        <w:t>on the broader EEZ Act cost</w:t>
      </w:r>
      <w:r w:rsidR="000F53B5">
        <w:t>-</w:t>
      </w:r>
      <w:r>
        <w:t>re</w:t>
      </w:r>
      <w:r w:rsidR="005B5D63">
        <w:t>covery regime, we welcome your comment</w:t>
      </w:r>
      <w:r w:rsidR="000F53B5">
        <w:t>s,</w:t>
      </w:r>
      <w:r w:rsidR="005B5D63">
        <w:t xml:space="preserve"> to inform </w:t>
      </w:r>
      <w:r w:rsidR="004E09E2">
        <w:t xml:space="preserve">potential </w:t>
      </w:r>
      <w:r w:rsidR="005B5D63">
        <w:t xml:space="preserve">future </w:t>
      </w:r>
      <w:r w:rsidR="004E09E2">
        <w:t>consideration.</w:t>
      </w:r>
    </w:p>
    <w:p w14:paraId="2891EED0" w14:textId="25DD453C" w:rsidR="00D40FE1" w:rsidRDefault="006F78A4" w:rsidP="00D40FE1">
      <w:pPr>
        <w:pStyle w:val="Heading2"/>
      </w:pPr>
      <w:bookmarkStart w:id="8" w:name="_Toc114734487"/>
      <w:r>
        <w:t>C</w:t>
      </w:r>
      <w:r w:rsidR="00470395">
        <w:t xml:space="preserve">onsultation </w:t>
      </w:r>
      <w:r>
        <w:t>process</w:t>
      </w:r>
      <w:bookmarkEnd w:id="8"/>
    </w:p>
    <w:p w14:paraId="61ACD299" w14:textId="46117CB9" w:rsidR="00A25219" w:rsidRDefault="00A25219" w:rsidP="00A25219">
      <w:pPr>
        <w:pStyle w:val="BodyText"/>
      </w:pPr>
      <w:r>
        <w:t xml:space="preserve">This consultation will close at 5pm </w:t>
      </w:r>
      <w:r w:rsidRPr="003A4416">
        <w:t xml:space="preserve">on </w:t>
      </w:r>
      <w:r w:rsidR="00335A50" w:rsidRPr="003A4416">
        <w:t xml:space="preserve">20 </w:t>
      </w:r>
      <w:r w:rsidR="00406354" w:rsidRPr="003A4416">
        <w:t>January</w:t>
      </w:r>
      <w:r w:rsidR="00406354">
        <w:t xml:space="preserve"> 2023</w:t>
      </w:r>
      <w:r>
        <w:t xml:space="preserve">. </w:t>
      </w:r>
      <w:r w:rsidR="007011E5" w:rsidRPr="0082483D">
        <w:rPr>
          <w:rFonts w:eastAsia="Times New Roman"/>
        </w:rPr>
        <w:t xml:space="preserve">After receiving submissions, we will analyse them to inform policy and government decisions. </w:t>
      </w:r>
      <w:r w:rsidR="00417947">
        <w:rPr>
          <w:rFonts w:eastAsia="Times New Roman"/>
        </w:rPr>
        <w:t>We</w:t>
      </w:r>
      <w:r>
        <w:t xml:space="preserve"> will put final proposals to the Minister </w:t>
      </w:r>
      <w:r w:rsidR="009E5DBA">
        <w:t>for the Environment</w:t>
      </w:r>
      <w:r>
        <w:t xml:space="preserve"> and Cabinet for </w:t>
      </w:r>
      <w:r w:rsidR="00417BA0">
        <w:t>consideration</w:t>
      </w:r>
      <w:r w:rsidR="003C20F3">
        <w:t xml:space="preserve"> </w:t>
      </w:r>
      <w:r w:rsidR="00581AC7">
        <w:t>next</w:t>
      </w:r>
      <w:r w:rsidR="006C3888">
        <w:t xml:space="preserve"> year</w:t>
      </w:r>
      <w:r>
        <w:t xml:space="preserve">. </w:t>
      </w:r>
      <w:r w:rsidR="00417BA0">
        <w:t>Subject to</w:t>
      </w:r>
      <w:r>
        <w:t xml:space="preserve"> Cabinet approval, amendments to </w:t>
      </w:r>
      <w:r w:rsidR="009E5DBA">
        <w:t xml:space="preserve">the </w:t>
      </w:r>
      <w:r w:rsidR="007E75B0">
        <w:t xml:space="preserve">EEZ Fees Regulations </w:t>
      </w:r>
      <w:r>
        <w:t xml:space="preserve">will be </w:t>
      </w:r>
      <w:r w:rsidR="007E75B0">
        <w:t>notified</w:t>
      </w:r>
      <w:r>
        <w:t xml:space="preserve"> in the </w:t>
      </w:r>
      <w:r w:rsidRPr="00FC1182">
        <w:rPr>
          <w:i/>
          <w:iCs/>
        </w:rPr>
        <w:t>New Zealand Gazette</w:t>
      </w:r>
      <w:r w:rsidR="0036255E">
        <w:t>.</w:t>
      </w:r>
    </w:p>
    <w:p w14:paraId="45A33E96" w14:textId="77777777" w:rsidR="00C04D89" w:rsidRDefault="00C04D89">
      <w:pPr>
        <w:spacing w:before="0" w:after="200" w:line="276" w:lineRule="auto"/>
        <w:jc w:val="left"/>
        <w:rPr>
          <w:rFonts w:ascii="Georgia" w:eastAsiaTheme="majorEastAsia" w:hAnsi="Georgia" w:cstheme="majorBidi"/>
          <w:b/>
          <w:bCs/>
          <w:color w:val="1B556B"/>
          <w:sz w:val="36"/>
          <w:szCs w:val="26"/>
        </w:rPr>
      </w:pPr>
      <w:bookmarkStart w:id="9" w:name="_Toc114734488"/>
      <w:r>
        <w:br w:type="page"/>
      </w:r>
    </w:p>
    <w:p w14:paraId="3E181013" w14:textId="6DF75C77" w:rsidR="00A25219" w:rsidRDefault="00A25219" w:rsidP="001F2178">
      <w:pPr>
        <w:pStyle w:val="Heading2"/>
      </w:pPr>
      <w:r>
        <w:lastRenderedPageBreak/>
        <w:t>Submitting your views</w:t>
      </w:r>
      <w:bookmarkEnd w:id="9"/>
    </w:p>
    <w:p w14:paraId="21E1CA5C" w14:textId="2A6236FC" w:rsidR="0095753F" w:rsidRDefault="00375FDF" w:rsidP="29947978">
      <w:pPr>
        <w:pStyle w:val="BodyText"/>
        <w:rPr>
          <w:b/>
          <w:bCs/>
        </w:rPr>
      </w:pPr>
      <w:r w:rsidRPr="00375FDF">
        <w:t xml:space="preserve">If you want to </w:t>
      </w:r>
      <w:r w:rsidR="003835FE">
        <w:t>m</w:t>
      </w:r>
      <w:r w:rsidR="00434950">
        <w:t>ake a</w:t>
      </w:r>
      <w:r w:rsidRPr="00375FDF">
        <w:t xml:space="preserve"> submission</w:t>
      </w:r>
      <w:r w:rsidR="00410AD3">
        <w:t>,</w:t>
      </w:r>
      <w:r w:rsidRPr="00375FDF">
        <w:t xml:space="preserve"> you can </w:t>
      </w:r>
      <w:r w:rsidR="29947978">
        <w:t xml:space="preserve">email it to </w:t>
      </w:r>
      <w:r w:rsidR="006E53F0">
        <w:t>EEZFees@mfe.govt.nz</w:t>
      </w:r>
      <w:r w:rsidR="29947978">
        <w:t xml:space="preserve"> as a: </w:t>
      </w:r>
    </w:p>
    <w:p w14:paraId="61A39913" w14:textId="602EFD68" w:rsidR="0095753F" w:rsidRDefault="29947978" w:rsidP="007A6990">
      <w:pPr>
        <w:pStyle w:val="Bullet"/>
        <w:rPr>
          <w:rFonts w:eastAsiaTheme="minorEastAsia"/>
        </w:rPr>
      </w:pPr>
      <w:r w:rsidRPr="29947978">
        <w:rPr>
          <w:rFonts w:eastAsiaTheme="minorEastAsia"/>
        </w:rPr>
        <w:t>PDF</w:t>
      </w:r>
    </w:p>
    <w:p w14:paraId="6AD484E5" w14:textId="68419991" w:rsidR="0095753F" w:rsidRDefault="29947978" w:rsidP="007A6990">
      <w:pPr>
        <w:pStyle w:val="Bullet"/>
        <w:rPr>
          <w:rFonts w:eastAsiaTheme="minorEastAsia"/>
          <w:b/>
          <w:bCs/>
        </w:rPr>
      </w:pPr>
      <w:r w:rsidRPr="29947978">
        <w:rPr>
          <w:rFonts w:eastAsiaTheme="minorEastAsia"/>
        </w:rPr>
        <w:t>Microsoft Word document (2003 or later version)</w:t>
      </w:r>
      <w:r w:rsidR="001A0625">
        <w:rPr>
          <w:rFonts w:eastAsiaTheme="minorEastAsia"/>
        </w:rPr>
        <w:t>.</w:t>
      </w:r>
    </w:p>
    <w:p w14:paraId="412052CB" w14:textId="3BE50D47" w:rsidR="00375FDF" w:rsidRPr="00375FDF" w:rsidRDefault="29947978" w:rsidP="00E50804">
      <w:pPr>
        <w:pStyle w:val="BodyText"/>
      </w:pPr>
      <w:r>
        <w:t>Please</w:t>
      </w:r>
      <w:r w:rsidR="00375FDF" w:rsidRPr="00375FDF">
        <w:t xml:space="preserve"> include:</w:t>
      </w:r>
    </w:p>
    <w:p w14:paraId="1014FD15" w14:textId="2C3A636C" w:rsidR="00375FDF" w:rsidRPr="00375FDF" w:rsidRDefault="0095753F" w:rsidP="007A6990">
      <w:pPr>
        <w:pStyle w:val="Bullet"/>
        <w:rPr>
          <w:rFonts w:eastAsiaTheme="minorEastAsia"/>
        </w:rPr>
      </w:pPr>
      <w:r>
        <w:rPr>
          <w:rFonts w:eastAsiaTheme="minorEastAsia"/>
        </w:rPr>
        <w:t xml:space="preserve">the </w:t>
      </w:r>
      <w:r w:rsidR="00375FDF" w:rsidRPr="00375FDF">
        <w:rPr>
          <w:rFonts w:eastAsiaTheme="minorEastAsia"/>
        </w:rPr>
        <w:t>title of the consultation</w:t>
      </w:r>
    </w:p>
    <w:p w14:paraId="103DBF1C" w14:textId="75B2ACA4" w:rsidR="00375FDF" w:rsidRPr="00375FDF" w:rsidRDefault="00375FDF" w:rsidP="007A6990">
      <w:pPr>
        <w:pStyle w:val="Bullet"/>
        <w:rPr>
          <w:rFonts w:eastAsiaTheme="minorEastAsia"/>
        </w:rPr>
      </w:pPr>
      <w:r w:rsidRPr="00375FDF">
        <w:rPr>
          <w:rFonts w:eastAsiaTheme="minorEastAsia"/>
        </w:rPr>
        <w:t>your name or organisation</w:t>
      </w:r>
    </w:p>
    <w:p w14:paraId="2BD95CA8" w14:textId="303910CE" w:rsidR="00375FDF" w:rsidRPr="00375FDF" w:rsidRDefault="00375FDF" w:rsidP="007A6990">
      <w:pPr>
        <w:pStyle w:val="Bullet"/>
        <w:rPr>
          <w:rFonts w:eastAsiaTheme="minorEastAsia"/>
        </w:rPr>
      </w:pPr>
      <w:r w:rsidRPr="00375FDF">
        <w:rPr>
          <w:rFonts w:eastAsiaTheme="minorEastAsia"/>
        </w:rPr>
        <w:t>your postal address</w:t>
      </w:r>
    </w:p>
    <w:p w14:paraId="4CC45772" w14:textId="60D735FB" w:rsidR="00375FDF" w:rsidRPr="00375FDF" w:rsidRDefault="00375FDF" w:rsidP="007A6990">
      <w:pPr>
        <w:pStyle w:val="Bullet"/>
        <w:rPr>
          <w:rFonts w:eastAsiaTheme="minorEastAsia"/>
        </w:rPr>
      </w:pPr>
      <w:r w:rsidRPr="00375FDF">
        <w:rPr>
          <w:rFonts w:eastAsiaTheme="minorEastAsia"/>
        </w:rPr>
        <w:t>your telephone number</w:t>
      </w:r>
    </w:p>
    <w:p w14:paraId="235B9605" w14:textId="72851490" w:rsidR="00375FDF" w:rsidRPr="00375FDF" w:rsidRDefault="00375FDF" w:rsidP="007A6990">
      <w:pPr>
        <w:pStyle w:val="Bullet"/>
        <w:rPr>
          <w:rFonts w:eastAsiaTheme="minorEastAsia"/>
        </w:rPr>
      </w:pPr>
      <w:r w:rsidRPr="00375FDF">
        <w:rPr>
          <w:rFonts w:eastAsiaTheme="minorEastAsia"/>
        </w:rPr>
        <w:t>your email address.</w:t>
      </w:r>
    </w:p>
    <w:p w14:paraId="2180A5D1" w14:textId="68F77340" w:rsidR="29947978" w:rsidRDefault="29947978" w:rsidP="29947978">
      <w:pPr>
        <w:pStyle w:val="BodyText"/>
      </w:pPr>
      <w:r>
        <w:t xml:space="preserve">If you intend to send a written submission, please address to </w:t>
      </w:r>
      <w:r w:rsidR="00F35495">
        <w:t xml:space="preserve">the </w:t>
      </w:r>
      <w:r w:rsidR="006356F8">
        <w:t>Marine Policy team</w:t>
      </w:r>
      <w:r>
        <w:t>, Ministry for the Environment, PO Box 10362, Wellington 6143.</w:t>
      </w:r>
    </w:p>
    <w:p w14:paraId="1FBF75F3" w14:textId="2B7E16C8" w:rsidR="00E936D4" w:rsidRPr="00E936D4" w:rsidRDefault="00E936D4" w:rsidP="00E936D4">
      <w:pPr>
        <w:pStyle w:val="BodyText"/>
        <w:rPr>
          <w:b/>
          <w:bCs/>
        </w:rPr>
      </w:pPr>
      <w:r w:rsidRPr="00E936D4">
        <w:rPr>
          <w:b/>
          <w:bCs/>
        </w:rPr>
        <w:t xml:space="preserve">Submissions close </w:t>
      </w:r>
      <w:r w:rsidR="009105E9">
        <w:rPr>
          <w:b/>
          <w:bCs/>
        </w:rPr>
        <w:t>20</w:t>
      </w:r>
      <w:r w:rsidR="009105E9" w:rsidRPr="00E936D4">
        <w:rPr>
          <w:b/>
          <w:bCs/>
        </w:rPr>
        <w:t xml:space="preserve"> </w:t>
      </w:r>
      <w:r w:rsidR="003D609C" w:rsidRPr="00DE5753">
        <w:rPr>
          <w:b/>
        </w:rPr>
        <w:t xml:space="preserve">January </w:t>
      </w:r>
      <w:r w:rsidRPr="00DE5753">
        <w:rPr>
          <w:b/>
        </w:rPr>
        <w:t>202</w:t>
      </w:r>
      <w:r w:rsidR="00406354" w:rsidRPr="00DE5753">
        <w:rPr>
          <w:b/>
        </w:rPr>
        <w:t>3</w:t>
      </w:r>
      <w:r w:rsidRPr="00E936D4">
        <w:rPr>
          <w:b/>
          <w:bCs/>
        </w:rPr>
        <w:t>.</w:t>
      </w:r>
    </w:p>
    <w:p w14:paraId="3E37EADA" w14:textId="77777777" w:rsidR="00B6671B" w:rsidRDefault="00B6671B" w:rsidP="00B6671B">
      <w:pPr>
        <w:pStyle w:val="Heading2"/>
      </w:pPr>
      <w:bookmarkStart w:id="10" w:name="_Toc531079576"/>
      <w:bookmarkStart w:id="11" w:name="_Toc531789121"/>
      <w:bookmarkStart w:id="12" w:name="_Toc534621393"/>
      <w:bookmarkStart w:id="13" w:name="_Toc535571904"/>
      <w:bookmarkStart w:id="14" w:name="_Toc3188901"/>
      <w:bookmarkStart w:id="15" w:name="_Toc75336483"/>
      <w:bookmarkStart w:id="16" w:name="_Toc114734489"/>
      <w:r>
        <w:t>Publishing and releasing submissions</w:t>
      </w:r>
      <w:bookmarkEnd w:id="10"/>
      <w:bookmarkEnd w:id="11"/>
      <w:bookmarkEnd w:id="12"/>
      <w:bookmarkEnd w:id="13"/>
      <w:bookmarkEnd w:id="14"/>
      <w:bookmarkEnd w:id="15"/>
      <w:bookmarkEnd w:id="16"/>
    </w:p>
    <w:p w14:paraId="02398D55" w14:textId="31FE45F0" w:rsidR="00B6671B" w:rsidRDefault="00B6671B" w:rsidP="00B6671B">
      <w:pPr>
        <w:pStyle w:val="BodyText"/>
      </w:pPr>
      <w:r>
        <w:t xml:space="preserve">All or part of any written </w:t>
      </w:r>
      <w:r w:rsidR="007E7509">
        <w:t>submission</w:t>
      </w:r>
      <w:r>
        <w:t xml:space="preserve"> (including names of submitters), may be published on the</w:t>
      </w:r>
      <w:r w:rsidR="00221C72">
        <w:t xml:space="preserve"> </w:t>
      </w:r>
      <w:r>
        <w:t xml:space="preserve">Ministry for the Environment’s website, </w:t>
      </w:r>
      <w:hyperlink r:id="rId17" w:history="1">
        <w:r w:rsidRPr="00E74BBA">
          <w:rPr>
            <w:rStyle w:val="Hyperlink"/>
            <w:color w:val="0F7B87"/>
          </w:rPr>
          <w:t>environment.govt.nz</w:t>
        </w:r>
      </w:hyperlink>
      <w:r>
        <w:t>. Unless you clearly specify otherwise in your submission, the Ministry will consider that you have consented to website posting of both your submission and your name.</w:t>
      </w:r>
    </w:p>
    <w:p w14:paraId="74EFAB13" w14:textId="09936571" w:rsidR="00B6671B" w:rsidRDefault="00B6671B" w:rsidP="00B6671B">
      <w:pPr>
        <w:pStyle w:val="BodyText"/>
      </w:pPr>
      <w:r>
        <w:t>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w:t>
      </w:r>
      <w:r w:rsidR="00221C72">
        <w:t xml:space="preserve"> </w:t>
      </w:r>
      <w:r>
        <w:t>requests for copies of, and information on, submissions to this document under the Official Information Act.</w:t>
      </w:r>
    </w:p>
    <w:p w14:paraId="2982F6C3" w14:textId="77777777" w:rsidR="00B6671B" w:rsidRDefault="00B6671B" w:rsidP="00B6671B">
      <w:pPr>
        <w:pStyle w:val="BodyText"/>
      </w:pPr>
      <w:r>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14:paraId="20414ED0" w14:textId="134FB77C" w:rsidR="00B6671B" w:rsidRPr="0082483D" w:rsidRDefault="00B6671B" w:rsidP="00B6671B">
      <w:pPr>
        <w:pStyle w:val="BodyText"/>
      </w:pPr>
      <w:r w:rsidRPr="0082483D">
        <w:t xml:space="preserve">If you have any questions or want more information about the proposed </w:t>
      </w:r>
      <w:r>
        <w:t>EEZ</w:t>
      </w:r>
      <w:r w:rsidR="00B51210">
        <w:t xml:space="preserve"> </w:t>
      </w:r>
      <w:r>
        <w:t>Fee</w:t>
      </w:r>
      <w:r w:rsidR="00B51210">
        <w:t>s</w:t>
      </w:r>
      <w:r>
        <w:t xml:space="preserve"> Regulation</w:t>
      </w:r>
      <w:r w:rsidRPr="0082483D">
        <w:t xml:space="preserve"> amendments or the submission process, please email </w:t>
      </w:r>
      <w:r w:rsidR="00FD1077">
        <w:t>EEZFees@mfe.govt.nz</w:t>
      </w:r>
      <w:r w:rsidRPr="0082483D">
        <w:t>.</w:t>
      </w:r>
    </w:p>
    <w:p w14:paraId="52036E59" w14:textId="76CB6E14" w:rsidR="00B51A3B" w:rsidRDefault="00B51A3B">
      <w:pPr>
        <w:spacing w:before="0" w:after="200" w:line="276" w:lineRule="auto"/>
        <w:jc w:val="left"/>
        <w:rPr>
          <w:rFonts w:asciiTheme="minorHAnsi" w:hAnsiTheme="minorHAnsi" w:cstheme="minorHAnsi"/>
          <w:b/>
          <w:bCs/>
        </w:rPr>
      </w:pPr>
      <w:bookmarkStart w:id="17" w:name="Opportunities"/>
      <w:bookmarkEnd w:id="4"/>
      <w:r>
        <w:rPr>
          <w:rFonts w:asciiTheme="minorHAnsi" w:hAnsiTheme="minorHAnsi" w:cstheme="minorHAnsi"/>
          <w:b/>
          <w:bCs/>
        </w:rPr>
        <w:br w:type="page"/>
      </w:r>
    </w:p>
    <w:p w14:paraId="754AEFC5" w14:textId="58E61192" w:rsidR="00726EFA" w:rsidRDefault="00E414EF" w:rsidP="00E414EF">
      <w:pPr>
        <w:pStyle w:val="Heading1"/>
      </w:pPr>
      <w:bookmarkStart w:id="18" w:name="_Toc114734490"/>
      <w:r>
        <w:lastRenderedPageBreak/>
        <w:t>Summary of proposals</w:t>
      </w:r>
      <w:bookmarkEnd w:id="18"/>
    </w:p>
    <w:p w14:paraId="148129A3" w14:textId="77777777" w:rsidR="003A747F" w:rsidRDefault="00093D00" w:rsidP="00F12BE3">
      <w:pPr>
        <w:pStyle w:val="BodyText"/>
      </w:pPr>
      <w:r>
        <w:t xml:space="preserve">The Environmental Protection Authority (EPA) </w:t>
      </w:r>
      <w:r w:rsidR="001F6F35">
        <w:t>perform</w:t>
      </w:r>
      <w:r w:rsidR="001A0625">
        <w:t>s</w:t>
      </w:r>
      <w:r w:rsidR="001F6F35">
        <w:t xml:space="preserve"> functions and services</w:t>
      </w:r>
      <w:r>
        <w:t xml:space="preserve"> under the Exclusive Economic Zone and Continental Shelf (Environmental Effects) Act 2012 (the EEZ Act) related </w:t>
      </w:r>
      <w:r w:rsidR="00896F99">
        <w:t xml:space="preserve">to </w:t>
      </w:r>
      <w:r w:rsidR="00AD6982">
        <w:t xml:space="preserve">management of </w:t>
      </w:r>
      <w:r w:rsidR="005B4B2D">
        <w:t xml:space="preserve">Aotearoa </w:t>
      </w:r>
      <w:r w:rsidR="00847B32">
        <w:t>New Zealand’s</w:t>
      </w:r>
      <w:r w:rsidR="00AD6982">
        <w:t xml:space="preserve"> Exclusive Economic Zone</w:t>
      </w:r>
      <w:r w:rsidR="00C158D2">
        <w:t xml:space="preserve"> </w:t>
      </w:r>
      <w:r w:rsidR="005A231B">
        <w:t>and extended continental shelf</w:t>
      </w:r>
      <w:r w:rsidR="00211E1A">
        <w:t xml:space="preserve"> (EEZ)</w:t>
      </w:r>
      <w:r>
        <w:t>.</w:t>
      </w:r>
      <w:r w:rsidR="00665EAC">
        <w:t xml:space="preserve"> </w:t>
      </w:r>
    </w:p>
    <w:p w14:paraId="22CB1C05" w14:textId="7F91B95D" w:rsidR="00093D00" w:rsidRDefault="00F31EAB" w:rsidP="00F12BE3">
      <w:pPr>
        <w:pStyle w:val="BodyText"/>
      </w:pPr>
      <w:r>
        <w:t>In broad terms, th</w:t>
      </w:r>
      <w:r w:rsidR="00A51247">
        <w:t>e</w:t>
      </w:r>
      <w:r>
        <w:t>se functions</w:t>
      </w:r>
      <w:r w:rsidR="00A51247">
        <w:t xml:space="preserve"> and services</w:t>
      </w:r>
      <w:r>
        <w:t xml:space="preserve"> </w:t>
      </w:r>
      <w:r w:rsidR="0015616B">
        <w:t>include</w:t>
      </w:r>
      <w:r>
        <w:t xml:space="preserve"> </w:t>
      </w:r>
      <w:r w:rsidR="00575490">
        <w:t xml:space="preserve">deciding </w:t>
      </w:r>
      <w:r w:rsidR="001E6C8E">
        <w:t>whether</w:t>
      </w:r>
      <w:r w:rsidR="00575490">
        <w:t xml:space="preserve"> proposed a</w:t>
      </w:r>
      <w:r w:rsidR="008E5662">
        <w:t xml:space="preserve">ctivities are allowed </w:t>
      </w:r>
      <w:r w:rsidR="00C52605">
        <w:t>(consenting functions</w:t>
      </w:r>
      <w:r w:rsidR="00CC1BF5">
        <w:t>) and</w:t>
      </w:r>
      <w:r w:rsidR="00C52605">
        <w:t xml:space="preserve"> </w:t>
      </w:r>
      <w:r w:rsidR="00CF6F2E">
        <w:t xml:space="preserve">monitoring </w:t>
      </w:r>
      <w:r w:rsidR="0008055C">
        <w:t xml:space="preserve">activities to make sure they are </w:t>
      </w:r>
      <w:r w:rsidR="00EA6F21">
        <w:t xml:space="preserve">being done </w:t>
      </w:r>
      <w:r w:rsidR="00424A1B">
        <w:t>lawful</w:t>
      </w:r>
      <w:r w:rsidR="00EA6F21">
        <w:t>ly</w:t>
      </w:r>
      <w:r w:rsidR="00424A1B">
        <w:t xml:space="preserve"> </w:t>
      </w:r>
      <w:r w:rsidR="00116219">
        <w:t>(</w:t>
      </w:r>
      <w:r w:rsidR="00575490">
        <w:t>monitoring</w:t>
      </w:r>
      <w:r w:rsidR="00116219">
        <w:t xml:space="preserve"> functions). </w:t>
      </w:r>
    </w:p>
    <w:p w14:paraId="54051676" w14:textId="12DE9C87" w:rsidR="00093D00" w:rsidRDefault="00446A11" w:rsidP="00F12BE3">
      <w:pPr>
        <w:pStyle w:val="BodyText"/>
      </w:pPr>
      <w:r>
        <w:t>U</w:t>
      </w:r>
      <w:r w:rsidRPr="007907AD">
        <w:t>nder the EEZ Act</w:t>
      </w:r>
      <w:r w:rsidR="003610A8">
        <w:t>,</w:t>
      </w:r>
      <w:r w:rsidRPr="007907AD">
        <w:t xml:space="preserve"> </w:t>
      </w:r>
      <w:r w:rsidR="005559C7">
        <w:t>the</w:t>
      </w:r>
      <w:r w:rsidR="007907AD" w:rsidRPr="007907AD">
        <w:t xml:space="preserve"> EPA </w:t>
      </w:r>
      <w:r>
        <w:t xml:space="preserve">must </w:t>
      </w:r>
      <w:r w:rsidR="007907AD" w:rsidRPr="007907AD">
        <w:t xml:space="preserve">recover the direct and indirect costs of </w:t>
      </w:r>
      <w:r w:rsidR="00575490">
        <w:t xml:space="preserve">any of </w:t>
      </w:r>
      <w:r w:rsidR="007907AD" w:rsidRPr="007907AD">
        <w:t xml:space="preserve">its </w:t>
      </w:r>
      <w:r w:rsidR="005559C7">
        <w:t xml:space="preserve">functions and </w:t>
      </w:r>
      <w:r w:rsidR="007907AD" w:rsidRPr="005559C7">
        <w:t xml:space="preserve">services </w:t>
      </w:r>
      <w:r w:rsidR="007907AD" w:rsidRPr="007907AD">
        <w:t xml:space="preserve">that are not </w:t>
      </w:r>
      <w:r w:rsidR="000A46C9">
        <w:t>paid for</w:t>
      </w:r>
      <w:r w:rsidR="000A46C9" w:rsidRPr="007907AD">
        <w:t xml:space="preserve"> </w:t>
      </w:r>
      <w:r w:rsidR="007907AD" w:rsidRPr="007907AD">
        <w:t xml:space="preserve">by the Crown. </w:t>
      </w:r>
    </w:p>
    <w:p w14:paraId="180EF245" w14:textId="584C296E" w:rsidR="00D350E3" w:rsidRDefault="00EE7838" w:rsidP="00F12BE3">
      <w:pPr>
        <w:pStyle w:val="BodyText"/>
      </w:pPr>
      <w:r>
        <w:t>I</w:t>
      </w:r>
      <w:r w:rsidR="00D15E1D">
        <w:t>n</w:t>
      </w:r>
      <w:r>
        <w:t xml:space="preserve"> 2012, Cabinet </w:t>
      </w:r>
      <w:r w:rsidR="006B1FC7">
        <w:t>agreed that</w:t>
      </w:r>
      <w:r w:rsidR="001904B6">
        <w:t xml:space="preserve"> </w:t>
      </w:r>
      <w:r w:rsidR="00BF4CD7">
        <w:t>the EPA should recover 100</w:t>
      </w:r>
      <w:r w:rsidR="00047C08">
        <w:t xml:space="preserve"> per cent</w:t>
      </w:r>
      <w:r w:rsidR="00BF4CD7">
        <w:t xml:space="preserve"> of the costs of its consenting functions, and 80</w:t>
      </w:r>
      <w:r w:rsidR="00047C08">
        <w:t xml:space="preserve"> per cent</w:t>
      </w:r>
      <w:r w:rsidR="00BF4CD7">
        <w:t xml:space="preserve"> of the costs of its </w:t>
      </w:r>
      <w:r w:rsidR="00575490">
        <w:t>monitoring</w:t>
      </w:r>
      <w:r w:rsidR="00BF4CD7">
        <w:t xml:space="preserve"> functions. </w:t>
      </w:r>
      <w:r w:rsidR="00737FC3">
        <w:t>This reflected Cabinet’s agreement that consenting functions provide private benefits only</w:t>
      </w:r>
      <w:r w:rsidR="00AE2E20">
        <w:t>, but</w:t>
      </w:r>
      <w:r w:rsidR="00737FC3">
        <w:t xml:space="preserve"> monitoring functions provide both private and public benefits. </w:t>
      </w:r>
    </w:p>
    <w:p w14:paraId="416247D1" w14:textId="33E95317" w:rsidR="002A4B92" w:rsidRDefault="00AE2E20" w:rsidP="00CE5C5A">
      <w:pPr>
        <w:pStyle w:val="BodyText"/>
      </w:pPr>
      <w:r>
        <w:t>The</w:t>
      </w:r>
      <w:r w:rsidR="00847B32" w:rsidRPr="007907AD">
        <w:t xml:space="preserve"> </w:t>
      </w:r>
      <w:r w:rsidR="007907AD" w:rsidRPr="007907AD">
        <w:t>Exclusive Economic Zone and Continental Shelf (Fees and Charges) Regulations 2013 (the EEZ</w:t>
      </w:r>
      <w:r w:rsidR="007A6990">
        <w:t xml:space="preserve"> </w:t>
      </w:r>
      <w:r w:rsidR="007907AD" w:rsidRPr="007907AD">
        <w:t>Fee</w:t>
      </w:r>
      <w:r w:rsidR="00CE5C5A">
        <w:t>s</w:t>
      </w:r>
      <w:r w:rsidR="007907AD" w:rsidRPr="007907AD">
        <w:t xml:space="preserve"> Regulations)</w:t>
      </w:r>
      <w:r>
        <w:t xml:space="preserve"> </w:t>
      </w:r>
      <w:r w:rsidR="00575490">
        <w:t xml:space="preserve">set hourly </w:t>
      </w:r>
      <w:r w:rsidR="00F20143">
        <w:t xml:space="preserve">charge-out </w:t>
      </w:r>
      <w:r w:rsidR="00575490">
        <w:t xml:space="preserve">rates for </w:t>
      </w:r>
      <w:r w:rsidR="00F87ABC">
        <w:t>the EPA’s</w:t>
      </w:r>
      <w:r w:rsidR="00575490">
        <w:t xml:space="preserve"> </w:t>
      </w:r>
      <w:r w:rsidR="00C725D4">
        <w:t>cost-recoverable functions</w:t>
      </w:r>
      <w:r w:rsidR="00894CF1">
        <w:t xml:space="preserve"> and services</w:t>
      </w:r>
      <w:r w:rsidR="00C725D4">
        <w:t>. To align with Cabinet</w:t>
      </w:r>
      <w:r w:rsidR="0068490A">
        <w:t>’s 2012</w:t>
      </w:r>
      <w:r w:rsidR="00C725D4">
        <w:t xml:space="preserve"> decision, </w:t>
      </w:r>
      <w:r w:rsidR="00605893">
        <w:t>the rates for</w:t>
      </w:r>
      <w:r w:rsidR="00575490">
        <w:t xml:space="preserve"> monitoring functions</w:t>
      </w:r>
      <w:r w:rsidR="00605893">
        <w:t xml:space="preserve"> are 80</w:t>
      </w:r>
      <w:r w:rsidR="00156331">
        <w:t xml:space="preserve"> per </w:t>
      </w:r>
      <w:r w:rsidR="00CD3565">
        <w:t>c</w:t>
      </w:r>
      <w:r w:rsidR="00156331">
        <w:t>ent</w:t>
      </w:r>
      <w:r w:rsidR="00605893">
        <w:t xml:space="preserve"> of the rates for consenting functions</w:t>
      </w:r>
      <w:r w:rsidR="00575490">
        <w:t xml:space="preserve">. </w:t>
      </w:r>
      <w:r w:rsidR="00B92A69">
        <w:fldChar w:fldCharType="begin"/>
      </w:r>
      <w:r w:rsidR="00B92A69">
        <w:instrText xml:space="preserve"> REF _Ref114654380 \h </w:instrText>
      </w:r>
      <w:r w:rsidR="00B92A69">
        <w:fldChar w:fldCharType="separate"/>
      </w:r>
      <w:r w:rsidR="00B92A69">
        <w:t xml:space="preserve">Table </w:t>
      </w:r>
      <w:r w:rsidR="00B92A69">
        <w:rPr>
          <w:noProof/>
        </w:rPr>
        <w:t>1</w:t>
      </w:r>
      <w:r w:rsidR="00B92A69">
        <w:fldChar w:fldCharType="end"/>
      </w:r>
      <w:r w:rsidR="00575490">
        <w:t xml:space="preserve"> </w:t>
      </w:r>
      <w:r w:rsidR="00D87630">
        <w:t xml:space="preserve">(overleaf) </w:t>
      </w:r>
      <w:r w:rsidR="00575490">
        <w:t>shows t</w:t>
      </w:r>
      <w:r w:rsidR="007907AD" w:rsidRPr="007907AD">
        <w:t>he current charge-out rates</w:t>
      </w:r>
      <w:r w:rsidR="00C71D00">
        <w:t>.</w:t>
      </w:r>
    </w:p>
    <w:p w14:paraId="253B8C21" w14:textId="798A46D4" w:rsidR="009A38CA" w:rsidRPr="00527AFD" w:rsidRDefault="009A38CA" w:rsidP="000E19F6">
      <w:pPr>
        <w:pStyle w:val="BodyText"/>
        <w:spacing w:before="240"/>
      </w:pPr>
      <w:r w:rsidRPr="00F67A38">
        <w:rPr>
          <w:rFonts w:cs="Calibri"/>
          <w:shd w:val="clear" w:color="auto" w:fill="FFFFFF"/>
        </w:rPr>
        <w:t>The EPA’s</w:t>
      </w:r>
      <w:r w:rsidRPr="00527AFD">
        <w:t xml:space="preserve"> c</w:t>
      </w:r>
      <w:r w:rsidR="00400FFB" w:rsidRPr="00527AFD">
        <w:t>osts have increased over the last nine years</w:t>
      </w:r>
      <w:r w:rsidR="005C2DC0">
        <w:t>.</w:t>
      </w:r>
      <w:r w:rsidR="00580CFE">
        <w:t xml:space="preserve"> </w:t>
      </w:r>
      <w:r w:rsidR="004B5015">
        <w:t>T</w:t>
      </w:r>
      <w:r w:rsidR="00E7051B" w:rsidRPr="00F67A38">
        <w:rPr>
          <w:rFonts w:cs="Calibri"/>
          <w:shd w:val="clear" w:color="auto" w:fill="FFFFFF"/>
        </w:rPr>
        <w:t xml:space="preserve">here are new staff categories, and there is </w:t>
      </w:r>
      <w:r w:rsidR="004B5015">
        <w:rPr>
          <w:rFonts w:cs="Calibri"/>
          <w:shd w:val="clear" w:color="auto" w:fill="FFFFFF"/>
        </w:rPr>
        <w:t xml:space="preserve">now </w:t>
      </w:r>
      <w:r w:rsidR="00827C6D">
        <w:rPr>
          <w:rFonts w:cs="Calibri"/>
          <w:shd w:val="clear" w:color="auto" w:fill="FFFFFF"/>
        </w:rPr>
        <w:t>better</w:t>
      </w:r>
      <w:r w:rsidR="00827C6D" w:rsidRPr="00F67A38">
        <w:rPr>
          <w:rFonts w:cs="Calibri"/>
          <w:shd w:val="clear" w:color="auto" w:fill="FFFFFF"/>
        </w:rPr>
        <w:t xml:space="preserve"> </w:t>
      </w:r>
      <w:r w:rsidR="00E7051B" w:rsidRPr="00F67A38">
        <w:rPr>
          <w:rFonts w:cs="Calibri"/>
          <w:shd w:val="clear" w:color="auto" w:fill="FFFFFF"/>
        </w:rPr>
        <w:t>information about the EPA’s costs and activities that was not available in 2013. </w:t>
      </w:r>
    </w:p>
    <w:p w14:paraId="13943A5F" w14:textId="6249948F" w:rsidR="00A80F8F" w:rsidRPr="00845D34" w:rsidRDefault="00D3696D" w:rsidP="00845D34">
      <w:pPr>
        <w:rPr>
          <w:rFonts w:eastAsia="Times New Roman"/>
          <w:b/>
        </w:rPr>
      </w:pPr>
      <w:r w:rsidRPr="002F14F5">
        <w:rPr>
          <w:rFonts w:cs="Calibri"/>
          <w:shd w:val="clear" w:color="auto" w:fill="FFFFFF"/>
        </w:rPr>
        <w:t>Within this context,</w:t>
      </w:r>
      <w:r w:rsidRPr="00527AFD">
        <w:t xml:space="preserve"> </w:t>
      </w:r>
      <w:r w:rsidR="006359BF">
        <w:t>w</w:t>
      </w:r>
      <w:r w:rsidR="00A80F8F">
        <w:t xml:space="preserve">e have reviewed both the type </w:t>
      </w:r>
      <w:r w:rsidR="00A22374">
        <w:t xml:space="preserve">and level </w:t>
      </w:r>
      <w:r w:rsidR="00A80F8F">
        <w:t>of cost</w:t>
      </w:r>
      <w:r w:rsidR="00A22374">
        <w:t>-</w:t>
      </w:r>
      <w:r w:rsidR="00A80F8F">
        <w:t>recovery charges</w:t>
      </w:r>
      <w:r w:rsidR="00A22374">
        <w:t>.</w:t>
      </w:r>
      <w:r w:rsidR="00A80F8F">
        <w:t xml:space="preserve"> </w:t>
      </w:r>
      <w:r w:rsidR="00801512">
        <w:t xml:space="preserve">We </w:t>
      </w:r>
      <w:r w:rsidR="00801512" w:rsidRPr="00065D61">
        <w:t xml:space="preserve">commissioned </w:t>
      </w:r>
      <w:hyperlink r:id="rId18" w:history="1">
        <w:r w:rsidR="00801512" w:rsidRPr="00A070E3">
          <w:rPr>
            <w:rStyle w:val="Hyperlink"/>
          </w:rPr>
          <w:t>a</w:t>
        </w:r>
        <w:r w:rsidR="00A80F8F" w:rsidRPr="00A070E3">
          <w:rPr>
            <w:rStyle w:val="Hyperlink"/>
          </w:rPr>
          <w:t xml:space="preserve">n independent report from </w:t>
        </w:r>
        <w:proofErr w:type="spellStart"/>
        <w:r w:rsidR="00A80F8F" w:rsidRPr="00A070E3">
          <w:rPr>
            <w:rStyle w:val="Hyperlink"/>
          </w:rPr>
          <w:t>MartinJenkins</w:t>
        </w:r>
        <w:proofErr w:type="spellEnd"/>
      </w:hyperlink>
      <w:r w:rsidR="00A80F8F" w:rsidRPr="00065D61">
        <w:t xml:space="preserve"> to</w:t>
      </w:r>
      <w:r w:rsidR="00A80F8F">
        <w:t xml:space="preserve"> </w:t>
      </w:r>
      <w:r w:rsidR="00411A2C">
        <w:t xml:space="preserve">inform </w:t>
      </w:r>
      <w:r w:rsidR="00801512">
        <w:t xml:space="preserve">our </w:t>
      </w:r>
      <w:r w:rsidR="00A80F8F">
        <w:t xml:space="preserve">review. </w:t>
      </w:r>
    </w:p>
    <w:p w14:paraId="45863A52" w14:textId="62D5017C" w:rsidR="006051F0" w:rsidRPr="00750B53" w:rsidRDefault="00424153" w:rsidP="00750B53">
      <w:pPr>
        <w:pStyle w:val="BodyText"/>
      </w:pPr>
      <w:r>
        <w:t xml:space="preserve">We identified two other options for the type of </w:t>
      </w:r>
      <w:r w:rsidR="00CB2A21">
        <w:t>cost</w:t>
      </w:r>
      <w:r w:rsidR="00AF7DFF">
        <w:t>-</w:t>
      </w:r>
      <w:r w:rsidR="00CB2A21">
        <w:t>recovery charge –</w:t>
      </w:r>
      <w:r w:rsidR="001A0625">
        <w:t xml:space="preserve"> </w:t>
      </w:r>
      <w:r w:rsidR="00C220D4">
        <w:t>either</w:t>
      </w:r>
      <w:r w:rsidR="00CB2A21">
        <w:t xml:space="preserve"> a ‘fixed’ fee or a ‘hybrid’ fee </w:t>
      </w:r>
      <w:r w:rsidR="00841C25">
        <w:t>(with</w:t>
      </w:r>
      <w:r w:rsidR="00CB2A21">
        <w:t xml:space="preserve"> both a fixed</w:t>
      </w:r>
      <w:r w:rsidR="00BA471C">
        <w:t>-</w:t>
      </w:r>
      <w:r w:rsidR="00841C25">
        <w:t xml:space="preserve">fee </w:t>
      </w:r>
      <w:r w:rsidR="00CB2A21">
        <w:t xml:space="preserve">element and </w:t>
      </w:r>
      <w:r w:rsidR="00841C25">
        <w:t xml:space="preserve">an </w:t>
      </w:r>
      <w:r w:rsidR="00CB2A21">
        <w:t>hourly</w:t>
      </w:r>
      <w:r w:rsidR="00A070E3">
        <w:t>-</w:t>
      </w:r>
      <w:r w:rsidR="00CB2A21">
        <w:t>rate</w:t>
      </w:r>
      <w:r w:rsidR="00841C25">
        <w:t xml:space="preserve"> element)</w:t>
      </w:r>
      <w:r w:rsidR="00CB2A21">
        <w:t xml:space="preserve">. </w:t>
      </w:r>
      <w:r w:rsidR="000E4A98">
        <w:t xml:space="preserve">We </w:t>
      </w:r>
      <w:r w:rsidR="00F91B90">
        <w:t xml:space="preserve">prefer </w:t>
      </w:r>
      <w:r w:rsidR="00056EC2">
        <w:t>hourly charge</w:t>
      </w:r>
      <w:r w:rsidR="00B63EAA">
        <w:t xml:space="preserve">s </w:t>
      </w:r>
      <w:r w:rsidR="00A048C6">
        <w:t>over the</w:t>
      </w:r>
      <w:r w:rsidR="00F91B90">
        <w:t xml:space="preserve"> other options we considered.</w:t>
      </w:r>
      <w:r w:rsidR="00580CFE">
        <w:t xml:space="preserve"> </w:t>
      </w:r>
      <w:r w:rsidR="00483CF4">
        <w:t>W</w:t>
      </w:r>
      <w:r w:rsidR="00545007">
        <w:t xml:space="preserve">e </w:t>
      </w:r>
      <w:r w:rsidR="00C71D00">
        <w:t xml:space="preserve">are </w:t>
      </w:r>
      <w:r w:rsidR="00483CF4">
        <w:t xml:space="preserve">not </w:t>
      </w:r>
      <w:r w:rsidR="006051F0">
        <w:t>proposing</w:t>
      </w:r>
      <w:r w:rsidR="00C71D00">
        <w:t xml:space="preserve"> </w:t>
      </w:r>
      <w:r w:rsidR="00801512">
        <w:t xml:space="preserve">to </w:t>
      </w:r>
      <w:r w:rsidR="00C71D00">
        <w:t xml:space="preserve">change </w:t>
      </w:r>
      <w:r w:rsidR="00B94297">
        <w:t>this charging method</w:t>
      </w:r>
      <w:r w:rsidR="00AC3F58">
        <w:t xml:space="preserve">. </w:t>
      </w:r>
    </w:p>
    <w:p w14:paraId="08163D15" w14:textId="5343A652" w:rsidR="00E658D8" w:rsidRDefault="000A71F8" w:rsidP="00750B53">
      <w:pPr>
        <w:pStyle w:val="BodyText"/>
      </w:pPr>
      <w:r>
        <w:t xml:space="preserve">Our </w:t>
      </w:r>
      <w:r w:rsidR="006051F0">
        <w:t>review</w:t>
      </w:r>
      <w:r w:rsidR="00A80F8F">
        <w:t xml:space="preserve"> has </w:t>
      </w:r>
      <w:r w:rsidR="00E658D8">
        <w:t xml:space="preserve">confirmed the current charge-out rates are not set to recover all relevant costs. </w:t>
      </w:r>
      <w:proofErr w:type="spellStart"/>
      <w:r w:rsidR="00A80F8F">
        <w:t>MartinJenkins</w:t>
      </w:r>
      <w:proofErr w:type="spellEnd"/>
      <w:r w:rsidR="00A80F8F">
        <w:t>’</w:t>
      </w:r>
      <w:r w:rsidR="00E658D8">
        <w:t xml:space="preserve"> recalculation of the charge-out rates </w:t>
      </w:r>
      <w:r w:rsidR="00963B51">
        <w:t>showed</w:t>
      </w:r>
      <w:r w:rsidR="00E658D8">
        <w:t xml:space="preserve"> the rates would need to increase significantly to recover all relevant costs. The </w:t>
      </w:r>
      <w:r w:rsidR="00151EAF">
        <w:t>proposed new charge</w:t>
      </w:r>
      <w:r w:rsidR="00EB0F1E">
        <w:t>-</w:t>
      </w:r>
      <w:r w:rsidR="00151EAF">
        <w:t xml:space="preserve">out rates are based on the </w:t>
      </w:r>
      <w:r w:rsidR="00EB0F1E">
        <w:t>analysis</w:t>
      </w:r>
      <w:r w:rsidR="00151EAF">
        <w:t xml:space="preserve"> </w:t>
      </w:r>
      <w:r w:rsidR="00EB0F1E">
        <w:t xml:space="preserve">done by </w:t>
      </w:r>
      <w:proofErr w:type="spellStart"/>
      <w:r w:rsidR="00E658D8">
        <w:t>MartinJenkins</w:t>
      </w:r>
      <w:proofErr w:type="spellEnd"/>
      <w:r w:rsidR="00E658D8">
        <w:t xml:space="preserve">. </w:t>
      </w:r>
    </w:p>
    <w:p w14:paraId="4D0DC9EC" w14:textId="32025E24" w:rsidR="00527AFD" w:rsidRDefault="00527AFD" w:rsidP="00750B53">
      <w:pPr>
        <w:pStyle w:val="BodyText"/>
      </w:pPr>
      <w:r w:rsidRPr="001D768B">
        <w:rPr>
          <w:rFonts w:cs="Calibri"/>
          <w:shd w:val="clear" w:color="auto" w:fill="FFFFFF"/>
        </w:rPr>
        <w:t>Maintaining the current charge-out rates would result in</w:t>
      </w:r>
      <w:r w:rsidRPr="00527AFD">
        <w:t xml:space="preserve"> </w:t>
      </w:r>
      <w:r w:rsidRPr="007C5299">
        <w:t xml:space="preserve">Crown funding </w:t>
      </w:r>
      <w:r>
        <w:t>meant</w:t>
      </w:r>
      <w:r w:rsidRPr="007C5299">
        <w:t xml:space="preserve"> for other purposes being used </w:t>
      </w:r>
      <w:r>
        <w:t>to pay for</w:t>
      </w:r>
      <w:r w:rsidRPr="007C5299">
        <w:t xml:space="preserve"> functions and services that should be </w:t>
      </w:r>
      <w:r>
        <w:t>paid for by organisations conducting activities in the EEZ</w:t>
      </w:r>
      <w:r w:rsidRPr="007C5299">
        <w:t xml:space="preserve">. </w:t>
      </w:r>
      <w:r>
        <w:t xml:space="preserve">This would mean </w:t>
      </w:r>
      <w:r w:rsidRPr="007C5299">
        <w:t xml:space="preserve">the Crown is effectively subsidising the activities (and private benefit) of </w:t>
      </w:r>
      <w:r>
        <w:t xml:space="preserve">those </w:t>
      </w:r>
      <w:r w:rsidR="00147E7C">
        <w:t xml:space="preserve">applicants and </w:t>
      </w:r>
      <w:r w:rsidR="00727B3E">
        <w:t>duty</w:t>
      </w:r>
      <w:r w:rsidR="00147E7C">
        <w:t xml:space="preserve"> holders</w:t>
      </w:r>
      <w:r w:rsidRPr="00750B53">
        <w:t>.</w:t>
      </w:r>
    </w:p>
    <w:p w14:paraId="338AC775" w14:textId="5B40925B" w:rsidR="001C5CA1" w:rsidRDefault="006D7D00" w:rsidP="00750B53">
      <w:pPr>
        <w:pStyle w:val="BodyText"/>
      </w:pPr>
      <w:r>
        <w:t>The proposal is to increase</w:t>
      </w:r>
      <w:r w:rsidR="00A8444C">
        <w:t xml:space="preserve"> the charge-out rates </w:t>
      </w:r>
      <w:r w:rsidR="000B6F30" w:rsidRPr="000B6F30">
        <w:t>for each of the following three financial years (2023/24, 2024/25 and 2025/26)</w:t>
      </w:r>
      <w:r w:rsidR="00963B51">
        <w:t>. The 2025/26 rates would</w:t>
      </w:r>
      <w:r w:rsidR="000B6F30" w:rsidRPr="000B6F30">
        <w:t xml:space="preserve"> continu</w:t>
      </w:r>
      <w:r w:rsidR="00963B51">
        <w:t>e</w:t>
      </w:r>
      <w:r w:rsidR="000B6F30" w:rsidRPr="000B6F30">
        <w:t xml:space="preserve"> to </w:t>
      </w:r>
      <w:r w:rsidR="00801512" w:rsidRPr="008470E9">
        <w:t>apply</w:t>
      </w:r>
      <w:r w:rsidR="000B6F30" w:rsidRPr="008470E9">
        <w:t xml:space="preserve"> until the EEZ Fees Regulations are </w:t>
      </w:r>
      <w:r w:rsidR="001645D9">
        <w:t>reviewed</w:t>
      </w:r>
      <w:r w:rsidR="001645D9" w:rsidRPr="008470E9">
        <w:t xml:space="preserve"> </w:t>
      </w:r>
      <w:r w:rsidR="000B6F30" w:rsidRPr="008470E9">
        <w:t xml:space="preserve">again. </w:t>
      </w:r>
    </w:p>
    <w:p w14:paraId="0349216B" w14:textId="573B9475" w:rsidR="004C32F4" w:rsidRDefault="001645D9" w:rsidP="00750B53">
      <w:pPr>
        <w:pStyle w:val="BodyText"/>
      </w:pPr>
      <w:r w:rsidRPr="003F05CC">
        <w:lastRenderedPageBreak/>
        <w:t xml:space="preserve">We are also proposing amendments to </w:t>
      </w:r>
      <w:r w:rsidR="00D9660E" w:rsidRPr="003F05CC">
        <w:t xml:space="preserve">the staff </w:t>
      </w:r>
      <w:r w:rsidR="00BF75D4" w:rsidRPr="003F05CC">
        <w:t xml:space="preserve">categories in the EEZ Fees Regulations to </w:t>
      </w:r>
      <w:r w:rsidR="007C39A3" w:rsidRPr="003F05CC">
        <w:t>match the staff categories the EPA now uses</w:t>
      </w:r>
      <w:r w:rsidR="00D9660E" w:rsidRPr="003F05CC">
        <w:t>.</w:t>
      </w:r>
      <w:r w:rsidR="001B7DFD">
        <w:t xml:space="preserve"> </w:t>
      </w:r>
      <w:r w:rsidR="0025752C">
        <w:fldChar w:fldCharType="begin"/>
      </w:r>
      <w:r w:rsidR="0025752C">
        <w:instrText xml:space="preserve"> REF _Ref114654420 \h </w:instrText>
      </w:r>
      <w:r w:rsidR="0025752C">
        <w:fldChar w:fldCharType="separate"/>
      </w:r>
      <w:r w:rsidR="0025752C">
        <w:t xml:space="preserve">Table </w:t>
      </w:r>
      <w:r w:rsidR="0025752C">
        <w:rPr>
          <w:noProof/>
        </w:rPr>
        <w:t>2</w:t>
      </w:r>
      <w:r w:rsidR="0025752C">
        <w:fldChar w:fldCharType="end"/>
      </w:r>
      <w:r w:rsidR="008402B0">
        <w:t xml:space="preserve"> shows the</w:t>
      </w:r>
      <w:r w:rsidR="00332867">
        <w:t xml:space="preserve"> proposed rates</w:t>
      </w:r>
      <w:r w:rsidR="000A71F8">
        <w:t xml:space="preserve"> and new staff categories</w:t>
      </w:r>
      <w:r w:rsidR="008402B0">
        <w:t>.</w:t>
      </w:r>
      <w:r w:rsidR="00332867">
        <w:t xml:space="preserve"> </w:t>
      </w:r>
    </w:p>
    <w:p w14:paraId="7037D147" w14:textId="7A984165" w:rsidR="00EC06C8" w:rsidRDefault="00EC06C8" w:rsidP="00EC06C8">
      <w:pPr>
        <w:pStyle w:val="Tableheading"/>
      </w:pPr>
      <w:bookmarkStart w:id="19" w:name="_Ref114654380"/>
      <w:bookmarkStart w:id="20" w:name="_Toc115682238"/>
      <w:r>
        <w:t xml:space="preserve">Table </w:t>
      </w:r>
      <w:r w:rsidR="002D4F05">
        <w:fldChar w:fldCharType="begin"/>
      </w:r>
      <w:r w:rsidR="002D4F05">
        <w:instrText xml:space="preserve"> SEQ Table \* ARABIC </w:instrText>
      </w:r>
      <w:r w:rsidR="002D4F05">
        <w:fldChar w:fldCharType="separate"/>
      </w:r>
      <w:r>
        <w:rPr>
          <w:noProof/>
        </w:rPr>
        <w:t>1</w:t>
      </w:r>
      <w:r w:rsidR="002D4F05">
        <w:rPr>
          <w:noProof/>
        </w:rPr>
        <w:fldChar w:fldCharType="end"/>
      </w:r>
      <w:bookmarkEnd w:id="19"/>
      <w:r>
        <w:t xml:space="preserve">: </w:t>
      </w:r>
      <w:r>
        <w:tab/>
      </w:r>
      <w:r w:rsidRPr="0094361D">
        <w:t>C</w:t>
      </w:r>
      <w:r>
        <w:t>urrent c</w:t>
      </w:r>
      <w:r w:rsidRPr="0094361D">
        <w:t>harge-out rates in the EEZ Fees Regulations</w:t>
      </w:r>
      <w:bookmarkEnd w:id="20"/>
    </w:p>
    <w:tbl>
      <w:tblPr>
        <w:tblStyle w:val="LightList-Accent11"/>
        <w:tblW w:w="5090" w:type="pct"/>
        <w:tblBorders>
          <w:left w:val="none" w:sz="0" w:space="0" w:color="auto"/>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3170"/>
        <w:gridCol w:w="2730"/>
        <w:gridCol w:w="2738"/>
      </w:tblGrid>
      <w:tr w:rsidR="00EC06C8" w:rsidRPr="0020026C" w14:paraId="0D245BCC" w14:textId="77777777" w:rsidTr="008D052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Borders>
              <w:left w:val="single" w:sz="8" w:space="0" w:color="1C556C" w:themeColor="accent1"/>
              <w:bottom w:val="single" w:sz="8" w:space="0" w:color="1C556C" w:themeColor="accent1"/>
            </w:tcBorders>
            <w:vAlign w:val="center"/>
          </w:tcPr>
          <w:p w14:paraId="286480AA" w14:textId="77777777" w:rsidR="00EC06C8" w:rsidRPr="00D5459C" w:rsidRDefault="00EC06C8" w:rsidP="00D5459C">
            <w:pPr>
              <w:spacing w:before="0" w:after="0" w:line="240" w:lineRule="auto"/>
              <w:jc w:val="left"/>
              <w:rPr>
                <w:rFonts w:cs="Arial"/>
                <w:b w:val="0"/>
                <w:bCs w:val="0"/>
                <w:sz w:val="18"/>
                <w:szCs w:val="20"/>
              </w:rPr>
            </w:pPr>
            <w:r w:rsidRPr="00D5459C">
              <w:rPr>
                <w:rFonts w:cs="Arial"/>
                <w:sz w:val="18"/>
                <w:szCs w:val="20"/>
              </w:rPr>
              <w:t>EPA staff role</w:t>
            </w:r>
          </w:p>
        </w:tc>
        <w:tc>
          <w:tcPr>
            <w:tcW w:w="0" w:type="pct"/>
            <w:gridSpan w:val="2"/>
            <w:tcBorders>
              <w:bottom w:val="single" w:sz="8" w:space="0" w:color="1C556C" w:themeColor="accent1"/>
              <w:right w:val="single" w:sz="8" w:space="0" w:color="1C556C" w:themeColor="accent1"/>
            </w:tcBorders>
            <w:noWrap/>
            <w:vAlign w:val="center"/>
          </w:tcPr>
          <w:p w14:paraId="32A8B494" w14:textId="77777777" w:rsidR="00EC06C8" w:rsidRPr="00D5459C" w:rsidRDefault="00EC06C8" w:rsidP="00D5459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20"/>
              </w:rPr>
            </w:pPr>
            <w:r w:rsidRPr="00D5459C">
              <w:rPr>
                <w:rFonts w:cs="Arial"/>
                <w:sz w:val="18"/>
                <w:szCs w:val="20"/>
              </w:rPr>
              <w:t>$/hr (ex GST)</w:t>
            </w:r>
          </w:p>
        </w:tc>
      </w:tr>
      <w:tr w:rsidR="00EC06C8" w:rsidRPr="0020026C" w14:paraId="54AA0275" w14:textId="77777777" w:rsidTr="008D052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Borders>
              <w:bottom w:val="nil"/>
            </w:tcBorders>
            <w:shd w:val="clear" w:color="auto" w:fill="1C556C"/>
            <w:vAlign w:val="center"/>
          </w:tcPr>
          <w:p w14:paraId="46E26645" w14:textId="77777777" w:rsidR="00EC06C8" w:rsidRPr="00D5459C" w:rsidRDefault="00EC06C8" w:rsidP="00D5459C">
            <w:pPr>
              <w:spacing w:before="0" w:after="0" w:line="240" w:lineRule="auto"/>
              <w:jc w:val="left"/>
              <w:rPr>
                <w:rFonts w:cs="Arial"/>
                <w:b w:val="0"/>
                <w:bCs w:val="0"/>
                <w:sz w:val="18"/>
                <w:szCs w:val="20"/>
              </w:rPr>
            </w:pPr>
          </w:p>
        </w:tc>
        <w:tc>
          <w:tcPr>
            <w:tcW w:w="0" w:type="pct"/>
            <w:tcBorders>
              <w:bottom w:val="nil"/>
            </w:tcBorders>
            <w:shd w:val="clear" w:color="auto" w:fill="1C556C"/>
            <w:noWrap/>
            <w:vAlign w:val="center"/>
          </w:tcPr>
          <w:p w14:paraId="767A31A4" w14:textId="77777777" w:rsidR="00EC06C8" w:rsidRPr="008D0528" w:rsidRDefault="00EC06C8" w:rsidP="00D5459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20"/>
              </w:rPr>
            </w:pPr>
            <w:r w:rsidRPr="008D0528">
              <w:rPr>
                <w:rFonts w:cs="Arial"/>
                <w:b/>
                <w:color w:val="FFFFFF" w:themeColor="background1"/>
                <w:sz w:val="18"/>
                <w:szCs w:val="20"/>
              </w:rPr>
              <w:t>Consenting</w:t>
            </w:r>
          </w:p>
        </w:tc>
        <w:tc>
          <w:tcPr>
            <w:tcW w:w="0" w:type="pct"/>
            <w:tcBorders>
              <w:bottom w:val="nil"/>
            </w:tcBorders>
            <w:shd w:val="clear" w:color="auto" w:fill="1C556C"/>
            <w:vAlign w:val="center"/>
          </w:tcPr>
          <w:p w14:paraId="48CF52D8" w14:textId="77777777" w:rsidR="00EC06C8" w:rsidRPr="008D0528" w:rsidRDefault="00EC06C8" w:rsidP="00D5459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20"/>
              </w:rPr>
            </w:pPr>
            <w:r w:rsidRPr="008D0528">
              <w:rPr>
                <w:rFonts w:cs="Arial"/>
                <w:b/>
                <w:color w:val="FFFFFF" w:themeColor="background1"/>
                <w:sz w:val="18"/>
                <w:szCs w:val="20"/>
              </w:rPr>
              <w:t>Monitoring</w:t>
            </w:r>
          </w:p>
        </w:tc>
      </w:tr>
      <w:tr w:rsidR="00EC06C8" w:rsidRPr="0020026C" w14:paraId="0CAFA916" w14:textId="77777777" w:rsidTr="008D0528">
        <w:trPr>
          <w:trHeight w:val="31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tcBorders>
            <w:vAlign w:val="center"/>
          </w:tcPr>
          <w:p w14:paraId="192D221D" w14:textId="77777777" w:rsidR="00EC06C8" w:rsidRPr="00D5459C" w:rsidRDefault="00EC06C8" w:rsidP="00D5459C">
            <w:pPr>
              <w:pStyle w:val="TableText"/>
              <w:rPr>
                <w:rFonts w:cs="Times New Roman"/>
                <w:b w:val="0"/>
                <w:bCs w:val="0"/>
                <w:szCs w:val="20"/>
              </w:rPr>
            </w:pPr>
            <w:r w:rsidRPr="00D5459C">
              <w:rPr>
                <w:rFonts w:cs="Times New Roman"/>
                <w:b w:val="0"/>
                <w:bCs w:val="0"/>
                <w:szCs w:val="20"/>
              </w:rPr>
              <w:t>Principal technical advisor</w:t>
            </w:r>
          </w:p>
        </w:tc>
        <w:tc>
          <w:tcPr>
            <w:tcW w:w="0" w:type="pct"/>
            <w:tcBorders>
              <w:top w:val="nil"/>
            </w:tcBorders>
            <w:noWrap/>
            <w:vAlign w:val="center"/>
          </w:tcPr>
          <w:p w14:paraId="738283AE" w14:textId="77777777" w:rsidR="00EC06C8" w:rsidRPr="00D5459C" w:rsidRDefault="00EC06C8" w:rsidP="00D5459C">
            <w:pPr>
              <w:pStyle w:val="TableText"/>
              <w:jc w:val="right"/>
              <w:cnfStyle w:val="000000000000" w:firstRow="0" w:lastRow="0" w:firstColumn="0" w:lastColumn="0" w:oddVBand="0" w:evenVBand="0" w:oddHBand="0" w:evenHBand="0" w:firstRowFirstColumn="0" w:firstRowLastColumn="0" w:lastRowFirstColumn="0" w:lastRowLastColumn="0"/>
              <w:rPr>
                <w:rFonts w:cs="Times New Roman"/>
                <w:szCs w:val="20"/>
              </w:rPr>
            </w:pPr>
            <w:r w:rsidRPr="00D5459C">
              <w:rPr>
                <w:rFonts w:cs="Times New Roman"/>
                <w:szCs w:val="20"/>
              </w:rPr>
              <w:t>290.00</w:t>
            </w:r>
          </w:p>
        </w:tc>
        <w:tc>
          <w:tcPr>
            <w:tcW w:w="0" w:type="pct"/>
            <w:tcBorders>
              <w:top w:val="nil"/>
              <w:right w:val="nil"/>
            </w:tcBorders>
            <w:vAlign w:val="center"/>
          </w:tcPr>
          <w:p w14:paraId="71029F8C" w14:textId="77777777" w:rsidR="00EC06C8" w:rsidRPr="00D5459C" w:rsidRDefault="00EC06C8" w:rsidP="00D5459C">
            <w:pPr>
              <w:pStyle w:val="TableText"/>
              <w:jc w:val="right"/>
              <w:cnfStyle w:val="000000000000" w:firstRow="0" w:lastRow="0" w:firstColumn="0" w:lastColumn="0" w:oddVBand="0" w:evenVBand="0" w:oddHBand="0" w:evenHBand="0" w:firstRowFirstColumn="0" w:firstRowLastColumn="0" w:lastRowFirstColumn="0" w:lastRowLastColumn="0"/>
              <w:rPr>
                <w:rFonts w:cs="Times New Roman"/>
                <w:szCs w:val="20"/>
              </w:rPr>
            </w:pPr>
            <w:r w:rsidRPr="00D5459C">
              <w:rPr>
                <w:rFonts w:cs="Times New Roman"/>
                <w:szCs w:val="20"/>
              </w:rPr>
              <w:t>232.00</w:t>
            </w:r>
          </w:p>
        </w:tc>
      </w:tr>
      <w:tr w:rsidR="00EC06C8" w:rsidRPr="0020026C" w14:paraId="3EA7AAA5" w14:textId="77777777" w:rsidTr="008D052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Borders>
              <w:left w:val="nil"/>
            </w:tcBorders>
            <w:vAlign w:val="center"/>
            <w:hideMark/>
          </w:tcPr>
          <w:p w14:paraId="49F661C5" w14:textId="77777777" w:rsidR="00EC06C8" w:rsidRPr="00D5459C" w:rsidRDefault="00EC06C8" w:rsidP="00D5459C">
            <w:pPr>
              <w:pStyle w:val="TableText"/>
              <w:rPr>
                <w:rFonts w:cs="Times New Roman"/>
                <w:b w:val="0"/>
                <w:bCs w:val="0"/>
                <w:szCs w:val="20"/>
              </w:rPr>
            </w:pPr>
            <w:r w:rsidRPr="00D5459C">
              <w:rPr>
                <w:rFonts w:cs="Times New Roman"/>
                <w:b w:val="0"/>
                <w:bCs w:val="0"/>
                <w:szCs w:val="20"/>
              </w:rPr>
              <w:t>Authority to accept decommissioning plan (new in 2021)</w:t>
            </w:r>
          </w:p>
        </w:tc>
        <w:tc>
          <w:tcPr>
            <w:tcW w:w="0" w:type="pct"/>
            <w:noWrap/>
            <w:vAlign w:val="center"/>
            <w:hideMark/>
          </w:tcPr>
          <w:p w14:paraId="0C11A5ED" w14:textId="77777777" w:rsidR="00EC06C8" w:rsidRPr="00D5459C" w:rsidRDefault="00EC06C8" w:rsidP="00D5459C">
            <w:pPr>
              <w:pStyle w:val="TableText"/>
              <w:jc w:val="right"/>
              <w:cnfStyle w:val="000000100000" w:firstRow="0" w:lastRow="0" w:firstColumn="0" w:lastColumn="0" w:oddVBand="0" w:evenVBand="0" w:oddHBand="1" w:evenHBand="0" w:firstRowFirstColumn="0" w:firstRowLastColumn="0" w:lastRowFirstColumn="0" w:lastRowLastColumn="0"/>
              <w:rPr>
                <w:rFonts w:cs="Times New Roman"/>
                <w:szCs w:val="20"/>
              </w:rPr>
            </w:pPr>
            <w:r w:rsidRPr="00D5459C">
              <w:rPr>
                <w:rFonts w:cs="Times New Roman"/>
                <w:szCs w:val="20"/>
              </w:rPr>
              <w:t>257.04</w:t>
            </w:r>
          </w:p>
        </w:tc>
        <w:tc>
          <w:tcPr>
            <w:tcW w:w="0" w:type="pct"/>
            <w:tcBorders>
              <w:right w:val="nil"/>
            </w:tcBorders>
            <w:vAlign w:val="center"/>
          </w:tcPr>
          <w:p w14:paraId="1C172308" w14:textId="77777777" w:rsidR="00EC06C8" w:rsidRPr="00D5459C" w:rsidRDefault="00EC06C8" w:rsidP="00D5459C">
            <w:pPr>
              <w:pStyle w:val="TableText"/>
              <w:jc w:val="right"/>
              <w:cnfStyle w:val="000000100000" w:firstRow="0" w:lastRow="0" w:firstColumn="0" w:lastColumn="0" w:oddVBand="0" w:evenVBand="0" w:oddHBand="1" w:evenHBand="0" w:firstRowFirstColumn="0" w:firstRowLastColumn="0" w:lastRowFirstColumn="0" w:lastRowLastColumn="0"/>
              <w:rPr>
                <w:rFonts w:cs="Times New Roman"/>
                <w:szCs w:val="20"/>
              </w:rPr>
            </w:pPr>
            <w:r w:rsidRPr="00D5459C">
              <w:rPr>
                <w:rFonts w:cs="Times New Roman"/>
                <w:szCs w:val="20"/>
              </w:rPr>
              <w:t>N/A</w:t>
            </w:r>
          </w:p>
        </w:tc>
      </w:tr>
      <w:tr w:rsidR="00EC06C8" w:rsidRPr="0020026C" w14:paraId="59F32204" w14:textId="77777777" w:rsidTr="008D0528">
        <w:trPr>
          <w:trHeight w:val="310"/>
        </w:trPr>
        <w:tc>
          <w:tcPr>
            <w:cnfStyle w:val="001000000000" w:firstRow="0" w:lastRow="0" w:firstColumn="1" w:lastColumn="0" w:oddVBand="0" w:evenVBand="0" w:oddHBand="0" w:evenHBand="0" w:firstRowFirstColumn="0" w:firstRowLastColumn="0" w:lastRowFirstColumn="0" w:lastRowLastColumn="0"/>
            <w:tcW w:w="0" w:type="pct"/>
            <w:tcBorders>
              <w:left w:val="nil"/>
            </w:tcBorders>
            <w:vAlign w:val="center"/>
            <w:hideMark/>
          </w:tcPr>
          <w:p w14:paraId="414A5362" w14:textId="77777777" w:rsidR="00EC06C8" w:rsidRPr="00D5459C" w:rsidRDefault="00EC06C8" w:rsidP="00D5459C">
            <w:pPr>
              <w:pStyle w:val="TableText"/>
              <w:rPr>
                <w:rFonts w:cs="Times New Roman"/>
                <w:b w:val="0"/>
                <w:bCs w:val="0"/>
                <w:szCs w:val="20"/>
              </w:rPr>
            </w:pPr>
            <w:r w:rsidRPr="00D5459C">
              <w:rPr>
                <w:rFonts w:cs="Times New Roman"/>
                <w:b w:val="0"/>
                <w:bCs w:val="0"/>
                <w:szCs w:val="20"/>
              </w:rPr>
              <w:t>Project leader</w:t>
            </w:r>
          </w:p>
        </w:tc>
        <w:tc>
          <w:tcPr>
            <w:tcW w:w="0" w:type="pct"/>
            <w:noWrap/>
            <w:vAlign w:val="center"/>
            <w:hideMark/>
          </w:tcPr>
          <w:p w14:paraId="5B6DAF77" w14:textId="77777777" w:rsidR="00EC06C8" w:rsidRPr="00D5459C" w:rsidRDefault="00EC06C8" w:rsidP="00D5459C">
            <w:pPr>
              <w:pStyle w:val="TableText"/>
              <w:jc w:val="right"/>
              <w:cnfStyle w:val="000000000000" w:firstRow="0" w:lastRow="0" w:firstColumn="0" w:lastColumn="0" w:oddVBand="0" w:evenVBand="0" w:oddHBand="0" w:evenHBand="0" w:firstRowFirstColumn="0" w:firstRowLastColumn="0" w:lastRowFirstColumn="0" w:lastRowLastColumn="0"/>
              <w:rPr>
                <w:rFonts w:cs="Times New Roman"/>
                <w:szCs w:val="20"/>
              </w:rPr>
            </w:pPr>
            <w:r w:rsidRPr="00D5459C">
              <w:rPr>
                <w:rFonts w:cs="Times New Roman"/>
                <w:szCs w:val="20"/>
              </w:rPr>
              <w:t>140.80</w:t>
            </w:r>
          </w:p>
        </w:tc>
        <w:tc>
          <w:tcPr>
            <w:tcW w:w="0" w:type="pct"/>
            <w:tcBorders>
              <w:right w:val="nil"/>
            </w:tcBorders>
            <w:vAlign w:val="center"/>
          </w:tcPr>
          <w:p w14:paraId="19F15268" w14:textId="77777777" w:rsidR="00EC06C8" w:rsidRPr="00D5459C" w:rsidRDefault="00EC06C8" w:rsidP="00D5459C">
            <w:pPr>
              <w:pStyle w:val="TableText"/>
              <w:jc w:val="right"/>
              <w:cnfStyle w:val="000000000000" w:firstRow="0" w:lastRow="0" w:firstColumn="0" w:lastColumn="0" w:oddVBand="0" w:evenVBand="0" w:oddHBand="0" w:evenHBand="0" w:firstRowFirstColumn="0" w:firstRowLastColumn="0" w:lastRowFirstColumn="0" w:lastRowLastColumn="0"/>
              <w:rPr>
                <w:rFonts w:cs="Times New Roman"/>
                <w:szCs w:val="20"/>
              </w:rPr>
            </w:pPr>
            <w:r w:rsidRPr="00D5459C">
              <w:rPr>
                <w:rFonts w:cs="Times New Roman"/>
                <w:szCs w:val="20"/>
              </w:rPr>
              <w:t>112.64</w:t>
            </w:r>
          </w:p>
        </w:tc>
      </w:tr>
      <w:tr w:rsidR="00EC06C8" w:rsidRPr="0020026C" w14:paraId="2F8C5159" w14:textId="77777777" w:rsidTr="008D052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Borders>
              <w:left w:val="nil"/>
            </w:tcBorders>
            <w:vAlign w:val="center"/>
            <w:hideMark/>
          </w:tcPr>
          <w:p w14:paraId="5F6CE32B" w14:textId="77777777" w:rsidR="00EC06C8" w:rsidRPr="00D5459C" w:rsidRDefault="00EC06C8" w:rsidP="00D5459C">
            <w:pPr>
              <w:pStyle w:val="TableText"/>
              <w:rPr>
                <w:rFonts w:cs="Times New Roman"/>
                <w:b w:val="0"/>
                <w:bCs w:val="0"/>
                <w:szCs w:val="20"/>
              </w:rPr>
            </w:pPr>
            <w:r w:rsidRPr="00D5459C">
              <w:rPr>
                <w:rFonts w:cs="Times New Roman"/>
                <w:b w:val="0"/>
                <w:bCs w:val="0"/>
                <w:szCs w:val="20"/>
              </w:rPr>
              <w:t>Senior advisor</w:t>
            </w:r>
          </w:p>
        </w:tc>
        <w:tc>
          <w:tcPr>
            <w:tcW w:w="0" w:type="pct"/>
            <w:noWrap/>
            <w:vAlign w:val="center"/>
            <w:hideMark/>
          </w:tcPr>
          <w:p w14:paraId="6F53E227" w14:textId="77777777" w:rsidR="00EC06C8" w:rsidRPr="00D5459C" w:rsidRDefault="00EC06C8" w:rsidP="00D5459C">
            <w:pPr>
              <w:pStyle w:val="TableText"/>
              <w:jc w:val="right"/>
              <w:cnfStyle w:val="000000100000" w:firstRow="0" w:lastRow="0" w:firstColumn="0" w:lastColumn="0" w:oddVBand="0" w:evenVBand="0" w:oddHBand="1" w:evenHBand="0" w:firstRowFirstColumn="0" w:firstRowLastColumn="0" w:lastRowFirstColumn="0" w:lastRowLastColumn="0"/>
              <w:rPr>
                <w:rFonts w:cs="Times New Roman"/>
                <w:szCs w:val="20"/>
              </w:rPr>
            </w:pPr>
            <w:r w:rsidRPr="00D5459C">
              <w:rPr>
                <w:rFonts w:cs="Times New Roman"/>
                <w:szCs w:val="20"/>
              </w:rPr>
              <w:t>116.12</w:t>
            </w:r>
          </w:p>
        </w:tc>
        <w:tc>
          <w:tcPr>
            <w:tcW w:w="0" w:type="pct"/>
            <w:tcBorders>
              <w:right w:val="nil"/>
            </w:tcBorders>
            <w:vAlign w:val="center"/>
          </w:tcPr>
          <w:p w14:paraId="0017E3D7" w14:textId="77777777" w:rsidR="00EC06C8" w:rsidRPr="00D5459C" w:rsidRDefault="00EC06C8" w:rsidP="00D5459C">
            <w:pPr>
              <w:pStyle w:val="TableText"/>
              <w:jc w:val="right"/>
              <w:cnfStyle w:val="000000100000" w:firstRow="0" w:lastRow="0" w:firstColumn="0" w:lastColumn="0" w:oddVBand="0" w:evenVBand="0" w:oddHBand="1" w:evenHBand="0" w:firstRowFirstColumn="0" w:firstRowLastColumn="0" w:lastRowFirstColumn="0" w:lastRowLastColumn="0"/>
              <w:rPr>
                <w:rFonts w:cs="Times New Roman"/>
                <w:szCs w:val="20"/>
              </w:rPr>
            </w:pPr>
            <w:r w:rsidRPr="00D5459C">
              <w:rPr>
                <w:rFonts w:cs="Times New Roman"/>
                <w:szCs w:val="20"/>
              </w:rPr>
              <w:t>92.90</w:t>
            </w:r>
          </w:p>
        </w:tc>
      </w:tr>
      <w:tr w:rsidR="00EC06C8" w:rsidRPr="0020026C" w14:paraId="74488692" w14:textId="77777777" w:rsidTr="008D0528">
        <w:trPr>
          <w:trHeight w:val="310"/>
        </w:trPr>
        <w:tc>
          <w:tcPr>
            <w:cnfStyle w:val="001000000000" w:firstRow="0" w:lastRow="0" w:firstColumn="1" w:lastColumn="0" w:oddVBand="0" w:evenVBand="0" w:oddHBand="0" w:evenHBand="0" w:firstRowFirstColumn="0" w:firstRowLastColumn="0" w:lastRowFirstColumn="0" w:lastRowLastColumn="0"/>
            <w:tcW w:w="0" w:type="pct"/>
            <w:tcBorders>
              <w:left w:val="nil"/>
            </w:tcBorders>
            <w:vAlign w:val="center"/>
            <w:hideMark/>
          </w:tcPr>
          <w:p w14:paraId="35199D8C" w14:textId="77777777" w:rsidR="00EC06C8" w:rsidRPr="00D5459C" w:rsidRDefault="00EC06C8" w:rsidP="00D5459C">
            <w:pPr>
              <w:pStyle w:val="TableText"/>
              <w:rPr>
                <w:rFonts w:cs="Times New Roman"/>
                <w:b w:val="0"/>
                <w:bCs w:val="0"/>
                <w:szCs w:val="20"/>
              </w:rPr>
            </w:pPr>
            <w:r w:rsidRPr="00D5459C">
              <w:rPr>
                <w:rFonts w:cs="Times New Roman"/>
                <w:b w:val="0"/>
                <w:bCs w:val="0"/>
                <w:szCs w:val="20"/>
              </w:rPr>
              <w:t>Advisor</w:t>
            </w:r>
          </w:p>
        </w:tc>
        <w:tc>
          <w:tcPr>
            <w:tcW w:w="0" w:type="pct"/>
            <w:noWrap/>
            <w:vAlign w:val="center"/>
            <w:hideMark/>
          </w:tcPr>
          <w:p w14:paraId="32BDDFA6" w14:textId="77777777" w:rsidR="00EC06C8" w:rsidRPr="00D5459C" w:rsidRDefault="00EC06C8" w:rsidP="00D5459C">
            <w:pPr>
              <w:pStyle w:val="TableText"/>
              <w:jc w:val="right"/>
              <w:cnfStyle w:val="000000000000" w:firstRow="0" w:lastRow="0" w:firstColumn="0" w:lastColumn="0" w:oddVBand="0" w:evenVBand="0" w:oddHBand="0" w:evenHBand="0" w:firstRowFirstColumn="0" w:firstRowLastColumn="0" w:lastRowFirstColumn="0" w:lastRowLastColumn="0"/>
              <w:rPr>
                <w:rFonts w:cs="Times New Roman"/>
                <w:szCs w:val="20"/>
              </w:rPr>
            </w:pPr>
            <w:r w:rsidRPr="00D5459C">
              <w:rPr>
                <w:rFonts w:cs="Times New Roman"/>
                <w:szCs w:val="20"/>
              </w:rPr>
              <w:t>103.75</w:t>
            </w:r>
          </w:p>
        </w:tc>
        <w:tc>
          <w:tcPr>
            <w:tcW w:w="0" w:type="pct"/>
            <w:tcBorders>
              <w:right w:val="nil"/>
            </w:tcBorders>
            <w:vAlign w:val="center"/>
          </w:tcPr>
          <w:p w14:paraId="3939AA56" w14:textId="77777777" w:rsidR="00EC06C8" w:rsidRPr="00D5459C" w:rsidRDefault="00EC06C8" w:rsidP="00D5459C">
            <w:pPr>
              <w:pStyle w:val="TableText"/>
              <w:jc w:val="right"/>
              <w:cnfStyle w:val="000000000000" w:firstRow="0" w:lastRow="0" w:firstColumn="0" w:lastColumn="0" w:oddVBand="0" w:evenVBand="0" w:oddHBand="0" w:evenHBand="0" w:firstRowFirstColumn="0" w:firstRowLastColumn="0" w:lastRowFirstColumn="0" w:lastRowLastColumn="0"/>
              <w:rPr>
                <w:rFonts w:cs="Times New Roman"/>
                <w:szCs w:val="20"/>
              </w:rPr>
            </w:pPr>
            <w:r w:rsidRPr="00D5459C">
              <w:rPr>
                <w:rFonts w:cs="Times New Roman"/>
                <w:szCs w:val="20"/>
              </w:rPr>
              <w:t>83.00</w:t>
            </w:r>
          </w:p>
        </w:tc>
      </w:tr>
      <w:tr w:rsidR="00EC06C8" w:rsidRPr="0020026C" w14:paraId="132676AD" w14:textId="77777777" w:rsidTr="008D052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Borders>
              <w:left w:val="nil"/>
            </w:tcBorders>
            <w:vAlign w:val="center"/>
            <w:hideMark/>
          </w:tcPr>
          <w:p w14:paraId="1D5F8D5F" w14:textId="77777777" w:rsidR="00EC06C8" w:rsidRPr="00D5459C" w:rsidRDefault="00EC06C8" w:rsidP="00D5459C">
            <w:pPr>
              <w:pStyle w:val="TableText"/>
              <w:rPr>
                <w:rFonts w:cs="Times New Roman"/>
                <w:b w:val="0"/>
                <w:bCs w:val="0"/>
                <w:szCs w:val="20"/>
              </w:rPr>
            </w:pPr>
            <w:r w:rsidRPr="00D5459C">
              <w:rPr>
                <w:rFonts w:cs="Times New Roman"/>
                <w:b w:val="0"/>
                <w:bCs w:val="0"/>
                <w:szCs w:val="20"/>
              </w:rPr>
              <w:t>Administrator</w:t>
            </w:r>
          </w:p>
        </w:tc>
        <w:tc>
          <w:tcPr>
            <w:tcW w:w="0" w:type="pct"/>
            <w:noWrap/>
            <w:vAlign w:val="center"/>
            <w:hideMark/>
          </w:tcPr>
          <w:p w14:paraId="75BF3293" w14:textId="77777777" w:rsidR="00EC06C8" w:rsidRPr="00D5459C" w:rsidRDefault="00EC06C8" w:rsidP="00D5459C">
            <w:pPr>
              <w:pStyle w:val="TableText"/>
              <w:jc w:val="right"/>
              <w:cnfStyle w:val="000000100000" w:firstRow="0" w:lastRow="0" w:firstColumn="0" w:lastColumn="0" w:oddVBand="0" w:evenVBand="0" w:oddHBand="1" w:evenHBand="0" w:firstRowFirstColumn="0" w:firstRowLastColumn="0" w:lastRowFirstColumn="0" w:lastRowLastColumn="0"/>
              <w:rPr>
                <w:rFonts w:cs="Times New Roman"/>
                <w:szCs w:val="20"/>
              </w:rPr>
            </w:pPr>
            <w:r w:rsidRPr="00D5459C">
              <w:rPr>
                <w:rFonts w:cs="Times New Roman"/>
                <w:szCs w:val="20"/>
              </w:rPr>
              <w:t>97.43</w:t>
            </w:r>
          </w:p>
        </w:tc>
        <w:tc>
          <w:tcPr>
            <w:tcW w:w="0" w:type="pct"/>
            <w:tcBorders>
              <w:right w:val="nil"/>
            </w:tcBorders>
            <w:vAlign w:val="center"/>
          </w:tcPr>
          <w:p w14:paraId="43043307" w14:textId="77777777" w:rsidR="00EC06C8" w:rsidRPr="00D5459C" w:rsidRDefault="00EC06C8" w:rsidP="00D5459C">
            <w:pPr>
              <w:pStyle w:val="TableText"/>
              <w:jc w:val="right"/>
              <w:cnfStyle w:val="000000100000" w:firstRow="0" w:lastRow="0" w:firstColumn="0" w:lastColumn="0" w:oddVBand="0" w:evenVBand="0" w:oddHBand="1" w:evenHBand="0" w:firstRowFirstColumn="0" w:firstRowLastColumn="0" w:lastRowFirstColumn="0" w:lastRowLastColumn="0"/>
              <w:rPr>
                <w:rFonts w:cs="Times New Roman"/>
                <w:szCs w:val="20"/>
              </w:rPr>
            </w:pPr>
            <w:r w:rsidRPr="00D5459C">
              <w:rPr>
                <w:rFonts w:cs="Times New Roman"/>
                <w:szCs w:val="20"/>
              </w:rPr>
              <w:t>77.94</w:t>
            </w:r>
          </w:p>
        </w:tc>
      </w:tr>
    </w:tbl>
    <w:p w14:paraId="6D61CD6D" w14:textId="171C17C6" w:rsidR="0025752C" w:rsidRDefault="0025752C" w:rsidP="00762667">
      <w:pPr>
        <w:pStyle w:val="Tableheading"/>
      </w:pPr>
      <w:bookmarkStart w:id="21" w:name="_Ref114654420"/>
      <w:bookmarkStart w:id="22" w:name="_Toc115682239"/>
      <w:r>
        <w:t xml:space="preserve">Table </w:t>
      </w:r>
      <w:r w:rsidR="002D4F05">
        <w:fldChar w:fldCharType="begin"/>
      </w:r>
      <w:r w:rsidR="002D4F05">
        <w:instrText xml:space="preserve"> SEQ Table \* ARABIC </w:instrText>
      </w:r>
      <w:r w:rsidR="002D4F05">
        <w:fldChar w:fldCharType="separate"/>
      </w:r>
      <w:r w:rsidR="00651832">
        <w:rPr>
          <w:noProof/>
        </w:rPr>
        <w:t>2</w:t>
      </w:r>
      <w:r w:rsidR="002D4F05">
        <w:rPr>
          <w:noProof/>
        </w:rPr>
        <w:fldChar w:fldCharType="end"/>
      </w:r>
      <w:bookmarkEnd w:id="21"/>
      <w:r>
        <w:t xml:space="preserve">: </w:t>
      </w:r>
      <w:r w:rsidR="00A21651">
        <w:tab/>
      </w:r>
      <w:r w:rsidRPr="00940CC9">
        <w:t>Proposed new hourly charge-out rates</w:t>
      </w:r>
      <w:r w:rsidR="00C86C30">
        <w:t xml:space="preserve"> (ex GST)</w:t>
      </w:r>
      <w:bookmarkEnd w:id="22"/>
    </w:p>
    <w:tbl>
      <w:tblPr>
        <w:tblStyle w:val="TableGrid"/>
        <w:tblW w:w="8642" w:type="dxa"/>
        <w:tblLook w:val="04A0" w:firstRow="1" w:lastRow="0" w:firstColumn="1" w:lastColumn="0" w:noHBand="0" w:noVBand="1"/>
      </w:tblPr>
      <w:tblGrid>
        <w:gridCol w:w="2275"/>
        <w:gridCol w:w="1053"/>
        <w:gridCol w:w="1061"/>
        <w:gridCol w:w="1053"/>
        <w:gridCol w:w="1061"/>
        <w:gridCol w:w="1053"/>
        <w:gridCol w:w="1086"/>
      </w:tblGrid>
      <w:tr w:rsidR="00407330" w14:paraId="7244A5CA" w14:textId="77777777" w:rsidTr="00117576">
        <w:tc>
          <w:tcPr>
            <w:tcW w:w="2275" w:type="dxa"/>
            <w:vMerge w:val="restart"/>
            <w:tcBorders>
              <w:top w:val="single" w:sz="4" w:space="0" w:color="1C556C" w:themeColor="accent1"/>
              <w:left w:val="single" w:sz="4" w:space="0" w:color="1C556C" w:themeColor="accent1"/>
              <w:bottom w:val="single" w:sz="4" w:space="0" w:color="1B556B"/>
              <w:right w:val="single" w:sz="4" w:space="0" w:color="FFFFFF" w:themeColor="background1"/>
            </w:tcBorders>
            <w:shd w:val="clear" w:color="auto" w:fill="1C556C" w:themeFill="accent1"/>
          </w:tcPr>
          <w:p w14:paraId="75C6D81D" w14:textId="192AD1E7" w:rsidR="00A31E0D" w:rsidRPr="00A32B4A" w:rsidRDefault="00A31E0D" w:rsidP="00A31E0D">
            <w:pPr>
              <w:pStyle w:val="TableText"/>
              <w:rPr>
                <w:b/>
                <w:bCs/>
                <w:color w:val="FFFFFF" w:themeColor="background1"/>
              </w:rPr>
            </w:pPr>
            <w:r w:rsidRPr="00A32B4A">
              <w:rPr>
                <w:b/>
                <w:bCs/>
                <w:color w:val="FFFFFF" w:themeColor="background1"/>
              </w:rPr>
              <w:t>EPA staff role</w:t>
            </w:r>
          </w:p>
        </w:tc>
        <w:tc>
          <w:tcPr>
            <w:tcW w:w="2114" w:type="dxa"/>
            <w:gridSpan w:val="2"/>
            <w:tcBorders>
              <w:top w:val="single" w:sz="4" w:space="0" w:color="1C556C" w:themeColor="accent1"/>
              <w:left w:val="single" w:sz="4" w:space="0" w:color="FFFFFF" w:themeColor="background1"/>
              <w:bottom w:val="single" w:sz="4" w:space="0" w:color="FFFFFF" w:themeColor="background1"/>
              <w:right w:val="single" w:sz="4" w:space="0" w:color="FFFFFF" w:themeColor="background1"/>
            </w:tcBorders>
            <w:shd w:val="clear" w:color="auto" w:fill="1C556C" w:themeFill="accent1"/>
          </w:tcPr>
          <w:p w14:paraId="6E07637B" w14:textId="0DCC078A" w:rsidR="00A31E0D" w:rsidRPr="00A32B4A" w:rsidRDefault="00483E49" w:rsidP="00AF3BE6">
            <w:pPr>
              <w:pStyle w:val="TableText"/>
              <w:jc w:val="center"/>
              <w:rPr>
                <w:b/>
                <w:bCs/>
                <w:color w:val="FFFFFF" w:themeColor="background1"/>
              </w:rPr>
            </w:pPr>
            <w:r>
              <w:rPr>
                <w:b/>
                <w:bCs/>
                <w:color w:val="FFFFFF" w:themeColor="background1"/>
              </w:rPr>
              <w:t>1 July 2023</w:t>
            </w:r>
            <w:r w:rsidR="00594A6E">
              <w:rPr>
                <w:b/>
                <w:bCs/>
                <w:color w:val="FFFFFF" w:themeColor="background1"/>
              </w:rPr>
              <w:t>–</w:t>
            </w:r>
            <w:r>
              <w:rPr>
                <w:b/>
                <w:bCs/>
                <w:color w:val="FFFFFF" w:themeColor="background1"/>
              </w:rPr>
              <w:t>30 June 2024</w:t>
            </w:r>
          </w:p>
        </w:tc>
        <w:tc>
          <w:tcPr>
            <w:tcW w:w="2114" w:type="dxa"/>
            <w:gridSpan w:val="2"/>
            <w:tcBorders>
              <w:top w:val="single" w:sz="4" w:space="0" w:color="1C556C" w:themeColor="accent1"/>
              <w:left w:val="single" w:sz="4" w:space="0" w:color="FFFFFF" w:themeColor="background1"/>
              <w:bottom w:val="single" w:sz="4" w:space="0" w:color="FFFFFF" w:themeColor="background1"/>
              <w:right w:val="single" w:sz="4" w:space="0" w:color="FFFFFF" w:themeColor="background1"/>
            </w:tcBorders>
            <w:shd w:val="clear" w:color="auto" w:fill="1C556C" w:themeFill="accent1"/>
          </w:tcPr>
          <w:p w14:paraId="50A15786" w14:textId="6F02D0A4" w:rsidR="00A31E0D" w:rsidRPr="00A32B4A" w:rsidRDefault="00A07432" w:rsidP="00A31E0D">
            <w:pPr>
              <w:pStyle w:val="TableText"/>
              <w:jc w:val="center"/>
              <w:rPr>
                <w:b/>
                <w:bCs/>
                <w:color w:val="FFFFFF" w:themeColor="background1"/>
              </w:rPr>
            </w:pPr>
            <w:r>
              <w:rPr>
                <w:b/>
                <w:bCs/>
                <w:color w:val="FFFFFF" w:themeColor="background1"/>
              </w:rPr>
              <w:t>1 July 2024</w:t>
            </w:r>
            <w:r w:rsidR="00594A6E">
              <w:rPr>
                <w:b/>
                <w:bCs/>
                <w:color w:val="FFFFFF" w:themeColor="background1"/>
              </w:rPr>
              <w:t>–</w:t>
            </w:r>
            <w:r>
              <w:rPr>
                <w:b/>
                <w:bCs/>
                <w:color w:val="FFFFFF" w:themeColor="background1"/>
              </w:rPr>
              <w:t>30 June 2025</w:t>
            </w:r>
          </w:p>
        </w:tc>
        <w:tc>
          <w:tcPr>
            <w:tcW w:w="2139" w:type="dxa"/>
            <w:gridSpan w:val="2"/>
            <w:tcBorders>
              <w:top w:val="single" w:sz="4" w:space="0" w:color="1C556C" w:themeColor="accent1"/>
              <w:left w:val="single" w:sz="4" w:space="0" w:color="FFFFFF" w:themeColor="background1"/>
              <w:bottom w:val="single" w:sz="4" w:space="0" w:color="FFFFFF" w:themeColor="background1"/>
              <w:right w:val="single" w:sz="4" w:space="0" w:color="1C556C" w:themeColor="accent1"/>
            </w:tcBorders>
            <w:shd w:val="clear" w:color="auto" w:fill="1C556C" w:themeFill="accent1"/>
          </w:tcPr>
          <w:p w14:paraId="30BD892F" w14:textId="3B0B7107" w:rsidR="00A31E0D" w:rsidRPr="00A32B4A" w:rsidRDefault="00D32733" w:rsidP="00A31E0D">
            <w:pPr>
              <w:pStyle w:val="TableText"/>
              <w:jc w:val="center"/>
              <w:rPr>
                <w:b/>
                <w:bCs/>
                <w:color w:val="FFFFFF" w:themeColor="background1"/>
              </w:rPr>
            </w:pPr>
            <w:r>
              <w:rPr>
                <w:b/>
                <w:bCs/>
                <w:color w:val="FFFFFF" w:themeColor="background1"/>
              </w:rPr>
              <w:t xml:space="preserve">From </w:t>
            </w:r>
            <w:r w:rsidR="00A07432">
              <w:rPr>
                <w:b/>
                <w:bCs/>
                <w:color w:val="FFFFFF" w:themeColor="background1"/>
              </w:rPr>
              <w:t xml:space="preserve">1 July </w:t>
            </w:r>
            <w:r>
              <w:rPr>
                <w:b/>
                <w:bCs/>
                <w:color w:val="FFFFFF" w:themeColor="background1"/>
              </w:rPr>
              <w:t>2025</w:t>
            </w:r>
          </w:p>
        </w:tc>
      </w:tr>
      <w:tr w:rsidR="00407330" w14:paraId="671C2D3F" w14:textId="231C2F65" w:rsidTr="00CB5C7E">
        <w:tc>
          <w:tcPr>
            <w:tcW w:w="2275" w:type="dxa"/>
            <w:vMerge/>
            <w:tcBorders>
              <w:top w:val="single" w:sz="4" w:space="0" w:color="FFFFFF" w:themeColor="background1"/>
              <w:left w:val="single" w:sz="4" w:space="0" w:color="1C556C" w:themeColor="accent1"/>
              <w:bottom w:val="nil"/>
              <w:right w:val="single" w:sz="4" w:space="0" w:color="FFFFFF" w:themeColor="background1"/>
            </w:tcBorders>
            <w:shd w:val="clear" w:color="auto" w:fill="1C556C" w:themeFill="accent1"/>
          </w:tcPr>
          <w:p w14:paraId="1B571FA3" w14:textId="0AD3114A" w:rsidR="00A31E0D" w:rsidRDefault="00A31E0D" w:rsidP="00A31E0D">
            <w:pPr>
              <w:pStyle w:val="TableText"/>
            </w:pPr>
          </w:p>
        </w:tc>
        <w:tc>
          <w:tcPr>
            <w:tcW w:w="1053"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tcPr>
          <w:p w14:paraId="786583E8" w14:textId="74C142A7" w:rsidR="00F076D3" w:rsidRPr="00407330" w:rsidRDefault="004B3DFE" w:rsidP="00A32B4A">
            <w:pPr>
              <w:pStyle w:val="TableText"/>
              <w:jc w:val="center"/>
              <w:rPr>
                <w:b/>
                <w:bCs/>
                <w:color w:val="FFFFFF" w:themeColor="background1"/>
              </w:rPr>
            </w:pPr>
            <w:r w:rsidRPr="00407330">
              <w:rPr>
                <w:b/>
                <w:bCs/>
                <w:color w:val="FFFFFF" w:themeColor="background1"/>
              </w:rPr>
              <w:t xml:space="preserve">Consenting </w:t>
            </w:r>
            <w:r w:rsidR="00F076D3" w:rsidRPr="00407330">
              <w:rPr>
                <w:b/>
                <w:bCs/>
                <w:color w:val="FFFFFF" w:themeColor="background1"/>
              </w:rPr>
              <w:t>$/hour</w:t>
            </w:r>
          </w:p>
        </w:tc>
        <w:tc>
          <w:tcPr>
            <w:tcW w:w="1061"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tcPr>
          <w:p w14:paraId="7A2C7FA1" w14:textId="0652C926" w:rsidR="00F076D3" w:rsidRPr="00407330" w:rsidRDefault="00A31E0D" w:rsidP="00A32B4A">
            <w:pPr>
              <w:pStyle w:val="TableText"/>
              <w:jc w:val="center"/>
              <w:rPr>
                <w:b/>
                <w:bCs/>
                <w:color w:val="FFFFFF" w:themeColor="background1"/>
              </w:rPr>
            </w:pPr>
            <w:r w:rsidRPr="00407330">
              <w:rPr>
                <w:b/>
                <w:bCs/>
                <w:color w:val="FFFFFF" w:themeColor="background1"/>
              </w:rPr>
              <w:t>Monitoring</w:t>
            </w:r>
            <w:r w:rsidR="00A32B4A" w:rsidRPr="00407330">
              <w:rPr>
                <w:b/>
                <w:bCs/>
                <w:color w:val="FFFFFF" w:themeColor="background1"/>
              </w:rPr>
              <w:t xml:space="preserve"> </w:t>
            </w:r>
            <w:r w:rsidR="00F076D3" w:rsidRPr="00407330">
              <w:rPr>
                <w:b/>
                <w:bCs/>
                <w:color w:val="FFFFFF" w:themeColor="background1"/>
              </w:rPr>
              <w:t>$/hour</w:t>
            </w:r>
          </w:p>
        </w:tc>
        <w:tc>
          <w:tcPr>
            <w:tcW w:w="1053"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tcPr>
          <w:p w14:paraId="6982575C" w14:textId="324B345A" w:rsidR="00F076D3" w:rsidRPr="00407330" w:rsidRDefault="004B3DFE" w:rsidP="00A32B4A">
            <w:pPr>
              <w:pStyle w:val="TableText"/>
              <w:jc w:val="center"/>
              <w:rPr>
                <w:color w:val="FFFFFF" w:themeColor="background1"/>
              </w:rPr>
            </w:pPr>
            <w:r w:rsidRPr="00407330">
              <w:rPr>
                <w:b/>
                <w:bCs/>
                <w:color w:val="FFFFFF" w:themeColor="background1"/>
              </w:rPr>
              <w:t xml:space="preserve">Consenting </w:t>
            </w:r>
            <w:r w:rsidR="00F076D3" w:rsidRPr="00407330">
              <w:rPr>
                <w:b/>
                <w:bCs/>
                <w:color w:val="FFFFFF" w:themeColor="background1"/>
              </w:rPr>
              <w:t>$/hour</w:t>
            </w:r>
          </w:p>
        </w:tc>
        <w:tc>
          <w:tcPr>
            <w:tcW w:w="1061"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tcPr>
          <w:p w14:paraId="75F06FC2" w14:textId="303DFA33" w:rsidR="00F076D3" w:rsidRPr="00407330" w:rsidRDefault="00A31E0D" w:rsidP="00A32B4A">
            <w:pPr>
              <w:pStyle w:val="TableText"/>
              <w:jc w:val="center"/>
              <w:rPr>
                <w:color w:val="FFFFFF" w:themeColor="background1"/>
              </w:rPr>
            </w:pPr>
            <w:r w:rsidRPr="00407330">
              <w:rPr>
                <w:b/>
                <w:bCs/>
                <w:color w:val="FFFFFF" w:themeColor="background1"/>
              </w:rPr>
              <w:t>Monitoring</w:t>
            </w:r>
            <w:r w:rsidR="00A32B4A" w:rsidRPr="00407330">
              <w:rPr>
                <w:b/>
                <w:bCs/>
                <w:color w:val="FFFFFF" w:themeColor="background1"/>
              </w:rPr>
              <w:t xml:space="preserve"> </w:t>
            </w:r>
            <w:r w:rsidR="00F076D3" w:rsidRPr="00407330">
              <w:rPr>
                <w:b/>
                <w:bCs/>
                <w:color w:val="FFFFFF" w:themeColor="background1"/>
              </w:rPr>
              <w:t>$/hour</w:t>
            </w:r>
          </w:p>
        </w:tc>
        <w:tc>
          <w:tcPr>
            <w:tcW w:w="1053"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tcPr>
          <w:p w14:paraId="485E5CD5" w14:textId="28DE22DA" w:rsidR="00F076D3" w:rsidRPr="00407330" w:rsidRDefault="004B3DFE" w:rsidP="00A32B4A">
            <w:pPr>
              <w:pStyle w:val="TableText"/>
              <w:jc w:val="center"/>
              <w:rPr>
                <w:color w:val="FFFFFF" w:themeColor="background1"/>
              </w:rPr>
            </w:pPr>
            <w:r w:rsidRPr="00407330">
              <w:rPr>
                <w:b/>
                <w:bCs/>
                <w:color w:val="FFFFFF" w:themeColor="background1"/>
              </w:rPr>
              <w:t xml:space="preserve">Consenting </w:t>
            </w:r>
            <w:r w:rsidR="00F076D3" w:rsidRPr="00407330">
              <w:rPr>
                <w:b/>
                <w:bCs/>
                <w:color w:val="FFFFFF" w:themeColor="background1"/>
              </w:rPr>
              <w:t>$/hour</w:t>
            </w:r>
          </w:p>
        </w:tc>
        <w:tc>
          <w:tcPr>
            <w:tcW w:w="1086" w:type="dxa"/>
            <w:tcBorders>
              <w:top w:val="single" w:sz="4" w:space="0" w:color="FFFFFF" w:themeColor="background1"/>
              <w:left w:val="single" w:sz="4" w:space="0" w:color="FFFFFF" w:themeColor="background1"/>
              <w:bottom w:val="nil"/>
              <w:right w:val="single" w:sz="4" w:space="0" w:color="1C556C" w:themeColor="accent1"/>
            </w:tcBorders>
            <w:shd w:val="clear" w:color="auto" w:fill="1B556B"/>
          </w:tcPr>
          <w:p w14:paraId="0B52F8D5" w14:textId="283E7E80" w:rsidR="00F076D3" w:rsidRPr="00407330" w:rsidRDefault="00A31E0D" w:rsidP="00A32B4A">
            <w:pPr>
              <w:pStyle w:val="TableText"/>
              <w:jc w:val="center"/>
              <w:rPr>
                <w:color w:val="FFFFFF" w:themeColor="background1"/>
              </w:rPr>
            </w:pPr>
            <w:r w:rsidRPr="00407330">
              <w:rPr>
                <w:b/>
                <w:bCs/>
                <w:color w:val="FFFFFF" w:themeColor="background1"/>
              </w:rPr>
              <w:t>Monitoring</w:t>
            </w:r>
            <w:r w:rsidR="00A32B4A" w:rsidRPr="00407330">
              <w:rPr>
                <w:b/>
                <w:bCs/>
                <w:color w:val="FFFFFF" w:themeColor="background1"/>
              </w:rPr>
              <w:t xml:space="preserve"> </w:t>
            </w:r>
            <w:r w:rsidR="00F076D3" w:rsidRPr="00407330">
              <w:rPr>
                <w:b/>
                <w:bCs/>
                <w:color w:val="FFFFFF" w:themeColor="background1"/>
              </w:rPr>
              <w:t>$/hour</w:t>
            </w:r>
          </w:p>
        </w:tc>
      </w:tr>
      <w:tr w:rsidR="00241E9C" w14:paraId="357ECBCF" w14:textId="38B3DBD2" w:rsidTr="00CB5C7E">
        <w:tc>
          <w:tcPr>
            <w:tcW w:w="2275" w:type="dxa"/>
            <w:tcBorders>
              <w:top w:val="nil"/>
              <w:left w:val="nil"/>
              <w:bottom w:val="single" w:sz="4" w:space="0" w:color="1B556B"/>
              <w:right w:val="single" w:sz="4" w:space="0" w:color="1B556B"/>
            </w:tcBorders>
          </w:tcPr>
          <w:p w14:paraId="3F00A9DF" w14:textId="464AFF30" w:rsidR="00241E9C" w:rsidRDefault="00241E9C" w:rsidP="004E60F0">
            <w:pPr>
              <w:pStyle w:val="TableText"/>
            </w:pPr>
            <w:r w:rsidRPr="00D00CEC">
              <w:t xml:space="preserve">Principal </w:t>
            </w:r>
            <w:r w:rsidR="001112F1">
              <w:t>a</w:t>
            </w:r>
            <w:r w:rsidRPr="00D00CEC">
              <w:t>dvisor/</w:t>
            </w:r>
            <w:r w:rsidR="001112F1">
              <w:t>o</w:t>
            </w:r>
            <w:r w:rsidRPr="00D00CEC">
              <w:t>fficer/</w:t>
            </w:r>
            <w:r w:rsidR="001112F1">
              <w:t>i</w:t>
            </w:r>
            <w:r w:rsidRPr="00D00CEC">
              <w:t>nvestigator</w:t>
            </w:r>
            <w:r w:rsidR="004F2796">
              <w:t xml:space="preserve"> </w:t>
            </w:r>
            <w:r w:rsidR="002A3E7C">
              <w:t>and team leader</w:t>
            </w:r>
          </w:p>
        </w:tc>
        <w:tc>
          <w:tcPr>
            <w:tcW w:w="1053" w:type="dxa"/>
            <w:tcBorders>
              <w:top w:val="nil"/>
              <w:left w:val="single" w:sz="4" w:space="0" w:color="1B556B"/>
              <w:bottom w:val="single" w:sz="4" w:space="0" w:color="1B556B"/>
              <w:right w:val="single" w:sz="4" w:space="0" w:color="1B556B"/>
            </w:tcBorders>
          </w:tcPr>
          <w:p w14:paraId="17819DA4" w14:textId="4FA06804" w:rsidR="00241E9C" w:rsidRDefault="00241E9C" w:rsidP="004E60F0">
            <w:pPr>
              <w:pStyle w:val="TableText"/>
              <w:jc w:val="right"/>
            </w:pPr>
            <w:r w:rsidRPr="00D00CEC">
              <w:t>301.00</w:t>
            </w:r>
          </w:p>
        </w:tc>
        <w:tc>
          <w:tcPr>
            <w:tcW w:w="1061" w:type="dxa"/>
            <w:tcBorders>
              <w:top w:val="nil"/>
              <w:left w:val="single" w:sz="4" w:space="0" w:color="1B556B"/>
              <w:bottom w:val="single" w:sz="4" w:space="0" w:color="1B556B"/>
              <w:right w:val="single" w:sz="4" w:space="0" w:color="1B556B"/>
            </w:tcBorders>
          </w:tcPr>
          <w:p w14:paraId="6977E83C" w14:textId="7DABA706" w:rsidR="00241E9C" w:rsidRPr="00D00CEC" w:rsidRDefault="00AF3BE6" w:rsidP="004E60F0">
            <w:pPr>
              <w:pStyle w:val="TableText"/>
              <w:jc w:val="right"/>
            </w:pPr>
            <w:r>
              <w:t>240.80</w:t>
            </w:r>
          </w:p>
        </w:tc>
        <w:tc>
          <w:tcPr>
            <w:tcW w:w="1053" w:type="dxa"/>
            <w:tcBorders>
              <w:top w:val="nil"/>
              <w:left w:val="single" w:sz="4" w:space="0" w:color="1B556B"/>
              <w:bottom w:val="single" w:sz="4" w:space="0" w:color="1B556B"/>
              <w:right w:val="single" w:sz="4" w:space="0" w:color="1B556B"/>
            </w:tcBorders>
          </w:tcPr>
          <w:p w14:paraId="628956F2" w14:textId="1A49B364" w:rsidR="00241E9C" w:rsidRDefault="00241E9C" w:rsidP="004E60F0">
            <w:pPr>
              <w:pStyle w:val="TableText"/>
              <w:jc w:val="right"/>
            </w:pPr>
            <w:r w:rsidRPr="00D00CEC">
              <w:t>310.00</w:t>
            </w:r>
          </w:p>
        </w:tc>
        <w:tc>
          <w:tcPr>
            <w:tcW w:w="1061" w:type="dxa"/>
            <w:tcBorders>
              <w:top w:val="nil"/>
              <w:left w:val="single" w:sz="4" w:space="0" w:color="1B556B"/>
              <w:bottom w:val="single" w:sz="4" w:space="0" w:color="1B556B"/>
              <w:right w:val="single" w:sz="4" w:space="0" w:color="1B556B"/>
            </w:tcBorders>
          </w:tcPr>
          <w:p w14:paraId="13E1A20A" w14:textId="4BD4831B" w:rsidR="00241E9C" w:rsidRPr="00D00CEC" w:rsidRDefault="006E67B5" w:rsidP="004E60F0">
            <w:pPr>
              <w:pStyle w:val="TableText"/>
              <w:jc w:val="right"/>
            </w:pPr>
            <w:r>
              <w:t>248.00</w:t>
            </w:r>
          </w:p>
        </w:tc>
        <w:tc>
          <w:tcPr>
            <w:tcW w:w="1053" w:type="dxa"/>
            <w:tcBorders>
              <w:top w:val="nil"/>
              <w:left w:val="single" w:sz="4" w:space="0" w:color="1B556B"/>
              <w:bottom w:val="single" w:sz="4" w:space="0" w:color="1B556B"/>
              <w:right w:val="single" w:sz="4" w:space="0" w:color="1B556B"/>
            </w:tcBorders>
          </w:tcPr>
          <w:p w14:paraId="49D96EDC" w14:textId="6F90B898" w:rsidR="00241E9C" w:rsidRDefault="00241E9C" w:rsidP="004E60F0">
            <w:pPr>
              <w:pStyle w:val="TableText"/>
              <w:jc w:val="right"/>
            </w:pPr>
            <w:r w:rsidRPr="00D00CEC">
              <w:t>319.00</w:t>
            </w:r>
          </w:p>
        </w:tc>
        <w:tc>
          <w:tcPr>
            <w:tcW w:w="1086" w:type="dxa"/>
            <w:tcBorders>
              <w:top w:val="nil"/>
              <w:left w:val="single" w:sz="4" w:space="0" w:color="1B556B"/>
              <w:bottom w:val="single" w:sz="4" w:space="0" w:color="1B556B"/>
              <w:right w:val="nil"/>
            </w:tcBorders>
          </w:tcPr>
          <w:p w14:paraId="6704CBEC" w14:textId="724103E0" w:rsidR="00241E9C" w:rsidRPr="00D00CEC" w:rsidRDefault="006E67B5" w:rsidP="004E60F0">
            <w:pPr>
              <w:pStyle w:val="TableText"/>
              <w:jc w:val="right"/>
            </w:pPr>
            <w:r>
              <w:t>255.20</w:t>
            </w:r>
          </w:p>
        </w:tc>
      </w:tr>
      <w:tr w:rsidR="00241E9C" w14:paraId="0D8A357C" w14:textId="1DFDBFDD" w:rsidTr="00CB5C7E">
        <w:tc>
          <w:tcPr>
            <w:tcW w:w="2275" w:type="dxa"/>
            <w:tcBorders>
              <w:top w:val="single" w:sz="4" w:space="0" w:color="1B556B"/>
              <w:left w:val="nil"/>
              <w:bottom w:val="single" w:sz="4" w:space="0" w:color="1B556B"/>
              <w:right w:val="single" w:sz="4" w:space="0" w:color="1B556B"/>
            </w:tcBorders>
          </w:tcPr>
          <w:p w14:paraId="5C5D8E87" w14:textId="4A109897" w:rsidR="00241E9C" w:rsidRDefault="00241E9C" w:rsidP="004E60F0">
            <w:pPr>
              <w:pStyle w:val="TableText"/>
            </w:pPr>
            <w:r w:rsidRPr="00D00CEC">
              <w:t xml:space="preserve">Project </w:t>
            </w:r>
            <w:r w:rsidR="001112F1">
              <w:t>l</w:t>
            </w:r>
            <w:r w:rsidRPr="00D00CEC">
              <w:t>eader</w:t>
            </w:r>
            <w:r w:rsidR="001C0B15">
              <w:t>/senior compliance officer/investigator</w:t>
            </w:r>
          </w:p>
        </w:tc>
        <w:tc>
          <w:tcPr>
            <w:tcW w:w="1053" w:type="dxa"/>
            <w:tcBorders>
              <w:top w:val="single" w:sz="4" w:space="0" w:color="1B556B"/>
              <w:left w:val="single" w:sz="4" w:space="0" w:color="1B556B"/>
              <w:bottom w:val="single" w:sz="4" w:space="0" w:color="1B556B"/>
              <w:right w:val="single" w:sz="4" w:space="0" w:color="1B556B"/>
            </w:tcBorders>
          </w:tcPr>
          <w:p w14:paraId="0C31B214" w14:textId="33D60252" w:rsidR="00241E9C" w:rsidRDefault="00241E9C" w:rsidP="004E60F0">
            <w:pPr>
              <w:pStyle w:val="TableText"/>
              <w:jc w:val="right"/>
            </w:pPr>
            <w:r w:rsidRPr="00D00CEC">
              <w:t>251.00</w:t>
            </w:r>
          </w:p>
        </w:tc>
        <w:tc>
          <w:tcPr>
            <w:tcW w:w="1061" w:type="dxa"/>
            <w:tcBorders>
              <w:top w:val="single" w:sz="4" w:space="0" w:color="1B556B"/>
              <w:left w:val="single" w:sz="4" w:space="0" w:color="1B556B"/>
              <w:bottom w:val="single" w:sz="4" w:space="0" w:color="1B556B"/>
              <w:right w:val="single" w:sz="4" w:space="0" w:color="1B556B"/>
            </w:tcBorders>
          </w:tcPr>
          <w:p w14:paraId="7EBCFE05" w14:textId="2D8A8455" w:rsidR="00241E9C" w:rsidRPr="00D00CEC" w:rsidRDefault="00A544D6" w:rsidP="004E60F0">
            <w:pPr>
              <w:pStyle w:val="TableText"/>
              <w:jc w:val="right"/>
            </w:pPr>
            <w:r>
              <w:t>200.80</w:t>
            </w:r>
          </w:p>
        </w:tc>
        <w:tc>
          <w:tcPr>
            <w:tcW w:w="1053" w:type="dxa"/>
            <w:tcBorders>
              <w:top w:val="single" w:sz="4" w:space="0" w:color="1B556B"/>
              <w:left w:val="single" w:sz="4" w:space="0" w:color="1B556B"/>
              <w:bottom w:val="single" w:sz="4" w:space="0" w:color="1B556B"/>
              <w:right w:val="single" w:sz="4" w:space="0" w:color="1B556B"/>
            </w:tcBorders>
          </w:tcPr>
          <w:p w14:paraId="6989655B" w14:textId="4497CD3E" w:rsidR="00241E9C" w:rsidRDefault="00241E9C" w:rsidP="004E60F0">
            <w:pPr>
              <w:pStyle w:val="TableText"/>
              <w:jc w:val="right"/>
            </w:pPr>
            <w:r w:rsidRPr="00D00CEC">
              <w:t>259.00</w:t>
            </w:r>
          </w:p>
        </w:tc>
        <w:tc>
          <w:tcPr>
            <w:tcW w:w="1061" w:type="dxa"/>
            <w:tcBorders>
              <w:top w:val="single" w:sz="4" w:space="0" w:color="1B556B"/>
              <w:left w:val="single" w:sz="4" w:space="0" w:color="1B556B"/>
              <w:bottom w:val="single" w:sz="4" w:space="0" w:color="1B556B"/>
              <w:right w:val="single" w:sz="4" w:space="0" w:color="1B556B"/>
            </w:tcBorders>
          </w:tcPr>
          <w:p w14:paraId="2EA68CFC" w14:textId="7B24C29C" w:rsidR="00241E9C" w:rsidRPr="00D00CEC" w:rsidRDefault="003D573A" w:rsidP="004E60F0">
            <w:pPr>
              <w:pStyle w:val="TableText"/>
              <w:jc w:val="right"/>
            </w:pPr>
            <w:r>
              <w:t>207.20</w:t>
            </w:r>
          </w:p>
        </w:tc>
        <w:tc>
          <w:tcPr>
            <w:tcW w:w="1053" w:type="dxa"/>
            <w:tcBorders>
              <w:top w:val="single" w:sz="4" w:space="0" w:color="1B556B"/>
              <w:left w:val="single" w:sz="4" w:space="0" w:color="1B556B"/>
              <w:bottom w:val="single" w:sz="4" w:space="0" w:color="1B556B"/>
              <w:right w:val="single" w:sz="4" w:space="0" w:color="1B556B"/>
            </w:tcBorders>
          </w:tcPr>
          <w:p w14:paraId="570247D2" w14:textId="520752CE" w:rsidR="00241E9C" w:rsidRDefault="00241E9C" w:rsidP="004E60F0">
            <w:pPr>
              <w:pStyle w:val="TableText"/>
              <w:jc w:val="right"/>
            </w:pPr>
            <w:r w:rsidRPr="00D00CEC">
              <w:t>266.00</w:t>
            </w:r>
          </w:p>
        </w:tc>
        <w:tc>
          <w:tcPr>
            <w:tcW w:w="1086" w:type="dxa"/>
            <w:tcBorders>
              <w:top w:val="single" w:sz="4" w:space="0" w:color="1B556B"/>
              <w:left w:val="single" w:sz="4" w:space="0" w:color="1B556B"/>
              <w:bottom w:val="single" w:sz="4" w:space="0" w:color="1B556B"/>
              <w:right w:val="nil"/>
            </w:tcBorders>
          </w:tcPr>
          <w:p w14:paraId="2AB64C37" w14:textId="4BF55F56" w:rsidR="00241E9C" w:rsidRPr="00D00CEC" w:rsidRDefault="003D573A" w:rsidP="004E60F0">
            <w:pPr>
              <w:pStyle w:val="TableText"/>
              <w:jc w:val="right"/>
            </w:pPr>
            <w:r>
              <w:t>212.80</w:t>
            </w:r>
          </w:p>
        </w:tc>
      </w:tr>
      <w:tr w:rsidR="00241E9C" w14:paraId="6ADE1925" w14:textId="2DFBAAE0" w:rsidTr="00CB5C7E">
        <w:tc>
          <w:tcPr>
            <w:tcW w:w="2275" w:type="dxa"/>
            <w:tcBorders>
              <w:top w:val="single" w:sz="4" w:space="0" w:color="1B556B"/>
              <w:left w:val="nil"/>
              <w:bottom w:val="single" w:sz="4" w:space="0" w:color="1B556B"/>
              <w:right w:val="single" w:sz="4" w:space="0" w:color="1B556B"/>
            </w:tcBorders>
          </w:tcPr>
          <w:p w14:paraId="0A3282A2" w14:textId="13BE564A" w:rsidR="00241E9C" w:rsidRDefault="00241E9C" w:rsidP="004E60F0">
            <w:pPr>
              <w:pStyle w:val="TableText"/>
            </w:pPr>
            <w:r w:rsidRPr="00D00CEC">
              <w:t xml:space="preserve">Senior </w:t>
            </w:r>
            <w:r w:rsidR="001112F1">
              <w:t>a</w:t>
            </w:r>
            <w:r w:rsidRPr="00D00CEC">
              <w:t>dvisor/</w:t>
            </w:r>
            <w:r w:rsidR="001112F1">
              <w:t>o</w:t>
            </w:r>
            <w:r w:rsidRPr="00D00CEC">
              <w:t>fficer/</w:t>
            </w:r>
            <w:r w:rsidR="001112F1">
              <w:t>i</w:t>
            </w:r>
            <w:r w:rsidRPr="00D00CEC">
              <w:t>nvestigator</w:t>
            </w:r>
          </w:p>
        </w:tc>
        <w:tc>
          <w:tcPr>
            <w:tcW w:w="1053" w:type="dxa"/>
            <w:tcBorders>
              <w:top w:val="single" w:sz="4" w:space="0" w:color="1B556B"/>
              <w:left w:val="single" w:sz="4" w:space="0" w:color="1B556B"/>
              <w:bottom w:val="single" w:sz="4" w:space="0" w:color="1B556B"/>
              <w:right w:val="single" w:sz="4" w:space="0" w:color="1B556B"/>
            </w:tcBorders>
          </w:tcPr>
          <w:p w14:paraId="4ECA3740" w14:textId="40B32C69" w:rsidR="00241E9C" w:rsidRDefault="00241E9C" w:rsidP="004E60F0">
            <w:pPr>
              <w:pStyle w:val="TableText"/>
              <w:jc w:val="right"/>
            </w:pPr>
            <w:r w:rsidRPr="00D00CEC">
              <w:t>211.00</w:t>
            </w:r>
          </w:p>
        </w:tc>
        <w:tc>
          <w:tcPr>
            <w:tcW w:w="1061" w:type="dxa"/>
            <w:tcBorders>
              <w:top w:val="single" w:sz="4" w:space="0" w:color="1B556B"/>
              <w:left w:val="single" w:sz="4" w:space="0" w:color="1B556B"/>
              <w:bottom w:val="single" w:sz="4" w:space="0" w:color="1B556B"/>
              <w:right w:val="single" w:sz="4" w:space="0" w:color="1B556B"/>
            </w:tcBorders>
          </w:tcPr>
          <w:p w14:paraId="123B77C2" w14:textId="06443997" w:rsidR="00241E9C" w:rsidRPr="00D00CEC" w:rsidRDefault="00BB5DEA" w:rsidP="004E60F0">
            <w:pPr>
              <w:pStyle w:val="TableText"/>
              <w:jc w:val="right"/>
            </w:pPr>
            <w:r>
              <w:t>168.80</w:t>
            </w:r>
          </w:p>
        </w:tc>
        <w:tc>
          <w:tcPr>
            <w:tcW w:w="1053" w:type="dxa"/>
            <w:tcBorders>
              <w:top w:val="single" w:sz="4" w:space="0" w:color="1B556B"/>
              <w:left w:val="single" w:sz="4" w:space="0" w:color="1B556B"/>
              <w:bottom w:val="single" w:sz="4" w:space="0" w:color="1B556B"/>
              <w:right w:val="single" w:sz="4" w:space="0" w:color="1B556B"/>
            </w:tcBorders>
          </w:tcPr>
          <w:p w14:paraId="3EB66725" w14:textId="7CC4053F" w:rsidR="00241E9C" w:rsidRDefault="00241E9C" w:rsidP="004E60F0">
            <w:pPr>
              <w:pStyle w:val="TableText"/>
              <w:jc w:val="right"/>
            </w:pPr>
            <w:r w:rsidRPr="00D00CEC">
              <w:t>218.00</w:t>
            </w:r>
          </w:p>
        </w:tc>
        <w:tc>
          <w:tcPr>
            <w:tcW w:w="1061" w:type="dxa"/>
            <w:tcBorders>
              <w:top w:val="single" w:sz="4" w:space="0" w:color="1B556B"/>
              <w:left w:val="single" w:sz="4" w:space="0" w:color="1B556B"/>
              <w:bottom w:val="single" w:sz="4" w:space="0" w:color="1B556B"/>
              <w:right w:val="single" w:sz="4" w:space="0" w:color="1B556B"/>
            </w:tcBorders>
          </w:tcPr>
          <w:p w14:paraId="3A13F1A1" w14:textId="196687C9" w:rsidR="00241E9C" w:rsidRPr="00D00CEC" w:rsidRDefault="00BB5DEA" w:rsidP="004E60F0">
            <w:pPr>
              <w:pStyle w:val="TableText"/>
              <w:jc w:val="right"/>
            </w:pPr>
            <w:r>
              <w:t>174.40</w:t>
            </w:r>
          </w:p>
        </w:tc>
        <w:tc>
          <w:tcPr>
            <w:tcW w:w="1053" w:type="dxa"/>
            <w:tcBorders>
              <w:top w:val="single" w:sz="4" w:space="0" w:color="1B556B"/>
              <w:left w:val="single" w:sz="4" w:space="0" w:color="1B556B"/>
              <w:bottom w:val="single" w:sz="4" w:space="0" w:color="1B556B"/>
              <w:right w:val="single" w:sz="4" w:space="0" w:color="1B556B"/>
            </w:tcBorders>
          </w:tcPr>
          <w:p w14:paraId="769FC88F" w14:textId="4ED3096F" w:rsidR="00241E9C" w:rsidRDefault="00241E9C" w:rsidP="004E60F0">
            <w:pPr>
              <w:pStyle w:val="TableText"/>
              <w:jc w:val="right"/>
            </w:pPr>
            <w:r w:rsidRPr="00D00CEC">
              <w:t>224.00</w:t>
            </w:r>
          </w:p>
        </w:tc>
        <w:tc>
          <w:tcPr>
            <w:tcW w:w="1086" w:type="dxa"/>
            <w:tcBorders>
              <w:top w:val="single" w:sz="4" w:space="0" w:color="1B556B"/>
              <w:left w:val="single" w:sz="4" w:space="0" w:color="1B556B"/>
              <w:bottom w:val="single" w:sz="4" w:space="0" w:color="1B556B"/>
              <w:right w:val="nil"/>
            </w:tcBorders>
          </w:tcPr>
          <w:p w14:paraId="2AD72965" w14:textId="2FAB71DF" w:rsidR="00241E9C" w:rsidRPr="00D00CEC" w:rsidRDefault="00BF00E3" w:rsidP="004E60F0">
            <w:pPr>
              <w:pStyle w:val="TableText"/>
              <w:jc w:val="right"/>
            </w:pPr>
            <w:r>
              <w:t>179.20</w:t>
            </w:r>
          </w:p>
        </w:tc>
      </w:tr>
      <w:tr w:rsidR="00241E9C" w14:paraId="34A4B704" w14:textId="77D51B55" w:rsidTr="00CB5C7E">
        <w:tc>
          <w:tcPr>
            <w:tcW w:w="2275" w:type="dxa"/>
            <w:tcBorders>
              <w:top w:val="single" w:sz="4" w:space="0" w:color="1B556B"/>
              <w:left w:val="nil"/>
              <w:bottom w:val="single" w:sz="4" w:space="0" w:color="1B556B"/>
              <w:right w:val="single" w:sz="4" w:space="0" w:color="1B556B"/>
            </w:tcBorders>
          </w:tcPr>
          <w:p w14:paraId="6577A2BD" w14:textId="661BC421" w:rsidR="00241E9C" w:rsidRDefault="00241E9C" w:rsidP="004E60F0">
            <w:pPr>
              <w:pStyle w:val="TableText"/>
            </w:pPr>
            <w:r w:rsidRPr="00D00CEC">
              <w:t>Advisor/</w:t>
            </w:r>
            <w:r w:rsidR="001112F1">
              <w:t>o</w:t>
            </w:r>
            <w:r w:rsidRPr="00D00CEC">
              <w:t>fficer/</w:t>
            </w:r>
            <w:r w:rsidR="001112F1">
              <w:t>i</w:t>
            </w:r>
            <w:r w:rsidRPr="00D00CEC">
              <w:t>nvestigator</w:t>
            </w:r>
          </w:p>
        </w:tc>
        <w:tc>
          <w:tcPr>
            <w:tcW w:w="1053" w:type="dxa"/>
            <w:tcBorders>
              <w:top w:val="single" w:sz="4" w:space="0" w:color="1B556B"/>
              <w:left w:val="single" w:sz="4" w:space="0" w:color="1B556B"/>
              <w:bottom w:val="single" w:sz="4" w:space="0" w:color="1B556B"/>
              <w:right w:val="single" w:sz="4" w:space="0" w:color="1B556B"/>
            </w:tcBorders>
          </w:tcPr>
          <w:p w14:paraId="39AB2811" w14:textId="174D3909" w:rsidR="00241E9C" w:rsidRDefault="00241E9C" w:rsidP="004E60F0">
            <w:pPr>
              <w:pStyle w:val="TableText"/>
              <w:jc w:val="right"/>
            </w:pPr>
            <w:r w:rsidRPr="00D00CEC">
              <w:t>181.00</w:t>
            </w:r>
          </w:p>
        </w:tc>
        <w:tc>
          <w:tcPr>
            <w:tcW w:w="1061" w:type="dxa"/>
            <w:tcBorders>
              <w:top w:val="single" w:sz="4" w:space="0" w:color="1B556B"/>
              <w:left w:val="single" w:sz="4" w:space="0" w:color="1B556B"/>
              <w:bottom w:val="single" w:sz="4" w:space="0" w:color="1B556B"/>
              <w:right w:val="single" w:sz="4" w:space="0" w:color="1B556B"/>
            </w:tcBorders>
          </w:tcPr>
          <w:p w14:paraId="2BBF7E5C" w14:textId="45E28818" w:rsidR="00241E9C" w:rsidRPr="00D00CEC" w:rsidRDefault="00BF00E3" w:rsidP="004E60F0">
            <w:pPr>
              <w:pStyle w:val="TableText"/>
              <w:jc w:val="right"/>
            </w:pPr>
            <w:r>
              <w:t>144.80</w:t>
            </w:r>
          </w:p>
        </w:tc>
        <w:tc>
          <w:tcPr>
            <w:tcW w:w="1053" w:type="dxa"/>
            <w:tcBorders>
              <w:top w:val="single" w:sz="4" w:space="0" w:color="1B556B"/>
              <w:left w:val="single" w:sz="4" w:space="0" w:color="1B556B"/>
              <w:bottom w:val="single" w:sz="4" w:space="0" w:color="1B556B"/>
              <w:right w:val="single" w:sz="4" w:space="0" w:color="1B556B"/>
            </w:tcBorders>
          </w:tcPr>
          <w:p w14:paraId="762CF43B" w14:textId="12CAD147" w:rsidR="00241E9C" w:rsidRDefault="00241E9C" w:rsidP="004E60F0">
            <w:pPr>
              <w:pStyle w:val="TableText"/>
              <w:jc w:val="right"/>
            </w:pPr>
            <w:r w:rsidRPr="00D00CEC">
              <w:t>186.00</w:t>
            </w:r>
          </w:p>
        </w:tc>
        <w:tc>
          <w:tcPr>
            <w:tcW w:w="1061" w:type="dxa"/>
            <w:tcBorders>
              <w:top w:val="single" w:sz="4" w:space="0" w:color="1B556B"/>
              <w:left w:val="single" w:sz="4" w:space="0" w:color="1B556B"/>
              <w:bottom w:val="single" w:sz="4" w:space="0" w:color="1B556B"/>
              <w:right w:val="single" w:sz="4" w:space="0" w:color="1B556B"/>
            </w:tcBorders>
          </w:tcPr>
          <w:p w14:paraId="4EE47B69" w14:textId="0BC55C50" w:rsidR="00241E9C" w:rsidRPr="00D00CEC" w:rsidRDefault="00BF00E3" w:rsidP="004E60F0">
            <w:pPr>
              <w:pStyle w:val="TableText"/>
              <w:jc w:val="right"/>
            </w:pPr>
            <w:r>
              <w:t>148.80</w:t>
            </w:r>
          </w:p>
        </w:tc>
        <w:tc>
          <w:tcPr>
            <w:tcW w:w="1053" w:type="dxa"/>
            <w:tcBorders>
              <w:top w:val="single" w:sz="4" w:space="0" w:color="1B556B"/>
              <w:left w:val="single" w:sz="4" w:space="0" w:color="1B556B"/>
              <w:bottom w:val="single" w:sz="4" w:space="0" w:color="1B556B"/>
              <w:right w:val="single" w:sz="4" w:space="0" w:color="1B556B"/>
            </w:tcBorders>
          </w:tcPr>
          <w:p w14:paraId="35A27664" w14:textId="43851C0D" w:rsidR="00241E9C" w:rsidRDefault="00241E9C" w:rsidP="004E60F0">
            <w:pPr>
              <w:pStyle w:val="TableText"/>
              <w:jc w:val="right"/>
            </w:pPr>
            <w:r w:rsidRPr="00D00CEC">
              <w:t>192.00</w:t>
            </w:r>
          </w:p>
        </w:tc>
        <w:tc>
          <w:tcPr>
            <w:tcW w:w="1086" w:type="dxa"/>
            <w:tcBorders>
              <w:top w:val="single" w:sz="4" w:space="0" w:color="1B556B"/>
              <w:left w:val="single" w:sz="4" w:space="0" w:color="1B556B"/>
              <w:bottom w:val="single" w:sz="4" w:space="0" w:color="1B556B"/>
              <w:right w:val="nil"/>
            </w:tcBorders>
          </w:tcPr>
          <w:p w14:paraId="458671C8" w14:textId="3CEBD032" w:rsidR="00241E9C" w:rsidRPr="00D00CEC" w:rsidRDefault="00D07BEE" w:rsidP="004E60F0">
            <w:pPr>
              <w:pStyle w:val="TableText"/>
              <w:jc w:val="right"/>
            </w:pPr>
            <w:r>
              <w:t>153.60</w:t>
            </w:r>
          </w:p>
        </w:tc>
      </w:tr>
      <w:tr w:rsidR="00241E9C" w14:paraId="2D8E4342" w14:textId="3AEB68D7" w:rsidTr="00CB5C7E">
        <w:tc>
          <w:tcPr>
            <w:tcW w:w="2275" w:type="dxa"/>
            <w:tcBorders>
              <w:top w:val="single" w:sz="4" w:space="0" w:color="1B556B"/>
              <w:left w:val="nil"/>
              <w:bottom w:val="single" w:sz="4" w:space="0" w:color="1B556B"/>
              <w:right w:val="single" w:sz="4" w:space="0" w:color="1B556B"/>
            </w:tcBorders>
          </w:tcPr>
          <w:p w14:paraId="2E0DE261" w14:textId="075DE08E" w:rsidR="00241E9C" w:rsidRDefault="00241E9C" w:rsidP="004E60F0">
            <w:pPr>
              <w:pStyle w:val="TableText"/>
            </w:pPr>
            <w:r w:rsidRPr="00D00CEC">
              <w:t>Administrator</w:t>
            </w:r>
          </w:p>
        </w:tc>
        <w:tc>
          <w:tcPr>
            <w:tcW w:w="1053" w:type="dxa"/>
            <w:tcBorders>
              <w:top w:val="single" w:sz="4" w:space="0" w:color="1B556B"/>
              <w:left w:val="single" w:sz="4" w:space="0" w:color="1B556B"/>
              <w:bottom w:val="single" w:sz="4" w:space="0" w:color="1B556B"/>
              <w:right w:val="single" w:sz="4" w:space="0" w:color="1B556B"/>
            </w:tcBorders>
          </w:tcPr>
          <w:p w14:paraId="65B2797B" w14:textId="0064C153" w:rsidR="00241E9C" w:rsidRDefault="00241E9C" w:rsidP="004E60F0">
            <w:pPr>
              <w:pStyle w:val="TableText"/>
              <w:jc w:val="right"/>
            </w:pPr>
            <w:r w:rsidRPr="00D00CEC">
              <w:t>143.00</w:t>
            </w:r>
          </w:p>
        </w:tc>
        <w:tc>
          <w:tcPr>
            <w:tcW w:w="1061" w:type="dxa"/>
            <w:tcBorders>
              <w:top w:val="single" w:sz="4" w:space="0" w:color="1B556B"/>
              <w:left w:val="single" w:sz="4" w:space="0" w:color="1B556B"/>
              <w:bottom w:val="single" w:sz="4" w:space="0" w:color="1B556B"/>
              <w:right w:val="single" w:sz="4" w:space="0" w:color="1B556B"/>
            </w:tcBorders>
          </w:tcPr>
          <w:p w14:paraId="447E08FC" w14:textId="13E09F8C" w:rsidR="00241E9C" w:rsidRPr="00D00CEC" w:rsidRDefault="00D07BEE" w:rsidP="004E60F0">
            <w:pPr>
              <w:pStyle w:val="TableText"/>
              <w:jc w:val="right"/>
            </w:pPr>
            <w:r>
              <w:t>114.40</w:t>
            </w:r>
          </w:p>
        </w:tc>
        <w:tc>
          <w:tcPr>
            <w:tcW w:w="1053" w:type="dxa"/>
            <w:tcBorders>
              <w:top w:val="single" w:sz="4" w:space="0" w:color="1B556B"/>
              <w:left w:val="single" w:sz="4" w:space="0" w:color="1B556B"/>
              <w:bottom w:val="single" w:sz="4" w:space="0" w:color="1B556B"/>
              <w:right w:val="single" w:sz="4" w:space="0" w:color="1B556B"/>
            </w:tcBorders>
          </w:tcPr>
          <w:p w14:paraId="0AEB4026" w14:textId="698BB765" w:rsidR="00241E9C" w:rsidRDefault="00241E9C" w:rsidP="004E60F0">
            <w:pPr>
              <w:pStyle w:val="TableText"/>
              <w:jc w:val="right"/>
            </w:pPr>
            <w:r w:rsidRPr="00D00CEC">
              <w:t>148.00</w:t>
            </w:r>
          </w:p>
        </w:tc>
        <w:tc>
          <w:tcPr>
            <w:tcW w:w="1061" w:type="dxa"/>
            <w:tcBorders>
              <w:top w:val="single" w:sz="4" w:space="0" w:color="1B556B"/>
              <w:left w:val="single" w:sz="4" w:space="0" w:color="1B556B"/>
              <w:bottom w:val="single" w:sz="4" w:space="0" w:color="1B556B"/>
              <w:right w:val="single" w:sz="4" w:space="0" w:color="1B556B"/>
            </w:tcBorders>
          </w:tcPr>
          <w:p w14:paraId="0EE85767" w14:textId="1C517F38" w:rsidR="00241E9C" w:rsidRPr="00D00CEC" w:rsidRDefault="00D10A53" w:rsidP="004E60F0">
            <w:pPr>
              <w:pStyle w:val="TableText"/>
              <w:jc w:val="right"/>
            </w:pPr>
            <w:r>
              <w:t>118.40</w:t>
            </w:r>
          </w:p>
        </w:tc>
        <w:tc>
          <w:tcPr>
            <w:tcW w:w="1053" w:type="dxa"/>
            <w:tcBorders>
              <w:top w:val="single" w:sz="4" w:space="0" w:color="1B556B"/>
              <w:left w:val="single" w:sz="4" w:space="0" w:color="1B556B"/>
              <w:bottom w:val="single" w:sz="4" w:space="0" w:color="1B556B"/>
              <w:right w:val="single" w:sz="4" w:space="0" w:color="1B556B"/>
            </w:tcBorders>
          </w:tcPr>
          <w:p w14:paraId="7E08AAD2" w14:textId="094640F3" w:rsidR="00241E9C" w:rsidRDefault="00241E9C" w:rsidP="004E60F0">
            <w:pPr>
              <w:pStyle w:val="TableText"/>
              <w:jc w:val="right"/>
            </w:pPr>
            <w:r w:rsidRPr="00D00CEC">
              <w:t>152.00</w:t>
            </w:r>
          </w:p>
        </w:tc>
        <w:tc>
          <w:tcPr>
            <w:tcW w:w="1086" w:type="dxa"/>
            <w:tcBorders>
              <w:top w:val="single" w:sz="4" w:space="0" w:color="1B556B"/>
              <w:left w:val="single" w:sz="4" w:space="0" w:color="1B556B"/>
              <w:bottom w:val="single" w:sz="4" w:space="0" w:color="1B556B"/>
              <w:right w:val="nil"/>
            </w:tcBorders>
          </w:tcPr>
          <w:p w14:paraId="7421D466" w14:textId="6D9263A4" w:rsidR="00241E9C" w:rsidRPr="00D00CEC" w:rsidRDefault="00D10A53" w:rsidP="004E60F0">
            <w:pPr>
              <w:pStyle w:val="TableText"/>
              <w:jc w:val="right"/>
            </w:pPr>
            <w:r>
              <w:t>121.60</w:t>
            </w:r>
          </w:p>
        </w:tc>
      </w:tr>
    </w:tbl>
    <w:p w14:paraId="5CDB53AC" w14:textId="77777777" w:rsidR="00BD2A54" w:rsidRDefault="00BD2A54" w:rsidP="00F20143">
      <w:pPr>
        <w:pStyle w:val="BodyText"/>
      </w:pPr>
    </w:p>
    <w:p w14:paraId="472265FB" w14:textId="664935D0" w:rsidR="00E72CFD" w:rsidRDefault="00E72CFD" w:rsidP="00F20143">
      <w:pPr>
        <w:pStyle w:val="BodyText"/>
      </w:pPr>
      <w:r>
        <w:br w:type="page"/>
      </w:r>
    </w:p>
    <w:p w14:paraId="30CCBE58" w14:textId="3F8A5090" w:rsidR="00810FBE" w:rsidRPr="00BD2A54" w:rsidRDefault="00832050" w:rsidP="000E19F6">
      <w:pPr>
        <w:pStyle w:val="Heading1"/>
        <w:ind w:left="851" w:hanging="851"/>
      </w:pPr>
      <w:bookmarkStart w:id="23" w:name="_Toc114734491"/>
      <w:r w:rsidRPr="00BD2A54">
        <w:lastRenderedPageBreak/>
        <w:t>1</w:t>
      </w:r>
      <w:r w:rsidR="00C05E65" w:rsidRPr="00BD2A54">
        <w:t>.</w:t>
      </w:r>
      <w:bookmarkStart w:id="24" w:name="_Hlk114132038"/>
      <w:r w:rsidR="00C05E65" w:rsidRPr="00BD2A54">
        <w:t xml:space="preserve"> </w:t>
      </w:r>
      <w:r w:rsidR="000E19F6">
        <w:tab/>
      </w:r>
      <w:r w:rsidR="00C66500" w:rsidRPr="00BD2A54">
        <w:t>Current arrangements for cost recovery under the EEZ Act</w:t>
      </w:r>
      <w:bookmarkEnd w:id="23"/>
      <w:bookmarkEnd w:id="24"/>
    </w:p>
    <w:p w14:paraId="64F56927" w14:textId="268208EA" w:rsidR="0093310A" w:rsidRPr="00822729" w:rsidRDefault="0093310A" w:rsidP="00E63FBF">
      <w:pPr>
        <w:pStyle w:val="Heading2"/>
      </w:pPr>
      <w:r w:rsidRPr="00822729">
        <w:t xml:space="preserve">The </w:t>
      </w:r>
      <w:r w:rsidR="00C66500" w:rsidRPr="00822729">
        <w:t xml:space="preserve">EPA’s </w:t>
      </w:r>
      <w:r w:rsidR="00FD1CFD" w:rsidRPr="00822729">
        <w:t>functions and services</w:t>
      </w:r>
      <w:r w:rsidR="00C66500" w:rsidRPr="00822729">
        <w:t xml:space="preserve"> under the </w:t>
      </w:r>
      <w:r w:rsidRPr="00822729">
        <w:t>EEZ Act</w:t>
      </w:r>
    </w:p>
    <w:p w14:paraId="7B71610C" w14:textId="753E4383" w:rsidR="00833279" w:rsidRDefault="00410730" w:rsidP="00004F1A">
      <w:pPr>
        <w:pStyle w:val="BodyText"/>
      </w:pPr>
      <w:r w:rsidRPr="00410730">
        <w:rPr>
          <w:lang w:val="en-GB"/>
        </w:rPr>
        <w:t xml:space="preserve">The </w:t>
      </w:r>
      <w:r w:rsidRPr="0093310A">
        <w:rPr>
          <w:lang w:val="en-GB"/>
        </w:rPr>
        <w:t xml:space="preserve">EEZ Act </w:t>
      </w:r>
      <w:r w:rsidR="00332867">
        <w:rPr>
          <w:lang w:val="en-GB"/>
        </w:rPr>
        <w:t>is</w:t>
      </w:r>
      <w:r w:rsidR="00332867" w:rsidRPr="00410730">
        <w:rPr>
          <w:lang w:val="en-GB"/>
        </w:rPr>
        <w:t xml:space="preserve"> </w:t>
      </w:r>
      <w:r w:rsidRPr="00410730">
        <w:rPr>
          <w:lang w:val="en-GB"/>
        </w:rPr>
        <w:t xml:space="preserve">part of </w:t>
      </w:r>
      <w:r w:rsidR="00996C7C">
        <w:rPr>
          <w:lang w:val="en-GB"/>
        </w:rPr>
        <w:t xml:space="preserve">Aotearoa </w:t>
      </w:r>
      <w:r w:rsidRPr="00410730">
        <w:rPr>
          <w:lang w:val="en-GB"/>
        </w:rPr>
        <w:t xml:space="preserve">New Zealand’s legislation </w:t>
      </w:r>
      <w:r w:rsidR="00332867">
        <w:rPr>
          <w:lang w:val="en-GB"/>
        </w:rPr>
        <w:t>about</w:t>
      </w:r>
      <w:r w:rsidRPr="00410730">
        <w:rPr>
          <w:lang w:val="en-GB"/>
        </w:rPr>
        <w:t xml:space="preserve"> the use of natural resources. </w:t>
      </w:r>
      <w:r w:rsidR="000D115D">
        <w:rPr>
          <w:lang w:val="en-GB"/>
        </w:rPr>
        <w:t xml:space="preserve">Its </w:t>
      </w:r>
      <w:r w:rsidR="0093310A" w:rsidRPr="0093310A">
        <w:rPr>
          <w:lang w:val="en-GB"/>
        </w:rPr>
        <w:t xml:space="preserve">purpose is to promote the sustainable management of the natural resources of the </w:t>
      </w:r>
      <w:r w:rsidR="00D9060E" w:rsidRPr="0093310A">
        <w:rPr>
          <w:lang w:val="en-GB"/>
        </w:rPr>
        <w:t>EEZ</w:t>
      </w:r>
      <w:r w:rsidR="0093310A" w:rsidRPr="0093310A">
        <w:rPr>
          <w:lang w:val="en-GB"/>
        </w:rPr>
        <w:t xml:space="preserve">, and to protect the environment from pollution by regulating or prohibiting discharges and dumping of waste and other matter. </w:t>
      </w:r>
    </w:p>
    <w:p w14:paraId="192601B0" w14:textId="5CCEBA54" w:rsidR="00135B0E" w:rsidRDefault="00135B0E" w:rsidP="00135B0E">
      <w:pPr>
        <w:pStyle w:val="BodyText"/>
        <w:rPr>
          <w:lang w:val="en-GB"/>
        </w:rPr>
      </w:pPr>
      <w:r w:rsidRPr="00785BF1">
        <w:t xml:space="preserve">Examples of </w:t>
      </w:r>
      <w:r w:rsidR="00A41C4E">
        <w:t>current</w:t>
      </w:r>
      <w:r w:rsidRPr="00785BF1">
        <w:t xml:space="preserve"> activities in the EEZ are</w:t>
      </w:r>
      <w:r w:rsidR="006E5E4C">
        <w:t xml:space="preserve"> </w:t>
      </w:r>
      <w:r w:rsidR="006E5E4C" w:rsidRPr="00785BF1">
        <w:rPr>
          <w:lang w:val="en-GB"/>
        </w:rPr>
        <w:t>exploration and prospecting activities (for example, seismic surveying)</w:t>
      </w:r>
      <w:r w:rsidR="006E5E4C">
        <w:rPr>
          <w:lang w:val="en-GB"/>
        </w:rPr>
        <w:t>;</w:t>
      </w:r>
      <w:r w:rsidR="006E5E4C" w:rsidRPr="00785BF1">
        <w:rPr>
          <w:lang w:val="en-GB"/>
        </w:rPr>
        <w:t xml:space="preserve"> </w:t>
      </w:r>
      <w:r w:rsidRPr="00785BF1">
        <w:rPr>
          <w:lang w:val="en-GB"/>
        </w:rPr>
        <w:t>drilling for and extraction of oil and gas</w:t>
      </w:r>
      <w:r w:rsidR="00193662">
        <w:rPr>
          <w:lang w:val="en-GB"/>
        </w:rPr>
        <w:t>;</w:t>
      </w:r>
      <w:r w:rsidR="00CF6697">
        <w:rPr>
          <w:lang w:val="en-GB"/>
        </w:rPr>
        <w:t xml:space="preserve"> </w:t>
      </w:r>
      <w:r w:rsidRPr="00785BF1">
        <w:rPr>
          <w:lang w:val="en-GB"/>
        </w:rPr>
        <w:t>dumping dredged materials</w:t>
      </w:r>
      <w:r w:rsidR="00193662">
        <w:rPr>
          <w:lang w:val="en-GB"/>
        </w:rPr>
        <w:t>;</w:t>
      </w:r>
      <w:r w:rsidRPr="00785BF1">
        <w:rPr>
          <w:lang w:val="en-GB"/>
        </w:rPr>
        <w:t xml:space="preserve"> and laying, maintaining, and removing seafloor cables. </w:t>
      </w:r>
      <w:r w:rsidR="007F1860" w:rsidRPr="00785BF1">
        <w:rPr>
          <w:lang w:val="en-GB"/>
        </w:rPr>
        <w:t>In future</w:t>
      </w:r>
      <w:r w:rsidR="00244B1A" w:rsidRPr="00785BF1">
        <w:rPr>
          <w:lang w:val="en-GB"/>
        </w:rPr>
        <w:t>,</w:t>
      </w:r>
      <w:r w:rsidR="007F1860" w:rsidRPr="00785BF1">
        <w:rPr>
          <w:lang w:val="en-GB"/>
        </w:rPr>
        <w:t xml:space="preserve"> </w:t>
      </w:r>
      <w:r w:rsidR="00324A46">
        <w:rPr>
          <w:lang w:val="en-GB"/>
        </w:rPr>
        <w:t>there may be other</w:t>
      </w:r>
      <w:r w:rsidR="007F1860" w:rsidRPr="00785BF1">
        <w:rPr>
          <w:lang w:val="en-GB"/>
        </w:rPr>
        <w:t xml:space="preserve"> activities</w:t>
      </w:r>
      <w:r w:rsidR="00E4492E">
        <w:rPr>
          <w:lang w:val="en-GB"/>
        </w:rPr>
        <w:t xml:space="preserve"> in the EEZ</w:t>
      </w:r>
      <w:r w:rsidR="007F1860" w:rsidRPr="00785BF1">
        <w:rPr>
          <w:lang w:val="en-GB"/>
        </w:rPr>
        <w:t xml:space="preserve"> </w:t>
      </w:r>
      <w:r w:rsidR="009247DA">
        <w:rPr>
          <w:lang w:val="en-GB"/>
        </w:rPr>
        <w:t>such as</w:t>
      </w:r>
      <w:r w:rsidR="00C9134D" w:rsidRPr="00785BF1">
        <w:t xml:space="preserve"> </w:t>
      </w:r>
      <w:r w:rsidR="00391792" w:rsidRPr="00785BF1">
        <w:rPr>
          <w:lang w:val="en-GB"/>
        </w:rPr>
        <w:t>aquaculture</w:t>
      </w:r>
      <w:r w:rsidR="00634BC9" w:rsidRPr="00785BF1">
        <w:rPr>
          <w:lang w:val="en-GB"/>
        </w:rPr>
        <w:t xml:space="preserve"> or offshore energy generation.</w:t>
      </w:r>
      <w:r w:rsidR="00634BC9">
        <w:rPr>
          <w:lang w:val="en-GB"/>
        </w:rPr>
        <w:t xml:space="preserve"> </w:t>
      </w:r>
    </w:p>
    <w:p w14:paraId="415E7328" w14:textId="5ABEA179" w:rsidR="00F87E49" w:rsidRDefault="00F87E49" w:rsidP="00833279">
      <w:pPr>
        <w:pStyle w:val="BodyText"/>
      </w:pPr>
      <w:r w:rsidRPr="00785BF1">
        <w:t xml:space="preserve">The EEZ Act provides for people to </w:t>
      </w:r>
      <w:r w:rsidR="008B481F" w:rsidRPr="00785BF1">
        <w:t xml:space="preserve">apply for </w:t>
      </w:r>
      <w:r w:rsidR="00CC138D" w:rsidRPr="00785BF1">
        <w:t>permission (called a ‘marine consent’)</w:t>
      </w:r>
      <w:r w:rsidR="008B481F" w:rsidRPr="00785BF1">
        <w:t xml:space="preserve"> to</w:t>
      </w:r>
      <w:r w:rsidR="00785BF1" w:rsidRPr="00785BF1">
        <w:t xml:space="preserve"> undertake activities related to accessing resources, placing structures and cables on the seabed and dumping on the seabed. Marine consents consider environmental impacts of the activity and include conditions to prevent, mitigate or avoid negative environmental impacts.</w:t>
      </w:r>
      <w:r w:rsidR="00580CFE">
        <w:t xml:space="preserve"> </w:t>
      </w:r>
      <w:r w:rsidR="008B481F" w:rsidRPr="00785BF1">
        <w:t xml:space="preserve">Some </w:t>
      </w:r>
      <w:r w:rsidRPr="00785BF1">
        <w:t xml:space="preserve">activities can </w:t>
      </w:r>
      <w:r w:rsidR="008B481F" w:rsidRPr="00785BF1">
        <w:t>be done</w:t>
      </w:r>
      <w:r w:rsidR="00967ECB" w:rsidRPr="00785BF1">
        <w:t xml:space="preserve"> without marine consents</w:t>
      </w:r>
      <w:r w:rsidR="00264752">
        <w:t>,</w:t>
      </w:r>
      <w:r w:rsidR="00967ECB" w:rsidRPr="00785BF1">
        <w:t xml:space="preserve"> and these are </w:t>
      </w:r>
      <w:r w:rsidR="009A5368">
        <w:t>called</w:t>
      </w:r>
      <w:r w:rsidR="00967ECB" w:rsidRPr="00785BF1">
        <w:t xml:space="preserve"> ‘permitted activities’</w:t>
      </w:r>
      <w:r w:rsidRPr="00785BF1">
        <w:t>.</w:t>
      </w:r>
      <w:r w:rsidR="00CC0122" w:rsidRPr="00785BF1">
        <w:t xml:space="preserve"> </w:t>
      </w:r>
      <w:r w:rsidR="00166479" w:rsidRPr="00785BF1">
        <w:t xml:space="preserve">There are regulations that set conditions </w:t>
      </w:r>
      <w:r w:rsidR="00170DA4" w:rsidRPr="00785BF1">
        <w:t>for</w:t>
      </w:r>
      <w:r w:rsidR="009327E1" w:rsidRPr="00785BF1">
        <w:t xml:space="preserve"> </w:t>
      </w:r>
      <w:r w:rsidR="00170DA4" w:rsidRPr="00785BF1">
        <w:t xml:space="preserve">undertaking </w:t>
      </w:r>
      <w:r w:rsidR="009327E1" w:rsidRPr="00785BF1">
        <w:t>permitted activities.</w:t>
      </w:r>
      <w:r w:rsidR="009327E1" w:rsidRPr="00785BF1">
        <w:rPr>
          <w:rStyle w:val="FootnoteReference"/>
        </w:rPr>
        <w:footnoteReference w:id="2"/>
      </w:r>
    </w:p>
    <w:p w14:paraId="490F17B9" w14:textId="7865EB3B" w:rsidR="00935437" w:rsidRPr="004545C7" w:rsidRDefault="005565A8" w:rsidP="00511701">
      <w:pPr>
        <w:pStyle w:val="BodyText"/>
        <w:rPr>
          <w:lang w:val="en-GB"/>
        </w:rPr>
      </w:pPr>
      <w:r w:rsidRPr="00FF7AEC">
        <w:rPr>
          <w:lang w:val="en-GB"/>
        </w:rPr>
        <w:t>The EPA</w:t>
      </w:r>
      <w:r w:rsidR="005B1651" w:rsidRPr="00FF7AEC">
        <w:rPr>
          <w:lang w:val="en-GB"/>
        </w:rPr>
        <w:t>’s</w:t>
      </w:r>
      <w:r w:rsidR="0088323F" w:rsidRPr="00FF7AEC">
        <w:rPr>
          <w:lang w:val="en-GB"/>
        </w:rPr>
        <w:t xml:space="preserve"> </w:t>
      </w:r>
      <w:r w:rsidRPr="00FF7AEC">
        <w:rPr>
          <w:lang w:val="en-GB"/>
        </w:rPr>
        <w:t xml:space="preserve">functions </w:t>
      </w:r>
      <w:r w:rsidR="008F6F7B">
        <w:rPr>
          <w:lang w:val="en-GB"/>
        </w:rPr>
        <w:t xml:space="preserve">and services </w:t>
      </w:r>
      <w:r w:rsidRPr="00FF7AEC">
        <w:rPr>
          <w:lang w:val="en-GB"/>
        </w:rPr>
        <w:t xml:space="preserve">under the EEZ Act </w:t>
      </w:r>
      <w:r w:rsidR="00226677" w:rsidRPr="00FF7AEC">
        <w:rPr>
          <w:lang w:val="en-GB"/>
        </w:rPr>
        <w:t>includ</w:t>
      </w:r>
      <w:r w:rsidR="005B1651" w:rsidRPr="00FF7AEC">
        <w:rPr>
          <w:lang w:val="en-GB"/>
        </w:rPr>
        <w:t>e</w:t>
      </w:r>
      <w:r w:rsidR="00226677" w:rsidRPr="00FF7AEC">
        <w:rPr>
          <w:lang w:val="en-GB"/>
        </w:rPr>
        <w:t xml:space="preserve"> </w:t>
      </w:r>
      <w:r w:rsidR="005B2818" w:rsidRPr="00FF7AEC">
        <w:rPr>
          <w:lang w:val="en-GB"/>
        </w:rPr>
        <w:t xml:space="preserve">deciding </w:t>
      </w:r>
      <w:r w:rsidR="00226677" w:rsidRPr="00FF7AEC">
        <w:t>applications</w:t>
      </w:r>
      <w:r w:rsidR="00D84A62" w:rsidRPr="00FF7AEC">
        <w:t xml:space="preserve"> for marine consent</w:t>
      </w:r>
      <w:r w:rsidR="001D768B">
        <w:t>s</w:t>
      </w:r>
      <w:r w:rsidR="00D84A62" w:rsidRPr="00FF7AEC">
        <w:t>, monitor</w:t>
      </w:r>
      <w:r w:rsidR="005B2818" w:rsidRPr="00FF7AEC">
        <w:t>ing</w:t>
      </w:r>
      <w:r w:rsidR="00D84A62" w:rsidRPr="00FF7AEC">
        <w:t xml:space="preserve"> compliance with the EEZ Act, enforcement, promoting public awareness of the EEZ Act </w:t>
      </w:r>
      <w:r w:rsidR="00885511" w:rsidRPr="00FF7AEC">
        <w:t xml:space="preserve">requirements, </w:t>
      </w:r>
      <w:r w:rsidR="00D84A62" w:rsidRPr="00FF7AEC">
        <w:t xml:space="preserve">and providing advice and secretarial support to </w:t>
      </w:r>
      <w:r w:rsidR="00E568D8" w:rsidRPr="00FF7AEC">
        <w:t>boards</w:t>
      </w:r>
      <w:r w:rsidR="00FF7AEC" w:rsidRPr="00FF7AEC">
        <w:t xml:space="preserve"> of inquiry</w:t>
      </w:r>
      <w:r w:rsidR="00D84A62" w:rsidRPr="00FF7AEC">
        <w:t>.</w:t>
      </w:r>
      <w:r w:rsidR="00580CFE">
        <w:t xml:space="preserve"> </w:t>
      </w:r>
    </w:p>
    <w:p w14:paraId="2501EA2C" w14:textId="635C13AC" w:rsidR="005174F0" w:rsidRDefault="00800C52" w:rsidP="00E63FBF">
      <w:pPr>
        <w:pStyle w:val="Heading2"/>
      </w:pPr>
      <w:r w:rsidRPr="00872568">
        <w:t>Who pays for the EPA</w:t>
      </w:r>
      <w:r w:rsidR="00E568D8" w:rsidRPr="00872568">
        <w:t>’s</w:t>
      </w:r>
      <w:r w:rsidRPr="00872568">
        <w:t xml:space="preserve"> functions and services under the EEZ Act?</w:t>
      </w:r>
    </w:p>
    <w:p w14:paraId="048EE158" w14:textId="7A40A271" w:rsidR="004F69CA" w:rsidRDefault="005174F0" w:rsidP="00797E47">
      <w:pPr>
        <w:pStyle w:val="BodyText"/>
        <w:rPr>
          <w:lang w:val="en-GB"/>
        </w:rPr>
      </w:pPr>
      <w:r>
        <w:t>U</w:t>
      </w:r>
      <w:r w:rsidRPr="007907AD">
        <w:t>nder the EEZ Act</w:t>
      </w:r>
      <w:r>
        <w:t>,</w:t>
      </w:r>
      <w:r w:rsidRPr="007907AD">
        <w:t xml:space="preserve"> </w:t>
      </w:r>
      <w:r>
        <w:t>t</w:t>
      </w:r>
      <w:r w:rsidRPr="007907AD">
        <w:t xml:space="preserve">he EPA </w:t>
      </w:r>
      <w:r>
        <w:t xml:space="preserve">must </w:t>
      </w:r>
      <w:r w:rsidRPr="007907AD">
        <w:t xml:space="preserve">recover the direct and indirect costs of </w:t>
      </w:r>
      <w:r>
        <w:t xml:space="preserve">any of </w:t>
      </w:r>
      <w:r w:rsidRPr="007907AD">
        <w:t>its</w:t>
      </w:r>
      <w:r w:rsidR="00B71B72">
        <w:t xml:space="preserve"> functions and</w:t>
      </w:r>
      <w:r w:rsidRPr="007907AD">
        <w:t xml:space="preserve"> </w:t>
      </w:r>
      <w:r w:rsidRPr="00791AD2">
        <w:t xml:space="preserve">services </w:t>
      </w:r>
      <w:r w:rsidRPr="00B71B72">
        <w:t>that are not</w:t>
      </w:r>
      <w:r w:rsidRPr="007907AD">
        <w:t xml:space="preserve"> </w:t>
      </w:r>
      <w:r>
        <w:t>paid for</w:t>
      </w:r>
      <w:r w:rsidRPr="007907AD">
        <w:t xml:space="preserve"> by the Crown.</w:t>
      </w:r>
      <w:r w:rsidR="00780473">
        <w:rPr>
          <w:rStyle w:val="FootnoteReference"/>
        </w:rPr>
        <w:footnoteReference w:id="3"/>
      </w:r>
      <w:r w:rsidRPr="007907AD">
        <w:t xml:space="preserve"> </w:t>
      </w:r>
      <w:r w:rsidR="00BE2697">
        <w:t>The EEZ Act gives examples of cost</w:t>
      </w:r>
      <w:r w:rsidR="00CC4CCA">
        <w:t>-</w:t>
      </w:r>
      <w:r w:rsidR="00BE2697">
        <w:t>recoverable functions</w:t>
      </w:r>
      <w:r w:rsidR="00CB135D">
        <w:t xml:space="preserve"> and services</w:t>
      </w:r>
      <w:r w:rsidR="00BE2697">
        <w:t xml:space="preserve">, </w:t>
      </w:r>
      <w:r w:rsidR="0036044B">
        <w:t>such as</w:t>
      </w:r>
      <w:r w:rsidR="00780473">
        <w:t xml:space="preserve"> assist</w:t>
      </w:r>
      <w:r w:rsidR="00A71EB7">
        <w:t>ing</w:t>
      </w:r>
      <w:r w:rsidR="00780473">
        <w:t xml:space="preserve"> with marine consent applications</w:t>
      </w:r>
      <w:r w:rsidR="00CC4CCA">
        <w:t>;</w:t>
      </w:r>
      <w:r w:rsidR="00780473">
        <w:t xml:space="preserve"> reviewing, processing and deciding marine consent applications</w:t>
      </w:r>
      <w:r w:rsidR="00CC4CCA">
        <w:t>;</w:t>
      </w:r>
      <w:r w:rsidR="00780473">
        <w:t xml:space="preserve"> administering, monitoring and supervising marine consents</w:t>
      </w:r>
      <w:r w:rsidR="00CC4CCA">
        <w:t>;</w:t>
      </w:r>
      <w:r w:rsidR="00780473">
        <w:t xml:space="preserve"> certifying whether activities are compliant</w:t>
      </w:r>
      <w:r w:rsidR="00CC4CCA">
        <w:t>;</w:t>
      </w:r>
      <w:r w:rsidR="00780473">
        <w:t xml:space="preserve"> and </w:t>
      </w:r>
      <w:r w:rsidR="00276C12">
        <w:t xml:space="preserve">providing </w:t>
      </w:r>
      <w:r w:rsidR="00780473">
        <w:t xml:space="preserve">advice and information </w:t>
      </w:r>
      <w:r w:rsidR="00276C12">
        <w:t>about</w:t>
      </w:r>
      <w:r w:rsidR="00780473">
        <w:t xml:space="preserve"> permitted activities.</w:t>
      </w:r>
      <w:r w:rsidR="00EE0D1F">
        <w:rPr>
          <w:rStyle w:val="FootnoteReference"/>
        </w:rPr>
        <w:footnoteReference w:id="4"/>
      </w:r>
    </w:p>
    <w:p w14:paraId="6447F245" w14:textId="1F11DA96" w:rsidR="00FA640B" w:rsidRDefault="00401C3E" w:rsidP="00BD7158">
      <w:pPr>
        <w:pStyle w:val="BodyText"/>
        <w:rPr>
          <w:lang w:val="en-GB"/>
        </w:rPr>
      </w:pPr>
      <w:r w:rsidRPr="009225F7">
        <w:rPr>
          <w:lang w:val="en-GB"/>
        </w:rPr>
        <w:t xml:space="preserve">In 2012, Cabinet </w:t>
      </w:r>
      <w:r w:rsidR="00845AA7">
        <w:rPr>
          <w:lang w:val="en-GB"/>
        </w:rPr>
        <w:t>agreed</w:t>
      </w:r>
      <w:r w:rsidR="007B381F">
        <w:rPr>
          <w:lang w:val="en-GB"/>
        </w:rPr>
        <w:t xml:space="preserve"> </w:t>
      </w:r>
      <w:r w:rsidR="00B92B7D">
        <w:rPr>
          <w:lang w:val="en-GB"/>
        </w:rPr>
        <w:t>who should pay for the EPA’s functions and services under the EEZ Act</w:t>
      </w:r>
      <w:r w:rsidR="006C7261">
        <w:rPr>
          <w:lang w:val="en-GB"/>
        </w:rPr>
        <w:t>.</w:t>
      </w:r>
      <w:r w:rsidR="001306CE">
        <w:rPr>
          <w:lang w:val="en-GB"/>
        </w:rPr>
        <w:t xml:space="preserve"> Cabinet identified </w:t>
      </w:r>
      <w:r w:rsidR="00FA640B">
        <w:rPr>
          <w:lang w:val="en-GB"/>
        </w:rPr>
        <w:t>three categories of activity</w:t>
      </w:r>
      <w:r w:rsidR="00113EED">
        <w:rPr>
          <w:lang w:val="en-GB"/>
        </w:rPr>
        <w:t xml:space="preserve"> – namely, functions and services that</w:t>
      </w:r>
      <w:r w:rsidR="007E464F">
        <w:rPr>
          <w:lang w:val="en-GB"/>
        </w:rPr>
        <w:t xml:space="preserve"> confer</w:t>
      </w:r>
      <w:r w:rsidR="00113EED">
        <w:rPr>
          <w:lang w:val="en-GB"/>
        </w:rPr>
        <w:t>:</w:t>
      </w:r>
      <w:r w:rsidR="00FA640B">
        <w:rPr>
          <w:lang w:val="en-GB"/>
        </w:rPr>
        <w:t xml:space="preserve"> </w:t>
      </w:r>
    </w:p>
    <w:p w14:paraId="30597F5B" w14:textId="0027754D" w:rsidR="00363FF0" w:rsidRDefault="00363FF0" w:rsidP="007A6990">
      <w:pPr>
        <w:pStyle w:val="BodyText"/>
        <w:numPr>
          <w:ilvl w:val="0"/>
          <w:numId w:val="21"/>
        </w:numPr>
      </w:pPr>
      <w:r>
        <w:lastRenderedPageBreak/>
        <w:t>private benefits</w:t>
      </w:r>
      <w:r w:rsidR="009B5019">
        <w:t>,</w:t>
      </w:r>
      <w:r>
        <w:t xml:space="preserve"> and should therefore be paid for </w:t>
      </w:r>
      <w:r w:rsidR="00B92B7D">
        <w:t>by those undertaking activities in the EEZ (</w:t>
      </w:r>
      <w:r w:rsidR="00CF7AAE">
        <w:t>operators</w:t>
      </w:r>
      <w:r w:rsidR="00B92B7D">
        <w:t>)</w:t>
      </w:r>
    </w:p>
    <w:p w14:paraId="05400244" w14:textId="5597CC5A" w:rsidR="00800C52" w:rsidRDefault="00363FF0" w:rsidP="007A6990">
      <w:pPr>
        <w:pStyle w:val="BodyText"/>
        <w:numPr>
          <w:ilvl w:val="0"/>
          <w:numId w:val="21"/>
        </w:numPr>
      </w:pPr>
      <w:r>
        <w:t>a mixture of public and private benefits</w:t>
      </w:r>
      <w:r w:rsidR="009B5019">
        <w:t>,</w:t>
      </w:r>
      <w:r>
        <w:t xml:space="preserve"> and should therefore be paid for partly by </w:t>
      </w:r>
      <w:r w:rsidR="00222BE9">
        <w:t xml:space="preserve">operators </w:t>
      </w:r>
      <w:r w:rsidR="00800C52">
        <w:t>and partly by the Crown</w:t>
      </w:r>
    </w:p>
    <w:p w14:paraId="57AF66CA" w14:textId="3C007141" w:rsidR="00800C52" w:rsidRDefault="0047421F" w:rsidP="007A6990">
      <w:pPr>
        <w:pStyle w:val="BodyText"/>
        <w:numPr>
          <w:ilvl w:val="0"/>
          <w:numId w:val="21"/>
        </w:numPr>
      </w:pPr>
      <w:r>
        <w:t xml:space="preserve">mainly </w:t>
      </w:r>
      <w:r w:rsidR="00800C52">
        <w:t>public benefits</w:t>
      </w:r>
      <w:r w:rsidR="009B5019">
        <w:t>,</w:t>
      </w:r>
      <w:r w:rsidR="00922C74">
        <w:t xml:space="preserve"> and</w:t>
      </w:r>
      <w:r w:rsidR="00800C52">
        <w:t xml:space="preserve"> should therefore be paid for</w:t>
      </w:r>
      <w:r w:rsidR="003178C0">
        <w:t xml:space="preserve"> only</w:t>
      </w:r>
      <w:r w:rsidR="00800C52">
        <w:t xml:space="preserve"> by the Crown. </w:t>
      </w:r>
    </w:p>
    <w:p w14:paraId="3EBA65BC" w14:textId="6AFEED08" w:rsidR="009D2AD7" w:rsidRPr="00AB57F4" w:rsidRDefault="00547BA2" w:rsidP="00BD7158">
      <w:pPr>
        <w:pStyle w:val="BodyText"/>
        <w:rPr>
          <w:lang w:val="en-GB"/>
        </w:rPr>
      </w:pPr>
      <w:r>
        <w:t xml:space="preserve">Cabinet agreed that the EPA </w:t>
      </w:r>
      <w:r w:rsidR="00806AB6">
        <w:t>should seek to recover 100</w:t>
      </w:r>
      <w:r w:rsidR="00047C08">
        <w:t xml:space="preserve"> per cent</w:t>
      </w:r>
      <w:r w:rsidR="00806AB6">
        <w:t xml:space="preserve"> of the costs of functions and services that </w:t>
      </w:r>
      <w:r w:rsidR="00CE0A3C">
        <w:t>confer private benefits, and 80</w:t>
      </w:r>
      <w:r w:rsidR="00047C08">
        <w:t xml:space="preserve"> per cent</w:t>
      </w:r>
      <w:r w:rsidR="00CE0A3C">
        <w:t xml:space="preserve"> of its costs for </w:t>
      </w:r>
      <w:r w:rsidR="003573CF">
        <w:t xml:space="preserve">those </w:t>
      </w:r>
      <w:r w:rsidR="00990A9B">
        <w:t xml:space="preserve">that </w:t>
      </w:r>
      <w:r w:rsidR="00CE0A3C">
        <w:t>confer a mixture of public and private benefits.</w:t>
      </w:r>
      <w:r w:rsidR="003D7753">
        <w:rPr>
          <w:rStyle w:val="FootnoteReference"/>
        </w:rPr>
        <w:footnoteReference w:id="5"/>
      </w:r>
      <w:r w:rsidR="00401C3E" w:rsidRPr="009225F7">
        <w:rPr>
          <w:lang w:val="en-GB"/>
        </w:rPr>
        <w:t xml:space="preserve"> </w:t>
      </w:r>
      <w:r w:rsidR="00A45E8D">
        <w:rPr>
          <w:lang w:val="en-GB"/>
        </w:rPr>
        <w:fldChar w:fldCharType="begin"/>
      </w:r>
      <w:r w:rsidR="00A45E8D">
        <w:rPr>
          <w:lang w:val="en-GB"/>
        </w:rPr>
        <w:instrText xml:space="preserve"> REF _Ref114654466 \h </w:instrText>
      </w:r>
      <w:r w:rsidR="00A45E8D">
        <w:rPr>
          <w:lang w:val="en-GB"/>
        </w:rPr>
      </w:r>
      <w:r w:rsidR="00A45E8D">
        <w:rPr>
          <w:lang w:val="en-GB"/>
        </w:rPr>
        <w:fldChar w:fldCharType="separate"/>
      </w:r>
      <w:r w:rsidR="00A45E8D">
        <w:t xml:space="preserve">Table </w:t>
      </w:r>
      <w:r w:rsidR="00A45E8D">
        <w:rPr>
          <w:noProof/>
        </w:rPr>
        <w:t>3</w:t>
      </w:r>
      <w:r w:rsidR="00A45E8D">
        <w:rPr>
          <w:lang w:val="en-GB"/>
        </w:rPr>
        <w:fldChar w:fldCharType="end"/>
      </w:r>
      <w:r w:rsidR="009D2AD7">
        <w:t xml:space="preserve"> </w:t>
      </w:r>
      <w:r w:rsidR="00CF7AAE">
        <w:t xml:space="preserve">shows </w:t>
      </w:r>
      <w:r w:rsidR="000F79CA">
        <w:t xml:space="preserve">which </w:t>
      </w:r>
      <w:r w:rsidR="009D2AD7">
        <w:t xml:space="preserve">functions and services </w:t>
      </w:r>
      <w:r w:rsidR="00CF7AAE">
        <w:t>fall into each category</w:t>
      </w:r>
      <w:r w:rsidR="009D2AD7">
        <w:t>.</w:t>
      </w:r>
    </w:p>
    <w:p w14:paraId="2685D865" w14:textId="566384C9" w:rsidR="003178C0" w:rsidRDefault="006C2EC1" w:rsidP="00BD7158">
      <w:pPr>
        <w:pStyle w:val="BodyText"/>
      </w:pPr>
      <w:r>
        <w:t xml:space="preserve">The rest of this </w:t>
      </w:r>
      <w:r w:rsidR="00E67781">
        <w:t>discussion document</w:t>
      </w:r>
      <w:r>
        <w:t xml:space="preserve"> </w:t>
      </w:r>
      <w:r w:rsidR="0076280B">
        <w:t>uses the term</w:t>
      </w:r>
      <w:r w:rsidR="003178C0">
        <w:t>s:</w:t>
      </w:r>
    </w:p>
    <w:p w14:paraId="4B20F78C" w14:textId="1FE248BF" w:rsidR="003178C0" w:rsidRDefault="00C91DE6" w:rsidP="00407330">
      <w:pPr>
        <w:pStyle w:val="Bullet"/>
      </w:pPr>
      <w:r>
        <w:t>‘</w:t>
      </w:r>
      <w:r w:rsidR="003A4188">
        <w:t>c</w:t>
      </w:r>
      <w:r w:rsidR="00A30030">
        <w:t>onsenting</w:t>
      </w:r>
      <w:r w:rsidR="0076280B">
        <w:t xml:space="preserve"> functions</w:t>
      </w:r>
      <w:r>
        <w:t>’</w:t>
      </w:r>
      <w:r w:rsidR="0076280B">
        <w:t xml:space="preserve"> for the functions and services </w:t>
      </w:r>
      <w:r w:rsidR="003178C0">
        <w:t>which</w:t>
      </w:r>
      <w:r w:rsidR="0076280B">
        <w:t xml:space="preserve"> Cabinet </w:t>
      </w:r>
      <w:r w:rsidR="003178C0">
        <w:t>agreed should be 100</w:t>
      </w:r>
      <w:r w:rsidR="00047C08">
        <w:t xml:space="preserve"> per cent</w:t>
      </w:r>
      <w:r w:rsidR="003178C0">
        <w:t xml:space="preserve"> paid for by </w:t>
      </w:r>
      <w:r w:rsidR="009C686A">
        <w:t>applicants and duty holders</w:t>
      </w:r>
    </w:p>
    <w:p w14:paraId="7A92112B" w14:textId="2E20FE99" w:rsidR="00CF7AAE" w:rsidRPr="00BD7158" w:rsidRDefault="00C91DE6" w:rsidP="00407330">
      <w:pPr>
        <w:pStyle w:val="Bullet"/>
        <w:rPr>
          <w:lang w:val="en-GB"/>
        </w:rPr>
      </w:pPr>
      <w:r>
        <w:t>‘</w:t>
      </w:r>
      <w:r w:rsidR="003A4188">
        <w:t>m</w:t>
      </w:r>
      <w:r w:rsidR="00A30030">
        <w:t>onitoring</w:t>
      </w:r>
      <w:r w:rsidR="00901217">
        <w:t xml:space="preserve"> functions</w:t>
      </w:r>
      <w:r>
        <w:t>’</w:t>
      </w:r>
      <w:r w:rsidR="00901217">
        <w:t xml:space="preserve"> for the functions and services </w:t>
      </w:r>
      <w:r w:rsidR="003178C0">
        <w:t>which</w:t>
      </w:r>
      <w:r w:rsidR="00901217">
        <w:t xml:space="preserve"> Cabinet </w:t>
      </w:r>
      <w:r w:rsidR="003178C0">
        <w:t>agreed should be 80</w:t>
      </w:r>
      <w:r w:rsidR="00047C08">
        <w:t xml:space="preserve"> per cent</w:t>
      </w:r>
      <w:r w:rsidR="003178C0">
        <w:t xml:space="preserve"> paid for by </w:t>
      </w:r>
      <w:r w:rsidR="009C686A">
        <w:t>applicants and duty holder</w:t>
      </w:r>
      <w:r w:rsidR="008C313C">
        <w:t>s</w:t>
      </w:r>
      <w:r w:rsidR="00922C74">
        <w:t xml:space="preserve">. </w:t>
      </w:r>
    </w:p>
    <w:p w14:paraId="1F22BF59" w14:textId="115DFAD5" w:rsidR="00A45E8D" w:rsidRDefault="00A45E8D" w:rsidP="00762667">
      <w:pPr>
        <w:pStyle w:val="Tableheading"/>
      </w:pPr>
      <w:bookmarkStart w:id="25" w:name="_Ref114654466"/>
      <w:bookmarkStart w:id="26" w:name="_Toc115682240"/>
      <w:r>
        <w:t xml:space="preserve">Table </w:t>
      </w:r>
      <w:r w:rsidR="002D4F05">
        <w:fldChar w:fldCharType="begin"/>
      </w:r>
      <w:r w:rsidR="002D4F05">
        <w:instrText xml:space="preserve"> SEQ Table \* ARABIC </w:instrText>
      </w:r>
      <w:r w:rsidR="002D4F05">
        <w:fldChar w:fldCharType="separate"/>
      </w:r>
      <w:r w:rsidR="00651832">
        <w:rPr>
          <w:noProof/>
        </w:rPr>
        <w:t>3</w:t>
      </w:r>
      <w:r w:rsidR="002D4F05">
        <w:rPr>
          <w:noProof/>
        </w:rPr>
        <w:fldChar w:fldCharType="end"/>
      </w:r>
      <w:bookmarkEnd w:id="25"/>
      <w:r>
        <w:t xml:space="preserve">: </w:t>
      </w:r>
      <w:r w:rsidR="00A21651">
        <w:tab/>
      </w:r>
      <w:r w:rsidRPr="00C212E0">
        <w:t xml:space="preserve">EPA EEZ </w:t>
      </w:r>
      <w:r w:rsidR="007E464F">
        <w:t>f</w:t>
      </w:r>
      <w:r w:rsidRPr="00C212E0">
        <w:t xml:space="preserve">unctions and </w:t>
      </w:r>
      <w:r w:rsidR="007E464F">
        <w:t>s</w:t>
      </w:r>
      <w:r w:rsidRPr="00C212E0">
        <w:t>ervices – cost</w:t>
      </w:r>
      <w:r w:rsidR="007E464F">
        <w:t>-</w:t>
      </w:r>
      <w:r w:rsidRPr="00C212E0">
        <w:t>recovery categories</w:t>
      </w:r>
      <w:bookmarkEnd w:id="26"/>
    </w:p>
    <w:tbl>
      <w:tblPr>
        <w:tblStyle w:val="LightList-Accent11"/>
        <w:tblW w:w="8505" w:type="dxa"/>
        <w:tblInd w:w="113" w:type="dxa"/>
        <w:tblBorders>
          <w:insideH w:val="single" w:sz="8" w:space="0" w:color="1C556C" w:themeColor="accent1"/>
          <w:insideV w:val="single" w:sz="4" w:space="0" w:color="auto"/>
        </w:tblBorders>
        <w:tblLook w:val="04A0" w:firstRow="1" w:lastRow="0" w:firstColumn="1" w:lastColumn="0" w:noHBand="0" w:noVBand="1"/>
      </w:tblPr>
      <w:tblGrid>
        <w:gridCol w:w="2973"/>
        <w:gridCol w:w="2670"/>
        <w:gridCol w:w="2862"/>
      </w:tblGrid>
      <w:tr w:rsidR="0043403A" w:rsidRPr="00B1109F" w14:paraId="39916344" w14:textId="77777777" w:rsidTr="00BA7336">
        <w:trPr>
          <w:cnfStyle w:val="100000000000" w:firstRow="1" w:lastRow="0" w:firstColumn="0" w:lastColumn="0" w:oddVBand="0" w:evenVBand="0" w:oddHBand="0"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C556C" w:themeColor="accent1"/>
              <w:left w:val="single" w:sz="4" w:space="0" w:color="1C556C" w:themeColor="accent1"/>
              <w:bottom w:val="nil"/>
              <w:right w:val="single" w:sz="8" w:space="0" w:color="FFFFFF" w:themeColor="background1"/>
            </w:tcBorders>
          </w:tcPr>
          <w:p w14:paraId="0FDDC17B" w14:textId="352E84FB" w:rsidR="009D2AD7" w:rsidRPr="001D6E7F" w:rsidRDefault="009D2AD7">
            <w:pPr>
              <w:spacing w:before="60" w:after="60"/>
              <w:jc w:val="left"/>
              <w:rPr>
                <w:sz w:val="20"/>
                <w:szCs w:val="20"/>
              </w:rPr>
            </w:pPr>
            <w:r w:rsidRPr="001D6E7F">
              <w:rPr>
                <w:sz w:val="20"/>
                <w:szCs w:val="20"/>
              </w:rPr>
              <w:t>Functions and services requiring full cost recovery of actual and reasonable costs of the EPA</w:t>
            </w:r>
            <w:r w:rsidR="003E6AC8" w:rsidRPr="001D6E7F">
              <w:rPr>
                <w:sz w:val="20"/>
                <w:szCs w:val="20"/>
              </w:rPr>
              <w:t xml:space="preserve"> (</w:t>
            </w:r>
            <w:r w:rsidR="003A4188">
              <w:rPr>
                <w:sz w:val="20"/>
                <w:szCs w:val="20"/>
              </w:rPr>
              <w:t>c</w:t>
            </w:r>
            <w:r w:rsidR="003E6AC8" w:rsidRPr="001D6E7F">
              <w:rPr>
                <w:sz w:val="20"/>
                <w:szCs w:val="20"/>
              </w:rPr>
              <w:t xml:space="preserve">onsenting </w:t>
            </w:r>
            <w:r w:rsidR="003A4188">
              <w:rPr>
                <w:sz w:val="20"/>
                <w:szCs w:val="20"/>
              </w:rPr>
              <w:t>f</w:t>
            </w:r>
            <w:r w:rsidR="003E6AC8" w:rsidRPr="001D6E7F">
              <w:rPr>
                <w:sz w:val="20"/>
                <w:szCs w:val="20"/>
              </w:rPr>
              <w:t>unctions)</w:t>
            </w:r>
          </w:p>
        </w:tc>
        <w:tc>
          <w:tcPr>
            <w:tcW w:w="0" w:type="pct"/>
            <w:tcBorders>
              <w:top w:val="single" w:sz="4" w:space="0" w:color="1C556C" w:themeColor="accent1"/>
              <w:left w:val="single" w:sz="8" w:space="0" w:color="FFFFFF" w:themeColor="background1"/>
              <w:bottom w:val="nil"/>
              <w:right w:val="single" w:sz="8" w:space="0" w:color="FFFFFF" w:themeColor="background1"/>
            </w:tcBorders>
          </w:tcPr>
          <w:p w14:paraId="4954398A" w14:textId="37FD40E1" w:rsidR="009D2AD7" w:rsidRPr="001D6E7F" w:rsidRDefault="009D2AD7">
            <w:pPr>
              <w:spacing w:before="60" w:after="60"/>
              <w:jc w:val="left"/>
              <w:cnfStyle w:val="100000000000" w:firstRow="1" w:lastRow="0" w:firstColumn="0" w:lastColumn="0" w:oddVBand="0" w:evenVBand="0" w:oddHBand="0" w:evenHBand="0" w:firstRowFirstColumn="0" w:firstRowLastColumn="0" w:lastRowFirstColumn="0" w:lastRowLastColumn="0"/>
              <w:rPr>
                <w:sz w:val="20"/>
                <w:szCs w:val="20"/>
              </w:rPr>
            </w:pPr>
            <w:r w:rsidRPr="001D6E7F">
              <w:rPr>
                <w:sz w:val="20"/>
                <w:szCs w:val="20"/>
              </w:rPr>
              <w:t>Functions and services requiring 80</w:t>
            </w:r>
            <w:r w:rsidR="002B7A7F">
              <w:rPr>
                <w:sz w:val="20"/>
                <w:szCs w:val="20"/>
              </w:rPr>
              <w:t>%</w:t>
            </w:r>
            <w:r w:rsidRPr="001D6E7F">
              <w:rPr>
                <w:sz w:val="20"/>
                <w:szCs w:val="20"/>
              </w:rPr>
              <w:t xml:space="preserve"> cost recovery</w:t>
            </w:r>
            <w:r w:rsidR="003A4188">
              <w:rPr>
                <w:sz w:val="20"/>
                <w:szCs w:val="20"/>
              </w:rPr>
              <w:t xml:space="preserve"> –</w:t>
            </w:r>
            <w:r w:rsidRPr="001D6E7F">
              <w:rPr>
                <w:sz w:val="20"/>
                <w:szCs w:val="20"/>
              </w:rPr>
              <w:t xml:space="preserve"> </w:t>
            </w:r>
            <w:r w:rsidR="003A4188">
              <w:rPr>
                <w:sz w:val="20"/>
                <w:szCs w:val="20"/>
              </w:rPr>
              <w:t xml:space="preserve">with the </w:t>
            </w:r>
            <w:r w:rsidRPr="001D6E7F">
              <w:rPr>
                <w:sz w:val="20"/>
                <w:szCs w:val="20"/>
              </w:rPr>
              <w:t>remaining 20</w:t>
            </w:r>
            <w:r w:rsidR="002B7A7F">
              <w:rPr>
                <w:sz w:val="20"/>
                <w:szCs w:val="20"/>
              </w:rPr>
              <w:t>%</w:t>
            </w:r>
            <w:r w:rsidRPr="001D6E7F">
              <w:rPr>
                <w:sz w:val="20"/>
                <w:szCs w:val="20"/>
              </w:rPr>
              <w:t xml:space="preserve"> funded by the Crown (</w:t>
            </w:r>
            <w:r w:rsidR="003A4188">
              <w:rPr>
                <w:sz w:val="20"/>
                <w:szCs w:val="20"/>
              </w:rPr>
              <w:t>m</w:t>
            </w:r>
            <w:r w:rsidR="003E6AC8" w:rsidRPr="001D6E7F">
              <w:rPr>
                <w:sz w:val="20"/>
                <w:szCs w:val="20"/>
              </w:rPr>
              <w:t xml:space="preserve">onitoring </w:t>
            </w:r>
            <w:r w:rsidR="003A4188">
              <w:rPr>
                <w:sz w:val="20"/>
                <w:szCs w:val="20"/>
              </w:rPr>
              <w:t>f</w:t>
            </w:r>
            <w:r w:rsidR="00A30030" w:rsidRPr="001D6E7F">
              <w:rPr>
                <w:sz w:val="20"/>
                <w:szCs w:val="20"/>
              </w:rPr>
              <w:t>unctions</w:t>
            </w:r>
            <w:r w:rsidRPr="001D6E7F">
              <w:rPr>
                <w:sz w:val="20"/>
                <w:szCs w:val="20"/>
              </w:rPr>
              <w:t>)</w:t>
            </w:r>
          </w:p>
        </w:tc>
        <w:tc>
          <w:tcPr>
            <w:tcW w:w="0" w:type="pct"/>
            <w:tcBorders>
              <w:top w:val="single" w:sz="4" w:space="0" w:color="1C556C" w:themeColor="accent1"/>
              <w:left w:val="single" w:sz="8" w:space="0" w:color="FFFFFF" w:themeColor="background1"/>
              <w:bottom w:val="nil"/>
              <w:right w:val="single" w:sz="4" w:space="0" w:color="1C556C" w:themeColor="accent1"/>
            </w:tcBorders>
          </w:tcPr>
          <w:p w14:paraId="3F304344" w14:textId="525A93F1" w:rsidR="009D2AD7" w:rsidRPr="001D6E7F" w:rsidRDefault="009D2AD7">
            <w:pPr>
              <w:spacing w:before="60" w:after="60"/>
              <w:jc w:val="left"/>
              <w:cnfStyle w:val="100000000000" w:firstRow="1" w:lastRow="0" w:firstColumn="0" w:lastColumn="0" w:oddVBand="0" w:evenVBand="0" w:oddHBand="0" w:evenHBand="0" w:firstRowFirstColumn="0" w:firstRowLastColumn="0" w:lastRowFirstColumn="0" w:lastRowLastColumn="0"/>
              <w:rPr>
                <w:sz w:val="20"/>
                <w:szCs w:val="20"/>
              </w:rPr>
            </w:pPr>
            <w:r w:rsidRPr="001D6E7F">
              <w:rPr>
                <w:sz w:val="20"/>
                <w:szCs w:val="20"/>
              </w:rPr>
              <w:t xml:space="preserve">Functions </w:t>
            </w:r>
            <w:r w:rsidR="00C3093D" w:rsidRPr="001D6E7F">
              <w:rPr>
                <w:sz w:val="20"/>
                <w:szCs w:val="20"/>
              </w:rPr>
              <w:t xml:space="preserve">mainly </w:t>
            </w:r>
            <w:r w:rsidRPr="001D6E7F">
              <w:rPr>
                <w:sz w:val="20"/>
                <w:szCs w:val="20"/>
              </w:rPr>
              <w:t>for the public benefit</w:t>
            </w:r>
            <w:r w:rsidR="003A4188">
              <w:rPr>
                <w:sz w:val="20"/>
                <w:szCs w:val="20"/>
              </w:rPr>
              <w:t>, which are</w:t>
            </w:r>
            <w:r w:rsidRPr="001D6E7F">
              <w:rPr>
                <w:sz w:val="20"/>
                <w:szCs w:val="20"/>
              </w:rPr>
              <w:t xml:space="preserve"> Crown funded</w:t>
            </w:r>
          </w:p>
        </w:tc>
      </w:tr>
      <w:tr w:rsidR="009D2AD7" w:rsidRPr="00B1109F" w14:paraId="06617AEB" w14:textId="77777777" w:rsidTr="00BA7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right w:val="single" w:sz="8" w:space="0" w:color="1C556C" w:themeColor="accent1"/>
            </w:tcBorders>
          </w:tcPr>
          <w:p w14:paraId="199A0032" w14:textId="4A51BF81" w:rsidR="009D2AD7" w:rsidRPr="002B7A7F" w:rsidRDefault="009D2AD7" w:rsidP="001D6E7F">
            <w:pPr>
              <w:pStyle w:val="TableBullet"/>
              <w:rPr>
                <w:b w:val="0"/>
                <w:bCs w:val="0"/>
              </w:rPr>
            </w:pPr>
            <w:r w:rsidRPr="002B7A7F">
              <w:rPr>
                <w:b w:val="0"/>
                <w:bCs w:val="0"/>
              </w:rPr>
              <w:t>All marine</w:t>
            </w:r>
            <w:r w:rsidR="00C969FE" w:rsidRPr="002B7A7F">
              <w:rPr>
                <w:b w:val="0"/>
                <w:bCs w:val="0"/>
              </w:rPr>
              <w:t xml:space="preserve"> </w:t>
            </w:r>
            <w:r w:rsidRPr="002B7A7F">
              <w:rPr>
                <w:b w:val="0"/>
                <w:bCs w:val="0"/>
              </w:rPr>
              <w:t>consent functions, including pre-application assistance, processing and deciding marine consents, transfer, review, cancellation</w:t>
            </w:r>
          </w:p>
          <w:p w14:paraId="4406457F" w14:textId="77777777" w:rsidR="009D2AD7" w:rsidRPr="002B7A7F" w:rsidRDefault="009D2AD7" w:rsidP="001D6E7F">
            <w:pPr>
              <w:pStyle w:val="TableBullet"/>
              <w:rPr>
                <w:b w:val="0"/>
                <w:bCs w:val="0"/>
              </w:rPr>
            </w:pPr>
            <w:r w:rsidRPr="002B7A7F">
              <w:rPr>
                <w:b w:val="0"/>
                <w:bCs w:val="0"/>
              </w:rPr>
              <w:t>Permitted activity functions, including receiving, reviewing and certifying information (excluding foreign marine scientific research and government-funded domestic marine scientific research)</w:t>
            </w:r>
          </w:p>
          <w:p w14:paraId="3FA4EFFB" w14:textId="2561F969" w:rsidR="009D2AD7" w:rsidRPr="002B7A7F" w:rsidRDefault="009D2AD7" w:rsidP="001D6E7F">
            <w:pPr>
              <w:pStyle w:val="TableBullet"/>
              <w:rPr>
                <w:b w:val="0"/>
                <w:bCs w:val="0"/>
              </w:rPr>
            </w:pPr>
            <w:r w:rsidRPr="002B7A7F">
              <w:rPr>
                <w:b w:val="0"/>
                <w:bCs w:val="0"/>
              </w:rPr>
              <w:t xml:space="preserve">EPA rulings required under the grandfathering arrangements in the </w:t>
            </w:r>
            <w:r w:rsidR="00C969FE" w:rsidRPr="002B7A7F">
              <w:rPr>
                <w:b w:val="0"/>
                <w:bCs w:val="0"/>
              </w:rPr>
              <w:t xml:space="preserve">EEZ </w:t>
            </w:r>
            <w:r w:rsidRPr="002B7A7F">
              <w:rPr>
                <w:b w:val="0"/>
                <w:bCs w:val="0"/>
              </w:rPr>
              <w:t>Act</w:t>
            </w:r>
          </w:p>
          <w:p w14:paraId="359737AB" w14:textId="5F87050C" w:rsidR="009D2AD7" w:rsidRPr="002B7A7F" w:rsidRDefault="009D2AD7" w:rsidP="001D6E7F">
            <w:pPr>
              <w:pStyle w:val="TableBullet"/>
              <w:rPr>
                <w:b w:val="0"/>
                <w:bCs w:val="0"/>
              </w:rPr>
            </w:pPr>
            <w:r w:rsidRPr="002B7A7F">
              <w:rPr>
                <w:b w:val="0"/>
                <w:bCs w:val="0"/>
              </w:rPr>
              <w:t>EPA receiving and reviewing impact assessments</w:t>
            </w:r>
            <w:r w:rsidR="00C969FE" w:rsidRPr="002B7A7F">
              <w:rPr>
                <w:b w:val="0"/>
                <w:bCs w:val="0"/>
              </w:rPr>
              <w:t>,</w:t>
            </w:r>
            <w:r w:rsidRPr="002B7A7F">
              <w:rPr>
                <w:b w:val="0"/>
                <w:bCs w:val="0"/>
              </w:rPr>
              <w:t xml:space="preserve"> or any other documentation required under the transitional arrangements</w:t>
            </w:r>
          </w:p>
          <w:p w14:paraId="053F598A" w14:textId="77777777" w:rsidR="009D2AD7" w:rsidRPr="002B7A7F" w:rsidRDefault="009D2AD7">
            <w:pPr>
              <w:spacing w:before="60" w:after="60"/>
              <w:jc w:val="left"/>
              <w:rPr>
                <w:b w:val="0"/>
                <w:bCs w:val="0"/>
                <w:sz w:val="20"/>
                <w:szCs w:val="20"/>
              </w:rPr>
            </w:pPr>
          </w:p>
        </w:tc>
        <w:tc>
          <w:tcPr>
            <w:tcW w:w="0" w:type="pct"/>
            <w:tcBorders>
              <w:top w:val="nil"/>
              <w:left w:val="single" w:sz="8" w:space="0" w:color="1C556C" w:themeColor="accent1"/>
              <w:right w:val="single" w:sz="8" w:space="0" w:color="1C556C" w:themeColor="accent1"/>
            </w:tcBorders>
          </w:tcPr>
          <w:p w14:paraId="6A5AC25F" w14:textId="77777777"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 xml:space="preserve">Monitoring of marine consent conditions and permitted activities </w:t>
            </w:r>
          </w:p>
        </w:tc>
        <w:tc>
          <w:tcPr>
            <w:tcW w:w="0" w:type="pct"/>
            <w:tcBorders>
              <w:top w:val="nil"/>
              <w:left w:val="single" w:sz="8" w:space="0" w:color="1C556C" w:themeColor="accent1"/>
              <w:right w:val="nil"/>
            </w:tcBorders>
          </w:tcPr>
          <w:p w14:paraId="36DF9C0A" w14:textId="77777777"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Education and raising public awareness</w:t>
            </w:r>
          </w:p>
          <w:p w14:paraId="3B720A31" w14:textId="77777777"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Internal government and international reporting</w:t>
            </w:r>
          </w:p>
          <w:p w14:paraId="20FDDC7C" w14:textId="49392A70"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Enforcement action, including investigations (Crown will seek to have costs awarded if enforcement is successful)</w:t>
            </w:r>
          </w:p>
          <w:p w14:paraId="46003CFD" w14:textId="6CB32169"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Investigation</w:t>
            </w:r>
            <w:r w:rsidR="00251BFB">
              <w:t>s</w:t>
            </w:r>
            <w:r w:rsidRPr="005043C6">
              <w:t xml:space="preserve"> </w:t>
            </w:r>
            <w:r w:rsidR="00251BFB">
              <w:t>that</w:t>
            </w:r>
            <w:r w:rsidR="00251BFB" w:rsidRPr="005043C6">
              <w:t xml:space="preserve"> </w:t>
            </w:r>
            <w:r w:rsidR="00251BFB">
              <w:t>do</w:t>
            </w:r>
            <w:r w:rsidR="00251BFB" w:rsidRPr="005043C6">
              <w:t xml:space="preserve"> </w:t>
            </w:r>
            <w:r w:rsidRPr="005043C6">
              <w:t>not lead to enforcement (including those initiated by the public and any scheduled compliance checks by the EPA)</w:t>
            </w:r>
          </w:p>
          <w:p w14:paraId="12309BBE" w14:textId="14AA9B95"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Additional monitoring</w:t>
            </w:r>
            <w:r w:rsidR="00602FCD">
              <w:t xml:space="preserve"> (</w:t>
            </w:r>
            <w:proofErr w:type="spellStart"/>
            <w:r w:rsidR="00602FCD">
              <w:t>eg</w:t>
            </w:r>
            <w:proofErr w:type="spellEnd"/>
            <w:r w:rsidR="00602FCD">
              <w:t>,</w:t>
            </w:r>
            <w:r w:rsidRPr="005043C6">
              <w:t xml:space="preserve"> of cumulative effects</w:t>
            </w:r>
            <w:r w:rsidR="00602FCD">
              <w:t>)</w:t>
            </w:r>
            <w:r w:rsidRPr="005043C6">
              <w:t xml:space="preserve"> or planned monitoring</w:t>
            </w:r>
          </w:p>
          <w:p w14:paraId="6DD375BA" w14:textId="67F5267C"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Permitted activity processing for submarine cabling</w:t>
            </w:r>
            <w:r w:rsidR="00395199">
              <w:t xml:space="preserve">, </w:t>
            </w:r>
            <w:r w:rsidR="00395199" w:rsidRPr="005043C6">
              <w:t>foreign marine scientific research and government</w:t>
            </w:r>
            <w:r w:rsidR="00395199">
              <w:t>-</w:t>
            </w:r>
            <w:r w:rsidR="00395199" w:rsidRPr="005043C6">
              <w:t>funded domestic marine scientific research</w:t>
            </w:r>
          </w:p>
          <w:p w14:paraId="0059655D" w14:textId="3F7F2970"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lastRenderedPageBreak/>
              <w:t>Monitoring of submarine cabling, foreign marine scientific research and government</w:t>
            </w:r>
            <w:r w:rsidR="00602FCD">
              <w:t>-</w:t>
            </w:r>
            <w:r w:rsidRPr="005043C6">
              <w:t>funded domestic marine scientific research</w:t>
            </w:r>
          </w:p>
          <w:p w14:paraId="009244AE" w14:textId="77777777" w:rsidR="009D2AD7" w:rsidRPr="005043C6" w:rsidRDefault="009D2AD7" w:rsidP="001D6E7F">
            <w:pPr>
              <w:pStyle w:val="TableBullet"/>
              <w:cnfStyle w:val="000000100000" w:firstRow="0" w:lastRow="0" w:firstColumn="0" w:lastColumn="0" w:oddVBand="0" w:evenVBand="0" w:oddHBand="1" w:evenHBand="0" w:firstRowFirstColumn="0" w:firstRowLastColumn="0" w:lastRowFirstColumn="0" w:lastRowLastColumn="0"/>
            </w:pPr>
            <w:r w:rsidRPr="005043C6">
              <w:t>Business system and process development</w:t>
            </w:r>
          </w:p>
        </w:tc>
      </w:tr>
    </w:tbl>
    <w:p w14:paraId="3A583B0D" w14:textId="32E083A7" w:rsidR="00401C3E" w:rsidRDefault="00401C3E" w:rsidP="00A64064">
      <w:pPr>
        <w:pStyle w:val="Bullet"/>
        <w:numPr>
          <w:ilvl w:val="0"/>
          <w:numId w:val="0"/>
        </w:numPr>
        <w:ind w:left="397"/>
        <w:rPr>
          <w:lang w:val="en-GB"/>
        </w:rPr>
      </w:pPr>
    </w:p>
    <w:p w14:paraId="5C123BD9" w14:textId="42E9CE31" w:rsidR="002A0069" w:rsidRPr="00BD2A54" w:rsidRDefault="00872E68" w:rsidP="00BD2A54">
      <w:pPr>
        <w:pStyle w:val="Heading2"/>
      </w:pPr>
      <w:bookmarkStart w:id="27" w:name="_Toc114734492"/>
      <w:r w:rsidRPr="00BD2A54">
        <w:t xml:space="preserve">EEZ </w:t>
      </w:r>
      <w:r w:rsidR="002A0069" w:rsidRPr="00BD2A54">
        <w:t xml:space="preserve">Fees </w:t>
      </w:r>
      <w:r w:rsidRPr="00BD2A54">
        <w:t>Regulations</w:t>
      </w:r>
      <w:r w:rsidR="002A0069" w:rsidRPr="00BD2A54">
        <w:t xml:space="preserve"> </w:t>
      </w:r>
      <w:r w:rsidR="00C909F5" w:rsidRPr="00BD2A54">
        <w:t>set out the charge</w:t>
      </w:r>
      <w:r w:rsidR="002F1FB6" w:rsidRPr="00BD2A54">
        <w:t>-out rates</w:t>
      </w:r>
      <w:bookmarkEnd w:id="27"/>
      <w:r w:rsidR="00C909F5" w:rsidRPr="00BD2A54">
        <w:t xml:space="preserve"> </w:t>
      </w:r>
    </w:p>
    <w:p w14:paraId="3A9B0040" w14:textId="0C65A1B8" w:rsidR="009F5BA4" w:rsidRDefault="00381E38" w:rsidP="008A48B2">
      <w:pPr>
        <w:pStyle w:val="BodyText"/>
        <w:rPr>
          <w:lang w:val="en-GB"/>
        </w:rPr>
      </w:pPr>
      <w:r w:rsidRPr="00381E38">
        <w:rPr>
          <w:lang w:val="en-GB"/>
        </w:rPr>
        <w:t>The EEZ Fees Regulations</w:t>
      </w:r>
      <w:r w:rsidR="00F1192B">
        <w:rPr>
          <w:lang w:val="en-GB"/>
        </w:rPr>
        <w:t xml:space="preserve"> </w:t>
      </w:r>
      <w:r w:rsidR="00FF54C0">
        <w:rPr>
          <w:lang w:val="en-GB"/>
        </w:rPr>
        <w:t>set out</w:t>
      </w:r>
      <w:r w:rsidR="00FF54C0" w:rsidRPr="0093310A">
        <w:rPr>
          <w:lang w:val="en-GB"/>
        </w:rPr>
        <w:t xml:space="preserve"> the</w:t>
      </w:r>
      <w:r w:rsidR="00FF54C0">
        <w:rPr>
          <w:lang w:val="en-GB"/>
        </w:rPr>
        <w:t xml:space="preserve"> hourly</w:t>
      </w:r>
      <w:r w:rsidR="00FF54C0" w:rsidRPr="0093310A">
        <w:rPr>
          <w:lang w:val="en-GB"/>
        </w:rPr>
        <w:t xml:space="preserve"> charge-out rates for EPA staff</w:t>
      </w:r>
      <w:r w:rsidR="00FF54C0">
        <w:rPr>
          <w:lang w:val="en-GB"/>
        </w:rPr>
        <w:t xml:space="preserve">, </w:t>
      </w:r>
      <w:r w:rsidR="00FB2D7B">
        <w:rPr>
          <w:lang w:val="en-GB"/>
        </w:rPr>
        <w:t xml:space="preserve">and align with </w:t>
      </w:r>
      <w:r w:rsidR="00F1192B">
        <w:rPr>
          <w:lang w:val="en-GB"/>
        </w:rPr>
        <w:t>the</w:t>
      </w:r>
      <w:r w:rsidRPr="00381E38">
        <w:rPr>
          <w:lang w:val="en-GB"/>
        </w:rPr>
        <w:t xml:space="preserve"> </w:t>
      </w:r>
      <w:r w:rsidR="00DE536F">
        <w:rPr>
          <w:lang w:val="en-GB"/>
        </w:rPr>
        <w:t>2012 Cabinet decision</w:t>
      </w:r>
      <w:r w:rsidR="00FB2D7B">
        <w:rPr>
          <w:lang w:val="en-GB"/>
        </w:rPr>
        <w:t xml:space="preserve"> by setting rates for monitoring functions at 80</w:t>
      </w:r>
      <w:r w:rsidR="00C91DE6">
        <w:rPr>
          <w:lang w:val="en-GB"/>
        </w:rPr>
        <w:t xml:space="preserve"> per cent</w:t>
      </w:r>
      <w:r w:rsidR="00FB2D7B">
        <w:rPr>
          <w:lang w:val="en-GB"/>
        </w:rPr>
        <w:t xml:space="preserve"> of </w:t>
      </w:r>
      <w:r w:rsidR="00C91DE6">
        <w:rPr>
          <w:lang w:val="en-GB"/>
        </w:rPr>
        <w:t xml:space="preserve">the </w:t>
      </w:r>
      <w:r w:rsidR="00FB2D7B">
        <w:rPr>
          <w:lang w:val="en-GB"/>
        </w:rPr>
        <w:t>rates for consenting functions</w:t>
      </w:r>
      <w:r w:rsidRPr="00381E38">
        <w:rPr>
          <w:lang w:val="en-GB"/>
        </w:rPr>
        <w:t xml:space="preserve">. </w:t>
      </w:r>
      <w:r w:rsidR="00120CEE">
        <w:rPr>
          <w:lang w:val="en-GB"/>
        </w:rPr>
        <w:fldChar w:fldCharType="begin"/>
      </w:r>
      <w:r w:rsidR="00120CEE">
        <w:rPr>
          <w:lang w:val="en-GB"/>
        </w:rPr>
        <w:instrText xml:space="preserve"> REF _Ref114671843 \h </w:instrText>
      </w:r>
      <w:r w:rsidR="00120CEE">
        <w:rPr>
          <w:lang w:val="en-GB"/>
        </w:rPr>
      </w:r>
      <w:r w:rsidR="00120CEE">
        <w:rPr>
          <w:lang w:val="en-GB"/>
        </w:rPr>
        <w:fldChar w:fldCharType="separate"/>
      </w:r>
      <w:r w:rsidR="00120CEE">
        <w:t xml:space="preserve">Table </w:t>
      </w:r>
      <w:r w:rsidR="00120CEE">
        <w:rPr>
          <w:noProof/>
        </w:rPr>
        <w:t>4</w:t>
      </w:r>
      <w:r w:rsidR="00120CEE">
        <w:rPr>
          <w:lang w:val="en-GB"/>
        </w:rPr>
        <w:fldChar w:fldCharType="end"/>
      </w:r>
      <w:r w:rsidR="00DE536F" w:rsidDel="004A7EBF">
        <w:rPr>
          <w:lang w:val="en-GB"/>
        </w:rPr>
        <w:t xml:space="preserve"> shows the </w:t>
      </w:r>
      <w:r w:rsidR="00C91DE6">
        <w:rPr>
          <w:lang w:val="en-GB"/>
        </w:rPr>
        <w:t xml:space="preserve">hourly </w:t>
      </w:r>
      <w:r w:rsidR="00DE536F" w:rsidDel="004A7EBF">
        <w:rPr>
          <w:lang w:val="en-GB"/>
        </w:rPr>
        <w:t>rates</w:t>
      </w:r>
      <w:r w:rsidR="00577AD5" w:rsidDel="004A7EBF">
        <w:rPr>
          <w:lang w:val="en-GB"/>
        </w:rPr>
        <w:t>.</w:t>
      </w:r>
      <w:r w:rsidR="006233F0">
        <w:rPr>
          <w:rStyle w:val="FootnoteReference"/>
          <w:lang w:val="en-GB"/>
        </w:rPr>
        <w:footnoteReference w:id="6"/>
      </w:r>
      <w:r w:rsidR="00B13DA4" w:rsidDel="004A7EBF">
        <w:rPr>
          <w:lang w:val="en-GB"/>
        </w:rPr>
        <w:t xml:space="preserve"> </w:t>
      </w:r>
    </w:p>
    <w:p w14:paraId="3CFFE03B" w14:textId="34F2BD10" w:rsidR="00BB1A11" w:rsidRDefault="00BB1A11" w:rsidP="00762667">
      <w:pPr>
        <w:pStyle w:val="Tableheading"/>
      </w:pPr>
      <w:bookmarkStart w:id="28" w:name="_Ref114671843"/>
      <w:bookmarkStart w:id="29" w:name="_Toc115682241"/>
      <w:r>
        <w:t xml:space="preserve">Table </w:t>
      </w:r>
      <w:r w:rsidR="002D4F05">
        <w:fldChar w:fldCharType="begin"/>
      </w:r>
      <w:r w:rsidR="002D4F05">
        <w:instrText xml:space="preserve"> SEQ Table \* ARABIC </w:instrText>
      </w:r>
      <w:r w:rsidR="002D4F05">
        <w:fldChar w:fldCharType="separate"/>
      </w:r>
      <w:r w:rsidR="00651832">
        <w:rPr>
          <w:noProof/>
        </w:rPr>
        <w:t>4</w:t>
      </w:r>
      <w:r w:rsidR="002D4F05">
        <w:rPr>
          <w:noProof/>
        </w:rPr>
        <w:fldChar w:fldCharType="end"/>
      </w:r>
      <w:bookmarkEnd w:id="28"/>
      <w:r>
        <w:t xml:space="preserve">: </w:t>
      </w:r>
      <w:r w:rsidR="00376D15">
        <w:tab/>
      </w:r>
      <w:r w:rsidRPr="0019239E">
        <w:t xml:space="preserve">Current </w:t>
      </w:r>
      <w:r w:rsidR="00F51B21">
        <w:t xml:space="preserve">EEZ </w:t>
      </w:r>
      <w:r w:rsidRPr="0019239E">
        <w:t>Fee</w:t>
      </w:r>
      <w:r w:rsidR="00F51B21">
        <w:t>s</w:t>
      </w:r>
      <w:r w:rsidRPr="0019239E">
        <w:t xml:space="preserve"> Regulations cost recovery hourly charge-out rates</w:t>
      </w:r>
      <w:bookmarkEnd w:id="29"/>
    </w:p>
    <w:tbl>
      <w:tblPr>
        <w:tblStyle w:val="LightList-Accent11"/>
        <w:tblW w:w="8647" w:type="dxa"/>
        <w:tblInd w:w="-5" w:type="dxa"/>
        <w:tblBorders>
          <w:top w:val="none" w:sz="0" w:space="0" w:color="auto"/>
          <w:left w:val="none" w:sz="0" w:space="0" w:color="auto"/>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5778"/>
        <w:gridCol w:w="1435"/>
        <w:gridCol w:w="1434"/>
      </w:tblGrid>
      <w:tr w:rsidR="0043403A" w14:paraId="27E88957" w14:textId="77777777" w:rsidTr="00F51B21">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41" w:type="pct"/>
            <w:tcBorders>
              <w:top w:val="single" w:sz="4" w:space="0" w:color="1C556C" w:themeColor="accent1"/>
              <w:left w:val="single" w:sz="4" w:space="0" w:color="1C556C" w:themeColor="accent1"/>
              <w:bottom w:val="single" w:sz="4" w:space="0" w:color="1C556C" w:themeColor="accent1"/>
            </w:tcBorders>
            <w:shd w:val="clear" w:color="auto" w:fill="1C556C"/>
            <w:hideMark/>
          </w:tcPr>
          <w:p w14:paraId="448D4563" w14:textId="77777777" w:rsidR="00670967" w:rsidRDefault="00670967">
            <w:pPr>
              <w:spacing w:after="0" w:line="240" w:lineRule="auto"/>
              <w:rPr>
                <w:rFonts w:cs="Arial"/>
                <w:b w:val="0"/>
                <w:bCs w:val="0"/>
                <w:sz w:val="20"/>
                <w:lang w:eastAsia="en-US"/>
              </w:rPr>
            </w:pPr>
            <w:r>
              <w:rPr>
                <w:rFonts w:cs="Arial"/>
                <w:sz w:val="20"/>
                <w:lang w:eastAsia="en-US"/>
              </w:rPr>
              <w:t>EPA staff role</w:t>
            </w:r>
          </w:p>
        </w:tc>
        <w:tc>
          <w:tcPr>
            <w:tcW w:w="1659" w:type="pct"/>
            <w:gridSpan w:val="2"/>
            <w:tcBorders>
              <w:top w:val="single" w:sz="4" w:space="0" w:color="1C556C" w:themeColor="accent1"/>
              <w:bottom w:val="single" w:sz="4" w:space="0" w:color="1C556C" w:themeColor="accent1"/>
              <w:right w:val="single" w:sz="4" w:space="0" w:color="1C556C" w:themeColor="accent1"/>
            </w:tcBorders>
            <w:shd w:val="clear" w:color="auto" w:fill="1C556C"/>
            <w:noWrap/>
            <w:hideMark/>
          </w:tcPr>
          <w:p w14:paraId="7AABB26A" w14:textId="3F469474" w:rsidR="00670967" w:rsidRDefault="0067096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0"/>
                <w:lang w:eastAsia="en-US"/>
              </w:rPr>
            </w:pPr>
            <w:r>
              <w:rPr>
                <w:rFonts w:cs="Arial"/>
                <w:sz w:val="20"/>
                <w:lang w:eastAsia="en-US"/>
              </w:rPr>
              <w:t>$/hr (ex GST)</w:t>
            </w:r>
          </w:p>
        </w:tc>
      </w:tr>
      <w:tr w:rsidR="0043403A" w14:paraId="23DF2E17" w14:textId="77777777" w:rsidTr="00F51B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41" w:type="pct"/>
            <w:tcBorders>
              <w:top w:val="single" w:sz="4" w:space="0" w:color="1C556C" w:themeColor="accent1"/>
              <w:left w:val="single" w:sz="4" w:space="0" w:color="1C556C" w:themeColor="accent1"/>
              <w:bottom w:val="nil"/>
              <w:right w:val="single" w:sz="4" w:space="0" w:color="1C556C" w:themeColor="accent1"/>
            </w:tcBorders>
            <w:shd w:val="clear" w:color="auto" w:fill="1C556C"/>
          </w:tcPr>
          <w:p w14:paraId="1EE999C3" w14:textId="77777777" w:rsidR="00670967" w:rsidRPr="008158C2" w:rsidRDefault="00670967">
            <w:pPr>
              <w:spacing w:after="0" w:line="240" w:lineRule="auto"/>
              <w:rPr>
                <w:rFonts w:cs="Arial"/>
                <w:b w:val="0"/>
                <w:bCs w:val="0"/>
                <w:color w:val="000000" w:themeColor="text1"/>
                <w:sz w:val="20"/>
                <w:lang w:eastAsia="en-US"/>
              </w:rPr>
            </w:pPr>
          </w:p>
        </w:tc>
        <w:tc>
          <w:tcPr>
            <w:tcW w:w="830" w:type="pct"/>
            <w:tcBorders>
              <w:top w:val="single" w:sz="4" w:space="0" w:color="1C556C" w:themeColor="accent1"/>
              <w:left w:val="single" w:sz="4" w:space="0" w:color="1C556C" w:themeColor="accent1"/>
              <w:bottom w:val="nil"/>
              <w:right w:val="single" w:sz="4" w:space="0" w:color="1C556C" w:themeColor="accent1"/>
            </w:tcBorders>
            <w:shd w:val="clear" w:color="auto" w:fill="1C556C"/>
            <w:noWrap/>
            <w:hideMark/>
          </w:tcPr>
          <w:p w14:paraId="02BC8870" w14:textId="77777777" w:rsidR="00670967" w:rsidRPr="00F51B21" w:rsidRDefault="006709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lang w:eastAsia="en-US"/>
              </w:rPr>
            </w:pPr>
            <w:r w:rsidRPr="00F51B21">
              <w:rPr>
                <w:rFonts w:cs="Arial"/>
                <w:b/>
                <w:color w:val="FFFFFF" w:themeColor="background1"/>
                <w:sz w:val="20"/>
                <w:lang w:eastAsia="en-US"/>
              </w:rPr>
              <w:t>Consenting</w:t>
            </w:r>
          </w:p>
        </w:tc>
        <w:tc>
          <w:tcPr>
            <w:tcW w:w="829" w:type="pct"/>
            <w:tcBorders>
              <w:top w:val="single" w:sz="4" w:space="0" w:color="1C556C" w:themeColor="accent1"/>
              <w:left w:val="single" w:sz="4" w:space="0" w:color="1C556C" w:themeColor="accent1"/>
              <w:bottom w:val="nil"/>
              <w:right w:val="single" w:sz="4" w:space="0" w:color="1C556C" w:themeColor="accent1"/>
            </w:tcBorders>
            <w:shd w:val="clear" w:color="auto" w:fill="1C556C"/>
            <w:hideMark/>
          </w:tcPr>
          <w:p w14:paraId="15CAE5D1" w14:textId="77777777" w:rsidR="00670967" w:rsidRPr="00F51B21" w:rsidRDefault="006709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lang w:eastAsia="en-US"/>
              </w:rPr>
            </w:pPr>
            <w:r w:rsidRPr="00F51B21">
              <w:rPr>
                <w:rFonts w:cs="Arial"/>
                <w:b/>
                <w:color w:val="FFFFFF" w:themeColor="background1"/>
                <w:sz w:val="20"/>
                <w:lang w:eastAsia="en-US"/>
              </w:rPr>
              <w:t>Monitoring</w:t>
            </w:r>
          </w:p>
        </w:tc>
      </w:tr>
      <w:tr w:rsidR="00407330" w14:paraId="7599F613" w14:textId="77777777" w:rsidTr="00F51B21">
        <w:trPr>
          <w:trHeight w:val="310"/>
        </w:trPr>
        <w:tc>
          <w:tcPr>
            <w:cnfStyle w:val="001000000000" w:firstRow="0" w:lastRow="0" w:firstColumn="1" w:lastColumn="0" w:oddVBand="0" w:evenVBand="0" w:oddHBand="0" w:evenHBand="0" w:firstRowFirstColumn="0" w:firstRowLastColumn="0" w:lastRowFirstColumn="0" w:lastRowLastColumn="0"/>
            <w:tcW w:w="3341" w:type="pct"/>
            <w:tcBorders>
              <w:top w:val="nil"/>
              <w:left w:val="nil"/>
            </w:tcBorders>
            <w:hideMark/>
          </w:tcPr>
          <w:p w14:paraId="43F7E473" w14:textId="77777777" w:rsidR="00670967" w:rsidRPr="000E19F6" w:rsidRDefault="00670967">
            <w:pPr>
              <w:spacing w:after="0" w:line="240" w:lineRule="auto"/>
              <w:rPr>
                <w:rFonts w:cs="Arial"/>
                <w:b w:val="0"/>
                <w:bCs w:val="0"/>
                <w:sz w:val="18"/>
                <w:szCs w:val="18"/>
                <w:lang w:eastAsia="en-US"/>
              </w:rPr>
            </w:pPr>
            <w:r w:rsidRPr="000E19F6">
              <w:rPr>
                <w:rFonts w:cs="Arial"/>
                <w:b w:val="0"/>
                <w:bCs w:val="0"/>
                <w:sz w:val="18"/>
                <w:szCs w:val="18"/>
                <w:lang w:eastAsia="en-US"/>
              </w:rPr>
              <w:t>Principal technical advisor</w:t>
            </w:r>
          </w:p>
        </w:tc>
        <w:tc>
          <w:tcPr>
            <w:tcW w:w="830" w:type="pct"/>
            <w:tcBorders>
              <w:top w:val="nil"/>
            </w:tcBorders>
            <w:noWrap/>
            <w:hideMark/>
          </w:tcPr>
          <w:p w14:paraId="1803DD2E" w14:textId="77777777" w:rsidR="00670967" w:rsidRPr="000E19F6" w:rsidRDefault="006709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0E19F6">
              <w:rPr>
                <w:rFonts w:cs="Arial"/>
                <w:sz w:val="18"/>
                <w:szCs w:val="18"/>
                <w:lang w:eastAsia="en-US"/>
              </w:rPr>
              <w:t>290.00</w:t>
            </w:r>
          </w:p>
        </w:tc>
        <w:tc>
          <w:tcPr>
            <w:tcW w:w="829" w:type="pct"/>
            <w:tcBorders>
              <w:top w:val="nil"/>
              <w:right w:val="nil"/>
            </w:tcBorders>
            <w:hideMark/>
          </w:tcPr>
          <w:p w14:paraId="6748F989" w14:textId="77777777" w:rsidR="00670967" w:rsidRPr="000E19F6" w:rsidRDefault="006709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0E19F6">
              <w:rPr>
                <w:rFonts w:cs="Arial"/>
                <w:sz w:val="18"/>
                <w:szCs w:val="18"/>
                <w:lang w:eastAsia="en-US"/>
              </w:rPr>
              <w:t>232.00</w:t>
            </w:r>
          </w:p>
        </w:tc>
      </w:tr>
      <w:tr w:rsidR="00670967" w14:paraId="063372D2" w14:textId="77777777" w:rsidTr="00F51B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41" w:type="pct"/>
            <w:tcBorders>
              <w:left w:val="nil"/>
            </w:tcBorders>
            <w:hideMark/>
          </w:tcPr>
          <w:p w14:paraId="2E823A07" w14:textId="77777777" w:rsidR="00670967" w:rsidRPr="000E19F6" w:rsidRDefault="00670967">
            <w:pPr>
              <w:spacing w:after="0" w:line="240" w:lineRule="auto"/>
              <w:rPr>
                <w:rFonts w:cs="Arial"/>
                <w:b w:val="0"/>
                <w:bCs w:val="0"/>
                <w:sz w:val="18"/>
                <w:szCs w:val="18"/>
                <w:lang w:eastAsia="en-US"/>
              </w:rPr>
            </w:pPr>
            <w:r w:rsidRPr="000E19F6">
              <w:rPr>
                <w:rFonts w:cs="Arial"/>
                <w:b w:val="0"/>
                <w:bCs w:val="0"/>
                <w:sz w:val="18"/>
                <w:szCs w:val="18"/>
                <w:lang w:eastAsia="en-US"/>
              </w:rPr>
              <w:t>Authority to accept decommissioning plan (new in 2021)</w:t>
            </w:r>
          </w:p>
        </w:tc>
        <w:tc>
          <w:tcPr>
            <w:tcW w:w="830" w:type="pct"/>
            <w:noWrap/>
            <w:hideMark/>
          </w:tcPr>
          <w:p w14:paraId="54F8F396" w14:textId="77777777" w:rsidR="00670967" w:rsidRPr="000E19F6" w:rsidRDefault="006709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0E19F6">
              <w:rPr>
                <w:rFonts w:cs="Arial"/>
                <w:sz w:val="18"/>
                <w:szCs w:val="18"/>
                <w:lang w:eastAsia="en-US"/>
              </w:rPr>
              <w:t>257.04</w:t>
            </w:r>
          </w:p>
        </w:tc>
        <w:tc>
          <w:tcPr>
            <w:tcW w:w="829" w:type="pct"/>
            <w:tcBorders>
              <w:right w:val="nil"/>
            </w:tcBorders>
            <w:hideMark/>
          </w:tcPr>
          <w:p w14:paraId="6DA5A18C" w14:textId="77777777" w:rsidR="00670967" w:rsidRPr="000E19F6" w:rsidRDefault="006709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0E19F6">
              <w:rPr>
                <w:rFonts w:cs="Arial"/>
                <w:sz w:val="18"/>
                <w:szCs w:val="18"/>
                <w:lang w:eastAsia="en-US"/>
              </w:rPr>
              <w:t>N/A</w:t>
            </w:r>
          </w:p>
        </w:tc>
      </w:tr>
      <w:tr w:rsidR="00407330" w14:paraId="22F93036" w14:textId="77777777" w:rsidTr="00F51B21">
        <w:trPr>
          <w:trHeight w:val="310"/>
        </w:trPr>
        <w:tc>
          <w:tcPr>
            <w:cnfStyle w:val="001000000000" w:firstRow="0" w:lastRow="0" w:firstColumn="1" w:lastColumn="0" w:oddVBand="0" w:evenVBand="0" w:oddHBand="0" w:evenHBand="0" w:firstRowFirstColumn="0" w:firstRowLastColumn="0" w:lastRowFirstColumn="0" w:lastRowLastColumn="0"/>
            <w:tcW w:w="3341" w:type="pct"/>
            <w:tcBorders>
              <w:top w:val="single" w:sz="8" w:space="0" w:color="1C556C" w:themeColor="accent1"/>
              <w:left w:val="nil"/>
            </w:tcBorders>
            <w:hideMark/>
          </w:tcPr>
          <w:p w14:paraId="7EC8989C" w14:textId="77777777" w:rsidR="00670967" w:rsidRPr="000E19F6" w:rsidRDefault="00670967">
            <w:pPr>
              <w:spacing w:after="0" w:line="240" w:lineRule="auto"/>
              <w:rPr>
                <w:rFonts w:cs="Arial"/>
                <w:b w:val="0"/>
                <w:bCs w:val="0"/>
                <w:sz w:val="18"/>
                <w:szCs w:val="18"/>
                <w:lang w:eastAsia="en-US"/>
              </w:rPr>
            </w:pPr>
            <w:r w:rsidRPr="000E19F6">
              <w:rPr>
                <w:rFonts w:cs="Arial"/>
                <w:b w:val="0"/>
                <w:bCs w:val="0"/>
                <w:sz w:val="18"/>
                <w:szCs w:val="18"/>
                <w:lang w:eastAsia="en-US"/>
              </w:rPr>
              <w:t>Project leader</w:t>
            </w:r>
          </w:p>
        </w:tc>
        <w:tc>
          <w:tcPr>
            <w:tcW w:w="830" w:type="pct"/>
            <w:tcBorders>
              <w:top w:val="single" w:sz="8" w:space="0" w:color="1C556C" w:themeColor="accent1"/>
            </w:tcBorders>
            <w:noWrap/>
            <w:hideMark/>
          </w:tcPr>
          <w:p w14:paraId="70938CF5" w14:textId="77777777" w:rsidR="00670967" w:rsidRPr="000E19F6" w:rsidRDefault="006709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0E19F6">
              <w:rPr>
                <w:rFonts w:cs="Arial"/>
                <w:sz w:val="18"/>
                <w:szCs w:val="18"/>
                <w:lang w:eastAsia="en-US"/>
              </w:rPr>
              <w:t>140.80</w:t>
            </w:r>
          </w:p>
        </w:tc>
        <w:tc>
          <w:tcPr>
            <w:tcW w:w="829" w:type="pct"/>
            <w:tcBorders>
              <w:top w:val="single" w:sz="8" w:space="0" w:color="1C556C" w:themeColor="accent1"/>
              <w:right w:val="nil"/>
            </w:tcBorders>
            <w:hideMark/>
          </w:tcPr>
          <w:p w14:paraId="67938F9C" w14:textId="77777777" w:rsidR="00670967" w:rsidRPr="000E19F6" w:rsidRDefault="006709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0E19F6">
              <w:rPr>
                <w:rFonts w:cs="Arial"/>
                <w:sz w:val="18"/>
                <w:szCs w:val="18"/>
                <w:lang w:eastAsia="en-US"/>
              </w:rPr>
              <w:t>112.64</w:t>
            </w:r>
          </w:p>
        </w:tc>
      </w:tr>
      <w:tr w:rsidR="00670967" w14:paraId="179074EF" w14:textId="77777777" w:rsidTr="00F51B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41" w:type="pct"/>
            <w:tcBorders>
              <w:left w:val="nil"/>
            </w:tcBorders>
            <w:hideMark/>
          </w:tcPr>
          <w:p w14:paraId="4CBB479B" w14:textId="77777777" w:rsidR="00670967" w:rsidRPr="000E19F6" w:rsidRDefault="00670967">
            <w:pPr>
              <w:spacing w:after="0" w:line="240" w:lineRule="auto"/>
              <w:rPr>
                <w:rFonts w:cs="Arial"/>
                <w:b w:val="0"/>
                <w:bCs w:val="0"/>
                <w:sz w:val="18"/>
                <w:szCs w:val="18"/>
                <w:lang w:eastAsia="en-US"/>
              </w:rPr>
            </w:pPr>
            <w:r w:rsidRPr="000E19F6">
              <w:rPr>
                <w:rFonts w:cs="Arial"/>
                <w:b w:val="0"/>
                <w:bCs w:val="0"/>
                <w:sz w:val="18"/>
                <w:szCs w:val="18"/>
                <w:lang w:eastAsia="en-US"/>
              </w:rPr>
              <w:t>Senior advisor</w:t>
            </w:r>
          </w:p>
        </w:tc>
        <w:tc>
          <w:tcPr>
            <w:tcW w:w="830" w:type="pct"/>
            <w:noWrap/>
            <w:hideMark/>
          </w:tcPr>
          <w:p w14:paraId="47B6E3CB" w14:textId="77777777" w:rsidR="00670967" w:rsidRPr="000E19F6" w:rsidRDefault="006709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0E19F6">
              <w:rPr>
                <w:rFonts w:cs="Arial"/>
                <w:sz w:val="18"/>
                <w:szCs w:val="18"/>
                <w:lang w:eastAsia="en-US"/>
              </w:rPr>
              <w:t>116.12</w:t>
            </w:r>
          </w:p>
        </w:tc>
        <w:tc>
          <w:tcPr>
            <w:tcW w:w="829" w:type="pct"/>
            <w:tcBorders>
              <w:right w:val="nil"/>
            </w:tcBorders>
            <w:hideMark/>
          </w:tcPr>
          <w:p w14:paraId="4E4DBE75" w14:textId="77777777" w:rsidR="00670967" w:rsidRPr="000E19F6" w:rsidRDefault="006709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0E19F6">
              <w:rPr>
                <w:rFonts w:cs="Arial"/>
                <w:sz w:val="18"/>
                <w:szCs w:val="18"/>
                <w:lang w:eastAsia="en-US"/>
              </w:rPr>
              <w:t>92.90</w:t>
            </w:r>
          </w:p>
        </w:tc>
      </w:tr>
      <w:tr w:rsidR="00407330" w14:paraId="47C23C88" w14:textId="77777777" w:rsidTr="00F51B21">
        <w:trPr>
          <w:trHeight w:val="310"/>
        </w:trPr>
        <w:tc>
          <w:tcPr>
            <w:cnfStyle w:val="001000000000" w:firstRow="0" w:lastRow="0" w:firstColumn="1" w:lastColumn="0" w:oddVBand="0" w:evenVBand="0" w:oddHBand="0" w:evenHBand="0" w:firstRowFirstColumn="0" w:firstRowLastColumn="0" w:lastRowFirstColumn="0" w:lastRowLastColumn="0"/>
            <w:tcW w:w="3341" w:type="pct"/>
            <w:tcBorders>
              <w:top w:val="single" w:sz="8" w:space="0" w:color="1C556C" w:themeColor="accent1"/>
              <w:left w:val="nil"/>
            </w:tcBorders>
            <w:hideMark/>
          </w:tcPr>
          <w:p w14:paraId="1BE2B3EB" w14:textId="77777777" w:rsidR="00670967" w:rsidRPr="000E19F6" w:rsidRDefault="00670967">
            <w:pPr>
              <w:spacing w:after="0" w:line="240" w:lineRule="auto"/>
              <w:rPr>
                <w:rFonts w:cs="Arial"/>
                <w:b w:val="0"/>
                <w:bCs w:val="0"/>
                <w:sz w:val="18"/>
                <w:szCs w:val="18"/>
                <w:lang w:eastAsia="en-US"/>
              </w:rPr>
            </w:pPr>
            <w:r w:rsidRPr="000E19F6">
              <w:rPr>
                <w:rFonts w:cs="Arial"/>
                <w:b w:val="0"/>
                <w:bCs w:val="0"/>
                <w:sz w:val="18"/>
                <w:szCs w:val="18"/>
                <w:lang w:eastAsia="en-US"/>
              </w:rPr>
              <w:t>Advisor</w:t>
            </w:r>
          </w:p>
        </w:tc>
        <w:tc>
          <w:tcPr>
            <w:tcW w:w="830" w:type="pct"/>
            <w:tcBorders>
              <w:top w:val="single" w:sz="8" w:space="0" w:color="1C556C" w:themeColor="accent1"/>
            </w:tcBorders>
            <w:noWrap/>
            <w:hideMark/>
          </w:tcPr>
          <w:p w14:paraId="631CEF99" w14:textId="77777777" w:rsidR="00670967" w:rsidRPr="000E19F6" w:rsidRDefault="006709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0E19F6">
              <w:rPr>
                <w:rFonts w:cs="Arial"/>
                <w:sz w:val="18"/>
                <w:szCs w:val="18"/>
                <w:lang w:eastAsia="en-US"/>
              </w:rPr>
              <w:t>103.75</w:t>
            </w:r>
          </w:p>
        </w:tc>
        <w:tc>
          <w:tcPr>
            <w:tcW w:w="829" w:type="pct"/>
            <w:tcBorders>
              <w:top w:val="single" w:sz="8" w:space="0" w:color="1C556C" w:themeColor="accent1"/>
              <w:right w:val="nil"/>
            </w:tcBorders>
            <w:hideMark/>
          </w:tcPr>
          <w:p w14:paraId="6820A762" w14:textId="77777777" w:rsidR="00670967" w:rsidRPr="000E19F6" w:rsidRDefault="006709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0E19F6">
              <w:rPr>
                <w:rFonts w:cs="Arial"/>
                <w:sz w:val="18"/>
                <w:szCs w:val="18"/>
                <w:lang w:eastAsia="en-US"/>
              </w:rPr>
              <w:t>83.00</w:t>
            </w:r>
          </w:p>
        </w:tc>
      </w:tr>
      <w:tr w:rsidR="00670967" w14:paraId="03757D45" w14:textId="77777777" w:rsidTr="00F51B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41" w:type="pct"/>
            <w:tcBorders>
              <w:left w:val="nil"/>
            </w:tcBorders>
            <w:hideMark/>
          </w:tcPr>
          <w:p w14:paraId="019916C2" w14:textId="77777777" w:rsidR="00670967" w:rsidRPr="000E19F6" w:rsidRDefault="00670967">
            <w:pPr>
              <w:spacing w:after="0" w:line="240" w:lineRule="auto"/>
              <w:rPr>
                <w:rFonts w:cs="Arial"/>
                <w:b w:val="0"/>
                <w:bCs w:val="0"/>
                <w:sz w:val="18"/>
                <w:szCs w:val="18"/>
                <w:lang w:eastAsia="en-US"/>
              </w:rPr>
            </w:pPr>
            <w:r w:rsidRPr="000E19F6">
              <w:rPr>
                <w:rFonts w:cs="Arial"/>
                <w:b w:val="0"/>
                <w:bCs w:val="0"/>
                <w:sz w:val="18"/>
                <w:szCs w:val="18"/>
                <w:lang w:eastAsia="en-US"/>
              </w:rPr>
              <w:t>Administrator</w:t>
            </w:r>
          </w:p>
        </w:tc>
        <w:tc>
          <w:tcPr>
            <w:tcW w:w="830" w:type="pct"/>
            <w:noWrap/>
            <w:hideMark/>
          </w:tcPr>
          <w:p w14:paraId="690AD2C9" w14:textId="77777777" w:rsidR="00670967" w:rsidRPr="000E19F6" w:rsidRDefault="006709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0E19F6">
              <w:rPr>
                <w:rFonts w:cs="Arial"/>
                <w:sz w:val="18"/>
                <w:szCs w:val="18"/>
                <w:lang w:eastAsia="en-US"/>
              </w:rPr>
              <w:t>97.43</w:t>
            </w:r>
          </w:p>
        </w:tc>
        <w:tc>
          <w:tcPr>
            <w:tcW w:w="829" w:type="pct"/>
            <w:tcBorders>
              <w:right w:val="nil"/>
            </w:tcBorders>
            <w:hideMark/>
          </w:tcPr>
          <w:p w14:paraId="5F455FB5" w14:textId="77777777" w:rsidR="00670967" w:rsidRPr="000E19F6" w:rsidRDefault="006709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0E19F6">
              <w:rPr>
                <w:rFonts w:cs="Arial"/>
                <w:sz w:val="18"/>
                <w:szCs w:val="18"/>
                <w:lang w:eastAsia="en-US"/>
              </w:rPr>
              <w:t>77.94</w:t>
            </w:r>
          </w:p>
        </w:tc>
      </w:tr>
    </w:tbl>
    <w:p w14:paraId="49DD6361" w14:textId="3F8CABF1" w:rsidR="00072D74" w:rsidRDefault="009F5BA4" w:rsidP="000E19F6">
      <w:pPr>
        <w:pStyle w:val="BodyText"/>
        <w:spacing w:before="240"/>
      </w:pPr>
      <w:r>
        <w:rPr>
          <w:lang w:val="en-GB"/>
        </w:rPr>
        <w:t>T</w:t>
      </w:r>
      <w:r w:rsidRPr="0093310A">
        <w:rPr>
          <w:lang w:val="en-GB"/>
        </w:rPr>
        <w:t>he EPA must</w:t>
      </w:r>
      <w:r w:rsidR="003F0551">
        <w:rPr>
          <w:lang w:val="en-GB"/>
        </w:rPr>
        <w:t xml:space="preserve"> also</w:t>
      </w:r>
      <w:r w:rsidRPr="0093310A">
        <w:rPr>
          <w:lang w:val="en-GB"/>
        </w:rPr>
        <w:t xml:space="preserve"> charge the actual and reasonable costs for any expenses that </w:t>
      </w:r>
      <w:r w:rsidR="004B1744">
        <w:rPr>
          <w:lang w:val="en-GB"/>
        </w:rPr>
        <w:t>it</w:t>
      </w:r>
      <w:r>
        <w:rPr>
          <w:lang w:val="en-GB"/>
        </w:rPr>
        <w:t xml:space="preserve"> </w:t>
      </w:r>
      <w:r w:rsidRPr="0093310A">
        <w:rPr>
          <w:lang w:val="en-GB"/>
        </w:rPr>
        <w:t>reasonably incur</w:t>
      </w:r>
      <w:r>
        <w:rPr>
          <w:lang w:val="en-GB"/>
        </w:rPr>
        <w:t>s while providing these services</w:t>
      </w:r>
      <w:r w:rsidR="00B70AA0">
        <w:rPr>
          <w:lang w:val="en-GB"/>
        </w:rPr>
        <w:t>.</w:t>
      </w:r>
      <w:r w:rsidR="004C7D30">
        <w:rPr>
          <w:rStyle w:val="FootnoteReference"/>
          <w:lang w:val="en-GB"/>
        </w:rPr>
        <w:footnoteReference w:id="7"/>
      </w:r>
      <w:r w:rsidR="00B70AA0">
        <w:rPr>
          <w:lang w:val="en-GB"/>
        </w:rPr>
        <w:t xml:space="preserve"> </w:t>
      </w:r>
      <w:r w:rsidR="002615CA">
        <w:t>This might include</w:t>
      </w:r>
      <w:r w:rsidR="00222BE9">
        <w:t xml:space="preserve"> </w:t>
      </w:r>
      <w:r w:rsidR="00222BE9">
        <w:rPr>
          <w:lang w:val="en-GB"/>
        </w:rPr>
        <w:t>costs such as</w:t>
      </w:r>
      <w:r w:rsidR="009A160D">
        <w:t xml:space="preserve"> travel costs, </w:t>
      </w:r>
      <w:r w:rsidR="00C843FD">
        <w:t xml:space="preserve">fees </w:t>
      </w:r>
      <w:r w:rsidR="005D1239">
        <w:t xml:space="preserve">for </w:t>
      </w:r>
      <w:r w:rsidR="009A160D">
        <w:t xml:space="preserve">hire of rooms for hearings, </w:t>
      </w:r>
      <w:r w:rsidR="003C0EE1">
        <w:t xml:space="preserve">or </w:t>
      </w:r>
      <w:r w:rsidR="00C843FD">
        <w:t xml:space="preserve">fees for </w:t>
      </w:r>
      <w:r w:rsidR="009A160D">
        <w:t>contracted expert advice</w:t>
      </w:r>
      <w:r w:rsidR="00222BE9">
        <w:t>.</w:t>
      </w:r>
      <w:bookmarkStart w:id="30" w:name="Objectives"/>
      <w:bookmarkEnd w:id="17"/>
      <w:r w:rsidR="00072D74">
        <w:br w:type="page"/>
      </w:r>
    </w:p>
    <w:p w14:paraId="239F32BA" w14:textId="37241E03" w:rsidR="00F1412F" w:rsidRPr="00BD2A54" w:rsidRDefault="00832050" w:rsidP="000E19F6">
      <w:pPr>
        <w:pStyle w:val="Heading1"/>
        <w:ind w:left="851" w:hanging="851"/>
      </w:pPr>
      <w:bookmarkStart w:id="31" w:name="_Toc114734493"/>
      <w:r w:rsidRPr="00BD2A54">
        <w:lastRenderedPageBreak/>
        <w:t>2</w:t>
      </w:r>
      <w:r w:rsidR="00E378C3" w:rsidRPr="00BD2A54">
        <w:t>.</w:t>
      </w:r>
      <w:r w:rsidR="00E30830" w:rsidRPr="00BD2A54">
        <w:t xml:space="preserve"> </w:t>
      </w:r>
      <w:r w:rsidR="000E19F6">
        <w:tab/>
      </w:r>
      <w:r w:rsidR="002152E0" w:rsidRPr="00BD2A54">
        <w:t>Why is th</w:t>
      </w:r>
      <w:r w:rsidR="003C0EE1" w:rsidRPr="00BD2A54">
        <w:t>is</w:t>
      </w:r>
      <w:r w:rsidR="002152E0" w:rsidRPr="00BD2A54">
        <w:t xml:space="preserve"> review needed?</w:t>
      </w:r>
      <w:bookmarkEnd w:id="31"/>
      <w:r w:rsidR="002152E0" w:rsidRPr="00BD2A54">
        <w:t xml:space="preserve"> </w:t>
      </w:r>
    </w:p>
    <w:p w14:paraId="6DBB67EC" w14:textId="097BC872" w:rsidR="00CE4BF3" w:rsidRDefault="00CE4BF3" w:rsidP="00762667">
      <w:pPr>
        <w:pStyle w:val="BodyText"/>
      </w:pPr>
      <w:r>
        <w:t>The EEZ Fees Regulations have not been updated since 2013.</w:t>
      </w:r>
      <w:r w:rsidRPr="00D97328">
        <w:rPr>
          <w:vertAlign w:val="superscript"/>
        </w:rPr>
        <w:footnoteReference w:id="8"/>
      </w:r>
      <w:r>
        <w:t xml:space="preserve"> </w:t>
      </w:r>
      <w:r w:rsidR="00A3139C">
        <w:t>Guidance from the Treasury</w:t>
      </w:r>
      <w:bookmarkStart w:id="32" w:name="_Ref114672821"/>
      <w:r w:rsidR="00834750">
        <w:t xml:space="preserve"> </w:t>
      </w:r>
      <w:r w:rsidR="00A3139C">
        <w:rPr>
          <w:rStyle w:val="FootnoteReference"/>
        </w:rPr>
        <w:footnoteReference w:id="9"/>
      </w:r>
      <w:bookmarkEnd w:id="32"/>
      <w:r w:rsidR="00A3139C">
        <w:t xml:space="preserve"> </w:t>
      </w:r>
      <w:r w:rsidR="00EB212A" w:rsidRPr="00E4060D">
        <w:t>say</w:t>
      </w:r>
      <w:r w:rsidR="00A3139C">
        <w:t>s</w:t>
      </w:r>
      <w:r w:rsidR="00E4060D" w:rsidRPr="00E4060D">
        <w:t xml:space="preserve"> that cost</w:t>
      </w:r>
      <w:r w:rsidR="00AD5788">
        <w:t>-</w:t>
      </w:r>
      <w:r w:rsidR="00E4060D" w:rsidRPr="00E4060D">
        <w:t>recovery regimes should be reviewed regularly to ensure they are operating efficiently</w:t>
      </w:r>
      <w:r w:rsidR="00111FE1">
        <w:t>,</w:t>
      </w:r>
      <w:r w:rsidR="00E4060D" w:rsidRPr="00E4060D">
        <w:t xml:space="preserve"> and </w:t>
      </w:r>
      <w:r w:rsidR="00E4060D">
        <w:t xml:space="preserve">that </w:t>
      </w:r>
      <w:r w:rsidR="00E4060D" w:rsidRPr="00E4060D">
        <w:t xml:space="preserve">over-recovery and under-recovery </w:t>
      </w:r>
      <w:r w:rsidR="00111FE1">
        <w:t>are</w:t>
      </w:r>
      <w:r w:rsidR="00111FE1" w:rsidRPr="00E4060D">
        <w:t xml:space="preserve"> </w:t>
      </w:r>
      <w:r w:rsidR="00E4060D" w:rsidRPr="00E4060D">
        <w:t xml:space="preserve">minimised. The </w:t>
      </w:r>
      <w:r w:rsidR="00E4060D">
        <w:t>T</w:t>
      </w:r>
      <w:r w:rsidR="00E4060D" w:rsidRPr="00E4060D">
        <w:t>reasury guidance</w:t>
      </w:r>
      <w:r w:rsidR="00E4060D" w:rsidRPr="00E4060D">
        <w:rPr>
          <w:rFonts w:ascii="Arial" w:eastAsia="Times New Roman" w:hAnsi="Arial" w:cs="Arial"/>
          <w:color w:val="1F497D"/>
          <w:bdr w:val="none" w:sz="0" w:space="0" w:color="auto" w:frame="1"/>
        </w:rPr>
        <w:t xml:space="preserve"> </w:t>
      </w:r>
      <w:r>
        <w:t xml:space="preserve">recommends </w:t>
      </w:r>
      <w:r w:rsidR="00883FDC">
        <w:t xml:space="preserve">reviewing </w:t>
      </w:r>
      <w:r>
        <w:t>cost</w:t>
      </w:r>
      <w:r w:rsidR="00111FE1">
        <w:t>-</w:t>
      </w:r>
      <w:r>
        <w:t xml:space="preserve">recovery regimes every three to five years. </w:t>
      </w:r>
    </w:p>
    <w:p w14:paraId="7727A5B8" w14:textId="2BE40B43" w:rsidR="008F2B7D" w:rsidRDefault="00FD2CD2" w:rsidP="00762667">
      <w:pPr>
        <w:pStyle w:val="BodyText"/>
      </w:pPr>
      <w:r>
        <w:t xml:space="preserve">There is now </w:t>
      </w:r>
      <w:r w:rsidR="00F51B21">
        <w:t xml:space="preserve">better </w:t>
      </w:r>
      <w:r>
        <w:t>information available</w:t>
      </w:r>
      <w:r w:rsidRPr="00C475AE">
        <w:t xml:space="preserve"> about the EPA’s costs</w:t>
      </w:r>
      <w:r>
        <w:t xml:space="preserve"> and </w:t>
      </w:r>
      <w:r w:rsidR="00E85C7F">
        <w:t xml:space="preserve">activities, </w:t>
      </w:r>
      <w:r>
        <w:t xml:space="preserve">which was not available in 2013. </w:t>
      </w:r>
      <w:r w:rsidR="006F70CB">
        <w:t>In 2013</w:t>
      </w:r>
      <w:r w:rsidR="00834750">
        <w:t>,</w:t>
      </w:r>
      <w:r w:rsidR="006F70CB">
        <w:t xml:space="preserve"> the</w:t>
      </w:r>
      <w:r w:rsidR="006F70CB" w:rsidRPr="00E14CEE">
        <w:t xml:space="preserve"> EPA</w:t>
      </w:r>
      <w:r w:rsidR="006F70CB">
        <w:t>’s</w:t>
      </w:r>
      <w:r w:rsidR="006F70CB" w:rsidRPr="00E14CEE">
        <w:t xml:space="preserve"> functions and services under the EEZ Act</w:t>
      </w:r>
      <w:r w:rsidR="006F70CB">
        <w:t xml:space="preserve"> were new and the </w:t>
      </w:r>
      <w:r w:rsidR="00FA4093">
        <w:t>G</w:t>
      </w:r>
      <w:r w:rsidR="006F70CB">
        <w:t>overnment did not yet know the likely costs</w:t>
      </w:r>
      <w:r w:rsidR="006F70CB" w:rsidRPr="00E14CEE">
        <w:t>.</w:t>
      </w:r>
      <w:r w:rsidR="006F70CB">
        <w:t xml:space="preserve"> </w:t>
      </w:r>
      <w:r w:rsidR="00306C06">
        <w:t>T</w:t>
      </w:r>
      <w:r w:rsidR="00016AA4">
        <w:t>he</w:t>
      </w:r>
      <w:r w:rsidR="00DF49B2">
        <w:t xml:space="preserve"> EPA’s rates were therefore based on </w:t>
      </w:r>
      <w:r w:rsidRPr="00E14CEE">
        <w:t xml:space="preserve">rates </w:t>
      </w:r>
      <w:r w:rsidRPr="002E36B6">
        <w:t xml:space="preserve">charged for proposals of national significance under the Resource Management Act 1991 (with adjustments for inflation). </w:t>
      </w:r>
      <w:hyperlink w:anchor="_Appendix_2:_Background" w:history="1">
        <w:r w:rsidR="005C1864" w:rsidRPr="005C1864">
          <w:rPr>
            <w:rStyle w:val="Hyperlink"/>
          </w:rPr>
          <w:t>Appendix 2</w:t>
        </w:r>
      </w:hyperlink>
      <w:r w:rsidR="005C1864">
        <w:t xml:space="preserve"> </w:t>
      </w:r>
      <w:r w:rsidR="00306C06">
        <w:t>describes</w:t>
      </w:r>
      <w:r w:rsidR="00DF49B2">
        <w:t xml:space="preserve"> </w:t>
      </w:r>
      <w:r w:rsidR="00412EB2">
        <w:t xml:space="preserve">in more detail </w:t>
      </w:r>
      <w:r w:rsidR="00DF49B2">
        <w:t>how the 2013 rates were set.</w:t>
      </w:r>
    </w:p>
    <w:p w14:paraId="0A34FE4A" w14:textId="77777777" w:rsidR="004E4BBA" w:rsidRDefault="004E4BBA" w:rsidP="001A132E">
      <w:r>
        <w:t>The EPA’s salary</w:t>
      </w:r>
      <w:r w:rsidRPr="004F4AC5">
        <w:t xml:space="preserve"> costs have increased since 2013</w:t>
      </w:r>
      <w:r>
        <w:t xml:space="preserve">. There have </w:t>
      </w:r>
      <w:r w:rsidRPr="004F4AC5">
        <w:t>also been changes to the staff categories</w:t>
      </w:r>
      <w:r>
        <w:t xml:space="preserve"> that the EPA uses to deliver its consenting and monitoring functions.</w:t>
      </w:r>
      <w:r w:rsidDel="00BA6028">
        <w:t xml:space="preserve"> </w:t>
      </w:r>
    </w:p>
    <w:p w14:paraId="3B27F176" w14:textId="10718CC2" w:rsidR="00746EA7" w:rsidRPr="001A132E" w:rsidRDefault="001A132E" w:rsidP="009934C4">
      <w:pPr>
        <w:pStyle w:val="BodyText"/>
      </w:pPr>
      <w:r>
        <w:t xml:space="preserve">Charge-out rates that are below the EPA’s costs mean the EPA is under-recovering its costs, and </w:t>
      </w:r>
      <w:r w:rsidR="00D61650">
        <w:t xml:space="preserve">is </w:t>
      </w:r>
      <w:r>
        <w:t xml:space="preserve">therefore not meeting the requirements of </w:t>
      </w:r>
      <w:r w:rsidR="007366FD">
        <w:t>Cabinet’s 2012 decision</w:t>
      </w:r>
      <w:r w:rsidR="00367786">
        <w:t xml:space="preserve"> about who should pay for </w:t>
      </w:r>
      <w:r w:rsidR="008567E8">
        <w:t>its</w:t>
      </w:r>
      <w:r w:rsidR="00367786">
        <w:t xml:space="preserve"> functions and services</w:t>
      </w:r>
      <w:r w:rsidR="007366FD">
        <w:t>.</w:t>
      </w:r>
      <w:r w:rsidR="002E36B6">
        <w:t xml:space="preserve"> </w:t>
      </w:r>
      <w:r w:rsidR="00CE4BF3">
        <w:t xml:space="preserve">The EPA is having to use Crown funding </w:t>
      </w:r>
      <w:r w:rsidR="002478BB">
        <w:t>meant</w:t>
      </w:r>
      <w:r w:rsidR="00CE4BF3">
        <w:t xml:space="preserve"> for other purposes </w:t>
      </w:r>
      <w:r w:rsidR="00B2453D">
        <w:t>to</w:t>
      </w:r>
      <w:r w:rsidR="00CE4BF3">
        <w:t xml:space="preserve"> </w:t>
      </w:r>
      <w:r w:rsidR="002478BB">
        <w:t xml:space="preserve">pay </w:t>
      </w:r>
      <w:r w:rsidR="002478BB" w:rsidRPr="00E251BA">
        <w:t xml:space="preserve">for </w:t>
      </w:r>
      <w:r w:rsidR="00CE4BF3" w:rsidRPr="00E251BA">
        <w:t xml:space="preserve">functions and services under the EEZ Act that should be </w:t>
      </w:r>
      <w:r w:rsidR="002478BB" w:rsidRPr="00E251BA">
        <w:t xml:space="preserve">paid for by </w:t>
      </w:r>
      <w:r w:rsidR="008570DF">
        <w:t>applicants and duty holders</w:t>
      </w:r>
      <w:r w:rsidR="00CE4BF3" w:rsidRPr="00E251BA">
        <w:t xml:space="preserve">. This means that the Crown is effectively subsidising the activities (and private benefit) of </w:t>
      </w:r>
      <w:r w:rsidR="008570DF">
        <w:t>applicants and duty holders</w:t>
      </w:r>
      <w:r w:rsidR="00CE4BF3" w:rsidRPr="3D10ECD2">
        <w:t>.</w:t>
      </w:r>
      <w:r w:rsidR="00CE4BF3">
        <w:t xml:space="preserve"> </w:t>
      </w:r>
    </w:p>
    <w:p w14:paraId="080E2C50" w14:textId="77777777" w:rsidR="000E19F6" w:rsidRDefault="000E19F6" w:rsidP="00E1765C">
      <w:pPr>
        <w:pStyle w:val="BodyText"/>
        <w:rPr>
          <w:rFonts w:ascii="Georgia" w:eastAsiaTheme="majorEastAsia" w:hAnsi="Georgia" w:cstheme="majorBidi"/>
          <w:b/>
          <w:bCs/>
          <w:color w:val="1B556B"/>
          <w:sz w:val="48"/>
          <w:szCs w:val="28"/>
        </w:rPr>
      </w:pPr>
      <w:bookmarkStart w:id="33" w:name="_Toc114734494"/>
      <w:r>
        <w:br w:type="page"/>
      </w:r>
    </w:p>
    <w:p w14:paraId="4C6747CC" w14:textId="22C3F92F" w:rsidR="00655472" w:rsidRDefault="00DE2575" w:rsidP="000E19F6">
      <w:pPr>
        <w:pStyle w:val="Heading1"/>
        <w:spacing w:before="360"/>
        <w:ind w:left="851" w:hanging="851"/>
      </w:pPr>
      <w:r>
        <w:lastRenderedPageBreak/>
        <w:t>3</w:t>
      </w:r>
      <w:r w:rsidR="00AA3AFC">
        <w:t xml:space="preserve">. </w:t>
      </w:r>
      <w:r w:rsidR="000E19F6">
        <w:tab/>
      </w:r>
      <w:r w:rsidR="00804A96">
        <w:t>What does our review involve?</w:t>
      </w:r>
      <w:bookmarkEnd w:id="33"/>
      <w:r w:rsidR="00804A96">
        <w:t xml:space="preserve"> </w:t>
      </w:r>
    </w:p>
    <w:p w14:paraId="4E88AFDC" w14:textId="5AF2F2E2" w:rsidR="001D6914" w:rsidRPr="00EE1BA5" w:rsidRDefault="001D6914" w:rsidP="00E63FBF">
      <w:pPr>
        <w:pStyle w:val="Heading2"/>
      </w:pPr>
      <w:r w:rsidRPr="00EE1BA5">
        <w:t>Our approach to the review</w:t>
      </w:r>
    </w:p>
    <w:p w14:paraId="08F80F55" w14:textId="129FFA90" w:rsidR="003510E1" w:rsidRDefault="00BC6478" w:rsidP="00BC6478">
      <w:pPr>
        <w:pStyle w:val="BodyText"/>
      </w:pPr>
      <w:r w:rsidRPr="00BC6478">
        <w:t>It</w:t>
      </w:r>
      <w:r w:rsidR="00123C94" w:rsidRPr="00BC6478">
        <w:t xml:space="preserve"> is important that a </w:t>
      </w:r>
      <w:r w:rsidR="00123C94" w:rsidRPr="00804A96">
        <w:t>robust</w:t>
      </w:r>
      <w:r w:rsidR="00123C94" w:rsidRPr="00BC6478">
        <w:t xml:space="preserve"> process is followed when setting</w:t>
      </w:r>
      <w:r w:rsidR="008A002F">
        <w:t>, reviewing</w:t>
      </w:r>
      <w:r w:rsidR="00123C94" w:rsidRPr="00BC6478">
        <w:t xml:space="preserve"> and collecting thir</w:t>
      </w:r>
      <w:r w:rsidRPr="00BC6478">
        <w:t>d-party fees.</w:t>
      </w:r>
      <w:r>
        <w:t xml:space="preserve"> Fee payers need to </w:t>
      </w:r>
      <w:r w:rsidR="007702D9">
        <w:t>have confidence</w:t>
      </w:r>
      <w:r w:rsidR="00097D22">
        <w:t xml:space="preserve"> that</w:t>
      </w:r>
      <w:r w:rsidR="007702D9">
        <w:t>:</w:t>
      </w:r>
    </w:p>
    <w:p w14:paraId="48F212C9" w14:textId="4B4B4771" w:rsidR="007702D9" w:rsidRDefault="007702D9" w:rsidP="007A6990">
      <w:pPr>
        <w:pStyle w:val="Bullet"/>
      </w:pPr>
      <w:r>
        <w:t>they are only being charged fee</w:t>
      </w:r>
      <w:r w:rsidR="001775AA">
        <w:t>s</w:t>
      </w:r>
      <w:r>
        <w:t xml:space="preserve"> that </w:t>
      </w:r>
      <w:r w:rsidRPr="00804A96">
        <w:t>reflect</w:t>
      </w:r>
      <w:r>
        <w:t xml:space="preserve"> the cost of delivering a function or service</w:t>
      </w:r>
    </w:p>
    <w:p w14:paraId="17CC8C2D" w14:textId="64BBF665" w:rsidR="007702D9" w:rsidRDefault="001775AA" w:rsidP="007A6990">
      <w:pPr>
        <w:pStyle w:val="Bullet"/>
      </w:pPr>
      <w:r>
        <w:t xml:space="preserve">fees </w:t>
      </w:r>
      <w:r w:rsidR="00E95802">
        <w:t>are set using</w:t>
      </w:r>
      <w:r>
        <w:t xml:space="preserve"> best practice.</w:t>
      </w:r>
    </w:p>
    <w:p w14:paraId="6FDC8724" w14:textId="2B4D0DD5" w:rsidR="001775AA" w:rsidRDefault="00EE3434" w:rsidP="001775AA">
      <w:pPr>
        <w:pStyle w:val="BodyText"/>
      </w:pPr>
      <w:r w:rsidRPr="00864D28">
        <w:t>Our</w:t>
      </w:r>
      <w:r>
        <w:t xml:space="preserve"> review has</w:t>
      </w:r>
      <w:r w:rsidRPr="00864D28">
        <w:t xml:space="preserve"> </w:t>
      </w:r>
      <w:r w:rsidR="00566C05">
        <w:t>followed</w:t>
      </w:r>
      <w:r w:rsidR="00A3139C">
        <w:t xml:space="preserve"> the</w:t>
      </w:r>
      <w:r w:rsidR="00864D28">
        <w:t xml:space="preserve"> Treasury</w:t>
      </w:r>
      <w:r w:rsidR="00A3139C">
        <w:t xml:space="preserve"> guidance </w:t>
      </w:r>
      <w:r w:rsidR="00864D28">
        <w:t xml:space="preserve">and </w:t>
      </w:r>
      <w:r w:rsidR="00A3139C">
        <w:t xml:space="preserve">guidance from </w:t>
      </w:r>
      <w:r w:rsidR="00864D28">
        <w:t>the Office of the Auditor-General</w:t>
      </w:r>
      <w:r w:rsidR="00DC12DF">
        <w:t>.</w:t>
      </w:r>
      <w:r w:rsidR="00F1518E" w:rsidRPr="00F1518E">
        <w:rPr>
          <w:rStyle w:val="FootnoteReference"/>
        </w:rPr>
        <w:t xml:space="preserve"> </w:t>
      </w:r>
      <w:bookmarkStart w:id="34" w:name="_Ref114672822"/>
      <w:r w:rsidR="00F1518E">
        <w:rPr>
          <w:rStyle w:val="FootnoteReference"/>
        </w:rPr>
        <w:footnoteReference w:id="10"/>
      </w:r>
      <w:bookmarkEnd w:id="34"/>
    </w:p>
    <w:p w14:paraId="2C85F03C" w14:textId="1147646E" w:rsidR="00167FAD" w:rsidRDefault="00033CFE" w:rsidP="00CA3615">
      <w:pPr>
        <w:pStyle w:val="Bullet"/>
        <w:numPr>
          <w:ilvl w:val="0"/>
          <w:numId w:val="0"/>
        </w:numPr>
      </w:pPr>
      <w:r>
        <w:t>We have reviewed both the type of cost</w:t>
      </w:r>
      <w:r w:rsidR="00097D22">
        <w:t>-</w:t>
      </w:r>
      <w:r>
        <w:t xml:space="preserve">recovery charges, and the level of the charges. To provide an independent </w:t>
      </w:r>
      <w:r w:rsidR="00354A1C">
        <w:t>view</w:t>
      </w:r>
      <w:r>
        <w:t xml:space="preserve">, we also asked </w:t>
      </w:r>
      <w:proofErr w:type="spellStart"/>
      <w:r>
        <w:t>MartinJenkins</w:t>
      </w:r>
      <w:proofErr w:type="spellEnd"/>
      <w:r>
        <w:t xml:space="preserve"> </w:t>
      </w:r>
      <w:r w:rsidR="00B166CB">
        <w:t>in 20</w:t>
      </w:r>
      <w:r w:rsidR="00FE0603">
        <w:t>20</w:t>
      </w:r>
      <w:r w:rsidR="00B166CB">
        <w:t xml:space="preserve"> </w:t>
      </w:r>
      <w:r>
        <w:t>to review the current type and level of charges.</w:t>
      </w:r>
    </w:p>
    <w:p w14:paraId="53BA0459" w14:textId="01191A2D" w:rsidR="00671275" w:rsidRPr="009D0DD3" w:rsidRDefault="00EE1BA5" w:rsidP="0028405E">
      <w:pPr>
        <w:pStyle w:val="Bullet"/>
        <w:numPr>
          <w:ilvl w:val="0"/>
          <w:numId w:val="0"/>
        </w:numPr>
      </w:pPr>
      <w:r>
        <w:t xml:space="preserve">Our review </w:t>
      </w:r>
      <w:r w:rsidRPr="009D0DD3">
        <w:t xml:space="preserve">does not include reviewing Cabinet’s 2012 decision about who should pay for the EPA’s functions and services. </w:t>
      </w:r>
      <w:r w:rsidR="0028405E" w:rsidRPr="009D0DD3">
        <w:t>We are not proposing any change to the policy that</w:t>
      </w:r>
      <w:r w:rsidR="00097D22">
        <w:t xml:space="preserve"> the</w:t>
      </w:r>
      <w:r w:rsidR="0028405E" w:rsidRPr="009D0DD3">
        <w:t xml:space="preserve"> </w:t>
      </w:r>
      <w:r w:rsidR="00671275" w:rsidRPr="009D0DD3">
        <w:t xml:space="preserve">EPA </w:t>
      </w:r>
      <w:r w:rsidR="00E53268" w:rsidRPr="009D0DD3">
        <w:t>should</w:t>
      </w:r>
      <w:r w:rsidR="00671275" w:rsidRPr="009D0DD3">
        <w:t xml:space="preserve"> recover 100 per cent of the costs of </w:t>
      </w:r>
      <w:r w:rsidR="00574391" w:rsidRPr="009D0DD3">
        <w:t>its consenting functions</w:t>
      </w:r>
      <w:r w:rsidR="00671275" w:rsidRPr="009D0DD3">
        <w:t xml:space="preserve"> and </w:t>
      </w:r>
      <w:r w:rsidR="00574391" w:rsidRPr="009D0DD3">
        <w:t>80</w:t>
      </w:r>
      <w:r w:rsidR="00EE3434">
        <w:t xml:space="preserve"> per cent</w:t>
      </w:r>
      <w:r w:rsidR="00574391" w:rsidRPr="009D0DD3">
        <w:t xml:space="preserve"> of the costs of its monitoring functions. </w:t>
      </w:r>
    </w:p>
    <w:p w14:paraId="633D350F" w14:textId="71148361" w:rsidR="00B61E52" w:rsidRDefault="00071A6D" w:rsidP="00E63FBF">
      <w:pPr>
        <w:pStyle w:val="Heading2"/>
      </w:pPr>
      <w:r w:rsidRPr="00071A6D">
        <w:t>Cost</w:t>
      </w:r>
      <w:r w:rsidR="00097D22">
        <w:t>-</w:t>
      </w:r>
      <w:r w:rsidR="003F1B3E">
        <w:t>r</w:t>
      </w:r>
      <w:r w:rsidRPr="00071A6D">
        <w:t xml:space="preserve">ecovery </w:t>
      </w:r>
      <w:r w:rsidR="003F1B3E">
        <w:t>p</w:t>
      </w:r>
      <w:r w:rsidRPr="00071A6D">
        <w:t xml:space="preserve">rinciples and </w:t>
      </w:r>
      <w:r w:rsidR="003F1B3E">
        <w:t>o</w:t>
      </w:r>
      <w:r w:rsidRPr="00071A6D">
        <w:t xml:space="preserve">bjectives </w:t>
      </w:r>
    </w:p>
    <w:p w14:paraId="770C1308" w14:textId="238E403F" w:rsidR="00CA3615" w:rsidRDefault="009144C0" w:rsidP="00071A6D">
      <w:pPr>
        <w:pStyle w:val="BodyText"/>
      </w:pPr>
      <w:r w:rsidRPr="009144C0">
        <w:rPr>
          <w:lang w:val="en-GB"/>
        </w:rPr>
        <w:t xml:space="preserve">The primary objective in setting the charge-out rates under the EEZ Fees Regulations is to enable the EPA to continue to provide functions and services at a level of quality which supports </w:t>
      </w:r>
      <w:r w:rsidR="00C87C36">
        <w:rPr>
          <w:lang w:val="en-GB"/>
        </w:rPr>
        <w:t>its</w:t>
      </w:r>
      <w:r w:rsidRPr="009144C0">
        <w:rPr>
          <w:lang w:val="en-GB"/>
        </w:rPr>
        <w:t xml:space="preserve"> regulatory objectives, while recovering the costs of those functions and services in line with the EPA’s statutory obligations and Cabinet’s intentions about who should pay</w:t>
      </w:r>
      <w:r>
        <w:rPr>
          <w:lang w:val="en-GB"/>
        </w:rPr>
        <w:t xml:space="preserve">. </w:t>
      </w:r>
      <w:r w:rsidR="00B80053">
        <w:t xml:space="preserve">The EEZ Act </w:t>
      </w:r>
      <w:r w:rsidR="006117E0">
        <w:t>sets out principles</w:t>
      </w:r>
      <w:r w:rsidR="005F0782">
        <w:t xml:space="preserve"> of equity, efficiency, justification and transparency</w:t>
      </w:r>
      <w:r w:rsidR="006117E0">
        <w:t xml:space="preserve"> that the Minister</w:t>
      </w:r>
      <w:r w:rsidR="005F0782">
        <w:t xml:space="preserve"> must have regard to</w:t>
      </w:r>
      <w:r w:rsidR="007F2833">
        <w:t>,</w:t>
      </w:r>
      <w:r w:rsidR="006117E0">
        <w:t xml:space="preserve"> in setting the type and level of charges.</w:t>
      </w:r>
      <w:r w:rsidR="004A02C9">
        <w:rPr>
          <w:rStyle w:val="FootnoteReference"/>
        </w:rPr>
        <w:footnoteReference w:id="11"/>
      </w:r>
      <w:r w:rsidR="006117E0">
        <w:t xml:space="preserve"> </w:t>
      </w:r>
    </w:p>
    <w:p w14:paraId="657D27E8" w14:textId="2F5F0870" w:rsidR="00F17855" w:rsidRDefault="00CA3615" w:rsidP="00F17855">
      <w:pPr>
        <w:pStyle w:val="BodyText"/>
      </w:pPr>
      <w:r>
        <w:t>Using those principles, as well as the guidance from the New Zealand Treasury and the Office of the Auditor-General,</w:t>
      </w:r>
      <w:r w:rsidR="007F2833">
        <w:rPr>
          <w:rStyle w:val="FootnoteReference"/>
        </w:rPr>
        <w:footnoteReference w:id="12"/>
      </w:r>
      <w:r>
        <w:t xml:space="preserve"> we have identified a set of principles for us to use to assess the type and level of charges. </w:t>
      </w:r>
    </w:p>
    <w:p w14:paraId="6C3D7701" w14:textId="77777777" w:rsidR="00EE7A40" w:rsidRDefault="00EE7A40" w:rsidP="00EE7A40">
      <w:pPr>
        <w:pStyle w:val="BodyText"/>
        <w:numPr>
          <w:ilvl w:val="0"/>
          <w:numId w:val="26"/>
        </w:numPr>
      </w:pPr>
      <w:r w:rsidRPr="00F17855">
        <w:rPr>
          <w:b/>
          <w:bCs/>
        </w:rPr>
        <w:t>Equity</w:t>
      </w:r>
      <w:r>
        <w:t xml:space="preserve">: costs are recovered from those who the function or service benefits, or whose action or inaction gives rise to the exercise of an EPA function. The charge or fee is fair and just. A charge, fee or charge-out rate applies equally to every person or applicant who may be charged for work. </w:t>
      </w:r>
    </w:p>
    <w:p w14:paraId="055CBF6D" w14:textId="356EE1DC" w:rsidR="0026506A" w:rsidRDefault="0026506A" w:rsidP="007A6990">
      <w:pPr>
        <w:pStyle w:val="BodyText"/>
        <w:numPr>
          <w:ilvl w:val="0"/>
          <w:numId w:val="26"/>
        </w:numPr>
      </w:pPr>
      <w:r w:rsidRPr="00F17855">
        <w:rPr>
          <w:b/>
          <w:bCs/>
        </w:rPr>
        <w:t>Efficiency</w:t>
      </w:r>
      <w:r>
        <w:t xml:space="preserve">: </w:t>
      </w:r>
      <w:r w:rsidR="00FE735F" w:rsidRPr="00FE735F">
        <w:t xml:space="preserve">cost recovery supports the efficient use of resources and functions, </w:t>
      </w:r>
      <w:r>
        <w:t>and functions and services are delivered to derive maximum benefits at minimum cost. Recovering costs should be administratively simple and cost effective.</w:t>
      </w:r>
    </w:p>
    <w:p w14:paraId="264C6017" w14:textId="77777777" w:rsidR="00935F48" w:rsidRDefault="00935F48" w:rsidP="00935F48">
      <w:pPr>
        <w:pStyle w:val="BodyText"/>
        <w:numPr>
          <w:ilvl w:val="0"/>
          <w:numId w:val="26"/>
        </w:numPr>
      </w:pPr>
      <w:r w:rsidRPr="00F17855">
        <w:rPr>
          <w:b/>
          <w:bCs/>
        </w:rPr>
        <w:lastRenderedPageBreak/>
        <w:t>Justification</w:t>
      </w:r>
      <w:r>
        <w:t>: costs recovered reasonably relate to the functions and services being charged for.</w:t>
      </w:r>
    </w:p>
    <w:p w14:paraId="57CE317F" w14:textId="4C6F35CB" w:rsidR="00A72ABF" w:rsidRPr="00AC6F3A" w:rsidRDefault="0026506A" w:rsidP="007A6990">
      <w:pPr>
        <w:pStyle w:val="BodyText"/>
        <w:numPr>
          <w:ilvl w:val="0"/>
          <w:numId w:val="26"/>
        </w:numPr>
      </w:pPr>
      <w:r w:rsidRPr="00F17855">
        <w:rPr>
          <w:b/>
          <w:bCs/>
        </w:rPr>
        <w:t>Transparency</w:t>
      </w:r>
      <w:r w:rsidRPr="002F7B8E">
        <w:t xml:space="preserve">: </w:t>
      </w:r>
      <w:r>
        <w:t>fee payers have enough information to understand the methodology used for setting the charge-out rates, whether they have been set fairly, and that revenue generated is correctly accounted for</w:t>
      </w:r>
      <w:r w:rsidR="00F47396">
        <w:t>.</w:t>
      </w:r>
    </w:p>
    <w:p w14:paraId="49B48BCB" w14:textId="77777777" w:rsidR="002C2E89" w:rsidRDefault="002C2E89" w:rsidP="002C2E89">
      <w:pPr>
        <w:pStyle w:val="BodyText"/>
        <w:numPr>
          <w:ilvl w:val="0"/>
          <w:numId w:val="26"/>
        </w:numPr>
      </w:pPr>
      <w:r w:rsidRPr="00F17855">
        <w:rPr>
          <w:b/>
          <w:bCs/>
        </w:rPr>
        <w:t>Effectiveness</w:t>
      </w:r>
      <w:r>
        <w:t xml:space="preserve">: cost recovery supports the EPA’s regulatory objectives and enables the cost-recovered activity to be delivered to a level of quality that is appropriate for the circumstances. </w:t>
      </w:r>
    </w:p>
    <w:p w14:paraId="3FE67A28" w14:textId="0E689B38" w:rsidR="001440A9" w:rsidRDefault="001440A9" w:rsidP="007A6990">
      <w:pPr>
        <w:pStyle w:val="BodyText"/>
        <w:numPr>
          <w:ilvl w:val="0"/>
          <w:numId w:val="26"/>
        </w:numPr>
      </w:pPr>
      <w:r w:rsidRPr="00F17855">
        <w:rPr>
          <w:b/>
          <w:bCs/>
        </w:rPr>
        <w:t>Simplicity</w:t>
      </w:r>
      <w:r>
        <w:t>: the cost</w:t>
      </w:r>
      <w:r w:rsidR="006C2794">
        <w:t>-</w:t>
      </w:r>
      <w:r>
        <w:t xml:space="preserve">recovery regime is straightforward and understandable. The costs of participation </w:t>
      </w:r>
      <w:r w:rsidR="00C9275C">
        <w:t>are</w:t>
      </w:r>
      <w:r>
        <w:t xml:space="preserve"> kept low</w:t>
      </w:r>
      <w:r w:rsidR="006C2794">
        <w:t>,</w:t>
      </w:r>
      <w:r>
        <w:t xml:space="preserve"> and evasion opportunities are mitigated to an acceptable level.</w:t>
      </w:r>
    </w:p>
    <w:p w14:paraId="35922443" w14:textId="496A8579" w:rsidR="00254057" w:rsidRPr="00AC6F3A" w:rsidRDefault="00254057" w:rsidP="007A6990">
      <w:pPr>
        <w:pStyle w:val="BodyText"/>
        <w:numPr>
          <w:ilvl w:val="0"/>
          <w:numId w:val="26"/>
        </w:numPr>
      </w:pPr>
      <w:r w:rsidRPr="00F17855">
        <w:rPr>
          <w:b/>
          <w:bCs/>
        </w:rPr>
        <w:t>Accountability</w:t>
      </w:r>
      <w:r w:rsidRPr="002F7B8E">
        <w:t xml:space="preserve">: </w:t>
      </w:r>
      <w:r w:rsidRPr="00AC6F3A">
        <w:t xml:space="preserve">the EPA </w:t>
      </w:r>
      <w:r w:rsidR="00464985" w:rsidRPr="00AC6F3A">
        <w:t>can</w:t>
      </w:r>
      <w:r w:rsidRPr="00AC6F3A">
        <w:t xml:space="preserve"> recover the costs for the delivery of its functions and services that are not covered by Crown appropriations in accordance with Government policy</w:t>
      </w:r>
      <w:r w:rsidR="00AC6F3A">
        <w:t>.</w:t>
      </w:r>
    </w:p>
    <w:p w14:paraId="0A7650DC" w14:textId="77777777" w:rsidR="00AB359B" w:rsidRDefault="00AB359B" w:rsidP="001440A9">
      <w:pPr>
        <w:pStyle w:val="BodyText"/>
        <w:ind w:left="397"/>
      </w:pP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830408" w:rsidRPr="0082483D" w14:paraId="43ED1090" w14:textId="77777777" w:rsidTr="4831EFEC">
        <w:tc>
          <w:tcPr>
            <w:tcW w:w="8618"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76916C1A" w14:textId="77777777" w:rsidR="00F23955" w:rsidRPr="0082483D" w:rsidRDefault="00F23955">
            <w:pPr>
              <w:pStyle w:val="Blueboxtext"/>
              <w:spacing w:before="80" w:after="80"/>
              <w:rPr>
                <w:b/>
                <w:bCs/>
                <w:color w:val="FFFFFF" w:themeColor="background1"/>
              </w:rPr>
            </w:pPr>
            <w:r w:rsidRPr="0082483D">
              <w:rPr>
                <w:b/>
                <w:bCs/>
                <w:color w:val="FFFFFF" w:themeColor="background1"/>
              </w:rPr>
              <w:t>Question</w:t>
            </w:r>
          </w:p>
        </w:tc>
      </w:tr>
      <w:tr w:rsidR="00830408" w:rsidRPr="0082483D" w14:paraId="3148D109" w14:textId="77777777" w:rsidTr="4831EFEC">
        <w:tc>
          <w:tcPr>
            <w:tcW w:w="8618" w:type="dxa"/>
            <w:tcBorders>
              <w:top w:val="single" w:sz="4" w:space="0" w:color="1C556C" w:themeColor="accent1"/>
            </w:tcBorders>
            <w:shd w:val="clear" w:color="auto" w:fill="D2DDE2" w:themeFill="accent3"/>
          </w:tcPr>
          <w:p w14:paraId="6E398FA6" w14:textId="0D55BA68" w:rsidR="00F23955" w:rsidRPr="007A0CB4" w:rsidRDefault="001B5F3D" w:rsidP="009934C4">
            <w:pPr>
              <w:pStyle w:val="Bluetext-numbered"/>
              <w:numPr>
                <w:ilvl w:val="0"/>
                <w:numId w:val="19"/>
              </w:numPr>
              <w:spacing w:before="120" w:after="120"/>
              <w:ind w:left="641" w:hanging="357"/>
            </w:pPr>
            <w:r>
              <w:t>Do you have any comments on the</w:t>
            </w:r>
            <w:r w:rsidR="00F23955" w:rsidRPr="007A0CB4">
              <w:t xml:space="preserve"> cost</w:t>
            </w:r>
            <w:r w:rsidR="00AB359B">
              <w:t>-</w:t>
            </w:r>
            <w:r w:rsidR="00F23955" w:rsidRPr="007A0CB4">
              <w:t>recovery objective</w:t>
            </w:r>
            <w:r w:rsidR="000071BA">
              <w:t xml:space="preserve"> and principles</w:t>
            </w:r>
            <w:r w:rsidR="00F23955" w:rsidRPr="007A0CB4">
              <w:t xml:space="preserve">? </w:t>
            </w:r>
            <w:r w:rsidR="00F47B0F">
              <w:t>Let us know</w:t>
            </w:r>
            <w:r w:rsidR="00F23955" w:rsidRPr="007A0CB4">
              <w:t xml:space="preserve"> if you think </w:t>
            </w:r>
            <w:r w:rsidR="00497D4A">
              <w:t xml:space="preserve">the objective and principles </w:t>
            </w:r>
            <w:r w:rsidR="00F23955" w:rsidRPr="007A0CB4">
              <w:t xml:space="preserve">should be </w:t>
            </w:r>
            <w:r w:rsidR="00044163">
              <w:t>different</w:t>
            </w:r>
            <w:r w:rsidR="00F47B0F">
              <w:t>, and why</w:t>
            </w:r>
            <w:r w:rsidR="00F23955" w:rsidRPr="007A0CB4">
              <w:t>.</w:t>
            </w:r>
          </w:p>
        </w:tc>
      </w:tr>
    </w:tbl>
    <w:p w14:paraId="3C32467B" w14:textId="77777777" w:rsidR="0013638A" w:rsidRDefault="0013638A">
      <w:pPr>
        <w:spacing w:before="0" w:after="200" w:line="276" w:lineRule="auto"/>
        <w:jc w:val="left"/>
      </w:pPr>
      <w:r>
        <w:br w:type="page"/>
      </w:r>
    </w:p>
    <w:p w14:paraId="56D09AF4" w14:textId="3F46DB86" w:rsidR="00EA3133" w:rsidRDefault="0013638A" w:rsidP="00E63FBF">
      <w:pPr>
        <w:pStyle w:val="Heading1"/>
        <w:ind w:left="851" w:hanging="851"/>
      </w:pPr>
      <w:bookmarkStart w:id="35" w:name="_Toc114734495"/>
      <w:r w:rsidRPr="006A259C">
        <w:lastRenderedPageBreak/>
        <w:t>4</w:t>
      </w:r>
      <w:r w:rsidR="002C5A65">
        <w:t>.</w:t>
      </w:r>
      <w:r w:rsidRPr="006A259C">
        <w:t xml:space="preserve"> </w:t>
      </w:r>
      <w:r w:rsidR="00BD2A54">
        <w:tab/>
      </w:r>
      <w:r w:rsidR="009523FA">
        <w:t>S</w:t>
      </w:r>
      <w:r w:rsidR="00E60703">
        <w:t xml:space="preserve">hould </w:t>
      </w:r>
      <w:r w:rsidR="00C341E8">
        <w:t xml:space="preserve">the </w:t>
      </w:r>
      <w:r w:rsidR="00E60703">
        <w:t xml:space="preserve">EPA keep using </w:t>
      </w:r>
      <w:r w:rsidR="00C341E8">
        <w:t>hourly rates</w:t>
      </w:r>
      <w:r w:rsidR="00243B49">
        <w:t>?</w:t>
      </w:r>
      <w:bookmarkEnd w:id="35"/>
      <w:r w:rsidR="00243B49">
        <w:t xml:space="preserve"> </w:t>
      </w:r>
    </w:p>
    <w:p w14:paraId="50C1D1A3" w14:textId="2B6D5C36" w:rsidR="00C03B88" w:rsidRDefault="00704A6A" w:rsidP="00E63FBF">
      <w:pPr>
        <w:pStyle w:val="BodyText"/>
      </w:pPr>
      <w:r>
        <w:t>The</w:t>
      </w:r>
      <w:r w:rsidR="00C03B88">
        <w:t xml:space="preserve"> EEZ Act </w:t>
      </w:r>
      <w:r w:rsidR="00464985">
        <w:t xml:space="preserve">allows </w:t>
      </w:r>
      <w:r w:rsidR="00C03B88">
        <w:t>different fee methods, including fixed charges, scales, formulas or hourly rates, estimated charges and deposits.</w:t>
      </w:r>
      <w:r>
        <w:rPr>
          <w:rStyle w:val="FootnoteReference"/>
        </w:rPr>
        <w:footnoteReference w:id="13"/>
      </w:r>
      <w:r w:rsidR="00C03B88">
        <w:t xml:space="preserve"> </w:t>
      </w:r>
    </w:p>
    <w:p w14:paraId="145AB369" w14:textId="218645A3" w:rsidR="00AD1CC1" w:rsidRDefault="00AD1CC1" w:rsidP="00E63FBF">
      <w:pPr>
        <w:pStyle w:val="BodyText"/>
      </w:pPr>
      <w:r>
        <w:t xml:space="preserve">The current </w:t>
      </w:r>
      <w:r w:rsidR="00AD50E8">
        <w:t xml:space="preserve">fee method is to use </w:t>
      </w:r>
      <w:r>
        <w:t>hourly rates</w:t>
      </w:r>
      <w:r w:rsidR="00F17855">
        <w:t xml:space="preserve">. This means the </w:t>
      </w:r>
      <w:r>
        <w:t xml:space="preserve">total charge depends on the amount of EPA staff time used to deliver the </w:t>
      </w:r>
      <w:r w:rsidRPr="008E7DB6">
        <w:t>function or service</w:t>
      </w:r>
      <w:r>
        <w:t xml:space="preserve">. </w:t>
      </w:r>
    </w:p>
    <w:p w14:paraId="66D45965" w14:textId="20C3599B" w:rsidR="006C31D5" w:rsidRDefault="00511E8E" w:rsidP="00E63FBF">
      <w:pPr>
        <w:pStyle w:val="BodyText"/>
      </w:pPr>
      <w:r>
        <w:t>We</w:t>
      </w:r>
      <w:r w:rsidR="003525C6">
        <w:t xml:space="preserve"> identified two </w:t>
      </w:r>
      <w:r w:rsidR="00AD1CC1">
        <w:t xml:space="preserve">other options for the </w:t>
      </w:r>
      <w:r w:rsidR="00B00DEF">
        <w:t xml:space="preserve">fee method </w:t>
      </w:r>
      <w:r w:rsidR="00AD1CC1">
        <w:t>and</w:t>
      </w:r>
      <w:r w:rsidR="003525C6">
        <w:t xml:space="preserve"> tested the</w:t>
      </w:r>
      <w:r w:rsidR="00AD1CC1">
        <w:t>m</w:t>
      </w:r>
      <w:r w:rsidR="003525C6">
        <w:t xml:space="preserve"> against </w:t>
      </w:r>
      <w:r w:rsidR="00AD1CC1">
        <w:t xml:space="preserve">our </w:t>
      </w:r>
      <w:r w:rsidR="003525C6">
        <w:t>cost</w:t>
      </w:r>
      <w:r w:rsidR="00DF204D">
        <w:t>-</w:t>
      </w:r>
      <w:r w:rsidR="003525C6">
        <w:t>recovery principles and objectives</w:t>
      </w:r>
      <w:r w:rsidR="00BB5B7B">
        <w:t>.</w:t>
      </w:r>
      <w:r w:rsidR="003525C6">
        <w:t xml:space="preserve"> </w:t>
      </w:r>
    </w:p>
    <w:p w14:paraId="0ED944E8" w14:textId="4C40E08E" w:rsidR="00485D1D" w:rsidRDefault="00BB5B7B" w:rsidP="00E63FBF">
      <w:pPr>
        <w:pStyle w:val="Bullet"/>
      </w:pPr>
      <w:r>
        <w:t>A</w:t>
      </w:r>
      <w:r w:rsidR="006C31D5">
        <w:t xml:space="preserve"> ‘fixed’ fee</w:t>
      </w:r>
      <w:r w:rsidR="0060360B">
        <w:t xml:space="preserve"> </w:t>
      </w:r>
      <w:r>
        <w:t>–</w:t>
      </w:r>
      <w:r w:rsidR="0060360B">
        <w:t xml:space="preserve"> this means </w:t>
      </w:r>
      <w:r w:rsidR="006C31D5">
        <w:t xml:space="preserve">the fee is the same for all </w:t>
      </w:r>
      <w:r w:rsidR="00363201">
        <w:t>applicants and duty holders</w:t>
      </w:r>
      <w:r w:rsidR="002D6769">
        <w:t xml:space="preserve"> </w:t>
      </w:r>
      <w:r w:rsidR="00FA0EFC">
        <w:t>using</w:t>
      </w:r>
      <w:r w:rsidR="006C31D5">
        <w:t xml:space="preserve"> that function or service</w:t>
      </w:r>
      <w:r w:rsidR="006943B1">
        <w:t>, no matter how much EPA staff time is used</w:t>
      </w:r>
      <w:r>
        <w:t xml:space="preserve">. </w:t>
      </w:r>
    </w:p>
    <w:p w14:paraId="181250E1" w14:textId="06A30460" w:rsidR="0084600B" w:rsidRDefault="004A22BA" w:rsidP="00E63FBF">
      <w:pPr>
        <w:pStyle w:val="Bullet"/>
      </w:pPr>
      <w:r>
        <w:t>A</w:t>
      </w:r>
      <w:r w:rsidR="006C31D5">
        <w:t xml:space="preserve"> ‘hybrid’ fee – this means there is a fixed fee for all </w:t>
      </w:r>
      <w:r w:rsidR="00363201">
        <w:t>applicants and duty holders</w:t>
      </w:r>
      <w:r w:rsidR="002D6769">
        <w:t xml:space="preserve"> </w:t>
      </w:r>
      <w:r w:rsidR="00FA0EFC">
        <w:t>using</w:t>
      </w:r>
      <w:r w:rsidR="006C31D5">
        <w:t xml:space="preserve"> the function or </w:t>
      </w:r>
      <w:r w:rsidR="00BA7290">
        <w:t>service,</w:t>
      </w:r>
      <w:r w:rsidR="006C31D5">
        <w:t xml:space="preserve"> but hourly rates </w:t>
      </w:r>
      <w:r w:rsidR="00831170">
        <w:t>are</w:t>
      </w:r>
      <w:r w:rsidR="006C31D5">
        <w:t xml:space="preserve"> added to the fixed fee i</w:t>
      </w:r>
      <w:r w:rsidR="0060360B">
        <w:t xml:space="preserve">f the application or </w:t>
      </w:r>
      <w:r w:rsidR="00CC5178">
        <w:t xml:space="preserve">service </w:t>
      </w:r>
      <w:r w:rsidR="00FF3C1D">
        <w:t xml:space="preserve">takes more staff time than </w:t>
      </w:r>
      <w:r w:rsidR="00DF6DAB">
        <w:t>expected</w:t>
      </w:r>
      <w:r w:rsidR="00F17855">
        <w:t xml:space="preserve">. </w:t>
      </w:r>
    </w:p>
    <w:p w14:paraId="55801A39" w14:textId="692307DC" w:rsidR="00E74B8B" w:rsidRDefault="00D703FD" w:rsidP="00E63FBF">
      <w:pPr>
        <w:pStyle w:val="BodyText"/>
      </w:pPr>
      <w:r>
        <w:t>Hourly rates allow for equitable recovery of costs</w:t>
      </w:r>
      <w:r w:rsidR="009632FC" w:rsidRPr="009632FC">
        <w:t xml:space="preserve"> </w:t>
      </w:r>
      <w:r w:rsidR="009632FC">
        <w:t xml:space="preserve">and </w:t>
      </w:r>
      <w:r w:rsidR="0071470A">
        <w:t>are</w:t>
      </w:r>
      <w:r w:rsidR="009632FC" w:rsidRPr="006B21ED">
        <w:t xml:space="preserve"> easy </w:t>
      </w:r>
      <w:r w:rsidR="004F37F6" w:rsidRPr="006B21ED">
        <w:t xml:space="preserve">for applicants to </w:t>
      </w:r>
      <w:r w:rsidR="009632FC" w:rsidRPr="006B21ED">
        <w:t>understand</w:t>
      </w:r>
      <w:r w:rsidR="009632FC">
        <w:t>. However</w:t>
      </w:r>
      <w:r w:rsidR="0012342B">
        <w:t>,</w:t>
      </w:r>
      <w:r>
        <w:t xml:space="preserve"> they </w:t>
      </w:r>
      <w:r w:rsidR="00A60C58">
        <w:t>involve</w:t>
      </w:r>
      <w:r w:rsidR="00E74B8B">
        <w:t xml:space="preserve"> administrative costs</w:t>
      </w:r>
      <w:r w:rsidR="004A22BA">
        <w:t>,</w:t>
      </w:r>
      <w:r w:rsidR="0012342B">
        <w:t xml:space="preserve"> and </w:t>
      </w:r>
      <w:r w:rsidR="00813F12" w:rsidRPr="005340D4">
        <w:t xml:space="preserve">there can be </w:t>
      </w:r>
      <w:r w:rsidR="009F5D25">
        <w:t>un</w:t>
      </w:r>
      <w:r w:rsidR="00813F12" w:rsidRPr="005340D4">
        <w:t xml:space="preserve">certainty over what </w:t>
      </w:r>
      <w:r w:rsidR="009F5D25">
        <w:t>a</w:t>
      </w:r>
      <w:r w:rsidR="00434093">
        <w:t>n</w:t>
      </w:r>
      <w:r w:rsidR="009F5D25">
        <w:t xml:space="preserve"> </w:t>
      </w:r>
      <w:r w:rsidR="00363201">
        <w:t xml:space="preserve">applicant or duty holder </w:t>
      </w:r>
      <w:r w:rsidR="00813F12" w:rsidRPr="005340D4">
        <w:t>will pay for a service</w:t>
      </w:r>
      <w:r w:rsidR="004F37F6">
        <w:t xml:space="preserve"> in total</w:t>
      </w:r>
      <w:r w:rsidR="00813F12" w:rsidRPr="005340D4">
        <w:t>.</w:t>
      </w:r>
      <w:r w:rsidR="004F37F6">
        <w:t xml:space="preserve"> </w:t>
      </w:r>
    </w:p>
    <w:p w14:paraId="1AF7651F" w14:textId="3AE99977" w:rsidR="009F5D8E" w:rsidRDefault="00742000" w:rsidP="00E63FBF">
      <w:pPr>
        <w:pStyle w:val="BodyText"/>
      </w:pPr>
      <w:r>
        <w:t xml:space="preserve">The fixed fee option would be simple to understand and administer. However, </w:t>
      </w:r>
      <w:r w:rsidR="00523901">
        <w:t>EPA activities vary in</w:t>
      </w:r>
      <w:r w:rsidR="00682E58">
        <w:t xml:space="preserve"> complexity</w:t>
      </w:r>
      <w:r w:rsidR="00432AD7">
        <w:t>, which make</w:t>
      </w:r>
      <w:r w:rsidR="00C55687">
        <w:t>s</w:t>
      </w:r>
      <w:r w:rsidR="00432AD7">
        <w:t xml:space="preserve"> it difficult to set an equitable </w:t>
      </w:r>
      <w:r w:rsidR="00C55687">
        <w:t xml:space="preserve">fixed </w:t>
      </w:r>
      <w:r w:rsidR="00432AD7">
        <w:t>fee. A</w:t>
      </w:r>
      <w:r w:rsidR="00523901">
        <w:t xml:space="preserve"> </w:t>
      </w:r>
      <w:r w:rsidR="00682E58" w:rsidRPr="00EF1054">
        <w:t>fixed fee would probably result in over</w:t>
      </w:r>
      <w:r w:rsidR="00DF204D">
        <w:t>-</w:t>
      </w:r>
      <w:r w:rsidR="00682E58" w:rsidRPr="00EF1054">
        <w:t xml:space="preserve"> or under-recovery and </w:t>
      </w:r>
      <w:r w:rsidR="00432AD7">
        <w:t xml:space="preserve">therefore </w:t>
      </w:r>
      <w:r w:rsidR="00682E58" w:rsidRPr="00EF1054">
        <w:t>in cross-subsidisation between fee payers</w:t>
      </w:r>
      <w:r w:rsidR="00432AD7">
        <w:t xml:space="preserve"> and potentially</w:t>
      </w:r>
      <w:r w:rsidR="00D60661">
        <w:t xml:space="preserve"> by the Crown</w:t>
      </w:r>
      <w:r w:rsidR="00432AD7">
        <w:t>.</w:t>
      </w:r>
      <w:r w:rsidR="004B1911">
        <w:t xml:space="preserve"> For example</w:t>
      </w:r>
      <w:r w:rsidR="00347DE7">
        <w:t>,</w:t>
      </w:r>
      <w:r w:rsidR="00EA532B">
        <w:t xml:space="preserve"> </w:t>
      </w:r>
      <w:r w:rsidR="00992FA3">
        <w:t xml:space="preserve">where a fee does not recover the </w:t>
      </w:r>
      <w:r w:rsidR="006E08A2">
        <w:t>costs of</w:t>
      </w:r>
      <w:r w:rsidR="00A00025">
        <w:t xml:space="preserve"> a</w:t>
      </w:r>
      <w:r w:rsidR="006E08A2">
        <w:t xml:space="preserve"> particular function or service, that shortfall needs to be funded </w:t>
      </w:r>
      <w:r w:rsidR="007C79FC">
        <w:t>through</w:t>
      </w:r>
      <w:r w:rsidR="006A6A8E">
        <w:t xml:space="preserve"> </w:t>
      </w:r>
      <w:r w:rsidR="00171982">
        <w:t xml:space="preserve">another </w:t>
      </w:r>
      <w:r w:rsidR="00304214">
        <w:t>source</w:t>
      </w:r>
      <w:r w:rsidR="00E93BFA">
        <w:t xml:space="preserve"> (either by over-recovering </w:t>
      </w:r>
      <w:r w:rsidR="004937E6">
        <w:t>somewhere else o</w:t>
      </w:r>
      <w:r w:rsidR="0007190A">
        <w:t>r</w:t>
      </w:r>
      <w:r w:rsidR="004937E6">
        <w:t xml:space="preserve"> </w:t>
      </w:r>
      <w:r w:rsidR="0087302B">
        <w:t xml:space="preserve">through </w:t>
      </w:r>
      <w:r w:rsidR="0098449C">
        <w:t>Crown</w:t>
      </w:r>
      <w:r w:rsidR="003E1AAF">
        <w:t xml:space="preserve"> funding)</w:t>
      </w:r>
      <w:r w:rsidR="0087302B">
        <w:t>.</w:t>
      </w:r>
    </w:p>
    <w:p w14:paraId="03EAF89B" w14:textId="3A1BD1E2" w:rsidR="00860F6F" w:rsidRDefault="00860F6F" w:rsidP="00E63FBF">
      <w:pPr>
        <w:pStyle w:val="BodyText"/>
      </w:pPr>
      <w:r>
        <w:t xml:space="preserve">The hybrid fee </w:t>
      </w:r>
      <w:r w:rsidR="00C55687">
        <w:t xml:space="preserve">is less likely to create cross-subsidisation than a fixed fee. However, </w:t>
      </w:r>
      <w:r w:rsidR="000D2B14">
        <w:t xml:space="preserve">having two different fee types </w:t>
      </w:r>
      <w:r w:rsidR="00DB6965">
        <w:t>is</w:t>
      </w:r>
      <w:r w:rsidR="000D2B14">
        <w:t xml:space="preserve"> less simple than either hourly rates or a fixed fee. </w:t>
      </w:r>
      <w:r w:rsidR="009B73E5">
        <w:t xml:space="preserve">It would still incur the administrative costs of </w:t>
      </w:r>
      <w:r w:rsidR="00F47E7B">
        <w:t>time</w:t>
      </w:r>
      <w:r w:rsidR="009B73E5">
        <w:t xml:space="preserve"> </w:t>
      </w:r>
      <w:r w:rsidR="009F5D25">
        <w:t>recording and</w:t>
      </w:r>
      <w:r w:rsidR="009B73E5">
        <w:t xml:space="preserve"> would </w:t>
      </w:r>
      <w:r w:rsidR="007371C1">
        <w:t>only slightly</w:t>
      </w:r>
      <w:r w:rsidR="003B566A">
        <w:t xml:space="preserve"> increase</w:t>
      </w:r>
      <w:r w:rsidR="009B73E5" w:rsidRPr="005963FF">
        <w:t xml:space="preserve"> certainty for fee payers</w:t>
      </w:r>
      <w:r w:rsidR="00B54D5D">
        <w:t>,</w:t>
      </w:r>
      <w:r w:rsidR="003B566A">
        <w:t xml:space="preserve"> compared</w:t>
      </w:r>
      <w:r w:rsidR="00105EED">
        <w:t xml:space="preserve"> with</w:t>
      </w:r>
      <w:r w:rsidR="003B566A">
        <w:t xml:space="preserve"> hourly rates</w:t>
      </w:r>
      <w:r w:rsidR="009B73E5" w:rsidRPr="005963FF">
        <w:t>.</w:t>
      </w:r>
    </w:p>
    <w:p w14:paraId="6374B371" w14:textId="77777777" w:rsidR="00826B25" w:rsidRPr="005340D4" w:rsidRDefault="00826B25" w:rsidP="00E63FBF">
      <w:pPr>
        <w:pStyle w:val="Heading2"/>
      </w:pPr>
      <w:r w:rsidRPr="005340D4">
        <w:t>Our preferred option is to continue with hourly rates</w:t>
      </w:r>
    </w:p>
    <w:p w14:paraId="0F14E3AD" w14:textId="03FEEBBC" w:rsidR="00826B25" w:rsidRDefault="00826B25" w:rsidP="00E63FBF">
      <w:pPr>
        <w:pStyle w:val="BodyText"/>
      </w:pPr>
      <w:r>
        <w:t xml:space="preserve">Our preferred option is to continue with hourly rates. This is because it is the most equitable option, since it enables the fees charged to closely match the costs involved in providing the function or service. </w:t>
      </w:r>
      <w:r w:rsidR="00E0584A">
        <w:t>The approach of charging</w:t>
      </w:r>
      <w:r w:rsidR="008B088E">
        <w:t xml:space="preserve"> h</w:t>
      </w:r>
      <w:r w:rsidR="000E3C4D">
        <w:t xml:space="preserve">ourly rates </w:t>
      </w:r>
      <w:r w:rsidR="00E0584A">
        <w:t>is</w:t>
      </w:r>
      <w:r w:rsidR="000E3C4D">
        <w:t xml:space="preserve"> also</w:t>
      </w:r>
      <w:r w:rsidR="00282E61">
        <w:t xml:space="preserve"> well understood by </w:t>
      </w:r>
      <w:r w:rsidR="00692589">
        <w:t>those currently paying fees.</w:t>
      </w:r>
      <w:r w:rsidR="000E3C4D">
        <w:t xml:space="preserve"> </w:t>
      </w:r>
    </w:p>
    <w:p w14:paraId="4B2F11BE" w14:textId="56BA5092" w:rsidR="002F7B8E" w:rsidRPr="005405A1" w:rsidRDefault="002F7B8E" w:rsidP="00E63FBF">
      <w:pPr>
        <w:pStyle w:val="Heading2"/>
      </w:pPr>
      <w:r w:rsidRPr="005405A1">
        <w:lastRenderedPageBreak/>
        <w:t xml:space="preserve">The EPA </w:t>
      </w:r>
      <w:r w:rsidR="005E59CD">
        <w:t>c</w:t>
      </w:r>
      <w:r w:rsidRPr="005405A1">
        <w:t>ost</w:t>
      </w:r>
      <w:r w:rsidR="005E59CD">
        <w:t>-r</w:t>
      </w:r>
      <w:r w:rsidRPr="005405A1">
        <w:t xml:space="preserve">ecovery </w:t>
      </w:r>
      <w:r w:rsidR="005E59CD">
        <w:t>p</w:t>
      </w:r>
      <w:r w:rsidRPr="005405A1">
        <w:t xml:space="preserve">olicy helps to </w:t>
      </w:r>
      <w:r w:rsidR="0039758B">
        <w:t>lessen concerns about certainty or efficiency</w:t>
      </w:r>
    </w:p>
    <w:p w14:paraId="2F6F0D5C" w14:textId="621510DA" w:rsidR="00826B25" w:rsidRDefault="00826B25" w:rsidP="00E63FBF">
      <w:pPr>
        <w:pStyle w:val="BodyText"/>
      </w:pPr>
      <w:r>
        <w:t>One</w:t>
      </w:r>
      <w:r w:rsidRPr="005340D4">
        <w:t xml:space="preserve"> disadvantage </w:t>
      </w:r>
      <w:r>
        <w:t>of</w:t>
      </w:r>
      <w:r w:rsidRPr="005340D4">
        <w:t xml:space="preserve"> hourly </w:t>
      </w:r>
      <w:r w:rsidR="008B7520">
        <w:t>rates</w:t>
      </w:r>
      <w:r>
        <w:t xml:space="preserve"> is uncertainty for </w:t>
      </w:r>
      <w:r w:rsidR="009B62E1">
        <w:t xml:space="preserve">users </w:t>
      </w:r>
      <w:r>
        <w:t>about</w:t>
      </w:r>
      <w:r w:rsidRPr="005340D4">
        <w:t xml:space="preserve"> total costs</w:t>
      </w:r>
      <w:r>
        <w:t>. Hourly rates can also create</w:t>
      </w:r>
      <w:r w:rsidRPr="005340D4">
        <w:t xml:space="preserve"> perceptions that the EPA may not be operating as efficiently as it could. </w:t>
      </w:r>
    </w:p>
    <w:p w14:paraId="539E2095" w14:textId="5DFE18BA" w:rsidR="00826B25" w:rsidRDefault="0002591F" w:rsidP="00E63FBF">
      <w:pPr>
        <w:pStyle w:val="BodyText"/>
        <w:rPr>
          <w:rFonts w:eastAsia="Segoe UI"/>
        </w:rPr>
      </w:pPr>
      <w:r>
        <w:t>T</w:t>
      </w:r>
      <w:r w:rsidR="0003685A">
        <w:t>o mitigate such concerns, the</w:t>
      </w:r>
      <w:r w:rsidR="00826B25">
        <w:t xml:space="preserve"> EPA publishes an EEZ </w:t>
      </w:r>
      <w:r w:rsidR="005E59CD">
        <w:t>c</w:t>
      </w:r>
      <w:r w:rsidR="00826B25">
        <w:t>ost</w:t>
      </w:r>
      <w:r w:rsidR="005E59CD">
        <w:t>-r</w:t>
      </w:r>
      <w:r w:rsidR="00826B25">
        <w:t xml:space="preserve">ecovery </w:t>
      </w:r>
      <w:r w:rsidR="005E59CD">
        <w:t>p</w:t>
      </w:r>
      <w:r w:rsidR="00826B25">
        <w:t>olicy on its website</w:t>
      </w:r>
      <w:r w:rsidR="00866AFE">
        <w:t>.</w:t>
      </w:r>
      <w:r w:rsidR="00826B25">
        <w:rPr>
          <w:rStyle w:val="FootnoteReference"/>
        </w:rPr>
        <w:footnoteReference w:id="14"/>
      </w:r>
      <w:r w:rsidR="00826B25">
        <w:t xml:space="preserve"> </w:t>
      </w:r>
      <w:r w:rsidR="00290AC0">
        <w:rPr>
          <w:rFonts w:eastAsia="Segoe UI"/>
        </w:rPr>
        <w:t>This</w:t>
      </w:r>
      <w:r w:rsidR="00826B25">
        <w:rPr>
          <w:rFonts w:eastAsia="Segoe UI"/>
        </w:rPr>
        <w:t xml:space="preserve"> includes processes to provide </w:t>
      </w:r>
      <w:r w:rsidR="005144A8">
        <w:rPr>
          <w:rFonts w:eastAsia="Segoe UI"/>
        </w:rPr>
        <w:t xml:space="preserve">users </w:t>
      </w:r>
      <w:r w:rsidR="00826B25">
        <w:rPr>
          <w:rFonts w:eastAsia="Segoe UI"/>
        </w:rPr>
        <w:t xml:space="preserve">with transparency about likely total costs. </w:t>
      </w:r>
      <w:r w:rsidR="00C414E3">
        <w:rPr>
          <w:rFonts w:eastAsia="Segoe UI"/>
        </w:rPr>
        <w:t>T</w:t>
      </w:r>
      <w:r w:rsidR="00826B25">
        <w:rPr>
          <w:rFonts w:eastAsia="Segoe UI"/>
        </w:rPr>
        <w:t xml:space="preserve">he EPA </w:t>
      </w:r>
      <w:r w:rsidR="00922A63">
        <w:rPr>
          <w:rFonts w:eastAsia="Segoe UI"/>
        </w:rPr>
        <w:t>provides</w:t>
      </w:r>
      <w:r w:rsidR="00826B25">
        <w:rPr>
          <w:rFonts w:eastAsia="Segoe UI"/>
        </w:rPr>
        <w:t xml:space="preserve"> estimates to </w:t>
      </w:r>
      <w:r w:rsidR="008A5754">
        <w:rPr>
          <w:rFonts w:eastAsia="Segoe UI"/>
        </w:rPr>
        <w:t>applicants and duty holders</w:t>
      </w:r>
      <w:r w:rsidR="00F35B9B">
        <w:rPr>
          <w:rFonts w:eastAsia="Segoe UI"/>
        </w:rPr>
        <w:t>,</w:t>
      </w:r>
      <w:r w:rsidR="00C414E3">
        <w:rPr>
          <w:rFonts w:eastAsia="Segoe UI"/>
        </w:rPr>
        <w:t xml:space="preserve"> </w:t>
      </w:r>
      <w:r w:rsidR="001478F4">
        <w:rPr>
          <w:rFonts w:eastAsia="Segoe UI"/>
        </w:rPr>
        <w:t>who</w:t>
      </w:r>
      <w:r w:rsidR="001478F4" w:rsidDel="00DE4B1D">
        <w:rPr>
          <w:rFonts w:eastAsia="Segoe UI"/>
        </w:rPr>
        <w:t xml:space="preserve"> </w:t>
      </w:r>
      <w:r w:rsidR="00C414E3">
        <w:rPr>
          <w:rFonts w:eastAsia="Segoe UI"/>
        </w:rPr>
        <w:t xml:space="preserve">can </w:t>
      </w:r>
      <w:r w:rsidR="00826B25">
        <w:rPr>
          <w:rFonts w:eastAsia="Segoe UI"/>
        </w:rPr>
        <w:t xml:space="preserve">request progress reports and/or meetings with the EPA to discuss costs. </w:t>
      </w:r>
      <w:r w:rsidR="00826B25" w:rsidRPr="005340D4">
        <w:rPr>
          <w:rFonts w:eastAsia="Segoe UI"/>
        </w:rPr>
        <w:t>The</w:t>
      </w:r>
      <w:r w:rsidR="00826B25">
        <w:rPr>
          <w:rFonts w:eastAsia="Segoe UI"/>
        </w:rPr>
        <w:t xml:space="preserve"> EEZ</w:t>
      </w:r>
      <w:r w:rsidR="00826B25" w:rsidRPr="005340D4">
        <w:rPr>
          <w:rFonts w:eastAsia="Segoe UI"/>
        </w:rPr>
        <w:t xml:space="preserve"> </w:t>
      </w:r>
      <w:r w:rsidR="00F35B9B">
        <w:rPr>
          <w:rFonts w:eastAsia="Segoe UI"/>
        </w:rPr>
        <w:t>c</w:t>
      </w:r>
      <w:r w:rsidR="00826B25" w:rsidRPr="005340D4">
        <w:rPr>
          <w:rFonts w:eastAsia="Segoe UI"/>
        </w:rPr>
        <w:t>ost</w:t>
      </w:r>
      <w:r w:rsidR="00F35B9B">
        <w:rPr>
          <w:rFonts w:eastAsia="Segoe UI"/>
        </w:rPr>
        <w:t>-r</w:t>
      </w:r>
      <w:r w:rsidR="00826B25" w:rsidRPr="005340D4">
        <w:rPr>
          <w:rFonts w:eastAsia="Segoe UI"/>
        </w:rPr>
        <w:t xml:space="preserve">ecovery </w:t>
      </w:r>
      <w:r w:rsidR="00F35B9B">
        <w:rPr>
          <w:rFonts w:eastAsia="Segoe UI"/>
        </w:rPr>
        <w:t>p</w:t>
      </w:r>
      <w:r w:rsidR="00826B25" w:rsidRPr="005340D4">
        <w:rPr>
          <w:rFonts w:eastAsia="Segoe UI"/>
        </w:rPr>
        <w:t>olicy also notes how time</w:t>
      </w:r>
      <w:r w:rsidR="00922A63">
        <w:rPr>
          <w:rFonts w:eastAsia="Segoe UI"/>
        </w:rPr>
        <w:t>-</w:t>
      </w:r>
      <w:r w:rsidR="00826B25" w:rsidRPr="005340D4">
        <w:rPr>
          <w:rFonts w:eastAsia="Segoe UI"/>
        </w:rPr>
        <w:t xml:space="preserve">recording is undertaken, </w:t>
      </w:r>
      <w:r w:rsidR="00826B25">
        <w:rPr>
          <w:rFonts w:eastAsia="Segoe UI"/>
        </w:rPr>
        <w:t xml:space="preserve">and that </w:t>
      </w:r>
      <w:r w:rsidR="00826B25" w:rsidRPr="005340D4">
        <w:rPr>
          <w:rFonts w:eastAsia="Segoe UI"/>
        </w:rPr>
        <w:t>invoices are sent monthly</w:t>
      </w:r>
      <w:r w:rsidR="001E403C">
        <w:rPr>
          <w:rFonts w:eastAsia="Segoe UI"/>
        </w:rPr>
        <w:t xml:space="preserve"> </w:t>
      </w:r>
      <w:r w:rsidR="00CC4F2D">
        <w:rPr>
          <w:rFonts w:eastAsia="Segoe UI"/>
        </w:rPr>
        <w:t>and</w:t>
      </w:r>
      <w:r w:rsidR="00CC4F2D" w:rsidRPr="005340D4">
        <w:rPr>
          <w:rFonts w:eastAsia="Segoe UI"/>
        </w:rPr>
        <w:t xml:space="preserve"> </w:t>
      </w:r>
      <w:r w:rsidR="00826B25" w:rsidRPr="005340D4">
        <w:rPr>
          <w:rFonts w:eastAsia="Segoe UI"/>
        </w:rPr>
        <w:t xml:space="preserve">broken down by project phase </w:t>
      </w:r>
      <w:r w:rsidR="00826B25">
        <w:rPr>
          <w:rFonts w:eastAsia="Segoe UI"/>
        </w:rPr>
        <w:t xml:space="preserve">with detailed descriptions of line items. </w:t>
      </w:r>
      <w:r w:rsidR="00C414E3">
        <w:rPr>
          <w:rFonts w:eastAsia="Segoe UI"/>
        </w:rPr>
        <w:t xml:space="preserve">There is a </w:t>
      </w:r>
      <w:r w:rsidR="00826B25">
        <w:rPr>
          <w:rFonts w:eastAsia="Segoe UI"/>
        </w:rPr>
        <w:t xml:space="preserve">process for dispute resolution and for </w:t>
      </w:r>
      <w:r w:rsidR="001478F4">
        <w:rPr>
          <w:rFonts w:eastAsia="Segoe UI"/>
        </w:rPr>
        <w:t xml:space="preserve">applicants and </w:t>
      </w:r>
      <w:r w:rsidR="003156C5">
        <w:rPr>
          <w:rFonts w:eastAsia="Segoe UI"/>
        </w:rPr>
        <w:t>duty holders</w:t>
      </w:r>
      <w:r w:rsidR="00790AB1">
        <w:rPr>
          <w:rFonts w:eastAsia="Segoe UI"/>
        </w:rPr>
        <w:t xml:space="preserve"> </w:t>
      </w:r>
      <w:r w:rsidR="00826B25">
        <w:rPr>
          <w:rFonts w:eastAsia="Segoe UI"/>
        </w:rPr>
        <w:t xml:space="preserve">to make formal objections about costs. </w:t>
      </w:r>
    </w:p>
    <w:p w14:paraId="54F2E851" w14:textId="1DBC7B10" w:rsidR="00826B25" w:rsidRPr="00826B25" w:rsidRDefault="00826B25" w:rsidP="00E63FBF">
      <w:pPr>
        <w:pStyle w:val="BodyText"/>
        <w:rPr>
          <w:rFonts w:eastAsia="Segoe UI"/>
        </w:rPr>
      </w:pPr>
      <w:r>
        <w:rPr>
          <w:rFonts w:eastAsia="Segoe UI"/>
        </w:rPr>
        <w:t xml:space="preserve">The EEZ </w:t>
      </w:r>
      <w:r w:rsidR="001E403C">
        <w:rPr>
          <w:rFonts w:eastAsia="Segoe UI"/>
        </w:rPr>
        <w:t>c</w:t>
      </w:r>
      <w:r>
        <w:rPr>
          <w:rFonts w:eastAsia="Segoe UI"/>
        </w:rPr>
        <w:t>ost</w:t>
      </w:r>
      <w:r w:rsidR="001E403C">
        <w:rPr>
          <w:rFonts w:eastAsia="Segoe UI"/>
        </w:rPr>
        <w:t>-r</w:t>
      </w:r>
      <w:r>
        <w:rPr>
          <w:rFonts w:eastAsia="Segoe UI"/>
        </w:rPr>
        <w:t xml:space="preserve">ecovery </w:t>
      </w:r>
      <w:r w:rsidR="00217B33">
        <w:rPr>
          <w:rFonts w:eastAsia="Segoe UI"/>
        </w:rPr>
        <w:t>p</w:t>
      </w:r>
      <w:r>
        <w:rPr>
          <w:rFonts w:eastAsia="Segoe UI"/>
        </w:rPr>
        <w:t xml:space="preserve">olicy </w:t>
      </w:r>
      <w:r w:rsidR="00C414E3">
        <w:rPr>
          <w:rFonts w:eastAsia="Segoe UI"/>
        </w:rPr>
        <w:t xml:space="preserve">also </w:t>
      </w:r>
      <w:r>
        <w:rPr>
          <w:rFonts w:eastAsia="Segoe UI"/>
        </w:rPr>
        <w:t>says that</w:t>
      </w:r>
      <w:r w:rsidR="00217B33">
        <w:rPr>
          <w:rFonts w:eastAsia="Segoe UI"/>
        </w:rPr>
        <w:t>, as far as is practicable,</w:t>
      </w:r>
      <w:r>
        <w:rPr>
          <w:rFonts w:eastAsia="Segoe UI"/>
        </w:rPr>
        <w:t xml:space="preserve"> the EPA will</w:t>
      </w:r>
      <w:r w:rsidR="00217B33">
        <w:rPr>
          <w:rFonts w:eastAsia="Segoe UI"/>
        </w:rPr>
        <w:t xml:space="preserve"> </w:t>
      </w:r>
      <w:r>
        <w:rPr>
          <w:rFonts w:eastAsia="Segoe UI"/>
        </w:rPr>
        <w:t xml:space="preserve">use staff who are appropriate to the task being undertaken. It also outlines matters the EPA will </w:t>
      </w:r>
      <w:r w:rsidR="00BD6E75">
        <w:rPr>
          <w:rFonts w:eastAsia="Segoe UI"/>
        </w:rPr>
        <w:t xml:space="preserve">give </w:t>
      </w:r>
      <w:r>
        <w:rPr>
          <w:rFonts w:eastAsia="Segoe UI"/>
        </w:rPr>
        <w:t>regard to when charging for staff time, including whether the hours involved were reasonable for the task required.</w:t>
      </w:r>
    </w:p>
    <w:p w14:paraId="6F2CDE8E" w14:textId="77777777" w:rsidR="00F95015" w:rsidRDefault="00F95015" w:rsidP="003B52AD"/>
    <w:tbl>
      <w:tblPr>
        <w:tblStyle w:val="TableGrid"/>
        <w:tblW w:w="8617"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7"/>
      </w:tblGrid>
      <w:tr w:rsidR="00F95015" w:rsidRPr="0082483D" w14:paraId="56BAEE6C" w14:textId="77777777" w:rsidTr="004F14A9">
        <w:tc>
          <w:tcPr>
            <w:tcW w:w="861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075804C0" w14:textId="77777777" w:rsidR="00F95015" w:rsidRPr="0082483D" w:rsidRDefault="00F95015">
            <w:pPr>
              <w:pStyle w:val="Blueboxtext"/>
              <w:spacing w:before="80" w:after="80"/>
              <w:rPr>
                <w:b/>
                <w:bCs/>
                <w:color w:val="FFFFFF" w:themeColor="background1"/>
              </w:rPr>
            </w:pPr>
            <w:r w:rsidRPr="0082483D">
              <w:rPr>
                <w:b/>
                <w:bCs/>
                <w:color w:val="FFFFFF" w:themeColor="background1"/>
              </w:rPr>
              <w:t>Question</w:t>
            </w:r>
          </w:p>
        </w:tc>
      </w:tr>
      <w:tr w:rsidR="00F95015" w:rsidRPr="0082483D" w14:paraId="74693FA9" w14:textId="77777777" w:rsidTr="004F14A9">
        <w:tc>
          <w:tcPr>
            <w:tcW w:w="8617" w:type="dxa"/>
            <w:tcBorders>
              <w:top w:val="single" w:sz="4" w:space="0" w:color="1C556C" w:themeColor="accent1"/>
            </w:tcBorders>
            <w:shd w:val="clear" w:color="auto" w:fill="D2DDE2" w:themeFill="accent3"/>
          </w:tcPr>
          <w:p w14:paraId="07A3F0D7" w14:textId="49150F5E" w:rsidR="006B5A03" w:rsidRPr="00590826" w:rsidRDefault="006B5A03" w:rsidP="008B1F1F">
            <w:pPr>
              <w:pStyle w:val="Bluetext-numbered"/>
              <w:numPr>
                <w:ilvl w:val="0"/>
                <w:numId w:val="19"/>
              </w:numPr>
              <w:spacing w:before="120" w:after="120"/>
              <w:ind w:left="641" w:hanging="357"/>
            </w:pPr>
            <w:r w:rsidRPr="00590826">
              <w:t>What are your views on the current hourly fee method of charging</w:t>
            </w:r>
            <w:r w:rsidR="00E1220E">
              <w:t>,</w:t>
            </w:r>
            <w:r w:rsidRPr="00590826">
              <w:t xml:space="preserve"> as compared </w:t>
            </w:r>
            <w:r w:rsidR="00F43833">
              <w:t>with</w:t>
            </w:r>
            <w:r w:rsidRPr="00590826">
              <w:t xml:space="preserve"> </w:t>
            </w:r>
            <w:r w:rsidR="00F43833">
              <w:t>either a fixed fee or a hybrid fee?</w:t>
            </w:r>
            <w:r w:rsidRPr="00590826">
              <w:t xml:space="preserve"> </w:t>
            </w:r>
          </w:p>
          <w:p w14:paraId="0367DA39" w14:textId="77777777" w:rsidR="004F37F6" w:rsidRPr="00590826" w:rsidRDefault="004F37F6" w:rsidP="008B1F1F">
            <w:pPr>
              <w:pStyle w:val="Bluetext-numbered"/>
              <w:numPr>
                <w:ilvl w:val="0"/>
                <w:numId w:val="19"/>
              </w:numPr>
              <w:spacing w:before="120" w:after="120"/>
              <w:ind w:left="641" w:hanging="357"/>
            </w:pPr>
            <w:r w:rsidRPr="005340D4">
              <w:t>Are there other aspects of hourly rates or the other options that we should be considering</w:t>
            </w:r>
            <w:r w:rsidRPr="00590826">
              <w:t xml:space="preserve">? </w:t>
            </w:r>
          </w:p>
          <w:p w14:paraId="5C5999AC" w14:textId="584466AA" w:rsidR="004F37F6" w:rsidRPr="007A0CB4" w:rsidRDefault="004F37F6" w:rsidP="008B1F1F">
            <w:pPr>
              <w:pStyle w:val="Bluetext-numbered"/>
              <w:numPr>
                <w:ilvl w:val="0"/>
                <w:numId w:val="19"/>
              </w:numPr>
              <w:spacing w:before="120" w:after="120"/>
              <w:ind w:left="641" w:hanging="357"/>
            </w:pPr>
            <w:r w:rsidRPr="005340D4">
              <w:t xml:space="preserve">Are there other elements the EPA could consider including in </w:t>
            </w:r>
            <w:r w:rsidR="008C33D0">
              <w:t xml:space="preserve">its EEZ </w:t>
            </w:r>
            <w:r w:rsidR="009E5E77">
              <w:t>c</w:t>
            </w:r>
            <w:r w:rsidR="008C33D0">
              <w:t>ost</w:t>
            </w:r>
            <w:r w:rsidR="009E5E77">
              <w:t>-r</w:t>
            </w:r>
            <w:r w:rsidR="008C33D0">
              <w:t xml:space="preserve">ecovery </w:t>
            </w:r>
            <w:r w:rsidR="009E5E77">
              <w:t>p</w:t>
            </w:r>
            <w:r w:rsidR="006B5A03">
              <w:t>olicy</w:t>
            </w:r>
            <w:r w:rsidR="009E5E77">
              <w:t>,</w:t>
            </w:r>
            <w:r w:rsidR="006B5A03">
              <w:t xml:space="preserve"> </w:t>
            </w:r>
            <w:r w:rsidR="006B5A03" w:rsidRPr="006B5A03">
              <w:t>to</w:t>
            </w:r>
            <w:r w:rsidRPr="005340D4">
              <w:t xml:space="preserve"> </w:t>
            </w:r>
            <w:r w:rsidR="009E1C60">
              <w:t>help</w:t>
            </w:r>
            <w:r w:rsidR="009E1C60" w:rsidRPr="00590826">
              <w:t xml:space="preserve"> </w:t>
            </w:r>
            <w:r w:rsidR="00F87502">
              <w:t>users</w:t>
            </w:r>
            <w:r w:rsidR="00590826" w:rsidRPr="00590826">
              <w:t>?</w:t>
            </w:r>
            <w:r w:rsidR="00590826">
              <w:t xml:space="preserve"> </w:t>
            </w:r>
          </w:p>
        </w:tc>
      </w:tr>
    </w:tbl>
    <w:p w14:paraId="69155E24" w14:textId="1F63BABD" w:rsidR="00DB29D2" w:rsidRPr="000E2D49" w:rsidRDefault="00DB29D2" w:rsidP="000E2D49">
      <w:pPr>
        <w:rPr>
          <w:rFonts w:eastAsia="Segoe UI"/>
        </w:rPr>
      </w:pPr>
    </w:p>
    <w:p w14:paraId="7AE31A2C" w14:textId="77777777" w:rsidR="00DB29D2" w:rsidRDefault="00DB29D2" w:rsidP="00762667">
      <w:pPr>
        <w:pStyle w:val="BodyText"/>
      </w:pPr>
    </w:p>
    <w:p w14:paraId="668B98F4" w14:textId="77777777" w:rsidR="00DB29D2" w:rsidRDefault="00DB29D2">
      <w:pPr>
        <w:spacing w:before="0" w:after="200" w:line="276" w:lineRule="auto"/>
        <w:jc w:val="left"/>
        <w:rPr>
          <w:rFonts w:eastAsiaTheme="majorEastAsia" w:cstheme="majorBidi"/>
          <w:b/>
          <w:bCs/>
          <w:color w:val="1C556C"/>
          <w:sz w:val="48"/>
          <w:szCs w:val="28"/>
        </w:rPr>
      </w:pPr>
      <w:r>
        <w:br w:type="page"/>
      </w:r>
    </w:p>
    <w:p w14:paraId="7C60040B" w14:textId="6D81345B" w:rsidR="009C6A36" w:rsidRPr="00F25651" w:rsidRDefault="00FD0BEE" w:rsidP="00E63FBF">
      <w:pPr>
        <w:pStyle w:val="Heading1"/>
        <w:ind w:left="851" w:hanging="851"/>
      </w:pPr>
      <w:bookmarkStart w:id="36" w:name="_Toc114734496"/>
      <w:bookmarkStart w:id="37" w:name="Proposals"/>
      <w:bookmarkEnd w:id="30"/>
      <w:r w:rsidRPr="00F25651">
        <w:lastRenderedPageBreak/>
        <w:t>5</w:t>
      </w:r>
      <w:r w:rsidR="004E58EE" w:rsidRPr="00F25651">
        <w:t>.</w:t>
      </w:r>
      <w:r w:rsidR="004B62D4" w:rsidRPr="00F25651">
        <w:t xml:space="preserve"> </w:t>
      </w:r>
      <w:r w:rsidR="00F25651">
        <w:tab/>
      </w:r>
      <w:r w:rsidR="004A5102" w:rsidRPr="00F25651">
        <w:t xml:space="preserve">How </w:t>
      </w:r>
      <w:r w:rsidR="00803386" w:rsidRPr="00F25651">
        <w:t>have we</w:t>
      </w:r>
      <w:r w:rsidR="004A5102" w:rsidRPr="00F25651">
        <w:t xml:space="preserve"> set the proposed new hourly </w:t>
      </w:r>
      <w:r w:rsidR="0039758B" w:rsidRPr="00F25651">
        <w:t xml:space="preserve">charge-out </w:t>
      </w:r>
      <w:r w:rsidR="004A5102" w:rsidRPr="00F25651">
        <w:t>rates</w:t>
      </w:r>
      <w:r w:rsidR="00803386" w:rsidRPr="00F25651">
        <w:t>?</w:t>
      </w:r>
      <w:bookmarkEnd w:id="36"/>
    </w:p>
    <w:p w14:paraId="58BCDD82" w14:textId="57C524B5" w:rsidR="00713BC8" w:rsidRPr="00F25651" w:rsidRDefault="009005B3" w:rsidP="00F25651">
      <w:pPr>
        <w:pStyle w:val="Heading2"/>
      </w:pPr>
      <w:bookmarkStart w:id="38" w:name="_Toc114734497"/>
      <w:r w:rsidRPr="00F25651">
        <w:t>New</w:t>
      </w:r>
      <w:r w:rsidR="0039758B" w:rsidRPr="00F25651">
        <w:t xml:space="preserve"> hourly</w:t>
      </w:r>
      <w:r w:rsidRPr="00F25651">
        <w:t xml:space="preserve"> cha</w:t>
      </w:r>
      <w:r w:rsidR="00713BC8" w:rsidRPr="00F25651">
        <w:t>rge-out rates</w:t>
      </w:r>
      <w:r w:rsidR="00FB0420" w:rsidRPr="00F25651">
        <w:t xml:space="preserve"> (preferred </w:t>
      </w:r>
      <w:r w:rsidR="00E466AD" w:rsidRPr="00F25651">
        <w:t>option</w:t>
      </w:r>
      <w:r w:rsidR="00FB0420" w:rsidRPr="00F25651">
        <w:t>)</w:t>
      </w:r>
      <w:bookmarkEnd w:id="38"/>
    </w:p>
    <w:p w14:paraId="7ADB7A04" w14:textId="5BC9DA7A" w:rsidR="0069345C" w:rsidRPr="00F25651" w:rsidRDefault="00D97415" w:rsidP="00E63FBF">
      <w:pPr>
        <w:pStyle w:val="BodyText"/>
      </w:pPr>
      <w:r w:rsidRPr="00F25651">
        <w:t>We</w:t>
      </w:r>
      <w:r w:rsidR="00F73855" w:rsidRPr="00F25651">
        <w:t xml:space="preserve"> </w:t>
      </w:r>
      <w:r w:rsidR="00243B49" w:rsidRPr="00F25651">
        <w:t xml:space="preserve">are </w:t>
      </w:r>
      <w:r w:rsidR="00741617" w:rsidRPr="00F25651">
        <w:t>propos</w:t>
      </w:r>
      <w:r w:rsidR="00243B49" w:rsidRPr="00F25651">
        <w:t>ing increases to</w:t>
      </w:r>
      <w:r w:rsidR="00741617" w:rsidRPr="00F25651">
        <w:t xml:space="preserve"> the </w:t>
      </w:r>
      <w:r w:rsidR="00B46F2D" w:rsidRPr="00F25651">
        <w:t xml:space="preserve">hourly </w:t>
      </w:r>
      <w:r w:rsidR="00741617" w:rsidRPr="00F25651">
        <w:t xml:space="preserve">rates and changes to the staff categories. </w:t>
      </w:r>
    </w:p>
    <w:p w14:paraId="3C633B23" w14:textId="65AC7D83" w:rsidR="00D042D5" w:rsidRPr="00F25651" w:rsidRDefault="00D654F7" w:rsidP="00E63FBF">
      <w:pPr>
        <w:pStyle w:val="BodyText"/>
      </w:pPr>
      <w:r w:rsidRPr="00F25651">
        <w:t>We are proposing</w:t>
      </w:r>
      <w:r w:rsidR="0069345C" w:rsidRPr="00F25651">
        <w:t xml:space="preserve"> the EEZ </w:t>
      </w:r>
      <w:r w:rsidR="00A61801" w:rsidRPr="00F25651">
        <w:t xml:space="preserve">Fees </w:t>
      </w:r>
      <w:r w:rsidR="0069345C" w:rsidRPr="00F25651">
        <w:t xml:space="preserve">Regulations set out </w:t>
      </w:r>
      <w:r w:rsidR="00B46F2D" w:rsidRPr="00F25651">
        <w:t>hourly rates that will apply from 1</w:t>
      </w:r>
      <w:r w:rsidR="00F04AF8" w:rsidRPr="00F25651">
        <w:t> </w:t>
      </w:r>
      <w:r w:rsidR="00B46F2D" w:rsidRPr="00F25651">
        <w:t xml:space="preserve">July 2023 to 30 </w:t>
      </w:r>
      <w:r w:rsidR="009F7705" w:rsidRPr="00F25651">
        <w:t>J</w:t>
      </w:r>
      <w:r w:rsidR="00B46F2D" w:rsidRPr="00F25651">
        <w:t xml:space="preserve">une 2024, </w:t>
      </w:r>
      <w:r w:rsidR="009F7705" w:rsidRPr="00F25651">
        <w:t>from 1 July 2024 to 30 June 2025, and from 1 July 2025</w:t>
      </w:r>
      <w:r w:rsidR="004A6D56" w:rsidRPr="00F25651">
        <w:t>.</w:t>
      </w:r>
      <w:r w:rsidR="001661C8" w:rsidRPr="00F25651">
        <w:t xml:space="preserve"> This will mean the EPA’s charge-out rates </w:t>
      </w:r>
      <w:r w:rsidRPr="00F25651">
        <w:t xml:space="preserve">increase </w:t>
      </w:r>
      <w:r w:rsidR="009A3ED9" w:rsidRPr="00F25651">
        <w:t xml:space="preserve">in line with expected </w:t>
      </w:r>
      <w:r w:rsidR="00B12A46" w:rsidRPr="00F25651">
        <w:t xml:space="preserve">increases in </w:t>
      </w:r>
      <w:r w:rsidR="009A3ED9" w:rsidRPr="00F25651">
        <w:t>staff costs</w:t>
      </w:r>
      <w:r w:rsidR="00F76C39" w:rsidRPr="00F25651">
        <w:t xml:space="preserve"> for the </w:t>
      </w:r>
      <w:r w:rsidR="006A1720" w:rsidRPr="00F25651">
        <w:t xml:space="preserve">next </w:t>
      </w:r>
      <w:r w:rsidR="00F76C39" w:rsidRPr="00F25651">
        <w:t>three years</w:t>
      </w:r>
      <w:r w:rsidR="006A1720" w:rsidRPr="00F25651">
        <w:t xml:space="preserve">. </w:t>
      </w:r>
    </w:p>
    <w:p w14:paraId="2B8EE503" w14:textId="002D317C" w:rsidR="00A27889" w:rsidRPr="00F25651" w:rsidRDefault="00D042D5" w:rsidP="00E63FBF">
      <w:pPr>
        <w:pStyle w:val="BodyText"/>
      </w:pPr>
      <w:r w:rsidRPr="00F25651">
        <w:t xml:space="preserve">The rates that apply from 1 July 2025 would continue to apply until the EEZ </w:t>
      </w:r>
      <w:r w:rsidR="00A61801" w:rsidRPr="00F25651">
        <w:t xml:space="preserve">Fees </w:t>
      </w:r>
      <w:r w:rsidRPr="00F25651">
        <w:t>Regulations are reviewed</w:t>
      </w:r>
      <w:r w:rsidR="00A62CCA" w:rsidRPr="00F25651">
        <w:t xml:space="preserve"> again</w:t>
      </w:r>
      <w:r w:rsidRPr="00F25651">
        <w:t xml:space="preserve">. </w:t>
      </w:r>
      <w:r w:rsidR="0043662D" w:rsidRPr="00F25651">
        <w:t xml:space="preserve">At this point, the expectation is for a further review </w:t>
      </w:r>
      <w:r w:rsidR="00F76C39" w:rsidRPr="00F25651">
        <w:t>of the EEZ Fees Regulations</w:t>
      </w:r>
      <w:r w:rsidR="00D30A78" w:rsidRPr="00F25651">
        <w:t xml:space="preserve"> in line with </w:t>
      </w:r>
      <w:r w:rsidR="00BB4D84" w:rsidRPr="00F25651">
        <w:t>guidance</w:t>
      </w:r>
      <w:r w:rsidR="00BB7C89" w:rsidRPr="00F25651">
        <w:t xml:space="preserve"> from the New Zealand Treasury</w:t>
      </w:r>
      <w:r w:rsidR="00BB4D84" w:rsidRPr="00F25651">
        <w:t xml:space="preserve"> </w:t>
      </w:r>
      <w:r w:rsidR="00D30A78" w:rsidRPr="00F25651">
        <w:t xml:space="preserve">and </w:t>
      </w:r>
      <w:r w:rsidR="00BB7C89" w:rsidRPr="00F25651">
        <w:t xml:space="preserve">the Office of the </w:t>
      </w:r>
      <w:r w:rsidR="00355121" w:rsidRPr="00F25651">
        <w:t>Auditor-General</w:t>
      </w:r>
      <w:r w:rsidR="000A6799" w:rsidRPr="00F25651">
        <w:t>.</w:t>
      </w:r>
      <w:r w:rsidR="00FA04D7" w:rsidRPr="008B1F1F">
        <w:rPr>
          <w:rStyle w:val="FootnoteReference"/>
          <w:color w:val="auto"/>
        </w:rPr>
        <w:footnoteReference w:id="15"/>
      </w:r>
      <w:r w:rsidR="00D30A78" w:rsidRPr="008B1F1F">
        <w:rPr>
          <w:vertAlign w:val="superscript"/>
        </w:rPr>
        <w:t xml:space="preserve"> </w:t>
      </w:r>
    </w:p>
    <w:p w14:paraId="6FBAA8A7" w14:textId="7167CE2A" w:rsidR="001478BA" w:rsidRPr="00F25651" w:rsidRDefault="00B12A46" w:rsidP="00F25651">
      <w:pPr>
        <w:pStyle w:val="BodyText"/>
      </w:pPr>
      <w:r w:rsidRPr="00F25651">
        <w:t>Consistent with the</w:t>
      </w:r>
      <w:r w:rsidR="001478BA" w:rsidRPr="00F25651">
        <w:t xml:space="preserve"> status quo, actual and reasonable expenses will continue to be recovered.</w:t>
      </w:r>
    </w:p>
    <w:p w14:paraId="08BB5480" w14:textId="724FC13A" w:rsidR="000648A3" w:rsidRPr="00F25651" w:rsidRDefault="000648A3" w:rsidP="00F25651">
      <w:pPr>
        <w:pStyle w:val="BodyText"/>
      </w:pPr>
      <w:r w:rsidRPr="00F25651">
        <w:t>The changes to staff categories are intended to match the staff categories that the EPA now uses to deliver its consenting and monitoring functions.</w:t>
      </w:r>
    </w:p>
    <w:p w14:paraId="123FFF6F" w14:textId="61894C10" w:rsidR="00C9428C" w:rsidRPr="00F25651" w:rsidRDefault="00FF316E" w:rsidP="00F25651">
      <w:pPr>
        <w:pStyle w:val="BodyText"/>
      </w:pPr>
      <w:r w:rsidRPr="00F25651">
        <w:fldChar w:fldCharType="begin"/>
      </w:r>
      <w:r w:rsidRPr="00F25651">
        <w:instrText xml:space="preserve"> REF _Ref114729502 \h </w:instrText>
      </w:r>
      <w:r w:rsidR="00F25651">
        <w:instrText xml:space="preserve"> \* MERGEFORMAT </w:instrText>
      </w:r>
      <w:r w:rsidRPr="00F25651">
        <w:fldChar w:fldCharType="separate"/>
      </w:r>
      <w:r w:rsidR="00280224" w:rsidRPr="00F25651">
        <w:t xml:space="preserve">Table </w:t>
      </w:r>
      <w:r w:rsidR="00280224" w:rsidRPr="00E63FBF">
        <w:t>5</w:t>
      </w:r>
      <w:r w:rsidRPr="00F25651">
        <w:fldChar w:fldCharType="end"/>
      </w:r>
      <w:r w:rsidRPr="00F25651">
        <w:t xml:space="preserve"> </w:t>
      </w:r>
      <w:r w:rsidR="001517A1" w:rsidRPr="00F25651">
        <w:t>shows</w:t>
      </w:r>
      <w:r w:rsidR="001D1CCE" w:rsidRPr="00F25651">
        <w:t xml:space="preserve"> t</w:t>
      </w:r>
      <w:r w:rsidR="00286676" w:rsidRPr="00F25651">
        <w:t>he proposed new hourly rates and staff categories</w:t>
      </w:r>
      <w:r w:rsidR="00542DF7" w:rsidRPr="00F25651">
        <w:t>.</w:t>
      </w:r>
      <w:r w:rsidR="00910503" w:rsidRPr="00F25651">
        <w:t xml:space="preserve"> </w:t>
      </w:r>
    </w:p>
    <w:p w14:paraId="712F63F2" w14:textId="5BCE5579" w:rsidR="002819FB" w:rsidRDefault="002819FB" w:rsidP="00762667">
      <w:pPr>
        <w:pStyle w:val="Tableheading"/>
      </w:pPr>
      <w:bookmarkStart w:id="39" w:name="_Ref114729502"/>
      <w:bookmarkStart w:id="40" w:name="_Toc115682242"/>
      <w:r>
        <w:t xml:space="preserve">Table </w:t>
      </w:r>
      <w:r w:rsidR="002D4F05">
        <w:fldChar w:fldCharType="begin"/>
      </w:r>
      <w:r w:rsidR="002D4F05">
        <w:instrText xml:space="preserve"> SEQ Table \* ARABIC </w:instrText>
      </w:r>
      <w:r w:rsidR="002D4F05">
        <w:fldChar w:fldCharType="separate"/>
      </w:r>
      <w:r w:rsidR="00651832">
        <w:rPr>
          <w:noProof/>
        </w:rPr>
        <w:t>5</w:t>
      </w:r>
      <w:r w:rsidR="002D4F05">
        <w:rPr>
          <w:noProof/>
        </w:rPr>
        <w:fldChar w:fldCharType="end"/>
      </w:r>
      <w:bookmarkEnd w:id="39"/>
      <w:r>
        <w:t xml:space="preserve">: </w:t>
      </w:r>
      <w:r>
        <w:tab/>
      </w:r>
      <w:r w:rsidRPr="00C310F8">
        <w:t>Proposed charge-out rates and staff categories</w:t>
      </w:r>
      <w:r w:rsidR="00C86C30">
        <w:t xml:space="preserve"> (ex GST)</w:t>
      </w:r>
      <w:bookmarkEnd w:id="40"/>
    </w:p>
    <w:tbl>
      <w:tblPr>
        <w:tblStyle w:val="TableGrid"/>
        <w:tblW w:w="8589" w:type="dxa"/>
        <w:tblInd w:w="113" w:type="dxa"/>
        <w:tblLook w:val="04A0" w:firstRow="1" w:lastRow="0" w:firstColumn="1" w:lastColumn="0" w:noHBand="0" w:noVBand="1"/>
      </w:tblPr>
      <w:tblGrid>
        <w:gridCol w:w="2247"/>
        <w:gridCol w:w="1053"/>
        <w:gridCol w:w="1061"/>
        <w:gridCol w:w="1053"/>
        <w:gridCol w:w="1061"/>
        <w:gridCol w:w="1053"/>
        <w:gridCol w:w="1061"/>
      </w:tblGrid>
      <w:tr w:rsidR="00D32733" w14:paraId="61262DE3" w14:textId="77777777" w:rsidTr="00DA1205">
        <w:tc>
          <w:tcPr>
            <w:tcW w:w="2439" w:type="dxa"/>
            <w:vMerge w:val="restart"/>
            <w:tcBorders>
              <w:top w:val="single" w:sz="4" w:space="0" w:color="1C556C" w:themeColor="accent1"/>
              <w:left w:val="single" w:sz="4" w:space="0" w:color="1C556C" w:themeColor="accent1"/>
              <w:bottom w:val="single" w:sz="4" w:space="0" w:color="FFFFFF" w:themeColor="background1"/>
              <w:right w:val="single" w:sz="4" w:space="0" w:color="FFFFFF" w:themeColor="background1"/>
            </w:tcBorders>
            <w:shd w:val="clear" w:color="auto" w:fill="1B556B"/>
            <w:hideMark/>
          </w:tcPr>
          <w:p w14:paraId="152B96D7" w14:textId="3B1BF5EC" w:rsidR="00D32733" w:rsidRDefault="00D32733">
            <w:pPr>
              <w:pStyle w:val="TableText"/>
              <w:jc w:val="both"/>
              <w:rPr>
                <w:b/>
                <w:bCs/>
                <w:color w:val="FFFFFF" w:themeColor="background1"/>
              </w:rPr>
            </w:pPr>
            <w:r>
              <w:rPr>
                <w:b/>
                <w:bCs/>
                <w:color w:val="FFFFFF" w:themeColor="background1"/>
              </w:rPr>
              <w:t>EPA staff role</w:t>
            </w:r>
            <w:r w:rsidR="00703CD8">
              <w:rPr>
                <w:b/>
                <w:bCs/>
                <w:color w:val="FFFFFF" w:themeColor="background1"/>
              </w:rPr>
              <w:t xml:space="preserve"> [and salary band level]</w:t>
            </w:r>
          </w:p>
        </w:tc>
        <w:tc>
          <w:tcPr>
            <w:tcW w:w="1922" w:type="dxa"/>
            <w:gridSpan w:val="2"/>
            <w:tcBorders>
              <w:top w:val="single" w:sz="4" w:space="0" w:color="1C556C" w:themeColor="accent1"/>
              <w:left w:val="single" w:sz="4" w:space="0" w:color="FFFFFF" w:themeColor="background1"/>
              <w:bottom w:val="single" w:sz="4" w:space="0" w:color="FFFFFF" w:themeColor="background1"/>
              <w:right w:val="single" w:sz="4" w:space="0" w:color="FFFFFF" w:themeColor="background1"/>
            </w:tcBorders>
            <w:shd w:val="clear" w:color="auto" w:fill="1B556B"/>
            <w:hideMark/>
          </w:tcPr>
          <w:p w14:paraId="4446793E" w14:textId="7E77A703" w:rsidR="00D32733" w:rsidRDefault="00BC0AF5">
            <w:pPr>
              <w:pStyle w:val="TableText"/>
              <w:jc w:val="center"/>
              <w:rPr>
                <w:b/>
                <w:bCs/>
                <w:color w:val="FFFFFF" w:themeColor="background1"/>
              </w:rPr>
            </w:pPr>
            <w:r>
              <w:rPr>
                <w:b/>
                <w:bCs/>
                <w:color w:val="FFFFFF" w:themeColor="background1"/>
              </w:rPr>
              <w:t>1 July 2023</w:t>
            </w:r>
            <w:r w:rsidR="00DA05DA">
              <w:rPr>
                <w:b/>
                <w:bCs/>
                <w:color w:val="FFFFFF" w:themeColor="background1"/>
              </w:rPr>
              <w:t>–</w:t>
            </w:r>
            <w:r>
              <w:rPr>
                <w:b/>
                <w:bCs/>
                <w:color w:val="FFFFFF" w:themeColor="background1"/>
              </w:rPr>
              <w:t>30 June 2024</w:t>
            </w:r>
          </w:p>
        </w:tc>
        <w:tc>
          <w:tcPr>
            <w:tcW w:w="2114" w:type="dxa"/>
            <w:gridSpan w:val="2"/>
            <w:tcBorders>
              <w:top w:val="single" w:sz="4" w:space="0" w:color="1C556C" w:themeColor="accent1"/>
              <w:left w:val="single" w:sz="4" w:space="0" w:color="FFFFFF" w:themeColor="background1"/>
              <w:bottom w:val="single" w:sz="4" w:space="0" w:color="FFFFFF" w:themeColor="background1"/>
              <w:right w:val="single" w:sz="4" w:space="0" w:color="FFFFFF" w:themeColor="background1"/>
            </w:tcBorders>
            <w:shd w:val="clear" w:color="auto" w:fill="1B556B"/>
            <w:hideMark/>
          </w:tcPr>
          <w:p w14:paraId="5EA60FC5" w14:textId="60AA6EFE" w:rsidR="00D32733" w:rsidRDefault="00BC0AF5">
            <w:pPr>
              <w:pStyle w:val="TableText"/>
              <w:jc w:val="center"/>
              <w:rPr>
                <w:b/>
                <w:bCs/>
                <w:color w:val="FFFFFF" w:themeColor="background1"/>
              </w:rPr>
            </w:pPr>
            <w:r>
              <w:rPr>
                <w:b/>
                <w:bCs/>
                <w:color w:val="FFFFFF" w:themeColor="background1"/>
              </w:rPr>
              <w:t>1 July 2024</w:t>
            </w:r>
            <w:r w:rsidR="00DA05DA">
              <w:rPr>
                <w:b/>
                <w:bCs/>
                <w:color w:val="FFFFFF" w:themeColor="background1"/>
              </w:rPr>
              <w:t>–</w:t>
            </w:r>
            <w:r>
              <w:rPr>
                <w:b/>
                <w:bCs/>
                <w:color w:val="FFFFFF" w:themeColor="background1"/>
              </w:rPr>
              <w:t>30 June 2025</w:t>
            </w:r>
          </w:p>
        </w:tc>
        <w:tc>
          <w:tcPr>
            <w:tcW w:w="2114" w:type="dxa"/>
            <w:gridSpan w:val="2"/>
            <w:tcBorders>
              <w:top w:val="single" w:sz="4" w:space="0" w:color="1C556C" w:themeColor="accent1"/>
              <w:left w:val="single" w:sz="4" w:space="0" w:color="FFFFFF" w:themeColor="background1"/>
              <w:bottom w:val="single" w:sz="4" w:space="0" w:color="FFFFFF" w:themeColor="background1"/>
              <w:right w:val="single" w:sz="4" w:space="0" w:color="1C556C" w:themeColor="accent1"/>
            </w:tcBorders>
            <w:shd w:val="clear" w:color="auto" w:fill="1B556B"/>
            <w:hideMark/>
          </w:tcPr>
          <w:p w14:paraId="23B7E703" w14:textId="069FC532" w:rsidR="00D32733" w:rsidRDefault="00D32733">
            <w:pPr>
              <w:pStyle w:val="TableText"/>
              <w:jc w:val="center"/>
              <w:rPr>
                <w:b/>
                <w:bCs/>
                <w:color w:val="FFFFFF" w:themeColor="background1"/>
              </w:rPr>
            </w:pPr>
            <w:r>
              <w:rPr>
                <w:b/>
                <w:bCs/>
                <w:color w:val="FFFFFF" w:themeColor="background1"/>
              </w:rPr>
              <w:t xml:space="preserve">From </w:t>
            </w:r>
            <w:r w:rsidR="00BC0AF5">
              <w:rPr>
                <w:b/>
                <w:bCs/>
                <w:color w:val="FFFFFF" w:themeColor="background1"/>
              </w:rPr>
              <w:t xml:space="preserve">1 July </w:t>
            </w:r>
            <w:r>
              <w:rPr>
                <w:b/>
                <w:bCs/>
                <w:color w:val="FFFFFF" w:themeColor="background1"/>
              </w:rPr>
              <w:t>2025</w:t>
            </w:r>
          </w:p>
        </w:tc>
      </w:tr>
      <w:tr w:rsidR="00836C77" w14:paraId="56A706CD" w14:textId="77777777" w:rsidTr="00E1765C">
        <w:tc>
          <w:tcPr>
            <w:tcW w:w="2439" w:type="dxa"/>
            <w:vMerge/>
            <w:tcBorders>
              <w:top w:val="single" w:sz="4" w:space="0" w:color="FFFFFF" w:themeColor="background1"/>
              <w:left w:val="single" w:sz="4" w:space="0" w:color="1C556C" w:themeColor="accent1"/>
              <w:bottom w:val="nil"/>
              <w:right w:val="single" w:sz="4" w:space="0" w:color="FFFFFF" w:themeColor="background1"/>
            </w:tcBorders>
            <w:shd w:val="clear" w:color="auto" w:fill="1B556B"/>
            <w:vAlign w:val="center"/>
            <w:hideMark/>
          </w:tcPr>
          <w:p w14:paraId="10BB4877" w14:textId="77777777" w:rsidR="00D32733" w:rsidRDefault="00D32733">
            <w:pPr>
              <w:spacing w:before="0" w:after="0" w:line="240" w:lineRule="auto"/>
              <w:rPr>
                <w:b/>
                <w:bCs/>
                <w:color w:val="FFFFFF" w:themeColor="background1"/>
                <w:sz w:val="18"/>
              </w:rPr>
            </w:pPr>
          </w:p>
        </w:tc>
        <w:tc>
          <w:tcPr>
            <w:tcW w:w="861"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hideMark/>
          </w:tcPr>
          <w:p w14:paraId="7BD7BF64" w14:textId="77777777" w:rsidR="00D32733" w:rsidRPr="00836C77" w:rsidRDefault="00D32733">
            <w:pPr>
              <w:pStyle w:val="TableText"/>
              <w:jc w:val="center"/>
              <w:rPr>
                <w:b/>
                <w:bCs/>
                <w:color w:val="FFFFFF" w:themeColor="background1"/>
              </w:rPr>
            </w:pPr>
            <w:r w:rsidRPr="00836C77">
              <w:rPr>
                <w:b/>
                <w:bCs/>
                <w:color w:val="FFFFFF" w:themeColor="background1"/>
              </w:rPr>
              <w:t>Consenting $/hour</w:t>
            </w:r>
          </w:p>
        </w:tc>
        <w:tc>
          <w:tcPr>
            <w:tcW w:w="1061"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hideMark/>
          </w:tcPr>
          <w:p w14:paraId="1ED64815" w14:textId="77777777" w:rsidR="00D32733" w:rsidRPr="00836C77" w:rsidRDefault="00D32733">
            <w:pPr>
              <w:pStyle w:val="TableText"/>
              <w:jc w:val="center"/>
              <w:rPr>
                <w:b/>
                <w:bCs/>
                <w:color w:val="FFFFFF" w:themeColor="background1"/>
              </w:rPr>
            </w:pPr>
            <w:r w:rsidRPr="00836C77">
              <w:rPr>
                <w:b/>
                <w:bCs/>
                <w:color w:val="FFFFFF" w:themeColor="background1"/>
              </w:rPr>
              <w:t>Monitoring $/hour</w:t>
            </w:r>
          </w:p>
        </w:tc>
        <w:tc>
          <w:tcPr>
            <w:tcW w:w="1053"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hideMark/>
          </w:tcPr>
          <w:p w14:paraId="1D97FEB6" w14:textId="77777777" w:rsidR="00D32733" w:rsidRPr="00836C77" w:rsidRDefault="00D32733">
            <w:pPr>
              <w:pStyle w:val="TableText"/>
              <w:jc w:val="center"/>
              <w:rPr>
                <w:color w:val="FFFFFF" w:themeColor="background1"/>
              </w:rPr>
            </w:pPr>
            <w:r w:rsidRPr="00836C77">
              <w:rPr>
                <w:b/>
                <w:bCs/>
                <w:color w:val="FFFFFF" w:themeColor="background1"/>
              </w:rPr>
              <w:t>Consenting $/hour</w:t>
            </w:r>
          </w:p>
        </w:tc>
        <w:tc>
          <w:tcPr>
            <w:tcW w:w="1061"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hideMark/>
          </w:tcPr>
          <w:p w14:paraId="6B133E9E" w14:textId="77777777" w:rsidR="00D32733" w:rsidRPr="00836C77" w:rsidRDefault="00D32733">
            <w:pPr>
              <w:pStyle w:val="TableText"/>
              <w:jc w:val="center"/>
              <w:rPr>
                <w:color w:val="FFFFFF" w:themeColor="background1"/>
              </w:rPr>
            </w:pPr>
            <w:r w:rsidRPr="00836C77">
              <w:rPr>
                <w:b/>
                <w:bCs/>
                <w:color w:val="FFFFFF" w:themeColor="background1"/>
              </w:rPr>
              <w:t>Monitoring $/hour</w:t>
            </w:r>
          </w:p>
        </w:tc>
        <w:tc>
          <w:tcPr>
            <w:tcW w:w="1053" w:type="dxa"/>
            <w:tcBorders>
              <w:top w:val="single" w:sz="4" w:space="0" w:color="FFFFFF" w:themeColor="background1"/>
              <w:left w:val="single" w:sz="4" w:space="0" w:color="FFFFFF" w:themeColor="background1"/>
              <w:bottom w:val="nil"/>
              <w:right w:val="single" w:sz="4" w:space="0" w:color="FFFFFF" w:themeColor="background1"/>
            </w:tcBorders>
            <w:shd w:val="clear" w:color="auto" w:fill="1B556B"/>
            <w:hideMark/>
          </w:tcPr>
          <w:p w14:paraId="5C561D92" w14:textId="77777777" w:rsidR="00D32733" w:rsidRPr="00836C77" w:rsidRDefault="00D32733">
            <w:pPr>
              <w:pStyle w:val="TableText"/>
              <w:jc w:val="center"/>
              <w:rPr>
                <w:color w:val="FFFFFF" w:themeColor="background1"/>
              </w:rPr>
            </w:pPr>
            <w:r w:rsidRPr="00836C77">
              <w:rPr>
                <w:b/>
                <w:bCs/>
                <w:color w:val="FFFFFF" w:themeColor="background1"/>
              </w:rPr>
              <w:t>Consenting $/hour</w:t>
            </w:r>
          </w:p>
        </w:tc>
        <w:tc>
          <w:tcPr>
            <w:tcW w:w="1061" w:type="dxa"/>
            <w:tcBorders>
              <w:top w:val="single" w:sz="4" w:space="0" w:color="FFFFFF" w:themeColor="background1"/>
              <w:left w:val="single" w:sz="4" w:space="0" w:color="FFFFFF" w:themeColor="background1"/>
              <w:bottom w:val="nil"/>
              <w:right w:val="single" w:sz="4" w:space="0" w:color="1C556C" w:themeColor="accent1"/>
            </w:tcBorders>
            <w:shd w:val="clear" w:color="auto" w:fill="1B556B"/>
            <w:hideMark/>
          </w:tcPr>
          <w:p w14:paraId="6EB952B6" w14:textId="77777777" w:rsidR="00D32733" w:rsidRPr="00836C77" w:rsidRDefault="00D32733">
            <w:pPr>
              <w:pStyle w:val="TableText"/>
              <w:jc w:val="center"/>
              <w:rPr>
                <w:color w:val="FFFFFF" w:themeColor="background1"/>
              </w:rPr>
            </w:pPr>
            <w:r w:rsidRPr="00836C77">
              <w:rPr>
                <w:b/>
                <w:bCs/>
                <w:color w:val="FFFFFF" w:themeColor="background1"/>
              </w:rPr>
              <w:t>Monitoring $/hour</w:t>
            </w:r>
          </w:p>
        </w:tc>
      </w:tr>
      <w:tr w:rsidR="00D32733" w14:paraId="674D37AB" w14:textId="77777777" w:rsidTr="00E1765C">
        <w:tc>
          <w:tcPr>
            <w:tcW w:w="2439" w:type="dxa"/>
            <w:tcBorders>
              <w:top w:val="nil"/>
              <w:left w:val="nil"/>
              <w:bottom w:val="single" w:sz="4" w:space="0" w:color="1B556B"/>
              <w:right w:val="single" w:sz="4" w:space="0" w:color="1B556B"/>
            </w:tcBorders>
            <w:hideMark/>
          </w:tcPr>
          <w:p w14:paraId="60BCDBE2" w14:textId="3E186EE1" w:rsidR="00D32733" w:rsidRPr="000E19F6" w:rsidRDefault="00D32733" w:rsidP="00881A50">
            <w:pPr>
              <w:pStyle w:val="TableText"/>
              <w:rPr>
                <w:szCs w:val="18"/>
              </w:rPr>
            </w:pPr>
            <w:r w:rsidRPr="000E19F6">
              <w:rPr>
                <w:szCs w:val="18"/>
              </w:rPr>
              <w:t>Principal advisor/officer/investigator</w:t>
            </w:r>
            <w:r w:rsidR="00F37D32">
              <w:rPr>
                <w:szCs w:val="18"/>
              </w:rPr>
              <w:t xml:space="preserve"> and team leader</w:t>
            </w:r>
            <w:r w:rsidR="00703CD8">
              <w:rPr>
                <w:szCs w:val="18"/>
              </w:rPr>
              <w:t xml:space="preserve"> [18]</w:t>
            </w:r>
          </w:p>
        </w:tc>
        <w:tc>
          <w:tcPr>
            <w:tcW w:w="861" w:type="dxa"/>
            <w:tcBorders>
              <w:top w:val="nil"/>
              <w:left w:val="single" w:sz="4" w:space="0" w:color="1B556B"/>
              <w:bottom w:val="single" w:sz="4" w:space="0" w:color="1B556B"/>
              <w:right w:val="single" w:sz="4" w:space="0" w:color="1B556B"/>
            </w:tcBorders>
            <w:hideMark/>
          </w:tcPr>
          <w:p w14:paraId="484C5F24" w14:textId="77777777" w:rsidR="00D32733" w:rsidRPr="000E19F6" w:rsidRDefault="00D32733">
            <w:pPr>
              <w:pStyle w:val="TableText"/>
              <w:jc w:val="right"/>
              <w:rPr>
                <w:szCs w:val="18"/>
              </w:rPr>
            </w:pPr>
            <w:r w:rsidRPr="000E19F6">
              <w:rPr>
                <w:szCs w:val="18"/>
              </w:rPr>
              <w:t>301.00</w:t>
            </w:r>
          </w:p>
        </w:tc>
        <w:tc>
          <w:tcPr>
            <w:tcW w:w="1061" w:type="dxa"/>
            <w:tcBorders>
              <w:top w:val="nil"/>
              <w:left w:val="single" w:sz="4" w:space="0" w:color="1B556B"/>
              <w:bottom w:val="single" w:sz="4" w:space="0" w:color="1B556B"/>
              <w:right w:val="single" w:sz="4" w:space="0" w:color="1B556B"/>
            </w:tcBorders>
            <w:hideMark/>
          </w:tcPr>
          <w:p w14:paraId="34EAD374" w14:textId="77777777" w:rsidR="00D32733" w:rsidRPr="000E19F6" w:rsidRDefault="00D32733">
            <w:pPr>
              <w:pStyle w:val="TableText"/>
              <w:jc w:val="right"/>
              <w:rPr>
                <w:szCs w:val="18"/>
              </w:rPr>
            </w:pPr>
            <w:r w:rsidRPr="000E19F6">
              <w:rPr>
                <w:szCs w:val="18"/>
              </w:rPr>
              <w:t>240.80</w:t>
            </w:r>
          </w:p>
        </w:tc>
        <w:tc>
          <w:tcPr>
            <w:tcW w:w="1053" w:type="dxa"/>
            <w:tcBorders>
              <w:top w:val="nil"/>
              <w:left w:val="single" w:sz="4" w:space="0" w:color="1B556B"/>
              <w:bottom w:val="single" w:sz="4" w:space="0" w:color="1B556B"/>
              <w:right w:val="single" w:sz="4" w:space="0" w:color="1B556B"/>
            </w:tcBorders>
            <w:hideMark/>
          </w:tcPr>
          <w:p w14:paraId="2FBEC7C8" w14:textId="77777777" w:rsidR="00D32733" w:rsidRPr="000E19F6" w:rsidRDefault="00D32733">
            <w:pPr>
              <w:pStyle w:val="TableText"/>
              <w:jc w:val="right"/>
              <w:rPr>
                <w:szCs w:val="18"/>
              </w:rPr>
            </w:pPr>
            <w:r w:rsidRPr="000E19F6">
              <w:rPr>
                <w:szCs w:val="18"/>
              </w:rPr>
              <w:t>310.00</w:t>
            </w:r>
          </w:p>
        </w:tc>
        <w:tc>
          <w:tcPr>
            <w:tcW w:w="1061" w:type="dxa"/>
            <w:tcBorders>
              <w:top w:val="nil"/>
              <w:left w:val="single" w:sz="4" w:space="0" w:color="1B556B"/>
              <w:bottom w:val="single" w:sz="4" w:space="0" w:color="1B556B"/>
              <w:right w:val="single" w:sz="4" w:space="0" w:color="1B556B"/>
            </w:tcBorders>
            <w:hideMark/>
          </w:tcPr>
          <w:p w14:paraId="450317CD" w14:textId="77777777" w:rsidR="00D32733" w:rsidRPr="000E19F6" w:rsidRDefault="00D32733">
            <w:pPr>
              <w:pStyle w:val="TableText"/>
              <w:jc w:val="right"/>
              <w:rPr>
                <w:szCs w:val="18"/>
              </w:rPr>
            </w:pPr>
            <w:r w:rsidRPr="000E19F6">
              <w:rPr>
                <w:szCs w:val="18"/>
              </w:rPr>
              <w:t>248.00</w:t>
            </w:r>
          </w:p>
        </w:tc>
        <w:tc>
          <w:tcPr>
            <w:tcW w:w="1053" w:type="dxa"/>
            <w:tcBorders>
              <w:top w:val="nil"/>
              <w:left w:val="single" w:sz="4" w:space="0" w:color="1B556B"/>
              <w:bottom w:val="single" w:sz="4" w:space="0" w:color="1B556B"/>
              <w:right w:val="single" w:sz="4" w:space="0" w:color="1B556B"/>
            </w:tcBorders>
            <w:hideMark/>
          </w:tcPr>
          <w:p w14:paraId="22B4ECA4" w14:textId="77777777" w:rsidR="00D32733" w:rsidRPr="000E19F6" w:rsidRDefault="00D32733">
            <w:pPr>
              <w:pStyle w:val="TableText"/>
              <w:jc w:val="right"/>
              <w:rPr>
                <w:szCs w:val="18"/>
              </w:rPr>
            </w:pPr>
            <w:r w:rsidRPr="000E19F6">
              <w:rPr>
                <w:szCs w:val="18"/>
              </w:rPr>
              <w:t>319.00</w:t>
            </w:r>
          </w:p>
        </w:tc>
        <w:tc>
          <w:tcPr>
            <w:tcW w:w="1061" w:type="dxa"/>
            <w:tcBorders>
              <w:top w:val="nil"/>
              <w:left w:val="single" w:sz="4" w:space="0" w:color="1B556B"/>
              <w:bottom w:val="single" w:sz="4" w:space="0" w:color="1B556B"/>
              <w:right w:val="nil"/>
            </w:tcBorders>
            <w:hideMark/>
          </w:tcPr>
          <w:p w14:paraId="11E708E7" w14:textId="77777777" w:rsidR="00D32733" w:rsidRPr="000E19F6" w:rsidRDefault="00D32733">
            <w:pPr>
              <w:pStyle w:val="TableText"/>
              <w:jc w:val="right"/>
              <w:rPr>
                <w:szCs w:val="18"/>
              </w:rPr>
            </w:pPr>
            <w:r w:rsidRPr="000E19F6">
              <w:rPr>
                <w:szCs w:val="18"/>
              </w:rPr>
              <w:t>255.20</w:t>
            </w:r>
          </w:p>
        </w:tc>
      </w:tr>
      <w:tr w:rsidR="00D32733" w14:paraId="0CCD6F99" w14:textId="77777777" w:rsidTr="00E1765C">
        <w:tc>
          <w:tcPr>
            <w:tcW w:w="2439" w:type="dxa"/>
            <w:tcBorders>
              <w:top w:val="single" w:sz="4" w:space="0" w:color="1B556B"/>
              <w:left w:val="nil"/>
              <w:bottom w:val="single" w:sz="4" w:space="0" w:color="1B556B"/>
              <w:right w:val="single" w:sz="4" w:space="0" w:color="1B556B"/>
            </w:tcBorders>
            <w:hideMark/>
          </w:tcPr>
          <w:p w14:paraId="185D8C57" w14:textId="7C5CB1B2" w:rsidR="00D32733" w:rsidRPr="000E19F6" w:rsidRDefault="00D32733" w:rsidP="00881A50">
            <w:pPr>
              <w:pStyle w:val="TableText"/>
              <w:rPr>
                <w:szCs w:val="18"/>
              </w:rPr>
            </w:pPr>
            <w:r w:rsidRPr="000E19F6">
              <w:rPr>
                <w:szCs w:val="18"/>
              </w:rPr>
              <w:t>Project leader</w:t>
            </w:r>
            <w:r w:rsidR="00C44304">
              <w:rPr>
                <w:szCs w:val="18"/>
              </w:rPr>
              <w:t>/senior compliance officer</w:t>
            </w:r>
            <w:r w:rsidR="00F815F3">
              <w:rPr>
                <w:szCs w:val="18"/>
              </w:rPr>
              <w:t>/investigator</w:t>
            </w:r>
            <w:r w:rsidR="00703CD8">
              <w:rPr>
                <w:szCs w:val="18"/>
              </w:rPr>
              <w:t xml:space="preserve"> [17]</w:t>
            </w:r>
          </w:p>
        </w:tc>
        <w:tc>
          <w:tcPr>
            <w:tcW w:w="861" w:type="dxa"/>
            <w:tcBorders>
              <w:top w:val="single" w:sz="4" w:space="0" w:color="1B556B"/>
              <w:left w:val="single" w:sz="4" w:space="0" w:color="1B556B"/>
              <w:bottom w:val="single" w:sz="4" w:space="0" w:color="1B556B"/>
              <w:right w:val="single" w:sz="4" w:space="0" w:color="1B556B"/>
            </w:tcBorders>
            <w:hideMark/>
          </w:tcPr>
          <w:p w14:paraId="57DDAAB0" w14:textId="77777777" w:rsidR="00D32733" w:rsidRPr="000E19F6" w:rsidRDefault="00D32733">
            <w:pPr>
              <w:pStyle w:val="TableText"/>
              <w:jc w:val="right"/>
              <w:rPr>
                <w:szCs w:val="18"/>
              </w:rPr>
            </w:pPr>
            <w:r w:rsidRPr="000E19F6">
              <w:rPr>
                <w:szCs w:val="18"/>
              </w:rPr>
              <w:t>251.00</w:t>
            </w:r>
          </w:p>
        </w:tc>
        <w:tc>
          <w:tcPr>
            <w:tcW w:w="1061" w:type="dxa"/>
            <w:tcBorders>
              <w:top w:val="single" w:sz="4" w:space="0" w:color="1B556B"/>
              <w:left w:val="single" w:sz="4" w:space="0" w:color="1B556B"/>
              <w:bottom w:val="single" w:sz="4" w:space="0" w:color="1B556B"/>
              <w:right w:val="single" w:sz="4" w:space="0" w:color="1B556B"/>
            </w:tcBorders>
            <w:hideMark/>
          </w:tcPr>
          <w:p w14:paraId="6DEA0DE8" w14:textId="77777777" w:rsidR="00D32733" w:rsidRPr="000E19F6" w:rsidRDefault="00D32733">
            <w:pPr>
              <w:pStyle w:val="TableText"/>
              <w:jc w:val="right"/>
              <w:rPr>
                <w:szCs w:val="18"/>
              </w:rPr>
            </w:pPr>
            <w:r w:rsidRPr="000E19F6">
              <w:rPr>
                <w:szCs w:val="18"/>
              </w:rPr>
              <w:t>200.80</w:t>
            </w:r>
          </w:p>
        </w:tc>
        <w:tc>
          <w:tcPr>
            <w:tcW w:w="1053" w:type="dxa"/>
            <w:tcBorders>
              <w:top w:val="single" w:sz="4" w:space="0" w:color="1B556B"/>
              <w:left w:val="single" w:sz="4" w:space="0" w:color="1B556B"/>
              <w:bottom w:val="single" w:sz="4" w:space="0" w:color="1B556B"/>
              <w:right w:val="single" w:sz="4" w:space="0" w:color="1B556B"/>
            </w:tcBorders>
            <w:hideMark/>
          </w:tcPr>
          <w:p w14:paraId="472473AB" w14:textId="77777777" w:rsidR="00D32733" w:rsidRPr="000E19F6" w:rsidRDefault="00D32733">
            <w:pPr>
              <w:pStyle w:val="TableText"/>
              <w:jc w:val="right"/>
              <w:rPr>
                <w:szCs w:val="18"/>
              </w:rPr>
            </w:pPr>
            <w:r w:rsidRPr="000E19F6">
              <w:rPr>
                <w:szCs w:val="18"/>
              </w:rPr>
              <w:t>259.00</w:t>
            </w:r>
          </w:p>
        </w:tc>
        <w:tc>
          <w:tcPr>
            <w:tcW w:w="1061" w:type="dxa"/>
            <w:tcBorders>
              <w:top w:val="single" w:sz="4" w:space="0" w:color="1B556B"/>
              <w:left w:val="single" w:sz="4" w:space="0" w:color="1B556B"/>
              <w:bottom w:val="single" w:sz="4" w:space="0" w:color="1B556B"/>
              <w:right w:val="single" w:sz="4" w:space="0" w:color="1B556B"/>
            </w:tcBorders>
            <w:hideMark/>
          </w:tcPr>
          <w:p w14:paraId="5C7640A9" w14:textId="77777777" w:rsidR="00D32733" w:rsidRPr="000E19F6" w:rsidRDefault="00D32733">
            <w:pPr>
              <w:pStyle w:val="TableText"/>
              <w:jc w:val="right"/>
              <w:rPr>
                <w:szCs w:val="18"/>
              </w:rPr>
            </w:pPr>
            <w:r w:rsidRPr="000E19F6">
              <w:rPr>
                <w:szCs w:val="18"/>
              </w:rPr>
              <w:t>207.20</w:t>
            </w:r>
          </w:p>
        </w:tc>
        <w:tc>
          <w:tcPr>
            <w:tcW w:w="1053" w:type="dxa"/>
            <w:tcBorders>
              <w:top w:val="single" w:sz="4" w:space="0" w:color="1B556B"/>
              <w:left w:val="single" w:sz="4" w:space="0" w:color="1B556B"/>
              <w:bottom w:val="single" w:sz="4" w:space="0" w:color="1B556B"/>
              <w:right w:val="single" w:sz="4" w:space="0" w:color="1B556B"/>
            </w:tcBorders>
            <w:hideMark/>
          </w:tcPr>
          <w:p w14:paraId="3F9B6F8F" w14:textId="77777777" w:rsidR="00D32733" w:rsidRPr="000E19F6" w:rsidRDefault="00D32733">
            <w:pPr>
              <w:pStyle w:val="TableText"/>
              <w:jc w:val="right"/>
              <w:rPr>
                <w:szCs w:val="18"/>
              </w:rPr>
            </w:pPr>
            <w:r w:rsidRPr="000E19F6">
              <w:rPr>
                <w:szCs w:val="18"/>
              </w:rPr>
              <w:t>266.00</w:t>
            </w:r>
          </w:p>
        </w:tc>
        <w:tc>
          <w:tcPr>
            <w:tcW w:w="1061" w:type="dxa"/>
            <w:tcBorders>
              <w:top w:val="single" w:sz="4" w:space="0" w:color="1B556B"/>
              <w:left w:val="single" w:sz="4" w:space="0" w:color="1B556B"/>
              <w:bottom w:val="single" w:sz="4" w:space="0" w:color="1B556B"/>
              <w:right w:val="nil"/>
            </w:tcBorders>
            <w:hideMark/>
          </w:tcPr>
          <w:p w14:paraId="49138476" w14:textId="77777777" w:rsidR="00D32733" w:rsidRPr="000E19F6" w:rsidRDefault="00D32733">
            <w:pPr>
              <w:pStyle w:val="TableText"/>
              <w:jc w:val="right"/>
              <w:rPr>
                <w:szCs w:val="18"/>
              </w:rPr>
            </w:pPr>
            <w:r w:rsidRPr="000E19F6">
              <w:rPr>
                <w:szCs w:val="18"/>
              </w:rPr>
              <w:t>212.80</w:t>
            </w:r>
          </w:p>
        </w:tc>
      </w:tr>
      <w:tr w:rsidR="00D32733" w14:paraId="7AEAD3A2" w14:textId="77777777" w:rsidTr="00E1765C">
        <w:tc>
          <w:tcPr>
            <w:tcW w:w="2439" w:type="dxa"/>
            <w:tcBorders>
              <w:top w:val="single" w:sz="4" w:space="0" w:color="1B556B"/>
              <w:left w:val="nil"/>
              <w:bottom w:val="single" w:sz="4" w:space="0" w:color="1B556B"/>
              <w:right w:val="single" w:sz="4" w:space="0" w:color="1B556B"/>
            </w:tcBorders>
            <w:hideMark/>
          </w:tcPr>
          <w:p w14:paraId="403EF40F" w14:textId="5F3A3074" w:rsidR="00D32733" w:rsidRPr="000E19F6" w:rsidRDefault="00D32733" w:rsidP="00881A50">
            <w:pPr>
              <w:pStyle w:val="TableText"/>
              <w:rPr>
                <w:szCs w:val="18"/>
              </w:rPr>
            </w:pPr>
            <w:r w:rsidRPr="000E19F6">
              <w:rPr>
                <w:szCs w:val="18"/>
              </w:rPr>
              <w:t>Senior advisor/officer/investigator</w:t>
            </w:r>
            <w:r w:rsidR="00703CD8">
              <w:rPr>
                <w:szCs w:val="18"/>
              </w:rPr>
              <w:t xml:space="preserve"> [16]</w:t>
            </w:r>
          </w:p>
        </w:tc>
        <w:tc>
          <w:tcPr>
            <w:tcW w:w="861" w:type="dxa"/>
            <w:tcBorders>
              <w:top w:val="single" w:sz="4" w:space="0" w:color="1B556B"/>
              <w:left w:val="single" w:sz="4" w:space="0" w:color="1B556B"/>
              <w:bottom w:val="single" w:sz="4" w:space="0" w:color="1B556B"/>
              <w:right w:val="single" w:sz="4" w:space="0" w:color="1B556B"/>
            </w:tcBorders>
            <w:hideMark/>
          </w:tcPr>
          <w:p w14:paraId="4A25B51F" w14:textId="77777777" w:rsidR="00D32733" w:rsidRPr="000E19F6" w:rsidRDefault="00D32733">
            <w:pPr>
              <w:pStyle w:val="TableText"/>
              <w:jc w:val="right"/>
              <w:rPr>
                <w:szCs w:val="18"/>
              </w:rPr>
            </w:pPr>
            <w:r w:rsidRPr="000E19F6">
              <w:rPr>
                <w:szCs w:val="18"/>
              </w:rPr>
              <w:t>211.00</w:t>
            </w:r>
          </w:p>
        </w:tc>
        <w:tc>
          <w:tcPr>
            <w:tcW w:w="1061" w:type="dxa"/>
            <w:tcBorders>
              <w:top w:val="single" w:sz="4" w:space="0" w:color="1B556B"/>
              <w:left w:val="single" w:sz="4" w:space="0" w:color="1B556B"/>
              <w:bottom w:val="single" w:sz="4" w:space="0" w:color="1B556B"/>
              <w:right w:val="single" w:sz="4" w:space="0" w:color="1B556B"/>
            </w:tcBorders>
            <w:hideMark/>
          </w:tcPr>
          <w:p w14:paraId="23A23FA7" w14:textId="77777777" w:rsidR="00D32733" w:rsidRPr="000E19F6" w:rsidRDefault="00D32733">
            <w:pPr>
              <w:pStyle w:val="TableText"/>
              <w:jc w:val="right"/>
              <w:rPr>
                <w:szCs w:val="18"/>
              </w:rPr>
            </w:pPr>
            <w:r w:rsidRPr="000E19F6">
              <w:rPr>
                <w:szCs w:val="18"/>
              </w:rPr>
              <w:t>168.80</w:t>
            </w:r>
          </w:p>
        </w:tc>
        <w:tc>
          <w:tcPr>
            <w:tcW w:w="1053" w:type="dxa"/>
            <w:tcBorders>
              <w:top w:val="single" w:sz="4" w:space="0" w:color="1B556B"/>
              <w:left w:val="single" w:sz="4" w:space="0" w:color="1B556B"/>
              <w:bottom w:val="single" w:sz="4" w:space="0" w:color="1B556B"/>
              <w:right w:val="single" w:sz="4" w:space="0" w:color="1B556B"/>
            </w:tcBorders>
            <w:hideMark/>
          </w:tcPr>
          <w:p w14:paraId="2270B7E5" w14:textId="77777777" w:rsidR="00D32733" w:rsidRPr="000E19F6" w:rsidRDefault="00D32733">
            <w:pPr>
              <w:pStyle w:val="TableText"/>
              <w:jc w:val="right"/>
              <w:rPr>
                <w:szCs w:val="18"/>
              </w:rPr>
            </w:pPr>
            <w:r w:rsidRPr="000E19F6">
              <w:rPr>
                <w:szCs w:val="18"/>
              </w:rPr>
              <w:t>218.00</w:t>
            </w:r>
          </w:p>
        </w:tc>
        <w:tc>
          <w:tcPr>
            <w:tcW w:w="1061" w:type="dxa"/>
            <w:tcBorders>
              <w:top w:val="single" w:sz="4" w:space="0" w:color="1B556B"/>
              <w:left w:val="single" w:sz="4" w:space="0" w:color="1B556B"/>
              <w:bottom w:val="single" w:sz="4" w:space="0" w:color="1B556B"/>
              <w:right w:val="single" w:sz="4" w:space="0" w:color="1B556B"/>
            </w:tcBorders>
            <w:hideMark/>
          </w:tcPr>
          <w:p w14:paraId="594B97F1" w14:textId="77777777" w:rsidR="00D32733" w:rsidRPr="000E19F6" w:rsidRDefault="00D32733">
            <w:pPr>
              <w:pStyle w:val="TableText"/>
              <w:jc w:val="right"/>
              <w:rPr>
                <w:szCs w:val="18"/>
              </w:rPr>
            </w:pPr>
            <w:r w:rsidRPr="000E19F6">
              <w:rPr>
                <w:szCs w:val="18"/>
              </w:rPr>
              <w:t>174.40</w:t>
            </w:r>
          </w:p>
        </w:tc>
        <w:tc>
          <w:tcPr>
            <w:tcW w:w="1053" w:type="dxa"/>
            <w:tcBorders>
              <w:top w:val="single" w:sz="4" w:space="0" w:color="1B556B"/>
              <w:left w:val="single" w:sz="4" w:space="0" w:color="1B556B"/>
              <w:bottom w:val="single" w:sz="4" w:space="0" w:color="1B556B"/>
              <w:right w:val="single" w:sz="4" w:space="0" w:color="1B556B"/>
            </w:tcBorders>
            <w:hideMark/>
          </w:tcPr>
          <w:p w14:paraId="4410EAE4" w14:textId="77777777" w:rsidR="00D32733" w:rsidRPr="000E19F6" w:rsidRDefault="00D32733">
            <w:pPr>
              <w:pStyle w:val="TableText"/>
              <w:jc w:val="right"/>
              <w:rPr>
                <w:szCs w:val="18"/>
              </w:rPr>
            </w:pPr>
            <w:r w:rsidRPr="000E19F6">
              <w:rPr>
                <w:szCs w:val="18"/>
              </w:rPr>
              <w:t>224.00</w:t>
            </w:r>
          </w:p>
        </w:tc>
        <w:tc>
          <w:tcPr>
            <w:tcW w:w="1061" w:type="dxa"/>
            <w:tcBorders>
              <w:top w:val="single" w:sz="4" w:space="0" w:color="1B556B"/>
              <w:left w:val="single" w:sz="4" w:space="0" w:color="1B556B"/>
              <w:bottom w:val="single" w:sz="4" w:space="0" w:color="1B556B"/>
              <w:right w:val="nil"/>
            </w:tcBorders>
            <w:hideMark/>
          </w:tcPr>
          <w:p w14:paraId="58100DB6" w14:textId="77777777" w:rsidR="00D32733" w:rsidRPr="000E19F6" w:rsidRDefault="00D32733">
            <w:pPr>
              <w:pStyle w:val="TableText"/>
              <w:jc w:val="right"/>
              <w:rPr>
                <w:szCs w:val="18"/>
              </w:rPr>
            </w:pPr>
            <w:r w:rsidRPr="000E19F6">
              <w:rPr>
                <w:szCs w:val="18"/>
              </w:rPr>
              <w:t>179.20</w:t>
            </w:r>
          </w:p>
        </w:tc>
      </w:tr>
      <w:tr w:rsidR="00D32733" w14:paraId="3449F304" w14:textId="77777777" w:rsidTr="00E1765C">
        <w:tc>
          <w:tcPr>
            <w:tcW w:w="2439" w:type="dxa"/>
            <w:tcBorders>
              <w:top w:val="single" w:sz="4" w:space="0" w:color="1B556B"/>
              <w:left w:val="nil"/>
              <w:bottom w:val="single" w:sz="4" w:space="0" w:color="1B556B"/>
              <w:right w:val="single" w:sz="4" w:space="0" w:color="1B556B"/>
            </w:tcBorders>
            <w:hideMark/>
          </w:tcPr>
          <w:p w14:paraId="1DC5E9DC" w14:textId="6655CD3A" w:rsidR="00D32733" w:rsidRPr="000E19F6" w:rsidRDefault="00D32733" w:rsidP="00881A50">
            <w:pPr>
              <w:pStyle w:val="TableText"/>
              <w:rPr>
                <w:szCs w:val="18"/>
              </w:rPr>
            </w:pPr>
            <w:r w:rsidRPr="000E19F6">
              <w:rPr>
                <w:szCs w:val="18"/>
              </w:rPr>
              <w:t>Advisor/officer/investigator</w:t>
            </w:r>
            <w:r w:rsidR="00703CD8">
              <w:rPr>
                <w:szCs w:val="18"/>
              </w:rPr>
              <w:t xml:space="preserve"> [15]</w:t>
            </w:r>
          </w:p>
        </w:tc>
        <w:tc>
          <w:tcPr>
            <w:tcW w:w="861" w:type="dxa"/>
            <w:tcBorders>
              <w:top w:val="single" w:sz="4" w:space="0" w:color="1B556B"/>
              <w:left w:val="single" w:sz="4" w:space="0" w:color="1B556B"/>
              <w:bottom w:val="single" w:sz="4" w:space="0" w:color="1B556B"/>
              <w:right w:val="single" w:sz="4" w:space="0" w:color="1B556B"/>
            </w:tcBorders>
            <w:hideMark/>
          </w:tcPr>
          <w:p w14:paraId="4CA96813" w14:textId="77777777" w:rsidR="00D32733" w:rsidRPr="000E19F6" w:rsidRDefault="00D32733">
            <w:pPr>
              <w:pStyle w:val="TableText"/>
              <w:jc w:val="right"/>
              <w:rPr>
                <w:szCs w:val="18"/>
              </w:rPr>
            </w:pPr>
            <w:r w:rsidRPr="000E19F6">
              <w:rPr>
                <w:szCs w:val="18"/>
              </w:rPr>
              <w:t>181.00</w:t>
            </w:r>
          </w:p>
        </w:tc>
        <w:tc>
          <w:tcPr>
            <w:tcW w:w="1061" w:type="dxa"/>
            <w:tcBorders>
              <w:top w:val="single" w:sz="4" w:space="0" w:color="1B556B"/>
              <w:left w:val="single" w:sz="4" w:space="0" w:color="1B556B"/>
              <w:bottom w:val="single" w:sz="4" w:space="0" w:color="1B556B"/>
              <w:right w:val="single" w:sz="4" w:space="0" w:color="1B556B"/>
            </w:tcBorders>
            <w:hideMark/>
          </w:tcPr>
          <w:p w14:paraId="1A0A81DD" w14:textId="77777777" w:rsidR="00D32733" w:rsidRPr="000E19F6" w:rsidRDefault="00D32733">
            <w:pPr>
              <w:pStyle w:val="TableText"/>
              <w:jc w:val="right"/>
              <w:rPr>
                <w:szCs w:val="18"/>
              </w:rPr>
            </w:pPr>
            <w:r w:rsidRPr="000E19F6">
              <w:rPr>
                <w:szCs w:val="18"/>
              </w:rPr>
              <w:t>144.80</w:t>
            </w:r>
          </w:p>
        </w:tc>
        <w:tc>
          <w:tcPr>
            <w:tcW w:w="1053" w:type="dxa"/>
            <w:tcBorders>
              <w:top w:val="single" w:sz="4" w:space="0" w:color="1B556B"/>
              <w:left w:val="single" w:sz="4" w:space="0" w:color="1B556B"/>
              <w:bottom w:val="single" w:sz="4" w:space="0" w:color="1B556B"/>
              <w:right w:val="single" w:sz="4" w:space="0" w:color="1B556B"/>
            </w:tcBorders>
            <w:hideMark/>
          </w:tcPr>
          <w:p w14:paraId="2024B069" w14:textId="77777777" w:rsidR="00D32733" w:rsidRPr="000E19F6" w:rsidRDefault="00D32733">
            <w:pPr>
              <w:pStyle w:val="TableText"/>
              <w:jc w:val="right"/>
              <w:rPr>
                <w:szCs w:val="18"/>
              </w:rPr>
            </w:pPr>
            <w:r w:rsidRPr="000E19F6">
              <w:rPr>
                <w:szCs w:val="18"/>
              </w:rPr>
              <w:t>186.00</w:t>
            </w:r>
          </w:p>
        </w:tc>
        <w:tc>
          <w:tcPr>
            <w:tcW w:w="1061" w:type="dxa"/>
            <w:tcBorders>
              <w:top w:val="single" w:sz="4" w:space="0" w:color="1B556B"/>
              <w:left w:val="single" w:sz="4" w:space="0" w:color="1B556B"/>
              <w:bottom w:val="single" w:sz="4" w:space="0" w:color="1B556B"/>
              <w:right w:val="single" w:sz="4" w:space="0" w:color="1B556B"/>
            </w:tcBorders>
            <w:hideMark/>
          </w:tcPr>
          <w:p w14:paraId="3A907DAB" w14:textId="77777777" w:rsidR="00D32733" w:rsidRPr="000E19F6" w:rsidRDefault="00D32733">
            <w:pPr>
              <w:pStyle w:val="TableText"/>
              <w:jc w:val="right"/>
              <w:rPr>
                <w:szCs w:val="18"/>
              </w:rPr>
            </w:pPr>
            <w:r w:rsidRPr="000E19F6">
              <w:rPr>
                <w:szCs w:val="18"/>
              </w:rPr>
              <w:t>148.80</w:t>
            </w:r>
          </w:p>
        </w:tc>
        <w:tc>
          <w:tcPr>
            <w:tcW w:w="1053" w:type="dxa"/>
            <w:tcBorders>
              <w:top w:val="single" w:sz="4" w:space="0" w:color="1B556B"/>
              <w:left w:val="single" w:sz="4" w:space="0" w:color="1B556B"/>
              <w:bottom w:val="single" w:sz="4" w:space="0" w:color="1B556B"/>
              <w:right w:val="single" w:sz="4" w:space="0" w:color="1B556B"/>
            </w:tcBorders>
            <w:hideMark/>
          </w:tcPr>
          <w:p w14:paraId="5431D493" w14:textId="77777777" w:rsidR="00D32733" w:rsidRPr="000E19F6" w:rsidRDefault="00D32733">
            <w:pPr>
              <w:pStyle w:val="TableText"/>
              <w:jc w:val="right"/>
              <w:rPr>
                <w:szCs w:val="18"/>
              </w:rPr>
            </w:pPr>
            <w:r w:rsidRPr="000E19F6">
              <w:rPr>
                <w:szCs w:val="18"/>
              </w:rPr>
              <w:t>192.00</w:t>
            </w:r>
          </w:p>
        </w:tc>
        <w:tc>
          <w:tcPr>
            <w:tcW w:w="1061" w:type="dxa"/>
            <w:tcBorders>
              <w:top w:val="single" w:sz="4" w:space="0" w:color="1B556B"/>
              <w:left w:val="single" w:sz="4" w:space="0" w:color="1B556B"/>
              <w:bottom w:val="single" w:sz="4" w:space="0" w:color="1B556B"/>
              <w:right w:val="nil"/>
            </w:tcBorders>
            <w:hideMark/>
          </w:tcPr>
          <w:p w14:paraId="16B4E1DF" w14:textId="77777777" w:rsidR="00D32733" w:rsidRPr="000E19F6" w:rsidRDefault="00D32733">
            <w:pPr>
              <w:pStyle w:val="TableText"/>
              <w:jc w:val="right"/>
              <w:rPr>
                <w:szCs w:val="18"/>
              </w:rPr>
            </w:pPr>
            <w:r w:rsidRPr="000E19F6">
              <w:rPr>
                <w:szCs w:val="18"/>
              </w:rPr>
              <w:t>153.60</w:t>
            </w:r>
          </w:p>
        </w:tc>
      </w:tr>
      <w:tr w:rsidR="00D32733" w14:paraId="7516228E" w14:textId="77777777" w:rsidTr="00E1765C">
        <w:tc>
          <w:tcPr>
            <w:tcW w:w="2439" w:type="dxa"/>
            <w:tcBorders>
              <w:top w:val="single" w:sz="4" w:space="0" w:color="1B556B"/>
              <w:left w:val="nil"/>
              <w:bottom w:val="single" w:sz="4" w:space="0" w:color="1B556B"/>
              <w:right w:val="single" w:sz="4" w:space="0" w:color="1B556B"/>
            </w:tcBorders>
            <w:hideMark/>
          </w:tcPr>
          <w:p w14:paraId="13FCB37A" w14:textId="34DF436E" w:rsidR="00D32733" w:rsidRPr="000E19F6" w:rsidRDefault="00D32733" w:rsidP="00881A50">
            <w:pPr>
              <w:pStyle w:val="TableText"/>
              <w:rPr>
                <w:szCs w:val="18"/>
              </w:rPr>
            </w:pPr>
            <w:r w:rsidRPr="000E19F6">
              <w:rPr>
                <w:szCs w:val="18"/>
              </w:rPr>
              <w:t>Administrator</w:t>
            </w:r>
            <w:r w:rsidR="00703CD8">
              <w:rPr>
                <w:szCs w:val="18"/>
              </w:rPr>
              <w:t xml:space="preserve"> [</w:t>
            </w:r>
            <w:r w:rsidR="008D1282">
              <w:rPr>
                <w:szCs w:val="18"/>
              </w:rPr>
              <w:t>12 and 13]</w:t>
            </w:r>
          </w:p>
        </w:tc>
        <w:tc>
          <w:tcPr>
            <w:tcW w:w="861" w:type="dxa"/>
            <w:tcBorders>
              <w:top w:val="single" w:sz="4" w:space="0" w:color="1B556B"/>
              <w:left w:val="single" w:sz="4" w:space="0" w:color="1B556B"/>
              <w:bottom w:val="single" w:sz="4" w:space="0" w:color="1B556B"/>
              <w:right w:val="single" w:sz="4" w:space="0" w:color="1B556B"/>
            </w:tcBorders>
            <w:hideMark/>
          </w:tcPr>
          <w:p w14:paraId="607E0CAF" w14:textId="77777777" w:rsidR="00D32733" w:rsidRPr="000E19F6" w:rsidRDefault="00D32733">
            <w:pPr>
              <w:pStyle w:val="TableText"/>
              <w:jc w:val="right"/>
              <w:rPr>
                <w:szCs w:val="18"/>
              </w:rPr>
            </w:pPr>
            <w:r w:rsidRPr="000E19F6">
              <w:rPr>
                <w:szCs w:val="18"/>
              </w:rPr>
              <w:t>143.00</w:t>
            </w:r>
          </w:p>
        </w:tc>
        <w:tc>
          <w:tcPr>
            <w:tcW w:w="1061" w:type="dxa"/>
            <w:tcBorders>
              <w:top w:val="single" w:sz="4" w:space="0" w:color="1B556B"/>
              <w:left w:val="single" w:sz="4" w:space="0" w:color="1B556B"/>
              <w:bottom w:val="single" w:sz="4" w:space="0" w:color="1B556B"/>
              <w:right w:val="single" w:sz="4" w:space="0" w:color="1B556B"/>
            </w:tcBorders>
            <w:hideMark/>
          </w:tcPr>
          <w:p w14:paraId="5EB98CB5" w14:textId="77777777" w:rsidR="00D32733" w:rsidRPr="000E19F6" w:rsidRDefault="00D32733">
            <w:pPr>
              <w:pStyle w:val="TableText"/>
              <w:jc w:val="right"/>
              <w:rPr>
                <w:szCs w:val="18"/>
              </w:rPr>
            </w:pPr>
            <w:r w:rsidRPr="000E19F6">
              <w:rPr>
                <w:szCs w:val="18"/>
              </w:rPr>
              <w:t>114.40</w:t>
            </w:r>
          </w:p>
        </w:tc>
        <w:tc>
          <w:tcPr>
            <w:tcW w:w="1053" w:type="dxa"/>
            <w:tcBorders>
              <w:top w:val="single" w:sz="4" w:space="0" w:color="1B556B"/>
              <w:left w:val="single" w:sz="4" w:space="0" w:color="1B556B"/>
              <w:bottom w:val="single" w:sz="4" w:space="0" w:color="1B556B"/>
              <w:right w:val="single" w:sz="4" w:space="0" w:color="1B556B"/>
            </w:tcBorders>
            <w:hideMark/>
          </w:tcPr>
          <w:p w14:paraId="0F57F49E" w14:textId="77777777" w:rsidR="00D32733" w:rsidRPr="000E19F6" w:rsidRDefault="00D32733">
            <w:pPr>
              <w:pStyle w:val="TableText"/>
              <w:jc w:val="right"/>
              <w:rPr>
                <w:szCs w:val="18"/>
              </w:rPr>
            </w:pPr>
            <w:r w:rsidRPr="000E19F6">
              <w:rPr>
                <w:szCs w:val="18"/>
              </w:rPr>
              <w:t>148.00</w:t>
            </w:r>
          </w:p>
        </w:tc>
        <w:tc>
          <w:tcPr>
            <w:tcW w:w="1061" w:type="dxa"/>
            <w:tcBorders>
              <w:top w:val="single" w:sz="4" w:space="0" w:color="1B556B"/>
              <w:left w:val="single" w:sz="4" w:space="0" w:color="1B556B"/>
              <w:bottom w:val="single" w:sz="4" w:space="0" w:color="1B556B"/>
              <w:right w:val="single" w:sz="4" w:space="0" w:color="1B556B"/>
            </w:tcBorders>
            <w:hideMark/>
          </w:tcPr>
          <w:p w14:paraId="3C50045A" w14:textId="77777777" w:rsidR="00D32733" w:rsidRPr="000E19F6" w:rsidRDefault="00D32733">
            <w:pPr>
              <w:pStyle w:val="TableText"/>
              <w:jc w:val="right"/>
              <w:rPr>
                <w:szCs w:val="18"/>
              </w:rPr>
            </w:pPr>
            <w:r w:rsidRPr="000E19F6">
              <w:rPr>
                <w:szCs w:val="18"/>
              </w:rPr>
              <w:t>118.40</w:t>
            </w:r>
          </w:p>
        </w:tc>
        <w:tc>
          <w:tcPr>
            <w:tcW w:w="1053" w:type="dxa"/>
            <w:tcBorders>
              <w:top w:val="single" w:sz="4" w:space="0" w:color="1B556B"/>
              <w:left w:val="single" w:sz="4" w:space="0" w:color="1B556B"/>
              <w:bottom w:val="single" w:sz="4" w:space="0" w:color="1B556B"/>
              <w:right w:val="single" w:sz="4" w:space="0" w:color="1B556B"/>
            </w:tcBorders>
            <w:hideMark/>
          </w:tcPr>
          <w:p w14:paraId="64C3B7F3" w14:textId="77777777" w:rsidR="00D32733" w:rsidRPr="000E19F6" w:rsidRDefault="00D32733">
            <w:pPr>
              <w:pStyle w:val="TableText"/>
              <w:jc w:val="right"/>
              <w:rPr>
                <w:szCs w:val="18"/>
              </w:rPr>
            </w:pPr>
            <w:r w:rsidRPr="000E19F6">
              <w:rPr>
                <w:szCs w:val="18"/>
              </w:rPr>
              <w:t>152.00</w:t>
            </w:r>
          </w:p>
        </w:tc>
        <w:tc>
          <w:tcPr>
            <w:tcW w:w="1061" w:type="dxa"/>
            <w:tcBorders>
              <w:top w:val="single" w:sz="4" w:space="0" w:color="1B556B"/>
              <w:left w:val="single" w:sz="4" w:space="0" w:color="1B556B"/>
              <w:bottom w:val="single" w:sz="4" w:space="0" w:color="1B556B"/>
              <w:right w:val="nil"/>
            </w:tcBorders>
            <w:hideMark/>
          </w:tcPr>
          <w:p w14:paraId="4374DB84" w14:textId="77777777" w:rsidR="00D32733" w:rsidRPr="000E19F6" w:rsidRDefault="00D32733">
            <w:pPr>
              <w:pStyle w:val="TableText"/>
              <w:jc w:val="right"/>
              <w:rPr>
                <w:szCs w:val="18"/>
              </w:rPr>
            </w:pPr>
            <w:r w:rsidRPr="000E19F6">
              <w:rPr>
                <w:szCs w:val="18"/>
              </w:rPr>
              <w:t>121.60</w:t>
            </w:r>
          </w:p>
        </w:tc>
      </w:tr>
    </w:tbl>
    <w:p w14:paraId="0671DAB1" w14:textId="77777777" w:rsidR="002A0234" w:rsidRDefault="002A0234" w:rsidP="00A6007E"/>
    <w:p w14:paraId="7CF54AF9" w14:textId="1BC2A459" w:rsidR="007B6FB6" w:rsidRPr="00F25651" w:rsidRDefault="00A6461B" w:rsidP="00F25651">
      <w:pPr>
        <w:pStyle w:val="BodyText"/>
      </w:pPr>
      <w:r w:rsidRPr="00F25651">
        <w:lastRenderedPageBreak/>
        <w:fldChar w:fldCharType="begin"/>
      </w:r>
      <w:r w:rsidRPr="00F25651">
        <w:instrText xml:space="preserve"> REF _Ref114654563 \h </w:instrText>
      </w:r>
      <w:r w:rsidR="00F25651">
        <w:instrText xml:space="preserve"> \* MERGEFORMAT </w:instrText>
      </w:r>
      <w:r w:rsidRPr="00F25651">
        <w:fldChar w:fldCharType="separate"/>
      </w:r>
      <w:r w:rsidRPr="00F25651">
        <w:t xml:space="preserve">Table </w:t>
      </w:r>
      <w:r w:rsidRPr="00E63FBF">
        <w:t>6</w:t>
      </w:r>
      <w:r w:rsidRPr="00F25651">
        <w:fldChar w:fldCharType="end"/>
      </w:r>
      <w:r w:rsidR="004E183C" w:rsidRPr="00F25651">
        <w:t xml:space="preserve"> shows how the proposed </w:t>
      </w:r>
      <w:r w:rsidR="00BB7C89" w:rsidRPr="00F25651">
        <w:t xml:space="preserve">2023/24 </w:t>
      </w:r>
      <w:r w:rsidR="00A62CCA" w:rsidRPr="00F25651">
        <w:t xml:space="preserve">hourly </w:t>
      </w:r>
      <w:r w:rsidR="004E183C" w:rsidRPr="00F25651">
        <w:t xml:space="preserve">rates </w:t>
      </w:r>
      <w:r w:rsidR="00BB7C89" w:rsidRPr="00F25651">
        <w:t>for consenting function</w:t>
      </w:r>
      <w:r w:rsidR="00A62CCA" w:rsidRPr="00F25651">
        <w:t>s</w:t>
      </w:r>
      <w:r w:rsidR="00BB7C89" w:rsidRPr="00F25651">
        <w:t xml:space="preserve"> </w:t>
      </w:r>
      <w:r w:rsidR="004E183C" w:rsidRPr="00F25651">
        <w:t xml:space="preserve">compare with current </w:t>
      </w:r>
      <w:r w:rsidR="000648A3" w:rsidRPr="00F25651">
        <w:t xml:space="preserve">hourly </w:t>
      </w:r>
      <w:r w:rsidR="004E183C" w:rsidRPr="00F25651">
        <w:t xml:space="preserve">rates </w:t>
      </w:r>
      <w:r w:rsidR="00BB7C89" w:rsidRPr="00F25651">
        <w:t>for consenting function</w:t>
      </w:r>
      <w:r w:rsidR="00A62CCA" w:rsidRPr="00F25651">
        <w:t>s</w:t>
      </w:r>
      <w:r w:rsidR="004E183C" w:rsidRPr="00F25651">
        <w:t xml:space="preserve">. </w:t>
      </w:r>
      <w:r w:rsidR="007B6FB6" w:rsidRPr="00F25651">
        <w:t xml:space="preserve">Table </w:t>
      </w:r>
      <w:r w:rsidR="004C3118" w:rsidRPr="00F25651">
        <w:t>6</w:t>
      </w:r>
      <w:r w:rsidR="007B6FB6" w:rsidRPr="00F25651">
        <w:t xml:space="preserve"> </w:t>
      </w:r>
      <w:r w:rsidR="004E183C" w:rsidRPr="00F25651">
        <w:t xml:space="preserve">also </w:t>
      </w:r>
      <w:r w:rsidR="006D48F5" w:rsidRPr="00F25651">
        <w:t>compares</w:t>
      </w:r>
      <w:r w:rsidR="007B6FB6" w:rsidRPr="00F25651">
        <w:t xml:space="preserve"> the current </w:t>
      </w:r>
      <w:r w:rsidR="002A4F7B" w:rsidRPr="00F25651">
        <w:t>staff categories with the proposed staff categories</w:t>
      </w:r>
      <w:r w:rsidR="00525C18" w:rsidRPr="00F25651">
        <w:t>.</w:t>
      </w:r>
      <w:r w:rsidR="002A4F7B" w:rsidRPr="00F25651">
        <w:t xml:space="preserve"> </w:t>
      </w:r>
    </w:p>
    <w:p w14:paraId="6016F670" w14:textId="4571A237" w:rsidR="00A6461B" w:rsidRDefault="00A6461B" w:rsidP="00762667">
      <w:pPr>
        <w:pStyle w:val="Tableheading"/>
      </w:pPr>
      <w:bookmarkStart w:id="41" w:name="_Ref114654563"/>
      <w:bookmarkStart w:id="42" w:name="_Toc115682243"/>
      <w:r>
        <w:t xml:space="preserve">Table </w:t>
      </w:r>
      <w:r w:rsidR="002D4F05">
        <w:fldChar w:fldCharType="begin"/>
      </w:r>
      <w:r w:rsidR="002D4F05">
        <w:instrText xml:space="preserve"> SEQ Table \* ARABIC </w:instrText>
      </w:r>
      <w:r w:rsidR="002D4F05">
        <w:fldChar w:fldCharType="separate"/>
      </w:r>
      <w:r w:rsidR="00651832">
        <w:rPr>
          <w:noProof/>
        </w:rPr>
        <w:t>6</w:t>
      </w:r>
      <w:r w:rsidR="002D4F05">
        <w:rPr>
          <w:noProof/>
        </w:rPr>
        <w:fldChar w:fldCharType="end"/>
      </w:r>
      <w:bookmarkEnd w:id="41"/>
      <w:r>
        <w:t xml:space="preserve">: </w:t>
      </w:r>
      <w:r w:rsidR="00A21651">
        <w:tab/>
      </w:r>
      <w:r w:rsidRPr="00C73628">
        <w:t>Comparison of 2023/</w:t>
      </w:r>
      <w:r w:rsidR="008720E3">
        <w:t>2</w:t>
      </w:r>
      <w:r w:rsidRPr="00C73628">
        <w:t>4 rates vs current hourly rates and staff categories</w:t>
      </w:r>
      <w:r w:rsidR="006721BB">
        <w:t xml:space="preserve"> (ex GST)</w:t>
      </w:r>
      <w:bookmarkEnd w:id="42"/>
    </w:p>
    <w:tbl>
      <w:tblPr>
        <w:tblStyle w:val="LightList-Accent11"/>
        <w:tblW w:w="5000" w:type="pct"/>
        <w:tblLayout w:type="fixed"/>
        <w:tblLook w:val="04A0" w:firstRow="1" w:lastRow="0" w:firstColumn="1" w:lastColumn="0" w:noHBand="0" w:noVBand="1"/>
      </w:tblPr>
      <w:tblGrid>
        <w:gridCol w:w="1699"/>
        <w:gridCol w:w="1699"/>
        <w:gridCol w:w="1699"/>
        <w:gridCol w:w="1699"/>
        <w:gridCol w:w="1699"/>
      </w:tblGrid>
      <w:tr w:rsidR="0043403A" w:rsidRPr="00836C77" w14:paraId="081C05D2" w14:textId="77777777" w:rsidTr="0082224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C556C" w:themeColor="accent1"/>
              <w:left w:val="single" w:sz="4" w:space="0" w:color="1C556C" w:themeColor="accent1"/>
              <w:bottom w:val="nil"/>
              <w:right w:val="single" w:sz="8" w:space="0" w:color="FFFFFF" w:themeColor="background1"/>
            </w:tcBorders>
            <w:vAlign w:val="center"/>
            <w:hideMark/>
          </w:tcPr>
          <w:p w14:paraId="2769FBFB" w14:textId="3B945EB7" w:rsidR="007B6FB6" w:rsidRPr="00836C77" w:rsidRDefault="007B6FB6" w:rsidP="00762667">
            <w:pPr>
              <w:spacing w:before="60" w:after="60" w:line="240" w:lineRule="auto"/>
              <w:jc w:val="center"/>
              <w:rPr>
                <w:rFonts w:cs="Arial"/>
                <w:b w:val="0"/>
                <w:iCs/>
                <w:sz w:val="18"/>
                <w:szCs w:val="18"/>
                <w:lang w:eastAsia="en-US"/>
              </w:rPr>
            </w:pPr>
            <w:r w:rsidRPr="00836C77">
              <w:rPr>
                <w:rFonts w:cs="Arial"/>
                <w:iCs/>
                <w:sz w:val="18"/>
                <w:szCs w:val="18"/>
                <w:lang w:eastAsia="en-US"/>
              </w:rPr>
              <w:t xml:space="preserve">Current </w:t>
            </w:r>
            <w:r w:rsidR="004D005C" w:rsidRPr="00836C77">
              <w:rPr>
                <w:rFonts w:cs="Arial"/>
                <w:iCs/>
                <w:sz w:val="18"/>
                <w:szCs w:val="18"/>
                <w:lang w:eastAsia="en-US"/>
              </w:rPr>
              <w:t>s</w:t>
            </w:r>
            <w:r w:rsidRPr="00836C77">
              <w:rPr>
                <w:rFonts w:cs="Arial"/>
                <w:iCs/>
                <w:sz w:val="18"/>
                <w:szCs w:val="18"/>
                <w:lang w:eastAsia="en-US"/>
              </w:rPr>
              <w:t>taff categories</w:t>
            </w:r>
          </w:p>
        </w:tc>
        <w:tc>
          <w:tcPr>
            <w:tcW w:w="0" w:type="pct"/>
            <w:tcBorders>
              <w:top w:val="single" w:sz="4" w:space="0" w:color="1C556C" w:themeColor="accent1"/>
              <w:left w:val="single" w:sz="8" w:space="0" w:color="FFFFFF" w:themeColor="background1"/>
              <w:bottom w:val="nil"/>
              <w:right w:val="single" w:sz="8" w:space="0" w:color="FFFFFF" w:themeColor="background1"/>
            </w:tcBorders>
            <w:vAlign w:val="center"/>
            <w:hideMark/>
          </w:tcPr>
          <w:p w14:paraId="27F48EF2" w14:textId="77777777" w:rsidR="007B6FB6" w:rsidRPr="00836C77" w:rsidRDefault="007B6FB6" w:rsidP="0076266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lang w:eastAsia="en-US"/>
              </w:rPr>
            </w:pPr>
            <w:r w:rsidRPr="00836C77">
              <w:rPr>
                <w:rFonts w:cs="Arial"/>
                <w:iCs/>
                <w:sz w:val="18"/>
                <w:szCs w:val="18"/>
                <w:lang w:eastAsia="en-US"/>
              </w:rPr>
              <w:t>Proposed staff category</w:t>
            </w:r>
          </w:p>
        </w:tc>
        <w:tc>
          <w:tcPr>
            <w:tcW w:w="0" w:type="pct"/>
            <w:tcBorders>
              <w:top w:val="single" w:sz="4" w:space="0" w:color="1C556C" w:themeColor="accent1"/>
              <w:left w:val="single" w:sz="8" w:space="0" w:color="FFFFFF" w:themeColor="background1"/>
              <w:bottom w:val="nil"/>
              <w:right w:val="single" w:sz="8" w:space="0" w:color="FFFFFF" w:themeColor="background1"/>
            </w:tcBorders>
            <w:vAlign w:val="center"/>
            <w:hideMark/>
          </w:tcPr>
          <w:p w14:paraId="5E2F0447" w14:textId="77777777" w:rsidR="007B6FB6" w:rsidRPr="00836C77" w:rsidRDefault="007B6FB6" w:rsidP="0076266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eastAsia="en-US"/>
              </w:rPr>
            </w:pPr>
            <w:r w:rsidRPr="00836C77">
              <w:rPr>
                <w:rFonts w:cs="Arial"/>
                <w:iCs/>
                <w:sz w:val="18"/>
                <w:szCs w:val="18"/>
                <w:lang w:eastAsia="en-US"/>
              </w:rPr>
              <w:t>Current</w:t>
            </w:r>
          </w:p>
          <w:p w14:paraId="6C1CADAE" w14:textId="0E754640" w:rsidR="004D005C" w:rsidRPr="00836C77" w:rsidRDefault="004D005C" w:rsidP="0076266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lang w:eastAsia="en-US"/>
              </w:rPr>
            </w:pPr>
            <w:r w:rsidRPr="00836C77">
              <w:rPr>
                <w:rFonts w:cs="Arial"/>
                <w:iCs/>
                <w:sz w:val="18"/>
                <w:szCs w:val="18"/>
                <w:lang w:eastAsia="en-US"/>
              </w:rPr>
              <w:t>$/hour</w:t>
            </w:r>
          </w:p>
        </w:tc>
        <w:tc>
          <w:tcPr>
            <w:tcW w:w="0" w:type="pct"/>
            <w:tcBorders>
              <w:top w:val="single" w:sz="4" w:space="0" w:color="1C556C" w:themeColor="accent1"/>
              <w:left w:val="single" w:sz="8" w:space="0" w:color="FFFFFF" w:themeColor="background1"/>
              <w:bottom w:val="nil"/>
              <w:right w:val="single" w:sz="8" w:space="0" w:color="FFFFFF" w:themeColor="background1"/>
            </w:tcBorders>
            <w:vAlign w:val="center"/>
            <w:hideMark/>
          </w:tcPr>
          <w:p w14:paraId="233FEF43" w14:textId="77777777" w:rsidR="007B6FB6" w:rsidRPr="00836C77" w:rsidRDefault="007B6FB6" w:rsidP="0076266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lang w:eastAsia="en-US"/>
              </w:rPr>
            </w:pPr>
            <w:r w:rsidRPr="00836C77">
              <w:rPr>
                <w:rFonts w:cs="Arial"/>
                <w:iCs/>
                <w:sz w:val="18"/>
                <w:szCs w:val="18"/>
                <w:lang w:eastAsia="en-US"/>
              </w:rPr>
              <w:t>2023/24</w:t>
            </w:r>
          </w:p>
        </w:tc>
        <w:tc>
          <w:tcPr>
            <w:tcW w:w="0" w:type="pct"/>
            <w:tcBorders>
              <w:top w:val="single" w:sz="4" w:space="0" w:color="1C556C" w:themeColor="accent1"/>
              <w:left w:val="single" w:sz="8" w:space="0" w:color="FFFFFF" w:themeColor="background1"/>
              <w:bottom w:val="nil"/>
              <w:right w:val="single" w:sz="4" w:space="0" w:color="1C556C" w:themeColor="accent1"/>
            </w:tcBorders>
            <w:vAlign w:val="center"/>
            <w:hideMark/>
          </w:tcPr>
          <w:p w14:paraId="66CAAB57" w14:textId="61E0071C" w:rsidR="007B6FB6" w:rsidRPr="00836C77" w:rsidRDefault="00047C08" w:rsidP="0076266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lang w:eastAsia="en-US"/>
              </w:rPr>
            </w:pPr>
            <w:r w:rsidRPr="00836C77">
              <w:rPr>
                <w:rFonts w:cs="Arial"/>
                <w:iCs/>
                <w:sz w:val="18"/>
                <w:szCs w:val="18"/>
                <w:lang w:eastAsia="en-US"/>
              </w:rPr>
              <w:t>Per cent</w:t>
            </w:r>
            <w:r w:rsidR="007B6FB6" w:rsidRPr="00836C77">
              <w:rPr>
                <w:rFonts w:cs="Arial"/>
                <w:iCs/>
                <w:sz w:val="18"/>
                <w:szCs w:val="18"/>
                <w:lang w:eastAsia="en-US"/>
              </w:rPr>
              <w:t xml:space="preserve"> increase</w:t>
            </w:r>
          </w:p>
        </w:tc>
      </w:tr>
      <w:tr w:rsidR="00836C77" w14:paraId="468BB355" w14:textId="77777777" w:rsidTr="008222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tcBorders>
              <w:top w:val="nil"/>
              <w:left w:val="nil"/>
              <w:right w:val="single" w:sz="8" w:space="0" w:color="1C556C" w:themeColor="accent1"/>
            </w:tcBorders>
            <w:hideMark/>
          </w:tcPr>
          <w:p w14:paraId="3617FB44" w14:textId="677DC663" w:rsidR="00836C77" w:rsidRPr="000E19F6" w:rsidRDefault="00836C77" w:rsidP="00762667">
            <w:pPr>
              <w:spacing w:before="60" w:after="60" w:line="240" w:lineRule="auto"/>
              <w:jc w:val="left"/>
              <w:rPr>
                <w:rFonts w:cs="Arial"/>
                <w:b w:val="0"/>
                <w:bCs w:val="0"/>
                <w:color w:val="000000" w:themeColor="text1"/>
                <w:sz w:val="18"/>
                <w:szCs w:val="18"/>
                <w:lang w:eastAsia="en-US"/>
              </w:rPr>
            </w:pPr>
            <w:r w:rsidRPr="000E19F6">
              <w:rPr>
                <w:rFonts w:cs="Arial"/>
                <w:b w:val="0"/>
                <w:bCs w:val="0"/>
                <w:color w:val="000000" w:themeColor="text1"/>
                <w:sz w:val="18"/>
                <w:szCs w:val="18"/>
                <w:lang w:eastAsia="en-US"/>
              </w:rPr>
              <w:t>Principal technical advisor</w:t>
            </w:r>
            <w:r w:rsidRPr="000E19F6">
              <w:rPr>
                <w:rStyle w:val="FootnoteReference"/>
                <w:rFonts w:cs="Arial"/>
                <w:b w:val="0"/>
                <w:bCs w:val="0"/>
                <w:sz w:val="18"/>
                <w:szCs w:val="18"/>
                <w:lang w:eastAsia="en-US"/>
              </w:rPr>
              <w:footnoteReference w:id="16"/>
            </w:r>
          </w:p>
        </w:tc>
        <w:tc>
          <w:tcPr>
            <w:tcW w:w="0" w:type="pct"/>
            <w:tcBorders>
              <w:top w:val="nil"/>
              <w:left w:val="single" w:sz="8" w:space="0" w:color="1C556C" w:themeColor="accent1"/>
              <w:right w:val="single" w:sz="8" w:space="0" w:color="1C556C" w:themeColor="accent1"/>
            </w:tcBorders>
            <w:noWrap/>
            <w:hideMark/>
          </w:tcPr>
          <w:p w14:paraId="510F3F76" w14:textId="77777777" w:rsidR="00836C77" w:rsidRPr="000E19F6" w:rsidRDefault="00836C77" w:rsidP="00822245">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n-US"/>
              </w:rPr>
            </w:pPr>
            <w:r w:rsidRPr="000E19F6">
              <w:rPr>
                <w:rFonts w:cs="Arial"/>
                <w:i/>
                <w:iCs/>
                <w:color w:val="000000"/>
                <w:sz w:val="18"/>
                <w:szCs w:val="18"/>
                <w:lang w:eastAsia="en-US"/>
              </w:rPr>
              <w:t>Category removed</w:t>
            </w:r>
          </w:p>
        </w:tc>
        <w:tc>
          <w:tcPr>
            <w:tcW w:w="0" w:type="pct"/>
            <w:tcBorders>
              <w:top w:val="nil"/>
              <w:left w:val="single" w:sz="8" w:space="0" w:color="1C556C" w:themeColor="accent1"/>
              <w:right w:val="single" w:sz="8" w:space="0" w:color="1C556C" w:themeColor="accent1"/>
            </w:tcBorders>
            <w:noWrap/>
            <w:hideMark/>
          </w:tcPr>
          <w:p w14:paraId="510270F3" w14:textId="5F30BCD3" w:rsidR="00836C77" w:rsidRPr="000E19F6" w:rsidRDefault="00836C7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290.00</w:t>
            </w:r>
          </w:p>
        </w:tc>
        <w:tc>
          <w:tcPr>
            <w:tcW w:w="0" w:type="pct"/>
            <w:tcBorders>
              <w:top w:val="nil"/>
              <w:left w:val="single" w:sz="8" w:space="0" w:color="1C556C" w:themeColor="accent1"/>
              <w:right w:val="nil"/>
            </w:tcBorders>
            <w:noWrap/>
          </w:tcPr>
          <w:p w14:paraId="28762466" w14:textId="77777777" w:rsidR="00836C77" w:rsidRPr="000E19F6" w:rsidRDefault="00836C77" w:rsidP="00822245">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sz w:val="18"/>
                <w:szCs w:val="18"/>
                <w:lang w:eastAsia="en-US"/>
              </w:rPr>
              <w:t>N/A</w:t>
            </w:r>
          </w:p>
        </w:tc>
        <w:tc>
          <w:tcPr>
            <w:tcW w:w="0" w:type="pct"/>
            <w:tcBorders>
              <w:top w:val="nil"/>
              <w:left w:val="single" w:sz="8" w:space="0" w:color="1C556C" w:themeColor="accent1"/>
              <w:right w:val="nil"/>
            </w:tcBorders>
          </w:tcPr>
          <w:p w14:paraId="65B4075F" w14:textId="30EF6BE0" w:rsidR="00836C77" w:rsidRPr="000E19F6" w:rsidRDefault="00836C77" w:rsidP="00822245">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sz w:val="18"/>
                <w:szCs w:val="18"/>
                <w:lang w:eastAsia="en-US"/>
              </w:rPr>
              <w:t>N/A</w:t>
            </w:r>
          </w:p>
        </w:tc>
      </w:tr>
      <w:tr w:rsidR="00836C77" w14:paraId="0A6F90C4" w14:textId="77777777" w:rsidTr="00822245">
        <w:trPr>
          <w:trHeight w:val="287"/>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1C556C" w:themeColor="accent1"/>
              <w:left w:val="nil"/>
              <w:bottom w:val="single" w:sz="8" w:space="0" w:color="1C556C" w:themeColor="accent1"/>
              <w:right w:val="single" w:sz="8" w:space="0" w:color="1C556C" w:themeColor="accent1"/>
            </w:tcBorders>
            <w:hideMark/>
          </w:tcPr>
          <w:p w14:paraId="786BAC53" w14:textId="39BF1869" w:rsidR="00836C77" w:rsidRPr="000E19F6" w:rsidRDefault="00836C77" w:rsidP="00762667">
            <w:pPr>
              <w:spacing w:before="60" w:after="60" w:line="240" w:lineRule="auto"/>
              <w:jc w:val="left"/>
              <w:rPr>
                <w:rFonts w:cs="Arial"/>
                <w:b w:val="0"/>
                <w:bCs w:val="0"/>
                <w:color w:val="000000" w:themeColor="text1"/>
                <w:sz w:val="18"/>
                <w:szCs w:val="18"/>
                <w:lang w:eastAsia="en-US"/>
              </w:rPr>
            </w:pPr>
            <w:r w:rsidRPr="000E19F6">
              <w:rPr>
                <w:rFonts w:cs="Arial"/>
                <w:b w:val="0"/>
                <w:bCs w:val="0"/>
                <w:color w:val="000000" w:themeColor="text1"/>
                <w:sz w:val="18"/>
                <w:szCs w:val="18"/>
                <w:lang w:eastAsia="en-US"/>
              </w:rPr>
              <w:t>Authority to accept decommissioning plan</w:t>
            </w:r>
            <w:r w:rsidRPr="000E19F6">
              <w:rPr>
                <w:rStyle w:val="FootnoteReference"/>
                <w:rFonts w:cs="Arial"/>
                <w:b w:val="0"/>
                <w:bCs w:val="0"/>
                <w:sz w:val="18"/>
                <w:szCs w:val="18"/>
                <w:lang w:eastAsia="en-US"/>
              </w:rPr>
              <w:footnoteReference w:id="17"/>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55BEF44C" w14:textId="77777777" w:rsidR="00836C77" w:rsidRPr="000E19F6" w:rsidRDefault="00836C77" w:rsidP="0082224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en-US"/>
              </w:rPr>
            </w:pPr>
            <w:r w:rsidRPr="000E19F6">
              <w:rPr>
                <w:rFonts w:cs="Arial"/>
                <w:i/>
                <w:iCs/>
                <w:color w:val="000000"/>
                <w:sz w:val="18"/>
                <w:szCs w:val="18"/>
                <w:lang w:eastAsia="en-US"/>
              </w:rPr>
              <w:t>Category removed</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19AEE319" w14:textId="6BC8C3F7" w:rsidR="00836C77" w:rsidRPr="000E19F6" w:rsidRDefault="00836C7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257.04</w:t>
            </w:r>
          </w:p>
        </w:tc>
        <w:tc>
          <w:tcPr>
            <w:tcW w:w="0" w:type="pct"/>
            <w:tcBorders>
              <w:top w:val="single" w:sz="8" w:space="0" w:color="1C556C" w:themeColor="accent1"/>
              <w:left w:val="single" w:sz="8" w:space="0" w:color="1C556C" w:themeColor="accent1"/>
              <w:bottom w:val="single" w:sz="8" w:space="0" w:color="1C556C" w:themeColor="accent1"/>
              <w:right w:val="nil"/>
            </w:tcBorders>
            <w:noWrap/>
          </w:tcPr>
          <w:p w14:paraId="46A22857" w14:textId="77777777" w:rsidR="00836C77" w:rsidRPr="000E19F6" w:rsidRDefault="00836C77" w:rsidP="00822245">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sz w:val="18"/>
                <w:szCs w:val="18"/>
                <w:lang w:eastAsia="en-US"/>
              </w:rPr>
              <w:t>N/A</w:t>
            </w:r>
          </w:p>
        </w:tc>
        <w:tc>
          <w:tcPr>
            <w:tcW w:w="0" w:type="pct"/>
            <w:tcBorders>
              <w:top w:val="single" w:sz="8" w:space="0" w:color="1C556C" w:themeColor="accent1"/>
              <w:left w:val="single" w:sz="8" w:space="0" w:color="1C556C" w:themeColor="accent1"/>
              <w:bottom w:val="single" w:sz="8" w:space="0" w:color="1C556C" w:themeColor="accent1"/>
              <w:right w:val="nil"/>
            </w:tcBorders>
          </w:tcPr>
          <w:p w14:paraId="654B079A" w14:textId="15B29A94" w:rsidR="00836C77" w:rsidRPr="000E19F6" w:rsidRDefault="00836C77" w:rsidP="00822245">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sz w:val="18"/>
                <w:szCs w:val="18"/>
                <w:lang w:eastAsia="en-US"/>
              </w:rPr>
              <w:t>N/A</w:t>
            </w:r>
          </w:p>
        </w:tc>
      </w:tr>
      <w:tr w:rsidR="007B6FB6" w14:paraId="0C82A582" w14:textId="77777777" w:rsidTr="008222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tcBorders>
              <w:left w:val="nil"/>
              <w:right w:val="single" w:sz="8" w:space="0" w:color="1C556C" w:themeColor="accent1"/>
            </w:tcBorders>
          </w:tcPr>
          <w:p w14:paraId="75115F4E" w14:textId="77777777" w:rsidR="007B6FB6" w:rsidRPr="000E19F6" w:rsidRDefault="007B6FB6" w:rsidP="00762667">
            <w:pPr>
              <w:spacing w:before="60" w:after="60" w:line="240" w:lineRule="auto"/>
              <w:jc w:val="left"/>
              <w:rPr>
                <w:rFonts w:cs="Arial"/>
                <w:b w:val="0"/>
                <w:bCs w:val="0"/>
                <w:color w:val="000000" w:themeColor="text1"/>
                <w:sz w:val="18"/>
                <w:szCs w:val="18"/>
                <w:lang w:eastAsia="en-US"/>
              </w:rPr>
            </w:pPr>
          </w:p>
        </w:tc>
        <w:tc>
          <w:tcPr>
            <w:tcW w:w="0" w:type="pct"/>
            <w:tcBorders>
              <w:left w:val="single" w:sz="8" w:space="0" w:color="1C556C" w:themeColor="accent1"/>
              <w:right w:val="single" w:sz="8" w:space="0" w:color="1C556C" w:themeColor="accent1"/>
            </w:tcBorders>
            <w:noWrap/>
            <w:hideMark/>
          </w:tcPr>
          <w:p w14:paraId="368224B4" w14:textId="6E7BDFDB" w:rsidR="007B6FB6" w:rsidRPr="000E19F6" w:rsidRDefault="007B6FB6" w:rsidP="00822245">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 xml:space="preserve">Principal </w:t>
            </w:r>
            <w:r w:rsidR="00172222" w:rsidRPr="000E19F6">
              <w:rPr>
                <w:rFonts w:cs="Arial"/>
                <w:color w:val="000000" w:themeColor="text1"/>
                <w:sz w:val="18"/>
                <w:szCs w:val="18"/>
                <w:lang w:eastAsia="en-US"/>
              </w:rPr>
              <w:t>a</w:t>
            </w:r>
            <w:r w:rsidRPr="000E19F6">
              <w:rPr>
                <w:rFonts w:cs="Arial"/>
                <w:color w:val="000000" w:themeColor="text1"/>
                <w:sz w:val="18"/>
                <w:szCs w:val="18"/>
                <w:lang w:eastAsia="en-US"/>
              </w:rPr>
              <w:t>dvisor/</w:t>
            </w:r>
            <w:r w:rsidR="00172222" w:rsidRPr="000E19F6">
              <w:rPr>
                <w:rFonts w:cs="Arial"/>
                <w:color w:val="000000" w:themeColor="text1"/>
                <w:sz w:val="18"/>
                <w:szCs w:val="18"/>
                <w:lang w:eastAsia="en-US"/>
              </w:rPr>
              <w:t>o</w:t>
            </w:r>
            <w:r w:rsidRPr="000E19F6">
              <w:rPr>
                <w:rFonts w:cs="Arial"/>
                <w:color w:val="000000" w:themeColor="text1"/>
                <w:sz w:val="18"/>
                <w:szCs w:val="18"/>
                <w:lang w:eastAsia="en-US"/>
              </w:rPr>
              <w:t>fficer/</w:t>
            </w:r>
            <w:r w:rsidR="00172222" w:rsidRPr="000E19F6">
              <w:rPr>
                <w:rFonts w:cs="Arial"/>
                <w:color w:val="000000" w:themeColor="text1"/>
                <w:sz w:val="18"/>
                <w:szCs w:val="18"/>
                <w:lang w:eastAsia="en-US"/>
              </w:rPr>
              <w:t>i</w:t>
            </w:r>
            <w:r w:rsidRPr="000E19F6">
              <w:rPr>
                <w:rFonts w:cs="Arial"/>
                <w:color w:val="000000" w:themeColor="text1"/>
                <w:sz w:val="18"/>
                <w:szCs w:val="18"/>
                <w:lang w:eastAsia="en-US"/>
              </w:rPr>
              <w:t>nvestigator</w:t>
            </w:r>
            <w:r w:rsidR="00216A6F">
              <w:rPr>
                <w:rFonts w:cs="Arial"/>
                <w:color w:val="000000" w:themeColor="text1"/>
                <w:sz w:val="18"/>
                <w:szCs w:val="18"/>
                <w:lang w:eastAsia="en-US"/>
              </w:rPr>
              <w:t xml:space="preserve"> and team leader</w:t>
            </w:r>
          </w:p>
        </w:tc>
        <w:tc>
          <w:tcPr>
            <w:tcW w:w="0" w:type="pct"/>
            <w:tcBorders>
              <w:left w:val="single" w:sz="8" w:space="0" w:color="1C556C" w:themeColor="accent1"/>
              <w:right w:val="single" w:sz="8" w:space="0" w:color="1C556C" w:themeColor="accent1"/>
            </w:tcBorders>
            <w:noWrap/>
            <w:hideMark/>
          </w:tcPr>
          <w:p w14:paraId="39C6E07D" w14:textId="718A46DF" w:rsidR="007B6FB6" w:rsidRPr="000E19F6" w:rsidRDefault="00836C7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sz w:val="18"/>
                <w:szCs w:val="18"/>
                <w:lang w:eastAsia="en-US"/>
              </w:rPr>
              <w:t>–</w:t>
            </w:r>
          </w:p>
        </w:tc>
        <w:tc>
          <w:tcPr>
            <w:tcW w:w="0" w:type="pct"/>
            <w:tcBorders>
              <w:left w:val="single" w:sz="8" w:space="0" w:color="1C556C" w:themeColor="accent1"/>
              <w:right w:val="single" w:sz="8" w:space="0" w:color="1C556C" w:themeColor="accent1"/>
            </w:tcBorders>
            <w:noWrap/>
            <w:hideMark/>
          </w:tcPr>
          <w:p w14:paraId="1D9EDFBF" w14:textId="44EBF1DF"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301.00</w:t>
            </w:r>
          </w:p>
        </w:tc>
        <w:tc>
          <w:tcPr>
            <w:tcW w:w="0" w:type="pct"/>
            <w:tcBorders>
              <w:left w:val="single" w:sz="8" w:space="0" w:color="1C556C" w:themeColor="accent1"/>
              <w:right w:val="nil"/>
            </w:tcBorders>
          </w:tcPr>
          <w:p w14:paraId="72FA6F09" w14:textId="77777777"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US"/>
              </w:rPr>
            </w:pPr>
          </w:p>
        </w:tc>
      </w:tr>
      <w:tr w:rsidR="007B6FB6" w14:paraId="71D7E782" w14:textId="77777777" w:rsidTr="00822245">
        <w:trPr>
          <w:trHeight w:val="287"/>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1C556C" w:themeColor="accent1"/>
              <w:left w:val="nil"/>
              <w:bottom w:val="single" w:sz="8" w:space="0" w:color="1C556C" w:themeColor="accent1"/>
              <w:right w:val="single" w:sz="8" w:space="0" w:color="1C556C" w:themeColor="accent1"/>
            </w:tcBorders>
            <w:hideMark/>
          </w:tcPr>
          <w:p w14:paraId="0B141BCF" w14:textId="2AAAE183" w:rsidR="007B6FB6" w:rsidRPr="000E19F6" w:rsidRDefault="007B6FB6" w:rsidP="00762667">
            <w:pPr>
              <w:spacing w:before="60" w:after="60" w:line="240" w:lineRule="auto"/>
              <w:jc w:val="left"/>
              <w:rPr>
                <w:rFonts w:cs="Arial"/>
                <w:b w:val="0"/>
                <w:bCs w:val="0"/>
                <w:color w:val="000000" w:themeColor="text1"/>
                <w:sz w:val="18"/>
                <w:szCs w:val="18"/>
                <w:lang w:eastAsia="en-US"/>
              </w:rPr>
            </w:pPr>
            <w:r w:rsidRPr="000E19F6">
              <w:rPr>
                <w:rFonts w:cs="Arial"/>
                <w:b w:val="0"/>
                <w:bCs w:val="0"/>
                <w:color w:val="000000" w:themeColor="text1"/>
                <w:sz w:val="18"/>
                <w:szCs w:val="18"/>
                <w:lang w:eastAsia="en-US"/>
              </w:rPr>
              <w:t xml:space="preserve">Project </w:t>
            </w:r>
            <w:r w:rsidR="00172222" w:rsidRPr="000E19F6">
              <w:rPr>
                <w:rFonts w:cs="Arial"/>
                <w:b w:val="0"/>
                <w:bCs w:val="0"/>
                <w:color w:val="000000" w:themeColor="text1"/>
                <w:sz w:val="18"/>
                <w:szCs w:val="18"/>
                <w:lang w:eastAsia="en-US"/>
              </w:rPr>
              <w:t>l</w:t>
            </w:r>
            <w:r w:rsidRPr="000E19F6">
              <w:rPr>
                <w:rFonts w:cs="Arial"/>
                <w:b w:val="0"/>
                <w:bCs w:val="0"/>
                <w:color w:val="000000" w:themeColor="text1"/>
                <w:sz w:val="18"/>
                <w:szCs w:val="18"/>
                <w:lang w:eastAsia="en-US"/>
              </w:rPr>
              <w:t>eader</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1D7B94CA" w14:textId="507E1EBF" w:rsidR="007B6FB6" w:rsidRPr="000E19F6" w:rsidRDefault="007B6FB6" w:rsidP="0082224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 xml:space="preserve">Project </w:t>
            </w:r>
            <w:r w:rsidR="00172222" w:rsidRPr="000E19F6">
              <w:rPr>
                <w:rFonts w:cs="Arial"/>
                <w:color w:val="000000" w:themeColor="text1"/>
                <w:sz w:val="18"/>
                <w:szCs w:val="18"/>
                <w:lang w:eastAsia="en-US"/>
              </w:rPr>
              <w:t>l</w:t>
            </w:r>
            <w:r w:rsidRPr="000E19F6">
              <w:rPr>
                <w:rFonts w:cs="Arial"/>
                <w:color w:val="000000" w:themeColor="text1"/>
                <w:sz w:val="18"/>
                <w:szCs w:val="18"/>
                <w:lang w:eastAsia="en-US"/>
              </w:rPr>
              <w:t>eader</w:t>
            </w:r>
            <w:r w:rsidR="00CA1CC9">
              <w:rPr>
                <w:rFonts w:cs="Arial"/>
                <w:color w:val="000000" w:themeColor="text1"/>
                <w:sz w:val="18"/>
                <w:szCs w:val="18"/>
                <w:lang w:eastAsia="en-US"/>
              </w:rPr>
              <w:t>/senior compliance officer</w:t>
            </w:r>
            <w:r w:rsidR="0093225D">
              <w:rPr>
                <w:rFonts w:cs="Arial"/>
                <w:color w:val="000000" w:themeColor="text1"/>
                <w:sz w:val="18"/>
                <w:szCs w:val="18"/>
                <w:lang w:eastAsia="en-US"/>
              </w:rPr>
              <w:t>/</w:t>
            </w:r>
            <w:r w:rsidR="00D52918">
              <w:rPr>
                <w:rFonts w:cs="Arial"/>
                <w:color w:val="000000" w:themeColor="text1"/>
                <w:sz w:val="18"/>
                <w:szCs w:val="18"/>
                <w:lang w:eastAsia="en-US"/>
              </w:rPr>
              <w:t>investig</w:t>
            </w:r>
            <w:r w:rsidR="00714F22">
              <w:rPr>
                <w:rFonts w:cs="Arial"/>
                <w:color w:val="000000" w:themeColor="text1"/>
                <w:sz w:val="18"/>
                <w:szCs w:val="18"/>
                <w:lang w:eastAsia="en-US"/>
              </w:rPr>
              <w:t>ator</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2907D2E4" w14:textId="7F711F62" w:rsidR="007B6FB6" w:rsidRPr="000E19F6" w:rsidRDefault="007B6FB6">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140.80</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2C322F93" w14:textId="31CDEB89" w:rsidR="007B6FB6" w:rsidRPr="000E19F6" w:rsidRDefault="007B6FB6">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251.00</w:t>
            </w:r>
          </w:p>
        </w:tc>
        <w:tc>
          <w:tcPr>
            <w:tcW w:w="0" w:type="pct"/>
            <w:tcBorders>
              <w:top w:val="single" w:sz="8" w:space="0" w:color="1C556C" w:themeColor="accent1"/>
              <w:left w:val="single" w:sz="8" w:space="0" w:color="1C556C" w:themeColor="accent1"/>
              <w:bottom w:val="single" w:sz="8" w:space="0" w:color="1C556C" w:themeColor="accent1"/>
              <w:right w:val="nil"/>
            </w:tcBorders>
            <w:hideMark/>
          </w:tcPr>
          <w:p w14:paraId="1C57DD77" w14:textId="77777777" w:rsidR="007B6FB6" w:rsidRPr="000E19F6" w:rsidRDefault="007B6FB6">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US"/>
              </w:rPr>
            </w:pPr>
            <w:r w:rsidRPr="000E19F6">
              <w:rPr>
                <w:rFonts w:cs="Arial"/>
                <w:color w:val="000000" w:themeColor="text1"/>
                <w:sz w:val="18"/>
                <w:szCs w:val="18"/>
                <w:lang w:eastAsia="en-US"/>
              </w:rPr>
              <w:t>78%</w:t>
            </w:r>
          </w:p>
        </w:tc>
      </w:tr>
      <w:tr w:rsidR="007B6FB6" w14:paraId="00FAD3AD" w14:textId="77777777" w:rsidTr="008222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tcBorders>
              <w:left w:val="nil"/>
              <w:right w:val="single" w:sz="8" w:space="0" w:color="1C556C" w:themeColor="accent1"/>
            </w:tcBorders>
            <w:hideMark/>
          </w:tcPr>
          <w:p w14:paraId="02D958CC" w14:textId="43D1C734" w:rsidR="007B6FB6" w:rsidRPr="000E19F6" w:rsidRDefault="007B6FB6" w:rsidP="00762667">
            <w:pPr>
              <w:spacing w:before="60" w:after="60" w:line="240" w:lineRule="auto"/>
              <w:jc w:val="left"/>
              <w:rPr>
                <w:rFonts w:cs="Arial"/>
                <w:b w:val="0"/>
                <w:bCs w:val="0"/>
                <w:color w:val="000000" w:themeColor="text1"/>
                <w:sz w:val="18"/>
                <w:szCs w:val="18"/>
                <w:lang w:eastAsia="en-US"/>
              </w:rPr>
            </w:pPr>
            <w:r w:rsidRPr="000E19F6">
              <w:rPr>
                <w:rFonts w:cs="Arial"/>
                <w:b w:val="0"/>
                <w:bCs w:val="0"/>
                <w:color w:val="000000" w:themeColor="text1"/>
                <w:sz w:val="18"/>
                <w:szCs w:val="18"/>
                <w:lang w:eastAsia="en-US"/>
              </w:rPr>
              <w:t xml:space="preserve">Senior </w:t>
            </w:r>
            <w:r w:rsidR="00172222" w:rsidRPr="000E19F6">
              <w:rPr>
                <w:rFonts w:cs="Arial"/>
                <w:b w:val="0"/>
                <w:bCs w:val="0"/>
                <w:color w:val="000000" w:themeColor="text1"/>
                <w:sz w:val="18"/>
                <w:szCs w:val="18"/>
                <w:lang w:eastAsia="en-US"/>
              </w:rPr>
              <w:t>a</w:t>
            </w:r>
            <w:r w:rsidRPr="000E19F6">
              <w:rPr>
                <w:rFonts w:cs="Arial"/>
                <w:b w:val="0"/>
                <w:bCs w:val="0"/>
                <w:color w:val="000000" w:themeColor="text1"/>
                <w:sz w:val="18"/>
                <w:szCs w:val="18"/>
                <w:lang w:eastAsia="en-US"/>
              </w:rPr>
              <w:t>dvisor</w:t>
            </w:r>
          </w:p>
        </w:tc>
        <w:tc>
          <w:tcPr>
            <w:tcW w:w="0" w:type="pct"/>
            <w:tcBorders>
              <w:left w:val="single" w:sz="8" w:space="0" w:color="1C556C" w:themeColor="accent1"/>
              <w:right w:val="single" w:sz="8" w:space="0" w:color="1C556C" w:themeColor="accent1"/>
            </w:tcBorders>
            <w:noWrap/>
            <w:hideMark/>
          </w:tcPr>
          <w:p w14:paraId="6730333E" w14:textId="7979572C" w:rsidR="007B6FB6" w:rsidRPr="000E19F6" w:rsidRDefault="007B6FB6" w:rsidP="00822245">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 xml:space="preserve">Senior </w:t>
            </w:r>
            <w:r w:rsidR="00172222" w:rsidRPr="000E19F6">
              <w:rPr>
                <w:rFonts w:cs="Arial"/>
                <w:color w:val="000000" w:themeColor="text1"/>
                <w:sz w:val="18"/>
                <w:szCs w:val="18"/>
                <w:lang w:eastAsia="en-US"/>
              </w:rPr>
              <w:t>a</w:t>
            </w:r>
            <w:r w:rsidRPr="000E19F6">
              <w:rPr>
                <w:rFonts w:cs="Arial"/>
                <w:color w:val="000000" w:themeColor="text1"/>
                <w:sz w:val="18"/>
                <w:szCs w:val="18"/>
                <w:lang w:eastAsia="en-US"/>
              </w:rPr>
              <w:t>dvisor/</w:t>
            </w:r>
            <w:r w:rsidR="00172222" w:rsidRPr="000E19F6">
              <w:rPr>
                <w:rFonts w:cs="Arial"/>
                <w:color w:val="000000" w:themeColor="text1"/>
                <w:sz w:val="18"/>
                <w:szCs w:val="18"/>
                <w:lang w:eastAsia="en-US"/>
              </w:rPr>
              <w:t>o</w:t>
            </w:r>
            <w:r w:rsidRPr="000E19F6">
              <w:rPr>
                <w:rFonts w:cs="Arial"/>
                <w:color w:val="000000" w:themeColor="text1"/>
                <w:sz w:val="18"/>
                <w:szCs w:val="18"/>
                <w:lang w:eastAsia="en-US"/>
              </w:rPr>
              <w:t>fficer/</w:t>
            </w:r>
            <w:r w:rsidR="00172222" w:rsidRPr="000E19F6">
              <w:rPr>
                <w:rFonts w:cs="Arial"/>
                <w:color w:val="000000" w:themeColor="text1"/>
                <w:sz w:val="18"/>
                <w:szCs w:val="18"/>
                <w:lang w:eastAsia="en-US"/>
              </w:rPr>
              <w:t>i</w:t>
            </w:r>
            <w:r w:rsidRPr="000E19F6">
              <w:rPr>
                <w:rFonts w:cs="Arial"/>
                <w:color w:val="000000" w:themeColor="text1"/>
                <w:sz w:val="18"/>
                <w:szCs w:val="18"/>
                <w:lang w:eastAsia="en-US"/>
              </w:rPr>
              <w:t>nvestigator</w:t>
            </w:r>
            <w:r w:rsidR="000F4D68">
              <w:rPr>
                <w:rStyle w:val="FootnoteReference"/>
                <w:rFonts w:cs="Arial"/>
                <w:szCs w:val="18"/>
                <w:lang w:eastAsia="en-US"/>
              </w:rPr>
              <w:footnoteReference w:id="18"/>
            </w:r>
          </w:p>
        </w:tc>
        <w:tc>
          <w:tcPr>
            <w:tcW w:w="0" w:type="pct"/>
            <w:tcBorders>
              <w:left w:val="single" w:sz="8" w:space="0" w:color="1C556C" w:themeColor="accent1"/>
              <w:right w:val="single" w:sz="8" w:space="0" w:color="1C556C" w:themeColor="accent1"/>
            </w:tcBorders>
            <w:noWrap/>
            <w:hideMark/>
          </w:tcPr>
          <w:p w14:paraId="3F2AC704" w14:textId="2BDB5A88"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116.12</w:t>
            </w:r>
          </w:p>
        </w:tc>
        <w:tc>
          <w:tcPr>
            <w:tcW w:w="0" w:type="pct"/>
            <w:tcBorders>
              <w:left w:val="single" w:sz="8" w:space="0" w:color="1C556C" w:themeColor="accent1"/>
              <w:right w:val="single" w:sz="8" w:space="0" w:color="1C556C" w:themeColor="accent1"/>
            </w:tcBorders>
            <w:noWrap/>
            <w:hideMark/>
          </w:tcPr>
          <w:p w14:paraId="6721A7BD" w14:textId="192CD532"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211.00</w:t>
            </w:r>
          </w:p>
        </w:tc>
        <w:tc>
          <w:tcPr>
            <w:tcW w:w="0" w:type="pct"/>
            <w:tcBorders>
              <w:left w:val="single" w:sz="8" w:space="0" w:color="1C556C" w:themeColor="accent1"/>
              <w:right w:val="nil"/>
            </w:tcBorders>
            <w:hideMark/>
          </w:tcPr>
          <w:p w14:paraId="112CDBD9" w14:textId="77777777"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US"/>
              </w:rPr>
            </w:pPr>
            <w:r w:rsidRPr="000E19F6">
              <w:rPr>
                <w:rFonts w:cs="Arial"/>
                <w:color w:val="000000" w:themeColor="text1"/>
                <w:sz w:val="18"/>
                <w:szCs w:val="18"/>
                <w:lang w:eastAsia="en-US"/>
              </w:rPr>
              <w:t>82%</w:t>
            </w:r>
          </w:p>
        </w:tc>
      </w:tr>
      <w:tr w:rsidR="007B6FB6" w14:paraId="14EC2FA3" w14:textId="77777777" w:rsidTr="00822245">
        <w:trPr>
          <w:trHeight w:val="287"/>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1C556C" w:themeColor="accent1"/>
              <w:left w:val="nil"/>
              <w:bottom w:val="single" w:sz="8" w:space="0" w:color="1C556C" w:themeColor="accent1"/>
              <w:right w:val="single" w:sz="8" w:space="0" w:color="1C556C" w:themeColor="accent1"/>
            </w:tcBorders>
            <w:hideMark/>
          </w:tcPr>
          <w:p w14:paraId="31973E09" w14:textId="77777777" w:rsidR="007B6FB6" w:rsidRPr="000E19F6" w:rsidRDefault="007B6FB6" w:rsidP="00762667">
            <w:pPr>
              <w:spacing w:before="60" w:after="60" w:line="240" w:lineRule="auto"/>
              <w:jc w:val="left"/>
              <w:rPr>
                <w:rFonts w:cs="Arial"/>
                <w:b w:val="0"/>
                <w:bCs w:val="0"/>
                <w:color w:val="000000" w:themeColor="text1"/>
                <w:sz w:val="18"/>
                <w:szCs w:val="18"/>
                <w:lang w:eastAsia="en-US"/>
              </w:rPr>
            </w:pPr>
            <w:r w:rsidRPr="000E19F6">
              <w:rPr>
                <w:rFonts w:cs="Arial"/>
                <w:b w:val="0"/>
                <w:bCs w:val="0"/>
                <w:color w:val="000000" w:themeColor="text1"/>
                <w:sz w:val="18"/>
                <w:szCs w:val="18"/>
                <w:lang w:eastAsia="en-US"/>
              </w:rPr>
              <w:t>Advisor</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12339CDD" w14:textId="3BF88F70" w:rsidR="007B6FB6" w:rsidRPr="000E19F6" w:rsidRDefault="007B6FB6" w:rsidP="0082224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Advisor/</w:t>
            </w:r>
            <w:r w:rsidR="00172222" w:rsidRPr="000E19F6">
              <w:rPr>
                <w:rFonts w:cs="Arial"/>
                <w:color w:val="000000" w:themeColor="text1"/>
                <w:sz w:val="18"/>
                <w:szCs w:val="18"/>
                <w:lang w:eastAsia="en-US"/>
              </w:rPr>
              <w:t>o</w:t>
            </w:r>
            <w:r w:rsidRPr="000E19F6">
              <w:rPr>
                <w:rFonts w:cs="Arial"/>
                <w:color w:val="000000" w:themeColor="text1"/>
                <w:sz w:val="18"/>
                <w:szCs w:val="18"/>
                <w:lang w:eastAsia="en-US"/>
              </w:rPr>
              <w:t>fficer/</w:t>
            </w:r>
            <w:r w:rsidR="00172222" w:rsidRPr="000E19F6">
              <w:rPr>
                <w:rFonts w:cs="Arial"/>
                <w:color w:val="000000" w:themeColor="text1"/>
                <w:sz w:val="18"/>
                <w:szCs w:val="18"/>
                <w:lang w:eastAsia="en-US"/>
              </w:rPr>
              <w:t>i</w:t>
            </w:r>
            <w:r w:rsidRPr="000E19F6">
              <w:rPr>
                <w:rFonts w:cs="Arial"/>
                <w:color w:val="000000" w:themeColor="text1"/>
                <w:sz w:val="18"/>
                <w:szCs w:val="18"/>
                <w:lang w:eastAsia="en-US"/>
              </w:rPr>
              <w:t>nvestigator</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61159519" w14:textId="49A384BE" w:rsidR="007B6FB6" w:rsidRPr="000E19F6" w:rsidRDefault="007B6FB6">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103.75</w:t>
            </w:r>
          </w:p>
        </w:tc>
        <w:tc>
          <w:tcPr>
            <w:tcW w:w="0" w:type="pct"/>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1405DB3B" w14:textId="21284AB0" w:rsidR="007B6FB6" w:rsidRPr="000E19F6" w:rsidRDefault="007B6FB6">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181.00</w:t>
            </w:r>
          </w:p>
        </w:tc>
        <w:tc>
          <w:tcPr>
            <w:tcW w:w="0" w:type="pct"/>
            <w:tcBorders>
              <w:top w:val="single" w:sz="8" w:space="0" w:color="1C556C" w:themeColor="accent1"/>
              <w:left w:val="single" w:sz="8" w:space="0" w:color="1C556C" w:themeColor="accent1"/>
              <w:bottom w:val="single" w:sz="8" w:space="0" w:color="1C556C" w:themeColor="accent1"/>
              <w:right w:val="nil"/>
            </w:tcBorders>
            <w:hideMark/>
          </w:tcPr>
          <w:p w14:paraId="3FB81AE2" w14:textId="77777777" w:rsidR="007B6FB6" w:rsidRPr="000E19F6" w:rsidRDefault="007B6FB6">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US"/>
              </w:rPr>
            </w:pPr>
            <w:r w:rsidRPr="000E19F6">
              <w:rPr>
                <w:rFonts w:cs="Arial"/>
                <w:color w:val="000000" w:themeColor="text1"/>
                <w:sz w:val="18"/>
                <w:szCs w:val="18"/>
                <w:lang w:eastAsia="en-US"/>
              </w:rPr>
              <w:t>74%</w:t>
            </w:r>
          </w:p>
        </w:tc>
      </w:tr>
      <w:tr w:rsidR="007B6FB6" w14:paraId="7954FC85" w14:textId="77777777" w:rsidTr="008222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pct"/>
            <w:tcBorders>
              <w:left w:val="nil"/>
              <w:right w:val="single" w:sz="8" w:space="0" w:color="1C556C" w:themeColor="accent1"/>
            </w:tcBorders>
            <w:hideMark/>
          </w:tcPr>
          <w:p w14:paraId="43EC4A65" w14:textId="77777777" w:rsidR="007B6FB6" w:rsidRPr="000E19F6" w:rsidRDefault="007B6FB6" w:rsidP="00762667">
            <w:pPr>
              <w:spacing w:before="60" w:after="60" w:line="240" w:lineRule="auto"/>
              <w:jc w:val="left"/>
              <w:rPr>
                <w:rFonts w:cs="Arial"/>
                <w:b w:val="0"/>
                <w:bCs w:val="0"/>
                <w:color w:val="000000" w:themeColor="text1"/>
                <w:sz w:val="18"/>
                <w:szCs w:val="18"/>
                <w:lang w:eastAsia="en-US"/>
              </w:rPr>
            </w:pPr>
            <w:r w:rsidRPr="000E19F6">
              <w:rPr>
                <w:rFonts w:cs="Arial"/>
                <w:b w:val="0"/>
                <w:bCs w:val="0"/>
                <w:color w:val="000000" w:themeColor="text1"/>
                <w:sz w:val="18"/>
                <w:szCs w:val="18"/>
                <w:lang w:eastAsia="en-US"/>
              </w:rPr>
              <w:t>Administrator</w:t>
            </w:r>
          </w:p>
        </w:tc>
        <w:tc>
          <w:tcPr>
            <w:tcW w:w="0" w:type="pct"/>
            <w:tcBorders>
              <w:left w:val="single" w:sz="8" w:space="0" w:color="1C556C" w:themeColor="accent1"/>
              <w:right w:val="single" w:sz="8" w:space="0" w:color="1C556C" w:themeColor="accent1"/>
            </w:tcBorders>
            <w:noWrap/>
            <w:hideMark/>
          </w:tcPr>
          <w:p w14:paraId="5AEED7C9" w14:textId="77777777" w:rsidR="007B6FB6" w:rsidRPr="000E19F6" w:rsidRDefault="007B6FB6" w:rsidP="00822245">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Administrator</w:t>
            </w:r>
          </w:p>
        </w:tc>
        <w:tc>
          <w:tcPr>
            <w:tcW w:w="0" w:type="pct"/>
            <w:tcBorders>
              <w:left w:val="single" w:sz="8" w:space="0" w:color="1C556C" w:themeColor="accent1"/>
              <w:right w:val="single" w:sz="8" w:space="0" w:color="1C556C" w:themeColor="accent1"/>
            </w:tcBorders>
            <w:noWrap/>
            <w:hideMark/>
          </w:tcPr>
          <w:p w14:paraId="17D924B8" w14:textId="21C5F75D"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97.43</w:t>
            </w:r>
          </w:p>
        </w:tc>
        <w:tc>
          <w:tcPr>
            <w:tcW w:w="0" w:type="pct"/>
            <w:tcBorders>
              <w:left w:val="single" w:sz="8" w:space="0" w:color="1C556C" w:themeColor="accent1"/>
              <w:right w:val="single" w:sz="8" w:space="0" w:color="1C556C" w:themeColor="accent1"/>
            </w:tcBorders>
            <w:noWrap/>
            <w:hideMark/>
          </w:tcPr>
          <w:p w14:paraId="00627380" w14:textId="42AF71D1"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US"/>
              </w:rPr>
            </w:pPr>
            <w:r w:rsidRPr="000E19F6">
              <w:rPr>
                <w:rFonts w:cs="Arial"/>
                <w:color w:val="000000" w:themeColor="text1"/>
                <w:sz w:val="18"/>
                <w:szCs w:val="18"/>
                <w:lang w:eastAsia="en-US"/>
              </w:rPr>
              <w:t>143.00</w:t>
            </w:r>
          </w:p>
        </w:tc>
        <w:tc>
          <w:tcPr>
            <w:tcW w:w="0" w:type="pct"/>
            <w:tcBorders>
              <w:left w:val="single" w:sz="8" w:space="0" w:color="1C556C" w:themeColor="accent1"/>
              <w:right w:val="nil"/>
            </w:tcBorders>
            <w:hideMark/>
          </w:tcPr>
          <w:p w14:paraId="5BF5A202" w14:textId="77777777" w:rsidR="007B6FB6" w:rsidRPr="000E19F6" w:rsidRDefault="007B6FB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US"/>
              </w:rPr>
            </w:pPr>
            <w:r w:rsidRPr="000E19F6">
              <w:rPr>
                <w:rFonts w:cs="Arial"/>
                <w:color w:val="000000" w:themeColor="text1"/>
                <w:sz w:val="18"/>
                <w:szCs w:val="18"/>
                <w:lang w:eastAsia="en-US"/>
              </w:rPr>
              <w:t>47%</w:t>
            </w:r>
          </w:p>
        </w:tc>
      </w:tr>
    </w:tbl>
    <w:p w14:paraId="0CEBE4B5" w14:textId="05D94566" w:rsidR="00C059DD" w:rsidRDefault="00243B49" w:rsidP="00243B49">
      <w:pPr>
        <w:pStyle w:val="Heading2"/>
      </w:pPr>
      <w:bookmarkStart w:id="43" w:name="_Toc114734498"/>
      <w:r>
        <w:t>How have we calculated the</w:t>
      </w:r>
      <w:r w:rsidRPr="00DB29D2">
        <w:t xml:space="preserve"> proposed new </w:t>
      </w:r>
      <w:r>
        <w:t>hourly</w:t>
      </w:r>
      <w:r w:rsidRPr="00DB29D2">
        <w:t xml:space="preserve"> rates</w:t>
      </w:r>
      <w:r>
        <w:t>?</w:t>
      </w:r>
      <w:bookmarkEnd w:id="43"/>
    </w:p>
    <w:p w14:paraId="3B1960CD" w14:textId="5FAE4042" w:rsidR="00857204" w:rsidRPr="00DB29D2" w:rsidRDefault="00857204" w:rsidP="00E63FBF">
      <w:pPr>
        <w:pStyle w:val="Heading3"/>
      </w:pPr>
      <w:r>
        <w:t>Our review of the level of the cost</w:t>
      </w:r>
      <w:r w:rsidR="008720E3">
        <w:t>-</w:t>
      </w:r>
      <w:r>
        <w:t xml:space="preserve">recovery charges </w:t>
      </w:r>
    </w:p>
    <w:p w14:paraId="31D9EDF1" w14:textId="1CEB4FC9" w:rsidR="00857204" w:rsidRDefault="00857204" w:rsidP="00857204">
      <w:pPr>
        <w:pStyle w:val="BodyText"/>
      </w:pPr>
      <w:r>
        <w:t xml:space="preserve">To support our review, we asked </w:t>
      </w:r>
      <w:proofErr w:type="spellStart"/>
      <w:r>
        <w:t>MartinJenkins</w:t>
      </w:r>
      <w:proofErr w:type="spellEnd"/>
      <w:r>
        <w:t xml:space="preserve"> </w:t>
      </w:r>
      <w:r w:rsidR="00131018">
        <w:t xml:space="preserve">in 2020 </w:t>
      </w:r>
      <w:r>
        <w:t xml:space="preserve">to look at </w:t>
      </w:r>
      <w:r w:rsidR="00243B49">
        <w:t xml:space="preserve">the </w:t>
      </w:r>
      <w:r>
        <w:t xml:space="preserve">EPA’s costs. </w:t>
      </w:r>
      <w:proofErr w:type="spellStart"/>
      <w:r>
        <w:t>MartinJenkins</w:t>
      </w:r>
      <w:proofErr w:type="spellEnd"/>
      <w:r>
        <w:t xml:space="preserve">: </w:t>
      </w:r>
    </w:p>
    <w:p w14:paraId="108A145D" w14:textId="3AE3FBF1" w:rsidR="00857204" w:rsidRDefault="00857204" w:rsidP="007A6990">
      <w:pPr>
        <w:pStyle w:val="Bullet"/>
      </w:pPr>
      <w:r>
        <w:t xml:space="preserve">analysed </w:t>
      </w:r>
      <w:r w:rsidR="00F53BC7">
        <w:t xml:space="preserve">the </w:t>
      </w:r>
      <w:r w:rsidR="00362912">
        <w:t xml:space="preserve">EPA’s </w:t>
      </w:r>
      <w:r>
        <w:t xml:space="preserve">costs for </w:t>
      </w:r>
      <w:r w:rsidR="00362912">
        <w:t xml:space="preserve">EEZ consenting </w:t>
      </w:r>
      <w:r>
        <w:t xml:space="preserve">and monitoring for 2017/18 and 2018/19 </w:t>
      </w:r>
    </w:p>
    <w:p w14:paraId="1C3BF726" w14:textId="1448CBB5" w:rsidR="00857204" w:rsidRDefault="00857204" w:rsidP="007A6990">
      <w:pPr>
        <w:pStyle w:val="Bullet"/>
      </w:pPr>
      <w:r>
        <w:t>analysed the EPA’s overhead cost</w:t>
      </w:r>
      <w:r w:rsidR="00F53BC7">
        <w:t>-</w:t>
      </w:r>
      <w:r>
        <w:t>allocation model</w:t>
      </w:r>
    </w:p>
    <w:p w14:paraId="43852B98" w14:textId="47BBA39D" w:rsidR="00857204" w:rsidRDefault="00857204" w:rsidP="007A6990">
      <w:pPr>
        <w:pStyle w:val="Bullet"/>
      </w:pPr>
      <w:r>
        <w:t>reviewed the EPA’s arrangements for recovering the cost of monitoring EEZ consents and the current level of cost recovery</w:t>
      </w:r>
    </w:p>
    <w:p w14:paraId="66E6484C" w14:textId="77777777" w:rsidR="00857204" w:rsidRDefault="00857204" w:rsidP="007A6990">
      <w:pPr>
        <w:pStyle w:val="Bullet"/>
      </w:pPr>
      <w:r>
        <w:lastRenderedPageBreak/>
        <w:t>calculated new hourly rates for EEZ staff roles based on 2020/21 salary band data and average indirect cost.</w:t>
      </w:r>
    </w:p>
    <w:p w14:paraId="2B7082E6" w14:textId="1213860A" w:rsidR="00857204" w:rsidRDefault="0022346E" w:rsidP="00857204">
      <w:pPr>
        <w:pStyle w:val="BodyText"/>
      </w:pPr>
      <w:r>
        <w:t xml:space="preserve">The work carried out by </w:t>
      </w:r>
      <w:proofErr w:type="spellStart"/>
      <w:r w:rsidR="00857204">
        <w:t>MartinJenkins</w:t>
      </w:r>
      <w:proofErr w:type="spellEnd"/>
      <w:r w:rsidR="00857204">
        <w:t xml:space="preserve"> has confirmed that the current charge-out rates are not set to recover all relevant costs. </w:t>
      </w:r>
      <w:proofErr w:type="spellStart"/>
      <w:r w:rsidR="00857204">
        <w:t>MartinJenkins</w:t>
      </w:r>
      <w:proofErr w:type="spellEnd"/>
      <w:r w:rsidR="00857204">
        <w:t xml:space="preserve"> also found that some EPA staff time is spent on activities </w:t>
      </w:r>
      <w:r w:rsidR="007D57CB">
        <w:t xml:space="preserve">that </w:t>
      </w:r>
      <w:r w:rsidR="00857204">
        <w:t xml:space="preserve">indirectly contribute to </w:t>
      </w:r>
      <w:r w:rsidR="00857204" w:rsidRPr="00017F7B">
        <w:t>consenting and</w:t>
      </w:r>
      <w:r w:rsidR="00857204" w:rsidRPr="002078E6">
        <w:t xml:space="preserve"> monitoring functions</w:t>
      </w:r>
      <w:r w:rsidR="007D57CB">
        <w:t xml:space="preserve">, </w:t>
      </w:r>
      <w:r w:rsidR="00857204">
        <w:t>which</w:t>
      </w:r>
      <w:r w:rsidR="00857204" w:rsidRPr="002078E6">
        <w:t xml:space="preserve"> should be included in the </w:t>
      </w:r>
      <w:r w:rsidR="00857204">
        <w:t>calculation of the hourly</w:t>
      </w:r>
      <w:r w:rsidR="00857204" w:rsidRPr="002078E6">
        <w:t xml:space="preserve"> rates.</w:t>
      </w:r>
    </w:p>
    <w:p w14:paraId="5E5C1771" w14:textId="140E1D7B" w:rsidR="00857204" w:rsidRPr="00857204" w:rsidRDefault="00857204" w:rsidP="00E63FBF">
      <w:pPr>
        <w:pStyle w:val="Heading3"/>
      </w:pPr>
      <w:r w:rsidRPr="00857204">
        <w:t xml:space="preserve">Our formula for calculating the </w:t>
      </w:r>
      <w:r w:rsidR="001478BA">
        <w:t>proposed new hourly rates</w:t>
      </w:r>
    </w:p>
    <w:p w14:paraId="50B1A61B" w14:textId="3E7B201A" w:rsidR="00C059DD" w:rsidRDefault="00C059DD" w:rsidP="00A61801">
      <w:pPr>
        <w:pStyle w:val="BodyText"/>
      </w:pPr>
      <w:r>
        <w:t>The proposed new charge-out rates are based on th</w:t>
      </w:r>
      <w:r w:rsidR="00C203EF">
        <w:t>is</w:t>
      </w:r>
      <w:r>
        <w:t xml:space="preserve"> formula</w:t>
      </w:r>
      <w:r w:rsidR="004B6461">
        <w:t xml:space="preserve">, which is explained in more detail below. </w:t>
      </w:r>
    </w:p>
    <w:p w14:paraId="4A3E360C" w14:textId="72636308" w:rsidR="00C059DD" w:rsidRPr="00836C77" w:rsidRDefault="00025DB3" w:rsidP="00F75C27">
      <w:pPr>
        <w:pBdr>
          <w:top w:val="single" w:sz="4" w:space="1" w:color="auto"/>
          <w:left w:val="single" w:sz="4" w:space="4" w:color="auto"/>
          <w:bottom w:val="single" w:sz="4" w:space="1" w:color="auto"/>
          <w:right w:val="single" w:sz="4" w:space="0" w:color="auto"/>
        </w:pBdr>
        <w:jc w:val="center"/>
        <w:rPr>
          <w:sz w:val="20"/>
          <w:szCs w:val="20"/>
        </w:rPr>
      </w:pPr>
      <m:oMathPara>
        <m:oMath>
          <m:r>
            <w:rPr>
              <w:rFonts w:ascii="Cambria Math" w:hAnsi="Cambria Math"/>
              <w:sz w:val="20"/>
              <w:szCs w:val="20"/>
            </w:rPr>
            <m:t>Hourly charge out rate=</m:t>
          </m:r>
          <m:f>
            <m:fPr>
              <m:ctrlPr>
                <w:rPr>
                  <w:rFonts w:ascii="Cambria Math" w:hAnsi="Cambria Math"/>
                  <w:i/>
                  <w:sz w:val="20"/>
                  <w:szCs w:val="20"/>
                </w:rPr>
              </m:ctrlPr>
            </m:fPr>
            <m:num>
              <m:eqArr>
                <m:eqArrPr>
                  <m:ctrlPr>
                    <w:rPr>
                      <w:rFonts w:ascii="Cambria Math" w:hAnsi="Cambria Math"/>
                      <w:i/>
                      <w:sz w:val="20"/>
                      <w:szCs w:val="20"/>
                    </w:rPr>
                  </m:ctrlPr>
                </m:eqArrPr>
                <m:e/>
                <m:e>
                  <m:r>
                    <w:rPr>
                      <w:rFonts w:ascii="Cambria Math" w:hAnsi="Cambria Math"/>
                      <w:sz w:val="20"/>
                      <w:szCs w:val="20"/>
                    </w:rPr>
                    <m:t>Salary costs+other direct costs+overheads</m:t>
                  </m:r>
                </m:e>
              </m:eqArr>
            </m:num>
            <m:den>
              <m:eqArr>
                <m:eqArrPr>
                  <m:ctrlPr>
                    <w:rPr>
                      <w:rFonts w:ascii="Cambria Math" w:hAnsi="Cambria Math"/>
                      <w:i/>
                      <w:sz w:val="20"/>
                      <w:szCs w:val="20"/>
                    </w:rPr>
                  </m:ctrlPr>
                </m:eqArrPr>
                <m:e>
                  <m:r>
                    <w:rPr>
                      <w:rFonts w:ascii="Cambria Math" w:hAnsi="Cambria Math"/>
                      <w:sz w:val="20"/>
                      <w:szCs w:val="20"/>
                    </w:rPr>
                    <m:t>Annual total hours</m:t>
                  </m:r>
                </m:e>
                <m:e/>
              </m:eqArr>
            </m:den>
          </m:f>
        </m:oMath>
      </m:oMathPara>
    </w:p>
    <w:p w14:paraId="1C73E4B7" w14:textId="08E8C891" w:rsidR="00C059DD" w:rsidRDefault="00243B49" w:rsidP="00E63FBF">
      <w:pPr>
        <w:pStyle w:val="Heading3"/>
      </w:pPr>
      <w:r>
        <w:t xml:space="preserve">The </w:t>
      </w:r>
      <w:r w:rsidR="00470C00">
        <w:t>‘</w:t>
      </w:r>
      <w:r w:rsidR="008E0F76">
        <w:t>s</w:t>
      </w:r>
      <w:r w:rsidR="00C059DD">
        <w:t>alary costs</w:t>
      </w:r>
      <w:r w:rsidR="00470C00">
        <w:t>’</w:t>
      </w:r>
      <w:r w:rsidR="00200A7C">
        <w:t xml:space="preserve"> </w:t>
      </w:r>
      <w:r w:rsidR="008E0F76">
        <w:t>element is</w:t>
      </w:r>
      <w:r w:rsidR="00200A7C">
        <w:t xml:space="preserve"> based on </w:t>
      </w:r>
      <w:r w:rsidR="008E0F76">
        <w:t xml:space="preserve">the EPA’s </w:t>
      </w:r>
      <w:r w:rsidR="00200A7C">
        <w:t>current salary midpoints</w:t>
      </w:r>
      <w:r w:rsidR="002D7FF4">
        <w:t>,</w:t>
      </w:r>
      <w:r w:rsidR="00200A7C">
        <w:t xml:space="preserve"> with adjustments for expected increases</w:t>
      </w:r>
    </w:p>
    <w:p w14:paraId="6FBF2F07" w14:textId="3F2DDAE0" w:rsidR="00C059DD" w:rsidRPr="00E30FEE" w:rsidRDefault="00413F23" w:rsidP="00E63FBF">
      <w:pPr>
        <w:pStyle w:val="BodyText"/>
        <w:rPr>
          <w:highlight w:val="yellow"/>
        </w:rPr>
      </w:pPr>
      <w:r>
        <w:t>T</w:t>
      </w:r>
      <w:r w:rsidR="00273F9F">
        <w:t>he current charge</w:t>
      </w:r>
      <w:r w:rsidR="008B00BE">
        <w:t>-</w:t>
      </w:r>
      <w:r w:rsidR="00273F9F">
        <w:t>out rates were not based directly on EPA salaries</w:t>
      </w:r>
      <w:r>
        <w:t>. However,</w:t>
      </w:r>
      <w:r w:rsidR="00273F9F">
        <w:t xml:space="preserve"> it is useful context to consider how much EPA salaries have increased since 2013. </w:t>
      </w:r>
      <w:r w:rsidR="00C059DD" w:rsidRPr="001E0A75">
        <w:t>From 2013 to 2021, the EPA’s salary band</w:t>
      </w:r>
      <w:r w:rsidR="00702BBA">
        <w:t>s</w:t>
      </w:r>
      <w:r w:rsidR="00C059DD" w:rsidRPr="001E0A75">
        <w:t xml:space="preserve"> have increased on average 14 per cent. For comparison, </w:t>
      </w:r>
      <w:r w:rsidR="002D7FF4">
        <w:t xml:space="preserve">over the same period, </w:t>
      </w:r>
      <w:r w:rsidR="00C059DD" w:rsidRPr="001E0A75">
        <w:t xml:space="preserve">the Labour Cost Index </w:t>
      </w:r>
      <w:r w:rsidR="001824D1">
        <w:t>(</w:t>
      </w:r>
      <w:r w:rsidR="00C059DD" w:rsidRPr="001E0A75">
        <w:t>the Statistics New Zealand time series measurement of changes in wages and salaries</w:t>
      </w:r>
      <w:r w:rsidR="001824D1">
        <w:t>)</w:t>
      </w:r>
      <w:r w:rsidR="00C059DD" w:rsidRPr="001E0A75">
        <w:t xml:space="preserve"> has increased 16 per cent. </w:t>
      </w:r>
    </w:p>
    <w:p w14:paraId="60B5F23F" w14:textId="65BF43D2" w:rsidR="0086212A" w:rsidRDefault="001824D1" w:rsidP="00E63FBF">
      <w:pPr>
        <w:pStyle w:val="BodyText"/>
      </w:pPr>
      <w:r>
        <w:t>To set the</w:t>
      </w:r>
      <w:r w:rsidR="0086212A">
        <w:t xml:space="preserve"> </w:t>
      </w:r>
      <w:r w:rsidR="00470C00">
        <w:t>‘</w:t>
      </w:r>
      <w:r w:rsidR="0086212A">
        <w:t>salary costs</w:t>
      </w:r>
      <w:r w:rsidR="00470C00">
        <w:t>’</w:t>
      </w:r>
      <w:r w:rsidR="0086212A">
        <w:t xml:space="preserve"> element of </w:t>
      </w:r>
      <w:r w:rsidR="00B66F99">
        <w:t>the</w:t>
      </w:r>
      <w:r w:rsidR="0086212A">
        <w:t xml:space="preserve"> formula</w:t>
      </w:r>
      <w:r w:rsidR="002D7FF4">
        <w:t>,</w:t>
      </w:r>
      <w:r w:rsidR="0086212A">
        <w:t xml:space="preserve"> we have:</w:t>
      </w:r>
    </w:p>
    <w:p w14:paraId="0153F8EF" w14:textId="45D3EB68" w:rsidR="0086212A" w:rsidRDefault="0086212A" w:rsidP="00762667">
      <w:pPr>
        <w:pStyle w:val="Bullet"/>
      </w:pPr>
      <w:r>
        <w:t>identified</w:t>
      </w:r>
      <w:r w:rsidR="00D023F9">
        <w:t xml:space="preserve"> the salary band midpoints </w:t>
      </w:r>
      <w:r>
        <w:t>(as of May 2022)</w:t>
      </w:r>
      <w:r w:rsidRPr="00551AC6">
        <w:t xml:space="preserve"> for the roles of </w:t>
      </w:r>
      <w:r w:rsidR="002D7FF4">
        <w:t>a</w:t>
      </w:r>
      <w:r w:rsidRPr="00551AC6">
        <w:t xml:space="preserve">dministrator, </w:t>
      </w:r>
      <w:r w:rsidR="002D7FF4">
        <w:t>a</w:t>
      </w:r>
      <w:r w:rsidRPr="00551AC6">
        <w:t xml:space="preserve">dvisor, </w:t>
      </w:r>
      <w:r w:rsidR="002D7FF4">
        <w:t>s</w:t>
      </w:r>
      <w:r w:rsidRPr="00551AC6">
        <w:t xml:space="preserve">enior </w:t>
      </w:r>
      <w:r w:rsidR="002D7FF4">
        <w:t>a</w:t>
      </w:r>
      <w:r w:rsidRPr="00551AC6">
        <w:t xml:space="preserve">dvisor, </w:t>
      </w:r>
      <w:r w:rsidR="002D7FF4">
        <w:t>p</w:t>
      </w:r>
      <w:r w:rsidRPr="00551AC6">
        <w:t xml:space="preserve">roject </w:t>
      </w:r>
      <w:r w:rsidR="002D7FF4">
        <w:t>l</w:t>
      </w:r>
      <w:r w:rsidRPr="00551AC6">
        <w:t xml:space="preserve">eader and </w:t>
      </w:r>
      <w:r w:rsidR="002D7FF4">
        <w:t>p</w:t>
      </w:r>
      <w:r w:rsidRPr="00551AC6">
        <w:t xml:space="preserve">rincipal </w:t>
      </w:r>
      <w:r w:rsidR="002D7FF4">
        <w:t>a</w:t>
      </w:r>
      <w:r w:rsidRPr="00551AC6">
        <w:t>dvisor</w:t>
      </w:r>
    </w:p>
    <w:p w14:paraId="2AFBC1A1" w14:textId="1DED2ADE" w:rsidR="00BA0861" w:rsidRDefault="00BA0861" w:rsidP="00762667">
      <w:pPr>
        <w:pStyle w:val="Bullet"/>
      </w:pPr>
      <w:r>
        <w:t xml:space="preserve">adjusted each salary band midpoint in line with the expected salary increases for each </w:t>
      </w:r>
      <w:r w:rsidR="00B66F99">
        <w:t xml:space="preserve">financial </w:t>
      </w:r>
      <w:r>
        <w:t xml:space="preserve">year (2023/24, 2024/25 and 2025/26). </w:t>
      </w:r>
    </w:p>
    <w:p w14:paraId="147C0AB2" w14:textId="0FDEEBA6" w:rsidR="00C059DD" w:rsidRDefault="00A6461B" w:rsidP="00E63FBF">
      <w:pPr>
        <w:pStyle w:val="BodyText"/>
      </w:pPr>
      <w:r>
        <w:fldChar w:fldCharType="begin"/>
      </w:r>
      <w:r>
        <w:instrText xml:space="preserve"> REF _Ref114654584 \h </w:instrText>
      </w:r>
      <w:r w:rsidR="00F25651">
        <w:instrText xml:space="preserve"> \* MERGEFORMAT </w:instrText>
      </w:r>
      <w:r>
        <w:fldChar w:fldCharType="separate"/>
      </w:r>
      <w:r w:rsidR="002721DF">
        <w:t xml:space="preserve">Table </w:t>
      </w:r>
      <w:r w:rsidR="002721DF">
        <w:rPr>
          <w:noProof/>
        </w:rPr>
        <w:t>7</w:t>
      </w:r>
      <w:r>
        <w:fldChar w:fldCharType="end"/>
      </w:r>
      <w:r>
        <w:t xml:space="preserve"> </w:t>
      </w:r>
      <w:r w:rsidR="00243B49">
        <w:t>shows the expected salary increases we have used.</w:t>
      </w:r>
    </w:p>
    <w:p w14:paraId="66BC4462" w14:textId="6768B2D8" w:rsidR="00A6461B" w:rsidRDefault="00A6461B" w:rsidP="00762667">
      <w:pPr>
        <w:pStyle w:val="Tableheading"/>
      </w:pPr>
      <w:bookmarkStart w:id="44" w:name="_Ref114654584"/>
      <w:bookmarkStart w:id="45" w:name="_Toc115682244"/>
      <w:r>
        <w:t xml:space="preserve">Table </w:t>
      </w:r>
      <w:r w:rsidR="002D4F05">
        <w:fldChar w:fldCharType="begin"/>
      </w:r>
      <w:r w:rsidR="002D4F05">
        <w:instrText xml:space="preserve"> SEQ Table \* ARABIC </w:instrText>
      </w:r>
      <w:r w:rsidR="002D4F05">
        <w:fldChar w:fldCharType="separate"/>
      </w:r>
      <w:r w:rsidR="00651832">
        <w:rPr>
          <w:noProof/>
        </w:rPr>
        <w:t>7</w:t>
      </w:r>
      <w:r w:rsidR="002D4F05">
        <w:rPr>
          <w:noProof/>
        </w:rPr>
        <w:fldChar w:fldCharType="end"/>
      </w:r>
      <w:bookmarkEnd w:id="44"/>
      <w:r>
        <w:t xml:space="preserve">: </w:t>
      </w:r>
      <w:r w:rsidR="00A21651">
        <w:tab/>
      </w:r>
      <w:r w:rsidRPr="0092059F">
        <w:t>Business NZ Labour cost index forecast March 2022</w:t>
      </w:r>
      <w:r w:rsidR="00B50016">
        <w:rPr>
          <w:rStyle w:val="FootnoteReference"/>
        </w:rPr>
        <w:footnoteReference w:id="19"/>
      </w:r>
      <w:bookmarkEnd w:id="45"/>
    </w:p>
    <w:tbl>
      <w:tblPr>
        <w:tblStyle w:val="LightList-Accent11"/>
        <w:tblW w:w="8628" w:type="dxa"/>
        <w:tblInd w:w="-10" w:type="dxa"/>
        <w:tblBorders>
          <w:insideH w:val="single" w:sz="4" w:space="0" w:color="auto"/>
          <w:insideV w:val="single" w:sz="4" w:space="0" w:color="auto"/>
        </w:tblBorders>
        <w:tblLook w:val="04A0" w:firstRow="1" w:lastRow="0" w:firstColumn="1" w:lastColumn="0" w:noHBand="0" w:noVBand="1"/>
      </w:tblPr>
      <w:tblGrid>
        <w:gridCol w:w="2157"/>
        <w:gridCol w:w="2157"/>
        <w:gridCol w:w="2157"/>
        <w:gridCol w:w="2157"/>
      </w:tblGrid>
      <w:tr w:rsidR="0043403A" w:rsidRPr="00B82705" w14:paraId="7FF98E81" w14:textId="77777777" w:rsidTr="009632BA">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1B556B"/>
              <w:bottom w:val="single" w:sz="4" w:space="0" w:color="1B556B"/>
              <w:right w:val="single" w:sz="8" w:space="0" w:color="FFFFFF" w:themeColor="background1"/>
            </w:tcBorders>
            <w:hideMark/>
          </w:tcPr>
          <w:p w14:paraId="75B2F88C" w14:textId="77777777" w:rsidR="00C059DD" w:rsidRPr="000A3734" w:rsidRDefault="00C059DD" w:rsidP="000E19F6">
            <w:pPr>
              <w:pStyle w:val="Tableheading"/>
              <w:jc w:val="right"/>
              <w:rPr>
                <w:b/>
                <w:bCs w:val="0"/>
              </w:rPr>
            </w:pPr>
            <w:r w:rsidRPr="008B58EB">
              <w:rPr>
                <w:b/>
                <w:bCs w:val="0"/>
              </w:rPr>
              <w:t>2022/23</w:t>
            </w:r>
          </w:p>
        </w:tc>
        <w:tc>
          <w:tcPr>
            <w:tcW w:w="0" w:type="dxa"/>
            <w:tcBorders>
              <w:top w:val="nil"/>
              <w:left w:val="single" w:sz="8" w:space="0" w:color="FFFFFF" w:themeColor="background1"/>
              <w:bottom w:val="nil"/>
              <w:right w:val="single" w:sz="8" w:space="0" w:color="FFFFFF" w:themeColor="background1"/>
            </w:tcBorders>
            <w:hideMark/>
          </w:tcPr>
          <w:p w14:paraId="6DF6014D" w14:textId="77777777" w:rsidR="00C059DD" w:rsidRPr="000A3734" w:rsidRDefault="00C059DD" w:rsidP="000E19F6">
            <w:pPr>
              <w:pStyle w:val="Tableheading"/>
              <w:jc w:val="right"/>
              <w:cnfStyle w:val="100000000000" w:firstRow="1" w:lastRow="0" w:firstColumn="0" w:lastColumn="0" w:oddVBand="0" w:evenVBand="0" w:oddHBand="0" w:evenHBand="0" w:firstRowFirstColumn="0" w:firstRowLastColumn="0" w:lastRowFirstColumn="0" w:lastRowLastColumn="0"/>
              <w:rPr>
                <w:b/>
                <w:bCs w:val="0"/>
              </w:rPr>
            </w:pPr>
            <w:r w:rsidRPr="008B58EB">
              <w:rPr>
                <w:b/>
                <w:bCs w:val="0"/>
              </w:rPr>
              <w:t>2023/24</w:t>
            </w:r>
          </w:p>
        </w:tc>
        <w:tc>
          <w:tcPr>
            <w:tcW w:w="0" w:type="dxa"/>
            <w:tcBorders>
              <w:top w:val="nil"/>
              <w:left w:val="single" w:sz="8" w:space="0" w:color="FFFFFF" w:themeColor="background1"/>
              <w:bottom w:val="nil"/>
              <w:right w:val="single" w:sz="8" w:space="0" w:color="FFFFFF" w:themeColor="background1"/>
            </w:tcBorders>
            <w:hideMark/>
          </w:tcPr>
          <w:p w14:paraId="119CDD4A" w14:textId="77777777" w:rsidR="00C059DD" w:rsidRPr="000A3734" w:rsidRDefault="00C059DD" w:rsidP="000E19F6">
            <w:pPr>
              <w:pStyle w:val="Tableheading"/>
              <w:jc w:val="right"/>
              <w:cnfStyle w:val="100000000000" w:firstRow="1" w:lastRow="0" w:firstColumn="0" w:lastColumn="0" w:oddVBand="0" w:evenVBand="0" w:oddHBand="0" w:evenHBand="0" w:firstRowFirstColumn="0" w:firstRowLastColumn="0" w:lastRowFirstColumn="0" w:lastRowLastColumn="0"/>
              <w:rPr>
                <w:b/>
                <w:bCs w:val="0"/>
              </w:rPr>
            </w:pPr>
            <w:r w:rsidRPr="008B58EB">
              <w:rPr>
                <w:b/>
                <w:bCs w:val="0"/>
              </w:rPr>
              <w:t>2024/25</w:t>
            </w:r>
          </w:p>
        </w:tc>
        <w:tc>
          <w:tcPr>
            <w:tcW w:w="0" w:type="dxa"/>
            <w:tcBorders>
              <w:top w:val="nil"/>
              <w:left w:val="single" w:sz="8" w:space="0" w:color="FFFFFF" w:themeColor="background1"/>
              <w:bottom w:val="nil"/>
              <w:right w:val="nil"/>
            </w:tcBorders>
            <w:hideMark/>
          </w:tcPr>
          <w:p w14:paraId="49E20C2A" w14:textId="77777777" w:rsidR="00C059DD" w:rsidRPr="000A3734" w:rsidRDefault="00C059DD" w:rsidP="000E19F6">
            <w:pPr>
              <w:pStyle w:val="Tableheading"/>
              <w:jc w:val="right"/>
              <w:cnfStyle w:val="100000000000" w:firstRow="1" w:lastRow="0" w:firstColumn="0" w:lastColumn="0" w:oddVBand="0" w:evenVBand="0" w:oddHBand="0" w:evenHBand="0" w:firstRowFirstColumn="0" w:firstRowLastColumn="0" w:lastRowFirstColumn="0" w:lastRowLastColumn="0"/>
              <w:rPr>
                <w:b/>
                <w:bCs w:val="0"/>
              </w:rPr>
            </w:pPr>
            <w:r w:rsidRPr="008B58EB">
              <w:rPr>
                <w:b/>
                <w:bCs w:val="0"/>
              </w:rPr>
              <w:t>2025/26</w:t>
            </w:r>
          </w:p>
        </w:tc>
      </w:tr>
      <w:tr w:rsidR="0043403A" w:rsidRPr="00B82705" w14:paraId="4CF1ED9B" w14:textId="77777777" w:rsidTr="009632B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B556B"/>
              <w:left w:val="nil"/>
              <w:bottom w:val="single" w:sz="4" w:space="0" w:color="1B556B"/>
              <w:right w:val="single" w:sz="8" w:space="0" w:color="1C556C" w:themeColor="accent1"/>
            </w:tcBorders>
            <w:noWrap/>
            <w:hideMark/>
          </w:tcPr>
          <w:p w14:paraId="23DCF69B" w14:textId="77777777" w:rsidR="00C059DD" w:rsidRPr="000E19F6" w:rsidRDefault="00C059DD">
            <w:pPr>
              <w:spacing w:after="0" w:line="240" w:lineRule="auto"/>
              <w:jc w:val="right"/>
              <w:rPr>
                <w:b w:val="0"/>
                <w:bCs w:val="0"/>
                <w:sz w:val="18"/>
                <w:szCs w:val="18"/>
              </w:rPr>
            </w:pPr>
            <w:r w:rsidRPr="000E19F6">
              <w:rPr>
                <w:b w:val="0"/>
                <w:bCs w:val="0"/>
                <w:sz w:val="18"/>
                <w:szCs w:val="18"/>
              </w:rPr>
              <w:t>3.</w:t>
            </w:r>
            <w:r w:rsidRPr="000E19F6">
              <w:rPr>
                <w:rFonts w:cs="Arial"/>
                <w:b w:val="0"/>
                <w:bCs w:val="0"/>
                <w:sz w:val="18"/>
                <w:szCs w:val="18"/>
              </w:rPr>
              <w:t>4</w:t>
            </w:r>
            <w:r w:rsidRPr="000E19F6">
              <w:rPr>
                <w:b w:val="0"/>
                <w:bCs w:val="0"/>
                <w:sz w:val="18"/>
                <w:szCs w:val="18"/>
              </w:rPr>
              <w:t xml:space="preserve">% </w:t>
            </w:r>
          </w:p>
        </w:tc>
        <w:tc>
          <w:tcPr>
            <w:tcW w:w="0" w:type="dxa"/>
            <w:tcBorders>
              <w:top w:val="nil"/>
              <w:left w:val="single" w:sz="8" w:space="0" w:color="1C556C" w:themeColor="accent1"/>
              <w:bottom w:val="single" w:sz="4" w:space="0" w:color="1B556B"/>
              <w:right w:val="single" w:sz="8" w:space="0" w:color="1C556C" w:themeColor="accent1"/>
            </w:tcBorders>
            <w:noWrap/>
            <w:hideMark/>
          </w:tcPr>
          <w:p w14:paraId="6EED6901" w14:textId="77777777" w:rsidR="00C059DD" w:rsidRPr="000E19F6" w:rsidRDefault="00C059DD">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0E19F6">
              <w:rPr>
                <w:sz w:val="18"/>
                <w:szCs w:val="18"/>
              </w:rPr>
              <w:t>3.</w:t>
            </w:r>
            <w:r w:rsidRPr="000E19F6">
              <w:rPr>
                <w:rFonts w:cs="Arial"/>
                <w:sz w:val="18"/>
                <w:szCs w:val="18"/>
              </w:rPr>
              <w:t xml:space="preserve">0% </w:t>
            </w:r>
          </w:p>
        </w:tc>
        <w:tc>
          <w:tcPr>
            <w:tcW w:w="0" w:type="dxa"/>
            <w:tcBorders>
              <w:top w:val="nil"/>
              <w:left w:val="single" w:sz="8" w:space="0" w:color="1C556C" w:themeColor="accent1"/>
              <w:bottom w:val="single" w:sz="4" w:space="0" w:color="1B556B"/>
              <w:right w:val="single" w:sz="8" w:space="0" w:color="1C556C" w:themeColor="accent1"/>
            </w:tcBorders>
            <w:noWrap/>
            <w:hideMark/>
          </w:tcPr>
          <w:p w14:paraId="24E23D42" w14:textId="77777777" w:rsidR="00C059DD" w:rsidRPr="000E19F6" w:rsidRDefault="00C059DD">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0E19F6">
              <w:rPr>
                <w:sz w:val="18"/>
                <w:szCs w:val="18"/>
              </w:rPr>
              <w:t>3.</w:t>
            </w:r>
            <w:r w:rsidRPr="000E19F6">
              <w:rPr>
                <w:rFonts w:cs="Arial"/>
                <w:sz w:val="18"/>
                <w:szCs w:val="18"/>
              </w:rPr>
              <w:t>0</w:t>
            </w:r>
            <w:r w:rsidRPr="000E19F6">
              <w:rPr>
                <w:sz w:val="18"/>
                <w:szCs w:val="18"/>
              </w:rPr>
              <w:t xml:space="preserve">% </w:t>
            </w:r>
          </w:p>
        </w:tc>
        <w:tc>
          <w:tcPr>
            <w:tcW w:w="0" w:type="dxa"/>
            <w:tcBorders>
              <w:top w:val="nil"/>
              <w:left w:val="single" w:sz="8" w:space="0" w:color="1C556C" w:themeColor="accent1"/>
              <w:bottom w:val="single" w:sz="4" w:space="0" w:color="1B556B"/>
              <w:right w:val="nil"/>
            </w:tcBorders>
            <w:noWrap/>
            <w:hideMark/>
          </w:tcPr>
          <w:p w14:paraId="4FEE01C6" w14:textId="77777777" w:rsidR="00C059DD" w:rsidRDefault="00C059DD">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0E19F6">
              <w:rPr>
                <w:sz w:val="18"/>
                <w:szCs w:val="18"/>
              </w:rPr>
              <w:t>3.</w:t>
            </w:r>
            <w:r w:rsidRPr="000E19F6">
              <w:rPr>
                <w:rFonts w:cs="Arial"/>
                <w:sz w:val="18"/>
                <w:szCs w:val="18"/>
              </w:rPr>
              <w:t>0</w:t>
            </w:r>
            <w:r w:rsidRPr="000E19F6">
              <w:rPr>
                <w:sz w:val="18"/>
                <w:szCs w:val="18"/>
              </w:rPr>
              <w:t xml:space="preserve">% </w:t>
            </w:r>
          </w:p>
          <w:p w14:paraId="1654C40D" w14:textId="71EA989F" w:rsidR="00F520B1" w:rsidRPr="000E19F6" w:rsidRDefault="00F520B1">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r>
    </w:tbl>
    <w:p w14:paraId="783526B3" w14:textId="77777777" w:rsidR="00C059DD" w:rsidRPr="00A300DF" w:rsidRDefault="00C059DD" w:rsidP="00C059DD">
      <w:pPr>
        <w:rPr>
          <w:sz w:val="16"/>
          <w:szCs w:val="14"/>
        </w:rPr>
      </w:pPr>
      <w:r w:rsidRPr="00A300DF">
        <w:rPr>
          <w:b/>
          <w:bCs/>
          <w:sz w:val="16"/>
          <w:szCs w:val="14"/>
        </w:rPr>
        <w:t>Source</w:t>
      </w:r>
      <w:r w:rsidRPr="00A300DF">
        <w:rPr>
          <w:sz w:val="16"/>
          <w:szCs w:val="14"/>
        </w:rPr>
        <w:t xml:space="preserve">: </w:t>
      </w:r>
      <w:hyperlink r:id="rId19" w:history="1">
        <w:r w:rsidRPr="000360C5">
          <w:rPr>
            <w:rStyle w:val="Hyperlink"/>
            <w:sz w:val="16"/>
            <w:szCs w:val="14"/>
          </w:rPr>
          <w:t>220314-BusinessNZ-Planning-Forecast-March-quarter-2022.pdf</w:t>
        </w:r>
      </w:hyperlink>
      <w:r>
        <w:t xml:space="preserve"> </w:t>
      </w:r>
    </w:p>
    <w:p w14:paraId="2A1AA79A" w14:textId="1F453AF1" w:rsidR="00C059DD" w:rsidRDefault="00C059DD" w:rsidP="00E63FBF">
      <w:pPr>
        <w:pStyle w:val="Heading3"/>
      </w:pPr>
      <w:r>
        <w:lastRenderedPageBreak/>
        <w:t>Other direct costs</w:t>
      </w:r>
      <w:r w:rsidR="00200A7C">
        <w:t xml:space="preserve"> are added </w:t>
      </w:r>
      <w:r w:rsidR="00243B49">
        <w:t>(</w:t>
      </w:r>
      <w:proofErr w:type="spellStart"/>
      <w:r w:rsidR="00200A7C">
        <w:t>Kiwi</w:t>
      </w:r>
      <w:r w:rsidR="001D0DD5">
        <w:t>S</w:t>
      </w:r>
      <w:r w:rsidR="00200A7C">
        <w:t>aver</w:t>
      </w:r>
      <w:proofErr w:type="spellEnd"/>
      <w:r w:rsidR="00200A7C">
        <w:t>, ACC and other costs</w:t>
      </w:r>
      <w:r w:rsidR="00243B49">
        <w:t>)</w:t>
      </w:r>
    </w:p>
    <w:p w14:paraId="5B9C7B1D" w14:textId="3DF2FC6D" w:rsidR="00C059DD" w:rsidRDefault="00C059DD" w:rsidP="00E63FBF">
      <w:pPr>
        <w:pStyle w:val="BodyText"/>
      </w:pPr>
      <w:proofErr w:type="spellStart"/>
      <w:r>
        <w:t>MartinJenkins</w:t>
      </w:r>
      <w:proofErr w:type="spellEnd"/>
      <w:r>
        <w:t xml:space="preserve"> recommended that the charge</w:t>
      </w:r>
      <w:r w:rsidR="008B00BE">
        <w:t>-</w:t>
      </w:r>
      <w:r>
        <w:t xml:space="preserve">out rates should </w:t>
      </w:r>
      <w:r w:rsidR="00BA0861">
        <w:t>include</w:t>
      </w:r>
      <w:r>
        <w:t xml:space="preserve"> direct staff costs such as </w:t>
      </w:r>
      <w:proofErr w:type="spellStart"/>
      <w:r>
        <w:t>Kiwi</w:t>
      </w:r>
      <w:r w:rsidR="001D0DD5">
        <w:t>S</w:t>
      </w:r>
      <w:r>
        <w:t>aver</w:t>
      </w:r>
      <w:proofErr w:type="spellEnd"/>
      <w:r>
        <w:t>, ACC and training (the cash costs of training courses).</w:t>
      </w:r>
      <w:r w:rsidR="002A7A80">
        <w:t xml:space="preserve"> We</w:t>
      </w:r>
      <w:r>
        <w:t xml:space="preserve"> agree with this recommendation. </w:t>
      </w:r>
    </w:p>
    <w:p w14:paraId="1D2BDBE8" w14:textId="0F127E3F" w:rsidR="00C059DD" w:rsidRDefault="00C059DD" w:rsidP="00E63FBF">
      <w:pPr>
        <w:pStyle w:val="BodyText"/>
      </w:pPr>
      <w:r>
        <w:t xml:space="preserve">These costs </w:t>
      </w:r>
      <w:r w:rsidR="00BA0861">
        <w:t>make up</w:t>
      </w:r>
      <w:r>
        <w:t xml:space="preserve"> the </w:t>
      </w:r>
      <w:r w:rsidR="00470C00">
        <w:t>‘</w:t>
      </w:r>
      <w:r>
        <w:t>other direct costs</w:t>
      </w:r>
      <w:r w:rsidR="00470C00">
        <w:t>’</w:t>
      </w:r>
      <w:r>
        <w:t xml:space="preserve"> element of the formula and have been set at 5</w:t>
      </w:r>
      <w:r w:rsidR="00047C08">
        <w:t xml:space="preserve"> per cent</w:t>
      </w:r>
      <w:r>
        <w:t xml:space="preserve"> of the relevant salary cost. </w:t>
      </w:r>
    </w:p>
    <w:p w14:paraId="36A01AFD" w14:textId="4C38A842" w:rsidR="00C059DD" w:rsidRDefault="00C059DD" w:rsidP="00E63FBF">
      <w:pPr>
        <w:pStyle w:val="Heading3"/>
      </w:pPr>
      <w:r>
        <w:t>Overhead costs</w:t>
      </w:r>
      <w:r w:rsidR="00200A7C">
        <w:t xml:space="preserve"> are </w:t>
      </w:r>
      <w:r w:rsidR="00752496">
        <w:t>set at 60</w:t>
      </w:r>
      <w:r w:rsidR="00047C08">
        <w:t xml:space="preserve"> per cent</w:t>
      </w:r>
      <w:r w:rsidR="00752496">
        <w:t xml:space="preserve"> of total costs</w:t>
      </w:r>
    </w:p>
    <w:p w14:paraId="6D3979B0" w14:textId="1C92B744" w:rsidR="00254AFE" w:rsidRPr="00F25651" w:rsidRDefault="00C059DD" w:rsidP="00F25651">
      <w:pPr>
        <w:pStyle w:val="BodyText"/>
      </w:pPr>
      <w:proofErr w:type="spellStart"/>
      <w:r w:rsidRPr="00F25651">
        <w:t>MartinJenkins</w:t>
      </w:r>
      <w:proofErr w:type="spellEnd"/>
      <w:r w:rsidRPr="00F25651" w:rsidDel="00F60154">
        <w:t xml:space="preserve"> </w:t>
      </w:r>
      <w:r w:rsidR="00254AFE" w:rsidRPr="00F25651">
        <w:t>reviewed</w:t>
      </w:r>
      <w:r w:rsidRPr="00F25651">
        <w:t xml:space="preserve"> the EPA’s </w:t>
      </w:r>
      <w:r w:rsidR="00254AFE" w:rsidRPr="00F25651">
        <w:t xml:space="preserve">overhead </w:t>
      </w:r>
      <w:r w:rsidRPr="00F25651">
        <w:t>costs for EEZ activities</w:t>
      </w:r>
      <w:r w:rsidR="00B66F99" w:rsidRPr="00F25651">
        <w:t xml:space="preserve"> (</w:t>
      </w:r>
      <w:r w:rsidRPr="00F25651">
        <w:t xml:space="preserve">including the cost of the </w:t>
      </w:r>
      <w:r w:rsidR="00467131" w:rsidRPr="00F25651">
        <w:t>g</w:t>
      </w:r>
      <w:r w:rsidRPr="00F25651">
        <w:t xml:space="preserve">eneral </w:t>
      </w:r>
      <w:r w:rsidR="00467131" w:rsidRPr="00F25651">
        <w:t>m</w:t>
      </w:r>
      <w:r w:rsidRPr="00F25651">
        <w:t>anager and managers of teams</w:t>
      </w:r>
      <w:r w:rsidR="00B66F99" w:rsidRPr="00F25651">
        <w:t>)</w:t>
      </w:r>
      <w:r w:rsidRPr="00F25651">
        <w:t xml:space="preserve"> for the 2017/18 and 2018/19 financial years. This showed</w:t>
      </w:r>
      <w:r w:rsidR="00254AFE" w:rsidRPr="00F25651" w:rsidDel="00891D1B">
        <w:t xml:space="preserve"> </w:t>
      </w:r>
      <w:r w:rsidRPr="00F25651">
        <w:t xml:space="preserve">overhead costs </w:t>
      </w:r>
      <w:r w:rsidR="00254AFE" w:rsidRPr="00F25651">
        <w:t>were</w:t>
      </w:r>
      <w:r w:rsidRPr="00F25651">
        <w:t xml:space="preserve"> 60.8 </w:t>
      </w:r>
      <w:r w:rsidR="00047C08" w:rsidRPr="00F25651">
        <w:t>per cent</w:t>
      </w:r>
      <w:r w:rsidRPr="00F25651">
        <w:t xml:space="preserve"> of the EPA’s total costs. </w:t>
      </w:r>
    </w:p>
    <w:p w14:paraId="56B27EC3" w14:textId="1E1C577A" w:rsidR="00254AFE" w:rsidRPr="00F25651" w:rsidRDefault="00254AFE" w:rsidP="00F25651">
      <w:pPr>
        <w:pStyle w:val="BodyText"/>
      </w:pPr>
      <w:proofErr w:type="spellStart"/>
      <w:r w:rsidRPr="00F25651">
        <w:t>MartinJenkins</w:t>
      </w:r>
      <w:proofErr w:type="spellEnd"/>
      <w:r w:rsidRPr="00F25651">
        <w:t xml:space="preserve"> reviewed the EPA’s overhead cost</w:t>
      </w:r>
      <w:r w:rsidR="00467131" w:rsidRPr="00F25651">
        <w:t>-</w:t>
      </w:r>
      <w:r w:rsidRPr="00F25651">
        <w:t>allocation model and did not identify any improvements needed.</w:t>
      </w:r>
    </w:p>
    <w:p w14:paraId="0178C3AD" w14:textId="216C2649" w:rsidR="00C059DD" w:rsidRPr="00F25651" w:rsidRDefault="00C059DD" w:rsidP="00F25651">
      <w:pPr>
        <w:pStyle w:val="BodyText"/>
      </w:pPr>
      <w:r w:rsidRPr="00F25651">
        <w:t xml:space="preserve">Following consultation with the EPA, </w:t>
      </w:r>
      <w:proofErr w:type="spellStart"/>
      <w:r w:rsidR="008E478A" w:rsidRPr="00F25651">
        <w:t>MartinJe</w:t>
      </w:r>
      <w:r w:rsidR="00470C00" w:rsidRPr="00F25651">
        <w:t>n</w:t>
      </w:r>
      <w:r w:rsidR="008E478A" w:rsidRPr="00F25651">
        <w:t>kins</w:t>
      </w:r>
      <w:proofErr w:type="spellEnd"/>
      <w:r w:rsidR="00243B49" w:rsidRPr="00F25651">
        <w:t xml:space="preserve"> used </w:t>
      </w:r>
      <w:r w:rsidRPr="00F25651">
        <w:t>a slightly lower percentage</w:t>
      </w:r>
      <w:r w:rsidR="00467131" w:rsidRPr="00F25651">
        <w:t xml:space="preserve"> –</w:t>
      </w:r>
      <w:r w:rsidRPr="00F25651">
        <w:t xml:space="preserve"> of 60 </w:t>
      </w:r>
      <w:r w:rsidR="00047C08" w:rsidRPr="00F25651">
        <w:t>per cent</w:t>
      </w:r>
      <w:r w:rsidRPr="00F25651">
        <w:t xml:space="preserve"> of total costs</w:t>
      </w:r>
      <w:r w:rsidR="00254AFE" w:rsidRPr="00F25651">
        <w:t xml:space="preserve"> </w:t>
      </w:r>
      <w:r w:rsidR="00467131" w:rsidRPr="00F25651">
        <w:t xml:space="preserve">– </w:t>
      </w:r>
      <w:r w:rsidR="00254AFE" w:rsidRPr="00F25651">
        <w:t xml:space="preserve">for the </w:t>
      </w:r>
      <w:r w:rsidR="008E31F3" w:rsidRPr="00F25651">
        <w:t>‘</w:t>
      </w:r>
      <w:r w:rsidR="00254AFE" w:rsidRPr="00F25651">
        <w:t>overheads</w:t>
      </w:r>
      <w:r w:rsidR="008E31F3" w:rsidRPr="00F25651">
        <w:t>’</w:t>
      </w:r>
      <w:r w:rsidR="00254AFE" w:rsidRPr="00F25651">
        <w:t xml:space="preserve"> element of </w:t>
      </w:r>
      <w:r w:rsidR="00B66F99" w:rsidRPr="00F25651">
        <w:t>the</w:t>
      </w:r>
      <w:r w:rsidR="00254AFE" w:rsidRPr="00F25651">
        <w:t xml:space="preserve"> formula</w:t>
      </w:r>
      <w:r w:rsidRPr="00F25651">
        <w:t xml:space="preserve">. </w:t>
      </w:r>
      <w:r w:rsidR="00A47776" w:rsidRPr="00F25651">
        <w:t xml:space="preserve">The effect of this in the formula is that the </w:t>
      </w:r>
      <w:r w:rsidR="008E31F3" w:rsidRPr="00F25651">
        <w:t>‘</w:t>
      </w:r>
      <w:r w:rsidR="00A47776" w:rsidRPr="00F25651">
        <w:t>salary costs</w:t>
      </w:r>
      <w:r w:rsidR="008E31F3" w:rsidRPr="00F25651">
        <w:t>’</w:t>
      </w:r>
      <w:r w:rsidR="00A47776" w:rsidRPr="00F25651">
        <w:t xml:space="preserve"> and </w:t>
      </w:r>
      <w:r w:rsidR="008E31F3" w:rsidRPr="00F25651">
        <w:t>‘</w:t>
      </w:r>
      <w:r w:rsidR="00BF3F61" w:rsidRPr="00F25651">
        <w:t>o</w:t>
      </w:r>
      <w:r w:rsidR="00A47776" w:rsidRPr="00F25651">
        <w:t xml:space="preserve">ther </w:t>
      </w:r>
      <w:r w:rsidR="00B76218" w:rsidRPr="00F25651">
        <w:t>direct costs</w:t>
      </w:r>
      <w:r w:rsidR="008E31F3" w:rsidRPr="00F25651">
        <w:t>’</w:t>
      </w:r>
      <w:r w:rsidR="00B76218" w:rsidRPr="00F25651">
        <w:t xml:space="preserve"> element</w:t>
      </w:r>
      <w:r w:rsidR="00BF3F61" w:rsidRPr="00F25651">
        <w:t>s</w:t>
      </w:r>
      <w:r w:rsidR="00B76218" w:rsidRPr="00F25651">
        <w:t xml:space="preserve"> are multiplied by 2.5. This is </w:t>
      </w:r>
      <w:r w:rsidRPr="00F25651">
        <w:t xml:space="preserve">consistent with </w:t>
      </w:r>
      <w:r w:rsidR="00BF3F61" w:rsidRPr="00F25651">
        <w:t xml:space="preserve">the overhead </w:t>
      </w:r>
      <w:r w:rsidR="00200A7C" w:rsidRPr="00F25651">
        <w:t xml:space="preserve">amount </w:t>
      </w:r>
      <w:r w:rsidRPr="00F25651">
        <w:t xml:space="preserve">the EPA </w:t>
      </w:r>
      <w:r w:rsidR="00200A7C" w:rsidRPr="00F25651">
        <w:t xml:space="preserve">used to calculate </w:t>
      </w:r>
      <w:r w:rsidRPr="00F25651">
        <w:t xml:space="preserve">hourly rates for </w:t>
      </w:r>
      <w:r w:rsidR="00BF3F61" w:rsidRPr="00F25651">
        <w:t>its cost-recovery charges under the</w:t>
      </w:r>
      <w:r w:rsidRPr="00F25651">
        <w:t xml:space="preserve"> COVID-19 </w:t>
      </w:r>
      <w:r w:rsidR="00BF3F61" w:rsidRPr="00F25651">
        <w:t>Recovery (F</w:t>
      </w:r>
      <w:r w:rsidRPr="00F25651">
        <w:t>ast-</w:t>
      </w:r>
      <w:r w:rsidR="00A87BE4" w:rsidRPr="00F25651">
        <w:t>t</w:t>
      </w:r>
      <w:r w:rsidRPr="00F25651">
        <w:t xml:space="preserve">rack </w:t>
      </w:r>
      <w:r w:rsidR="00BF3F61" w:rsidRPr="00F25651">
        <w:t>C</w:t>
      </w:r>
      <w:r w:rsidRPr="00F25651">
        <w:t>onsenting</w:t>
      </w:r>
      <w:r w:rsidR="00BF3F61" w:rsidRPr="00F25651">
        <w:t>) Act 2020</w:t>
      </w:r>
      <w:r w:rsidRPr="00F25651">
        <w:t>.</w:t>
      </w:r>
      <w:r w:rsidR="00A87BE4" w:rsidRPr="00F25651">
        <w:rPr>
          <w:rStyle w:val="FootnoteReference"/>
          <w:color w:val="auto"/>
        </w:rPr>
        <w:footnoteReference w:id="20"/>
      </w:r>
    </w:p>
    <w:p w14:paraId="10F78424" w14:textId="4ABEED73" w:rsidR="00C059DD" w:rsidRDefault="008B58EB" w:rsidP="00E63FBF">
      <w:pPr>
        <w:pStyle w:val="Heading3"/>
      </w:pPr>
      <w:r>
        <w:t>A</w:t>
      </w:r>
      <w:r w:rsidR="00D55BC9">
        <w:t xml:space="preserve">nnual </w:t>
      </w:r>
      <w:r>
        <w:t xml:space="preserve">total </w:t>
      </w:r>
      <w:r w:rsidR="00C059DD">
        <w:t>hours</w:t>
      </w:r>
      <w:r w:rsidR="004A5535">
        <w:t xml:space="preserve"> calculation</w:t>
      </w:r>
      <w:r w:rsidR="00752496">
        <w:t xml:space="preserve"> reflects workable hours in a year</w:t>
      </w:r>
      <w:r w:rsidR="0075453B">
        <w:t>,</w:t>
      </w:r>
      <w:r w:rsidR="00752496">
        <w:t xml:space="preserve"> with adjustments to reflect staff time on indirect activities</w:t>
      </w:r>
    </w:p>
    <w:p w14:paraId="4667BD6C" w14:textId="3089D285" w:rsidR="00DD5EDF" w:rsidRDefault="00C059DD" w:rsidP="00C059DD">
      <w:pPr>
        <w:pStyle w:val="BodyText"/>
      </w:pPr>
      <w:r>
        <w:t xml:space="preserve">The </w:t>
      </w:r>
      <w:r w:rsidR="008E31F3">
        <w:t>‘</w:t>
      </w:r>
      <w:r w:rsidR="00576F26">
        <w:t>annual</w:t>
      </w:r>
      <w:r w:rsidR="008B58EB">
        <w:t xml:space="preserve"> total</w:t>
      </w:r>
      <w:r>
        <w:t xml:space="preserve"> hours</w:t>
      </w:r>
      <w:r w:rsidR="008E31F3">
        <w:t>’</w:t>
      </w:r>
      <w:r>
        <w:t xml:space="preserve"> element of the formula </w:t>
      </w:r>
      <w:r w:rsidR="000C4426">
        <w:t>converts</w:t>
      </w:r>
      <w:r>
        <w:t xml:space="preserve"> the total relevant costs (salary</w:t>
      </w:r>
      <w:r w:rsidR="00BF3DF2">
        <w:t xml:space="preserve">, </w:t>
      </w:r>
      <w:r>
        <w:t xml:space="preserve">other direct costs </w:t>
      </w:r>
      <w:r w:rsidR="00BF3DF2">
        <w:t xml:space="preserve">and </w:t>
      </w:r>
      <w:r>
        <w:t xml:space="preserve">overheads) into an hourly rate. </w:t>
      </w:r>
    </w:p>
    <w:p w14:paraId="029506B7" w14:textId="5A6032CF" w:rsidR="00C059DD" w:rsidRDefault="009934A1" w:rsidP="00C059DD">
      <w:pPr>
        <w:pStyle w:val="BodyText"/>
      </w:pPr>
      <w:r>
        <w:t>T</w:t>
      </w:r>
      <w:r w:rsidR="00C059DD">
        <w:t>o recover staff time spent directly on cost-recoverable functions</w:t>
      </w:r>
      <w:r w:rsidR="00977773">
        <w:t xml:space="preserve"> and services</w:t>
      </w:r>
      <w:r w:rsidR="00C059DD">
        <w:t xml:space="preserve">, this element </w:t>
      </w:r>
      <w:r w:rsidR="00BF3DF2">
        <w:t xml:space="preserve">of the formula </w:t>
      </w:r>
      <w:r w:rsidR="007F19D3">
        <w:t>identifies</w:t>
      </w:r>
      <w:r w:rsidR="00BF3DF2">
        <w:t xml:space="preserve"> the</w:t>
      </w:r>
      <w:r w:rsidR="00C059DD">
        <w:t xml:space="preserve"> total working hours in a year</w:t>
      </w:r>
      <w:r w:rsidR="00DD5EDF">
        <w:t>, minus</w:t>
      </w:r>
      <w:r w:rsidR="00BF3DF2">
        <w:t xml:space="preserve"> </w:t>
      </w:r>
      <w:r w:rsidR="00C059DD">
        <w:t>potential leave</w:t>
      </w:r>
      <w:r w:rsidR="00DD5EDF">
        <w:t xml:space="preserve"> days and </w:t>
      </w:r>
      <w:r w:rsidR="00C059DD">
        <w:t>public holidays</w:t>
      </w:r>
      <w:r w:rsidR="00BF3DF2">
        <w:t>,</w:t>
      </w:r>
      <w:r w:rsidR="00C059DD">
        <w:t xml:space="preserve"> to </w:t>
      </w:r>
      <w:r w:rsidR="007F19D3">
        <w:t xml:space="preserve">calculate the </w:t>
      </w:r>
      <w:r w:rsidR="00C059DD">
        <w:t>actual workable hours in a year.</w:t>
      </w:r>
    </w:p>
    <w:p w14:paraId="2A2F4AD9" w14:textId="595F9BA1" w:rsidR="00C059DD" w:rsidRDefault="00C059DD" w:rsidP="00C059DD">
      <w:pPr>
        <w:pStyle w:val="BodyText"/>
      </w:pPr>
      <w:proofErr w:type="spellStart"/>
      <w:r>
        <w:t>MartinJenkins</w:t>
      </w:r>
      <w:proofErr w:type="spellEnd"/>
      <w:r>
        <w:t xml:space="preserve"> </w:t>
      </w:r>
      <w:r w:rsidR="00DD5EDF">
        <w:t xml:space="preserve">observed that </w:t>
      </w:r>
      <w:r w:rsidR="00557311">
        <w:t xml:space="preserve">EPA </w:t>
      </w:r>
      <w:r w:rsidR="00DD5EDF">
        <w:t xml:space="preserve">staff </w:t>
      </w:r>
      <w:r w:rsidR="001015AA">
        <w:t xml:space="preserve">spend time on </w:t>
      </w:r>
      <w:r w:rsidRPr="008C53E4">
        <w:t xml:space="preserve">indirect activities </w:t>
      </w:r>
      <w:r>
        <w:t>which contribute to cost-recoverable functions</w:t>
      </w:r>
      <w:r w:rsidR="00977773">
        <w:t xml:space="preserve"> and services</w:t>
      </w:r>
      <w:r w:rsidR="001015AA">
        <w:t>. A time</w:t>
      </w:r>
      <w:r w:rsidR="0075453B">
        <w:t>-</w:t>
      </w:r>
      <w:r w:rsidR="001015AA">
        <w:t>in</w:t>
      </w:r>
      <w:r w:rsidR="0075453B">
        <w:t>-</w:t>
      </w:r>
      <w:r w:rsidR="001015AA">
        <w:t xml:space="preserve">motion survey of EPA’s applications and compliance teams was </w:t>
      </w:r>
      <w:r w:rsidR="009934A1">
        <w:t xml:space="preserve">carried out </w:t>
      </w:r>
      <w:r w:rsidR="001015AA">
        <w:t>over two</w:t>
      </w:r>
      <w:r w:rsidR="0075453B">
        <w:t xml:space="preserve"> </w:t>
      </w:r>
      <w:r w:rsidR="001015AA">
        <w:t>weeks. This identified that</w:t>
      </w:r>
      <w:r w:rsidR="0075453B">
        <w:t>,</w:t>
      </w:r>
      <w:r w:rsidR="001015AA">
        <w:t xml:space="preserve"> on average</w:t>
      </w:r>
      <w:r w:rsidR="0075453B">
        <w:t>,</w:t>
      </w:r>
      <w:r w:rsidR="001015AA">
        <w:t xml:space="preserve"> 10 per cent of staff time </w:t>
      </w:r>
      <w:r w:rsidR="00243B49">
        <w:t>was spent on</w:t>
      </w:r>
      <w:r w:rsidR="001015AA">
        <w:t xml:space="preserve"> development and training, and 17.5 per cent </w:t>
      </w:r>
      <w:r w:rsidR="00243B49">
        <w:t>was spent on</w:t>
      </w:r>
      <w:r w:rsidR="001015AA">
        <w:t xml:space="preserve"> meetings and general admin. These are all activities that indirectly contribute to the performance of chargeable functions and services. </w:t>
      </w:r>
      <w:proofErr w:type="spellStart"/>
      <w:r w:rsidR="001015AA">
        <w:t>Ma</w:t>
      </w:r>
      <w:r w:rsidR="00AC5BFC">
        <w:t>r</w:t>
      </w:r>
      <w:r w:rsidR="001015AA">
        <w:t>tinJenkins</w:t>
      </w:r>
      <w:proofErr w:type="spellEnd"/>
      <w:r w:rsidR="001015AA">
        <w:t xml:space="preserve"> recommended this time</w:t>
      </w:r>
      <w:r w:rsidR="00557311">
        <w:t xml:space="preserve"> spent on indirect activities</w:t>
      </w:r>
      <w:r w:rsidRPr="008C53E4">
        <w:t xml:space="preserve"> should be taken into account in the hourly rate </w:t>
      </w:r>
      <w:r w:rsidR="00AC5BFC">
        <w:t>calculation</w:t>
      </w:r>
      <w:r w:rsidRPr="008C53E4">
        <w:t xml:space="preserve">. </w:t>
      </w:r>
      <w:r w:rsidR="004A5535">
        <w:t>We</w:t>
      </w:r>
      <w:r>
        <w:t xml:space="preserve"> agree with this recommendation.</w:t>
      </w:r>
    </w:p>
    <w:p w14:paraId="7357370B" w14:textId="36201C69" w:rsidR="00C059DD" w:rsidRDefault="00C059DD" w:rsidP="00C059DD">
      <w:pPr>
        <w:pStyle w:val="BodyText"/>
      </w:pPr>
      <w:r>
        <w:t xml:space="preserve">This </w:t>
      </w:r>
      <w:r w:rsidR="00243B49">
        <w:t>approach</w:t>
      </w:r>
      <w:r w:rsidR="00AC5BFC">
        <w:t xml:space="preserve"> is </w:t>
      </w:r>
      <w:r>
        <w:t>consistent with section 143 of t</w:t>
      </w:r>
      <w:r w:rsidRPr="008C53E4">
        <w:t>he EEZ Act</w:t>
      </w:r>
      <w:r w:rsidR="00820BDA">
        <w:t xml:space="preserve">, which </w:t>
      </w:r>
      <w:r w:rsidRPr="008C53E4">
        <w:t xml:space="preserve">allows for charges to be set using an average of costs or potential costs, and/or </w:t>
      </w:r>
      <w:r w:rsidR="00C715B6">
        <w:t>taking</w:t>
      </w:r>
      <w:r w:rsidR="00C715B6" w:rsidRPr="008C53E4">
        <w:t xml:space="preserve"> </w:t>
      </w:r>
      <w:r w:rsidRPr="008C53E4">
        <w:t xml:space="preserve">into account costs that do not </w:t>
      </w:r>
      <w:r w:rsidRPr="008C53E4">
        <w:lastRenderedPageBreak/>
        <w:t>directly benefit the person who pays the charge but that are indirect cost</w:t>
      </w:r>
      <w:r w:rsidR="00C715B6">
        <w:t>s</w:t>
      </w:r>
      <w:r w:rsidRPr="008C53E4">
        <w:t xml:space="preserve"> arising from performing the service.</w:t>
      </w:r>
      <w:r w:rsidR="001F17AA">
        <w:rPr>
          <w:rStyle w:val="FootnoteReference"/>
        </w:rPr>
        <w:footnoteReference w:id="21"/>
      </w:r>
      <w:r w:rsidRPr="008C53E4">
        <w:t xml:space="preserve"> </w:t>
      </w:r>
    </w:p>
    <w:p w14:paraId="1583A162" w14:textId="08EEAA89" w:rsidR="00C059DD" w:rsidRDefault="00243B49" w:rsidP="00E63FBF">
      <w:pPr>
        <w:pStyle w:val="BodyText"/>
      </w:pPr>
      <w:r>
        <w:t>Because</w:t>
      </w:r>
      <w:r w:rsidR="00C059DD">
        <w:t xml:space="preserve"> it is difficult to directly assign these costs to an activity (and therefore to recover </w:t>
      </w:r>
      <w:r w:rsidR="00DD2CC2">
        <w:t xml:space="preserve">costs for </w:t>
      </w:r>
      <w:r w:rsidR="00C059DD">
        <w:t>these activities directly via invoicing at the hourly rates), they are</w:t>
      </w:r>
      <w:r w:rsidR="00A61801">
        <w:t xml:space="preserve"> </w:t>
      </w:r>
      <w:r w:rsidR="00557311">
        <w:t>included in the</w:t>
      </w:r>
      <w:r w:rsidR="00C059DD">
        <w:t xml:space="preserve"> formula by reducing the annual total hours. </w:t>
      </w:r>
    </w:p>
    <w:p w14:paraId="3749E129" w14:textId="3A5652B0" w:rsidR="00C059DD" w:rsidRPr="002A0234" w:rsidRDefault="003A3CB7" w:rsidP="00E63FBF">
      <w:pPr>
        <w:pStyle w:val="BodyText"/>
      </w:pPr>
      <w:r>
        <w:fldChar w:fldCharType="begin"/>
      </w:r>
      <w:r>
        <w:instrText xml:space="preserve"> REF _Ref114654614 \h </w:instrText>
      </w:r>
      <w:r w:rsidR="00F25651">
        <w:instrText xml:space="preserve"> \* MERGEFORMAT </w:instrText>
      </w:r>
      <w:r>
        <w:fldChar w:fldCharType="separate"/>
      </w:r>
      <w:r w:rsidR="002721DF">
        <w:t xml:space="preserve">Table </w:t>
      </w:r>
      <w:r w:rsidR="002721DF">
        <w:rPr>
          <w:noProof/>
        </w:rPr>
        <w:t>8</w:t>
      </w:r>
      <w:r>
        <w:fldChar w:fldCharType="end"/>
      </w:r>
      <w:r w:rsidR="0060494D">
        <w:t xml:space="preserve"> (overleaf)</w:t>
      </w:r>
      <w:r w:rsidR="00243B49">
        <w:t xml:space="preserve"> shows t</w:t>
      </w:r>
      <w:r w:rsidR="00C059DD">
        <w:t>he calculation of total hours</w:t>
      </w:r>
      <w:r w:rsidR="00243B49">
        <w:t xml:space="preserve">. The calculation </w:t>
      </w:r>
      <w:r w:rsidR="00C059DD" w:rsidRPr="002A0234">
        <w:t>results in annual total hours of 1276</w:t>
      </w:r>
      <w:r w:rsidR="00DD2CC2">
        <w:t xml:space="preserve">, which </w:t>
      </w:r>
      <w:r w:rsidR="00243B49">
        <w:t xml:space="preserve">is a utilisation rate of </w:t>
      </w:r>
      <w:r w:rsidR="00243B49" w:rsidRPr="00567365">
        <w:t>72.</w:t>
      </w:r>
      <w:r w:rsidR="00243B49" w:rsidRPr="005E315A">
        <w:t>3</w:t>
      </w:r>
      <w:r w:rsidR="00243B49">
        <w:t xml:space="preserve"> per cent. </w:t>
      </w:r>
      <w:proofErr w:type="spellStart"/>
      <w:r w:rsidR="00243B49">
        <w:t>MartinJenkins</w:t>
      </w:r>
      <w:proofErr w:type="spellEnd"/>
      <w:r w:rsidR="00243B49">
        <w:t xml:space="preserve"> advises that some public agencies have a much lower utilisation rate</w:t>
      </w:r>
      <w:r w:rsidR="00DD2CC2">
        <w:t>,</w:t>
      </w:r>
      <w:r w:rsidR="00243B49">
        <w:t xml:space="preserve"> of 65 per cent, whereas professional service</w:t>
      </w:r>
      <w:r w:rsidR="00DD2CC2">
        <w:t>s</w:t>
      </w:r>
      <w:r w:rsidR="00243B49">
        <w:t xml:space="preserve"> firms may have a higher rate</w:t>
      </w:r>
      <w:r w:rsidR="00DD2CC2">
        <w:t xml:space="preserve"> – </w:t>
      </w:r>
      <w:r w:rsidR="00243B49">
        <w:t>around 80 per cent for some staff.</w:t>
      </w:r>
      <w:r w:rsidR="00243B49">
        <w:rPr>
          <w:rStyle w:val="FootnoteReference"/>
        </w:rPr>
        <w:footnoteReference w:id="22"/>
      </w:r>
    </w:p>
    <w:p w14:paraId="105CE917" w14:textId="49E536BF" w:rsidR="003A3CB7" w:rsidRDefault="003A3CB7" w:rsidP="00762667">
      <w:pPr>
        <w:pStyle w:val="Tableheading"/>
      </w:pPr>
      <w:bookmarkStart w:id="46" w:name="_Ref114654614"/>
      <w:bookmarkStart w:id="47" w:name="_Toc115682245"/>
      <w:r>
        <w:t xml:space="preserve">Table </w:t>
      </w:r>
      <w:r w:rsidR="002D4F05">
        <w:fldChar w:fldCharType="begin"/>
      </w:r>
      <w:r w:rsidR="002D4F05">
        <w:instrText xml:space="preserve"> SEQ Table \* ARABIC </w:instrText>
      </w:r>
      <w:r w:rsidR="002D4F05">
        <w:fldChar w:fldCharType="separate"/>
      </w:r>
      <w:r w:rsidR="00651832">
        <w:rPr>
          <w:noProof/>
        </w:rPr>
        <w:t>8</w:t>
      </w:r>
      <w:r w:rsidR="002D4F05">
        <w:rPr>
          <w:noProof/>
        </w:rPr>
        <w:fldChar w:fldCharType="end"/>
      </w:r>
      <w:bookmarkEnd w:id="46"/>
      <w:r>
        <w:t xml:space="preserve">: </w:t>
      </w:r>
      <w:r w:rsidR="00A21651">
        <w:tab/>
      </w:r>
      <w:r w:rsidRPr="00B2405A">
        <w:t>Total hours calculation</w:t>
      </w:r>
      <w:bookmarkEnd w:id="47"/>
    </w:p>
    <w:tbl>
      <w:tblPr>
        <w:tblStyle w:val="LightList-Accent11"/>
        <w:tblW w:w="8459" w:type="dxa"/>
        <w:tblLook w:val="04A0" w:firstRow="1" w:lastRow="0" w:firstColumn="1" w:lastColumn="0" w:noHBand="0" w:noVBand="1"/>
      </w:tblPr>
      <w:tblGrid>
        <w:gridCol w:w="4225"/>
        <w:gridCol w:w="4234"/>
      </w:tblGrid>
      <w:tr w:rsidR="00C059DD" w:rsidRPr="006268CD" w14:paraId="3077FA1B" w14:textId="77777777" w:rsidTr="00F75C2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tcBorders>
              <w:bottom w:val="single" w:sz="8" w:space="0" w:color="1C556C" w:themeColor="accent1"/>
            </w:tcBorders>
            <w:noWrap/>
          </w:tcPr>
          <w:p w14:paraId="153574BB" w14:textId="77777777" w:rsidR="00C059DD" w:rsidRPr="007E499A" w:rsidRDefault="00C059DD">
            <w:pPr>
              <w:pStyle w:val="TableText"/>
              <w:rPr>
                <w:b w:val="0"/>
                <w:bCs w:val="0"/>
              </w:rPr>
            </w:pPr>
          </w:p>
        </w:tc>
        <w:tc>
          <w:tcPr>
            <w:tcW w:w="4234" w:type="dxa"/>
            <w:tcBorders>
              <w:top w:val="nil"/>
              <w:bottom w:val="single" w:sz="8" w:space="0" w:color="1C556C" w:themeColor="accent1"/>
            </w:tcBorders>
            <w:noWrap/>
          </w:tcPr>
          <w:p w14:paraId="3ECBEE0B" w14:textId="77777777" w:rsidR="00C059DD" w:rsidRPr="007E499A" w:rsidRDefault="00C059DD" w:rsidP="00F75C27">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E499A">
              <w:t>Annual hours</w:t>
            </w:r>
          </w:p>
        </w:tc>
      </w:tr>
      <w:tr w:rsidR="00C059DD" w:rsidRPr="006268CD" w14:paraId="63F41456" w14:textId="77777777" w:rsidTr="00F75C2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05C2BD0C" w14:textId="77777777" w:rsidR="00C059DD" w:rsidRPr="00F75C27" w:rsidRDefault="00C059DD">
            <w:pPr>
              <w:pStyle w:val="TableText"/>
              <w:rPr>
                <w:b w:val="0"/>
                <w:bCs w:val="0"/>
              </w:rPr>
            </w:pPr>
            <w:r w:rsidRPr="00F75C27">
              <w:rPr>
                <w:b w:val="0"/>
                <w:bCs w:val="0"/>
              </w:rPr>
              <w:t>Days per year</w:t>
            </w:r>
          </w:p>
        </w:tc>
        <w:tc>
          <w:tcPr>
            <w:tcW w:w="4234" w:type="dxa"/>
            <w:tcBorders>
              <w:left w:val="single" w:sz="8" w:space="0" w:color="1C556C" w:themeColor="accent1"/>
              <w:right w:val="nil"/>
            </w:tcBorders>
            <w:noWrap/>
            <w:hideMark/>
          </w:tcPr>
          <w:p w14:paraId="1ADB23AB" w14:textId="77777777" w:rsidR="00C059DD" w:rsidRPr="006268CD" w:rsidRDefault="00C059DD">
            <w:pPr>
              <w:pStyle w:val="TableText"/>
              <w:jc w:val="right"/>
              <w:cnfStyle w:val="000000100000" w:firstRow="0" w:lastRow="0" w:firstColumn="0" w:lastColumn="0" w:oddVBand="0" w:evenVBand="0" w:oddHBand="1" w:evenHBand="0" w:firstRowFirstColumn="0" w:firstRowLastColumn="0" w:lastRowFirstColumn="0" w:lastRowLastColumn="0"/>
            </w:pPr>
            <w:r w:rsidRPr="006268CD">
              <w:t xml:space="preserve">260 </w:t>
            </w:r>
          </w:p>
        </w:tc>
      </w:tr>
      <w:tr w:rsidR="00C059DD" w:rsidRPr="006268CD" w14:paraId="0714B2F4" w14:textId="77777777" w:rsidTr="00F75C27">
        <w:trPr>
          <w:trHeight w:val="260"/>
        </w:trPr>
        <w:tc>
          <w:tcPr>
            <w:cnfStyle w:val="001000000000" w:firstRow="0" w:lastRow="0" w:firstColumn="1" w:lastColumn="0" w:oddVBand="0" w:evenVBand="0" w:oddHBand="0" w:evenHBand="0" w:firstRowFirstColumn="0" w:firstRowLastColumn="0" w:lastRowFirstColumn="0" w:lastRowLastColumn="0"/>
            <w:tcW w:w="4225" w:type="dxa"/>
            <w:tcBorders>
              <w:top w:val="single" w:sz="8" w:space="0" w:color="1C556C" w:themeColor="accent1"/>
              <w:left w:val="nil"/>
              <w:bottom w:val="single" w:sz="8" w:space="0" w:color="1C556C" w:themeColor="accent1"/>
              <w:right w:val="single" w:sz="8" w:space="0" w:color="1C556C" w:themeColor="accent1"/>
            </w:tcBorders>
            <w:noWrap/>
            <w:hideMark/>
          </w:tcPr>
          <w:p w14:paraId="25BD1072" w14:textId="77777777" w:rsidR="00C059DD" w:rsidRPr="00F75C27" w:rsidRDefault="00C059DD">
            <w:pPr>
              <w:pStyle w:val="TableText"/>
              <w:rPr>
                <w:b w:val="0"/>
                <w:bCs w:val="0"/>
              </w:rPr>
            </w:pPr>
            <w:r w:rsidRPr="00F75C27">
              <w:rPr>
                <w:b w:val="0"/>
                <w:bCs w:val="0"/>
              </w:rPr>
              <w:t>Hours per day</w:t>
            </w:r>
          </w:p>
        </w:tc>
        <w:tc>
          <w:tcPr>
            <w:tcW w:w="4234" w:type="dxa"/>
            <w:tcBorders>
              <w:top w:val="single" w:sz="8" w:space="0" w:color="1C556C" w:themeColor="accent1"/>
              <w:left w:val="single" w:sz="8" w:space="0" w:color="1C556C" w:themeColor="accent1"/>
              <w:bottom w:val="single" w:sz="8" w:space="0" w:color="1C556C" w:themeColor="accent1"/>
              <w:right w:val="nil"/>
            </w:tcBorders>
            <w:noWrap/>
            <w:hideMark/>
          </w:tcPr>
          <w:p w14:paraId="612C99CA" w14:textId="77777777" w:rsidR="00C059DD" w:rsidRPr="006268CD" w:rsidRDefault="00C059DD">
            <w:pPr>
              <w:pStyle w:val="TableText"/>
              <w:jc w:val="right"/>
              <w:cnfStyle w:val="000000000000" w:firstRow="0" w:lastRow="0" w:firstColumn="0" w:lastColumn="0" w:oddVBand="0" w:evenVBand="0" w:oddHBand="0" w:evenHBand="0" w:firstRowFirstColumn="0" w:firstRowLastColumn="0" w:lastRowFirstColumn="0" w:lastRowLastColumn="0"/>
            </w:pPr>
            <w:r w:rsidRPr="006268CD">
              <w:t xml:space="preserve">8 </w:t>
            </w:r>
          </w:p>
        </w:tc>
      </w:tr>
      <w:tr w:rsidR="00C059DD" w:rsidRPr="001D21C1" w14:paraId="7EC99913" w14:textId="77777777" w:rsidTr="00F75C2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47B01309" w14:textId="77777777" w:rsidR="00C059DD" w:rsidRPr="00F75C27" w:rsidRDefault="00C059DD">
            <w:pPr>
              <w:pStyle w:val="TableText"/>
              <w:rPr>
                <w:b w:val="0"/>
                <w:bCs w:val="0"/>
              </w:rPr>
            </w:pPr>
            <w:r w:rsidRPr="00F75C27">
              <w:rPr>
                <w:b w:val="0"/>
                <w:bCs w:val="0"/>
              </w:rPr>
              <w:t>Starting hours</w:t>
            </w:r>
          </w:p>
        </w:tc>
        <w:tc>
          <w:tcPr>
            <w:tcW w:w="4234" w:type="dxa"/>
            <w:tcBorders>
              <w:left w:val="single" w:sz="8" w:space="0" w:color="1C556C" w:themeColor="accent1"/>
              <w:right w:val="nil"/>
            </w:tcBorders>
            <w:noWrap/>
            <w:hideMark/>
          </w:tcPr>
          <w:p w14:paraId="48D7183C" w14:textId="77777777" w:rsidR="00C059DD" w:rsidRPr="00762667" w:rsidRDefault="00C059DD">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762667">
              <w:rPr>
                <w:b/>
                <w:bCs/>
              </w:rPr>
              <w:t xml:space="preserve">2,080 </w:t>
            </w:r>
          </w:p>
        </w:tc>
      </w:tr>
      <w:tr w:rsidR="00C059DD" w:rsidRPr="001D21C1" w14:paraId="6F3CDB54" w14:textId="77777777" w:rsidTr="00F75C27">
        <w:trPr>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17026198" w14:textId="3815F657" w:rsidR="00C059DD" w:rsidRPr="00F75C27" w:rsidRDefault="00C059DD">
            <w:pPr>
              <w:pStyle w:val="TableText"/>
              <w:rPr>
                <w:b w:val="0"/>
                <w:bCs w:val="0"/>
              </w:rPr>
            </w:pPr>
            <w:r w:rsidRPr="00F75C27">
              <w:rPr>
                <w:b w:val="0"/>
                <w:bCs w:val="0"/>
              </w:rPr>
              <w:t>Less 4 weeks</w:t>
            </w:r>
            <w:r w:rsidR="00BA33C7" w:rsidRPr="00F75C27">
              <w:rPr>
                <w:b w:val="0"/>
                <w:bCs w:val="0"/>
              </w:rPr>
              <w:t>’</w:t>
            </w:r>
            <w:r w:rsidRPr="00F75C27">
              <w:rPr>
                <w:b w:val="0"/>
                <w:bCs w:val="0"/>
              </w:rPr>
              <w:t xml:space="preserve"> annual leave</w:t>
            </w:r>
          </w:p>
        </w:tc>
        <w:tc>
          <w:tcPr>
            <w:tcW w:w="4234" w:type="dxa"/>
            <w:tcBorders>
              <w:top w:val="single" w:sz="8" w:space="0" w:color="1C556C" w:themeColor="accent1"/>
              <w:left w:val="single" w:sz="8" w:space="0" w:color="1C556C" w:themeColor="accent1"/>
              <w:bottom w:val="single" w:sz="8" w:space="0" w:color="1C556C" w:themeColor="accent1"/>
              <w:right w:val="nil"/>
            </w:tcBorders>
            <w:noWrap/>
            <w:hideMark/>
          </w:tcPr>
          <w:p w14:paraId="5166C914" w14:textId="77777777" w:rsidR="00C059DD" w:rsidRPr="001D21C1" w:rsidRDefault="00C059DD">
            <w:pPr>
              <w:pStyle w:val="TableText"/>
              <w:jc w:val="right"/>
              <w:cnfStyle w:val="000000000000" w:firstRow="0" w:lastRow="0" w:firstColumn="0" w:lastColumn="0" w:oddVBand="0" w:evenVBand="0" w:oddHBand="0" w:evenHBand="0" w:firstRowFirstColumn="0" w:firstRowLastColumn="0" w:lastRowFirstColumn="0" w:lastRowLastColumn="0"/>
            </w:pPr>
            <w:r w:rsidRPr="001D21C1">
              <w:t>(160)</w:t>
            </w:r>
          </w:p>
        </w:tc>
      </w:tr>
      <w:tr w:rsidR="00C059DD" w:rsidRPr="001D21C1" w14:paraId="6A1EF27E" w14:textId="77777777" w:rsidTr="00F75C2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0CB72845" w14:textId="174BED9D" w:rsidR="00C059DD" w:rsidRPr="00F75C27" w:rsidRDefault="00C059DD">
            <w:pPr>
              <w:pStyle w:val="TableText"/>
              <w:rPr>
                <w:b w:val="0"/>
                <w:bCs w:val="0"/>
              </w:rPr>
            </w:pPr>
            <w:r w:rsidRPr="00F75C27">
              <w:rPr>
                <w:b w:val="0"/>
                <w:bCs w:val="0"/>
              </w:rPr>
              <w:t>Less 3 EPA Board days</w:t>
            </w:r>
            <w:r w:rsidR="00B7454B">
              <w:rPr>
                <w:b w:val="0"/>
                <w:bCs w:val="0"/>
              </w:rPr>
              <w:t>’</w:t>
            </w:r>
            <w:r w:rsidRPr="00F75C27">
              <w:rPr>
                <w:b w:val="0"/>
                <w:bCs w:val="0"/>
              </w:rPr>
              <w:t xml:space="preserve"> leave</w:t>
            </w:r>
          </w:p>
        </w:tc>
        <w:tc>
          <w:tcPr>
            <w:tcW w:w="4234" w:type="dxa"/>
            <w:tcBorders>
              <w:left w:val="single" w:sz="8" w:space="0" w:color="1C556C" w:themeColor="accent1"/>
              <w:right w:val="nil"/>
            </w:tcBorders>
            <w:noWrap/>
            <w:hideMark/>
          </w:tcPr>
          <w:p w14:paraId="69909131" w14:textId="77777777" w:rsidR="00C059DD" w:rsidRPr="001D21C1" w:rsidRDefault="00C059DD">
            <w:pPr>
              <w:pStyle w:val="TableText"/>
              <w:jc w:val="right"/>
              <w:cnfStyle w:val="000000100000" w:firstRow="0" w:lastRow="0" w:firstColumn="0" w:lastColumn="0" w:oddVBand="0" w:evenVBand="0" w:oddHBand="1" w:evenHBand="0" w:firstRowFirstColumn="0" w:firstRowLastColumn="0" w:lastRowFirstColumn="0" w:lastRowLastColumn="0"/>
            </w:pPr>
            <w:r w:rsidRPr="001D21C1">
              <w:t>(24)</w:t>
            </w:r>
          </w:p>
        </w:tc>
      </w:tr>
      <w:tr w:rsidR="00C059DD" w:rsidRPr="001D21C1" w14:paraId="21E2BA8A" w14:textId="77777777" w:rsidTr="00F75C27">
        <w:trPr>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4049C8FB" w14:textId="77777777" w:rsidR="00C059DD" w:rsidRPr="00F75C27" w:rsidRDefault="00C059DD">
            <w:pPr>
              <w:pStyle w:val="TableText"/>
              <w:rPr>
                <w:b w:val="0"/>
                <w:bCs w:val="0"/>
              </w:rPr>
            </w:pPr>
            <w:r w:rsidRPr="00F75C27">
              <w:rPr>
                <w:b w:val="0"/>
                <w:bCs w:val="0"/>
              </w:rPr>
              <w:t>Less statutory holidays (12)</w:t>
            </w:r>
          </w:p>
        </w:tc>
        <w:tc>
          <w:tcPr>
            <w:tcW w:w="4234" w:type="dxa"/>
            <w:tcBorders>
              <w:top w:val="single" w:sz="8" w:space="0" w:color="1C556C" w:themeColor="accent1"/>
              <w:left w:val="single" w:sz="8" w:space="0" w:color="1C556C" w:themeColor="accent1"/>
              <w:bottom w:val="single" w:sz="8" w:space="0" w:color="1C556C" w:themeColor="accent1"/>
              <w:right w:val="nil"/>
            </w:tcBorders>
            <w:noWrap/>
            <w:hideMark/>
          </w:tcPr>
          <w:p w14:paraId="69B00CAA" w14:textId="77777777" w:rsidR="00C059DD" w:rsidRPr="001D21C1" w:rsidRDefault="00C059DD">
            <w:pPr>
              <w:pStyle w:val="TableText"/>
              <w:jc w:val="right"/>
              <w:cnfStyle w:val="000000000000" w:firstRow="0" w:lastRow="0" w:firstColumn="0" w:lastColumn="0" w:oddVBand="0" w:evenVBand="0" w:oddHBand="0" w:evenHBand="0" w:firstRowFirstColumn="0" w:firstRowLastColumn="0" w:lastRowFirstColumn="0" w:lastRowLastColumn="0"/>
            </w:pPr>
            <w:r w:rsidRPr="001D21C1">
              <w:t>(96)</w:t>
            </w:r>
          </w:p>
        </w:tc>
      </w:tr>
      <w:tr w:rsidR="00C059DD" w:rsidRPr="001D21C1" w14:paraId="616AEF31" w14:textId="77777777" w:rsidTr="00F75C2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121AFF60" w14:textId="77777777" w:rsidR="00C059DD" w:rsidRPr="00F75C27" w:rsidRDefault="00C059DD">
            <w:pPr>
              <w:pStyle w:val="TableText"/>
              <w:rPr>
                <w:b w:val="0"/>
                <w:bCs w:val="0"/>
              </w:rPr>
            </w:pPr>
            <w:r w:rsidRPr="00F75C27">
              <w:rPr>
                <w:b w:val="0"/>
                <w:bCs w:val="0"/>
              </w:rPr>
              <w:t>Less allowance for sick and domestic leave (5)</w:t>
            </w:r>
          </w:p>
        </w:tc>
        <w:tc>
          <w:tcPr>
            <w:tcW w:w="4234" w:type="dxa"/>
            <w:tcBorders>
              <w:left w:val="single" w:sz="8" w:space="0" w:color="1C556C" w:themeColor="accent1"/>
              <w:right w:val="nil"/>
            </w:tcBorders>
            <w:noWrap/>
            <w:hideMark/>
          </w:tcPr>
          <w:p w14:paraId="30C3C50A" w14:textId="77777777" w:rsidR="00C059DD" w:rsidRPr="001D21C1" w:rsidRDefault="00C059DD">
            <w:pPr>
              <w:pStyle w:val="TableText"/>
              <w:jc w:val="right"/>
              <w:cnfStyle w:val="000000100000" w:firstRow="0" w:lastRow="0" w:firstColumn="0" w:lastColumn="0" w:oddVBand="0" w:evenVBand="0" w:oddHBand="1" w:evenHBand="0" w:firstRowFirstColumn="0" w:firstRowLastColumn="0" w:lastRowFirstColumn="0" w:lastRowLastColumn="0"/>
            </w:pPr>
            <w:r w:rsidRPr="001D21C1">
              <w:t>(40)</w:t>
            </w:r>
          </w:p>
        </w:tc>
      </w:tr>
      <w:tr w:rsidR="00C059DD" w:rsidRPr="006268CD" w14:paraId="01F514BE" w14:textId="77777777" w:rsidTr="00F75C27">
        <w:trPr>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5E670D7B" w14:textId="3B887B5B" w:rsidR="00C059DD" w:rsidRPr="00F75C27" w:rsidRDefault="00834555">
            <w:pPr>
              <w:pStyle w:val="TableText"/>
              <w:rPr>
                <w:b w:val="0"/>
                <w:bCs w:val="0"/>
              </w:rPr>
            </w:pPr>
            <w:r w:rsidRPr="00F75C27">
              <w:rPr>
                <w:b w:val="0"/>
                <w:bCs w:val="0"/>
              </w:rPr>
              <w:t xml:space="preserve">Workable </w:t>
            </w:r>
            <w:r w:rsidR="00C059DD" w:rsidRPr="00F75C27">
              <w:rPr>
                <w:b w:val="0"/>
                <w:bCs w:val="0"/>
              </w:rPr>
              <w:t xml:space="preserve">hours </w:t>
            </w:r>
          </w:p>
        </w:tc>
        <w:tc>
          <w:tcPr>
            <w:tcW w:w="4234" w:type="dxa"/>
            <w:tcBorders>
              <w:top w:val="single" w:sz="8" w:space="0" w:color="1C556C" w:themeColor="accent1"/>
              <w:left w:val="single" w:sz="8" w:space="0" w:color="1C556C" w:themeColor="accent1"/>
              <w:bottom w:val="single" w:sz="8" w:space="0" w:color="1C556C" w:themeColor="accent1"/>
              <w:right w:val="nil"/>
            </w:tcBorders>
            <w:noWrap/>
            <w:hideMark/>
          </w:tcPr>
          <w:p w14:paraId="327D09FE" w14:textId="77777777" w:rsidR="00C059DD" w:rsidRPr="006268CD" w:rsidRDefault="00C059DD">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6268CD">
              <w:rPr>
                <w:b/>
                <w:bCs/>
              </w:rPr>
              <w:t xml:space="preserve">1,760 </w:t>
            </w:r>
          </w:p>
        </w:tc>
      </w:tr>
      <w:tr w:rsidR="00F75C27" w:rsidRPr="00F75C27" w14:paraId="507FBC17" w14:textId="77777777" w:rsidTr="00F75C2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59" w:type="dxa"/>
            <w:gridSpan w:val="2"/>
            <w:tcBorders>
              <w:left w:val="nil"/>
              <w:right w:val="nil"/>
            </w:tcBorders>
            <w:shd w:val="clear" w:color="auto" w:fill="1B556B"/>
            <w:noWrap/>
            <w:hideMark/>
          </w:tcPr>
          <w:p w14:paraId="6FDEC6DB" w14:textId="6AA4C377" w:rsidR="00C059DD" w:rsidRPr="00F75C27" w:rsidRDefault="00C059DD">
            <w:pPr>
              <w:pStyle w:val="TableText"/>
              <w:rPr>
                <w:b w:val="0"/>
                <w:bCs w:val="0"/>
                <w:color w:val="FFFFFF" w:themeColor="background1"/>
              </w:rPr>
            </w:pPr>
            <w:r w:rsidRPr="00F75C27">
              <w:rPr>
                <w:b w:val="0"/>
                <w:bCs w:val="0"/>
                <w:color w:val="FFFFFF" w:themeColor="background1"/>
              </w:rPr>
              <w:t>Less activities that should be loaded into the hourly rate payable by fee</w:t>
            </w:r>
            <w:r w:rsidR="00DF25F2" w:rsidRPr="00F75C27">
              <w:rPr>
                <w:b w:val="0"/>
                <w:bCs w:val="0"/>
                <w:color w:val="FFFFFF" w:themeColor="background1"/>
              </w:rPr>
              <w:t xml:space="preserve"> </w:t>
            </w:r>
            <w:r w:rsidRPr="00F75C27">
              <w:rPr>
                <w:b w:val="0"/>
                <w:bCs w:val="0"/>
                <w:color w:val="FFFFFF" w:themeColor="background1"/>
              </w:rPr>
              <w:t>payers</w:t>
            </w:r>
          </w:p>
        </w:tc>
      </w:tr>
      <w:tr w:rsidR="00C059DD" w:rsidRPr="001D21C1" w14:paraId="2326CC42" w14:textId="77777777" w:rsidTr="00F75C27">
        <w:trPr>
          <w:trHeight w:val="260"/>
        </w:trPr>
        <w:tc>
          <w:tcPr>
            <w:cnfStyle w:val="001000000000" w:firstRow="0" w:lastRow="0" w:firstColumn="1" w:lastColumn="0" w:oddVBand="0" w:evenVBand="0" w:oddHBand="0" w:evenHBand="0" w:firstRowFirstColumn="0" w:firstRowLastColumn="0" w:lastRowFirstColumn="0" w:lastRowLastColumn="0"/>
            <w:tcW w:w="4225" w:type="dxa"/>
            <w:tcBorders>
              <w:top w:val="single" w:sz="8" w:space="0" w:color="1C556C" w:themeColor="accent1"/>
              <w:left w:val="nil"/>
              <w:bottom w:val="single" w:sz="8" w:space="0" w:color="1C556C" w:themeColor="accent1"/>
              <w:right w:val="single" w:sz="8" w:space="0" w:color="1C556C" w:themeColor="accent1"/>
            </w:tcBorders>
            <w:noWrap/>
            <w:hideMark/>
          </w:tcPr>
          <w:p w14:paraId="4F5F93FF" w14:textId="77777777" w:rsidR="00C059DD" w:rsidRPr="00F75C27" w:rsidRDefault="00C059DD">
            <w:pPr>
              <w:pStyle w:val="TableText"/>
              <w:rPr>
                <w:b w:val="0"/>
                <w:bCs w:val="0"/>
              </w:rPr>
            </w:pPr>
            <w:r w:rsidRPr="00F75C27">
              <w:rPr>
                <w:b w:val="0"/>
                <w:bCs w:val="0"/>
              </w:rPr>
              <w:t>Staff development and training (average)</w:t>
            </w:r>
          </w:p>
        </w:tc>
        <w:tc>
          <w:tcPr>
            <w:tcW w:w="4234" w:type="dxa"/>
            <w:tcBorders>
              <w:top w:val="single" w:sz="8" w:space="0" w:color="1C556C" w:themeColor="accent1"/>
              <w:left w:val="single" w:sz="8" w:space="0" w:color="1C556C" w:themeColor="accent1"/>
              <w:bottom w:val="single" w:sz="8" w:space="0" w:color="1C556C" w:themeColor="accent1"/>
              <w:right w:val="nil"/>
            </w:tcBorders>
            <w:noWrap/>
            <w:hideMark/>
          </w:tcPr>
          <w:p w14:paraId="20BD8F15" w14:textId="77777777" w:rsidR="00C059DD" w:rsidRPr="001D21C1" w:rsidRDefault="00C059DD">
            <w:pPr>
              <w:pStyle w:val="TableText"/>
              <w:jc w:val="right"/>
              <w:cnfStyle w:val="000000000000" w:firstRow="0" w:lastRow="0" w:firstColumn="0" w:lastColumn="0" w:oddVBand="0" w:evenVBand="0" w:oddHBand="0" w:evenHBand="0" w:firstRowFirstColumn="0" w:firstRowLastColumn="0" w:lastRowFirstColumn="0" w:lastRowLastColumn="0"/>
            </w:pPr>
            <w:r w:rsidRPr="001D21C1">
              <w:t>(176)</w:t>
            </w:r>
          </w:p>
        </w:tc>
      </w:tr>
      <w:tr w:rsidR="00C059DD" w:rsidRPr="001D21C1" w14:paraId="5A3DF088" w14:textId="77777777" w:rsidTr="00F75C2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tcBorders>
              <w:left w:val="nil"/>
              <w:right w:val="single" w:sz="8" w:space="0" w:color="1C556C" w:themeColor="accent1"/>
            </w:tcBorders>
            <w:noWrap/>
            <w:hideMark/>
          </w:tcPr>
          <w:p w14:paraId="2276B939" w14:textId="77777777" w:rsidR="00C059DD" w:rsidRPr="00F75C27" w:rsidRDefault="00C059DD">
            <w:pPr>
              <w:pStyle w:val="TableText"/>
              <w:rPr>
                <w:b w:val="0"/>
                <w:bCs w:val="0"/>
              </w:rPr>
            </w:pPr>
            <w:r w:rsidRPr="00F75C27">
              <w:rPr>
                <w:b w:val="0"/>
                <w:bCs w:val="0"/>
              </w:rPr>
              <w:t>Meetings and general admin (average)</w:t>
            </w:r>
          </w:p>
        </w:tc>
        <w:tc>
          <w:tcPr>
            <w:tcW w:w="4234" w:type="dxa"/>
            <w:tcBorders>
              <w:left w:val="single" w:sz="8" w:space="0" w:color="1C556C" w:themeColor="accent1"/>
              <w:right w:val="nil"/>
            </w:tcBorders>
            <w:noWrap/>
            <w:hideMark/>
          </w:tcPr>
          <w:p w14:paraId="3FAC90DB" w14:textId="77777777" w:rsidR="00C059DD" w:rsidRPr="001D21C1" w:rsidRDefault="00C059DD">
            <w:pPr>
              <w:pStyle w:val="TableText"/>
              <w:jc w:val="right"/>
              <w:cnfStyle w:val="000000100000" w:firstRow="0" w:lastRow="0" w:firstColumn="0" w:lastColumn="0" w:oddVBand="0" w:evenVBand="0" w:oddHBand="1" w:evenHBand="0" w:firstRowFirstColumn="0" w:firstRowLastColumn="0" w:lastRowFirstColumn="0" w:lastRowLastColumn="0"/>
            </w:pPr>
            <w:r w:rsidRPr="001D21C1">
              <w:t>(308)</w:t>
            </w:r>
          </w:p>
        </w:tc>
      </w:tr>
      <w:tr w:rsidR="00C059DD" w:rsidRPr="006268CD" w14:paraId="24A36731" w14:textId="77777777" w:rsidTr="00F75C27">
        <w:trPr>
          <w:trHeight w:val="260"/>
        </w:trPr>
        <w:tc>
          <w:tcPr>
            <w:cnfStyle w:val="001000000000" w:firstRow="0" w:lastRow="0" w:firstColumn="1" w:lastColumn="0" w:oddVBand="0" w:evenVBand="0" w:oddHBand="0" w:evenHBand="0" w:firstRowFirstColumn="0" w:firstRowLastColumn="0" w:lastRowFirstColumn="0" w:lastRowLastColumn="0"/>
            <w:tcW w:w="4225" w:type="dxa"/>
            <w:tcBorders>
              <w:top w:val="single" w:sz="8" w:space="0" w:color="1C556C" w:themeColor="accent1"/>
              <w:left w:val="nil"/>
              <w:bottom w:val="single" w:sz="8" w:space="0" w:color="1C556C" w:themeColor="accent1"/>
              <w:right w:val="single" w:sz="8" w:space="0" w:color="1C556C" w:themeColor="accent1"/>
            </w:tcBorders>
            <w:noWrap/>
            <w:hideMark/>
          </w:tcPr>
          <w:p w14:paraId="15417C7B" w14:textId="271434E7" w:rsidR="00C059DD" w:rsidRPr="00F75C27" w:rsidRDefault="00834555">
            <w:pPr>
              <w:pStyle w:val="TableText"/>
              <w:rPr>
                <w:b w:val="0"/>
                <w:bCs w:val="0"/>
              </w:rPr>
            </w:pPr>
            <w:r w:rsidRPr="00F75C27">
              <w:rPr>
                <w:b w:val="0"/>
                <w:bCs w:val="0"/>
              </w:rPr>
              <w:t>Annual t</w:t>
            </w:r>
            <w:r w:rsidR="00C059DD" w:rsidRPr="00F75C27">
              <w:rPr>
                <w:b w:val="0"/>
                <w:bCs w:val="0"/>
              </w:rPr>
              <w:t>otal hours</w:t>
            </w:r>
          </w:p>
        </w:tc>
        <w:tc>
          <w:tcPr>
            <w:tcW w:w="4234" w:type="dxa"/>
            <w:tcBorders>
              <w:top w:val="single" w:sz="8" w:space="0" w:color="1C556C" w:themeColor="accent1"/>
              <w:left w:val="single" w:sz="8" w:space="0" w:color="1C556C" w:themeColor="accent1"/>
              <w:bottom w:val="single" w:sz="8" w:space="0" w:color="1C556C" w:themeColor="accent1"/>
              <w:right w:val="nil"/>
            </w:tcBorders>
            <w:noWrap/>
            <w:hideMark/>
          </w:tcPr>
          <w:p w14:paraId="0C5143D1" w14:textId="77777777" w:rsidR="00C059DD" w:rsidRPr="006268CD" w:rsidRDefault="00C059DD">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6268CD">
              <w:rPr>
                <w:b/>
                <w:bCs/>
              </w:rPr>
              <w:t xml:space="preserve">1,276 </w:t>
            </w:r>
          </w:p>
        </w:tc>
      </w:tr>
    </w:tbl>
    <w:p w14:paraId="05609ED0" w14:textId="77777777" w:rsidR="00C059DD" w:rsidRPr="004209E5" w:rsidRDefault="00C059DD" w:rsidP="00C059DD">
      <w:pPr>
        <w:pStyle w:val="BodyText"/>
      </w:pP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C059DD" w:rsidRPr="0082483D" w14:paraId="6EFBC6E3" w14:textId="77777777">
        <w:tc>
          <w:tcPr>
            <w:tcW w:w="8618"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66B954EC" w14:textId="77777777" w:rsidR="00C059DD" w:rsidRPr="0082483D" w:rsidRDefault="00C059DD">
            <w:pPr>
              <w:pStyle w:val="Blueboxtext"/>
              <w:spacing w:before="80" w:after="80"/>
              <w:rPr>
                <w:b/>
                <w:bCs/>
                <w:color w:val="FFFFFF" w:themeColor="background1"/>
              </w:rPr>
            </w:pPr>
            <w:r w:rsidRPr="0082483D">
              <w:rPr>
                <w:b/>
                <w:bCs/>
                <w:color w:val="FFFFFF" w:themeColor="background1"/>
              </w:rPr>
              <w:t>Question</w:t>
            </w:r>
          </w:p>
        </w:tc>
      </w:tr>
      <w:tr w:rsidR="00C059DD" w:rsidRPr="0082483D" w14:paraId="1BD1EBF6" w14:textId="77777777">
        <w:tc>
          <w:tcPr>
            <w:tcW w:w="8618" w:type="dxa"/>
            <w:tcBorders>
              <w:top w:val="single" w:sz="4" w:space="0" w:color="1C556C" w:themeColor="accent1"/>
            </w:tcBorders>
            <w:shd w:val="clear" w:color="auto" w:fill="D2DDE2" w:themeFill="accent3"/>
          </w:tcPr>
          <w:p w14:paraId="6619D518" w14:textId="4A30A794" w:rsidR="00057EF2" w:rsidRDefault="00057EF2" w:rsidP="009976A4">
            <w:pPr>
              <w:pStyle w:val="Bluetext-numbered"/>
              <w:numPr>
                <w:ilvl w:val="0"/>
                <w:numId w:val="19"/>
              </w:numPr>
              <w:spacing w:before="120" w:after="120"/>
              <w:ind w:left="641" w:hanging="357"/>
            </w:pPr>
            <w:r>
              <w:t xml:space="preserve">Do you have any comments on the </w:t>
            </w:r>
            <w:r w:rsidR="00BA253C">
              <w:t xml:space="preserve">formula </w:t>
            </w:r>
            <w:r>
              <w:t xml:space="preserve">used to calculate the charge-out rates? </w:t>
            </w:r>
          </w:p>
          <w:p w14:paraId="4C09D48C" w14:textId="62773032" w:rsidR="00C059DD" w:rsidRDefault="00C059DD" w:rsidP="009976A4">
            <w:pPr>
              <w:pStyle w:val="Bluetext-numbered"/>
              <w:numPr>
                <w:ilvl w:val="0"/>
                <w:numId w:val="19"/>
              </w:numPr>
              <w:spacing w:before="120" w:after="120"/>
              <w:ind w:left="641" w:hanging="357"/>
            </w:pPr>
            <w:r w:rsidRPr="007A0CB4">
              <w:t xml:space="preserve">Do you have any comments on </w:t>
            </w:r>
            <w:r w:rsidR="00BA253C">
              <w:t>how we have set each element of the formula (</w:t>
            </w:r>
            <w:r w:rsidR="004326A3">
              <w:t>salary costs, other direct costs, overhead costs and total hours)</w:t>
            </w:r>
            <w:r w:rsidRPr="007A0CB4">
              <w:t>?</w:t>
            </w:r>
            <w:r w:rsidR="00580CFE">
              <w:t xml:space="preserve"> </w:t>
            </w:r>
          </w:p>
          <w:p w14:paraId="302BCFDC" w14:textId="77777777" w:rsidR="00C059DD" w:rsidRPr="006E608D" w:rsidRDefault="00C059DD" w:rsidP="009976A4">
            <w:pPr>
              <w:pStyle w:val="Bluetext-numbered"/>
              <w:numPr>
                <w:ilvl w:val="0"/>
                <w:numId w:val="19"/>
              </w:numPr>
              <w:spacing w:before="120" w:after="120"/>
              <w:ind w:left="641" w:hanging="357"/>
            </w:pPr>
            <w:r>
              <w:t>Please advise us if there are other factors you think should be considered.</w:t>
            </w:r>
          </w:p>
        </w:tc>
      </w:tr>
    </w:tbl>
    <w:p w14:paraId="2B3C0DC6" w14:textId="77777777" w:rsidR="00511238" w:rsidRDefault="00511238" w:rsidP="00F25651">
      <w:pPr>
        <w:pStyle w:val="Heading2"/>
      </w:pPr>
      <w:bookmarkStart w:id="48" w:name="_Toc114734499"/>
    </w:p>
    <w:p w14:paraId="430E8944" w14:textId="77777777" w:rsidR="00511238" w:rsidRDefault="00511238">
      <w:pPr>
        <w:spacing w:before="0" w:after="200" w:line="276" w:lineRule="auto"/>
        <w:jc w:val="left"/>
        <w:rPr>
          <w:rFonts w:ascii="Georgia" w:eastAsiaTheme="majorEastAsia" w:hAnsi="Georgia" w:cstheme="majorBidi"/>
          <w:b/>
          <w:bCs/>
          <w:color w:val="1B556B"/>
          <w:sz w:val="36"/>
          <w:szCs w:val="26"/>
        </w:rPr>
      </w:pPr>
      <w:r>
        <w:br w:type="page"/>
      </w:r>
    </w:p>
    <w:p w14:paraId="6C98E37C" w14:textId="39E937CD" w:rsidR="004A6D56" w:rsidRPr="00F25651" w:rsidRDefault="002F28A9" w:rsidP="00F25651">
      <w:pPr>
        <w:pStyle w:val="Heading2"/>
      </w:pPr>
      <w:r w:rsidRPr="00F25651">
        <w:lastRenderedPageBreak/>
        <w:t xml:space="preserve">Alternative charge-out </w:t>
      </w:r>
      <w:r w:rsidR="00D93328" w:rsidRPr="00F25651">
        <w:t>rate options</w:t>
      </w:r>
      <w:bookmarkEnd w:id="48"/>
    </w:p>
    <w:p w14:paraId="1A3110DE" w14:textId="1180E441" w:rsidR="00ED4A31" w:rsidRDefault="00243B49" w:rsidP="00ED4A31">
      <w:pPr>
        <w:pStyle w:val="BodyText"/>
      </w:pPr>
      <w:r>
        <w:t xml:space="preserve">We considered two other options for increasing the </w:t>
      </w:r>
      <w:r w:rsidR="00F20143">
        <w:t>hourly</w:t>
      </w:r>
      <w:r>
        <w:t xml:space="preserve"> rates.</w:t>
      </w:r>
    </w:p>
    <w:p w14:paraId="05E790F1" w14:textId="14E0909A" w:rsidR="00ED4A31" w:rsidRDefault="001D2E36" w:rsidP="00633383">
      <w:pPr>
        <w:pStyle w:val="BodyText"/>
      </w:pPr>
      <w:r>
        <w:t xml:space="preserve">Both options would </w:t>
      </w:r>
      <w:r w:rsidR="005428C8">
        <w:t xml:space="preserve">remove the idea of having </w:t>
      </w:r>
      <w:r w:rsidR="00F20143">
        <w:t>hourly</w:t>
      </w:r>
      <w:r w:rsidR="005428C8">
        <w:t xml:space="preserve"> rates increase over a three-year period. Instead, </w:t>
      </w:r>
      <w:r w:rsidR="3F9CEA4D">
        <w:t>charge</w:t>
      </w:r>
      <w:r w:rsidR="008B00BE">
        <w:t>-</w:t>
      </w:r>
      <w:r w:rsidR="3F9CEA4D">
        <w:t xml:space="preserve">out rates </w:t>
      </w:r>
      <w:r w:rsidR="005428C8">
        <w:t xml:space="preserve">would </w:t>
      </w:r>
      <w:r w:rsidR="00BB18E3">
        <w:t>apply</w:t>
      </w:r>
      <w:r w:rsidR="000A7783">
        <w:t xml:space="preserve"> </w:t>
      </w:r>
      <w:r w:rsidR="3F9CEA4D">
        <w:t xml:space="preserve">from 1 July 2023 </w:t>
      </w:r>
      <w:r w:rsidR="00120723">
        <w:t xml:space="preserve">and would not increase </w:t>
      </w:r>
      <w:r w:rsidR="3F9CEA4D">
        <w:t>until the EEZ Fees Regulations are reviewed</w:t>
      </w:r>
      <w:r w:rsidR="00120723">
        <w:t xml:space="preserve"> again</w:t>
      </w:r>
      <w:r w:rsidR="00243B49">
        <w:t>:</w:t>
      </w:r>
      <w:r w:rsidR="3F9CEA4D">
        <w:t xml:space="preserve"> </w:t>
      </w:r>
    </w:p>
    <w:p w14:paraId="6D7605D0" w14:textId="18C14F48" w:rsidR="00064315" w:rsidRDefault="005428C8" w:rsidP="00762667">
      <w:pPr>
        <w:pStyle w:val="Bullet"/>
      </w:pPr>
      <w:r w:rsidRPr="00762667">
        <w:rPr>
          <w:b/>
          <w:bCs/>
        </w:rPr>
        <w:t>Option One</w:t>
      </w:r>
      <w:r>
        <w:t xml:space="preserve"> would </w:t>
      </w:r>
      <w:r w:rsidR="00D005F8">
        <w:t xml:space="preserve">set rates at the level that </w:t>
      </w:r>
      <w:r w:rsidR="00F415E3">
        <w:t>the preferred option uses for 1 July 2023 to 1</w:t>
      </w:r>
      <w:r w:rsidR="000267F9">
        <w:t> </w:t>
      </w:r>
      <w:r w:rsidR="00F415E3">
        <w:t xml:space="preserve">July 2024. </w:t>
      </w:r>
    </w:p>
    <w:p w14:paraId="026E6CEC" w14:textId="4B0B4370" w:rsidR="00633383" w:rsidRDefault="00243B49" w:rsidP="00762667">
      <w:pPr>
        <w:pStyle w:val="Bullet"/>
      </w:pPr>
      <w:r w:rsidRPr="00762667">
        <w:rPr>
          <w:b/>
          <w:bCs/>
        </w:rPr>
        <w:t>Option Two</w:t>
      </w:r>
      <w:r>
        <w:t xml:space="preserve"> would set rates at the level that the preferred option uses for 1 July 2024 to 1</w:t>
      </w:r>
      <w:r w:rsidR="000267F9">
        <w:t> </w:t>
      </w:r>
      <w:r>
        <w:t xml:space="preserve">July 2025. </w:t>
      </w:r>
    </w:p>
    <w:p w14:paraId="257026DE" w14:textId="703838E5" w:rsidR="00CC6B18" w:rsidRDefault="007E2129" w:rsidP="006B226A">
      <w:pPr>
        <w:pStyle w:val="BodyText"/>
      </w:pPr>
      <w:r>
        <w:fldChar w:fldCharType="begin"/>
      </w:r>
      <w:r>
        <w:instrText xml:space="preserve"> REF _Ref114730976 \h </w:instrText>
      </w:r>
      <w:r>
        <w:fldChar w:fldCharType="separate"/>
      </w:r>
      <w:r>
        <w:t xml:space="preserve">Table </w:t>
      </w:r>
      <w:r>
        <w:rPr>
          <w:noProof/>
        </w:rPr>
        <w:t>9</w:t>
      </w:r>
      <w:r>
        <w:fldChar w:fldCharType="end"/>
      </w:r>
      <w:r w:rsidR="00CC6B18">
        <w:t xml:space="preserve"> </w:t>
      </w:r>
      <w:r w:rsidR="002A7DFB">
        <w:t>shows the</w:t>
      </w:r>
      <w:r w:rsidR="00420770">
        <w:t xml:space="preserve"> hourly</w:t>
      </w:r>
      <w:r w:rsidR="009E175A">
        <w:t xml:space="preserve"> rates</w:t>
      </w:r>
      <w:r w:rsidR="002A7DFB">
        <w:t xml:space="preserve"> under </w:t>
      </w:r>
      <w:r w:rsidR="00420770">
        <w:t>each option</w:t>
      </w:r>
      <w:r w:rsidR="002A7DFB">
        <w:t>.</w:t>
      </w:r>
      <w:r w:rsidR="00580CFE">
        <w:t xml:space="preserve"> </w:t>
      </w:r>
    </w:p>
    <w:p w14:paraId="0556FC3B" w14:textId="2EAE674F" w:rsidR="007E2129" w:rsidRDefault="007E2129" w:rsidP="00762667">
      <w:pPr>
        <w:pStyle w:val="Tableheading"/>
      </w:pPr>
      <w:bookmarkStart w:id="49" w:name="_Ref114730976"/>
      <w:bookmarkStart w:id="50" w:name="_Toc115682246"/>
      <w:r>
        <w:t xml:space="preserve">Table </w:t>
      </w:r>
      <w:r w:rsidR="002D4F05">
        <w:fldChar w:fldCharType="begin"/>
      </w:r>
      <w:r w:rsidR="002D4F05">
        <w:instrText xml:space="preserve"> SEQ Table \* ARABIC </w:instrText>
      </w:r>
      <w:r w:rsidR="002D4F05">
        <w:fldChar w:fldCharType="separate"/>
      </w:r>
      <w:r w:rsidR="00651832">
        <w:rPr>
          <w:noProof/>
        </w:rPr>
        <w:t>9</w:t>
      </w:r>
      <w:r w:rsidR="002D4F05">
        <w:rPr>
          <w:noProof/>
        </w:rPr>
        <w:fldChar w:fldCharType="end"/>
      </w:r>
      <w:bookmarkEnd w:id="49"/>
      <w:r>
        <w:t xml:space="preserve">: </w:t>
      </w:r>
      <w:r>
        <w:tab/>
      </w:r>
      <w:r w:rsidRPr="000524A4">
        <w:t>Other options for charge-out rates</w:t>
      </w:r>
      <w:r w:rsidR="006721BB">
        <w:t xml:space="preserve"> (ex GST)</w:t>
      </w:r>
      <w:bookmarkEnd w:id="50"/>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972"/>
        <w:gridCol w:w="1376"/>
        <w:gridCol w:w="1386"/>
        <w:gridCol w:w="1376"/>
        <w:gridCol w:w="1385"/>
      </w:tblGrid>
      <w:tr w:rsidR="000267F9" w14:paraId="030848E4" w14:textId="77777777" w:rsidTr="005558A2">
        <w:tc>
          <w:tcPr>
            <w:tcW w:w="1749" w:type="pct"/>
            <w:vMerge w:val="restart"/>
            <w:tcBorders>
              <w:top w:val="single" w:sz="4" w:space="0" w:color="1C556C" w:themeColor="accent1"/>
              <w:left w:val="single" w:sz="4" w:space="0" w:color="1C556C" w:themeColor="accent1"/>
              <w:bottom w:val="single" w:sz="4" w:space="0" w:color="FFFFFF" w:themeColor="background1"/>
              <w:right w:val="single" w:sz="4" w:space="0" w:color="FFFFFF" w:themeColor="background1"/>
            </w:tcBorders>
            <w:shd w:val="clear" w:color="auto" w:fill="1C556C" w:themeFill="accent1"/>
            <w:hideMark/>
          </w:tcPr>
          <w:p w14:paraId="59B1C90D" w14:textId="77777777" w:rsidR="000267F9" w:rsidRDefault="000267F9">
            <w:pPr>
              <w:pStyle w:val="TableText"/>
              <w:jc w:val="both"/>
              <w:rPr>
                <w:b/>
                <w:bCs/>
                <w:color w:val="FFFFFF" w:themeColor="background1"/>
              </w:rPr>
            </w:pPr>
            <w:r>
              <w:rPr>
                <w:b/>
                <w:bCs/>
                <w:color w:val="FFFFFF" w:themeColor="background1"/>
              </w:rPr>
              <w:t>EPA staff role</w:t>
            </w:r>
          </w:p>
        </w:tc>
        <w:tc>
          <w:tcPr>
            <w:tcW w:w="1626" w:type="pct"/>
            <w:gridSpan w:val="2"/>
            <w:tcBorders>
              <w:top w:val="single" w:sz="4" w:space="0" w:color="1C556C" w:themeColor="accent1"/>
              <w:left w:val="single" w:sz="4" w:space="0" w:color="FFFFFF" w:themeColor="background1"/>
              <w:bottom w:val="single" w:sz="4" w:space="0" w:color="FFFFFF" w:themeColor="background1"/>
              <w:right w:val="single" w:sz="4" w:space="0" w:color="FFFFFF" w:themeColor="background1"/>
            </w:tcBorders>
            <w:shd w:val="clear" w:color="auto" w:fill="1C556C" w:themeFill="accent1"/>
            <w:hideMark/>
          </w:tcPr>
          <w:p w14:paraId="147AD396" w14:textId="13E95D09" w:rsidR="000267F9" w:rsidRDefault="00E91A21">
            <w:pPr>
              <w:pStyle w:val="TableText"/>
              <w:jc w:val="center"/>
              <w:rPr>
                <w:b/>
                <w:bCs/>
                <w:color w:val="FFFFFF" w:themeColor="background1"/>
              </w:rPr>
            </w:pPr>
            <w:r>
              <w:rPr>
                <w:b/>
                <w:bCs/>
                <w:color w:val="FFFFFF" w:themeColor="background1"/>
              </w:rPr>
              <w:t>Option One</w:t>
            </w:r>
          </w:p>
        </w:tc>
        <w:tc>
          <w:tcPr>
            <w:tcW w:w="1625" w:type="pct"/>
            <w:gridSpan w:val="2"/>
            <w:tcBorders>
              <w:top w:val="single" w:sz="4" w:space="0" w:color="1C556C" w:themeColor="accent1"/>
              <w:left w:val="single" w:sz="4" w:space="0" w:color="FFFFFF" w:themeColor="background1"/>
              <w:bottom w:val="single" w:sz="4" w:space="0" w:color="FFFFFF" w:themeColor="background1"/>
              <w:right w:val="single" w:sz="4" w:space="0" w:color="1C556C" w:themeColor="accent1"/>
            </w:tcBorders>
            <w:shd w:val="clear" w:color="auto" w:fill="1C556C" w:themeFill="accent1"/>
            <w:hideMark/>
          </w:tcPr>
          <w:p w14:paraId="4713EF7E" w14:textId="32EA5390" w:rsidR="000267F9" w:rsidRDefault="00E91A21">
            <w:pPr>
              <w:pStyle w:val="TableText"/>
              <w:jc w:val="center"/>
              <w:rPr>
                <w:b/>
                <w:bCs/>
                <w:color w:val="FFFFFF" w:themeColor="background1"/>
              </w:rPr>
            </w:pPr>
            <w:r>
              <w:rPr>
                <w:b/>
                <w:bCs/>
                <w:color w:val="FFFFFF" w:themeColor="background1"/>
              </w:rPr>
              <w:t>Option Two</w:t>
            </w:r>
          </w:p>
        </w:tc>
      </w:tr>
      <w:tr w:rsidR="00D527AD" w14:paraId="19D05D02" w14:textId="77777777" w:rsidTr="00E1765C">
        <w:tc>
          <w:tcPr>
            <w:tcW w:w="1749" w:type="pct"/>
            <w:vMerge/>
            <w:tcBorders>
              <w:top w:val="single" w:sz="4" w:space="0" w:color="FFFFFF" w:themeColor="background1"/>
              <w:left w:val="single" w:sz="4" w:space="0" w:color="1C556C" w:themeColor="accent1"/>
              <w:bottom w:val="single" w:sz="4" w:space="0" w:color="1B556B"/>
              <w:right w:val="single" w:sz="4" w:space="0" w:color="FFFFFF" w:themeColor="background1"/>
            </w:tcBorders>
            <w:vAlign w:val="center"/>
            <w:hideMark/>
          </w:tcPr>
          <w:p w14:paraId="6FE10C38" w14:textId="77777777" w:rsidR="000267F9" w:rsidRDefault="000267F9">
            <w:pPr>
              <w:spacing w:before="0" w:after="0" w:line="240" w:lineRule="auto"/>
              <w:rPr>
                <w:b/>
                <w:bCs/>
                <w:color w:val="FFFFFF" w:themeColor="background1"/>
                <w:sz w:val="18"/>
              </w:rPr>
            </w:pPr>
          </w:p>
        </w:tc>
        <w:tc>
          <w:tcPr>
            <w:tcW w:w="810" w:type="pct"/>
            <w:tcBorders>
              <w:top w:val="single" w:sz="4" w:space="0" w:color="FFFFFF" w:themeColor="background1"/>
              <w:left w:val="single" w:sz="4" w:space="0" w:color="FFFFFF" w:themeColor="background1"/>
              <w:bottom w:val="single" w:sz="4" w:space="0" w:color="1B556B"/>
              <w:right w:val="single" w:sz="4" w:space="0" w:color="FFFFFF" w:themeColor="background1"/>
            </w:tcBorders>
            <w:shd w:val="clear" w:color="auto" w:fill="1B556B"/>
            <w:hideMark/>
          </w:tcPr>
          <w:p w14:paraId="279EC5CC" w14:textId="77777777" w:rsidR="000267F9" w:rsidRPr="00D527AD" w:rsidRDefault="000267F9">
            <w:pPr>
              <w:pStyle w:val="TableText"/>
              <w:jc w:val="center"/>
              <w:rPr>
                <w:b/>
                <w:bCs/>
                <w:color w:val="FFFFFF" w:themeColor="background1"/>
              </w:rPr>
            </w:pPr>
            <w:r w:rsidRPr="00D527AD">
              <w:rPr>
                <w:b/>
                <w:bCs/>
                <w:color w:val="FFFFFF" w:themeColor="background1"/>
              </w:rPr>
              <w:t>Consenting $/hour</w:t>
            </w:r>
          </w:p>
        </w:tc>
        <w:tc>
          <w:tcPr>
            <w:tcW w:w="816" w:type="pct"/>
            <w:tcBorders>
              <w:top w:val="single" w:sz="4" w:space="0" w:color="FFFFFF" w:themeColor="background1"/>
              <w:left w:val="single" w:sz="4" w:space="0" w:color="FFFFFF" w:themeColor="background1"/>
              <w:bottom w:val="single" w:sz="4" w:space="0" w:color="1B556B"/>
              <w:right w:val="single" w:sz="4" w:space="0" w:color="FFFFFF" w:themeColor="background1"/>
            </w:tcBorders>
            <w:shd w:val="clear" w:color="auto" w:fill="1B556B"/>
            <w:hideMark/>
          </w:tcPr>
          <w:p w14:paraId="1116DA7C" w14:textId="77777777" w:rsidR="000267F9" w:rsidRPr="00D527AD" w:rsidRDefault="000267F9">
            <w:pPr>
              <w:pStyle w:val="TableText"/>
              <w:jc w:val="center"/>
              <w:rPr>
                <w:b/>
                <w:bCs/>
                <w:color w:val="FFFFFF" w:themeColor="background1"/>
              </w:rPr>
            </w:pPr>
            <w:r w:rsidRPr="00D527AD">
              <w:rPr>
                <w:b/>
                <w:bCs/>
                <w:color w:val="FFFFFF" w:themeColor="background1"/>
              </w:rPr>
              <w:t>Monitoring $/hour</w:t>
            </w:r>
          </w:p>
        </w:tc>
        <w:tc>
          <w:tcPr>
            <w:tcW w:w="810" w:type="pct"/>
            <w:tcBorders>
              <w:top w:val="single" w:sz="4" w:space="0" w:color="FFFFFF" w:themeColor="background1"/>
              <w:left w:val="single" w:sz="4" w:space="0" w:color="FFFFFF" w:themeColor="background1"/>
              <w:bottom w:val="single" w:sz="4" w:space="0" w:color="1B556B"/>
              <w:right w:val="single" w:sz="4" w:space="0" w:color="FFFFFF" w:themeColor="background1"/>
            </w:tcBorders>
            <w:shd w:val="clear" w:color="auto" w:fill="1B556B"/>
            <w:hideMark/>
          </w:tcPr>
          <w:p w14:paraId="34C88371" w14:textId="77777777" w:rsidR="000267F9" w:rsidRPr="00D527AD" w:rsidRDefault="000267F9">
            <w:pPr>
              <w:pStyle w:val="TableText"/>
              <w:jc w:val="center"/>
              <w:rPr>
                <w:color w:val="FFFFFF" w:themeColor="background1"/>
              </w:rPr>
            </w:pPr>
            <w:r w:rsidRPr="00D527AD">
              <w:rPr>
                <w:b/>
                <w:bCs/>
                <w:color w:val="FFFFFF" w:themeColor="background1"/>
              </w:rPr>
              <w:t>Consenting $/hour</w:t>
            </w:r>
          </w:p>
        </w:tc>
        <w:tc>
          <w:tcPr>
            <w:tcW w:w="815" w:type="pct"/>
            <w:tcBorders>
              <w:top w:val="single" w:sz="4" w:space="0" w:color="FFFFFF" w:themeColor="background1"/>
              <w:left w:val="single" w:sz="4" w:space="0" w:color="FFFFFF" w:themeColor="background1"/>
              <w:bottom w:val="single" w:sz="4" w:space="0" w:color="1B556B"/>
              <w:right w:val="single" w:sz="4" w:space="0" w:color="1C556C" w:themeColor="accent1"/>
            </w:tcBorders>
            <w:shd w:val="clear" w:color="auto" w:fill="1B556B"/>
            <w:hideMark/>
          </w:tcPr>
          <w:p w14:paraId="0B6748F7" w14:textId="77777777" w:rsidR="000267F9" w:rsidRPr="00D527AD" w:rsidRDefault="000267F9">
            <w:pPr>
              <w:pStyle w:val="TableText"/>
              <w:jc w:val="center"/>
              <w:rPr>
                <w:color w:val="FFFFFF" w:themeColor="background1"/>
              </w:rPr>
            </w:pPr>
            <w:r w:rsidRPr="00D527AD">
              <w:rPr>
                <w:b/>
                <w:bCs/>
                <w:color w:val="FFFFFF" w:themeColor="background1"/>
              </w:rPr>
              <w:t>Monitoring $/hour</w:t>
            </w:r>
          </w:p>
        </w:tc>
      </w:tr>
      <w:tr w:rsidR="000267F9" w14:paraId="4D82121C" w14:textId="77777777" w:rsidTr="00E1765C">
        <w:tc>
          <w:tcPr>
            <w:tcW w:w="1749" w:type="pct"/>
            <w:tcBorders>
              <w:top w:val="single" w:sz="4" w:space="0" w:color="1B556B"/>
              <w:left w:val="nil"/>
            </w:tcBorders>
            <w:hideMark/>
          </w:tcPr>
          <w:p w14:paraId="698CE4EC" w14:textId="0FC6867F" w:rsidR="000267F9" w:rsidRDefault="000267F9" w:rsidP="009976A4">
            <w:pPr>
              <w:pStyle w:val="TableText"/>
            </w:pPr>
            <w:r>
              <w:t>Principal advisor/officer/investigator</w:t>
            </w:r>
            <w:r w:rsidR="002036C9">
              <w:t xml:space="preserve"> and team leader</w:t>
            </w:r>
          </w:p>
        </w:tc>
        <w:tc>
          <w:tcPr>
            <w:tcW w:w="810" w:type="pct"/>
            <w:tcBorders>
              <w:top w:val="single" w:sz="4" w:space="0" w:color="1B556B"/>
            </w:tcBorders>
            <w:hideMark/>
          </w:tcPr>
          <w:p w14:paraId="5D3731B6" w14:textId="77777777" w:rsidR="000267F9" w:rsidRDefault="000267F9">
            <w:pPr>
              <w:pStyle w:val="TableText"/>
              <w:jc w:val="right"/>
            </w:pPr>
            <w:r>
              <w:t>301.00</w:t>
            </w:r>
          </w:p>
        </w:tc>
        <w:tc>
          <w:tcPr>
            <w:tcW w:w="816" w:type="pct"/>
            <w:tcBorders>
              <w:top w:val="single" w:sz="4" w:space="0" w:color="1B556B"/>
            </w:tcBorders>
            <w:hideMark/>
          </w:tcPr>
          <w:p w14:paraId="297AF640" w14:textId="77777777" w:rsidR="000267F9" w:rsidRDefault="000267F9">
            <w:pPr>
              <w:pStyle w:val="TableText"/>
              <w:jc w:val="right"/>
            </w:pPr>
            <w:r>
              <w:t>240.80</w:t>
            </w:r>
          </w:p>
        </w:tc>
        <w:tc>
          <w:tcPr>
            <w:tcW w:w="810" w:type="pct"/>
            <w:tcBorders>
              <w:top w:val="single" w:sz="4" w:space="0" w:color="1B556B"/>
            </w:tcBorders>
            <w:hideMark/>
          </w:tcPr>
          <w:p w14:paraId="6D45B4A3" w14:textId="77777777" w:rsidR="000267F9" w:rsidRDefault="000267F9">
            <w:pPr>
              <w:pStyle w:val="TableText"/>
              <w:jc w:val="right"/>
            </w:pPr>
            <w:r>
              <w:t>310.00</w:t>
            </w:r>
          </w:p>
        </w:tc>
        <w:tc>
          <w:tcPr>
            <w:tcW w:w="815" w:type="pct"/>
            <w:tcBorders>
              <w:top w:val="single" w:sz="4" w:space="0" w:color="1B556B"/>
              <w:right w:val="nil"/>
            </w:tcBorders>
            <w:hideMark/>
          </w:tcPr>
          <w:p w14:paraId="262FC4AE" w14:textId="77777777" w:rsidR="000267F9" w:rsidRDefault="000267F9">
            <w:pPr>
              <w:pStyle w:val="TableText"/>
              <w:jc w:val="right"/>
            </w:pPr>
            <w:r>
              <w:t>248.00</w:t>
            </w:r>
          </w:p>
        </w:tc>
      </w:tr>
      <w:tr w:rsidR="000267F9" w14:paraId="4E4F31E3" w14:textId="77777777" w:rsidTr="00E1765C">
        <w:tc>
          <w:tcPr>
            <w:tcW w:w="1749" w:type="pct"/>
            <w:tcBorders>
              <w:top w:val="single" w:sz="4" w:space="0" w:color="1B556B"/>
              <w:left w:val="nil"/>
            </w:tcBorders>
            <w:hideMark/>
          </w:tcPr>
          <w:p w14:paraId="11FD9F88" w14:textId="116E6BD1" w:rsidR="000267F9" w:rsidRDefault="000267F9" w:rsidP="009976A4">
            <w:pPr>
              <w:pStyle w:val="TableText"/>
            </w:pPr>
            <w:r>
              <w:t>Project leader</w:t>
            </w:r>
            <w:r w:rsidR="000D45D8">
              <w:t>/senior compliance officer</w:t>
            </w:r>
            <w:r w:rsidR="00213E57">
              <w:t>/investigator</w:t>
            </w:r>
          </w:p>
        </w:tc>
        <w:tc>
          <w:tcPr>
            <w:tcW w:w="810" w:type="pct"/>
            <w:tcBorders>
              <w:top w:val="single" w:sz="4" w:space="0" w:color="1B556B"/>
            </w:tcBorders>
            <w:hideMark/>
          </w:tcPr>
          <w:p w14:paraId="49DDD256" w14:textId="77777777" w:rsidR="000267F9" w:rsidRDefault="000267F9">
            <w:pPr>
              <w:pStyle w:val="TableText"/>
              <w:jc w:val="right"/>
            </w:pPr>
            <w:r>
              <w:t>251.00</w:t>
            </w:r>
          </w:p>
        </w:tc>
        <w:tc>
          <w:tcPr>
            <w:tcW w:w="816" w:type="pct"/>
            <w:tcBorders>
              <w:top w:val="single" w:sz="4" w:space="0" w:color="1B556B"/>
            </w:tcBorders>
            <w:hideMark/>
          </w:tcPr>
          <w:p w14:paraId="5DDB1458" w14:textId="77777777" w:rsidR="000267F9" w:rsidRDefault="000267F9">
            <w:pPr>
              <w:pStyle w:val="TableText"/>
              <w:jc w:val="right"/>
            </w:pPr>
            <w:r>
              <w:t>200.80</w:t>
            </w:r>
          </w:p>
        </w:tc>
        <w:tc>
          <w:tcPr>
            <w:tcW w:w="810" w:type="pct"/>
            <w:tcBorders>
              <w:top w:val="single" w:sz="4" w:space="0" w:color="1B556B"/>
            </w:tcBorders>
            <w:hideMark/>
          </w:tcPr>
          <w:p w14:paraId="38A84B69" w14:textId="77777777" w:rsidR="000267F9" w:rsidRDefault="000267F9">
            <w:pPr>
              <w:pStyle w:val="TableText"/>
              <w:jc w:val="right"/>
            </w:pPr>
            <w:r>
              <w:t>259.00</w:t>
            </w:r>
          </w:p>
        </w:tc>
        <w:tc>
          <w:tcPr>
            <w:tcW w:w="815" w:type="pct"/>
            <w:tcBorders>
              <w:top w:val="single" w:sz="4" w:space="0" w:color="1B556B"/>
              <w:right w:val="nil"/>
            </w:tcBorders>
            <w:hideMark/>
          </w:tcPr>
          <w:p w14:paraId="2B61D403" w14:textId="77777777" w:rsidR="000267F9" w:rsidRDefault="000267F9">
            <w:pPr>
              <w:pStyle w:val="TableText"/>
              <w:jc w:val="right"/>
            </w:pPr>
            <w:r>
              <w:t>207.20</w:t>
            </w:r>
          </w:p>
        </w:tc>
      </w:tr>
      <w:tr w:rsidR="000267F9" w14:paraId="32152EA6" w14:textId="77777777" w:rsidTr="00E1765C">
        <w:tc>
          <w:tcPr>
            <w:tcW w:w="1749" w:type="pct"/>
            <w:tcBorders>
              <w:top w:val="single" w:sz="4" w:space="0" w:color="1B556B"/>
              <w:left w:val="nil"/>
            </w:tcBorders>
            <w:hideMark/>
          </w:tcPr>
          <w:p w14:paraId="4F39A4A2" w14:textId="77777777" w:rsidR="000267F9" w:rsidRDefault="000267F9" w:rsidP="009976A4">
            <w:pPr>
              <w:pStyle w:val="TableText"/>
            </w:pPr>
            <w:r>
              <w:t>Senior advisor/officer/investigator</w:t>
            </w:r>
          </w:p>
        </w:tc>
        <w:tc>
          <w:tcPr>
            <w:tcW w:w="810" w:type="pct"/>
            <w:tcBorders>
              <w:top w:val="single" w:sz="4" w:space="0" w:color="1B556B"/>
            </w:tcBorders>
            <w:hideMark/>
          </w:tcPr>
          <w:p w14:paraId="716DCC84" w14:textId="77777777" w:rsidR="000267F9" w:rsidRDefault="000267F9">
            <w:pPr>
              <w:pStyle w:val="TableText"/>
              <w:jc w:val="right"/>
            </w:pPr>
            <w:r>
              <w:t>211.00</w:t>
            </w:r>
          </w:p>
        </w:tc>
        <w:tc>
          <w:tcPr>
            <w:tcW w:w="816" w:type="pct"/>
            <w:tcBorders>
              <w:top w:val="single" w:sz="4" w:space="0" w:color="1B556B"/>
            </w:tcBorders>
            <w:hideMark/>
          </w:tcPr>
          <w:p w14:paraId="1C4BD2D9" w14:textId="77777777" w:rsidR="000267F9" w:rsidRDefault="000267F9">
            <w:pPr>
              <w:pStyle w:val="TableText"/>
              <w:jc w:val="right"/>
            </w:pPr>
            <w:r>
              <w:t>168.80</w:t>
            </w:r>
          </w:p>
        </w:tc>
        <w:tc>
          <w:tcPr>
            <w:tcW w:w="810" w:type="pct"/>
            <w:tcBorders>
              <w:top w:val="single" w:sz="4" w:space="0" w:color="1B556B"/>
            </w:tcBorders>
            <w:hideMark/>
          </w:tcPr>
          <w:p w14:paraId="23E4A214" w14:textId="77777777" w:rsidR="000267F9" w:rsidRDefault="000267F9">
            <w:pPr>
              <w:pStyle w:val="TableText"/>
              <w:jc w:val="right"/>
            </w:pPr>
            <w:r>
              <w:t>218.00</w:t>
            </w:r>
          </w:p>
        </w:tc>
        <w:tc>
          <w:tcPr>
            <w:tcW w:w="815" w:type="pct"/>
            <w:tcBorders>
              <w:top w:val="single" w:sz="4" w:space="0" w:color="1B556B"/>
              <w:right w:val="nil"/>
            </w:tcBorders>
            <w:hideMark/>
          </w:tcPr>
          <w:p w14:paraId="152AAB8A" w14:textId="77777777" w:rsidR="000267F9" w:rsidRDefault="000267F9">
            <w:pPr>
              <w:pStyle w:val="TableText"/>
              <w:jc w:val="right"/>
            </w:pPr>
            <w:r>
              <w:t>174.40</w:t>
            </w:r>
          </w:p>
        </w:tc>
      </w:tr>
      <w:tr w:rsidR="000267F9" w14:paraId="7E81F51D" w14:textId="77777777" w:rsidTr="00E1765C">
        <w:tc>
          <w:tcPr>
            <w:tcW w:w="1749" w:type="pct"/>
            <w:tcBorders>
              <w:top w:val="single" w:sz="4" w:space="0" w:color="1B556B"/>
              <w:left w:val="nil"/>
            </w:tcBorders>
            <w:hideMark/>
          </w:tcPr>
          <w:p w14:paraId="71AB6C78" w14:textId="77777777" w:rsidR="000267F9" w:rsidRDefault="000267F9" w:rsidP="009976A4">
            <w:pPr>
              <w:pStyle w:val="TableText"/>
            </w:pPr>
            <w:r>
              <w:t>Advisor/officer/investigator</w:t>
            </w:r>
          </w:p>
        </w:tc>
        <w:tc>
          <w:tcPr>
            <w:tcW w:w="810" w:type="pct"/>
            <w:tcBorders>
              <w:top w:val="single" w:sz="4" w:space="0" w:color="1B556B"/>
            </w:tcBorders>
            <w:hideMark/>
          </w:tcPr>
          <w:p w14:paraId="586D3373" w14:textId="77777777" w:rsidR="000267F9" w:rsidRDefault="000267F9">
            <w:pPr>
              <w:pStyle w:val="TableText"/>
              <w:jc w:val="right"/>
            </w:pPr>
            <w:r>
              <w:t>181.00</w:t>
            </w:r>
          </w:p>
        </w:tc>
        <w:tc>
          <w:tcPr>
            <w:tcW w:w="816" w:type="pct"/>
            <w:tcBorders>
              <w:top w:val="single" w:sz="4" w:space="0" w:color="1B556B"/>
            </w:tcBorders>
            <w:hideMark/>
          </w:tcPr>
          <w:p w14:paraId="705BA65B" w14:textId="77777777" w:rsidR="000267F9" w:rsidRDefault="000267F9">
            <w:pPr>
              <w:pStyle w:val="TableText"/>
              <w:jc w:val="right"/>
            </w:pPr>
            <w:r>
              <w:t>144.80</w:t>
            </w:r>
          </w:p>
        </w:tc>
        <w:tc>
          <w:tcPr>
            <w:tcW w:w="810" w:type="pct"/>
            <w:tcBorders>
              <w:top w:val="single" w:sz="4" w:space="0" w:color="1B556B"/>
            </w:tcBorders>
            <w:hideMark/>
          </w:tcPr>
          <w:p w14:paraId="0709DA43" w14:textId="77777777" w:rsidR="000267F9" w:rsidRDefault="000267F9">
            <w:pPr>
              <w:pStyle w:val="TableText"/>
              <w:jc w:val="right"/>
            </w:pPr>
            <w:r>
              <w:t>186.00</w:t>
            </w:r>
          </w:p>
        </w:tc>
        <w:tc>
          <w:tcPr>
            <w:tcW w:w="815" w:type="pct"/>
            <w:tcBorders>
              <w:top w:val="single" w:sz="4" w:space="0" w:color="1B556B"/>
              <w:right w:val="nil"/>
            </w:tcBorders>
            <w:hideMark/>
          </w:tcPr>
          <w:p w14:paraId="2006F0B8" w14:textId="77777777" w:rsidR="000267F9" w:rsidRDefault="000267F9">
            <w:pPr>
              <w:pStyle w:val="TableText"/>
              <w:jc w:val="right"/>
            </w:pPr>
            <w:r>
              <w:t>148.80</w:t>
            </w:r>
          </w:p>
        </w:tc>
      </w:tr>
      <w:tr w:rsidR="000267F9" w14:paraId="10147F86" w14:textId="77777777" w:rsidTr="00E1765C">
        <w:tc>
          <w:tcPr>
            <w:tcW w:w="1749" w:type="pct"/>
            <w:tcBorders>
              <w:top w:val="single" w:sz="4" w:space="0" w:color="1B556B"/>
              <w:left w:val="nil"/>
            </w:tcBorders>
            <w:hideMark/>
          </w:tcPr>
          <w:p w14:paraId="5AA547C1" w14:textId="77777777" w:rsidR="000267F9" w:rsidRDefault="000267F9" w:rsidP="009976A4">
            <w:pPr>
              <w:pStyle w:val="TableText"/>
            </w:pPr>
            <w:r>
              <w:t>Administrator</w:t>
            </w:r>
          </w:p>
        </w:tc>
        <w:tc>
          <w:tcPr>
            <w:tcW w:w="810" w:type="pct"/>
            <w:tcBorders>
              <w:top w:val="single" w:sz="4" w:space="0" w:color="1B556B"/>
            </w:tcBorders>
            <w:hideMark/>
          </w:tcPr>
          <w:p w14:paraId="11BE9873" w14:textId="77777777" w:rsidR="000267F9" w:rsidRDefault="000267F9">
            <w:pPr>
              <w:pStyle w:val="TableText"/>
              <w:jc w:val="right"/>
            </w:pPr>
            <w:r>
              <w:t>143.00</w:t>
            </w:r>
          </w:p>
        </w:tc>
        <w:tc>
          <w:tcPr>
            <w:tcW w:w="816" w:type="pct"/>
            <w:tcBorders>
              <w:top w:val="single" w:sz="4" w:space="0" w:color="1B556B"/>
            </w:tcBorders>
            <w:hideMark/>
          </w:tcPr>
          <w:p w14:paraId="57EB2561" w14:textId="77777777" w:rsidR="000267F9" w:rsidRDefault="000267F9">
            <w:pPr>
              <w:pStyle w:val="TableText"/>
              <w:jc w:val="right"/>
            </w:pPr>
            <w:r>
              <w:t>114.40</w:t>
            </w:r>
          </w:p>
        </w:tc>
        <w:tc>
          <w:tcPr>
            <w:tcW w:w="810" w:type="pct"/>
            <w:tcBorders>
              <w:top w:val="single" w:sz="4" w:space="0" w:color="1B556B"/>
            </w:tcBorders>
            <w:hideMark/>
          </w:tcPr>
          <w:p w14:paraId="7305DD84" w14:textId="77777777" w:rsidR="000267F9" w:rsidRDefault="000267F9">
            <w:pPr>
              <w:pStyle w:val="TableText"/>
              <w:jc w:val="right"/>
            </w:pPr>
            <w:r>
              <w:t>148.00</w:t>
            </w:r>
          </w:p>
        </w:tc>
        <w:tc>
          <w:tcPr>
            <w:tcW w:w="815" w:type="pct"/>
            <w:tcBorders>
              <w:top w:val="single" w:sz="4" w:space="0" w:color="1B556B"/>
              <w:right w:val="nil"/>
            </w:tcBorders>
            <w:hideMark/>
          </w:tcPr>
          <w:p w14:paraId="431004A4" w14:textId="77777777" w:rsidR="000267F9" w:rsidRDefault="000267F9">
            <w:pPr>
              <w:pStyle w:val="TableText"/>
              <w:jc w:val="right"/>
            </w:pPr>
            <w:r>
              <w:t>118.40</w:t>
            </w:r>
          </w:p>
        </w:tc>
      </w:tr>
    </w:tbl>
    <w:p w14:paraId="12475E03" w14:textId="2CDCCD66" w:rsidR="0048505C" w:rsidRDefault="00517186" w:rsidP="000E19F6">
      <w:pPr>
        <w:pStyle w:val="BodyText"/>
        <w:spacing w:before="240"/>
      </w:pPr>
      <w:r>
        <w:t xml:space="preserve">These options would allow for the effective recovery of costs, </w:t>
      </w:r>
      <w:r w:rsidR="00097AA2">
        <w:t xml:space="preserve">but </w:t>
      </w:r>
      <w:r w:rsidR="008955AD">
        <w:t xml:space="preserve">the </w:t>
      </w:r>
      <w:r w:rsidR="00420770">
        <w:t>preferred option</w:t>
      </w:r>
      <w:r w:rsidR="008955AD">
        <w:t xml:space="preserve"> </w:t>
      </w:r>
      <w:r w:rsidR="00420770">
        <w:t xml:space="preserve">is more equitable and </w:t>
      </w:r>
      <w:r w:rsidR="00267379">
        <w:t>accountable</w:t>
      </w:r>
      <w:r w:rsidR="00420770">
        <w:t>.</w:t>
      </w:r>
      <w:r w:rsidR="008955AD">
        <w:t xml:space="preserve"> This is because the </w:t>
      </w:r>
      <w:r w:rsidR="00420770">
        <w:t>other</w:t>
      </w:r>
      <w:r w:rsidR="008955AD">
        <w:t xml:space="preserve"> </w:t>
      </w:r>
      <w:r w:rsidR="00420770">
        <w:t>o</w:t>
      </w:r>
      <w:r w:rsidR="008955AD">
        <w:t>ptions involve an element of cross-</w:t>
      </w:r>
      <w:r w:rsidR="008501FF">
        <w:t>s</w:t>
      </w:r>
      <w:r w:rsidR="008955AD">
        <w:t>ubsidisation and</w:t>
      </w:r>
      <w:r>
        <w:t xml:space="preserve"> do not reflect </w:t>
      </w:r>
      <w:r w:rsidR="008501FF">
        <w:t xml:space="preserve">the EPA’s </w:t>
      </w:r>
      <w:r>
        <w:t>actual costs for as long</w:t>
      </w:r>
      <w:r w:rsidR="008501FF">
        <w:t xml:space="preserve"> as the </w:t>
      </w:r>
      <w:r w:rsidR="00420770">
        <w:t>preferred option</w:t>
      </w:r>
      <w:r w:rsidR="008501FF">
        <w:t>.</w:t>
      </w:r>
    </w:p>
    <w:p w14:paraId="177BA340" w14:textId="25C977AF" w:rsidR="00133367" w:rsidRDefault="003A3CB7" w:rsidP="006B226A">
      <w:pPr>
        <w:pStyle w:val="BodyText"/>
      </w:pPr>
      <w:r>
        <w:fldChar w:fldCharType="begin"/>
      </w:r>
      <w:r>
        <w:instrText xml:space="preserve"> REF _Ref114654666 \h </w:instrText>
      </w:r>
      <w:r>
        <w:fldChar w:fldCharType="separate"/>
      </w:r>
      <w:r w:rsidR="009802BA">
        <w:t xml:space="preserve">Table </w:t>
      </w:r>
      <w:r w:rsidR="009802BA">
        <w:rPr>
          <w:noProof/>
        </w:rPr>
        <w:t>10</w:t>
      </w:r>
      <w:r>
        <w:fldChar w:fldCharType="end"/>
      </w:r>
      <w:r w:rsidR="00133367" w:rsidRPr="002A0234">
        <w:t xml:space="preserve"> </w:t>
      </w:r>
      <w:r w:rsidR="00420770">
        <w:t>shows our</w:t>
      </w:r>
      <w:r w:rsidR="00133367">
        <w:t xml:space="preserve"> assessment of the </w:t>
      </w:r>
      <w:r w:rsidR="00584176">
        <w:t>options against the cost</w:t>
      </w:r>
      <w:r w:rsidR="009802BA">
        <w:t>-</w:t>
      </w:r>
      <w:r w:rsidR="00584176">
        <w:t xml:space="preserve">recovery </w:t>
      </w:r>
      <w:r w:rsidR="00420770">
        <w:t xml:space="preserve">principles and </w:t>
      </w:r>
      <w:r w:rsidR="00584176">
        <w:t>objectives.</w:t>
      </w:r>
    </w:p>
    <w:p w14:paraId="62BEC281" w14:textId="2C3C1E54" w:rsidR="003A3CB7" w:rsidRDefault="003A3CB7" w:rsidP="00762667">
      <w:pPr>
        <w:pStyle w:val="Tableheading"/>
      </w:pPr>
      <w:bookmarkStart w:id="51" w:name="_Ref114654666"/>
      <w:bookmarkStart w:id="52" w:name="_Toc115682247"/>
      <w:r>
        <w:t xml:space="preserve">Table </w:t>
      </w:r>
      <w:r w:rsidR="002D4F05">
        <w:fldChar w:fldCharType="begin"/>
      </w:r>
      <w:r w:rsidR="002D4F05">
        <w:instrText xml:space="preserve"> SEQ Table \* ARABIC </w:instrText>
      </w:r>
      <w:r w:rsidR="002D4F05">
        <w:fldChar w:fldCharType="separate"/>
      </w:r>
      <w:r w:rsidR="00651832">
        <w:rPr>
          <w:noProof/>
        </w:rPr>
        <w:t>10</w:t>
      </w:r>
      <w:r w:rsidR="002D4F05">
        <w:rPr>
          <w:noProof/>
        </w:rPr>
        <w:fldChar w:fldCharType="end"/>
      </w:r>
      <w:bookmarkEnd w:id="51"/>
      <w:r>
        <w:t xml:space="preserve">: </w:t>
      </w:r>
      <w:r w:rsidR="000B67CB">
        <w:tab/>
      </w:r>
      <w:r w:rsidRPr="00831D56">
        <w:t>Assessment of preferred and alternative cost</w:t>
      </w:r>
      <w:r w:rsidR="009802BA">
        <w:t>-</w:t>
      </w:r>
      <w:r w:rsidRPr="00831D56">
        <w:t>recovery options against the cost</w:t>
      </w:r>
      <w:r w:rsidR="009802BA">
        <w:t>-</w:t>
      </w:r>
      <w:r w:rsidRPr="00831D56">
        <w:t>recovery principles and objectives</w:t>
      </w:r>
      <w:bookmarkEnd w:id="52"/>
    </w:p>
    <w:tbl>
      <w:tblPr>
        <w:tblStyle w:val="ListTable3-Accent1"/>
        <w:tblW w:w="8505" w:type="dxa"/>
        <w:tblLayout w:type="fixed"/>
        <w:tblLook w:val="04A0" w:firstRow="1" w:lastRow="0" w:firstColumn="1" w:lastColumn="0" w:noHBand="0" w:noVBand="1"/>
      </w:tblPr>
      <w:tblGrid>
        <w:gridCol w:w="1413"/>
        <w:gridCol w:w="2256"/>
        <w:gridCol w:w="2226"/>
        <w:gridCol w:w="2610"/>
      </w:tblGrid>
      <w:tr w:rsidR="00D527AD" w:rsidRPr="00D527AD" w14:paraId="0F92163E" w14:textId="77777777" w:rsidTr="00D527AD">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1C556C" w:themeColor="accent1"/>
              <w:right w:val="single" w:sz="4" w:space="0" w:color="FFFFFF" w:themeColor="background1"/>
            </w:tcBorders>
            <w:noWrap/>
            <w:vAlign w:val="center"/>
            <w:hideMark/>
          </w:tcPr>
          <w:p w14:paraId="75135EFD" w14:textId="77777777" w:rsidR="001600FE" w:rsidRPr="00D527AD" w:rsidRDefault="001600FE" w:rsidP="00762667">
            <w:pPr>
              <w:spacing w:after="0" w:line="240" w:lineRule="auto"/>
              <w:jc w:val="left"/>
              <w:rPr>
                <w:rFonts w:cs="Arial"/>
                <w:b w:val="0"/>
                <w:bCs w:val="0"/>
                <w:sz w:val="18"/>
                <w:szCs w:val="18"/>
              </w:rPr>
            </w:pPr>
          </w:p>
        </w:tc>
        <w:tc>
          <w:tcPr>
            <w:tcW w:w="2256" w:type="dxa"/>
            <w:tcBorders>
              <w:top w:val="single" w:sz="4" w:space="0" w:color="1C556C" w:themeColor="accent1"/>
              <w:left w:val="single" w:sz="4" w:space="0" w:color="FFFFFF" w:themeColor="background1"/>
              <w:bottom w:val="nil"/>
              <w:right w:val="single" w:sz="4" w:space="0" w:color="FFFFFF" w:themeColor="background1"/>
            </w:tcBorders>
            <w:noWrap/>
            <w:vAlign w:val="center"/>
            <w:hideMark/>
          </w:tcPr>
          <w:p w14:paraId="033004BA" w14:textId="2DE9BFA0" w:rsidR="001600FE" w:rsidRPr="00D527AD" w:rsidRDefault="001600FE" w:rsidP="00D527AD">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D527AD">
              <w:rPr>
                <w:rFonts w:cs="Arial"/>
                <w:sz w:val="18"/>
                <w:szCs w:val="18"/>
              </w:rPr>
              <w:t>Proposed</w:t>
            </w:r>
            <w:r w:rsidR="001E36DB" w:rsidRPr="00D527AD">
              <w:rPr>
                <w:rFonts w:cs="Arial"/>
                <w:sz w:val="18"/>
                <w:szCs w:val="18"/>
              </w:rPr>
              <w:t xml:space="preserve"> </w:t>
            </w:r>
            <w:r w:rsidR="00277F21" w:rsidRPr="00D527AD">
              <w:rPr>
                <w:rFonts w:cs="Arial"/>
                <w:sz w:val="18"/>
                <w:szCs w:val="18"/>
              </w:rPr>
              <w:t>o</w:t>
            </w:r>
            <w:r w:rsidR="00A55565" w:rsidRPr="00D527AD">
              <w:rPr>
                <w:rFonts w:cs="Arial"/>
                <w:sz w:val="18"/>
                <w:szCs w:val="18"/>
              </w:rPr>
              <w:t>p</w:t>
            </w:r>
            <w:r w:rsidR="001E36DB" w:rsidRPr="00D527AD">
              <w:rPr>
                <w:rFonts w:cs="Arial"/>
                <w:sz w:val="18"/>
                <w:szCs w:val="18"/>
              </w:rPr>
              <w:t>tion</w:t>
            </w:r>
            <w:r w:rsidR="00A55565" w:rsidRPr="00D527AD">
              <w:rPr>
                <w:rFonts w:cs="Arial"/>
                <w:sz w:val="18"/>
                <w:szCs w:val="18"/>
              </w:rPr>
              <w:t xml:space="preserve"> – increases over three years from 1 July 2023</w:t>
            </w:r>
          </w:p>
        </w:tc>
        <w:tc>
          <w:tcPr>
            <w:tcW w:w="2226" w:type="dxa"/>
            <w:tcBorders>
              <w:top w:val="single" w:sz="4" w:space="0" w:color="1C556C" w:themeColor="accent1"/>
              <w:left w:val="single" w:sz="4" w:space="0" w:color="FFFFFF" w:themeColor="background1"/>
              <w:bottom w:val="nil"/>
              <w:right w:val="single" w:sz="4" w:space="0" w:color="FFFFFF" w:themeColor="background1"/>
            </w:tcBorders>
            <w:noWrap/>
            <w:vAlign w:val="center"/>
            <w:hideMark/>
          </w:tcPr>
          <w:p w14:paraId="64320DF0" w14:textId="0D8E3D7E" w:rsidR="001600FE" w:rsidRPr="00D527AD" w:rsidRDefault="001600FE" w:rsidP="00D527AD">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D527AD">
              <w:rPr>
                <w:rFonts w:cs="Arial"/>
                <w:sz w:val="18"/>
                <w:szCs w:val="18"/>
              </w:rPr>
              <w:t xml:space="preserve">Option </w:t>
            </w:r>
            <w:r w:rsidR="00277F21" w:rsidRPr="00D527AD">
              <w:rPr>
                <w:rFonts w:cs="Arial"/>
                <w:sz w:val="18"/>
                <w:szCs w:val="18"/>
              </w:rPr>
              <w:t>One</w:t>
            </w:r>
            <w:r w:rsidRPr="00D527AD">
              <w:rPr>
                <w:rFonts w:cs="Arial"/>
                <w:sz w:val="18"/>
                <w:szCs w:val="18"/>
              </w:rPr>
              <w:t xml:space="preserve"> </w:t>
            </w:r>
            <w:r w:rsidR="00277F21" w:rsidRPr="00D527AD">
              <w:rPr>
                <w:rFonts w:cs="Arial"/>
                <w:sz w:val="18"/>
                <w:szCs w:val="18"/>
              </w:rPr>
              <w:t>–</w:t>
            </w:r>
            <w:r w:rsidRPr="00D527AD">
              <w:rPr>
                <w:rFonts w:cs="Arial"/>
                <w:sz w:val="18"/>
                <w:szCs w:val="18"/>
              </w:rPr>
              <w:t xml:space="preserve"> 2023/24 rates</w:t>
            </w:r>
            <w:r w:rsidR="001E36DB" w:rsidRPr="00D527AD">
              <w:rPr>
                <w:rFonts w:cs="Arial"/>
                <w:sz w:val="18"/>
                <w:szCs w:val="18"/>
              </w:rPr>
              <w:t xml:space="preserve"> apply from </w:t>
            </w:r>
            <w:r w:rsidR="00A55565" w:rsidRPr="00D527AD">
              <w:rPr>
                <w:rFonts w:cs="Arial"/>
                <w:sz w:val="18"/>
                <w:szCs w:val="18"/>
              </w:rPr>
              <w:t>1 July 2023</w:t>
            </w:r>
          </w:p>
        </w:tc>
        <w:tc>
          <w:tcPr>
            <w:tcW w:w="2610" w:type="dxa"/>
            <w:tcBorders>
              <w:top w:val="single" w:sz="4" w:space="0" w:color="1C556C" w:themeColor="accent1"/>
              <w:left w:val="single" w:sz="4" w:space="0" w:color="FFFFFF" w:themeColor="background1"/>
              <w:bottom w:val="nil"/>
            </w:tcBorders>
            <w:noWrap/>
            <w:vAlign w:val="center"/>
            <w:hideMark/>
          </w:tcPr>
          <w:p w14:paraId="6F4D9D22" w14:textId="24D9CC56" w:rsidR="001600FE" w:rsidRPr="00D527AD" w:rsidRDefault="001600FE" w:rsidP="00D527AD">
            <w:pPr>
              <w:spacing w:before="6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D527AD">
              <w:rPr>
                <w:rFonts w:cs="Arial"/>
                <w:sz w:val="18"/>
                <w:szCs w:val="18"/>
              </w:rPr>
              <w:t xml:space="preserve">Option </w:t>
            </w:r>
            <w:r w:rsidR="00277F21" w:rsidRPr="00D527AD">
              <w:rPr>
                <w:rFonts w:cs="Arial"/>
                <w:sz w:val="18"/>
                <w:szCs w:val="18"/>
              </w:rPr>
              <w:t>Two –</w:t>
            </w:r>
            <w:r w:rsidRPr="00D527AD">
              <w:rPr>
                <w:rFonts w:cs="Arial"/>
                <w:sz w:val="18"/>
                <w:szCs w:val="18"/>
              </w:rPr>
              <w:t xml:space="preserve"> 2024/25 rates</w:t>
            </w:r>
            <w:r w:rsidR="00A55565" w:rsidRPr="00D527AD">
              <w:rPr>
                <w:rFonts w:cs="Arial"/>
                <w:sz w:val="18"/>
                <w:szCs w:val="18"/>
              </w:rPr>
              <w:t xml:space="preserve"> apply from 1 July 2023</w:t>
            </w:r>
          </w:p>
        </w:tc>
      </w:tr>
      <w:tr w:rsidR="00D527AD" w:rsidRPr="007B0CDC" w14:paraId="17132185" w14:textId="77777777" w:rsidTr="00D527AD">
        <w:trPr>
          <w:cnfStyle w:val="000000100000" w:firstRow="0" w:lastRow="0" w:firstColumn="0" w:lastColumn="0" w:oddVBand="0" w:evenVBand="0" w:oddHBand="1" w:evenHBand="0" w:firstRowFirstColumn="0" w:firstRowLastColumn="0" w:lastRowFirstColumn="0" w:lastRowLastColumn="0"/>
          <w:trHeight w:val="1882"/>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single" w:sz="4" w:space="0" w:color="1B556B"/>
              <w:right w:val="single" w:sz="4" w:space="0" w:color="1B556B"/>
            </w:tcBorders>
            <w:noWrap/>
            <w:hideMark/>
          </w:tcPr>
          <w:p w14:paraId="726C09C9" w14:textId="77777777" w:rsidR="001600FE" w:rsidRPr="00D527AD" w:rsidRDefault="001600FE">
            <w:pPr>
              <w:spacing w:after="0" w:line="240" w:lineRule="auto"/>
              <w:rPr>
                <w:rFonts w:cs="Arial"/>
                <w:b w:val="0"/>
                <w:bCs w:val="0"/>
                <w:color w:val="000000"/>
                <w:sz w:val="18"/>
                <w:szCs w:val="18"/>
              </w:rPr>
            </w:pPr>
            <w:r w:rsidRPr="00D527AD">
              <w:rPr>
                <w:rFonts w:cs="Arial"/>
                <w:b w:val="0"/>
                <w:bCs w:val="0"/>
                <w:color w:val="000000" w:themeColor="text1"/>
                <w:sz w:val="18"/>
                <w:szCs w:val="18"/>
              </w:rPr>
              <w:t>Equity</w:t>
            </w:r>
          </w:p>
        </w:tc>
        <w:tc>
          <w:tcPr>
            <w:tcW w:w="2256" w:type="dxa"/>
            <w:tcBorders>
              <w:top w:val="nil"/>
              <w:left w:val="single" w:sz="4" w:space="0" w:color="1B556B"/>
              <w:bottom w:val="single" w:sz="4" w:space="0" w:color="1B556B"/>
              <w:right w:val="single" w:sz="4" w:space="0" w:color="1B556B"/>
            </w:tcBorders>
            <w:hideMark/>
          </w:tcPr>
          <w:p w14:paraId="35C045E0" w14:textId="77777777" w:rsidR="001600FE" w:rsidRPr="00D527AD" w:rsidRDefault="001600FE" w:rsidP="0076266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2C4584E8" w14:textId="4B971DF6" w:rsidR="001600FE" w:rsidRPr="00745957" w:rsidRDefault="001600FE" w:rsidP="0076266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themeColor="text1"/>
                <w:sz w:val="18"/>
                <w:szCs w:val="18"/>
              </w:rPr>
              <w:t>A</w:t>
            </w:r>
            <w:r w:rsidRPr="00745957">
              <w:rPr>
                <w:rFonts w:cs="Arial"/>
                <w:color w:val="000000" w:themeColor="text1"/>
                <w:sz w:val="18"/>
                <w:szCs w:val="18"/>
              </w:rPr>
              <w:t xml:space="preserve">llows functions and services provided over three years to be accurately costed. </w:t>
            </w:r>
            <w:r w:rsidR="00A55565">
              <w:rPr>
                <w:rFonts w:cs="Arial"/>
                <w:color w:val="000000" w:themeColor="text1"/>
                <w:sz w:val="18"/>
                <w:szCs w:val="18"/>
              </w:rPr>
              <w:t>EPA salary increases</w:t>
            </w:r>
            <w:r w:rsidRPr="00745957">
              <w:rPr>
                <w:rFonts w:cs="Arial"/>
                <w:color w:val="000000" w:themeColor="text1"/>
                <w:sz w:val="18"/>
                <w:szCs w:val="18"/>
              </w:rPr>
              <w:t xml:space="preserve"> will not be cross-subsidised via public funding.</w:t>
            </w:r>
          </w:p>
        </w:tc>
        <w:tc>
          <w:tcPr>
            <w:tcW w:w="2226" w:type="dxa"/>
            <w:tcBorders>
              <w:top w:val="nil"/>
              <w:left w:val="single" w:sz="4" w:space="0" w:color="1B556B"/>
              <w:bottom w:val="single" w:sz="4" w:space="0" w:color="1B556B"/>
              <w:right w:val="single" w:sz="4" w:space="0" w:color="1B556B"/>
            </w:tcBorders>
            <w:hideMark/>
          </w:tcPr>
          <w:p w14:paraId="02088CA8" w14:textId="77777777" w:rsidR="001600FE" w:rsidRPr="00D527AD" w:rsidRDefault="001600FE" w:rsidP="0076266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w:t>
            </w:r>
            <w:r w:rsidRPr="00D527AD">
              <w:rPr>
                <w:rFonts w:cs="Arial"/>
                <w:color w:val="000000" w:themeColor="text1"/>
                <w:sz w:val="18"/>
                <w:szCs w:val="18"/>
              </w:rPr>
              <w:t xml:space="preserve"> </w:t>
            </w:r>
          </w:p>
          <w:p w14:paraId="1D08AA60" w14:textId="33B5F092" w:rsidR="001600FE" w:rsidRPr="00745957" w:rsidRDefault="00A55565" w:rsidP="0076266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themeColor="text1"/>
                <w:sz w:val="18"/>
                <w:szCs w:val="18"/>
              </w:rPr>
              <w:t>After</w:t>
            </w:r>
            <w:r w:rsidRPr="00745957">
              <w:rPr>
                <w:rFonts w:cs="Arial"/>
                <w:color w:val="000000" w:themeColor="text1"/>
                <w:sz w:val="18"/>
                <w:szCs w:val="18"/>
              </w:rPr>
              <w:t xml:space="preserve"> </w:t>
            </w:r>
            <w:r w:rsidR="001600FE" w:rsidRPr="00745957">
              <w:rPr>
                <w:rFonts w:cs="Arial"/>
                <w:color w:val="000000" w:themeColor="text1"/>
                <w:sz w:val="18"/>
                <w:szCs w:val="18"/>
              </w:rPr>
              <w:t xml:space="preserve">the first year, </w:t>
            </w:r>
            <w:r>
              <w:rPr>
                <w:rFonts w:cs="Arial"/>
                <w:color w:val="000000" w:themeColor="text1"/>
                <w:sz w:val="18"/>
                <w:szCs w:val="18"/>
              </w:rPr>
              <w:t>EPA salary</w:t>
            </w:r>
            <w:r w:rsidR="001600FE" w:rsidRPr="00745957">
              <w:rPr>
                <w:rFonts w:cs="Arial"/>
                <w:color w:val="000000" w:themeColor="text1"/>
                <w:sz w:val="18"/>
                <w:szCs w:val="18"/>
              </w:rPr>
              <w:t xml:space="preserve"> increases are not covered by the rates, </w:t>
            </w:r>
            <w:r w:rsidR="00511C2E">
              <w:rPr>
                <w:rFonts w:cs="Arial"/>
                <w:color w:val="000000" w:themeColor="text1"/>
                <w:sz w:val="18"/>
                <w:szCs w:val="18"/>
              </w:rPr>
              <w:t xml:space="preserve">so </w:t>
            </w:r>
            <w:r w:rsidR="005A4232">
              <w:rPr>
                <w:rFonts w:cs="Arial"/>
                <w:color w:val="000000" w:themeColor="text1"/>
                <w:sz w:val="18"/>
                <w:szCs w:val="18"/>
              </w:rPr>
              <w:t xml:space="preserve">public funding is likely to be needed, </w:t>
            </w:r>
            <w:r w:rsidR="008F3461">
              <w:rPr>
                <w:rFonts w:cs="Arial"/>
                <w:color w:val="000000" w:themeColor="text1"/>
                <w:sz w:val="18"/>
                <w:szCs w:val="18"/>
              </w:rPr>
              <w:t>resulting in</w:t>
            </w:r>
            <w:r w:rsidR="001600FE" w:rsidRPr="00745957">
              <w:rPr>
                <w:rFonts w:cs="Arial"/>
                <w:color w:val="000000" w:themeColor="text1"/>
                <w:sz w:val="18"/>
                <w:szCs w:val="18"/>
              </w:rPr>
              <w:t xml:space="preserve"> cross-subsidisation.</w:t>
            </w:r>
          </w:p>
        </w:tc>
        <w:tc>
          <w:tcPr>
            <w:tcW w:w="2610" w:type="dxa"/>
            <w:tcBorders>
              <w:top w:val="nil"/>
              <w:left w:val="single" w:sz="4" w:space="0" w:color="1B556B"/>
              <w:bottom w:val="single" w:sz="4" w:space="0" w:color="1B556B"/>
              <w:right w:val="nil"/>
            </w:tcBorders>
            <w:hideMark/>
          </w:tcPr>
          <w:p w14:paraId="707CF832" w14:textId="77777777" w:rsidR="001600FE" w:rsidRDefault="001600FE" w:rsidP="0076266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572C7">
              <w:rPr>
                <w:rFonts w:ascii="Wingdings 2" w:eastAsia="Wingdings 2" w:hAnsi="Wingdings 2" w:cs="Wingdings 2"/>
                <w:sz w:val="30"/>
                <w:szCs w:val="30"/>
              </w:rPr>
              <w:t>Ñ</w:t>
            </w:r>
            <w:r w:rsidRPr="00745957">
              <w:rPr>
                <w:rFonts w:cs="Arial"/>
                <w:color w:val="000000" w:themeColor="text1"/>
                <w:sz w:val="18"/>
                <w:szCs w:val="18"/>
              </w:rPr>
              <w:t xml:space="preserve"> </w:t>
            </w:r>
          </w:p>
          <w:p w14:paraId="054A8669" w14:textId="61261BD0" w:rsidR="001600FE" w:rsidRPr="00745957" w:rsidRDefault="001600FE" w:rsidP="0076266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45957">
              <w:rPr>
                <w:rFonts w:cs="Arial"/>
                <w:color w:val="000000" w:themeColor="text1"/>
                <w:sz w:val="18"/>
                <w:szCs w:val="18"/>
              </w:rPr>
              <w:t xml:space="preserve">Those paying for </w:t>
            </w:r>
            <w:r w:rsidR="00977773">
              <w:rPr>
                <w:rFonts w:cs="Arial"/>
                <w:color w:val="000000" w:themeColor="text1"/>
                <w:sz w:val="18"/>
                <w:szCs w:val="18"/>
              </w:rPr>
              <w:t xml:space="preserve">functions and </w:t>
            </w:r>
            <w:r w:rsidRPr="00745957">
              <w:rPr>
                <w:rFonts w:cs="Arial"/>
                <w:color w:val="000000" w:themeColor="text1"/>
                <w:sz w:val="18"/>
                <w:szCs w:val="18"/>
              </w:rPr>
              <w:t xml:space="preserve">services in the 2023/24 financial year will be paying more than </w:t>
            </w:r>
            <w:r w:rsidR="0059091B">
              <w:rPr>
                <w:rFonts w:cs="Arial"/>
                <w:color w:val="000000" w:themeColor="text1"/>
                <w:sz w:val="18"/>
                <w:szCs w:val="18"/>
              </w:rPr>
              <w:t>these functions and services</w:t>
            </w:r>
            <w:r w:rsidR="0059091B" w:rsidRPr="00745957">
              <w:rPr>
                <w:rFonts w:cs="Arial"/>
                <w:color w:val="000000" w:themeColor="text1"/>
                <w:sz w:val="18"/>
                <w:szCs w:val="18"/>
              </w:rPr>
              <w:t xml:space="preserve"> </w:t>
            </w:r>
            <w:r w:rsidRPr="00745957">
              <w:rPr>
                <w:rFonts w:cs="Arial"/>
                <w:color w:val="000000" w:themeColor="text1"/>
                <w:sz w:val="18"/>
                <w:szCs w:val="18"/>
              </w:rPr>
              <w:t>cost</w:t>
            </w:r>
            <w:r w:rsidR="00D3541F">
              <w:rPr>
                <w:rFonts w:cs="Arial"/>
                <w:color w:val="000000" w:themeColor="text1"/>
                <w:sz w:val="18"/>
                <w:szCs w:val="18"/>
              </w:rPr>
              <w:t xml:space="preserve"> the EPA</w:t>
            </w:r>
            <w:r w:rsidRPr="00745957">
              <w:rPr>
                <w:rFonts w:cs="Arial"/>
                <w:color w:val="000000" w:themeColor="text1"/>
                <w:sz w:val="18"/>
                <w:szCs w:val="18"/>
              </w:rPr>
              <w:t>, and those in the 202</w:t>
            </w:r>
            <w:r>
              <w:rPr>
                <w:rFonts w:cs="Arial"/>
                <w:color w:val="000000" w:themeColor="text1"/>
                <w:sz w:val="18"/>
                <w:szCs w:val="18"/>
              </w:rPr>
              <w:t>5</w:t>
            </w:r>
            <w:r w:rsidRPr="00745957">
              <w:rPr>
                <w:rFonts w:cs="Arial"/>
                <w:color w:val="000000" w:themeColor="text1"/>
                <w:sz w:val="18"/>
                <w:szCs w:val="18"/>
              </w:rPr>
              <w:t>/2</w:t>
            </w:r>
            <w:r>
              <w:rPr>
                <w:rFonts w:cs="Arial"/>
                <w:color w:val="000000" w:themeColor="text1"/>
                <w:sz w:val="18"/>
                <w:szCs w:val="18"/>
              </w:rPr>
              <w:t>6</w:t>
            </w:r>
            <w:r w:rsidRPr="00745957">
              <w:rPr>
                <w:rFonts w:cs="Arial"/>
                <w:color w:val="000000" w:themeColor="text1"/>
                <w:sz w:val="18"/>
                <w:szCs w:val="18"/>
              </w:rPr>
              <w:t xml:space="preserve"> financial year will be paying less</w:t>
            </w:r>
            <w:r w:rsidR="00C34016">
              <w:rPr>
                <w:rFonts w:cs="Arial"/>
                <w:color w:val="000000" w:themeColor="text1"/>
                <w:sz w:val="18"/>
                <w:szCs w:val="18"/>
              </w:rPr>
              <w:t xml:space="preserve"> than </w:t>
            </w:r>
            <w:r w:rsidR="0059091B">
              <w:rPr>
                <w:rFonts w:cs="Arial"/>
                <w:color w:val="000000" w:themeColor="text1"/>
                <w:sz w:val="18"/>
                <w:szCs w:val="18"/>
              </w:rPr>
              <w:t xml:space="preserve">these </w:t>
            </w:r>
            <w:r w:rsidR="00383E1F">
              <w:rPr>
                <w:rFonts w:cs="Arial"/>
                <w:color w:val="000000" w:themeColor="text1"/>
                <w:sz w:val="18"/>
                <w:szCs w:val="18"/>
              </w:rPr>
              <w:t>cost the</w:t>
            </w:r>
            <w:r w:rsidR="00C34016">
              <w:rPr>
                <w:rFonts w:cs="Arial"/>
                <w:color w:val="000000" w:themeColor="text1"/>
                <w:sz w:val="18"/>
                <w:szCs w:val="18"/>
              </w:rPr>
              <w:t xml:space="preserve"> EPA</w:t>
            </w:r>
            <w:r w:rsidRPr="00745957">
              <w:rPr>
                <w:rFonts w:cs="Arial"/>
                <w:color w:val="000000" w:themeColor="text1"/>
                <w:sz w:val="18"/>
                <w:szCs w:val="18"/>
              </w:rPr>
              <w:t>.</w:t>
            </w:r>
            <w:r w:rsidR="008F3461" w:rsidRPr="00745957">
              <w:rPr>
                <w:rFonts w:cs="Arial"/>
                <w:color w:val="000000" w:themeColor="text1"/>
                <w:sz w:val="18"/>
                <w:szCs w:val="18"/>
              </w:rPr>
              <w:t xml:space="preserve"> </w:t>
            </w:r>
            <w:r w:rsidR="00C34016">
              <w:rPr>
                <w:rFonts w:cs="Arial"/>
                <w:color w:val="000000" w:themeColor="text1"/>
                <w:sz w:val="18"/>
                <w:szCs w:val="18"/>
              </w:rPr>
              <w:t xml:space="preserve">This will </w:t>
            </w:r>
            <w:r w:rsidR="00383E1F">
              <w:rPr>
                <w:rFonts w:cs="Arial"/>
                <w:color w:val="000000" w:themeColor="text1"/>
                <w:sz w:val="18"/>
                <w:szCs w:val="18"/>
              </w:rPr>
              <w:t>result in cross-</w:t>
            </w:r>
            <w:r w:rsidR="00C34016">
              <w:rPr>
                <w:rFonts w:cs="Arial"/>
                <w:color w:val="000000" w:themeColor="text1"/>
                <w:sz w:val="18"/>
                <w:szCs w:val="18"/>
              </w:rPr>
              <w:t>subsidisation</w:t>
            </w:r>
            <w:r w:rsidR="00383E1F">
              <w:rPr>
                <w:rFonts w:cs="Arial"/>
                <w:color w:val="000000" w:themeColor="text1"/>
                <w:sz w:val="18"/>
                <w:szCs w:val="18"/>
              </w:rPr>
              <w:t xml:space="preserve"> via the use of public funds, but also an addition</w:t>
            </w:r>
            <w:r w:rsidR="008F3461" w:rsidRPr="00745957">
              <w:rPr>
                <w:rFonts w:cs="Arial"/>
                <w:color w:val="000000" w:themeColor="text1"/>
                <w:sz w:val="18"/>
                <w:szCs w:val="18"/>
              </w:rPr>
              <w:t>al layer of cross-</w:t>
            </w:r>
            <w:r w:rsidR="008F3461" w:rsidRPr="00745957">
              <w:rPr>
                <w:rFonts w:cs="Arial"/>
                <w:color w:val="000000" w:themeColor="text1"/>
                <w:sz w:val="18"/>
                <w:szCs w:val="18"/>
              </w:rPr>
              <w:lastRenderedPageBreak/>
              <w:t xml:space="preserve">subsidisation between </w:t>
            </w:r>
            <w:r w:rsidR="00D02C7B">
              <w:rPr>
                <w:rFonts w:cs="Arial"/>
                <w:color w:val="000000" w:themeColor="text1"/>
                <w:sz w:val="18"/>
                <w:szCs w:val="18"/>
              </w:rPr>
              <w:t>applicants and duty holders</w:t>
            </w:r>
            <w:r w:rsidR="00EE1253">
              <w:rPr>
                <w:rFonts w:cs="Arial"/>
                <w:color w:val="000000" w:themeColor="text1"/>
                <w:sz w:val="18"/>
                <w:szCs w:val="18"/>
              </w:rPr>
              <w:t xml:space="preserve"> </w:t>
            </w:r>
            <w:r w:rsidR="00383E1F">
              <w:rPr>
                <w:rFonts w:cs="Arial"/>
                <w:color w:val="000000" w:themeColor="text1"/>
                <w:sz w:val="18"/>
                <w:szCs w:val="18"/>
              </w:rPr>
              <w:t>in different financial years</w:t>
            </w:r>
            <w:r w:rsidR="008F3461" w:rsidRPr="00745957">
              <w:rPr>
                <w:rFonts w:cs="Arial"/>
                <w:color w:val="000000" w:themeColor="text1"/>
                <w:sz w:val="18"/>
                <w:szCs w:val="18"/>
              </w:rPr>
              <w:t>.</w:t>
            </w:r>
          </w:p>
        </w:tc>
      </w:tr>
      <w:tr w:rsidR="00FB7FE1" w:rsidRPr="007B0CDC" w14:paraId="6EC3EE8F" w14:textId="77777777" w:rsidTr="00D527AD">
        <w:trPr>
          <w:trHeight w:val="1258"/>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hideMark/>
          </w:tcPr>
          <w:p w14:paraId="53F9A7B5" w14:textId="0026DEC4" w:rsidR="00FB7FE1" w:rsidRPr="00D527AD" w:rsidRDefault="00FB7FE1" w:rsidP="00FB7FE1">
            <w:pPr>
              <w:spacing w:after="0" w:line="240" w:lineRule="auto"/>
              <w:rPr>
                <w:rFonts w:cs="Arial"/>
                <w:b w:val="0"/>
                <w:bCs w:val="0"/>
                <w:color w:val="000000"/>
                <w:sz w:val="18"/>
                <w:szCs w:val="18"/>
              </w:rPr>
            </w:pPr>
            <w:r w:rsidRPr="00D527AD">
              <w:rPr>
                <w:rFonts w:cs="Arial"/>
                <w:b w:val="0"/>
                <w:bCs w:val="0"/>
                <w:color w:val="000000" w:themeColor="text1"/>
                <w:sz w:val="18"/>
                <w:szCs w:val="18"/>
              </w:rPr>
              <w:lastRenderedPageBreak/>
              <w:t>Efficiency</w:t>
            </w:r>
          </w:p>
        </w:tc>
        <w:tc>
          <w:tcPr>
            <w:tcW w:w="2256" w:type="dxa"/>
            <w:tcBorders>
              <w:top w:val="single" w:sz="4" w:space="0" w:color="1B556B"/>
              <w:left w:val="single" w:sz="4" w:space="0" w:color="1B556B"/>
              <w:bottom w:val="single" w:sz="4" w:space="0" w:color="1B556B"/>
              <w:right w:val="single" w:sz="4" w:space="0" w:color="1B556B"/>
            </w:tcBorders>
            <w:hideMark/>
          </w:tcPr>
          <w:p w14:paraId="4C67D6A4" w14:textId="77777777" w:rsidR="00FB7FE1" w:rsidRPr="00D527AD" w:rsidRDefault="00FB7FE1" w:rsidP="00FB7FE1">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w:t>
            </w:r>
            <w:r w:rsidRPr="00D527AD">
              <w:rPr>
                <w:rFonts w:cs="Arial"/>
                <w:color w:val="000000" w:themeColor="text1"/>
                <w:sz w:val="18"/>
                <w:szCs w:val="18"/>
              </w:rPr>
              <w:t xml:space="preserve"> </w:t>
            </w:r>
          </w:p>
          <w:p w14:paraId="423E5240" w14:textId="3C96E675" w:rsidR="00FB7FE1" w:rsidRPr="00745957" w:rsidRDefault="00FB7FE1" w:rsidP="00FB7FE1">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 xml:space="preserve">Variable charging and EPA </w:t>
            </w:r>
            <w:r w:rsidR="00F96DD3">
              <w:rPr>
                <w:rFonts w:cs="Arial"/>
                <w:color w:val="000000" w:themeColor="text1"/>
                <w:sz w:val="18"/>
                <w:szCs w:val="18"/>
              </w:rPr>
              <w:t>c</w:t>
            </w:r>
            <w:r>
              <w:rPr>
                <w:rFonts w:cs="Arial"/>
                <w:color w:val="000000" w:themeColor="text1"/>
                <w:sz w:val="18"/>
                <w:szCs w:val="18"/>
              </w:rPr>
              <w:t>ost</w:t>
            </w:r>
            <w:r w:rsidR="00F96DD3">
              <w:rPr>
                <w:rFonts w:cs="Arial"/>
                <w:color w:val="000000" w:themeColor="text1"/>
                <w:sz w:val="18"/>
                <w:szCs w:val="18"/>
              </w:rPr>
              <w:t>-r</w:t>
            </w:r>
            <w:r>
              <w:rPr>
                <w:rFonts w:cs="Arial"/>
                <w:color w:val="000000" w:themeColor="text1"/>
                <w:sz w:val="18"/>
                <w:szCs w:val="18"/>
              </w:rPr>
              <w:t xml:space="preserve">ecovery </w:t>
            </w:r>
            <w:r w:rsidR="00F96DD3">
              <w:rPr>
                <w:rFonts w:cs="Arial"/>
                <w:color w:val="000000" w:themeColor="text1"/>
                <w:sz w:val="18"/>
                <w:szCs w:val="18"/>
              </w:rPr>
              <w:t>p</w:t>
            </w:r>
            <w:r>
              <w:rPr>
                <w:rFonts w:cs="Arial"/>
                <w:color w:val="000000" w:themeColor="text1"/>
                <w:sz w:val="18"/>
                <w:szCs w:val="18"/>
              </w:rPr>
              <w:t>olicy support efficient allocation of EPA resources.</w:t>
            </w:r>
            <w:r w:rsidRPr="00745957">
              <w:rPr>
                <w:rFonts w:cs="Arial"/>
                <w:color w:val="000000" w:themeColor="text1"/>
                <w:sz w:val="18"/>
                <w:szCs w:val="18"/>
              </w:rPr>
              <w:t xml:space="preserve"> </w:t>
            </w:r>
          </w:p>
        </w:tc>
        <w:tc>
          <w:tcPr>
            <w:tcW w:w="2226" w:type="dxa"/>
            <w:tcBorders>
              <w:top w:val="single" w:sz="4" w:space="0" w:color="1B556B"/>
              <w:left w:val="single" w:sz="4" w:space="0" w:color="1B556B"/>
              <w:bottom w:val="single" w:sz="4" w:space="0" w:color="1B556B"/>
              <w:right w:val="single" w:sz="4" w:space="0" w:color="1B556B"/>
            </w:tcBorders>
            <w:hideMark/>
          </w:tcPr>
          <w:p w14:paraId="477586E5" w14:textId="69BDFE11" w:rsidR="00FB7FE1" w:rsidRPr="00D527AD" w:rsidRDefault="00FB7FE1" w:rsidP="00FB7FE1">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w:t>
            </w:r>
            <w:r w:rsidRPr="00D527AD" w:rsidDel="00C525A2">
              <w:rPr>
                <w:rFonts w:cs="Arial"/>
                <w:color w:val="000000" w:themeColor="text1"/>
                <w:sz w:val="18"/>
                <w:szCs w:val="18"/>
              </w:rPr>
              <w:t xml:space="preserve"> </w:t>
            </w:r>
          </w:p>
          <w:p w14:paraId="79A6BC56" w14:textId="19C18FE4" w:rsidR="00FB7FE1" w:rsidRPr="00745957" w:rsidRDefault="00FB7FE1" w:rsidP="00FB7FE1">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 xml:space="preserve">Variable charging and EPA </w:t>
            </w:r>
            <w:r w:rsidR="0068071E">
              <w:rPr>
                <w:rFonts w:cs="Arial"/>
                <w:color w:val="000000" w:themeColor="text1"/>
                <w:sz w:val="18"/>
                <w:szCs w:val="18"/>
              </w:rPr>
              <w:t>c</w:t>
            </w:r>
            <w:r>
              <w:rPr>
                <w:rFonts w:cs="Arial"/>
                <w:color w:val="000000" w:themeColor="text1"/>
                <w:sz w:val="18"/>
                <w:szCs w:val="18"/>
              </w:rPr>
              <w:t>ost</w:t>
            </w:r>
            <w:r w:rsidR="0068071E">
              <w:rPr>
                <w:rFonts w:cs="Arial"/>
                <w:color w:val="000000" w:themeColor="text1"/>
                <w:sz w:val="18"/>
                <w:szCs w:val="18"/>
              </w:rPr>
              <w:t>-r</w:t>
            </w:r>
            <w:r>
              <w:rPr>
                <w:rFonts w:cs="Arial"/>
                <w:color w:val="000000" w:themeColor="text1"/>
                <w:sz w:val="18"/>
                <w:szCs w:val="18"/>
              </w:rPr>
              <w:t xml:space="preserve">ecovery </w:t>
            </w:r>
            <w:r w:rsidR="0068071E">
              <w:rPr>
                <w:rFonts w:cs="Arial"/>
                <w:color w:val="000000" w:themeColor="text1"/>
                <w:sz w:val="18"/>
                <w:szCs w:val="18"/>
              </w:rPr>
              <w:t>p</w:t>
            </w:r>
            <w:r>
              <w:rPr>
                <w:rFonts w:cs="Arial"/>
                <w:color w:val="000000" w:themeColor="text1"/>
                <w:sz w:val="18"/>
                <w:szCs w:val="18"/>
              </w:rPr>
              <w:t>olicy support efficient allocation of EPA resources.</w:t>
            </w:r>
            <w:r w:rsidRPr="00745957">
              <w:rPr>
                <w:rFonts w:cs="Arial"/>
                <w:color w:val="000000" w:themeColor="text1"/>
                <w:sz w:val="18"/>
                <w:szCs w:val="18"/>
              </w:rPr>
              <w:t xml:space="preserve"> </w:t>
            </w:r>
          </w:p>
        </w:tc>
        <w:tc>
          <w:tcPr>
            <w:tcW w:w="2610" w:type="dxa"/>
            <w:tcBorders>
              <w:top w:val="single" w:sz="4" w:space="0" w:color="1B556B"/>
              <w:left w:val="single" w:sz="4" w:space="0" w:color="1B556B"/>
              <w:bottom w:val="single" w:sz="4" w:space="0" w:color="1B556B"/>
              <w:right w:val="nil"/>
            </w:tcBorders>
            <w:hideMark/>
          </w:tcPr>
          <w:p w14:paraId="6D5DA31D" w14:textId="34CA15B4" w:rsidR="00FB7FE1" w:rsidRDefault="00FB7FE1" w:rsidP="00FB7FE1">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w:t>
            </w:r>
            <w:r w:rsidRPr="00745957">
              <w:rPr>
                <w:rFonts w:cs="Arial"/>
                <w:color w:val="000000" w:themeColor="text1"/>
                <w:sz w:val="18"/>
                <w:szCs w:val="18"/>
              </w:rPr>
              <w:t xml:space="preserve"> </w:t>
            </w:r>
          </w:p>
          <w:p w14:paraId="2A5A8C45" w14:textId="325CF8B0" w:rsidR="00FB7FE1" w:rsidRPr="00745957" w:rsidRDefault="00FB7FE1" w:rsidP="00FB7FE1">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 xml:space="preserve">Variable charging and EPA </w:t>
            </w:r>
            <w:r w:rsidR="00B54708">
              <w:rPr>
                <w:rFonts w:cs="Arial"/>
                <w:color w:val="000000" w:themeColor="text1"/>
                <w:sz w:val="18"/>
                <w:szCs w:val="18"/>
              </w:rPr>
              <w:t>c</w:t>
            </w:r>
            <w:r>
              <w:rPr>
                <w:rFonts w:cs="Arial"/>
                <w:color w:val="000000" w:themeColor="text1"/>
                <w:sz w:val="18"/>
                <w:szCs w:val="18"/>
              </w:rPr>
              <w:t>ost</w:t>
            </w:r>
            <w:r w:rsidR="00B54708">
              <w:rPr>
                <w:rFonts w:cs="Arial"/>
                <w:color w:val="000000" w:themeColor="text1"/>
                <w:sz w:val="18"/>
                <w:szCs w:val="18"/>
              </w:rPr>
              <w:t>-r</w:t>
            </w:r>
            <w:r>
              <w:rPr>
                <w:rFonts w:cs="Arial"/>
                <w:color w:val="000000" w:themeColor="text1"/>
                <w:sz w:val="18"/>
                <w:szCs w:val="18"/>
              </w:rPr>
              <w:t xml:space="preserve">ecovery </w:t>
            </w:r>
            <w:r w:rsidR="00B54708">
              <w:rPr>
                <w:rFonts w:cs="Arial"/>
                <w:color w:val="000000" w:themeColor="text1"/>
                <w:sz w:val="18"/>
                <w:szCs w:val="18"/>
              </w:rPr>
              <w:t>p</w:t>
            </w:r>
            <w:r>
              <w:rPr>
                <w:rFonts w:cs="Arial"/>
                <w:color w:val="000000" w:themeColor="text1"/>
                <w:sz w:val="18"/>
                <w:szCs w:val="18"/>
              </w:rPr>
              <w:t>olicy support efficient allocation of EPA resources.</w:t>
            </w:r>
            <w:r w:rsidRPr="00745957" w:rsidDel="002209C0">
              <w:rPr>
                <w:rFonts w:cs="Arial"/>
                <w:color w:val="000000" w:themeColor="text1"/>
                <w:sz w:val="18"/>
                <w:szCs w:val="18"/>
              </w:rPr>
              <w:t xml:space="preserve"> </w:t>
            </w:r>
          </w:p>
        </w:tc>
      </w:tr>
      <w:tr w:rsidR="0069269D" w:rsidRPr="007B0CDC" w14:paraId="6052C20C" w14:textId="77777777" w:rsidTr="006F180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hideMark/>
          </w:tcPr>
          <w:p w14:paraId="01A77263" w14:textId="77777777" w:rsidR="0069269D" w:rsidRPr="00D527AD" w:rsidRDefault="0069269D" w:rsidP="006F1808">
            <w:pPr>
              <w:spacing w:after="0" w:line="240" w:lineRule="auto"/>
              <w:rPr>
                <w:rFonts w:cs="Arial"/>
                <w:b w:val="0"/>
                <w:bCs w:val="0"/>
                <w:color w:val="000000"/>
                <w:sz w:val="18"/>
                <w:szCs w:val="18"/>
              </w:rPr>
            </w:pPr>
            <w:r w:rsidRPr="00D527AD">
              <w:rPr>
                <w:rFonts w:cs="Arial"/>
                <w:b w:val="0"/>
                <w:bCs w:val="0"/>
                <w:color w:val="000000" w:themeColor="text1"/>
                <w:sz w:val="18"/>
                <w:szCs w:val="18"/>
              </w:rPr>
              <w:t>Justification</w:t>
            </w:r>
          </w:p>
        </w:tc>
        <w:tc>
          <w:tcPr>
            <w:tcW w:w="2256" w:type="dxa"/>
            <w:tcBorders>
              <w:top w:val="single" w:sz="4" w:space="0" w:color="1B556B"/>
              <w:left w:val="single" w:sz="4" w:space="0" w:color="1B556B"/>
              <w:bottom w:val="single" w:sz="4" w:space="0" w:color="1B556B"/>
              <w:right w:val="single" w:sz="4" w:space="0" w:color="1B556B"/>
            </w:tcBorders>
            <w:hideMark/>
          </w:tcPr>
          <w:p w14:paraId="0FDBF59E" w14:textId="77777777" w:rsidR="0069269D" w:rsidRPr="00D527AD" w:rsidRDefault="0069269D" w:rsidP="006F180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046A63FA" w14:textId="77777777" w:rsidR="0069269D" w:rsidRPr="00745957" w:rsidRDefault="0069269D" w:rsidP="006F180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themeColor="text1"/>
                <w:sz w:val="18"/>
                <w:szCs w:val="18"/>
              </w:rPr>
              <w:t>C</w:t>
            </w:r>
            <w:r w:rsidRPr="00745957">
              <w:rPr>
                <w:rFonts w:cs="Arial"/>
                <w:color w:val="000000" w:themeColor="text1"/>
                <w:sz w:val="18"/>
                <w:szCs w:val="18"/>
              </w:rPr>
              <w:t xml:space="preserve">osts relate to the functions and services </w:t>
            </w:r>
            <w:r>
              <w:rPr>
                <w:rFonts w:cs="Arial"/>
                <w:color w:val="000000" w:themeColor="text1"/>
                <w:sz w:val="18"/>
                <w:szCs w:val="18"/>
              </w:rPr>
              <w:t>the EPA</w:t>
            </w:r>
            <w:r w:rsidRPr="00745957">
              <w:rPr>
                <w:rFonts w:cs="Arial"/>
                <w:color w:val="000000" w:themeColor="text1"/>
                <w:sz w:val="18"/>
                <w:szCs w:val="18"/>
              </w:rPr>
              <w:t xml:space="preserve"> supplie</w:t>
            </w:r>
            <w:r>
              <w:rPr>
                <w:rFonts w:cs="Arial"/>
                <w:color w:val="000000" w:themeColor="text1"/>
                <w:sz w:val="18"/>
                <w:szCs w:val="18"/>
              </w:rPr>
              <w:t>s</w:t>
            </w:r>
            <w:r w:rsidRPr="00745957">
              <w:rPr>
                <w:rFonts w:cs="Arial"/>
                <w:color w:val="000000" w:themeColor="text1"/>
                <w:sz w:val="18"/>
                <w:szCs w:val="18"/>
              </w:rPr>
              <w:t>.</w:t>
            </w:r>
          </w:p>
        </w:tc>
        <w:tc>
          <w:tcPr>
            <w:tcW w:w="2226" w:type="dxa"/>
            <w:tcBorders>
              <w:top w:val="single" w:sz="4" w:space="0" w:color="1B556B"/>
              <w:left w:val="single" w:sz="4" w:space="0" w:color="1B556B"/>
              <w:bottom w:val="single" w:sz="4" w:space="0" w:color="1B556B"/>
              <w:right w:val="single" w:sz="4" w:space="0" w:color="1B556B"/>
            </w:tcBorders>
            <w:hideMark/>
          </w:tcPr>
          <w:p w14:paraId="008A27EE" w14:textId="77777777" w:rsidR="0069269D" w:rsidRPr="00D527AD" w:rsidRDefault="0069269D" w:rsidP="006F180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p>
          <w:p w14:paraId="4F2A96D6" w14:textId="77777777" w:rsidR="0069269D" w:rsidRPr="00745957" w:rsidRDefault="0069269D" w:rsidP="006F180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themeColor="text1"/>
                <w:sz w:val="18"/>
                <w:szCs w:val="18"/>
              </w:rPr>
              <w:t>C</w:t>
            </w:r>
            <w:r w:rsidRPr="00745957">
              <w:rPr>
                <w:rFonts w:cs="Arial"/>
                <w:color w:val="000000" w:themeColor="text1"/>
                <w:sz w:val="18"/>
                <w:szCs w:val="18"/>
              </w:rPr>
              <w:t xml:space="preserve">osts relate to the functions and services </w:t>
            </w:r>
            <w:r>
              <w:rPr>
                <w:rFonts w:cs="Arial"/>
                <w:color w:val="000000" w:themeColor="text1"/>
                <w:sz w:val="18"/>
                <w:szCs w:val="18"/>
              </w:rPr>
              <w:t>the EPA</w:t>
            </w:r>
            <w:r w:rsidRPr="00745957">
              <w:rPr>
                <w:rFonts w:cs="Arial"/>
                <w:color w:val="000000" w:themeColor="text1"/>
                <w:sz w:val="18"/>
                <w:szCs w:val="18"/>
              </w:rPr>
              <w:t xml:space="preserve"> supplie</w:t>
            </w:r>
            <w:r>
              <w:rPr>
                <w:rFonts w:cs="Arial"/>
                <w:color w:val="000000" w:themeColor="text1"/>
                <w:sz w:val="18"/>
                <w:szCs w:val="18"/>
              </w:rPr>
              <w:t>s</w:t>
            </w:r>
            <w:r w:rsidRPr="00745957">
              <w:rPr>
                <w:rFonts w:cs="Arial"/>
                <w:color w:val="000000" w:themeColor="text1"/>
                <w:sz w:val="18"/>
                <w:szCs w:val="18"/>
              </w:rPr>
              <w:t>.</w:t>
            </w:r>
          </w:p>
        </w:tc>
        <w:tc>
          <w:tcPr>
            <w:tcW w:w="2610" w:type="dxa"/>
            <w:tcBorders>
              <w:top w:val="single" w:sz="4" w:space="0" w:color="1B556B"/>
              <w:left w:val="single" w:sz="4" w:space="0" w:color="1B556B"/>
              <w:bottom w:val="single" w:sz="4" w:space="0" w:color="1B556B"/>
              <w:right w:val="nil"/>
            </w:tcBorders>
            <w:hideMark/>
          </w:tcPr>
          <w:p w14:paraId="2FE968DF" w14:textId="77777777" w:rsidR="0069269D" w:rsidRPr="00D527AD" w:rsidRDefault="0069269D" w:rsidP="006F180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w:t>
            </w:r>
            <w:r w:rsidRPr="00D527AD">
              <w:rPr>
                <w:rFonts w:cs="Arial"/>
                <w:color w:val="000000" w:themeColor="text1"/>
                <w:sz w:val="18"/>
                <w:szCs w:val="18"/>
              </w:rPr>
              <w:t xml:space="preserve"> </w:t>
            </w:r>
          </w:p>
          <w:p w14:paraId="28690788" w14:textId="77777777" w:rsidR="0069269D" w:rsidRPr="00745957" w:rsidRDefault="0069269D" w:rsidP="006F180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themeColor="text1"/>
                <w:sz w:val="18"/>
                <w:szCs w:val="18"/>
              </w:rPr>
              <w:t>C</w:t>
            </w:r>
            <w:r w:rsidRPr="00745957">
              <w:rPr>
                <w:rFonts w:cs="Arial"/>
                <w:color w:val="000000" w:themeColor="text1"/>
                <w:sz w:val="18"/>
                <w:szCs w:val="18"/>
              </w:rPr>
              <w:t xml:space="preserve">osts relate to the functions and services </w:t>
            </w:r>
            <w:r>
              <w:rPr>
                <w:rFonts w:cs="Arial"/>
                <w:color w:val="000000" w:themeColor="text1"/>
                <w:sz w:val="18"/>
                <w:szCs w:val="18"/>
              </w:rPr>
              <w:t>the EPA</w:t>
            </w:r>
            <w:r w:rsidRPr="00745957">
              <w:rPr>
                <w:rFonts w:cs="Arial"/>
                <w:color w:val="000000" w:themeColor="text1"/>
                <w:sz w:val="18"/>
                <w:szCs w:val="18"/>
              </w:rPr>
              <w:t xml:space="preserve"> supplie</w:t>
            </w:r>
            <w:r>
              <w:rPr>
                <w:rFonts w:cs="Arial"/>
                <w:color w:val="000000" w:themeColor="text1"/>
                <w:sz w:val="18"/>
                <w:szCs w:val="18"/>
              </w:rPr>
              <w:t>s</w:t>
            </w:r>
            <w:r w:rsidRPr="00745957">
              <w:rPr>
                <w:rFonts w:cs="Arial"/>
                <w:color w:val="000000" w:themeColor="text1"/>
                <w:sz w:val="18"/>
                <w:szCs w:val="18"/>
              </w:rPr>
              <w:t>, but may overcharge in the first year.</w:t>
            </w:r>
          </w:p>
        </w:tc>
      </w:tr>
      <w:tr w:rsidR="00D527AD" w:rsidRPr="007B0CDC" w14:paraId="3195405E" w14:textId="77777777" w:rsidTr="00D527AD">
        <w:trPr>
          <w:trHeight w:val="113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hideMark/>
          </w:tcPr>
          <w:p w14:paraId="26E84BA8" w14:textId="77777777" w:rsidR="001600FE" w:rsidRPr="00D527AD" w:rsidRDefault="001600FE">
            <w:pPr>
              <w:spacing w:after="0" w:line="240" w:lineRule="auto"/>
              <w:rPr>
                <w:rFonts w:cs="Arial"/>
                <w:b w:val="0"/>
                <w:bCs w:val="0"/>
                <w:color w:val="000000"/>
                <w:sz w:val="18"/>
                <w:szCs w:val="18"/>
              </w:rPr>
            </w:pPr>
            <w:r w:rsidRPr="00D527AD">
              <w:rPr>
                <w:rFonts w:cs="Arial"/>
                <w:b w:val="0"/>
                <w:bCs w:val="0"/>
                <w:color w:val="000000" w:themeColor="text1"/>
                <w:sz w:val="18"/>
                <w:szCs w:val="18"/>
              </w:rPr>
              <w:t>Transparency</w:t>
            </w:r>
          </w:p>
        </w:tc>
        <w:tc>
          <w:tcPr>
            <w:tcW w:w="2256" w:type="dxa"/>
            <w:tcBorders>
              <w:top w:val="single" w:sz="4" w:space="0" w:color="1B556B"/>
              <w:left w:val="single" w:sz="4" w:space="0" w:color="1B556B"/>
              <w:bottom w:val="single" w:sz="4" w:space="0" w:color="1B556B"/>
              <w:right w:val="single" w:sz="4" w:space="0" w:color="1B556B"/>
            </w:tcBorders>
            <w:hideMark/>
          </w:tcPr>
          <w:p w14:paraId="38AB40B3" w14:textId="77777777" w:rsidR="001600FE" w:rsidRPr="00D527AD" w:rsidRDefault="001600FE" w:rsidP="0076266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1CDDF69C" w14:textId="6A27B988" w:rsidR="001600FE" w:rsidRPr="00745957" w:rsidRDefault="001600FE" w:rsidP="0076266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F</w:t>
            </w:r>
            <w:r w:rsidRPr="00745957">
              <w:rPr>
                <w:rFonts w:cs="Arial"/>
                <w:color w:val="000000" w:themeColor="text1"/>
                <w:sz w:val="18"/>
                <w:szCs w:val="18"/>
              </w:rPr>
              <w:t xml:space="preserve">ee methodology, inputs and assumptions are made clear in this document, through consultation, and reflected in the EPA’s </w:t>
            </w:r>
            <w:r w:rsidR="00E12F3D">
              <w:rPr>
                <w:rFonts w:cs="Arial"/>
                <w:color w:val="000000" w:themeColor="text1"/>
                <w:sz w:val="18"/>
                <w:szCs w:val="18"/>
              </w:rPr>
              <w:t>c</w:t>
            </w:r>
            <w:r w:rsidRPr="00745957">
              <w:rPr>
                <w:rFonts w:cs="Arial"/>
                <w:color w:val="000000" w:themeColor="text1"/>
                <w:sz w:val="18"/>
                <w:szCs w:val="18"/>
              </w:rPr>
              <w:t>ost</w:t>
            </w:r>
            <w:r w:rsidR="00E12F3D">
              <w:rPr>
                <w:rFonts w:cs="Arial"/>
                <w:color w:val="000000" w:themeColor="text1"/>
                <w:sz w:val="18"/>
                <w:szCs w:val="18"/>
              </w:rPr>
              <w:t>-r</w:t>
            </w:r>
            <w:r w:rsidRPr="00745957">
              <w:rPr>
                <w:rFonts w:cs="Arial"/>
                <w:color w:val="000000" w:themeColor="text1"/>
                <w:sz w:val="18"/>
                <w:szCs w:val="18"/>
              </w:rPr>
              <w:t xml:space="preserve">ecovery </w:t>
            </w:r>
            <w:r w:rsidR="00E12F3D">
              <w:rPr>
                <w:rFonts w:cs="Arial"/>
                <w:color w:val="000000" w:themeColor="text1"/>
                <w:sz w:val="18"/>
                <w:szCs w:val="18"/>
              </w:rPr>
              <w:t>p</w:t>
            </w:r>
            <w:r w:rsidRPr="00745957">
              <w:rPr>
                <w:rFonts w:cs="Arial"/>
                <w:color w:val="000000" w:themeColor="text1"/>
                <w:sz w:val="18"/>
                <w:szCs w:val="18"/>
              </w:rPr>
              <w:t>olicy.</w:t>
            </w:r>
          </w:p>
        </w:tc>
        <w:tc>
          <w:tcPr>
            <w:tcW w:w="2226" w:type="dxa"/>
            <w:tcBorders>
              <w:top w:val="single" w:sz="4" w:space="0" w:color="1B556B"/>
              <w:left w:val="single" w:sz="4" w:space="0" w:color="1B556B"/>
              <w:bottom w:val="single" w:sz="4" w:space="0" w:color="1B556B"/>
              <w:right w:val="single" w:sz="4" w:space="0" w:color="1B556B"/>
            </w:tcBorders>
            <w:hideMark/>
          </w:tcPr>
          <w:p w14:paraId="0A4A8183" w14:textId="77777777" w:rsidR="001600FE" w:rsidRPr="00D527AD" w:rsidRDefault="001600FE" w:rsidP="0076266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675732F6" w14:textId="293E703E" w:rsidR="001600FE" w:rsidRPr="00745957" w:rsidRDefault="001600FE" w:rsidP="0076266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F</w:t>
            </w:r>
            <w:r w:rsidRPr="00745957">
              <w:rPr>
                <w:rFonts w:cs="Arial"/>
                <w:color w:val="000000" w:themeColor="text1"/>
                <w:sz w:val="18"/>
                <w:szCs w:val="18"/>
              </w:rPr>
              <w:t xml:space="preserve">ee methodology, inputs and assumptions are made clear in this document, through consultation, and reflected in the EPA’s </w:t>
            </w:r>
            <w:r w:rsidR="00E12F3D">
              <w:rPr>
                <w:rFonts w:cs="Arial"/>
                <w:color w:val="000000" w:themeColor="text1"/>
                <w:sz w:val="18"/>
                <w:szCs w:val="18"/>
              </w:rPr>
              <w:t>c</w:t>
            </w:r>
            <w:r w:rsidRPr="00745957">
              <w:rPr>
                <w:rFonts w:cs="Arial"/>
                <w:color w:val="000000" w:themeColor="text1"/>
                <w:sz w:val="18"/>
                <w:szCs w:val="18"/>
              </w:rPr>
              <w:t>ost</w:t>
            </w:r>
            <w:r w:rsidR="00E12F3D">
              <w:rPr>
                <w:rFonts w:cs="Arial"/>
                <w:color w:val="000000" w:themeColor="text1"/>
                <w:sz w:val="18"/>
                <w:szCs w:val="18"/>
              </w:rPr>
              <w:t>-r</w:t>
            </w:r>
            <w:r w:rsidRPr="00745957">
              <w:rPr>
                <w:rFonts w:cs="Arial"/>
                <w:color w:val="000000" w:themeColor="text1"/>
                <w:sz w:val="18"/>
                <w:szCs w:val="18"/>
              </w:rPr>
              <w:t xml:space="preserve">ecovery </w:t>
            </w:r>
            <w:r w:rsidR="00E12F3D">
              <w:rPr>
                <w:rFonts w:cs="Arial"/>
                <w:color w:val="000000" w:themeColor="text1"/>
                <w:sz w:val="18"/>
                <w:szCs w:val="18"/>
              </w:rPr>
              <w:t>p</w:t>
            </w:r>
            <w:r w:rsidRPr="00745957">
              <w:rPr>
                <w:rFonts w:cs="Arial"/>
                <w:color w:val="000000" w:themeColor="text1"/>
                <w:sz w:val="18"/>
                <w:szCs w:val="18"/>
              </w:rPr>
              <w:t>olicy.</w:t>
            </w:r>
          </w:p>
        </w:tc>
        <w:tc>
          <w:tcPr>
            <w:tcW w:w="2610" w:type="dxa"/>
            <w:tcBorders>
              <w:top w:val="single" w:sz="4" w:space="0" w:color="1B556B"/>
              <w:left w:val="single" w:sz="4" w:space="0" w:color="1B556B"/>
              <w:bottom w:val="single" w:sz="4" w:space="0" w:color="1B556B"/>
              <w:right w:val="nil"/>
            </w:tcBorders>
            <w:hideMark/>
          </w:tcPr>
          <w:p w14:paraId="174B064C" w14:textId="77777777" w:rsidR="001600FE" w:rsidRPr="00D527AD" w:rsidRDefault="001600FE" w:rsidP="0076266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343D5FE9" w14:textId="426586CF" w:rsidR="001600FE" w:rsidRPr="00745957" w:rsidRDefault="001600FE" w:rsidP="0076266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F</w:t>
            </w:r>
            <w:r w:rsidRPr="00745957">
              <w:rPr>
                <w:rFonts w:cs="Arial"/>
                <w:color w:val="000000" w:themeColor="text1"/>
                <w:sz w:val="18"/>
                <w:szCs w:val="18"/>
              </w:rPr>
              <w:t xml:space="preserve">ee methodology, inputs and assumptions are made clear in this document, through consultation, and reflected in the EPA’s </w:t>
            </w:r>
            <w:r w:rsidR="00E12F3D">
              <w:rPr>
                <w:rFonts w:cs="Arial"/>
                <w:color w:val="000000" w:themeColor="text1"/>
                <w:sz w:val="18"/>
                <w:szCs w:val="18"/>
              </w:rPr>
              <w:t>c</w:t>
            </w:r>
            <w:r w:rsidRPr="00745957">
              <w:rPr>
                <w:rFonts w:cs="Arial"/>
                <w:color w:val="000000" w:themeColor="text1"/>
                <w:sz w:val="18"/>
                <w:szCs w:val="18"/>
              </w:rPr>
              <w:t>ost</w:t>
            </w:r>
            <w:r w:rsidR="00E12F3D">
              <w:rPr>
                <w:rFonts w:cs="Arial"/>
                <w:color w:val="000000" w:themeColor="text1"/>
                <w:sz w:val="18"/>
                <w:szCs w:val="18"/>
              </w:rPr>
              <w:t>-r</w:t>
            </w:r>
            <w:r w:rsidRPr="00745957">
              <w:rPr>
                <w:rFonts w:cs="Arial"/>
                <w:color w:val="000000" w:themeColor="text1"/>
                <w:sz w:val="18"/>
                <w:szCs w:val="18"/>
              </w:rPr>
              <w:t xml:space="preserve">ecovery </w:t>
            </w:r>
            <w:r w:rsidR="00E12F3D">
              <w:rPr>
                <w:rFonts w:cs="Arial"/>
                <w:color w:val="000000" w:themeColor="text1"/>
                <w:sz w:val="18"/>
                <w:szCs w:val="18"/>
              </w:rPr>
              <w:t>p</w:t>
            </w:r>
            <w:r w:rsidRPr="00745957">
              <w:rPr>
                <w:rFonts w:cs="Arial"/>
                <w:color w:val="000000" w:themeColor="text1"/>
                <w:sz w:val="18"/>
                <w:szCs w:val="18"/>
              </w:rPr>
              <w:t>olicy.</w:t>
            </w:r>
          </w:p>
        </w:tc>
      </w:tr>
      <w:tr w:rsidR="001A1FB3" w:rsidRPr="007B0CDC" w14:paraId="6DD23A83" w14:textId="77777777" w:rsidTr="00D527AD">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tcPr>
          <w:p w14:paraId="78D2BDCB" w14:textId="315BD6F7" w:rsidR="001A1FB3" w:rsidRPr="00D527AD" w:rsidRDefault="001A1FB3" w:rsidP="001A1FB3">
            <w:pPr>
              <w:spacing w:after="0" w:line="240" w:lineRule="auto"/>
              <w:rPr>
                <w:rFonts w:cs="Arial"/>
                <w:color w:val="000000" w:themeColor="text1"/>
                <w:sz w:val="18"/>
                <w:szCs w:val="18"/>
              </w:rPr>
            </w:pPr>
            <w:r w:rsidRPr="00D527AD">
              <w:rPr>
                <w:rFonts w:cs="Arial"/>
                <w:b w:val="0"/>
                <w:bCs w:val="0"/>
                <w:color w:val="000000" w:themeColor="text1"/>
                <w:sz w:val="18"/>
                <w:szCs w:val="18"/>
              </w:rPr>
              <w:t>Effectiveness</w:t>
            </w:r>
          </w:p>
        </w:tc>
        <w:tc>
          <w:tcPr>
            <w:tcW w:w="2256" w:type="dxa"/>
            <w:tcBorders>
              <w:top w:val="single" w:sz="4" w:space="0" w:color="1B556B"/>
              <w:left w:val="single" w:sz="4" w:space="0" w:color="1B556B"/>
              <w:bottom w:val="single" w:sz="4" w:space="0" w:color="1B556B"/>
              <w:right w:val="single" w:sz="4" w:space="0" w:color="1B556B"/>
            </w:tcBorders>
          </w:tcPr>
          <w:p w14:paraId="2B529E45" w14:textId="77777777"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47C81C71" w14:textId="1B8E7D0F"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30"/>
                <w:szCs w:val="30"/>
              </w:rPr>
            </w:pPr>
            <w:r>
              <w:rPr>
                <w:rFonts w:cs="Arial"/>
                <w:color w:val="000000" w:themeColor="text1"/>
                <w:sz w:val="18"/>
                <w:szCs w:val="18"/>
              </w:rPr>
              <w:t>R</w:t>
            </w:r>
            <w:r w:rsidRPr="00745957">
              <w:rPr>
                <w:rFonts w:cs="Arial"/>
                <w:color w:val="000000" w:themeColor="text1"/>
                <w:sz w:val="18"/>
                <w:szCs w:val="18"/>
              </w:rPr>
              <w:t>ates will provide a level of funding that supports the delivery of the EPA</w:t>
            </w:r>
            <w:r>
              <w:rPr>
                <w:rFonts w:cs="Arial"/>
                <w:color w:val="000000" w:themeColor="text1"/>
                <w:sz w:val="18"/>
                <w:szCs w:val="18"/>
              </w:rPr>
              <w:t>’</w:t>
            </w:r>
            <w:r w:rsidRPr="00745957">
              <w:rPr>
                <w:rFonts w:cs="Arial"/>
                <w:color w:val="000000" w:themeColor="text1"/>
                <w:sz w:val="18"/>
                <w:szCs w:val="18"/>
              </w:rPr>
              <w:t>s functions and services.</w:t>
            </w:r>
          </w:p>
        </w:tc>
        <w:tc>
          <w:tcPr>
            <w:tcW w:w="2226" w:type="dxa"/>
            <w:tcBorders>
              <w:top w:val="single" w:sz="4" w:space="0" w:color="1B556B"/>
              <w:left w:val="single" w:sz="4" w:space="0" w:color="1B556B"/>
              <w:bottom w:val="single" w:sz="4" w:space="0" w:color="1B556B"/>
              <w:right w:val="single" w:sz="4" w:space="0" w:color="1B556B"/>
            </w:tcBorders>
          </w:tcPr>
          <w:p w14:paraId="44606092" w14:textId="77777777"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62F7F317" w14:textId="40659CC0"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30"/>
                <w:szCs w:val="30"/>
              </w:rPr>
            </w:pPr>
            <w:r>
              <w:rPr>
                <w:rFonts w:cs="Arial"/>
                <w:color w:val="000000" w:themeColor="text1"/>
                <w:sz w:val="18"/>
                <w:szCs w:val="18"/>
              </w:rPr>
              <w:t>R</w:t>
            </w:r>
            <w:r w:rsidRPr="00745957">
              <w:rPr>
                <w:rFonts w:cs="Arial"/>
                <w:color w:val="000000" w:themeColor="text1"/>
                <w:sz w:val="18"/>
                <w:szCs w:val="18"/>
              </w:rPr>
              <w:t>ates will provide a level of funding that supports the delivery of the EPA</w:t>
            </w:r>
            <w:r>
              <w:rPr>
                <w:rFonts w:cs="Arial"/>
                <w:color w:val="000000" w:themeColor="text1"/>
                <w:sz w:val="18"/>
                <w:szCs w:val="18"/>
              </w:rPr>
              <w:t>’</w:t>
            </w:r>
            <w:r w:rsidRPr="00745957">
              <w:rPr>
                <w:rFonts w:cs="Arial"/>
                <w:color w:val="000000" w:themeColor="text1"/>
                <w:sz w:val="18"/>
                <w:szCs w:val="18"/>
              </w:rPr>
              <w:t>s functions and services.</w:t>
            </w:r>
          </w:p>
        </w:tc>
        <w:tc>
          <w:tcPr>
            <w:tcW w:w="2610" w:type="dxa"/>
            <w:tcBorders>
              <w:top w:val="single" w:sz="4" w:space="0" w:color="1B556B"/>
              <w:left w:val="single" w:sz="4" w:space="0" w:color="1B556B"/>
              <w:bottom w:val="single" w:sz="4" w:space="0" w:color="1B556B"/>
              <w:right w:val="nil"/>
            </w:tcBorders>
          </w:tcPr>
          <w:p w14:paraId="153B582E" w14:textId="77777777"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5D35A39A" w14:textId="20B29BCE"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30"/>
                <w:szCs w:val="30"/>
              </w:rPr>
            </w:pPr>
            <w:r>
              <w:rPr>
                <w:rFonts w:cs="Arial"/>
                <w:color w:val="000000" w:themeColor="text1"/>
                <w:sz w:val="18"/>
                <w:szCs w:val="18"/>
              </w:rPr>
              <w:t>R</w:t>
            </w:r>
            <w:r w:rsidRPr="00745957">
              <w:rPr>
                <w:rFonts w:cs="Arial"/>
                <w:color w:val="000000" w:themeColor="text1"/>
                <w:sz w:val="18"/>
                <w:szCs w:val="18"/>
              </w:rPr>
              <w:t>ates will provide a level of funding that supports the delivery of the EPA</w:t>
            </w:r>
            <w:r>
              <w:rPr>
                <w:rFonts w:cs="Arial"/>
                <w:color w:val="000000" w:themeColor="text1"/>
                <w:sz w:val="18"/>
                <w:szCs w:val="18"/>
              </w:rPr>
              <w:t>’</w:t>
            </w:r>
            <w:r w:rsidRPr="00745957">
              <w:rPr>
                <w:rFonts w:cs="Arial"/>
                <w:color w:val="000000" w:themeColor="text1"/>
                <w:sz w:val="18"/>
                <w:szCs w:val="18"/>
              </w:rPr>
              <w:t>s functions and services.</w:t>
            </w:r>
          </w:p>
        </w:tc>
      </w:tr>
      <w:tr w:rsidR="001A1FB3" w:rsidRPr="007B0CDC" w14:paraId="68528AE9" w14:textId="77777777" w:rsidTr="00D527AD">
        <w:trPr>
          <w:trHeight w:val="1401"/>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hideMark/>
          </w:tcPr>
          <w:p w14:paraId="45D31E01" w14:textId="77777777" w:rsidR="001A1FB3" w:rsidRPr="00D527AD" w:rsidRDefault="001A1FB3" w:rsidP="001A1FB3">
            <w:pPr>
              <w:spacing w:after="0" w:line="240" w:lineRule="auto"/>
              <w:rPr>
                <w:rFonts w:cs="Arial"/>
                <w:b w:val="0"/>
                <w:bCs w:val="0"/>
                <w:color w:val="000000"/>
                <w:sz w:val="18"/>
                <w:szCs w:val="18"/>
              </w:rPr>
            </w:pPr>
            <w:r w:rsidRPr="00D527AD">
              <w:rPr>
                <w:rFonts w:cs="Arial"/>
                <w:b w:val="0"/>
                <w:bCs w:val="0"/>
                <w:color w:val="000000" w:themeColor="text1"/>
                <w:sz w:val="18"/>
                <w:szCs w:val="18"/>
              </w:rPr>
              <w:t>Simplicity</w:t>
            </w:r>
          </w:p>
        </w:tc>
        <w:tc>
          <w:tcPr>
            <w:tcW w:w="2256" w:type="dxa"/>
            <w:tcBorders>
              <w:top w:val="single" w:sz="4" w:space="0" w:color="1B556B"/>
              <w:left w:val="single" w:sz="4" w:space="0" w:color="1B556B"/>
              <w:bottom w:val="single" w:sz="4" w:space="0" w:color="1B556B"/>
              <w:right w:val="single" w:sz="4" w:space="0" w:color="1B556B"/>
            </w:tcBorders>
            <w:hideMark/>
          </w:tcPr>
          <w:p w14:paraId="4F32ED9F" w14:textId="77777777" w:rsidR="001A1FB3" w:rsidRPr="00D527AD" w:rsidRDefault="001A1FB3" w:rsidP="001A1FB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w:t>
            </w:r>
            <w:r w:rsidRPr="00D527AD">
              <w:rPr>
                <w:rFonts w:cs="Arial"/>
                <w:color w:val="000000" w:themeColor="text1"/>
                <w:sz w:val="18"/>
                <w:szCs w:val="18"/>
              </w:rPr>
              <w:t xml:space="preserve"> </w:t>
            </w:r>
          </w:p>
          <w:p w14:paraId="6FD2BDC2" w14:textId="698A1338" w:rsidR="001A1FB3" w:rsidRPr="00745957" w:rsidRDefault="001A1FB3" w:rsidP="001A1FB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H</w:t>
            </w:r>
            <w:r w:rsidRPr="00745957">
              <w:rPr>
                <w:rFonts w:cs="Arial"/>
                <w:color w:val="000000" w:themeColor="text1"/>
                <w:sz w:val="18"/>
                <w:szCs w:val="18"/>
              </w:rPr>
              <w:t xml:space="preserve">ourly rates are easy to understand, </w:t>
            </w:r>
            <w:r>
              <w:rPr>
                <w:rFonts w:cs="Arial"/>
                <w:color w:val="000000" w:themeColor="text1"/>
                <w:sz w:val="18"/>
                <w:szCs w:val="18"/>
              </w:rPr>
              <w:t>but</w:t>
            </w:r>
            <w:r w:rsidRPr="00745957">
              <w:rPr>
                <w:rFonts w:cs="Arial"/>
                <w:color w:val="000000" w:themeColor="text1"/>
                <w:sz w:val="18"/>
                <w:szCs w:val="18"/>
              </w:rPr>
              <w:t xml:space="preserve"> some complexity is introduced for </w:t>
            </w:r>
            <w:r>
              <w:rPr>
                <w:rFonts w:cs="Arial"/>
                <w:color w:val="000000" w:themeColor="text1"/>
                <w:sz w:val="18"/>
                <w:szCs w:val="18"/>
              </w:rPr>
              <w:t xml:space="preserve">functions and </w:t>
            </w:r>
            <w:r w:rsidRPr="00745957">
              <w:rPr>
                <w:rFonts w:cs="Arial"/>
                <w:color w:val="000000" w:themeColor="text1"/>
                <w:sz w:val="18"/>
                <w:szCs w:val="18"/>
              </w:rPr>
              <w:t>services delivered over multiple financial years.</w:t>
            </w:r>
          </w:p>
        </w:tc>
        <w:tc>
          <w:tcPr>
            <w:tcW w:w="2226" w:type="dxa"/>
            <w:tcBorders>
              <w:top w:val="single" w:sz="4" w:space="0" w:color="1B556B"/>
              <w:left w:val="single" w:sz="4" w:space="0" w:color="1B556B"/>
              <w:bottom w:val="single" w:sz="4" w:space="0" w:color="1B556B"/>
              <w:right w:val="single" w:sz="4" w:space="0" w:color="1B556B"/>
            </w:tcBorders>
            <w:hideMark/>
          </w:tcPr>
          <w:p w14:paraId="02C6A2E2" w14:textId="77777777" w:rsidR="001A1FB3" w:rsidRPr="00D527AD" w:rsidRDefault="001A1FB3" w:rsidP="001A1FB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19635EB1" w14:textId="77777777" w:rsidR="001A1FB3" w:rsidRPr="00745957" w:rsidRDefault="001A1FB3" w:rsidP="001A1FB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H</w:t>
            </w:r>
            <w:r w:rsidRPr="00745957">
              <w:rPr>
                <w:rFonts w:cs="Arial"/>
                <w:color w:val="000000" w:themeColor="text1"/>
                <w:sz w:val="18"/>
                <w:szCs w:val="18"/>
              </w:rPr>
              <w:t>ourly rates are easy to understand.</w:t>
            </w:r>
          </w:p>
        </w:tc>
        <w:tc>
          <w:tcPr>
            <w:tcW w:w="2610" w:type="dxa"/>
            <w:tcBorders>
              <w:top w:val="single" w:sz="4" w:space="0" w:color="1B556B"/>
              <w:left w:val="single" w:sz="4" w:space="0" w:color="1B556B"/>
              <w:bottom w:val="single" w:sz="4" w:space="0" w:color="1B556B"/>
              <w:right w:val="nil"/>
            </w:tcBorders>
            <w:hideMark/>
          </w:tcPr>
          <w:p w14:paraId="143474B0" w14:textId="77777777" w:rsidR="001A1FB3" w:rsidRPr="00D527AD" w:rsidRDefault="001A1FB3" w:rsidP="001A1FB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527AD">
              <w:rPr>
                <w:rFonts w:ascii="Wingdings" w:eastAsia="Wingdings" w:hAnsi="Wingdings" w:cs="Wingdings"/>
                <w:sz w:val="30"/>
                <w:szCs w:val="30"/>
              </w:rPr>
              <w:t>üü</w:t>
            </w:r>
            <w:r w:rsidRPr="00D527AD">
              <w:rPr>
                <w:rFonts w:cs="Arial"/>
                <w:color w:val="000000" w:themeColor="text1"/>
                <w:sz w:val="18"/>
                <w:szCs w:val="18"/>
              </w:rPr>
              <w:t xml:space="preserve"> </w:t>
            </w:r>
          </w:p>
          <w:p w14:paraId="3B6D39E3" w14:textId="77777777" w:rsidR="001A1FB3" w:rsidRPr="00745957" w:rsidRDefault="001A1FB3" w:rsidP="001A1FB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themeColor="text1"/>
                <w:sz w:val="18"/>
                <w:szCs w:val="18"/>
              </w:rPr>
              <w:t>H</w:t>
            </w:r>
            <w:r w:rsidRPr="00745957">
              <w:rPr>
                <w:rFonts w:cs="Arial"/>
                <w:color w:val="000000" w:themeColor="text1"/>
                <w:sz w:val="18"/>
                <w:szCs w:val="18"/>
              </w:rPr>
              <w:t>ourly rates are easy to understand.</w:t>
            </w:r>
          </w:p>
        </w:tc>
      </w:tr>
      <w:tr w:rsidR="001A1FB3" w:rsidRPr="007B0CDC" w14:paraId="62741572" w14:textId="77777777" w:rsidTr="00D527AD">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tcPr>
          <w:p w14:paraId="41A7F77E" w14:textId="77777777" w:rsidR="001A1FB3" w:rsidRPr="008B2E67" w:rsidRDefault="001A1FB3" w:rsidP="001A1FB3">
            <w:pPr>
              <w:spacing w:after="0" w:line="240" w:lineRule="auto"/>
              <w:rPr>
                <w:rFonts w:cs="Arial"/>
                <w:b w:val="0"/>
                <w:bCs w:val="0"/>
                <w:color w:val="000000" w:themeColor="text1"/>
                <w:sz w:val="18"/>
                <w:szCs w:val="20"/>
              </w:rPr>
            </w:pPr>
            <w:r w:rsidRPr="008B2E67">
              <w:rPr>
                <w:rFonts w:cs="Arial"/>
                <w:b w:val="0"/>
                <w:bCs w:val="0"/>
                <w:color w:val="000000"/>
                <w:sz w:val="18"/>
                <w:szCs w:val="20"/>
              </w:rPr>
              <w:t>Accountability</w:t>
            </w:r>
          </w:p>
        </w:tc>
        <w:tc>
          <w:tcPr>
            <w:tcW w:w="2256" w:type="dxa"/>
            <w:tcBorders>
              <w:top w:val="single" w:sz="4" w:space="0" w:color="1B556B"/>
              <w:left w:val="single" w:sz="4" w:space="0" w:color="1B556B"/>
              <w:bottom w:val="single" w:sz="4" w:space="0" w:color="1B556B"/>
              <w:right w:val="single" w:sz="4" w:space="0" w:color="1B556B"/>
            </w:tcBorders>
          </w:tcPr>
          <w:p w14:paraId="63CE775C" w14:textId="77777777"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30"/>
                <w:szCs w:val="30"/>
              </w:rPr>
            </w:pPr>
            <w:r w:rsidRPr="00D527AD">
              <w:rPr>
                <w:rFonts w:ascii="Wingdings" w:eastAsia="Wingdings" w:hAnsi="Wingdings" w:cs="Wingdings"/>
                <w:sz w:val="30"/>
                <w:szCs w:val="30"/>
              </w:rPr>
              <w:t>üü</w:t>
            </w:r>
          </w:p>
          <w:p w14:paraId="02C5F56B" w14:textId="0D97007B"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18"/>
                <w:szCs w:val="18"/>
              </w:rPr>
            </w:pPr>
            <w:r w:rsidRPr="00D527AD">
              <w:rPr>
                <w:sz w:val="18"/>
                <w:szCs w:val="18"/>
              </w:rPr>
              <w:t>The EPA can recover its costs for functions and services in accordance with government policy.</w:t>
            </w:r>
          </w:p>
        </w:tc>
        <w:tc>
          <w:tcPr>
            <w:tcW w:w="2226" w:type="dxa"/>
            <w:tcBorders>
              <w:top w:val="single" w:sz="4" w:space="0" w:color="1B556B"/>
              <w:left w:val="single" w:sz="4" w:space="0" w:color="1B556B"/>
              <w:bottom w:val="single" w:sz="4" w:space="0" w:color="1B556B"/>
              <w:right w:val="single" w:sz="4" w:space="0" w:color="1B556B"/>
            </w:tcBorders>
          </w:tcPr>
          <w:p w14:paraId="7F64BA0C" w14:textId="77777777"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2" w:eastAsia="Wingdings 2" w:hAnsi="Wingdings 2" w:cs="Wingdings 2"/>
                <w:sz w:val="30"/>
                <w:szCs w:val="30"/>
              </w:rPr>
            </w:pPr>
            <w:r w:rsidRPr="00D527AD">
              <w:rPr>
                <w:rFonts w:ascii="Wingdings 2" w:eastAsia="Wingdings 2" w:hAnsi="Wingdings 2" w:cs="Wingdings 2"/>
                <w:sz w:val="30"/>
                <w:szCs w:val="30"/>
              </w:rPr>
              <w:t>Ñ</w:t>
            </w:r>
          </w:p>
          <w:p w14:paraId="564256B2" w14:textId="74FA1B6A"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18"/>
                <w:szCs w:val="18"/>
              </w:rPr>
            </w:pPr>
            <w:r w:rsidRPr="00D527AD">
              <w:rPr>
                <w:rFonts w:eastAsia="Wingdings" w:cs="Arial"/>
                <w:sz w:val="18"/>
                <w:szCs w:val="18"/>
              </w:rPr>
              <w:t xml:space="preserve">The EPA may not recover its costs in accordance with government policy after 2023/24. </w:t>
            </w:r>
          </w:p>
        </w:tc>
        <w:tc>
          <w:tcPr>
            <w:tcW w:w="2610" w:type="dxa"/>
            <w:tcBorders>
              <w:top w:val="single" w:sz="4" w:space="0" w:color="1B556B"/>
              <w:left w:val="single" w:sz="4" w:space="0" w:color="1B556B"/>
              <w:bottom w:val="single" w:sz="4" w:space="0" w:color="1B556B"/>
              <w:right w:val="nil"/>
            </w:tcBorders>
          </w:tcPr>
          <w:p w14:paraId="4A04D0A4" w14:textId="77777777"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30"/>
                <w:szCs w:val="30"/>
              </w:rPr>
            </w:pPr>
            <w:r w:rsidRPr="00D527AD">
              <w:rPr>
                <w:rFonts w:ascii="Wingdings" w:eastAsia="Wingdings" w:hAnsi="Wingdings" w:cs="Wingdings"/>
                <w:sz w:val="30"/>
                <w:szCs w:val="30"/>
              </w:rPr>
              <w:t>üü</w:t>
            </w:r>
          </w:p>
          <w:p w14:paraId="35C50596" w14:textId="2477C406" w:rsidR="001A1FB3" w:rsidRPr="00D527AD" w:rsidRDefault="001A1FB3" w:rsidP="001A1FB3">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18"/>
                <w:szCs w:val="18"/>
              </w:rPr>
            </w:pPr>
            <w:r w:rsidRPr="00D527AD">
              <w:rPr>
                <w:sz w:val="18"/>
                <w:szCs w:val="18"/>
              </w:rPr>
              <w:t xml:space="preserve">The EPA </w:t>
            </w:r>
            <w:r w:rsidR="00C71C57">
              <w:rPr>
                <w:sz w:val="18"/>
                <w:szCs w:val="18"/>
              </w:rPr>
              <w:t>can</w:t>
            </w:r>
            <w:r w:rsidRPr="00D527AD">
              <w:rPr>
                <w:sz w:val="18"/>
                <w:szCs w:val="18"/>
              </w:rPr>
              <w:t xml:space="preserve"> recover the costs for the delivery of its functions and services in accordance with government policy.</w:t>
            </w:r>
          </w:p>
        </w:tc>
      </w:tr>
      <w:tr w:rsidR="001A1FB3" w:rsidRPr="007B0CDC" w14:paraId="74A8948B" w14:textId="77777777" w:rsidTr="00D527AD">
        <w:trPr>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hideMark/>
          </w:tcPr>
          <w:p w14:paraId="5B799CCD" w14:textId="77777777" w:rsidR="001A1FB3" w:rsidRPr="00D527AD" w:rsidRDefault="001A1FB3" w:rsidP="001A1FB3">
            <w:pPr>
              <w:spacing w:line="240" w:lineRule="auto"/>
              <w:rPr>
                <w:rFonts w:cs="Arial"/>
                <w:b w:val="0"/>
                <w:bCs w:val="0"/>
                <w:color w:val="000000"/>
                <w:sz w:val="18"/>
                <w:szCs w:val="18"/>
              </w:rPr>
            </w:pPr>
            <w:r w:rsidRPr="00D527AD">
              <w:rPr>
                <w:rFonts w:cs="Arial"/>
                <w:b w:val="0"/>
                <w:bCs w:val="0"/>
                <w:color w:val="000000" w:themeColor="text1"/>
                <w:sz w:val="18"/>
                <w:szCs w:val="18"/>
              </w:rPr>
              <w:t>Total</w:t>
            </w:r>
          </w:p>
        </w:tc>
        <w:tc>
          <w:tcPr>
            <w:tcW w:w="2256" w:type="dxa"/>
            <w:tcBorders>
              <w:top w:val="single" w:sz="4" w:space="0" w:color="1B556B"/>
              <w:left w:val="single" w:sz="4" w:space="0" w:color="1B556B"/>
              <w:bottom w:val="single" w:sz="4" w:space="0" w:color="1B556B"/>
              <w:right w:val="single" w:sz="4" w:space="0" w:color="1B556B"/>
            </w:tcBorders>
            <w:hideMark/>
          </w:tcPr>
          <w:p w14:paraId="638144AE" w14:textId="69010B53" w:rsidR="001A1FB3" w:rsidRPr="00745957" w:rsidRDefault="00AE216F" w:rsidP="001A1FB3">
            <w:pPr>
              <w:spacing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themeColor="text1"/>
                <w:sz w:val="18"/>
                <w:szCs w:val="18"/>
              </w:rPr>
              <w:t>12</w:t>
            </w:r>
          </w:p>
        </w:tc>
        <w:tc>
          <w:tcPr>
            <w:tcW w:w="2226" w:type="dxa"/>
            <w:tcBorders>
              <w:top w:val="single" w:sz="4" w:space="0" w:color="1B556B"/>
              <w:left w:val="single" w:sz="4" w:space="0" w:color="1B556B"/>
              <w:bottom w:val="single" w:sz="4" w:space="0" w:color="1B556B"/>
              <w:right w:val="single" w:sz="4" w:space="0" w:color="1B556B"/>
            </w:tcBorders>
            <w:hideMark/>
          </w:tcPr>
          <w:p w14:paraId="7134A9BD" w14:textId="1A13D858" w:rsidR="001A1FB3" w:rsidRPr="00745957" w:rsidRDefault="001A1FB3" w:rsidP="001A1FB3">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Pr>
                <w:rFonts w:cs="Arial"/>
                <w:b/>
                <w:bCs/>
                <w:color w:val="000000" w:themeColor="text1"/>
                <w:sz w:val="18"/>
                <w:szCs w:val="18"/>
              </w:rPr>
              <w:t>10</w:t>
            </w:r>
          </w:p>
        </w:tc>
        <w:tc>
          <w:tcPr>
            <w:tcW w:w="2610" w:type="dxa"/>
            <w:tcBorders>
              <w:top w:val="single" w:sz="4" w:space="0" w:color="1B556B"/>
              <w:left w:val="single" w:sz="4" w:space="0" w:color="1B556B"/>
              <w:bottom w:val="single" w:sz="4" w:space="0" w:color="1B556B"/>
              <w:right w:val="nil"/>
            </w:tcBorders>
            <w:hideMark/>
          </w:tcPr>
          <w:p w14:paraId="0C60B265" w14:textId="1B7EF2A6" w:rsidR="001A1FB3" w:rsidRPr="00745957" w:rsidRDefault="001A1FB3" w:rsidP="001A1FB3">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Pr>
                <w:rFonts w:cs="Arial"/>
                <w:b/>
                <w:bCs/>
                <w:color w:val="000000" w:themeColor="text1"/>
                <w:sz w:val="18"/>
                <w:szCs w:val="18"/>
              </w:rPr>
              <w:t>10</w:t>
            </w:r>
          </w:p>
        </w:tc>
      </w:tr>
      <w:tr w:rsidR="001A1FB3" w:rsidRPr="007B0CDC" w14:paraId="1A693FF1" w14:textId="77777777" w:rsidTr="00D527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1B556B"/>
              <w:left w:val="nil"/>
              <w:bottom w:val="single" w:sz="4" w:space="0" w:color="1B556B"/>
              <w:right w:val="single" w:sz="4" w:space="0" w:color="1B556B"/>
            </w:tcBorders>
            <w:noWrap/>
            <w:hideMark/>
          </w:tcPr>
          <w:p w14:paraId="0257A01F" w14:textId="77777777" w:rsidR="001A1FB3" w:rsidRPr="00D527AD" w:rsidRDefault="001A1FB3" w:rsidP="001A1FB3">
            <w:pPr>
              <w:spacing w:after="0" w:line="240" w:lineRule="auto"/>
              <w:rPr>
                <w:rFonts w:cs="Arial"/>
                <w:b w:val="0"/>
                <w:bCs w:val="0"/>
                <w:color w:val="000000"/>
                <w:sz w:val="18"/>
                <w:szCs w:val="18"/>
              </w:rPr>
            </w:pPr>
            <w:r w:rsidRPr="00D527AD">
              <w:rPr>
                <w:rFonts w:cs="Arial"/>
                <w:b w:val="0"/>
                <w:bCs w:val="0"/>
                <w:color w:val="000000" w:themeColor="text1"/>
                <w:sz w:val="18"/>
                <w:szCs w:val="18"/>
              </w:rPr>
              <w:t>Overall</w:t>
            </w:r>
          </w:p>
        </w:tc>
        <w:tc>
          <w:tcPr>
            <w:tcW w:w="2256" w:type="dxa"/>
            <w:tcBorders>
              <w:top w:val="single" w:sz="4" w:space="0" w:color="1B556B"/>
              <w:left w:val="single" w:sz="4" w:space="0" w:color="1B556B"/>
              <w:bottom w:val="single" w:sz="4" w:space="0" w:color="1B556B"/>
              <w:right w:val="single" w:sz="4" w:space="0" w:color="1B556B"/>
            </w:tcBorders>
            <w:noWrap/>
            <w:hideMark/>
          </w:tcPr>
          <w:p w14:paraId="76A6700B" w14:textId="77777777" w:rsidR="001A1FB3" w:rsidRPr="00D527AD" w:rsidRDefault="001A1FB3" w:rsidP="001A1FB3">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527AD">
              <w:rPr>
                <w:rFonts w:ascii="Wingdings" w:eastAsia="Wingdings" w:hAnsi="Wingdings" w:cs="Wingdings"/>
                <w:sz w:val="30"/>
                <w:szCs w:val="30"/>
              </w:rPr>
              <w:t>üü</w:t>
            </w:r>
          </w:p>
        </w:tc>
        <w:tc>
          <w:tcPr>
            <w:tcW w:w="2226" w:type="dxa"/>
            <w:tcBorders>
              <w:top w:val="single" w:sz="4" w:space="0" w:color="1B556B"/>
              <w:left w:val="single" w:sz="4" w:space="0" w:color="1B556B"/>
              <w:bottom w:val="single" w:sz="4" w:space="0" w:color="1B556B"/>
              <w:right w:val="single" w:sz="4" w:space="0" w:color="1B556B"/>
            </w:tcBorders>
            <w:noWrap/>
            <w:hideMark/>
          </w:tcPr>
          <w:p w14:paraId="6A254B55" w14:textId="77777777" w:rsidR="001A1FB3" w:rsidRPr="00D527AD" w:rsidRDefault="001A1FB3" w:rsidP="001A1FB3">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527AD">
              <w:rPr>
                <w:rFonts w:ascii="Wingdings" w:eastAsia="Wingdings" w:hAnsi="Wingdings" w:cs="Wingdings"/>
                <w:sz w:val="30"/>
                <w:szCs w:val="30"/>
              </w:rPr>
              <w:t>ü</w:t>
            </w:r>
          </w:p>
        </w:tc>
        <w:tc>
          <w:tcPr>
            <w:tcW w:w="2610" w:type="dxa"/>
            <w:tcBorders>
              <w:top w:val="single" w:sz="4" w:space="0" w:color="1B556B"/>
              <w:left w:val="single" w:sz="4" w:space="0" w:color="1B556B"/>
              <w:bottom w:val="single" w:sz="4" w:space="0" w:color="1B556B"/>
              <w:right w:val="nil"/>
            </w:tcBorders>
            <w:noWrap/>
            <w:hideMark/>
          </w:tcPr>
          <w:p w14:paraId="33C7FE08" w14:textId="77777777" w:rsidR="001A1FB3" w:rsidRPr="00D527AD" w:rsidRDefault="001A1FB3" w:rsidP="001A1FB3">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527AD">
              <w:rPr>
                <w:rFonts w:ascii="Wingdings" w:eastAsia="Wingdings" w:hAnsi="Wingdings" w:cs="Wingdings"/>
                <w:sz w:val="30"/>
                <w:szCs w:val="30"/>
              </w:rPr>
              <w:t>ü</w:t>
            </w:r>
          </w:p>
        </w:tc>
      </w:tr>
      <w:tr w:rsidR="001A1FB3" w:rsidRPr="007B0CDC" w14:paraId="30488C04" w14:textId="77777777" w:rsidTr="00D527AD">
        <w:trPr>
          <w:trHeight w:val="290"/>
        </w:trPr>
        <w:tc>
          <w:tcPr>
            <w:cnfStyle w:val="001000000000" w:firstRow="0" w:lastRow="0" w:firstColumn="1" w:lastColumn="0" w:oddVBand="0" w:evenVBand="0" w:oddHBand="0" w:evenHBand="0" w:firstRowFirstColumn="0" w:firstRowLastColumn="0" w:lastRowFirstColumn="0" w:lastRowLastColumn="0"/>
            <w:tcW w:w="8505" w:type="dxa"/>
            <w:gridSpan w:val="4"/>
            <w:tcBorders>
              <w:top w:val="single" w:sz="4" w:space="0" w:color="1B556B"/>
              <w:left w:val="nil"/>
              <w:bottom w:val="single" w:sz="4" w:space="0" w:color="1B556B"/>
            </w:tcBorders>
            <w:noWrap/>
          </w:tcPr>
          <w:p w14:paraId="52C6BB85" w14:textId="71103D4F" w:rsidR="001A1FB3" w:rsidRPr="00D527AD" w:rsidRDefault="001A1FB3" w:rsidP="001A1FB3">
            <w:pPr>
              <w:spacing w:after="0" w:line="240" w:lineRule="auto"/>
              <w:rPr>
                <w:rFonts w:cs="Arial"/>
                <w:b w:val="0"/>
                <w:bCs w:val="0"/>
                <w:color w:val="000000"/>
                <w:sz w:val="16"/>
                <w:szCs w:val="16"/>
              </w:rPr>
            </w:pPr>
            <w:r w:rsidRPr="00D527AD">
              <w:rPr>
                <w:rFonts w:ascii="Wingdings" w:eastAsia="Wingdings" w:hAnsi="Wingdings" w:cs="Wingdings"/>
                <w:b w:val="0"/>
                <w:bCs w:val="0"/>
                <w:sz w:val="30"/>
                <w:szCs w:val="30"/>
              </w:rPr>
              <w:t>üü</w:t>
            </w:r>
            <w:r w:rsidRPr="00D527AD">
              <w:rPr>
                <w:rFonts w:eastAsia="Arial" w:cs="Arial"/>
                <w:b w:val="0"/>
                <w:bCs w:val="0"/>
                <w:sz w:val="20"/>
              </w:rPr>
              <w:t xml:space="preserve"> Aligns with criteria</w:t>
            </w:r>
          </w:p>
          <w:p w14:paraId="2D14B549" w14:textId="692777E2" w:rsidR="001A1FB3" w:rsidRPr="00D527AD" w:rsidRDefault="001A1FB3" w:rsidP="001A1FB3">
            <w:pPr>
              <w:spacing w:after="0" w:line="240" w:lineRule="auto"/>
              <w:rPr>
                <w:rFonts w:cs="Arial"/>
                <w:b w:val="0"/>
                <w:bCs w:val="0"/>
                <w:color w:val="000000"/>
                <w:sz w:val="16"/>
                <w:szCs w:val="16"/>
              </w:rPr>
            </w:pPr>
            <w:r w:rsidRPr="00D527AD">
              <w:rPr>
                <w:rFonts w:ascii="Wingdings" w:eastAsia="Wingdings" w:hAnsi="Wingdings" w:cs="Wingdings"/>
                <w:b w:val="0"/>
                <w:bCs w:val="0"/>
                <w:sz w:val="30"/>
                <w:szCs w:val="30"/>
              </w:rPr>
              <w:t>ü</w:t>
            </w:r>
            <w:r w:rsidRPr="00D527AD">
              <w:rPr>
                <w:rFonts w:eastAsia="Arial" w:cs="Arial"/>
                <w:b w:val="0"/>
                <w:bCs w:val="0"/>
                <w:sz w:val="20"/>
              </w:rPr>
              <w:t xml:space="preserve">    Somewhat aligns with criteria</w:t>
            </w:r>
          </w:p>
          <w:p w14:paraId="0E7B6E71" w14:textId="6BC1D9E2" w:rsidR="001A1FB3" w:rsidRPr="00D527AD" w:rsidRDefault="001A1FB3" w:rsidP="001A1FB3">
            <w:pPr>
              <w:spacing w:after="0" w:line="240" w:lineRule="auto"/>
              <w:rPr>
                <w:rFonts w:ascii="Wingdings" w:eastAsia="Wingdings" w:hAnsi="Wingdings" w:cs="Wingdings"/>
                <w:b w:val="0"/>
                <w:bCs w:val="0"/>
                <w:sz w:val="30"/>
                <w:szCs w:val="30"/>
              </w:rPr>
            </w:pPr>
            <w:r w:rsidRPr="00D527AD">
              <w:rPr>
                <w:rFonts w:ascii="Wingdings 2" w:eastAsia="Wingdings 2" w:hAnsi="Wingdings 2" w:cs="Wingdings 2"/>
                <w:b w:val="0"/>
                <w:bCs w:val="0"/>
                <w:sz w:val="30"/>
                <w:szCs w:val="30"/>
              </w:rPr>
              <w:t>Ñ</w:t>
            </w:r>
            <w:r w:rsidRPr="00D527AD">
              <w:rPr>
                <w:rFonts w:eastAsia="Arial" w:cs="Arial"/>
                <w:b w:val="0"/>
                <w:bCs w:val="0"/>
                <w:sz w:val="20"/>
              </w:rPr>
              <w:t xml:space="preserve">   Does not align with criteria</w:t>
            </w:r>
          </w:p>
        </w:tc>
      </w:tr>
    </w:tbl>
    <w:p w14:paraId="64F6BC53" w14:textId="7A138E90" w:rsidR="001600FE" w:rsidRPr="006F5B5F" w:rsidRDefault="001600FE" w:rsidP="006B226A">
      <w:pPr>
        <w:pStyle w:val="BodyText"/>
        <w:rPr>
          <w:b/>
          <w:bCs/>
        </w:rPr>
      </w:pPr>
    </w:p>
    <w:tbl>
      <w:tblPr>
        <w:tblStyle w:val="TableGrid"/>
        <w:tblW w:w="8617"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7"/>
      </w:tblGrid>
      <w:tr w:rsidR="00633383" w:rsidRPr="0082483D" w14:paraId="22404E1E" w14:textId="77777777" w:rsidTr="004F14A9">
        <w:tc>
          <w:tcPr>
            <w:tcW w:w="861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615558E6" w14:textId="77777777" w:rsidR="00633383" w:rsidRPr="0082483D" w:rsidRDefault="00633383">
            <w:pPr>
              <w:pStyle w:val="Blueboxtext"/>
              <w:keepNext/>
              <w:spacing w:before="80" w:after="80"/>
              <w:rPr>
                <w:b/>
                <w:bCs/>
                <w:color w:val="FFFFFF" w:themeColor="background1"/>
              </w:rPr>
            </w:pPr>
            <w:r w:rsidRPr="0082483D">
              <w:rPr>
                <w:b/>
                <w:bCs/>
                <w:color w:val="FFFFFF" w:themeColor="background1"/>
              </w:rPr>
              <w:lastRenderedPageBreak/>
              <w:t>Questions</w:t>
            </w:r>
          </w:p>
        </w:tc>
      </w:tr>
      <w:tr w:rsidR="00633383" w:rsidRPr="0082483D" w14:paraId="129F4596" w14:textId="77777777" w:rsidTr="004F14A9">
        <w:tc>
          <w:tcPr>
            <w:tcW w:w="8617" w:type="dxa"/>
            <w:tcBorders>
              <w:top w:val="single" w:sz="4" w:space="0" w:color="1C556C" w:themeColor="accent1"/>
            </w:tcBorders>
            <w:shd w:val="clear" w:color="auto" w:fill="D2DDE2"/>
          </w:tcPr>
          <w:p w14:paraId="07F47A5E" w14:textId="50538460" w:rsidR="00A2086A" w:rsidRDefault="00221A46" w:rsidP="007A6990">
            <w:pPr>
              <w:pStyle w:val="Bluetext-numbered"/>
              <w:numPr>
                <w:ilvl w:val="0"/>
                <w:numId w:val="19"/>
              </w:numPr>
              <w:spacing w:after="240"/>
            </w:pPr>
            <w:r>
              <w:t xml:space="preserve">What are your views on having </w:t>
            </w:r>
            <w:r w:rsidR="00895648">
              <w:t xml:space="preserve">charge-out rates set that </w:t>
            </w:r>
            <w:r w:rsidR="00895648" w:rsidRPr="00895648">
              <w:t>apply from 1 July 2023 to 30 June 2024, from 1 July 2024 to 30 June 2025, and from 1 July 2025</w:t>
            </w:r>
            <w:r w:rsidR="00895648">
              <w:t xml:space="preserve">, as compared to a single </w:t>
            </w:r>
            <w:r w:rsidR="00A2086A">
              <w:t xml:space="preserve">set of charge-out rates? </w:t>
            </w:r>
          </w:p>
          <w:p w14:paraId="1801A839" w14:textId="654553C8" w:rsidR="00633383" w:rsidRPr="006817E2" w:rsidRDefault="00BC512F" w:rsidP="007A6990">
            <w:pPr>
              <w:pStyle w:val="Bluetext-numbered"/>
              <w:numPr>
                <w:ilvl w:val="0"/>
                <w:numId w:val="19"/>
              </w:numPr>
              <w:spacing w:after="240"/>
            </w:pPr>
            <w:r>
              <w:t xml:space="preserve">What are your views on the preferred option for cost recovery </w:t>
            </w:r>
            <w:r w:rsidR="00705721">
              <w:t xml:space="preserve">as compared to the alternative options? </w:t>
            </w:r>
            <w:r w:rsidR="00061C56">
              <w:t>If you have an alternative preferred option, could you please outline this?</w:t>
            </w:r>
          </w:p>
        </w:tc>
      </w:tr>
    </w:tbl>
    <w:p w14:paraId="6B504A46" w14:textId="77777777" w:rsidR="00FE1878" w:rsidRDefault="00FE1878" w:rsidP="00762667">
      <w:pPr>
        <w:pStyle w:val="BodyText"/>
      </w:pPr>
      <w:r>
        <w:br w:type="page"/>
      </w:r>
    </w:p>
    <w:p w14:paraId="3802B56E" w14:textId="0596BC82" w:rsidR="004E58EE" w:rsidRPr="00417A93" w:rsidRDefault="00FD0BEE" w:rsidP="00E63FBF">
      <w:pPr>
        <w:pStyle w:val="Heading1"/>
        <w:ind w:left="851" w:hanging="851"/>
      </w:pPr>
      <w:bookmarkStart w:id="53" w:name="_Toc114734500"/>
      <w:r>
        <w:lastRenderedPageBreak/>
        <w:t>6</w:t>
      </w:r>
      <w:r w:rsidR="004E58EE">
        <w:t xml:space="preserve">. </w:t>
      </w:r>
      <w:r w:rsidR="00F25651">
        <w:tab/>
      </w:r>
      <w:r w:rsidR="00553027">
        <w:t xml:space="preserve">How will changes to the rates affect </w:t>
      </w:r>
      <w:r w:rsidR="001A40F1">
        <w:t>users</w:t>
      </w:r>
      <w:r w:rsidR="00553027">
        <w:t>?</w:t>
      </w:r>
      <w:bookmarkEnd w:id="53"/>
      <w:r w:rsidR="00553027">
        <w:t xml:space="preserve"> </w:t>
      </w:r>
    </w:p>
    <w:p w14:paraId="50556C07" w14:textId="442834DB" w:rsidR="000C7A7C" w:rsidRDefault="006F0205" w:rsidP="00F25651">
      <w:pPr>
        <w:pStyle w:val="BodyText"/>
      </w:pPr>
      <w:r>
        <w:t>Applicant</w:t>
      </w:r>
      <w:r w:rsidR="005C5B15">
        <w:t>s</w:t>
      </w:r>
      <w:r>
        <w:t xml:space="preserve"> and duty holder</w:t>
      </w:r>
      <w:r w:rsidR="005C5B15">
        <w:t>s</w:t>
      </w:r>
      <w:r w:rsidR="001A40F1">
        <w:t xml:space="preserve"> </w:t>
      </w:r>
      <w:r w:rsidR="0055199E" w:rsidRPr="00827740">
        <w:t>will</w:t>
      </w:r>
      <w:r w:rsidR="000C7A7C" w:rsidRPr="00827740">
        <w:t xml:space="preserve"> pay more for the functions </w:t>
      </w:r>
      <w:r w:rsidR="006F6DCD">
        <w:t xml:space="preserve">and services </w:t>
      </w:r>
      <w:r w:rsidR="000C7A7C" w:rsidRPr="00827740">
        <w:t>they receive because of the proposed increase</w:t>
      </w:r>
      <w:r w:rsidR="00243B49">
        <w:t>s to the hourly</w:t>
      </w:r>
      <w:r w:rsidR="000C7A7C" w:rsidRPr="00827740">
        <w:t xml:space="preserve"> rates.</w:t>
      </w:r>
      <w:r w:rsidR="0055199E" w:rsidRPr="00827740">
        <w:t xml:space="preserve"> </w:t>
      </w:r>
      <w:r w:rsidR="0055199E" w:rsidRPr="00827740" w:rsidDel="00F808FD">
        <w:t>In total</w:t>
      </w:r>
      <w:r w:rsidR="0055199E" w:rsidRPr="00827740">
        <w:t xml:space="preserve">, we estimate </w:t>
      </w:r>
      <w:r w:rsidR="00C53243">
        <w:t>they</w:t>
      </w:r>
      <w:r w:rsidR="00EE1253" w:rsidRPr="00827740">
        <w:t xml:space="preserve"> </w:t>
      </w:r>
      <w:r w:rsidR="00241020" w:rsidRPr="00827740">
        <w:t xml:space="preserve">could end up </w:t>
      </w:r>
      <w:r w:rsidR="000F51CE">
        <w:t>collectively</w:t>
      </w:r>
      <w:r w:rsidR="00BE34FC">
        <w:t xml:space="preserve"> </w:t>
      </w:r>
      <w:r w:rsidR="00241020" w:rsidRPr="00827740">
        <w:t xml:space="preserve">paying an additional </w:t>
      </w:r>
      <w:r w:rsidR="00241020">
        <w:t>$292,000 to $377,000 per year.</w:t>
      </w:r>
      <w:r w:rsidR="009F215C">
        <w:t xml:space="preserve"> </w:t>
      </w:r>
      <w:hyperlink w:anchor="_Appendix_3:_Estimates" w:history="1">
        <w:r w:rsidR="009F215C" w:rsidRPr="006B2AF7">
          <w:rPr>
            <w:rStyle w:val="Hyperlink"/>
          </w:rPr>
          <w:t xml:space="preserve">Appendix </w:t>
        </w:r>
        <w:r w:rsidR="00C67959" w:rsidRPr="006B2AF7">
          <w:rPr>
            <w:rStyle w:val="Hyperlink"/>
          </w:rPr>
          <w:t>3</w:t>
        </w:r>
      </w:hyperlink>
      <w:r w:rsidR="009F215C">
        <w:t xml:space="preserve"> </w:t>
      </w:r>
      <w:r w:rsidR="001E2877">
        <w:t xml:space="preserve">sets out how we have calculated this estimate. </w:t>
      </w:r>
    </w:p>
    <w:p w14:paraId="5635A8AF" w14:textId="73D23FF7" w:rsidR="00AD1297" w:rsidRDefault="002D4F05" w:rsidP="00F25651">
      <w:pPr>
        <w:pStyle w:val="BodyText"/>
      </w:pPr>
      <w:hyperlink w:anchor="_Appendix_3:_Estimates" w:history="1">
        <w:r w:rsidR="006B2AF7" w:rsidRPr="006B2AF7">
          <w:rPr>
            <w:rStyle w:val="Hyperlink"/>
          </w:rPr>
          <w:t>Appendix 3</w:t>
        </w:r>
      </w:hyperlink>
      <w:r w:rsidR="001E2877">
        <w:t xml:space="preserve"> also </w:t>
      </w:r>
      <w:r w:rsidR="00E823B7">
        <w:t>has</w:t>
      </w:r>
      <w:r w:rsidR="001E2877">
        <w:t xml:space="preserve"> case studies </w:t>
      </w:r>
      <w:r w:rsidR="00E823B7">
        <w:t xml:space="preserve">that </w:t>
      </w:r>
      <w:r w:rsidR="001E2877">
        <w:t>show the potential impacts of the proposed increases</w:t>
      </w:r>
      <w:r w:rsidR="00193CFC">
        <w:t xml:space="preserve"> </w:t>
      </w:r>
      <w:r w:rsidR="00BB61F7">
        <w:t>using</w:t>
      </w:r>
      <w:r w:rsidR="00193CFC">
        <w:t xml:space="preserve"> </w:t>
      </w:r>
      <w:r w:rsidR="007C20B3">
        <w:t>examples of</w:t>
      </w:r>
      <w:r w:rsidR="00193CFC">
        <w:t xml:space="preserve"> EPA functions and services</w:t>
      </w:r>
      <w:r w:rsidR="00AD1297">
        <w:t>. Th</w:t>
      </w:r>
      <w:r w:rsidR="00E823B7">
        <w:t>e</w:t>
      </w:r>
      <w:r w:rsidR="00AD1297">
        <w:t xml:space="preserve">se case studies </w:t>
      </w:r>
      <w:r w:rsidR="00CC446A">
        <w:t xml:space="preserve">show </w:t>
      </w:r>
      <w:r w:rsidR="00D76987">
        <w:t xml:space="preserve">increases in </w:t>
      </w:r>
      <w:r w:rsidR="00C53243">
        <w:t xml:space="preserve">applicant and duty holder </w:t>
      </w:r>
      <w:r w:rsidR="00420770">
        <w:t>costs</w:t>
      </w:r>
      <w:r w:rsidR="00D76987">
        <w:t xml:space="preserve"> </w:t>
      </w:r>
      <w:r w:rsidR="00E823B7">
        <w:t xml:space="preserve">that </w:t>
      </w:r>
      <w:r w:rsidR="00D76987">
        <w:t xml:space="preserve">range from </w:t>
      </w:r>
      <w:r w:rsidR="00B12758">
        <w:t>27</w:t>
      </w:r>
      <w:r w:rsidR="00047C08">
        <w:t xml:space="preserve"> per cent</w:t>
      </w:r>
      <w:r w:rsidR="00B12758">
        <w:t xml:space="preserve"> to 80</w:t>
      </w:r>
      <w:r w:rsidR="00047C08">
        <w:t xml:space="preserve"> per cent</w:t>
      </w:r>
      <w:r w:rsidR="00B12758">
        <w:t xml:space="preserve">. </w:t>
      </w:r>
    </w:p>
    <w:p w14:paraId="5783FC43" w14:textId="293B677B" w:rsidR="00B12758" w:rsidRDefault="000A0A97" w:rsidP="00F25651">
      <w:pPr>
        <w:pStyle w:val="BodyText"/>
      </w:pPr>
      <w:r>
        <w:t xml:space="preserve">The </w:t>
      </w:r>
      <w:r w:rsidR="00A16C6D">
        <w:t xml:space="preserve">rise </w:t>
      </w:r>
      <w:r w:rsidR="00B93D27">
        <w:t xml:space="preserve">in </w:t>
      </w:r>
      <w:r w:rsidR="00BC6FD3">
        <w:t xml:space="preserve">total costs to </w:t>
      </w:r>
      <w:r w:rsidR="00E13CF4">
        <w:t>applicants and duty holders</w:t>
      </w:r>
      <w:r w:rsidR="009A346E">
        <w:t xml:space="preserve"> </w:t>
      </w:r>
      <w:r w:rsidR="00F43F0C">
        <w:t xml:space="preserve">may </w:t>
      </w:r>
      <w:r w:rsidR="00BC6FD3">
        <w:t xml:space="preserve">not increase </w:t>
      </w:r>
      <w:r w:rsidR="002A512B">
        <w:t>proportionately</w:t>
      </w:r>
      <w:r w:rsidR="00374679">
        <w:t xml:space="preserve"> to the </w:t>
      </w:r>
      <w:r w:rsidR="00D57033">
        <w:t xml:space="preserve">proposed </w:t>
      </w:r>
      <w:r w:rsidR="002468DA">
        <w:t xml:space="preserve">individual </w:t>
      </w:r>
      <w:r w:rsidR="00E96D9C">
        <w:t xml:space="preserve">hourly </w:t>
      </w:r>
      <w:r w:rsidR="00FA6EDD">
        <w:t>rates</w:t>
      </w:r>
      <w:r w:rsidR="00374679">
        <w:t xml:space="preserve">. </w:t>
      </w:r>
      <w:r w:rsidR="00FA50C9">
        <w:t xml:space="preserve">This is because </w:t>
      </w:r>
      <w:r w:rsidR="00AA0663">
        <w:t xml:space="preserve">the EPA’s actual and reasonable costs of external suppliers are </w:t>
      </w:r>
      <w:r w:rsidR="00AA0663" w:rsidRPr="00F26B3D">
        <w:t>not affected by the proposed changes</w:t>
      </w:r>
      <w:r w:rsidR="00AA0663">
        <w:t xml:space="preserve">. </w:t>
      </w:r>
      <w:r w:rsidR="00C03115">
        <w:t>So f</w:t>
      </w:r>
      <w:r w:rsidR="00AA0663">
        <w:t>or EPA functions</w:t>
      </w:r>
      <w:r w:rsidR="00AA0663" w:rsidDel="00A16C6D">
        <w:t xml:space="preserve"> </w:t>
      </w:r>
      <w:r w:rsidR="00A16C6D">
        <w:t xml:space="preserve">that </w:t>
      </w:r>
      <w:r w:rsidR="00AA0663">
        <w:t>involve</w:t>
      </w:r>
      <w:r w:rsidR="007C20B3">
        <w:t xml:space="preserve"> significant input from external experts, the total </w:t>
      </w:r>
      <w:r w:rsidR="00420770">
        <w:t xml:space="preserve">percentage </w:t>
      </w:r>
      <w:r w:rsidR="007C20B3">
        <w:t>increase in cost</w:t>
      </w:r>
      <w:r w:rsidR="001C3D5A">
        <w:t>s</w:t>
      </w:r>
      <w:r w:rsidR="007C20B3">
        <w:t xml:space="preserve"> </w:t>
      </w:r>
      <w:r w:rsidR="00180E0D">
        <w:t xml:space="preserve">will be </w:t>
      </w:r>
      <w:r w:rsidR="007C20B3">
        <w:t xml:space="preserve">lower than the </w:t>
      </w:r>
      <w:r w:rsidR="00420770">
        <w:t>p</w:t>
      </w:r>
      <w:r w:rsidR="007D5138">
        <w:t>roposed percentage</w:t>
      </w:r>
      <w:r w:rsidR="00583D09">
        <w:t xml:space="preserve"> increases to the </w:t>
      </w:r>
      <w:r w:rsidR="007D5138">
        <w:t>hourly</w:t>
      </w:r>
      <w:r w:rsidR="00583D09">
        <w:t xml:space="preserve"> rates. </w:t>
      </w:r>
    </w:p>
    <w:p w14:paraId="21776CE8" w14:textId="1F46A815" w:rsidR="00583D09" w:rsidRDefault="00583D09" w:rsidP="00F25651">
      <w:pPr>
        <w:pStyle w:val="BodyText"/>
      </w:pPr>
      <w:r>
        <w:t xml:space="preserve">For example, </w:t>
      </w:r>
      <w:hyperlink r:id="rId20" w:anchor="_Appendix_3:_Estimates" w:history="1">
        <w:r w:rsidR="00A16C6D">
          <w:rPr>
            <w:rStyle w:val="Hyperlink"/>
          </w:rPr>
          <w:t>a</w:t>
        </w:r>
        <w:r w:rsidR="00614CCF">
          <w:rPr>
            <w:rStyle w:val="Hyperlink"/>
          </w:rPr>
          <w:t>ppendix 3</w:t>
        </w:r>
      </w:hyperlink>
      <w:r>
        <w:t xml:space="preserve"> includes a case study of a non-notified consent </w:t>
      </w:r>
      <w:r w:rsidR="00AD1900">
        <w:t>involving</w:t>
      </w:r>
      <w:r w:rsidR="00AF2AB0">
        <w:t xml:space="preserve"> an increase in EPA staff time costs of 75</w:t>
      </w:r>
      <w:r w:rsidR="00047C08">
        <w:t xml:space="preserve"> per cent</w:t>
      </w:r>
      <w:r w:rsidR="00AF2AB0">
        <w:t>. However, the costs of external supplie</w:t>
      </w:r>
      <w:r w:rsidR="00FA4BAA">
        <w:t>r</w:t>
      </w:r>
      <w:r w:rsidR="00AF2AB0">
        <w:t xml:space="preserve">s </w:t>
      </w:r>
      <w:r w:rsidR="00A1555D">
        <w:t>are</w:t>
      </w:r>
      <w:r w:rsidR="00AF2AB0">
        <w:t xml:space="preserve"> a significant part of the total cost </w:t>
      </w:r>
      <w:r w:rsidR="00E13CF4">
        <w:t>recover</w:t>
      </w:r>
      <w:r w:rsidR="00735FE3">
        <w:t>ed</w:t>
      </w:r>
      <w:r w:rsidR="00FA4BAA">
        <w:t xml:space="preserve">. </w:t>
      </w:r>
      <w:r w:rsidR="00A1555D">
        <w:t>Therefore,</w:t>
      </w:r>
      <w:r w:rsidR="00AF2AB0">
        <w:t xml:space="preserve"> the total increase in cost to the </w:t>
      </w:r>
      <w:r w:rsidR="00735FE3">
        <w:t>applicant</w:t>
      </w:r>
      <w:r w:rsidR="009A346E">
        <w:t xml:space="preserve"> </w:t>
      </w:r>
      <w:r w:rsidR="00AF2AB0">
        <w:t>is only 27</w:t>
      </w:r>
      <w:r w:rsidR="00047C08">
        <w:t xml:space="preserve"> per cent</w:t>
      </w:r>
      <w:r w:rsidR="00AF2AB0">
        <w:t xml:space="preserve">. </w:t>
      </w:r>
    </w:p>
    <w:p w14:paraId="5F0924CF" w14:textId="2CAC1DE0" w:rsidR="005A2CF8" w:rsidRDefault="00AF2AB0" w:rsidP="000F67F8">
      <w:pPr>
        <w:pStyle w:val="BodyText"/>
        <w:spacing w:after="240"/>
      </w:pPr>
      <w:r>
        <w:t xml:space="preserve">These case studies may not capture the impact of the </w:t>
      </w:r>
      <w:r w:rsidR="00EA5164">
        <w:t xml:space="preserve">proposed changes on everyone. Your feedback will help us to better understand the potential impacts on </w:t>
      </w:r>
      <w:r w:rsidR="00262A51">
        <w:t>users</w:t>
      </w:r>
      <w:r w:rsidR="00EA5164">
        <w:t xml:space="preserve">. </w:t>
      </w:r>
    </w:p>
    <w:tbl>
      <w:tblPr>
        <w:tblStyle w:val="TableGrid"/>
        <w:tblW w:w="8617"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7"/>
      </w:tblGrid>
      <w:tr w:rsidR="007D5138" w:rsidRPr="0082483D" w14:paraId="321CD31D" w14:textId="77777777" w:rsidTr="004F14A9">
        <w:tc>
          <w:tcPr>
            <w:tcW w:w="861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73EBA4C3" w14:textId="77777777" w:rsidR="007D5138" w:rsidRPr="0082483D" w:rsidRDefault="007D5138">
            <w:pPr>
              <w:pStyle w:val="Blueboxtext"/>
              <w:keepNext/>
              <w:spacing w:before="80" w:after="80"/>
              <w:rPr>
                <w:b/>
                <w:bCs/>
                <w:color w:val="FFFFFF" w:themeColor="background1"/>
              </w:rPr>
            </w:pPr>
            <w:r w:rsidRPr="0082483D">
              <w:rPr>
                <w:b/>
                <w:bCs/>
                <w:color w:val="FFFFFF" w:themeColor="background1"/>
              </w:rPr>
              <w:t>Questions</w:t>
            </w:r>
          </w:p>
        </w:tc>
      </w:tr>
      <w:tr w:rsidR="007D5138" w:rsidRPr="0082483D" w14:paraId="6024353D" w14:textId="77777777" w:rsidTr="004F14A9">
        <w:tc>
          <w:tcPr>
            <w:tcW w:w="8617" w:type="dxa"/>
            <w:tcBorders>
              <w:top w:val="single" w:sz="4" w:space="0" w:color="1C556C" w:themeColor="accent1"/>
            </w:tcBorders>
            <w:shd w:val="clear" w:color="auto" w:fill="D2DDE2"/>
          </w:tcPr>
          <w:p w14:paraId="16DBC632" w14:textId="6DB0F225" w:rsidR="007D5138" w:rsidRPr="007B4724" w:rsidRDefault="007D5138" w:rsidP="00025DB3">
            <w:pPr>
              <w:pStyle w:val="Bluetext-numbered"/>
              <w:numPr>
                <w:ilvl w:val="0"/>
                <w:numId w:val="19"/>
              </w:numPr>
              <w:spacing w:before="120" w:after="120"/>
              <w:ind w:left="641" w:hanging="357"/>
            </w:pPr>
            <w:r w:rsidRPr="00827740">
              <w:t xml:space="preserve">If the proposed increases went ahead, </w:t>
            </w:r>
            <w:r w:rsidR="00F67A38" w:rsidRPr="00F67A38">
              <w:t xml:space="preserve">are there impacts on </w:t>
            </w:r>
            <w:r w:rsidR="00011FC6">
              <w:t xml:space="preserve">you or </w:t>
            </w:r>
            <w:r w:rsidR="00F67A38" w:rsidRPr="00F67A38">
              <w:t>your business we may not have considered?</w:t>
            </w:r>
            <w:r w:rsidRPr="007B4724">
              <w:t xml:space="preserve"> </w:t>
            </w:r>
          </w:p>
          <w:p w14:paraId="084F2AA8" w14:textId="49A7E3D8" w:rsidR="007D5138" w:rsidRPr="006817E2" w:rsidRDefault="007D5138" w:rsidP="00025DB3">
            <w:pPr>
              <w:pStyle w:val="Bluetext-numbered"/>
              <w:numPr>
                <w:ilvl w:val="0"/>
                <w:numId w:val="19"/>
              </w:numPr>
              <w:spacing w:before="120" w:after="120"/>
              <w:ind w:left="641" w:hanging="357"/>
            </w:pPr>
            <w:r w:rsidRPr="00827740">
              <w:t xml:space="preserve">Would the proposed </w:t>
            </w:r>
            <w:r w:rsidR="00827740">
              <w:t>increases</w:t>
            </w:r>
            <w:r w:rsidRPr="00827740">
              <w:t xml:space="preserve"> change </w:t>
            </w:r>
            <w:r w:rsidR="00415710" w:rsidRPr="00827740">
              <w:t xml:space="preserve">how you </w:t>
            </w:r>
            <w:r w:rsidR="00011FC6">
              <w:t xml:space="preserve">or your business </w:t>
            </w:r>
            <w:r w:rsidR="00415710" w:rsidRPr="00827740">
              <w:t xml:space="preserve">approach </w:t>
            </w:r>
            <w:r w:rsidR="001C23E8" w:rsidRPr="00827740">
              <w:t>making applications for marine consents or other ways you engage with the EPA?</w:t>
            </w:r>
            <w:r w:rsidR="00580CFE">
              <w:t xml:space="preserve"> </w:t>
            </w:r>
          </w:p>
        </w:tc>
      </w:tr>
    </w:tbl>
    <w:p w14:paraId="0CE39C7C" w14:textId="77777777" w:rsidR="007D5138" w:rsidRDefault="007D5138" w:rsidP="000C7A7C">
      <w:pPr>
        <w:rPr>
          <w:highlight w:val="yellow"/>
        </w:rPr>
      </w:pPr>
    </w:p>
    <w:p w14:paraId="58697EA2" w14:textId="479F8C1D" w:rsidR="00660569" w:rsidRPr="00827740" w:rsidRDefault="00660569" w:rsidP="000C7A7C">
      <w:pPr>
        <w:rPr>
          <w:highlight w:val="yellow"/>
        </w:rPr>
      </w:pPr>
    </w:p>
    <w:p w14:paraId="52162075" w14:textId="77777777" w:rsidR="004E58EE" w:rsidRDefault="004E58EE">
      <w:pPr>
        <w:spacing w:before="0" w:after="200" w:line="276" w:lineRule="auto"/>
        <w:jc w:val="left"/>
        <w:rPr>
          <w:rFonts w:eastAsiaTheme="majorEastAsia" w:cstheme="majorBidi"/>
          <w:b/>
          <w:bCs/>
          <w:color w:val="1C556C"/>
          <w:sz w:val="48"/>
          <w:szCs w:val="28"/>
        </w:rPr>
      </w:pPr>
      <w:r>
        <w:br w:type="page"/>
      </w:r>
    </w:p>
    <w:p w14:paraId="3EC11C0C" w14:textId="404A63B5" w:rsidR="006509BF" w:rsidRDefault="00FD0BEE" w:rsidP="00E63FBF">
      <w:pPr>
        <w:pStyle w:val="Heading1"/>
        <w:ind w:left="851" w:hanging="851"/>
      </w:pPr>
      <w:bookmarkStart w:id="54" w:name="_Toc114734501"/>
      <w:r>
        <w:lastRenderedPageBreak/>
        <w:t>7</w:t>
      </w:r>
      <w:r w:rsidR="006509BF">
        <w:t xml:space="preserve">. </w:t>
      </w:r>
      <w:r w:rsidR="00F25651">
        <w:tab/>
      </w:r>
      <w:r w:rsidR="007148E2">
        <w:t>Implementing and reviewing the proposed changes</w:t>
      </w:r>
      <w:bookmarkEnd w:id="54"/>
      <w:r w:rsidR="006509BF">
        <w:t xml:space="preserve"> </w:t>
      </w:r>
    </w:p>
    <w:p w14:paraId="076DDE0D" w14:textId="77777777" w:rsidR="00091B68" w:rsidRDefault="00091B68" w:rsidP="00091B68">
      <w:pPr>
        <w:pStyle w:val="Heading2"/>
      </w:pPr>
      <w:bookmarkStart w:id="55" w:name="_Toc114734502"/>
      <w:r>
        <w:t>Implementation plan</w:t>
      </w:r>
      <w:bookmarkEnd w:id="55"/>
    </w:p>
    <w:p w14:paraId="719E2AD2" w14:textId="7DC48E7E" w:rsidR="00CB6A47" w:rsidRDefault="00F62753" w:rsidP="00F62753">
      <w:pPr>
        <w:pStyle w:val="BodyText"/>
      </w:pPr>
      <w:r>
        <w:t>We are proposing the new rates take effect from 1 July 2023.</w:t>
      </w:r>
      <w:r w:rsidR="00304D67">
        <w:t xml:space="preserve"> </w:t>
      </w:r>
      <w:r w:rsidR="007A388C">
        <w:t xml:space="preserve">This would </w:t>
      </w:r>
      <w:r w:rsidR="00E80441">
        <w:t>have the following effects.</w:t>
      </w:r>
    </w:p>
    <w:p w14:paraId="148C2EC7" w14:textId="3470C5CE" w:rsidR="00CB6A47" w:rsidRDefault="00E80441" w:rsidP="007A6990">
      <w:pPr>
        <w:pStyle w:val="Bullet"/>
      </w:pPr>
      <w:r>
        <w:t>W</w:t>
      </w:r>
      <w:r w:rsidR="00091B68">
        <w:t xml:space="preserve">ork completed </w:t>
      </w:r>
      <w:r w:rsidR="00A97281">
        <w:t xml:space="preserve">up </w:t>
      </w:r>
      <w:r w:rsidR="00091B68">
        <w:t xml:space="preserve">to </w:t>
      </w:r>
      <w:r w:rsidR="00A97281">
        <w:t xml:space="preserve">(and including) </w:t>
      </w:r>
      <w:r w:rsidR="00091B68">
        <w:t xml:space="preserve">30 June 2023 </w:t>
      </w:r>
      <w:r w:rsidR="007A388C">
        <w:t>would be</w:t>
      </w:r>
      <w:r w:rsidR="00091B68">
        <w:t xml:space="preserve"> charged at the </w:t>
      </w:r>
      <w:r w:rsidR="007A388C">
        <w:t xml:space="preserve">current </w:t>
      </w:r>
      <w:r w:rsidR="00091B68">
        <w:t>rate</w:t>
      </w:r>
      <w:r w:rsidR="007A388C">
        <w:t>s.</w:t>
      </w:r>
    </w:p>
    <w:p w14:paraId="31002905" w14:textId="789B6BE9" w:rsidR="00091B68" w:rsidRDefault="00E80441" w:rsidP="007A6990">
      <w:pPr>
        <w:pStyle w:val="Bullet"/>
      </w:pPr>
      <w:r>
        <w:t>W</w:t>
      </w:r>
      <w:r w:rsidR="00091B68">
        <w:t xml:space="preserve">ork from 1 July 2023 </w:t>
      </w:r>
      <w:r w:rsidR="007A388C">
        <w:t xml:space="preserve">would be </w:t>
      </w:r>
      <w:r w:rsidR="00091B68">
        <w:t>charged at the new rates</w:t>
      </w:r>
      <w:r w:rsidR="007A388C">
        <w:t>. This would include work done on</w:t>
      </w:r>
      <w:r w:rsidR="00091B68">
        <w:t xml:space="preserve"> applications made before 1 July 2023 and still in progress. </w:t>
      </w:r>
      <w:r w:rsidR="007A388C">
        <w:t>For example, for</w:t>
      </w:r>
      <w:r w:rsidR="00091B68">
        <w:t xml:space="preserve"> an application received in May 2023</w:t>
      </w:r>
      <w:r w:rsidR="00CB4CCD">
        <w:t xml:space="preserve">, </w:t>
      </w:r>
      <w:r w:rsidR="00992EF6">
        <w:t xml:space="preserve">the </w:t>
      </w:r>
      <w:r w:rsidR="00CB4CCD">
        <w:t>EPA would charge</w:t>
      </w:r>
      <w:r w:rsidR="00091B68">
        <w:t xml:space="preserve"> the </w:t>
      </w:r>
      <w:r w:rsidR="00844F64">
        <w:t xml:space="preserve">current </w:t>
      </w:r>
      <w:r w:rsidR="00091B68">
        <w:t xml:space="preserve">rates </w:t>
      </w:r>
      <w:r w:rsidR="00CB4CCD">
        <w:t xml:space="preserve">for all work </w:t>
      </w:r>
      <w:r w:rsidR="00EC3792">
        <w:t xml:space="preserve">performed </w:t>
      </w:r>
      <w:r w:rsidR="00091B68">
        <w:t>u</w:t>
      </w:r>
      <w:r w:rsidR="00A97281">
        <w:t>p to</w:t>
      </w:r>
      <w:r w:rsidR="00CB4CCD">
        <w:t xml:space="preserve"> (and including)</w:t>
      </w:r>
      <w:r w:rsidR="00091B68">
        <w:t xml:space="preserve"> 30 June 2023. </w:t>
      </w:r>
      <w:r w:rsidR="00CB4CCD">
        <w:t xml:space="preserve">This would include any pre-application work done by the EPA. </w:t>
      </w:r>
      <w:r w:rsidR="00091B68">
        <w:t xml:space="preserve">From 1 July 2023, if the application is still active, the new charge-out rates </w:t>
      </w:r>
      <w:r w:rsidR="00CB4CCD">
        <w:t xml:space="preserve">would </w:t>
      </w:r>
      <w:r w:rsidR="00091B68">
        <w:t>apply.</w:t>
      </w:r>
    </w:p>
    <w:p w14:paraId="6E326627" w14:textId="44D6F71E" w:rsidR="00091B68" w:rsidRDefault="0023385C" w:rsidP="007A6990">
      <w:pPr>
        <w:pStyle w:val="Bullet"/>
      </w:pPr>
      <w:r>
        <w:t>F</w:t>
      </w:r>
      <w:r w:rsidR="00891374">
        <w:t xml:space="preserve">or </w:t>
      </w:r>
      <w:r w:rsidR="00091B68">
        <w:t xml:space="preserve">work that straddles future financial periods, the rates charged </w:t>
      </w:r>
      <w:r w:rsidR="00026F04">
        <w:t>will depend on the period when the work is done</w:t>
      </w:r>
      <w:r w:rsidR="00091B68">
        <w:t>. For example</w:t>
      </w:r>
      <w:r>
        <w:t>, a</w:t>
      </w:r>
      <w:r w:rsidR="00091B68">
        <w:t xml:space="preserve">n application received in May 2024 </w:t>
      </w:r>
      <w:r w:rsidR="00587255">
        <w:t xml:space="preserve">would </w:t>
      </w:r>
      <w:r w:rsidR="00091B68">
        <w:t xml:space="preserve">be charged at 2023/24 rates for the work </w:t>
      </w:r>
      <w:r w:rsidR="00587255">
        <w:t xml:space="preserve">done </w:t>
      </w:r>
      <w:r w:rsidR="00A97281">
        <w:t xml:space="preserve">up to </w:t>
      </w:r>
      <w:r w:rsidR="00587255">
        <w:t xml:space="preserve">(and including) </w:t>
      </w:r>
      <w:r w:rsidR="00091B68">
        <w:t>30 June 2024</w:t>
      </w:r>
      <w:r w:rsidR="00587255">
        <w:t>. A</w:t>
      </w:r>
      <w:r w:rsidR="00091B68">
        <w:t xml:space="preserve">ny work performed from 1 July 2025 </w:t>
      </w:r>
      <w:r w:rsidR="00587255">
        <w:t xml:space="preserve">would </w:t>
      </w:r>
      <w:r w:rsidR="00091B68">
        <w:t>be charged at the 2025/26 rates. Since the EPA invoices on a monthly basis, this should be efficiently and transparently managed.</w:t>
      </w:r>
    </w:p>
    <w:p w14:paraId="32C0D5A9" w14:textId="6202EC58" w:rsidR="00E10486" w:rsidRDefault="00091B68" w:rsidP="00E63FBF">
      <w:pPr>
        <w:pStyle w:val="BodyText"/>
      </w:pPr>
      <w:r>
        <w:t xml:space="preserve">To minimise compliance costs, potential fee payers will be given </w:t>
      </w:r>
      <w:r w:rsidR="001B2510">
        <w:t>as much notice as possible</w:t>
      </w:r>
      <w:r>
        <w:t xml:space="preserve"> of the fee increases</w:t>
      </w:r>
      <w:r w:rsidR="00DF25F2">
        <w:t>,</w:t>
      </w:r>
      <w:r>
        <w:t xml:space="preserve"> and the EPA cost</w:t>
      </w:r>
      <w:r w:rsidR="00DF25F2">
        <w:t>-</w:t>
      </w:r>
      <w:r>
        <w:t xml:space="preserve">recovery policy </w:t>
      </w:r>
      <w:r w:rsidR="00B927EB">
        <w:t>will</w:t>
      </w:r>
      <w:r>
        <w:t xml:space="preserve"> be updated and published online.</w:t>
      </w:r>
    </w:p>
    <w:p w14:paraId="26C7BFCE" w14:textId="2531E13C" w:rsidR="00E10486" w:rsidRDefault="00406BB0" w:rsidP="00E10486">
      <w:pPr>
        <w:pStyle w:val="Heading2"/>
      </w:pPr>
      <w:bookmarkStart w:id="56" w:name="_Toc114734503"/>
      <w:r>
        <w:t xml:space="preserve">Future </w:t>
      </w:r>
      <w:bookmarkEnd w:id="56"/>
      <w:r w:rsidR="0071472D">
        <w:t>r</w:t>
      </w:r>
      <w:r w:rsidR="00E10486">
        <w:t>eview</w:t>
      </w:r>
    </w:p>
    <w:p w14:paraId="58161A53" w14:textId="7824001B" w:rsidR="00E10486" w:rsidRDefault="00E10486" w:rsidP="00844F64">
      <w:pPr>
        <w:pStyle w:val="BodyText"/>
      </w:pPr>
      <w:r>
        <w:t xml:space="preserve">It is intended the EEZ Fees Regulations will be reviewed after three years. This matches </w:t>
      </w:r>
      <w:r w:rsidR="00B927EB">
        <w:t>the New Zealand</w:t>
      </w:r>
      <w:r>
        <w:t xml:space="preserve"> Treasury’s expectations of review.</w:t>
      </w:r>
      <w:r w:rsidR="00DF25F2">
        <w:rPr>
          <w:rStyle w:val="FootnoteReference"/>
        </w:rPr>
        <w:footnoteReference w:id="23"/>
      </w:r>
    </w:p>
    <w:p w14:paraId="62FCCFD8" w14:textId="4971CA55" w:rsidR="00E10486" w:rsidRDefault="004554B2" w:rsidP="00E63FBF">
      <w:pPr>
        <w:pStyle w:val="BodyText"/>
      </w:pPr>
      <w:r>
        <w:t xml:space="preserve">A future </w:t>
      </w:r>
      <w:r w:rsidR="00E10486">
        <w:t xml:space="preserve">review process </w:t>
      </w:r>
      <w:r w:rsidR="00C010E9">
        <w:t xml:space="preserve">would </w:t>
      </w:r>
      <w:r w:rsidR="00E10486">
        <w:t>consider:</w:t>
      </w:r>
    </w:p>
    <w:p w14:paraId="17BE8EAD" w14:textId="1824F9E2" w:rsidR="00E10486" w:rsidRDefault="00E10486" w:rsidP="007A6990">
      <w:pPr>
        <w:pStyle w:val="Bullet"/>
      </w:pPr>
      <w:r>
        <w:t xml:space="preserve">how the rates have performed (comparison of costs to revenues, how fees may have impacted behaviours or service and function delivery), and how they </w:t>
      </w:r>
      <w:r w:rsidR="001012E0">
        <w:t xml:space="preserve">will </w:t>
      </w:r>
      <w:r>
        <w:t>continue to perform over the next three years if they remain unchanged</w:t>
      </w:r>
    </w:p>
    <w:p w14:paraId="4470781E" w14:textId="6375332B" w:rsidR="009D2AF2" w:rsidRPr="00F862FD" w:rsidRDefault="001012E0" w:rsidP="00B927EB">
      <w:pPr>
        <w:pStyle w:val="Bullet"/>
      </w:pPr>
      <w:r>
        <w:t>whether</w:t>
      </w:r>
      <w:r w:rsidR="00E10486" w:rsidDel="00EC3792">
        <w:t xml:space="preserve"> </w:t>
      </w:r>
      <w:r w:rsidR="00E10486">
        <w:t>the salary</w:t>
      </w:r>
      <w:r w:rsidR="00634642">
        <w:t>-</w:t>
      </w:r>
      <w:r w:rsidR="00E10486">
        <w:t>growth expectation</w:t>
      </w:r>
      <w:r w:rsidR="00634642">
        <w:t>s</w:t>
      </w:r>
      <w:r w:rsidR="00E10486">
        <w:t xml:space="preserve"> built into the charge-out rates have matched actual growth. </w:t>
      </w:r>
      <w:bookmarkStart w:id="57" w:name="Summary_costs_etc"/>
      <w:bookmarkEnd w:id="37"/>
      <w:r w:rsidR="009D2AF2" w:rsidRPr="00F862FD">
        <w:br w:type="page"/>
      </w:r>
    </w:p>
    <w:p w14:paraId="50366352" w14:textId="3AC99D7A" w:rsidR="00C14D8D" w:rsidRPr="0082483D" w:rsidRDefault="00C14D8D" w:rsidP="00C14D8D">
      <w:pPr>
        <w:pStyle w:val="Heading1"/>
      </w:pPr>
      <w:bookmarkStart w:id="58" w:name="_Appendix_1:_Other"/>
      <w:bookmarkStart w:id="59" w:name="Appendix_5"/>
      <w:bookmarkStart w:id="60" w:name="_Toc114734504"/>
      <w:bookmarkStart w:id="61" w:name="Appendix1"/>
      <w:bookmarkEnd w:id="57"/>
      <w:bookmarkEnd w:id="58"/>
      <w:r w:rsidRPr="0082483D">
        <w:lastRenderedPageBreak/>
        <w:t xml:space="preserve">Appendix </w:t>
      </w:r>
      <w:r>
        <w:t>1</w:t>
      </w:r>
      <w:r w:rsidRPr="0082483D">
        <w:t xml:space="preserve">: </w:t>
      </w:r>
      <w:r>
        <w:t>List of consultation q</w:t>
      </w:r>
      <w:r w:rsidRPr="0082483D">
        <w:t>uestions</w:t>
      </w:r>
      <w:bookmarkEnd w:id="59"/>
      <w:bookmarkEnd w:id="60"/>
    </w:p>
    <w:p w14:paraId="518D1FB9" w14:textId="77777777" w:rsidR="00C14D8D" w:rsidRPr="0082483D" w:rsidRDefault="00C14D8D" w:rsidP="00C14D8D">
      <w:pPr>
        <w:pStyle w:val="BodyText"/>
        <w:rPr>
          <w:rFonts w:ascii="Times New Roman" w:eastAsia="Times New Roman" w:hAnsi="Times New Roman" w:cs="Times New Roman"/>
        </w:rPr>
      </w:pPr>
      <w:r w:rsidRPr="0082483D">
        <w:rPr>
          <w:rFonts w:eastAsia="Times New Roman"/>
        </w:rPr>
        <w:t>These questions appear throughout the consultation document. They may help you when making a submission.</w:t>
      </w:r>
    </w:p>
    <w:p w14:paraId="2E06DB5E" w14:textId="37A85A83" w:rsidR="00C14D8D" w:rsidRPr="0082483D" w:rsidRDefault="00C14D8D" w:rsidP="00C14D8D">
      <w:pPr>
        <w:pStyle w:val="Heading4"/>
        <w:spacing w:after="120"/>
        <w:rPr>
          <w:rFonts w:eastAsia="Times New Roman"/>
        </w:rPr>
      </w:pPr>
      <w:r>
        <w:rPr>
          <w:rFonts w:eastAsia="Times New Roman"/>
        </w:rPr>
        <w:t>Cost</w:t>
      </w:r>
      <w:r w:rsidR="00634642">
        <w:rPr>
          <w:rFonts w:eastAsia="Times New Roman"/>
        </w:rPr>
        <w:t>-</w:t>
      </w:r>
      <w:r>
        <w:rPr>
          <w:rFonts w:eastAsia="Times New Roman"/>
        </w:rPr>
        <w:t>recovery principles and</w:t>
      </w:r>
      <w:r w:rsidRPr="0082483D">
        <w:rPr>
          <w:rFonts w:eastAsia="Times New Roman"/>
        </w:rPr>
        <w:t xml:space="preserve"> objectives</w:t>
      </w: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C14D8D" w:rsidRPr="0082483D" w14:paraId="09B4D689" w14:textId="77777777" w:rsidTr="000F67F8">
        <w:tc>
          <w:tcPr>
            <w:tcW w:w="8618" w:type="dxa"/>
            <w:shd w:val="clear" w:color="auto" w:fill="D2DDE2"/>
          </w:tcPr>
          <w:p w14:paraId="581A72D9" w14:textId="3FB3CD17" w:rsidR="00C14D8D" w:rsidRPr="0082483D" w:rsidRDefault="00C14D8D" w:rsidP="007311D7">
            <w:pPr>
              <w:pStyle w:val="Blueboxtext"/>
              <w:numPr>
                <w:ilvl w:val="0"/>
                <w:numId w:val="27"/>
              </w:numPr>
              <w:ind w:left="641" w:hanging="357"/>
            </w:pPr>
            <w:r>
              <w:t>Do you have any comments on the</w:t>
            </w:r>
            <w:r w:rsidRPr="007A0CB4">
              <w:t xml:space="preserve"> cost</w:t>
            </w:r>
            <w:r w:rsidR="00AC4B32">
              <w:t>-</w:t>
            </w:r>
            <w:r w:rsidRPr="007A0CB4">
              <w:t>recovery objective</w:t>
            </w:r>
            <w:r w:rsidR="00021BC2">
              <w:t xml:space="preserve"> and principle</w:t>
            </w:r>
            <w:r w:rsidRPr="007A0CB4">
              <w:t xml:space="preserve">s? </w:t>
            </w:r>
            <w:r w:rsidR="002D2536">
              <w:br/>
            </w:r>
            <w:r>
              <w:t>Let us know</w:t>
            </w:r>
            <w:r w:rsidRPr="007A0CB4">
              <w:t xml:space="preserve"> if you think </w:t>
            </w:r>
            <w:r w:rsidR="00021BC2">
              <w:t xml:space="preserve">the objective and principles </w:t>
            </w:r>
            <w:r w:rsidRPr="007A0CB4">
              <w:t xml:space="preserve">should be </w:t>
            </w:r>
            <w:r w:rsidR="009427B1">
              <w:t>different</w:t>
            </w:r>
            <w:r>
              <w:t>, and why</w:t>
            </w:r>
            <w:r w:rsidRPr="007A0CB4">
              <w:t>.</w:t>
            </w:r>
          </w:p>
        </w:tc>
      </w:tr>
    </w:tbl>
    <w:p w14:paraId="22D8DCDD" w14:textId="6485174F" w:rsidR="00057EF2" w:rsidRDefault="00577169" w:rsidP="00C14D8D">
      <w:pPr>
        <w:pStyle w:val="Heading4"/>
        <w:spacing w:after="120"/>
        <w:rPr>
          <w:rFonts w:eastAsia="Times New Roman"/>
        </w:rPr>
      </w:pPr>
      <w:r>
        <w:rPr>
          <w:rFonts w:eastAsia="Times New Roman"/>
        </w:rPr>
        <w:t xml:space="preserve"> </w:t>
      </w:r>
      <w:r>
        <w:t>Should the EPA keep using hourly rates?</w:t>
      </w:r>
    </w:p>
    <w:tbl>
      <w:tblPr>
        <w:tblStyle w:val="TableGrid"/>
        <w:tblW w:w="8618" w:type="dxa"/>
        <w:tblInd w:w="-5" w:type="dxa"/>
        <w:tblBorders>
          <w:top w:val="none" w:sz="0" w:space="0" w:color="auto"/>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057EF2" w:rsidRPr="0082483D" w14:paraId="1DFFDF9C" w14:textId="77777777" w:rsidTr="000F67F8">
        <w:tc>
          <w:tcPr>
            <w:tcW w:w="8618" w:type="dxa"/>
            <w:shd w:val="clear" w:color="auto" w:fill="D2DDE2" w:themeFill="accent3"/>
          </w:tcPr>
          <w:p w14:paraId="0D069B73" w14:textId="73EB3DF8" w:rsidR="00057EF2" w:rsidRDefault="00057EF2" w:rsidP="007311D7">
            <w:pPr>
              <w:pStyle w:val="Blueboxtext"/>
              <w:numPr>
                <w:ilvl w:val="0"/>
                <w:numId w:val="27"/>
              </w:numPr>
              <w:ind w:left="641" w:hanging="357"/>
            </w:pPr>
            <w:r>
              <w:t>What are your views on the current hourly fee</w:t>
            </w:r>
            <w:r w:rsidR="00E1220E">
              <w:t xml:space="preserve"> method of charging,</w:t>
            </w:r>
            <w:r>
              <w:t xml:space="preserve"> as compared </w:t>
            </w:r>
            <w:r w:rsidR="00F43833">
              <w:t>with either a fixed fee or a hybrid fee</w:t>
            </w:r>
            <w:r>
              <w:t xml:space="preserve">? </w:t>
            </w:r>
          </w:p>
          <w:p w14:paraId="4AF82DA2" w14:textId="77777777" w:rsidR="005B1211" w:rsidRPr="00590826" w:rsidRDefault="005B1211" w:rsidP="007311D7">
            <w:pPr>
              <w:pStyle w:val="Blueboxtext"/>
              <w:numPr>
                <w:ilvl w:val="0"/>
                <w:numId w:val="27"/>
              </w:numPr>
              <w:ind w:left="641" w:hanging="357"/>
            </w:pPr>
            <w:r w:rsidRPr="005340D4">
              <w:t>Are there other aspects of hourly rates or the other options that we should be considering</w:t>
            </w:r>
            <w:r w:rsidRPr="00590826">
              <w:t xml:space="preserve">? </w:t>
            </w:r>
          </w:p>
          <w:p w14:paraId="34AE4E55" w14:textId="4600E110" w:rsidR="005B1211" w:rsidRPr="007A0CB4" w:rsidRDefault="005B1211" w:rsidP="007311D7">
            <w:pPr>
              <w:pStyle w:val="Blueboxtext"/>
              <w:numPr>
                <w:ilvl w:val="0"/>
                <w:numId w:val="27"/>
              </w:numPr>
              <w:ind w:left="641" w:hanging="357"/>
            </w:pPr>
            <w:r w:rsidRPr="005340D4">
              <w:t xml:space="preserve">Are there other elements the EPA could consider including in </w:t>
            </w:r>
            <w:r>
              <w:t xml:space="preserve">its EEZ </w:t>
            </w:r>
            <w:r w:rsidR="009E5E77">
              <w:t>c</w:t>
            </w:r>
            <w:r>
              <w:t>ost</w:t>
            </w:r>
            <w:r w:rsidR="009E5E77">
              <w:t>-r</w:t>
            </w:r>
            <w:r>
              <w:t xml:space="preserve">ecovery </w:t>
            </w:r>
            <w:r w:rsidR="009E5E77">
              <w:t>p</w:t>
            </w:r>
            <w:r>
              <w:t>olicy</w:t>
            </w:r>
            <w:r w:rsidR="009E5E77">
              <w:t>,</w:t>
            </w:r>
            <w:r>
              <w:t xml:space="preserve"> </w:t>
            </w:r>
            <w:r w:rsidRPr="006B5A03">
              <w:t>to</w:t>
            </w:r>
            <w:r w:rsidRPr="005340D4">
              <w:t xml:space="preserve"> </w:t>
            </w:r>
            <w:r w:rsidR="002D2536">
              <w:t>help</w:t>
            </w:r>
            <w:r w:rsidR="002D2536" w:rsidRPr="00590826">
              <w:t xml:space="preserve"> </w:t>
            </w:r>
            <w:r w:rsidR="00262A51">
              <w:t>users</w:t>
            </w:r>
            <w:r w:rsidRPr="00590826">
              <w:t>?</w:t>
            </w:r>
          </w:p>
        </w:tc>
      </w:tr>
    </w:tbl>
    <w:p w14:paraId="055AC851" w14:textId="60DC1D12" w:rsidR="00057EF2" w:rsidRPr="00057EF2" w:rsidRDefault="00577169" w:rsidP="00057EF2">
      <w:pPr>
        <w:pStyle w:val="Heading4"/>
        <w:spacing w:after="120"/>
        <w:rPr>
          <w:rFonts w:eastAsia="Times New Roman"/>
        </w:rPr>
      </w:pPr>
      <w:r>
        <w:t>How have we set the proposed new hourly rates</w:t>
      </w:r>
    </w:p>
    <w:tbl>
      <w:tblPr>
        <w:tblStyle w:val="TableGrid"/>
        <w:tblW w:w="8617"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7"/>
      </w:tblGrid>
      <w:tr w:rsidR="00C14D8D" w:rsidRPr="0082483D" w14:paraId="1F6ABA21" w14:textId="77777777" w:rsidTr="004F14A9">
        <w:trPr>
          <w:trHeight w:val="1703"/>
        </w:trPr>
        <w:tc>
          <w:tcPr>
            <w:tcW w:w="8617" w:type="dxa"/>
            <w:shd w:val="clear" w:color="auto" w:fill="D2DDE2"/>
          </w:tcPr>
          <w:p w14:paraId="7EC9ED04" w14:textId="7754208A" w:rsidR="00057EF2" w:rsidRDefault="00057EF2" w:rsidP="005760B0">
            <w:pPr>
              <w:pStyle w:val="Blueboxtext"/>
              <w:numPr>
                <w:ilvl w:val="0"/>
                <w:numId w:val="27"/>
              </w:numPr>
              <w:ind w:left="641" w:hanging="357"/>
            </w:pPr>
            <w:r>
              <w:t xml:space="preserve">Do you have any comments on the </w:t>
            </w:r>
            <w:r w:rsidR="00174950">
              <w:t xml:space="preserve">formula </w:t>
            </w:r>
            <w:r>
              <w:t xml:space="preserve">used to calculate the charge-out rates? </w:t>
            </w:r>
          </w:p>
          <w:p w14:paraId="43334535" w14:textId="63C6D079" w:rsidR="004D7CC2" w:rsidRDefault="00A057F4" w:rsidP="005760B0">
            <w:pPr>
              <w:pStyle w:val="Blueboxtext"/>
              <w:numPr>
                <w:ilvl w:val="0"/>
                <w:numId w:val="27"/>
              </w:numPr>
              <w:ind w:left="641" w:hanging="357"/>
            </w:pPr>
            <w:r w:rsidRPr="007A0CB4">
              <w:t xml:space="preserve">Do you have any comments on </w:t>
            </w:r>
            <w:r w:rsidR="001705BE">
              <w:t>how we have set each element of the formula (salary costs, other direct costs, overhead costs and total hours)</w:t>
            </w:r>
            <w:r w:rsidR="001705BE" w:rsidRPr="007A0CB4">
              <w:t xml:space="preserve">? </w:t>
            </w:r>
          </w:p>
          <w:p w14:paraId="1B657CA0" w14:textId="0356BC16" w:rsidR="00C14D8D" w:rsidRPr="0082483D" w:rsidRDefault="00A057F4" w:rsidP="005760B0">
            <w:pPr>
              <w:pStyle w:val="Blueboxtext"/>
              <w:numPr>
                <w:ilvl w:val="0"/>
                <w:numId w:val="27"/>
              </w:numPr>
              <w:ind w:left="641" w:hanging="357"/>
            </w:pPr>
            <w:r w:rsidRPr="004D7CC2">
              <w:t>Please advise us if there are other factors you think should be considered</w:t>
            </w:r>
            <w:r w:rsidR="000B541D">
              <w:t>.</w:t>
            </w:r>
          </w:p>
        </w:tc>
      </w:tr>
    </w:tbl>
    <w:p w14:paraId="5C7339B6" w14:textId="2F7B8FB3" w:rsidR="00C14D8D" w:rsidRPr="0082483D" w:rsidRDefault="00C14D8D" w:rsidP="00C14D8D">
      <w:pPr>
        <w:pStyle w:val="Heading4"/>
        <w:spacing w:after="120"/>
        <w:rPr>
          <w:rFonts w:eastAsia="Times New Roman"/>
        </w:rPr>
      </w:pPr>
      <w:r w:rsidRPr="0082483D">
        <w:rPr>
          <w:rFonts w:eastAsia="Times New Roman"/>
        </w:rPr>
        <w:t>Propos</w:t>
      </w:r>
      <w:r w:rsidR="000B541D">
        <w:rPr>
          <w:rFonts w:eastAsia="Times New Roman"/>
        </w:rPr>
        <w:t xml:space="preserve">ed </w:t>
      </w:r>
      <w:r w:rsidR="00E762AC">
        <w:rPr>
          <w:rFonts w:eastAsia="Times New Roman"/>
        </w:rPr>
        <w:t>new charge-out rates</w:t>
      </w:r>
      <w:r w:rsidR="00577169">
        <w:rPr>
          <w:rFonts w:eastAsia="Times New Roman"/>
        </w:rPr>
        <w:t xml:space="preserve"> and the alternative options we considered</w:t>
      </w:r>
    </w:p>
    <w:tbl>
      <w:tblPr>
        <w:tblStyle w:val="TableGrid"/>
        <w:tblW w:w="8617"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7"/>
      </w:tblGrid>
      <w:tr w:rsidR="00C14D8D" w:rsidRPr="0082483D" w14:paraId="55C8AF02" w14:textId="77777777" w:rsidTr="004F14A9">
        <w:tc>
          <w:tcPr>
            <w:tcW w:w="8617" w:type="dxa"/>
            <w:shd w:val="clear" w:color="auto" w:fill="D2DDE2"/>
          </w:tcPr>
          <w:p w14:paraId="58BF8F82" w14:textId="77777777" w:rsidR="000B541D" w:rsidRPr="000B541D" w:rsidRDefault="000B541D" w:rsidP="0049403C">
            <w:pPr>
              <w:pStyle w:val="Blueboxtext"/>
              <w:numPr>
                <w:ilvl w:val="0"/>
                <w:numId w:val="27"/>
              </w:numPr>
              <w:ind w:left="641" w:hanging="357"/>
            </w:pPr>
            <w:r w:rsidRPr="000B541D">
              <w:t xml:space="preserve">What are your views on having charge-out rates set that apply from 1 July 2023 to 30 June 2024, from 1 July 2024 to 30 June 2025, and from 1 July 2025, as compared to a single set of charge-out rates? </w:t>
            </w:r>
          </w:p>
          <w:p w14:paraId="1D475D08" w14:textId="5083C090" w:rsidR="00C14D8D" w:rsidRPr="0082483D" w:rsidRDefault="000B541D" w:rsidP="0049403C">
            <w:pPr>
              <w:pStyle w:val="Blueboxtext"/>
              <w:numPr>
                <w:ilvl w:val="0"/>
                <w:numId w:val="27"/>
              </w:numPr>
              <w:ind w:left="641" w:hanging="357"/>
            </w:pPr>
            <w:r>
              <w:t>What are your views on the preferred option for cost recovery as compared to the alternative options? If you have an alternative preferred option, could you please outline this</w:t>
            </w:r>
            <w:r w:rsidR="002D2536">
              <w:t>.</w:t>
            </w:r>
            <w:r w:rsidR="00C14D8D" w:rsidRPr="0082483D">
              <w:tab/>
            </w:r>
          </w:p>
        </w:tc>
      </w:tr>
    </w:tbl>
    <w:p w14:paraId="5B5D0EDF" w14:textId="77777777" w:rsidR="006E6584" w:rsidRDefault="006E6584" w:rsidP="00C14D8D">
      <w:pPr>
        <w:spacing w:before="0" w:after="200" w:line="276" w:lineRule="auto"/>
        <w:jc w:val="left"/>
      </w:pPr>
    </w:p>
    <w:p w14:paraId="33CDCFC7" w14:textId="51EE1D84" w:rsidR="007279FB" w:rsidRPr="0082483D" w:rsidRDefault="00577169" w:rsidP="007279FB">
      <w:pPr>
        <w:pStyle w:val="Heading4"/>
        <w:spacing w:after="120"/>
        <w:rPr>
          <w:rFonts w:eastAsia="Times New Roman"/>
        </w:rPr>
      </w:pPr>
      <w:r w:rsidRPr="00577169">
        <w:lastRenderedPageBreak/>
        <w:t xml:space="preserve"> </w:t>
      </w:r>
      <w:r>
        <w:t xml:space="preserve">How will changes to the rates affect </w:t>
      </w:r>
      <w:r w:rsidR="00262A51">
        <w:t>users</w:t>
      </w:r>
      <w:r>
        <w:t>?</w:t>
      </w:r>
    </w:p>
    <w:tbl>
      <w:tblPr>
        <w:tblStyle w:val="TableGrid"/>
        <w:tblW w:w="8617"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7"/>
      </w:tblGrid>
      <w:tr w:rsidR="007279FB" w:rsidRPr="0082483D" w14:paraId="0DBA404E" w14:textId="77777777" w:rsidTr="004F14A9">
        <w:tc>
          <w:tcPr>
            <w:tcW w:w="8617" w:type="dxa"/>
            <w:shd w:val="clear" w:color="auto" w:fill="D2DDE2"/>
          </w:tcPr>
          <w:p w14:paraId="659CE767" w14:textId="77777777" w:rsidR="00F67A38" w:rsidRDefault="00577169" w:rsidP="0072504A">
            <w:pPr>
              <w:pStyle w:val="Blueboxtext"/>
              <w:numPr>
                <w:ilvl w:val="0"/>
                <w:numId w:val="27"/>
              </w:numPr>
              <w:ind w:left="641" w:hanging="357"/>
            </w:pPr>
            <w:r w:rsidRPr="00827740">
              <w:t xml:space="preserve">If the proposed increases went ahead, </w:t>
            </w:r>
            <w:r w:rsidR="00F67A38">
              <w:t>are there impacts on your business we may not have considered?</w:t>
            </w:r>
          </w:p>
          <w:p w14:paraId="5A3DBE4C" w14:textId="666FABFC" w:rsidR="007279FB" w:rsidRPr="0082483D" w:rsidRDefault="00577169" w:rsidP="0072504A">
            <w:pPr>
              <w:pStyle w:val="Blueboxtext"/>
              <w:numPr>
                <w:ilvl w:val="0"/>
                <w:numId w:val="27"/>
              </w:numPr>
              <w:ind w:left="641" w:hanging="357"/>
            </w:pPr>
            <w:r w:rsidRPr="00827740">
              <w:t xml:space="preserve">Would the proposed </w:t>
            </w:r>
            <w:r>
              <w:t>increases</w:t>
            </w:r>
            <w:r w:rsidRPr="00827740">
              <w:t xml:space="preserve"> change how you approach making applications for marine consents or other ways you engage with the EPA?</w:t>
            </w:r>
            <w:r w:rsidR="00580CFE">
              <w:t xml:space="preserve"> </w:t>
            </w:r>
          </w:p>
        </w:tc>
      </w:tr>
    </w:tbl>
    <w:p w14:paraId="5591DC12" w14:textId="61BD714F" w:rsidR="00C14D8D" w:rsidRDefault="00C14D8D" w:rsidP="00C14D8D">
      <w:pPr>
        <w:spacing w:before="0" w:after="200" w:line="276" w:lineRule="auto"/>
        <w:jc w:val="left"/>
        <w:rPr>
          <w:rFonts w:eastAsiaTheme="majorEastAsia" w:cstheme="majorBidi"/>
          <w:b/>
          <w:bCs/>
          <w:color w:val="1C556C"/>
          <w:sz w:val="48"/>
          <w:szCs w:val="28"/>
        </w:rPr>
      </w:pPr>
      <w:r>
        <w:br w:type="page"/>
      </w:r>
    </w:p>
    <w:p w14:paraId="533FBCFC" w14:textId="65DBD330" w:rsidR="000618C7" w:rsidRPr="0082483D" w:rsidRDefault="001E766F" w:rsidP="00BC2A18">
      <w:pPr>
        <w:pStyle w:val="Heading1"/>
      </w:pPr>
      <w:bookmarkStart w:id="62" w:name="_Appendix_2:_Background"/>
      <w:bookmarkStart w:id="63" w:name="_Toc114734505"/>
      <w:bookmarkEnd w:id="61"/>
      <w:bookmarkEnd w:id="62"/>
      <w:r>
        <w:lastRenderedPageBreak/>
        <w:t xml:space="preserve">Appendix </w:t>
      </w:r>
      <w:r w:rsidR="00020921">
        <w:t>2</w:t>
      </w:r>
      <w:r>
        <w:t xml:space="preserve">: </w:t>
      </w:r>
      <w:r w:rsidR="00215564">
        <w:t xml:space="preserve">Background information on the current </w:t>
      </w:r>
      <w:r w:rsidR="00834844">
        <w:t>EEZ Fees Regulations</w:t>
      </w:r>
      <w:bookmarkEnd w:id="63"/>
    </w:p>
    <w:p w14:paraId="75D76AA7" w14:textId="05A53CBE" w:rsidR="002530C0" w:rsidRDefault="002530C0" w:rsidP="002530C0">
      <w:pPr>
        <w:pStyle w:val="BodyText"/>
        <w:rPr>
          <w:lang w:val="en-GB"/>
        </w:rPr>
      </w:pPr>
      <w:r w:rsidRPr="009956E9">
        <w:rPr>
          <w:lang w:val="en-GB"/>
        </w:rPr>
        <w:t>The charge-out rates set in 2013</w:t>
      </w:r>
      <w:r>
        <w:rPr>
          <w:lang w:val="en-GB"/>
        </w:rPr>
        <w:t xml:space="preserve"> were based on the rates charged for </w:t>
      </w:r>
      <w:r w:rsidR="008F0E25">
        <w:rPr>
          <w:lang w:val="en-GB"/>
        </w:rPr>
        <w:t>p</w:t>
      </w:r>
      <w:r>
        <w:rPr>
          <w:lang w:val="en-GB"/>
        </w:rPr>
        <w:t xml:space="preserve">roposals of </w:t>
      </w:r>
      <w:r w:rsidR="008F0E25">
        <w:rPr>
          <w:lang w:val="en-GB"/>
        </w:rPr>
        <w:t>n</w:t>
      </w:r>
      <w:r>
        <w:rPr>
          <w:lang w:val="en-GB"/>
        </w:rPr>
        <w:t xml:space="preserve">ational </w:t>
      </w:r>
      <w:r w:rsidR="008F0E25">
        <w:rPr>
          <w:lang w:val="en-GB"/>
        </w:rPr>
        <w:t>s</w:t>
      </w:r>
      <w:r>
        <w:rPr>
          <w:lang w:val="en-GB"/>
        </w:rPr>
        <w:t>ignificance under the Resource Management Act 1991</w:t>
      </w:r>
      <w:r w:rsidR="00F6636B">
        <w:rPr>
          <w:lang w:val="en-GB"/>
        </w:rPr>
        <w:t xml:space="preserve"> (RMA</w:t>
      </w:r>
      <w:r w:rsidR="00AD5BA9">
        <w:rPr>
          <w:lang w:val="en-GB"/>
        </w:rPr>
        <w:t>)</w:t>
      </w:r>
      <w:r w:rsidR="00634642">
        <w:rPr>
          <w:rStyle w:val="FootnoteReference"/>
          <w:lang w:val="en-GB"/>
        </w:rPr>
        <w:footnoteReference w:id="24"/>
      </w:r>
      <w:r w:rsidR="00AD5BA9">
        <w:rPr>
          <w:lang w:val="en-GB"/>
        </w:rPr>
        <w:t xml:space="preserve"> and</w:t>
      </w:r>
      <w:r>
        <w:rPr>
          <w:lang w:val="en-GB"/>
        </w:rPr>
        <w:t xml:space="preserve"> were adjusted for inflation. Rates under the RMA were used as a base because there was uncertainty around the inputs that would be required by the EPA to perform its functions and services under the EEZ</w:t>
      </w:r>
      <w:r w:rsidR="001B631B">
        <w:rPr>
          <w:lang w:val="en-GB"/>
        </w:rPr>
        <w:t> </w:t>
      </w:r>
      <w:r>
        <w:rPr>
          <w:lang w:val="en-GB"/>
        </w:rPr>
        <w:t>Act.</w:t>
      </w:r>
    </w:p>
    <w:p w14:paraId="64237E01" w14:textId="77777777" w:rsidR="002530C0" w:rsidRDefault="002530C0" w:rsidP="002530C0">
      <w:pPr>
        <w:pStyle w:val="BodyText"/>
        <w:rPr>
          <w:lang w:val="en-GB"/>
        </w:rPr>
      </w:pPr>
      <w:r>
        <w:rPr>
          <w:lang w:val="en-GB"/>
        </w:rPr>
        <w:t>The rates under the RMA were calculated using the following inputs and assumptions:</w:t>
      </w:r>
    </w:p>
    <w:p w14:paraId="40A5D796" w14:textId="0A1DF634" w:rsidR="002530C0" w:rsidRDefault="002530C0" w:rsidP="007A6990">
      <w:pPr>
        <w:pStyle w:val="Bullet"/>
        <w:rPr>
          <w:lang w:val="en-GB"/>
        </w:rPr>
      </w:pPr>
      <w:r>
        <w:rPr>
          <w:lang w:val="en-GB"/>
        </w:rPr>
        <w:t>average salaries for each category of employee (</w:t>
      </w:r>
      <w:r w:rsidR="001B631B">
        <w:rPr>
          <w:lang w:val="en-GB"/>
        </w:rPr>
        <w:t>p</w:t>
      </w:r>
      <w:r>
        <w:rPr>
          <w:lang w:val="en-GB"/>
        </w:rPr>
        <w:t xml:space="preserve">roject </w:t>
      </w:r>
      <w:r w:rsidR="001B631B">
        <w:rPr>
          <w:lang w:val="en-GB"/>
        </w:rPr>
        <w:t>a</w:t>
      </w:r>
      <w:r>
        <w:rPr>
          <w:lang w:val="en-GB"/>
        </w:rPr>
        <w:t xml:space="preserve">dministrator, </w:t>
      </w:r>
      <w:r w:rsidR="001B631B">
        <w:rPr>
          <w:lang w:val="en-GB"/>
        </w:rPr>
        <w:t>a</w:t>
      </w:r>
      <w:r>
        <w:rPr>
          <w:lang w:val="en-GB"/>
        </w:rPr>
        <w:t xml:space="preserve">dvisor, </w:t>
      </w:r>
      <w:r w:rsidR="001B631B">
        <w:rPr>
          <w:lang w:val="en-GB"/>
        </w:rPr>
        <w:t>s</w:t>
      </w:r>
      <w:r>
        <w:rPr>
          <w:lang w:val="en-GB"/>
        </w:rPr>
        <w:t xml:space="preserve">enior </w:t>
      </w:r>
      <w:r w:rsidR="001B631B">
        <w:rPr>
          <w:lang w:val="en-GB"/>
        </w:rPr>
        <w:t>a</w:t>
      </w:r>
      <w:r>
        <w:rPr>
          <w:lang w:val="en-GB"/>
        </w:rPr>
        <w:t xml:space="preserve">dvisor, </w:t>
      </w:r>
      <w:r w:rsidR="001B631B">
        <w:rPr>
          <w:lang w:val="en-GB"/>
        </w:rPr>
        <w:t>p</w:t>
      </w:r>
      <w:r>
        <w:rPr>
          <w:lang w:val="en-GB"/>
        </w:rPr>
        <w:t xml:space="preserve">roject </w:t>
      </w:r>
      <w:r w:rsidR="001B631B">
        <w:rPr>
          <w:lang w:val="en-GB"/>
        </w:rPr>
        <w:t>l</w:t>
      </w:r>
      <w:r>
        <w:rPr>
          <w:lang w:val="en-GB"/>
        </w:rPr>
        <w:t>eader)</w:t>
      </w:r>
    </w:p>
    <w:p w14:paraId="354C6C8F" w14:textId="067A3A3D" w:rsidR="002530C0" w:rsidRDefault="002530C0" w:rsidP="007A6990">
      <w:pPr>
        <w:pStyle w:val="Bullet"/>
        <w:rPr>
          <w:lang w:val="en-GB"/>
        </w:rPr>
      </w:pPr>
      <w:r>
        <w:rPr>
          <w:lang w:val="en-GB"/>
        </w:rPr>
        <w:t xml:space="preserve">overheads (personnel costs of support staff and corporate overheads) </w:t>
      </w:r>
    </w:p>
    <w:p w14:paraId="4FED8656" w14:textId="0F8FC0A3" w:rsidR="002530C0" w:rsidRDefault="002530C0" w:rsidP="007A6990">
      <w:pPr>
        <w:pStyle w:val="Bullet"/>
        <w:rPr>
          <w:lang w:val="en-GB"/>
        </w:rPr>
      </w:pPr>
      <w:r>
        <w:rPr>
          <w:lang w:val="en-GB"/>
        </w:rPr>
        <w:t>average of 1352 working hours per employee per annum.</w:t>
      </w:r>
    </w:p>
    <w:p w14:paraId="664769A8" w14:textId="783788FC" w:rsidR="002530C0" w:rsidRDefault="002530C0" w:rsidP="002530C0">
      <w:pPr>
        <w:pStyle w:val="BodyText"/>
        <w:rPr>
          <w:lang w:val="en-GB"/>
        </w:rPr>
      </w:pPr>
      <w:r>
        <w:rPr>
          <w:lang w:val="en-GB"/>
        </w:rPr>
        <w:t xml:space="preserve">The rate for the </w:t>
      </w:r>
      <w:r w:rsidR="001B631B">
        <w:rPr>
          <w:lang w:val="en-GB"/>
        </w:rPr>
        <w:t>p</w:t>
      </w:r>
      <w:r>
        <w:rPr>
          <w:lang w:val="en-GB"/>
        </w:rPr>
        <w:t xml:space="preserve">rincipal </w:t>
      </w:r>
      <w:r w:rsidR="001B631B">
        <w:rPr>
          <w:lang w:val="en-GB"/>
        </w:rPr>
        <w:t>t</w:t>
      </w:r>
      <w:r>
        <w:rPr>
          <w:lang w:val="en-GB"/>
        </w:rPr>
        <w:t xml:space="preserve">echnical </w:t>
      </w:r>
      <w:r w:rsidR="001B631B">
        <w:rPr>
          <w:lang w:val="en-GB"/>
        </w:rPr>
        <w:t>a</w:t>
      </w:r>
      <w:r>
        <w:rPr>
          <w:lang w:val="en-GB"/>
        </w:rPr>
        <w:t>dvisor was based on the rates paid by the Australian federal petroleum industry regulator at the time.</w:t>
      </w:r>
    </w:p>
    <w:p w14:paraId="5CAD38C2" w14:textId="77777777" w:rsidR="002530C0" w:rsidRDefault="002530C0" w:rsidP="002530C0">
      <w:pPr>
        <w:pStyle w:val="BodyText"/>
        <w:rPr>
          <w:lang w:val="en-GB"/>
        </w:rPr>
      </w:pPr>
      <w:r>
        <w:rPr>
          <w:lang w:val="en-GB"/>
        </w:rPr>
        <w:t>The rate for those with authority to accept decommissioning plans was calculated on the following inputs and assumptions:</w:t>
      </w:r>
    </w:p>
    <w:p w14:paraId="7C674570" w14:textId="62772323" w:rsidR="002530C0" w:rsidRDefault="002530C0" w:rsidP="007A6990">
      <w:pPr>
        <w:pStyle w:val="Bullet"/>
        <w:rPr>
          <w:lang w:val="en-GB"/>
        </w:rPr>
      </w:pPr>
      <w:r>
        <w:rPr>
          <w:lang w:val="en-GB"/>
        </w:rPr>
        <w:t xml:space="preserve">average mid-point of the </w:t>
      </w:r>
      <w:r w:rsidR="007C37A4">
        <w:rPr>
          <w:lang w:val="en-GB"/>
        </w:rPr>
        <w:t>m</w:t>
      </w:r>
      <w:r>
        <w:rPr>
          <w:lang w:val="en-GB"/>
        </w:rPr>
        <w:t xml:space="preserve">anager and </w:t>
      </w:r>
      <w:r w:rsidR="007C37A4">
        <w:rPr>
          <w:lang w:val="en-GB"/>
        </w:rPr>
        <w:t>g</w:t>
      </w:r>
      <w:r>
        <w:rPr>
          <w:lang w:val="en-GB"/>
        </w:rPr>
        <w:t xml:space="preserve">eneral </w:t>
      </w:r>
      <w:r w:rsidR="007C37A4">
        <w:rPr>
          <w:lang w:val="en-GB"/>
        </w:rPr>
        <w:t>m</w:t>
      </w:r>
      <w:r>
        <w:rPr>
          <w:lang w:val="en-GB"/>
        </w:rPr>
        <w:t>anager salary bands</w:t>
      </w:r>
    </w:p>
    <w:p w14:paraId="20DFC729" w14:textId="77777777" w:rsidR="002530C0" w:rsidRDefault="002530C0" w:rsidP="007A6990">
      <w:pPr>
        <w:pStyle w:val="Bullet"/>
        <w:rPr>
          <w:lang w:val="en-GB"/>
        </w:rPr>
      </w:pPr>
      <w:r>
        <w:rPr>
          <w:lang w:val="en-GB"/>
        </w:rPr>
        <w:t>overheads and indirect allowances are 2.5 times the average mid-point salary</w:t>
      </w:r>
    </w:p>
    <w:p w14:paraId="43E831E8" w14:textId="0792C3C2" w:rsidR="002530C0" w:rsidRDefault="002530C0" w:rsidP="007A6990">
      <w:pPr>
        <w:pStyle w:val="Bullet"/>
        <w:rPr>
          <w:lang w:val="en-GB"/>
        </w:rPr>
      </w:pPr>
      <w:r>
        <w:rPr>
          <w:lang w:val="en-GB"/>
        </w:rPr>
        <w:t>average of 1720 working hours per employee per annum.</w:t>
      </w:r>
    </w:p>
    <w:p w14:paraId="3BE5D782" w14:textId="1266CB43" w:rsidR="00980115" w:rsidRPr="0082483D" w:rsidRDefault="00980115">
      <w:pPr>
        <w:spacing w:before="0" w:after="200" w:line="276" w:lineRule="auto"/>
        <w:jc w:val="left"/>
      </w:pPr>
      <w:r w:rsidRPr="0082483D">
        <w:br w:type="page"/>
      </w:r>
    </w:p>
    <w:p w14:paraId="62F2EB7B" w14:textId="7726E7DA" w:rsidR="00351C82" w:rsidRPr="0082483D" w:rsidRDefault="00351C82" w:rsidP="00351C82">
      <w:pPr>
        <w:pStyle w:val="Heading1"/>
      </w:pPr>
      <w:bookmarkStart w:id="64" w:name="_Appendix_2:_Other"/>
      <w:bookmarkStart w:id="65" w:name="_Appendix_3:_Estimates"/>
      <w:bookmarkStart w:id="66" w:name="_Toc114734506"/>
      <w:bookmarkStart w:id="67" w:name="References"/>
      <w:bookmarkEnd w:id="64"/>
      <w:bookmarkEnd w:id="65"/>
      <w:r w:rsidRPr="0082483D">
        <w:lastRenderedPageBreak/>
        <w:t xml:space="preserve">Appendix </w:t>
      </w:r>
      <w:r>
        <w:t>3</w:t>
      </w:r>
      <w:r w:rsidRPr="0082483D">
        <w:t xml:space="preserve">: </w:t>
      </w:r>
      <w:r>
        <w:t xml:space="preserve">Estimates and case studies of impact on </w:t>
      </w:r>
      <w:bookmarkEnd w:id="66"/>
      <w:r w:rsidR="00C94BAB">
        <w:t>applicants and duty holders</w:t>
      </w:r>
    </w:p>
    <w:p w14:paraId="1C40AECB" w14:textId="7A2EF99C" w:rsidR="00351C82" w:rsidRDefault="00351C82" w:rsidP="00351C82">
      <w:pPr>
        <w:pStyle w:val="Heading2"/>
      </w:pPr>
      <w:bookmarkStart w:id="68" w:name="_Toc114734507"/>
      <w:r>
        <w:t xml:space="preserve">Estimated changes in total </w:t>
      </w:r>
      <w:r w:rsidR="00262A51">
        <w:t xml:space="preserve">user </w:t>
      </w:r>
      <w:r>
        <w:t>cost</w:t>
      </w:r>
      <w:bookmarkEnd w:id="68"/>
    </w:p>
    <w:p w14:paraId="787E64CE" w14:textId="77777777" w:rsidR="00351C82" w:rsidRPr="00F35F69" w:rsidRDefault="00351C82" w:rsidP="00E63FBF">
      <w:pPr>
        <w:pStyle w:val="Heading3"/>
      </w:pPr>
      <w:r w:rsidRPr="00F35F69">
        <w:t>Estimate 1: 2021/22 financial year restated with proposed rates</w:t>
      </w:r>
    </w:p>
    <w:p w14:paraId="23EE227B" w14:textId="5EC19A39" w:rsidR="00351C82" w:rsidRDefault="00351C82" w:rsidP="00E63FBF">
      <w:pPr>
        <w:pStyle w:val="BodyText"/>
      </w:pPr>
      <w:r>
        <w:t>Using data from the 2021/22 financial year, the EPA estimates an increase in total cost</w:t>
      </w:r>
      <w:r w:rsidR="007C37A4">
        <w:t>s</w:t>
      </w:r>
      <w:r>
        <w:t xml:space="preserve"> </w:t>
      </w:r>
      <w:r w:rsidR="009F68EE">
        <w:t xml:space="preserve">recovered </w:t>
      </w:r>
      <w:r>
        <w:t xml:space="preserve">across </w:t>
      </w:r>
      <w:r w:rsidR="00014E18">
        <w:t>its</w:t>
      </w:r>
      <w:r>
        <w:t xml:space="preserve"> </w:t>
      </w:r>
      <w:r w:rsidR="00B927EB">
        <w:t>consenting and monitoring</w:t>
      </w:r>
      <w:r>
        <w:t xml:space="preserve"> function</w:t>
      </w:r>
      <w:r w:rsidR="00014E18">
        <w:t>s</w:t>
      </w:r>
      <w:r>
        <w:t xml:space="preserve"> of $292,000. This has been calculated using an average of the proposed 2023/24 rates</w:t>
      </w:r>
      <w:r w:rsidR="005965E3">
        <w:t xml:space="preserve"> and is outlined in </w:t>
      </w:r>
      <w:r w:rsidR="005965E3">
        <w:fldChar w:fldCharType="begin"/>
      </w:r>
      <w:r w:rsidR="005965E3">
        <w:instrText xml:space="preserve"> REF _Ref114732682 \h </w:instrText>
      </w:r>
      <w:r w:rsidR="00F25651">
        <w:instrText xml:space="preserve"> \* MERGEFORMAT </w:instrText>
      </w:r>
      <w:r w:rsidR="005965E3">
        <w:fldChar w:fldCharType="separate"/>
      </w:r>
      <w:r w:rsidR="002D2536">
        <w:t>t</w:t>
      </w:r>
      <w:r w:rsidR="005965E3">
        <w:t xml:space="preserve">able </w:t>
      </w:r>
      <w:r w:rsidR="005965E3">
        <w:rPr>
          <w:noProof/>
        </w:rPr>
        <w:t>11</w:t>
      </w:r>
      <w:r w:rsidR="005965E3">
        <w:fldChar w:fldCharType="end"/>
      </w:r>
      <w:r>
        <w:t>.</w:t>
      </w:r>
      <w:r w:rsidRPr="00017D8D">
        <w:t xml:space="preserve"> </w:t>
      </w:r>
    </w:p>
    <w:p w14:paraId="62CB88EC" w14:textId="2D878B7D" w:rsidR="00C03789" w:rsidRDefault="00C03789" w:rsidP="00762667">
      <w:pPr>
        <w:pStyle w:val="Tableheading"/>
      </w:pPr>
      <w:bookmarkStart w:id="69" w:name="_Ref114732682"/>
      <w:bookmarkStart w:id="70" w:name="_Toc115682248"/>
      <w:r>
        <w:t xml:space="preserve">Table </w:t>
      </w:r>
      <w:r w:rsidR="002D4F05">
        <w:fldChar w:fldCharType="begin"/>
      </w:r>
      <w:r w:rsidR="002D4F05">
        <w:instrText xml:space="preserve"> SEQ Table \* ARABIC </w:instrText>
      </w:r>
      <w:r w:rsidR="002D4F05">
        <w:fldChar w:fldCharType="separate"/>
      </w:r>
      <w:r w:rsidR="00651832">
        <w:rPr>
          <w:noProof/>
        </w:rPr>
        <w:t>11</w:t>
      </w:r>
      <w:r w:rsidR="002D4F05">
        <w:rPr>
          <w:noProof/>
        </w:rPr>
        <w:fldChar w:fldCharType="end"/>
      </w:r>
      <w:bookmarkEnd w:id="69"/>
      <w:r>
        <w:t xml:space="preserve">: </w:t>
      </w:r>
      <w:r>
        <w:tab/>
      </w:r>
      <w:r w:rsidRPr="00C62C21">
        <w:t>Restated 2021/22 cost-recovery revenue</w:t>
      </w:r>
      <w:bookmarkEnd w:id="70"/>
    </w:p>
    <w:tbl>
      <w:tblPr>
        <w:tblStyle w:val="LightList-Accent11"/>
        <w:tblW w:w="8505" w:type="dxa"/>
        <w:tblBorders>
          <w:insideH w:val="single" w:sz="4" w:space="0" w:color="auto"/>
          <w:insideV w:val="single" w:sz="4" w:space="0" w:color="auto"/>
        </w:tblBorders>
        <w:tblLook w:val="04A0" w:firstRow="1" w:lastRow="0" w:firstColumn="1" w:lastColumn="0" w:noHBand="0" w:noVBand="1"/>
      </w:tblPr>
      <w:tblGrid>
        <w:gridCol w:w="2098"/>
        <w:gridCol w:w="2127"/>
        <w:gridCol w:w="2153"/>
        <w:gridCol w:w="2127"/>
      </w:tblGrid>
      <w:tr w:rsidR="0043403A" w14:paraId="5D4D782F" w14:textId="77777777" w:rsidTr="00813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C556C" w:themeColor="accent1"/>
              <w:bottom w:val="nil"/>
              <w:right w:val="single" w:sz="8" w:space="0" w:color="FFFFFF" w:themeColor="background1"/>
            </w:tcBorders>
            <w:vAlign w:val="center"/>
          </w:tcPr>
          <w:p w14:paraId="261DCEFD" w14:textId="027E76C8" w:rsidR="00BE301E" w:rsidRPr="00722B9E" w:rsidRDefault="00BE301E" w:rsidP="00762667">
            <w:pPr>
              <w:spacing w:line="240" w:lineRule="auto"/>
              <w:jc w:val="center"/>
              <w:rPr>
                <w:sz w:val="20"/>
                <w:szCs w:val="20"/>
              </w:rPr>
            </w:pPr>
            <w:r w:rsidRPr="00722B9E">
              <w:rPr>
                <w:sz w:val="20"/>
                <w:szCs w:val="20"/>
              </w:rPr>
              <w:t xml:space="preserve">Cost </w:t>
            </w:r>
            <w:r w:rsidR="00C03789" w:rsidRPr="00722B9E">
              <w:rPr>
                <w:sz w:val="20"/>
                <w:szCs w:val="20"/>
              </w:rPr>
              <w:t>t</w:t>
            </w:r>
            <w:r w:rsidRPr="00722B9E">
              <w:rPr>
                <w:sz w:val="20"/>
                <w:szCs w:val="20"/>
              </w:rPr>
              <w:t>ype</w:t>
            </w:r>
          </w:p>
        </w:tc>
        <w:tc>
          <w:tcPr>
            <w:tcW w:w="0" w:type="pct"/>
            <w:tcBorders>
              <w:top w:val="single" w:sz="4" w:space="0" w:color="1C556C" w:themeColor="accent1"/>
              <w:left w:val="single" w:sz="8" w:space="0" w:color="FFFFFF" w:themeColor="background1"/>
              <w:bottom w:val="nil"/>
              <w:right w:val="single" w:sz="8" w:space="0" w:color="FFFFFF" w:themeColor="background1"/>
            </w:tcBorders>
            <w:vAlign w:val="center"/>
          </w:tcPr>
          <w:p w14:paraId="609A74BC" w14:textId="4BEEF739" w:rsidR="00BE301E" w:rsidRPr="00722B9E" w:rsidRDefault="00BE301E" w:rsidP="0076266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22B9E">
              <w:rPr>
                <w:sz w:val="20"/>
                <w:szCs w:val="20"/>
              </w:rPr>
              <w:t xml:space="preserve">Current </w:t>
            </w:r>
            <w:r w:rsidR="00C03789" w:rsidRPr="00722B9E">
              <w:rPr>
                <w:sz w:val="20"/>
                <w:szCs w:val="20"/>
              </w:rPr>
              <w:t>r</w:t>
            </w:r>
            <w:r w:rsidRPr="00722B9E">
              <w:rPr>
                <w:sz w:val="20"/>
                <w:szCs w:val="20"/>
              </w:rPr>
              <w:t>ate</w:t>
            </w:r>
          </w:p>
        </w:tc>
        <w:tc>
          <w:tcPr>
            <w:tcW w:w="0" w:type="pct"/>
            <w:tcBorders>
              <w:top w:val="single" w:sz="4" w:space="0" w:color="1C556C" w:themeColor="accent1"/>
              <w:left w:val="single" w:sz="8" w:space="0" w:color="FFFFFF" w:themeColor="background1"/>
              <w:bottom w:val="nil"/>
              <w:right w:val="single" w:sz="8" w:space="0" w:color="FFFFFF" w:themeColor="background1"/>
            </w:tcBorders>
            <w:vAlign w:val="center"/>
          </w:tcPr>
          <w:p w14:paraId="207D2C50" w14:textId="777AC123" w:rsidR="00BE301E" w:rsidRPr="00722B9E" w:rsidRDefault="00BE301E" w:rsidP="0076266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22B9E">
              <w:rPr>
                <w:sz w:val="20"/>
                <w:szCs w:val="20"/>
              </w:rPr>
              <w:t xml:space="preserve">Proposed </w:t>
            </w:r>
            <w:r w:rsidR="00C03789" w:rsidRPr="00722B9E">
              <w:rPr>
                <w:sz w:val="20"/>
                <w:szCs w:val="20"/>
              </w:rPr>
              <w:t>r</w:t>
            </w:r>
            <w:r w:rsidRPr="00722B9E">
              <w:rPr>
                <w:sz w:val="20"/>
                <w:szCs w:val="20"/>
              </w:rPr>
              <w:t>ate</w:t>
            </w:r>
          </w:p>
        </w:tc>
        <w:tc>
          <w:tcPr>
            <w:tcW w:w="0" w:type="pct"/>
            <w:tcBorders>
              <w:top w:val="single" w:sz="4" w:space="0" w:color="1C556C" w:themeColor="accent1"/>
              <w:left w:val="single" w:sz="8" w:space="0" w:color="FFFFFF" w:themeColor="background1"/>
              <w:bottom w:val="nil"/>
              <w:right w:val="single" w:sz="4" w:space="0" w:color="1C556C" w:themeColor="accent1"/>
            </w:tcBorders>
            <w:vAlign w:val="center"/>
          </w:tcPr>
          <w:p w14:paraId="7D19AEA2" w14:textId="627E6B4D" w:rsidR="00BE301E" w:rsidRPr="00722B9E" w:rsidRDefault="00BE301E" w:rsidP="0076266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22B9E">
              <w:rPr>
                <w:sz w:val="20"/>
                <w:szCs w:val="20"/>
              </w:rPr>
              <w:t>Increase</w:t>
            </w:r>
          </w:p>
        </w:tc>
      </w:tr>
      <w:tr w:rsidR="0043403A" w14:paraId="60C8DD65"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1B556B"/>
              <w:right w:val="single" w:sz="4" w:space="0" w:color="1B556B"/>
            </w:tcBorders>
            <w:shd w:val="clear" w:color="auto" w:fill="auto"/>
            <w:vAlign w:val="center"/>
          </w:tcPr>
          <w:p w14:paraId="00087C51" w14:textId="13541C13" w:rsidR="00BE301E" w:rsidRPr="00722B9E" w:rsidRDefault="00BE301E" w:rsidP="00762667">
            <w:pPr>
              <w:spacing w:line="240" w:lineRule="auto"/>
              <w:rPr>
                <w:b w:val="0"/>
                <w:bCs w:val="0"/>
              </w:rPr>
            </w:pPr>
            <w:r w:rsidRPr="00722B9E">
              <w:rPr>
                <w:rFonts w:cs="Arial"/>
                <w:b w:val="0"/>
                <w:bCs w:val="0"/>
                <w:color w:val="000000" w:themeColor="text1"/>
                <w:sz w:val="20"/>
              </w:rPr>
              <w:t xml:space="preserve">Staff </w:t>
            </w:r>
            <w:r w:rsidR="00C03789" w:rsidRPr="00722B9E">
              <w:rPr>
                <w:rFonts w:cs="Arial"/>
                <w:b w:val="0"/>
                <w:bCs w:val="0"/>
                <w:color w:val="000000" w:themeColor="text1"/>
                <w:sz w:val="20"/>
              </w:rPr>
              <w:t>c</w:t>
            </w:r>
            <w:r w:rsidRPr="00722B9E">
              <w:rPr>
                <w:rFonts w:cs="Arial"/>
                <w:b w:val="0"/>
                <w:bCs w:val="0"/>
                <w:color w:val="000000" w:themeColor="text1"/>
                <w:sz w:val="20"/>
              </w:rPr>
              <w:t>osts</w:t>
            </w:r>
          </w:p>
        </w:tc>
        <w:tc>
          <w:tcPr>
            <w:tcW w:w="0" w:type="pct"/>
            <w:tcBorders>
              <w:top w:val="nil"/>
              <w:left w:val="single" w:sz="4" w:space="0" w:color="1B556B"/>
              <w:bottom w:val="single" w:sz="4" w:space="0" w:color="1B556B"/>
              <w:right w:val="single" w:sz="4" w:space="0" w:color="1B556B"/>
            </w:tcBorders>
            <w:shd w:val="clear" w:color="auto" w:fill="auto"/>
            <w:vAlign w:val="center"/>
          </w:tcPr>
          <w:p w14:paraId="6095EFB6" w14:textId="61243026" w:rsidR="00BE301E" w:rsidRDefault="00BE301E" w:rsidP="00762667">
            <w:pPr>
              <w:spacing w:line="240" w:lineRule="auto"/>
              <w:jc w:val="center"/>
              <w:cnfStyle w:val="000000100000" w:firstRow="0" w:lastRow="0" w:firstColumn="0" w:lastColumn="0" w:oddVBand="0" w:evenVBand="0" w:oddHBand="1" w:evenHBand="0" w:firstRowFirstColumn="0" w:firstRowLastColumn="0" w:lastRowFirstColumn="0" w:lastRowLastColumn="0"/>
            </w:pPr>
            <w:r w:rsidRPr="00264E7E">
              <w:rPr>
                <w:rFonts w:cs="Arial"/>
                <w:color w:val="000000" w:themeColor="text1"/>
                <w:sz w:val="20"/>
              </w:rPr>
              <w:t>$417,000</w:t>
            </w:r>
          </w:p>
        </w:tc>
        <w:tc>
          <w:tcPr>
            <w:tcW w:w="0" w:type="pct"/>
            <w:tcBorders>
              <w:top w:val="nil"/>
              <w:left w:val="single" w:sz="4" w:space="0" w:color="1B556B"/>
              <w:bottom w:val="single" w:sz="4" w:space="0" w:color="1B556B"/>
              <w:right w:val="single" w:sz="4" w:space="0" w:color="1B556B"/>
            </w:tcBorders>
            <w:shd w:val="clear" w:color="auto" w:fill="auto"/>
            <w:vAlign w:val="center"/>
          </w:tcPr>
          <w:p w14:paraId="731A1379" w14:textId="44580E73" w:rsidR="00BE301E" w:rsidRDefault="00BE301E" w:rsidP="00762667">
            <w:pPr>
              <w:spacing w:line="240" w:lineRule="auto"/>
              <w:jc w:val="center"/>
              <w:cnfStyle w:val="000000100000" w:firstRow="0" w:lastRow="0" w:firstColumn="0" w:lastColumn="0" w:oddVBand="0" w:evenVBand="0" w:oddHBand="1" w:evenHBand="0" w:firstRowFirstColumn="0" w:firstRowLastColumn="0" w:lastRowFirstColumn="0" w:lastRowLastColumn="0"/>
            </w:pPr>
            <w:r w:rsidRPr="00264E7E">
              <w:rPr>
                <w:rFonts w:cs="Arial"/>
                <w:color w:val="000000" w:themeColor="text1"/>
                <w:sz w:val="20"/>
              </w:rPr>
              <w:t>$709,000</w:t>
            </w:r>
          </w:p>
        </w:tc>
        <w:tc>
          <w:tcPr>
            <w:tcW w:w="0" w:type="pct"/>
            <w:tcBorders>
              <w:top w:val="nil"/>
              <w:left w:val="single" w:sz="4" w:space="0" w:color="1B556B"/>
              <w:bottom w:val="single" w:sz="4" w:space="0" w:color="1B556B"/>
              <w:right w:val="nil"/>
            </w:tcBorders>
            <w:shd w:val="clear" w:color="auto" w:fill="auto"/>
            <w:vAlign w:val="center"/>
          </w:tcPr>
          <w:p w14:paraId="4A6A082F" w14:textId="7EEFC0F3" w:rsidR="00BE301E" w:rsidRPr="00762667" w:rsidRDefault="00BE301E" w:rsidP="0076266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sidRPr="00264E7E">
              <w:rPr>
                <w:rFonts w:cs="Arial"/>
                <w:color w:val="000000" w:themeColor="text1"/>
                <w:sz w:val="20"/>
              </w:rPr>
              <w:t>$292,000</w:t>
            </w:r>
          </w:p>
        </w:tc>
      </w:tr>
      <w:tr w:rsidR="0043403A" w14:paraId="6F24BFEC" w14:textId="77777777" w:rsidTr="00813E81">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B556B"/>
              <w:left w:val="nil"/>
              <w:bottom w:val="single" w:sz="4" w:space="0" w:color="1B556B"/>
              <w:right w:val="single" w:sz="4" w:space="0" w:color="1B556B"/>
            </w:tcBorders>
            <w:shd w:val="clear" w:color="auto" w:fill="auto"/>
            <w:vAlign w:val="center"/>
          </w:tcPr>
          <w:p w14:paraId="14E2623B" w14:textId="494FB0B8" w:rsidR="00BE301E" w:rsidRPr="00722B9E" w:rsidRDefault="00BE301E" w:rsidP="00762667">
            <w:pPr>
              <w:spacing w:line="240" w:lineRule="auto"/>
              <w:rPr>
                <w:b w:val="0"/>
                <w:bCs w:val="0"/>
              </w:rPr>
            </w:pPr>
            <w:r w:rsidRPr="00722B9E">
              <w:rPr>
                <w:rFonts w:cs="Arial"/>
                <w:b w:val="0"/>
                <w:bCs w:val="0"/>
                <w:color w:val="000000" w:themeColor="text1"/>
                <w:sz w:val="20"/>
              </w:rPr>
              <w:t>External suppliers</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4BDF328C" w14:textId="113B5887" w:rsidR="00BE301E" w:rsidRDefault="00BE301E" w:rsidP="00762667">
            <w:pPr>
              <w:spacing w:line="240" w:lineRule="auto"/>
              <w:jc w:val="center"/>
              <w:cnfStyle w:val="000000000000" w:firstRow="0" w:lastRow="0" w:firstColumn="0" w:lastColumn="0" w:oddVBand="0" w:evenVBand="0" w:oddHBand="0" w:evenHBand="0" w:firstRowFirstColumn="0" w:firstRowLastColumn="0" w:lastRowFirstColumn="0" w:lastRowLastColumn="0"/>
            </w:pPr>
            <w:r w:rsidRPr="5B000845">
              <w:rPr>
                <w:rFonts w:cs="Arial"/>
                <w:color w:val="000000" w:themeColor="text1"/>
                <w:sz w:val="20"/>
              </w:rPr>
              <w:t>$10</w:t>
            </w:r>
            <w:r>
              <w:rPr>
                <w:rFonts w:cs="Arial"/>
                <w:color w:val="000000" w:themeColor="text1"/>
                <w:sz w:val="20"/>
              </w:rPr>
              <w:t>8,000</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4CA2F8C7" w14:textId="2CBFEE63" w:rsidR="00BE301E" w:rsidRDefault="00BE301E" w:rsidP="00762667">
            <w:pPr>
              <w:spacing w:line="240" w:lineRule="auto"/>
              <w:jc w:val="center"/>
              <w:cnfStyle w:val="000000000000" w:firstRow="0" w:lastRow="0" w:firstColumn="0" w:lastColumn="0" w:oddVBand="0" w:evenVBand="0" w:oddHBand="0" w:evenHBand="0" w:firstRowFirstColumn="0" w:firstRowLastColumn="0" w:lastRowFirstColumn="0" w:lastRowLastColumn="0"/>
            </w:pPr>
            <w:r w:rsidRPr="5B000845">
              <w:rPr>
                <w:rFonts w:cs="Arial"/>
                <w:color w:val="000000" w:themeColor="text1"/>
                <w:sz w:val="20"/>
              </w:rPr>
              <w:t>$10</w:t>
            </w:r>
            <w:r>
              <w:rPr>
                <w:rFonts w:cs="Arial"/>
                <w:color w:val="000000" w:themeColor="text1"/>
                <w:sz w:val="20"/>
              </w:rPr>
              <w:t>8,000</w:t>
            </w:r>
          </w:p>
        </w:tc>
        <w:tc>
          <w:tcPr>
            <w:tcW w:w="0" w:type="pct"/>
            <w:tcBorders>
              <w:top w:val="single" w:sz="4" w:space="0" w:color="1B556B"/>
              <w:left w:val="single" w:sz="4" w:space="0" w:color="1B556B"/>
              <w:bottom w:val="single" w:sz="4" w:space="0" w:color="1B556B"/>
              <w:right w:val="nil"/>
            </w:tcBorders>
            <w:shd w:val="clear" w:color="auto" w:fill="auto"/>
            <w:vAlign w:val="center"/>
          </w:tcPr>
          <w:p w14:paraId="232ED4EB" w14:textId="5A292068" w:rsidR="00BE301E" w:rsidRDefault="00BE301E" w:rsidP="00762667">
            <w:pPr>
              <w:spacing w:line="240" w:lineRule="auto"/>
              <w:jc w:val="center"/>
              <w:cnfStyle w:val="000000000000" w:firstRow="0" w:lastRow="0" w:firstColumn="0" w:lastColumn="0" w:oddVBand="0" w:evenVBand="0" w:oddHBand="0" w:evenHBand="0" w:firstRowFirstColumn="0" w:firstRowLastColumn="0" w:lastRowFirstColumn="0" w:lastRowLastColumn="0"/>
            </w:pPr>
            <w:r w:rsidRPr="5B000845">
              <w:rPr>
                <w:rFonts w:cs="Arial"/>
                <w:color w:val="000000" w:themeColor="text1"/>
                <w:sz w:val="20"/>
              </w:rPr>
              <w:t>Nil</w:t>
            </w:r>
          </w:p>
        </w:tc>
      </w:tr>
      <w:tr w:rsidR="0043403A" w14:paraId="4A91F22A"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B556B"/>
              <w:left w:val="nil"/>
              <w:bottom w:val="single" w:sz="4" w:space="0" w:color="1B556B"/>
              <w:right w:val="single" w:sz="4" w:space="0" w:color="1B556B"/>
            </w:tcBorders>
            <w:shd w:val="clear" w:color="auto" w:fill="auto"/>
            <w:vAlign w:val="center"/>
          </w:tcPr>
          <w:p w14:paraId="79544D13" w14:textId="29696E00" w:rsidR="00C03789" w:rsidRPr="00722B9E" w:rsidRDefault="00C03789" w:rsidP="00762667">
            <w:pPr>
              <w:spacing w:line="240" w:lineRule="auto"/>
            </w:pPr>
            <w:r w:rsidRPr="00722B9E">
              <w:rPr>
                <w:rFonts w:cs="Arial"/>
                <w:color w:val="000000" w:themeColor="text1"/>
                <w:sz w:val="20"/>
              </w:rPr>
              <w:t>Total costs</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321DCDAF" w14:textId="2BFE6E71" w:rsidR="00C03789" w:rsidRPr="00762667" w:rsidRDefault="00C03789" w:rsidP="00762667">
            <w:pPr>
              <w:spacing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62667">
              <w:rPr>
                <w:rFonts w:cs="Arial"/>
                <w:b/>
                <w:bCs/>
                <w:color w:val="000000" w:themeColor="text1"/>
                <w:sz w:val="20"/>
              </w:rPr>
              <w:t>$525,000</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3C688F1C" w14:textId="5ADF9FF1" w:rsidR="00C03789" w:rsidRPr="00762667" w:rsidRDefault="00C03789" w:rsidP="00762667">
            <w:pPr>
              <w:spacing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62667">
              <w:rPr>
                <w:rFonts w:cs="Arial"/>
                <w:b/>
                <w:bCs/>
                <w:color w:val="000000" w:themeColor="text1"/>
                <w:sz w:val="20"/>
              </w:rPr>
              <w:t>$817,000</w:t>
            </w:r>
          </w:p>
        </w:tc>
        <w:tc>
          <w:tcPr>
            <w:tcW w:w="0" w:type="pct"/>
            <w:tcBorders>
              <w:top w:val="single" w:sz="4" w:space="0" w:color="1B556B"/>
              <w:left w:val="single" w:sz="4" w:space="0" w:color="1B556B"/>
              <w:bottom w:val="single" w:sz="4" w:space="0" w:color="1B556B"/>
              <w:right w:val="nil"/>
            </w:tcBorders>
            <w:shd w:val="clear" w:color="auto" w:fill="auto"/>
            <w:vAlign w:val="center"/>
          </w:tcPr>
          <w:p w14:paraId="12470B87" w14:textId="77487698" w:rsidR="00C03789" w:rsidRPr="00762667" w:rsidRDefault="00C03789" w:rsidP="0076266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rPr>
            </w:pPr>
            <w:r w:rsidRPr="00762667">
              <w:rPr>
                <w:rFonts w:cs="Arial"/>
                <w:b/>
                <w:bCs/>
                <w:color w:val="000000" w:themeColor="text1"/>
                <w:sz w:val="20"/>
              </w:rPr>
              <w:t>$292,000</w:t>
            </w:r>
          </w:p>
        </w:tc>
      </w:tr>
    </w:tbl>
    <w:p w14:paraId="128A1100" w14:textId="4219E9AD" w:rsidR="00351C82" w:rsidRPr="00264E7E" w:rsidRDefault="00351C82" w:rsidP="00E63FBF">
      <w:pPr>
        <w:pStyle w:val="Heading3"/>
      </w:pPr>
      <w:r w:rsidRPr="00264E7E">
        <w:t xml:space="preserve">Estimate 2: 2022/23 financial year forecast using </w:t>
      </w:r>
      <w:r w:rsidR="00722B9E">
        <w:br/>
      </w:r>
      <w:r w:rsidRPr="00264E7E">
        <w:t>proposed rates</w:t>
      </w:r>
    </w:p>
    <w:p w14:paraId="55BADD54" w14:textId="58A12B00" w:rsidR="00351C82" w:rsidRPr="00264E7E" w:rsidRDefault="00351C82" w:rsidP="00E63FBF">
      <w:pPr>
        <w:pStyle w:val="BodyText"/>
      </w:pPr>
      <w:r w:rsidRPr="00264E7E">
        <w:t xml:space="preserve">Using data from the 2022/23 budget, the EPA estimates an increase in </w:t>
      </w:r>
      <w:r w:rsidR="0070629E">
        <w:t>applicant and duty holder</w:t>
      </w:r>
      <w:r w:rsidR="00F158F7" w:rsidRPr="00264E7E">
        <w:t xml:space="preserve"> </w:t>
      </w:r>
      <w:r w:rsidRPr="00264E7E">
        <w:t xml:space="preserve">costs across </w:t>
      </w:r>
      <w:r w:rsidR="00B927EB">
        <w:t>its consenting and monitoring</w:t>
      </w:r>
      <w:r w:rsidRPr="00264E7E">
        <w:t xml:space="preserve"> function</w:t>
      </w:r>
      <w:r w:rsidR="00B927EB">
        <w:t>s</w:t>
      </w:r>
      <w:r w:rsidRPr="00264E7E">
        <w:t xml:space="preserve"> of $377,000.</w:t>
      </w:r>
      <w:r w:rsidR="00580CFE">
        <w:t xml:space="preserve"> </w:t>
      </w:r>
      <w:r w:rsidR="005965E3">
        <w:t>This</w:t>
      </w:r>
      <w:r w:rsidR="00CA4CC4">
        <w:t xml:space="preserve"> forecast is outlined in</w:t>
      </w:r>
      <w:r w:rsidR="00A573C0">
        <w:t xml:space="preserve"> </w:t>
      </w:r>
      <w:r w:rsidR="00A573C0">
        <w:fldChar w:fldCharType="begin"/>
      </w:r>
      <w:r w:rsidR="00A573C0">
        <w:instrText xml:space="preserve"> REF _Ref114732886 \h </w:instrText>
      </w:r>
      <w:r w:rsidR="00F25651">
        <w:instrText xml:space="preserve"> \* MERGEFORMAT </w:instrText>
      </w:r>
      <w:r w:rsidR="00A573C0">
        <w:fldChar w:fldCharType="separate"/>
      </w:r>
      <w:r w:rsidR="001216D5">
        <w:t>t</w:t>
      </w:r>
      <w:r w:rsidR="00A573C0">
        <w:t xml:space="preserve">able </w:t>
      </w:r>
      <w:r w:rsidR="00A573C0">
        <w:rPr>
          <w:noProof/>
        </w:rPr>
        <w:t>12</w:t>
      </w:r>
      <w:r w:rsidR="00A573C0">
        <w:fldChar w:fldCharType="end"/>
      </w:r>
      <w:r w:rsidR="00CA4CC4">
        <w:t>.</w:t>
      </w:r>
    </w:p>
    <w:p w14:paraId="557F81B5" w14:textId="02CCA950" w:rsidR="00651832" w:rsidRDefault="00651832" w:rsidP="00762667">
      <w:pPr>
        <w:pStyle w:val="Tableheading"/>
      </w:pPr>
      <w:bookmarkStart w:id="71" w:name="_Ref114732886"/>
      <w:bookmarkStart w:id="72" w:name="_Toc115682249"/>
      <w:r>
        <w:t xml:space="preserve">Table </w:t>
      </w:r>
      <w:r w:rsidR="002D4F05">
        <w:fldChar w:fldCharType="begin"/>
      </w:r>
      <w:r w:rsidR="002D4F05">
        <w:instrText xml:space="preserve"> SEQ Table \* ARABIC </w:instrText>
      </w:r>
      <w:r w:rsidR="002D4F05">
        <w:fldChar w:fldCharType="separate"/>
      </w:r>
      <w:r w:rsidR="00A573C0">
        <w:rPr>
          <w:noProof/>
        </w:rPr>
        <w:t>12</w:t>
      </w:r>
      <w:r w:rsidR="002D4F05">
        <w:rPr>
          <w:noProof/>
        </w:rPr>
        <w:fldChar w:fldCharType="end"/>
      </w:r>
      <w:bookmarkEnd w:id="71"/>
      <w:r>
        <w:t xml:space="preserve">: </w:t>
      </w:r>
      <w:r w:rsidR="00A573C0">
        <w:tab/>
      </w:r>
      <w:r w:rsidRPr="00B60C49">
        <w:t>Forecast 2022/23 cost-recovery revenue</w:t>
      </w:r>
      <w:bookmarkEnd w:id="72"/>
    </w:p>
    <w:tbl>
      <w:tblPr>
        <w:tblStyle w:val="LightList-Accent11"/>
        <w:tblW w:w="8505" w:type="dxa"/>
        <w:tblBorders>
          <w:insideH w:val="single" w:sz="4" w:space="0" w:color="auto"/>
          <w:insideV w:val="single" w:sz="4" w:space="0" w:color="auto"/>
        </w:tblBorders>
        <w:tblLook w:val="04A0" w:firstRow="1" w:lastRow="0" w:firstColumn="1" w:lastColumn="0" w:noHBand="0" w:noVBand="1"/>
      </w:tblPr>
      <w:tblGrid>
        <w:gridCol w:w="2028"/>
        <w:gridCol w:w="2210"/>
        <w:gridCol w:w="2210"/>
        <w:gridCol w:w="2057"/>
      </w:tblGrid>
      <w:tr w:rsidR="0043403A" w14:paraId="25FAE5D1" w14:textId="77777777" w:rsidTr="00813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1C556C" w:themeColor="accent1"/>
              <w:bottom w:val="nil"/>
              <w:right w:val="single" w:sz="8" w:space="0" w:color="FFFFFF" w:themeColor="background1"/>
            </w:tcBorders>
            <w:vAlign w:val="center"/>
          </w:tcPr>
          <w:p w14:paraId="7D8D5FD9" w14:textId="77777777" w:rsidR="00CA4CC4" w:rsidRPr="00722B9E" w:rsidRDefault="00CA4CC4">
            <w:pPr>
              <w:spacing w:line="240" w:lineRule="auto"/>
              <w:jc w:val="center"/>
              <w:rPr>
                <w:sz w:val="20"/>
                <w:szCs w:val="20"/>
              </w:rPr>
            </w:pPr>
            <w:r w:rsidRPr="00722B9E">
              <w:rPr>
                <w:sz w:val="20"/>
                <w:szCs w:val="20"/>
              </w:rPr>
              <w:t>Cost type</w:t>
            </w:r>
          </w:p>
        </w:tc>
        <w:tc>
          <w:tcPr>
            <w:tcW w:w="0" w:type="pct"/>
            <w:tcBorders>
              <w:top w:val="single" w:sz="8" w:space="0" w:color="1C556C" w:themeColor="accent1"/>
              <w:left w:val="single" w:sz="8" w:space="0" w:color="FFFFFF" w:themeColor="background1"/>
              <w:bottom w:val="nil"/>
              <w:right w:val="single" w:sz="8" w:space="0" w:color="FFFFFF" w:themeColor="background1"/>
            </w:tcBorders>
            <w:vAlign w:val="center"/>
          </w:tcPr>
          <w:p w14:paraId="33A2F65A" w14:textId="77777777" w:rsidR="00CA4CC4" w:rsidRPr="00722B9E" w:rsidRDefault="00CA4CC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22B9E">
              <w:rPr>
                <w:sz w:val="20"/>
                <w:szCs w:val="20"/>
              </w:rPr>
              <w:t>Current rate</w:t>
            </w:r>
          </w:p>
        </w:tc>
        <w:tc>
          <w:tcPr>
            <w:tcW w:w="0" w:type="pct"/>
            <w:tcBorders>
              <w:top w:val="single" w:sz="8" w:space="0" w:color="1C556C" w:themeColor="accent1"/>
              <w:left w:val="single" w:sz="8" w:space="0" w:color="FFFFFF" w:themeColor="background1"/>
              <w:bottom w:val="nil"/>
              <w:right w:val="single" w:sz="8" w:space="0" w:color="FFFFFF" w:themeColor="background1"/>
            </w:tcBorders>
            <w:vAlign w:val="center"/>
          </w:tcPr>
          <w:p w14:paraId="0DD1B18A" w14:textId="77777777" w:rsidR="00CA4CC4" w:rsidRPr="00722B9E" w:rsidRDefault="00CA4CC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22B9E">
              <w:rPr>
                <w:sz w:val="20"/>
                <w:szCs w:val="20"/>
              </w:rPr>
              <w:t>Proposed rate</w:t>
            </w:r>
          </w:p>
        </w:tc>
        <w:tc>
          <w:tcPr>
            <w:tcW w:w="0" w:type="pct"/>
            <w:tcBorders>
              <w:top w:val="single" w:sz="8" w:space="0" w:color="1C556C" w:themeColor="accent1"/>
              <w:left w:val="single" w:sz="8" w:space="0" w:color="FFFFFF" w:themeColor="background1"/>
              <w:bottom w:val="nil"/>
              <w:right w:val="single" w:sz="4" w:space="0" w:color="1C556C" w:themeColor="accent1"/>
            </w:tcBorders>
            <w:vAlign w:val="center"/>
          </w:tcPr>
          <w:p w14:paraId="4094C29D" w14:textId="77777777" w:rsidR="00CA4CC4" w:rsidRPr="00722B9E" w:rsidRDefault="00CA4CC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22B9E">
              <w:rPr>
                <w:sz w:val="20"/>
                <w:szCs w:val="20"/>
              </w:rPr>
              <w:t>Increase</w:t>
            </w:r>
          </w:p>
        </w:tc>
      </w:tr>
      <w:tr w:rsidR="0043403A" w14:paraId="2DECFE76"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1B556B"/>
              <w:right w:val="single" w:sz="4" w:space="0" w:color="1B556B"/>
            </w:tcBorders>
            <w:shd w:val="clear" w:color="auto" w:fill="auto"/>
            <w:vAlign w:val="center"/>
          </w:tcPr>
          <w:p w14:paraId="254F422B" w14:textId="77777777" w:rsidR="00651832" w:rsidRPr="00D61C83" w:rsidRDefault="00651832" w:rsidP="00651832">
            <w:pPr>
              <w:spacing w:line="240" w:lineRule="auto"/>
              <w:rPr>
                <w:b w:val="0"/>
                <w:bCs w:val="0"/>
              </w:rPr>
            </w:pPr>
            <w:r w:rsidRPr="00D61C83">
              <w:rPr>
                <w:rFonts w:cs="Arial"/>
                <w:b w:val="0"/>
                <w:bCs w:val="0"/>
                <w:color w:val="000000" w:themeColor="text1"/>
                <w:sz w:val="20"/>
              </w:rPr>
              <w:t xml:space="preserve">Staff </w:t>
            </w:r>
            <w:r>
              <w:rPr>
                <w:rFonts w:cs="Arial"/>
                <w:b w:val="0"/>
                <w:bCs w:val="0"/>
                <w:color w:val="000000" w:themeColor="text1"/>
                <w:sz w:val="20"/>
              </w:rPr>
              <w:t>c</w:t>
            </w:r>
            <w:r w:rsidRPr="00D61C83">
              <w:rPr>
                <w:rFonts w:cs="Arial"/>
                <w:b w:val="0"/>
                <w:bCs w:val="0"/>
                <w:color w:val="000000" w:themeColor="text1"/>
                <w:sz w:val="20"/>
              </w:rPr>
              <w:t>osts</w:t>
            </w:r>
          </w:p>
        </w:tc>
        <w:tc>
          <w:tcPr>
            <w:tcW w:w="0" w:type="pct"/>
            <w:tcBorders>
              <w:top w:val="nil"/>
              <w:left w:val="single" w:sz="4" w:space="0" w:color="1B556B"/>
              <w:bottom w:val="single" w:sz="4" w:space="0" w:color="1B556B"/>
              <w:right w:val="single" w:sz="4" w:space="0" w:color="1B556B"/>
            </w:tcBorders>
            <w:shd w:val="clear" w:color="auto" w:fill="auto"/>
            <w:vAlign w:val="center"/>
          </w:tcPr>
          <w:p w14:paraId="6CAA2AC9" w14:textId="6F4234E4" w:rsidR="00651832" w:rsidRDefault="00651832" w:rsidP="00651832">
            <w:pPr>
              <w:spacing w:line="240" w:lineRule="auto"/>
              <w:jc w:val="center"/>
              <w:cnfStyle w:val="000000100000" w:firstRow="0" w:lastRow="0" w:firstColumn="0" w:lastColumn="0" w:oddVBand="0" w:evenVBand="0" w:oddHBand="1" w:evenHBand="0" w:firstRowFirstColumn="0" w:firstRowLastColumn="0" w:lastRowFirstColumn="0" w:lastRowLastColumn="0"/>
            </w:pPr>
            <w:r w:rsidRPr="00264E7E">
              <w:rPr>
                <w:rFonts w:cs="Arial"/>
                <w:color w:val="000000" w:themeColor="text1"/>
                <w:sz w:val="20"/>
              </w:rPr>
              <w:t>$539,000</w:t>
            </w:r>
          </w:p>
        </w:tc>
        <w:tc>
          <w:tcPr>
            <w:tcW w:w="0" w:type="pct"/>
            <w:tcBorders>
              <w:top w:val="nil"/>
              <w:left w:val="single" w:sz="4" w:space="0" w:color="1B556B"/>
              <w:bottom w:val="single" w:sz="4" w:space="0" w:color="1B556B"/>
              <w:right w:val="single" w:sz="4" w:space="0" w:color="1B556B"/>
            </w:tcBorders>
            <w:shd w:val="clear" w:color="auto" w:fill="auto"/>
            <w:vAlign w:val="center"/>
          </w:tcPr>
          <w:p w14:paraId="57383F94" w14:textId="01C0C55E" w:rsidR="00651832" w:rsidRDefault="00651832" w:rsidP="00651832">
            <w:pPr>
              <w:spacing w:line="240" w:lineRule="auto"/>
              <w:jc w:val="center"/>
              <w:cnfStyle w:val="000000100000" w:firstRow="0" w:lastRow="0" w:firstColumn="0" w:lastColumn="0" w:oddVBand="0" w:evenVBand="0" w:oddHBand="1" w:evenHBand="0" w:firstRowFirstColumn="0" w:firstRowLastColumn="0" w:lastRowFirstColumn="0" w:lastRowLastColumn="0"/>
            </w:pPr>
            <w:r w:rsidRPr="00264E7E">
              <w:rPr>
                <w:rFonts w:cs="Arial"/>
                <w:color w:val="000000" w:themeColor="text1"/>
                <w:sz w:val="20"/>
              </w:rPr>
              <w:t>$916,000</w:t>
            </w:r>
          </w:p>
        </w:tc>
        <w:tc>
          <w:tcPr>
            <w:tcW w:w="0" w:type="pct"/>
            <w:tcBorders>
              <w:top w:val="nil"/>
              <w:left w:val="single" w:sz="4" w:space="0" w:color="1B556B"/>
              <w:bottom w:val="single" w:sz="4" w:space="0" w:color="1B556B"/>
              <w:right w:val="nil"/>
            </w:tcBorders>
            <w:shd w:val="clear" w:color="auto" w:fill="auto"/>
            <w:vAlign w:val="center"/>
          </w:tcPr>
          <w:p w14:paraId="23EBF399" w14:textId="7B903524" w:rsidR="00651832" w:rsidRPr="00762667" w:rsidRDefault="00651832" w:rsidP="0065183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264E7E">
              <w:rPr>
                <w:rFonts w:cs="Arial"/>
                <w:color w:val="000000" w:themeColor="text1"/>
                <w:sz w:val="20"/>
              </w:rPr>
              <w:t>$377,000</w:t>
            </w:r>
          </w:p>
        </w:tc>
      </w:tr>
      <w:tr w:rsidR="0043403A" w14:paraId="74BBF3EA" w14:textId="77777777" w:rsidTr="00813E81">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B556B"/>
              <w:left w:val="nil"/>
              <w:bottom w:val="single" w:sz="4" w:space="0" w:color="1B556B"/>
              <w:right w:val="single" w:sz="4" w:space="0" w:color="1B556B"/>
            </w:tcBorders>
            <w:shd w:val="clear" w:color="auto" w:fill="auto"/>
            <w:vAlign w:val="center"/>
          </w:tcPr>
          <w:p w14:paraId="77EAD273" w14:textId="77777777" w:rsidR="00651832" w:rsidRPr="00D61C83" w:rsidRDefault="00651832" w:rsidP="00651832">
            <w:pPr>
              <w:spacing w:line="240" w:lineRule="auto"/>
              <w:rPr>
                <w:b w:val="0"/>
                <w:bCs w:val="0"/>
              </w:rPr>
            </w:pPr>
            <w:r w:rsidRPr="00D61C83">
              <w:rPr>
                <w:rFonts w:cs="Arial"/>
                <w:b w:val="0"/>
                <w:bCs w:val="0"/>
                <w:color w:val="000000" w:themeColor="text1"/>
                <w:sz w:val="20"/>
              </w:rPr>
              <w:t>External suppliers</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069880F7" w14:textId="0046AF00" w:rsidR="00651832" w:rsidRDefault="00651832" w:rsidP="00651832">
            <w:pPr>
              <w:spacing w:line="240" w:lineRule="auto"/>
              <w:jc w:val="center"/>
              <w:cnfStyle w:val="000000000000" w:firstRow="0" w:lastRow="0" w:firstColumn="0" w:lastColumn="0" w:oddVBand="0" w:evenVBand="0" w:oddHBand="0" w:evenHBand="0" w:firstRowFirstColumn="0" w:firstRowLastColumn="0" w:lastRowFirstColumn="0" w:lastRowLastColumn="0"/>
            </w:pPr>
            <w:r w:rsidRPr="00752D07">
              <w:rPr>
                <w:rFonts w:cs="Arial"/>
                <w:color w:val="000000" w:themeColor="text1"/>
                <w:sz w:val="20"/>
              </w:rPr>
              <w:t>$482</w:t>
            </w:r>
            <w:r>
              <w:rPr>
                <w:rFonts w:cs="Arial"/>
                <w:color w:val="000000" w:themeColor="text1"/>
                <w:sz w:val="20"/>
              </w:rPr>
              <w:t>,000</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23982886" w14:textId="488AF1A6" w:rsidR="00651832" w:rsidRDefault="00651832" w:rsidP="00651832">
            <w:pPr>
              <w:spacing w:line="240" w:lineRule="auto"/>
              <w:jc w:val="center"/>
              <w:cnfStyle w:val="000000000000" w:firstRow="0" w:lastRow="0" w:firstColumn="0" w:lastColumn="0" w:oddVBand="0" w:evenVBand="0" w:oddHBand="0" w:evenHBand="0" w:firstRowFirstColumn="0" w:firstRowLastColumn="0" w:lastRowFirstColumn="0" w:lastRowLastColumn="0"/>
            </w:pPr>
            <w:r w:rsidRPr="00752D07">
              <w:rPr>
                <w:rFonts w:cs="Arial"/>
                <w:color w:val="000000" w:themeColor="text1"/>
                <w:sz w:val="20"/>
              </w:rPr>
              <w:t>$482</w:t>
            </w:r>
            <w:r>
              <w:rPr>
                <w:rFonts w:cs="Arial"/>
                <w:color w:val="000000" w:themeColor="text1"/>
                <w:sz w:val="20"/>
              </w:rPr>
              <w:t>,000</w:t>
            </w:r>
          </w:p>
        </w:tc>
        <w:tc>
          <w:tcPr>
            <w:tcW w:w="0" w:type="pct"/>
            <w:tcBorders>
              <w:top w:val="single" w:sz="4" w:space="0" w:color="1B556B"/>
              <w:left w:val="single" w:sz="4" w:space="0" w:color="1B556B"/>
              <w:bottom w:val="single" w:sz="4" w:space="0" w:color="1B556B"/>
              <w:right w:val="nil"/>
            </w:tcBorders>
            <w:shd w:val="clear" w:color="auto" w:fill="auto"/>
            <w:vAlign w:val="center"/>
          </w:tcPr>
          <w:p w14:paraId="1F575747" w14:textId="6B8F0F48" w:rsidR="00651832" w:rsidRDefault="00651832" w:rsidP="00651832">
            <w:pPr>
              <w:spacing w:line="240" w:lineRule="auto"/>
              <w:jc w:val="center"/>
              <w:cnfStyle w:val="000000000000" w:firstRow="0" w:lastRow="0" w:firstColumn="0" w:lastColumn="0" w:oddVBand="0" w:evenVBand="0" w:oddHBand="0" w:evenHBand="0" w:firstRowFirstColumn="0" w:firstRowLastColumn="0" w:lastRowFirstColumn="0" w:lastRowLastColumn="0"/>
            </w:pPr>
            <w:r w:rsidRPr="00752D07">
              <w:rPr>
                <w:rFonts w:cs="Arial"/>
                <w:color w:val="000000" w:themeColor="text1"/>
                <w:sz w:val="20"/>
              </w:rPr>
              <w:t>Nil</w:t>
            </w:r>
          </w:p>
        </w:tc>
      </w:tr>
      <w:tr w:rsidR="0043403A" w14:paraId="6767E88D"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B556B"/>
              <w:left w:val="nil"/>
              <w:bottom w:val="single" w:sz="4" w:space="0" w:color="1B556B"/>
              <w:right w:val="single" w:sz="4" w:space="0" w:color="1B556B"/>
            </w:tcBorders>
            <w:shd w:val="clear" w:color="auto" w:fill="auto"/>
            <w:vAlign w:val="center"/>
          </w:tcPr>
          <w:p w14:paraId="69894FE4" w14:textId="77777777" w:rsidR="00651832" w:rsidRDefault="00651832" w:rsidP="00651832">
            <w:pPr>
              <w:spacing w:line="240" w:lineRule="auto"/>
            </w:pPr>
            <w:r w:rsidRPr="5B000845">
              <w:rPr>
                <w:rFonts w:cs="Arial"/>
                <w:color w:val="000000" w:themeColor="text1"/>
                <w:sz w:val="20"/>
              </w:rPr>
              <w:t xml:space="preserve">Total </w:t>
            </w:r>
            <w:r>
              <w:rPr>
                <w:rFonts w:cs="Arial"/>
                <w:color w:val="000000" w:themeColor="text1"/>
                <w:sz w:val="20"/>
              </w:rPr>
              <w:t>c</w:t>
            </w:r>
            <w:r w:rsidRPr="5B000845">
              <w:rPr>
                <w:rFonts w:cs="Arial"/>
                <w:color w:val="000000" w:themeColor="text1"/>
                <w:sz w:val="20"/>
              </w:rPr>
              <w:t>osts</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53CACFA5" w14:textId="3F67ADA0" w:rsidR="00651832" w:rsidRPr="00651832" w:rsidRDefault="00651832" w:rsidP="00651832">
            <w:pPr>
              <w:spacing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62667">
              <w:rPr>
                <w:rFonts w:cs="Arial"/>
                <w:b/>
                <w:bCs/>
                <w:color w:val="000000" w:themeColor="text1"/>
                <w:sz w:val="20"/>
              </w:rPr>
              <w:t>$1,021,000</w:t>
            </w:r>
          </w:p>
        </w:tc>
        <w:tc>
          <w:tcPr>
            <w:tcW w:w="0" w:type="pct"/>
            <w:tcBorders>
              <w:top w:val="single" w:sz="4" w:space="0" w:color="1B556B"/>
              <w:left w:val="single" w:sz="4" w:space="0" w:color="1B556B"/>
              <w:bottom w:val="single" w:sz="4" w:space="0" w:color="1B556B"/>
              <w:right w:val="single" w:sz="4" w:space="0" w:color="1B556B"/>
            </w:tcBorders>
            <w:shd w:val="clear" w:color="auto" w:fill="auto"/>
            <w:vAlign w:val="center"/>
          </w:tcPr>
          <w:p w14:paraId="268CC369" w14:textId="2E15F70C" w:rsidR="00651832" w:rsidRPr="00651832" w:rsidRDefault="00651832" w:rsidP="00651832">
            <w:pPr>
              <w:spacing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62667">
              <w:rPr>
                <w:rFonts w:cs="Arial"/>
                <w:b/>
                <w:bCs/>
                <w:color w:val="000000" w:themeColor="text1"/>
                <w:sz w:val="20"/>
              </w:rPr>
              <w:t>$1,398,000</w:t>
            </w:r>
          </w:p>
        </w:tc>
        <w:tc>
          <w:tcPr>
            <w:tcW w:w="0" w:type="pct"/>
            <w:tcBorders>
              <w:top w:val="single" w:sz="4" w:space="0" w:color="1B556B"/>
              <w:left w:val="single" w:sz="4" w:space="0" w:color="1B556B"/>
              <w:bottom w:val="single" w:sz="4" w:space="0" w:color="1B556B"/>
              <w:right w:val="nil"/>
            </w:tcBorders>
            <w:shd w:val="clear" w:color="auto" w:fill="auto"/>
            <w:vAlign w:val="center"/>
          </w:tcPr>
          <w:p w14:paraId="01315E27" w14:textId="2840061E" w:rsidR="00651832" w:rsidRPr="00651832" w:rsidRDefault="00651832" w:rsidP="0065183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rPr>
            </w:pPr>
            <w:r w:rsidRPr="00762667">
              <w:rPr>
                <w:rFonts w:cs="Arial"/>
                <w:b/>
                <w:bCs/>
                <w:color w:val="000000" w:themeColor="text1"/>
                <w:sz w:val="20"/>
              </w:rPr>
              <w:t>$377,000</w:t>
            </w:r>
          </w:p>
        </w:tc>
      </w:tr>
    </w:tbl>
    <w:p w14:paraId="22EDB5EF" w14:textId="77777777" w:rsidR="0004543E" w:rsidRDefault="0004543E" w:rsidP="00762667">
      <w:pPr>
        <w:pStyle w:val="BodyText"/>
      </w:pPr>
    </w:p>
    <w:p w14:paraId="2729BA69" w14:textId="77777777" w:rsidR="0004543E" w:rsidRDefault="0004543E">
      <w:pPr>
        <w:spacing w:before="0" w:after="200" w:line="276" w:lineRule="auto"/>
        <w:jc w:val="left"/>
        <w:rPr>
          <w:rFonts w:eastAsiaTheme="majorEastAsia" w:cstheme="majorBidi"/>
          <w:b/>
          <w:bCs/>
          <w:color w:val="0F7B7D"/>
          <w:sz w:val="36"/>
          <w:szCs w:val="26"/>
        </w:rPr>
      </w:pPr>
      <w:r>
        <w:br w:type="page"/>
      </w:r>
    </w:p>
    <w:p w14:paraId="64690ADE" w14:textId="7EA0218B" w:rsidR="00351C82" w:rsidRPr="00264E7E" w:rsidRDefault="00351C82" w:rsidP="00351C82">
      <w:pPr>
        <w:pStyle w:val="Heading2"/>
      </w:pPr>
      <w:bookmarkStart w:id="73" w:name="_Toc114734508"/>
      <w:r w:rsidRPr="00264E7E">
        <w:lastRenderedPageBreak/>
        <w:t xml:space="preserve">Case </w:t>
      </w:r>
      <w:r w:rsidR="00CA313E">
        <w:t>s</w:t>
      </w:r>
      <w:r w:rsidRPr="00264E7E">
        <w:t>tudies</w:t>
      </w:r>
      <w:bookmarkEnd w:id="73"/>
      <w:r w:rsidRPr="00264E7E">
        <w:t xml:space="preserve"> </w:t>
      </w:r>
    </w:p>
    <w:p w14:paraId="66E304DC" w14:textId="6463DB90" w:rsidR="002F3191" w:rsidRDefault="002F3191" w:rsidP="00762667">
      <w:pPr>
        <w:pStyle w:val="Tableheading"/>
      </w:pPr>
      <w:bookmarkStart w:id="74" w:name="_Toc115682250"/>
      <w:r>
        <w:t xml:space="preserve">Table </w:t>
      </w:r>
      <w:r w:rsidR="002D4F05">
        <w:fldChar w:fldCharType="begin"/>
      </w:r>
      <w:r w:rsidR="002D4F05">
        <w:instrText xml:space="preserve"> SEQ Table \* ARABIC </w:instrText>
      </w:r>
      <w:r w:rsidR="002D4F05">
        <w:fldChar w:fldCharType="separate"/>
      </w:r>
      <w:r w:rsidR="00877E58">
        <w:rPr>
          <w:noProof/>
        </w:rPr>
        <w:t>13</w:t>
      </w:r>
      <w:r w:rsidR="002D4F05">
        <w:rPr>
          <w:noProof/>
        </w:rPr>
        <w:fldChar w:fldCharType="end"/>
      </w:r>
      <w:r>
        <w:t xml:space="preserve">: </w:t>
      </w:r>
      <w:r w:rsidR="00A21651">
        <w:tab/>
      </w:r>
      <w:r w:rsidRPr="00351C9A">
        <w:t>Worked example of potential impact on a notified consent applicant, using the proposed 2023/24 charge-out rates</w:t>
      </w:r>
      <w:bookmarkEnd w:id="74"/>
    </w:p>
    <w:tbl>
      <w:tblPr>
        <w:tblStyle w:val="LightList-Accent11"/>
        <w:tblW w:w="8505" w:type="dxa"/>
        <w:tblInd w:w="-5" w:type="dxa"/>
        <w:tblBorders>
          <w:insideH w:val="single" w:sz="4" w:space="0" w:color="auto"/>
          <w:insideV w:val="single" w:sz="4" w:space="0" w:color="auto"/>
        </w:tblBorders>
        <w:tblLook w:val="04A0" w:firstRow="1" w:lastRow="0" w:firstColumn="1" w:lastColumn="0" w:noHBand="0" w:noVBand="1"/>
      </w:tblPr>
      <w:tblGrid>
        <w:gridCol w:w="2025"/>
        <w:gridCol w:w="1597"/>
        <w:gridCol w:w="2616"/>
        <w:gridCol w:w="1340"/>
        <w:gridCol w:w="927"/>
      </w:tblGrid>
      <w:tr w:rsidR="0043403A" w:rsidRPr="00835DF0" w14:paraId="67332B13" w14:textId="77777777" w:rsidTr="00121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1C556C" w:themeColor="accent1"/>
              <w:left w:val="single" w:sz="4" w:space="0" w:color="1C556C" w:themeColor="accent1"/>
              <w:bottom w:val="nil"/>
              <w:right w:val="single" w:sz="8" w:space="0" w:color="FFFFFF" w:themeColor="background1"/>
            </w:tcBorders>
            <w:noWrap/>
            <w:vAlign w:val="center"/>
            <w:hideMark/>
          </w:tcPr>
          <w:p w14:paraId="301A7FF3" w14:textId="674F0066" w:rsidR="00351C82" w:rsidRPr="00762667" w:rsidRDefault="00351C82" w:rsidP="00722B9E">
            <w:pPr>
              <w:pStyle w:val="TableText"/>
              <w:rPr>
                <w:b w:val="0"/>
                <w:bCs w:val="0"/>
                <w:sz w:val="20"/>
                <w:szCs w:val="20"/>
              </w:rPr>
            </w:pPr>
            <w:r w:rsidRPr="00762667">
              <w:rPr>
                <w:sz w:val="20"/>
                <w:szCs w:val="20"/>
              </w:rPr>
              <w:t xml:space="preserve">Cost </w:t>
            </w:r>
            <w:r w:rsidR="001216D5">
              <w:rPr>
                <w:sz w:val="20"/>
                <w:szCs w:val="20"/>
              </w:rPr>
              <w:t>t</w:t>
            </w:r>
            <w:r w:rsidRPr="00762667">
              <w:rPr>
                <w:sz w:val="20"/>
                <w:szCs w:val="20"/>
              </w:rPr>
              <w:t>ype</w:t>
            </w:r>
          </w:p>
        </w:tc>
        <w:tc>
          <w:tcPr>
            <w:tcW w:w="0" w:type="pct"/>
            <w:tcBorders>
              <w:top w:val="single" w:sz="8" w:space="0" w:color="1C556C" w:themeColor="accent1"/>
              <w:left w:val="single" w:sz="8" w:space="0" w:color="FFFFFF" w:themeColor="background1"/>
              <w:bottom w:val="nil"/>
              <w:right w:val="single" w:sz="8" w:space="0" w:color="FFFFFF" w:themeColor="background1"/>
            </w:tcBorders>
            <w:noWrap/>
            <w:vAlign w:val="center"/>
            <w:hideMark/>
          </w:tcPr>
          <w:p w14:paraId="03AB53DD" w14:textId="4C288966" w:rsidR="00351C82" w:rsidRPr="00762667" w:rsidRDefault="00351C82" w:rsidP="00722B9E">
            <w:pPr>
              <w:pStyle w:val="TableT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 xml:space="preserve">Current </w:t>
            </w:r>
            <w:r w:rsidR="00835DF0" w:rsidRPr="00762667">
              <w:rPr>
                <w:sz w:val="20"/>
                <w:szCs w:val="20"/>
              </w:rPr>
              <w:t>r</w:t>
            </w:r>
            <w:r w:rsidRPr="00762667">
              <w:rPr>
                <w:sz w:val="20"/>
                <w:szCs w:val="20"/>
              </w:rPr>
              <w:t>ate</w:t>
            </w:r>
          </w:p>
        </w:tc>
        <w:tc>
          <w:tcPr>
            <w:tcW w:w="0" w:type="pct"/>
            <w:tcBorders>
              <w:top w:val="single" w:sz="8" w:space="0" w:color="1C556C" w:themeColor="accent1"/>
              <w:left w:val="single" w:sz="8" w:space="0" w:color="FFFFFF" w:themeColor="background1"/>
              <w:bottom w:val="nil"/>
              <w:right w:val="single" w:sz="8" w:space="0" w:color="FFFFFF" w:themeColor="background1"/>
            </w:tcBorders>
            <w:noWrap/>
            <w:vAlign w:val="center"/>
            <w:hideMark/>
          </w:tcPr>
          <w:p w14:paraId="5EBCFCCE" w14:textId="4A2BFB26" w:rsidR="00351C82" w:rsidRPr="00762667" w:rsidRDefault="00351C82" w:rsidP="00722B9E">
            <w:pPr>
              <w:pStyle w:val="TableT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 xml:space="preserve">Proposed </w:t>
            </w:r>
            <w:r w:rsidR="00835DF0" w:rsidRPr="00762667">
              <w:rPr>
                <w:sz w:val="20"/>
                <w:szCs w:val="20"/>
              </w:rPr>
              <w:t>r</w:t>
            </w:r>
            <w:r w:rsidRPr="00762667">
              <w:rPr>
                <w:sz w:val="20"/>
                <w:szCs w:val="20"/>
              </w:rPr>
              <w:t>ate</w:t>
            </w:r>
            <w:r w:rsidR="00E4790A" w:rsidRPr="00762667">
              <w:rPr>
                <w:sz w:val="20"/>
                <w:szCs w:val="20"/>
              </w:rPr>
              <w:t xml:space="preserve"> (</w:t>
            </w:r>
            <w:r w:rsidR="00F25317" w:rsidRPr="00762667">
              <w:rPr>
                <w:sz w:val="20"/>
                <w:szCs w:val="20"/>
              </w:rPr>
              <w:t>2023/24</w:t>
            </w:r>
            <w:r w:rsidR="00E4790A" w:rsidRPr="00762667">
              <w:rPr>
                <w:sz w:val="20"/>
                <w:szCs w:val="20"/>
              </w:rPr>
              <w:t>)</w:t>
            </w:r>
          </w:p>
        </w:tc>
        <w:tc>
          <w:tcPr>
            <w:tcW w:w="0" w:type="pct"/>
            <w:gridSpan w:val="2"/>
            <w:tcBorders>
              <w:top w:val="single" w:sz="8" w:space="0" w:color="1C556C" w:themeColor="accent1"/>
              <w:left w:val="single" w:sz="8" w:space="0" w:color="FFFFFF" w:themeColor="background1"/>
              <w:bottom w:val="nil"/>
              <w:right w:val="single" w:sz="4" w:space="0" w:color="1C556C" w:themeColor="accent1"/>
            </w:tcBorders>
            <w:noWrap/>
            <w:vAlign w:val="center"/>
            <w:hideMark/>
          </w:tcPr>
          <w:p w14:paraId="133B5B88" w14:textId="77777777" w:rsidR="00351C82"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Increase</w:t>
            </w:r>
          </w:p>
        </w:tc>
      </w:tr>
      <w:tr w:rsidR="0043403A" w:rsidRPr="00835DF0" w14:paraId="312B3825"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1B556B"/>
              <w:right w:val="single" w:sz="4" w:space="0" w:color="1B556B"/>
            </w:tcBorders>
            <w:noWrap/>
            <w:vAlign w:val="center"/>
            <w:hideMark/>
          </w:tcPr>
          <w:p w14:paraId="31085A5C" w14:textId="144ECCA1" w:rsidR="00351C82" w:rsidRPr="00722B9E" w:rsidRDefault="00351C82" w:rsidP="0004543E">
            <w:pPr>
              <w:pStyle w:val="TableText"/>
              <w:rPr>
                <w:b w:val="0"/>
                <w:bCs w:val="0"/>
                <w:sz w:val="20"/>
                <w:szCs w:val="20"/>
              </w:rPr>
            </w:pPr>
            <w:r w:rsidRPr="00722B9E">
              <w:rPr>
                <w:b w:val="0"/>
                <w:bCs w:val="0"/>
                <w:sz w:val="20"/>
                <w:szCs w:val="20"/>
              </w:rPr>
              <w:t xml:space="preserve">Staff </w:t>
            </w:r>
            <w:r w:rsidR="00835DF0" w:rsidRPr="00722B9E">
              <w:rPr>
                <w:b w:val="0"/>
                <w:bCs w:val="0"/>
                <w:sz w:val="20"/>
                <w:szCs w:val="20"/>
              </w:rPr>
              <w:t>c</w:t>
            </w:r>
            <w:r w:rsidRPr="00722B9E">
              <w:rPr>
                <w:b w:val="0"/>
                <w:bCs w:val="0"/>
                <w:sz w:val="20"/>
                <w:szCs w:val="20"/>
              </w:rPr>
              <w:t>osts</w:t>
            </w:r>
          </w:p>
        </w:tc>
        <w:tc>
          <w:tcPr>
            <w:tcW w:w="0" w:type="pct"/>
            <w:tcBorders>
              <w:top w:val="nil"/>
              <w:left w:val="single" w:sz="4" w:space="0" w:color="1B556B"/>
              <w:bottom w:val="single" w:sz="4" w:space="0" w:color="1B556B"/>
              <w:right w:val="single" w:sz="4" w:space="0" w:color="1B556B"/>
            </w:tcBorders>
            <w:noWrap/>
            <w:vAlign w:val="center"/>
            <w:hideMark/>
          </w:tcPr>
          <w:p w14:paraId="287F48D3" w14:textId="77777777"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$228,000</w:t>
            </w:r>
          </w:p>
        </w:tc>
        <w:tc>
          <w:tcPr>
            <w:tcW w:w="0" w:type="pct"/>
            <w:tcBorders>
              <w:top w:val="nil"/>
              <w:left w:val="single" w:sz="4" w:space="0" w:color="1B556B"/>
              <w:bottom w:val="single" w:sz="4" w:space="0" w:color="1B556B"/>
              <w:right w:val="single" w:sz="4" w:space="0" w:color="1B556B"/>
            </w:tcBorders>
            <w:noWrap/>
            <w:vAlign w:val="center"/>
            <w:hideMark/>
          </w:tcPr>
          <w:p w14:paraId="3619927B" w14:textId="77777777"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$400,000</w:t>
            </w:r>
          </w:p>
        </w:tc>
        <w:tc>
          <w:tcPr>
            <w:tcW w:w="0" w:type="pct"/>
            <w:tcBorders>
              <w:top w:val="nil"/>
              <w:left w:val="single" w:sz="4" w:space="0" w:color="1B556B"/>
              <w:bottom w:val="single" w:sz="4" w:space="0" w:color="1B556B"/>
              <w:right w:val="single" w:sz="4" w:space="0" w:color="1B556B"/>
            </w:tcBorders>
            <w:noWrap/>
            <w:vAlign w:val="center"/>
            <w:hideMark/>
          </w:tcPr>
          <w:p w14:paraId="0E154BA2" w14:textId="77777777"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$171,000</w:t>
            </w:r>
          </w:p>
        </w:tc>
        <w:tc>
          <w:tcPr>
            <w:tcW w:w="0" w:type="pct"/>
            <w:tcBorders>
              <w:top w:val="nil"/>
              <w:left w:val="single" w:sz="4" w:space="0" w:color="1B556B"/>
              <w:bottom w:val="single" w:sz="4" w:space="0" w:color="1B556B"/>
              <w:right w:val="nil"/>
            </w:tcBorders>
            <w:noWrap/>
            <w:vAlign w:val="center"/>
            <w:hideMark/>
          </w:tcPr>
          <w:p w14:paraId="62033C3F" w14:textId="320FB3B1"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75%</w:t>
            </w:r>
          </w:p>
        </w:tc>
      </w:tr>
      <w:tr w:rsidR="0043403A" w:rsidRPr="00835DF0" w14:paraId="4CD4F914" w14:textId="77777777" w:rsidTr="00813E81">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B556B"/>
              <w:left w:val="nil"/>
              <w:bottom w:val="single" w:sz="4" w:space="0" w:color="1B556B"/>
              <w:right w:val="single" w:sz="4" w:space="0" w:color="1B556B"/>
            </w:tcBorders>
            <w:noWrap/>
            <w:vAlign w:val="center"/>
            <w:hideMark/>
          </w:tcPr>
          <w:p w14:paraId="6215B590" w14:textId="77777777" w:rsidR="00351C82" w:rsidRPr="00722B9E" w:rsidRDefault="00351C82" w:rsidP="0004543E">
            <w:pPr>
              <w:pStyle w:val="TableText"/>
              <w:rPr>
                <w:b w:val="0"/>
                <w:bCs w:val="0"/>
                <w:sz w:val="20"/>
                <w:szCs w:val="20"/>
              </w:rPr>
            </w:pPr>
            <w:r w:rsidRPr="00722B9E">
              <w:rPr>
                <w:b w:val="0"/>
                <w:bCs w:val="0"/>
                <w:sz w:val="20"/>
                <w:szCs w:val="20"/>
              </w:rPr>
              <w:t>External suppliers</w:t>
            </w:r>
          </w:p>
        </w:tc>
        <w:tc>
          <w:tcPr>
            <w:tcW w:w="0" w:type="pct"/>
            <w:tcBorders>
              <w:top w:val="single" w:sz="4" w:space="0" w:color="1B556B"/>
              <w:left w:val="single" w:sz="4" w:space="0" w:color="1B556B"/>
              <w:bottom w:val="single" w:sz="4" w:space="0" w:color="1B556B"/>
              <w:right w:val="single" w:sz="4" w:space="0" w:color="1B556B"/>
            </w:tcBorders>
            <w:noWrap/>
            <w:vAlign w:val="center"/>
            <w:hideMark/>
          </w:tcPr>
          <w:p w14:paraId="75E33225" w14:textId="77777777" w:rsidR="00351C82" w:rsidRPr="00762667" w:rsidRDefault="00351C82" w:rsidP="0076266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$398,000</w:t>
            </w:r>
          </w:p>
        </w:tc>
        <w:tc>
          <w:tcPr>
            <w:tcW w:w="0" w:type="pct"/>
            <w:tcBorders>
              <w:top w:val="single" w:sz="4" w:space="0" w:color="1B556B"/>
              <w:left w:val="single" w:sz="4" w:space="0" w:color="1B556B"/>
              <w:bottom w:val="single" w:sz="4" w:space="0" w:color="1B556B"/>
              <w:right w:val="single" w:sz="4" w:space="0" w:color="1B556B"/>
            </w:tcBorders>
            <w:noWrap/>
            <w:vAlign w:val="center"/>
            <w:hideMark/>
          </w:tcPr>
          <w:p w14:paraId="2807B7AB" w14:textId="77777777" w:rsidR="00351C82" w:rsidRPr="00762667" w:rsidRDefault="00351C82" w:rsidP="0076266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$398,000</w:t>
            </w:r>
          </w:p>
        </w:tc>
        <w:tc>
          <w:tcPr>
            <w:tcW w:w="0" w:type="pct"/>
            <w:tcBorders>
              <w:top w:val="single" w:sz="4" w:space="0" w:color="1B556B"/>
              <w:left w:val="single" w:sz="4" w:space="0" w:color="1B556B"/>
              <w:bottom w:val="single" w:sz="4" w:space="0" w:color="1B556B"/>
              <w:right w:val="single" w:sz="4" w:space="0" w:color="1B556B"/>
            </w:tcBorders>
            <w:noWrap/>
            <w:vAlign w:val="center"/>
            <w:hideMark/>
          </w:tcPr>
          <w:p w14:paraId="4B1DE945" w14:textId="77777777" w:rsidR="00351C82" w:rsidRPr="00762667" w:rsidRDefault="00351C82" w:rsidP="0076266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Nil</w:t>
            </w:r>
          </w:p>
        </w:tc>
        <w:tc>
          <w:tcPr>
            <w:tcW w:w="0" w:type="pct"/>
            <w:tcBorders>
              <w:top w:val="single" w:sz="4" w:space="0" w:color="1B556B"/>
              <w:left w:val="single" w:sz="4" w:space="0" w:color="1B556B"/>
              <w:bottom w:val="single" w:sz="4" w:space="0" w:color="1B556B"/>
              <w:right w:val="nil"/>
            </w:tcBorders>
            <w:noWrap/>
            <w:vAlign w:val="center"/>
            <w:hideMark/>
          </w:tcPr>
          <w:p w14:paraId="558AE736" w14:textId="1F6D69B1" w:rsidR="00351C82" w:rsidRPr="00762667" w:rsidRDefault="00351C82" w:rsidP="0076266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0%</w:t>
            </w:r>
          </w:p>
        </w:tc>
      </w:tr>
      <w:tr w:rsidR="0043403A" w:rsidRPr="00835DF0" w14:paraId="0D7B5AAD"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B556B"/>
              <w:left w:val="nil"/>
              <w:bottom w:val="single" w:sz="4" w:space="0" w:color="1B556B"/>
              <w:right w:val="single" w:sz="4" w:space="0" w:color="1B556B"/>
            </w:tcBorders>
            <w:noWrap/>
            <w:vAlign w:val="center"/>
            <w:hideMark/>
          </w:tcPr>
          <w:p w14:paraId="216454C7" w14:textId="2E0CFE94" w:rsidR="00351C82" w:rsidRPr="00722B9E" w:rsidRDefault="00351C82" w:rsidP="0004543E">
            <w:pPr>
              <w:pStyle w:val="TableText"/>
              <w:rPr>
                <w:sz w:val="20"/>
                <w:szCs w:val="20"/>
              </w:rPr>
            </w:pPr>
            <w:r w:rsidRPr="00722B9E">
              <w:rPr>
                <w:sz w:val="20"/>
                <w:szCs w:val="20"/>
              </w:rPr>
              <w:t xml:space="preserve">Total </w:t>
            </w:r>
            <w:r w:rsidR="00835DF0" w:rsidRPr="00722B9E">
              <w:rPr>
                <w:sz w:val="20"/>
                <w:szCs w:val="20"/>
              </w:rPr>
              <w:t>c</w:t>
            </w:r>
            <w:r w:rsidRPr="00722B9E">
              <w:rPr>
                <w:sz w:val="20"/>
                <w:szCs w:val="20"/>
              </w:rPr>
              <w:t>osts</w:t>
            </w:r>
          </w:p>
        </w:tc>
        <w:tc>
          <w:tcPr>
            <w:tcW w:w="0" w:type="pct"/>
            <w:tcBorders>
              <w:top w:val="single" w:sz="4" w:space="0" w:color="1B556B"/>
              <w:left w:val="single" w:sz="4" w:space="0" w:color="1B556B"/>
              <w:bottom w:val="single" w:sz="4" w:space="0" w:color="1B556B"/>
              <w:right w:val="single" w:sz="4" w:space="0" w:color="1B556B"/>
            </w:tcBorders>
            <w:noWrap/>
            <w:vAlign w:val="center"/>
            <w:hideMark/>
          </w:tcPr>
          <w:p w14:paraId="211507F9" w14:textId="77777777"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color w:val="000000" w:themeColor="text1"/>
                <w:sz w:val="20"/>
                <w:szCs w:val="20"/>
              </w:rPr>
              <w:t>$626,000</w:t>
            </w:r>
          </w:p>
        </w:tc>
        <w:tc>
          <w:tcPr>
            <w:tcW w:w="0" w:type="pct"/>
            <w:tcBorders>
              <w:top w:val="single" w:sz="4" w:space="0" w:color="1B556B"/>
              <w:left w:val="single" w:sz="4" w:space="0" w:color="1B556B"/>
              <w:bottom w:val="single" w:sz="4" w:space="0" w:color="1B556B"/>
              <w:right w:val="single" w:sz="4" w:space="0" w:color="1B556B"/>
            </w:tcBorders>
            <w:noWrap/>
            <w:vAlign w:val="center"/>
            <w:hideMark/>
          </w:tcPr>
          <w:p w14:paraId="3EDF9F58" w14:textId="77777777"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$798,000</w:t>
            </w:r>
          </w:p>
        </w:tc>
        <w:tc>
          <w:tcPr>
            <w:tcW w:w="0" w:type="pct"/>
            <w:tcBorders>
              <w:top w:val="single" w:sz="4" w:space="0" w:color="1B556B"/>
              <w:left w:val="single" w:sz="4" w:space="0" w:color="1B556B"/>
              <w:bottom w:val="single" w:sz="4" w:space="0" w:color="1B556B"/>
              <w:right w:val="single" w:sz="4" w:space="0" w:color="1B556B"/>
            </w:tcBorders>
            <w:noWrap/>
            <w:vAlign w:val="center"/>
            <w:hideMark/>
          </w:tcPr>
          <w:p w14:paraId="23F0BC2D" w14:textId="77777777"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$171,000</w:t>
            </w:r>
          </w:p>
        </w:tc>
        <w:tc>
          <w:tcPr>
            <w:tcW w:w="0" w:type="pct"/>
            <w:tcBorders>
              <w:top w:val="single" w:sz="4" w:space="0" w:color="1B556B"/>
              <w:left w:val="single" w:sz="4" w:space="0" w:color="1B556B"/>
              <w:bottom w:val="single" w:sz="4" w:space="0" w:color="1B556B"/>
              <w:right w:val="nil"/>
            </w:tcBorders>
            <w:noWrap/>
            <w:vAlign w:val="center"/>
            <w:hideMark/>
          </w:tcPr>
          <w:p w14:paraId="656FCF94" w14:textId="437C5D5A" w:rsidR="00351C82" w:rsidRPr="00762667" w:rsidRDefault="00351C82" w:rsidP="00762667">
            <w:pPr>
              <w:pStyle w:val="TableText"/>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27%</w:t>
            </w:r>
          </w:p>
        </w:tc>
      </w:tr>
    </w:tbl>
    <w:p w14:paraId="459BB8D0" w14:textId="171A5879" w:rsidR="00BF6D75" w:rsidRDefault="00BF6D75" w:rsidP="00762667">
      <w:pPr>
        <w:pStyle w:val="Tableheading"/>
      </w:pPr>
      <w:bookmarkStart w:id="75" w:name="_Ref114654800"/>
      <w:bookmarkStart w:id="76" w:name="_Toc115682251"/>
      <w:r>
        <w:t xml:space="preserve">Table </w:t>
      </w:r>
      <w:r w:rsidR="002D4F05">
        <w:fldChar w:fldCharType="begin"/>
      </w:r>
      <w:r w:rsidR="002D4F05">
        <w:instrText xml:space="preserve"> SEQ Table \* ARABIC </w:instrText>
      </w:r>
      <w:r w:rsidR="002D4F05">
        <w:fldChar w:fldCharType="separate"/>
      </w:r>
      <w:r w:rsidR="00AC5C56">
        <w:rPr>
          <w:noProof/>
        </w:rPr>
        <w:t>14</w:t>
      </w:r>
      <w:r w:rsidR="002D4F05">
        <w:rPr>
          <w:noProof/>
        </w:rPr>
        <w:fldChar w:fldCharType="end"/>
      </w:r>
      <w:bookmarkEnd w:id="75"/>
      <w:r>
        <w:t xml:space="preserve">: </w:t>
      </w:r>
      <w:r w:rsidR="00A21651">
        <w:tab/>
      </w:r>
      <w:r w:rsidRPr="00B041A3">
        <w:t>Worked example of potential impact on a permitted activity (monitoring costs), using the proposed 2024/</w:t>
      </w:r>
      <w:r w:rsidR="005A65A3">
        <w:t>2</w:t>
      </w:r>
      <w:r w:rsidRPr="00B041A3">
        <w:t>5 charge-out rates</w:t>
      </w:r>
      <w:bookmarkEnd w:id="76"/>
    </w:p>
    <w:tbl>
      <w:tblPr>
        <w:tblStyle w:val="LightList-Accent11"/>
        <w:tblW w:w="8505" w:type="dxa"/>
        <w:tblInd w:w="-5" w:type="dxa"/>
        <w:tblBorders>
          <w:insideH w:val="single" w:sz="4" w:space="0" w:color="auto"/>
          <w:insideV w:val="single" w:sz="4" w:space="0" w:color="auto"/>
        </w:tblBorders>
        <w:tblLayout w:type="fixed"/>
        <w:tblLook w:val="04A0" w:firstRow="1" w:lastRow="0" w:firstColumn="1" w:lastColumn="0" w:noHBand="0" w:noVBand="1"/>
      </w:tblPr>
      <w:tblGrid>
        <w:gridCol w:w="1215"/>
        <w:gridCol w:w="1215"/>
        <w:gridCol w:w="1215"/>
        <w:gridCol w:w="1215"/>
        <w:gridCol w:w="1215"/>
        <w:gridCol w:w="1215"/>
        <w:gridCol w:w="1215"/>
      </w:tblGrid>
      <w:tr w:rsidR="0043403A" w:rsidRPr="00AC5C56" w14:paraId="6765FD68" w14:textId="77777777" w:rsidTr="001216D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C556C" w:themeColor="accent1"/>
              <w:left w:val="single" w:sz="4" w:space="0" w:color="1C556C" w:themeColor="accent1"/>
              <w:bottom w:val="nil"/>
              <w:right w:val="single" w:sz="4" w:space="0" w:color="FFFFFF" w:themeColor="background1"/>
            </w:tcBorders>
            <w:noWrap/>
            <w:vAlign w:val="center"/>
            <w:hideMark/>
          </w:tcPr>
          <w:p w14:paraId="043808C8" w14:textId="77777777" w:rsidR="00351C82" w:rsidRPr="00762667" w:rsidRDefault="00351C82" w:rsidP="00722B9E">
            <w:pPr>
              <w:pStyle w:val="TableText"/>
              <w:jc w:val="center"/>
              <w:rPr>
                <w:sz w:val="20"/>
                <w:szCs w:val="20"/>
              </w:rPr>
            </w:pPr>
            <w:r w:rsidRPr="00762667">
              <w:rPr>
                <w:sz w:val="20"/>
                <w:szCs w:val="20"/>
              </w:rPr>
              <w:t>Role</w:t>
            </w:r>
          </w:p>
        </w:tc>
        <w:tc>
          <w:tcPr>
            <w:tcW w:w="0" w:type="dxa"/>
            <w:tcBorders>
              <w:top w:val="single" w:sz="4" w:space="0" w:color="1C556C" w:themeColor="accent1"/>
              <w:left w:val="single" w:sz="4" w:space="0" w:color="FFFFFF" w:themeColor="background1"/>
              <w:bottom w:val="nil"/>
              <w:right w:val="single" w:sz="4" w:space="0" w:color="FFFFFF" w:themeColor="background1"/>
            </w:tcBorders>
            <w:noWrap/>
            <w:vAlign w:val="center"/>
            <w:hideMark/>
          </w:tcPr>
          <w:p w14:paraId="74B58F69" w14:textId="446A500C" w:rsidR="00BB6BBB"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Rate (100%)</w:t>
            </w:r>
            <w:r w:rsidR="00C8361D">
              <w:rPr>
                <w:sz w:val="20"/>
                <w:szCs w:val="20"/>
              </w:rPr>
              <w:t xml:space="preserve"> </w:t>
            </w:r>
            <w:r w:rsidR="00BB6BBB">
              <w:rPr>
                <w:sz w:val="20"/>
                <w:szCs w:val="20"/>
              </w:rPr>
              <w:t>$/hr</w:t>
            </w:r>
          </w:p>
        </w:tc>
        <w:tc>
          <w:tcPr>
            <w:tcW w:w="0" w:type="dxa"/>
            <w:tcBorders>
              <w:top w:val="single" w:sz="4" w:space="0" w:color="1C556C" w:themeColor="accent1"/>
              <w:left w:val="single" w:sz="4" w:space="0" w:color="FFFFFF" w:themeColor="background1"/>
              <w:bottom w:val="nil"/>
              <w:right w:val="single" w:sz="4" w:space="0" w:color="FFFFFF" w:themeColor="background1"/>
            </w:tcBorders>
            <w:noWrap/>
            <w:vAlign w:val="center"/>
            <w:hideMark/>
          </w:tcPr>
          <w:p w14:paraId="744B962B" w14:textId="0B0C1C18" w:rsidR="00A90882"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 xml:space="preserve">Rate </w:t>
            </w:r>
            <w:r w:rsidR="00E63FBF">
              <w:rPr>
                <w:sz w:val="20"/>
                <w:szCs w:val="20"/>
              </w:rPr>
              <w:br/>
            </w:r>
            <w:r w:rsidRPr="00762667">
              <w:rPr>
                <w:sz w:val="20"/>
                <w:szCs w:val="20"/>
              </w:rPr>
              <w:t>(80%)</w:t>
            </w:r>
            <w:r w:rsidR="00E63FBF">
              <w:rPr>
                <w:sz w:val="20"/>
                <w:szCs w:val="20"/>
              </w:rPr>
              <w:br/>
            </w:r>
            <w:r w:rsidR="00AC5C56">
              <w:rPr>
                <w:sz w:val="20"/>
                <w:szCs w:val="20"/>
              </w:rPr>
              <w:t>$/hr</w:t>
            </w:r>
          </w:p>
        </w:tc>
        <w:tc>
          <w:tcPr>
            <w:tcW w:w="0" w:type="dxa"/>
            <w:tcBorders>
              <w:top w:val="single" w:sz="4" w:space="0" w:color="1C556C" w:themeColor="accent1"/>
              <w:left w:val="single" w:sz="4" w:space="0" w:color="FFFFFF" w:themeColor="background1"/>
              <w:bottom w:val="nil"/>
              <w:right w:val="single" w:sz="4" w:space="0" w:color="FFFFFF" w:themeColor="background1"/>
            </w:tcBorders>
            <w:noWrap/>
            <w:vAlign w:val="center"/>
            <w:hideMark/>
          </w:tcPr>
          <w:p w14:paraId="12CCE689" w14:textId="77777777" w:rsidR="00351C82"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762667">
              <w:rPr>
                <w:sz w:val="20"/>
                <w:szCs w:val="20"/>
              </w:rPr>
              <w:t>Hours</w:t>
            </w:r>
          </w:p>
        </w:tc>
        <w:tc>
          <w:tcPr>
            <w:tcW w:w="0" w:type="dxa"/>
            <w:tcBorders>
              <w:top w:val="single" w:sz="4" w:space="0" w:color="1C556C" w:themeColor="accent1"/>
              <w:left w:val="single" w:sz="4" w:space="0" w:color="FFFFFF" w:themeColor="background1"/>
              <w:bottom w:val="nil"/>
              <w:right w:val="single" w:sz="4" w:space="0" w:color="FFFFFF" w:themeColor="background1"/>
            </w:tcBorders>
            <w:noWrap/>
            <w:vAlign w:val="center"/>
            <w:hideMark/>
          </w:tcPr>
          <w:p w14:paraId="59B4D36F" w14:textId="77777777" w:rsidR="00351C82"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762667">
              <w:rPr>
                <w:sz w:val="20"/>
                <w:szCs w:val="20"/>
              </w:rPr>
              <w:t>Amount</w:t>
            </w:r>
          </w:p>
        </w:tc>
        <w:tc>
          <w:tcPr>
            <w:tcW w:w="0" w:type="dxa"/>
            <w:tcBorders>
              <w:top w:val="single" w:sz="4" w:space="0" w:color="1C556C" w:themeColor="accent1"/>
              <w:left w:val="single" w:sz="4" w:space="0" w:color="FFFFFF" w:themeColor="background1"/>
              <w:bottom w:val="nil"/>
              <w:right w:val="single" w:sz="4" w:space="0" w:color="FFFFFF" w:themeColor="background1"/>
            </w:tcBorders>
            <w:vAlign w:val="center"/>
            <w:hideMark/>
          </w:tcPr>
          <w:p w14:paraId="092035F9" w14:textId="098446B9" w:rsidR="00AC5C56"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 xml:space="preserve">2024/25 </w:t>
            </w:r>
            <w:r w:rsidR="00E63FBF">
              <w:rPr>
                <w:sz w:val="20"/>
                <w:szCs w:val="20"/>
              </w:rPr>
              <w:br/>
            </w:r>
            <w:r w:rsidR="00AC5C56">
              <w:rPr>
                <w:sz w:val="20"/>
                <w:szCs w:val="20"/>
              </w:rPr>
              <w:t>r</w:t>
            </w:r>
            <w:r w:rsidRPr="00762667">
              <w:rPr>
                <w:sz w:val="20"/>
                <w:szCs w:val="20"/>
              </w:rPr>
              <w:t>ates (80%)</w:t>
            </w:r>
            <w:r w:rsidR="00D10E9B">
              <w:rPr>
                <w:b w:val="0"/>
                <w:bCs w:val="0"/>
                <w:sz w:val="20"/>
                <w:szCs w:val="20"/>
              </w:rPr>
              <w:t xml:space="preserve"> </w:t>
            </w:r>
            <w:r w:rsidR="00AC5C56">
              <w:rPr>
                <w:sz w:val="20"/>
                <w:szCs w:val="20"/>
              </w:rPr>
              <w:t>$/hr</w:t>
            </w:r>
          </w:p>
        </w:tc>
        <w:tc>
          <w:tcPr>
            <w:tcW w:w="0" w:type="dxa"/>
            <w:tcBorders>
              <w:top w:val="single" w:sz="4" w:space="0" w:color="1C556C" w:themeColor="accent1"/>
              <w:left w:val="single" w:sz="4" w:space="0" w:color="FFFFFF" w:themeColor="background1"/>
              <w:bottom w:val="nil"/>
              <w:right w:val="single" w:sz="4" w:space="0" w:color="1C556C" w:themeColor="accent1"/>
            </w:tcBorders>
            <w:noWrap/>
            <w:vAlign w:val="center"/>
            <w:hideMark/>
          </w:tcPr>
          <w:p w14:paraId="33C35378" w14:textId="77777777" w:rsidR="00351C82" w:rsidRPr="00762667" w:rsidRDefault="00351C82" w:rsidP="00722B9E">
            <w:pPr>
              <w:pStyle w:val="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762667">
              <w:rPr>
                <w:sz w:val="20"/>
                <w:szCs w:val="20"/>
              </w:rPr>
              <w:t>Amount</w:t>
            </w:r>
          </w:p>
        </w:tc>
      </w:tr>
      <w:tr w:rsidR="0043403A" w:rsidRPr="00C8361D" w14:paraId="7C68012C" w14:textId="77777777" w:rsidTr="00813E8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right w:val="single" w:sz="8" w:space="0" w:color="1C556C" w:themeColor="accent1"/>
            </w:tcBorders>
            <w:hideMark/>
          </w:tcPr>
          <w:p w14:paraId="4EB75E50" w14:textId="77777777" w:rsidR="00351C82" w:rsidRPr="00722B9E" w:rsidRDefault="00351C82">
            <w:pPr>
              <w:pStyle w:val="TableText"/>
              <w:rPr>
                <w:b w:val="0"/>
                <w:bCs w:val="0"/>
                <w:sz w:val="20"/>
                <w:szCs w:val="20"/>
              </w:rPr>
            </w:pPr>
            <w:r w:rsidRPr="00722B9E">
              <w:rPr>
                <w:b w:val="0"/>
                <w:bCs w:val="0"/>
                <w:sz w:val="20"/>
                <w:szCs w:val="20"/>
              </w:rPr>
              <w:t xml:space="preserve">Administrator </w:t>
            </w:r>
          </w:p>
        </w:tc>
        <w:tc>
          <w:tcPr>
            <w:tcW w:w="0" w:type="dxa"/>
            <w:tcBorders>
              <w:top w:val="nil"/>
              <w:left w:val="single" w:sz="8" w:space="0" w:color="1C556C" w:themeColor="accent1"/>
              <w:right w:val="single" w:sz="8" w:space="0" w:color="1C556C" w:themeColor="accent1"/>
            </w:tcBorders>
            <w:noWrap/>
            <w:hideMark/>
          </w:tcPr>
          <w:p w14:paraId="6BAA139A" w14:textId="7136C8DB"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97.00</w:t>
            </w:r>
          </w:p>
        </w:tc>
        <w:tc>
          <w:tcPr>
            <w:tcW w:w="0" w:type="dxa"/>
            <w:tcBorders>
              <w:top w:val="nil"/>
              <w:left w:val="single" w:sz="8" w:space="0" w:color="1C556C" w:themeColor="accent1"/>
              <w:right w:val="single" w:sz="8" w:space="0" w:color="1C556C" w:themeColor="accent1"/>
            </w:tcBorders>
            <w:noWrap/>
            <w:hideMark/>
          </w:tcPr>
          <w:p w14:paraId="76BEF467" w14:textId="5DC4623B"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77.96</w:t>
            </w:r>
          </w:p>
        </w:tc>
        <w:tc>
          <w:tcPr>
            <w:tcW w:w="0" w:type="dxa"/>
            <w:tcBorders>
              <w:top w:val="nil"/>
              <w:left w:val="single" w:sz="8" w:space="0" w:color="1C556C" w:themeColor="accent1"/>
              <w:right w:val="single" w:sz="8" w:space="0" w:color="1C556C" w:themeColor="accent1"/>
            </w:tcBorders>
            <w:noWrap/>
            <w:hideMark/>
          </w:tcPr>
          <w:p w14:paraId="16B2FE32" w14:textId="3C71F7B6" w:rsidR="00351C82" w:rsidRPr="00762667" w:rsidRDefault="00A30F6E">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351C82" w:rsidRPr="00762667">
              <w:rPr>
                <w:sz w:val="20"/>
                <w:szCs w:val="20"/>
              </w:rPr>
              <w:t xml:space="preserve">0.75 </w:t>
            </w:r>
          </w:p>
        </w:tc>
        <w:tc>
          <w:tcPr>
            <w:tcW w:w="0" w:type="dxa"/>
            <w:tcBorders>
              <w:top w:val="nil"/>
              <w:left w:val="single" w:sz="8" w:space="0" w:color="1C556C" w:themeColor="accent1"/>
              <w:right w:val="single" w:sz="8" w:space="0" w:color="1C556C" w:themeColor="accent1"/>
            </w:tcBorders>
            <w:noWrap/>
            <w:hideMark/>
          </w:tcPr>
          <w:p w14:paraId="6BCE717E" w14:textId="0C88FEA2"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58.47</w:t>
            </w:r>
          </w:p>
        </w:tc>
        <w:tc>
          <w:tcPr>
            <w:tcW w:w="0" w:type="dxa"/>
            <w:tcBorders>
              <w:top w:val="nil"/>
              <w:left w:val="single" w:sz="8" w:space="0" w:color="1C556C" w:themeColor="accent1"/>
              <w:right w:val="single" w:sz="8" w:space="0" w:color="1C556C" w:themeColor="accent1"/>
            </w:tcBorders>
            <w:noWrap/>
            <w:hideMark/>
          </w:tcPr>
          <w:p w14:paraId="69E4EADA" w14:textId="7E9D523B"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118.40</w:t>
            </w:r>
          </w:p>
        </w:tc>
        <w:tc>
          <w:tcPr>
            <w:tcW w:w="0" w:type="dxa"/>
            <w:tcBorders>
              <w:top w:val="nil"/>
              <w:left w:val="single" w:sz="8" w:space="0" w:color="1C556C" w:themeColor="accent1"/>
              <w:right w:val="nil"/>
            </w:tcBorders>
            <w:noWrap/>
            <w:hideMark/>
          </w:tcPr>
          <w:p w14:paraId="0E12A59C" w14:textId="7468A94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88.80</w:t>
            </w:r>
          </w:p>
        </w:tc>
      </w:tr>
      <w:tr w:rsidR="0043403A" w:rsidRPr="00AC5C56" w14:paraId="43DD3E31" w14:textId="77777777" w:rsidTr="00813E81">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1C556C" w:themeColor="accent1"/>
              <w:left w:val="nil"/>
              <w:bottom w:val="single" w:sz="8" w:space="0" w:color="1C556C" w:themeColor="accent1"/>
              <w:right w:val="single" w:sz="8" w:space="0" w:color="1C556C" w:themeColor="accent1"/>
            </w:tcBorders>
            <w:hideMark/>
          </w:tcPr>
          <w:p w14:paraId="3D01FB55" w14:textId="77777777" w:rsidR="00351C82" w:rsidRPr="00722B9E" w:rsidRDefault="00351C82">
            <w:pPr>
              <w:pStyle w:val="TableText"/>
              <w:rPr>
                <w:b w:val="0"/>
                <w:bCs w:val="0"/>
                <w:sz w:val="20"/>
                <w:szCs w:val="20"/>
              </w:rPr>
            </w:pPr>
            <w:r w:rsidRPr="00722B9E">
              <w:rPr>
                <w:b w:val="0"/>
                <w:bCs w:val="0"/>
                <w:sz w:val="20"/>
                <w:szCs w:val="20"/>
              </w:rPr>
              <w:t xml:space="preserve">Advisor </w:t>
            </w:r>
          </w:p>
        </w:tc>
        <w:tc>
          <w:tcPr>
            <w:tcW w:w="0"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1013B995" w14:textId="6E32EEC5"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104.00</w:t>
            </w:r>
          </w:p>
        </w:tc>
        <w:tc>
          <w:tcPr>
            <w:tcW w:w="0"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5FC34A77" w14:textId="32FEDDA6"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83.00</w:t>
            </w:r>
          </w:p>
        </w:tc>
        <w:tc>
          <w:tcPr>
            <w:tcW w:w="0"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620CA00E" w14:textId="7B38C560" w:rsidR="00351C82" w:rsidRPr="00762667" w:rsidRDefault="00A30F6E">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351C82" w:rsidRPr="00762667">
              <w:rPr>
                <w:sz w:val="20"/>
                <w:szCs w:val="20"/>
              </w:rPr>
              <w:t xml:space="preserve">1.00 </w:t>
            </w:r>
          </w:p>
        </w:tc>
        <w:tc>
          <w:tcPr>
            <w:tcW w:w="0"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19651759" w14:textId="09A986D4"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83.00</w:t>
            </w:r>
          </w:p>
        </w:tc>
        <w:tc>
          <w:tcPr>
            <w:tcW w:w="0"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noWrap/>
            <w:hideMark/>
          </w:tcPr>
          <w:p w14:paraId="563D7823" w14:textId="47A63B65"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148.80</w:t>
            </w:r>
          </w:p>
        </w:tc>
        <w:tc>
          <w:tcPr>
            <w:tcW w:w="0" w:type="dxa"/>
            <w:tcBorders>
              <w:top w:val="single" w:sz="8" w:space="0" w:color="1C556C" w:themeColor="accent1"/>
              <w:left w:val="single" w:sz="8" w:space="0" w:color="1C556C" w:themeColor="accent1"/>
              <w:bottom w:val="single" w:sz="8" w:space="0" w:color="1C556C" w:themeColor="accent1"/>
              <w:right w:val="nil"/>
            </w:tcBorders>
            <w:noWrap/>
            <w:hideMark/>
          </w:tcPr>
          <w:p w14:paraId="0F36C982" w14:textId="4F417D5D"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148.80</w:t>
            </w:r>
          </w:p>
        </w:tc>
      </w:tr>
      <w:tr w:rsidR="00E63FBF" w:rsidRPr="00AC5C56" w14:paraId="2D956848" w14:textId="77777777" w:rsidTr="00813E8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nil"/>
              <w:right w:val="single" w:sz="8" w:space="0" w:color="1C556C" w:themeColor="accent1"/>
            </w:tcBorders>
          </w:tcPr>
          <w:p w14:paraId="5A7553D6" w14:textId="77777777" w:rsidR="00E63FBF" w:rsidRPr="00762667" w:rsidRDefault="00E63FBF">
            <w:pPr>
              <w:pStyle w:val="TableText"/>
              <w:rPr>
                <w:sz w:val="20"/>
                <w:szCs w:val="20"/>
              </w:rPr>
            </w:pPr>
          </w:p>
        </w:tc>
        <w:tc>
          <w:tcPr>
            <w:tcW w:w="0" w:type="dxa"/>
            <w:tcBorders>
              <w:left w:val="single" w:sz="8" w:space="0" w:color="1C556C" w:themeColor="accent1"/>
              <w:right w:val="single" w:sz="8" w:space="0" w:color="1C556C" w:themeColor="accent1"/>
            </w:tcBorders>
            <w:noWrap/>
          </w:tcPr>
          <w:p w14:paraId="621E3160" w14:textId="77777777" w:rsidR="00E63FBF" w:rsidRPr="00762667" w:rsidRDefault="00E63FBF">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8" w:space="0" w:color="1C556C" w:themeColor="accent1"/>
              <w:right w:val="single" w:sz="8" w:space="0" w:color="1C556C" w:themeColor="accent1"/>
            </w:tcBorders>
            <w:noWrap/>
          </w:tcPr>
          <w:p w14:paraId="3B591AA6" w14:textId="77777777" w:rsidR="00E63FBF" w:rsidRPr="00762667" w:rsidRDefault="00E63FBF">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8" w:space="0" w:color="1C556C" w:themeColor="accent1"/>
              <w:right w:val="single" w:sz="8" w:space="0" w:color="1C556C" w:themeColor="accent1"/>
            </w:tcBorders>
            <w:noWrap/>
          </w:tcPr>
          <w:p w14:paraId="646025EC" w14:textId="77777777" w:rsidR="00E63FBF" w:rsidRPr="00762667" w:rsidDel="00A30F6E" w:rsidRDefault="00E63FBF">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8" w:space="0" w:color="1C556C" w:themeColor="accent1"/>
              <w:right w:val="single" w:sz="8" w:space="0" w:color="1C556C" w:themeColor="accent1"/>
            </w:tcBorders>
            <w:noWrap/>
          </w:tcPr>
          <w:p w14:paraId="579BC3D9" w14:textId="3BCCC973" w:rsidR="00E63FBF" w:rsidRPr="00722B9E" w:rsidRDefault="00E63FBF">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722B9E">
              <w:rPr>
                <w:b/>
                <w:bCs/>
                <w:sz w:val="20"/>
                <w:szCs w:val="20"/>
              </w:rPr>
              <w:t>141.47</w:t>
            </w:r>
          </w:p>
        </w:tc>
        <w:tc>
          <w:tcPr>
            <w:tcW w:w="0" w:type="dxa"/>
            <w:tcBorders>
              <w:left w:val="single" w:sz="8" w:space="0" w:color="1C556C" w:themeColor="accent1"/>
              <w:right w:val="single" w:sz="8" w:space="0" w:color="1C556C" w:themeColor="accent1"/>
            </w:tcBorders>
            <w:noWrap/>
          </w:tcPr>
          <w:p w14:paraId="0DB53201" w14:textId="77777777" w:rsidR="00E63FBF" w:rsidRPr="00762667" w:rsidRDefault="00E63FBF">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8" w:space="0" w:color="1C556C" w:themeColor="accent1"/>
              <w:right w:val="nil"/>
            </w:tcBorders>
            <w:noWrap/>
          </w:tcPr>
          <w:p w14:paraId="7B4BFF7D" w14:textId="401E5AA7" w:rsidR="00E63FBF" w:rsidRPr="00E63FBF" w:rsidRDefault="00E63FBF">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E63FBF">
              <w:rPr>
                <w:b/>
                <w:bCs/>
                <w:sz w:val="20"/>
                <w:szCs w:val="20"/>
              </w:rPr>
              <w:t>237.60</w:t>
            </w:r>
          </w:p>
        </w:tc>
      </w:tr>
    </w:tbl>
    <w:p w14:paraId="79660885" w14:textId="744E661D" w:rsidR="00351C82" w:rsidRPr="00264E7E" w:rsidRDefault="00351C82" w:rsidP="00722B9E">
      <w:pPr>
        <w:pStyle w:val="BodyText"/>
        <w:spacing w:before="240"/>
      </w:pPr>
      <w:r w:rsidRPr="00264E7E">
        <w:t>An example of a permitted activity is the deposit of material on the seabed from launch of a space activity. Based on a review of invoices over the last few years</w:t>
      </w:r>
      <w:r w:rsidR="00BF6D75">
        <w:t>,</w:t>
      </w:r>
      <w:r w:rsidRPr="00264E7E">
        <w:t xml:space="preserve"> </w:t>
      </w:r>
      <w:r w:rsidR="00BF6D75">
        <w:fldChar w:fldCharType="begin"/>
      </w:r>
      <w:r w:rsidR="00BF6D75">
        <w:instrText xml:space="preserve"> REF _Ref114654800 \h </w:instrText>
      </w:r>
      <w:r w:rsidR="006164DD">
        <w:instrText xml:space="preserve"> \* MERGEFORMAT </w:instrText>
      </w:r>
      <w:r w:rsidR="00BF6D75">
        <w:fldChar w:fldCharType="separate"/>
      </w:r>
      <w:r w:rsidR="006773F6">
        <w:t>t</w:t>
      </w:r>
      <w:r w:rsidR="00AC5C56">
        <w:t xml:space="preserve">able </w:t>
      </w:r>
      <w:r w:rsidR="00AC5C56">
        <w:rPr>
          <w:noProof/>
        </w:rPr>
        <w:t>14</w:t>
      </w:r>
      <w:r w:rsidR="00BF6D75">
        <w:fldChar w:fldCharType="end"/>
      </w:r>
      <w:r w:rsidR="00BF6D75">
        <w:t xml:space="preserve"> </w:t>
      </w:r>
      <w:r w:rsidRPr="00264E7E">
        <w:t>provides a reworked example</w:t>
      </w:r>
      <w:r w:rsidR="00DA46E4">
        <w:t xml:space="preserve"> using the proposed 2024/</w:t>
      </w:r>
      <w:r w:rsidR="00BB43E5">
        <w:t>2</w:t>
      </w:r>
      <w:r w:rsidR="00DA46E4">
        <w:t xml:space="preserve">5 </w:t>
      </w:r>
      <w:r w:rsidR="00232CEE">
        <w:t xml:space="preserve">charge-out </w:t>
      </w:r>
      <w:r w:rsidR="00DA46E4">
        <w:t>rates. It</w:t>
      </w:r>
      <w:r w:rsidRPr="00264E7E">
        <w:t xml:space="preserve"> show</w:t>
      </w:r>
      <w:r w:rsidR="00DA46E4">
        <w:t>s</w:t>
      </w:r>
      <w:r w:rsidRPr="00264E7E">
        <w:t xml:space="preserve"> an increased cost could be incurred</w:t>
      </w:r>
      <w:r w:rsidR="00BB43E5">
        <w:t xml:space="preserve"> –</w:t>
      </w:r>
      <w:r w:rsidRPr="00264E7E">
        <w:t xml:space="preserve"> from $141 to $238. This is a $97 increase (68</w:t>
      </w:r>
      <w:r w:rsidR="00047C08">
        <w:t xml:space="preserve"> per cent</w:t>
      </w:r>
      <w:r w:rsidRPr="00264E7E">
        <w:t>).</w:t>
      </w:r>
      <w:r w:rsidR="00E83000" w:rsidRPr="00E83000">
        <w:t xml:space="preserve"> </w:t>
      </w:r>
    </w:p>
    <w:p w14:paraId="561B48FB" w14:textId="07E833B2" w:rsidR="00BF6D75" w:rsidRDefault="00BF6D75" w:rsidP="00762667">
      <w:pPr>
        <w:pStyle w:val="Tableheading"/>
      </w:pPr>
      <w:bookmarkStart w:id="77" w:name="_Ref114654837"/>
      <w:bookmarkStart w:id="78" w:name="_Toc115682252"/>
      <w:r>
        <w:t xml:space="preserve">Table </w:t>
      </w:r>
      <w:r w:rsidR="002D4F05">
        <w:fldChar w:fldCharType="begin"/>
      </w:r>
      <w:r w:rsidR="002D4F05">
        <w:instrText xml:space="preserve"> SEQ Table \* ARABIC </w:instrText>
      </w:r>
      <w:r w:rsidR="002D4F05">
        <w:fldChar w:fldCharType="separate"/>
      </w:r>
      <w:r w:rsidR="00AC5C56">
        <w:rPr>
          <w:noProof/>
        </w:rPr>
        <w:t>15</w:t>
      </w:r>
      <w:r w:rsidR="002D4F05">
        <w:rPr>
          <w:noProof/>
        </w:rPr>
        <w:fldChar w:fldCharType="end"/>
      </w:r>
      <w:bookmarkEnd w:id="77"/>
      <w:r>
        <w:t xml:space="preserve">: </w:t>
      </w:r>
      <w:r w:rsidR="00A21651">
        <w:tab/>
      </w:r>
      <w:r w:rsidRPr="005D4521">
        <w:t>Worked example of potential impact on a certification of dredging sampling plan, using the proposed 2023/</w:t>
      </w:r>
      <w:r w:rsidR="005A65A3">
        <w:t>2</w:t>
      </w:r>
      <w:r w:rsidRPr="005D4521">
        <w:t>4 charge-out rates</w:t>
      </w:r>
      <w:r w:rsidR="006721BB">
        <w:t xml:space="preserve"> (ex GST)</w:t>
      </w:r>
      <w:bookmarkEnd w:id="78"/>
    </w:p>
    <w:tbl>
      <w:tblPr>
        <w:tblStyle w:val="LightList-Accent11"/>
        <w:tblW w:w="8505" w:type="dxa"/>
        <w:tblInd w:w="-5" w:type="dxa"/>
        <w:tblBorders>
          <w:top w:val="none" w:sz="0" w:space="0" w:color="auto"/>
          <w:left w:val="none" w:sz="0" w:space="0" w:color="auto"/>
          <w:bottom w:val="single" w:sz="4" w:space="0" w:color="1B556B"/>
          <w:right w:val="none" w:sz="0" w:space="0" w:color="auto"/>
          <w:insideH w:val="single" w:sz="8" w:space="0" w:color="1C556C" w:themeColor="accent1"/>
          <w:insideV w:val="single" w:sz="8" w:space="0" w:color="1C556C" w:themeColor="accent1"/>
        </w:tblBorders>
        <w:tblLook w:val="04A0" w:firstRow="1" w:lastRow="0" w:firstColumn="1" w:lastColumn="0" w:noHBand="0" w:noVBand="1"/>
      </w:tblPr>
      <w:tblGrid>
        <w:gridCol w:w="2212"/>
        <w:gridCol w:w="1163"/>
        <w:gridCol w:w="1395"/>
        <w:gridCol w:w="1700"/>
        <w:gridCol w:w="1107"/>
        <w:gridCol w:w="928"/>
      </w:tblGrid>
      <w:tr w:rsidR="0043403A" w:rsidRPr="00BB43E5" w14:paraId="517980CD" w14:textId="77777777" w:rsidTr="00813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C556C" w:themeColor="accent1"/>
              <w:left w:val="single" w:sz="4" w:space="0" w:color="1C556C" w:themeColor="accent1"/>
              <w:bottom w:val="nil"/>
              <w:right w:val="single" w:sz="8" w:space="0" w:color="FFFFFF" w:themeColor="background1"/>
            </w:tcBorders>
            <w:vAlign w:val="center"/>
          </w:tcPr>
          <w:p w14:paraId="77F94C44" w14:textId="77777777" w:rsidR="00351C82" w:rsidRPr="00762667" w:rsidRDefault="00351C82" w:rsidP="00E63FBF">
            <w:pPr>
              <w:pStyle w:val="TableText"/>
              <w:rPr>
                <w:sz w:val="20"/>
                <w:szCs w:val="20"/>
              </w:rPr>
            </w:pPr>
            <w:r w:rsidRPr="00762667">
              <w:rPr>
                <w:sz w:val="20"/>
                <w:szCs w:val="20"/>
              </w:rPr>
              <w:t>Role</w:t>
            </w:r>
          </w:p>
        </w:tc>
        <w:tc>
          <w:tcPr>
            <w:tcW w:w="0" w:type="dxa"/>
            <w:tcBorders>
              <w:top w:val="single" w:sz="4" w:space="0" w:color="1C556C" w:themeColor="accent1"/>
              <w:left w:val="single" w:sz="8" w:space="0" w:color="FFFFFF" w:themeColor="background1"/>
              <w:bottom w:val="nil"/>
              <w:right w:val="single" w:sz="8" w:space="0" w:color="FFFFFF" w:themeColor="background1"/>
            </w:tcBorders>
            <w:vAlign w:val="center"/>
          </w:tcPr>
          <w:p w14:paraId="31EFD752" w14:textId="77777777" w:rsidR="00351C82" w:rsidRPr="00762667" w:rsidRDefault="00351C82" w:rsidP="00E63FBF">
            <w:pPr>
              <w:pStyle w:val="TableT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Hours</w:t>
            </w:r>
          </w:p>
        </w:tc>
        <w:tc>
          <w:tcPr>
            <w:tcW w:w="0" w:type="dxa"/>
            <w:tcBorders>
              <w:top w:val="single" w:sz="4" w:space="0" w:color="1C556C" w:themeColor="accent1"/>
              <w:left w:val="single" w:sz="8" w:space="0" w:color="FFFFFF" w:themeColor="background1"/>
              <w:bottom w:val="nil"/>
              <w:right w:val="single" w:sz="8" w:space="0" w:color="FFFFFF" w:themeColor="background1"/>
            </w:tcBorders>
            <w:vAlign w:val="center"/>
          </w:tcPr>
          <w:p w14:paraId="59244020" w14:textId="02BF0F85" w:rsidR="00BB43E5" w:rsidRPr="00762667" w:rsidRDefault="00351C82" w:rsidP="00E63FBF">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762667">
              <w:rPr>
                <w:sz w:val="20"/>
                <w:szCs w:val="20"/>
              </w:rPr>
              <w:t xml:space="preserve">Current </w:t>
            </w:r>
            <w:r w:rsidR="00BB43E5" w:rsidRPr="00762667">
              <w:rPr>
                <w:sz w:val="20"/>
                <w:szCs w:val="20"/>
              </w:rPr>
              <w:t>r</w:t>
            </w:r>
            <w:r w:rsidRPr="00762667">
              <w:rPr>
                <w:sz w:val="20"/>
                <w:szCs w:val="20"/>
              </w:rPr>
              <w:t>ate</w:t>
            </w:r>
            <w:r w:rsidR="00BB43E5">
              <w:rPr>
                <w:sz w:val="20"/>
                <w:szCs w:val="20"/>
              </w:rPr>
              <w:t xml:space="preserve"> $/hr</w:t>
            </w:r>
          </w:p>
        </w:tc>
        <w:tc>
          <w:tcPr>
            <w:tcW w:w="0" w:type="dxa"/>
            <w:tcBorders>
              <w:top w:val="single" w:sz="4" w:space="0" w:color="1C556C" w:themeColor="accent1"/>
              <w:left w:val="single" w:sz="8" w:space="0" w:color="FFFFFF" w:themeColor="background1"/>
              <w:bottom w:val="nil"/>
              <w:right w:val="single" w:sz="8" w:space="0" w:color="FFFFFF" w:themeColor="background1"/>
            </w:tcBorders>
            <w:vAlign w:val="center"/>
          </w:tcPr>
          <w:p w14:paraId="5EBCF592" w14:textId="75F1FC88" w:rsidR="00BB43E5" w:rsidRPr="00762667" w:rsidRDefault="00351C82" w:rsidP="00E63FBF">
            <w:pPr>
              <w:pStyle w:val="TableT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2667">
              <w:rPr>
                <w:sz w:val="20"/>
                <w:szCs w:val="20"/>
              </w:rPr>
              <w:t xml:space="preserve">Proposed </w:t>
            </w:r>
            <w:r w:rsidR="00BB43E5" w:rsidRPr="00762667">
              <w:rPr>
                <w:sz w:val="20"/>
                <w:szCs w:val="20"/>
              </w:rPr>
              <w:t>r</w:t>
            </w:r>
            <w:r w:rsidRPr="00762667">
              <w:rPr>
                <w:sz w:val="20"/>
                <w:szCs w:val="20"/>
              </w:rPr>
              <w:t>ate</w:t>
            </w:r>
            <w:r w:rsidR="000E0DB2" w:rsidRPr="00762667">
              <w:rPr>
                <w:sz w:val="20"/>
                <w:szCs w:val="20"/>
              </w:rPr>
              <w:t xml:space="preserve"> (</w:t>
            </w:r>
            <w:r w:rsidR="00F25317" w:rsidRPr="00762667">
              <w:rPr>
                <w:sz w:val="20"/>
                <w:szCs w:val="20"/>
              </w:rPr>
              <w:t>2023/24</w:t>
            </w:r>
            <w:r w:rsidR="000E0DB2" w:rsidRPr="00762667">
              <w:rPr>
                <w:sz w:val="20"/>
                <w:szCs w:val="20"/>
              </w:rPr>
              <w:t>)</w:t>
            </w:r>
            <w:r w:rsidR="00BB43E5">
              <w:rPr>
                <w:b w:val="0"/>
                <w:bCs w:val="0"/>
                <w:sz w:val="20"/>
                <w:szCs w:val="20"/>
              </w:rPr>
              <w:t xml:space="preserve"> </w:t>
            </w:r>
            <w:r w:rsidR="00E63FBF">
              <w:rPr>
                <w:b w:val="0"/>
                <w:bCs w:val="0"/>
                <w:sz w:val="20"/>
                <w:szCs w:val="20"/>
              </w:rPr>
              <w:br/>
            </w:r>
            <w:r w:rsidR="00BB43E5">
              <w:rPr>
                <w:sz w:val="20"/>
                <w:szCs w:val="20"/>
              </w:rPr>
              <w:t>$/hr</w:t>
            </w:r>
          </w:p>
        </w:tc>
        <w:tc>
          <w:tcPr>
            <w:tcW w:w="0" w:type="dxa"/>
            <w:gridSpan w:val="2"/>
            <w:tcBorders>
              <w:top w:val="single" w:sz="4" w:space="0" w:color="1C556C" w:themeColor="accent1"/>
              <w:left w:val="single" w:sz="8" w:space="0" w:color="FFFFFF" w:themeColor="background1"/>
              <w:bottom w:val="nil"/>
              <w:right w:val="single" w:sz="4" w:space="0" w:color="1C556C" w:themeColor="accent1"/>
            </w:tcBorders>
            <w:vAlign w:val="center"/>
          </w:tcPr>
          <w:p w14:paraId="1225DC1A" w14:textId="77777777" w:rsidR="00351C82" w:rsidRPr="00762667" w:rsidRDefault="00351C82" w:rsidP="00E63FBF">
            <w:pPr>
              <w:pStyle w:val="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762667">
              <w:rPr>
                <w:sz w:val="20"/>
                <w:szCs w:val="20"/>
              </w:rPr>
              <w:t>Increase</w:t>
            </w:r>
          </w:p>
        </w:tc>
      </w:tr>
      <w:tr w:rsidR="00407330" w:rsidRPr="00BB43E5" w14:paraId="2A8EC1FF"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tcPr>
          <w:p w14:paraId="3D4F0A85" w14:textId="36C1ED3F" w:rsidR="00351C82" w:rsidRPr="00E63FBF" w:rsidRDefault="00351C82">
            <w:pPr>
              <w:pStyle w:val="TableText"/>
              <w:rPr>
                <w:b w:val="0"/>
                <w:bCs w:val="0"/>
                <w:sz w:val="20"/>
                <w:szCs w:val="20"/>
              </w:rPr>
            </w:pPr>
            <w:r w:rsidRPr="00E63FBF">
              <w:rPr>
                <w:b w:val="0"/>
                <w:bCs w:val="0"/>
                <w:sz w:val="20"/>
                <w:szCs w:val="20"/>
              </w:rPr>
              <w:t xml:space="preserve">Project </w:t>
            </w:r>
            <w:r w:rsidR="00D10E9B" w:rsidRPr="00E63FBF">
              <w:rPr>
                <w:b w:val="0"/>
                <w:bCs w:val="0"/>
                <w:sz w:val="20"/>
                <w:szCs w:val="20"/>
              </w:rPr>
              <w:t>l</w:t>
            </w:r>
            <w:r w:rsidRPr="00E63FBF">
              <w:rPr>
                <w:b w:val="0"/>
                <w:bCs w:val="0"/>
                <w:sz w:val="20"/>
                <w:szCs w:val="20"/>
              </w:rPr>
              <w:t>eader</w:t>
            </w:r>
          </w:p>
        </w:tc>
        <w:tc>
          <w:tcPr>
            <w:tcW w:w="0" w:type="dxa"/>
            <w:tcBorders>
              <w:top w:val="nil"/>
            </w:tcBorders>
          </w:tcPr>
          <w:p w14:paraId="1C536630" w14:textId="7777777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 xml:space="preserve">1.50 </w:t>
            </w:r>
          </w:p>
        </w:tc>
        <w:tc>
          <w:tcPr>
            <w:tcW w:w="0" w:type="dxa"/>
            <w:tcBorders>
              <w:top w:val="nil"/>
            </w:tcBorders>
          </w:tcPr>
          <w:p w14:paraId="4683F90F" w14:textId="48B75D48"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141</w:t>
            </w:r>
          </w:p>
        </w:tc>
        <w:tc>
          <w:tcPr>
            <w:tcW w:w="0" w:type="dxa"/>
            <w:tcBorders>
              <w:top w:val="nil"/>
            </w:tcBorders>
          </w:tcPr>
          <w:p w14:paraId="4FF68213" w14:textId="3D82735D"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251</w:t>
            </w:r>
          </w:p>
        </w:tc>
        <w:tc>
          <w:tcPr>
            <w:tcW w:w="0" w:type="dxa"/>
            <w:tcBorders>
              <w:top w:val="nil"/>
            </w:tcBorders>
          </w:tcPr>
          <w:p w14:paraId="3EE8F3A3" w14:textId="50909951"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165</w:t>
            </w:r>
          </w:p>
        </w:tc>
        <w:tc>
          <w:tcPr>
            <w:tcW w:w="0" w:type="dxa"/>
            <w:tcBorders>
              <w:top w:val="nil"/>
              <w:right w:val="nil"/>
            </w:tcBorders>
          </w:tcPr>
          <w:p w14:paraId="09D77ACD" w14:textId="7777777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 xml:space="preserve">78% </w:t>
            </w:r>
          </w:p>
        </w:tc>
      </w:tr>
      <w:tr w:rsidR="00722B9E" w:rsidRPr="00BB43E5" w14:paraId="1E123930" w14:textId="77777777" w:rsidTr="00813E81">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1C556C" w:themeColor="accent1"/>
              <w:left w:val="nil"/>
              <w:bottom w:val="single" w:sz="8" w:space="0" w:color="1C556C" w:themeColor="accent1"/>
            </w:tcBorders>
          </w:tcPr>
          <w:p w14:paraId="41B51DF7" w14:textId="56568CCB" w:rsidR="00351C82" w:rsidRPr="00E63FBF" w:rsidRDefault="00351C82">
            <w:pPr>
              <w:pStyle w:val="TableText"/>
              <w:rPr>
                <w:b w:val="0"/>
                <w:bCs w:val="0"/>
                <w:sz w:val="20"/>
                <w:szCs w:val="20"/>
              </w:rPr>
            </w:pPr>
            <w:r w:rsidRPr="00E63FBF">
              <w:rPr>
                <w:b w:val="0"/>
                <w:bCs w:val="0"/>
                <w:sz w:val="20"/>
                <w:szCs w:val="20"/>
              </w:rPr>
              <w:t xml:space="preserve">Senior </w:t>
            </w:r>
            <w:r w:rsidR="00D10E9B" w:rsidRPr="00E63FBF">
              <w:rPr>
                <w:b w:val="0"/>
                <w:bCs w:val="0"/>
                <w:sz w:val="20"/>
                <w:szCs w:val="20"/>
              </w:rPr>
              <w:t>a</w:t>
            </w:r>
            <w:r w:rsidRPr="00E63FBF">
              <w:rPr>
                <w:b w:val="0"/>
                <w:bCs w:val="0"/>
                <w:sz w:val="20"/>
                <w:szCs w:val="20"/>
              </w:rPr>
              <w:t>dvisor</w:t>
            </w:r>
          </w:p>
        </w:tc>
        <w:tc>
          <w:tcPr>
            <w:tcW w:w="0" w:type="dxa"/>
            <w:tcBorders>
              <w:top w:val="single" w:sz="8" w:space="0" w:color="1C556C" w:themeColor="accent1"/>
              <w:bottom w:val="single" w:sz="8" w:space="0" w:color="1C556C" w:themeColor="accent1"/>
            </w:tcBorders>
          </w:tcPr>
          <w:p w14:paraId="5C4B6DC3" w14:textId="77777777"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 xml:space="preserve">23.00 </w:t>
            </w:r>
          </w:p>
        </w:tc>
        <w:tc>
          <w:tcPr>
            <w:tcW w:w="0" w:type="dxa"/>
            <w:tcBorders>
              <w:top w:val="single" w:sz="8" w:space="0" w:color="1C556C" w:themeColor="accent1"/>
              <w:bottom w:val="single" w:sz="8" w:space="0" w:color="1C556C" w:themeColor="accent1"/>
            </w:tcBorders>
          </w:tcPr>
          <w:p w14:paraId="54BEB44B" w14:textId="516435D1"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116</w:t>
            </w:r>
          </w:p>
        </w:tc>
        <w:tc>
          <w:tcPr>
            <w:tcW w:w="0" w:type="dxa"/>
            <w:tcBorders>
              <w:top w:val="single" w:sz="8" w:space="0" w:color="1C556C" w:themeColor="accent1"/>
              <w:bottom w:val="single" w:sz="8" w:space="0" w:color="1C556C" w:themeColor="accent1"/>
            </w:tcBorders>
          </w:tcPr>
          <w:p w14:paraId="33179503" w14:textId="0C716640"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211</w:t>
            </w:r>
          </w:p>
        </w:tc>
        <w:tc>
          <w:tcPr>
            <w:tcW w:w="0" w:type="dxa"/>
            <w:tcBorders>
              <w:top w:val="single" w:sz="8" w:space="0" w:color="1C556C" w:themeColor="accent1"/>
              <w:bottom w:val="single" w:sz="8" w:space="0" w:color="1C556C" w:themeColor="accent1"/>
            </w:tcBorders>
          </w:tcPr>
          <w:p w14:paraId="2ABC5FEB" w14:textId="756C5820"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2,182</w:t>
            </w:r>
          </w:p>
        </w:tc>
        <w:tc>
          <w:tcPr>
            <w:tcW w:w="0" w:type="dxa"/>
            <w:tcBorders>
              <w:top w:val="single" w:sz="8" w:space="0" w:color="1C556C" w:themeColor="accent1"/>
              <w:bottom w:val="single" w:sz="8" w:space="0" w:color="1C556C" w:themeColor="accent1"/>
              <w:right w:val="nil"/>
            </w:tcBorders>
          </w:tcPr>
          <w:p w14:paraId="17B88D52" w14:textId="77777777"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 xml:space="preserve">82% </w:t>
            </w:r>
          </w:p>
        </w:tc>
      </w:tr>
      <w:tr w:rsidR="00407330" w:rsidRPr="00BB43E5" w14:paraId="04CAE324"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3C28BB55" w14:textId="77777777" w:rsidR="00351C82" w:rsidRPr="00E63FBF" w:rsidRDefault="00351C82">
            <w:pPr>
              <w:pStyle w:val="TableText"/>
              <w:rPr>
                <w:b w:val="0"/>
                <w:bCs w:val="0"/>
                <w:sz w:val="20"/>
                <w:szCs w:val="20"/>
              </w:rPr>
            </w:pPr>
            <w:r w:rsidRPr="00E63FBF">
              <w:rPr>
                <w:b w:val="0"/>
                <w:bCs w:val="0"/>
                <w:sz w:val="20"/>
                <w:szCs w:val="20"/>
              </w:rPr>
              <w:t>Advisor</w:t>
            </w:r>
          </w:p>
        </w:tc>
        <w:tc>
          <w:tcPr>
            <w:tcW w:w="0" w:type="dxa"/>
          </w:tcPr>
          <w:p w14:paraId="01A77E01" w14:textId="7777777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 xml:space="preserve">0.50 </w:t>
            </w:r>
          </w:p>
        </w:tc>
        <w:tc>
          <w:tcPr>
            <w:tcW w:w="0" w:type="dxa"/>
          </w:tcPr>
          <w:p w14:paraId="1199A2D7" w14:textId="587DAA4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104</w:t>
            </w:r>
          </w:p>
        </w:tc>
        <w:tc>
          <w:tcPr>
            <w:tcW w:w="0" w:type="dxa"/>
          </w:tcPr>
          <w:p w14:paraId="4E08C79B" w14:textId="67FA39EF"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181</w:t>
            </w:r>
          </w:p>
        </w:tc>
        <w:tc>
          <w:tcPr>
            <w:tcW w:w="0" w:type="dxa"/>
          </w:tcPr>
          <w:p w14:paraId="41DE5ED0" w14:textId="058D855B"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39</w:t>
            </w:r>
          </w:p>
        </w:tc>
        <w:tc>
          <w:tcPr>
            <w:tcW w:w="0" w:type="dxa"/>
            <w:tcBorders>
              <w:right w:val="nil"/>
            </w:tcBorders>
          </w:tcPr>
          <w:p w14:paraId="0AE81719" w14:textId="7777777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sz w:val="20"/>
                <w:szCs w:val="20"/>
              </w:rPr>
            </w:pPr>
            <w:r w:rsidRPr="00762667">
              <w:rPr>
                <w:sz w:val="20"/>
                <w:szCs w:val="20"/>
              </w:rPr>
              <w:t xml:space="preserve">74% </w:t>
            </w:r>
          </w:p>
        </w:tc>
      </w:tr>
      <w:tr w:rsidR="00722B9E" w:rsidRPr="00BB43E5" w14:paraId="7AC86C3A" w14:textId="77777777" w:rsidTr="00813E81">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1C556C" w:themeColor="accent1"/>
              <w:left w:val="nil"/>
              <w:bottom w:val="single" w:sz="8" w:space="0" w:color="1C556C" w:themeColor="accent1"/>
            </w:tcBorders>
          </w:tcPr>
          <w:p w14:paraId="7678935F" w14:textId="77777777" w:rsidR="00351C82" w:rsidRPr="00E63FBF" w:rsidRDefault="00351C82">
            <w:pPr>
              <w:pStyle w:val="TableText"/>
              <w:rPr>
                <w:b w:val="0"/>
                <w:bCs w:val="0"/>
                <w:sz w:val="20"/>
                <w:szCs w:val="20"/>
              </w:rPr>
            </w:pPr>
            <w:r w:rsidRPr="00E63FBF">
              <w:rPr>
                <w:b w:val="0"/>
                <w:bCs w:val="0"/>
                <w:sz w:val="20"/>
                <w:szCs w:val="20"/>
              </w:rPr>
              <w:t>Administrator</w:t>
            </w:r>
          </w:p>
        </w:tc>
        <w:tc>
          <w:tcPr>
            <w:tcW w:w="0" w:type="dxa"/>
            <w:tcBorders>
              <w:top w:val="single" w:sz="8" w:space="0" w:color="1C556C" w:themeColor="accent1"/>
              <w:bottom w:val="single" w:sz="8" w:space="0" w:color="1C556C" w:themeColor="accent1"/>
            </w:tcBorders>
          </w:tcPr>
          <w:p w14:paraId="0ABAA5AA" w14:textId="77777777"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 xml:space="preserve">0.75 </w:t>
            </w:r>
          </w:p>
        </w:tc>
        <w:tc>
          <w:tcPr>
            <w:tcW w:w="0" w:type="dxa"/>
            <w:tcBorders>
              <w:top w:val="single" w:sz="8" w:space="0" w:color="1C556C" w:themeColor="accent1"/>
              <w:bottom w:val="single" w:sz="8" w:space="0" w:color="1C556C" w:themeColor="accent1"/>
            </w:tcBorders>
          </w:tcPr>
          <w:p w14:paraId="357231DE" w14:textId="2141AD62"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97</w:t>
            </w:r>
          </w:p>
        </w:tc>
        <w:tc>
          <w:tcPr>
            <w:tcW w:w="0" w:type="dxa"/>
            <w:tcBorders>
              <w:top w:val="single" w:sz="8" w:space="0" w:color="1C556C" w:themeColor="accent1"/>
              <w:bottom w:val="single" w:sz="8" w:space="0" w:color="1C556C" w:themeColor="accent1"/>
            </w:tcBorders>
          </w:tcPr>
          <w:p w14:paraId="78EFD395" w14:textId="6FA53A5A"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143</w:t>
            </w:r>
          </w:p>
        </w:tc>
        <w:tc>
          <w:tcPr>
            <w:tcW w:w="0" w:type="dxa"/>
            <w:tcBorders>
              <w:top w:val="single" w:sz="8" w:space="0" w:color="1C556C" w:themeColor="accent1"/>
              <w:bottom w:val="single" w:sz="8" w:space="0" w:color="1C556C" w:themeColor="accent1"/>
            </w:tcBorders>
          </w:tcPr>
          <w:p w14:paraId="2394F557" w14:textId="30BC7FEA"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34</w:t>
            </w:r>
          </w:p>
        </w:tc>
        <w:tc>
          <w:tcPr>
            <w:tcW w:w="0" w:type="dxa"/>
            <w:tcBorders>
              <w:top w:val="single" w:sz="8" w:space="0" w:color="1C556C" w:themeColor="accent1"/>
              <w:bottom w:val="single" w:sz="8" w:space="0" w:color="1C556C" w:themeColor="accent1"/>
              <w:right w:val="nil"/>
            </w:tcBorders>
          </w:tcPr>
          <w:p w14:paraId="2494C7F9" w14:textId="77777777" w:rsidR="00351C82" w:rsidRPr="00762667" w:rsidRDefault="00351C82">
            <w:pPr>
              <w:pStyle w:val="TableText"/>
              <w:jc w:val="right"/>
              <w:cnfStyle w:val="000000000000" w:firstRow="0" w:lastRow="0" w:firstColumn="0" w:lastColumn="0" w:oddVBand="0" w:evenVBand="0" w:oddHBand="0" w:evenHBand="0" w:firstRowFirstColumn="0" w:firstRowLastColumn="0" w:lastRowFirstColumn="0" w:lastRowLastColumn="0"/>
              <w:rPr>
                <w:sz w:val="20"/>
                <w:szCs w:val="20"/>
              </w:rPr>
            </w:pPr>
            <w:r w:rsidRPr="00762667">
              <w:rPr>
                <w:sz w:val="20"/>
                <w:szCs w:val="20"/>
              </w:rPr>
              <w:t xml:space="preserve">47% </w:t>
            </w:r>
          </w:p>
        </w:tc>
      </w:tr>
      <w:tr w:rsidR="00407330" w:rsidRPr="00BB43E5" w14:paraId="6F329F5E" w14:textId="77777777" w:rsidTr="00813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75ECE5ED" w14:textId="77777777" w:rsidR="00351C82" w:rsidRPr="006164DD" w:rsidRDefault="00351C82">
            <w:pPr>
              <w:pStyle w:val="TableText"/>
              <w:rPr>
                <w:sz w:val="20"/>
                <w:szCs w:val="20"/>
              </w:rPr>
            </w:pPr>
            <w:r w:rsidRPr="006164DD">
              <w:rPr>
                <w:sz w:val="20"/>
                <w:szCs w:val="20"/>
              </w:rPr>
              <w:t>Total</w:t>
            </w:r>
          </w:p>
        </w:tc>
        <w:tc>
          <w:tcPr>
            <w:tcW w:w="0" w:type="dxa"/>
          </w:tcPr>
          <w:p w14:paraId="1C3DB4DA" w14:textId="7777777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25.75</w:t>
            </w:r>
          </w:p>
        </w:tc>
        <w:tc>
          <w:tcPr>
            <w:tcW w:w="0" w:type="dxa"/>
          </w:tcPr>
          <w:p w14:paraId="064FDD80" w14:textId="4A83F92B"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3,007</w:t>
            </w:r>
          </w:p>
        </w:tc>
        <w:tc>
          <w:tcPr>
            <w:tcW w:w="0" w:type="dxa"/>
          </w:tcPr>
          <w:p w14:paraId="40F123DC" w14:textId="43FAB333"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5,427</w:t>
            </w:r>
          </w:p>
        </w:tc>
        <w:tc>
          <w:tcPr>
            <w:tcW w:w="0" w:type="dxa"/>
          </w:tcPr>
          <w:p w14:paraId="7DF976C6" w14:textId="03B9776F"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2,420</w:t>
            </w:r>
          </w:p>
        </w:tc>
        <w:tc>
          <w:tcPr>
            <w:tcW w:w="0" w:type="dxa"/>
            <w:tcBorders>
              <w:right w:val="nil"/>
            </w:tcBorders>
          </w:tcPr>
          <w:p w14:paraId="664E918C" w14:textId="77777777" w:rsidR="00351C82" w:rsidRPr="00762667" w:rsidRDefault="00351C82">
            <w:pPr>
              <w:pStyle w:val="TableText"/>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762667">
              <w:rPr>
                <w:b/>
                <w:bCs/>
                <w:sz w:val="20"/>
                <w:szCs w:val="20"/>
              </w:rPr>
              <w:t>80%</w:t>
            </w:r>
          </w:p>
        </w:tc>
      </w:tr>
    </w:tbl>
    <w:p w14:paraId="0418CE7D" w14:textId="6D6D8CA3" w:rsidR="00351C82" w:rsidRDefault="00351C82" w:rsidP="00722B9E">
      <w:pPr>
        <w:pStyle w:val="BodyText"/>
        <w:spacing w:before="240"/>
      </w:pPr>
      <w:r w:rsidRPr="00264E7E">
        <w:t xml:space="preserve">An example of a certification for a dredging sampling plan is set out in </w:t>
      </w:r>
      <w:r w:rsidR="00BF6D75">
        <w:fldChar w:fldCharType="begin"/>
      </w:r>
      <w:r w:rsidR="00BF6D75">
        <w:instrText xml:space="preserve"> REF _Ref114654837 \h </w:instrText>
      </w:r>
      <w:r w:rsidR="006164DD">
        <w:instrText xml:space="preserve"> \* MERGEFORMAT </w:instrText>
      </w:r>
      <w:r w:rsidR="00BF6D75">
        <w:fldChar w:fldCharType="separate"/>
      </w:r>
      <w:r w:rsidR="006773F6">
        <w:t>t</w:t>
      </w:r>
      <w:r w:rsidR="00D10E9B">
        <w:t xml:space="preserve">able </w:t>
      </w:r>
      <w:r w:rsidR="00D10E9B">
        <w:rPr>
          <w:noProof/>
        </w:rPr>
        <w:t>15</w:t>
      </w:r>
      <w:r w:rsidR="00BF6D75">
        <w:fldChar w:fldCharType="end"/>
      </w:r>
      <w:r w:rsidRPr="00264E7E">
        <w:t>. Reworking the example using the 2023/24 proposed charge-out rates would increase the cost to the applicant by $2,420</w:t>
      </w:r>
      <w:r w:rsidR="00D10E9B">
        <w:t>,</w:t>
      </w:r>
      <w:r w:rsidRPr="00264E7E">
        <w:t xml:space="preserve"> or 80 </w:t>
      </w:r>
      <w:r w:rsidR="00047C08">
        <w:t>per cent</w:t>
      </w:r>
      <w:r w:rsidRPr="00264E7E">
        <w:t>.</w:t>
      </w:r>
    </w:p>
    <w:p w14:paraId="46B65645" w14:textId="77777777" w:rsidR="00351C82" w:rsidRPr="007D7A6C" w:rsidRDefault="00351C82" w:rsidP="00351C82">
      <w:pPr>
        <w:spacing w:before="240"/>
      </w:pPr>
    </w:p>
    <w:p w14:paraId="5C186C22" w14:textId="77777777" w:rsidR="00351C82" w:rsidRDefault="00351C82" w:rsidP="00351C82">
      <w:pPr>
        <w:spacing w:before="0" w:after="200" w:line="276" w:lineRule="auto"/>
        <w:jc w:val="left"/>
        <w:rPr>
          <w:rFonts w:eastAsiaTheme="majorEastAsia" w:cstheme="majorBidi"/>
          <w:b/>
          <w:bCs/>
          <w:color w:val="1C556C"/>
          <w:sz w:val="48"/>
          <w:szCs w:val="28"/>
        </w:rPr>
      </w:pPr>
    </w:p>
    <w:p w14:paraId="7FEE11CC" w14:textId="7E3C3AA2" w:rsidR="00351C82" w:rsidRDefault="00351C82">
      <w:pPr>
        <w:spacing w:before="0" w:after="200" w:line="276" w:lineRule="auto"/>
        <w:jc w:val="left"/>
        <w:rPr>
          <w:rFonts w:eastAsiaTheme="majorEastAsia" w:cstheme="majorBidi"/>
          <w:b/>
          <w:bCs/>
          <w:color w:val="1C556C"/>
          <w:sz w:val="48"/>
          <w:szCs w:val="28"/>
        </w:rPr>
      </w:pPr>
      <w:r>
        <w:br w:type="page"/>
      </w:r>
    </w:p>
    <w:p w14:paraId="47C76DC8" w14:textId="46CEA072" w:rsidR="00661B8B" w:rsidRDefault="00661B8B" w:rsidP="00661B8B">
      <w:pPr>
        <w:pStyle w:val="Heading1"/>
      </w:pPr>
      <w:bookmarkStart w:id="79" w:name="_Toc114734509"/>
      <w:r w:rsidRPr="0082483D">
        <w:lastRenderedPageBreak/>
        <w:t>References</w:t>
      </w:r>
      <w:bookmarkEnd w:id="5"/>
      <w:bookmarkEnd w:id="67"/>
      <w:bookmarkEnd w:id="79"/>
    </w:p>
    <w:p w14:paraId="4F8A587E" w14:textId="77777777" w:rsidR="00906D17" w:rsidRDefault="00906D17" w:rsidP="00702B71">
      <w:pPr>
        <w:pStyle w:val="BodyText"/>
      </w:pPr>
      <w:proofErr w:type="spellStart"/>
      <w:r>
        <w:t>BusinessNZ</w:t>
      </w:r>
      <w:proofErr w:type="spellEnd"/>
      <w:r>
        <w:t xml:space="preserve">. March 2022. </w:t>
      </w:r>
      <w:r>
        <w:rPr>
          <w:i/>
          <w:iCs/>
        </w:rPr>
        <w:t>Planning Forecast</w:t>
      </w:r>
      <w:r>
        <w:t xml:space="preserve">. Retrieved from </w:t>
      </w:r>
      <w:hyperlink r:id="rId21" w:history="1">
        <w:r>
          <w:rPr>
            <w:rStyle w:val="Hyperlink"/>
          </w:rPr>
          <w:t>220314-BusinessNZ-Planning-Forecast-March-quarter-2022.pdf</w:t>
        </w:r>
      </w:hyperlink>
      <w:r>
        <w:rPr>
          <w:rStyle w:val="Hyperlink"/>
        </w:rPr>
        <w:t xml:space="preserve"> </w:t>
      </w:r>
      <w:r>
        <w:t>(22 September 2022).</w:t>
      </w:r>
    </w:p>
    <w:p w14:paraId="0971C932" w14:textId="77777777" w:rsidR="00906D17" w:rsidRDefault="00906D17" w:rsidP="00702B71">
      <w:pPr>
        <w:pStyle w:val="BodyText"/>
      </w:pPr>
      <w:r>
        <w:t xml:space="preserve">Cabinet Economic Growth and Infrastructure Committee. 12 December 2012. </w:t>
      </w:r>
      <w:r>
        <w:rPr>
          <w:i/>
          <w:iCs/>
        </w:rPr>
        <w:t>Briefing note on Permitted Activities Proposals for EEZ Environment Effects Regulations (Reference number EGI (12) 29/14)</w:t>
      </w:r>
      <w:r>
        <w:t xml:space="preserve">. Retrieved from </w:t>
      </w:r>
      <w:hyperlink r:id="rId22" w:history="1">
        <w:r>
          <w:rPr>
            <w:rStyle w:val="Hyperlink"/>
          </w:rPr>
          <w:t>https://environment.govt.nz/what-government-is-doing/cabinet-papers-and-regulatory-impact-statements/reference-number-egi-min-12-2914/</w:t>
        </w:r>
      </w:hyperlink>
      <w:r>
        <w:t xml:space="preserve"> (22 September 2022).</w:t>
      </w:r>
    </w:p>
    <w:p w14:paraId="56CB5E91" w14:textId="453AC6F1" w:rsidR="00906D17" w:rsidRDefault="00906D17" w:rsidP="00906D17">
      <w:pPr>
        <w:pStyle w:val="BodyText"/>
      </w:pPr>
      <w:r>
        <w:t>The Controller and Auditor-General</w:t>
      </w:r>
      <w:r w:rsidR="006164DD">
        <w:t xml:space="preserve"> </w:t>
      </w:r>
      <w:r>
        <w:t>|</w:t>
      </w:r>
      <w:proofErr w:type="spellStart"/>
      <w:r>
        <w:t>Tumuaki</w:t>
      </w:r>
      <w:proofErr w:type="spellEnd"/>
      <w:r>
        <w:t xml:space="preserve"> o </w:t>
      </w:r>
      <w:proofErr w:type="spellStart"/>
      <w:r>
        <w:t>te</w:t>
      </w:r>
      <w:proofErr w:type="spellEnd"/>
      <w:r>
        <w:t xml:space="preserve"> Mana </w:t>
      </w:r>
      <w:proofErr w:type="spellStart"/>
      <w:r>
        <w:t>Arotake</w:t>
      </w:r>
      <w:proofErr w:type="spellEnd"/>
      <w:r>
        <w:t xml:space="preserve">. August 2021. </w:t>
      </w:r>
      <w:r>
        <w:rPr>
          <w:i/>
          <w:iCs/>
        </w:rPr>
        <w:t>Setting and administering fees and levies for cost recovery: Good practice guide</w:t>
      </w:r>
      <w:r>
        <w:t xml:space="preserve">. Retrieved from </w:t>
      </w:r>
      <w:hyperlink r:id="rId23" w:history="1">
        <w:r>
          <w:rPr>
            <w:rStyle w:val="Hyperlink"/>
          </w:rPr>
          <w:t>https://oag.parliament.nz/2021/fees-and-levies/docs/fees-and-levies.pdf</w:t>
        </w:r>
      </w:hyperlink>
      <w:r>
        <w:t xml:space="preserve"> (22 September 2022).</w:t>
      </w:r>
    </w:p>
    <w:p w14:paraId="6D403A75" w14:textId="5A3E2C36" w:rsidR="00906D17" w:rsidRDefault="00906D17" w:rsidP="00702B71">
      <w:pPr>
        <w:pStyle w:val="BodyText"/>
      </w:pPr>
      <w:r>
        <w:t>Environmental Protection Authority</w:t>
      </w:r>
      <w:r w:rsidR="006164DD">
        <w:t xml:space="preserve"> </w:t>
      </w:r>
      <w:r>
        <w:t>|</w:t>
      </w:r>
      <w:proofErr w:type="spellStart"/>
      <w:r>
        <w:t>Te</w:t>
      </w:r>
      <w:proofErr w:type="spellEnd"/>
      <w:r>
        <w:t xml:space="preserve"> Mana </w:t>
      </w:r>
      <w:proofErr w:type="spellStart"/>
      <w:r>
        <w:t>Rauhī</w:t>
      </w:r>
      <w:proofErr w:type="spellEnd"/>
      <w:r>
        <w:t xml:space="preserve"> </w:t>
      </w:r>
      <w:proofErr w:type="spellStart"/>
      <w:r>
        <w:t>Taiao</w:t>
      </w:r>
      <w:proofErr w:type="spellEnd"/>
      <w:r>
        <w:t xml:space="preserve">. July 2021. </w:t>
      </w:r>
      <w:r>
        <w:rPr>
          <w:i/>
          <w:iCs/>
        </w:rPr>
        <w:t>EPA policy for recovering costs: For Exclusive Economic Zone and Continental Shelf (Environmental Effects) Act 2012 functions</w:t>
      </w:r>
      <w:r>
        <w:t xml:space="preserve">. Retrieved from </w:t>
      </w:r>
      <w:hyperlink r:id="rId24" w:history="1">
        <w:r>
          <w:rPr>
            <w:rStyle w:val="Hyperlink"/>
          </w:rPr>
          <w:t>https://www.epa.govt.nz/assets/Uploads/Documents/Marine-Activities-EEZ/Policies/EEZ-cost-recovery-policy.pdf</w:t>
        </w:r>
      </w:hyperlink>
      <w:r>
        <w:t xml:space="preserve"> (22 September 2022).</w:t>
      </w:r>
    </w:p>
    <w:p w14:paraId="540F9CA7" w14:textId="77777777" w:rsidR="00906D17" w:rsidRDefault="00906D17" w:rsidP="00702B71">
      <w:pPr>
        <w:pStyle w:val="BodyText"/>
      </w:pPr>
      <w:proofErr w:type="spellStart"/>
      <w:r>
        <w:rPr>
          <w:lang w:val="en-US"/>
        </w:rPr>
        <w:t>MartinJenkins</w:t>
      </w:r>
      <w:proofErr w:type="spellEnd"/>
      <w:r>
        <w:rPr>
          <w:lang w:val="en-US"/>
        </w:rPr>
        <w:t xml:space="preserve">. October 2020. </w:t>
      </w:r>
      <w:r>
        <w:rPr>
          <w:i/>
          <w:iCs/>
          <w:lang w:val="en-US"/>
        </w:rPr>
        <w:t>The EPA’s Cost Recovery Arrangements – Final Report prepared for the Ministry of the Environment</w:t>
      </w:r>
      <w:r>
        <w:rPr>
          <w:lang w:val="en-US"/>
        </w:rPr>
        <w:t>.</w:t>
      </w:r>
    </w:p>
    <w:p w14:paraId="04814705" w14:textId="7ADE2A5C" w:rsidR="00906D17" w:rsidRDefault="00906D17" w:rsidP="00702B71">
      <w:pPr>
        <w:pStyle w:val="BodyText"/>
      </w:pPr>
      <w:r>
        <w:t>The Treasury</w:t>
      </w:r>
      <w:r w:rsidR="006164DD">
        <w:t xml:space="preserve"> </w:t>
      </w:r>
      <w:r>
        <w:t>|</w:t>
      </w:r>
      <w:proofErr w:type="spellStart"/>
      <w:r>
        <w:t>Te</w:t>
      </w:r>
      <w:proofErr w:type="spellEnd"/>
      <w:r>
        <w:t xml:space="preserve"> Tai </w:t>
      </w:r>
      <w:proofErr w:type="spellStart"/>
      <w:r>
        <w:t>Ōhanga</w:t>
      </w:r>
      <w:proofErr w:type="spellEnd"/>
      <w:r>
        <w:t xml:space="preserve">. 28 April 2017. </w:t>
      </w:r>
      <w:r>
        <w:rPr>
          <w:i/>
          <w:iCs/>
        </w:rPr>
        <w:t>Guidelines for Setting Charges in the Public Sector [2017]</w:t>
      </w:r>
      <w:r>
        <w:t xml:space="preserve">. Retrieved from </w:t>
      </w:r>
      <w:hyperlink r:id="rId25" w:history="1">
        <w:r>
          <w:rPr>
            <w:rStyle w:val="Hyperlink"/>
          </w:rPr>
          <w:t>https://www.treasury.govt.nz/publications/guide/guidelines-setting-charges-public-sector-2017-html</w:t>
        </w:r>
      </w:hyperlink>
      <w:r>
        <w:t xml:space="preserve"> (22 September 2022).</w:t>
      </w:r>
    </w:p>
    <w:p w14:paraId="3830A346" w14:textId="34504175" w:rsidR="00702B71" w:rsidRPr="00702B71" w:rsidRDefault="00702B71" w:rsidP="00702B71">
      <w:pPr>
        <w:pStyle w:val="BodyText"/>
      </w:pPr>
    </w:p>
    <w:sectPr w:rsidR="00702B71" w:rsidRPr="00702B71" w:rsidSect="00A30F6E">
      <w:footerReference w:type="even" r:id="rId26"/>
      <w:footerReference w:type="default" r:id="rId27"/>
      <w:pgSz w:w="11907" w:h="16840" w:code="9"/>
      <w:pgMar w:top="1134" w:right="1701" w:bottom="851"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736A" w14:textId="77777777" w:rsidR="00BD1831" w:rsidRDefault="00BD1831" w:rsidP="0080531E">
      <w:pPr>
        <w:spacing w:before="0" w:after="0" w:line="240" w:lineRule="auto"/>
      </w:pPr>
      <w:r>
        <w:separator/>
      </w:r>
    </w:p>
    <w:p w14:paraId="5A0E9D29" w14:textId="77777777" w:rsidR="00BD1831" w:rsidRDefault="00BD1831"/>
  </w:endnote>
  <w:endnote w:type="continuationSeparator" w:id="0">
    <w:p w14:paraId="64597226" w14:textId="77777777" w:rsidR="00BD1831" w:rsidRDefault="00BD1831" w:rsidP="0080531E">
      <w:pPr>
        <w:spacing w:before="0" w:after="0" w:line="240" w:lineRule="auto"/>
      </w:pPr>
      <w:r>
        <w:continuationSeparator/>
      </w:r>
    </w:p>
    <w:p w14:paraId="567D0D52" w14:textId="77777777" w:rsidR="00BD1831" w:rsidRDefault="00BD1831"/>
  </w:endnote>
  <w:endnote w:type="continuationNotice" w:id="1">
    <w:p w14:paraId="1D51F1E0" w14:textId="77777777" w:rsidR="00BD1831" w:rsidRDefault="00BD183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7C7B" w14:textId="40837412" w:rsidR="004C579A" w:rsidRDefault="004C5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F917" w14:textId="55512D88" w:rsidR="00E453AB" w:rsidRDefault="00E5210B" w:rsidP="00CD25E1">
    <w:pPr>
      <w:pStyle w:val="Footereven"/>
    </w:pPr>
    <w:r w:rsidRPr="004F458A">
      <w:rPr>
        <w:b/>
        <w:color w:val="2B579A"/>
        <w:shd w:val="clear" w:color="auto" w:fill="E6E6E6"/>
      </w:rPr>
      <w:fldChar w:fldCharType="begin"/>
    </w:r>
    <w:r w:rsidRPr="004F458A">
      <w:instrText xml:space="preserve"> PAGE </w:instrText>
    </w:r>
    <w:r w:rsidRPr="004F458A">
      <w:rPr>
        <w:b/>
        <w:color w:val="2B579A"/>
        <w:shd w:val="clear" w:color="auto" w:fill="E6E6E6"/>
      </w:rPr>
      <w:fldChar w:fldCharType="separate"/>
    </w:r>
    <w:r w:rsidR="005D3242">
      <w:rPr>
        <w:noProof/>
      </w:rPr>
      <w:t>8</w:t>
    </w:r>
    <w:r w:rsidRPr="004F458A">
      <w:rPr>
        <w:b/>
        <w:color w:val="2B579A"/>
        <w:shd w:val="clear" w:color="auto" w:fill="E6E6E6"/>
      </w:rPr>
      <w:fldChar w:fldCharType="end"/>
    </w:r>
    <w:r>
      <w:tab/>
    </w:r>
    <w:r w:rsidR="006870A9" w:rsidRPr="006870A9">
      <w:t>Improving Aotearoa New Zealand’s environmental reporting system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14C8" w14:textId="00C6C1DC" w:rsidR="00E453AB" w:rsidRDefault="006C3888" w:rsidP="00B669B1">
    <w:pPr>
      <w:pStyle w:val="Footerodd"/>
      <w:jc w:val="right"/>
    </w:pPr>
    <w:r w:rsidRPr="006C3888">
      <w:t>Proposed changes to the Exclusive Economic Zone and Continental Shelf (Fees and Charges) Regulations 2013</w:t>
    </w:r>
    <w:r w:rsidR="00E5210B">
      <w:tab/>
    </w:r>
    <w:r w:rsidR="008540A6" w:rsidRPr="00836C77">
      <w:rPr>
        <w:shd w:val="clear" w:color="auto" w:fill="FFFFFF" w:themeFill="background1"/>
      </w:rPr>
      <w:fldChar w:fldCharType="begin"/>
    </w:r>
    <w:r w:rsidR="008540A6" w:rsidRPr="00836C77">
      <w:rPr>
        <w:shd w:val="clear" w:color="auto" w:fill="FFFFFF" w:themeFill="background1"/>
      </w:rPr>
      <w:instrText xml:space="preserve"> PAGE   \* MERGEFORMAT </w:instrText>
    </w:r>
    <w:r w:rsidR="008540A6" w:rsidRPr="00836C77">
      <w:rPr>
        <w:shd w:val="clear" w:color="auto" w:fill="FFFFFF" w:themeFill="background1"/>
      </w:rPr>
      <w:fldChar w:fldCharType="separate"/>
    </w:r>
    <w:r w:rsidR="005D3242" w:rsidRPr="00836C77">
      <w:rPr>
        <w:noProof/>
        <w:shd w:val="clear" w:color="auto" w:fill="FFFFFF" w:themeFill="background1"/>
      </w:rPr>
      <w:t>7</w:t>
    </w:r>
    <w:r w:rsidR="008540A6" w:rsidRPr="00836C77">
      <w:rPr>
        <w:shd w:val="clear" w:color="auto" w:fill="FFFFFF" w:themeFill="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6DB26" w14:textId="77777777" w:rsidR="00BD1831" w:rsidRDefault="00BD1831" w:rsidP="00CB5C5F">
      <w:pPr>
        <w:spacing w:before="0" w:after="80" w:line="240" w:lineRule="auto"/>
      </w:pPr>
      <w:r>
        <w:separator/>
      </w:r>
    </w:p>
  </w:footnote>
  <w:footnote w:type="continuationSeparator" w:id="0">
    <w:p w14:paraId="50822E98" w14:textId="77777777" w:rsidR="00BD1831" w:rsidRDefault="00BD1831" w:rsidP="0080531E">
      <w:pPr>
        <w:spacing w:before="0" w:after="0" w:line="240" w:lineRule="auto"/>
      </w:pPr>
      <w:r>
        <w:continuationSeparator/>
      </w:r>
    </w:p>
    <w:p w14:paraId="2D425DA7" w14:textId="77777777" w:rsidR="00BD1831" w:rsidRDefault="00BD1831"/>
  </w:footnote>
  <w:footnote w:type="continuationNotice" w:id="1">
    <w:p w14:paraId="00966109" w14:textId="77777777" w:rsidR="00BD1831" w:rsidRDefault="00BD1831">
      <w:pPr>
        <w:spacing w:before="0" w:after="0" w:line="240" w:lineRule="auto"/>
      </w:pPr>
    </w:p>
  </w:footnote>
  <w:footnote w:id="2">
    <w:p w14:paraId="2828CBC9" w14:textId="5CB063D4" w:rsidR="009327E1" w:rsidRPr="00822729" w:rsidRDefault="009327E1">
      <w:pPr>
        <w:pStyle w:val="FootnoteText"/>
        <w:rPr>
          <w:sz w:val="20"/>
          <w:szCs w:val="20"/>
          <w:lang w:val="en-US"/>
        </w:rPr>
      </w:pPr>
      <w:r>
        <w:rPr>
          <w:rStyle w:val="FootnoteReference"/>
        </w:rPr>
        <w:footnoteRef/>
      </w:r>
      <w:r>
        <w:t xml:space="preserve"> </w:t>
      </w:r>
      <w:r w:rsidR="00797E47">
        <w:tab/>
      </w:r>
      <w:hyperlink r:id="rId1" w:history="1">
        <w:r w:rsidR="0004243C" w:rsidRPr="00404ADD">
          <w:rPr>
            <w:rStyle w:val="Hyperlink"/>
          </w:rPr>
          <w:t>Exclusive Economic Zone and Continental Shelf (Environmental Effects—Permitted Activities) Regulations 2013</w:t>
        </w:r>
      </w:hyperlink>
      <w:r w:rsidR="004D581E" w:rsidRPr="004D581E">
        <w:t>.</w:t>
      </w:r>
    </w:p>
  </w:footnote>
  <w:footnote w:id="3">
    <w:p w14:paraId="5D03A24B" w14:textId="491D0B3C" w:rsidR="00780473" w:rsidRPr="00AB57F4" w:rsidRDefault="00780473">
      <w:pPr>
        <w:pStyle w:val="FootnoteText"/>
        <w:rPr>
          <w:lang w:val="en-US"/>
        </w:rPr>
      </w:pPr>
      <w:r>
        <w:rPr>
          <w:rStyle w:val="FootnoteReference"/>
        </w:rPr>
        <w:footnoteRef/>
      </w:r>
      <w:r>
        <w:t xml:space="preserve"> </w:t>
      </w:r>
      <w:r w:rsidR="00797E47">
        <w:tab/>
      </w:r>
      <w:hyperlink r:id="rId2" w:history="1">
        <w:r w:rsidR="005C2723" w:rsidRPr="005C2723">
          <w:rPr>
            <w:rStyle w:val="Hyperlink"/>
          </w:rPr>
          <w:t xml:space="preserve">Exclusive Economic Zone and Continental Shelf (Environmental Effects) Act 2012, </w:t>
        </w:r>
        <w:r w:rsidR="005C2723" w:rsidRPr="005C2723">
          <w:rPr>
            <w:rStyle w:val="Hyperlink"/>
            <w:lang w:val="en-US"/>
          </w:rPr>
          <w:t>s</w:t>
        </w:r>
        <w:r w:rsidR="00EE0D1F" w:rsidRPr="005C2723">
          <w:rPr>
            <w:rStyle w:val="Hyperlink"/>
            <w:lang w:val="en-US"/>
          </w:rPr>
          <w:t xml:space="preserve"> 143(1)</w:t>
        </w:r>
      </w:hyperlink>
      <w:r w:rsidR="00EE0D1F">
        <w:rPr>
          <w:lang w:val="en-US"/>
        </w:rPr>
        <w:t>.</w:t>
      </w:r>
    </w:p>
  </w:footnote>
  <w:footnote w:id="4">
    <w:p w14:paraId="3B97F1A1" w14:textId="7A44E88A" w:rsidR="00EE0D1F" w:rsidRPr="00AB57F4" w:rsidRDefault="00EE0D1F">
      <w:pPr>
        <w:pStyle w:val="FootnoteText"/>
        <w:rPr>
          <w:lang w:val="en-US"/>
        </w:rPr>
      </w:pPr>
      <w:r>
        <w:rPr>
          <w:rStyle w:val="FootnoteReference"/>
        </w:rPr>
        <w:footnoteRef/>
      </w:r>
      <w:r>
        <w:t xml:space="preserve"> </w:t>
      </w:r>
      <w:r w:rsidR="00797E47">
        <w:tab/>
      </w:r>
      <w:hyperlink r:id="rId3" w:history="1">
        <w:r w:rsidR="009C40F7">
          <w:rPr>
            <w:rStyle w:val="Hyperlink"/>
            <w:lang w:val="en-US"/>
          </w:rPr>
          <w:t>Exclusive Economic Zone and Continental Shelf (Environmental Effects) Act 2012, s 143(2)</w:t>
        </w:r>
      </w:hyperlink>
      <w:r>
        <w:rPr>
          <w:lang w:val="en-US"/>
        </w:rPr>
        <w:t xml:space="preserve">. </w:t>
      </w:r>
    </w:p>
  </w:footnote>
  <w:footnote w:id="5">
    <w:p w14:paraId="763A9F86" w14:textId="6EB145CC" w:rsidR="003D7753" w:rsidRPr="00A64064" w:rsidRDefault="003D7753" w:rsidP="003D7753">
      <w:pPr>
        <w:pStyle w:val="FootnoteText"/>
        <w:rPr>
          <w:lang w:val="en-US"/>
        </w:rPr>
      </w:pPr>
      <w:r>
        <w:rPr>
          <w:rStyle w:val="FootnoteReference"/>
        </w:rPr>
        <w:footnoteRef/>
      </w:r>
      <w:r>
        <w:t xml:space="preserve"> </w:t>
      </w:r>
      <w:r w:rsidR="00797E47">
        <w:tab/>
      </w:r>
      <w:r w:rsidR="00801BE5">
        <w:t xml:space="preserve">Cabinet Economic Growth and Infrastructure Committee. </w:t>
      </w:r>
      <w:r w:rsidR="00C0145F">
        <w:t xml:space="preserve">12 December 2012. </w:t>
      </w:r>
      <w:r w:rsidR="004C7653" w:rsidRPr="00762667">
        <w:rPr>
          <w:i/>
          <w:iCs/>
        </w:rPr>
        <w:t>Briefing note on Permitted Activities Proposals for EEZ En</w:t>
      </w:r>
      <w:r w:rsidR="002F7A39" w:rsidRPr="00762667">
        <w:rPr>
          <w:i/>
          <w:iCs/>
        </w:rPr>
        <w:t>vironment Effects Regulations (Reference number</w:t>
      </w:r>
      <w:r w:rsidRPr="00762667">
        <w:rPr>
          <w:i/>
          <w:iCs/>
        </w:rPr>
        <w:t xml:space="preserve"> EGI (12) 29/14</w:t>
      </w:r>
      <w:r w:rsidR="002F7A39" w:rsidRPr="00762667">
        <w:rPr>
          <w:i/>
          <w:iCs/>
        </w:rPr>
        <w:t>)</w:t>
      </w:r>
      <w:r w:rsidR="00C0145F">
        <w:t xml:space="preserve">. Retrieved from </w:t>
      </w:r>
      <w:hyperlink r:id="rId4" w:history="1">
        <w:r w:rsidR="00C0145F" w:rsidRPr="008C75D0">
          <w:rPr>
            <w:rStyle w:val="Hyperlink"/>
          </w:rPr>
          <w:t>https://environment.govt.nz/what-government-is-doing/cabinet-papers-and-regulatory-impact-statements/reference-number-egi-min-12-2914/</w:t>
        </w:r>
      </w:hyperlink>
      <w:r w:rsidR="00C0145F">
        <w:t xml:space="preserve"> (2</w:t>
      </w:r>
      <w:r w:rsidR="006957D3">
        <w:t>2</w:t>
      </w:r>
      <w:r w:rsidR="00C0145F">
        <w:t xml:space="preserve"> September 2022).</w:t>
      </w:r>
    </w:p>
  </w:footnote>
  <w:footnote w:id="6">
    <w:p w14:paraId="0D1FAD66" w14:textId="609FAA72" w:rsidR="006233F0" w:rsidRPr="004C7D30" w:rsidRDefault="006233F0">
      <w:pPr>
        <w:pStyle w:val="FootnoteText"/>
        <w:rPr>
          <w:lang w:val="en-US"/>
        </w:rPr>
      </w:pPr>
      <w:r>
        <w:rPr>
          <w:rStyle w:val="FootnoteReference"/>
        </w:rPr>
        <w:footnoteRef/>
      </w:r>
      <w:r w:rsidR="00797E47">
        <w:t xml:space="preserve"> </w:t>
      </w:r>
      <w:r w:rsidR="00797E47">
        <w:tab/>
      </w:r>
      <w:hyperlink r:id="rId5" w:anchor="DLM5266511" w:history="1">
        <w:r w:rsidR="006318A1" w:rsidRPr="00B14C67">
          <w:rPr>
            <w:rStyle w:val="Hyperlink"/>
          </w:rPr>
          <w:t xml:space="preserve">Exclusive Economic Zone and </w:t>
        </w:r>
        <w:r w:rsidR="006318A1" w:rsidRPr="00262350">
          <w:rPr>
            <w:rStyle w:val="Hyperlink"/>
          </w:rPr>
          <w:t>Continental</w:t>
        </w:r>
        <w:r w:rsidR="006318A1" w:rsidRPr="00B14C67">
          <w:rPr>
            <w:rStyle w:val="Hyperlink"/>
          </w:rPr>
          <w:t xml:space="preserve"> Shelf (Fees and Charges) Regulations 2013,</w:t>
        </w:r>
        <w:r w:rsidR="006318A1" w:rsidRPr="00B14C67" w:rsidDel="005F37B4">
          <w:rPr>
            <w:rStyle w:val="Hyperlink"/>
          </w:rPr>
          <w:t xml:space="preserve"> </w:t>
        </w:r>
        <w:r w:rsidR="005F37B4" w:rsidRPr="00B14C67">
          <w:rPr>
            <w:rStyle w:val="Hyperlink"/>
            <w:lang w:val="en-US"/>
          </w:rPr>
          <w:t>cl</w:t>
        </w:r>
        <w:r w:rsidR="006318A1" w:rsidRPr="00B14C67">
          <w:rPr>
            <w:rStyle w:val="Hyperlink"/>
            <w:lang w:val="en-US"/>
          </w:rPr>
          <w:t>s</w:t>
        </w:r>
        <w:r w:rsidR="004C7D30" w:rsidRPr="00B14C67">
          <w:rPr>
            <w:rStyle w:val="Hyperlink"/>
            <w:lang w:val="en-US"/>
          </w:rPr>
          <w:t xml:space="preserve"> 4</w:t>
        </w:r>
        <w:r w:rsidR="00DF3BA3" w:rsidRPr="00B14C67">
          <w:rPr>
            <w:rStyle w:val="Hyperlink"/>
            <w:lang w:val="en-US"/>
          </w:rPr>
          <w:t>(1)(a)</w:t>
        </w:r>
        <w:r w:rsidR="004C7D30" w:rsidRPr="00B14C67">
          <w:rPr>
            <w:rStyle w:val="Hyperlink"/>
            <w:lang w:val="en-US"/>
          </w:rPr>
          <w:t xml:space="preserve"> and 5</w:t>
        </w:r>
        <w:r w:rsidR="00C86706" w:rsidRPr="00B14C67">
          <w:rPr>
            <w:rStyle w:val="Hyperlink"/>
            <w:lang w:val="en-US"/>
          </w:rPr>
          <w:t>(1)</w:t>
        </w:r>
      </w:hyperlink>
      <w:r w:rsidR="004C7D30">
        <w:rPr>
          <w:lang w:val="en-US"/>
        </w:rPr>
        <w:t xml:space="preserve">. </w:t>
      </w:r>
    </w:p>
  </w:footnote>
  <w:footnote w:id="7">
    <w:p w14:paraId="560119D2" w14:textId="72F6E6B3" w:rsidR="004C7D30" w:rsidRPr="00C86706" w:rsidRDefault="004C7D30">
      <w:pPr>
        <w:pStyle w:val="FootnoteText"/>
        <w:rPr>
          <w:lang w:val="en-US"/>
        </w:rPr>
      </w:pPr>
      <w:r>
        <w:rPr>
          <w:rStyle w:val="FootnoteReference"/>
        </w:rPr>
        <w:footnoteRef/>
      </w:r>
      <w:r>
        <w:t xml:space="preserve"> </w:t>
      </w:r>
      <w:r w:rsidR="00797E47">
        <w:tab/>
      </w:r>
      <w:hyperlink r:id="rId6" w:anchor="DLM5266511" w:history="1">
        <w:r w:rsidR="00B14C67" w:rsidRPr="008670DB">
          <w:rPr>
            <w:rStyle w:val="Hyperlink"/>
          </w:rPr>
          <w:t>Exclusive Economic Zone and Continental Shelf (Fees and Charges) Regulations 2013, cl</w:t>
        </w:r>
        <w:r w:rsidR="00B14C67" w:rsidRPr="008670DB" w:rsidDel="00B14C67">
          <w:rPr>
            <w:rStyle w:val="Hyperlink"/>
          </w:rPr>
          <w:t xml:space="preserve"> </w:t>
        </w:r>
        <w:r w:rsidRPr="008670DB">
          <w:rPr>
            <w:rStyle w:val="Hyperlink"/>
            <w:lang w:val="en-US"/>
          </w:rPr>
          <w:t>4</w:t>
        </w:r>
        <w:r w:rsidR="00DF3BA3" w:rsidRPr="008670DB">
          <w:rPr>
            <w:rStyle w:val="Hyperlink"/>
            <w:lang w:val="en-US"/>
          </w:rPr>
          <w:t>(1)(b)</w:t>
        </w:r>
      </w:hyperlink>
      <w:r w:rsidR="00DF3BA3">
        <w:rPr>
          <w:lang w:val="en-US"/>
        </w:rPr>
        <w:t>.</w:t>
      </w:r>
    </w:p>
  </w:footnote>
  <w:footnote w:id="8">
    <w:p w14:paraId="278EF9DE" w14:textId="3E90A97C" w:rsidR="00CE4BF3" w:rsidRPr="00F7280D" w:rsidRDefault="00CE4BF3" w:rsidP="000828F1">
      <w:pPr>
        <w:pStyle w:val="FootnoteText"/>
      </w:pPr>
      <w:r w:rsidRPr="00F7280D">
        <w:rPr>
          <w:rStyle w:val="FootnoteReference"/>
        </w:rPr>
        <w:footnoteRef/>
      </w:r>
      <w:r w:rsidR="00A30F6E">
        <w:t xml:space="preserve"> </w:t>
      </w:r>
      <w:r w:rsidR="00C72A7E">
        <w:tab/>
      </w:r>
      <w:r w:rsidR="00592913" w:rsidRPr="00F7280D">
        <w:t>Except for</w:t>
      </w:r>
      <w:r w:rsidRPr="00F7280D">
        <w:t xml:space="preserve"> a new EPA staff category that was brought about as a result of the new regulations being developed for decommissioning plans (</w:t>
      </w:r>
      <w:hyperlink r:id="rId7" w:anchor="LMS548501" w:history="1">
        <w:r w:rsidRPr="009819E7">
          <w:rPr>
            <w:rStyle w:val="Hyperlink"/>
          </w:rPr>
          <w:t>the Exclusive Economic Zone and Continental Shelf (Environmental Effects – Decommissioning Plans) Regulations 2021</w:t>
        </w:r>
      </w:hyperlink>
      <w:r w:rsidRPr="00F7280D">
        <w:t>.</w:t>
      </w:r>
    </w:p>
  </w:footnote>
  <w:footnote w:id="9">
    <w:p w14:paraId="0546968B" w14:textId="0A69128E" w:rsidR="00A3139C" w:rsidRPr="00EE1BA5" w:rsidRDefault="00A3139C" w:rsidP="00A3139C">
      <w:pPr>
        <w:pStyle w:val="FootnoteText"/>
        <w:rPr>
          <w:lang w:val="en-US"/>
        </w:rPr>
      </w:pPr>
      <w:r>
        <w:rPr>
          <w:rStyle w:val="FootnoteReference"/>
        </w:rPr>
        <w:footnoteRef/>
      </w:r>
      <w:r>
        <w:t xml:space="preserve"> </w:t>
      </w:r>
      <w:r w:rsidR="00797E47">
        <w:tab/>
      </w:r>
      <w:r w:rsidR="00C407C3">
        <w:t xml:space="preserve">The </w:t>
      </w:r>
      <w:r w:rsidR="00C407C3">
        <w:t>Treasury</w:t>
      </w:r>
      <w:r w:rsidR="00066790">
        <w:t>|Te Tai Ōhanga</w:t>
      </w:r>
      <w:r w:rsidR="00C407C3">
        <w:t xml:space="preserve">. </w:t>
      </w:r>
      <w:r w:rsidR="00640C2F">
        <w:t xml:space="preserve">28 </w:t>
      </w:r>
      <w:r w:rsidR="00C407C3">
        <w:t xml:space="preserve">April 2017. </w:t>
      </w:r>
      <w:r w:rsidRPr="00762667">
        <w:rPr>
          <w:i/>
          <w:iCs/>
        </w:rPr>
        <w:t xml:space="preserve">Guidelines for </w:t>
      </w:r>
      <w:r w:rsidR="00640C2F" w:rsidRPr="00762667">
        <w:rPr>
          <w:i/>
          <w:iCs/>
        </w:rPr>
        <w:t>S</w:t>
      </w:r>
      <w:r w:rsidRPr="00762667">
        <w:rPr>
          <w:i/>
          <w:iCs/>
        </w:rPr>
        <w:t xml:space="preserve">etting </w:t>
      </w:r>
      <w:r w:rsidR="00640C2F" w:rsidRPr="00762667">
        <w:rPr>
          <w:i/>
          <w:iCs/>
        </w:rPr>
        <w:t>C</w:t>
      </w:r>
      <w:r w:rsidRPr="00762667">
        <w:rPr>
          <w:i/>
          <w:iCs/>
        </w:rPr>
        <w:t xml:space="preserve">harges in the </w:t>
      </w:r>
      <w:r w:rsidR="00640C2F" w:rsidRPr="00762667">
        <w:rPr>
          <w:i/>
          <w:iCs/>
        </w:rPr>
        <w:t>P</w:t>
      </w:r>
      <w:r w:rsidRPr="00762667">
        <w:rPr>
          <w:i/>
          <w:iCs/>
        </w:rPr>
        <w:t xml:space="preserve">ublic </w:t>
      </w:r>
      <w:r w:rsidR="00640C2F" w:rsidRPr="00762667">
        <w:rPr>
          <w:i/>
          <w:iCs/>
        </w:rPr>
        <w:t>S</w:t>
      </w:r>
      <w:r w:rsidRPr="00762667">
        <w:rPr>
          <w:i/>
          <w:iCs/>
        </w:rPr>
        <w:t>ector</w:t>
      </w:r>
      <w:r w:rsidR="00640C2F" w:rsidRPr="00762667">
        <w:rPr>
          <w:i/>
          <w:iCs/>
        </w:rPr>
        <w:t xml:space="preserve"> [2017]</w:t>
      </w:r>
      <w:r w:rsidR="00600E4B">
        <w:t xml:space="preserve">. Retrieved from </w:t>
      </w:r>
      <w:hyperlink r:id="rId8" w:history="1">
        <w:r w:rsidR="00600E4B" w:rsidRPr="008C75D0">
          <w:rPr>
            <w:rStyle w:val="Hyperlink"/>
          </w:rPr>
          <w:t>https://www.treasury.govt.nz/publications/guide/guidelines-setting-charges-public-sector-2017-html</w:t>
        </w:r>
      </w:hyperlink>
      <w:r w:rsidR="00600E4B">
        <w:t xml:space="preserve"> (2</w:t>
      </w:r>
      <w:r w:rsidR="006957D3">
        <w:t>2</w:t>
      </w:r>
      <w:r w:rsidR="00600E4B">
        <w:t xml:space="preserve"> September 2022).</w:t>
      </w:r>
      <w:r>
        <w:t xml:space="preserve"> </w:t>
      </w:r>
    </w:p>
  </w:footnote>
  <w:footnote w:id="10">
    <w:p w14:paraId="36A45CA6" w14:textId="52222B53" w:rsidR="00F1518E" w:rsidRPr="00EE1BA5" w:rsidRDefault="00F1518E" w:rsidP="00F1518E">
      <w:pPr>
        <w:pStyle w:val="FootnoteText"/>
        <w:rPr>
          <w:lang w:val="en-US"/>
        </w:rPr>
      </w:pPr>
      <w:r>
        <w:rPr>
          <w:rStyle w:val="FootnoteReference"/>
        </w:rPr>
        <w:footnoteRef/>
      </w:r>
      <w:r>
        <w:t xml:space="preserve"> </w:t>
      </w:r>
      <w:r w:rsidR="00797E47">
        <w:tab/>
      </w:r>
      <w:r>
        <w:t>The Controller and Auditor-General</w:t>
      </w:r>
      <w:r w:rsidR="00E036DF">
        <w:t xml:space="preserve"> </w:t>
      </w:r>
      <w:r w:rsidR="003B54FE">
        <w:t>|</w:t>
      </w:r>
      <w:r w:rsidR="003B54FE">
        <w:t>Tumuaki o</w:t>
      </w:r>
      <w:r>
        <w:t xml:space="preserve"> </w:t>
      </w:r>
      <w:r w:rsidR="003B54FE">
        <w:t xml:space="preserve">te Mana Arotake. August 2021. </w:t>
      </w:r>
      <w:r w:rsidRPr="00FF7F64">
        <w:rPr>
          <w:i/>
          <w:iCs/>
        </w:rPr>
        <w:t>Setting and administering fees and levies for cost recovery</w:t>
      </w:r>
      <w:r w:rsidR="003B54FE">
        <w:rPr>
          <w:i/>
          <w:iCs/>
        </w:rPr>
        <w:t>: Good practice guide</w:t>
      </w:r>
      <w:r w:rsidR="003B54FE">
        <w:t xml:space="preserve">. </w:t>
      </w:r>
      <w:r w:rsidR="00111FE1">
        <w:t xml:space="preserve">Retrieved from </w:t>
      </w:r>
      <w:hyperlink r:id="rId9" w:history="1">
        <w:r w:rsidR="00111FE1" w:rsidRPr="00790DCF">
          <w:rPr>
            <w:rStyle w:val="Hyperlink"/>
          </w:rPr>
          <w:t>https://oag.parliament.nz/2021/fees-and-levies/docs/fees-and-levies.pdf</w:t>
        </w:r>
      </w:hyperlink>
      <w:r w:rsidR="00111FE1">
        <w:t xml:space="preserve"> (2</w:t>
      </w:r>
      <w:r w:rsidR="006957D3">
        <w:t>2</w:t>
      </w:r>
      <w:r w:rsidR="00111FE1">
        <w:t xml:space="preserve"> September 2022).</w:t>
      </w:r>
    </w:p>
  </w:footnote>
  <w:footnote w:id="11">
    <w:p w14:paraId="3E53C35C" w14:textId="1421E0CA" w:rsidR="004A02C9" w:rsidRPr="00804D5D" w:rsidRDefault="00E07423">
      <w:pPr>
        <w:pStyle w:val="FootnoteText"/>
        <w:rPr>
          <w:lang w:val="en-US"/>
        </w:rPr>
      </w:pPr>
      <w:r>
        <w:rPr>
          <w:rStyle w:val="FootnoteReference"/>
        </w:rPr>
        <w:footnoteRef/>
      </w:r>
      <w:r w:rsidR="004A02C9">
        <w:t xml:space="preserve"> </w:t>
      </w:r>
      <w:r w:rsidR="00797E47">
        <w:tab/>
      </w:r>
      <w:hyperlink r:id="rId10" w:history="1">
        <w:r w:rsidR="002B1AFB">
          <w:rPr>
            <w:rStyle w:val="Hyperlink"/>
            <w:lang w:val="en-US"/>
          </w:rPr>
          <w:t>Exclusive Economic Zone and Continental Shelf (Environmental Effects) Act 2012, s 143(3)</w:t>
        </w:r>
      </w:hyperlink>
      <w:r w:rsidR="004A02C9">
        <w:rPr>
          <w:lang w:val="en-US"/>
        </w:rPr>
        <w:t>.</w:t>
      </w:r>
    </w:p>
  </w:footnote>
  <w:footnote w:id="12">
    <w:p w14:paraId="3664B86B" w14:textId="206E855A" w:rsidR="007F2833" w:rsidRDefault="007F2833">
      <w:pPr>
        <w:pStyle w:val="FootnoteText"/>
      </w:pPr>
      <w:r>
        <w:rPr>
          <w:rStyle w:val="FootnoteReference"/>
        </w:rPr>
        <w:footnoteRef/>
      </w:r>
      <w:r>
        <w:t xml:space="preserve"> </w:t>
      </w:r>
      <w:r>
        <w:tab/>
        <w:t xml:space="preserve">Above, </w:t>
      </w:r>
      <w:r>
        <w:t xml:space="preserve">nn </w:t>
      </w:r>
      <w:r>
        <w:fldChar w:fldCharType="begin"/>
      </w:r>
      <w:r>
        <w:instrText xml:space="preserve"> NOTEREF _Ref114672821 \h </w:instrText>
      </w:r>
      <w:r>
        <w:fldChar w:fldCharType="separate"/>
      </w:r>
      <w:r>
        <w:t>8</w:t>
      </w:r>
      <w:r>
        <w:fldChar w:fldCharType="end"/>
      </w:r>
      <w:r>
        <w:t xml:space="preserve"> and </w:t>
      </w:r>
      <w:r>
        <w:fldChar w:fldCharType="begin"/>
      </w:r>
      <w:r>
        <w:instrText xml:space="preserve"> NOTEREF _Ref114672822 \h </w:instrText>
      </w:r>
      <w:r>
        <w:fldChar w:fldCharType="separate"/>
      </w:r>
      <w:r>
        <w:t>9</w:t>
      </w:r>
      <w:r>
        <w:fldChar w:fldCharType="end"/>
      </w:r>
      <w:r>
        <w:t>.</w:t>
      </w:r>
    </w:p>
  </w:footnote>
  <w:footnote w:id="13">
    <w:p w14:paraId="20718FE7" w14:textId="4FA461AE" w:rsidR="00704A6A" w:rsidRPr="005340D4" w:rsidRDefault="00704A6A">
      <w:pPr>
        <w:pStyle w:val="FootnoteText"/>
        <w:rPr>
          <w:lang w:val="en-US"/>
        </w:rPr>
      </w:pPr>
      <w:r>
        <w:rPr>
          <w:rStyle w:val="FootnoteReference"/>
        </w:rPr>
        <w:footnoteRef/>
      </w:r>
      <w:r>
        <w:t xml:space="preserve"> </w:t>
      </w:r>
      <w:r w:rsidR="00797E47">
        <w:tab/>
      </w:r>
      <w:hyperlink r:id="rId11" w:history="1">
        <w:r w:rsidR="00766E66" w:rsidRPr="00766E66">
          <w:rPr>
            <w:rStyle w:val="Hyperlink"/>
          </w:rPr>
          <w:t>Exclusive Economic Zone and Continental Shelf (Environmental Effects) Act 2012, s 144</w:t>
        </w:r>
      </w:hyperlink>
      <w:r>
        <w:rPr>
          <w:lang w:val="en-US"/>
        </w:rPr>
        <w:t>.</w:t>
      </w:r>
    </w:p>
  </w:footnote>
  <w:footnote w:id="14">
    <w:p w14:paraId="76B8DA61" w14:textId="646284FA" w:rsidR="00826B25" w:rsidRPr="00017F7B" w:rsidRDefault="00826B25" w:rsidP="00826B25">
      <w:pPr>
        <w:pStyle w:val="FootnoteText"/>
        <w:rPr>
          <w:lang w:val="en-US"/>
        </w:rPr>
      </w:pPr>
      <w:r>
        <w:rPr>
          <w:rStyle w:val="FootnoteReference"/>
        </w:rPr>
        <w:footnoteRef/>
      </w:r>
      <w:r>
        <w:t xml:space="preserve"> </w:t>
      </w:r>
      <w:r w:rsidR="00797E47">
        <w:tab/>
      </w:r>
      <w:r w:rsidR="00AD6AD3">
        <w:t>Environmental Protection Authority</w:t>
      </w:r>
      <w:r w:rsidR="002D3E9E">
        <w:t xml:space="preserve"> </w:t>
      </w:r>
      <w:r w:rsidR="00AD6AD3">
        <w:t>|</w:t>
      </w:r>
      <w:r w:rsidR="00AD6AD3">
        <w:t xml:space="preserve">Te Mana Rauhī Taiao. </w:t>
      </w:r>
      <w:r w:rsidR="006957D3">
        <w:t xml:space="preserve">July 2021. </w:t>
      </w:r>
      <w:r w:rsidR="005560DD" w:rsidRPr="00762667">
        <w:rPr>
          <w:i/>
          <w:iCs/>
        </w:rPr>
        <w:t>EPA policy for recovering costs</w:t>
      </w:r>
      <w:r w:rsidR="00AD6AD3" w:rsidRPr="00762667">
        <w:rPr>
          <w:i/>
          <w:iCs/>
        </w:rPr>
        <w:t>: F</w:t>
      </w:r>
      <w:r w:rsidR="005560DD" w:rsidRPr="00762667">
        <w:rPr>
          <w:i/>
          <w:iCs/>
        </w:rPr>
        <w:t xml:space="preserve">or Exclusive Economic Zone and </w:t>
      </w:r>
      <w:r w:rsidR="00E105CB" w:rsidRPr="00762667">
        <w:rPr>
          <w:i/>
          <w:iCs/>
        </w:rPr>
        <w:t>Continental</w:t>
      </w:r>
      <w:r w:rsidR="005560DD" w:rsidRPr="00762667">
        <w:rPr>
          <w:i/>
          <w:iCs/>
        </w:rPr>
        <w:t xml:space="preserve"> Shelf (Environmental </w:t>
      </w:r>
      <w:r w:rsidR="00AD6AD3" w:rsidRPr="00762667">
        <w:rPr>
          <w:i/>
          <w:iCs/>
        </w:rPr>
        <w:t>E</w:t>
      </w:r>
      <w:r w:rsidR="005560DD" w:rsidRPr="00762667">
        <w:rPr>
          <w:i/>
          <w:iCs/>
        </w:rPr>
        <w:t>ffects) Act 2012 functions</w:t>
      </w:r>
      <w:r w:rsidR="006957D3">
        <w:t>. Retrieved from</w:t>
      </w:r>
      <w:r w:rsidR="00E105CB">
        <w:t xml:space="preserve"> </w:t>
      </w:r>
      <w:hyperlink r:id="rId12" w:history="1">
        <w:r w:rsidR="006957D3" w:rsidRPr="008C75D0">
          <w:rPr>
            <w:rStyle w:val="Hyperlink"/>
          </w:rPr>
          <w:t>https://www.epa.govt.nz/assets/Uploads/Documents/Marine-Activities-EEZ/Policies/EEZ-cost-recovery-policy.pdf</w:t>
        </w:r>
      </w:hyperlink>
      <w:r w:rsidR="006957D3">
        <w:t xml:space="preserve"> (22 September 2022).</w:t>
      </w:r>
    </w:p>
  </w:footnote>
  <w:footnote w:id="15">
    <w:p w14:paraId="60D00DF4" w14:textId="4C0A7CD4" w:rsidR="00FA04D7" w:rsidRDefault="00FA04D7">
      <w:pPr>
        <w:pStyle w:val="FootnoteText"/>
      </w:pPr>
      <w:r>
        <w:rPr>
          <w:rStyle w:val="FootnoteReference"/>
        </w:rPr>
        <w:footnoteRef/>
      </w:r>
      <w:r>
        <w:t xml:space="preserve"> </w:t>
      </w:r>
      <w:r w:rsidR="00B82D64">
        <w:tab/>
        <w:t xml:space="preserve">Above, </w:t>
      </w:r>
      <w:r w:rsidR="00957C51">
        <w:t xml:space="preserve">pp </w:t>
      </w:r>
      <w:r w:rsidR="00B82D64">
        <w:fldChar w:fldCharType="begin"/>
      </w:r>
      <w:r w:rsidR="00B82D64">
        <w:instrText xml:space="preserve"> NOTEREF _Ref114672821 \h </w:instrText>
      </w:r>
      <w:r w:rsidR="00B82D64">
        <w:fldChar w:fldCharType="separate"/>
      </w:r>
      <w:r w:rsidR="00B82D64">
        <w:t>8</w:t>
      </w:r>
      <w:r w:rsidR="00B82D64">
        <w:fldChar w:fldCharType="end"/>
      </w:r>
      <w:r w:rsidR="00B82D64">
        <w:t xml:space="preserve"> and </w:t>
      </w:r>
      <w:r w:rsidR="00B82D64">
        <w:fldChar w:fldCharType="begin"/>
      </w:r>
      <w:r w:rsidR="00B82D64">
        <w:instrText xml:space="preserve"> NOTEREF _Ref114672822 \h </w:instrText>
      </w:r>
      <w:r w:rsidR="00B82D64">
        <w:fldChar w:fldCharType="separate"/>
      </w:r>
      <w:r w:rsidR="00B82D64">
        <w:t>9</w:t>
      </w:r>
      <w:r w:rsidR="00B82D64">
        <w:fldChar w:fldCharType="end"/>
      </w:r>
      <w:r w:rsidR="00B82D64">
        <w:t>.</w:t>
      </w:r>
    </w:p>
  </w:footnote>
  <w:footnote w:id="16">
    <w:p w14:paraId="3E80CA94" w14:textId="19054EA2" w:rsidR="00836C77" w:rsidRPr="002A0234" w:rsidRDefault="00836C77">
      <w:pPr>
        <w:pStyle w:val="FootnoteText"/>
        <w:rPr>
          <w:lang w:val="en-US"/>
        </w:rPr>
      </w:pPr>
      <w:r w:rsidRPr="00762667">
        <w:rPr>
          <w:rStyle w:val="FootnoteReference"/>
        </w:rPr>
        <w:footnoteRef/>
      </w:r>
      <w:r w:rsidRPr="002A0234">
        <w:rPr>
          <w:lang w:val="en-US"/>
        </w:rPr>
        <w:t xml:space="preserve"> </w:t>
      </w:r>
      <w:r>
        <w:rPr>
          <w:lang w:val="en-US"/>
        </w:rPr>
        <w:tab/>
      </w:r>
      <w:r w:rsidRPr="002A0234">
        <w:rPr>
          <w:lang w:val="en-US"/>
        </w:rPr>
        <w:t xml:space="preserve">The EPA no longer employs a </w:t>
      </w:r>
      <w:r>
        <w:rPr>
          <w:lang w:val="en-US"/>
        </w:rPr>
        <w:t>p</w:t>
      </w:r>
      <w:r w:rsidRPr="002A0234">
        <w:rPr>
          <w:lang w:val="en-US"/>
        </w:rPr>
        <w:t xml:space="preserve">rincipal </w:t>
      </w:r>
      <w:r>
        <w:rPr>
          <w:lang w:val="en-US"/>
        </w:rPr>
        <w:t>t</w:t>
      </w:r>
      <w:r w:rsidRPr="002A0234">
        <w:rPr>
          <w:lang w:val="en-US"/>
        </w:rPr>
        <w:t xml:space="preserve">echnical </w:t>
      </w:r>
      <w:r>
        <w:rPr>
          <w:lang w:val="en-US"/>
        </w:rPr>
        <w:t>a</w:t>
      </w:r>
      <w:r w:rsidRPr="002A0234">
        <w:rPr>
          <w:lang w:val="en-US"/>
        </w:rPr>
        <w:t>dvisor. Because of the highly technical nature of this role, the EPA has found it more efficient to contract complex technical advice</w:t>
      </w:r>
      <w:r>
        <w:rPr>
          <w:lang w:val="en-US"/>
        </w:rPr>
        <w:t>,</w:t>
      </w:r>
      <w:r w:rsidRPr="002A0234">
        <w:rPr>
          <w:lang w:val="en-US"/>
        </w:rPr>
        <w:t xml:space="preserve"> rather than keeping a range of technical staff on the payroll.</w:t>
      </w:r>
    </w:p>
  </w:footnote>
  <w:footnote w:id="17">
    <w:p w14:paraId="731858EC" w14:textId="17C5FE4D" w:rsidR="00836C77" w:rsidRPr="002A0234" w:rsidRDefault="00836C77">
      <w:pPr>
        <w:pStyle w:val="FootnoteText"/>
        <w:rPr>
          <w:lang w:val="en-US"/>
        </w:rPr>
      </w:pPr>
      <w:r w:rsidRPr="00762667">
        <w:rPr>
          <w:rStyle w:val="FootnoteReference"/>
        </w:rPr>
        <w:footnoteRef/>
      </w:r>
      <w:r w:rsidRPr="00762667">
        <w:rPr>
          <w:rStyle w:val="FootnoteReference"/>
        </w:rPr>
        <w:t xml:space="preserve"> </w:t>
      </w:r>
      <w:r>
        <w:rPr>
          <w:lang w:val="en-US"/>
        </w:rPr>
        <w:tab/>
      </w:r>
      <w:r w:rsidRPr="002A0234">
        <w:rPr>
          <w:lang w:val="en-US"/>
        </w:rPr>
        <w:t xml:space="preserve">This rate was established to allow the EPA to recover costs of new functions introduced in the </w:t>
      </w:r>
      <w:hyperlink r:id="rId13" w:anchor="LMS548501" w:history="1">
        <w:r w:rsidRPr="003E1CE1">
          <w:rPr>
            <w:rStyle w:val="Hyperlink"/>
            <w:lang w:val="en-US"/>
          </w:rPr>
          <w:t>Exclusive Economic Zone and Continental Shelf (Environmental Effects-Decommissioning Plans) Regulations 2021</w:t>
        </w:r>
      </w:hyperlink>
      <w:r w:rsidRPr="002A0234">
        <w:rPr>
          <w:lang w:val="en-US"/>
        </w:rPr>
        <w:t>. Once the other charge-out rates are brought up to date, a specific rate will not be required for accepting decommissioning plans.</w:t>
      </w:r>
    </w:p>
  </w:footnote>
  <w:footnote w:id="18">
    <w:p w14:paraId="3F122806" w14:textId="2AA02A39" w:rsidR="000F4D68" w:rsidRDefault="000F4D68">
      <w:pPr>
        <w:pStyle w:val="FootnoteText"/>
      </w:pPr>
      <w:r>
        <w:rPr>
          <w:rStyle w:val="FootnoteReference"/>
        </w:rPr>
        <w:footnoteRef/>
      </w:r>
      <w:r>
        <w:t xml:space="preserve"> </w:t>
      </w:r>
      <w:r w:rsidR="008E7C2A">
        <w:tab/>
      </w:r>
      <w:r>
        <w:t>The senior officer</w:t>
      </w:r>
      <w:r w:rsidR="008F54AB">
        <w:t xml:space="preserve"> and investigator roles in this category </w:t>
      </w:r>
      <w:r w:rsidR="00583161">
        <w:t xml:space="preserve">are different to the senior compliance officer and investigator roles </w:t>
      </w:r>
      <w:r w:rsidR="001A4CF3">
        <w:t>above which are compliance focused.</w:t>
      </w:r>
    </w:p>
  </w:footnote>
  <w:footnote w:id="19">
    <w:p w14:paraId="36A1E3BC" w14:textId="79EA3316" w:rsidR="00B50016" w:rsidRDefault="00B50016">
      <w:pPr>
        <w:pStyle w:val="FootnoteText"/>
      </w:pPr>
      <w:r>
        <w:rPr>
          <w:rStyle w:val="FootnoteReference"/>
        </w:rPr>
        <w:footnoteRef/>
      </w:r>
      <w:r>
        <w:t xml:space="preserve"> </w:t>
      </w:r>
      <w:r>
        <w:tab/>
      </w:r>
      <w:r w:rsidR="00C706DA">
        <w:t xml:space="preserve">BusinessNZ. March 2022. </w:t>
      </w:r>
      <w:r w:rsidR="00C706DA" w:rsidRPr="00D61C83">
        <w:rPr>
          <w:i/>
          <w:iCs/>
        </w:rPr>
        <w:t>Planning Forecast</w:t>
      </w:r>
      <w:r w:rsidR="00C706DA">
        <w:rPr>
          <w:i/>
          <w:iCs/>
        </w:rPr>
        <w:t>,</w:t>
      </w:r>
      <w:r w:rsidR="00C706DA">
        <w:t xml:space="preserve"> p 19. Retrieved from </w:t>
      </w:r>
      <w:hyperlink r:id="rId14" w:history="1">
        <w:r w:rsidR="00C706DA" w:rsidRPr="00C37374">
          <w:rPr>
            <w:rStyle w:val="Hyperlink"/>
          </w:rPr>
          <w:t>220314-BusinessNZ-Planning-Forecast-March-quarter-2022.pdf</w:t>
        </w:r>
      </w:hyperlink>
      <w:r w:rsidR="00C706DA">
        <w:rPr>
          <w:rStyle w:val="Hyperlink"/>
        </w:rPr>
        <w:t xml:space="preserve"> </w:t>
      </w:r>
      <w:r w:rsidR="00C706DA">
        <w:t>(22 September 2022).</w:t>
      </w:r>
    </w:p>
  </w:footnote>
  <w:footnote w:id="20">
    <w:p w14:paraId="04D3A6CB" w14:textId="25136872" w:rsidR="00A87BE4" w:rsidRDefault="00A87BE4">
      <w:pPr>
        <w:pStyle w:val="FootnoteText"/>
      </w:pPr>
      <w:r>
        <w:rPr>
          <w:rStyle w:val="FootnoteReference"/>
        </w:rPr>
        <w:footnoteRef/>
      </w:r>
      <w:r>
        <w:t xml:space="preserve"> </w:t>
      </w:r>
      <w:r>
        <w:tab/>
      </w:r>
      <w:hyperlink r:id="rId15" w:history="1">
        <w:r w:rsidRPr="0075453B">
          <w:rPr>
            <w:rStyle w:val="Hyperlink"/>
          </w:rPr>
          <w:t>COVID-19 Recovery (Fast-track Consenting) Act 2020</w:t>
        </w:r>
      </w:hyperlink>
      <w:r>
        <w:t>.</w:t>
      </w:r>
    </w:p>
  </w:footnote>
  <w:footnote w:id="21">
    <w:p w14:paraId="567E57B2" w14:textId="70719B09" w:rsidR="001F17AA" w:rsidRPr="001F17AA" w:rsidRDefault="001F17AA">
      <w:pPr>
        <w:pStyle w:val="FootnoteText"/>
        <w:rPr>
          <w:lang w:val="en-US"/>
        </w:rPr>
      </w:pPr>
      <w:r>
        <w:rPr>
          <w:rStyle w:val="FootnoteReference"/>
        </w:rPr>
        <w:footnoteRef/>
      </w:r>
      <w:r>
        <w:t xml:space="preserve"> </w:t>
      </w:r>
      <w:r w:rsidR="008E76DA">
        <w:tab/>
      </w:r>
      <w:hyperlink r:id="rId16" w:history="1">
        <w:r w:rsidR="008E76DA">
          <w:rPr>
            <w:rStyle w:val="Hyperlink"/>
            <w:lang w:val="en-US"/>
          </w:rPr>
          <w:t>Exclusive Economic Zone and Continental Shelf (Environmental Effects) Act 2012, s 143(4)</w:t>
        </w:r>
      </w:hyperlink>
      <w:r w:rsidR="008E76DA">
        <w:t>.</w:t>
      </w:r>
    </w:p>
  </w:footnote>
  <w:footnote w:id="22">
    <w:p w14:paraId="5ADB28E7" w14:textId="0E5F4C94" w:rsidR="00243B49" w:rsidRPr="00C76BB4" w:rsidRDefault="00243B49" w:rsidP="00243B49">
      <w:pPr>
        <w:pStyle w:val="FootnoteText"/>
      </w:pPr>
      <w:r>
        <w:rPr>
          <w:rStyle w:val="FootnoteReference"/>
        </w:rPr>
        <w:footnoteRef/>
      </w:r>
      <w:r w:rsidR="00580CFE">
        <w:t xml:space="preserve"> </w:t>
      </w:r>
      <w:r w:rsidR="008E76DA">
        <w:tab/>
      </w:r>
      <w:r w:rsidR="002F1FB6" w:rsidRPr="00F7280D">
        <w:rPr>
          <w:lang w:val="en-US"/>
        </w:rPr>
        <w:t>MartinJenkins</w:t>
      </w:r>
      <w:r w:rsidR="000564B2">
        <w:rPr>
          <w:lang w:val="en-US"/>
        </w:rPr>
        <w:t>. October 2020.</w:t>
      </w:r>
      <w:r w:rsidR="002F1FB6" w:rsidRPr="00F7280D">
        <w:rPr>
          <w:lang w:val="en-US"/>
        </w:rPr>
        <w:t xml:space="preserve"> </w:t>
      </w:r>
      <w:r w:rsidR="002F1FB6" w:rsidRPr="00762667">
        <w:rPr>
          <w:i/>
          <w:iCs/>
          <w:lang w:val="en-US"/>
        </w:rPr>
        <w:t>The EPA’s Cost Recovery Arrangements – Final Report prepared for the Ministry of the Environment</w:t>
      </w:r>
      <w:r w:rsidR="000564B2">
        <w:rPr>
          <w:lang w:val="en-US"/>
        </w:rPr>
        <w:t xml:space="preserve">, p </w:t>
      </w:r>
      <w:r w:rsidRPr="002F1FB6">
        <w:rPr>
          <w:lang w:val="en-US"/>
        </w:rPr>
        <w:t>4.</w:t>
      </w:r>
      <w:r>
        <w:rPr>
          <w:lang w:val="en-US"/>
        </w:rPr>
        <w:t xml:space="preserve"> </w:t>
      </w:r>
    </w:p>
  </w:footnote>
  <w:footnote w:id="23">
    <w:p w14:paraId="093E907C" w14:textId="08296699" w:rsidR="00DF25F2" w:rsidRDefault="00DF25F2">
      <w:pPr>
        <w:pStyle w:val="FootnoteText"/>
      </w:pPr>
      <w:r>
        <w:rPr>
          <w:rStyle w:val="FootnoteReference"/>
        </w:rPr>
        <w:footnoteRef/>
      </w:r>
      <w:r>
        <w:t xml:space="preserve"> </w:t>
      </w:r>
      <w:r>
        <w:tab/>
        <w:t xml:space="preserve">Above, n </w:t>
      </w:r>
      <w:r>
        <w:fldChar w:fldCharType="begin"/>
      </w:r>
      <w:r>
        <w:instrText xml:space="preserve"> NOTEREF _Ref114672821 \h </w:instrText>
      </w:r>
      <w:r>
        <w:fldChar w:fldCharType="separate"/>
      </w:r>
      <w:r>
        <w:t>8</w:t>
      </w:r>
      <w:r>
        <w:fldChar w:fldCharType="end"/>
      </w:r>
      <w:r>
        <w:t>.</w:t>
      </w:r>
    </w:p>
  </w:footnote>
  <w:footnote w:id="24">
    <w:p w14:paraId="7B1EF291" w14:textId="0A1402A7" w:rsidR="00634642" w:rsidRDefault="00634642">
      <w:pPr>
        <w:pStyle w:val="FootnoteText"/>
      </w:pPr>
      <w:r>
        <w:rPr>
          <w:rStyle w:val="FootnoteReference"/>
        </w:rPr>
        <w:footnoteRef/>
      </w:r>
      <w:r>
        <w:t xml:space="preserve"> </w:t>
      </w:r>
      <w:r>
        <w:tab/>
      </w:r>
      <w:hyperlink r:id="rId17" w:history="1">
        <w:r w:rsidR="007334C2" w:rsidRPr="007334C2">
          <w:rPr>
            <w:rStyle w:val="Hyperlink"/>
            <w:lang w:val="en-GB"/>
          </w:rPr>
          <w:t>Resource Management Act 1991</w:t>
        </w:r>
      </w:hyperlink>
      <w:r w:rsidR="007334C2">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58E3" w14:textId="77777777" w:rsidR="0060355F" w:rsidRDefault="00603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656"/>
    <w:multiLevelType w:val="hybridMultilevel"/>
    <w:tmpl w:val="2EDE55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3B019F2"/>
    <w:multiLevelType w:val="multilevel"/>
    <w:tmpl w:val="0FEAF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30B4300"/>
    <w:multiLevelType w:val="multilevel"/>
    <w:tmpl w:val="39B2F212"/>
    <w:styleLink w:val="Recommendations"/>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295244"/>
    <w:multiLevelType w:val="hybridMultilevel"/>
    <w:tmpl w:val="79DEBA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2163FB8"/>
    <w:multiLevelType w:val="multilevel"/>
    <w:tmpl w:val="CD301F80"/>
    <w:lvl w:ilvl="0">
      <w:start w:val="1"/>
      <w:numFmt w:val="decimal"/>
      <w:lvlText w:val="%1."/>
      <w:lvlJc w:val="left"/>
      <w:pPr>
        <w:ind w:left="1004" w:hanging="360"/>
      </w:pPr>
      <w:rPr>
        <w:rFonts w:ascii="Calibri" w:hAnsi="Calibri" w:hint="default"/>
        <w:b w:val="0"/>
        <w:bCs/>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pStyle w:val="Bluetext-numbered"/>
      <w:lvlText w:val="%4."/>
      <w:lvlJc w:val="left"/>
      <w:pPr>
        <w:ind w:left="680" w:hanging="396"/>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4542DF6"/>
    <w:multiLevelType w:val="hybridMultilevel"/>
    <w:tmpl w:val="F0EC17A8"/>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4" w15:restartNumberingAfterBreak="0">
    <w:nsid w:val="356D6011"/>
    <w:multiLevelType w:val="multilevel"/>
    <w:tmpl w:val="6090E814"/>
    <w:lvl w:ilvl="0">
      <w:start w:val="1"/>
      <w:numFmt w:val="decimal"/>
      <w:pStyle w:val="CabStandard"/>
      <w:lvlText w:val="%1"/>
      <w:lvlJc w:val="left"/>
      <w:pPr>
        <w:tabs>
          <w:tab w:val="num" w:pos="720"/>
        </w:tabs>
        <w:ind w:left="720" w:hanging="720"/>
      </w:pPr>
      <w:rPr>
        <w:rFonts w:hint="default"/>
        <w:color w:val="000000" w:themeColor="text1"/>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5"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0E5661"/>
    <w:multiLevelType w:val="hybridMultilevel"/>
    <w:tmpl w:val="13142264"/>
    <w:lvl w:ilvl="0" w:tplc="1D9897A8">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15:restartNumberingAfterBreak="0">
    <w:nsid w:val="418C685F"/>
    <w:multiLevelType w:val="hybridMultilevel"/>
    <w:tmpl w:val="994451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B332071"/>
    <w:multiLevelType w:val="hybridMultilevel"/>
    <w:tmpl w:val="71D8F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BB9461C"/>
    <w:multiLevelType w:val="hybridMultilevel"/>
    <w:tmpl w:val="EC74C3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4" w15:restartNumberingAfterBreak="0">
    <w:nsid w:val="5E007B46"/>
    <w:multiLevelType w:val="hybridMultilevel"/>
    <w:tmpl w:val="DEEEF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2064F01"/>
    <w:multiLevelType w:val="hybridMultilevel"/>
    <w:tmpl w:val="1F9639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3126FEF"/>
    <w:multiLevelType w:val="multilevel"/>
    <w:tmpl w:val="EF820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464529"/>
    <w:multiLevelType w:val="hybridMultilevel"/>
    <w:tmpl w:val="E7E277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ACC549B"/>
    <w:multiLevelType w:val="hybridMultilevel"/>
    <w:tmpl w:val="9BD2472A"/>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6CD15AE6"/>
    <w:multiLevelType w:val="hybridMultilevel"/>
    <w:tmpl w:val="F1A25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5F4A04"/>
    <w:multiLevelType w:val="hybridMultilevel"/>
    <w:tmpl w:val="64022134"/>
    <w:lvl w:ilvl="0" w:tplc="3316597C">
      <w:start w:val="1"/>
      <w:numFmt w:val="decimal"/>
      <w:lvlText w:val="%1."/>
      <w:lvlJc w:val="left"/>
      <w:pPr>
        <w:ind w:left="756" w:hanging="396"/>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11035336">
    <w:abstractNumId w:val="12"/>
  </w:num>
  <w:num w:numId="2" w16cid:durableId="782697705">
    <w:abstractNumId w:val="23"/>
  </w:num>
  <w:num w:numId="3" w16cid:durableId="1648975779">
    <w:abstractNumId w:val="18"/>
  </w:num>
  <w:num w:numId="4" w16cid:durableId="395394460">
    <w:abstractNumId w:val="10"/>
  </w:num>
  <w:num w:numId="5" w16cid:durableId="1719934229">
    <w:abstractNumId w:val="7"/>
  </w:num>
  <w:num w:numId="6" w16cid:durableId="692222975">
    <w:abstractNumId w:val="20"/>
  </w:num>
  <w:num w:numId="7" w16cid:durableId="733089478">
    <w:abstractNumId w:val="19"/>
  </w:num>
  <w:num w:numId="8" w16cid:durableId="978460087">
    <w:abstractNumId w:val="32"/>
  </w:num>
  <w:num w:numId="9" w16cid:durableId="1591087429">
    <w:abstractNumId w:val="9"/>
  </w:num>
  <w:num w:numId="10" w16cid:durableId="2121534387">
    <w:abstractNumId w:val="30"/>
  </w:num>
  <w:num w:numId="11" w16cid:durableId="1633365354">
    <w:abstractNumId w:val="3"/>
  </w:num>
  <w:num w:numId="12" w16cid:durableId="2061662356">
    <w:abstractNumId w:val="8"/>
  </w:num>
  <w:num w:numId="13" w16cid:durableId="922840789">
    <w:abstractNumId w:val="15"/>
  </w:num>
  <w:num w:numId="14" w16cid:durableId="72168589">
    <w:abstractNumId w:val="6"/>
  </w:num>
  <w:num w:numId="15" w16cid:durableId="740755977">
    <w:abstractNumId w:val="31"/>
  </w:num>
  <w:num w:numId="16" w16cid:durableId="1579052930">
    <w:abstractNumId w:val="4"/>
  </w:num>
  <w:num w:numId="17" w16cid:durableId="1172455888">
    <w:abstractNumId w:val="14"/>
  </w:num>
  <w:num w:numId="18" w16cid:durableId="1541355703">
    <w:abstractNumId w:val="2"/>
  </w:num>
  <w:num w:numId="19" w16cid:durableId="1727682512">
    <w:abstractNumId w:val="16"/>
  </w:num>
  <w:num w:numId="20" w16cid:durableId="241334417">
    <w:abstractNumId w:val="11"/>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1338958">
    <w:abstractNumId w:val="29"/>
  </w:num>
  <w:num w:numId="22" w16cid:durableId="2003660040">
    <w:abstractNumId w:val="5"/>
  </w:num>
  <w:num w:numId="23" w16cid:durableId="1700351994">
    <w:abstractNumId w:val="27"/>
  </w:num>
  <w:num w:numId="24" w16cid:durableId="1301572933">
    <w:abstractNumId w:val="21"/>
  </w:num>
  <w:num w:numId="25" w16cid:durableId="756679625">
    <w:abstractNumId w:val="25"/>
  </w:num>
  <w:num w:numId="26" w16cid:durableId="1600869486">
    <w:abstractNumId w:val="22"/>
  </w:num>
  <w:num w:numId="27" w16cid:durableId="653989993">
    <w:abstractNumId w:val="13"/>
  </w:num>
  <w:num w:numId="28" w16cid:durableId="1837961586">
    <w:abstractNumId w:val="15"/>
  </w:num>
  <w:num w:numId="29" w16cid:durableId="361245084">
    <w:abstractNumId w:val="1"/>
  </w:num>
  <w:num w:numId="30" w16cid:durableId="11731047">
    <w:abstractNumId w:val="26"/>
  </w:num>
  <w:num w:numId="31" w16cid:durableId="1837647391">
    <w:abstractNumId w:val="24"/>
  </w:num>
  <w:num w:numId="32" w16cid:durableId="637687317">
    <w:abstractNumId w:val="33"/>
  </w:num>
  <w:num w:numId="33" w16cid:durableId="218593645">
    <w:abstractNumId w:val="28"/>
  </w:num>
  <w:num w:numId="34" w16cid:durableId="1435513353">
    <w:abstractNumId w:val="17"/>
  </w:num>
  <w:num w:numId="35" w16cid:durableId="1262836841">
    <w:abstractNumId w:val="0"/>
  </w:num>
  <w:num w:numId="36" w16cid:durableId="574120923">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trackRevisions/>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AF"/>
    <w:rsid w:val="000001BE"/>
    <w:rsid w:val="000002CE"/>
    <w:rsid w:val="00000792"/>
    <w:rsid w:val="00000AAF"/>
    <w:rsid w:val="00000E4B"/>
    <w:rsid w:val="00000E59"/>
    <w:rsid w:val="00000F04"/>
    <w:rsid w:val="00000FF4"/>
    <w:rsid w:val="00001053"/>
    <w:rsid w:val="00001067"/>
    <w:rsid w:val="00001407"/>
    <w:rsid w:val="00001411"/>
    <w:rsid w:val="00001419"/>
    <w:rsid w:val="00001A34"/>
    <w:rsid w:val="000022E4"/>
    <w:rsid w:val="0000248E"/>
    <w:rsid w:val="00002C6E"/>
    <w:rsid w:val="00002EF2"/>
    <w:rsid w:val="00002F69"/>
    <w:rsid w:val="00002FFF"/>
    <w:rsid w:val="000035AA"/>
    <w:rsid w:val="000035CA"/>
    <w:rsid w:val="00003BC0"/>
    <w:rsid w:val="00003BD1"/>
    <w:rsid w:val="00003C4F"/>
    <w:rsid w:val="00003C63"/>
    <w:rsid w:val="00003CA7"/>
    <w:rsid w:val="000041E1"/>
    <w:rsid w:val="00004793"/>
    <w:rsid w:val="000048E7"/>
    <w:rsid w:val="00004BCD"/>
    <w:rsid w:val="00004E0A"/>
    <w:rsid w:val="00004F1A"/>
    <w:rsid w:val="00004FD3"/>
    <w:rsid w:val="000050A5"/>
    <w:rsid w:val="000053F5"/>
    <w:rsid w:val="00005AC2"/>
    <w:rsid w:val="00005AFD"/>
    <w:rsid w:val="00005CAB"/>
    <w:rsid w:val="00005CAD"/>
    <w:rsid w:val="00005D3E"/>
    <w:rsid w:val="000060C3"/>
    <w:rsid w:val="0000611F"/>
    <w:rsid w:val="00006404"/>
    <w:rsid w:val="00006CDE"/>
    <w:rsid w:val="00006D0A"/>
    <w:rsid w:val="00006DF5"/>
    <w:rsid w:val="00006F13"/>
    <w:rsid w:val="00006F95"/>
    <w:rsid w:val="00007023"/>
    <w:rsid w:val="00007099"/>
    <w:rsid w:val="0000709F"/>
    <w:rsid w:val="000071BA"/>
    <w:rsid w:val="000071D6"/>
    <w:rsid w:val="00007443"/>
    <w:rsid w:val="000076FB"/>
    <w:rsid w:val="00007D40"/>
    <w:rsid w:val="00007D4E"/>
    <w:rsid w:val="00007F2D"/>
    <w:rsid w:val="00007FAC"/>
    <w:rsid w:val="0001013C"/>
    <w:rsid w:val="0001047D"/>
    <w:rsid w:val="00010667"/>
    <w:rsid w:val="000109E0"/>
    <w:rsid w:val="00010A9C"/>
    <w:rsid w:val="00010ABA"/>
    <w:rsid w:val="00010E15"/>
    <w:rsid w:val="00010F57"/>
    <w:rsid w:val="0001100C"/>
    <w:rsid w:val="00011188"/>
    <w:rsid w:val="000114D6"/>
    <w:rsid w:val="00011558"/>
    <w:rsid w:val="000115CD"/>
    <w:rsid w:val="0001165C"/>
    <w:rsid w:val="00011812"/>
    <w:rsid w:val="00011FC6"/>
    <w:rsid w:val="000120A8"/>
    <w:rsid w:val="000122AA"/>
    <w:rsid w:val="0001237E"/>
    <w:rsid w:val="000123AF"/>
    <w:rsid w:val="00012555"/>
    <w:rsid w:val="00012FA0"/>
    <w:rsid w:val="000131B6"/>
    <w:rsid w:val="000133AA"/>
    <w:rsid w:val="000138F2"/>
    <w:rsid w:val="00014185"/>
    <w:rsid w:val="000141DD"/>
    <w:rsid w:val="00014236"/>
    <w:rsid w:val="00014282"/>
    <w:rsid w:val="000142E2"/>
    <w:rsid w:val="0001431B"/>
    <w:rsid w:val="000144E4"/>
    <w:rsid w:val="00014731"/>
    <w:rsid w:val="000148F6"/>
    <w:rsid w:val="00014944"/>
    <w:rsid w:val="00014AA5"/>
    <w:rsid w:val="00014AE5"/>
    <w:rsid w:val="00014DDE"/>
    <w:rsid w:val="00014E18"/>
    <w:rsid w:val="00015217"/>
    <w:rsid w:val="000153C9"/>
    <w:rsid w:val="000154AA"/>
    <w:rsid w:val="0001573A"/>
    <w:rsid w:val="000157E6"/>
    <w:rsid w:val="00015992"/>
    <w:rsid w:val="000159D2"/>
    <w:rsid w:val="00015A56"/>
    <w:rsid w:val="00015BC8"/>
    <w:rsid w:val="000161DB"/>
    <w:rsid w:val="000161EF"/>
    <w:rsid w:val="00016264"/>
    <w:rsid w:val="000165F5"/>
    <w:rsid w:val="000167FB"/>
    <w:rsid w:val="00016993"/>
    <w:rsid w:val="00016AA4"/>
    <w:rsid w:val="00016CAB"/>
    <w:rsid w:val="00016E5B"/>
    <w:rsid w:val="0001732F"/>
    <w:rsid w:val="0001749B"/>
    <w:rsid w:val="000175EE"/>
    <w:rsid w:val="000179F9"/>
    <w:rsid w:val="00017D75"/>
    <w:rsid w:val="00017FE5"/>
    <w:rsid w:val="0002069C"/>
    <w:rsid w:val="000206DC"/>
    <w:rsid w:val="00020921"/>
    <w:rsid w:val="0002099E"/>
    <w:rsid w:val="00020AD9"/>
    <w:rsid w:val="00020BEA"/>
    <w:rsid w:val="00020D5F"/>
    <w:rsid w:val="00020E69"/>
    <w:rsid w:val="00020F56"/>
    <w:rsid w:val="000214AD"/>
    <w:rsid w:val="00021747"/>
    <w:rsid w:val="000217A0"/>
    <w:rsid w:val="00021910"/>
    <w:rsid w:val="00021A17"/>
    <w:rsid w:val="00021A30"/>
    <w:rsid w:val="00021BC2"/>
    <w:rsid w:val="00021C2B"/>
    <w:rsid w:val="00021FB6"/>
    <w:rsid w:val="00022182"/>
    <w:rsid w:val="0002253B"/>
    <w:rsid w:val="000226AE"/>
    <w:rsid w:val="000228C3"/>
    <w:rsid w:val="0002290A"/>
    <w:rsid w:val="00022E8D"/>
    <w:rsid w:val="00022E8E"/>
    <w:rsid w:val="0002307E"/>
    <w:rsid w:val="00023114"/>
    <w:rsid w:val="00023277"/>
    <w:rsid w:val="0002348A"/>
    <w:rsid w:val="00023697"/>
    <w:rsid w:val="000239D2"/>
    <w:rsid w:val="00023AAA"/>
    <w:rsid w:val="00023BDA"/>
    <w:rsid w:val="00023DAF"/>
    <w:rsid w:val="00023DCC"/>
    <w:rsid w:val="00023FB1"/>
    <w:rsid w:val="00024284"/>
    <w:rsid w:val="00024432"/>
    <w:rsid w:val="000246FC"/>
    <w:rsid w:val="00024708"/>
    <w:rsid w:val="00024A24"/>
    <w:rsid w:val="00024EE7"/>
    <w:rsid w:val="0002534B"/>
    <w:rsid w:val="0002591F"/>
    <w:rsid w:val="000259D6"/>
    <w:rsid w:val="00025B04"/>
    <w:rsid w:val="00025C5B"/>
    <w:rsid w:val="00025D17"/>
    <w:rsid w:val="00025DB3"/>
    <w:rsid w:val="00025F96"/>
    <w:rsid w:val="00025FAB"/>
    <w:rsid w:val="00026092"/>
    <w:rsid w:val="00026274"/>
    <w:rsid w:val="000265F1"/>
    <w:rsid w:val="000267F9"/>
    <w:rsid w:val="00026AE4"/>
    <w:rsid w:val="00026AF2"/>
    <w:rsid w:val="00026C89"/>
    <w:rsid w:val="00026D81"/>
    <w:rsid w:val="00026E89"/>
    <w:rsid w:val="00026F04"/>
    <w:rsid w:val="000270DB"/>
    <w:rsid w:val="00027167"/>
    <w:rsid w:val="000275A3"/>
    <w:rsid w:val="00027612"/>
    <w:rsid w:val="00027686"/>
    <w:rsid w:val="00027770"/>
    <w:rsid w:val="00027849"/>
    <w:rsid w:val="000278CF"/>
    <w:rsid w:val="00027968"/>
    <w:rsid w:val="00027C75"/>
    <w:rsid w:val="00027DAD"/>
    <w:rsid w:val="000301BD"/>
    <w:rsid w:val="0003052C"/>
    <w:rsid w:val="00030558"/>
    <w:rsid w:val="00030699"/>
    <w:rsid w:val="00030725"/>
    <w:rsid w:val="00030AF9"/>
    <w:rsid w:val="00030DB8"/>
    <w:rsid w:val="00030ED3"/>
    <w:rsid w:val="00031242"/>
    <w:rsid w:val="00031628"/>
    <w:rsid w:val="0003173D"/>
    <w:rsid w:val="00031764"/>
    <w:rsid w:val="000317BA"/>
    <w:rsid w:val="00031815"/>
    <w:rsid w:val="000318EF"/>
    <w:rsid w:val="00031962"/>
    <w:rsid w:val="00031A83"/>
    <w:rsid w:val="000320ED"/>
    <w:rsid w:val="0003213A"/>
    <w:rsid w:val="0003214B"/>
    <w:rsid w:val="000322E4"/>
    <w:rsid w:val="00032371"/>
    <w:rsid w:val="000326B0"/>
    <w:rsid w:val="0003282E"/>
    <w:rsid w:val="000329E2"/>
    <w:rsid w:val="00032A81"/>
    <w:rsid w:val="00032B9B"/>
    <w:rsid w:val="00032D69"/>
    <w:rsid w:val="00032E1E"/>
    <w:rsid w:val="0003315D"/>
    <w:rsid w:val="0003331E"/>
    <w:rsid w:val="00033627"/>
    <w:rsid w:val="00033776"/>
    <w:rsid w:val="00033953"/>
    <w:rsid w:val="000339C6"/>
    <w:rsid w:val="00033C65"/>
    <w:rsid w:val="00033CFE"/>
    <w:rsid w:val="00033F19"/>
    <w:rsid w:val="00033F8C"/>
    <w:rsid w:val="000340D8"/>
    <w:rsid w:val="0003427D"/>
    <w:rsid w:val="00034381"/>
    <w:rsid w:val="000345DD"/>
    <w:rsid w:val="00034AF3"/>
    <w:rsid w:val="00034C9F"/>
    <w:rsid w:val="00034DFA"/>
    <w:rsid w:val="00034E0C"/>
    <w:rsid w:val="000351E1"/>
    <w:rsid w:val="00035354"/>
    <w:rsid w:val="000353A2"/>
    <w:rsid w:val="000357ED"/>
    <w:rsid w:val="000359E6"/>
    <w:rsid w:val="00035C7D"/>
    <w:rsid w:val="00035D0A"/>
    <w:rsid w:val="00035D59"/>
    <w:rsid w:val="00035E15"/>
    <w:rsid w:val="00036167"/>
    <w:rsid w:val="000361D8"/>
    <w:rsid w:val="0003640E"/>
    <w:rsid w:val="0003685A"/>
    <w:rsid w:val="0003688A"/>
    <w:rsid w:val="000368F6"/>
    <w:rsid w:val="000368FC"/>
    <w:rsid w:val="00036C38"/>
    <w:rsid w:val="00036D45"/>
    <w:rsid w:val="00036DA3"/>
    <w:rsid w:val="00036DCE"/>
    <w:rsid w:val="00037021"/>
    <w:rsid w:val="00037046"/>
    <w:rsid w:val="0003705E"/>
    <w:rsid w:val="00037108"/>
    <w:rsid w:val="000374A9"/>
    <w:rsid w:val="00037829"/>
    <w:rsid w:val="00037992"/>
    <w:rsid w:val="000379BF"/>
    <w:rsid w:val="00037ADF"/>
    <w:rsid w:val="00037BEC"/>
    <w:rsid w:val="00037D0D"/>
    <w:rsid w:val="000400D9"/>
    <w:rsid w:val="00040128"/>
    <w:rsid w:val="000401E7"/>
    <w:rsid w:val="0004035C"/>
    <w:rsid w:val="0004060C"/>
    <w:rsid w:val="00040841"/>
    <w:rsid w:val="00040860"/>
    <w:rsid w:val="00040B30"/>
    <w:rsid w:val="00040CED"/>
    <w:rsid w:val="00040EA1"/>
    <w:rsid w:val="0004105C"/>
    <w:rsid w:val="00041423"/>
    <w:rsid w:val="000414DC"/>
    <w:rsid w:val="000414F2"/>
    <w:rsid w:val="000416F3"/>
    <w:rsid w:val="00041AEC"/>
    <w:rsid w:val="00041C08"/>
    <w:rsid w:val="00041C56"/>
    <w:rsid w:val="00041C84"/>
    <w:rsid w:val="0004205F"/>
    <w:rsid w:val="000421B1"/>
    <w:rsid w:val="000423C6"/>
    <w:rsid w:val="0004243C"/>
    <w:rsid w:val="00042531"/>
    <w:rsid w:val="000429F3"/>
    <w:rsid w:val="00042B0E"/>
    <w:rsid w:val="00042DC3"/>
    <w:rsid w:val="00042EDB"/>
    <w:rsid w:val="00042EE6"/>
    <w:rsid w:val="000432FE"/>
    <w:rsid w:val="000433EA"/>
    <w:rsid w:val="00043652"/>
    <w:rsid w:val="00043AFA"/>
    <w:rsid w:val="00043BA8"/>
    <w:rsid w:val="00043D63"/>
    <w:rsid w:val="00043E75"/>
    <w:rsid w:val="00044163"/>
    <w:rsid w:val="000449F9"/>
    <w:rsid w:val="00044A50"/>
    <w:rsid w:val="00044BE6"/>
    <w:rsid w:val="00044C65"/>
    <w:rsid w:val="00044F75"/>
    <w:rsid w:val="00045162"/>
    <w:rsid w:val="000453BA"/>
    <w:rsid w:val="0004543E"/>
    <w:rsid w:val="000454D1"/>
    <w:rsid w:val="00045646"/>
    <w:rsid w:val="0004564D"/>
    <w:rsid w:val="00045654"/>
    <w:rsid w:val="000458C7"/>
    <w:rsid w:val="00045956"/>
    <w:rsid w:val="0004596F"/>
    <w:rsid w:val="00045991"/>
    <w:rsid w:val="00045A4A"/>
    <w:rsid w:val="00045B22"/>
    <w:rsid w:val="00045E5C"/>
    <w:rsid w:val="00046288"/>
    <w:rsid w:val="00046554"/>
    <w:rsid w:val="00046667"/>
    <w:rsid w:val="000466B8"/>
    <w:rsid w:val="00046701"/>
    <w:rsid w:val="000468FF"/>
    <w:rsid w:val="00046A82"/>
    <w:rsid w:val="00046C65"/>
    <w:rsid w:val="00046EA2"/>
    <w:rsid w:val="00047941"/>
    <w:rsid w:val="00047A54"/>
    <w:rsid w:val="00047BD7"/>
    <w:rsid w:val="00047BE3"/>
    <w:rsid w:val="00047C08"/>
    <w:rsid w:val="0005041E"/>
    <w:rsid w:val="00050916"/>
    <w:rsid w:val="00050A22"/>
    <w:rsid w:val="00050E27"/>
    <w:rsid w:val="0005117F"/>
    <w:rsid w:val="0005144F"/>
    <w:rsid w:val="000517EC"/>
    <w:rsid w:val="00051AF1"/>
    <w:rsid w:val="00051B70"/>
    <w:rsid w:val="00051D42"/>
    <w:rsid w:val="00051D94"/>
    <w:rsid w:val="00051F2B"/>
    <w:rsid w:val="00051F56"/>
    <w:rsid w:val="00052378"/>
    <w:rsid w:val="0005290E"/>
    <w:rsid w:val="000529F9"/>
    <w:rsid w:val="00052B2F"/>
    <w:rsid w:val="000536C2"/>
    <w:rsid w:val="000538A1"/>
    <w:rsid w:val="00053A89"/>
    <w:rsid w:val="00053B81"/>
    <w:rsid w:val="00053E45"/>
    <w:rsid w:val="000550AC"/>
    <w:rsid w:val="000550D9"/>
    <w:rsid w:val="000551DD"/>
    <w:rsid w:val="00055375"/>
    <w:rsid w:val="000555A4"/>
    <w:rsid w:val="00055AAA"/>
    <w:rsid w:val="00055E60"/>
    <w:rsid w:val="00056319"/>
    <w:rsid w:val="000564B2"/>
    <w:rsid w:val="000564E7"/>
    <w:rsid w:val="0005667C"/>
    <w:rsid w:val="00056770"/>
    <w:rsid w:val="00056CA1"/>
    <w:rsid w:val="00056EC2"/>
    <w:rsid w:val="00057146"/>
    <w:rsid w:val="00057386"/>
    <w:rsid w:val="0005739C"/>
    <w:rsid w:val="0005751F"/>
    <w:rsid w:val="00057B41"/>
    <w:rsid w:val="00057C22"/>
    <w:rsid w:val="00057E76"/>
    <w:rsid w:val="00057EEF"/>
    <w:rsid w:val="00057EF2"/>
    <w:rsid w:val="0006032F"/>
    <w:rsid w:val="00060784"/>
    <w:rsid w:val="00060C24"/>
    <w:rsid w:val="00060D9F"/>
    <w:rsid w:val="00061491"/>
    <w:rsid w:val="000618C7"/>
    <w:rsid w:val="000619CB"/>
    <w:rsid w:val="000619FA"/>
    <w:rsid w:val="00061C56"/>
    <w:rsid w:val="00061CAF"/>
    <w:rsid w:val="00061D46"/>
    <w:rsid w:val="00061E27"/>
    <w:rsid w:val="00062387"/>
    <w:rsid w:val="00062509"/>
    <w:rsid w:val="0006270E"/>
    <w:rsid w:val="00062841"/>
    <w:rsid w:val="000629AB"/>
    <w:rsid w:val="00062EE6"/>
    <w:rsid w:val="00062EFA"/>
    <w:rsid w:val="000633A9"/>
    <w:rsid w:val="0006374B"/>
    <w:rsid w:val="00063EDE"/>
    <w:rsid w:val="00063EF9"/>
    <w:rsid w:val="00063F14"/>
    <w:rsid w:val="000640F0"/>
    <w:rsid w:val="00064192"/>
    <w:rsid w:val="00064315"/>
    <w:rsid w:val="0006434D"/>
    <w:rsid w:val="000643A1"/>
    <w:rsid w:val="0006443A"/>
    <w:rsid w:val="00064679"/>
    <w:rsid w:val="000648A3"/>
    <w:rsid w:val="00064A13"/>
    <w:rsid w:val="00064AF4"/>
    <w:rsid w:val="00064DB1"/>
    <w:rsid w:val="00064EEB"/>
    <w:rsid w:val="000651F5"/>
    <w:rsid w:val="000656C4"/>
    <w:rsid w:val="0006576E"/>
    <w:rsid w:val="00065832"/>
    <w:rsid w:val="00065BA3"/>
    <w:rsid w:val="00065D3B"/>
    <w:rsid w:val="00065D61"/>
    <w:rsid w:val="00066260"/>
    <w:rsid w:val="0006643F"/>
    <w:rsid w:val="00066790"/>
    <w:rsid w:val="000667E9"/>
    <w:rsid w:val="00067128"/>
    <w:rsid w:val="000675CD"/>
    <w:rsid w:val="00067872"/>
    <w:rsid w:val="000678AC"/>
    <w:rsid w:val="0007013C"/>
    <w:rsid w:val="000703B2"/>
    <w:rsid w:val="00070704"/>
    <w:rsid w:val="00070B2A"/>
    <w:rsid w:val="00070FBF"/>
    <w:rsid w:val="000711EE"/>
    <w:rsid w:val="00071426"/>
    <w:rsid w:val="0007143D"/>
    <w:rsid w:val="00071473"/>
    <w:rsid w:val="000714A7"/>
    <w:rsid w:val="000716E8"/>
    <w:rsid w:val="0007180E"/>
    <w:rsid w:val="0007190A"/>
    <w:rsid w:val="00071A3D"/>
    <w:rsid w:val="00071A6D"/>
    <w:rsid w:val="00071AE4"/>
    <w:rsid w:val="00071C41"/>
    <w:rsid w:val="00071CB5"/>
    <w:rsid w:val="00071CCB"/>
    <w:rsid w:val="00071D03"/>
    <w:rsid w:val="00071D10"/>
    <w:rsid w:val="00071DF0"/>
    <w:rsid w:val="00071DF4"/>
    <w:rsid w:val="00071E7B"/>
    <w:rsid w:val="00072141"/>
    <w:rsid w:val="00072270"/>
    <w:rsid w:val="0007232B"/>
    <w:rsid w:val="000723D2"/>
    <w:rsid w:val="000729AF"/>
    <w:rsid w:val="00072D53"/>
    <w:rsid w:val="00072D74"/>
    <w:rsid w:val="0007327A"/>
    <w:rsid w:val="000733B4"/>
    <w:rsid w:val="000735A2"/>
    <w:rsid w:val="000735AD"/>
    <w:rsid w:val="000735B8"/>
    <w:rsid w:val="00073660"/>
    <w:rsid w:val="0007366B"/>
    <w:rsid w:val="00073829"/>
    <w:rsid w:val="000739BE"/>
    <w:rsid w:val="00073BF7"/>
    <w:rsid w:val="00073E2E"/>
    <w:rsid w:val="00073F23"/>
    <w:rsid w:val="00074161"/>
    <w:rsid w:val="0007423B"/>
    <w:rsid w:val="00074354"/>
    <w:rsid w:val="00074366"/>
    <w:rsid w:val="000743A4"/>
    <w:rsid w:val="000743C8"/>
    <w:rsid w:val="000745E7"/>
    <w:rsid w:val="000747D0"/>
    <w:rsid w:val="00074864"/>
    <w:rsid w:val="00074E6A"/>
    <w:rsid w:val="000750B5"/>
    <w:rsid w:val="0007517E"/>
    <w:rsid w:val="00075552"/>
    <w:rsid w:val="00075710"/>
    <w:rsid w:val="00075D8D"/>
    <w:rsid w:val="00075F2A"/>
    <w:rsid w:val="00075FE1"/>
    <w:rsid w:val="00076219"/>
    <w:rsid w:val="00076221"/>
    <w:rsid w:val="0007634E"/>
    <w:rsid w:val="00076475"/>
    <w:rsid w:val="00076667"/>
    <w:rsid w:val="000767C6"/>
    <w:rsid w:val="00076C99"/>
    <w:rsid w:val="00076EF7"/>
    <w:rsid w:val="000772B0"/>
    <w:rsid w:val="00077304"/>
    <w:rsid w:val="00077343"/>
    <w:rsid w:val="00077473"/>
    <w:rsid w:val="00077481"/>
    <w:rsid w:val="000775A3"/>
    <w:rsid w:val="00077695"/>
    <w:rsid w:val="000776F9"/>
    <w:rsid w:val="00077D76"/>
    <w:rsid w:val="00077EE0"/>
    <w:rsid w:val="00077F39"/>
    <w:rsid w:val="000802F9"/>
    <w:rsid w:val="00080480"/>
    <w:rsid w:val="000804CD"/>
    <w:rsid w:val="0008055C"/>
    <w:rsid w:val="0008059A"/>
    <w:rsid w:val="000807D3"/>
    <w:rsid w:val="000807D9"/>
    <w:rsid w:val="00080C10"/>
    <w:rsid w:val="00081346"/>
    <w:rsid w:val="0008145A"/>
    <w:rsid w:val="0008162D"/>
    <w:rsid w:val="00081635"/>
    <w:rsid w:val="00081908"/>
    <w:rsid w:val="000819D4"/>
    <w:rsid w:val="00081E35"/>
    <w:rsid w:val="00081EEE"/>
    <w:rsid w:val="00081F3A"/>
    <w:rsid w:val="0008202F"/>
    <w:rsid w:val="000820EA"/>
    <w:rsid w:val="0008220F"/>
    <w:rsid w:val="00082321"/>
    <w:rsid w:val="00082334"/>
    <w:rsid w:val="0008241E"/>
    <w:rsid w:val="000828F1"/>
    <w:rsid w:val="00082B84"/>
    <w:rsid w:val="000830E6"/>
    <w:rsid w:val="000831C8"/>
    <w:rsid w:val="0008395E"/>
    <w:rsid w:val="00083C10"/>
    <w:rsid w:val="00083C66"/>
    <w:rsid w:val="00083CBA"/>
    <w:rsid w:val="00083F5E"/>
    <w:rsid w:val="0008441B"/>
    <w:rsid w:val="0008460C"/>
    <w:rsid w:val="00084BE8"/>
    <w:rsid w:val="00084C28"/>
    <w:rsid w:val="00084FDB"/>
    <w:rsid w:val="0008505C"/>
    <w:rsid w:val="00085289"/>
    <w:rsid w:val="000855AE"/>
    <w:rsid w:val="00085A09"/>
    <w:rsid w:val="00085A45"/>
    <w:rsid w:val="00085C46"/>
    <w:rsid w:val="00085EC1"/>
    <w:rsid w:val="00086167"/>
    <w:rsid w:val="0008622B"/>
    <w:rsid w:val="00086529"/>
    <w:rsid w:val="0008658A"/>
    <w:rsid w:val="00086808"/>
    <w:rsid w:val="0008686A"/>
    <w:rsid w:val="00086911"/>
    <w:rsid w:val="0008697B"/>
    <w:rsid w:val="00087175"/>
    <w:rsid w:val="00087476"/>
    <w:rsid w:val="000877AA"/>
    <w:rsid w:val="000879CC"/>
    <w:rsid w:val="00087D35"/>
    <w:rsid w:val="00087DCC"/>
    <w:rsid w:val="00087ED8"/>
    <w:rsid w:val="00090346"/>
    <w:rsid w:val="000907C8"/>
    <w:rsid w:val="000909ED"/>
    <w:rsid w:val="00090A29"/>
    <w:rsid w:val="00090C9D"/>
    <w:rsid w:val="00090CCB"/>
    <w:rsid w:val="00090D4C"/>
    <w:rsid w:val="0009118E"/>
    <w:rsid w:val="00091796"/>
    <w:rsid w:val="000918F8"/>
    <w:rsid w:val="00091A5D"/>
    <w:rsid w:val="00091B68"/>
    <w:rsid w:val="00091BA2"/>
    <w:rsid w:val="00091BDC"/>
    <w:rsid w:val="00091C02"/>
    <w:rsid w:val="00091CB0"/>
    <w:rsid w:val="00091CBA"/>
    <w:rsid w:val="0009203E"/>
    <w:rsid w:val="000925BD"/>
    <w:rsid w:val="00092AC1"/>
    <w:rsid w:val="00092C9A"/>
    <w:rsid w:val="00092E94"/>
    <w:rsid w:val="00093027"/>
    <w:rsid w:val="00093131"/>
    <w:rsid w:val="00093522"/>
    <w:rsid w:val="000935F8"/>
    <w:rsid w:val="000938DB"/>
    <w:rsid w:val="00093BF6"/>
    <w:rsid w:val="00093C95"/>
    <w:rsid w:val="00093CA9"/>
    <w:rsid w:val="00093D00"/>
    <w:rsid w:val="00093DD7"/>
    <w:rsid w:val="00093E9D"/>
    <w:rsid w:val="000942DA"/>
    <w:rsid w:val="00094344"/>
    <w:rsid w:val="000947ED"/>
    <w:rsid w:val="00094879"/>
    <w:rsid w:val="00094A7D"/>
    <w:rsid w:val="00094A80"/>
    <w:rsid w:val="00094D8C"/>
    <w:rsid w:val="000953C6"/>
    <w:rsid w:val="000953F4"/>
    <w:rsid w:val="0009583A"/>
    <w:rsid w:val="0009590C"/>
    <w:rsid w:val="000959E7"/>
    <w:rsid w:val="00095CCE"/>
    <w:rsid w:val="00095D34"/>
    <w:rsid w:val="00095E7D"/>
    <w:rsid w:val="0009631B"/>
    <w:rsid w:val="000964DE"/>
    <w:rsid w:val="000972AB"/>
    <w:rsid w:val="000972F7"/>
    <w:rsid w:val="000973FE"/>
    <w:rsid w:val="00097A2D"/>
    <w:rsid w:val="00097AA2"/>
    <w:rsid w:val="00097B40"/>
    <w:rsid w:val="00097B43"/>
    <w:rsid w:val="00097D0E"/>
    <w:rsid w:val="00097D22"/>
    <w:rsid w:val="00097F2E"/>
    <w:rsid w:val="000A007D"/>
    <w:rsid w:val="000A00AE"/>
    <w:rsid w:val="000A015C"/>
    <w:rsid w:val="000A02B7"/>
    <w:rsid w:val="000A07EB"/>
    <w:rsid w:val="000A097F"/>
    <w:rsid w:val="000A0A97"/>
    <w:rsid w:val="000A112E"/>
    <w:rsid w:val="000A1399"/>
    <w:rsid w:val="000A150B"/>
    <w:rsid w:val="000A15E3"/>
    <w:rsid w:val="000A1683"/>
    <w:rsid w:val="000A16DD"/>
    <w:rsid w:val="000A17EA"/>
    <w:rsid w:val="000A1823"/>
    <w:rsid w:val="000A1C30"/>
    <w:rsid w:val="000A1C73"/>
    <w:rsid w:val="000A1C7A"/>
    <w:rsid w:val="000A20D3"/>
    <w:rsid w:val="000A21D9"/>
    <w:rsid w:val="000A2345"/>
    <w:rsid w:val="000A2394"/>
    <w:rsid w:val="000A2674"/>
    <w:rsid w:val="000A2701"/>
    <w:rsid w:val="000A2ECD"/>
    <w:rsid w:val="000A301C"/>
    <w:rsid w:val="000A3086"/>
    <w:rsid w:val="000A313C"/>
    <w:rsid w:val="000A316D"/>
    <w:rsid w:val="000A31C1"/>
    <w:rsid w:val="000A3231"/>
    <w:rsid w:val="000A32C5"/>
    <w:rsid w:val="000A3411"/>
    <w:rsid w:val="000A34CA"/>
    <w:rsid w:val="000A3734"/>
    <w:rsid w:val="000A3B17"/>
    <w:rsid w:val="000A3C62"/>
    <w:rsid w:val="000A3C9A"/>
    <w:rsid w:val="000A3EBE"/>
    <w:rsid w:val="000A402D"/>
    <w:rsid w:val="000A4088"/>
    <w:rsid w:val="000A4167"/>
    <w:rsid w:val="000A426F"/>
    <w:rsid w:val="000A43AA"/>
    <w:rsid w:val="000A44E2"/>
    <w:rsid w:val="000A4559"/>
    <w:rsid w:val="000A45FD"/>
    <w:rsid w:val="000A46C9"/>
    <w:rsid w:val="000A477B"/>
    <w:rsid w:val="000A489F"/>
    <w:rsid w:val="000A48F9"/>
    <w:rsid w:val="000A4907"/>
    <w:rsid w:val="000A4BED"/>
    <w:rsid w:val="000A52D3"/>
    <w:rsid w:val="000A558D"/>
    <w:rsid w:val="000A5611"/>
    <w:rsid w:val="000A563C"/>
    <w:rsid w:val="000A59C5"/>
    <w:rsid w:val="000A5AA9"/>
    <w:rsid w:val="000A5B4E"/>
    <w:rsid w:val="000A5D8C"/>
    <w:rsid w:val="000A5DEA"/>
    <w:rsid w:val="000A5EB6"/>
    <w:rsid w:val="000A5EBD"/>
    <w:rsid w:val="000A5FBF"/>
    <w:rsid w:val="000A6168"/>
    <w:rsid w:val="000A63D0"/>
    <w:rsid w:val="000A6799"/>
    <w:rsid w:val="000A6C50"/>
    <w:rsid w:val="000A6DEF"/>
    <w:rsid w:val="000A6E56"/>
    <w:rsid w:val="000A716C"/>
    <w:rsid w:val="000A71F8"/>
    <w:rsid w:val="000A73C1"/>
    <w:rsid w:val="000A7658"/>
    <w:rsid w:val="000A7778"/>
    <w:rsid w:val="000A7783"/>
    <w:rsid w:val="000A77AA"/>
    <w:rsid w:val="000A793E"/>
    <w:rsid w:val="000A794E"/>
    <w:rsid w:val="000A79E0"/>
    <w:rsid w:val="000A7AED"/>
    <w:rsid w:val="000A7F0F"/>
    <w:rsid w:val="000A7F4C"/>
    <w:rsid w:val="000B02BC"/>
    <w:rsid w:val="000B0495"/>
    <w:rsid w:val="000B0498"/>
    <w:rsid w:val="000B0833"/>
    <w:rsid w:val="000B0E20"/>
    <w:rsid w:val="000B0F36"/>
    <w:rsid w:val="000B111D"/>
    <w:rsid w:val="000B151F"/>
    <w:rsid w:val="000B17C3"/>
    <w:rsid w:val="000B18AC"/>
    <w:rsid w:val="000B1942"/>
    <w:rsid w:val="000B19C4"/>
    <w:rsid w:val="000B19F4"/>
    <w:rsid w:val="000B1B6A"/>
    <w:rsid w:val="000B1BED"/>
    <w:rsid w:val="000B1DA4"/>
    <w:rsid w:val="000B2240"/>
    <w:rsid w:val="000B22D3"/>
    <w:rsid w:val="000B2477"/>
    <w:rsid w:val="000B24A5"/>
    <w:rsid w:val="000B2600"/>
    <w:rsid w:val="000B284E"/>
    <w:rsid w:val="000B2995"/>
    <w:rsid w:val="000B2A52"/>
    <w:rsid w:val="000B2E74"/>
    <w:rsid w:val="000B30D5"/>
    <w:rsid w:val="000B3184"/>
    <w:rsid w:val="000B33A1"/>
    <w:rsid w:val="000B36F9"/>
    <w:rsid w:val="000B388F"/>
    <w:rsid w:val="000B3CE6"/>
    <w:rsid w:val="000B3D49"/>
    <w:rsid w:val="000B3DF4"/>
    <w:rsid w:val="000B4074"/>
    <w:rsid w:val="000B4580"/>
    <w:rsid w:val="000B4732"/>
    <w:rsid w:val="000B48C6"/>
    <w:rsid w:val="000B4BCD"/>
    <w:rsid w:val="000B5382"/>
    <w:rsid w:val="000B541D"/>
    <w:rsid w:val="000B5742"/>
    <w:rsid w:val="000B5C66"/>
    <w:rsid w:val="000B5F38"/>
    <w:rsid w:val="000B600B"/>
    <w:rsid w:val="000B60E2"/>
    <w:rsid w:val="000B61A3"/>
    <w:rsid w:val="000B6642"/>
    <w:rsid w:val="000B66DC"/>
    <w:rsid w:val="000B67A4"/>
    <w:rsid w:val="000B67CB"/>
    <w:rsid w:val="000B6828"/>
    <w:rsid w:val="000B6CDF"/>
    <w:rsid w:val="000B6D1F"/>
    <w:rsid w:val="000B6DCE"/>
    <w:rsid w:val="000B6F30"/>
    <w:rsid w:val="000B6F90"/>
    <w:rsid w:val="000B7768"/>
    <w:rsid w:val="000B78BF"/>
    <w:rsid w:val="000B7C59"/>
    <w:rsid w:val="000B7C8E"/>
    <w:rsid w:val="000C011D"/>
    <w:rsid w:val="000C01FC"/>
    <w:rsid w:val="000C0330"/>
    <w:rsid w:val="000C0369"/>
    <w:rsid w:val="000C062F"/>
    <w:rsid w:val="000C0A19"/>
    <w:rsid w:val="000C0ACB"/>
    <w:rsid w:val="000C0F20"/>
    <w:rsid w:val="000C133C"/>
    <w:rsid w:val="000C1441"/>
    <w:rsid w:val="000C1611"/>
    <w:rsid w:val="000C17E7"/>
    <w:rsid w:val="000C187B"/>
    <w:rsid w:val="000C19C1"/>
    <w:rsid w:val="000C1AD9"/>
    <w:rsid w:val="000C1C02"/>
    <w:rsid w:val="000C1F5E"/>
    <w:rsid w:val="000C2014"/>
    <w:rsid w:val="000C2308"/>
    <w:rsid w:val="000C23FD"/>
    <w:rsid w:val="000C2449"/>
    <w:rsid w:val="000C25EB"/>
    <w:rsid w:val="000C27AD"/>
    <w:rsid w:val="000C2904"/>
    <w:rsid w:val="000C2916"/>
    <w:rsid w:val="000C2990"/>
    <w:rsid w:val="000C2B92"/>
    <w:rsid w:val="000C2BCE"/>
    <w:rsid w:val="000C3270"/>
    <w:rsid w:val="000C3C09"/>
    <w:rsid w:val="000C4082"/>
    <w:rsid w:val="000C41EC"/>
    <w:rsid w:val="000C4426"/>
    <w:rsid w:val="000C4573"/>
    <w:rsid w:val="000C45E5"/>
    <w:rsid w:val="000C479B"/>
    <w:rsid w:val="000C4D3F"/>
    <w:rsid w:val="000C5113"/>
    <w:rsid w:val="000C56F3"/>
    <w:rsid w:val="000C577E"/>
    <w:rsid w:val="000C5A77"/>
    <w:rsid w:val="000C5ABD"/>
    <w:rsid w:val="000C5B7F"/>
    <w:rsid w:val="000C613B"/>
    <w:rsid w:val="000C61E9"/>
    <w:rsid w:val="000C6627"/>
    <w:rsid w:val="000C6673"/>
    <w:rsid w:val="000C67E0"/>
    <w:rsid w:val="000C69D2"/>
    <w:rsid w:val="000C6E79"/>
    <w:rsid w:val="000C6EFB"/>
    <w:rsid w:val="000C6F09"/>
    <w:rsid w:val="000C6F43"/>
    <w:rsid w:val="000C7307"/>
    <w:rsid w:val="000C73AB"/>
    <w:rsid w:val="000C73EB"/>
    <w:rsid w:val="000C7488"/>
    <w:rsid w:val="000C7821"/>
    <w:rsid w:val="000C7A7C"/>
    <w:rsid w:val="000D04BA"/>
    <w:rsid w:val="000D0853"/>
    <w:rsid w:val="000D0939"/>
    <w:rsid w:val="000D09F2"/>
    <w:rsid w:val="000D0A80"/>
    <w:rsid w:val="000D0B6E"/>
    <w:rsid w:val="000D0B94"/>
    <w:rsid w:val="000D0D65"/>
    <w:rsid w:val="000D0E13"/>
    <w:rsid w:val="000D1021"/>
    <w:rsid w:val="000D1092"/>
    <w:rsid w:val="000D115D"/>
    <w:rsid w:val="000D12E0"/>
    <w:rsid w:val="000D134B"/>
    <w:rsid w:val="000D1402"/>
    <w:rsid w:val="000D1944"/>
    <w:rsid w:val="000D1D00"/>
    <w:rsid w:val="000D1DD9"/>
    <w:rsid w:val="000D203F"/>
    <w:rsid w:val="000D2144"/>
    <w:rsid w:val="000D2172"/>
    <w:rsid w:val="000D277D"/>
    <w:rsid w:val="000D293C"/>
    <w:rsid w:val="000D29C6"/>
    <w:rsid w:val="000D2A25"/>
    <w:rsid w:val="000D2B14"/>
    <w:rsid w:val="000D2BC1"/>
    <w:rsid w:val="000D2D12"/>
    <w:rsid w:val="000D2D50"/>
    <w:rsid w:val="000D2F04"/>
    <w:rsid w:val="000D2F5A"/>
    <w:rsid w:val="000D31EB"/>
    <w:rsid w:val="000D337B"/>
    <w:rsid w:val="000D36F9"/>
    <w:rsid w:val="000D385A"/>
    <w:rsid w:val="000D38C2"/>
    <w:rsid w:val="000D3BC5"/>
    <w:rsid w:val="000D3CA7"/>
    <w:rsid w:val="000D3F5E"/>
    <w:rsid w:val="000D4230"/>
    <w:rsid w:val="000D45D8"/>
    <w:rsid w:val="000D4822"/>
    <w:rsid w:val="000D4A3F"/>
    <w:rsid w:val="000D4ED4"/>
    <w:rsid w:val="000D5182"/>
    <w:rsid w:val="000D56A1"/>
    <w:rsid w:val="000D5713"/>
    <w:rsid w:val="000D5891"/>
    <w:rsid w:val="000D58BF"/>
    <w:rsid w:val="000D5923"/>
    <w:rsid w:val="000D5B16"/>
    <w:rsid w:val="000D5B44"/>
    <w:rsid w:val="000D5FD6"/>
    <w:rsid w:val="000D6201"/>
    <w:rsid w:val="000D6367"/>
    <w:rsid w:val="000D6404"/>
    <w:rsid w:val="000D6435"/>
    <w:rsid w:val="000D6488"/>
    <w:rsid w:val="000D6763"/>
    <w:rsid w:val="000D6C23"/>
    <w:rsid w:val="000D7088"/>
    <w:rsid w:val="000D70BE"/>
    <w:rsid w:val="000D7364"/>
    <w:rsid w:val="000D7659"/>
    <w:rsid w:val="000D76DA"/>
    <w:rsid w:val="000D770B"/>
    <w:rsid w:val="000D788E"/>
    <w:rsid w:val="000D78C0"/>
    <w:rsid w:val="000D7B46"/>
    <w:rsid w:val="000D7C82"/>
    <w:rsid w:val="000E0190"/>
    <w:rsid w:val="000E01C8"/>
    <w:rsid w:val="000E02F4"/>
    <w:rsid w:val="000E0A22"/>
    <w:rsid w:val="000E0B45"/>
    <w:rsid w:val="000E0D1D"/>
    <w:rsid w:val="000E0DB2"/>
    <w:rsid w:val="000E108A"/>
    <w:rsid w:val="000E12B0"/>
    <w:rsid w:val="000E157F"/>
    <w:rsid w:val="000E1650"/>
    <w:rsid w:val="000E1718"/>
    <w:rsid w:val="000E19F6"/>
    <w:rsid w:val="000E1A0F"/>
    <w:rsid w:val="000E1AF6"/>
    <w:rsid w:val="000E1B46"/>
    <w:rsid w:val="000E1BC8"/>
    <w:rsid w:val="000E1D32"/>
    <w:rsid w:val="000E1E56"/>
    <w:rsid w:val="000E1EAE"/>
    <w:rsid w:val="000E2419"/>
    <w:rsid w:val="000E26D8"/>
    <w:rsid w:val="000E26FE"/>
    <w:rsid w:val="000E2717"/>
    <w:rsid w:val="000E2B16"/>
    <w:rsid w:val="000E2B94"/>
    <w:rsid w:val="000E2D49"/>
    <w:rsid w:val="000E3156"/>
    <w:rsid w:val="000E32E2"/>
    <w:rsid w:val="000E334C"/>
    <w:rsid w:val="000E35B6"/>
    <w:rsid w:val="000E3718"/>
    <w:rsid w:val="000E3AF3"/>
    <w:rsid w:val="000E3BB8"/>
    <w:rsid w:val="000E3C13"/>
    <w:rsid w:val="000E3C4D"/>
    <w:rsid w:val="000E3CC6"/>
    <w:rsid w:val="000E3D9B"/>
    <w:rsid w:val="000E3DD8"/>
    <w:rsid w:val="000E3DFD"/>
    <w:rsid w:val="000E4261"/>
    <w:rsid w:val="000E435A"/>
    <w:rsid w:val="000E45BD"/>
    <w:rsid w:val="000E4678"/>
    <w:rsid w:val="000E4697"/>
    <w:rsid w:val="000E4795"/>
    <w:rsid w:val="000E4A98"/>
    <w:rsid w:val="000E4B14"/>
    <w:rsid w:val="000E5252"/>
    <w:rsid w:val="000E58C5"/>
    <w:rsid w:val="000E5D54"/>
    <w:rsid w:val="000E607E"/>
    <w:rsid w:val="000E618E"/>
    <w:rsid w:val="000E6203"/>
    <w:rsid w:val="000E62D8"/>
    <w:rsid w:val="000E62E1"/>
    <w:rsid w:val="000E6493"/>
    <w:rsid w:val="000E64CB"/>
    <w:rsid w:val="000E6BE1"/>
    <w:rsid w:val="000E6F89"/>
    <w:rsid w:val="000E70FE"/>
    <w:rsid w:val="000E71E9"/>
    <w:rsid w:val="000E722C"/>
    <w:rsid w:val="000E7230"/>
    <w:rsid w:val="000E74A6"/>
    <w:rsid w:val="000E755B"/>
    <w:rsid w:val="000E76A8"/>
    <w:rsid w:val="000E76BD"/>
    <w:rsid w:val="000E77A1"/>
    <w:rsid w:val="000E786F"/>
    <w:rsid w:val="000E7DA7"/>
    <w:rsid w:val="000E7FA0"/>
    <w:rsid w:val="000F00BA"/>
    <w:rsid w:val="000F02F8"/>
    <w:rsid w:val="000F0409"/>
    <w:rsid w:val="000F049F"/>
    <w:rsid w:val="000F0642"/>
    <w:rsid w:val="000F07FA"/>
    <w:rsid w:val="000F0B5E"/>
    <w:rsid w:val="000F0B6E"/>
    <w:rsid w:val="000F0E66"/>
    <w:rsid w:val="000F0FA4"/>
    <w:rsid w:val="000F1316"/>
    <w:rsid w:val="000F13FE"/>
    <w:rsid w:val="000F1D43"/>
    <w:rsid w:val="000F1FFE"/>
    <w:rsid w:val="000F1FFF"/>
    <w:rsid w:val="000F20AA"/>
    <w:rsid w:val="000F211C"/>
    <w:rsid w:val="000F2245"/>
    <w:rsid w:val="000F2423"/>
    <w:rsid w:val="000F2451"/>
    <w:rsid w:val="000F2474"/>
    <w:rsid w:val="000F259E"/>
    <w:rsid w:val="000F2651"/>
    <w:rsid w:val="000F2C0E"/>
    <w:rsid w:val="000F2DC5"/>
    <w:rsid w:val="000F348D"/>
    <w:rsid w:val="000F369A"/>
    <w:rsid w:val="000F376B"/>
    <w:rsid w:val="000F3776"/>
    <w:rsid w:val="000F39ED"/>
    <w:rsid w:val="000F3C4F"/>
    <w:rsid w:val="000F40BE"/>
    <w:rsid w:val="000F4105"/>
    <w:rsid w:val="000F415E"/>
    <w:rsid w:val="000F4463"/>
    <w:rsid w:val="000F4681"/>
    <w:rsid w:val="000F46B0"/>
    <w:rsid w:val="000F477F"/>
    <w:rsid w:val="000F47F7"/>
    <w:rsid w:val="000F4819"/>
    <w:rsid w:val="000F4856"/>
    <w:rsid w:val="000F4D68"/>
    <w:rsid w:val="000F51CE"/>
    <w:rsid w:val="000F5285"/>
    <w:rsid w:val="000F52BE"/>
    <w:rsid w:val="000F52E0"/>
    <w:rsid w:val="000F53A9"/>
    <w:rsid w:val="000F53B5"/>
    <w:rsid w:val="000F5A40"/>
    <w:rsid w:val="000F5F17"/>
    <w:rsid w:val="000F5FC1"/>
    <w:rsid w:val="000F608A"/>
    <w:rsid w:val="000F60BE"/>
    <w:rsid w:val="000F619B"/>
    <w:rsid w:val="000F62F7"/>
    <w:rsid w:val="000F6327"/>
    <w:rsid w:val="000F6464"/>
    <w:rsid w:val="000F6628"/>
    <w:rsid w:val="000F67F8"/>
    <w:rsid w:val="000F6C25"/>
    <w:rsid w:val="000F6DDC"/>
    <w:rsid w:val="000F6E30"/>
    <w:rsid w:val="000F6F9B"/>
    <w:rsid w:val="000F70C7"/>
    <w:rsid w:val="000F76EB"/>
    <w:rsid w:val="000F78AE"/>
    <w:rsid w:val="000F79CA"/>
    <w:rsid w:val="000F7AAA"/>
    <w:rsid w:val="000F7B50"/>
    <w:rsid w:val="000F7E25"/>
    <w:rsid w:val="000F7EBC"/>
    <w:rsid w:val="00100225"/>
    <w:rsid w:val="00100404"/>
    <w:rsid w:val="00100464"/>
    <w:rsid w:val="001007EE"/>
    <w:rsid w:val="00100A2D"/>
    <w:rsid w:val="00100F76"/>
    <w:rsid w:val="0010113A"/>
    <w:rsid w:val="0010115F"/>
    <w:rsid w:val="001012E0"/>
    <w:rsid w:val="0010148E"/>
    <w:rsid w:val="001015AA"/>
    <w:rsid w:val="0010161B"/>
    <w:rsid w:val="00101763"/>
    <w:rsid w:val="00101965"/>
    <w:rsid w:val="00101BFD"/>
    <w:rsid w:val="00101C7C"/>
    <w:rsid w:val="00101EE3"/>
    <w:rsid w:val="0010200C"/>
    <w:rsid w:val="0010253C"/>
    <w:rsid w:val="001027C6"/>
    <w:rsid w:val="0010288F"/>
    <w:rsid w:val="00102906"/>
    <w:rsid w:val="00102BD1"/>
    <w:rsid w:val="00102C41"/>
    <w:rsid w:val="00102C58"/>
    <w:rsid w:val="00102C8B"/>
    <w:rsid w:val="00102FC3"/>
    <w:rsid w:val="0010317F"/>
    <w:rsid w:val="00103398"/>
    <w:rsid w:val="001037B6"/>
    <w:rsid w:val="00103860"/>
    <w:rsid w:val="00103D05"/>
    <w:rsid w:val="0010486A"/>
    <w:rsid w:val="00104880"/>
    <w:rsid w:val="00104BCC"/>
    <w:rsid w:val="00105046"/>
    <w:rsid w:val="00105443"/>
    <w:rsid w:val="0010561C"/>
    <w:rsid w:val="00105655"/>
    <w:rsid w:val="001057C6"/>
    <w:rsid w:val="0010585F"/>
    <w:rsid w:val="00105AAE"/>
    <w:rsid w:val="00105BEB"/>
    <w:rsid w:val="00105C0F"/>
    <w:rsid w:val="00105D49"/>
    <w:rsid w:val="00105E39"/>
    <w:rsid w:val="00105EED"/>
    <w:rsid w:val="00106202"/>
    <w:rsid w:val="00106561"/>
    <w:rsid w:val="001067D6"/>
    <w:rsid w:val="0010689E"/>
    <w:rsid w:val="00106D63"/>
    <w:rsid w:val="00106FFF"/>
    <w:rsid w:val="0010713F"/>
    <w:rsid w:val="001072B7"/>
    <w:rsid w:val="001074E9"/>
    <w:rsid w:val="00107539"/>
    <w:rsid w:val="001075F3"/>
    <w:rsid w:val="0010777E"/>
    <w:rsid w:val="00107857"/>
    <w:rsid w:val="001079AE"/>
    <w:rsid w:val="00107A01"/>
    <w:rsid w:val="00107B27"/>
    <w:rsid w:val="00107C23"/>
    <w:rsid w:val="00107CD7"/>
    <w:rsid w:val="00107EED"/>
    <w:rsid w:val="00110307"/>
    <w:rsid w:val="00110603"/>
    <w:rsid w:val="0011077F"/>
    <w:rsid w:val="00110C7F"/>
    <w:rsid w:val="00110D78"/>
    <w:rsid w:val="00110EE2"/>
    <w:rsid w:val="001112F1"/>
    <w:rsid w:val="0011149A"/>
    <w:rsid w:val="00111869"/>
    <w:rsid w:val="001118A3"/>
    <w:rsid w:val="0011199F"/>
    <w:rsid w:val="00111A88"/>
    <w:rsid w:val="00111CDA"/>
    <w:rsid w:val="00111DF8"/>
    <w:rsid w:val="00111FE1"/>
    <w:rsid w:val="0011221A"/>
    <w:rsid w:val="00112683"/>
    <w:rsid w:val="00112B6E"/>
    <w:rsid w:val="00112C6C"/>
    <w:rsid w:val="00112C96"/>
    <w:rsid w:val="00112CC1"/>
    <w:rsid w:val="00113283"/>
    <w:rsid w:val="0011344D"/>
    <w:rsid w:val="001136D4"/>
    <w:rsid w:val="001137AE"/>
    <w:rsid w:val="001137DB"/>
    <w:rsid w:val="001137E5"/>
    <w:rsid w:val="001139E4"/>
    <w:rsid w:val="00113B20"/>
    <w:rsid w:val="00113EED"/>
    <w:rsid w:val="00114141"/>
    <w:rsid w:val="001144E2"/>
    <w:rsid w:val="001147B3"/>
    <w:rsid w:val="001148F7"/>
    <w:rsid w:val="001149B2"/>
    <w:rsid w:val="00114C2D"/>
    <w:rsid w:val="00114C53"/>
    <w:rsid w:val="00114D9F"/>
    <w:rsid w:val="00114DFE"/>
    <w:rsid w:val="00114FFB"/>
    <w:rsid w:val="00115071"/>
    <w:rsid w:val="00115125"/>
    <w:rsid w:val="001152F2"/>
    <w:rsid w:val="0011543C"/>
    <w:rsid w:val="001157D7"/>
    <w:rsid w:val="001158AD"/>
    <w:rsid w:val="001159D4"/>
    <w:rsid w:val="00115A57"/>
    <w:rsid w:val="00115BDC"/>
    <w:rsid w:val="00115C62"/>
    <w:rsid w:val="00115E8F"/>
    <w:rsid w:val="0011615F"/>
    <w:rsid w:val="00116219"/>
    <w:rsid w:val="00116382"/>
    <w:rsid w:val="00116435"/>
    <w:rsid w:val="00116445"/>
    <w:rsid w:val="00116484"/>
    <w:rsid w:val="00116A77"/>
    <w:rsid w:val="00116A79"/>
    <w:rsid w:val="00116ACF"/>
    <w:rsid w:val="00116D27"/>
    <w:rsid w:val="00116D5C"/>
    <w:rsid w:val="00116D73"/>
    <w:rsid w:val="00116F4F"/>
    <w:rsid w:val="001171F1"/>
    <w:rsid w:val="001172B2"/>
    <w:rsid w:val="0011730D"/>
    <w:rsid w:val="00117576"/>
    <w:rsid w:val="001177B3"/>
    <w:rsid w:val="0011782D"/>
    <w:rsid w:val="0011793E"/>
    <w:rsid w:val="00117F2D"/>
    <w:rsid w:val="00117F9B"/>
    <w:rsid w:val="00120723"/>
    <w:rsid w:val="001209EE"/>
    <w:rsid w:val="00120CEE"/>
    <w:rsid w:val="00120E16"/>
    <w:rsid w:val="00120E2F"/>
    <w:rsid w:val="00121211"/>
    <w:rsid w:val="00121354"/>
    <w:rsid w:val="0012142E"/>
    <w:rsid w:val="00121628"/>
    <w:rsid w:val="0012167D"/>
    <w:rsid w:val="001216D5"/>
    <w:rsid w:val="00121807"/>
    <w:rsid w:val="00121A3B"/>
    <w:rsid w:val="00121A79"/>
    <w:rsid w:val="00121F59"/>
    <w:rsid w:val="00122170"/>
    <w:rsid w:val="00122189"/>
    <w:rsid w:val="00122280"/>
    <w:rsid w:val="00122AA1"/>
    <w:rsid w:val="00122BEC"/>
    <w:rsid w:val="00122D42"/>
    <w:rsid w:val="00122F12"/>
    <w:rsid w:val="001231B8"/>
    <w:rsid w:val="00123345"/>
    <w:rsid w:val="0012342B"/>
    <w:rsid w:val="00123A16"/>
    <w:rsid w:val="00123C46"/>
    <w:rsid w:val="00123C94"/>
    <w:rsid w:val="001240E2"/>
    <w:rsid w:val="00124207"/>
    <w:rsid w:val="00124344"/>
    <w:rsid w:val="0012470B"/>
    <w:rsid w:val="00124794"/>
    <w:rsid w:val="001248C8"/>
    <w:rsid w:val="00124A23"/>
    <w:rsid w:val="00124AE9"/>
    <w:rsid w:val="00124E60"/>
    <w:rsid w:val="00124EAA"/>
    <w:rsid w:val="00124EFA"/>
    <w:rsid w:val="001252E9"/>
    <w:rsid w:val="001254FA"/>
    <w:rsid w:val="00125972"/>
    <w:rsid w:val="00125C75"/>
    <w:rsid w:val="00125C7E"/>
    <w:rsid w:val="00125E18"/>
    <w:rsid w:val="00125E5B"/>
    <w:rsid w:val="0012638A"/>
    <w:rsid w:val="00126458"/>
    <w:rsid w:val="0012649A"/>
    <w:rsid w:val="00126527"/>
    <w:rsid w:val="001267D6"/>
    <w:rsid w:val="001267D9"/>
    <w:rsid w:val="00126819"/>
    <w:rsid w:val="001269A5"/>
    <w:rsid w:val="00126B9A"/>
    <w:rsid w:val="00126C75"/>
    <w:rsid w:val="00126D6B"/>
    <w:rsid w:val="00126F8A"/>
    <w:rsid w:val="00126F94"/>
    <w:rsid w:val="0012707F"/>
    <w:rsid w:val="001272C9"/>
    <w:rsid w:val="001275F1"/>
    <w:rsid w:val="00127945"/>
    <w:rsid w:val="00127B0F"/>
    <w:rsid w:val="00127CB7"/>
    <w:rsid w:val="00127D94"/>
    <w:rsid w:val="00127E90"/>
    <w:rsid w:val="0012C00B"/>
    <w:rsid w:val="001302C1"/>
    <w:rsid w:val="0013037A"/>
    <w:rsid w:val="00130388"/>
    <w:rsid w:val="00130585"/>
    <w:rsid w:val="001305BA"/>
    <w:rsid w:val="001306CE"/>
    <w:rsid w:val="001306D3"/>
    <w:rsid w:val="001308AE"/>
    <w:rsid w:val="00130E80"/>
    <w:rsid w:val="00131018"/>
    <w:rsid w:val="0013106C"/>
    <w:rsid w:val="001310BF"/>
    <w:rsid w:val="0013154D"/>
    <w:rsid w:val="00131595"/>
    <w:rsid w:val="00131660"/>
    <w:rsid w:val="0013182F"/>
    <w:rsid w:val="0013187C"/>
    <w:rsid w:val="00131BCE"/>
    <w:rsid w:val="00131E25"/>
    <w:rsid w:val="00131E7E"/>
    <w:rsid w:val="0013229F"/>
    <w:rsid w:val="00132472"/>
    <w:rsid w:val="00132546"/>
    <w:rsid w:val="0013257B"/>
    <w:rsid w:val="001325B1"/>
    <w:rsid w:val="00132693"/>
    <w:rsid w:val="00132BAE"/>
    <w:rsid w:val="00132BDA"/>
    <w:rsid w:val="00132D30"/>
    <w:rsid w:val="00132E6A"/>
    <w:rsid w:val="0013323D"/>
    <w:rsid w:val="00133367"/>
    <w:rsid w:val="001335C6"/>
    <w:rsid w:val="00133777"/>
    <w:rsid w:val="00133A0D"/>
    <w:rsid w:val="00133ADA"/>
    <w:rsid w:val="00133CFB"/>
    <w:rsid w:val="00133E73"/>
    <w:rsid w:val="00133FDB"/>
    <w:rsid w:val="0013405E"/>
    <w:rsid w:val="001344B7"/>
    <w:rsid w:val="00134759"/>
    <w:rsid w:val="00134B1D"/>
    <w:rsid w:val="00134F4A"/>
    <w:rsid w:val="00134F54"/>
    <w:rsid w:val="00135263"/>
    <w:rsid w:val="00135533"/>
    <w:rsid w:val="001356A3"/>
    <w:rsid w:val="00135703"/>
    <w:rsid w:val="00135719"/>
    <w:rsid w:val="00135B0E"/>
    <w:rsid w:val="00135B35"/>
    <w:rsid w:val="00135D2D"/>
    <w:rsid w:val="00135DDE"/>
    <w:rsid w:val="00135E4E"/>
    <w:rsid w:val="00135F3A"/>
    <w:rsid w:val="00135FE0"/>
    <w:rsid w:val="00136045"/>
    <w:rsid w:val="00136246"/>
    <w:rsid w:val="00136279"/>
    <w:rsid w:val="0013638A"/>
    <w:rsid w:val="00136394"/>
    <w:rsid w:val="001364D4"/>
    <w:rsid w:val="00136708"/>
    <w:rsid w:val="001368A9"/>
    <w:rsid w:val="00136AA3"/>
    <w:rsid w:val="00137049"/>
    <w:rsid w:val="001371BD"/>
    <w:rsid w:val="001371C8"/>
    <w:rsid w:val="001372ED"/>
    <w:rsid w:val="0013738C"/>
    <w:rsid w:val="00137493"/>
    <w:rsid w:val="0013780A"/>
    <w:rsid w:val="00137B8A"/>
    <w:rsid w:val="001407C4"/>
    <w:rsid w:val="001407FB"/>
    <w:rsid w:val="00140D44"/>
    <w:rsid w:val="00140DD7"/>
    <w:rsid w:val="0014100E"/>
    <w:rsid w:val="001410F8"/>
    <w:rsid w:val="001415BB"/>
    <w:rsid w:val="00141671"/>
    <w:rsid w:val="00141AB2"/>
    <w:rsid w:val="0014290B"/>
    <w:rsid w:val="00142AB9"/>
    <w:rsid w:val="00142B50"/>
    <w:rsid w:val="00142BC2"/>
    <w:rsid w:val="00143873"/>
    <w:rsid w:val="001438BE"/>
    <w:rsid w:val="001439E9"/>
    <w:rsid w:val="00143C55"/>
    <w:rsid w:val="00143CBA"/>
    <w:rsid w:val="001440A9"/>
    <w:rsid w:val="001440F4"/>
    <w:rsid w:val="0014447B"/>
    <w:rsid w:val="00144981"/>
    <w:rsid w:val="00144C6F"/>
    <w:rsid w:val="00144D21"/>
    <w:rsid w:val="00145089"/>
    <w:rsid w:val="001451E7"/>
    <w:rsid w:val="00145545"/>
    <w:rsid w:val="00145567"/>
    <w:rsid w:val="0014581F"/>
    <w:rsid w:val="00145A55"/>
    <w:rsid w:val="00145C14"/>
    <w:rsid w:val="00145E3D"/>
    <w:rsid w:val="00145F5D"/>
    <w:rsid w:val="00145F93"/>
    <w:rsid w:val="001462E3"/>
    <w:rsid w:val="00146809"/>
    <w:rsid w:val="00146827"/>
    <w:rsid w:val="001469B6"/>
    <w:rsid w:val="001469ED"/>
    <w:rsid w:val="00146A45"/>
    <w:rsid w:val="00146C0C"/>
    <w:rsid w:val="00146C12"/>
    <w:rsid w:val="00146FC7"/>
    <w:rsid w:val="00147119"/>
    <w:rsid w:val="0014720C"/>
    <w:rsid w:val="001472C2"/>
    <w:rsid w:val="00147458"/>
    <w:rsid w:val="00147583"/>
    <w:rsid w:val="001478BA"/>
    <w:rsid w:val="001478F4"/>
    <w:rsid w:val="00147D37"/>
    <w:rsid w:val="00147E21"/>
    <w:rsid w:val="00147E7C"/>
    <w:rsid w:val="00147ECF"/>
    <w:rsid w:val="00150ABB"/>
    <w:rsid w:val="00150BA8"/>
    <w:rsid w:val="00150C45"/>
    <w:rsid w:val="00150D19"/>
    <w:rsid w:val="00150FC5"/>
    <w:rsid w:val="0015101A"/>
    <w:rsid w:val="00151144"/>
    <w:rsid w:val="001517A1"/>
    <w:rsid w:val="0015181B"/>
    <w:rsid w:val="00151A9F"/>
    <w:rsid w:val="00151AFD"/>
    <w:rsid w:val="00151C82"/>
    <w:rsid w:val="00151EAF"/>
    <w:rsid w:val="00152134"/>
    <w:rsid w:val="001526CF"/>
    <w:rsid w:val="00152920"/>
    <w:rsid w:val="0015293A"/>
    <w:rsid w:val="0015298C"/>
    <w:rsid w:val="00152B60"/>
    <w:rsid w:val="00152B87"/>
    <w:rsid w:val="00152BEB"/>
    <w:rsid w:val="00152CE6"/>
    <w:rsid w:val="00152D19"/>
    <w:rsid w:val="001535DC"/>
    <w:rsid w:val="0015364A"/>
    <w:rsid w:val="001537DD"/>
    <w:rsid w:val="00153979"/>
    <w:rsid w:val="00153A6C"/>
    <w:rsid w:val="00153A96"/>
    <w:rsid w:val="00153B61"/>
    <w:rsid w:val="00153D1C"/>
    <w:rsid w:val="00153DC4"/>
    <w:rsid w:val="00153FFC"/>
    <w:rsid w:val="00154041"/>
    <w:rsid w:val="001543E2"/>
    <w:rsid w:val="001545D7"/>
    <w:rsid w:val="00154765"/>
    <w:rsid w:val="00154A3A"/>
    <w:rsid w:val="00154A59"/>
    <w:rsid w:val="00154AAE"/>
    <w:rsid w:val="00154D44"/>
    <w:rsid w:val="00154DA5"/>
    <w:rsid w:val="001550CD"/>
    <w:rsid w:val="0015514B"/>
    <w:rsid w:val="00155570"/>
    <w:rsid w:val="001556A4"/>
    <w:rsid w:val="00155875"/>
    <w:rsid w:val="00155A00"/>
    <w:rsid w:val="00155B43"/>
    <w:rsid w:val="00156020"/>
    <w:rsid w:val="0015616B"/>
    <w:rsid w:val="00156331"/>
    <w:rsid w:val="001564F7"/>
    <w:rsid w:val="001565A2"/>
    <w:rsid w:val="001567C3"/>
    <w:rsid w:val="001568F1"/>
    <w:rsid w:val="00156A12"/>
    <w:rsid w:val="00156ECC"/>
    <w:rsid w:val="001571F9"/>
    <w:rsid w:val="001573A2"/>
    <w:rsid w:val="0015756E"/>
    <w:rsid w:val="00157B3F"/>
    <w:rsid w:val="00157F8A"/>
    <w:rsid w:val="00157FD2"/>
    <w:rsid w:val="001600FE"/>
    <w:rsid w:val="0016013F"/>
    <w:rsid w:val="00160176"/>
    <w:rsid w:val="00160522"/>
    <w:rsid w:val="00160737"/>
    <w:rsid w:val="0016091B"/>
    <w:rsid w:val="00160C3D"/>
    <w:rsid w:val="00160C87"/>
    <w:rsid w:val="00160F53"/>
    <w:rsid w:val="00160FDC"/>
    <w:rsid w:val="00161466"/>
    <w:rsid w:val="0016179E"/>
    <w:rsid w:val="0016194A"/>
    <w:rsid w:val="00161B24"/>
    <w:rsid w:val="00161C41"/>
    <w:rsid w:val="00161C73"/>
    <w:rsid w:val="00161DD5"/>
    <w:rsid w:val="0016207F"/>
    <w:rsid w:val="001621F6"/>
    <w:rsid w:val="0016296E"/>
    <w:rsid w:val="00162D54"/>
    <w:rsid w:val="00162DCB"/>
    <w:rsid w:val="0016301C"/>
    <w:rsid w:val="00163290"/>
    <w:rsid w:val="001633A4"/>
    <w:rsid w:val="001633EC"/>
    <w:rsid w:val="001634D6"/>
    <w:rsid w:val="001635FB"/>
    <w:rsid w:val="001638BA"/>
    <w:rsid w:val="00163C07"/>
    <w:rsid w:val="00163C34"/>
    <w:rsid w:val="00163EE5"/>
    <w:rsid w:val="00163FB6"/>
    <w:rsid w:val="0016402D"/>
    <w:rsid w:val="00164276"/>
    <w:rsid w:val="00164410"/>
    <w:rsid w:val="001645D9"/>
    <w:rsid w:val="0016468C"/>
    <w:rsid w:val="00164712"/>
    <w:rsid w:val="001647AD"/>
    <w:rsid w:val="001648DD"/>
    <w:rsid w:val="001649CF"/>
    <w:rsid w:val="00165361"/>
    <w:rsid w:val="0016554D"/>
    <w:rsid w:val="001656B1"/>
    <w:rsid w:val="00165705"/>
    <w:rsid w:val="0016585E"/>
    <w:rsid w:val="00165B51"/>
    <w:rsid w:val="00165CD0"/>
    <w:rsid w:val="00165FA7"/>
    <w:rsid w:val="00166190"/>
    <w:rsid w:val="001661A2"/>
    <w:rsid w:val="001661C8"/>
    <w:rsid w:val="00166249"/>
    <w:rsid w:val="00166389"/>
    <w:rsid w:val="0016641A"/>
    <w:rsid w:val="00166479"/>
    <w:rsid w:val="00166571"/>
    <w:rsid w:val="001666B6"/>
    <w:rsid w:val="001668DB"/>
    <w:rsid w:val="00166916"/>
    <w:rsid w:val="00166E03"/>
    <w:rsid w:val="00167324"/>
    <w:rsid w:val="00167741"/>
    <w:rsid w:val="00167901"/>
    <w:rsid w:val="00167AA0"/>
    <w:rsid w:val="00167E4C"/>
    <w:rsid w:val="00167FAD"/>
    <w:rsid w:val="00170139"/>
    <w:rsid w:val="00170438"/>
    <w:rsid w:val="001704E5"/>
    <w:rsid w:val="001705BE"/>
    <w:rsid w:val="001706D1"/>
    <w:rsid w:val="00170DA4"/>
    <w:rsid w:val="00171123"/>
    <w:rsid w:val="001711D4"/>
    <w:rsid w:val="001712EB"/>
    <w:rsid w:val="0017135B"/>
    <w:rsid w:val="00171449"/>
    <w:rsid w:val="00171982"/>
    <w:rsid w:val="0017199C"/>
    <w:rsid w:val="00171C7E"/>
    <w:rsid w:val="00171F35"/>
    <w:rsid w:val="00171F6C"/>
    <w:rsid w:val="00172002"/>
    <w:rsid w:val="00172019"/>
    <w:rsid w:val="00172062"/>
    <w:rsid w:val="001720B3"/>
    <w:rsid w:val="00172222"/>
    <w:rsid w:val="001724A5"/>
    <w:rsid w:val="00172552"/>
    <w:rsid w:val="00172873"/>
    <w:rsid w:val="00172884"/>
    <w:rsid w:val="00172A63"/>
    <w:rsid w:val="00172CF7"/>
    <w:rsid w:val="00172DC5"/>
    <w:rsid w:val="001730D2"/>
    <w:rsid w:val="0017319E"/>
    <w:rsid w:val="0017343F"/>
    <w:rsid w:val="001735A0"/>
    <w:rsid w:val="0017361B"/>
    <w:rsid w:val="00173852"/>
    <w:rsid w:val="00173985"/>
    <w:rsid w:val="001739C7"/>
    <w:rsid w:val="00173A1F"/>
    <w:rsid w:val="00173BC3"/>
    <w:rsid w:val="00173E83"/>
    <w:rsid w:val="00174123"/>
    <w:rsid w:val="00174128"/>
    <w:rsid w:val="001741E2"/>
    <w:rsid w:val="00174236"/>
    <w:rsid w:val="00174247"/>
    <w:rsid w:val="001745FD"/>
    <w:rsid w:val="001748F0"/>
    <w:rsid w:val="00174950"/>
    <w:rsid w:val="00174A78"/>
    <w:rsid w:val="00174C42"/>
    <w:rsid w:val="00174CD7"/>
    <w:rsid w:val="00174F02"/>
    <w:rsid w:val="00174F58"/>
    <w:rsid w:val="00175778"/>
    <w:rsid w:val="00175786"/>
    <w:rsid w:val="0017589B"/>
    <w:rsid w:val="00175C34"/>
    <w:rsid w:val="00175DEE"/>
    <w:rsid w:val="00175F81"/>
    <w:rsid w:val="00175F9A"/>
    <w:rsid w:val="0017620B"/>
    <w:rsid w:val="0017622F"/>
    <w:rsid w:val="00176371"/>
    <w:rsid w:val="0017668C"/>
    <w:rsid w:val="00176ABD"/>
    <w:rsid w:val="00176DB8"/>
    <w:rsid w:val="00176E98"/>
    <w:rsid w:val="00177222"/>
    <w:rsid w:val="0017738F"/>
    <w:rsid w:val="00177492"/>
    <w:rsid w:val="0017756D"/>
    <w:rsid w:val="00177575"/>
    <w:rsid w:val="001775AA"/>
    <w:rsid w:val="001777E5"/>
    <w:rsid w:val="00177983"/>
    <w:rsid w:val="00177996"/>
    <w:rsid w:val="00177B95"/>
    <w:rsid w:val="00177E79"/>
    <w:rsid w:val="0018071C"/>
    <w:rsid w:val="00180923"/>
    <w:rsid w:val="00180A8D"/>
    <w:rsid w:val="00180B3F"/>
    <w:rsid w:val="00180B58"/>
    <w:rsid w:val="00180B78"/>
    <w:rsid w:val="00180C83"/>
    <w:rsid w:val="00180CE5"/>
    <w:rsid w:val="00180E0D"/>
    <w:rsid w:val="00181079"/>
    <w:rsid w:val="001813AB"/>
    <w:rsid w:val="0018175B"/>
    <w:rsid w:val="001818CD"/>
    <w:rsid w:val="00181A9D"/>
    <w:rsid w:val="00181EFD"/>
    <w:rsid w:val="001820A3"/>
    <w:rsid w:val="001824D1"/>
    <w:rsid w:val="00182502"/>
    <w:rsid w:val="00182536"/>
    <w:rsid w:val="00182658"/>
    <w:rsid w:val="00183032"/>
    <w:rsid w:val="00183065"/>
    <w:rsid w:val="0018332A"/>
    <w:rsid w:val="00183574"/>
    <w:rsid w:val="001836AA"/>
    <w:rsid w:val="001839CF"/>
    <w:rsid w:val="00183A1F"/>
    <w:rsid w:val="00183AF6"/>
    <w:rsid w:val="00183B92"/>
    <w:rsid w:val="00183C8B"/>
    <w:rsid w:val="00183D80"/>
    <w:rsid w:val="0018427E"/>
    <w:rsid w:val="001842C8"/>
    <w:rsid w:val="00184661"/>
    <w:rsid w:val="00184963"/>
    <w:rsid w:val="00184A48"/>
    <w:rsid w:val="00184AC5"/>
    <w:rsid w:val="00184DE0"/>
    <w:rsid w:val="00185044"/>
    <w:rsid w:val="001850DB"/>
    <w:rsid w:val="001850EA"/>
    <w:rsid w:val="0018544E"/>
    <w:rsid w:val="001855C3"/>
    <w:rsid w:val="0018599C"/>
    <w:rsid w:val="00185A29"/>
    <w:rsid w:val="00185AE1"/>
    <w:rsid w:val="00185C20"/>
    <w:rsid w:val="0018614E"/>
    <w:rsid w:val="0018657E"/>
    <w:rsid w:val="00186617"/>
    <w:rsid w:val="001866FA"/>
    <w:rsid w:val="0018699E"/>
    <w:rsid w:val="001869EE"/>
    <w:rsid w:val="00186A46"/>
    <w:rsid w:val="00186D00"/>
    <w:rsid w:val="00187081"/>
    <w:rsid w:val="001870DE"/>
    <w:rsid w:val="001870FB"/>
    <w:rsid w:val="00187109"/>
    <w:rsid w:val="001871A1"/>
    <w:rsid w:val="0018743A"/>
    <w:rsid w:val="00187840"/>
    <w:rsid w:val="001879DE"/>
    <w:rsid w:val="00187AF9"/>
    <w:rsid w:val="00187C3F"/>
    <w:rsid w:val="00187FDD"/>
    <w:rsid w:val="0019013B"/>
    <w:rsid w:val="001904B6"/>
    <w:rsid w:val="00190748"/>
    <w:rsid w:val="00190842"/>
    <w:rsid w:val="00190A57"/>
    <w:rsid w:val="00190B3F"/>
    <w:rsid w:val="0019122C"/>
    <w:rsid w:val="001913A6"/>
    <w:rsid w:val="0019145A"/>
    <w:rsid w:val="00191676"/>
    <w:rsid w:val="001916A0"/>
    <w:rsid w:val="0019189B"/>
    <w:rsid w:val="00191908"/>
    <w:rsid w:val="00191E2F"/>
    <w:rsid w:val="00191F39"/>
    <w:rsid w:val="00191FD2"/>
    <w:rsid w:val="001922B7"/>
    <w:rsid w:val="00192599"/>
    <w:rsid w:val="00192B79"/>
    <w:rsid w:val="00192BAA"/>
    <w:rsid w:val="00192DF3"/>
    <w:rsid w:val="0019301F"/>
    <w:rsid w:val="00193112"/>
    <w:rsid w:val="00193286"/>
    <w:rsid w:val="00193527"/>
    <w:rsid w:val="00193662"/>
    <w:rsid w:val="001936C8"/>
    <w:rsid w:val="0019373D"/>
    <w:rsid w:val="001937B8"/>
    <w:rsid w:val="001939CC"/>
    <w:rsid w:val="00193ADE"/>
    <w:rsid w:val="00193B8E"/>
    <w:rsid w:val="00193BD1"/>
    <w:rsid w:val="00193CFC"/>
    <w:rsid w:val="00193FCB"/>
    <w:rsid w:val="0019420E"/>
    <w:rsid w:val="00194362"/>
    <w:rsid w:val="00194376"/>
    <w:rsid w:val="00194BB7"/>
    <w:rsid w:val="00194BBE"/>
    <w:rsid w:val="00194CC5"/>
    <w:rsid w:val="001950D3"/>
    <w:rsid w:val="001951B2"/>
    <w:rsid w:val="00195263"/>
    <w:rsid w:val="001955B6"/>
    <w:rsid w:val="0019560F"/>
    <w:rsid w:val="0019565D"/>
    <w:rsid w:val="001956C7"/>
    <w:rsid w:val="0019576B"/>
    <w:rsid w:val="00195A37"/>
    <w:rsid w:val="0019607F"/>
    <w:rsid w:val="0019654A"/>
    <w:rsid w:val="00196703"/>
    <w:rsid w:val="00196838"/>
    <w:rsid w:val="00196A5C"/>
    <w:rsid w:val="00196AA7"/>
    <w:rsid w:val="001970F3"/>
    <w:rsid w:val="00197564"/>
    <w:rsid w:val="00197992"/>
    <w:rsid w:val="001979D3"/>
    <w:rsid w:val="00197C4D"/>
    <w:rsid w:val="00197E13"/>
    <w:rsid w:val="00197EC2"/>
    <w:rsid w:val="00197ECE"/>
    <w:rsid w:val="00197F55"/>
    <w:rsid w:val="001A02A1"/>
    <w:rsid w:val="001A0625"/>
    <w:rsid w:val="001A07EA"/>
    <w:rsid w:val="001A088E"/>
    <w:rsid w:val="001A0B48"/>
    <w:rsid w:val="001A0C5E"/>
    <w:rsid w:val="001A0CA9"/>
    <w:rsid w:val="001A0D99"/>
    <w:rsid w:val="001A132E"/>
    <w:rsid w:val="001A13C4"/>
    <w:rsid w:val="001A1441"/>
    <w:rsid w:val="001A1780"/>
    <w:rsid w:val="001A1CED"/>
    <w:rsid w:val="001A1DD7"/>
    <w:rsid w:val="001A1E87"/>
    <w:rsid w:val="001A1FB3"/>
    <w:rsid w:val="001A21F1"/>
    <w:rsid w:val="001A261D"/>
    <w:rsid w:val="001A2759"/>
    <w:rsid w:val="001A279B"/>
    <w:rsid w:val="001A27B7"/>
    <w:rsid w:val="001A2A89"/>
    <w:rsid w:val="001A2DC3"/>
    <w:rsid w:val="001A2E87"/>
    <w:rsid w:val="001A373A"/>
    <w:rsid w:val="001A3763"/>
    <w:rsid w:val="001A379F"/>
    <w:rsid w:val="001A37F2"/>
    <w:rsid w:val="001A3869"/>
    <w:rsid w:val="001A38C2"/>
    <w:rsid w:val="001A40F1"/>
    <w:rsid w:val="001A40FC"/>
    <w:rsid w:val="001A4149"/>
    <w:rsid w:val="001A460E"/>
    <w:rsid w:val="001A49A1"/>
    <w:rsid w:val="001A49C6"/>
    <w:rsid w:val="001A4A2E"/>
    <w:rsid w:val="001A4C7C"/>
    <w:rsid w:val="001A4CF3"/>
    <w:rsid w:val="001A4E3F"/>
    <w:rsid w:val="001A4FF4"/>
    <w:rsid w:val="001A5121"/>
    <w:rsid w:val="001A530B"/>
    <w:rsid w:val="001A53AE"/>
    <w:rsid w:val="001A54AC"/>
    <w:rsid w:val="001A5701"/>
    <w:rsid w:val="001A5734"/>
    <w:rsid w:val="001A5AC6"/>
    <w:rsid w:val="001A602C"/>
    <w:rsid w:val="001A6258"/>
    <w:rsid w:val="001A62CD"/>
    <w:rsid w:val="001A65C8"/>
    <w:rsid w:val="001A6AEC"/>
    <w:rsid w:val="001A6C6B"/>
    <w:rsid w:val="001A6DFF"/>
    <w:rsid w:val="001A6FF5"/>
    <w:rsid w:val="001A70FF"/>
    <w:rsid w:val="001A732E"/>
    <w:rsid w:val="001A7507"/>
    <w:rsid w:val="001A7634"/>
    <w:rsid w:val="001A7654"/>
    <w:rsid w:val="001A7672"/>
    <w:rsid w:val="001A76B2"/>
    <w:rsid w:val="001A77C7"/>
    <w:rsid w:val="001A785D"/>
    <w:rsid w:val="001A7902"/>
    <w:rsid w:val="001A7998"/>
    <w:rsid w:val="001A7A76"/>
    <w:rsid w:val="001A7AAB"/>
    <w:rsid w:val="001A7CCC"/>
    <w:rsid w:val="001A7F30"/>
    <w:rsid w:val="001B0037"/>
    <w:rsid w:val="001B01BA"/>
    <w:rsid w:val="001B0504"/>
    <w:rsid w:val="001B06E2"/>
    <w:rsid w:val="001B0983"/>
    <w:rsid w:val="001B0F53"/>
    <w:rsid w:val="001B103A"/>
    <w:rsid w:val="001B103D"/>
    <w:rsid w:val="001B1114"/>
    <w:rsid w:val="001B11B6"/>
    <w:rsid w:val="001B1438"/>
    <w:rsid w:val="001B1458"/>
    <w:rsid w:val="001B1513"/>
    <w:rsid w:val="001B1767"/>
    <w:rsid w:val="001B183B"/>
    <w:rsid w:val="001B18AE"/>
    <w:rsid w:val="001B20B8"/>
    <w:rsid w:val="001B212E"/>
    <w:rsid w:val="001B226B"/>
    <w:rsid w:val="001B2285"/>
    <w:rsid w:val="001B2453"/>
    <w:rsid w:val="001B2472"/>
    <w:rsid w:val="001B2510"/>
    <w:rsid w:val="001B28ED"/>
    <w:rsid w:val="001B2A53"/>
    <w:rsid w:val="001B2B29"/>
    <w:rsid w:val="001B3054"/>
    <w:rsid w:val="001B3295"/>
    <w:rsid w:val="001B3631"/>
    <w:rsid w:val="001B3D48"/>
    <w:rsid w:val="001B3EDD"/>
    <w:rsid w:val="001B3F91"/>
    <w:rsid w:val="001B3FFF"/>
    <w:rsid w:val="001B4191"/>
    <w:rsid w:val="001B42E8"/>
    <w:rsid w:val="001B43FC"/>
    <w:rsid w:val="001B4583"/>
    <w:rsid w:val="001B45C5"/>
    <w:rsid w:val="001B4CCE"/>
    <w:rsid w:val="001B5558"/>
    <w:rsid w:val="001B5684"/>
    <w:rsid w:val="001B57F6"/>
    <w:rsid w:val="001B5AF9"/>
    <w:rsid w:val="001B5EFE"/>
    <w:rsid w:val="001B5F3D"/>
    <w:rsid w:val="001B5F99"/>
    <w:rsid w:val="001B6020"/>
    <w:rsid w:val="001B609F"/>
    <w:rsid w:val="001B631B"/>
    <w:rsid w:val="001B6496"/>
    <w:rsid w:val="001B6600"/>
    <w:rsid w:val="001B673E"/>
    <w:rsid w:val="001B6B9B"/>
    <w:rsid w:val="001B6B9D"/>
    <w:rsid w:val="001B6C27"/>
    <w:rsid w:val="001B6D16"/>
    <w:rsid w:val="001B6FDB"/>
    <w:rsid w:val="001B7087"/>
    <w:rsid w:val="001B70DE"/>
    <w:rsid w:val="001B7144"/>
    <w:rsid w:val="001B72B2"/>
    <w:rsid w:val="001B79BC"/>
    <w:rsid w:val="001B7CEE"/>
    <w:rsid w:val="001B7DFD"/>
    <w:rsid w:val="001B7E91"/>
    <w:rsid w:val="001C00EE"/>
    <w:rsid w:val="001C015E"/>
    <w:rsid w:val="001C0334"/>
    <w:rsid w:val="001C0A7C"/>
    <w:rsid w:val="001C0B15"/>
    <w:rsid w:val="001C0E77"/>
    <w:rsid w:val="001C1326"/>
    <w:rsid w:val="001C135A"/>
    <w:rsid w:val="001C147E"/>
    <w:rsid w:val="001C151B"/>
    <w:rsid w:val="001C170F"/>
    <w:rsid w:val="001C1822"/>
    <w:rsid w:val="001C1866"/>
    <w:rsid w:val="001C1919"/>
    <w:rsid w:val="001C199B"/>
    <w:rsid w:val="001C19E5"/>
    <w:rsid w:val="001C23E0"/>
    <w:rsid w:val="001C23E8"/>
    <w:rsid w:val="001C2418"/>
    <w:rsid w:val="001C2566"/>
    <w:rsid w:val="001C29D9"/>
    <w:rsid w:val="001C2A8B"/>
    <w:rsid w:val="001C2E5C"/>
    <w:rsid w:val="001C2EC2"/>
    <w:rsid w:val="001C3504"/>
    <w:rsid w:val="001C359A"/>
    <w:rsid w:val="001C3800"/>
    <w:rsid w:val="001C3A95"/>
    <w:rsid w:val="001C3C7B"/>
    <w:rsid w:val="001C3D5A"/>
    <w:rsid w:val="001C407C"/>
    <w:rsid w:val="001C418A"/>
    <w:rsid w:val="001C41DD"/>
    <w:rsid w:val="001C4757"/>
    <w:rsid w:val="001C4F76"/>
    <w:rsid w:val="001C5076"/>
    <w:rsid w:val="001C5208"/>
    <w:rsid w:val="001C56EC"/>
    <w:rsid w:val="001C59E6"/>
    <w:rsid w:val="001C5CA1"/>
    <w:rsid w:val="001C5CE8"/>
    <w:rsid w:val="001C5CED"/>
    <w:rsid w:val="001C5FF6"/>
    <w:rsid w:val="001C6122"/>
    <w:rsid w:val="001C63A4"/>
    <w:rsid w:val="001C6415"/>
    <w:rsid w:val="001C6587"/>
    <w:rsid w:val="001C69BE"/>
    <w:rsid w:val="001C6DB5"/>
    <w:rsid w:val="001C6DF1"/>
    <w:rsid w:val="001C70C2"/>
    <w:rsid w:val="001C71AC"/>
    <w:rsid w:val="001C723F"/>
    <w:rsid w:val="001C7316"/>
    <w:rsid w:val="001C761A"/>
    <w:rsid w:val="001C782C"/>
    <w:rsid w:val="001C79BE"/>
    <w:rsid w:val="001C7AD0"/>
    <w:rsid w:val="001C7E5C"/>
    <w:rsid w:val="001C7FBE"/>
    <w:rsid w:val="001D0067"/>
    <w:rsid w:val="001D00CC"/>
    <w:rsid w:val="001D01E7"/>
    <w:rsid w:val="001D0212"/>
    <w:rsid w:val="001D02B8"/>
    <w:rsid w:val="001D0494"/>
    <w:rsid w:val="001D07B7"/>
    <w:rsid w:val="001D0B30"/>
    <w:rsid w:val="001D0DD5"/>
    <w:rsid w:val="001D1026"/>
    <w:rsid w:val="001D1719"/>
    <w:rsid w:val="001D171B"/>
    <w:rsid w:val="001D1732"/>
    <w:rsid w:val="001D1C90"/>
    <w:rsid w:val="001D1CCE"/>
    <w:rsid w:val="001D1E2E"/>
    <w:rsid w:val="001D21C1"/>
    <w:rsid w:val="001D2203"/>
    <w:rsid w:val="001D2232"/>
    <w:rsid w:val="001D23D5"/>
    <w:rsid w:val="001D247A"/>
    <w:rsid w:val="001D24F6"/>
    <w:rsid w:val="001D255C"/>
    <w:rsid w:val="001D26BD"/>
    <w:rsid w:val="001D2ABE"/>
    <w:rsid w:val="001D2DEF"/>
    <w:rsid w:val="001D2E36"/>
    <w:rsid w:val="001D2EC8"/>
    <w:rsid w:val="001D309B"/>
    <w:rsid w:val="001D30BB"/>
    <w:rsid w:val="001D314D"/>
    <w:rsid w:val="001D3346"/>
    <w:rsid w:val="001D33B2"/>
    <w:rsid w:val="001D33DC"/>
    <w:rsid w:val="001D350A"/>
    <w:rsid w:val="001D39E2"/>
    <w:rsid w:val="001D3A03"/>
    <w:rsid w:val="001D3A2E"/>
    <w:rsid w:val="001D3BB9"/>
    <w:rsid w:val="001D3E97"/>
    <w:rsid w:val="001D409E"/>
    <w:rsid w:val="001D40A6"/>
    <w:rsid w:val="001D41EF"/>
    <w:rsid w:val="001D4530"/>
    <w:rsid w:val="001D4590"/>
    <w:rsid w:val="001D46F2"/>
    <w:rsid w:val="001D488C"/>
    <w:rsid w:val="001D4BA0"/>
    <w:rsid w:val="001D4CDF"/>
    <w:rsid w:val="001D4D76"/>
    <w:rsid w:val="001D4F88"/>
    <w:rsid w:val="001D5496"/>
    <w:rsid w:val="001D578D"/>
    <w:rsid w:val="001D5818"/>
    <w:rsid w:val="001D595D"/>
    <w:rsid w:val="001D63D5"/>
    <w:rsid w:val="001D6464"/>
    <w:rsid w:val="001D653A"/>
    <w:rsid w:val="001D66BE"/>
    <w:rsid w:val="001D6914"/>
    <w:rsid w:val="001D6E44"/>
    <w:rsid w:val="001D6E7F"/>
    <w:rsid w:val="001D70D5"/>
    <w:rsid w:val="001D7288"/>
    <w:rsid w:val="001D752C"/>
    <w:rsid w:val="001D768B"/>
    <w:rsid w:val="001D77AE"/>
    <w:rsid w:val="001D7992"/>
    <w:rsid w:val="001D7B09"/>
    <w:rsid w:val="001D7C78"/>
    <w:rsid w:val="001D7DEE"/>
    <w:rsid w:val="001D7ED3"/>
    <w:rsid w:val="001D7FF7"/>
    <w:rsid w:val="001E00E1"/>
    <w:rsid w:val="001E01CD"/>
    <w:rsid w:val="001E02CB"/>
    <w:rsid w:val="001E04ED"/>
    <w:rsid w:val="001E0DEB"/>
    <w:rsid w:val="001E0E7E"/>
    <w:rsid w:val="001E106A"/>
    <w:rsid w:val="001E130B"/>
    <w:rsid w:val="001E14FD"/>
    <w:rsid w:val="001E152A"/>
    <w:rsid w:val="001E180F"/>
    <w:rsid w:val="001E1826"/>
    <w:rsid w:val="001E1A1F"/>
    <w:rsid w:val="001E1B4E"/>
    <w:rsid w:val="001E1C0C"/>
    <w:rsid w:val="001E1C64"/>
    <w:rsid w:val="001E1CEC"/>
    <w:rsid w:val="001E211F"/>
    <w:rsid w:val="001E237E"/>
    <w:rsid w:val="001E238B"/>
    <w:rsid w:val="001E23EF"/>
    <w:rsid w:val="001E27F4"/>
    <w:rsid w:val="001E2877"/>
    <w:rsid w:val="001E2887"/>
    <w:rsid w:val="001E2A78"/>
    <w:rsid w:val="001E2DD2"/>
    <w:rsid w:val="001E2ECB"/>
    <w:rsid w:val="001E2F0A"/>
    <w:rsid w:val="001E316D"/>
    <w:rsid w:val="001E3202"/>
    <w:rsid w:val="001E3386"/>
    <w:rsid w:val="001E34A7"/>
    <w:rsid w:val="001E36A0"/>
    <w:rsid w:val="001E36DB"/>
    <w:rsid w:val="001E389C"/>
    <w:rsid w:val="001E3A32"/>
    <w:rsid w:val="001E3B06"/>
    <w:rsid w:val="001E3D52"/>
    <w:rsid w:val="001E3FD0"/>
    <w:rsid w:val="001E4026"/>
    <w:rsid w:val="001E403C"/>
    <w:rsid w:val="001E4078"/>
    <w:rsid w:val="001E40B4"/>
    <w:rsid w:val="001E4183"/>
    <w:rsid w:val="001E4453"/>
    <w:rsid w:val="001E4819"/>
    <w:rsid w:val="001E4884"/>
    <w:rsid w:val="001E48B3"/>
    <w:rsid w:val="001E497D"/>
    <w:rsid w:val="001E4B64"/>
    <w:rsid w:val="001E4E74"/>
    <w:rsid w:val="001E5393"/>
    <w:rsid w:val="001E552A"/>
    <w:rsid w:val="001E57B9"/>
    <w:rsid w:val="001E58E6"/>
    <w:rsid w:val="001E5B1D"/>
    <w:rsid w:val="001E5B9B"/>
    <w:rsid w:val="001E5CEF"/>
    <w:rsid w:val="001E5EB2"/>
    <w:rsid w:val="001E626A"/>
    <w:rsid w:val="001E62C0"/>
    <w:rsid w:val="001E6703"/>
    <w:rsid w:val="001E6C8E"/>
    <w:rsid w:val="001E6E8D"/>
    <w:rsid w:val="001E6F9B"/>
    <w:rsid w:val="001E70C6"/>
    <w:rsid w:val="001E7288"/>
    <w:rsid w:val="001E766F"/>
    <w:rsid w:val="001E7753"/>
    <w:rsid w:val="001E77AD"/>
    <w:rsid w:val="001E785B"/>
    <w:rsid w:val="001E78D3"/>
    <w:rsid w:val="001E793E"/>
    <w:rsid w:val="001E7B62"/>
    <w:rsid w:val="001E7E9B"/>
    <w:rsid w:val="001E7EE4"/>
    <w:rsid w:val="001E7F76"/>
    <w:rsid w:val="001E7FAA"/>
    <w:rsid w:val="001F023F"/>
    <w:rsid w:val="001F044A"/>
    <w:rsid w:val="001F0510"/>
    <w:rsid w:val="001F057C"/>
    <w:rsid w:val="001F07EE"/>
    <w:rsid w:val="001F0809"/>
    <w:rsid w:val="001F083D"/>
    <w:rsid w:val="001F085C"/>
    <w:rsid w:val="001F0B15"/>
    <w:rsid w:val="001F0BBC"/>
    <w:rsid w:val="001F0D41"/>
    <w:rsid w:val="001F0F4E"/>
    <w:rsid w:val="001F0F6A"/>
    <w:rsid w:val="001F0FAF"/>
    <w:rsid w:val="001F1078"/>
    <w:rsid w:val="001F10D6"/>
    <w:rsid w:val="001F139F"/>
    <w:rsid w:val="001F16C4"/>
    <w:rsid w:val="001F17AA"/>
    <w:rsid w:val="001F1B90"/>
    <w:rsid w:val="001F1C61"/>
    <w:rsid w:val="001F2178"/>
    <w:rsid w:val="001F240A"/>
    <w:rsid w:val="001F2805"/>
    <w:rsid w:val="001F28BD"/>
    <w:rsid w:val="001F2AF6"/>
    <w:rsid w:val="001F2DF8"/>
    <w:rsid w:val="001F2E79"/>
    <w:rsid w:val="001F2F07"/>
    <w:rsid w:val="001F2FD0"/>
    <w:rsid w:val="001F3123"/>
    <w:rsid w:val="001F342A"/>
    <w:rsid w:val="001F3464"/>
    <w:rsid w:val="001F3716"/>
    <w:rsid w:val="001F376D"/>
    <w:rsid w:val="001F3DA0"/>
    <w:rsid w:val="001F3EEC"/>
    <w:rsid w:val="001F3FDD"/>
    <w:rsid w:val="001F418C"/>
    <w:rsid w:val="001F4931"/>
    <w:rsid w:val="001F4B00"/>
    <w:rsid w:val="001F4B2D"/>
    <w:rsid w:val="001F4F40"/>
    <w:rsid w:val="001F50C8"/>
    <w:rsid w:val="001F50E0"/>
    <w:rsid w:val="001F5689"/>
    <w:rsid w:val="001F5938"/>
    <w:rsid w:val="001F594C"/>
    <w:rsid w:val="001F5A4B"/>
    <w:rsid w:val="001F5AEC"/>
    <w:rsid w:val="001F5E29"/>
    <w:rsid w:val="001F60C3"/>
    <w:rsid w:val="001F6146"/>
    <w:rsid w:val="001F6327"/>
    <w:rsid w:val="001F69C4"/>
    <w:rsid w:val="001F69FC"/>
    <w:rsid w:val="001F6ACC"/>
    <w:rsid w:val="001F6CA7"/>
    <w:rsid w:val="001F6D62"/>
    <w:rsid w:val="001F6F35"/>
    <w:rsid w:val="001F7046"/>
    <w:rsid w:val="001F73B5"/>
    <w:rsid w:val="001F7675"/>
    <w:rsid w:val="001F7719"/>
    <w:rsid w:val="001F79F0"/>
    <w:rsid w:val="001F7CD7"/>
    <w:rsid w:val="001F7E37"/>
    <w:rsid w:val="002001BC"/>
    <w:rsid w:val="002005C9"/>
    <w:rsid w:val="00200647"/>
    <w:rsid w:val="002008D2"/>
    <w:rsid w:val="00200936"/>
    <w:rsid w:val="00200966"/>
    <w:rsid w:val="00200A7C"/>
    <w:rsid w:val="00200B8F"/>
    <w:rsid w:val="00200D4D"/>
    <w:rsid w:val="00200E61"/>
    <w:rsid w:val="00200FAE"/>
    <w:rsid w:val="00200FB5"/>
    <w:rsid w:val="0020102D"/>
    <w:rsid w:val="002010E2"/>
    <w:rsid w:val="002011B4"/>
    <w:rsid w:val="00201507"/>
    <w:rsid w:val="00201781"/>
    <w:rsid w:val="002018C5"/>
    <w:rsid w:val="00201A60"/>
    <w:rsid w:val="00201B73"/>
    <w:rsid w:val="00201DB2"/>
    <w:rsid w:val="00202211"/>
    <w:rsid w:val="00202517"/>
    <w:rsid w:val="00202772"/>
    <w:rsid w:val="0020287A"/>
    <w:rsid w:val="00202ADB"/>
    <w:rsid w:val="00202BB7"/>
    <w:rsid w:val="00202DD9"/>
    <w:rsid w:val="00202DDB"/>
    <w:rsid w:val="00202E2F"/>
    <w:rsid w:val="00203196"/>
    <w:rsid w:val="002036C9"/>
    <w:rsid w:val="002037CC"/>
    <w:rsid w:val="00203B11"/>
    <w:rsid w:val="002040DB"/>
    <w:rsid w:val="0020435B"/>
    <w:rsid w:val="00204533"/>
    <w:rsid w:val="00204542"/>
    <w:rsid w:val="002047D8"/>
    <w:rsid w:val="00204AAA"/>
    <w:rsid w:val="00204EEB"/>
    <w:rsid w:val="00204F2D"/>
    <w:rsid w:val="00204F4A"/>
    <w:rsid w:val="00204F59"/>
    <w:rsid w:val="0020526E"/>
    <w:rsid w:val="0020534E"/>
    <w:rsid w:val="002054E7"/>
    <w:rsid w:val="00205566"/>
    <w:rsid w:val="0020564C"/>
    <w:rsid w:val="00205A3D"/>
    <w:rsid w:val="00205DFE"/>
    <w:rsid w:val="00206185"/>
    <w:rsid w:val="002063AA"/>
    <w:rsid w:val="00206515"/>
    <w:rsid w:val="00206607"/>
    <w:rsid w:val="0020682B"/>
    <w:rsid w:val="0020683C"/>
    <w:rsid w:val="002071F3"/>
    <w:rsid w:val="002073A9"/>
    <w:rsid w:val="00207836"/>
    <w:rsid w:val="002078E6"/>
    <w:rsid w:val="00207A6D"/>
    <w:rsid w:val="00210549"/>
    <w:rsid w:val="002105A0"/>
    <w:rsid w:val="0021069E"/>
    <w:rsid w:val="00210804"/>
    <w:rsid w:val="0021088F"/>
    <w:rsid w:val="00210B33"/>
    <w:rsid w:val="00210ED5"/>
    <w:rsid w:val="0021104D"/>
    <w:rsid w:val="002113FE"/>
    <w:rsid w:val="00211737"/>
    <w:rsid w:val="0021181B"/>
    <w:rsid w:val="00211BAD"/>
    <w:rsid w:val="00211E1A"/>
    <w:rsid w:val="0021230F"/>
    <w:rsid w:val="0021246A"/>
    <w:rsid w:val="002125B0"/>
    <w:rsid w:val="002125F6"/>
    <w:rsid w:val="0021287E"/>
    <w:rsid w:val="00212A82"/>
    <w:rsid w:val="00212B50"/>
    <w:rsid w:val="0021300F"/>
    <w:rsid w:val="00213149"/>
    <w:rsid w:val="002131A1"/>
    <w:rsid w:val="00213242"/>
    <w:rsid w:val="002133A1"/>
    <w:rsid w:val="002134C2"/>
    <w:rsid w:val="00213721"/>
    <w:rsid w:val="00213995"/>
    <w:rsid w:val="00213C11"/>
    <w:rsid w:val="00213E57"/>
    <w:rsid w:val="002143E5"/>
    <w:rsid w:val="00214641"/>
    <w:rsid w:val="002149A9"/>
    <w:rsid w:val="00214B1F"/>
    <w:rsid w:val="00214BCF"/>
    <w:rsid w:val="00214E62"/>
    <w:rsid w:val="00214E7D"/>
    <w:rsid w:val="00214EA2"/>
    <w:rsid w:val="002151A3"/>
    <w:rsid w:val="002151AD"/>
    <w:rsid w:val="00215238"/>
    <w:rsid w:val="00215299"/>
    <w:rsid w:val="002152E0"/>
    <w:rsid w:val="00215564"/>
    <w:rsid w:val="002156C5"/>
    <w:rsid w:val="00215774"/>
    <w:rsid w:val="00215777"/>
    <w:rsid w:val="002158AB"/>
    <w:rsid w:val="002158CF"/>
    <w:rsid w:val="00215B1D"/>
    <w:rsid w:val="00215B82"/>
    <w:rsid w:val="00215C45"/>
    <w:rsid w:val="00215E3A"/>
    <w:rsid w:val="002160FA"/>
    <w:rsid w:val="002165FB"/>
    <w:rsid w:val="002166DD"/>
    <w:rsid w:val="002168A2"/>
    <w:rsid w:val="00216A6F"/>
    <w:rsid w:val="00216B01"/>
    <w:rsid w:val="00217352"/>
    <w:rsid w:val="002173FB"/>
    <w:rsid w:val="00217416"/>
    <w:rsid w:val="0021768E"/>
    <w:rsid w:val="00217867"/>
    <w:rsid w:val="00217876"/>
    <w:rsid w:val="002179B3"/>
    <w:rsid w:val="00217A5D"/>
    <w:rsid w:val="00217A71"/>
    <w:rsid w:val="00217A80"/>
    <w:rsid w:val="00217B33"/>
    <w:rsid w:val="00217B4E"/>
    <w:rsid w:val="00217D39"/>
    <w:rsid w:val="0022025C"/>
    <w:rsid w:val="002205E4"/>
    <w:rsid w:val="00220BF2"/>
    <w:rsid w:val="00220D67"/>
    <w:rsid w:val="00220E08"/>
    <w:rsid w:val="002211FE"/>
    <w:rsid w:val="002214E0"/>
    <w:rsid w:val="002215F8"/>
    <w:rsid w:val="002219D5"/>
    <w:rsid w:val="00221A46"/>
    <w:rsid w:val="00221C72"/>
    <w:rsid w:val="00221F80"/>
    <w:rsid w:val="00221F85"/>
    <w:rsid w:val="0022219C"/>
    <w:rsid w:val="0022234A"/>
    <w:rsid w:val="0022255E"/>
    <w:rsid w:val="0022264C"/>
    <w:rsid w:val="00222654"/>
    <w:rsid w:val="0022273A"/>
    <w:rsid w:val="00222AD7"/>
    <w:rsid w:val="00222BB5"/>
    <w:rsid w:val="00222BE9"/>
    <w:rsid w:val="00222D28"/>
    <w:rsid w:val="00222F1D"/>
    <w:rsid w:val="0022312A"/>
    <w:rsid w:val="002233DE"/>
    <w:rsid w:val="0022346E"/>
    <w:rsid w:val="00223485"/>
    <w:rsid w:val="002234C7"/>
    <w:rsid w:val="00223C84"/>
    <w:rsid w:val="00223CF4"/>
    <w:rsid w:val="00223E73"/>
    <w:rsid w:val="0022404B"/>
    <w:rsid w:val="002241E9"/>
    <w:rsid w:val="00224220"/>
    <w:rsid w:val="0022436D"/>
    <w:rsid w:val="00224398"/>
    <w:rsid w:val="002243FF"/>
    <w:rsid w:val="00224791"/>
    <w:rsid w:val="00224868"/>
    <w:rsid w:val="00224919"/>
    <w:rsid w:val="00224A81"/>
    <w:rsid w:val="00224B59"/>
    <w:rsid w:val="00224E91"/>
    <w:rsid w:val="00224EB9"/>
    <w:rsid w:val="002255D6"/>
    <w:rsid w:val="00225694"/>
    <w:rsid w:val="002258B6"/>
    <w:rsid w:val="002258FC"/>
    <w:rsid w:val="00225A13"/>
    <w:rsid w:val="00225B4C"/>
    <w:rsid w:val="00225E1E"/>
    <w:rsid w:val="00226129"/>
    <w:rsid w:val="0022614D"/>
    <w:rsid w:val="002264BE"/>
    <w:rsid w:val="00226677"/>
    <w:rsid w:val="00226AA2"/>
    <w:rsid w:val="00227218"/>
    <w:rsid w:val="0022721D"/>
    <w:rsid w:val="0022770A"/>
    <w:rsid w:val="0022786F"/>
    <w:rsid w:val="00227B97"/>
    <w:rsid w:val="00227BEE"/>
    <w:rsid w:val="00227CFF"/>
    <w:rsid w:val="00227EFE"/>
    <w:rsid w:val="00227FB4"/>
    <w:rsid w:val="00230500"/>
    <w:rsid w:val="00230517"/>
    <w:rsid w:val="0023057E"/>
    <w:rsid w:val="002305A1"/>
    <w:rsid w:val="002305F9"/>
    <w:rsid w:val="00230F69"/>
    <w:rsid w:val="0023120C"/>
    <w:rsid w:val="002312BC"/>
    <w:rsid w:val="002313F0"/>
    <w:rsid w:val="0023194B"/>
    <w:rsid w:val="002319D1"/>
    <w:rsid w:val="00231BCE"/>
    <w:rsid w:val="00232664"/>
    <w:rsid w:val="0023276C"/>
    <w:rsid w:val="0023279E"/>
    <w:rsid w:val="0023296D"/>
    <w:rsid w:val="00232BDC"/>
    <w:rsid w:val="00232CEE"/>
    <w:rsid w:val="00232EA5"/>
    <w:rsid w:val="00233145"/>
    <w:rsid w:val="0023327B"/>
    <w:rsid w:val="0023330F"/>
    <w:rsid w:val="0023347A"/>
    <w:rsid w:val="0023353D"/>
    <w:rsid w:val="002337E5"/>
    <w:rsid w:val="0023385C"/>
    <w:rsid w:val="002339D3"/>
    <w:rsid w:val="00233A27"/>
    <w:rsid w:val="00233B52"/>
    <w:rsid w:val="00233C06"/>
    <w:rsid w:val="00233F24"/>
    <w:rsid w:val="002344D7"/>
    <w:rsid w:val="00234BBB"/>
    <w:rsid w:val="00234BD7"/>
    <w:rsid w:val="00234C4B"/>
    <w:rsid w:val="00235266"/>
    <w:rsid w:val="00235600"/>
    <w:rsid w:val="002356F4"/>
    <w:rsid w:val="0023573B"/>
    <w:rsid w:val="00235A2F"/>
    <w:rsid w:val="00235A6C"/>
    <w:rsid w:val="00235B9E"/>
    <w:rsid w:val="00235CF6"/>
    <w:rsid w:val="00235E0B"/>
    <w:rsid w:val="00235F02"/>
    <w:rsid w:val="0023674B"/>
    <w:rsid w:val="00236B03"/>
    <w:rsid w:val="00236CC6"/>
    <w:rsid w:val="00236CF7"/>
    <w:rsid w:val="00236D28"/>
    <w:rsid w:val="0023732C"/>
    <w:rsid w:val="0023754C"/>
    <w:rsid w:val="00237598"/>
    <w:rsid w:val="00237CFC"/>
    <w:rsid w:val="00237FE4"/>
    <w:rsid w:val="00240003"/>
    <w:rsid w:val="002401BF"/>
    <w:rsid w:val="002403E1"/>
    <w:rsid w:val="002404B6"/>
    <w:rsid w:val="002404DD"/>
    <w:rsid w:val="00240656"/>
    <w:rsid w:val="00240962"/>
    <w:rsid w:val="00240AE6"/>
    <w:rsid w:val="00240B79"/>
    <w:rsid w:val="00240BDA"/>
    <w:rsid w:val="00240BF2"/>
    <w:rsid w:val="00240F36"/>
    <w:rsid w:val="00240FDD"/>
    <w:rsid w:val="00241020"/>
    <w:rsid w:val="00241610"/>
    <w:rsid w:val="0024164B"/>
    <w:rsid w:val="002416F1"/>
    <w:rsid w:val="002416FA"/>
    <w:rsid w:val="00241AED"/>
    <w:rsid w:val="00241C0E"/>
    <w:rsid w:val="00241E9C"/>
    <w:rsid w:val="00241F3E"/>
    <w:rsid w:val="002420D2"/>
    <w:rsid w:val="002421A2"/>
    <w:rsid w:val="00242263"/>
    <w:rsid w:val="002426EF"/>
    <w:rsid w:val="002427AA"/>
    <w:rsid w:val="00242989"/>
    <w:rsid w:val="00242C05"/>
    <w:rsid w:val="00242C54"/>
    <w:rsid w:val="00242D53"/>
    <w:rsid w:val="00243182"/>
    <w:rsid w:val="002432AD"/>
    <w:rsid w:val="002435C5"/>
    <w:rsid w:val="00243928"/>
    <w:rsid w:val="00243946"/>
    <w:rsid w:val="00243986"/>
    <w:rsid w:val="00243B49"/>
    <w:rsid w:val="00243BC5"/>
    <w:rsid w:val="00243C7D"/>
    <w:rsid w:val="00243E45"/>
    <w:rsid w:val="00243E9A"/>
    <w:rsid w:val="00244371"/>
    <w:rsid w:val="00244949"/>
    <w:rsid w:val="00244987"/>
    <w:rsid w:val="00244A9D"/>
    <w:rsid w:val="00244AF8"/>
    <w:rsid w:val="00244B1A"/>
    <w:rsid w:val="00244BC5"/>
    <w:rsid w:val="00244DCE"/>
    <w:rsid w:val="00244E68"/>
    <w:rsid w:val="00245272"/>
    <w:rsid w:val="002453EB"/>
    <w:rsid w:val="0024558A"/>
    <w:rsid w:val="002456C5"/>
    <w:rsid w:val="0024574B"/>
    <w:rsid w:val="0024582E"/>
    <w:rsid w:val="00245ABE"/>
    <w:rsid w:val="00245BE3"/>
    <w:rsid w:val="00245C0B"/>
    <w:rsid w:val="00245FD4"/>
    <w:rsid w:val="00245FE8"/>
    <w:rsid w:val="00246188"/>
    <w:rsid w:val="00246642"/>
    <w:rsid w:val="00246728"/>
    <w:rsid w:val="0024673F"/>
    <w:rsid w:val="00246806"/>
    <w:rsid w:val="00246813"/>
    <w:rsid w:val="002468DA"/>
    <w:rsid w:val="00246B74"/>
    <w:rsid w:val="00246C52"/>
    <w:rsid w:val="00246C9A"/>
    <w:rsid w:val="00246EAE"/>
    <w:rsid w:val="00247116"/>
    <w:rsid w:val="00247194"/>
    <w:rsid w:val="002471E5"/>
    <w:rsid w:val="002472A5"/>
    <w:rsid w:val="0024737D"/>
    <w:rsid w:val="00247493"/>
    <w:rsid w:val="00247844"/>
    <w:rsid w:val="002478BB"/>
    <w:rsid w:val="00247A6D"/>
    <w:rsid w:val="00247A83"/>
    <w:rsid w:val="00247ACF"/>
    <w:rsid w:val="00247DED"/>
    <w:rsid w:val="00247ECC"/>
    <w:rsid w:val="00247F2F"/>
    <w:rsid w:val="002503D0"/>
    <w:rsid w:val="0025052B"/>
    <w:rsid w:val="00250542"/>
    <w:rsid w:val="0025072C"/>
    <w:rsid w:val="0025095F"/>
    <w:rsid w:val="00250CEB"/>
    <w:rsid w:val="002510F5"/>
    <w:rsid w:val="002517A8"/>
    <w:rsid w:val="002517DC"/>
    <w:rsid w:val="00251BFB"/>
    <w:rsid w:val="00251D4D"/>
    <w:rsid w:val="00251EEE"/>
    <w:rsid w:val="00251F34"/>
    <w:rsid w:val="00251F87"/>
    <w:rsid w:val="00252062"/>
    <w:rsid w:val="002521ED"/>
    <w:rsid w:val="0025256A"/>
    <w:rsid w:val="002525E0"/>
    <w:rsid w:val="002526BE"/>
    <w:rsid w:val="00252CA7"/>
    <w:rsid w:val="002530C0"/>
    <w:rsid w:val="00253126"/>
    <w:rsid w:val="00253177"/>
    <w:rsid w:val="0025331A"/>
    <w:rsid w:val="002538B8"/>
    <w:rsid w:val="00253917"/>
    <w:rsid w:val="0025396F"/>
    <w:rsid w:val="00253B83"/>
    <w:rsid w:val="00254057"/>
    <w:rsid w:val="002540C0"/>
    <w:rsid w:val="00254319"/>
    <w:rsid w:val="00254516"/>
    <w:rsid w:val="00254615"/>
    <w:rsid w:val="00254778"/>
    <w:rsid w:val="00254988"/>
    <w:rsid w:val="002549F5"/>
    <w:rsid w:val="00254AFE"/>
    <w:rsid w:val="00254BEB"/>
    <w:rsid w:val="00254C89"/>
    <w:rsid w:val="0025539F"/>
    <w:rsid w:val="0025550E"/>
    <w:rsid w:val="00255678"/>
    <w:rsid w:val="002557E9"/>
    <w:rsid w:val="0025592A"/>
    <w:rsid w:val="00255997"/>
    <w:rsid w:val="00255CA6"/>
    <w:rsid w:val="002560BF"/>
    <w:rsid w:val="002561E1"/>
    <w:rsid w:val="00256374"/>
    <w:rsid w:val="00256388"/>
    <w:rsid w:val="00256477"/>
    <w:rsid w:val="0025656C"/>
    <w:rsid w:val="002569D8"/>
    <w:rsid w:val="00256D7B"/>
    <w:rsid w:val="00256DF6"/>
    <w:rsid w:val="00256E44"/>
    <w:rsid w:val="00256F14"/>
    <w:rsid w:val="0025732D"/>
    <w:rsid w:val="002573A2"/>
    <w:rsid w:val="002573CB"/>
    <w:rsid w:val="0025752C"/>
    <w:rsid w:val="002575BD"/>
    <w:rsid w:val="00257832"/>
    <w:rsid w:val="00257946"/>
    <w:rsid w:val="00257B80"/>
    <w:rsid w:val="002600F8"/>
    <w:rsid w:val="00260874"/>
    <w:rsid w:val="00260919"/>
    <w:rsid w:val="002609F9"/>
    <w:rsid w:val="00260A42"/>
    <w:rsid w:val="00260CFE"/>
    <w:rsid w:val="002612FD"/>
    <w:rsid w:val="002613DC"/>
    <w:rsid w:val="002614F0"/>
    <w:rsid w:val="002615CA"/>
    <w:rsid w:val="00261755"/>
    <w:rsid w:val="00261AAA"/>
    <w:rsid w:val="00261B99"/>
    <w:rsid w:val="00261D66"/>
    <w:rsid w:val="00262097"/>
    <w:rsid w:val="00262302"/>
    <w:rsid w:val="00262350"/>
    <w:rsid w:val="002626D9"/>
    <w:rsid w:val="00262978"/>
    <w:rsid w:val="00262A51"/>
    <w:rsid w:val="00262D20"/>
    <w:rsid w:val="00262DCB"/>
    <w:rsid w:val="00262E49"/>
    <w:rsid w:val="002631B3"/>
    <w:rsid w:val="002632F2"/>
    <w:rsid w:val="002634AB"/>
    <w:rsid w:val="002638E0"/>
    <w:rsid w:val="00263910"/>
    <w:rsid w:val="00263AF7"/>
    <w:rsid w:val="00263B71"/>
    <w:rsid w:val="00263C19"/>
    <w:rsid w:val="00263CF0"/>
    <w:rsid w:val="00263DFC"/>
    <w:rsid w:val="00263E9F"/>
    <w:rsid w:val="00263FB8"/>
    <w:rsid w:val="00264604"/>
    <w:rsid w:val="00264685"/>
    <w:rsid w:val="00264752"/>
    <w:rsid w:val="00264AAD"/>
    <w:rsid w:val="00264AD3"/>
    <w:rsid w:val="00264C7E"/>
    <w:rsid w:val="00264E7E"/>
    <w:rsid w:val="00264F03"/>
    <w:rsid w:val="00264F8F"/>
    <w:rsid w:val="00265047"/>
    <w:rsid w:val="00265062"/>
    <w:rsid w:val="0026506A"/>
    <w:rsid w:val="00265185"/>
    <w:rsid w:val="00265283"/>
    <w:rsid w:val="0026544E"/>
    <w:rsid w:val="002655AE"/>
    <w:rsid w:val="00265690"/>
    <w:rsid w:val="0026591F"/>
    <w:rsid w:val="00265A65"/>
    <w:rsid w:val="00265CA8"/>
    <w:rsid w:val="002660F0"/>
    <w:rsid w:val="002660F7"/>
    <w:rsid w:val="00266135"/>
    <w:rsid w:val="002661F5"/>
    <w:rsid w:val="00266358"/>
    <w:rsid w:val="00266469"/>
    <w:rsid w:val="00266942"/>
    <w:rsid w:val="00266B3F"/>
    <w:rsid w:val="00266C0A"/>
    <w:rsid w:val="00267379"/>
    <w:rsid w:val="002675B6"/>
    <w:rsid w:val="0026763D"/>
    <w:rsid w:val="002677F0"/>
    <w:rsid w:val="0026790F"/>
    <w:rsid w:val="00267A66"/>
    <w:rsid w:val="00267A99"/>
    <w:rsid w:val="00267BD6"/>
    <w:rsid w:val="00267F1F"/>
    <w:rsid w:val="00267FD4"/>
    <w:rsid w:val="00270271"/>
    <w:rsid w:val="00270346"/>
    <w:rsid w:val="00270365"/>
    <w:rsid w:val="0027058A"/>
    <w:rsid w:val="00270733"/>
    <w:rsid w:val="002709E1"/>
    <w:rsid w:val="00270C85"/>
    <w:rsid w:val="00270E3D"/>
    <w:rsid w:val="00270EAE"/>
    <w:rsid w:val="00271068"/>
    <w:rsid w:val="002712EB"/>
    <w:rsid w:val="002713AC"/>
    <w:rsid w:val="00271CC2"/>
    <w:rsid w:val="00271DAE"/>
    <w:rsid w:val="00271E2C"/>
    <w:rsid w:val="00271EF0"/>
    <w:rsid w:val="00272174"/>
    <w:rsid w:val="002721A6"/>
    <w:rsid w:val="002721DF"/>
    <w:rsid w:val="002722E0"/>
    <w:rsid w:val="00272861"/>
    <w:rsid w:val="00272895"/>
    <w:rsid w:val="0027290B"/>
    <w:rsid w:val="002729E2"/>
    <w:rsid w:val="002730EC"/>
    <w:rsid w:val="00273100"/>
    <w:rsid w:val="00273557"/>
    <w:rsid w:val="002735CC"/>
    <w:rsid w:val="002738B7"/>
    <w:rsid w:val="00273CEA"/>
    <w:rsid w:val="00273D94"/>
    <w:rsid w:val="00273F9F"/>
    <w:rsid w:val="0027402F"/>
    <w:rsid w:val="0027437B"/>
    <w:rsid w:val="002743A0"/>
    <w:rsid w:val="00274588"/>
    <w:rsid w:val="002748AC"/>
    <w:rsid w:val="00274A67"/>
    <w:rsid w:val="00274AA2"/>
    <w:rsid w:val="00274EB5"/>
    <w:rsid w:val="0027501E"/>
    <w:rsid w:val="002752C1"/>
    <w:rsid w:val="002752DF"/>
    <w:rsid w:val="00275418"/>
    <w:rsid w:val="0027546C"/>
    <w:rsid w:val="00275608"/>
    <w:rsid w:val="002756EF"/>
    <w:rsid w:val="00275708"/>
    <w:rsid w:val="00275713"/>
    <w:rsid w:val="0027578B"/>
    <w:rsid w:val="002758B6"/>
    <w:rsid w:val="00275B13"/>
    <w:rsid w:val="00276267"/>
    <w:rsid w:val="00276311"/>
    <w:rsid w:val="00276443"/>
    <w:rsid w:val="00276895"/>
    <w:rsid w:val="002768CF"/>
    <w:rsid w:val="00276C12"/>
    <w:rsid w:val="00276D3B"/>
    <w:rsid w:val="00276F82"/>
    <w:rsid w:val="00276F94"/>
    <w:rsid w:val="0027720E"/>
    <w:rsid w:val="002774C2"/>
    <w:rsid w:val="00277583"/>
    <w:rsid w:val="0027767D"/>
    <w:rsid w:val="00277723"/>
    <w:rsid w:val="00277752"/>
    <w:rsid w:val="002777C1"/>
    <w:rsid w:val="00277BBB"/>
    <w:rsid w:val="00277C36"/>
    <w:rsid w:val="00277D17"/>
    <w:rsid w:val="00277F21"/>
    <w:rsid w:val="00277F57"/>
    <w:rsid w:val="00280070"/>
    <w:rsid w:val="0028021E"/>
    <w:rsid w:val="00280224"/>
    <w:rsid w:val="0028022B"/>
    <w:rsid w:val="0028052E"/>
    <w:rsid w:val="002805DF"/>
    <w:rsid w:val="00280708"/>
    <w:rsid w:val="0028070B"/>
    <w:rsid w:val="00280777"/>
    <w:rsid w:val="00280824"/>
    <w:rsid w:val="0028092D"/>
    <w:rsid w:val="00280A98"/>
    <w:rsid w:val="00280AA0"/>
    <w:rsid w:val="00280C94"/>
    <w:rsid w:val="00281099"/>
    <w:rsid w:val="002815D9"/>
    <w:rsid w:val="002819FB"/>
    <w:rsid w:val="00281CD2"/>
    <w:rsid w:val="00282186"/>
    <w:rsid w:val="00282280"/>
    <w:rsid w:val="00282317"/>
    <w:rsid w:val="00282442"/>
    <w:rsid w:val="00282446"/>
    <w:rsid w:val="00282632"/>
    <w:rsid w:val="0028264D"/>
    <w:rsid w:val="00282A50"/>
    <w:rsid w:val="00282A96"/>
    <w:rsid w:val="00282D25"/>
    <w:rsid w:val="00282DF9"/>
    <w:rsid w:val="00282E61"/>
    <w:rsid w:val="00282E77"/>
    <w:rsid w:val="00282FBF"/>
    <w:rsid w:val="00283866"/>
    <w:rsid w:val="00283A44"/>
    <w:rsid w:val="00283A48"/>
    <w:rsid w:val="0028405E"/>
    <w:rsid w:val="0028428A"/>
    <w:rsid w:val="0028435E"/>
    <w:rsid w:val="0028488D"/>
    <w:rsid w:val="00284975"/>
    <w:rsid w:val="00284A5D"/>
    <w:rsid w:val="00284AB4"/>
    <w:rsid w:val="00284C4F"/>
    <w:rsid w:val="00284D0C"/>
    <w:rsid w:val="00284E1D"/>
    <w:rsid w:val="00285145"/>
    <w:rsid w:val="0028529F"/>
    <w:rsid w:val="00285687"/>
    <w:rsid w:val="002860B2"/>
    <w:rsid w:val="00286676"/>
    <w:rsid w:val="00286860"/>
    <w:rsid w:val="002869B6"/>
    <w:rsid w:val="00286B32"/>
    <w:rsid w:val="00286B6B"/>
    <w:rsid w:val="00286BCD"/>
    <w:rsid w:val="00286DA4"/>
    <w:rsid w:val="00286E18"/>
    <w:rsid w:val="00286F09"/>
    <w:rsid w:val="0028746E"/>
    <w:rsid w:val="00287649"/>
    <w:rsid w:val="00287655"/>
    <w:rsid w:val="00287DAB"/>
    <w:rsid w:val="00287E23"/>
    <w:rsid w:val="00287F71"/>
    <w:rsid w:val="00287FB6"/>
    <w:rsid w:val="002900C5"/>
    <w:rsid w:val="002901E0"/>
    <w:rsid w:val="002903FD"/>
    <w:rsid w:val="0029059A"/>
    <w:rsid w:val="002905F7"/>
    <w:rsid w:val="0029075B"/>
    <w:rsid w:val="002909D8"/>
    <w:rsid w:val="00290ABD"/>
    <w:rsid w:val="00290AC0"/>
    <w:rsid w:val="00290BB1"/>
    <w:rsid w:val="00290BE1"/>
    <w:rsid w:val="00290E75"/>
    <w:rsid w:val="00290F53"/>
    <w:rsid w:val="0029141F"/>
    <w:rsid w:val="00291563"/>
    <w:rsid w:val="00291682"/>
    <w:rsid w:val="002916EB"/>
    <w:rsid w:val="0029170A"/>
    <w:rsid w:val="002918DD"/>
    <w:rsid w:val="00291BC1"/>
    <w:rsid w:val="00291C01"/>
    <w:rsid w:val="00291C57"/>
    <w:rsid w:val="00291DA8"/>
    <w:rsid w:val="00291E36"/>
    <w:rsid w:val="002921B8"/>
    <w:rsid w:val="00292246"/>
    <w:rsid w:val="00292310"/>
    <w:rsid w:val="00292583"/>
    <w:rsid w:val="00292C26"/>
    <w:rsid w:val="00292D5A"/>
    <w:rsid w:val="00292D61"/>
    <w:rsid w:val="00293269"/>
    <w:rsid w:val="002933CA"/>
    <w:rsid w:val="002933D1"/>
    <w:rsid w:val="0029380E"/>
    <w:rsid w:val="00293A8F"/>
    <w:rsid w:val="00293BAC"/>
    <w:rsid w:val="002940A6"/>
    <w:rsid w:val="002945F9"/>
    <w:rsid w:val="00294653"/>
    <w:rsid w:val="00294990"/>
    <w:rsid w:val="002949A5"/>
    <w:rsid w:val="00294B32"/>
    <w:rsid w:val="00294D31"/>
    <w:rsid w:val="00294E53"/>
    <w:rsid w:val="00295005"/>
    <w:rsid w:val="00295155"/>
    <w:rsid w:val="002951F5"/>
    <w:rsid w:val="00295294"/>
    <w:rsid w:val="002952BA"/>
    <w:rsid w:val="002952F7"/>
    <w:rsid w:val="00295529"/>
    <w:rsid w:val="0029583D"/>
    <w:rsid w:val="00295D51"/>
    <w:rsid w:val="00295F55"/>
    <w:rsid w:val="00296019"/>
    <w:rsid w:val="002960AB"/>
    <w:rsid w:val="0029613A"/>
    <w:rsid w:val="00296203"/>
    <w:rsid w:val="00296420"/>
    <w:rsid w:val="00296428"/>
    <w:rsid w:val="0029643D"/>
    <w:rsid w:val="00296A13"/>
    <w:rsid w:val="0029706A"/>
    <w:rsid w:val="002972EE"/>
    <w:rsid w:val="00297573"/>
    <w:rsid w:val="002976F7"/>
    <w:rsid w:val="00297721"/>
    <w:rsid w:val="00297CAA"/>
    <w:rsid w:val="00297CD5"/>
    <w:rsid w:val="00297EE9"/>
    <w:rsid w:val="00297F01"/>
    <w:rsid w:val="002A0069"/>
    <w:rsid w:val="002A0087"/>
    <w:rsid w:val="002A0234"/>
    <w:rsid w:val="002A052D"/>
    <w:rsid w:val="002A09C6"/>
    <w:rsid w:val="002A0B75"/>
    <w:rsid w:val="002A0DF8"/>
    <w:rsid w:val="002A1131"/>
    <w:rsid w:val="002A14EB"/>
    <w:rsid w:val="002A17F4"/>
    <w:rsid w:val="002A1928"/>
    <w:rsid w:val="002A1DFA"/>
    <w:rsid w:val="002A1F1F"/>
    <w:rsid w:val="002A2013"/>
    <w:rsid w:val="002A21B5"/>
    <w:rsid w:val="002A2265"/>
    <w:rsid w:val="002A22BC"/>
    <w:rsid w:val="002A2631"/>
    <w:rsid w:val="002A2A0C"/>
    <w:rsid w:val="002A2B58"/>
    <w:rsid w:val="002A2BB6"/>
    <w:rsid w:val="002A2C33"/>
    <w:rsid w:val="002A2DF7"/>
    <w:rsid w:val="002A2F28"/>
    <w:rsid w:val="002A2F63"/>
    <w:rsid w:val="002A30E0"/>
    <w:rsid w:val="002A310C"/>
    <w:rsid w:val="002A32DB"/>
    <w:rsid w:val="002A3383"/>
    <w:rsid w:val="002A3521"/>
    <w:rsid w:val="002A35C5"/>
    <w:rsid w:val="002A37E1"/>
    <w:rsid w:val="002A38A7"/>
    <w:rsid w:val="002A39D7"/>
    <w:rsid w:val="002A3B61"/>
    <w:rsid w:val="002A3BCC"/>
    <w:rsid w:val="002A3E7C"/>
    <w:rsid w:val="002A3F67"/>
    <w:rsid w:val="002A3F6F"/>
    <w:rsid w:val="002A402A"/>
    <w:rsid w:val="002A4093"/>
    <w:rsid w:val="002A4291"/>
    <w:rsid w:val="002A445D"/>
    <w:rsid w:val="002A457C"/>
    <w:rsid w:val="002A45AA"/>
    <w:rsid w:val="002A474C"/>
    <w:rsid w:val="002A476A"/>
    <w:rsid w:val="002A4959"/>
    <w:rsid w:val="002A4B0B"/>
    <w:rsid w:val="002A4B6C"/>
    <w:rsid w:val="002A4B6F"/>
    <w:rsid w:val="002A4B92"/>
    <w:rsid w:val="002A4C16"/>
    <w:rsid w:val="002A4D35"/>
    <w:rsid w:val="002A4F7B"/>
    <w:rsid w:val="002A4FFF"/>
    <w:rsid w:val="002A50D5"/>
    <w:rsid w:val="002A512B"/>
    <w:rsid w:val="002A533C"/>
    <w:rsid w:val="002A56E1"/>
    <w:rsid w:val="002A5869"/>
    <w:rsid w:val="002A59BD"/>
    <w:rsid w:val="002A5A12"/>
    <w:rsid w:val="002A62EC"/>
    <w:rsid w:val="002A6551"/>
    <w:rsid w:val="002A67A3"/>
    <w:rsid w:val="002A694B"/>
    <w:rsid w:val="002A6AC2"/>
    <w:rsid w:val="002A6B83"/>
    <w:rsid w:val="002A6DFB"/>
    <w:rsid w:val="002A7261"/>
    <w:rsid w:val="002A73A8"/>
    <w:rsid w:val="002A7516"/>
    <w:rsid w:val="002A75CA"/>
    <w:rsid w:val="002A7737"/>
    <w:rsid w:val="002A7889"/>
    <w:rsid w:val="002A799A"/>
    <w:rsid w:val="002A7A80"/>
    <w:rsid w:val="002A7B7F"/>
    <w:rsid w:val="002A7B91"/>
    <w:rsid w:val="002A7BA6"/>
    <w:rsid w:val="002A7BA9"/>
    <w:rsid w:val="002A7D8C"/>
    <w:rsid w:val="002A7DFB"/>
    <w:rsid w:val="002A7E98"/>
    <w:rsid w:val="002A7F48"/>
    <w:rsid w:val="002B06AF"/>
    <w:rsid w:val="002B097D"/>
    <w:rsid w:val="002B0C76"/>
    <w:rsid w:val="002B0EA5"/>
    <w:rsid w:val="002B0FE0"/>
    <w:rsid w:val="002B11B2"/>
    <w:rsid w:val="002B18F7"/>
    <w:rsid w:val="002B1AFB"/>
    <w:rsid w:val="002B1D93"/>
    <w:rsid w:val="002B208B"/>
    <w:rsid w:val="002B26DB"/>
    <w:rsid w:val="002B28A7"/>
    <w:rsid w:val="002B2B85"/>
    <w:rsid w:val="002B2B96"/>
    <w:rsid w:val="002B2DBE"/>
    <w:rsid w:val="002B2E60"/>
    <w:rsid w:val="002B2F08"/>
    <w:rsid w:val="002B2FA9"/>
    <w:rsid w:val="002B2FCE"/>
    <w:rsid w:val="002B37B9"/>
    <w:rsid w:val="002B381D"/>
    <w:rsid w:val="002B3990"/>
    <w:rsid w:val="002B3B3D"/>
    <w:rsid w:val="002B3CF6"/>
    <w:rsid w:val="002B3ED7"/>
    <w:rsid w:val="002B400A"/>
    <w:rsid w:val="002B40DC"/>
    <w:rsid w:val="002B4281"/>
    <w:rsid w:val="002B4421"/>
    <w:rsid w:val="002B4778"/>
    <w:rsid w:val="002B4977"/>
    <w:rsid w:val="002B49F4"/>
    <w:rsid w:val="002B4CAE"/>
    <w:rsid w:val="002B4EF9"/>
    <w:rsid w:val="002B512E"/>
    <w:rsid w:val="002B5634"/>
    <w:rsid w:val="002B576B"/>
    <w:rsid w:val="002B5C73"/>
    <w:rsid w:val="002B5CC9"/>
    <w:rsid w:val="002B5E0E"/>
    <w:rsid w:val="002B5F93"/>
    <w:rsid w:val="002B600F"/>
    <w:rsid w:val="002B60C4"/>
    <w:rsid w:val="002B6137"/>
    <w:rsid w:val="002B6169"/>
    <w:rsid w:val="002B6381"/>
    <w:rsid w:val="002B6546"/>
    <w:rsid w:val="002B6577"/>
    <w:rsid w:val="002B6711"/>
    <w:rsid w:val="002B688F"/>
    <w:rsid w:val="002B6F12"/>
    <w:rsid w:val="002B75B2"/>
    <w:rsid w:val="002B76AF"/>
    <w:rsid w:val="002B78A7"/>
    <w:rsid w:val="002B79B7"/>
    <w:rsid w:val="002B7A48"/>
    <w:rsid w:val="002B7A7F"/>
    <w:rsid w:val="002C018B"/>
    <w:rsid w:val="002C084F"/>
    <w:rsid w:val="002C098B"/>
    <w:rsid w:val="002C0DEC"/>
    <w:rsid w:val="002C0E82"/>
    <w:rsid w:val="002C1004"/>
    <w:rsid w:val="002C1179"/>
    <w:rsid w:val="002C11D2"/>
    <w:rsid w:val="002C13F4"/>
    <w:rsid w:val="002C141D"/>
    <w:rsid w:val="002C19C0"/>
    <w:rsid w:val="002C1C89"/>
    <w:rsid w:val="002C202F"/>
    <w:rsid w:val="002C2485"/>
    <w:rsid w:val="002C25E0"/>
    <w:rsid w:val="002C26E6"/>
    <w:rsid w:val="002C29D9"/>
    <w:rsid w:val="002C2A2D"/>
    <w:rsid w:val="002C2E89"/>
    <w:rsid w:val="002C345A"/>
    <w:rsid w:val="002C36B7"/>
    <w:rsid w:val="002C36C0"/>
    <w:rsid w:val="002C3810"/>
    <w:rsid w:val="002C3928"/>
    <w:rsid w:val="002C3960"/>
    <w:rsid w:val="002C3B33"/>
    <w:rsid w:val="002C3CD1"/>
    <w:rsid w:val="002C3D01"/>
    <w:rsid w:val="002C3EAD"/>
    <w:rsid w:val="002C4242"/>
    <w:rsid w:val="002C435E"/>
    <w:rsid w:val="002C43BB"/>
    <w:rsid w:val="002C44AB"/>
    <w:rsid w:val="002C456E"/>
    <w:rsid w:val="002C4882"/>
    <w:rsid w:val="002C49AC"/>
    <w:rsid w:val="002C4D1E"/>
    <w:rsid w:val="002C4E69"/>
    <w:rsid w:val="002C4EC0"/>
    <w:rsid w:val="002C52AC"/>
    <w:rsid w:val="002C52F1"/>
    <w:rsid w:val="002C536B"/>
    <w:rsid w:val="002C54C4"/>
    <w:rsid w:val="002C5633"/>
    <w:rsid w:val="002C59B0"/>
    <w:rsid w:val="002C59FD"/>
    <w:rsid w:val="002C5A65"/>
    <w:rsid w:val="002C5E39"/>
    <w:rsid w:val="002C5FA2"/>
    <w:rsid w:val="002C64E6"/>
    <w:rsid w:val="002C68CE"/>
    <w:rsid w:val="002C7444"/>
    <w:rsid w:val="002C76CD"/>
    <w:rsid w:val="002C7733"/>
    <w:rsid w:val="002C78C9"/>
    <w:rsid w:val="002C7A02"/>
    <w:rsid w:val="002C7BD4"/>
    <w:rsid w:val="002D0107"/>
    <w:rsid w:val="002D010C"/>
    <w:rsid w:val="002D01C3"/>
    <w:rsid w:val="002D0379"/>
    <w:rsid w:val="002D03A3"/>
    <w:rsid w:val="002D062E"/>
    <w:rsid w:val="002D07A3"/>
    <w:rsid w:val="002D0851"/>
    <w:rsid w:val="002D0D43"/>
    <w:rsid w:val="002D0F77"/>
    <w:rsid w:val="002D1049"/>
    <w:rsid w:val="002D1177"/>
    <w:rsid w:val="002D15C2"/>
    <w:rsid w:val="002D1875"/>
    <w:rsid w:val="002D18EF"/>
    <w:rsid w:val="002D18FE"/>
    <w:rsid w:val="002D19F3"/>
    <w:rsid w:val="002D224A"/>
    <w:rsid w:val="002D22C3"/>
    <w:rsid w:val="002D2411"/>
    <w:rsid w:val="002D2536"/>
    <w:rsid w:val="002D28B6"/>
    <w:rsid w:val="002D2B10"/>
    <w:rsid w:val="002D2C88"/>
    <w:rsid w:val="002D2DDA"/>
    <w:rsid w:val="002D2F0A"/>
    <w:rsid w:val="002D3129"/>
    <w:rsid w:val="002D3145"/>
    <w:rsid w:val="002D31CD"/>
    <w:rsid w:val="002D32E3"/>
    <w:rsid w:val="002D386A"/>
    <w:rsid w:val="002D3E9E"/>
    <w:rsid w:val="002D4069"/>
    <w:rsid w:val="002D4100"/>
    <w:rsid w:val="002D4454"/>
    <w:rsid w:val="002D4777"/>
    <w:rsid w:val="002D477F"/>
    <w:rsid w:val="002D4A3E"/>
    <w:rsid w:val="002D4ACF"/>
    <w:rsid w:val="002D4AEB"/>
    <w:rsid w:val="002D4DB8"/>
    <w:rsid w:val="002D4EA4"/>
    <w:rsid w:val="002D4F05"/>
    <w:rsid w:val="002D4F48"/>
    <w:rsid w:val="002D5116"/>
    <w:rsid w:val="002D519B"/>
    <w:rsid w:val="002D55E5"/>
    <w:rsid w:val="002D5839"/>
    <w:rsid w:val="002D5B2D"/>
    <w:rsid w:val="002D5C3E"/>
    <w:rsid w:val="002D5CBE"/>
    <w:rsid w:val="002D5DC7"/>
    <w:rsid w:val="002D621E"/>
    <w:rsid w:val="002D626C"/>
    <w:rsid w:val="002D6587"/>
    <w:rsid w:val="002D65C7"/>
    <w:rsid w:val="002D66DA"/>
    <w:rsid w:val="002D6769"/>
    <w:rsid w:val="002D6A02"/>
    <w:rsid w:val="002D6AF5"/>
    <w:rsid w:val="002D6CAD"/>
    <w:rsid w:val="002D6D9A"/>
    <w:rsid w:val="002D6E0C"/>
    <w:rsid w:val="002D7027"/>
    <w:rsid w:val="002D70DC"/>
    <w:rsid w:val="002D718B"/>
    <w:rsid w:val="002D7261"/>
    <w:rsid w:val="002D73F1"/>
    <w:rsid w:val="002D758B"/>
    <w:rsid w:val="002D780C"/>
    <w:rsid w:val="002D7976"/>
    <w:rsid w:val="002D79BC"/>
    <w:rsid w:val="002D7B66"/>
    <w:rsid w:val="002D7C85"/>
    <w:rsid w:val="002D7E58"/>
    <w:rsid w:val="002D7FF4"/>
    <w:rsid w:val="002E003C"/>
    <w:rsid w:val="002E0479"/>
    <w:rsid w:val="002E04E1"/>
    <w:rsid w:val="002E0787"/>
    <w:rsid w:val="002E07F0"/>
    <w:rsid w:val="002E09C2"/>
    <w:rsid w:val="002E0C30"/>
    <w:rsid w:val="002E0D31"/>
    <w:rsid w:val="002E0EFA"/>
    <w:rsid w:val="002E0F44"/>
    <w:rsid w:val="002E1073"/>
    <w:rsid w:val="002E1180"/>
    <w:rsid w:val="002E12EC"/>
    <w:rsid w:val="002E1391"/>
    <w:rsid w:val="002E144C"/>
    <w:rsid w:val="002E146D"/>
    <w:rsid w:val="002E1483"/>
    <w:rsid w:val="002E1596"/>
    <w:rsid w:val="002E1803"/>
    <w:rsid w:val="002E1AB7"/>
    <w:rsid w:val="002E1B86"/>
    <w:rsid w:val="002E1D74"/>
    <w:rsid w:val="002E1E82"/>
    <w:rsid w:val="002E2281"/>
    <w:rsid w:val="002E23EB"/>
    <w:rsid w:val="002E2671"/>
    <w:rsid w:val="002E272B"/>
    <w:rsid w:val="002E29F8"/>
    <w:rsid w:val="002E2C52"/>
    <w:rsid w:val="002E2D01"/>
    <w:rsid w:val="002E3162"/>
    <w:rsid w:val="002E342B"/>
    <w:rsid w:val="002E344C"/>
    <w:rsid w:val="002E36B6"/>
    <w:rsid w:val="002E3835"/>
    <w:rsid w:val="002E3B81"/>
    <w:rsid w:val="002E3B84"/>
    <w:rsid w:val="002E3D08"/>
    <w:rsid w:val="002E3E1D"/>
    <w:rsid w:val="002E3E5E"/>
    <w:rsid w:val="002E3EEA"/>
    <w:rsid w:val="002E4249"/>
    <w:rsid w:val="002E4386"/>
    <w:rsid w:val="002E45A4"/>
    <w:rsid w:val="002E4671"/>
    <w:rsid w:val="002E48E9"/>
    <w:rsid w:val="002E4972"/>
    <w:rsid w:val="002E4B22"/>
    <w:rsid w:val="002E4C34"/>
    <w:rsid w:val="002E4C59"/>
    <w:rsid w:val="002E4CAF"/>
    <w:rsid w:val="002E4D08"/>
    <w:rsid w:val="002E4DA5"/>
    <w:rsid w:val="002E4E02"/>
    <w:rsid w:val="002E4F80"/>
    <w:rsid w:val="002E52B8"/>
    <w:rsid w:val="002E53A8"/>
    <w:rsid w:val="002E543C"/>
    <w:rsid w:val="002E55F5"/>
    <w:rsid w:val="002E58F8"/>
    <w:rsid w:val="002E5DBF"/>
    <w:rsid w:val="002E5E01"/>
    <w:rsid w:val="002E605E"/>
    <w:rsid w:val="002E60F5"/>
    <w:rsid w:val="002E62C2"/>
    <w:rsid w:val="002E6536"/>
    <w:rsid w:val="002E68A1"/>
    <w:rsid w:val="002E69F5"/>
    <w:rsid w:val="002E6CAA"/>
    <w:rsid w:val="002E6DFE"/>
    <w:rsid w:val="002E6E6F"/>
    <w:rsid w:val="002E709B"/>
    <w:rsid w:val="002E724A"/>
    <w:rsid w:val="002E73EC"/>
    <w:rsid w:val="002E7AE5"/>
    <w:rsid w:val="002E7C39"/>
    <w:rsid w:val="002E7C51"/>
    <w:rsid w:val="002E7F9A"/>
    <w:rsid w:val="002F022D"/>
    <w:rsid w:val="002F023D"/>
    <w:rsid w:val="002F045E"/>
    <w:rsid w:val="002F0738"/>
    <w:rsid w:val="002F08AD"/>
    <w:rsid w:val="002F104E"/>
    <w:rsid w:val="002F10EC"/>
    <w:rsid w:val="002F1136"/>
    <w:rsid w:val="002F1231"/>
    <w:rsid w:val="002F1257"/>
    <w:rsid w:val="002F14F5"/>
    <w:rsid w:val="002F1521"/>
    <w:rsid w:val="002F15EE"/>
    <w:rsid w:val="002F17C8"/>
    <w:rsid w:val="002F191C"/>
    <w:rsid w:val="002F19D6"/>
    <w:rsid w:val="002F1B10"/>
    <w:rsid w:val="002F1B12"/>
    <w:rsid w:val="002F1F10"/>
    <w:rsid w:val="002F1FB6"/>
    <w:rsid w:val="002F20E9"/>
    <w:rsid w:val="002F21E4"/>
    <w:rsid w:val="002F2206"/>
    <w:rsid w:val="002F2263"/>
    <w:rsid w:val="002F2669"/>
    <w:rsid w:val="002F28A9"/>
    <w:rsid w:val="002F2E3D"/>
    <w:rsid w:val="002F3034"/>
    <w:rsid w:val="002F3191"/>
    <w:rsid w:val="002F3224"/>
    <w:rsid w:val="002F35D9"/>
    <w:rsid w:val="002F3632"/>
    <w:rsid w:val="002F3AFB"/>
    <w:rsid w:val="002F3C41"/>
    <w:rsid w:val="002F3CC4"/>
    <w:rsid w:val="002F4406"/>
    <w:rsid w:val="002F46B4"/>
    <w:rsid w:val="002F46E4"/>
    <w:rsid w:val="002F4C8E"/>
    <w:rsid w:val="002F5076"/>
    <w:rsid w:val="002F516C"/>
    <w:rsid w:val="002F5316"/>
    <w:rsid w:val="002F5839"/>
    <w:rsid w:val="002F5A0C"/>
    <w:rsid w:val="002F5BF9"/>
    <w:rsid w:val="002F6044"/>
    <w:rsid w:val="002F64D9"/>
    <w:rsid w:val="002F651D"/>
    <w:rsid w:val="002F6648"/>
    <w:rsid w:val="002F6A8F"/>
    <w:rsid w:val="002F6C7A"/>
    <w:rsid w:val="002F6E44"/>
    <w:rsid w:val="002F7054"/>
    <w:rsid w:val="002F7154"/>
    <w:rsid w:val="002F7171"/>
    <w:rsid w:val="002F74FD"/>
    <w:rsid w:val="002F7650"/>
    <w:rsid w:val="002F76C5"/>
    <w:rsid w:val="002F787B"/>
    <w:rsid w:val="002F7974"/>
    <w:rsid w:val="002F7992"/>
    <w:rsid w:val="002F7A33"/>
    <w:rsid w:val="002F7A39"/>
    <w:rsid w:val="002F7B18"/>
    <w:rsid w:val="002F7B8E"/>
    <w:rsid w:val="002F7C10"/>
    <w:rsid w:val="002F7D01"/>
    <w:rsid w:val="002F7DD9"/>
    <w:rsid w:val="002F7E2D"/>
    <w:rsid w:val="002F7F57"/>
    <w:rsid w:val="002F7F5E"/>
    <w:rsid w:val="002F7F75"/>
    <w:rsid w:val="0030005C"/>
    <w:rsid w:val="00300369"/>
    <w:rsid w:val="003007FB"/>
    <w:rsid w:val="00300BAD"/>
    <w:rsid w:val="00300F43"/>
    <w:rsid w:val="00301158"/>
    <w:rsid w:val="00301363"/>
    <w:rsid w:val="003018E1"/>
    <w:rsid w:val="00301905"/>
    <w:rsid w:val="00301B05"/>
    <w:rsid w:val="00301B74"/>
    <w:rsid w:val="00301D0A"/>
    <w:rsid w:val="00301DC8"/>
    <w:rsid w:val="00301EF2"/>
    <w:rsid w:val="0030210D"/>
    <w:rsid w:val="00302134"/>
    <w:rsid w:val="003021FE"/>
    <w:rsid w:val="003027B8"/>
    <w:rsid w:val="0030293F"/>
    <w:rsid w:val="00302947"/>
    <w:rsid w:val="00302ADA"/>
    <w:rsid w:val="00302C50"/>
    <w:rsid w:val="00302EC7"/>
    <w:rsid w:val="003031C2"/>
    <w:rsid w:val="0030341D"/>
    <w:rsid w:val="0030344A"/>
    <w:rsid w:val="003034BD"/>
    <w:rsid w:val="003034CB"/>
    <w:rsid w:val="003037A7"/>
    <w:rsid w:val="0030384D"/>
    <w:rsid w:val="00303861"/>
    <w:rsid w:val="00303892"/>
    <w:rsid w:val="003038C1"/>
    <w:rsid w:val="00304214"/>
    <w:rsid w:val="00304664"/>
    <w:rsid w:val="003048D4"/>
    <w:rsid w:val="00304A60"/>
    <w:rsid w:val="00304C82"/>
    <w:rsid w:val="00304D67"/>
    <w:rsid w:val="00304DE0"/>
    <w:rsid w:val="00304ED5"/>
    <w:rsid w:val="00304FEF"/>
    <w:rsid w:val="00304FFF"/>
    <w:rsid w:val="00305557"/>
    <w:rsid w:val="0030561F"/>
    <w:rsid w:val="00305979"/>
    <w:rsid w:val="00305CA3"/>
    <w:rsid w:val="00305D56"/>
    <w:rsid w:val="003062AE"/>
    <w:rsid w:val="0030630B"/>
    <w:rsid w:val="0030669F"/>
    <w:rsid w:val="00306841"/>
    <w:rsid w:val="003068FD"/>
    <w:rsid w:val="00306C06"/>
    <w:rsid w:val="00306CD0"/>
    <w:rsid w:val="00306E5C"/>
    <w:rsid w:val="003073B1"/>
    <w:rsid w:val="00307623"/>
    <w:rsid w:val="00307935"/>
    <w:rsid w:val="0030796E"/>
    <w:rsid w:val="00307977"/>
    <w:rsid w:val="00307B24"/>
    <w:rsid w:val="00307C19"/>
    <w:rsid w:val="00307CBB"/>
    <w:rsid w:val="00307FD2"/>
    <w:rsid w:val="0031026A"/>
    <w:rsid w:val="003102FC"/>
    <w:rsid w:val="003103C9"/>
    <w:rsid w:val="003104CA"/>
    <w:rsid w:val="003106F4"/>
    <w:rsid w:val="00310732"/>
    <w:rsid w:val="003108E2"/>
    <w:rsid w:val="00310921"/>
    <w:rsid w:val="00310B98"/>
    <w:rsid w:val="00310BC9"/>
    <w:rsid w:val="00310C6B"/>
    <w:rsid w:val="00310D98"/>
    <w:rsid w:val="00310F52"/>
    <w:rsid w:val="00310FC6"/>
    <w:rsid w:val="003115C3"/>
    <w:rsid w:val="00311714"/>
    <w:rsid w:val="00311762"/>
    <w:rsid w:val="00311A80"/>
    <w:rsid w:val="00311BAC"/>
    <w:rsid w:val="00311DC3"/>
    <w:rsid w:val="00311E23"/>
    <w:rsid w:val="00311E98"/>
    <w:rsid w:val="00311EEB"/>
    <w:rsid w:val="00312215"/>
    <w:rsid w:val="0031249C"/>
    <w:rsid w:val="003125C3"/>
    <w:rsid w:val="003126B9"/>
    <w:rsid w:val="00312896"/>
    <w:rsid w:val="00312AE7"/>
    <w:rsid w:val="00312BA6"/>
    <w:rsid w:val="00312C69"/>
    <w:rsid w:val="00312EC8"/>
    <w:rsid w:val="00313331"/>
    <w:rsid w:val="00313791"/>
    <w:rsid w:val="003137DD"/>
    <w:rsid w:val="00313C51"/>
    <w:rsid w:val="00313C86"/>
    <w:rsid w:val="00313EAC"/>
    <w:rsid w:val="00314047"/>
    <w:rsid w:val="0031404D"/>
    <w:rsid w:val="00314288"/>
    <w:rsid w:val="003142F4"/>
    <w:rsid w:val="00314467"/>
    <w:rsid w:val="003144BE"/>
    <w:rsid w:val="0031454E"/>
    <w:rsid w:val="00314839"/>
    <w:rsid w:val="00314B71"/>
    <w:rsid w:val="00314E85"/>
    <w:rsid w:val="00315090"/>
    <w:rsid w:val="003152DD"/>
    <w:rsid w:val="0031539E"/>
    <w:rsid w:val="003153B1"/>
    <w:rsid w:val="0031555F"/>
    <w:rsid w:val="003155BC"/>
    <w:rsid w:val="003156C5"/>
    <w:rsid w:val="00315A15"/>
    <w:rsid w:val="00315CF6"/>
    <w:rsid w:val="0031611F"/>
    <w:rsid w:val="003162A4"/>
    <w:rsid w:val="0031670A"/>
    <w:rsid w:val="0031737C"/>
    <w:rsid w:val="00317554"/>
    <w:rsid w:val="0031786E"/>
    <w:rsid w:val="003178C0"/>
    <w:rsid w:val="00317A33"/>
    <w:rsid w:val="00317A55"/>
    <w:rsid w:val="00317AC3"/>
    <w:rsid w:val="00317E57"/>
    <w:rsid w:val="00317F06"/>
    <w:rsid w:val="00317F1A"/>
    <w:rsid w:val="0032009A"/>
    <w:rsid w:val="003200A2"/>
    <w:rsid w:val="003202AD"/>
    <w:rsid w:val="00320339"/>
    <w:rsid w:val="00320549"/>
    <w:rsid w:val="003205F4"/>
    <w:rsid w:val="0032081E"/>
    <w:rsid w:val="0032095E"/>
    <w:rsid w:val="00320B2F"/>
    <w:rsid w:val="00320BC7"/>
    <w:rsid w:val="00320E1E"/>
    <w:rsid w:val="0032116D"/>
    <w:rsid w:val="00321214"/>
    <w:rsid w:val="0032138F"/>
    <w:rsid w:val="003213D5"/>
    <w:rsid w:val="00321E6B"/>
    <w:rsid w:val="00321F2A"/>
    <w:rsid w:val="00322313"/>
    <w:rsid w:val="003223F2"/>
    <w:rsid w:val="003224C9"/>
    <w:rsid w:val="00322A78"/>
    <w:rsid w:val="00322B06"/>
    <w:rsid w:val="00322D97"/>
    <w:rsid w:val="00322DB6"/>
    <w:rsid w:val="00322FEF"/>
    <w:rsid w:val="00323432"/>
    <w:rsid w:val="00323737"/>
    <w:rsid w:val="003238D0"/>
    <w:rsid w:val="00323980"/>
    <w:rsid w:val="00323A60"/>
    <w:rsid w:val="00323AD6"/>
    <w:rsid w:val="00323CEE"/>
    <w:rsid w:val="00323D84"/>
    <w:rsid w:val="00323F27"/>
    <w:rsid w:val="00324270"/>
    <w:rsid w:val="003242EF"/>
    <w:rsid w:val="00324639"/>
    <w:rsid w:val="00324684"/>
    <w:rsid w:val="003248B8"/>
    <w:rsid w:val="003248EE"/>
    <w:rsid w:val="00324998"/>
    <w:rsid w:val="003249D0"/>
    <w:rsid w:val="00324A46"/>
    <w:rsid w:val="00324F64"/>
    <w:rsid w:val="003250C2"/>
    <w:rsid w:val="003252F2"/>
    <w:rsid w:val="00325339"/>
    <w:rsid w:val="003255AA"/>
    <w:rsid w:val="0032561A"/>
    <w:rsid w:val="003259EC"/>
    <w:rsid w:val="00325CFD"/>
    <w:rsid w:val="00325D50"/>
    <w:rsid w:val="00325E97"/>
    <w:rsid w:val="003265AB"/>
    <w:rsid w:val="0032677F"/>
    <w:rsid w:val="003269A9"/>
    <w:rsid w:val="00326B0A"/>
    <w:rsid w:val="003272A1"/>
    <w:rsid w:val="003273C7"/>
    <w:rsid w:val="00327913"/>
    <w:rsid w:val="0032791F"/>
    <w:rsid w:val="00327F51"/>
    <w:rsid w:val="00330566"/>
    <w:rsid w:val="00330586"/>
    <w:rsid w:val="003306A0"/>
    <w:rsid w:val="00330759"/>
    <w:rsid w:val="00330B03"/>
    <w:rsid w:val="00330CBC"/>
    <w:rsid w:val="00330E3F"/>
    <w:rsid w:val="00330E4A"/>
    <w:rsid w:val="003314B6"/>
    <w:rsid w:val="00331A20"/>
    <w:rsid w:val="00331BD9"/>
    <w:rsid w:val="00331E65"/>
    <w:rsid w:val="003326F3"/>
    <w:rsid w:val="00332794"/>
    <w:rsid w:val="00332867"/>
    <w:rsid w:val="00332879"/>
    <w:rsid w:val="00332AB9"/>
    <w:rsid w:val="00332CB5"/>
    <w:rsid w:val="00332D9A"/>
    <w:rsid w:val="00332E4F"/>
    <w:rsid w:val="00333107"/>
    <w:rsid w:val="0033343B"/>
    <w:rsid w:val="00333607"/>
    <w:rsid w:val="00333668"/>
    <w:rsid w:val="0033393C"/>
    <w:rsid w:val="00333C8F"/>
    <w:rsid w:val="00333D24"/>
    <w:rsid w:val="0033417E"/>
    <w:rsid w:val="00334B4F"/>
    <w:rsid w:val="00335089"/>
    <w:rsid w:val="0033559F"/>
    <w:rsid w:val="003357EE"/>
    <w:rsid w:val="00335A50"/>
    <w:rsid w:val="0033609E"/>
    <w:rsid w:val="00336633"/>
    <w:rsid w:val="0033679B"/>
    <w:rsid w:val="00336F7A"/>
    <w:rsid w:val="00336F86"/>
    <w:rsid w:val="00336FD0"/>
    <w:rsid w:val="00337020"/>
    <w:rsid w:val="00337368"/>
    <w:rsid w:val="0033747B"/>
    <w:rsid w:val="003378B2"/>
    <w:rsid w:val="0033793C"/>
    <w:rsid w:val="00337B4B"/>
    <w:rsid w:val="00337B4D"/>
    <w:rsid w:val="00337EFE"/>
    <w:rsid w:val="00337F8C"/>
    <w:rsid w:val="00340099"/>
    <w:rsid w:val="003403C8"/>
    <w:rsid w:val="003403FE"/>
    <w:rsid w:val="003407A9"/>
    <w:rsid w:val="00340BA3"/>
    <w:rsid w:val="00340BAF"/>
    <w:rsid w:val="00340C2B"/>
    <w:rsid w:val="00340DEC"/>
    <w:rsid w:val="00340F9A"/>
    <w:rsid w:val="00341018"/>
    <w:rsid w:val="003410B4"/>
    <w:rsid w:val="00341112"/>
    <w:rsid w:val="00341123"/>
    <w:rsid w:val="00341829"/>
    <w:rsid w:val="00341898"/>
    <w:rsid w:val="00341BA9"/>
    <w:rsid w:val="00341E44"/>
    <w:rsid w:val="003420C2"/>
    <w:rsid w:val="003420D9"/>
    <w:rsid w:val="00342233"/>
    <w:rsid w:val="003423E0"/>
    <w:rsid w:val="00342478"/>
    <w:rsid w:val="00342824"/>
    <w:rsid w:val="00342954"/>
    <w:rsid w:val="00342BBC"/>
    <w:rsid w:val="00342E6B"/>
    <w:rsid w:val="00342EC8"/>
    <w:rsid w:val="00342ECB"/>
    <w:rsid w:val="00342F7C"/>
    <w:rsid w:val="00342F8B"/>
    <w:rsid w:val="0034301A"/>
    <w:rsid w:val="003430C8"/>
    <w:rsid w:val="003431FA"/>
    <w:rsid w:val="00343955"/>
    <w:rsid w:val="00343B07"/>
    <w:rsid w:val="00343C5E"/>
    <w:rsid w:val="00343D76"/>
    <w:rsid w:val="00343F16"/>
    <w:rsid w:val="003441F2"/>
    <w:rsid w:val="003445EC"/>
    <w:rsid w:val="003446E7"/>
    <w:rsid w:val="00344718"/>
    <w:rsid w:val="00344DFD"/>
    <w:rsid w:val="00344E73"/>
    <w:rsid w:val="00344FF5"/>
    <w:rsid w:val="003451D3"/>
    <w:rsid w:val="0034527D"/>
    <w:rsid w:val="003454A6"/>
    <w:rsid w:val="00345B9F"/>
    <w:rsid w:val="00345E83"/>
    <w:rsid w:val="00345EE8"/>
    <w:rsid w:val="00346631"/>
    <w:rsid w:val="00346633"/>
    <w:rsid w:val="00346A53"/>
    <w:rsid w:val="00346AAD"/>
    <w:rsid w:val="00346B93"/>
    <w:rsid w:val="00346C13"/>
    <w:rsid w:val="00346D96"/>
    <w:rsid w:val="00346E89"/>
    <w:rsid w:val="0034736A"/>
    <w:rsid w:val="0034747C"/>
    <w:rsid w:val="00347552"/>
    <w:rsid w:val="003477A4"/>
    <w:rsid w:val="00347920"/>
    <w:rsid w:val="00347B6C"/>
    <w:rsid w:val="00347BDF"/>
    <w:rsid w:val="00347DE7"/>
    <w:rsid w:val="00347E05"/>
    <w:rsid w:val="00350150"/>
    <w:rsid w:val="00350184"/>
    <w:rsid w:val="0035086D"/>
    <w:rsid w:val="00350A8B"/>
    <w:rsid w:val="00350BF8"/>
    <w:rsid w:val="00350D11"/>
    <w:rsid w:val="00350E01"/>
    <w:rsid w:val="00351068"/>
    <w:rsid w:val="003510E1"/>
    <w:rsid w:val="0035151C"/>
    <w:rsid w:val="00351705"/>
    <w:rsid w:val="0035178F"/>
    <w:rsid w:val="00351959"/>
    <w:rsid w:val="00351B60"/>
    <w:rsid w:val="00351C7D"/>
    <w:rsid w:val="00351C82"/>
    <w:rsid w:val="00351D19"/>
    <w:rsid w:val="00351E23"/>
    <w:rsid w:val="00351F52"/>
    <w:rsid w:val="00351FAA"/>
    <w:rsid w:val="003520A6"/>
    <w:rsid w:val="00352254"/>
    <w:rsid w:val="003522A3"/>
    <w:rsid w:val="0035254A"/>
    <w:rsid w:val="003525C6"/>
    <w:rsid w:val="00352943"/>
    <w:rsid w:val="00352ADB"/>
    <w:rsid w:val="00352EE3"/>
    <w:rsid w:val="00353368"/>
    <w:rsid w:val="003538F5"/>
    <w:rsid w:val="00353929"/>
    <w:rsid w:val="00353D4F"/>
    <w:rsid w:val="00353DF8"/>
    <w:rsid w:val="00353F9E"/>
    <w:rsid w:val="003540D1"/>
    <w:rsid w:val="003545BF"/>
    <w:rsid w:val="003545ED"/>
    <w:rsid w:val="003546E1"/>
    <w:rsid w:val="003546EA"/>
    <w:rsid w:val="003549EE"/>
    <w:rsid w:val="00354A1C"/>
    <w:rsid w:val="00354B71"/>
    <w:rsid w:val="00355121"/>
    <w:rsid w:val="00355122"/>
    <w:rsid w:val="0035543F"/>
    <w:rsid w:val="0035586A"/>
    <w:rsid w:val="00355927"/>
    <w:rsid w:val="00355949"/>
    <w:rsid w:val="00355ED5"/>
    <w:rsid w:val="0035611A"/>
    <w:rsid w:val="003563A6"/>
    <w:rsid w:val="003566C4"/>
    <w:rsid w:val="003568DF"/>
    <w:rsid w:val="00356C3D"/>
    <w:rsid w:val="003573CF"/>
    <w:rsid w:val="00357A67"/>
    <w:rsid w:val="00360019"/>
    <w:rsid w:val="00360021"/>
    <w:rsid w:val="003603EC"/>
    <w:rsid w:val="0036044B"/>
    <w:rsid w:val="00360575"/>
    <w:rsid w:val="003607D7"/>
    <w:rsid w:val="0036095F"/>
    <w:rsid w:val="00360B75"/>
    <w:rsid w:val="00360B80"/>
    <w:rsid w:val="00360CBA"/>
    <w:rsid w:val="00360E10"/>
    <w:rsid w:val="003610A8"/>
    <w:rsid w:val="0036151C"/>
    <w:rsid w:val="00361765"/>
    <w:rsid w:val="00361913"/>
    <w:rsid w:val="00361A9B"/>
    <w:rsid w:val="00361FD8"/>
    <w:rsid w:val="00361FDD"/>
    <w:rsid w:val="00362227"/>
    <w:rsid w:val="003623F4"/>
    <w:rsid w:val="003624EC"/>
    <w:rsid w:val="0036255E"/>
    <w:rsid w:val="00362912"/>
    <w:rsid w:val="00362A57"/>
    <w:rsid w:val="00362B43"/>
    <w:rsid w:val="00362BB0"/>
    <w:rsid w:val="00362CCF"/>
    <w:rsid w:val="00362CDC"/>
    <w:rsid w:val="00362FE2"/>
    <w:rsid w:val="00363081"/>
    <w:rsid w:val="003631DB"/>
    <w:rsid w:val="00363201"/>
    <w:rsid w:val="003633C9"/>
    <w:rsid w:val="0036397E"/>
    <w:rsid w:val="003639FC"/>
    <w:rsid w:val="00363FF0"/>
    <w:rsid w:val="00364287"/>
    <w:rsid w:val="0036444E"/>
    <w:rsid w:val="00364524"/>
    <w:rsid w:val="00364E3A"/>
    <w:rsid w:val="0036513A"/>
    <w:rsid w:val="00365237"/>
    <w:rsid w:val="003652E8"/>
    <w:rsid w:val="00365367"/>
    <w:rsid w:val="0036559C"/>
    <w:rsid w:val="00365682"/>
    <w:rsid w:val="0036587E"/>
    <w:rsid w:val="00365EEB"/>
    <w:rsid w:val="00365FCC"/>
    <w:rsid w:val="003660C2"/>
    <w:rsid w:val="003660CD"/>
    <w:rsid w:val="003662CB"/>
    <w:rsid w:val="003663AD"/>
    <w:rsid w:val="003666A3"/>
    <w:rsid w:val="00366AC2"/>
    <w:rsid w:val="00366B08"/>
    <w:rsid w:val="00366BBD"/>
    <w:rsid w:val="00366D6C"/>
    <w:rsid w:val="003671E5"/>
    <w:rsid w:val="00367304"/>
    <w:rsid w:val="00367496"/>
    <w:rsid w:val="00367786"/>
    <w:rsid w:val="003678BE"/>
    <w:rsid w:val="00367AE4"/>
    <w:rsid w:val="00367D50"/>
    <w:rsid w:val="00367DE5"/>
    <w:rsid w:val="00370068"/>
    <w:rsid w:val="003700F8"/>
    <w:rsid w:val="0037020F"/>
    <w:rsid w:val="003702FF"/>
    <w:rsid w:val="0037035A"/>
    <w:rsid w:val="00370371"/>
    <w:rsid w:val="003703D1"/>
    <w:rsid w:val="0037047E"/>
    <w:rsid w:val="003705AF"/>
    <w:rsid w:val="00370949"/>
    <w:rsid w:val="00370A0A"/>
    <w:rsid w:val="00370A1F"/>
    <w:rsid w:val="00370E8E"/>
    <w:rsid w:val="003711AA"/>
    <w:rsid w:val="00371397"/>
    <w:rsid w:val="0037165C"/>
    <w:rsid w:val="003717AC"/>
    <w:rsid w:val="00371EA0"/>
    <w:rsid w:val="00372029"/>
    <w:rsid w:val="0037238D"/>
    <w:rsid w:val="0037243B"/>
    <w:rsid w:val="0037251C"/>
    <w:rsid w:val="003725BA"/>
    <w:rsid w:val="003726E2"/>
    <w:rsid w:val="0037272C"/>
    <w:rsid w:val="00372769"/>
    <w:rsid w:val="00372780"/>
    <w:rsid w:val="003729E4"/>
    <w:rsid w:val="00372B9A"/>
    <w:rsid w:val="00372F29"/>
    <w:rsid w:val="00373023"/>
    <w:rsid w:val="003731BF"/>
    <w:rsid w:val="00373C0D"/>
    <w:rsid w:val="00373C51"/>
    <w:rsid w:val="003741A2"/>
    <w:rsid w:val="00374415"/>
    <w:rsid w:val="0037447C"/>
    <w:rsid w:val="00374586"/>
    <w:rsid w:val="003745DA"/>
    <w:rsid w:val="0037464D"/>
    <w:rsid w:val="00374679"/>
    <w:rsid w:val="00374B0A"/>
    <w:rsid w:val="00374CE8"/>
    <w:rsid w:val="00374D67"/>
    <w:rsid w:val="00374D70"/>
    <w:rsid w:val="00375287"/>
    <w:rsid w:val="00375791"/>
    <w:rsid w:val="00375826"/>
    <w:rsid w:val="00375920"/>
    <w:rsid w:val="00375994"/>
    <w:rsid w:val="00375C59"/>
    <w:rsid w:val="00375E05"/>
    <w:rsid w:val="00375EC4"/>
    <w:rsid w:val="00375FDF"/>
    <w:rsid w:val="00376302"/>
    <w:rsid w:val="00376434"/>
    <w:rsid w:val="00376690"/>
    <w:rsid w:val="00376868"/>
    <w:rsid w:val="00376994"/>
    <w:rsid w:val="00376BB7"/>
    <w:rsid w:val="00376D15"/>
    <w:rsid w:val="00376ED1"/>
    <w:rsid w:val="00376EEE"/>
    <w:rsid w:val="00377234"/>
    <w:rsid w:val="00377344"/>
    <w:rsid w:val="0037771F"/>
    <w:rsid w:val="00377BA1"/>
    <w:rsid w:val="00377FF0"/>
    <w:rsid w:val="0038026B"/>
    <w:rsid w:val="00380331"/>
    <w:rsid w:val="00380616"/>
    <w:rsid w:val="00380B71"/>
    <w:rsid w:val="00381022"/>
    <w:rsid w:val="0038142E"/>
    <w:rsid w:val="003814B8"/>
    <w:rsid w:val="0038152A"/>
    <w:rsid w:val="00381682"/>
    <w:rsid w:val="0038168E"/>
    <w:rsid w:val="003816C6"/>
    <w:rsid w:val="00381DF6"/>
    <w:rsid w:val="00381E38"/>
    <w:rsid w:val="00382049"/>
    <w:rsid w:val="003822C3"/>
    <w:rsid w:val="003826FD"/>
    <w:rsid w:val="00382909"/>
    <w:rsid w:val="00382E4A"/>
    <w:rsid w:val="00382EE1"/>
    <w:rsid w:val="0038302D"/>
    <w:rsid w:val="003831F7"/>
    <w:rsid w:val="00383376"/>
    <w:rsid w:val="003833A1"/>
    <w:rsid w:val="0038357B"/>
    <w:rsid w:val="003835FE"/>
    <w:rsid w:val="0038377A"/>
    <w:rsid w:val="00383C5B"/>
    <w:rsid w:val="00383E1F"/>
    <w:rsid w:val="00383F61"/>
    <w:rsid w:val="00383FD5"/>
    <w:rsid w:val="0038402E"/>
    <w:rsid w:val="00384258"/>
    <w:rsid w:val="0038426D"/>
    <w:rsid w:val="00384305"/>
    <w:rsid w:val="00384383"/>
    <w:rsid w:val="003845DB"/>
    <w:rsid w:val="00384650"/>
    <w:rsid w:val="003847E2"/>
    <w:rsid w:val="00384913"/>
    <w:rsid w:val="00384F8A"/>
    <w:rsid w:val="00384FE5"/>
    <w:rsid w:val="00385131"/>
    <w:rsid w:val="00385325"/>
    <w:rsid w:val="003854FB"/>
    <w:rsid w:val="003859FA"/>
    <w:rsid w:val="00385BE1"/>
    <w:rsid w:val="00385DF1"/>
    <w:rsid w:val="00385F31"/>
    <w:rsid w:val="0038620B"/>
    <w:rsid w:val="0038621C"/>
    <w:rsid w:val="00386232"/>
    <w:rsid w:val="0038653A"/>
    <w:rsid w:val="003865B2"/>
    <w:rsid w:val="00386747"/>
    <w:rsid w:val="003867D6"/>
    <w:rsid w:val="00386AF2"/>
    <w:rsid w:val="00386CA6"/>
    <w:rsid w:val="003871F9"/>
    <w:rsid w:val="0038758C"/>
    <w:rsid w:val="00387647"/>
    <w:rsid w:val="00387898"/>
    <w:rsid w:val="0038791A"/>
    <w:rsid w:val="00387974"/>
    <w:rsid w:val="00390056"/>
    <w:rsid w:val="00390101"/>
    <w:rsid w:val="00390341"/>
    <w:rsid w:val="003904EF"/>
    <w:rsid w:val="0039055C"/>
    <w:rsid w:val="00390615"/>
    <w:rsid w:val="00390718"/>
    <w:rsid w:val="00390767"/>
    <w:rsid w:val="00390883"/>
    <w:rsid w:val="003909A3"/>
    <w:rsid w:val="00390A3C"/>
    <w:rsid w:val="00390F46"/>
    <w:rsid w:val="003913EA"/>
    <w:rsid w:val="00391470"/>
    <w:rsid w:val="00391792"/>
    <w:rsid w:val="003917C3"/>
    <w:rsid w:val="003919CF"/>
    <w:rsid w:val="00391B4A"/>
    <w:rsid w:val="00391D85"/>
    <w:rsid w:val="003920C4"/>
    <w:rsid w:val="00392184"/>
    <w:rsid w:val="003923A0"/>
    <w:rsid w:val="0039248B"/>
    <w:rsid w:val="00392652"/>
    <w:rsid w:val="003926F5"/>
    <w:rsid w:val="00392833"/>
    <w:rsid w:val="00392B41"/>
    <w:rsid w:val="00392BE4"/>
    <w:rsid w:val="00392D9D"/>
    <w:rsid w:val="00393117"/>
    <w:rsid w:val="00393863"/>
    <w:rsid w:val="00393D48"/>
    <w:rsid w:val="00393FA8"/>
    <w:rsid w:val="00394121"/>
    <w:rsid w:val="0039422F"/>
    <w:rsid w:val="003944D1"/>
    <w:rsid w:val="0039456F"/>
    <w:rsid w:val="003945C8"/>
    <w:rsid w:val="0039460B"/>
    <w:rsid w:val="0039480D"/>
    <w:rsid w:val="003949E1"/>
    <w:rsid w:val="003949E2"/>
    <w:rsid w:val="00394C30"/>
    <w:rsid w:val="00394C71"/>
    <w:rsid w:val="00394ED0"/>
    <w:rsid w:val="00395062"/>
    <w:rsid w:val="00395151"/>
    <w:rsid w:val="00395176"/>
    <w:rsid w:val="00395199"/>
    <w:rsid w:val="00395403"/>
    <w:rsid w:val="00395446"/>
    <w:rsid w:val="003955B3"/>
    <w:rsid w:val="003956A9"/>
    <w:rsid w:val="003957C7"/>
    <w:rsid w:val="00396329"/>
    <w:rsid w:val="00396725"/>
    <w:rsid w:val="003967AF"/>
    <w:rsid w:val="00396A9E"/>
    <w:rsid w:val="00396CC7"/>
    <w:rsid w:val="00397214"/>
    <w:rsid w:val="0039758B"/>
    <w:rsid w:val="00397A28"/>
    <w:rsid w:val="00397D22"/>
    <w:rsid w:val="00397E94"/>
    <w:rsid w:val="00397F05"/>
    <w:rsid w:val="003A019F"/>
    <w:rsid w:val="003A03DE"/>
    <w:rsid w:val="003A0442"/>
    <w:rsid w:val="003A049E"/>
    <w:rsid w:val="003A0899"/>
    <w:rsid w:val="003A0A23"/>
    <w:rsid w:val="003A0B30"/>
    <w:rsid w:val="003A0F1D"/>
    <w:rsid w:val="003A1483"/>
    <w:rsid w:val="003A1512"/>
    <w:rsid w:val="003A175E"/>
    <w:rsid w:val="003A1783"/>
    <w:rsid w:val="003A1AF7"/>
    <w:rsid w:val="003A1B07"/>
    <w:rsid w:val="003A1D88"/>
    <w:rsid w:val="003A1EB7"/>
    <w:rsid w:val="003A1F2D"/>
    <w:rsid w:val="003A1FDD"/>
    <w:rsid w:val="003A2166"/>
    <w:rsid w:val="003A2347"/>
    <w:rsid w:val="003A23C7"/>
    <w:rsid w:val="003A23F3"/>
    <w:rsid w:val="003A26A7"/>
    <w:rsid w:val="003A2839"/>
    <w:rsid w:val="003A2B0C"/>
    <w:rsid w:val="003A2B0D"/>
    <w:rsid w:val="003A2B1F"/>
    <w:rsid w:val="003A2B3A"/>
    <w:rsid w:val="003A2D82"/>
    <w:rsid w:val="003A2E6F"/>
    <w:rsid w:val="003A31B5"/>
    <w:rsid w:val="003A3285"/>
    <w:rsid w:val="003A337C"/>
    <w:rsid w:val="003A36DA"/>
    <w:rsid w:val="003A3839"/>
    <w:rsid w:val="003A38F1"/>
    <w:rsid w:val="003A3CB7"/>
    <w:rsid w:val="003A3D1B"/>
    <w:rsid w:val="003A3F39"/>
    <w:rsid w:val="003A4188"/>
    <w:rsid w:val="003A4296"/>
    <w:rsid w:val="003A4416"/>
    <w:rsid w:val="003A4549"/>
    <w:rsid w:val="003A4652"/>
    <w:rsid w:val="003A4857"/>
    <w:rsid w:val="003A49B3"/>
    <w:rsid w:val="003A4B85"/>
    <w:rsid w:val="003A4C26"/>
    <w:rsid w:val="003A4D56"/>
    <w:rsid w:val="003A4F7F"/>
    <w:rsid w:val="003A52F9"/>
    <w:rsid w:val="003A5439"/>
    <w:rsid w:val="003A55B4"/>
    <w:rsid w:val="003A58D6"/>
    <w:rsid w:val="003A5932"/>
    <w:rsid w:val="003A5AEE"/>
    <w:rsid w:val="003A5ED9"/>
    <w:rsid w:val="003A6083"/>
    <w:rsid w:val="003A60BF"/>
    <w:rsid w:val="003A60FA"/>
    <w:rsid w:val="003A61B6"/>
    <w:rsid w:val="003A623F"/>
    <w:rsid w:val="003A62F3"/>
    <w:rsid w:val="003A69F6"/>
    <w:rsid w:val="003A6B9E"/>
    <w:rsid w:val="003A6C75"/>
    <w:rsid w:val="003A7022"/>
    <w:rsid w:val="003A71AD"/>
    <w:rsid w:val="003A7371"/>
    <w:rsid w:val="003A747F"/>
    <w:rsid w:val="003A7571"/>
    <w:rsid w:val="003A77AF"/>
    <w:rsid w:val="003A7930"/>
    <w:rsid w:val="003A795D"/>
    <w:rsid w:val="003A7D1D"/>
    <w:rsid w:val="003A7E8C"/>
    <w:rsid w:val="003A7F42"/>
    <w:rsid w:val="003B075D"/>
    <w:rsid w:val="003B09A6"/>
    <w:rsid w:val="003B0B0C"/>
    <w:rsid w:val="003B0B31"/>
    <w:rsid w:val="003B0C1C"/>
    <w:rsid w:val="003B0D04"/>
    <w:rsid w:val="003B0DCF"/>
    <w:rsid w:val="003B0F9E"/>
    <w:rsid w:val="003B113C"/>
    <w:rsid w:val="003B11AA"/>
    <w:rsid w:val="003B1492"/>
    <w:rsid w:val="003B1495"/>
    <w:rsid w:val="003B165F"/>
    <w:rsid w:val="003B1688"/>
    <w:rsid w:val="003B1984"/>
    <w:rsid w:val="003B1C3C"/>
    <w:rsid w:val="003B1CB0"/>
    <w:rsid w:val="003B1D1F"/>
    <w:rsid w:val="003B1EE8"/>
    <w:rsid w:val="003B1F2E"/>
    <w:rsid w:val="003B1FA4"/>
    <w:rsid w:val="003B1FE6"/>
    <w:rsid w:val="003B2178"/>
    <w:rsid w:val="003B22DC"/>
    <w:rsid w:val="003B2425"/>
    <w:rsid w:val="003B2BBE"/>
    <w:rsid w:val="003B2D3A"/>
    <w:rsid w:val="003B3002"/>
    <w:rsid w:val="003B30CE"/>
    <w:rsid w:val="003B3106"/>
    <w:rsid w:val="003B38E4"/>
    <w:rsid w:val="003B396A"/>
    <w:rsid w:val="003B3974"/>
    <w:rsid w:val="003B39E0"/>
    <w:rsid w:val="003B3B10"/>
    <w:rsid w:val="003B3DAB"/>
    <w:rsid w:val="003B404D"/>
    <w:rsid w:val="003B416D"/>
    <w:rsid w:val="003B42C1"/>
    <w:rsid w:val="003B441D"/>
    <w:rsid w:val="003B4AFB"/>
    <w:rsid w:val="003B4B34"/>
    <w:rsid w:val="003B4CC8"/>
    <w:rsid w:val="003B4CDA"/>
    <w:rsid w:val="003B4CEA"/>
    <w:rsid w:val="003B4E64"/>
    <w:rsid w:val="003B4E93"/>
    <w:rsid w:val="003B4F2D"/>
    <w:rsid w:val="003B5274"/>
    <w:rsid w:val="003B529B"/>
    <w:rsid w:val="003B52AD"/>
    <w:rsid w:val="003B54FE"/>
    <w:rsid w:val="003B566A"/>
    <w:rsid w:val="003B5BD9"/>
    <w:rsid w:val="003B5CFC"/>
    <w:rsid w:val="003B5E2A"/>
    <w:rsid w:val="003B5F28"/>
    <w:rsid w:val="003B64A3"/>
    <w:rsid w:val="003B694B"/>
    <w:rsid w:val="003B6BDC"/>
    <w:rsid w:val="003B6C5D"/>
    <w:rsid w:val="003B6C97"/>
    <w:rsid w:val="003B6DB8"/>
    <w:rsid w:val="003B6E5C"/>
    <w:rsid w:val="003B6FB1"/>
    <w:rsid w:val="003B72B9"/>
    <w:rsid w:val="003B77F1"/>
    <w:rsid w:val="003B7932"/>
    <w:rsid w:val="003B7D82"/>
    <w:rsid w:val="003C001B"/>
    <w:rsid w:val="003C043B"/>
    <w:rsid w:val="003C05ED"/>
    <w:rsid w:val="003C0887"/>
    <w:rsid w:val="003C08AF"/>
    <w:rsid w:val="003C0A3F"/>
    <w:rsid w:val="003C0DDE"/>
    <w:rsid w:val="003C0EE1"/>
    <w:rsid w:val="003C0F53"/>
    <w:rsid w:val="003C16B0"/>
    <w:rsid w:val="003C16F7"/>
    <w:rsid w:val="003C1887"/>
    <w:rsid w:val="003C18F8"/>
    <w:rsid w:val="003C1B3D"/>
    <w:rsid w:val="003C207E"/>
    <w:rsid w:val="003C20F3"/>
    <w:rsid w:val="003C2459"/>
    <w:rsid w:val="003C25C3"/>
    <w:rsid w:val="003C294B"/>
    <w:rsid w:val="003C2C16"/>
    <w:rsid w:val="003C2DF9"/>
    <w:rsid w:val="003C2EDD"/>
    <w:rsid w:val="003C3021"/>
    <w:rsid w:val="003C3176"/>
    <w:rsid w:val="003C3220"/>
    <w:rsid w:val="003C3266"/>
    <w:rsid w:val="003C3294"/>
    <w:rsid w:val="003C34F1"/>
    <w:rsid w:val="003C3570"/>
    <w:rsid w:val="003C37E7"/>
    <w:rsid w:val="003C3A47"/>
    <w:rsid w:val="003C3A79"/>
    <w:rsid w:val="003C3CFC"/>
    <w:rsid w:val="003C3F61"/>
    <w:rsid w:val="003C4230"/>
    <w:rsid w:val="003C43C1"/>
    <w:rsid w:val="003C470D"/>
    <w:rsid w:val="003C48F2"/>
    <w:rsid w:val="003C4990"/>
    <w:rsid w:val="003C4A77"/>
    <w:rsid w:val="003C4C33"/>
    <w:rsid w:val="003C4CEB"/>
    <w:rsid w:val="003C5177"/>
    <w:rsid w:val="003C52B0"/>
    <w:rsid w:val="003C5473"/>
    <w:rsid w:val="003C561F"/>
    <w:rsid w:val="003C57D5"/>
    <w:rsid w:val="003C5911"/>
    <w:rsid w:val="003C5ABD"/>
    <w:rsid w:val="003C5CDB"/>
    <w:rsid w:val="003C6465"/>
    <w:rsid w:val="003C6494"/>
    <w:rsid w:val="003C65E4"/>
    <w:rsid w:val="003C66F8"/>
    <w:rsid w:val="003C6C57"/>
    <w:rsid w:val="003C6D71"/>
    <w:rsid w:val="003C7002"/>
    <w:rsid w:val="003C71AB"/>
    <w:rsid w:val="003C73F5"/>
    <w:rsid w:val="003C767A"/>
    <w:rsid w:val="003C76BE"/>
    <w:rsid w:val="003C7712"/>
    <w:rsid w:val="003C7862"/>
    <w:rsid w:val="003C7ECD"/>
    <w:rsid w:val="003C7F72"/>
    <w:rsid w:val="003D007D"/>
    <w:rsid w:val="003D01A1"/>
    <w:rsid w:val="003D04D6"/>
    <w:rsid w:val="003D04F6"/>
    <w:rsid w:val="003D0818"/>
    <w:rsid w:val="003D0A3E"/>
    <w:rsid w:val="003D119E"/>
    <w:rsid w:val="003D1699"/>
    <w:rsid w:val="003D171F"/>
    <w:rsid w:val="003D18CC"/>
    <w:rsid w:val="003D1A61"/>
    <w:rsid w:val="003D1C9A"/>
    <w:rsid w:val="003D1E8E"/>
    <w:rsid w:val="003D233A"/>
    <w:rsid w:val="003D23EF"/>
    <w:rsid w:val="003D246A"/>
    <w:rsid w:val="003D2770"/>
    <w:rsid w:val="003D284A"/>
    <w:rsid w:val="003D29AB"/>
    <w:rsid w:val="003D2EC5"/>
    <w:rsid w:val="003D34DA"/>
    <w:rsid w:val="003D3583"/>
    <w:rsid w:val="003D3720"/>
    <w:rsid w:val="003D3851"/>
    <w:rsid w:val="003D388F"/>
    <w:rsid w:val="003D391E"/>
    <w:rsid w:val="003D3B6F"/>
    <w:rsid w:val="003D3C60"/>
    <w:rsid w:val="003D3CB8"/>
    <w:rsid w:val="003D40E8"/>
    <w:rsid w:val="003D415D"/>
    <w:rsid w:val="003D455E"/>
    <w:rsid w:val="003D4F88"/>
    <w:rsid w:val="003D5220"/>
    <w:rsid w:val="003D573A"/>
    <w:rsid w:val="003D5785"/>
    <w:rsid w:val="003D5813"/>
    <w:rsid w:val="003D5A2D"/>
    <w:rsid w:val="003D5A97"/>
    <w:rsid w:val="003D5A9D"/>
    <w:rsid w:val="003D5BD9"/>
    <w:rsid w:val="003D609C"/>
    <w:rsid w:val="003D621B"/>
    <w:rsid w:val="003D62C0"/>
    <w:rsid w:val="003D65F6"/>
    <w:rsid w:val="003D6604"/>
    <w:rsid w:val="003D67BF"/>
    <w:rsid w:val="003D67C7"/>
    <w:rsid w:val="003D6911"/>
    <w:rsid w:val="003D6933"/>
    <w:rsid w:val="003D6FF6"/>
    <w:rsid w:val="003D763A"/>
    <w:rsid w:val="003D7753"/>
    <w:rsid w:val="003D7999"/>
    <w:rsid w:val="003D79B8"/>
    <w:rsid w:val="003D7A2D"/>
    <w:rsid w:val="003D7E4B"/>
    <w:rsid w:val="003D7EE8"/>
    <w:rsid w:val="003E0006"/>
    <w:rsid w:val="003E0035"/>
    <w:rsid w:val="003E0045"/>
    <w:rsid w:val="003E0226"/>
    <w:rsid w:val="003E0679"/>
    <w:rsid w:val="003E06FE"/>
    <w:rsid w:val="003E0734"/>
    <w:rsid w:val="003E0869"/>
    <w:rsid w:val="003E0BEF"/>
    <w:rsid w:val="003E0C14"/>
    <w:rsid w:val="003E0D6F"/>
    <w:rsid w:val="003E0E0D"/>
    <w:rsid w:val="003E12ED"/>
    <w:rsid w:val="003E1591"/>
    <w:rsid w:val="003E1AAF"/>
    <w:rsid w:val="003E1ACF"/>
    <w:rsid w:val="003E1BEC"/>
    <w:rsid w:val="003E1C0B"/>
    <w:rsid w:val="003E1CE1"/>
    <w:rsid w:val="003E1F26"/>
    <w:rsid w:val="003E216C"/>
    <w:rsid w:val="003E234F"/>
    <w:rsid w:val="003E236E"/>
    <w:rsid w:val="003E24D8"/>
    <w:rsid w:val="003E259D"/>
    <w:rsid w:val="003E26BA"/>
    <w:rsid w:val="003E2906"/>
    <w:rsid w:val="003E2969"/>
    <w:rsid w:val="003E2C1A"/>
    <w:rsid w:val="003E2C68"/>
    <w:rsid w:val="003E2CE5"/>
    <w:rsid w:val="003E2E24"/>
    <w:rsid w:val="003E330F"/>
    <w:rsid w:val="003E33A0"/>
    <w:rsid w:val="003E3410"/>
    <w:rsid w:val="003E3478"/>
    <w:rsid w:val="003E364E"/>
    <w:rsid w:val="003E377C"/>
    <w:rsid w:val="003E3B00"/>
    <w:rsid w:val="003E4078"/>
    <w:rsid w:val="003E44AC"/>
    <w:rsid w:val="003E453A"/>
    <w:rsid w:val="003E48A3"/>
    <w:rsid w:val="003E4ADF"/>
    <w:rsid w:val="003E4E74"/>
    <w:rsid w:val="003E52B0"/>
    <w:rsid w:val="003E5311"/>
    <w:rsid w:val="003E55E8"/>
    <w:rsid w:val="003E5C5B"/>
    <w:rsid w:val="003E5C6C"/>
    <w:rsid w:val="003E5F07"/>
    <w:rsid w:val="003E5F7D"/>
    <w:rsid w:val="003E6520"/>
    <w:rsid w:val="003E6768"/>
    <w:rsid w:val="003E67E7"/>
    <w:rsid w:val="003E6AC8"/>
    <w:rsid w:val="003E6B3C"/>
    <w:rsid w:val="003E6B95"/>
    <w:rsid w:val="003E6E8B"/>
    <w:rsid w:val="003E6EE4"/>
    <w:rsid w:val="003E6FA5"/>
    <w:rsid w:val="003E70FF"/>
    <w:rsid w:val="003E7341"/>
    <w:rsid w:val="003E7375"/>
    <w:rsid w:val="003E752D"/>
    <w:rsid w:val="003E7561"/>
    <w:rsid w:val="003E7585"/>
    <w:rsid w:val="003E762E"/>
    <w:rsid w:val="003E7A3E"/>
    <w:rsid w:val="003E7A82"/>
    <w:rsid w:val="003E7C9C"/>
    <w:rsid w:val="003E7F1B"/>
    <w:rsid w:val="003E7F48"/>
    <w:rsid w:val="003F019F"/>
    <w:rsid w:val="003F0409"/>
    <w:rsid w:val="003F049B"/>
    <w:rsid w:val="003F04AB"/>
    <w:rsid w:val="003F0523"/>
    <w:rsid w:val="003F0551"/>
    <w:rsid w:val="003F05CC"/>
    <w:rsid w:val="003F0663"/>
    <w:rsid w:val="003F070D"/>
    <w:rsid w:val="003F070F"/>
    <w:rsid w:val="003F07D5"/>
    <w:rsid w:val="003F0A4C"/>
    <w:rsid w:val="003F0A97"/>
    <w:rsid w:val="003F0B41"/>
    <w:rsid w:val="003F11DD"/>
    <w:rsid w:val="003F12FA"/>
    <w:rsid w:val="003F139A"/>
    <w:rsid w:val="003F19A6"/>
    <w:rsid w:val="003F1B3E"/>
    <w:rsid w:val="003F1BE9"/>
    <w:rsid w:val="003F1E39"/>
    <w:rsid w:val="003F1F46"/>
    <w:rsid w:val="003F229D"/>
    <w:rsid w:val="003F25F0"/>
    <w:rsid w:val="003F2840"/>
    <w:rsid w:val="003F2A91"/>
    <w:rsid w:val="003F2AF0"/>
    <w:rsid w:val="003F2BA5"/>
    <w:rsid w:val="003F2D5B"/>
    <w:rsid w:val="003F2DC8"/>
    <w:rsid w:val="003F3035"/>
    <w:rsid w:val="003F32EA"/>
    <w:rsid w:val="003F3436"/>
    <w:rsid w:val="003F3E67"/>
    <w:rsid w:val="003F3EAA"/>
    <w:rsid w:val="003F420A"/>
    <w:rsid w:val="003F4323"/>
    <w:rsid w:val="003F45DC"/>
    <w:rsid w:val="003F4632"/>
    <w:rsid w:val="003F46FE"/>
    <w:rsid w:val="003F47DF"/>
    <w:rsid w:val="003F4DD3"/>
    <w:rsid w:val="003F5281"/>
    <w:rsid w:val="003F56C8"/>
    <w:rsid w:val="003F5742"/>
    <w:rsid w:val="003F59A4"/>
    <w:rsid w:val="003F5AD2"/>
    <w:rsid w:val="003F5AF3"/>
    <w:rsid w:val="003F5B1B"/>
    <w:rsid w:val="003F5BA8"/>
    <w:rsid w:val="003F5C8E"/>
    <w:rsid w:val="003F5CA4"/>
    <w:rsid w:val="003F5E7D"/>
    <w:rsid w:val="003F5ED4"/>
    <w:rsid w:val="003F5FB6"/>
    <w:rsid w:val="003F62E0"/>
    <w:rsid w:val="003F62E5"/>
    <w:rsid w:val="003F682C"/>
    <w:rsid w:val="003F6895"/>
    <w:rsid w:val="003F6D50"/>
    <w:rsid w:val="003F7006"/>
    <w:rsid w:val="003F7024"/>
    <w:rsid w:val="003F73D1"/>
    <w:rsid w:val="003F7507"/>
    <w:rsid w:val="003F779F"/>
    <w:rsid w:val="003F7AFA"/>
    <w:rsid w:val="003F7C72"/>
    <w:rsid w:val="003F7D10"/>
    <w:rsid w:val="003F7F57"/>
    <w:rsid w:val="004007AB"/>
    <w:rsid w:val="00400D75"/>
    <w:rsid w:val="00400D87"/>
    <w:rsid w:val="00400FFB"/>
    <w:rsid w:val="00401000"/>
    <w:rsid w:val="004015F5"/>
    <w:rsid w:val="004016C6"/>
    <w:rsid w:val="0040179A"/>
    <w:rsid w:val="00401856"/>
    <w:rsid w:val="00401AC2"/>
    <w:rsid w:val="00401B38"/>
    <w:rsid w:val="00401C0F"/>
    <w:rsid w:val="00401C3E"/>
    <w:rsid w:val="00401D72"/>
    <w:rsid w:val="00401E3F"/>
    <w:rsid w:val="004023E1"/>
    <w:rsid w:val="004028A2"/>
    <w:rsid w:val="0040297A"/>
    <w:rsid w:val="004029C5"/>
    <w:rsid w:val="00402B45"/>
    <w:rsid w:val="00402BAC"/>
    <w:rsid w:val="00402CB6"/>
    <w:rsid w:val="00402CF8"/>
    <w:rsid w:val="00402E77"/>
    <w:rsid w:val="00402F82"/>
    <w:rsid w:val="00402FCA"/>
    <w:rsid w:val="00402FEB"/>
    <w:rsid w:val="0040307F"/>
    <w:rsid w:val="00403148"/>
    <w:rsid w:val="00403344"/>
    <w:rsid w:val="004035B1"/>
    <w:rsid w:val="00403796"/>
    <w:rsid w:val="004037C6"/>
    <w:rsid w:val="00403A2A"/>
    <w:rsid w:val="00403B34"/>
    <w:rsid w:val="00403C82"/>
    <w:rsid w:val="00404503"/>
    <w:rsid w:val="004045DA"/>
    <w:rsid w:val="00404ADD"/>
    <w:rsid w:val="00404C44"/>
    <w:rsid w:val="00404D32"/>
    <w:rsid w:val="00404EE8"/>
    <w:rsid w:val="00405070"/>
    <w:rsid w:val="0040510D"/>
    <w:rsid w:val="0040512D"/>
    <w:rsid w:val="004055DA"/>
    <w:rsid w:val="0040572E"/>
    <w:rsid w:val="00405A82"/>
    <w:rsid w:val="00405BB0"/>
    <w:rsid w:val="0040602F"/>
    <w:rsid w:val="00406354"/>
    <w:rsid w:val="004064FF"/>
    <w:rsid w:val="00406566"/>
    <w:rsid w:val="0040656B"/>
    <w:rsid w:val="004065BB"/>
    <w:rsid w:val="0040668A"/>
    <w:rsid w:val="004068CD"/>
    <w:rsid w:val="004069EA"/>
    <w:rsid w:val="00406AFB"/>
    <w:rsid w:val="00406BB0"/>
    <w:rsid w:val="00406BE6"/>
    <w:rsid w:val="00406EEA"/>
    <w:rsid w:val="0040709D"/>
    <w:rsid w:val="00407330"/>
    <w:rsid w:val="00407382"/>
    <w:rsid w:val="0040791B"/>
    <w:rsid w:val="00407AEC"/>
    <w:rsid w:val="00407B6E"/>
    <w:rsid w:val="00407C64"/>
    <w:rsid w:val="00407CEA"/>
    <w:rsid w:val="00407D02"/>
    <w:rsid w:val="00407D65"/>
    <w:rsid w:val="00407E90"/>
    <w:rsid w:val="004103A8"/>
    <w:rsid w:val="0041049F"/>
    <w:rsid w:val="0041052C"/>
    <w:rsid w:val="00410730"/>
    <w:rsid w:val="00410AD3"/>
    <w:rsid w:val="00411171"/>
    <w:rsid w:val="0041123C"/>
    <w:rsid w:val="0041145D"/>
    <w:rsid w:val="004116A8"/>
    <w:rsid w:val="00411773"/>
    <w:rsid w:val="004118AA"/>
    <w:rsid w:val="00411958"/>
    <w:rsid w:val="00411A2C"/>
    <w:rsid w:val="00411A65"/>
    <w:rsid w:val="00411B19"/>
    <w:rsid w:val="00411B2A"/>
    <w:rsid w:val="00411E94"/>
    <w:rsid w:val="00412108"/>
    <w:rsid w:val="00412354"/>
    <w:rsid w:val="00412829"/>
    <w:rsid w:val="00412973"/>
    <w:rsid w:val="00412D42"/>
    <w:rsid w:val="00412DA4"/>
    <w:rsid w:val="00412E6A"/>
    <w:rsid w:val="00412EB2"/>
    <w:rsid w:val="00412EB6"/>
    <w:rsid w:val="0041351F"/>
    <w:rsid w:val="004137C6"/>
    <w:rsid w:val="004137C8"/>
    <w:rsid w:val="0041380A"/>
    <w:rsid w:val="004139CB"/>
    <w:rsid w:val="00413BF9"/>
    <w:rsid w:val="00413C25"/>
    <w:rsid w:val="00413F23"/>
    <w:rsid w:val="00414459"/>
    <w:rsid w:val="004145A3"/>
    <w:rsid w:val="004147AB"/>
    <w:rsid w:val="004149E6"/>
    <w:rsid w:val="00414B7B"/>
    <w:rsid w:val="00414BD8"/>
    <w:rsid w:val="00414C6F"/>
    <w:rsid w:val="00414CD2"/>
    <w:rsid w:val="00415003"/>
    <w:rsid w:val="004152AD"/>
    <w:rsid w:val="004153B7"/>
    <w:rsid w:val="00415531"/>
    <w:rsid w:val="004156FD"/>
    <w:rsid w:val="00415710"/>
    <w:rsid w:val="00415922"/>
    <w:rsid w:val="00415AB8"/>
    <w:rsid w:val="00415DA9"/>
    <w:rsid w:val="00416154"/>
    <w:rsid w:val="004162F9"/>
    <w:rsid w:val="00416330"/>
    <w:rsid w:val="004166FC"/>
    <w:rsid w:val="0041671E"/>
    <w:rsid w:val="0041684D"/>
    <w:rsid w:val="00416DA5"/>
    <w:rsid w:val="004172A3"/>
    <w:rsid w:val="00417359"/>
    <w:rsid w:val="004176C7"/>
    <w:rsid w:val="00417877"/>
    <w:rsid w:val="00417947"/>
    <w:rsid w:val="00417A93"/>
    <w:rsid w:val="00417BA0"/>
    <w:rsid w:val="00417D9F"/>
    <w:rsid w:val="00420229"/>
    <w:rsid w:val="00420667"/>
    <w:rsid w:val="00420770"/>
    <w:rsid w:val="004209B0"/>
    <w:rsid w:val="004209E5"/>
    <w:rsid w:val="00420BEA"/>
    <w:rsid w:val="00420DBA"/>
    <w:rsid w:val="00421225"/>
    <w:rsid w:val="00421311"/>
    <w:rsid w:val="00421608"/>
    <w:rsid w:val="0042193C"/>
    <w:rsid w:val="00422001"/>
    <w:rsid w:val="00422129"/>
    <w:rsid w:val="00422673"/>
    <w:rsid w:val="00422E13"/>
    <w:rsid w:val="00422EF6"/>
    <w:rsid w:val="00422FDD"/>
    <w:rsid w:val="00423289"/>
    <w:rsid w:val="004234DA"/>
    <w:rsid w:val="0042350F"/>
    <w:rsid w:val="00423599"/>
    <w:rsid w:val="00423615"/>
    <w:rsid w:val="004236D5"/>
    <w:rsid w:val="0042384C"/>
    <w:rsid w:val="00423893"/>
    <w:rsid w:val="00423BC9"/>
    <w:rsid w:val="00423D4F"/>
    <w:rsid w:val="00423DE0"/>
    <w:rsid w:val="00424108"/>
    <w:rsid w:val="00424153"/>
    <w:rsid w:val="00424267"/>
    <w:rsid w:val="0042469B"/>
    <w:rsid w:val="004248CF"/>
    <w:rsid w:val="00424A1B"/>
    <w:rsid w:val="00425038"/>
    <w:rsid w:val="0042526A"/>
    <w:rsid w:val="004255B4"/>
    <w:rsid w:val="0042573C"/>
    <w:rsid w:val="00425A3F"/>
    <w:rsid w:val="00425C54"/>
    <w:rsid w:val="0042627B"/>
    <w:rsid w:val="004264F7"/>
    <w:rsid w:val="00426766"/>
    <w:rsid w:val="004267D0"/>
    <w:rsid w:val="00426815"/>
    <w:rsid w:val="00426C49"/>
    <w:rsid w:val="00426D44"/>
    <w:rsid w:val="0042726A"/>
    <w:rsid w:val="0042728B"/>
    <w:rsid w:val="004273A6"/>
    <w:rsid w:val="00427595"/>
    <w:rsid w:val="004276B3"/>
    <w:rsid w:val="004276CD"/>
    <w:rsid w:val="004276F1"/>
    <w:rsid w:val="004279CA"/>
    <w:rsid w:val="00427A82"/>
    <w:rsid w:val="00427E9B"/>
    <w:rsid w:val="00427EA2"/>
    <w:rsid w:val="00427F90"/>
    <w:rsid w:val="00430115"/>
    <w:rsid w:val="004304A9"/>
    <w:rsid w:val="00430965"/>
    <w:rsid w:val="004309F2"/>
    <w:rsid w:val="00430A4B"/>
    <w:rsid w:val="00430AF2"/>
    <w:rsid w:val="00430B8F"/>
    <w:rsid w:val="00430BD9"/>
    <w:rsid w:val="00430FEF"/>
    <w:rsid w:val="0043108B"/>
    <w:rsid w:val="0043108C"/>
    <w:rsid w:val="00431129"/>
    <w:rsid w:val="0043124E"/>
    <w:rsid w:val="004312E9"/>
    <w:rsid w:val="0043135D"/>
    <w:rsid w:val="00431622"/>
    <w:rsid w:val="00431C46"/>
    <w:rsid w:val="00431DB6"/>
    <w:rsid w:val="00432469"/>
    <w:rsid w:val="004326A3"/>
    <w:rsid w:val="0043275F"/>
    <w:rsid w:val="004327E4"/>
    <w:rsid w:val="004327E6"/>
    <w:rsid w:val="004329DC"/>
    <w:rsid w:val="00432AC6"/>
    <w:rsid w:val="00432AD7"/>
    <w:rsid w:val="00432CD9"/>
    <w:rsid w:val="00432D4C"/>
    <w:rsid w:val="00432D9C"/>
    <w:rsid w:val="00433AF1"/>
    <w:rsid w:val="0043403A"/>
    <w:rsid w:val="00434093"/>
    <w:rsid w:val="004341CD"/>
    <w:rsid w:val="004344C9"/>
    <w:rsid w:val="00434786"/>
    <w:rsid w:val="004347A7"/>
    <w:rsid w:val="00434822"/>
    <w:rsid w:val="00434950"/>
    <w:rsid w:val="00434C11"/>
    <w:rsid w:val="00434C5E"/>
    <w:rsid w:val="004352F1"/>
    <w:rsid w:val="0043547F"/>
    <w:rsid w:val="00435765"/>
    <w:rsid w:val="004359DD"/>
    <w:rsid w:val="00435C15"/>
    <w:rsid w:val="00435CF8"/>
    <w:rsid w:val="00435DC8"/>
    <w:rsid w:val="004360B6"/>
    <w:rsid w:val="0043619D"/>
    <w:rsid w:val="004362DB"/>
    <w:rsid w:val="004362E5"/>
    <w:rsid w:val="00436356"/>
    <w:rsid w:val="004364CC"/>
    <w:rsid w:val="004364FA"/>
    <w:rsid w:val="0043662D"/>
    <w:rsid w:val="004366BA"/>
    <w:rsid w:val="00436A22"/>
    <w:rsid w:val="00436E8A"/>
    <w:rsid w:val="0043703B"/>
    <w:rsid w:val="0043703C"/>
    <w:rsid w:val="004370B0"/>
    <w:rsid w:val="00437391"/>
    <w:rsid w:val="00437428"/>
    <w:rsid w:val="0043781A"/>
    <w:rsid w:val="00437B96"/>
    <w:rsid w:val="00437BC4"/>
    <w:rsid w:val="00437CA6"/>
    <w:rsid w:val="00437EE2"/>
    <w:rsid w:val="00437FC0"/>
    <w:rsid w:val="004401D8"/>
    <w:rsid w:val="004402D0"/>
    <w:rsid w:val="004406E1"/>
    <w:rsid w:val="00440722"/>
    <w:rsid w:val="0044079B"/>
    <w:rsid w:val="004409A4"/>
    <w:rsid w:val="00440E46"/>
    <w:rsid w:val="00440F7A"/>
    <w:rsid w:val="004410B4"/>
    <w:rsid w:val="0044116E"/>
    <w:rsid w:val="004411AF"/>
    <w:rsid w:val="0044138F"/>
    <w:rsid w:val="004414FA"/>
    <w:rsid w:val="00441B43"/>
    <w:rsid w:val="00441B63"/>
    <w:rsid w:val="00441BD2"/>
    <w:rsid w:val="00441D7D"/>
    <w:rsid w:val="00441DD7"/>
    <w:rsid w:val="004425D9"/>
    <w:rsid w:val="004427ED"/>
    <w:rsid w:val="00442822"/>
    <w:rsid w:val="00442B21"/>
    <w:rsid w:val="00442BBF"/>
    <w:rsid w:val="00442EDD"/>
    <w:rsid w:val="00443023"/>
    <w:rsid w:val="0044302A"/>
    <w:rsid w:val="0044315F"/>
    <w:rsid w:val="00443244"/>
    <w:rsid w:val="004437D9"/>
    <w:rsid w:val="004438F8"/>
    <w:rsid w:val="004439EA"/>
    <w:rsid w:val="004439FF"/>
    <w:rsid w:val="00443D28"/>
    <w:rsid w:val="0044445D"/>
    <w:rsid w:val="00444735"/>
    <w:rsid w:val="004447E3"/>
    <w:rsid w:val="00444912"/>
    <w:rsid w:val="00444969"/>
    <w:rsid w:val="00444AF6"/>
    <w:rsid w:val="00444B17"/>
    <w:rsid w:val="00444E2C"/>
    <w:rsid w:val="004450D2"/>
    <w:rsid w:val="0044519D"/>
    <w:rsid w:val="00445464"/>
    <w:rsid w:val="00445544"/>
    <w:rsid w:val="0044567C"/>
    <w:rsid w:val="0044579B"/>
    <w:rsid w:val="00445813"/>
    <w:rsid w:val="004459DD"/>
    <w:rsid w:val="00445AC5"/>
    <w:rsid w:val="00445C0B"/>
    <w:rsid w:val="00445D7E"/>
    <w:rsid w:val="00446195"/>
    <w:rsid w:val="0044628A"/>
    <w:rsid w:val="004463CE"/>
    <w:rsid w:val="004464CF"/>
    <w:rsid w:val="004465B4"/>
    <w:rsid w:val="00446690"/>
    <w:rsid w:val="00446A11"/>
    <w:rsid w:val="00446DB9"/>
    <w:rsid w:val="004470E8"/>
    <w:rsid w:val="00447578"/>
    <w:rsid w:val="00447CD0"/>
    <w:rsid w:val="00447FC2"/>
    <w:rsid w:val="00450293"/>
    <w:rsid w:val="004502F4"/>
    <w:rsid w:val="0045067F"/>
    <w:rsid w:val="004506F4"/>
    <w:rsid w:val="0045081B"/>
    <w:rsid w:val="00450881"/>
    <w:rsid w:val="004509D1"/>
    <w:rsid w:val="00450A42"/>
    <w:rsid w:val="00450B3D"/>
    <w:rsid w:val="00450C38"/>
    <w:rsid w:val="00450CD2"/>
    <w:rsid w:val="004513A5"/>
    <w:rsid w:val="004515C1"/>
    <w:rsid w:val="00451A13"/>
    <w:rsid w:val="00451C53"/>
    <w:rsid w:val="00451D50"/>
    <w:rsid w:val="004522D9"/>
    <w:rsid w:val="004526CB"/>
    <w:rsid w:val="0045275E"/>
    <w:rsid w:val="00452CE2"/>
    <w:rsid w:val="00452D66"/>
    <w:rsid w:val="00452E0E"/>
    <w:rsid w:val="00452E8F"/>
    <w:rsid w:val="00452EC4"/>
    <w:rsid w:val="00453229"/>
    <w:rsid w:val="00453340"/>
    <w:rsid w:val="004533E0"/>
    <w:rsid w:val="00453775"/>
    <w:rsid w:val="0045377A"/>
    <w:rsid w:val="00453890"/>
    <w:rsid w:val="004538B1"/>
    <w:rsid w:val="00453A6F"/>
    <w:rsid w:val="00453EA4"/>
    <w:rsid w:val="00454380"/>
    <w:rsid w:val="004543E0"/>
    <w:rsid w:val="00454443"/>
    <w:rsid w:val="004545C7"/>
    <w:rsid w:val="0045470C"/>
    <w:rsid w:val="00454751"/>
    <w:rsid w:val="00454A65"/>
    <w:rsid w:val="004551DF"/>
    <w:rsid w:val="004552C8"/>
    <w:rsid w:val="0045536C"/>
    <w:rsid w:val="004554A0"/>
    <w:rsid w:val="004554B2"/>
    <w:rsid w:val="0045568C"/>
    <w:rsid w:val="004556B4"/>
    <w:rsid w:val="004558FF"/>
    <w:rsid w:val="004559DA"/>
    <w:rsid w:val="00455A07"/>
    <w:rsid w:val="00455AEB"/>
    <w:rsid w:val="00455C79"/>
    <w:rsid w:val="00455FF5"/>
    <w:rsid w:val="0045603C"/>
    <w:rsid w:val="00456053"/>
    <w:rsid w:val="00456068"/>
    <w:rsid w:val="0045610E"/>
    <w:rsid w:val="00456551"/>
    <w:rsid w:val="00456594"/>
    <w:rsid w:val="00456599"/>
    <w:rsid w:val="00456664"/>
    <w:rsid w:val="00456896"/>
    <w:rsid w:val="00456ADA"/>
    <w:rsid w:val="00456B0D"/>
    <w:rsid w:val="00456FD1"/>
    <w:rsid w:val="0045702D"/>
    <w:rsid w:val="00457135"/>
    <w:rsid w:val="00457614"/>
    <w:rsid w:val="0045770D"/>
    <w:rsid w:val="00457723"/>
    <w:rsid w:val="004577D3"/>
    <w:rsid w:val="0045790F"/>
    <w:rsid w:val="00457B8D"/>
    <w:rsid w:val="00457D63"/>
    <w:rsid w:val="00457E21"/>
    <w:rsid w:val="00457FAC"/>
    <w:rsid w:val="0046002D"/>
    <w:rsid w:val="0046007E"/>
    <w:rsid w:val="004601F9"/>
    <w:rsid w:val="0046024B"/>
    <w:rsid w:val="004606AF"/>
    <w:rsid w:val="0046096E"/>
    <w:rsid w:val="0046098B"/>
    <w:rsid w:val="004609F8"/>
    <w:rsid w:val="00460CFB"/>
    <w:rsid w:val="00460DDC"/>
    <w:rsid w:val="00460E36"/>
    <w:rsid w:val="004610EA"/>
    <w:rsid w:val="0046110F"/>
    <w:rsid w:val="00461123"/>
    <w:rsid w:val="00461155"/>
    <w:rsid w:val="00461412"/>
    <w:rsid w:val="0046144A"/>
    <w:rsid w:val="00461BE9"/>
    <w:rsid w:val="00461C62"/>
    <w:rsid w:val="00461CA9"/>
    <w:rsid w:val="00461E76"/>
    <w:rsid w:val="0046218C"/>
    <w:rsid w:val="004623D4"/>
    <w:rsid w:val="0046278D"/>
    <w:rsid w:val="00462D29"/>
    <w:rsid w:val="00462F2F"/>
    <w:rsid w:val="0046323F"/>
    <w:rsid w:val="0046333A"/>
    <w:rsid w:val="004633B5"/>
    <w:rsid w:val="00463582"/>
    <w:rsid w:val="00463640"/>
    <w:rsid w:val="00463662"/>
    <w:rsid w:val="00463944"/>
    <w:rsid w:val="00463D04"/>
    <w:rsid w:val="00463D4E"/>
    <w:rsid w:val="00463E1E"/>
    <w:rsid w:val="00463F83"/>
    <w:rsid w:val="00464348"/>
    <w:rsid w:val="0046451A"/>
    <w:rsid w:val="00464985"/>
    <w:rsid w:val="00464F27"/>
    <w:rsid w:val="0046512A"/>
    <w:rsid w:val="00465234"/>
    <w:rsid w:val="0046524B"/>
    <w:rsid w:val="004656F6"/>
    <w:rsid w:val="00465AF7"/>
    <w:rsid w:val="00465B24"/>
    <w:rsid w:val="00465BA4"/>
    <w:rsid w:val="00465DB5"/>
    <w:rsid w:val="00465FC8"/>
    <w:rsid w:val="0046621B"/>
    <w:rsid w:val="00466509"/>
    <w:rsid w:val="00466550"/>
    <w:rsid w:val="004666CF"/>
    <w:rsid w:val="004667D2"/>
    <w:rsid w:val="00466858"/>
    <w:rsid w:val="00466D0F"/>
    <w:rsid w:val="00466E43"/>
    <w:rsid w:val="00466E93"/>
    <w:rsid w:val="00466F02"/>
    <w:rsid w:val="00467131"/>
    <w:rsid w:val="00467267"/>
    <w:rsid w:val="004672A4"/>
    <w:rsid w:val="004674D5"/>
    <w:rsid w:val="00467544"/>
    <w:rsid w:val="004676BA"/>
    <w:rsid w:val="00467745"/>
    <w:rsid w:val="004677E8"/>
    <w:rsid w:val="0046784C"/>
    <w:rsid w:val="00467879"/>
    <w:rsid w:val="00467A06"/>
    <w:rsid w:val="00467BA0"/>
    <w:rsid w:val="00467E24"/>
    <w:rsid w:val="00467E83"/>
    <w:rsid w:val="00467ECB"/>
    <w:rsid w:val="00470395"/>
    <w:rsid w:val="004703DA"/>
    <w:rsid w:val="0047041E"/>
    <w:rsid w:val="00470602"/>
    <w:rsid w:val="004709CD"/>
    <w:rsid w:val="004709DB"/>
    <w:rsid w:val="00470B0C"/>
    <w:rsid w:val="00470C00"/>
    <w:rsid w:val="00470C6D"/>
    <w:rsid w:val="00470D9B"/>
    <w:rsid w:val="00471012"/>
    <w:rsid w:val="004710C3"/>
    <w:rsid w:val="004711D0"/>
    <w:rsid w:val="00471245"/>
    <w:rsid w:val="0047130E"/>
    <w:rsid w:val="004713CB"/>
    <w:rsid w:val="00471459"/>
    <w:rsid w:val="0047173F"/>
    <w:rsid w:val="00471A7C"/>
    <w:rsid w:val="00471BF1"/>
    <w:rsid w:val="00471CC4"/>
    <w:rsid w:val="00471F62"/>
    <w:rsid w:val="00472274"/>
    <w:rsid w:val="004722D4"/>
    <w:rsid w:val="00472793"/>
    <w:rsid w:val="004727FE"/>
    <w:rsid w:val="00472818"/>
    <w:rsid w:val="00472AA6"/>
    <w:rsid w:val="00472BFF"/>
    <w:rsid w:val="00472C44"/>
    <w:rsid w:val="00472D8F"/>
    <w:rsid w:val="00472D9C"/>
    <w:rsid w:val="00472DC9"/>
    <w:rsid w:val="00472F6D"/>
    <w:rsid w:val="004734DD"/>
    <w:rsid w:val="00473511"/>
    <w:rsid w:val="0047389E"/>
    <w:rsid w:val="0047394B"/>
    <w:rsid w:val="004739AB"/>
    <w:rsid w:val="00473B60"/>
    <w:rsid w:val="00473D54"/>
    <w:rsid w:val="0047418C"/>
    <w:rsid w:val="0047421F"/>
    <w:rsid w:val="00474318"/>
    <w:rsid w:val="004743D2"/>
    <w:rsid w:val="004744AD"/>
    <w:rsid w:val="00474B5E"/>
    <w:rsid w:val="00474BCA"/>
    <w:rsid w:val="00474CFF"/>
    <w:rsid w:val="00474DD0"/>
    <w:rsid w:val="00474E42"/>
    <w:rsid w:val="004750B3"/>
    <w:rsid w:val="00475365"/>
    <w:rsid w:val="00475813"/>
    <w:rsid w:val="00475AFF"/>
    <w:rsid w:val="00475B58"/>
    <w:rsid w:val="00475B5D"/>
    <w:rsid w:val="00475B5F"/>
    <w:rsid w:val="00475D30"/>
    <w:rsid w:val="00475FFC"/>
    <w:rsid w:val="00476024"/>
    <w:rsid w:val="0047610B"/>
    <w:rsid w:val="00476182"/>
    <w:rsid w:val="004765F4"/>
    <w:rsid w:val="004768AD"/>
    <w:rsid w:val="00476B4D"/>
    <w:rsid w:val="00476B54"/>
    <w:rsid w:val="00476CBC"/>
    <w:rsid w:val="00476E1D"/>
    <w:rsid w:val="00476E6C"/>
    <w:rsid w:val="00476E8D"/>
    <w:rsid w:val="00476F1A"/>
    <w:rsid w:val="004771ED"/>
    <w:rsid w:val="00477282"/>
    <w:rsid w:val="00477832"/>
    <w:rsid w:val="00477947"/>
    <w:rsid w:val="00477C15"/>
    <w:rsid w:val="00477EC7"/>
    <w:rsid w:val="00480176"/>
    <w:rsid w:val="0048084F"/>
    <w:rsid w:val="00480A8F"/>
    <w:rsid w:val="00480FA1"/>
    <w:rsid w:val="004816A1"/>
    <w:rsid w:val="00481753"/>
    <w:rsid w:val="00481FD7"/>
    <w:rsid w:val="0048271F"/>
    <w:rsid w:val="004827B2"/>
    <w:rsid w:val="00482A6C"/>
    <w:rsid w:val="00482AA9"/>
    <w:rsid w:val="00482DE5"/>
    <w:rsid w:val="00483264"/>
    <w:rsid w:val="00483266"/>
    <w:rsid w:val="0048328A"/>
    <w:rsid w:val="004834B9"/>
    <w:rsid w:val="0048352E"/>
    <w:rsid w:val="004836A9"/>
    <w:rsid w:val="00483937"/>
    <w:rsid w:val="004839CD"/>
    <w:rsid w:val="00483B23"/>
    <w:rsid w:val="00483CF4"/>
    <w:rsid w:val="00483E49"/>
    <w:rsid w:val="00483FD8"/>
    <w:rsid w:val="004840D7"/>
    <w:rsid w:val="00484517"/>
    <w:rsid w:val="004846F4"/>
    <w:rsid w:val="00484B14"/>
    <w:rsid w:val="00484C3E"/>
    <w:rsid w:val="0048505C"/>
    <w:rsid w:val="0048511A"/>
    <w:rsid w:val="00485137"/>
    <w:rsid w:val="0048559C"/>
    <w:rsid w:val="0048570F"/>
    <w:rsid w:val="004858D7"/>
    <w:rsid w:val="00485B96"/>
    <w:rsid w:val="00485C26"/>
    <w:rsid w:val="00485D1D"/>
    <w:rsid w:val="00485EC0"/>
    <w:rsid w:val="00485ECF"/>
    <w:rsid w:val="004866AE"/>
    <w:rsid w:val="00487006"/>
    <w:rsid w:val="0048721C"/>
    <w:rsid w:val="004875E1"/>
    <w:rsid w:val="00487812"/>
    <w:rsid w:val="00487B37"/>
    <w:rsid w:val="00487CA5"/>
    <w:rsid w:val="00487E9D"/>
    <w:rsid w:val="00487FFB"/>
    <w:rsid w:val="00490066"/>
    <w:rsid w:val="00490273"/>
    <w:rsid w:val="00490409"/>
    <w:rsid w:val="00490558"/>
    <w:rsid w:val="00490636"/>
    <w:rsid w:val="00490A39"/>
    <w:rsid w:val="00490A77"/>
    <w:rsid w:val="00490B2D"/>
    <w:rsid w:val="00490C38"/>
    <w:rsid w:val="00490FF0"/>
    <w:rsid w:val="004910FE"/>
    <w:rsid w:val="00491135"/>
    <w:rsid w:val="00491198"/>
    <w:rsid w:val="0049168A"/>
    <w:rsid w:val="00491741"/>
    <w:rsid w:val="004917E0"/>
    <w:rsid w:val="00491B7D"/>
    <w:rsid w:val="00491BF6"/>
    <w:rsid w:val="00491E93"/>
    <w:rsid w:val="00491F05"/>
    <w:rsid w:val="00491F14"/>
    <w:rsid w:val="00491FED"/>
    <w:rsid w:val="00492D76"/>
    <w:rsid w:val="00492DA6"/>
    <w:rsid w:val="00492F82"/>
    <w:rsid w:val="004937E6"/>
    <w:rsid w:val="004938E5"/>
    <w:rsid w:val="00493A17"/>
    <w:rsid w:val="0049403C"/>
    <w:rsid w:val="004940C9"/>
    <w:rsid w:val="00494288"/>
    <w:rsid w:val="004943C2"/>
    <w:rsid w:val="00494592"/>
    <w:rsid w:val="00494918"/>
    <w:rsid w:val="0049493C"/>
    <w:rsid w:val="00494B8F"/>
    <w:rsid w:val="00494C65"/>
    <w:rsid w:val="00494F0C"/>
    <w:rsid w:val="00495197"/>
    <w:rsid w:val="004952E9"/>
    <w:rsid w:val="00495509"/>
    <w:rsid w:val="00495557"/>
    <w:rsid w:val="004957CA"/>
    <w:rsid w:val="00495BC9"/>
    <w:rsid w:val="0049618D"/>
    <w:rsid w:val="004965EF"/>
    <w:rsid w:val="0049676E"/>
    <w:rsid w:val="0049681C"/>
    <w:rsid w:val="00496B72"/>
    <w:rsid w:val="00496FCB"/>
    <w:rsid w:val="0049719D"/>
    <w:rsid w:val="00497727"/>
    <w:rsid w:val="00497790"/>
    <w:rsid w:val="00497A59"/>
    <w:rsid w:val="00497B73"/>
    <w:rsid w:val="00497D4A"/>
    <w:rsid w:val="00497FCD"/>
    <w:rsid w:val="004A0201"/>
    <w:rsid w:val="004A0282"/>
    <w:rsid w:val="004A02C9"/>
    <w:rsid w:val="004A0731"/>
    <w:rsid w:val="004A075C"/>
    <w:rsid w:val="004A084E"/>
    <w:rsid w:val="004A0A52"/>
    <w:rsid w:val="004A0D1E"/>
    <w:rsid w:val="004A0E66"/>
    <w:rsid w:val="004A0EE5"/>
    <w:rsid w:val="004A0EEC"/>
    <w:rsid w:val="004A0FB0"/>
    <w:rsid w:val="004A130F"/>
    <w:rsid w:val="004A17EF"/>
    <w:rsid w:val="004A1909"/>
    <w:rsid w:val="004A1AFD"/>
    <w:rsid w:val="004A1BDA"/>
    <w:rsid w:val="004A2017"/>
    <w:rsid w:val="004A2036"/>
    <w:rsid w:val="004A22BA"/>
    <w:rsid w:val="004A22DA"/>
    <w:rsid w:val="004A2700"/>
    <w:rsid w:val="004A2767"/>
    <w:rsid w:val="004A278E"/>
    <w:rsid w:val="004A27BE"/>
    <w:rsid w:val="004A292B"/>
    <w:rsid w:val="004A29B9"/>
    <w:rsid w:val="004A2EFB"/>
    <w:rsid w:val="004A321C"/>
    <w:rsid w:val="004A33B9"/>
    <w:rsid w:val="004A34EA"/>
    <w:rsid w:val="004A350F"/>
    <w:rsid w:val="004A36C8"/>
    <w:rsid w:val="004A3721"/>
    <w:rsid w:val="004A3742"/>
    <w:rsid w:val="004A37B8"/>
    <w:rsid w:val="004A39AD"/>
    <w:rsid w:val="004A3A3A"/>
    <w:rsid w:val="004A3AD5"/>
    <w:rsid w:val="004A3AFE"/>
    <w:rsid w:val="004A3CAE"/>
    <w:rsid w:val="004A3ED3"/>
    <w:rsid w:val="004A3F30"/>
    <w:rsid w:val="004A41D6"/>
    <w:rsid w:val="004A47BC"/>
    <w:rsid w:val="004A493D"/>
    <w:rsid w:val="004A4AC6"/>
    <w:rsid w:val="004A4C16"/>
    <w:rsid w:val="004A5102"/>
    <w:rsid w:val="004A539A"/>
    <w:rsid w:val="004A5535"/>
    <w:rsid w:val="004A5555"/>
    <w:rsid w:val="004A5662"/>
    <w:rsid w:val="004A57AE"/>
    <w:rsid w:val="004A58FB"/>
    <w:rsid w:val="004A5B3E"/>
    <w:rsid w:val="004A5CB0"/>
    <w:rsid w:val="004A603E"/>
    <w:rsid w:val="004A623F"/>
    <w:rsid w:val="004A62CB"/>
    <w:rsid w:val="004A6949"/>
    <w:rsid w:val="004A6D56"/>
    <w:rsid w:val="004A6F2C"/>
    <w:rsid w:val="004A6FB7"/>
    <w:rsid w:val="004A741A"/>
    <w:rsid w:val="004A7515"/>
    <w:rsid w:val="004A75F0"/>
    <w:rsid w:val="004A7C14"/>
    <w:rsid w:val="004A7C28"/>
    <w:rsid w:val="004A7EBF"/>
    <w:rsid w:val="004B023C"/>
    <w:rsid w:val="004B035C"/>
    <w:rsid w:val="004B0393"/>
    <w:rsid w:val="004B043C"/>
    <w:rsid w:val="004B0496"/>
    <w:rsid w:val="004B0729"/>
    <w:rsid w:val="004B0BA5"/>
    <w:rsid w:val="004B0ECF"/>
    <w:rsid w:val="004B10C9"/>
    <w:rsid w:val="004B1199"/>
    <w:rsid w:val="004B11C5"/>
    <w:rsid w:val="004B12D8"/>
    <w:rsid w:val="004B1486"/>
    <w:rsid w:val="004B1687"/>
    <w:rsid w:val="004B16C4"/>
    <w:rsid w:val="004B1744"/>
    <w:rsid w:val="004B1867"/>
    <w:rsid w:val="004B18F2"/>
    <w:rsid w:val="004B1911"/>
    <w:rsid w:val="004B1B0C"/>
    <w:rsid w:val="004B2067"/>
    <w:rsid w:val="004B2086"/>
    <w:rsid w:val="004B23B4"/>
    <w:rsid w:val="004B293C"/>
    <w:rsid w:val="004B2A64"/>
    <w:rsid w:val="004B2C5D"/>
    <w:rsid w:val="004B2D6B"/>
    <w:rsid w:val="004B2FB9"/>
    <w:rsid w:val="004B2FDD"/>
    <w:rsid w:val="004B3191"/>
    <w:rsid w:val="004B3371"/>
    <w:rsid w:val="004B375C"/>
    <w:rsid w:val="004B3AC2"/>
    <w:rsid w:val="004B3DFE"/>
    <w:rsid w:val="004B3F0D"/>
    <w:rsid w:val="004B41DA"/>
    <w:rsid w:val="004B43CA"/>
    <w:rsid w:val="004B469C"/>
    <w:rsid w:val="004B4702"/>
    <w:rsid w:val="004B470D"/>
    <w:rsid w:val="004B4764"/>
    <w:rsid w:val="004B4846"/>
    <w:rsid w:val="004B49D5"/>
    <w:rsid w:val="004B49E6"/>
    <w:rsid w:val="004B4B3F"/>
    <w:rsid w:val="004B4D1F"/>
    <w:rsid w:val="004B5015"/>
    <w:rsid w:val="004B5394"/>
    <w:rsid w:val="004B5601"/>
    <w:rsid w:val="004B5731"/>
    <w:rsid w:val="004B5AB0"/>
    <w:rsid w:val="004B5AB7"/>
    <w:rsid w:val="004B5BDD"/>
    <w:rsid w:val="004B600D"/>
    <w:rsid w:val="004B6076"/>
    <w:rsid w:val="004B6146"/>
    <w:rsid w:val="004B6210"/>
    <w:rsid w:val="004B6288"/>
    <w:rsid w:val="004B62D4"/>
    <w:rsid w:val="004B6461"/>
    <w:rsid w:val="004B6696"/>
    <w:rsid w:val="004B66E2"/>
    <w:rsid w:val="004B6BFF"/>
    <w:rsid w:val="004B6C72"/>
    <w:rsid w:val="004B6E9E"/>
    <w:rsid w:val="004B6F83"/>
    <w:rsid w:val="004B7062"/>
    <w:rsid w:val="004B70DF"/>
    <w:rsid w:val="004B717E"/>
    <w:rsid w:val="004B7305"/>
    <w:rsid w:val="004B737A"/>
    <w:rsid w:val="004B7479"/>
    <w:rsid w:val="004B79C7"/>
    <w:rsid w:val="004B7A6C"/>
    <w:rsid w:val="004B7C29"/>
    <w:rsid w:val="004B7E00"/>
    <w:rsid w:val="004B7EAD"/>
    <w:rsid w:val="004C00B4"/>
    <w:rsid w:val="004C037D"/>
    <w:rsid w:val="004C0442"/>
    <w:rsid w:val="004C06E5"/>
    <w:rsid w:val="004C0A56"/>
    <w:rsid w:val="004C0F09"/>
    <w:rsid w:val="004C0F3C"/>
    <w:rsid w:val="004C1237"/>
    <w:rsid w:val="004C15C7"/>
    <w:rsid w:val="004C16F4"/>
    <w:rsid w:val="004C1B7D"/>
    <w:rsid w:val="004C1E3C"/>
    <w:rsid w:val="004C2027"/>
    <w:rsid w:val="004C20AB"/>
    <w:rsid w:val="004C24AF"/>
    <w:rsid w:val="004C25F0"/>
    <w:rsid w:val="004C2637"/>
    <w:rsid w:val="004C26DD"/>
    <w:rsid w:val="004C2AA0"/>
    <w:rsid w:val="004C2B5D"/>
    <w:rsid w:val="004C2D68"/>
    <w:rsid w:val="004C2F56"/>
    <w:rsid w:val="004C3006"/>
    <w:rsid w:val="004C3118"/>
    <w:rsid w:val="004C32F4"/>
    <w:rsid w:val="004C332A"/>
    <w:rsid w:val="004C3351"/>
    <w:rsid w:val="004C339D"/>
    <w:rsid w:val="004C33E8"/>
    <w:rsid w:val="004C39F7"/>
    <w:rsid w:val="004C3BE8"/>
    <w:rsid w:val="004C3E56"/>
    <w:rsid w:val="004C3F88"/>
    <w:rsid w:val="004C4307"/>
    <w:rsid w:val="004C4309"/>
    <w:rsid w:val="004C435E"/>
    <w:rsid w:val="004C44C5"/>
    <w:rsid w:val="004C466A"/>
    <w:rsid w:val="004C46BA"/>
    <w:rsid w:val="004C4784"/>
    <w:rsid w:val="004C49E3"/>
    <w:rsid w:val="004C4CF1"/>
    <w:rsid w:val="004C4DEA"/>
    <w:rsid w:val="004C4E8A"/>
    <w:rsid w:val="004C4E93"/>
    <w:rsid w:val="004C514A"/>
    <w:rsid w:val="004C5282"/>
    <w:rsid w:val="004C53F7"/>
    <w:rsid w:val="004C5502"/>
    <w:rsid w:val="004C553E"/>
    <w:rsid w:val="004C579A"/>
    <w:rsid w:val="004C57A1"/>
    <w:rsid w:val="004C5B51"/>
    <w:rsid w:val="004C5BD3"/>
    <w:rsid w:val="004C5C67"/>
    <w:rsid w:val="004C5C72"/>
    <w:rsid w:val="004C613C"/>
    <w:rsid w:val="004C6247"/>
    <w:rsid w:val="004C63EB"/>
    <w:rsid w:val="004C6462"/>
    <w:rsid w:val="004C64D9"/>
    <w:rsid w:val="004C6572"/>
    <w:rsid w:val="004C6640"/>
    <w:rsid w:val="004C6BE3"/>
    <w:rsid w:val="004C6C0D"/>
    <w:rsid w:val="004C6D4F"/>
    <w:rsid w:val="004C7076"/>
    <w:rsid w:val="004C7083"/>
    <w:rsid w:val="004C726E"/>
    <w:rsid w:val="004C72DA"/>
    <w:rsid w:val="004C7541"/>
    <w:rsid w:val="004C7575"/>
    <w:rsid w:val="004C7653"/>
    <w:rsid w:val="004C76B0"/>
    <w:rsid w:val="004C7891"/>
    <w:rsid w:val="004C7894"/>
    <w:rsid w:val="004C7C91"/>
    <w:rsid w:val="004C7D30"/>
    <w:rsid w:val="004C7D3F"/>
    <w:rsid w:val="004C7DB7"/>
    <w:rsid w:val="004C7F83"/>
    <w:rsid w:val="004D001E"/>
    <w:rsid w:val="004D005C"/>
    <w:rsid w:val="004D00CB"/>
    <w:rsid w:val="004D0558"/>
    <w:rsid w:val="004D063C"/>
    <w:rsid w:val="004D0BA4"/>
    <w:rsid w:val="004D1816"/>
    <w:rsid w:val="004D1834"/>
    <w:rsid w:val="004D1915"/>
    <w:rsid w:val="004D1C78"/>
    <w:rsid w:val="004D1D44"/>
    <w:rsid w:val="004D1E4F"/>
    <w:rsid w:val="004D1E71"/>
    <w:rsid w:val="004D221F"/>
    <w:rsid w:val="004D25E7"/>
    <w:rsid w:val="004D26F7"/>
    <w:rsid w:val="004D2720"/>
    <w:rsid w:val="004D2809"/>
    <w:rsid w:val="004D2AEF"/>
    <w:rsid w:val="004D2CDF"/>
    <w:rsid w:val="004D308E"/>
    <w:rsid w:val="004D31B6"/>
    <w:rsid w:val="004D33CE"/>
    <w:rsid w:val="004D34EA"/>
    <w:rsid w:val="004D3B53"/>
    <w:rsid w:val="004D3D93"/>
    <w:rsid w:val="004D40C6"/>
    <w:rsid w:val="004D442B"/>
    <w:rsid w:val="004D44CC"/>
    <w:rsid w:val="004D4A3B"/>
    <w:rsid w:val="004D4A47"/>
    <w:rsid w:val="004D4AAE"/>
    <w:rsid w:val="004D50E1"/>
    <w:rsid w:val="004D57DE"/>
    <w:rsid w:val="004D581E"/>
    <w:rsid w:val="004D5BF9"/>
    <w:rsid w:val="004D5C06"/>
    <w:rsid w:val="004D61D8"/>
    <w:rsid w:val="004D6E2C"/>
    <w:rsid w:val="004D6E41"/>
    <w:rsid w:val="004D74A2"/>
    <w:rsid w:val="004D74E3"/>
    <w:rsid w:val="004D7613"/>
    <w:rsid w:val="004D7B83"/>
    <w:rsid w:val="004D7C86"/>
    <w:rsid w:val="004D7CC2"/>
    <w:rsid w:val="004D7CED"/>
    <w:rsid w:val="004D7D8F"/>
    <w:rsid w:val="004D7D9C"/>
    <w:rsid w:val="004D7DD0"/>
    <w:rsid w:val="004E0197"/>
    <w:rsid w:val="004E09E2"/>
    <w:rsid w:val="004E0C23"/>
    <w:rsid w:val="004E0D2D"/>
    <w:rsid w:val="004E0F1B"/>
    <w:rsid w:val="004E10C4"/>
    <w:rsid w:val="004E1122"/>
    <w:rsid w:val="004E1409"/>
    <w:rsid w:val="004E16EB"/>
    <w:rsid w:val="004E183C"/>
    <w:rsid w:val="004E1929"/>
    <w:rsid w:val="004E1A87"/>
    <w:rsid w:val="004E1BB0"/>
    <w:rsid w:val="004E1DC2"/>
    <w:rsid w:val="004E24DD"/>
    <w:rsid w:val="004E3030"/>
    <w:rsid w:val="004E309B"/>
    <w:rsid w:val="004E32B4"/>
    <w:rsid w:val="004E3311"/>
    <w:rsid w:val="004E332C"/>
    <w:rsid w:val="004E3809"/>
    <w:rsid w:val="004E38EC"/>
    <w:rsid w:val="004E3933"/>
    <w:rsid w:val="004E3D46"/>
    <w:rsid w:val="004E4082"/>
    <w:rsid w:val="004E430D"/>
    <w:rsid w:val="004E453E"/>
    <w:rsid w:val="004E4549"/>
    <w:rsid w:val="004E4645"/>
    <w:rsid w:val="004E46D3"/>
    <w:rsid w:val="004E470A"/>
    <w:rsid w:val="004E47A0"/>
    <w:rsid w:val="004E4AEC"/>
    <w:rsid w:val="004E4BBA"/>
    <w:rsid w:val="004E4C83"/>
    <w:rsid w:val="004E4D53"/>
    <w:rsid w:val="004E4D84"/>
    <w:rsid w:val="004E4EBC"/>
    <w:rsid w:val="004E50C8"/>
    <w:rsid w:val="004E5104"/>
    <w:rsid w:val="004E533E"/>
    <w:rsid w:val="004E57AC"/>
    <w:rsid w:val="004E58EE"/>
    <w:rsid w:val="004E59D4"/>
    <w:rsid w:val="004E5A19"/>
    <w:rsid w:val="004E5B06"/>
    <w:rsid w:val="004E5C60"/>
    <w:rsid w:val="004E5DB9"/>
    <w:rsid w:val="004E5FA8"/>
    <w:rsid w:val="004E60F0"/>
    <w:rsid w:val="004E62F1"/>
    <w:rsid w:val="004E6661"/>
    <w:rsid w:val="004E684C"/>
    <w:rsid w:val="004E6FF1"/>
    <w:rsid w:val="004E71BD"/>
    <w:rsid w:val="004E76DB"/>
    <w:rsid w:val="004E7A5B"/>
    <w:rsid w:val="004E7B1F"/>
    <w:rsid w:val="004E7C60"/>
    <w:rsid w:val="004E7E3D"/>
    <w:rsid w:val="004E7F6B"/>
    <w:rsid w:val="004F0190"/>
    <w:rsid w:val="004F054E"/>
    <w:rsid w:val="004F059E"/>
    <w:rsid w:val="004F093C"/>
    <w:rsid w:val="004F0CC0"/>
    <w:rsid w:val="004F1322"/>
    <w:rsid w:val="004F14A9"/>
    <w:rsid w:val="004F1631"/>
    <w:rsid w:val="004F16E2"/>
    <w:rsid w:val="004F191E"/>
    <w:rsid w:val="004F1A2E"/>
    <w:rsid w:val="004F1ADC"/>
    <w:rsid w:val="004F1C61"/>
    <w:rsid w:val="004F1D82"/>
    <w:rsid w:val="004F1F90"/>
    <w:rsid w:val="004F230E"/>
    <w:rsid w:val="004F23A4"/>
    <w:rsid w:val="004F23C3"/>
    <w:rsid w:val="004F23DA"/>
    <w:rsid w:val="004F2401"/>
    <w:rsid w:val="004F2796"/>
    <w:rsid w:val="004F292D"/>
    <w:rsid w:val="004F2A44"/>
    <w:rsid w:val="004F2DAD"/>
    <w:rsid w:val="004F2F24"/>
    <w:rsid w:val="004F310F"/>
    <w:rsid w:val="004F34F7"/>
    <w:rsid w:val="004F3507"/>
    <w:rsid w:val="004F36CC"/>
    <w:rsid w:val="004F37F6"/>
    <w:rsid w:val="004F3D26"/>
    <w:rsid w:val="004F41D6"/>
    <w:rsid w:val="004F4454"/>
    <w:rsid w:val="004F48E1"/>
    <w:rsid w:val="004F4914"/>
    <w:rsid w:val="004F4AC5"/>
    <w:rsid w:val="004F4CA8"/>
    <w:rsid w:val="004F4CE8"/>
    <w:rsid w:val="004F5089"/>
    <w:rsid w:val="004F5490"/>
    <w:rsid w:val="004F55D6"/>
    <w:rsid w:val="004F55E0"/>
    <w:rsid w:val="004F565A"/>
    <w:rsid w:val="004F571B"/>
    <w:rsid w:val="004F58A0"/>
    <w:rsid w:val="004F5B29"/>
    <w:rsid w:val="004F5CEC"/>
    <w:rsid w:val="004F5D9C"/>
    <w:rsid w:val="004F5DAD"/>
    <w:rsid w:val="004F5E54"/>
    <w:rsid w:val="004F5EC5"/>
    <w:rsid w:val="004F605D"/>
    <w:rsid w:val="004F607D"/>
    <w:rsid w:val="004F64EB"/>
    <w:rsid w:val="004F6636"/>
    <w:rsid w:val="004F66FE"/>
    <w:rsid w:val="004F6739"/>
    <w:rsid w:val="004F68C6"/>
    <w:rsid w:val="004F694F"/>
    <w:rsid w:val="004F69CA"/>
    <w:rsid w:val="004F69E9"/>
    <w:rsid w:val="004F6AA8"/>
    <w:rsid w:val="004F6B1D"/>
    <w:rsid w:val="004F6EBB"/>
    <w:rsid w:val="004F7030"/>
    <w:rsid w:val="004F7178"/>
    <w:rsid w:val="004F74C0"/>
    <w:rsid w:val="004F77C2"/>
    <w:rsid w:val="004F7A74"/>
    <w:rsid w:val="004F7EFC"/>
    <w:rsid w:val="005000B8"/>
    <w:rsid w:val="00500250"/>
    <w:rsid w:val="00500264"/>
    <w:rsid w:val="00500824"/>
    <w:rsid w:val="00500AC7"/>
    <w:rsid w:val="00500BC1"/>
    <w:rsid w:val="00500BC8"/>
    <w:rsid w:val="00500DAB"/>
    <w:rsid w:val="00500E84"/>
    <w:rsid w:val="00500F30"/>
    <w:rsid w:val="00501144"/>
    <w:rsid w:val="005013EF"/>
    <w:rsid w:val="00501409"/>
    <w:rsid w:val="00501463"/>
    <w:rsid w:val="00501493"/>
    <w:rsid w:val="0050151E"/>
    <w:rsid w:val="005019E0"/>
    <w:rsid w:val="00501A14"/>
    <w:rsid w:val="005020EB"/>
    <w:rsid w:val="0050211F"/>
    <w:rsid w:val="00502124"/>
    <w:rsid w:val="005022D1"/>
    <w:rsid w:val="005022E7"/>
    <w:rsid w:val="005022F9"/>
    <w:rsid w:val="00502403"/>
    <w:rsid w:val="0050255F"/>
    <w:rsid w:val="005028BB"/>
    <w:rsid w:val="00502976"/>
    <w:rsid w:val="00502A93"/>
    <w:rsid w:val="00502B4B"/>
    <w:rsid w:val="00502B5F"/>
    <w:rsid w:val="00502D87"/>
    <w:rsid w:val="00502D95"/>
    <w:rsid w:val="00502DEE"/>
    <w:rsid w:val="00502E5D"/>
    <w:rsid w:val="00503161"/>
    <w:rsid w:val="00503808"/>
    <w:rsid w:val="00503AC9"/>
    <w:rsid w:val="00503CC8"/>
    <w:rsid w:val="00503D9E"/>
    <w:rsid w:val="00503E33"/>
    <w:rsid w:val="00503EE6"/>
    <w:rsid w:val="005043C6"/>
    <w:rsid w:val="005044E0"/>
    <w:rsid w:val="0050463E"/>
    <w:rsid w:val="005048A4"/>
    <w:rsid w:val="00504EEC"/>
    <w:rsid w:val="00504FC6"/>
    <w:rsid w:val="0050509A"/>
    <w:rsid w:val="00505267"/>
    <w:rsid w:val="00505465"/>
    <w:rsid w:val="0050560C"/>
    <w:rsid w:val="005056D5"/>
    <w:rsid w:val="00505832"/>
    <w:rsid w:val="00505A6A"/>
    <w:rsid w:val="00506083"/>
    <w:rsid w:val="005060B5"/>
    <w:rsid w:val="0050634A"/>
    <w:rsid w:val="00506422"/>
    <w:rsid w:val="005065D7"/>
    <w:rsid w:val="005066D7"/>
    <w:rsid w:val="005067C3"/>
    <w:rsid w:val="005068D6"/>
    <w:rsid w:val="00506AF6"/>
    <w:rsid w:val="00506B25"/>
    <w:rsid w:val="00506B86"/>
    <w:rsid w:val="00506C1E"/>
    <w:rsid w:val="00506EEC"/>
    <w:rsid w:val="00506FD4"/>
    <w:rsid w:val="00506FEC"/>
    <w:rsid w:val="00507041"/>
    <w:rsid w:val="005076DB"/>
    <w:rsid w:val="0050772F"/>
    <w:rsid w:val="0050775F"/>
    <w:rsid w:val="00507D99"/>
    <w:rsid w:val="0051002F"/>
    <w:rsid w:val="0051010A"/>
    <w:rsid w:val="005104AE"/>
    <w:rsid w:val="00510585"/>
    <w:rsid w:val="005107CD"/>
    <w:rsid w:val="005107FF"/>
    <w:rsid w:val="0051085B"/>
    <w:rsid w:val="005108B0"/>
    <w:rsid w:val="005109AB"/>
    <w:rsid w:val="00510A79"/>
    <w:rsid w:val="00510BAA"/>
    <w:rsid w:val="00510CBC"/>
    <w:rsid w:val="00510D65"/>
    <w:rsid w:val="00510DAE"/>
    <w:rsid w:val="0051102D"/>
    <w:rsid w:val="00511238"/>
    <w:rsid w:val="005112A5"/>
    <w:rsid w:val="00511401"/>
    <w:rsid w:val="00511701"/>
    <w:rsid w:val="0051184B"/>
    <w:rsid w:val="00511A34"/>
    <w:rsid w:val="00511B73"/>
    <w:rsid w:val="00511C2B"/>
    <w:rsid w:val="00511C2E"/>
    <w:rsid w:val="00511C3B"/>
    <w:rsid w:val="00511D01"/>
    <w:rsid w:val="00511E41"/>
    <w:rsid w:val="00511E8E"/>
    <w:rsid w:val="00511F48"/>
    <w:rsid w:val="00512448"/>
    <w:rsid w:val="0051253A"/>
    <w:rsid w:val="0051266C"/>
    <w:rsid w:val="00512994"/>
    <w:rsid w:val="00512B4C"/>
    <w:rsid w:val="00512BFB"/>
    <w:rsid w:val="00512C5A"/>
    <w:rsid w:val="00512D76"/>
    <w:rsid w:val="00512DEB"/>
    <w:rsid w:val="005133CA"/>
    <w:rsid w:val="00513B72"/>
    <w:rsid w:val="00513C11"/>
    <w:rsid w:val="00513F6E"/>
    <w:rsid w:val="005144A8"/>
    <w:rsid w:val="00514567"/>
    <w:rsid w:val="00514F4D"/>
    <w:rsid w:val="00514FF2"/>
    <w:rsid w:val="00515277"/>
    <w:rsid w:val="005153EF"/>
    <w:rsid w:val="0051547F"/>
    <w:rsid w:val="0051551E"/>
    <w:rsid w:val="005157A2"/>
    <w:rsid w:val="005158C2"/>
    <w:rsid w:val="00515A8B"/>
    <w:rsid w:val="005160AC"/>
    <w:rsid w:val="0051628E"/>
    <w:rsid w:val="005169DE"/>
    <w:rsid w:val="00516EA5"/>
    <w:rsid w:val="005170CB"/>
    <w:rsid w:val="00517100"/>
    <w:rsid w:val="00517186"/>
    <w:rsid w:val="005172CF"/>
    <w:rsid w:val="005174F0"/>
    <w:rsid w:val="0051754D"/>
    <w:rsid w:val="005175BC"/>
    <w:rsid w:val="0051785D"/>
    <w:rsid w:val="00517913"/>
    <w:rsid w:val="00517B31"/>
    <w:rsid w:val="00517DE7"/>
    <w:rsid w:val="00517E56"/>
    <w:rsid w:val="00517EB4"/>
    <w:rsid w:val="0052005F"/>
    <w:rsid w:val="0052013D"/>
    <w:rsid w:val="00520200"/>
    <w:rsid w:val="005203B7"/>
    <w:rsid w:val="0052061E"/>
    <w:rsid w:val="0052080F"/>
    <w:rsid w:val="00520902"/>
    <w:rsid w:val="00520BE0"/>
    <w:rsid w:val="00520D13"/>
    <w:rsid w:val="00520D22"/>
    <w:rsid w:val="00520DB9"/>
    <w:rsid w:val="00520E11"/>
    <w:rsid w:val="00520E2D"/>
    <w:rsid w:val="00520F04"/>
    <w:rsid w:val="00521171"/>
    <w:rsid w:val="00521344"/>
    <w:rsid w:val="005213C0"/>
    <w:rsid w:val="00521717"/>
    <w:rsid w:val="00521837"/>
    <w:rsid w:val="00521BA3"/>
    <w:rsid w:val="00521FDB"/>
    <w:rsid w:val="0052209C"/>
    <w:rsid w:val="005224B2"/>
    <w:rsid w:val="00522616"/>
    <w:rsid w:val="0052281A"/>
    <w:rsid w:val="00522ABE"/>
    <w:rsid w:val="00522FAE"/>
    <w:rsid w:val="00523155"/>
    <w:rsid w:val="0052328E"/>
    <w:rsid w:val="00523901"/>
    <w:rsid w:val="0052390D"/>
    <w:rsid w:val="00523B23"/>
    <w:rsid w:val="00523D7C"/>
    <w:rsid w:val="00523DFA"/>
    <w:rsid w:val="0052406F"/>
    <w:rsid w:val="00524138"/>
    <w:rsid w:val="00524431"/>
    <w:rsid w:val="005244FE"/>
    <w:rsid w:val="0052456C"/>
    <w:rsid w:val="00524703"/>
    <w:rsid w:val="00524742"/>
    <w:rsid w:val="0052480D"/>
    <w:rsid w:val="00524858"/>
    <w:rsid w:val="00524936"/>
    <w:rsid w:val="005253F9"/>
    <w:rsid w:val="005254BC"/>
    <w:rsid w:val="005255AB"/>
    <w:rsid w:val="005256FC"/>
    <w:rsid w:val="00525814"/>
    <w:rsid w:val="0052595D"/>
    <w:rsid w:val="00525C18"/>
    <w:rsid w:val="00525CCA"/>
    <w:rsid w:val="00526188"/>
    <w:rsid w:val="0052680E"/>
    <w:rsid w:val="00526822"/>
    <w:rsid w:val="00526A1D"/>
    <w:rsid w:val="00526C27"/>
    <w:rsid w:val="00526DD8"/>
    <w:rsid w:val="00526DF7"/>
    <w:rsid w:val="00526DFF"/>
    <w:rsid w:val="00527473"/>
    <w:rsid w:val="0052777E"/>
    <w:rsid w:val="00527A59"/>
    <w:rsid w:val="00527AFD"/>
    <w:rsid w:val="00527E64"/>
    <w:rsid w:val="00527EF9"/>
    <w:rsid w:val="00530030"/>
    <w:rsid w:val="0053022A"/>
    <w:rsid w:val="005305FF"/>
    <w:rsid w:val="0053099B"/>
    <w:rsid w:val="00530C9B"/>
    <w:rsid w:val="00530E0A"/>
    <w:rsid w:val="00531195"/>
    <w:rsid w:val="005317A3"/>
    <w:rsid w:val="0053195B"/>
    <w:rsid w:val="005319A8"/>
    <w:rsid w:val="00531DB9"/>
    <w:rsid w:val="00531F50"/>
    <w:rsid w:val="0053213F"/>
    <w:rsid w:val="00532222"/>
    <w:rsid w:val="005322D4"/>
    <w:rsid w:val="00532334"/>
    <w:rsid w:val="00532428"/>
    <w:rsid w:val="005324AF"/>
    <w:rsid w:val="0053259B"/>
    <w:rsid w:val="00532655"/>
    <w:rsid w:val="00532AC3"/>
    <w:rsid w:val="00532C20"/>
    <w:rsid w:val="00532C95"/>
    <w:rsid w:val="00532E1C"/>
    <w:rsid w:val="00532EB9"/>
    <w:rsid w:val="005330A4"/>
    <w:rsid w:val="005332C4"/>
    <w:rsid w:val="005336C5"/>
    <w:rsid w:val="00533B4E"/>
    <w:rsid w:val="00533C03"/>
    <w:rsid w:val="0053402C"/>
    <w:rsid w:val="00534090"/>
    <w:rsid w:val="005340D4"/>
    <w:rsid w:val="005345B5"/>
    <w:rsid w:val="00534748"/>
    <w:rsid w:val="00534839"/>
    <w:rsid w:val="005348F2"/>
    <w:rsid w:val="00534ABA"/>
    <w:rsid w:val="00535005"/>
    <w:rsid w:val="0053513A"/>
    <w:rsid w:val="00535291"/>
    <w:rsid w:val="00535468"/>
    <w:rsid w:val="00535501"/>
    <w:rsid w:val="00535805"/>
    <w:rsid w:val="00535AEB"/>
    <w:rsid w:val="00535C38"/>
    <w:rsid w:val="00535CC5"/>
    <w:rsid w:val="00535E15"/>
    <w:rsid w:val="00535F8A"/>
    <w:rsid w:val="00535FFF"/>
    <w:rsid w:val="00536035"/>
    <w:rsid w:val="0053616F"/>
    <w:rsid w:val="0053621E"/>
    <w:rsid w:val="0053642C"/>
    <w:rsid w:val="005366C7"/>
    <w:rsid w:val="005368AD"/>
    <w:rsid w:val="005368E6"/>
    <w:rsid w:val="00536B8C"/>
    <w:rsid w:val="00536BE1"/>
    <w:rsid w:val="00536D48"/>
    <w:rsid w:val="005370BC"/>
    <w:rsid w:val="0053737B"/>
    <w:rsid w:val="005377D4"/>
    <w:rsid w:val="005377EB"/>
    <w:rsid w:val="00537AF9"/>
    <w:rsid w:val="00537B35"/>
    <w:rsid w:val="00537B3B"/>
    <w:rsid w:val="00537B5E"/>
    <w:rsid w:val="00537DE7"/>
    <w:rsid w:val="00537DF0"/>
    <w:rsid w:val="00537EC4"/>
    <w:rsid w:val="00537FE4"/>
    <w:rsid w:val="00540135"/>
    <w:rsid w:val="005401BA"/>
    <w:rsid w:val="0054025D"/>
    <w:rsid w:val="0054027D"/>
    <w:rsid w:val="00540680"/>
    <w:rsid w:val="00540931"/>
    <w:rsid w:val="00540EAD"/>
    <w:rsid w:val="00541212"/>
    <w:rsid w:val="00541222"/>
    <w:rsid w:val="005415FA"/>
    <w:rsid w:val="00541764"/>
    <w:rsid w:val="0054179C"/>
    <w:rsid w:val="005417C9"/>
    <w:rsid w:val="00541A8D"/>
    <w:rsid w:val="00541B09"/>
    <w:rsid w:val="00541B22"/>
    <w:rsid w:val="00541B91"/>
    <w:rsid w:val="00541ED8"/>
    <w:rsid w:val="0054212C"/>
    <w:rsid w:val="0054230C"/>
    <w:rsid w:val="00542445"/>
    <w:rsid w:val="00542561"/>
    <w:rsid w:val="005426FF"/>
    <w:rsid w:val="005428C8"/>
    <w:rsid w:val="00542949"/>
    <w:rsid w:val="00542A86"/>
    <w:rsid w:val="00542CCD"/>
    <w:rsid w:val="00542DF7"/>
    <w:rsid w:val="00542E77"/>
    <w:rsid w:val="00542EF7"/>
    <w:rsid w:val="00542F0A"/>
    <w:rsid w:val="0054339F"/>
    <w:rsid w:val="005433A4"/>
    <w:rsid w:val="0054342B"/>
    <w:rsid w:val="0054344E"/>
    <w:rsid w:val="0054361A"/>
    <w:rsid w:val="005438A8"/>
    <w:rsid w:val="00543949"/>
    <w:rsid w:val="0054397D"/>
    <w:rsid w:val="00543CF9"/>
    <w:rsid w:val="005441F9"/>
    <w:rsid w:val="00544638"/>
    <w:rsid w:val="005447C4"/>
    <w:rsid w:val="00544873"/>
    <w:rsid w:val="005448E9"/>
    <w:rsid w:val="00544907"/>
    <w:rsid w:val="005449F6"/>
    <w:rsid w:val="00544CDE"/>
    <w:rsid w:val="00544DA0"/>
    <w:rsid w:val="00544DE8"/>
    <w:rsid w:val="00544E34"/>
    <w:rsid w:val="00545007"/>
    <w:rsid w:val="005450FE"/>
    <w:rsid w:val="005451CB"/>
    <w:rsid w:val="005454BD"/>
    <w:rsid w:val="005457E4"/>
    <w:rsid w:val="00545FAA"/>
    <w:rsid w:val="00546038"/>
    <w:rsid w:val="005466D9"/>
    <w:rsid w:val="00546706"/>
    <w:rsid w:val="0054686E"/>
    <w:rsid w:val="00546977"/>
    <w:rsid w:val="00546C49"/>
    <w:rsid w:val="0054708D"/>
    <w:rsid w:val="00547280"/>
    <w:rsid w:val="005474EA"/>
    <w:rsid w:val="00547595"/>
    <w:rsid w:val="00547948"/>
    <w:rsid w:val="00547965"/>
    <w:rsid w:val="00547A21"/>
    <w:rsid w:val="00547A42"/>
    <w:rsid w:val="00547BA2"/>
    <w:rsid w:val="00547D44"/>
    <w:rsid w:val="00547E69"/>
    <w:rsid w:val="00550062"/>
    <w:rsid w:val="0055010B"/>
    <w:rsid w:val="00550124"/>
    <w:rsid w:val="00550963"/>
    <w:rsid w:val="00550D59"/>
    <w:rsid w:val="00550FBD"/>
    <w:rsid w:val="0055110D"/>
    <w:rsid w:val="0055189C"/>
    <w:rsid w:val="0055199E"/>
    <w:rsid w:val="00551AC6"/>
    <w:rsid w:val="00551B54"/>
    <w:rsid w:val="00551BDA"/>
    <w:rsid w:val="00551C79"/>
    <w:rsid w:val="00551DFC"/>
    <w:rsid w:val="00551E34"/>
    <w:rsid w:val="00551E66"/>
    <w:rsid w:val="00551F81"/>
    <w:rsid w:val="0055204B"/>
    <w:rsid w:val="0055210F"/>
    <w:rsid w:val="00552550"/>
    <w:rsid w:val="00552575"/>
    <w:rsid w:val="00552597"/>
    <w:rsid w:val="00552631"/>
    <w:rsid w:val="005527EA"/>
    <w:rsid w:val="0055280A"/>
    <w:rsid w:val="00552906"/>
    <w:rsid w:val="00552A94"/>
    <w:rsid w:val="00552CD7"/>
    <w:rsid w:val="00552EA2"/>
    <w:rsid w:val="00552EDE"/>
    <w:rsid w:val="00553027"/>
    <w:rsid w:val="00553288"/>
    <w:rsid w:val="00553377"/>
    <w:rsid w:val="005533BE"/>
    <w:rsid w:val="005539AE"/>
    <w:rsid w:val="00553A8C"/>
    <w:rsid w:val="00553B1E"/>
    <w:rsid w:val="00553C6B"/>
    <w:rsid w:val="00553E3E"/>
    <w:rsid w:val="00554347"/>
    <w:rsid w:val="00554811"/>
    <w:rsid w:val="00554A90"/>
    <w:rsid w:val="00554B30"/>
    <w:rsid w:val="00554D9D"/>
    <w:rsid w:val="00554E1D"/>
    <w:rsid w:val="00554FFB"/>
    <w:rsid w:val="00555077"/>
    <w:rsid w:val="00555116"/>
    <w:rsid w:val="00555500"/>
    <w:rsid w:val="0055562E"/>
    <w:rsid w:val="0055564D"/>
    <w:rsid w:val="00555772"/>
    <w:rsid w:val="0055589A"/>
    <w:rsid w:val="005558A2"/>
    <w:rsid w:val="005559C7"/>
    <w:rsid w:val="00555F82"/>
    <w:rsid w:val="005560DD"/>
    <w:rsid w:val="00556219"/>
    <w:rsid w:val="005565A8"/>
    <w:rsid w:val="0055677F"/>
    <w:rsid w:val="00556841"/>
    <w:rsid w:val="005568DE"/>
    <w:rsid w:val="00556D75"/>
    <w:rsid w:val="00556E19"/>
    <w:rsid w:val="005571E5"/>
    <w:rsid w:val="00557311"/>
    <w:rsid w:val="00557408"/>
    <w:rsid w:val="005574F4"/>
    <w:rsid w:val="00557C50"/>
    <w:rsid w:val="00557C92"/>
    <w:rsid w:val="0056005B"/>
    <w:rsid w:val="005604EB"/>
    <w:rsid w:val="0056058F"/>
    <w:rsid w:val="00560596"/>
    <w:rsid w:val="005606B6"/>
    <w:rsid w:val="005608D6"/>
    <w:rsid w:val="00560AC4"/>
    <w:rsid w:val="00560D42"/>
    <w:rsid w:val="00560DDA"/>
    <w:rsid w:val="00560F19"/>
    <w:rsid w:val="00561089"/>
    <w:rsid w:val="0056126D"/>
    <w:rsid w:val="00561473"/>
    <w:rsid w:val="00561B04"/>
    <w:rsid w:val="00561B37"/>
    <w:rsid w:val="00561CE5"/>
    <w:rsid w:val="00561D2B"/>
    <w:rsid w:val="00561D7F"/>
    <w:rsid w:val="00561E6B"/>
    <w:rsid w:val="00561EAE"/>
    <w:rsid w:val="0056200A"/>
    <w:rsid w:val="0056208A"/>
    <w:rsid w:val="00562121"/>
    <w:rsid w:val="005621D2"/>
    <w:rsid w:val="005621E0"/>
    <w:rsid w:val="005624A2"/>
    <w:rsid w:val="005627A8"/>
    <w:rsid w:val="00562922"/>
    <w:rsid w:val="00562A33"/>
    <w:rsid w:val="00562B40"/>
    <w:rsid w:val="00562C86"/>
    <w:rsid w:val="00562D90"/>
    <w:rsid w:val="00563A23"/>
    <w:rsid w:val="00563A42"/>
    <w:rsid w:val="00563A5A"/>
    <w:rsid w:val="00563C47"/>
    <w:rsid w:val="00563C61"/>
    <w:rsid w:val="00563C9D"/>
    <w:rsid w:val="00563E98"/>
    <w:rsid w:val="00563ECB"/>
    <w:rsid w:val="00563F47"/>
    <w:rsid w:val="00563FAC"/>
    <w:rsid w:val="005640BB"/>
    <w:rsid w:val="0056478A"/>
    <w:rsid w:val="00564B1B"/>
    <w:rsid w:val="00564C23"/>
    <w:rsid w:val="00564CC0"/>
    <w:rsid w:val="00564F76"/>
    <w:rsid w:val="00565295"/>
    <w:rsid w:val="005653E5"/>
    <w:rsid w:val="00565406"/>
    <w:rsid w:val="005654E2"/>
    <w:rsid w:val="00565570"/>
    <w:rsid w:val="00565778"/>
    <w:rsid w:val="005657D6"/>
    <w:rsid w:val="005657DD"/>
    <w:rsid w:val="00565AAD"/>
    <w:rsid w:val="00565B29"/>
    <w:rsid w:val="00565BFC"/>
    <w:rsid w:val="005660E1"/>
    <w:rsid w:val="005664CC"/>
    <w:rsid w:val="0056664B"/>
    <w:rsid w:val="00566698"/>
    <w:rsid w:val="005666A5"/>
    <w:rsid w:val="00566774"/>
    <w:rsid w:val="0056689B"/>
    <w:rsid w:val="00566C05"/>
    <w:rsid w:val="00566C15"/>
    <w:rsid w:val="00566CEE"/>
    <w:rsid w:val="005670E3"/>
    <w:rsid w:val="00567171"/>
    <w:rsid w:val="00567272"/>
    <w:rsid w:val="00567411"/>
    <w:rsid w:val="005674F9"/>
    <w:rsid w:val="00567588"/>
    <w:rsid w:val="00567992"/>
    <w:rsid w:val="005679EB"/>
    <w:rsid w:val="00567ABF"/>
    <w:rsid w:val="00567B59"/>
    <w:rsid w:val="00567BB5"/>
    <w:rsid w:val="00567C3C"/>
    <w:rsid w:val="00567D59"/>
    <w:rsid w:val="00567D6A"/>
    <w:rsid w:val="005702F8"/>
    <w:rsid w:val="005707EE"/>
    <w:rsid w:val="00570913"/>
    <w:rsid w:val="00570E5F"/>
    <w:rsid w:val="005711C1"/>
    <w:rsid w:val="00571231"/>
    <w:rsid w:val="00571767"/>
    <w:rsid w:val="005719CC"/>
    <w:rsid w:val="00571C36"/>
    <w:rsid w:val="00571CF8"/>
    <w:rsid w:val="00571D6E"/>
    <w:rsid w:val="00571DCC"/>
    <w:rsid w:val="00571E44"/>
    <w:rsid w:val="00571E73"/>
    <w:rsid w:val="00571FEB"/>
    <w:rsid w:val="005725B8"/>
    <w:rsid w:val="00572903"/>
    <w:rsid w:val="00572BD1"/>
    <w:rsid w:val="00572EEE"/>
    <w:rsid w:val="005733CD"/>
    <w:rsid w:val="005737D8"/>
    <w:rsid w:val="0057390B"/>
    <w:rsid w:val="00573A66"/>
    <w:rsid w:val="00573AC1"/>
    <w:rsid w:val="00573AF8"/>
    <w:rsid w:val="00573E61"/>
    <w:rsid w:val="00573E92"/>
    <w:rsid w:val="0057411B"/>
    <w:rsid w:val="00574391"/>
    <w:rsid w:val="005743F2"/>
    <w:rsid w:val="00574437"/>
    <w:rsid w:val="00574525"/>
    <w:rsid w:val="005746FF"/>
    <w:rsid w:val="00574778"/>
    <w:rsid w:val="00574900"/>
    <w:rsid w:val="0057498F"/>
    <w:rsid w:val="00574C7C"/>
    <w:rsid w:val="00574DE9"/>
    <w:rsid w:val="00574DFF"/>
    <w:rsid w:val="00575158"/>
    <w:rsid w:val="00575490"/>
    <w:rsid w:val="005757E9"/>
    <w:rsid w:val="00575907"/>
    <w:rsid w:val="00575A0A"/>
    <w:rsid w:val="00575B75"/>
    <w:rsid w:val="00575CBD"/>
    <w:rsid w:val="00575DCD"/>
    <w:rsid w:val="00575DF4"/>
    <w:rsid w:val="005760B0"/>
    <w:rsid w:val="0057620F"/>
    <w:rsid w:val="00576562"/>
    <w:rsid w:val="00576997"/>
    <w:rsid w:val="00576AEB"/>
    <w:rsid w:val="00576F26"/>
    <w:rsid w:val="00577143"/>
    <w:rsid w:val="00577169"/>
    <w:rsid w:val="0057735D"/>
    <w:rsid w:val="00577364"/>
    <w:rsid w:val="00577525"/>
    <w:rsid w:val="005775E5"/>
    <w:rsid w:val="0057765D"/>
    <w:rsid w:val="005777FC"/>
    <w:rsid w:val="00577878"/>
    <w:rsid w:val="00577AD5"/>
    <w:rsid w:val="00577CC4"/>
    <w:rsid w:val="005808EB"/>
    <w:rsid w:val="00580CFE"/>
    <w:rsid w:val="00580D37"/>
    <w:rsid w:val="00580E78"/>
    <w:rsid w:val="00580EBC"/>
    <w:rsid w:val="005810B6"/>
    <w:rsid w:val="00581643"/>
    <w:rsid w:val="00581688"/>
    <w:rsid w:val="00581753"/>
    <w:rsid w:val="0058183D"/>
    <w:rsid w:val="00581AC7"/>
    <w:rsid w:val="00581D48"/>
    <w:rsid w:val="00581FA0"/>
    <w:rsid w:val="005823E5"/>
    <w:rsid w:val="005823FB"/>
    <w:rsid w:val="00582500"/>
    <w:rsid w:val="0058261C"/>
    <w:rsid w:val="0058266B"/>
    <w:rsid w:val="005827AA"/>
    <w:rsid w:val="0058288F"/>
    <w:rsid w:val="005829F9"/>
    <w:rsid w:val="00582B4E"/>
    <w:rsid w:val="00582B90"/>
    <w:rsid w:val="00582FFF"/>
    <w:rsid w:val="0058311E"/>
    <w:rsid w:val="00583161"/>
    <w:rsid w:val="005831A7"/>
    <w:rsid w:val="00583321"/>
    <w:rsid w:val="0058341E"/>
    <w:rsid w:val="005834C5"/>
    <w:rsid w:val="005836F7"/>
    <w:rsid w:val="00583707"/>
    <w:rsid w:val="00583A0A"/>
    <w:rsid w:val="00583AA3"/>
    <w:rsid w:val="00583C97"/>
    <w:rsid w:val="00583D09"/>
    <w:rsid w:val="00583F05"/>
    <w:rsid w:val="00583F62"/>
    <w:rsid w:val="005840ED"/>
    <w:rsid w:val="00584176"/>
    <w:rsid w:val="00584451"/>
    <w:rsid w:val="005844A3"/>
    <w:rsid w:val="00584865"/>
    <w:rsid w:val="005848C0"/>
    <w:rsid w:val="00584C46"/>
    <w:rsid w:val="00584D1E"/>
    <w:rsid w:val="00584F3A"/>
    <w:rsid w:val="005853AB"/>
    <w:rsid w:val="005856C4"/>
    <w:rsid w:val="00585748"/>
    <w:rsid w:val="0058582F"/>
    <w:rsid w:val="00585988"/>
    <w:rsid w:val="005859C5"/>
    <w:rsid w:val="00585AFC"/>
    <w:rsid w:val="00585C79"/>
    <w:rsid w:val="00585DE4"/>
    <w:rsid w:val="00585FA6"/>
    <w:rsid w:val="00586144"/>
    <w:rsid w:val="00586332"/>
    <w:rsid w:val="005866CC"/>
    <w:rsid w:val="00586797"/>
    <w:rsid w:val="0058683C"/>
    <w:rsid w:val="00586B4A"/>
    <w:rsid w:val="00586E24"/>
    <w:rsid w:val="0058704F"/>
    <w:rsid w:val="0058724B"/>
    <w:rsid w:val="00587255"/>
    <w:rsid w:val="00587785"/>
    <w:rsid w:val="00587790"/>
    <w:rsid w:val="0058788D"/>
    <w:rsid w:val="00587C02"/>
    <w:rsid w:val="00587E29"/>
    <w:rsid w:val="00587FE6"/>
    <w:rsid w:val="00590038"/>
    <w:rsid w:val="0059054A"/>
    <w:rsid w:val="005906AD"/>
    <w:rsid w:val="00590826"/>
    <w:rsid w:val="00590855"/>
    <w:rsid w:val="0059091B"/>
    <w:rsid w:val="00590A1E"/>
    <w:rsid w:val="00590C3B"/>
    <w:rsid w:val="00590D7C"/>
    <w:rsid w:val="0059124F"/>
    <w:rsid w:val="00591553"/>
    <w:rsid w:val="005915E4"/>
    <w:rsid w:val="005915FF"/>
    <w:rsid w:val="00591660"/>
    <w:rsid w:val="00591698"/>
    <w:rsid w:val="00591768"/>
    <w:rsid w:val="00591A7D"/>
    <w:rsid w:val="00591B1F"/>
    <w:rsid w:val="00591DB1"/>
    <w:rsid w:val="00592522"/>
    <w:rsid w:val="0059258E"/>
    <w:rsid w:val="005925A3"/>
    <w:rsid w:val="0059282F"/>
    <w:rsid w:val="00592913"/>
    <w:rsid w:val="00592B63"/>
    <w:rsid w:val="00592DB0"/>
    <w:rsid w:val="00592F85"/>
    <w:rsid w:val="00593590"/>
    <w:rsid w:val="00593712"/>
    <w:rsid w:val="00593853"/>
    <w:rsid w:val="00593B73"/>
    <w:rsid w:val="00593B87"/>
    <w:rsid w:val="00593C1C"/>
    <w:rsid w:val="00593E94"/>
    <w:rsid w:val="00593ED3"/>
    <w:rsid w:val="005940D7"/>
    <w:rsid w:val="00594143"/>
    <w:rsid w:val="00594543"/>
    <w:rsid w:val="00594612"/>
    <w:rsid w:val="0059462D"/>
    <w:rsid w:val="00594947"/>
    <w:rsid w:val="00594A6E"/>
    <w:rsid w:val="00594B6B"/>
    <w:rsid w:val="00594C62"/>
    <w:rsid w:val="00594F5B"/>
    <w:rsid w:val="0059579C"/>
    <w:rsid w:val="00595865"/>
    <w:rsid w:val="00595873"/>
    <w:rsid w:val="00595CDD"/>
    <w:rsid w:val="00595DE3"/>
    <w:rsid w:val="0059604E"/>
    <w:rsid w:val="0059609B"/>
    <w:rsid w:val="005963CF"/>
    <w:rsid w:val="005963FF"/>
    <w:rsid w:val="005964BB"/>
    <w:rsid w:val="005965E3"/>
    <w:rsid w:val="005967E0"/>
    <w:rsid w:val="00596A70"/>
    <w:rsid w:val="00596BD3"/>
    <w:rsid w:val="00596BE7"/>
    <w:rsid w:val="00596C3E"/>
    <w:rsid w:val="00596E36"/>
    <w:rsid w:val="005974DD"/>
    <w:rsid w:val="0059752A"/>
    <w:rsid w:val="005977DD"/>
    <w:rsid w:val="005979F9"/>
    <w:rsid w:val="00597B5A"/>
    <w:rsid w:val="00597CBB"/>
    <w:rsid w:val="00597D10"/>
    <w:rsid w:val="00597D8D"/>
    <w:rsid w:val="00597F69"/>
    <w:rsid w:val="00597FD0"/>
    <w:rsid w:val="005A0181"/>
    <w:rsid w:val="005A01EA"/>
    <w:rsid w:val="005A0326"/>
    <w:rsid w:val="005A04BD"/>
    <w:rsid w:val="005A0A3F"/>
    <w:rsid w:val="005A0A5C"/>
    <w:rsid w:val="005A0BDC"/>
    <w:rsid w:val="005A0ED6"/>
    <w:rsid w:val="005A114F"/>
    <w:rsid w:val="005A14CA"/>
    <w:rsid w:val="005A17D3"/>
    <w:rsid w:val="005A1C3A"/>
    <w:rsid w:val="005A1CF6"/>
    <w:rsid w:val="005A1DEA"/>
    <w:rsid w:val="005A1F46"/>
    <w:rsid w:val="005A1F49"/>
    <w:rsid w:val="005A1F99"/>
    <w:rsid w:val="005A212B"/>
    <w:rsid w:val="005A22D0"/>
    <w:rsid w:val="005A231B"/>
    <w:rsid w:val="005A2364"/>
    <w:rsid w:val="005A2480"/>
    <w:rsid w:val="005A252B"/>
    <w:rsid w:val="005A254F"/>
    <w:rsid w:val="005A25A6"/>
    <w:rsid w:val="005A2802"/>
    <w:rsid w:val="005A2B2C"/>
    <w:rsid w:val="005A2B77"/>
    <w:rsid w:val="005A2CF8"/>
    <w:rsid w:val="005A2D6B"/>
    <w:rsid w:val="005A2E23"/>
    <w:rsid w:val="005A2EB6"/>
    <w:rsid w:val="005A310D"/>
    <w:rsid w:val="005A3228"/>
    <w:rsid w:val="005A3252"/>
    <w:rsid w:val="005A33F7"/>
    <w:rsid w:val="005A380F"/>
    <w:rsid w:val="005A3894"/>
    <w:rsid w:val="005A3970"/>
    <w:rsid w:val="005A3B42"/>
    <w:rsid w:val="005A3DCE"/>
    <w:rsid w:val="005A40CF"/>
    <w:rsid w:val="005A4232"/>
    <w:rsid w:val="005A4882"/>
    <w:rsid w:val="005A4A9C"/>
    <w:rsid w:val="005A4B35"/>
    <w:rsid w:val="005A4BAE"/>
    <w:rsid w:val="005A4D7C"/>
    <w:rsid w:val="005A4F39"/>
    <w:rsid w:val="005A51A0"/>
    <w:rsid w:val="005A529D"/>
    <w:rsid w:val="005A574D"/>
    <w:rsid w:val="005A586A"/>
    <w:rsid w:val="005A588B"/>
    <w:rsid w:val="005A5B5C"/>
    <w:rsid w:val="005A5C74"/>
    <w:rsid w:val="005A5F07"/>
    <w:rsid w:val="005A61D3"/>
    <w:rsid w:val="005A6276"/>
    <w:rsid w:val="005A65A3"/>
    <w:rsid w:val="005A65D4"/>
    <w:rsid w:val="005A65ED"/>
    <w:rsid w:val="005A6CC5"/>
    <w:rsid w:val="005A6D0F"/>
    <w:rsid w:val="005A6E93"/>
    <w:rsid w:val="005A707A"/>
    <w:rsid w:val="005A733A"/>
    <w:rsid w:val="005A7340"/>
    <w:rsid w:val="005A7F93"/>
    <w:rsid w:val="005B03F8"/>
    <w:rsid w:val="005B07EA"/>
    <w:rsid w:val="005B0847"/>
    <w:rsid w:val="005B0A09"/>
    <w:rsid w:val="005B0B20"/>
    <w:rsid w:val="005B0BD6"/>
    <w:rsid w:val="005B0CE8"/>
    <w:rsid w:val="005B0D2C"/>
    <w:rsid w:val="005B0EFB"/>
    <w:rsid w:val="005B1060"/>
    <w:rsid w:val="005B1086"/>
    <w:rsid w:val="005B11E3"/>
    <w:rsid w:val="005B1205"/>
    <w:rsid w:val="005B1211"/>
    <w:rsid w:val="005B124E"/>
    <w:rsid w:val="005B12B9"/>
    <w:rsid w:val="005B1308"/>
    <w:rsid w:val="005B13F4"/>
    <w:rsid w:val="005B1651"/>
    <w:rsid w:val="005B17C1"/>
    <w:rsid w:val="005B1CB8"/>
    <w:rsid w:val="005B2818"/>
    <w:rsid w:val="005B2967"/>
    <w:rsid w:val="005B2CDE"/>
    <w:rsid w:val="005B2E5B"/>
    <w:rsid w:val="005B2E91"/>
    <w:rsid w:val="005B2F90"/>
    <w:rsid w:val="005B30A0"/>
    <w:rsid w:val="005B33A9"/>
    <w:rsid w:val="005B353F"/>
    <w:rsid w:val="005B35A0"/>
    <w:rsid w:val="005B3737"/>
    <w:rsid w:val="005B39C1"/>
    <w:rsid w:val="005B3A42"/>
    <w:rsid w:val="005B3B19"/>
    <w:rsid w:val="005B3D72"/>
    <w:rsid w:val="005B4023"/>
    <w:rsid w:val="005B42D0"/>
    <w:rsid w:val="005B436F"/>
    <w:rsid w:val="005B43CD"/>
    <w:rsid w:val="005B4425"/>
    <w:rsid w:val="005B4505"/>
    <w:rsid w:val="005B4B2D"/>
    <w:rsid w:val="005B4CDC"/>
    <w:rsid w:val="005B4D29"/>
    <w:rsid w:val="005B4EDA"/>
    <w:rsid w:val="005B4F02"/>
    <w:rsid w:val="005B4F2B"/>
    <w:rsid w:val="005B4F6E"/>
    <w:rsid w:val="005B5458"/>
    <w:rsid w:val="005B5583"/>
    <w:rsid w:val="005B5715"/>
    <w:rsid w:val="005B57C5"/>
    <w:rsid w:val="005B584A"/>
    <w:rsid w:val="005B5D40"/>
    <w:rsid w:val="005B5D63"/>
    <w:rsid w:val="005B5EFC"/>
    <w:rsid w:val="005B5FE1"/>
    <w:rsid w:val="005B5FF0"/>
    <w:rsid w:val="005B6243"/>
    <w:rsid w:val="005B6356"/>
    <w:rsid w:val="005B6412"/>
    <w:rsid w:val="005B6698"/>
    <w:rsid w:val="005B680B"/>
    <w:rsid w:val="005B68A7"/>
    <w:rsid w:val="005B6A6A"/>
    <w:rsid w:val="005B6AC3"/>
    <w:rsid w:val="005B6B30"/>
    <w:rsid w:val="005B6B38"/>
    <w:rsid w:val="005B6BD0"/>
    <w:rsid w:val="005B6E6A"/>
    <w:rsid w:val="005B7908"/>
    <w:rsid w:val="005C038B"/>
    <w:rsid w:val="005C055E"/>
    <w:rsid w:val="005C0787"/>
    <w:rsid w:val="005C0C4D"/>
    <w:rsid w:val="005C0D4B"/>
    <w:rsid w:val="005C0F9D"/>
    <w:rsid w:val="005C0FA1"/>
    <w:rsid w:val="005C12BE"/>
    <w:rsid w:val="005C1615"/>
    <w:rsid w:val="005C1864"/>
    <w:rsid w:val="005C1ACD"/>
    <w:rsid w:val="005C1AED"/>
    <w:rsid w:val="005C1B33"/>
    <w:rsid w:val="005C1B63"/>
    <w:rsid w:val="005C1BE1"/>
    <w:rsid w:val="005C1C53"/>
    <w:rsid w:val="005C1D98"/>
    <w:rsid w:val="005C1DA5"/>
    <w:rsid w:val="005C1DD1"/>
    <w:rsid w:val="005C1DEE"/>
    <w:rsid w:val="005C20AE"/>
    <w:rsid w:val="005C227E"/>
    <w:rsid w:val="005C2286"/>
    <w:rsid w:val="005C23AE"/>
    <w:rsid w:val="005C241E"/>
    <w:rsid w:val="005C246B"/>
    <w:rsid w:val="005C2559"/>
    <w:rsid w:val="005C2723"/>
    <w:rsid w:val="005C2873"/>
    <w:rsid w:val="005C2BDF"/>
    <w:rsid w:val="005C2DC0"/>
    <w:rsid w:val="005C2F23"/>
    <w:rsid w:val="005C3061"/>
    <w:rsid w:val="005C34FC"/>
    <w:rsid w:val="005C3553"/>
    <w:rsid w:val="005C36D5"/>
    <w:rsid w:val="005C389F"/>
    <w:rsid w:val="005C3B5C"/>
    <w:rsid w:val="005C3C7F"/>
    <w:rsid w:val="005C3E8C"/>
    <w:rsid w:val="005C3E95"/>
    <w:rsid w:val="005C3F13"/>
    <w:rsid w:val="005C401C"/>
    <w:rsid w:val="005C4300"/>
    <w:rsid w:val="005C4360"/>
    <w:rsid w:val="005C4762"/>
    <w:rsid w:val="005C4811"/>
    <w:rsid w:val="005C48F6"/>
    <w:rsid w:val="005C4A1C"/>
    <w:rsid w:val="005C4EA2"/>
    <w:rsid w:val="005C4F7E"/>
    <w:rsid w:val="005C5143"/>
    <w:rsid w:val="005C5488"/>
    <w:rsid w:val="005C5639"/>
    <w:rsid w:val="005C5742"/>
    <w:rsid w:val="005C5908"/>
    <w:rsid w:val="005C5B15"/>
    <w:rsid w:val="005C5F04"/>
    <w:rsid w:val="005C6DB5"/>
    <w:rsid w:val="005C760E"/>
    <w:rsid w:val="005C77E8"/>
    <w:rsid w:val="005C7A0E"/>
    <w:rsid w:val="005C7C67"/>
    <w:rsid w:val="005C7DB5"/>
    <w:rsid w:val="005C7E72"/>
    <w:rsid w:val="005C7E9E"/>
    <w:rsid w:val="005D0A29"/>
    <w:rsid w:val="005D0C8B"/>
    <w:rsid w:val="005D1117"/>
    <w:rsid w:val="005D1239"/>
    <w:rsid w:val="005D12E3"/>
    <w:rsid w:val="005D173E"/>
    <w:rsid w:val="005D1871"/>
    <w:rsid w:val="005D18C9"/>
    <w:rsid w:val="005D1B72"/>
    <w:rsid w:val="005D1BFB"/>
    <w:rsid w:val="005D209F"/>
    <w:rsid w:val="005D221F"/>
    <w:rsid w:val="005D2471"/>
    <w:rsid w:val="005D25A3"/>
    <w:rsid w:val="005D2606"/>
    <w:rsid w:val="005D2660"/>
    <w:rsid w:val="005D2779"/>
    <w:rsid w:val="005D282B"/>
    <w:rsid w:val="005D2996"/>
    <w:rsid w:val="005D29E6"/>
    <w:rsid w:val="005D2C2F"/>
    <w:rsid w:val="005D2C5C"/>
    <w:rsid w:val="005D3242"/>
    <w:rsid w:val="005D345C"/>
    <w:rsid w:val="005D3651"/>
    <w:rsid w:val="005D36E3"/>
    <w:rsid w:val="005D3A90"/>
    <w:rsid w:val="005D3DCC"/>
    <w:rsid w:val="005D3E42"/>
    <w:rsid w:val="005D3FE5"/>
    <w:rsid w:val="005D48B1"/>
    <w:rsid w:val="005D4AEE"/>
    <w:rsid w:val="005D542B"/>
    <w:rsid w:val="005D5541"/>
    <w:rsid w:val="005D56ED"/>
    <w:rsid w:val="005D5978"/>
    <w:rsid w:val="005D5BFB"/>
    <w:rsid w:val="005D5C96"/>
    <w:rsid w:val="005D5CDB"/>
    <w:rsid w:val="005D610C"/>
    <w:rsid w:val="005D63CD"/>
    <w:rsid w:val="005D677C"/>
    <w:rsid w:val="005D68C8"/>
    <w:rsid w:val="005D6A5B"/>
    <w:rsid w:val="005D6DBA"/>
    <w:rsid w:val="005D705B"/>
    <w:rsid w:val="005D726D"/>
    <w:rsid w:val="005D729F"/>
    <w:rsid w:val="005D749E"/>
    <w:rsid w:val="005D74E7"/>
    <w:rsid w:val="005D78C4"/>
    <w:rsid w:val="005D7B2B"/>
    <w:rsid w:val="005D7D8D"/>
    <w:rsid w:val="005D7EAA"/>
    <w:rsid w:val="005D7F7B"/>
    <w:rsid w:val="005E09E6"/>
    <w:rsid w:val="005E0C1A"/>
    <w:rsid w:val="005E0EEA"/>
    <w:rsid w:val="005E105A"/>
    <w:rsid w:val="005E1326"/>
    <w:rsid w:val="005E1437"/>
    <w:rsid w:val="005E17CE"/>
    <w:rsid w:val="005E1829"/>
    <w:rsid w:val="005E1DDA"/>
    <w:rsid w:val="005E1DFB"/>
    <w:rsid w:val="005E2188"/>
    <w:rsid w:val="005E2546"/>
    <w:rsid w:val="005E2780"/>
    <w:rsid w:val="005E2C04"/>
    <w:rsid w:val="005E31EF"/>
    <w:rsid w:val="005E3BCD"/>
    <w:rsid w:val="005E460F"/>
    <w:rsid w:val="005E4839"/>
    <w:rsid w:val="005E4840"/>
    <w:rsid w:val="005E48C8"/>
    <w:rsid w:val="005E4A87"/>
    <w:rsid w:val="005E4C69"/>
    <w:rsid w:val="005E4CE6"/>
    <w:rsid w:val="005E4DA5"/>
    <w:rsid w:val="005E4F2A"/>
    <w:rsid w:val="005E503E"/>
    <w:rsid w:val="005E50B7"/>
    <w:rsid w:val="005E54C7"/>
    <w:rsid w:val="005E569B"/>
    <w:rsid w:val="005E5784"/>
    <w:rsid w:val="005E59C7"/>
    <w:rsid w:val="005E59CD"/>
    <w:rsid w:val="005E5E7B"/>
    <w:rsid w:val="005E6095"/>
    <w:rsid w:val="005E6314"/>
    <w:rsid w:val="005E65A9"/>
    <w:rsid w:val="005E662B"/>
    <w:rsid w:val="005E6A3F"/>
    <w:rsid w:val="005E6DB8"/>
    <w:rsid w:val="005E7228"/>
    <w:rsid w:val="005E7284"/>
    <w:rsid w:val="005E72FB"/>
    <w:rsid w:val="005E740A"/>
    <w:rsid w:val="005E7496"/>
    <w:rsid w:val="005E75E0"/>
    <w:rsid w:val="005E7A58"/>
    <w:rsid w:val="005E7BAC"/>
    <w:rsid w:val="005E7D9B"/>
    <w:rsid w:val="005E7E5A"/>
    <w:rsid w:val="005F0782"/>
    <w:rsid w:val="005F0A20"/>
    <w:rsid w:val="005F0CFA"/>
    <w:rsid w:val="005F0E5C"/>
    <w:rsid w:val="005F112B"/>
    <w:rsid w:val="005F1205"/>
    <w:rsid w:val="005F134E"/>
    <w:rsid w:val="005F1365"/>
    <w:rsid w:val="005F1651"/>
    <w:rsid w:val="005F16C7"/>
    <w:rsid w:val="005F1773"/>
    <w:rsid w:val="005F1776"/>
    <w:rsid w:val="005F1ABD"/>
    <w:rsid w:val="005F1E24"/>
    <w:rsid w:val="005F26E5"/>
    <w:rsid w:val="005F26EE"/>
    <w:rsid w:val="005F2932"/>
    <w:rsid w:val="005F2C1F"/>
    <w:rsid w:val="005F2D6E"/>
    <w:rsid w:val="005F2E00"/>
    <w:rsid w:val="005F2E44"/>
    <w:rsid w:val="005F2FBE"/>
    <w:rsid w:val="005F301C"/>
    <w:rsid w:val="005F30D6"/>
    <w:rsid w:val="005F313A"/>
    <w:rsid w:val="005F32DA"/>
    <w:rsid w:val="005F331B"/>
    <w:rsid w:val="005F33DB"/>
    <w:rsid w:val="005F3690"/>
    <w:rsid w:val="005F36DF"/>
    <w:rsid w:val="005F37B4"/>
    <w:rsid w:val="005F37D9"/>
    <w:rsid w:val="005F3986"/>
    <w:rsid w:val="005F3AAE"/>
    <w:rsid w:val="005F40E3"/>
    <w:rsid w:val="005F45BB"/>
    <w:rsid w:val="005F4973"/>
    <w:rsid w:val="005F4A58"/>
    <w:rsid w:val="005F4C57"/>
    <w:rsid w:val="005F4EBB"/>
    <w:rsid w:val="005F50BF"/>
    <w:rsid w:val="005F5238"/>
    <w:rsid w:val="005F544C"/>
    <w:rsid w:val="005F585D"/>
    <w:rsid w:val="005F59C0"/>
    <w:rsid w:val="005F601D"/>
    <w:rsid w:val="005F61C3"/>
    <w:rsid w:val="005F6372"/>
    <w:rsid w:val="005F63DB"/>
    <w:rsid w:val="005F6774"/>
    <w:rsid w:val="005F6DBD"/>
    <w:rsid w:val="005F6F3D"/>
    <w:rsid w:val="005F72C8"/>
    <w:rsid w:val="005F7601"/>
    <w:rsid w:val="005F782D"/>
    <w:rsid w:val="005F79AA"/>
    <w:rsid w:val="005F7A0E"/>
    <w:rsid w:val="006000EE"/>
    <w:rsid w:val="0060017D"/>
    <w:rsid w:val="0060018D"/>
    <w:rsid w:val="0060044B"/>
    <w:rsid w:val="00600455"/>
    <w:rsid w:val="006004A3"/>
    <w:rsid w:val="00600704"/>
    <w:rsid w:val="0060081F"/>
    <w:rsid w:val="0060097F"/>
    <w:rsid w:val="00600A96"/>
    <w:rsid w:val="00600B1A"/>
    <w:rsid w:val="00600BB9"/>
    <w:rsid w:val="00600E4B"/>
    <w:rsid w:val="006013D7"/>
    <w:rsid w:val="006014DB"/>
    <w:rsid w:val="00601587"/>
    <w:rsid w:val="0060166A"/>
    <w:rsid w:val="00601DFD"/>
    <w:rsid w:val="00601EA5"/>
    <w:rsid w:val="00601FAD"/>
    <w:rsid w:val="00601FCF"/>
    <w:rsid w:val="00602079"/>
    <w:rsid w:val="00602156"/>
    <w:rsid w:val="006022F3"/>
    <w:rsid w:val="00602411"/>
    <w:rsid w:val="00602469"/>
    <w:rsid w:val="00602579"/>
    <w:rsid w:val="006026EB"/>
    <w:rsid w:val="006026EC"/>
    <w:rsid w:val="00602AB5"/>
    <w:rsid w:val="00602BA4"/>
    <w:rsid w:val="00602DA2"/>
    <w:rsid w:val="00602DF0"/>
    <w:rsid w:val="00602FCD"/>
    <w:rsid w:val="00602FF4"/>
    <w:rsid w:val="00603225"/>
    <w:rsid w:val="00603228"/>
    <w:rsid w:val="006032F8"/>
    <w:rsid w:val="0060355F"/>
    <w:rsid w:val="0060360B"/>
    <w:rsid w:val="00603677"/>
    <w:rsid w:val="0060385A"/>
    <w:rsid w:val="00603925"/>
    <w:rsid w:val="00603938"/>
    <w:rsid w:val="00603CA2"/>
    <w:rsid w:val="00603D8E"/>
    <w:rsid w:val="00603F34"/>
    <w:rsid w:val="00603F92"/>
    <w:rsid w:val="00604600"/>
    <w:rsid w:val="00604673"/>
    <w:rsid w:val="0060474D"/>
    <w:rsid w:val="00604915"/>
    <w:rsid w:val="0060494D"/>
    <w:rsid w:val="00604ACD"/>
    <w:rsid w:val="00604BE5"/>
    <w:rsid w:val="00604C15"/>
    <w:rsid w:val="00604C19"/>
    <w:rsid w:val="00604DC2"/>
    <w:rsid w:val="006051F0"/>
    <w:rsid w:val="006053C1"/>
    <w:rsid w:val="00605647"/>
    <w:rsid w:val="00605893"/>
    <w:rsid w:val="00605A98"/>
    <w:rsid w:val="00605B01"/>
    <w:rsid w:val="00605D06"/>
    <w:rsid w:val="00605D19"/>
    <w:rsid w:val="00606053"/>
    <w:rsid w:val="006060C4"/>
    <w:rsid w:val="00606227"/>
    <w:rsid w:val="006064A7"/>
    <w:rsid w:val="006064A8"/>
    <w:rsid w:val="00606744"/>
    <w:rsid w:val="00606795"/>
    <w:rsid w:val="00606B3A"/>
    <w:rsid w:val="00607304"/>
    <w:rsid w:val="00607395"/>
    <w:rsid w:val="006074C6"/>
    <w:rsid w:val="00607590"/>
    <w:rsid w:val="00607B3C"/>
    <w:rsid w:val="00607BDF"/>
    <w:rsid w:val="00607C35"/>
    <w:rsid w:val="00607CAD"/>
    <w:rsid w:val="006100CB"/>
    <w:rsid w:val="00610283"/>
    <w:rsid w:val="00610D75"/>
    <w:rsid w:val="00610EB2"/>
    <w:rsid w:val="00611409"/>
    <w:rsid w:val="006115BC"/>
    <w:rsid w:val="006116BC"/>
    <w:rsid w:val="00611777"/>
    <w:rsid w:val="006117E0"/>
    <w:rsid w:val="0061189F"/>
    <w:rsid w:val="0061219B"/>
    <w:rsid w:val="00612AA7"/>
    <w:rsid w:val="00612C83"/>
    <w:rsid w:val="00612D05"/>
    <w:rsid w:val="00612DA5"/>
    <w:rsid w:val="00612E2D"/>
    <w:rsid w:val="00612F65"/>
    <w:rsid w:val="006134D9"/>
    <w:rsid w:val="006137DB"/>
    <w:rsid w:val="00613D5D"/>
    <w:rsid w:val="00613FB6"/>
    <w:rsid w:val="006140C6"/>
    <w:rsid w:val="00614134"/>
    <w:rsid w:val="00614241"/>
    <w:rsid w:val="00614264"/>
    <w:rsid w:val="0061426C"/>
    <w:rsid w:val="0061428D"/>
    <w:rsid w:val="006147A5"/>
    <w:rsid w:val="006149CF"/>
    <w:rsid w:val="00614A28"/>
    <w:rsid w:val="00614B6D"/>
    <w:rsid w:val="00614CA4"/>
    <w:rsid w:val="00614CCF"/>
    <w:rsid w:val="00614DE7"/>
    <w:rsid w:val="00614FAA"/>
    <w:rsid w:val="006150B2"/>
    <w:rsid w:val="006150C6"/>
    <w:rsid w:val="00615127"/>
    <w:rsid w:val="00615411"/>
    <w:rsid w:val="006155AA"/>
    <w:rsid w:val="0061599E"/>
    <w:rsid w:val="00615AC7"/>
    <w:rsid w:val="00615C2B"/>
    <w:rsid w:val="00615C35"/>
    <w:rsid w:val="00615EC6"/>
    <w:rsid w:val="006162C7"/>
    <w:rsid w:val="006162E6"/>
    <w:rsid w:val="006164DD"/>
    <w:rsid w:val="00616528"/>
    <w:rsid w:val="006165A5"/>
    <w:rsid w:val="006165BC"/>
    <w:rsid w:val="006165E4"/>
    <w:rsid w:val="00616767"/>
    <w:rsid w:val="006169F1"/>
    <w:rsid w:val="00616CBD"/>
    <w:rsid w:val="006170C1"/>
    <w:rsid w:val="006171A5"/>
    <w:rsid w:val="006175B8"/>
    <w:rsid w:val="00617A87"/>
    <w:rsid w:val="006201FB"/>
    <w:rsid w:val="00620309"/>
    <w:rsid w:val="006204E5"/>
    <w:rsid w:val="00620599"/>
    <w:rsid w:val="00620987"/>
    <w:rsid w:val="00620A62"/>
    <w:rsid w:val="00620FBB"/>
    <w:rsid w:val="006211AB"/>
    <w:rsid w:val="006211D3"/>
    <w:rsid w:val="006212E3"/>
    <w:rsid w:val="00621583"/>
    <w:rsid w:val="0062159D"/>
    <w:rsid w:val="00621680"/>
    <w:rsid w:val="006217AE"/>
    <w:rsid w:val="006217D8"/>
    <w:rsid w:val="00621E6C"/>
    <w:rsid w:val="00621EC5"/>
    <w:rsid w:val="006223DA"/>
    <w:rsid w:val="006223E0"/>
    <w:rsid w:val="006224D0"/>
    <w:rsid w:val="00622501"/>
    <w:rsid w:val="0062260D"/>
    <w:rsid w:val="006226AF"/>
    <w:rsid w:val="00622A78"/>
    <w:rsid w:val="00622BCE"/>
    <w:rsid w:val="00622E29"/>
    <w:rsid w:val="00622FE8"/>
    <w:rsid w:val="00623115"/>
    <w:rsid w:val="00623324"/>
    <w:rsid w:val="006233F0"/>
    <w:rsid w:val="0062360A"/>
    <w:rsid w:val="00623643"/>
    <w:rsid w:val="006239C7"/>
    <w:rsid w:val="00623B70"/>
    <w:rsid w:val="00623DA2"/>
    <w:rsid w:val="00624018"/>
    <w:rsid w:val="006240C4"/>
    <w:rsid w:val="00624223"/>
    <w:rsid w:val="00624A3E"/>
    <w:rsid w:val="00624E92"/>
    <w:rsid w:val="006252E1"/>
    <w:rsid w:val="00625304"/>
    <w:rsid w:val="006253DB"/>
    <w:rsid w:val="00625483"/>
    <w:rsid w:val="006257B2"/>
    <w:rsid w:val="0062581B"/>
    <w:rsid w:val="00625A6C"/>
    <w:rsid w:val="00625F1D"/>
    <w:rsid w:val="00626138"/>
    <w:rsid w:val="006261F4"/>
    <w:rsid w:val="0062633D"/>
    <w:rsid w:val="0062655D"/>
    <w:rsid w:val="00626AA6"/>
    <w:rsid w:val="00626D03"/>
    <w:rsid w:val="00626D64"/>
    <w:rsid w:val="0062708B"/>
    <w:rsid w:val="006270A5"/>
    <w:rsid w:val="00627116"/>
    <w:rsid w:val="006278E8"/>
    <w:rsid w:val="006278F3"/>
    <w:rsid w:val="00627BEF"/>
    <w:rsid w:val="00627C90"/>
    <w:rsid w:val="00627DF6"/>
    <w:rsid w:val="00627FB9"/>
    <w:rsid w:val="00630086"/>
    <w:rsid w:val="006301B6"/>
    <w:rsid w:val="006301BA"/>
    <w:rsid w:val="00630430"/>
    <w:rsid w:val="00630A08"/>
    <w:rsid w:val="00630B2F"/>
    <w:rsid w:val="0063101D"/>
    <w:rsid w:val="00631241"/>
    <w:rsid w:val="0063129C"/>
    <w:rsid w:val="00631496"/>
    <w:rsid w:val="00631611"/>
    <w:rsid w:val="0063164E"/>
    <w:rsid w:val="006316A9"/>
    <w:rsid w:val="00631775"/>
    <w:rsid w:val="00631787"/>
    <w:rsid w:val="006317B4"/>
    <w:rsid w:val="006318A1"/>
    <w:rsid w:val="0063191D"/>
    <w:rsid w:val="00631C46"/>
    <w:rsid w:val="00631C50"/>
    <w:rsid w:val="00632442"/>
    <w:rsid w:val="00632473"/>
    <w:rsid w:val="00632538"/>
    <w:rsid w:val="00632BEF"/>
    <w:rsid w:val="00632CFC"/>
    <w:rsid w:val="00632D00"/>
    <w:rsid w:val="00632ECA"/>
    <w:rsid w:val="00632FF3"/>
    <w:rsid w:val="00633383"/>
    <w:rsid w:val="00633488"/>
    <w:rsid w:val="00633581"/>
    <w:rsid w:val="006337CF"/>
    <w:rsid w:val="006339A7"/>
    <w:rsid w:val="006339AF"/>
    <w:rsid w:val="00633C47"/>
    <w:rsid w:val="006340F3"/>
    <w:rsid w:val="00634212"/>
    <w:rsid w:val="006343DA"/>
    <w:rsid w:val="00634642"/>
    <w:rsid w:val="00634694"/>
    <w:rsid w:val="006348C7"/>
    <w:rsid w:val="006348F7"/>
    <w:rsid w:val="00634BC9"/>
    <w:rsid w:val="00634CB8"/>
    <w:rsid w:val="00634E6F"/>
    <w:rsid w:val="00635026"/>
    <w:rsid w:val="0063512D"/>
    <w:rsid w:val="006355D3"/>
    <w:rsid w:val="0063565C"/>
    <w:rsid w:val="006356F8"/>
    <w:rsid w:val="006358FB"/>
    <w:rsid w:val="006359BF"/>
    <w:rsid w:val="00635AE2"/>
    <w:rsid w:val="00635CFE"/>
    <w:rsid w:val="00635E10"/>
    <w:rsid w:val="00635E1E"/>
    <w:rsid w:val="00635EAA"/>
    <w:rsid w:val="00636467"/>
    <w:rsid w:val="0063650A"/>
    <w:rsid w:val="0063662D"/>
    <w:rsid w:val="006366B1"/>
    <w:rsid w:val="0063677C"/>
    <w:rsid w:val="006367DF"/>
    <w:rsid w:val="00636972"/>
    <w:rsid w:val="00636B69"/>
    <w:rsid w:val="00636BC2"/>
    <w:rsid w:val="0063715A"/>
    <w:rsid w:val="0063723F"/>
    <w:rsid w:val="006372C6"/>
    <w:rsid w:val="00637C42"/>
    <w:rsid w:val="00637F54"/>
    <w:rsid w:val="00640055"/>
    <w:rsid w:val="00640103"/>
    <w:rsid w:val="006403E5"/>
    <w:rsid w:val="006404B1"/>
    <w:rsid w:val="006404D1"/>
    <w:rsid w:val="006405A1"/>
    <w:rsid w:val="006408E0"/>
    <w:rsid w:val="00640984"/>
    <w:rsid w:val="00640AC3"/>
    <w:rsid w:val="00640BCA"/>
    <w:rsid w:val="00640C2F"/>
    <w:rsid w:val="00640DC4"/>
    <w:rsid w:val="00640E21"/>
    <w:rsid w:val="00640F43"/>
    <w:rsid w:val="00640FB2"/>
    <w:rsid w:val="006410F6"/>
    <w:rsid w:val="006410FD"/>
    <w:rsid w:val="006412CA"/>
    <w:rsid w:val="006413D4"/>
    <w:rsid w:val="00641534"/>
    <w:rsid w:val="00641728"/>
    <w:rsid w:val="0064185F"/>
    <w:rsid w:val="00641CC1"/>
    <w:rsid w:val="00641E79"/>
    <w:rsid w:val="00641FBE"/>
    <w:rsid w:val="00642010"/>
    <w:rsid w:val="006420A3"/>
    <w:rsid w:val="006420DA"/>
    <w:rsid w:val="00642265"/>
    <w:rsid w:val="00642460"/>
    <w:rsid w:val="006426B8"/>
    <w:rsid w:val="00642A0A"/>
    <w:rsid w:val="00642B45"/>
    <w:rsid w:val="0064363F"/>
    <w:rsid w:val="0064397C"/>
    <w:rsid w:val="00643AC1"/>
    <w:rsid w:val="00643B89"/>
    <w:rsid w:val="00643D62"/>
    <w:rsid w:val="00643EAC"/>
    <w:rsid w:val="00643F85"/>
    <w:rsid w:val="00644645"/>
    <w:rsid w:val="00644A03"/>
    <w:rsid w:val="00644A5E"/>
    <w:rsid w:val="00644A6C"/>
    <w:rsid w:val="00644B61"/>
    <w:rsid w:val="00644D69"/>
    <w:rsid w:val="0064501D"/>
    <w:rsid w:val="00645535"/>
    <w:rsid w:val="006455D5"/>
    <w:rsid w:val="006457A8"/>
    <w:rsid w:val="00645943"/>
    <w:rsid w:val="00645EA0"/>
    <w:rsid w:val="00645F76"/>
    <w:rsid w:val="006462EA"/>
    <w:rsid w:val="006465D5"/>
    <w:rsid w:val="0064679F"/>
    <w:rsid w:val="006467C9"/>
    <w:rsid w:val="00646867"/>
    <w:rsid w:val="00646869"/>
    <w:rsid w:val="0064687E"/>
    <w:rsid w:val="0064693E"/>
    <w:rsid w:val="00646EB0"/>
    <w:rsid w:val="0064714D"/>
    <w:rsid w:val="0064727D"/>
    <w:rsid w:val="006479E5"/>
    <w:rsid w:val="00647B32"/>
    <w:rsid w:val="00647C27"/>
    <w:rsid w:val="00647C5D"/>
    <w:rsid w:val="00647D70"/>
    <w:rsid w:val="00647E2D"/>
    <w:rsid w:val="00647EFB"/>
    <w:rsid w:val="00650614"/>
    <w:rsid w:val="00650767"/>
    <w:rsid w:val="006509BF"/>
    <w:rsid w:val="00651460"/>
    <w:rsid w:val="006515AB"/>
    <w:rsid w:val="00651832"/>
    <w:rsid w:val="00651852"/>
    <w:rsid w:val="006518E1"/>
    <w:rsid w:val="006519E6"/>
    <w:rsid w:val="00651CDE"/>
    <w:rsid w:val="00652031"/>
    <w:rsid w:val="00652326"/>
    <w:rsid w:val="00652633"/>
    <w:rsid w:val="00652907"/>
    <w:rsid w:val="00652AD8"/>
    <w:rsid w:val="00652E06"/>
    <w:rsid w:val="00652E43"/>
    <w:rsid w:val="00652F3B"/>
    <w:rsid w:val="00652FBB"/>
    <w:rsid w:val="00653154"/>
    <w:rsid w:val="00653568"/>
    <w:rsid w:val="00653767"/>
    <w:rsid w:val="0065376C"/>
    <w:rsid w:val="006537D0"/>
    <w:rsid w:val="00653900"/>
    <w:rsid w:val="00653F66"/>
    <w:rsid w:val="00653FC4"/>
    <w:rsid w:val="0065406E"/>
    <w:rsid w:val="0065418A"/>
    <w:rsid w:val="006549D0"/>
    <w:rsid w:val="00654A3B"/>
    <w:rsid w:val="00654EB4"/>
    <w:rsid w:val="00654F91"/>
    <w:rsid w:val="00655361"/>
    <w:rsid w:val="006553CE"/>
    <w:rsid w:val="00655418"/>
    <w:rsid w:val="00655472"/>
    <w:rsid w:val="00655810"/>
    <w:rsid w:val="00655CF6"/>
    <w:rsid w:val="00655D12"/>
    <w:rsid w:val="00655DA5"/>
    <w:rsid w:val="00656005"/>
    <w:rsid w:val="00656172"/>
    <w:rsid w:val="00656253"/>
    <w:rsid w:val="00656366"/>
    <w:rsid w:val="006563DA"/>
    <w:rsid w:val="00656530"/>
    <w:rsid w:val="00656707"/>
    <w:rsid w:val="00656799"/>
    <w:rsid w:val="00656B6D"/>
    <w:rsid w:val="00656B77"/>
    <w:rsid w:val="00656E72"/>
    <w:rsid w:val="006578A1"/>
    <w:rsid w:val="0065799A"/>
    <w:rsid w:val="00660135"/>
    <w:rsid w:val="0066019C"/>
    <w:rsid w:val="00660305"/>
    <w:rsid w:val="00660353"/>
    <w:rsid w:val="00660569"/>
    <w:rsid w:val="00660628"/>
    <w:rsid w:val="0066065F"/>
    <w:rsid w:val="00661048"/>
    <w:rsid w:val="0066137B"/>
    <w:rsid w:val="0066146C"/>
    <w:rsid w:val="006616A4"/>
    <w:rsid w:val="0066174E"/>
    <w:rsid w:val="00661794"/>
    <w:rsid w:val="006617FB"/>
    <w:rsid w:val="00661B71"/>
    <w:rsid w:val="00661B8B"/>
    <w:rsid w:val="00661BBB"/>
    <w:rsid w:val="00661E57"/>
    <w:rsid w:val="0066213B"/>
    <w:rsid w:val="00662804"/>
    <w:rsid w:val="006629E4"/>
    <w:rsid w:val="00662BAF"/>
    <w:rsid w:val="00662D20"/>
    <w:rsid w:val="006630BE"/>
    <w:rsid w:val="00663783"/>
    <w:rsid w:val="00663902"/>
    <w:rsid w:val="00663D4E"/>
    <w:rsid w:val="00663D5D"/>
    <w:rsid w:val="00663E47"/>
    <w:rsid w:val="00664246"/>
    <w:rsid w:val="006643CC"/>
    <w:rsid w:val="006644A7"/>
    <w:rsid w:val="006645CC"/>
    <w:rsid w:val="006648D1"/>
    <w:rsid w:val="00664A1C"/>
    <w:rsid w:val="00664AC1"/>
    <w:rsid w:val="00664AFC"/>
    <w:rsid w:val="00664BDE"/>
    <w:rsid w:val="006651B2"/>
    <w:rsid w:val="00665543"/>
    <w:rsid w:val="00665554"/>
    <w:rsid w:val="0066565B"/>
    <w:rsid w:val="006656DB"/>
    <w:rsid w:val="00665BBB"/>
    <w:rsid w:val="00665C44"/>
    <w:rsid w:val="00665EAC"/>
    <w:rsid w:val="00666284"/>
    <w:rsid w:val="00666404"/>
    <w:rsid w:val="006667F3"/>
    <w:rsid w:val="00666D2C"/>
    <w:rsid w:val="00666E64"/>
    <w:rsid w:val="00666E8A"/>
    <w:rsid w:val="00667125"/>
    <w:rsid w:val="0066735D"/>
    <w:rsid w:val="00667509"/>
    <w:rsid w:val="006675F2"/>
    <w:rsid w:val="0066763C"/>
    <w:rsid w:val="00667AEA"/>
    <w:rsid w:val="00667D01"/>
    <w:rsid w:val="00667E10"/>
    <w:rsid w:val="00667F3E"/>
    <w:rsid w:val="0067043F"/>
    <w:rsid w:val="006704FA"/>
    <w:rsid w:val="00670588"/>
    <w:rsid w:val="00670687"/>
    <w:rsid w:val="00670967"/>
    <w:rsid w:val="006709EF"/>
    <w:rsid w:val="00670C70"/>
    <w:rsid w:val="00670CA7"/>
    <w:rsid w:val="00670DC5"/>
    <w:rsid w:val="00671236"/>
    <w:rsid w:val="00671275"/>
    <w:rsid w:val="0067152A"/>
    <w:rsid w:val="00671579"/>
    <w:rsid w:val="00671652"/>
    <w:rsid w:val="006716C3"/>
    <w:rsid w:val="00671722"/>
    <w:rsid w:val="00671844"/>
    <w:rsid w:val="00671A9B"/>
    <w:rsid w:val="00671B08"/>
    <w:rsid w:val="00671B77"/>
    <w:rsid w:val="00671E36"/>
    <w:rsid w:val="00671FAA"/>
    <w:rsid w:val="0067203C"/>
    <w:rsid w:val="006721BB"/>
    <w:rsid w:val="00672302"/>
    <w:rsid w:val="00672307"/>
    <w:rsid w:val="00673092"/>
    <w:rsid w:val="00673521"/>
    <w:rsid w:val="00673882"/>
    <w:rsid w:val="0067395D"/>
    <w:rsid w:val="006743C4"/>
    <w:rsid w:val="006744A1"/>
    <w:rsid w:val="006745BC"/>
    <w:rsid w:val="00674CBF"/>
    <w:rsid w:val="00674DBE"/>
    <w:rsid w:val="00674F46"/>
    <w:rsid w:val="00674F77"/>
    <w:rsid w:val="0067526E"/>
    <w:rsid w:val="006754CA"/>
    <w:rsid w:val="00675B93"/>
    <w:rsid w:val="00675C8E"/>
    <w:rsid w:val="00675DA5"/>
    <w:rsid w:val="00675DD4"/>
    <w:rsid w:val="00675F0A"/>
    <w:rsid w:val="006760D3"/>
    <w:rsid w:val="00676319"/>
    <w:rsid w:val="006768A7"/>
    <w:rsid w:val="006769BF"/>
    <w:rsid w:val="00676B0A"/>
    <w:rsid w:val="0067716C"/>
    <w:rsid w:val="006771AA"/>
    <w:rsid w:val="006773F6"/>
    <w:rsid w:val="006776D7"/>
    <w:rsid w:val="00677715"/>
    <w:rsid w:val="00677735"/>
    <w:rsid w:val="00677867"/>
    <w:rsid w:val="00677E40"/>
    <w:rsid w:val="00677E90"/>
    <w:rsid w:val="00677F1F"/>
    <w:rsid w:val="00680482"/>
    <w:rsid w:val="0068071E"/>
    <w:rsid w:val="00680842"/>
    <w:rsid w:val="006808BC"/>
    <w:rsid w:val="006808DC"/>
    <w:rsid w:val="00680AD4"/>
    <w:rsid w:val="00680AFE"/>
    <w:rsid w:val="00681050"/>
    <w:rsid w:val="0068108E"/>
    <w:rsid w:val="006812F1"/>
    <w:rsid w:val="006813D5"/>
    <w:rsid w:val="00681594"/>
    <w:rsid w:val="006816B6"/>
    <w:rsid w:val="006817E2"/>
    <w:rsid w:val="00681A8B"/>
    <w:rsid w:val="00681BDF"/>
    <w:rsid w:val="00681C3A"/>
    <w:rsid w:val="00681C68"/>
    <w:rsid w:val="00681DB9"/>
    <w:rsid w:val="00681F34"/>
    <w:rsid w:val="006820EB"/>
    <w:rsid w:val="00682122"/>
    <w:rsid w:val="00682128"/>
    <w:rsid w:val="0068220C"/>
    <w:rsid w:val="00682257"/>
    <w:rsid w:val="0068286A"/>
    <w:rsid w:val="00682939"/>
    <w:rsid w:val="00682AB1"/>
    <w:rsid w:val="00682E58"/>
    <w:rsid w:val="00682E9F"/>
    <w:rsid w:val="00682F77"/>
    <w:rsid w:val="00683130"/>
    <w:rsid w:val="00683252"/>
    <w:rsid w:val="00683353"/>
    <w:rsid w:val="006833D6"/>
    <w:rsid w:val="0068343A"/>
    <w:rsid w:val="00683484"/>
    <w:rsid w:val="006834D4"/>
    <w:rsid w:val="006835BB"/>
    <w:rsid w:val="006837C0"/>
    <w:rsid w:val="00683E04"/>
    <w:rsid w:val="00683F70"/>
    <w:rsid w:val="00684012"/>
    <w:rsid w:val="006840B2"/>
    <w:rsid w:val="0068413D"/>
    <w:rsid w:val="0068449F"/>
    <w:rsid w:val="006844BA"/>
    <w:rsid w:val="006845A2"/>
    <w:rsid w:val="0068490A"/>
    <w:rsid w:val="00684BA6"/>
    <w:rsid w:val="00684BF8"/>
    <w:rsid w:val="00684D9B"/>
    <w:rsid w:val="00685370"/>
    <w:rsid w:val="00685405"/>
    <w:rsid w:val="0068555E"/>
    <w:rsid w:val="00685739"/>
    <w:rsid w:val="0068581F"/>
    <w:rsid w:val="006858AA"/>
    <w:rsid w:val="00685B79"/>
    <w:rsid w:val="00685BCF"/>
    <w:rsid w:val="00686068"/>
    <w:rsid w:val="00686178"/>
    <w:rsid w:val="00686533"/>
    <w:rsid w:val="006867C4"/>
    <w:rsid w:val="0068698A"/>
    <w:rsid w:val="00686B6C"/>
    <w:rsid w:val="00686C88"/>
    <w:rsid w:val="00686D28"/>
    <w:rsid w:val="00687069"/>
    <w:rsid w:val="006870A9"/>
    <w:rsid w:val="006871D0"/>
    <w:rsid w:val="006874EB"/>
    <w:rsid w:val="0068751F"/>
    <w:rsid w:val="006877AA"/>
    <w:rsid w:val="006878F7"/>
    <w:rsid w:val="00687A8C"/>
    <w:rsid w:val="00687B7C"/>
    <w:rsid w:val="00687D60"/>
    <w:rsid w:val="00687F55"/>
    <w:rsid w:val="00690015"/>
    <w:rsid w:val="006900D1"/>
    <w:rsid w:val="00690297"/>
    <w:rsid w:val="006903D5"/>
    <w:rsid w:val="006903FD"/>
    <w:rsid w:val="006905B5"/>
    <w:rsid w:val="006907C0"/>
    <w:rsid w:val="00690A98"/>
    <w:rsid w:val="00690DD0"/>
    <w:rsid w:val="00690F9D"/>
    <w:rsid w:val="0069112F"/>
    <w:rsid w:val="0069115A"/>
    <w:rsid w:val="006912F1"/>
    <w:rsid w:val="00691316"/>
    <w:rsid w:val="00691387"/>
    <w:rsid w:val="006913FB"/>
    <w:rsid w:val="0069167E"/>
    <w:rsid w:val="00692194"/>
    <w:rsid w:val="00692589"/>
    <w:rsid w:val="0069269D"/>
    <w:rsid w:val="006927C3"/>
    <w:rsid w:val="006927F2"/>
    <w:rsid w:val="006929EF"/>
    <w:rsid w:val="00692D2E"/>
    <w:rsid w:val="00692E72"/>
    <w:rsid w:val="006931E1"/>
    <w:rsid w:val="0069323E"/>
    <w:rsid w:val="0069345C"/>
    <w:rsid w:val="006935B6"/>
    <w:rsid w:val="006936A1"/>
    <w:rsid w:val="00693A02"/>
    <w:rsid w:val="00693AFA"/>
    <w:rsid w:val="00694130"/>
    <w:rsid w:val="0069413A"/>
    <w:rsid w:val="00694310"/>
    <w:rsid w:val="006943B1"/>
    <w:rsid w:val="006944BB"/>
    <w:rsid w:val="006945EC"/>
    <w:rsid w:val="00694700"/>
    <w:rsid w:val="00694718"/>
    <w:rsid w:val="0069473E"/>
    <w:rsid w:val="00694803"/>
    <w:rsid w:val="00694901"/>
    <w:rsid w:val="00694960"/>
    <w:rsid w:val="00694A4A"/>
    <w:rsid w:val="00694CE8"/>
    <w:rsid w:val="00694FA3"/>
    <w:rsid w:val="0069531C"/>
    <w:rsid w:val="0069548A"/>
    <w:rsid w:val="00695591"/>
    <w:rsid w:val="0069569E"/>
    <w:rsid w:val="006956C6"/>
    <w:rsid w:val="006957D3"/>
    <w:rsid w:val="00695925"/>
    <w:rsid w:val="006959F4"/>
    <w:rsid w:val="00696029"/>
    <w:rsid w:val="00696071"/>
    <w:rsid w:val="0069657E"/>
    <w:rsid w:val="006966AA"/>
    <w:rsid w:val="006967A8"/>
    <w:rsid w:val="00696875"/>
    <w:rsid w:val="0069692A"/>
    <w:rsid w:val="00696D0D"/>
    <w:rsid w:val="00696E54"/>
    <w:rsid w:val="00696EE3"/>
    <w:rsid w:val="00696F49"/>
    <w:rsid w:val="0069715D"/>
    <w:rsid w:val="00697392"/>
    <w:rsid w:val="006973E5"/>
    <w:rsid w:val="0069764F"/>
    <w:rsid w:val="00697664"/>
    <w:rsid w:val="00697681"/>
    <w:rsid w:val="0069770C"/>
    <w:rsid w:val="00697743"/>
    <w:rsid w:val="0069777A"/>
    <w:rsid w:val="00697918"/>
    <w:rsid w:val="00697AB8"/>
    <w:rsid w:val="00697B0F"/>
    <w:rsid w:val="00697E85"/>
    <w:rsid w:val="006A08F2"/>
    <w:rsid w:val="006A0A5D"/>
    <w:rsid w:val="006A0B56"/>
    <w:rsid w:val="006A10DE"/>
    <w:rsid w:val="006A151A"/>
    <w:rsid w:val="006A1709"/>
    <w:rsid w:val="006A1720"/>
    <w:rsid w:val="006A17B9"/>
    <w:rsid w:val="006A183A"/>
    <w:rsid w:val="006A1CAC"/>
    <w:rsid w:val="006A1E1D"/>
    <w:rsid w:val="006A1E62"/>
    <w:rsid w:val="006A218C"/>
    <w:rsid w:val="006A2209"/>
    <w:rsid w:val="006A221A"/>
    <w:rsid w:val="006A2294"/>
    <w:rsid w:val="006A240E"/>
    <w:rsid w:val="006A24D9"/>
    <w:rsid w:val="006A259C"/>
    <w:rsid w:val="006A272F"/>
    <w:rsid w:val="006A2837"/>
    <w:rsid w:val="006A2A12"/>
    <w:rsid w:val="006A2E9C"/>
    <w:rsid w:val="006A2EED"/>
    <w:rsid w:val="006A2FE1"/>
    <w:rsid w:val="006A3123"/>
    <w:rsid w:val="006A31D5"/>
    <w:rsid w:val="006A3232"/>
    <w:rsid w:val="006A3285"/>
    <w:rsid w:val="006A3520"/>
    <w:rsid w:val="006A35E0"/>
    <w:rsid w:val="006A377F"/>
    <w:rsid w:val="006A384A"/>
    <w:rsid w:val="006A3875"/>
    <w:rsid w:val="006A3A72"/>
    <w:rsid w:val="006A3CF0"/>
    <w:rsid w:val="006A3D40"/>
    <w:rsid w:val="006A3EBE"/>
    <w:rsid w:val="006A3F68"/>
    <w:rsid w:val="006A3FB6"/>
    <w:rsid w:val="006A445F"/>
    <w:rsid w:val="006A460B"/>
    <w:rsid w:val="006A4830"/>
    <w:rsid w:val="006A49A4"/>
    <w:rsid w:val="006A49E6"/>
    <w:rsid w:val="006A4A08"/>
    <w:rsid w:val="006A4BC1"/>
    <w:rsid w:val="006A4D55"/>
    <w:rsid w:val="006A5185"/>
    <w:rsid w:val="006A542B"/>
    <w:rsid w:val="006A561D"/>
    <w:rsid w:val="006A5629"/>
    <w:rsid w:val="006A56C9"/>
    <w:rsid w:val="006A599B"/>
    <w:rsid w:val="006A5A0C"/>
    <w:rsid w:val="006A5BA0"/>
    <w:rsid w:val="006A5BB1"/>
    <w:rsid w:val="006A5CD5"/>
    <w:rsid w:val="006A5F88"/>
    <w:rsid w:val="006A6612"/>
    <w:rsid w:val="006A68E2"/>
    <w:rsid w:val="006A6909"/>
    <w:rsid w:val="006A6A8E"/>
    <w:rsid w:val="006A6C38"/>
    <w:rsid w:val="006A6D1A"/>
    <w:rsid w:val="006A747E"/>
    <w:rsid w:val="006A76C5"/>
    <w:rsid w:val="006A7AA7"/>
    <w:rsid w:val="006A7D95"/>
    <w:rsid w:val="006A7E6C"/>
    <w:rsid w:val="006B0074"/>
    <w:rsid w:val="006B00B1"/>
    <w:rsid w:val="006B00FB"/>
    <w:rsid w:val="006B0112"/>
    <w:rsid w:val="006B0A69"/>
    <w:rsid w:val="006B0A89"/>
    <w:rsid w:val="006B0CC1"/>
    <w:rsid w:val="006B11A3"/>
    <w:rsid w:val="006B120D"/>
    <w:rsid w:val="006B1268"/>
    <w:rsid w:val="006B12CA"/>
    <w:rsid w:val="006B13C1"/>
    <w:rsid w:val="006B195F"/>
    <w:rsid w:val="006B1FC7"/>
    <w:rsid w:val="006B2012"/>
    <w:rsid w:val="006B226A"/>
    <w:rsid w:val="006B24DA"/>
    <w:rsid w:val="006B25E6"/>
    <w:rsid w:val="006B2669"/>
    <w:rsid w:val="006B2834"/>
    <w:rsid w:val="006B2AF7"/>
    <w:rsid w:val="006B2CC7"/>
    <w:rsid w:val="006B2CEB"/>
    <w:rsid w:val="006B3AF9"/>
    <w:rsid w:val="006B3DDA"/>
    <w:rsid w:val="006B413E"/>
    <w:rsid w:val="006B44C5"/>
    <w:rsid w:val="006B4540"/>
    <w:rsid w:val="006B471F"/>
    <w:rsid w:val="006B48E0"/>
    <w:rsid w:val="006B490D"/>
    <w:rsid w:val="006B4A15"/>
    <w:rsid w:val="006B4C7F"/>
    <w:rsid w:val="006B4F9B"/>
    <w:rsid w:val="006B51D4"/>
    <w:rsid w:val="006B52A9"/>
    <w:rsid w:val="006B5426"/>
    <w:rsid w:val="006B5515"/>
    <w:rsid w:val="006B555F"/>
    <w:rsid w:val="006B5897"/>
    <w:rsid w:val="006B5899"/>
    <w:rsid w:val="006B58C5"/>
    <w:rsid w:val="006B595E"/>
    <w:rsid w:val="006B5A03"/>
    <w:rsid w:val="006B6242"/>
    <w:rsid w:val="006B63DE"/>
    <w:rsid w:val="006B6773"/>
    <w:rsid w:val="006B6ACB"/>
    <w:rsid w:val="006B6B36"/>
    <w:rsid w:val="006B6B45"/>
    <w:rsid w:val="006B6C2C"/>
    <w:rsid w:val="006B6C7C"/>
    <w:rsid w:val="006B6EA4"/>
    <w:rsid w:val="006B6F2B"/>
    <w:rsid w:val="006B6F6B"/>
    <w:rsid w:val="006B77BB"/>
    <w:rsid w:val="006B78A4"/>
    <w:rsid w:val="006B78CA"/>
    <w:rsid w:val="006B7F5F"/>
    <w:rsid w:val="006B7F8F"/>
    <w:rsid w:val="006B7FC5"/>
    <w:rsid w:val="006C022D"/>
    <w:rsid w:val="006C02E7"/>
    <w:rsid w:val="006C055E"/>
    <w:rsid w:val="006C0CD4"/>
    <w:rsid w:val="006C0D13"/>
    <w:rsid w:val="006C0F83"/>
    <w:rsid w:val="006C0F96"/>
    <w:rsid w:val="006C16D0"/>
    <w:rsid w:val="006C187F"/>
    <w:rsid w:val="006C19BC"/>
    <w:rsid w:val="006C19C1"/>
    <w:rsid w:val="006C19D5"/>
    <w:rsid w:val="006C1A58"/>
    <w:rsid w:val="006C1B0A"/>
    <w:rsid w:val="006C1B44"/>
    <w:rsid w:val="006C1C62"/>
    <w:rsid w:val="006C1F77"/>
    <w:rsid w:val="006C202C"/>
    <w:rsid w:val="006C2211"/>
    <w:rsid w:val="006C2216"/>
    <w:rsid w:val="006C2367"/>
    <w:rsid w:val="006C2786"/>
    <w:rsid w:val="006C2794"/>
    <w:rsid w:val="006C27BD"/>
    <w:rsid w:val="006C2A16"/>
    <w:rsid w:val="006C2A6C"/>
    <w:rsid w:val="006C2EC1"/>
    <w:rsid w:val="006C2FAF"/>
    <w:rsid w:val="006C3031"/>
    <w:rsid w:val="006C3069"/>
    <w:rsid w:val="006C3094"/>
    <w:rsid w:val="006C31D5"/>
    <w:rsid w:val="006C32C1"/>
    <w:rsid w:val="006C3607"/>
    <w:rsid w:val="006C3888"/>
    <w:rsid w:val="006C3927"/>
    <w:rsid w:val="006C3990"/>
    <w:rsid w:val="006C3C21"/>
    <w:rsid w:val="006C3ED2"/>
    <w:rsid w:val="006C3F78"/>
    <w:rsid w:val="006C409D"/>
    <w:rsid w:val="006C4233"/>
    <w:rsid w:val="006C42E7"/>
    <w:rsid w:val="006C4422"/>
    <w:rsid w:val="006C448D"/>
    <w:rsid w:val="006C45F5"/>
    <w:rsid w:val="006C4700"/>
    <w:rsid w:val="006C484D"/>
    <w:rsid w:val="006C4D09"/>
    <w:rsid w:val="006C50E0"/>
    <w:rsid w:val="006C5198"/>
    <w:rsid w:val="006C5567"/>
    <w:rsid w:val="006C5848"/>
    <w:rsid w:val="006C5A02"/>
    <w:rsid w:val="006C5CCA"/>
    <w:rsid w:val="006C625F"/>
    <w:rsid w:val="006C6415"/>
    <w:rsid w:val="006C641D"/>
    <w:rsid w:val="006C6774"/>
    <w:rsid w:val="006C689C"/>
    <w:rsid w:val="006C6E3C"/>
    <w:rsid w:val="006C6E41"/>
    <w:rsid w:val="006C70DA"/>
    <w:rsid w:val="006C715F"/>
    <w:rsid w:val="006C7261"/>
    <w:rsid w:val="006C7282"/>
    <w:rsid w:val="006C78A6"/>
    <w:rsid w:val="006C7AB4"/>
    <w:rsid w:val="006C7BF0"/>
    <w:rsid w:val="006C7D6A"/>
    <w:rsid w:val="006C7E65"/>
    <w:rsid w:val="006D006B"/>
    <w:rsid w:val="006D03C3"/>
    <w:rsid w:val="006D0475"/>
    <w:rsid w:val="006D09D5"/>
    <w:rsid w:val="006D0BF4"/>
    <w:rsid w:val="006D0EF7"/>
    <w:rsid w:val="006D105C"/>
    <w:rsid w:val="006D11FD"/>
    <w:rsid w:val="006D1460"/>
    <w:rsid w:val="006D188C"/>
    <w:rsid w:val="006D1AAC"/>
    <w:rsid w:val="006D1B6F"/>
    <w:rsid w:val="006D1B97"/>
    <w:rsid w:val="006D1F18"/>
    <w:rsid w:val="006D218B"/>
    <w:rsid w:val="006D245C"/>
    <w:rsid w:val="006D2474"/>
    <w:rsid w:val="006D25D8"/>
    <w:rsid w:val="006D29FE"/>
    <w:rsid w:val="006D2BFC"/>
    <w:rsid w:val="006D2C70"/>
    <w:rsid w:val="006D2D86"/>
    <w:rsid w:val="006D3087"/>
    <w:rsid w:val="006D30D1"/>
    <w:rsid w:val="006D30E7"/>
    <w:rsid w:val="006D32B4"/>
    <w:rsid w:val="006D334F"/>
    <w:rsid w:val="006D3533"/>
    <w:rsid w:val="006D359F"/>
    <w:rsid w:val="006D3A5D"/>
    <w:rsid w:val="006D3B23"/>
    <w:rsid w:val="006D3CC6"/>
    <w:rsid w:val="006D4568"/>
    <w:rsid w:val="006D4889"/>
    <w:rsid w:val="006D48E7"/>
    <w:rsid w:val="006D48F5"/>
    <w:rsid w:val="006D4947"/>
    <w:rsid w:val="006D498E"/>
    <w:rsid w:val="006D4E07"/>
    <w:rsid w:val="006D5102"/>
    <w:rsid w:val="006D51F8"/>
    <w:rsid w:val="006D5786"/>
    <w:rsid w:val="006D5AAE"/>
    <w:rsid w:val="006D5F16"/>
    <w:rsid w:val="006D5F63"/>
    <w:rsid w:val="006D62CE"/>
    <w:rsid w:val="006D6300"/>
    <w:rsid w:val="006D63AD"/>
    <w:rsid w:val="006D64E9"/>
    <w:rsid w:val="006D6630"/>
    <w:rsid w:val="006D6764"/>
    <w:rsid w:val="006D67D9"/>
    <w:rsid w:val="006D6839"/>
    <w:rsid w:val="006D6914"/>
    <w:rsid w:val="006D6B01"/>
    <w:rsid w:val="006D6BFC"/>
    <w:rsid w:val="006D6C93"/>
    <w:rsid w:val="006D6E31"/>
    <w:rsid w:val="006D6F6E"/>
    <w:rsid w:val="006D7573"/>
    <w:rsid w:val="006D770D"/>
    <w:rsid w:val="006D7A78"/>
    <w:rsid w:val="006D7D00"/>
    <w:rsid w:val="006E0340"/>
    <w:rsid w:val="006E0397"/>
    <w:rsid w:val="006E0468"/>
    <w:rsid w:val="006E06F9"/>
    <w:rsid w:val="006E07A9"/>
    <w:rsid w:val="006E08A2"/>
    <w:rsid w:val="006E0A4E"/>
    <w:rsid w:val="006E0D91"/>
    <w:rsid w:val="006E0E34"/>
    <w:rsid w:val="006E0EDB"/>
    <w:rsid w:val="006E1100"/>
    <w:rsid w:val="006E116E"/>
    <w:rsid w:val="006E152E"/>
    <w:rsid w:val="006E1706"/>
    <w:rsid w:val="006E1891"/>
    <w:rsid w:val="006E18C3"/>
    <w:rsid w:val="006E1AD1"/>
    <w:rsid w:val="006E27AF"/>
    <w:rsid w:val="006E282A"/>
    <w:rsid w:val="006E2BC9"/>
    <w:rsid w:val="006E2D2F"/>
    <w:rsid w:val="006E2E71"/>
    <w:rsid w:val="006E2EF7"/>
    <w:rsid w:val="006E3218"/>
    <w:rsid w:val="006E343B"/>
    <w:rsid w:val="006E3740"/>
    <w:rsid w:val="006E37BC"/>
    <w:rsid w:val="006E37C5"/>
    <w:rsid w:val="006E3CB2"/>
    <w:rsid w:val="006E3DA8"/>
    <w:rsid w:val="006E425A"/>
    <w:rsid w:val="006E4A29"/>
    <w:rsid w:val="006E4B27"/>
    <w:rsid w:val="006E4B7D"/>
    <w:rsid w:val="006E4E8E"/>
    <w:rsid w:val="006E51DB"/>
    <w:rsid w:val="006E53F0"/>
    <w:rsid w:val="006E54C6"/>
    <w:rsid w:val="006E59D9"/>
    <w:rsid w:val="006E5B03"/>
    <w:rsid w:val="006E5B36"/>
    <w:rsid w:val="006E5C58"/>
    <w:rsid w:val="006E5CDF"/>
    <w:rsid w:val="006E5CE7"/>
    <w:rsid w:val="006E5DAA"/>
    <w:rsid w:val="006E5E4C"/>
    <w:rsid w:val="006E5E73"/>
    <w:rsid w:val="006E608D"/>
    <w:rsid w:val="006E6416"/>
    <w:rsid w:val="006E6495"/>
    <w:rsid w:val="006E6584"/>
    <w:rsid w:val="006E665E"/>
    <w:rsid w:val="006E67B5"/>
    <w:rsid w:val="006E6943"/>
    <w:rsid w:val="006E69AD"/>
    <w:rsid w:val="006E6C5B"/>
    <w:rsid w:val="006E6C67"/>
    <w:rsid w:val="006E6E0F"/>
    <w:rsid w:val="006E7006"/>
    <w:rsid w:val="006E71C2"/>
    <w:rsid w:val="006E740B"/>
    <w:rsid w:val="006E7720"/>
    <w:rsid w:val="006E775C"/>
    <w:rsid w:val="006E7BF4"/>
    <w:rsid w:val="006F00E7"/>
    <w:rsid w:val="006F0205"/>
    <w:rsid w:val="006F06AF"/>
    <w:rsid w:val="006F0CA6"/>
    <w:rsid w:val="006F0CAF"/>
    <w:rsid w:val="006F0F6E"/>
    <w:rsid w:val="006F0F94"/>
    <w:rsid w:val="006F12A0"/>
    <w:rsid w:val="006F13C0"/>
    <w:rsid w:val="006F16BD"/>
    <w:rsid w:val="006F1869"/>
    <w:rsid w:val="006F1AD5"/>
    <w:rsid w:val="006F1B22"/>
    <w:rsid w:val="006F1BA4"/>
    <w:rsid w:val="006F2259"/>
    <w:rsid w:val="006F23E1"/>
    <w:rsid w:val="006F25CD"/>
    <w:rsid w:val="006F2D72"/>
    <w:rsid w:val="006F2E87"/>
    <w:rsid w:val="006F2F8F"/>
    <w:rsid w:val="006F2FDA"/>
    <w:rsid w:val="006F2FE5"/>
    <w:rsid w:val="006F317C"/>
    <w:rsid w:val="006F319B"/>
    <w:rsid w:val="006F327D"/>
    <w:rsid w:val="006F342D"/>
    <w:rsid w:val="006F3460"/>
    <w:rsid w:val="006F34FE"/>
    <w:rsid w:val="006F35BB"/>
    <w:rsid w:val="006F3615"/>
    <w:rsid w:val="006F39C9"/>
    <w:rsid w:val="006F3C1F"/>
    <w:rsid w:val="006F3EDA"/>
    <w:rsid w:val="006F3F0F"/>
    <w:rsid w:val="006F3FA3"/>
    <w:rsid w:val="006F402D"/>
    <w:rsid w:val="006F4286"/>
    <w:rsid w:val="006F458C"/>
    <w:rsid w:val="006F4594"/>
    <w:rsid w:val="006F4642"/>
    <w:rsid w:val="006F46C5"/>
    <w:rsid w:val="006F47D2"/>
    <w:rsid w:val="006F48BA"/>
    <w:rsid w:val="006F4AF9"/>
    <w:rsid w:val="006F4BAF"/>
    <w:rsid w:val="006F5368"/>
    <w:rsid w:val="006F54D0"/>
    <w:rsid w:val="006F54EB"/>
    <w:rsid w:val="006F5812"/>
    <w:rsid w:val="006F5986"/>
    <w:rsid w:val="006F5A80"/>
    <w:rsid w:val="006F5AE5"/>
    <w:rsid w:val="006F5B5F"/>
    <w:rsid w:val="006F5CC1"/>
    <w:rsid w:val="006F65C3"/>
    <w:rsid w:val="006F65DC"/>
    <w:rsid w:val="006F673D"/>
    <w:rsid w:val="006F67A5"/>
    <w:rsid w:val="006F6B2F"/>
    <w:rsid w:val="006F6BF8"/>
    <w:rsid w:val="006F6DCD"/>
    <w:rsid w:val="006F7079"/>
    <w:rsid w:val="006F70CB"/>
    <w:rsid w:val="006F7304"/>
    <w:rsid w:val="006F74F5"/>
    <w:rsid w:val="006F762D"/>
    <w:rsid w:val="006F78A4"/>
    <w:rsid w:val="006F79F7"/>
    <w:rsid w:val="006F7A63"/>
    <w:rsid w:val="006F7C4F"/>
    <w:rsid w:val="006F7D2F"/>
    <w:rsid w:val="006F7D9E"/>
    <w:rsid w:val="006F7EB0"/>
    <w:rsid w:val="00700463"/>
    <w:rsid w:val="00700492"/>
    <w:rsid w:val="00700546"/>
    <w:rsid w:val="00700577"/>
    <w:rsid w:val="0070077E"/>
    <w:rsid w:val="0070078C"/>
    <w:rsid w:val="00700920"/>
    <w:rsid w:val="00700CB9"/>
    <w:rsid w:val="00700ED0"/>
    <w:rsid w:val="007011E5"/>
    <w:rsid w:val="00701440"/>
    <w:rsid w:val="00701628"/>
    <w:rsid w:val="0070167E"/>
    <w:rsid w:val="0070193E"/>
    <w:rsid w:val="00701CBA"/>
    <w:rsid w:val="00701E1B"/>
    <w:rsid w:val="0070257E"/>
    <w:rsid w:val="00702667"/>
    <w:rsid w:val="007026A1"/>
    <w:rsid w:val="007026D2"/>
    <w:rsid w:val="00702755"/>
    <w:rsid w:val="00702B71"/>
    <w:rsid w:val="00702BBA"/>
    <w:rsid w:val="00702D6D"/>
    <w:rsid w:val="00702D91"/>
    <w:rsid w:val="00702E4C"/>
    <w:rsid w:val="00702ED0"/>
    <w:rsid w:val="00702FC2"/>
    <w:rsid w:val="007032F7"/>
    <w:rsid w:val="007033AD"/>
    <w:rsid w:val="007033FF"/>
    <w:rsid w:val="00703483"/>
    <w:rsid w:val="0070364F"/>
    <w:rsid w:val="0070374B"/>
    <w:rsid w:val="00703C09"/>
    <w:rsid w:val="00703CD8"/>
    <w:rsid w:val="00703FCB"/>
    <w:rsid w:val="00704004"/>
    <w:rsid w:val="00704126"/>
    <w:rsid w:val="007041F5"/>
    <w:rsid w:val="0070434A"/>
    <w:rsid w:val="0070435F"/>
    <w:rsid w:val="007046A1"/>
    <w:rsid w:val="007048B4"/>
    <w:rsid w:val="007048C4"/>
    <w:rsid w:val="007048F3"/>
    <w:rsid w:val="00704A6A"/>
    <w:rsid w:val="00704CC4"/>
    <w:rsid w:val="00704CD9"/>
    <w:rsid w:val="00704ED7"/>
    <w:rsid w:val="00705327"/>
    <w:rsid w:val="00705345"/>
    <w:rsid w:val="007054AB"/>
    <w:rsid w:val="00705526"/>
    <w:rsid w:val="0070558A"/>
    <w:rsid w:val="007055FD"/>
    <w:rsid w:val="00705721"/>
    <w:rsid w:val="0070595C"/>
    <w:rsid w:val="007059C6"/>
    <w:rsid w:val="00705A93"/>
    <w:rsid w:val="00705B7E"/>
    <w:rsid w:val="00705EF2"/>
    <w:rsid w:val="00706194"/>
    <w:rsid w:val="00706276"/>
    <w:rsid w:val="0070629E"/>
    <w:rsid w:val="0070638D"/>
    <w:rsid w:val="00706486"/>
    <w:rsid w:val="007064B1"/>
    <w:rsid w:val="00706DBF"/>
    <w:rsid w:val="00706E1A"/>
    <w:rsid w:val="00706F24"/>
    <w:rsid w:val="00707485"/>
    <w:rsid w:val="0070748C"/>
    <w:rsid w:val="00707705"/>
    <w:rsid w:val="007079C8"/>
    <w:rsid w:val="00707A59"/>
    <w:rsid w:val="00707B15"/>
    <w:rsid w:val="00707BDF"/>
    <w:rsid w:val="00707F99"/>
    <w:rsid w:val="007101B7"/>
    <w:rsid w:val="0071046B"/>
    <w:rsid w:val="00710AC6"/>
    <w:rsid w:val="00710C1D"/>
    <w:rsid w:val="0071107C"/>
    <w:rsid w:val="007110A3"/>
    <w:rsid w:val="00711108"/>
    <w:rsid w:val="00711209"/>
    <w:rsid w:val="00711213"/>
    <w:rsid w:val="0071129F"/>
    <w:rsid w:val="007112A1"/>
    <w:rsid w:val="00711996"/>
    <w:rsid w:val="00711B3B"/>
    <w:rsid w:val="00711B4D"/>
    <w:rsid w:val="00711BA3"/>
    <w:rsid w:val="00711C9D"/>
    <w:rsid w:val="00711EB6"/>
    <w:rsid w:val="00711EC5"/>
    <w:rsid w:val="00711FCF"/>
    <w:rsid w:val="00712064"/>
    <w:rsid w:val="007124F7"/>
    <w:rsid w:val="00712674"/>
    <w:rsid w:val="0071267E"/>
    <w:rsid w:val="007128DD"/>
    <w:rsid w:val="00712B71"/>
    <w:rsid w:val="00712DD4"/>
    <w:rsid w:val="00712E55"/>
    <w:rsid w:val="00712ED3"/>
    <w:rsid w:val="00712F38"/>
    <w:rsid w:val="00713023"/>
    <w:rsid w:val="0071322C"/>
    <w:rsid w:val="00713511"/>
    <w:rsid w:val="00713636"/>
    <w:rsid w:val="00713779"/>
    <w:rsid w:val="007137E9"/>
    <w:rsid w:val="007138EF"/>
    <w:rsid w:val="00713989"/>
    <w:rsid w:val="00713A54"/>
    <w:rsid w:val="00713A5C"/>
    <w:rsid w:val="00713BC8"/>
    <w:rsid w:val="00713DCF"/>
    <w:rsid w:val="00713E6D"/>
    <w:rsid w:val="00714004"/>
    <w:rsid w:val="007142E0"/>
    <w:rsid w:val="0071458E"/>
    <w:rsid w:val="007145C9"/>
    <w:rsid w:val="00714631"/>
    <w:rsid w:val="0071470A"/>
    <w:rsid w:val="0071472D"/>
    <w:rsid w:val="0071485A"/>
    <w:rsid w:val="007148E2"/>
    <w:rsid w:val="00714A02"/>
    <w:rsid w:val="00714B6E"/>
    <w:rsid w:val="00714EB2"/>
    <w:rsid w:val="00714F22"/>
    <w:rsid w:val="0071512F"/>
    <w:rsid w:val="0071529F"/>
    <w:rsid w:val="0071536F"/>
    <w:rsid w:val="0071587C"/>
    <w:rsid w:val="00715DF6"/>
    <w:rsid w:val="00716085"/>
    <w:rsid w:val="00716406"/>
    <w:rsid w:val="007169AC"/>
    <w:rsid w:val="007169DD"/>
    <w:rsid w:val="00716D86"/>
    <w:rsid w:val="00717076"/>
    <w:rsid w:val="007170C6"/>
    <w:rsid w:val="00717198"/>
    <w:rsid w:val="00717597"/>
    <w:rsid w:val="00717679"/>
    <w:rsid w:val="00717B67"/>
    <w:rsid w:val="00717C40"/>
    <w:rsid w:val="00717E93"/>
    <w:rsid w:val="00717EA6"/>
    <w:rsid w:val="00720508"/>
    <w:rsid w:val="007206A2"/>
    <w:rsid w:val="00720809"/>
    <w:rsid w:val="00720991"/>
    <w:rsid w:val="00720B38"/>
    <w:rsid w:val="00720BB2"/>
    <w:rsid w:val="00720CA7"/>
    <w:rsid w:val="00720EF9"/>
    <w:rsid w:val="00721264"/>
    <w:rsid w:val="007212F6"/>
    <w:rsid w:val="00721356"/>
    <w:rsid w:val="0072147B"/>
    <w:rsid w:val="0072149C"/>
    <w:rsid w:val="0072181E"/>
    <w:rsid w:val="0072197B"/>
    <w:rsid w:val="007219EC"/>
    <w:rsid w:val="00721F7C"/>
    <w:rsid w:val="00721FB2"/>
    <w:rsid w:val="00722267"/>
    <w:rsid w:val="0072239D"/>
    <w:rsid w:val="0072285E"/>
    <w:rsid w:val="0072289F"/>
    <w:rsid w:val="00722998"/>
    <w:rsid w:val="00722B5C"/>
    <w:rsid w:val="00722B9E"/>
    <w:rsid w:val="00722C62"/>
    <w:rsid w:val="00723078"/>
    <w:rsid w:val="0072321F"/>
    <w:rsid w:val="00723295"/>
    <w:rsid w:val="00723359"/>
    <w:rsid w:val="007235B5"/>
    <w:rsid w:val="0072383F"/>
    <w:rsid w:val="007238E2"/>
    <w:rsid w:val="007239B4"/>
    <w:rsid w:val="00723B49"/>
    <w:rsid w:val="00723D5B"/>
    <w:rsid w:val="00723D6F"/>
    <w:rsid w:val="00723DA5"/>
    <w:rsid w:val="00724305"/>
    <w:rsid w:val="00724446"/>
    <w:rsid w:val="007244B3"/>
    <w:rsid w:val="00724584"/>
    <w:rsid w:val="007245BC"/>
    <w:rsid w:val="00724637"/>
    <w:rsid w:val="0072478B"/>
    <w:rsid w:val="007248FD"/>
    <w:rsid w:val="00724AA1"/>
    <w:rsid w:val="00724B74"/>
    <w:rsid w:val="00724D39"/>
    <w:rsid w:val="00724E47"/>
    <w:rsid w:val="00724ECE"/>
    <w:rsid w:val="00724F64"/>
    <w:rsid w:val="0072504A"/>
    <w:rsid w:val="00725A19"/>
    <w:rsid w:val="00725BB7"/>
    <w:rsid w:val="00725BE1"/>
    <w:rsid w:val="00725CC3"/>
    <w:rsid w:val="00726356"/>
    <w:rsid w:val="0072661A"/>
    <w:rsid w:val="007266A8"/>
    <w:rsid w:val="007267AB"/>
    <w:rsid w:val="007268C7"/>
    <w:rsid w:val="00726AAB"/>
    <w:rsid w:val="00726B2D"/>
    <w:rsid w:val="00726BD7"/>
    <w:rsid w:val="00726EFA"/>
    <w:rsid w:val="00727077"/>
    <w:rsid w:val="007272D6"/>
    <w:rsid w:val="007274BE"/>
    <w:rsid w:val="00727888"/>
    <w:rsid w:val="0072799E"/>
    <w:rsid w:val="007279D7"/>
    <w:rsid w:val="007279FB"/>
    <w:rsid w:val="00727B3E"/>
    <w:rsid w:val="00727C4C"/>
    <w:rsid w:val="00727DAA"/>
    <w:rsid w:val="007302FF"/>
    <w:rsid w:val="0073040D"/>
    <w:rsid w:val="00730C49"/>
    <w:rsid w:val="00730D77"/>
    <w:rsid w:val="00730EA6"/>
    <w:rsid w:val="0073103B"/>
    <w:rsid w:val="007310BB"/>
    <w:rsid w:val="007311D7"/>
    <w:rsid w:val="007311ED"/>
    <w:rsid w:val="0073141E"/>
    <w:rsid w:val="00731507"/>
    <w:rsid w:val="007318A3"/>
    <w:rsid w:val="00731B2C"/>
    <w:rsid w:val="00731C15"/>
    <w:rsid w:val="00731CA9"/>
    <w:rsid w:val="00731CBE"/>
    <w:rsid w:val="00731E4E"/>
    <w:rsid w:val="00732045"/>
    <w:rsid w:val="007320F8"/>
    <w:rsid w:val="007321BD"/>
    <w:rsid w:val="007321EA"/>
    <w:rsid w:val="00732297"/>
    <w:rsid w:val="007322A0"/>
    <w:rsid w:val="00732637"/>
    <w:rsid w:val="007326F2"/>
    <w:rsid w:val="00732887"/>
    <w:rsid w:val="00732924"/>
    <w:rsid w:val="00732C1A"/>
    <w:rsid w:val="00732D0D"/>
    <w:rsid w:val="00733138"/>
    <w:rsid w:val="0073318A"/>
    <w:rsid w:val="007334C2"/>
    <w:rsid w:val="00733589"/>
    <w:rsid w:val="007336B3"/>
    <w:rsid w:val="00733A9E"/>
    <w:rsid w:val="00733C2F"/>
    <w:rsid w:val="00733CDC"/>
    <w:rsid w:val="00734196"/>
    <w:rsid w:val="007342D4"/>
    <w:rsid w:val="00734B9A"/>
    <w:rsid w:val="00734BA7"/>
    <w:rsid w:val="00734D4E"/>
    <w:rsid w:val="007352D0"/>
    <w:rsid w:val="00735503"/>
    <w:rsid w:val="00735695"/>
    <w:rsid w:val="007357A0"/>
    <w:rsid w:val="0073598E"/>
    <w:rsid w:val="007359FC"/>
    <w:rsid w:val="00735D25"/>
    <w:rsid w:val="00735FE3"/>
    <w:rsid w:val="007360CB"/>
    <w:rsid w:val="007363E9"/>
    <w:rsid w:val="007365C8"/>
    <w:rsid w:val="007366FD"/>
    <w:rsid w:val="007369AA"/>
    <w:rsid w:val="00736A67"/>
    <w:rsid w:val="007371C1"/>
    <w:rsid w:val="00737209"/>
    <w:rsid w:val="0073741C"/>
    <w:rsid w:val="007374B8"/>
    <w:rsid w:val="00737566"/>
    <w:rsid w:val="007378C4"/>
    <w:rsid w:val="00737946"/>
    <w:rsid w:val="00737F51"/>
    <w:rsid w:val="00737FC3"/>
    <w:rsid w:val="00740088"/>
    <w:rsid w:val="007402E8"/>
    <w:rsid w:val="0074044A"/>
    <w:rsid w:val="00740C3F"/>
    <w:rsid w:val="007411D9"/>
    <w:rsid w:val="00741281"/>
    <w:rsid w:val="00741617"/>
    <w:rsid w:val="0074184C"/>
    <w:rsid w:val="00741BA2"/>
    <w:rsid w:val="00741CF4"/>
    <w:rsid w:val="00741DCC"/>
    <w:rsid w:val="00741DE2"/>
    <w:rsid w:val="00742000"/>
    <w:rsid w:val="007420E8"/>
    <w:rsid w:val="007421A1"/>
    <w:rsid w:val="00742200"/>
    <w:rsid w:val="00742613"/>
    <w:rsid w:val="007427FE"/>
    <w:rsid w:val="00742C51"/>
    <w:rsid w:val="007432F7"/>
    <w:rsid w:val="0074341B"/>
    <w:rsid w:val="00743445"/>
    <w:rsid w:val="0074354B"/>
    <w:rsid w:val="00743592"/>
    <w:rsid w:val="007437F4"/>
    <w:rsid w:val="0074399A"/>
    <w:rsid w:val="00743ACA"/>
    <w:rsid w:val="007443D3"/>
    <w:rsid w:val="007444EA"/>
    <w:rsid w:val="0074473B"/>
    <w:rsid w:val="00744906"/>
    <w:rsid w:val="00744CCD"/>
    <w:rsid w:val="00744EEC"/>
    <w:rsid w:val="00744F6F"/>
    <w:rsid w:val="00745123"/>
    <w:rsid w:val="007451B4"/>
    <w:rsid w:val="007455C7"/>
    <w:rsid w:val="00745617"/>
    <w:rsid w:val="00745629"/>
    <w:rsid w:val="00745A3C"/>
    <w:rsid w:val="00745B14"/>
    <w:rsid w:val="00745C54"/>
    <w:rsid w:val="00745E01"/>
    <w:rsid w:val="007461D4"/>
    <w:rsid w:val="007464CC"/>
    <w:rsid w:val="0074666B"/>
    <w:rsid w:val="007468D6"/>
    <w:rsid w:val="00746BAF"/>
    <w:rsid w:val="00746BFF"/>
    <w:rsid w:val="00746CB4"/>
    <w:rsid w:val="00746D51"/>
    <w:rsid w:val="00746E7D"/>
    <w:rsid w:val="00746EA7"/>
    <w:rsid w:val="00746FD3"/>
    <w:rsid w:val="00747136"/>
    <w:rsid w:val="00747137"/>
    <w:rsid w:val="007472CC"/>
    <w:rsid w:val="007473E1"/>
    <w:rsid w:val="00747668"/>
    <w:rsid w:val="00747897"/>
    <w:rsid w:val="007478D9"/>
    <w:rsid w:val="007478DC"/>
    <w:rsid w:val="00747ABB"/>
    <w:rsid w:val="00747B59"/>
    <w:rsid w:val="00747BE0"/>
    <w:rsid w:val="00747C1F"/>
    <w:rsid w:val="00747D59"/>
    <w:rsid w:val="00747D78"/>
    <w:rsid w:val="00747E47"/>
    <w:rsid w:val="00747E83"/>
    <w:rsid w:val="00750050"/>
    <w:rsid w:val="00750192"/>
    <w:rsid w:val="00750444"/>
    <w:rsid w:val="00750493"/>
    <w:rsid w:val="007504E1"/>
    <w:rsid w:val="00750544"/>
    <w:rsid w:val="0075073C"/>
    <w:rsid w:val="00750804"/>
    <w:rsid w:val="007509AB"/>
    <w:rsid w:val="00750B53"/>
    <w:rsid w:val="00750BEC"/>
    <w:rsid w:val="00750F23"/>
    <w:rsid w:val="00751052"/>
    <w:rsid w:val="00751689"/>
    <w:rsid w:val="00751816"/>
    <w:rsid w:val="007518AC"/>
    <w:rsid w:val="00751A14"/>
    <w:rsid w:val="00751BBA"/>
    <w:rsid w:val="00751C64"/>
    <w:rsid w:val="00751F7F"/>
    <w:rsid w:val="00752496"/>
    <w:rsid w:val="007524AA"/>
    <w:rsid w:val="0075288E"/>
    <w:rsid w:val="007528D1"/>
    <w:rsid w:val="0075295F"/>
    <w:rsid w:val="00752B8A"/>
    <w:rsid w:val="00752F93"/>
    <w:rsid w:val="0075302B"/>
    <w:rsid w:val="007534C0"/>
    <w:rsid w:val="00753744"/>
    <w:rsid w:val="0075399B"/>
    <w:rsid w:val="00753A17"/>
    <w:rsid w:val="00753A93"/>
    <w:rsid w:val="00753B96"/>
    <w:rsid w:val="00753C81"/>
    <w:rsid w:val="00753D0A"/>
    <w:rsid w:val="00753E7C"/>
    <w:rsid w:val="00753E89"/>
    <w:rsid w:val="007540A0"/>
    <w:rsid w:val="00754217"/>
    <w:rsid w:val="0075453B"/>
    <w:rsid w:val="00754B6B"/>
    <w:rsid w:val="00754F08"/>
    <w:rsid w:val="00755663"/>
    <w:rsid w:val="00755947"/>
    <w:rsid w:val="00755AFD"/>
    <w:rsid w:val="007561DF"/>
    <w:rsid w:val="00756386"/>
    <w:rsid w:val="007563B5"/>
    <w:rsid w:val="0075641D"/>
    <w:rsid w:val="00756603"/>
    <w:rsid w:val="00756754"/>
    <w:rsid w:val="007567AF"/>
    <w:rsid w:val="00756BC3"/>
    <w:rsid w:val="00756C25"/>
    <w:rsid w:val="00756D6E"/>
    <w:rsid w:val="007575C0"/>
    <w:rsid w:val="007578BC"/>
    <w:rsid w:val="00757CF0"/>
    <w:rsid w:val="00757D2F"/>
    <w:rsid w:val="0076000E"/>
    <w:rsid w:val="00760206"/>
    <w:rsid w:val="00760292"/>
    <w:rsid w:val="0076038E"/>
    <w:rsid w:val="0076062B"/>
    <w:rsid w:val="00760A85"/>
    <w:rsid w:val="00760BA6"/>
    <w:rsid w:val="00760C00"/>
    <w:rsid w:val="00760F24"/>
    <w:rsid w:val="007610C5"/>
    <w:rsid w:val="007610E9"/>
    <w:rsid w:val="00761216"/>
    <w:rsid w:val="007616EC"/>
    <w:rsid w:val="00761728"/>
    <w:rsid w:val="00761C6C"/>
    <w:rsid w:val="00761D30"/>
    <w:rsid w:val="00761E2C"/>
    <w:rsid w:val="00761FB3"/>
    <w:rsid w:val="007620F7"/>
    <w:rsid w:val="00762659"/>
    <w:rsid w:val="00762667"/>
    <w:rsid w:val="0076280B"/>
    <w:rsid w:val="00762B72"/>
    <w:rsid w:val="00762C99"/>
    <w:rsid w:val="00762CE1"/>
    <w:rsid w:val="00763233"/>
    <w:rsid w:val="007635E1"/>
    <w:rsid w:val="007635F9"/>
    <w:rsid w:val="007638D3"/>
    <w:rsid w:val="00763B03"/>
    <w:rsid w:val="00763C2A"/>
    <w:rsid w:val="00763CCB"/>
    <w:rsid w:val="0076420A"/>
    <w:rsid w:val="007642B4"/>
    <w:rsid w:val="0076449A"/>
    <w:rsid w:val="00764898"/>
    <w:rsid w:val="00764A6D"/>
    <w:rsid w:val="00764BFE"/>
    <w:rsid w:val="00764C25"/>
    <w:rsid w:val="00764C45"/>
    <w:rsid w:val="00764D87"/>
    <w:rsid w:val="00764E84"/>
    <w:rsid w:val="00764EEE"/>
    <w:rsid w:val="00764F2D"/>
    <w:rsid w:val="00765660"/>
    <w:rsid w:val="0076584A"/>
    <w:rsid w:val="00765AA5"/>
    <w:rsid w:val="00766045"/>
    <w:rsid w:val="00766120"/>
    <w:rsid w:val="00766277"/>
    <w:rsid w:val="007662D1"/>
    <w:rsid w:val="0076656A"/>
    <w:rsid w:val="007666A9"/>
    <w:rsid w:val="00766701"/>
    <w:rsid w:val="00766911"/>
    <w:rsid w:val="00766C6F"/>
    <w:rsid w:val="00766D4A"/>
    <w:rsid w:val="00766E66"/>
    <w:rsid w:val="00766F0C"/>
    <w:rsid w:val="00766F3F"/>
    <w:rsid w:val="007674F1"/>
    <w:rsid w:val="00767793"/>
    <w:rsid w:val="00767838"/>
    <w:rsid w:val="00767989"/>
    <w:rsid w:val="007679D8"/>
    <w:rsid w:val="00767BF9"/>
    <w:rsid w:val="00767E9C"/>
    <w:rsid w:val="0077015F"/>
    <w:rsid w:val="0077023D"/>
    <w:rsid w:val="007702D9"/>
    <w:rsid w:val="00770704"/>
    <w:rsid w:val="00770803"/>
    <w:rsid w:val="007708C7"/>
    <w:rsid w:val="00770CD7"/>
    <w:rsid w:val="00770D08"/>
    <w:rsid w:val="00770E3A"/>
    <w:rsid w:val="00770EBD"/>
    <w:rsid w:val="00771319"/>
    <w:rsid w:val="007713E8"/>
    <w:rsid w:val="007714AD"/>
    <w:rsid w:val="00771554"/>
    <w:rsid w:val="00771794"/>
    <w:rsid w:val="007719AE"/>
    <w:rsid w:val="00771C23"/>
    <w:rsid w:val="00771CCF"/>
    <w:rsid w:val="00771D20"/>
    <w:rsid w:val="00771F3D"/>
    <w:rsid w:val="00771F7D"/>
    <w:rsid w:val="00772306"/>
    <w:rsid w:val="00772ABB"/>
    <w:rsid w:val="00772BEA"/>
    <w:rsid w:val="00772C3E"/>
    <w:rsid w:val="00772CF2"/>
    <w:rsid w:val="00773343"/>
    <w:rsid w:val="007736E8"/>
    <w:rsid w:val="00773745"/>
    <w:rsid w:val="00773DE7"/>
    <w:rsid w:val="00773E0F"/>
    <w:rsid w:val="007744DD"/>
    <w:rsid w:val="0077450C"/>
    <w:rsid w:val="00774ACE"/>
    <w:rsid w:val="00774CEB"/>
    <w:rsid w:val="00775085"/>
    <w:rsid w:val="0077521D"/>
    <w:rsid w:val="0077525E"/>
    <w:rsid w:val="00775326"/>
    <w:rsid w:val="007755CA"/>
    <w:rsid w:val="0077575D"/>
    <w:rsid w:val="007757FF"/>
    <w:rsid w:val="00775823"/>
    <w:rsid w:val="00775A3B"/>
    <w:rsid w:val="00775B6F"/>
    <w:rsid w:val="00775D0C"/>
    <w:rsid w:val="00775F57"/>
    <w:rsid w:val="007760C5"/>
    <w:rsid w:val="00776347"/>
    <w:rsid w:val="00776455"/>
    <w:rsid w:val="00776584"/>
    <w:rsid w:val="0077669B"/>
    <w:rsid w:val="00776822"/>
    <w:rsid w:val="007769EF"/>
    <w:rsid w:val="00776D4F"/>
    <w:rsid w:val="00776DDC"/>
    <w:rsid w:val="00776F34"/>
    <w:rsid w:val="007770E9"/>
    <w:rsid w:val="007770F9"/>
    <w:rsid w:val="00777179"/>
    <w:rsid w:val="0077749B"/>
    <w:rsid w:val="00777945"/>
    <w:rsid w:val="00777A08"/>
    <w:rsid w:val="00777D40"/>
    <w:rsid w:val="00777D67"/>
    <w:rsid w:val="00777DD6"/>
    <w:rsid w:val="00777DE4"/>
    <w:rsid w:val="00780315"/>
    <w:rsid w:val="00780473"/>
    <w:rsid w:val="007807F7"/>
    <w:rsid w:val="0078081A"/>
    <w:rsid w:val="007808BF"/>
    <w:rsid w:val="00780B8D"/>
    <w:rsid w:val="00780B8E"/>
    <w:rsid w:val="00780C16"/>
    <w:rsid w:val="00780F01"/>
    <w:rsid w:val="00780F62"/>
    <w:rsid w:val="00781017"/>
    <w:rsid w:val="007810D2"/>
    <w:rsid w:val="00781575"/>
    <w:rsid w:val="00781649"/>
    <w:rsid w:val="00781C87"/>
    <w:rsid w:val="00781CC7"/>
    <w:rsid w:val="00781DBD"/>
    <w:rsid w:val="00781E9D"/>
    <w:rsid w:val="00781F55"/>
    <w:rsid w:val="007820A8"/>
    <w:rsid w:val="0078232B"/>
    <w:rsid w:val="007823D6"/>
    <w:rsid w:val="0078248A"/>
    <w:rsid w:val="0078254E"/>
    <w:rsid w:val="007825A1"/>
    <w:rsid w:val="00782628"/>
    <w:rsid w:val="007826AB"/>
    <w:rsid w:val="00782820"/>
    <w:rsid w:val="00782A22"/>
    <w:rsid w:val="00782ACD"/>
    <w:rsid w:val="00782CC4"/>
    <w:rsid w:val="00782D42"/>
    <w:rsid w:val="00782E32"/>
    <w:rsid w:val="00782E4E"/>
    <w:rsid w:val="00782F15"/>
    <w:rsid w:val="0078370C"/>
    <w:rsid w:val="00783922"/>
    <w:rsid w:val="007839A5"/>
    <w:rsid w:val="00783BDE"/>
    <w:rsid w:val="00783F00"/>
    <w:rsid w:val="00783F1D"/>
    <w:rsid w:val="00784075"/>
    <w:rsid w:val="00784080"/>
    <w:rsid w:val="0078408F"/>
    <w:rsid w:val="007840E2"/>
    <w:rsid w:val="00784293"/>
    <w:rsid w:val="00784312"/>
    <w:rsid w:val="0078432C"/>
    <w:rsid w:val="0078444D"/>
    <w:rsid w:val="007846D9"/>
    <w:rsid w:val="007846FC"/>
    <w:rsid w:val="00784722"/>
    <w:rsid w:val="00784788"/>
    <w:rsid w:val="00784B30"/>
    <w:rsid w:val="0078569F"/>
    <w:rsid w:val="00785803"/>
    <w:rsid w:val="00785B31"/>
    <w:rsid w:val="00785BA9"/>
    <w:rsid w:val="00785BF1"/>
    <w:rsid w:val="00785CA1"/>
    <w:rsid w:val="00785E4B"/>
    <w:rsid w:val="00785EB4"/>
    <w:rsid w:val="0078609A"/>
    <w:rsid w:val="00786435"/>
    <w:rsid w:val="0078647C"/>
    <w:rsid w:val="007868BC"/>
    <w:rsid w:val="007868CF"/>
    <w:rsid w:val="007869FE"/>
    <w:rsid w:val="00786A08"/>
    <w:rsid w:val="00786DD1"/>
    <w:rsid w:val="00786F85"/>
    <w:rsid w:val="0078721A"/>
    <w:rsid w:val="0078731A"/>
    <w:rsid w:val="00787487"/>
    <w:rsid w:val="00787910"/>
    <w:rsid w:val="00790231"/>
    <w:rsid w:val="0079039E"/>
    <w:rsid w:val="00790510"/>
    <w:rsid w:val="00790542"/>
    <w:rsid w:val="0079060E"/>
    <w:rsid w:val="007906F1"/>
    <w:rsid w:val="007907AD"/>
    <w:rsid w:val="00790A47"/>
    <w:rsid w:val="00790AB1"/>
    <w:rsid w:val="00790DCF"/>
    <w:rsid w:val="00790DF3"/>
    <w:rsid w:val="00790EDA"/>
    <w:rsid w:val="00791088"/>
    <w:rsid w:val="00791349"/>
    <w:rsid w:val="00791789"/>
    <w:rsid w:val="007917F5"/>
    <w:rsid w:val="00791AD2"/>
    <w:rsid w:val="00791D85"/>
    <w:rsid w:val="00791DAF"/>
    <w:rsid w:val="00791EDA"/>
    <w:rsid w:val="00792381"/>
    <w:rsid w:val="007924CA"/>
    <w:rsid w:val="0079296D"/>
    <w:rsid w:val="00793200"/>
    <w:rsid w:val="0079347F"/>
    <w:rsid w:val="00793496"/>
    <w:rsid w:val="007936A6"/>
    <w:rsid w:val="00793B18"/>
    <w:rsid w:val="00793CE2"/>
    <w:rsid w:val="00793EB5"/>
    <w:rsid w:val="00793EE4"/>
    <w:rsid w:val="00794002"/>
    <w:rsid w:val="00794131"/>
    <w:rsid w:val="007943BF"/>
    <w:rsid w:val="007943D9"/>
    <w:rsid w:val="00794493"/>
    <w:rsid w:val="0079451B"/>
    <w:rsid w:val="00794563"/>
    <w:rsid w:val="00794855"/>
    <w:rsid w:val="00794C48"/>
    <w:rsid w:val="00794CBF"/>
    <w:rsid w:val="00795365"/>
    <w:rsid w:val="007955DB"/>
    <w:rsid w:val="0079567E"/>
    <w:rsid w:val="0079578B"/>
    <w:rsid w:val="00795798"/>
    <w:rsid w:val="00795931"/>
    <w:rsid w:val="00795B2A"/>
    <w:rsid w:val="00795B6F"/>
    <w:rsid w:val="007961D5"/>
    <w:rsid w:val="00796262"/>
    <w:rsid w:val="00796305"/>
    <w:rsid w:val="007965E6"/>
    <w:rsid w:val="00796A6F"/>
    <w:rsid w:val="00796C5D"/>
    <w:rsid w:val="00796D84"/>
    <w:rsid w:val="0079706F"/>
    <w:rsid w:val="007976D7"/>
    <w:rsid w:val="007979D5"/>
    <w:rsid w:val="00797A57"/>
    <w:rsid w:val="00797B06"/>
    <w:rsid w:val="00797B9C"/>
    <w:rsid w:val="00797E47"/>
    <w:rsid w:val="007A01CD"/>
    <w:rsid w:val="007A01E9"/>
    <w:rsid w:val="007A0326"/>
    <w:rsid w:val="007A0367"/>
    <w:rsid w:val="007A0483"/>
    <w:rsid w:val="007A06BC"/>
    <w:rsid w:val="007A0CB4"/>
    <w:rsid w:val="007A1065"/>
    <w:rsid w:val="007A1165"/>
    <w:rsid w:val="007A1A13"/>
    <w:rsid w:val="007A1A34"/>
    <w:rsid w:val="007A1C35"/>
    <w:rsid w:val="007A1D86"/>
    <w:rsid w:val="007A20BF"/>
    <w:rsid w:val="007A2836"/>
    <w:rsid w:val="007A2A97"/>
    <w:rsid w:val="007A2B10"/>
    <w:rsid w:val="007A2CDC"/>
    <w:rsid w:val="007A2D7E"/>
    <w:rsid w:val="007A2E65"/>
    <w:rsid w:val="007A2FEC"/>
    <w:rsid w:val="007A31C5"/>
    <w:rsid w:val="007A371B"/>
    <w:rsid w:val="007A3770"/>
    <w:rsid w:val="007A3832"/>
    <w:rsid w:val="007A388C"/>
    <w:rsid w:val="007A396A"/>
    <w:rsid w:val="007A3A0F"/>
    <w:rsid w:val="007A3CA2"/>
    <w:rsid w:val="007A3E60"/>
    <w:rsid w:val="007A407D"/>
    <w:rsid w:val="007A4088"/>
    <w:rsid w:val="007A40B9"/>
    <w:rsid w:val="007A4467"/>
    <w:rsid w:val="007A464F"/>
    <w:rsid w:val="007A4B81"/>
    <w:rsid w:val="007A4BC5"/>
    <w:rsid w:val="007A4BFC"/>
    <w:rsid w:val="007A4F56"/>
    <w:rsid w:val="007A4FD3"/>
    <w:rsid w:val="007A5020"/>
    <w:rsid w:val="007A538B"/>
    <w:rsid w:val="007A54E7"/>
    <w:rsid w:val="007A5847"/>
    <w:rsid w:val="007A5A14"/>
    <w:rsid w:val="007A5E9D"/>
    <w:rsid w:val="007A6196"/>
    <w:rsid w:val="007A619B"/>
    <w:rsid w:val="007A6271"/>
    <w:rsid w:val="007A6325"/>
    <w:rsid w:val="007A63D5"/>
    <w:rsid w:val="007A6817"/>
    <w:rsid w:val="007A689A"/>
    <w:rsid w:val="007A68EA"/>
    <w:rsid w:val="007A6990"/>
    <w:rsid w:val="007A6B6C"/>
    <w:rsid w:val="007A6B7D"/>
    <w:rsid w:val="007A6B86"/>
    <w:rsid w:val="007A6CBB"/>
    <w:rsid w:val="007A6DC8"/>
    <w:rsid w:val="007A6F1E"/>
    <w:rsid w:val="007A70D1"/>
    <w:rsid w:val="007A70F6"/>
    <w:rsid w:val="007A7109"/>
    <w:rsid w:val="007A71B9"/>
    <w:rsid w:val="007A71FF"/>
    <w:rsid w:val="007A739C"/>
    <w:rsid w:val="007A7611"/>
    <w:rsid w:val="007A7629"/>
    <w:rsid w:val="007A7979"/>
    <w:rsid w:val="007A7B18"/>
    <w:rsid w:val="007A7B6C"/>
    <w:rsid w:val="007A7C58"/>
    <w:rsid w:val="007A7FE6"/>
    <w:rsid w:val="007B013A"/>
    <w:rsid w:val="007B018B"/>
    <w:rsid w:val="007B027E"/>
    <w:rsid w:val="007B038A"/>
    <w:rsid w:val="007B0E3C"/>
    <w:rsid w:val="007B1027"/>
    <w:rsid w:val="007B1261"/>
    <w:rsid w:val="007B1392"/>
    <w:rsid w:val="007B1691"/>
    <w:rsid w:val="007B174F"/>
    <w:rsid w:val="007B1863"/>
    <w:rsid w:val="007B1B9A"/>
    <w:rsid w:val="007B1C80"/>
    <w:rsid w:val="007B203C"/>
    <w:rsid w:val="007B2134"/>
    <w:rsid w:val="007B22E0"/>
    <w:rsid w:val="007B27CE"/>
    <w:rsid w:val="007B28CA"/>
    <w:rsid w:val="007B2BFB"/>
    <w:rsid w:val="007B2F5C"/>
    <w:rsid w:val="007B316D"/>
    <w:rsid w:val="007B358D"/>
    <w:rsid w:val="007B381F"/>
    <w:rsid w:val="007B39A5"/>
    <w:rsid w:val="007B3CF3"/>
    <w:rsid w:val="007B3E16"/>
    <w:rsid w:val="007B3E75"/>
    <w:rsid w:val="007B40E6"/>
    <w:rsid w:val="007B43A1"/>
    <w:rsid w:val="007B44B6"/>
    <w:rsid w:val="007B45E6"/>
    <w:rsid w:val="007B46AA"/>
    <w:rsid w:val="007B4724"/>
    <w:rsid w:val="007B4948"/>
    <w:rsid w:val="007B4B95"/>
    <w:rsid w:val="007B4CBA"/>
    <w:rsid w:val="007B5401"/>
    <w:rsid w:val="007B57AE"/>
    <w:rsid w:val="007B595E"/>
    <w:rsid w:val="007B5A95"/>
    <w:rsid w:val="007B5D1A"/>
    <w:rsid w:val="007B5FB4"/>
    <w:rsid w:val="007B6241"/>
    <w:rsid w:val="007B63DC"/>
    <w:rsid w:val="007B65A2"/>
    <w:rsid w:val="007B6811"/>
    <w:rsid w:val="007B6B1F"/>
    <w:rsid w:val="007B6B2B"/>
    <w:rsid w:val="007B6C4A"/>
    <w:rsid w:val="007B6EF5"/>
    <w:rsid w:val="007B6FB6"/>
    <w:rsid w:val="007B736F"/>
    <w:rsid w:val="007B73B7"/>
    <w:rsid w:val="007B77A8"/>
    <w:rsid w:val="007B7949"/>
    <w:rsid w:val="007B7CF6"/>
    <w:rsid w:val="007B7D30"/>
    <w:rsid w:val="007B7E95"/>
    <w:rsid w:val="007B7EFA"/>
    <w:rsid w:val="007B7F80"/>
    <w:rsid w:val="007C06D6"/>
    <w:rsid w:val="007C0710"/>
    <w:rsid w:val="007C09DE"/>
    <w:rsid w:val="007C0E6A"/>
    <w:rsid w:val="007C0EE2"/>
    <w:rsid w:val="007C0FA9"/>
    <w:rsid w:val="007C134F"/>
    <w:rsid w:val="007C1355"/>
    <w:rsid w:val="007C1831"/>
    <w:rsid w:val="007C1D51"/>
    <w:rsid w:val="007C20B3"/>
    <w:rsid w:val="007C2123"/>
    <w:rsid w:val="007C2413"/>
    <w:rsid w:val="007C257F"/>
    <w:rsid w:val="007C25AE"/>
    <w:rsid w:val="007C293C"/>
    <w:rsid w:val="007C2A88"/>
    <w:rsid w:val="007C2BFB"/>
    <w:rsid w:val="007C2D1D"/>
    <w:rsid w:val="007C2E0C"/>
    <w:rsid w:val="007C3152"/>
    <w:rsid w:val="007C321B"/>
    <w:rsid w:val="007C333B"/>
    <w:rsid w:val="007C37A4"/>
    <w:rsid w:val="007C3914"/>
    <w:rsid w:val="007C39A3"/>
    <w:rsid w:val="007C3CEA"/>
    <w:rsid w:val="007C3D92"/>
    <w:rsid w:val="007C3E98"/>
    <w:rsid w:val="007C3EDA"/>
    <w:rsid w:val="007C4324"/>
    <w:rsid w:val="007C4725"/>
    <w:rsid w:val="007C4779"/>
    <w:rsid w:val="007C551F"/>
    <w:rsid w:val="007C558D"/>
    <w:rsid w:val="007C5A3E"/>
    <w:rsid w:val="007C5A8F"/>
    <w:rsid w:val="007C5B38"/>
    <w:rsid w:val="007C5B45"/>
    <w:rsid w:val="007C5D3D"/>
    <w:rsid w:val="007C5F34"/>
    <w:rsid w:val="007C5F51"/>
    <w:rsid w:val="007C631D"/>
    <w:rsid w:val="007C6417"/>
    <w:rsid w:val="007C6B78"/>
    <w:rsid w:val="007C6E15"/>
    <w:rsid w:val="007C6E24"/>
    <w:rsid w:val="007C6E59"/>
    <w:rsid w:val="007C6EF7"/>
    <w:rsid w:val="007C7127"/>
    <w:rsid w:val="007C73D9"/>
    <w:rsid w:val="007C759B"/>
    <w:rsid w:val="007C76E8"/>
    <w:rsid w:val="007C78E9"/>
    <w:rsid w:val="007C79FC"/>
    <w:rsid w:val="007C7E58"/>
    <w:rsid w:val="007C7E59"/>
    <w:rsid w:val="007D01E6"/>
    <w:rsid w:val="007D021B"/>
    <w:rsid w:val="007D035E"/>
    <w:rsid w:val="007D0396"/>
    <w:rsid w:val="007D0401"/>
    <w:rsid w:val="007D04A2"/>
    <w:rsid w:val="007D0644"/>
    <w:rsid w:val="007D0888"/>
    <w:rsid w:val="007D0A52"/>
    <w:rsid w:val="007D0DC2"/>
    <w:rsid w:val="007D0E03"/>
    <w:rsid w:val="007D0EC7"/>
    <w:rsid w:val="007D1234"/>
    <w:rsid w:val="007D1801"/>
    <w:rsid w:val="007D1906"/>
    <w:rsid w:val="007D1CCC"/>
    <w:rsid w:val="007D1D03"/>
    <w:rsid w:val="007D1EB4"/>
    <w:rsid w:val="007D1FE0"/>
    <w:rsid w:val="007D20BB"/>
    <w:rsid w:val="007D25BF"/>
    <w:rsid w:val="007D25E5"/>
    <w:rsid w:val="007D261E"/>
    <w:rsid w:val="007D2908"/>
    <w:rsid w:val="007D29C0"/>
    <w:rsid w:val="007D2A88"/>
    <w:rsid w:val="007D2DC2"/>
    <w:rsid w:val="007D2F61"/>
    <w:rsid w:val="007D3004"/>
    <w:rsid w:val="007D314D"/>
    <w:rsid w:val="007D31A9"/>
    <w:rsid w:val="007D3448"/>
    <w:rsid w:val="007D36AD"/>
    <w:rsid w:val="007D377E"/>
    <w:rsid w:val="007D3D0E"/>
    <w:rsid w:val="007D3D33"/>
    <w:rsid w:val="007D3D4B"/>
    <w:rsid w:val="007D3F9B"/>
    <w:rsid w:val="007D41C2"/>
    <w:rsid w:val="007D4214"/>
    <w:rsid w:val="007D455A"/>
    <w:rsid w:val="007D4F02"/>
    <w:rsid w:val="007D4F07"/>
    <w:rsid w:val="007D4F6F"/>
    <w:rsid w:val="007D5138"/>
    <w:rsid w:val="007D53A6"/>
    <w:rsid w:val="007D57CB"/>
    <w:rsid w:val="007D5D28"/>
    <w:rsid w:val="007D5F94"/>
    <w:rsid w:val="007D5FF5"/>
    <w:rsid w:val="007D62D7"/>
    <w:rsid w:val="007D62EB"/>
    <w:rsid w:val="007D637E"/>
    <w:rsid w:val="007D66A7"/>
    <w:rsid w:val="007D674C"/>
    <w:rsid w:val="007D6B7B"/>
    <w:rsid w:val="007D6CF1"/>
    <w:rsid w:val="007D6ED7"/>
    <w:rsid w:val="007D6F87"/>
    <w:rsid w:val="007D7131"/>
    <w:rsid w:val="007D77DE"/>
    <w:rsid w:val="007D7A6C"/>
    <w:rsid w:val="007D7B88"/>
    <w:rsid w:val="007D7BEC"/>
    <w:rsid w:val="007D7CAF"/>
    <w:rsid w:val="007D7CE3"/>
    <w:rsid w:val="007D7D93"/>
    <w:rsid w:val="007D7DE5"/>
    <w:rsid w:val="007E051A"/>
    <w:rsid w:val="007E0798"/>
    <w:rsid w:val="007E0A6A"/>
    <w:rsid w:val="007E0E0F"/>
    <w:rsid w:val="007E0E2E"/>
    <w:rsid w:val="007E0EB6"/>
    <w:rsid w:val="007E1179"/>
    <w:rsid w:val="007E12C7"/>
    <w:rsid w:val="007E136A"/>
    <w:rsid w:val="007E1719"/>
    <w:rsid w:val="007E1764"/>
    <w:rsid w:val="007E1B72"/>
    <w:rsid w:val="007E1DBF"/>
    <w:rsid w:val="007E1DEA"/>
    <w:rsid w:val="007E2129"/>
    <w:rsid w:val="007E225A"/>
    <w:rsid w:val="007E22A6"/>
    <w:rsid w:val="007E27B9"/>
    <w:rsid w:val="007E27F2"/>
    <w:rsid w:val="007E2985"/>
    <w:rsid w:val="007E2A05"/>
    <w:rsid w:val="007E2E24"/>
    <w:rsid w:val="007E316C"/>
    <w:rsid w:val="007E3621"/>
    <w:rsid w:val="007E371D"/>
    <w:rsid w:val="007E3772"/>
    <w:rsid w:val="007E37AB"/>
    <w:rsid w:val="007E3919"/>
    <w:rsid w:val="007E3A01"/>
    <w:rsid w:val="007E3B39"/>
    <w:rsid w:val="007E3BCE"/>
    <w:rsid w:val="007E3C5C"/>
    <w:rsid w:val="007E3D61"/>
    <w:rsid w:val="007E3EE3"/>
    <w:rsid w:val="007E3F32"/>
    <w:rsid w:val="007E4176"/>
    <w:rsid w:val="007E423C"/>
    <w:rsid w:val="007E4291"/>
    <w:rsid w:val="007E438D"/>
    <w:rsid w:val="007E464F"/>
    <w:rsid w:val="007E499A"/>
    <w:rsid w:val="007E4AB6"/>
    <w:rsid w:val="007E4EAA"/>
    <w:rsid w:val="007E4F8E"/>
    <w:rsid w:val="007E51EA"/>
    <w:rsid w:val="007E51FE"/>
    <w:rsid w:val="007E5678"/>
    <w:rsid w:val="007E56DB"/>
    <w:rsid w:val="007E57DE"/>
    <w:rsid w:val="007E58F6"/>
    <w:rsid w:val="007E5902"/>
    <w:rsid w:val="007E5CA3"/>
    <w:rsid w:val="007E5D93"/>
    <w:rsid w:val="007E60D7"/>
    <w:rsid w:val="007E615E"/>
    <w:rsid w:val="007E61FD"/>
    <w:rsid w:val="007E6440"/>
    <w:rsid w:val="007E648D"/>
    <w:rsid w:val="007E6719"/>
    <w:rsid w:val="007E68ED"/>
    <w:rsid w:val="007E69EA"/>
    <w:rsid w:val="007E69ED"/>
    <w:rsid w:val="007E6AC6"/>
    <w:rsid w:val="007E6C13"/>
    <w:rsid w:val="007E71DD"/>
    <w:rsid w:val="007E71F6"/>
    <w:rsid w:val="007E722D"/>
    <w:rsid w:val="007E72A6"/>
    <w:rsid w:val="007E74CF"/>
    <w:rsid w:val="007E7509"/>
    <w:rsid w:val="007E75B0"/>
    <w:rsid w:val="007E7B2D"/>
    <w:rsid w:val="007F008E"/>
    <w:rsid w:val="007F00BD"/>
    <w:rsid w:val="007F0221"/>
    <w:rsid w:val="007F033D"/>
    <w:rsid w:val="007F034B"/>
    <w:rsid w:val="007F0789"/>
    <w:rsid w:val="007F07B9"/>
    <w:rsid w:val="007F0928"/>
    <w:rsid w:val="007F093C"/>
    <w:rsid w:val="007F0CD1"/>
    <w:rsid w:val="007F0E3D"/>
    <w:rsid w:val="007F13A9"/>
    <w:rsid w:val="007F143C"/>
    <w:rsid w:val="007F15CE"/>
    <w:rsid w:val="007F1860"/>
    <w:rsid w:val="007F1886"/>
    <w:rsid w:val="007F19D3"/>
    <w:rsid w:val="007F1DBD"/>
    <w:rsid w:val="007F1E88"/>
    <w:rsid w:val="007F1EA4"/>
    <w:rsid w:val="007F1F4B"/>
    <w:rsid w:val="007F1F5E"/>
    <w:rsid w:val="007F1FAC"/>
    <w:rsid w:val="007F20DC"/>
    <w:rsid w:val="007F20EF"/>
    <w:rsid w:val="007F2285"/>
    <w:rsid w:val="007F249B"/>
    <w:rsid w:val="007F26A3"/>
    <w:rsid w:val="007F2833"/>
    <w:rsid w:val="007F2CD7"/>
    <w:rsid w:val="007F3214"/>
    <w:rsid w:val="007F3346"/>
    <w:rsid w:val="007F3568"/>
    <w:rsid w:val="007F36EF"/>
    <w:rsid w:val="007F372A"/>
    <w:rsid w:val="007F37A2"/>
    <w:rsid w:val="007F39B9"/>
    <w:rsid w:val="007F3B7C"/>
    <w:rsid w:val="007F3B8F"/>
    <w:rsid w:val="007F3D63"/>
    <w:rsid w:val="007F422D"/>
    <w:rsid w:val="007F43F8"/>
    <w:rsid w:val="007F45C2"/>
    <w:rsid w:val="007F4DBA"/>
    <w:rsid w:val="007F519C"/>
    <w:rsid w:val="007F5265"/>
    <w:rsid w:val="007F52F4"/>
    <w:rsid w:val="007F534D"/>
    <w:rsid w:val="007F54A2"/>
    <w:rsid w:val="007F54FE"/>
    <w:rsid w:val="007F5535"/>
    <w:rsid w:val="007F5819"/>
    <w:rsid w:val="007F5D32"/>
    <w:rsid w:val="007F5E12"/>
    <w:rsid w:val="007F5EC4"/>
    <w:rsid w:val="007F603B"/>
    <w:rsid w:val="007F610D"/>
    <w:rsid w:val="007F6AB4"/>
    <w:rsid w:val="007F72B4"/>
    <w:rsid w:val="007F72DC"/>
    <w:rsid w:val="007F773D"/>
    <w:rsid w:val="007F77F9"/>
    <w:rsid w:val="007F795F"/>
    <w:rsid w:val="007F7AE9"/>
    <w:rsid w:val="007F7B83"/>
    <w:rsid w:val="007F7D5B"/>
    <w:rsid w:val="007F7E92"/>
    <w:rsid w:val="007F7F78"/>
    <w:rsid w:val="0080038A"/>
    <w:rsid w:val="0080066E"/>
    <w:rsid w:val="0080069C"/>
    <w:rsid w:val="008006FD"/>
    <w:rsid w:val="00800C52"/>
    <w:rsid w:val="00800C9E"/>
    <w:rsid w:val="0080107F"/>
    <w:rsid w:val="008011EC"/>
    <w:rsid w:val="00801246"/>
    <w:rsid w:val="00801371"/>
    <w:rsid w:val="0080148D"/>
    <w:rsid w:val="00801512"/>
    <w:rsid w:val="0080156B"/>
    <w:rsid w:val="00801629"/>
    <w:rsid w:val="0080190F"/>
    <w:rsid w:val="008019F5"/>
    <w:rsid w:val="00801A05"/>
    <w:rsid w:val="00801A3A"/>
    <w:rsid w:val="00801BE5"/>
    <w:rsid w:val="00801DDC"/>
    <w:rsid w:val="0080211E"/>
    <w:rsid w:val="008021C1"/>
    <w:rsid w:val="008021E4"/>
    <w:rsid w:val="0080259E"/>
    <w:rsid w:val="008026E7"/>
    <w:rsid w:val="008029B8"/>
    <w:rsid w:val="00802E95"/>
    <w:rsid w:val="00802EB9"/>
    <w:rsid w:val="00803386"/>
    <w:rsid w:val="00803533"/>
    <w:rsid w:val="00803638"/>
    <w:rsid w:val="0080363F"/>
    <w:rsid w:val="008038F0"/>
    <w:rsid w:val="00803A7D"/>
    <w:rsid w:val="00803B5E"/>
    <w:rsid w:val="00803DC7"/>
    <w:rsid w:val="0080400D"/>
    <w:rsid w:val="00804010"/>
    <w:rsid w:val="008040E3"/>
    <w:rsid w:val="00804114"/>
    <w:rsid w:val="00804272"/>
    <w:rsid w:val="00804634"/>
    <w:rsid w:val="008047E8"/>
    <w:rsid w:val="00804A96"/>
    <w:rsid w:val="00804C12"/>
    <w:rsid w:val="00804C20"/>
    <w:rsid w:val="00804D5D"/>
    <w:rsid w:val="0080531E"/>
    <w:rsid w:val="00805541"/>
    <w:rsid w:val="00805C3D"/>
    <w:rsid w:val="00805EBA"/>
    <w:rsid w:val="008060FD"/>
    <w:rsid w:val="0080614C"/>
    <w:rsid w:val="00806375"/>
    <w:rsid w:val="00806822"/>
    <w:rsid w:val="00806AAD"/>
    <w:rsid w:val="00806AB6"/>
    <w:rsid w:val="00806C41"/>
    <w:rsid w:val="00806C6D"/>
    <w:rsid w:val="00806DFD"/>
    <w:rsid w:val="00806E12"/>
    <w:rsid w:val="00806F1D"/>
    <w:rsid w:val="008074CC"/>
    <w:rsid w:val="00807557"/>
    <w:rsid w:val="008075CB"/>
    <w:rsid w:val="008075E1"/>
    <w:rsid w:val="008077ED"/>
    <w:rsid w:val="0080784A"/>
    <w:rsid w:val="00807891"/>
    <w:rsid w:val="00807B46"/>
    <w:rsid w:val="00807B6F"/>
    <w:rsid w:val="00807E93"/>
    <w:rsid w:val="00807F9F"/>
    <w:rsid w:val="00810172"/>
    <w:rsid w:val="008106D0"/>
    <w:rsid w:val="00810762"/>
    <w:rsid w:val="00810858"/>
    <w:rsid w:val="00810B42"/>
    <w:rsid w:val="00810C24"/>
    <w:rsid w:val="00810EFF"/>
    <w:rsid w:val="00810F0F"/>
    <w:rsid w:val="00810FBE"/>
    <w:rsid w:val="00811171"/>
    <w:rsid w:val="00811314"/>
    <w:rsid w:val="00811595"/>
    <w:rsid w:val="00811597"/>
    <w:rsid w:val="0081169D"/>
    <w:rsid w:val="008117FF"/>
    <w:rsid w:val="00811A39"/>
    <w:rsid w:val="00811C6C"/>
    <w:rsid w:val="00811E5F"/>
    <w:rsid w:val="00811F50"/>
    <w:rsid w:val="00811F99"/>
    <w:rsid w:val="00812326"/>
    <w:rsid w:val="00812693"/>
    <w:rsid w:val="0081291B"/>
    <w:rsid w:val="00812C97"/>
    <w:rsid w:val="00812DCB"/>
    <w:rsid w:val="00813129"/>
    <w:rsid w:val="00813447"/>
    <w:rsid w:val="0081352E"/>
    <w:rsid w:val="00813565"/>
    <w:rsid w:val="00813622"/>
    <w:rsid w:val="008136BE"/>
    <w:rsid w:val="008136C4"/>
    <w:rsid w:val="00813B0C"/>
    <w:rsid w:val="00813D13"/>
    <w:rsid w:val="00813DCF"/>
    <w:rsid w:val="00813E81"/>
    <w:rsid w:val="00813F12"/>
    <w:rsid w:val="00813F98"/>
    <w:rsid w:val="00813FA8"/>
    <w:rsid w:val="00813FAB"/>
    <w:rsid w:val="0081405E"/>
    <w:rsid w:val="008145FA"/>
    <w:rsid w:val="0081484F"/>
    <w:rsid w:val="0081494C"/>
    <w:rsid w:val="0081498C"/>
    <w:rsid w:val="00814AE1"/>
    <w:rsid w:val="00814F67"/>
    <w:rsid w:val="00814FC8"/>
    <w:rsid w:val="00815300"/>
    <w:rsid w:val="008153B1"/>
    <w:rsid w:val="008153D9"/>
    <w:rsid w:val="008155EC"/>
    <w:rsid w:val="008158C2"/>
    <w:rsid w:val="00815CCA"/>
    <w:rsid w:val="00815D31"/>
    <w:rsid w:val="00815F90"/>
    <w:rsid w:val="0081601F"/>
    <w:rsid w:val="00816064"/>
    <w:rsid w:val="00816286"/>
    <w:rsid w:val="00816C17"/>
    <w:rsid w:val="00816CC6"/>
    <w:rsid w:val="008170B6"/>
    <w:rsid w:val="008174B2"/>
    <w:rsid w:val="0081771D"/>
    <w:rsid w:val="00817853"/>
    <w:rsid w:val="00817C77"/>
    <w:rsid w:val="00817CFF"/>
    <w:rsid w:val="00817E3A"/>
    <w:rsid w:val="0082000D"/>
    <w:rsid w:val="0082037E"/>
    <w:rsid w:val="00820BDA"/>
    <w:rsid w:val="00820C1A"/>
    <w:rsid w:val="00820C9C"/>
    <w:rsid w:val="00820F55"/>
    <w:rsid w:val="0082135B"/>
    <w:rsid w:val="00821564"/>
    <w:rsid w:val="00821572"/>
    <w:rsid w:val="0082172F"/>
    <w:rsid w:val="008219AC"/>
    <w:rsid w:val="00821D73"/>
    <w:rsid w:val="0082204A"/>
    <w:rsid w:val="008221E4"/>
    <w:rsid w:val="00822245"/>
    <w:rsid w:val="00822310"/>
    <w:rsid w:val="00822483"/>
    <w:rsid w:val="008226AE"/>
    <w:rsid w:val="00822707"/>
    <w:rsid w:val="00822729"/>
    <w:rsid w:val="00822814"/>
    <w:rsid w:val="0082298A"/>
    <w:rsid w:val="00822F6C"/>
    <w:rsid w:val="00823281"/>
    <w:rsid w:val="008232D5"/>
    <w:rsid w:val="00823312"/>
    <w:rsid w:val="008233E2"/>
    <w:rsid w:val="0082351D"/>
    <w:rsid w:val="008236D5"/>
    <w:rsid w:val="00823794"/>
    <w:rsid w:val="008237ED"/>
    <w:rsid w:val="008237F4"/>
    <w:rsid w:val="00823829"/>
    <w:rsid w:val="008238B4"/>
    <w:rsid w:val="00823926"/>
    <w:rsid w:val="008239F4"/>
    <w:rsid w:val="00823BED"/>
    <w:rsid w:val="00823D7E"/>
    <w:rsid w:val="00823EBF"/>
    <w:rsid w:val="00823F67"/>
    <w:rsid w:val="00824022"/>
    <w:rsid w:val="008243F6"/>
    <w:rsid w:val="0082483A"/>
    <w:rsid w:val="0082483D"/>
    <w:rsid w:val="00824846"/>
    <w:rsid w:val="00824882"/>
    <w:rsid w:val="008249AF"/>
    <w:rsid w:val="00824A6B"/>
    <w:rsid w:val="00824A81"/>
    <w:rsid w:val="00824B9E"/>
    <w:rsid w:val="00824D21"/>
    <w:rsid w:val="00825033"/>
    <w:rsid w:val="008250B9"/>
    <w:rsid w:val="008252A6"/>
    <w:rsid w:val="00825562"/>
    <w:rsid w:val="008257B8"/>
    <w:rsid w:val="00825CAB"/>
    <w:rsid w:val="00825FC1"/>
    <w:rsid w:val="008260ED"/>
    <w:rsid w:val="0082656D"/>
    <w:rsid w:val="008265C9"/>
    <w:rsid w:val="00826699"/>
    <w:rsid w:val="00826701"/>
    <w:rsid w:val="0082699D"/>
    <w:rsid w:val="00826B25"/>
    <w:rsid w:val="00826CD0"/>
    <w:rsid w:val="00826E6B"/>
    <w:rsid w:val="0082736C"/>
    <w:rsid w:val="008275FD"/>
    <w:rsid w:val="00827627"/>
    <w:rsid w:val="00827740"/>
    <w:rsid w:val="0082787E"/>
    <w:rsid w:val="00827C6D"/>
    <w:rsid w:val="00827D5B"/>
    <w:rsid w:val="00827E04"/>
    <w:rsid w:val="00830408"/>
    <w:rsid w:val="0083055B"/>
    <w:rsid w:val="00830BA1"/>
    <w:rsid w:val="00830D85"/>
    <w:rsid w:val="00830E96"/>
    <w:rsid w:val="00830EB2"/>
    <w:rsid w:val="00830F1A"/>
    <w:rsid w:val="00830F58"/>
    <w:rsid w:val="00831170"/>
    <w:rsid w:val="00831402"/>
    <w:rsid w:val="00831652"/>
    <w:rsid w:val="00831F13"/>
    <w:rsid w:val="0083202E"/>
    <w:rsid w:val="00832050"/>
    <w:rsid w:val="008320C0"/>
    <w:rsid w:val="008320FA"/>
    <w:rsid w:val="008321E4"/>
    <w:rsid w:val="00832527"/>
    <w:rsid w:val="00832789"/>
    <w:rsid w:val="00832EBD"/>
    <w:rsid w:val="00832FA3"/>
    <w:rsid w:val="00832FD7"/>
    <w:rsid w:val="0083304F"/>
    <w:rsid w:val="00833279"/>
    <w:rsid w:val="00833298"/>
    <w:rsid w:val="008332C3"/>
    <w:rsid w:val="008334C9"/>
    <w:rsid w:val="008335AD"/>
    <w:rsid w:val="008335D7"/>
    <w:rsid w:val="00833726"/>
    <w:rsid w:val="008339AB"/>
    <w:rsid w:val="00833A18"/>
    <w:rsid w:val="00833C31"/>
    <w:rsid w:val="00834122"/>
    <w:rsid w:val="00834244"/>
    <w:rsid w:val="00834448"/>
    <w:rsid w:val="00834555"/>
    <w:rsid w:val="00834750"/>
    <w:rsid w:val="00834844"/>
    <w:rsid w:val="008348CC"/>
    <w:rsid w:val="008352C5"/>
    <w:rsid w:val="00835514"/>
    <w:rsid w:val="00835646"/>
    <w:rsid w:val="008356E4"/>
    <w:rsid w:val="008357BA"/>
    <w:rsid w:val="008358A6"/>
    <w:rsid w:val="00835990"/>
    <w:rsid w:val="008359FB"/>
    <w:rsid w:val="00835A06"/>
    <w:rsid w:val="00835C56"/>
    <w:rsid w:val="00835D56"/>
    <w:rsid w:val="00835DF0"/>
    <w:rsid w:val="00835FB7"/>
    <w:rsid w:val="008360FC"/>
    <w:rsid w:val="0083637C"/>
    <w:rsid w:val="00836707"/>
    <w:rsid w:val="00836927"/>
    <w:rsid w:val="00836A9B"/>
    <w:rsid w:val="00836C77"/>
    <w:rsid w:val="00836E81"/>
    <w:rsid w:val="008372FD"/>
    <w:rsid w:val="00837357"/>
    <w:rsid w:val="008373A2"/>
    <w:rsid w:val="0083765C"/>
    <w:rsid w:val="008377C1"/>
    <w:rsid w:val="00837C90"/>
    <w:rsid w:val="00837EB1"/>
    <w:rsid w:val="00837EF7"/>
    <w:rsid w:val="00837F38"/>
    <w:rsid w:val="0084006E"/>
    <w:rsid w:val="0084012A"/>
    <w:rsid w:val="008402B0"/>
    <w:rsid w:val="0084042B"/>
    <w:rsid w:val="008405DF"/>
    <w:rsid w:val="008409BB"/>
    <w:rsid w:val="00840BDF"/>
    <w:rsid w:val="008412F7"/>
    <w:rsid w:val="008414FF"/>
    <w:rsid w:val="0084184A"/>
    <w:rsid w:val="00841C25"/>
    <w:rsid w:val="00841EC6"/>
    <w:rsid w:val="008423F2"/>
    <w:rsid w:val="00842A30"/>
    <w:rsid w:val="00842AF7"/>
    <w:rsid w:val="00842F71"/>
    <w:rsid w:val="00843056"/>
    <w:rsid w:val="00843179"/>
    <w:rsid w:val="0084326C"/>
    <w:rsid w:val="0084359B"/>
    <w:rsid w:val="0084386A"/>
    <w:rsid w:val="00843E0E"/>
    <w:rsid w:val="00843F44"/>
    <w:rsid w:val="00843FFD"/>
    <w:rsid w:val="008442EA"/>
    <w:rsid w:val="00844540"/>
    <w:rsid w:val="00844589"/>
    <w:rsid w:val="008445CE"/>
    <w:rsid w:val="00844794"/>
    <w:rsid w:val="00844BCB"/>
    <w:rsid w:val="00844EB8"/>
    <w:rsid w:val="00844F64"/>
    <w:rsid w:val="00844FE7"/>
    <w:rsid w:val="00845130"/>
    <w:rsid w:val="008451F6"/>
    <w:rsid w:val="00845250"/>
    <w:rsid w:val="00845528"/>
    <w:rsid w:val="00845969"/>
    <w:rsid w:val="00845971"/>
    <w:rsid w:val="008459F1"/>
    <w:rsid w:val="00845AA7"/>
    <w:rsid w:val="00845B55"/>
    <w:rsid w:val="00845D34"/>
    <w:rsid w:val="00845F37"/>
    <w:rsid w:val="00845FF5"/>
    <w:rsid w:val="00846001"/>
    <w:rsid w:val="0084600B"/>
    <w:rsid w:val="0084615D"/>
    <w:rsid w:val="0084642A"/>
    <w:rsid w:val="008465C4"/>
    <w:rsid w:val="00846710"/>
    <w:rsid w:val="008468A5"/>
    <w:rsid w:val="008470E9"/>
    <w:rsid w:val="008473D2"/>
    <w:rsid w:val="008478CF"/>
    <w:rsid w:val="008478ED"/>
    <w:rsid w:val="00847B32"/>
    <w:rsid w:val="0085011D"/>
    <w:rsid w:val="008501A1"/>
    <w:rsid w:val="008501FF"/>
    <w:rsid w:val="00850224"/>
    <w:rsid w:val="0085027F"/>
    <w:rsid w:val="00850369"/>
    <w:rsid w:val="008503D4"/>
    <w:rsid w:val="008504EC"/>
    <w:rsid w:val="008507C2"/>
    <w:rsid w:val="00850A7A"/>
    <w:rsid w:val="00850DBD"/>
    <w:rsid w:val="00850F8C"/>
    <w:rsid w:val="00851009"/>
    <w:rsid w:val="00851027"/>
    <w:rsid w:val="0085115A"/>
    <w:rsid w:val="00851565"/>
    <w:rsid w:val="0085164B"/>
    <w:rsid w:val="00851728"/>
    <w:rsid w:val="008517CD"/>
    <w:rsid w:val="008517FB"/>
    <w:rsid w:val="00851BC6"/>
    <w:rsid w:val="00851D53"/>
    <w:rsid w:val="00851DFF"/>
    <w:rsid w:val="0085242D"/>
    <w:rsid w:val="008527E9"/>
    <w:rsid w:val="008528AB"/>
    <w:rsid w:val="00852A27"/>
    <w:rsid w:val="00852F7D"/>
    <w:rsid w:val="00853084"/>
    <w:rsid w:val="00853142"/>
    <w:rsid w:val="00853242"/>
    <w:rsid w:val="0085367E"/>
    <w:rsid w:val="0085384B"/>
    <w:rsid w:val="00853A49"/>
    <w:rsid w:val="00853A4C"/>
    <w:rsid w:val="008540A6"/>
    <w:rsid w:val="0085436C"/>
    <w:rsid w:val="00854420"/>
    <w:rsid w:val="00854481"/>
    <w:rsid w:val="008549E0"/>
    <w:rsid w:val="00855083"/>
    <w:rsid w:val="00855840"/>
    <w:rsid w:val="00855ACA"/>
    <w:rsid w:val="00855B63"/>
    <w:rsid w:val="00856274"/>
    <w:rsid w:val="008565DE"/>
    <w:rsid w:val="008567E8"/>
    <w:rsid w:val="00856F65"/>
    <w:rsid w:val="008570DF"/>
    <w:rsid w:val="00857204"/>
    <w:rsid w:val="00857384"/>
    <w:rsid w:val="0085738C"/>
    <w:rsid w:val="00857591"/>
    <w:rsid w:val="008575A4"/>
    <w:rsid w:val="00857B7E"/>
    <w:rsid w:val="00857E88"/>
    <w:rsid w:val="008601F9"/>
    <w:rsid w:val="008603F8"/>
    <w:rsid w:val="008603FE"/>
    <w:rsid w:val="00860544"/>
    <w:rsid w:val="00860A32"/>
    <w:rsid w:val="00860BC9"/>
    <w:rsid w:val="00860CE8"/>
    <w:rsid w:val="00860E99"/>
    <w:rsid w:val="00860F6F"/>
    <w:rsid w:val="008612DB"/>
    <w:rsid w:val="008613A0"/>
    <w:rsid w:val="00861616"/>
    <w:rsid w:val="00861A4B"/>
    <w:rsid w:val="00861A7D"/>
    <w:rsid w:val="00861B57"/>
    <w:rsid w:val="00861E90"/>
    <w:rsid w:val="0086212A"/>
    <w:rsid w:val="00862676"/>
    <w:rsid w:val="00862882"/>
    <w:rsid w:val="00862AC4"/>
    <w:rsid w:val="00862BB5"/>
    <w:rsid w:val="00862BD7"/>
    <w:rsid w:val="008633AC"/>
    <w:rsid w:val="008634E3"/>
    <w:rsid w:val="00863668"/>
    <w:rsid w:val="0086374B"/>
    <w:rsid w:val="00863B05"/>
    <w:rsid w:val="00863E48"/>
    <w:rsid w:val="00863EB9"/>
    <w:rsid w:val="00863FBD"/>
    <w:rsid w:val="008644DC"/>
    <w:rsid w:val="008645A2"/>
    <w:rsid w:val="00864627"/>
    <w:rsid w:val="00864635"/>
    <w:rsid w:val="00864678"/>
    <w:rsid w:val="00864718"/>
    <w:rsid w:val="008649C3"/>
    <w:rsid w:val="00864C1A"/>
    <w:rsid w:val="00864D28"/>
    <w:rsid w:val="00865074"/>
    <w:rsid w:val="0086518A"/>
    <w:rsid w:val="00865217"/>
    <w:rsid w:val="00865222"/>
    <w:rsid w:val="00865495"/>
    <w:rsid w:val="00865577"/>
    <w:rsid w:val="00865700"/>
    <w:rsid w:val="0086570D"/>
    <w:rsid w:val="008658AA"/>
    <w:rsid w:val="00865AEF"/>
    <w:rsid w:val="00865CBD"/>
    <w:rsid w:val="00865DAD"/>
    <w:rsid w:val="00865FF2"/>
    <w:rsid w:val="008662E8"/>
    <w:rsid w:val="008668B3"/>
    <w:rsid w:val="00866AFE"/>
    <w:rsid w:val="00866B4B"/>
    <w:rsid w:val="00866E37"/>
    <w:rsid w:val="00866F9E"/>
    <w:rsid w:val="00866FC0"/>
    <w:rsid w:val="008670DB"/>
    <w:rsid w:val="008672E2"/>
    <w:rsid w:val="008674E4"/>
    <w:rsid w:val="0086778F"/>
    <w:rsid w:val="008677F5"/>
    <w:rsid w:val="0086783A"/>
    <w:rsid w:val="0086785A"/>
    <w:rsid w:val="008678F7"/>
    <w:rsid w:val="0086793D"/>
    <w:rsid w:val="00867B1C"/>
    <w:rsid w:val="00867B23"/>
    <w:rsid w:val="00867BBC"/>
    <w:rsid w:val="00867C2C"/>
    <w:rsid w:val="00867EDA"/>
    <w:rsid w:val="008706F7"/>
    <w:rsid w:val="00870C8C"/>
    <w:rsid w:val="00870DE8"/>
    <w:rsid w:val="008712D8"/>
    <w:rsid w:val="008713D6"/>
    <w:rsid w:val="00871587"/>
    <w:rsid w:val="00871643"/>
    <w:rsid w:val="00871669"/>
    <w:rsid w:val="00871826"/>
    <w:rsid w:val="00871B27"/>
    <w:rsid w:val="00871EF2"/>
    <w:rsid w:val="008720AF"/>
    <w:rsid w:val="008720E3"/>
    <w:rsid w:val="00872264"/>
    <w:rsid w:val="00872568"/>
    <w:rsid w:val="0087281D"/>
    <w:rsid w:val="008728AE"/>
    <w:rsid w:val="008729A9"/>
    <w:rsid w:val="00872A9A"/>
    <w:rsid w:val="00872C19"/>
    <w:rsid w:val="00872DBC"/>
    <w:rsid w:val="00872E38"/>
    <w:rsid w:val="00872E68"/>
    <w:rsid w:val="0087302B"/>
    <w:rsid w:val="008732D8"/>
    <w:rsid w:val="00873377"/>
    <w:rsid w:val="00873577"/>
    <w:rsid w:val="00873992"/>
    <w:rsid w:val="00873A34"/>
    <w:rsid w:val="0087409F"/>
    <w:rsid w:val="00874101"/>
    <w:rsid w:val="008742A0"/>
    <w:rsid w:val="008744F8"/>
    <w:rsid w:val="00874571"/>
    <w:rsid w:val="008748F5"/>
    <w:rsid w:val="00874D58"/>
    <w:rsid w:val="00874E1C"/>
    <w:rsid w:val="008750D2"/>
    <w:rsid w:val="008751DF"/>
    <w:rsid w:val="0087556B"/>
    <w:rsid w:val="0087568F"/>
    <w:rsid w:val="00875700"/>
    <w:rsid w:val="00875AB5"/>
    <w:rsid w:val="00875C91"/>
    <w:rsid w:val="00875F85"/>
    <w:rsid w:val="0087603E"/>
    <w:rsid w:val="00876376"/>
    <w:rsid w:val="0087657B"/>
    <w:rsid w:val="0087668F"/>
    <w:rsid w:val="00876C6B"/>
    <w:rsid w:val="00876D32"/>
    <w:rsid w:val="00876DC9"/>
    <w:rsid w:val="00876DEF"/>
    <w:rsid w:val="00876F91"/>
    <w:rsid w:val="00877125"/>
    <w:rsid w:val="00877374"/>
    <w:rsid w:val="00877663"/>
    <w:rsid w:val="008777C2"/>
    <w:rsid w:val="00877892"/>
    <w:rsid w:val="00877A72"/>
    <w:rsid w:val="00877B61"/>
    <w:rsid w:val="00877BC3"/>
    <w:rsid w:val="00877CC3"/>
    <w:rsid w:val="00877E58"/>
    <w:rsid w:val="00880444"/>
    <w:rsid w:val="0088065E"/>
    <w:rsid w:val="00880CA0"/>
    <w:rsid w:val="00880D8C"/>
    <w:rsid w:val="00880EC7"/>
    <w:rsid w:val="00880F23"/>
    <w:rsid w:val="00881340"/>
    <w:rsid w:val="00881436"/>
    <w:rsid w:val="0088144A"/>
    <w:rsid w:val="00881511"/>
    <w:rsid w:val="008815E6"/>
    <w:rsid w:val="0088162C"/>
    <w:rsid w:val="008816C4"/>
    <w:rsid w:val="008818DF"/>
    <w:rsid w:val="00881A50"/>
    <w:rsid w:val="00881D8A"/>
    <w:rsid w:val="00882448"/>
    <w:rsid w:val="0088248A"/>
    <w:rsid w:val="00882724"/>
    <w:rsid w:val="00882AF2"/>
    <w:rsid w:val="00882F1D"/>
    <w:rsid w:val="0088313B"/>
    <w:rsid w:val="008831C0"/>
    <w:rsid w:val="0088323F"/>
    <w:rsid w:val="0088338D"/>
    <w:rsid w:val="008833DD"/>
    <w:rsid w:val="00883966"/>
    <w:rsid w:val="00883A4D"/>
    <w:rsid w:val="00883B21"/>
    <w:rsid w:val="00883BDF"/>
    <w:rsid w:val="00883E69"/>
    <w:rsid w:val="00883ED7"/>
    <w:rsid w:val="00883EDA"/>
    <w:rsid w:val="00883F8F"/>
    <w:rsid w:val="00883FBA"/>
    <w:rsid w:val="00883FCE"/>
    <w:rsid w:val="00883FDC"/>
    <w:rsid w:val="00884115"/>
    <w:rsid w:val="00884235"/>
    <w:rsid w:val="00884684"/>
    <w:rsid w:val="00884C35"/>
    <w:rsid w:val="00885285"/>
    <w:rsid w:val="00885433"/>
    <w:rsid w:val="00885511"/>
    <w:rsid w:val="00885985"/>
    <w:rsid w:val="00885AE5"/>
    <w:rsid w:val="00885D44"/>
    <w:rsid w:val="008862B8"/>
    <w:rsid w:val="00886699"/>
    <w:rsid w:val="008866CC"/>
    <w:rsid w:val="008869D4"/>
    <w:rsid w:val="00886D08"/>
    <w:rsid w:val="0088709A"/>
    <w:rsid w:val="0088724E"/>
    <w:rsid w:val="008872B8"/>
    <w:rsid w:val="0088734E"/>
    <w:rsid w:val="0088781A"/>
    <w:rsid w:val="00890714"/>
    <w:rsid w:val="00890A4B"/>
    <w:rsid w:val="00890D6C"/>
    <w:rsid w:val="00891033"/>
    <w:rsid w:val="0089122B"/>
    <w:rsid w:val="008912B9"/>
    <w:rsid w:val="008912E7"/>
    <w:rsid w:val="00891374"/>
    <w:rsid w:val="00891408"/>
    <w:rsid w:val="00891796"/>
    <w:rsid w:val="008917C5"/>
    <w:rsid w:val="0089199F"/>
    <w:rsid w:val="00891A04"/>
    <w:rsid w:val="00891C32"/>
    <w:rsid w:val="00891D1B"/>
    <w:rsid w:val="00891D64"/>
    <w:rsid w:val="00891D7F"/>
    <w:rsid w:val="008921FA"/>
    <w:rsid w:val="00892265"/>
    <w:rsid w:val="0089233E"/>
    <w:rsid w:val="00892705"/>
    <w:rsid w:val="008928D3"/>
    <w:rsid w:val="00892F03"/>
    <w:rsid w:val="0089330E"/>
    <w:rsid w:val="008933C2"/>
    <w:rsid w:val="008937EC"/>
    <w:rsid w:val="0089394B"/>
    <w:rsid w:val="00893A72"/>
    <w:rsid w:val="00893A8E"/>
    <w:rsid w:val="00893E27"/>
    <w:rsid w:val="00894254"/>
    <w:rsid w:val="00894535"/>
    <w:rsid w:val="008945F7"/>
    <w:rsid w:val="0089463D"/>
    <w:rsid w:val="008947DF"/>
    <w:rsid w:val="00894829"/>
    <w:rsid w:val="00894C9D"/>
    <w:rsid w:val="00894CF1"/>
    <w:rsid w:val="00894D39"/>
    <w:rsid w:val="008952DA"/>
    <w:rsid w:val="008954FD"/>
    <w:rsid w:val="0089554F"/>
    <w:rsid w:val="008955AD"/>
    <w:rsid w:val="008955E6"/>
    <w:rsid w:val="00895648"/>
    <w:rsid w:val="00895B5F"/>
    <w:rsid w:val="00895EDB"/>
    <w:rsid w:val="008962DA"/>
    <w:rsid w:val="0089637C"/>
    <w:rsid w:val="008964D3"/>
    <w:rsid w:val="008965F0"/>
    <w:rsid w:val="00896712"/>
    <w:rsid w:val="008967BE"/>
    <w:rsid w:val="00896870"/>
    <w:rsid w:val="008969BD"/>
    <w:rsid w:val="00896B13"/>
    <w:rsid w:val="00896C27"/>
    <w:rsid w:val="00896F99"/>
    <w:rsid w:val="0089712A"/>
    <w:rsid w:val="00897528"/>
    <w:rsid w:val="0089755B"/>
    <w:rsid w:val="008979AD"/>
    <w:rsid w:val="00897B6B"/>
    <w:rsid w:val="008A002F"/>
    <w:rsid w:val="008A0371"/>
    <w:rsid w:val="008A03B8"/>
    <w:rsid w:val="008A055C"/>
    <w:rsid w:val="008A0811"/>
    <w:rsid w:val="008A08D2"/>
    <w:rsid w:val="008A0FF9"/>
    <w:rsid w:val="008A1253"/>
    <w:rsid w:val="008A13BD"/>
    <w:rsid w:val="008A1596"/>
    <w:rsid w:val="008A1679"/>
    <w:rsid w:val="008A1726"/>
    <w:rsid w:val="008A183F"/>
    <w:rsid w:val="008A197B"/>
    <w:rsid w:val="008A1AF8"/>
    <w:rsid w:val="008A1B43"/>
    <w:rsid w:val="008A1CD9"/>
    <w:rsid w:val="008A1D0E"/>
    <w:rsid w:val="008A1EDF"/>
    <w:rsid w:val="008A1F58"/>
    <w:rsid w:val="008A22D3"/>
    <w:rsid w:val="008A2695"/>
    <w:rsid w:val="008A2946"/>
    <w:rsid w:val="008A2AC4"/>
    <w:rsid w:val="008A2D60"/>
    <w:rsid w:val="008A2DC9"/>
    <w:rsid w:val="008A2FF1"/>
    <w:rsid w:val="008A319B"/>
    <w:rsid w:val="008A32D4"/>
    <w:rsid w:val="008A367F"/>
    <w:rsid w:val="008A3720"/>
    <w:rsid w:val="008A37AF"/>
    <w:rsid w:val="008A37E1"/>
    <w:rsid w:val="008A389D"/>
    <w:rsid w:val="008A3D62"/>
    <w:rsid w:val="008A3DBC"/>
    <w:rsid w:val="008A3E13"/>
    <w:rsid w:val="008A3F51"/>
    <w:rsid w:val="008A427C"/>
    <w:rsid w:val="008A42AB"/>
    <w:rsid w:val="008A448D"/>
    <w:rsid w:val="008A46F9"/>
    <w:rsid w:val="008A47CB"/>
    <w:rsid w:val="008A48B2"/>
    <w:rsid w:val="008A4A55"/>
    <w:rsid w:val="008A4A77"/>
    <w:rsid w:val="008A4D9F"/>
    <w:rsid w:val="008A506F"/>
    <w:rsid w:val="008A5081"/>
    <w:rsid w:val="008A528A"/>
    <w:rsid w:val="008A5298"/>
    <w:rsid w:val="008A535A"/>
    <w:rsid w:val="008A5510"/>
    <w:rsid w:val="008A5723"/>
    <w:rsid w:val="008A5754"/>
    <w:rsid w:val="008A5892"/>
    <w:rsid w:val="008A58F9"/>
    <w:rsid w:val="008A5B0C"/>
    <w:rsid w:val="008A5DA3"/>
    <w:rsid w:val="008A5FBB"/>
    <w:rsid w:val="008A613C"/>
    <w:rsid w:val="008A63ED"/>
    <w:rsid w:val="008A649A"/>
    <w:rsid w:val="008A6A3F"/>
    <w:rsid w:val="008A6D8C"/>
    <w:rsid w:val="008A6F88"/>
    <w:rsid w:val="008A7193"/>
    <w:rsid w:val="008A720F"/>
    <w:rsid w:val="008A7414"/>
    <w:rsid w:val="008A749F"/>
    <w:rsid w:val="008A765C"/>
    <w:rsid w:val="008A79B9"/>
    <w:rsid w:val="008A79E3"/>
    <w:rsid w:val="008A7B97"/>
    <w:rsid w:val="008A7C72"/>
    <w:rsid w:val="008B00BE"/>
    <w:rsid w:val="008B041B"/>
    <w:rsid w:val="008B04F2"/>
    <w:rsid w:val="008B07CA"/>
    <w:rsid w:val="008B088E"/>
    <w:rsid w:val="008B0B79"/>
    <w:rsid w:val="008B0C68"/>
    <w:rsid w:val="008B0D0E"/>
    <w:rsid w:val="008B0E5B"/>
    <w:rsid w:val="008B122A"/>
    <w:rsid w:val="008B12BB"/>
    <w:rsid w:val="008B13E0"/>
    <w:rsid w:val="008B1411"/>
    <w:rsid w:val="008B146E"/>
    <w:rsid w:val="008B14AD"/>
    <w:rsid w:val="008B150E"/>
    <w:rsid w:val="008B17A2"/>
    <w:rsid w:val="008B17E6"/>
    <w:rsid w:val="008B1C20"/>
    <w:rsid w:val="008B1C8C"/>
    <w:rsid w:val="008B1DBC"/>
    <w:rsid w:val="008B1F1F"/>
    <w:rsid w:val="008B212A"/>
    <w:rsid w:val="008B25F2"/>
    <w:rsid w:val="008B2643"/>
    <w:rsid w:val="008B2C9C"/>
    <w:rsid w:val="008B2E67"/>
    <w:rsid w:val="008B2FAE"/>
    <w:rsid w:val="008B30D0"/>
    <w:rsid w:val="008B3294"/>
    <w:rsid w:val="008B3317"/>
    <w:rsid w:val="008B35FD"/>
    <w:rsid w:val="008B365B"/>
    <w:rsid w:val="008B3D22"/>
    <w:rsid w:val="008B414B"/>
    <w:rsid w:val="008B4480"/>
    <w:rsid w:val="008B4531"/>
    <w:rsid w:val="008B4568"/>
    <w:rsid w:val="008B481F"/>
    <w:rsid w:val="008B49E7"/>
    <w:rsid w:val="008B4E0E"/>
    <w:rsid w:val="008B4E17"/>
    <w:rsid w:val="008B4E7A"/>
    <w:rsid w:val="008B4F58"/>
    <w:rsid w:val="008B4FB5"/>
    <w:rsid w:val="008B4FB9"/>
    <w:rsid w:val="008B53D0"/>
    <w:rsid w:val="008B5715"/>
    <w:rsid w:val="008B580D"/>
    <w:rsid w:val="008B58EB"/>
    <w:rsid w:val="008B59DE"/>
    <w:rsid w:val="008B5A2D"/>
    <w:rsid w:val="008B5AC4"/>
    <w:rsid w:val="008B5BC2"/>
    <w:rsid w:val="008B5DB0"/>
    <w:rsid w:val="008B5E4B"/>
    <w:rsid w:val="008B60A1"/>
    <w:rsid w:val="008B60BB"/>
    <w:rsid w:val="008B619A"/>
    <w:rsid w:val="008B61CB"/>
    <w:rsid w:val="008B6384"/>
    <w:rsid w:val="008B64F4"/>
    <w:rsid w:val="008B6522"/>
    <w:rsid w:val="008B6732"/>
    <w:rsid w:val="008B68EC"/>
    <w:rsid w:val="008B6DE6"/>
    <w:rsid w:val="008B6EE5"/>
    <w:rsid w:val="008B711E"/>
    <w:rsid w:val="008B73E0"/>
    <w:rsid w:val="008B7520"/>
    <w:rsid w:val="008B7841"/>
    <w:rsid w:val="008B791B"/>
    <w:rsid w:val="008B7A3A"/>
    <w:rsid w:val="008B7BAD"/>
    <w:rsid w:val="008C007C"/>
    <w:rsid w:val="008C0157"/>
    <w:rsid w:val="008C01F7"/>
    <w:rsid w:val="008C042F"/>
    <w:rsid w:val="008C057B"/>
    <w:rsid w:val="008C067F"/>
    <w:rsid w:val="008C08C9"/>
    <w:rsid w:val="008C08E4"/>
    <w:rsid w:val="008C08F3"/>
    <w:rsid w:val="008C0B53"/>
    <w:rsid w:val="008C0BD4"/>
    <w:rsid w:val="008C0CAC"/>
    <w:rsid w:val="008C1359"/>
    <w:rsid w:val="008C13B4"/>
    <w:rsid w:val="008C1450"/>
    <w:rsid w:val="008C1522"/>
    <w:rsid w:val="008C1557"/>
    <w:rsid w:val="008C1626"/>
    <w:rsid w:val="008C1883"/>
    <w:rsid w:val="008C1B8C"/>
    <w:rsid w:val="008C1C97"/>
    <w:rsid w:val="008C1CBC"/>
    <w:rsid w:val="008C2306"/>
    <w:rsid w:val="008C248A"/>
    <w:rsid w:val="008C26D1"/>
    <w:rsid w:val="008C2716"/>
    <w:rsid w:val="008C2B7F"/>
    <w:rsid w:val="008C2DE7"/>
    <w:rsid w:val="008C2FFD"/>
    <w:rsid w:val="008C313C"/>
    <w:rsid w:val="008C3160"/>
    <w:rsid w:val="008C3285"/>
    <w:rsid w:val="008C3325"/>
    <w:rsid w:val="008C33D0"/>
    <w:rsid w:val="008C35EF"/>
    <w:rsid w:val="008C362E"/>
    <w:rsid w:val="008C36AC"/>
    <w:rsid w:val="008C3D5F"/>
    <w:rsid w:val="008C408D"/>
    <w:rsid w:val="008C44B0"/>
    <w:rsid w:val="008C4953"/>
    <w:rsid w:val="008C4D77"/>
    <w:rsid w:val="008C4E44"/>
    <w:rsid w:val="008C4E5F"/>
    <w:rsid w:val="008C52D7"/>
    <w:rsid w:val="008C53E4"/>
    <w:rsid w:val="008C55CE"/>
    <w:rsid w:val="008C5782"/>
    <w:rsid w:val="008C58AF"/>
    <w:rsid w:val="008C58D1"/>
    <w:rsid w:val="008C5991"/>
    <w:rsid w:val="008C59E1"/>
    <w:rsid w:val="008C5C2B"/>
    <w:rsid w:val="008C5CAC"/>
    <w:rsid w:val="008C5E2E"/>
    <w:rsid w:val="008C6255"/>
    <w:rsid w:val="008C684B"/>
    <w:rsid w:val="008C6ABD"/>
    <w:rsid w:val="008C6F18"/>
    <w:rsid w:val="008C71A4"/>
    <w:rsid w:val="008C7454"/>
    <w:rsid w:val="008C7685"/>
    <w:rsid w:val="008C781D"/>
    <w:rsid w:val="008C7C01"/>
    <w:rsid w:val="008C7C0E"/>
    <w:rsid w:val="008C7D93"/>
    <w:rsid w:val="008D007A"/>
    <w:rsid w:val="008D0241"/>
    <w:rsid w:val="008D04F1"/>
    <w:rsid w:val="008D051B"/>
    <w:rsid w:val="008D0528"/>
    <w:rsid w:val="008D07AA"/>
    <w:rsid w:val="008D07DE"/>
    <w:rsid w:val="008D0831"/>
    <w:rsid w:val="008D0A4A"/>
    <w:rsid w:val="008D0B0E"/>
    <w:rsid w:val="008D0B62"/>
    <w:rsid w:val="008D0C0A"/>
    <w:rsid w:val="008D0C93"/>
    <w:rsid w:val="008D0E40"/>
    <w:rsid w:val="008D0F0A"/>
    <w:rsid w:val="008D1282"/>
    <w:rsid w:val="008D13DC"/>
    <w:rsid w:val="008D1907"/>
    <w:rsid w:val="008D1932"/>
    <w:rsid w:val="008D1BDC"/>
    <w:rsid w:val="008D1C54"/>
    <w:rsid w:val="008D1CE3"/>
    <w:rsid w:val="008D1E7F"/>
    <w:rsid w:val="008D2367"/>
    <w:rsid w:val="008D24D2"/>
    <w:rsid w:val="008D2A4F"/>
    <w:rsid w:val="008D2A62"/>
    <w:rsid w:val="008D305D"/>
    <w:rsid w:val="008D31BB"/>
    <w:rsid w:val="008D335D"/>
    <w:rsid w:val="008D390A"/>
    <w:rsid w:val="008D3BFC"/>
    <w:rsid w:val="008D3CCB"/>
    <w:rsid w:val="008D3F87"/>
    <w:rsid w:val="008D427A"/>
    <w:rsid w:val="008D427F"/>
    <w:rsid w:val="008D4487"/>
    <w:rsid w:val="008D4AE1"/>
    <w:rsid w:val="008D4DD5"/>
    <w:rsid w:val="008D549B"/>
    <w:rsid w:val="008D5657"/>
    <w:rsid w:val="008D5780"/>
    <w:rsid w:val="008D581C"/>
    <w:rsid w:val="008D58AE"/>
    <w:rsid w:val="008D5B64"/>
    <w:rsid w:val="008D61D8"/>
    <w:rsid w:val="008D63BA"/>
    <w:rsid w:val="008D64EB"/>
    <w:rsid w:val="008D6752"/>
    <w:rsid w:val="008D689D"/>
    <w:rsid w:val="008D68C2"/>
    <w:rsid w:val="008D69E7"/>
    <w:rsid w:val="008D6E4C"/>
    <w:rsid w:val="008D6FA1"/>
    <w:rsid w:val="008D6FC1"/>
    <w:rsid w:val="008D7277"/>
    <w:rsid w:val="008D73C8"/>
    <w:rsid w:val="008D74E9"/>
    <w:rsid w:val="008D754D"/>
    <w:rsid w:val="008D75C6"/>
    <w:rsid w:val="008D781A"/>
    <w:rsid w:val="008D7E75"/>
    <w:rsid w:val="008D7F8C"/>
    <w:rsid w:val="008E0140"/>
    <w:rsid w:val="008E0345"/>
    <w:rsid w:val="008E039B"/>
    <w:rsid w:val="008E049B"/>
    <w:rsid w:val="008E0688"/>
    <w:rsid w:val="008E06C4"/>
    <w:rsid w:val="008E0BEF"/>
    <w:rsid w:val="008E0DFF"/>
    <w:rsid w:val="008E0ECE"/>
    <w:rsid w:val="008E0F76"/>
    <w:rsid w:val="008E10AB"/>
    <w:rsid w:val="008E10FC"/>
    <w:rsid w:val="008E111D"/>
    <w:rsid w:val="008E152D"/>
    <w:rsid w:val="008E18F4"/>
    <w:rsid w:val="008E1AD8"/>
    <w:rsid w:val="008E266D"/>
    <w:rsid w:val="008E26FB"/>
    <w:rsid w:val="008E2A6E"/>
    <w:rsid w:val="008E2A9F"/>
    <w:rsid w:val="008E2AFF"/>
    <w:rsid w:val="008E2BBB"/>
    <w:rsid w:val="008E2C24"/>
    <w:rsid w:val="008E2D3B"/>
    <w:rsid w:val="008E2F0C"/>
    <w:rsid w:val="008E2F17"/>
    <w:rsid w:val="008E2FAF"/>
    <w:rsid w:val="008E31B4"/>
    <w:rsid w:val="008E31F3"/>
    <w:rsid w:val="008E32F9"/>
    <w:rsid w:val="008E36A0"/>
    <w:rsid w:val="008E3717"/>
    <w:rsid w:val="008E376D"/>
    <w:rsid w:val="008E3949"/>
    <w:rsid w:val="008E3E23"/>
    <w:rsid w:val="008E3E96"/>
    <w:rsid w:val="008E4044"/>
    <w:rsid w:val="008E423A"/>
    <w:rsid w:val="008E46B4"/>
    <w:rsid w:val="008E4725"/>
    <w:rsid w:val="008E4762"/>
    <w:rsid w:val="008E478A"/>
    <w:rsid w:val="008E4B5A"/>
    <w:rsid w:val="008E4CE7"/>
    <w:rsid w:val="008E4E99"/>
    <w:rsid w:val="008E4EF5"/>
    <w:rsid w:val="008E4FB8"/>
    <w:rsid w:val="008E52D6"/>
    <w:rsid w:val="008E536E"/>
    <w:rsid w:val="008E547B"/>
    <w:rsid w:val="008E5539"/>
    <w:rsid w:val="008E5662"/>
    <w:rsid w:val="008E5834"/>
    <w:rsid w:val="008E5A7D"/>
    <w:rsid w:val="008E5DF8"/>
    <w:rsid w:val="008E61E7"/>
    <w:rsid w:val="008E64E3"/>
    <w:rsid w:val="008E6710"/>
    <w:rsid w:val="008E6815"/>
    <w:rsid w:val="008E6854"/>
    <w:rsid w:val="008E69D2"/>
    <w:rsid w:val="008E69FB"/>
    <w:rsid w:val="008E6CD1"/>
    <w:rsid w:val="008E6E62"/>
    <w:rsid w:val="008E6F31"/>
    <w:rsid w:val="008E71D0"/>
    <w:rsid w:val="008E726E"/>
    <w:rsid w:val="008E731E"/>
    <w:rsid w:val="008E7405"/>
    <w:rsid w:val="008E7584"/>
    <w:rsid w:val="008E7669"/>
    <w:rsid w:val="008E76DA"/>
    <w:rsid w:val="008E7C2A"/>
    <w:rsid w:val="008E7D9A"/>
    <w:rsid w:val="008E7DB6"/>
    <w:rsid w:val="008F00F2"/>
    <w:rsid w:val="008F0250"/>
    <w:rsid w:val="008F04AE"/>
    <w:rsid w:val="008F04C5"/>
    <w:rsid w:val="008F095A"/>
    <w:rsid w:val="008F0A6D"/>
    <w:rsid w:val="008F0E25"/>
    <w:rsid w:val="008F11F4"/>
    <w:rsid w:val="008F1205"/>
    <w:rsid w:val="008F14E3"/>
    <w:rsid w:val="008F1952"/>
    <w:rsid w:val="008F1965"/>
    <w:rsid w:val="008F19EB"/>
    <w:rsid w:val="008F2482"/>
    <w:rsid w:val="008F2542"/>
    <w:rsid w:val="008F254D"/>
    <w:rsid w:val="008F257F"/>
    <w:rsid w:val="008F283B"/>
    <w:rsid w:val="008F2B7D"/>
    <w:rsid w:val="008F2B88"/>
    <w:rsid w:val="008F2BEB"/>
    <w:rsid w:val="008F30DF"/>
    <w:rsid w:val="008F30EE"/>
    <w:rsid w:val="008F310B"/>
    <w:rsid w:val="008F322B"/>
    <w:rsid w:val="008F33F1"/>
    <w:rsid w:val="008F3461"/>
    <w:rsid w:val="008F34CB"/>
    <w:rsid w:val="008F3519"/>
    <w:rsid w:val="008F3AD3"/>
    <w:rsid w:val="008F3BC9"/>
    <w:rsid w:val="008F3C3B"/>
    <w:rsid w:val="008F3CA7"/>
    <w:rsid w:val="008F42BC"/>
    <w:rsid w:val="008F443F"/>
    <w:rsid w:val="008F45F0"/>
    <w:rsid w:val="008F461C"/>
    <w:rsid w:val="008F4993"/>
    <w:rsid w:val="008F49A6"/>
    <w:rsid w:val="008F4C3A"/>
    <w:rsid w:val="008F54AB"/>
    <w:rsid w:val="008F58A9"/>
    <w:rsid w:val="008F5BFA"/>
    <w:rsid w:val="008F5DE5"/>
    <w:rsid w:val="008F5E42"/>
    <w:rsid w:val="008F601C"/>
    <w:rsid w:val="008F6076"/>
    <w:rsid w:val="008F63B1"/>
    <w:rsid w:val="008F6428"/>
    <w:rsid w:val="008F6503"/>
    <w:rsid w:val="008F65DB"/>
    <w:rsid w:val="008F66BF"/>
    <w:rsid w:val="008F6973"/>
    <w:rsid w:val="008F6A12"/>
    <w:rsid w:val="008F6B19"/>
    <w:rsid w:val="008F6E6A"/>
    <w:rsid w:val="008F6F7B"/>
    <w:rsid w:val="008F71AE"/>
    <w:rsid w:val="008F76E8"/>
    <w:rsid w:val="008F78F2"/>
    <w:rsid w:val="008F7AA7"/>
    <w:rsid w:val="008F7B61"/>
    <w:rsid w:val="008F7D16"/>
    <w:rsid w:val="0090027D"/>
    <w:rsid w:val="009004E0"/>
    <w:rsid w:val="009005B3"/>
    <w:rsid w:val="009006B0"/>
    <w:rsid w:val="009006B3"/>
    <w:rsid w:val="00900947"/>
    <w:rsid w:val="00900A86"/>
    <w:rsid w:val="00900AD9"/>
    <w:rsid w:val="00900ADB"/>
    <w:rsid w:val="00900CC8"/>
    <w:rsid w:val="00900EB8"/>
    <w:rsid w:val="00900FBA"/>
    <w:rsid w:val="00900FF9"/>
    <w:rsid w:val="009010CE"/>
    <w:rsid w:val="00901217"/>
    <w:rsid w:val="0090134B"/>
    <w:rsid w:val="009013A1"/>
    <w:rsid w:val="009014CD"/>
    <w:rsid w:val="00901B2C"/>
    <w:rsid w:val="00901D0D"/>
    <w:rsid w:val="00901DBB"/>
    <w:rsid w:val="00901FCA"/>
    <w:rsid w:val="0090201B"/>
    <w:rsid w:val="009020E6"/>
    <w:rsid w:val="009020FC"/>
    <w:rsid w:val="009021B9"/>
    <w:rsid w:val="00902550"/>
    <w:rsid w:val="00902766"/>
    <w:rsid w:val="0090285E"/>
    <w:rsid w:val="009029D0"/>
    <w:rsid w:val="00902C5C"/>
    <w:rsid w:val="00902C7A"/>
    <w:rsid w:val="00902E5B"/>
    <w:rsid w:val="00902E66"/>
    <w:rsid w:val="00902EAC"/>
    <w:rsid w:val="0090322B"/>
    <w:rsid w:val="00903618"/>
    <w:rsid w:val="00903FD9"/>
    <w:rsid w:val="009043D8"/>
    <w:rsid w:val="0090448F"/>
    <w:rsid w:val="009048D8"/>
    <w:rsid w:val="009049E0"/>
    <w:rsid w:val="00904A52"/>
    <w:rsid w:val="00904A8F"/>
    <w:rsid w:val="00904CF5"/>
    <w:rsid w:val="00904DC1"/>
    <w:rsid w:val="00904ED8"/>
    <w:rsid w:val="009050D1"/>
    <w:rsid w:val="009050D4"/>
    <w:rsid w:val="00905259"/>
    <w:rsid w:val="00905387"/>
    <w:rsid w:val="0090552D"/>
    <w:rsid w:val="0090553D"/>
    <w:rsid w:val="0090556C"/>
    <w:rsid w:val="00905633"/>
    <w:rsid w:val="0090582A"/>
    <w:rsid w:val="00905A25"/>
    <w:rsid w:val="00905EAD"/>
    <w:rsid w:val="00905EAE"/>
    <w:rsid w:val="00905F3B"/>
    <w:rsid w:val="009060C4"/>
    <w:rsid w:val="0090656F"/>
    <w:rsid w:val="00906BA9"/>
    <w:rsid w:val="00906C91"/>
    <w:rsid w:val="00906C95"/>
    <w:rsid w:val="00906D17"/>
    <w:rsid w:val="00906FEF"/>
    <w:rsid w:val="00907217"/>
    <w:rsid w:val="00907656"/>
    <w:rsid w:val="009077DF"/>
    <w:rsid w:val="00907E47"/>
    <w:rsid w:val="00907EDD"/>
    <w:rsid w:val="00907F6F"/>
    <w:rsid w:val="009100EB"/>
    <w:rsid w:val="009102ED"/>
    <w:rsid w:val="00910305"/>
    <w:rsid w:val="00910390"/>
    <w:rsid w:val="00910503"/>
    <w:rsid w:val="0091051F"/>
    <w:rsid w:val="009105E9"/>
    <w:rsid w:val="00910B49"/>
    <w:rsid w:val="00911080"/>
    <w:rsid w:val="0091126A"/>
    <w:rsid w:val="00911518"/>
    <w:rsid w:val="009115EF"/>
    <w:rsid w:val="009116DD"/>
    <w:rsid w:val="009116EA"/>
    <w:rsid w:val="009118BD"/>
    <w:rsid w:val="009118CF"/>
    <w:rsid w:val="00911972"/>
    <w:rsid w:val="00911B2E"/>
    <w:rsid w:val="00911EAD"/>
    <w:rsid w:val="0091216B"/>
    <w:rsid w:val="009123DD"/>
    <w:rsid w:val="0091243B"/>
    <w:rsid w:val="00912790"/>
    <w:rsid w:val="00912973"/>
    <w:rsid w:val="009129B1"/>
    <w:rsid w:val="00912C87"/>
    <w:rsid w:val="00912CBA"/>
    <w:rsid w:val="00912D1C"/>
    <w:rsid w:val="00912D6E"/>
    <w:rsid w:val="00912E5A"/>
    <w:rsid w:val="00912E71"/>
    <w:rsid w:val="00912EC3"/>
    <w:rsid w:val="00913019"/>
    <w:rsid w:val="00913462"/>
    <w:rsid w:val="0091366C"/>
    <w:rsid w:val="00913778"/>
    <w:rsid w:val="00913F1E"/>
    <w:rsid w:val="00913FB2"/>
    <w:rsid w:val="0091407C"/>
    <w:rsid w:val="009140C4"/>
    <w:rsid w:val="0091426D"/>
    <w:rsid w:val="009144A9"/>
    <w:rsid w:val="009144C0"/>
    <w:rsid w:val="00914642"/>
    <w:rsid w:val="0091468B"/>
    <w:rsid w:val="009149ED"/>
    <w:rsid w:val="0091501A"/>
    <w:rsid w:val="00915185"/>
    <w:rsid w:val="0091526F"/>
    <w:rsid w:val="009153D2"/>
    <w:rsid w:val="009156A6"/>
    <w:rsid w:val="009156AB"/>
    <w:rsid w:val="009157E4"/>
    <w:rsid w:val="009158BC"/>
    <w:rsid w:val="00915E87"/>
    <w:rsid w:val="00915F11"/>
    <w:rsid w:val="00915FC6"/>
    <w:rsid w:val="009161A7"/>
    <w:rsid w:val="00916286"/>
    <w:rsid w:val="0091632D"/>
    <w:rsid w:val="00916461"/>
    <w:rsid w:val="00916595"/>
    <w:rsid w:val="0091682F"/>
    <w:rsid w:val="00916938"/>
    <w:rsid w:val="00916BEF"/>
    <w:rsid w:val="00916C41"/>
    <w:rsid w:val="00916C47"/>
    <w:rsid w:val="00916DDD"/>
    <w:rsid w:val="00917090"/>
    <w:rsid w:val="009171AD"/>
    <w:rsid w:val="00917470"/>
    <w:rsid w:val="0091755C"/>
    <w:rsid w:val="00917569"/>
    <w:rsid w:val="00917B93"/>
    <w:rsid w:val="00917C65"/>
    <w:rsid w:val="00920174"/>
    <w:rsid w:val="00920245"/>
    <w:rsid w:val="0092072B"/>
    <w:rsid w:val="00920A6C"/>
    <w:rsid w:val="00920C7A"/>
    <w:rsid w:val="00920D54"/>
    <w:rsid w:val="00920DEF"/>
    <w:rsid w:val="00920DFF"/>
    <w:rsid w:val="009210D4"/>
    <w:rsid w:val="0092176A"/>
    <w:rsid w:val="009219D2"/>
    <w:rsid w:val="00921A4E"/>
    <w:rsid w:val="00921BBD"/>
    <w:rsid w:val="00921C74"/>
    <w:rsid w:val="00921CA5"/>
    <w:rsid w:val="00921E37"/>
    <w:rsid w:val="00921E96"/>
    <w:rsid w:val="00921F62"/>
    <w:rsid w:val="00921F95"/>
    <w:rsid w:val="00921FBD"/>
    <w:rsid w:val="00921FDC"/>
    <w:rsid w:val="009220D5"/>
    <w:rsid w:val="009223D2"/>
    <w:rsid w:val="00922511"/>
    <w:rsid w:val="009225F7"/>
    <w:rsid w:val="00922668"/>
    <w:rsid w:val="00922778"/>
    <w:rsid w:val="00922A63"/>
    <w:rsid w:val="00922C74"/>
    <w:rsid w:val="00922F07"/>
    <w:rsid w:val="00922F53"/>
    <w:rsid w:val="009231FB"/>
    <w:rsid w:val="00923381"/>
    <w:rsid w:val="00923463"/>
    <w:rsid w:val="00923571"/>
    <w:rsid w:val="00923C82"/>
    <w:rsid w:val="00923F8D"/>
    <w:rsid w:val="00924215"/>
    <w:rsid w:val="0092429B"/>
    <w:rsid w:val="0092450A"/>
    <w:rsid w:val="009245A1"/>
    <w:rsid w:val="00924738"/>
    <w:rsid w:val="009247DA"/>
    <w:rsid w:val="00925238"/>
    <w:rsid w:val="0092554B"/>
    <w:rsid w:val="009256E5"/>
    <w:rsid w:val="009258A0"/>
    <w:rsid w:val="00925ACF"/>
    <w:rsid w:val="00925DD0"/>
    <w:rsid w:val="00925F94"/>
    <w:rsid w:val="0092611B"/>
    <w:rsid w:val="0092615D"/>
    <w:rsid w:val="0092624F"/>
    <w:rsid w:val="00926534"/>
    <w:rsid w:val="00926546"/>
    <w:rsid w:val="009265A1"/>
    <w:rsid w:val="00926B88"/>
    <w:rsid w:val="00926EB2"/>
    <w:rsid w:val="009270D3"/>
    <w:rsid w:val="009275AF"/>
    <w:rsid w:val="00927700"/>
    <w:rsid w:val="00927837"/>
    <w:rsid w:val="00927C37"/>
    <w:rsid w:val="00927E32"/>
    <w:rsid w:val="009301EB"/>
    <w:rsid w:val="00930340"/>
    <w:rsid w:val="0093036E"/>
    <w:rsid w:val="009304E6"/>
    <w:rsid w:val="009305E4"/>
    <w:rsid w:val="00930684"/>
    <w:rsid w:val="009307AD"/>
    <w:rsid w:val="009309FE"/>
    <w:rsid w:val="00930A86"/>
    <w:rsid w:val="00930C72"/>
    <w:rsid w:val="00931040"/>
    <w:rsid w:val="00931125"/>
    <w:rsid w:val="00931224"/>
    <w:rsid w:val="00931436"/>
    <w:rsid w:val="009314BF"/>
    <w:rsid w:val="009314FA"/>
    <w:rsid w:val="00931909"/>
    <w:rsid w:val="00932088"/>
    <w:rsid w:val="0093225D"/>
    <w:rsid w:val="009323FD"/>
    <w:rsid w:val="009324FD"/>
    <w:rsid w:val="009325DE"/>
    <w:rsid w:val="009327E1"/>
    <w:rsid w:val="00932869"/>
    <w:rsid w:val="00932925"/>
    <w:rsid w:val="0093295C"/>
    <w:rsid w:val="00932B5F"/>
    <w:rsid w:val="00932BBD"/>
    <w:rsid w:val="00932C5A"/>
    <w:rsid w:val="00932D06"/>
    <w:rsid w:val="0093310A"/>
    <w:rsid w:val="009333D3"/>
    <w:rsid w:val="00933432"/>
    <w:rsid w:val="0093346E"/>
    <w:rsid w:val="009334B0"/>
    <w:rsid w:val="009334F9"/>
    <w:rsid w:val="00933607"/>
    <w:rsid w:val="009338DB"/>
    <w:rsid w:val="009339B6"/>
    <w:rsid w:val="00933B3A"/>
    <w:rsid w:val="00933B4C"/>
    <w:rsid w:val="00933B51"/>
    <w:rsid w:val="00933DC4"/>
    <w:rsid w:val="0093431B"/>
    <w:rsid w:val="009346BF"/>
    <w:rsid w:val="009346D6"/>
    <w:rsid w:val="00934743"/>
    <w:rsid w:val="0093485F"/>
    <w:rsid w:val="0093487E"/>
    <w:rsid w:val="00934B0B"/>
    <w:rsid w:val="00934BFB"/>
    <w:rsid w:val="00934C4C"/>
    <w:rsid w:val="00934C59"/>
    <w:rsid w:val="00934F48"/>
    <w:rsid w:val="00934FFE"/>
    <w:rsid w:val="00935437"/>
    <w:rsid w:val="00935E87"/>
    <w:rsid w:val="00935F48"/>
    <w:rsid w:val="0093605F"/>
    <w:rsid w:val="0093636D"/>
    <w:rsid w:val="00936405"/>
    <w:rsid w:val="00936B64"/>
    <w:rsid w:val="00936C78"/>
    <w:rsid w:val="00936ED6"/>
    <w:rsid w:val="0093733D"/>
    <w:rsid w:val="00937531"/>
    <w:rsid w:val="00937734"/>
    <w:rsid w:val="00937934"/>
    <w:rsid w:val="009379C4"/>
    <w:rsid w:val="00937E44"/>
    <w:rsid w:val="00937F0B"/>
    <w:rsid w:val="00937F49"/>
    <w:rsid w:val="0094041A"/>
    <w:rsid w:val="00940BF9"/>
    <w:rsid w:val="00940C74"/>
    <w:rsid w:val="00940D32"/>
    <w:rsid w:val="00940F8F"/>
    <w:rsid w:val="009417CE"/>
    <w:rsid w:val="0094190D"/>
    <w:rsid w:val="00941B6F"/>
    <w:rsid w:val="00941B93"/>
    <w:rsid w:val="00941D1C"/>
    <w:rsid w:val="00941D29"/>
    <w:rsid w:val="00941D33"/>
    <w:rsid w:val="00941D43"/>
    <w:rsid w:val="00941DEC"/>
    <w:rsid w:val="009421F8"/>
    <w:rsid w:val="00942354"/>
    <w:rsid w:val="0094235D"/>
    <w:rsid w:val="009425C6"/>
    <w:rsid w:val="00942681"/>
    <w:rsid w:val="009427B1"/>
    <w:rsid w:val="00943282"/>
    <w:rsid w:val="00943359"/>
    <w:rsid w:val="009433B3"/>
    <w:rsid w:val="0094370A"/>
    <w:rsid w:val="00943A7E"/>
    <w:rsid w:val="00943BC0"/>
    <w:rsid w:val="00943E42"/>
    <w:rsid w:val="00943E5D"/>
    <w:rsid w:val="00944013"/>
    <w:rsid w:val="009441CC"/>
    <w:rsid w:val="00944580"/>
    <w:rsid w:val="00944728"/>
    <w:rsid w:val="00944851"/>
    <w:rsid w:val="00944860"/>
    <w:rsid w:val="009448BE"/>
    <w:rsid w:val="009449D9"/>
    <w:rsid w:val="00944BAE"/>
    <w:rsid w:val="00944F1F"/>
    <w:rsid w:val="0094505E"/>
    <w:rsid w:val="009450D4"/>
    <w:rsid w:val="00945243"/>
    <w:rsid w:val="009453E8"/>
    <w:rsid w:val="00945400"/>
    <w:rsid w:val="0094557B"/>
    <w:rsid w:val="009455CA"/>
    <w:rsid w:val="00945664"/>
    <w:rsid w:val="009456F8"/>
    <w:rsid w:val="009457B6"/>
    <w:rsid w:val="00945AD1"/>
    <w:rsid w:val="00945E1F"/>
    <w:rsid w:val="00945E32"/>
    <w:rsid w:val="00945EF7"/>
    <w:rsid w:val="00946121"/>
    <w:rsid w:val="009462BF"/>
    <w:rsid w:val="00946675"/>
    <w:rsid w:val="00946763"/>
    <w:rsid w:val="00946822"/>
    <w:rsid w:val="0094685E"/>
    <w:rsid w:val="0094698A"/>
    <w:rsid w:val="00946A38"/>
    <w:rsid w:val="00946C7B"/>
    <w:rsid w:val="00946D20"/>
    <w:rsid w:val="00946D4F"/>
    <w:rsid w:val="00946ECB"/>
    <w:rsid w:val="009470C2"/>
    <w:rsid w:val="00947268"/>
    <w:rsid w:val="0094750E"/>
    <w:rsid w:val="009479DB"/>
    <w:rsid w:val="00947A8F"/>
    <w:rsid w:val="00947ACC"/>
    <w:rsid w:val="00947C68"/>
    <w:rsid w:val="00947C94"/>
    <w:rsid w:val="00950284"/>
    <w:rsid w:val="0095042A"/>
    <w:rsid w:val="00950457"/>
    <w:rsid w:val="0095064F"/>
    <w:rsid w:val="009506AB"/>
    <w:rsid w:val="0095075A"/>
    <w:rsid w:val="009507C8"/>
    <w:rsid w:val="009508C6"/>
    <w:rsid w:val="00950DE2"/>
    <w:rsid w:val="00950F5A"/>
    <w:rsid w:val="0095115E"/>
    <w:rsid w:val="0095118A"/>
    <w:rsid w:val="009511EF"/>
    <w:rsid w:val="00951601"/>
    <w:rsid w:val="0095177F"/>
    <w:rsid w:val="00951C7C"/>
    <w:rsid w:val="00951D0B"/>
    <w:rsid w:val="00951E97"/>
    <w:rsid w:val="00951F2A"/>
    <w:rsid w:val="00951F80"/>
    <w:rsid w:val="009523FA"/>
    <w:rsid w:val="00952468"/>
    <w:rsid w:val="00952495"/>
    <w:rsid w:val="009528CF"/>
    <w:rsid w:val="00953351"/>
    <w:rsid w:val="00953490"/>
    <w:rsid w:val="009534F7"/>
    <w:rsid w:val="00953BFE"/>
    <w:rsid w:val="00953C47"/>
    <w:rsid w:val="00954055"/>
    <w:rsid w:val="0095426B"/>
    <w:rsid w:val="00954491"/>
    <w:rsid w:val="00954767"/>
    <w:rsid w:val="009547A6"/>
    <w:rsid w:val="0095487A"/>
    <w:rsid w:val="009548FB"/>
    <w:rsid w:val="00954FF0"/>
    <w:rsid w:val="0095538B"/>
    <w:rsid w:val="009555C2"/>
    <w:rsid w:val="009555C6"/>
    <w:rsid w:val="00955647"/>
    <w:rsid w:val="00955991"/>
    <w:rsid w:val="00955C2D"/>
    <w:rsid w:val="00955FFC"/>
    <w:rsid w:val="00956174"/>
    <w:rsid w:val="00956337"/>
    <w:rsid w:val="0095647C"/>
    <w:rsid w:val="00956569"/>
    <w:rsid w:val="0095658F"/>
    <w:rsid w:val="0095667F"/>
    <w:rsid w:val="009566C5"/>
    <w:rsid w:val="0095699C"/>
    <w:rsid w:val="00956C5F"/>
    <w:rsid w:val="00956D1C"/>
    <w:rsid w:val="00956F91"/>
    <w:rsid w:val="00957030"/>
    <w:rsid w:val="0095753F"/>
    <w:rsid w:val="00957AF7"/>
    <w:rsid w:val="00957B5E"/>
    <w:rsid w:val="00957C51"/>
    <w:rsid w:val="00957CD9"/>
    <w:rsid w:val="00957D05"/>
    <w:rsid w:val="00960AA1"/>
    <w:rsid w:val="00960ABF"/>
    <w:rsid w:val="00960ACA"/>
    <w:rsid w:val="00960B09"/>
    <w:rsid w:val="00960BB2"/>
    <w:rsid w:val="00960C4F"/>
    <w:rsid w:val="00960F84"/>
    <w:rsid w:val="009611B6"/>
    <w:rsid w:val="00961426"/>
    <w:rsid w:val="00961718"/>
    <w:rsid w:val="0096195F"/>
    <w:rsid w:val="00961BD6"/>
    <w:rsid w:val="00961DAE"/>
    <w:rsid w:val="00961DD7"/>
    <w:rsid w:val="00961E68"/>
    <w:rsid w:val="00961F9F"/>
    <w:rsid w:val="00961FE2"/>
    <w:rsid w:val="009620BE"/>
    <w:rsid w:val="0096217C"/>
    <w:rsid w:val="00962255"/>
    <w:rsid w:val="00962441"/>
    <w:rsid w:val="009626AA"/>
    <w:rsid w:val="00962AB1"/>
    <w:rsid w:val="00962D8A"/>
    <w:rsid w:val="00963011"/>
    <w:rsid w:val="00963277"/>
    <w:rsid w:val="0096328D"/>
    <w:rsid w:val="009632BA"/>
    <w:rsid w:val="009632FC"/>
    <w:rsid w:val="00963A3D"/>
    <w:rsid w:val="00963B51"/>
    <w:rsid w:val="0096416B"/>
    <w:rsid w:val="00964275"/>
    <w:rsid w:val="00964367"/>
    <w:rsid w:val="00964758"/>
    <w:rsid w:val="0096487B"/>
    <w:rsid w:val="009649B6"/>
    <w:rsid w:val="00964B11"/>
    <w:rsid w:val="00964B53"/>
    <w:rsid w:val="00964C3F"/>
    <w:rsid w:val="00964C6C"/>
    <w:rsid w:val="00964E8F"/>
    <w:rsid w:val="00965176"/>
    <w:rsid w:val="00965240"/>
    <w:rsid w:val="00965468"/>
    <w:rsid w:val="009654AD"/>
    <w:rsid w:val="00965847"/>
    <w:rsid w:val="009658C9"/>
    <w:rsid w:val="00965926"/>
    <w:rsid w:val="00965A3E"/>
    <w:rsid w:val="00965C48"/>
    <w:rsid w:val="00965C90"/>
    <w:rsid w:val="009660E5"/>
    <w:rsid w:val="00966291"/>
    <w:rsid w:val="0096664A"/>
    <w:rsid w:val="00966784"/>
    <w:rsid w:val="00966815"/>
    <w:rsid w:val="00966B9D"/>
    <w:rsid w:val="00966D9D"/>
    <w:rsid w:val="00966E4A"/>
    <w:rsid w:val="00966EC8"/>
    <w:rsid w:val="00967041"/>
    <w:rsid w:val="009670B7"/>
    <w:rsid w:val="0096773E"/>
    <w:rsid w:val="00967E79"/>
    <w:rsid w:val="00967ECB"/>
    <w:rsid w:val="00970402"/>
    <w:rsid w:val="00970918"/>
    <w:rsid w:val="0097099E"/>
    <w:rsid w:val="00970FF8"/>
    <w:rsid w:val="009712B0"/>
    <w:rsid w:val="009713C9"/>
    <w:rsid w:val="00971601"/>
    <w:rsid w:val="0097165A"/>
    <w:rsid w:val="00971687"/>
    <w:rsid w:val="00971761"/>
    <w:rsid w:val="00971AF2"/>
    <w:rsid w:val="00971B61"/>
    <w:rsid w:val="00971DE7"/>
    <w:rsid w:val="0097207F"/>
    <w:rsid w:val="0097216F"/>
    <w:rsid w:val="009721FB"/>
    <w:rsid w:val="00972243"/>
    <w:rsid w:val="00972335"/>
    <w:rsid w:val="00972337"/>
    <w:rsid w:val="00972620"/>
    <w:rsid w:val="00972C3B"/>
    <w:rsid w:val="00972D53"/>
    <w:rsid w:val="00972ED7"/>
    <w:rsid w:val="00972F5B"/>
    <w:rsid w:val="00972F8E"/>
    <w:rsid w:val="00973057"/>
    <w:rsid w:val="0097358E"/>
    <w:rsid w:val="00973C37"/>
    <w:rsid w:val="00974038"/>
    <w:rsid w:val="009741AD"/>
    <w:rsid w:val="009742E9"/>
    <w:rsid w:val="0097469F"/>
    <w:rsid w:val="009749CA"/>
    <w:rsid w:val="00974B55"/>
    <w:rsid w:val="00974D50"/>
    <w:rsid w:val="00974D96"/>
    <w:rsid w:val="00974E65"/>
    <w:rsid w:val="00974EBF"/>
    <w:rsid w:val="009751AF"/>
    <w:rsid w:val="00975326"/>
    <w:rsid w:val="00975441"/>
    <w:rsid w:val="009758DC"/>
    <w:rsid w:val="00975CB4"/>
    <w:rsid w:val="00975D10"/>
    <w:rsid w:val="00975DEA"/>
    <w:rsid w:val="0097652D"/>
    <w:rsid w:val="009766F8"/>
    <w:rsid w:val="009768D9"/>
    <w:rsid w:val="00977103"/>
    <w:rsid w:val="00977475"/>
    <w:rsid w:val="009774A9"/>
    <w:rsid w:val="00977527"/>
    <w:rsid w:val="00977600"/>
    <w:rsid w:val="00977773"/>
    <w:rsid w:val="0097784F"/>
    <w:rsid w:val="00977C4F"/>
    <w:rsid w:val="00977CC0"/>
    <w:rsid w:val="00977CDF"/>
    <w:rsid w:val="00977D12"/>
    <w:rsid w:val="00977D96"/>
    <w:rsid w:val="00980115"/>
    <w:rsid w:val="009802BA"/>
    <w:rsid w:val="0098032B"/>
    <w:rsid w:val="0098043F"/>
    <w:rsid w:val="00980AB2"/>
    <w:rsid w:val="00980B68"/>
    <w:rsid w:val="00980F3A"/>
    <w:rsid w:val="00981038"/>
    <w:rsid w:val="0098106E"/>
    <w:rsid w:val="00981503"/>
    <w:rsid w:val="00981511"/>
    <w:rsid w:val="00981589"/>
    <w:rsid w:val="00981620"/>
    <w:rsid w:val="00981806"/>
    <w:rsid w:val="00981898"/>
    <w:rsid w:val="009819E7"/>
    <w:rsid w:val="009819E8"/>
    <w:rsid w:val="00981D1C"/>
    <w:rsid w:val="00981E1C"/>
    <w:rsid w:val="00982115"/>
    <w:rsid w:val="00982118"/>
    <w:rsid w:val="0098213B"/>
    <w:rsid w:val="00982253"/>
    <w:rsid w:val="0098269A"/>
    <w:rsid w:val="00982863"/>
    <w:rsid w:val="00982957"/>
    <w:rsid w:val="00982B48"/>
    <w:rsid w:val="00982C62"/>
    <w:rsid w:val="00982C91"/>
    <w:rsid w:val="00982F76"/>
    <w:rsid w:val="00982FA3"/>
    <w:rsid w:val="0098307D"/>
    <w:rsid w:val="009834BB"/>
    <w:rsid w:val="00983582"/>
    <w:rsid w:val="00983BD3"/>
    <w:rsid w:val="00983CA4"/>
    <w:rsid w:val="009840FD"/>
    <w:rsid w:val="0098449C"/>
    <w:rsid w:val="00984537"/>
    <w:rsid w:val="00984701"/>
    <w:rsid w:val="00984847"/>
    <w:rsid w:val="00984995"/>
    <w:rsid w:val="00984BEC"/>
    <w:rsid w:val="009850C1"/>
    <w:rsid w:val="00985319"/>
    <w:rsid w:val="00985436"/>
    <w:rsid w:val="009855B1"/>
    <w:rsid w:val="00985EB8"/>
    <w:rsid w:val="00985ED3"/>
    <w:rsid w:val="00985FB3"/>
    <w:rsid w:val="00986072"/>
    <w:rsid w:val="009864F5"/>
    <w:rsid w:val="00986566"/>
    <w:rsid w:val="00986CA5"/>
    <w:rsid w:val="00986CC1"/>
    <w:rsid w:val="00986D57"/>
    <w:rsid w:val="00986F4E"/>
    <w:rsid w:val="00987191"/>
    <w:rsid w:val="009871F2"/>
    <w:rsid w:val="00987264"/>
    <w:rsid w:val="00987449"/>
    <w:rsid w:val="0098749A"/>
    <w:rsid w:val="00987606"/>
    <w:rsid w:val="00987930"/>
    <w:rsid w:val="00987A20"/>
    <w:rsid w:val="00987A5A"/>
    <w:rsid w:val="00987C3D"/>
    <w:rsid w:val="00987CB4"/>
    <w:rsid w:val="00987DC2"/>
    <w:rsid w:val="0099023C"/>
    <w:rsid w:val="009903FF"/>
    <w:rsid w:val="009905D5"/>
    <w:rsid w:val="009905FB"/>
    <w:rsid w:val="0099065D"/>
    <w:rsid w:val="0099067A"/>
    <w:rsid w:val="009906D8"/>
    <w:rsid w:val="0099097E"/>
    <w:rsid w:val="00990A9B"/>
    <w:rsid w:val="00990AD5"/>
    <w:rsid w:val="00990DF0"/>
    <w:rsid w:val="00990E3D"/>
    <w:rsid w:val="00991028"/>
    <w:rsid w:val="00991126"/>
    <w:rsid w:val="0099119C"/>
    <w:rsid w:val="00991500"/>
    <w:rsid w:val="00991678"/>
    <w:rsid w:val="00991967"/>
    <w:rsid w:val="00991B7C"/>
    <w:rsid w:val="00991CD4"/>
    <w:rsid w:val="00992163"/>
    <w:rsid w:val="009921FC"/>
    <w:rsid w:val="0099272B"/>
    <w:rsid w:val="009927CE"/>
    <w:rsid w:val="00992A0E"/>
    <w:rsid w:val="00992A54"/>
    <w:rsid w:val="00992D0E"/>
    <w:rsid w:val="00992D37"/>
    <w:rsid w:val="00992EF6"/>
    <w:rsid w:val="00992FA3"/>
    <w:rsid w:val="009934A1"/>
    <w:rsid w:val="009934C4"/>
    <w:rsid w:val="009935EE"/>
    <w:rsid w:val="009938B8"/>
    <w:rsid w:val="0099399E"/>
    <w:rsid w:val="00993A64"/>
    <w:rsid w:val="00993B7C"/>
    <w:rsid w:val="00993BAF"/>
    <w:rsid w:val="0099413C"/>
    <w:rsid w:val="00994230"/>
    <w:rsid w:val="0099429F"/>
    <w:rsid w:val="0099447E"/>
    <w:rsid w:val="0099479E"/>
    <w:rsid w:val="00994813"/>
    <w:rsid w:val="00994901"/>
    <w:rsid w:val="00994B73"/>
    <w:rsid w:val="009951D8"/>
    <w:rsid w:val="009952B1"/>
    <w:rsid w:val="00995355"/>
    <w:rsid w:val="009954A2"/>
    <w:rsid w:val="009956E9"/>
    <w:rsid w:val="0099586F"/>
    <w:rsid w:val="00995BEC"/>
    <w:rsid w:val="00995C24"/>
    <w:rsid w:val="00995F39"/>
    <w:rsid w:val="009961A4"/>
    <w:rsid w:val="00996481"/>
    <w:rsid w:val="00996711"/>
    <w:rsid w:val="00996731"/>
    <w:rsid w:val="00996ABA"/>
    <w:rsid w:val="00996C7C"/>
    <w:rsid w:val="00996CB5"/>
    <w:rsid w:val="009970AC"/>
    <w:rsid w:val="0099719E"/>
    <w:rsid w:val="009972CD"/>
    <w:rsid w:val="00997538"/>
    <w:rsid w:val="00997660"/>
    <w:rsid w:val="00997664"/>
    <w:rsid w:val="009976A4"/>
    <w:rsid w:val="00997A79"/>
    <w:rsid w:val="00997C00"/>
    <w:rsid w:val="00997E61"/>
    <w:rsid w:val="009A0169"/>
    <w:rsid w:val="009A01AB"/>
    <w:rsid w:val="009A01FC"/>
    <w:rsid w:val="009A0506"/>
    <w:rsid w:val="009A06B3"/>
    <w:rsid w:val="009A0FE0"/>
    <w:rsid w:val="009A13BC"/>
    <w:rsid w:val="009A158F"/>
    <w:rsid w:val="009A160D"/>
    <w:rsid w:val="009A1918"/>
    <w:rsid w:val="009A1B56"/>
    <w:rsid w:val="009A1D84"/>
    <w:rsid w:val="009A1E50"/>
    <w:rsid w:val="009A1EF4"/>
    <w:rsid w:val="009A21B4"/>
    <w:rsid w:val="009A2820"/>
    <w:rsid w:val="009A2D7F"/>
    <w:rsid w:val="009A2E30"/>
    <w:rsid w:val="009A3157"/>
    <w:rsid w:val="009A3439"/>
    <w:rsid w:val="009A346E"/>
    <w:rsid w:val="009A38CA"/>
    <w:rsid w:val="009A3A26"/>
    <w:rsid w:val="009A3C93"/>
    <w:rsid w:val="009A3ED9"/>
    <w:rsid w:val="009A3FD0"/>
    <w:rsid w:val="009A4054"/>
    <w:rsid w:val="009A40C5"/>
    <w:rsid w:val="009A43AA"/>
    <w:rsid w:val="009A4788"/>
    <w:rsid w:val="009A48EC"/>
    <w:rsid w:val="009A51C7"/>
    <w:rsid w:val="009A5368"/>
    <w:rsid w:val="009A539A"/>
    <w:rsid w:val="009A59EC"/>
    <w:rsid w:val="009A5A04"/>
    <w:rsid w:val="009A5BEE"/>
    <w:rsid w:val="009A5C13"/>
    <w:rsid w:val="009A5C56"/>
    <w:rsid w:val="009A5CA8"/>
    <w:rsid w:val="009A5DE8"/>
    <w:rsid w:val="009A5E65"/>
    <w:rsid w:val="009A606D"/>
    <w:rsid w:val="009A6C4B"/>
    <w:rsid w:val="009A6ED0"/>
    <w:rsid w:val="009A6F8F"/>
    <w:rsid w:val="009A6FBF"/>
    <w:rsid w:val="009A706A"/>
    <w:rsid w:val="009A70CC"/>
    <w:rsid w:val="009A71AB"/>
    <w:rsid w:val="009A75F7"/>
    <w:rsid w:val="009A7745"/>
    <w:rsid w:val="009A7ACC"/>
    <w:rsid w:val="009A7C3D"/>
    <w:rsid w:val="009B0156"/>
    <w:rsid w:val="009B0230"/>
    <w:rsid w:val="009B023B"/>
    <w:rsid w:val="009B0295"/>
    <w:rsid w:val="009B05BA"/>
    <w:rsid w:val="009B06B2"/>
    <w:rsid w:val="009B0BBC"/>
    <w:rsid w:val="009B11C6"/>
    <w:rsid w:val="009B1758"/>
    <w:rsid w:val="009B1AB6"/>
    <w:rsid w:val="009B1B0E"/>
    <w:rsid w:val="009B1DD0"/>
    <w:rsid w:val="009B24A7"/>
    <w:rsid w:val="009B24C6"/>
    <w:rsid w:val="009B2596"/>
    <w:rsid w:val="009B2809"/>
    <w:rsid w:val="009B2AE9"/>
    <w:rsid w:val="009B2B37"/>
    <w:rsid w:val="009B2D3C"/>
    <w:rsid w:val="009B3186"/>
    <w:rsid w:val="009B326E"/>
    <w:rsid w:val="009B3273"/>
    <w:rsid w:val="009B38C8"/>
    <w:rsid w:val="009B3CCE"/>
    <w:rsid w:val="009B41F0"/>
    <w:rsid w:val="009B424A"/>
    <w:rsid w:val="009B42B6"/>
    <w:rsid w:val="009B42CC"/>
    <w:rsid w:val="009B43D6"/>
    <w:rsid w:val="009B47DA"/>
    <w:rsid w:val="009B4975"/>
    <w:rsid w:val="009B4C49"/>
    <w:rsid w:val="009B4DD8"/>
    <w:rsid w:val="009B4F27"/>
    <w:rsid w:val="009B5019"/>
    <w:rsid w:val="009B5081"/>
    <w:rsid w:val="009B523F"/>
    <w:rsid w:val="009B528B"/>
    <w:rsid w:val="009B52C5"/>
    <w:rsid w:val="009B555D"/>
    <w:rsid w:val="009B58D4"/>
    <w:rsid w:val="009B5B10"/>
    <w:rsid w:val="009B5BF8"/>
    <w:rsid w:val="009B5C74"/>
    <w:rsid w:val="009B5C92"/>
    <w:rsid w:val="009B5E3F"/>
    <w:rsid w:val="009B5F97"/>
    <w:rsid w:val="009B62E1"/>
    <w:rsid w:val="009B67FB"/>
    <w:rsid w:val="009B6892"/>
    <w:rsid w:val="009B6899"/>
    <w:rsid w:val="009B68E2"/>
    <w:rsid w:val="009B6985"/>
    <w:rsid w:val="009B69B3"/>
    <w:rsid w:val="009B6BE4"/>
    <w:rsid w:val="009B6DA4"/>
    <w:rsid w:val="009B6DFC"/>
    <w:rsid w:val="009B6E5E"/>
    <w:rsid w:val="009B7011"/>
    <w:rsid w:val="009B7152"/>
    <w:rsid w:val="009B71E4"/>
    <w:rsid w:val="009B73E5"/>
    <w:rsid w:val="009B79D4"/>
    <w:rsid w:val="009B7B41"/>
    <w:rsid w:val="009B7EB6"/>
    <w:rsid w:val="009C000E"/>
    <w:rsid w:val="009C02D8"/>
    <w:rsid w:val="009C04EE"/>
    <w:rsid w:val="009C0681"/>
    <w:rsid w:val="009C0820"/>
    <w:rsid w:val="009C0A61"/>
    <w:rsid w:val="009C0CD4"/>
    <w:rsid w:val="009C1018"/>
    <w:rsid w:val="009C158E"/>
    <w:rsid w:val="009C15E7"/>
    <w:rsid w:val="009C17C8"/>
    <w:rsid w:val="009C18DD"/>
    <w:rsid w:val="009C1A40"/>
    <w:rsid w:val="009C1DA7"/>
    <w:rsid w:val="009C1E3E"/>
    <w:rsid w:val="009C1EB3"/>
    <w:rsid w:val="009C2184"/>
    <w:rsid w:val="009C2225"/>
    <w:rsid w:val="009C2521"/>
    <w:rsid w:val="009C28A9"/>
    <w:rsid w:val="009C2C18"/>
    <w:rsid w:val="009C3824"/>
    <w:rsid w:val="009C385B"/>
    <w:rsid w:val="009C3B6F"/>
    <w:rsid w:val="009C3D6C"/>
    <w:rsid w:val="009C3E38"/>
    <w:rsid w:val="009C3E3C"/>
    <w:rsid w:val="009C3FF9"/>
    <w:rsid w:val="009C40F7"/>
    <w:rsid w:val="009C41D9"/>
    <w:rsid w:val="009C42B2"/>
    <w:rsid w:val="009C4353"/>
    <w:rsid w:val="009C49C2"/>
    <w:rsid w:val="009C4B40"/>
    <w:rsid w:val="009C4E2D"/>
    <w:rsid w:val="009C4F7A"/>
    <w:rsid w:val="009C5844"/>
    <w:rsid w:val="009C5E1C"/>
    <w:rsid w:val="009C61D4"/>
    <w:rsid w:val="009C62C0"/>
    <w:rsid w:val="009C62E2"/>
    <w:rsid w:val="009C6384"/>
    <w:rsid w:val="009C65E5"/>
    <w:rsid w:val="009C686A"/>
    <w:rsid w:val="009C6A36"/>
    <w:rsid w:val="009C6A88"/>
    <w:rsid w:val="009C6D4C"/>
    <w:rsid w:val="009C718E"/>
    <w:rsid w:val="009C765D"/>
    <w:rsid w:val="009C76DB"/>
    <w:rsid w:val="009C77FA"/>
    <w:rsid w:val="009C7902"/>
    <w:rsid w:val="009C7A9E"/>
    <w:rsid w:val="009C7ADA"/>
    <w:rsid w:val="009D000A"/>
    <w:rsid w:val="009D0322"/>
    <w:rsid w:val="009D0537"/>
    <w:rsid w:val="009D0589"/>
    <w:rsid w:val="009D059A"/>
    <w:rsid w:val="009D0B30"/>
    <w:rsid w:val="009D0DD3"/>
    <w:rsid w:val="009D0F9B"/>
    <w:rsid w:val="009D1155"/>
    <w:rsid w:val="009D122C"/>
    <w:rsid w:val="009D152F"/>
    <w:rsid w:val="009D15F4"/>
    <w:rsid w:val="009D1A86"/>
    <w:rsid w:val="009D1E12"/>
    <w:rsid w:val="009D1E69"/>
    <w:rsid w:val="009D1F38"/>
    <w:rsid w:val="009D20D0"/>
    <w:rsid w:val="009D2524"/>
    <w:rsid w:val="009D2A66"/>
    <w:rsid w:val="009D2AD7"/>
    <w:rsid w:val="009D2AF2"/>
    <w:rsid w:val="009D2DA9"/>
    <w:rsid w:val="009D2E09"/>
    <w:rsid w:val="009D2E93"/>
    <w:rsid w:val="009D2EA9"/>
    <w:rsid w:val="009D3038"/>
    <w:rsid w:val="009D30CD"/>
    <w:rsid w:val="009D3132"/>
    <w:rsid w:val="009D3313"/>
    <w:rsid w:val="009D34C0"/>
    <w:rsid w:val="009D35FB"/>
    <w:rsid w:val="009D3684"/>
    <w:rsid w:val="009D39F4"/>
    <w:rsid w:val="009D4048"/>
    <w:rsid w:val="009D4170"/>
    <w:rsid w:val="009D4259"/>
    <w:rsid w:val="009D4363"/>
    <w:rsid w:val="009D4641"/>
    <w:rsid w:val="009D48A3"/>
    <w:rsid w:val="009D4BBE"/>
    <w:rsid w:val="009D4D8A"/>
    <w:rsid w:val="009D4E16"/>
    <w:rsid w:val="009D4E4A"/>
    <w:rsid w:val="009D561B"/>
    <w:rsid w:val="009D56EA"/>
    <w:rsid w:val="009D5714"/>
    <w:rsid w:val="009D5893"/>
    <w:rsid w:val="009D625D"/>
    <w:rsid w:val="009D6458"/>
    <w:rsid w:val="009D65DE"/>
    <w:rsid w:val="009D6620"/>
    <w:rsid w:val="009D670F"/>
    <w:rsid w:val="009D67DF"/>
    <w:rsid w:val="009D6B14"/>
    <w:rsid w:val="009D6C54"/>
    <w:rsid w:val="009D6E12"/>
    <w:rsid w:val="009D72B0"/>
    <w:rsid w:val="009D73E9"/>
    <w:rsid w:val="009D76E0"/>
    <w:rsid w:val="009D77CE"/>
    <w:rsid w:val="009D77FE"/>
    <w:rsid w:val="009D7977"/>
    <w:rsid w:val="009D7DE3"/>
    <w:rsid w:val="009E004A"/>
    <w:rsid w:val="009E0425"/>
    <w:rsid w:val="009E066B"/>
    <w:rsid w:val="009E1375"/>
    <w:rsid w:val="009E1495"/>
    <w:rsid w:val="009E1515"/>
    <w:rsid w:val="009E175A"/>
    <w:rsid w:val="009E1A8F"/>
    <w:rsid w:val="009E1C60"/>
    <w:rsid w:val="009E1CFF"/>
    <w:rsid w:val="009E1FEE"/>
    <w:rsid w:val="009E23EA"/>
    <w:rsid w:val="009E27E8"/>
    <w:rsid w:val="009E2BC0"/>
    <w:rsid w:val="009E2D24"/>
    <w:rsid w:val="009E2D48"/>
    <w:rsid w:val="009E2EA0"/>
    <w:rsid w:val="009E305F"/>
    <w:rsid w:val="009E3445"/>
    <w:rsid w:val="009E353D"/>
    <w:rsid w:val="009E35AF"/>
    <w:rsid w:val="009E36FF"/>
    <w:rsid w:val="009E37D3"/>
    <w:rsid w:val="009E38A3"/>
    <w:rsid w:val="009E3C57"/>
    <w:rsid w:val="009E3ED0"/>
    <w:rsid w:val="009E43D3"/>
    <w:rsid w:val="009E466C"/>
    <w:rsid w:val="009E4DEB"/>
    <w:rsid w:val="009E5028"/>
    <w:rsid w:val="009E50FB"/>
    <w:rsid w:val="009E5116"/>
    <w:rsid w:val="009E5167"/>
    <w:rsid w:val="009E5280"/>
    <w:rsid w:val="009E5386"/>
    <w:rsid w:val="009E58A8"/>
    <w:rsid w:val="009E5A61"/>
    <w:rsid w:val="009E5DBA"/>
    <w:rsid w:val="009E5DD1"/>
    <w:rsid w:val="009E5DD4"/>
    <w:rsid w:val="009E5E77"/>
    <w:rsid w:val="009E6031"/>
    <w:rsid w:val="009E60AD"/>
    <w:rsid w:val="009E6494"/>
    <w:rsid w:val="009E6670"/>
    <w:rsid w:val="009E66BE"/>
    <w:rsid w:val="009E689A"/>
    <w:rsid w:val="009E68C8"/>
    <w:rsid w:val="009E6AB5"/>
    <w:rsid w:val="009E6D0B"/>
    <w:rsid w:val="009E6DAB"/>
    <w:rsid w:val="009E6DD0"/>
    <w:rsid w:val="009E6F4B"/>
    <w:rsid w:val="009E703C"/>
    <w:rsid w:val="009E7807"/>
    <w:rsid w:val="009E79E1"/>
    <w:rsid w:val="009E7AA4"/>
    <w:rsid w:val="009E7E4C"/>
    <w:rsid w:val="009E7FD5"/>
    <w:rsid w:val="009F0095"/>
    <w:rsid w:val="009F0145"/>
    <w:rsid w:val="009F017B"/>
    <w:rsid w:val="009F0665"/>
    <w:rsid w:val="009F08F5"/>
    <w:rsid w:val="009F0956"/>
    <w:rsid w:val="009F0994"/>
    <w:rsid w:val="009F0CEE"/>
    <w:rsid w:val="009F0DFB"/>
    <w:rsid w:val="009F0E76"/>
    <w:rsid w:val="009F0EE5"/>
    <w:rsid w:val="009F11A3"/>
    <w:rsid w:val="009F1264"/>
    <w:rsid w:val="009F13DA"/>
    <w:rsid w:val="009F141C"/>
    <w:rsid w:val="009F1428"/>
    <w:rsid w:val="009F166B"/>
    <w:rsid w:val="009F16F8"/>
    <w:rsid w:val="009F18DA"/>
    <w:rsid w:val="009F1EBB"/>
    <w:rsid w:val="009F1F0B"/>
    <w:rsid w:val="009F215C"/>
    <w:rsid w:val="009F235B"/>
    <w:rsid w:val="009F245B"/>
    <w:rsid w:val="009F25E6"/>
    <w:rsid w:val="009F2BE8"/>
    <w:rsid w:val="009F2F09"/>
    <w:rsid w:val="009F2F6A"/>
    <w:rsid w:val="009F39A7"/>
    <w:rsid w:val="009F3AD5"/>
    <w:rsid w:val="009F3C3E"/>
    <w:rsid w:val="009F40AC"/>
    <w:rsid w:val="009F40B7"/>
    <w:rsid w:val="009F4188"/>
    <w:rsid w:val="009F4235"/>
    <w:rsid w:val="009F42F4"/>
    <w:rsid w:val="009F4302"/>
    <w:rsid w:val="009F4371"/>
    <w:rsid w:val="009F4393"/>
    <w:rsid w:val="009F45D6"/>
    <w:rsid w:val="009F4731"/>
    <w:rsid w:val="009F49A9"/>
    <w:rsid w:val="009F4A65"/>
    <w:rsid w:val="009F4BE9"/>
    <w:rsid w:val="009F5040"/>
    <w:rsid w:val="009F5398"/>
    <w:rsid w:val="009F540F"/>
    <w:rsid w:val="009F54E6"/>
    <w:rsid w:val="009F5709"/>
    <w:rsid w:val="009F577A"/>
    <w:rsid w:val="009F5841"/>
    <w:rsid w:val="009F5BA4"/>
    <w:rsid w:val="009F5C39"/>
    <w:rsid w:val="009F5C41"/>
    <w:rsid w:val="009F5C75"/>
    <w:rsid w:val="009F5C87"/>
    <w:rsid w:val="009F5D25"/>
    <w:rsid w:val="009F5D4A"/>
    <w:rsid w:val="009F5D8E"/>
    <w:rsid w:val="009F5DF4"/>
    <w:rsid w:val="009F6055"/>
    <w:rsid w:val="009F6238"/>
    <w:rsid w:val="009F62D3"/>
    <w:rsid w:val="009F666B"/>
    <w:rsid w:val="009F66F7"/>
    <w:rsid w:val="009F68EE"/>
    <w:rsid w:val="009F6AF3"/>
    <w:rsid w:val="009F6E6F"/>
    <w:rsid w:val="009F708F"/>
    <w:rsid w:val="009F71B1"/>
    <w:rsid w:val="009F7477"/>
    <w:rsid w:val="009F7621"/>
    <w:rsid w:val="009F7705"/>
    <w:rsid w:val="009F7CE4"/>
    <w:rsid w:val="009F7DF6"/>
    <w:rsid w:val="009F7FBB"/>
    <w:rsid w:val="00A00025"/>
    <w:rsid w:val="00A00112"/>
    <w:rsid w:val="00A003F4"/>
    <w:rsid w:val="00A008B5"/>
    <w:rsid w:val="00A009B2"/>
    <w:rsid w:val="00A00AF8"/>
    <w:rsid w:val="00A00BCD"/>
    <w:rsid w:val="00A00F3C"/>
    <w:rsid w:val="00A01467"/>
    <w:rsid w:val="00A015AE"/>
    <w:rsid w:val="00A017B4"/>
    <w:rsid w:val="00A019DB"/>
    <w:rsid w:val="00A01C53"/>
    <w:rsid w:val="00A01D38"/>
    <w:rsid w:val="00A02341"/>
    <w:rsid w:val="00A02414"/>
    <w:rsid w:val="00A024C3"/>
    <w:rsid w:val="00A025B9"/>
    <w:rsid w:val="00A02F33"/>
    <w:rsid w:val="00A02FF0"/>
    <w:rsid w:val="00A0355C"/>
    <w:rsid w:val="00A03700"/>
    <w:rsid w:val="00A0376A"/>
    <w:rsid w:val="00A03A13"/>
    <w:rsid w:val="00A03CD5"/>
    <w:rsid w:val="00A03DAD"/>
    <w:rsid w:val="00A03DF3"/>
    <w:rsid w:val="00A03FF0"/>
    <w:rsid w:val="00A040CD"/>
    <w:rsid w:val="00A04278"/>
    <w:rsid w:val="00A04429"/>
    <w:rsid w:val="00A0465A"/>
    <w:rsid w:val="00A048C6"/>
    <w:rsid w:val="00A04900"/>
    <w:rsid w:val="00A04914"/>
    <w:rsid w:val="00A04C9D"/>
    <w:rsid w:val="00A04D70"/>
    <w:rsid w:val="00A053A0"/>
    <w:rsid w:val="00A055E0"/>
    <w:rsid w:val="00A056A1"/>
    <w:rsid w:val="00A057F4"/>
    <w:rsid w:val="00A0633F"/>
    <w:rsid w:val="00A06446"/>
    <w:rsid w:val="00A06697"/>
    <w:rsid w:val="00A06961"/>
    <w:rsid w:val="00A06AF2"/>
    <w:rsid w:val="00A06B83"/>
    <w:rsid w:val="00A06C40"/>
    <w:rsid w:val="00A06D05"/>
    <w:rsid w:val="00A070E3"/>
    <w:rsid w:val="00A07312"/>
    <w:rsid w:val="00A07432"/>
    <w:rsid w:val="00A07836"/>
    <w:rsid w:val="00A078D3"/>
    <w:rsid w:val="00A0793D"/>
    <w:rsid w:val="00A07CEF"/>
    <w:rsid w:val="00A07DCA"/>
    <w:rsid w:val="00A10158"/>
    <w:rsid w:val="00A102DA"/>
    <w:rsid w:val="00A10535"/>
    <w:rsid w:val="00A10586"/>
    <w:rsid w:val="00A106C4"/>
    <w:rsid w:val="00A108B0"/>
    <w:rsid w:val="00A10A48"/>
    <w:rsid w:val="00A10B45"/>
    <w:rsid w:val="00A10F5F"/>
    <w:rsid w:val="00A110DA"/>
    <w:rsid w:val="00A11257"/>
    <w:rsid w:val="00A11290"/>
    <w:rsid w:val="00A1132B"/>
    <w:rsid w:val="00A118A8"/>
    <w:rsid w:val="00A11930"/>
    <w:rsid w:val="00A11B54"/>
    <w:rsid w:val="00A11CDC"/>
    <w:rsid w:val="00A11D90"/>
    <w:rsid w:val="00A11ED5"/>
    <w:rsid w:val="00A1238C"/>
    <w:rsid w:val="00A123D9"/>
    <w:rsid w:val="00A1263D"/>
    <w:rsid w:val="00A12AF2"/>
    <w:rsid w:val="00A12BCE"/>
    <w:rsid w:val="00A12C53"/>
    <w:rsid w:val="00A12D8A"/>
    <w:rsid w:val="00A12E6C"/>
    <w:rsid w:val="00A133BA"/>
    <w:rsid w:val="00A136D0"/>
    <w:rsid w:val="00A137C0"/>
    <w:rsid w:val="00A13807"/>
    <w:rsid w:val="00A1388F"/>
    <w:rsid w:val="00A138FB"/>
    <w:rsid w:val="00A1396D"/>
    <w:rsid w:val="00A13AE4"/>
    <w:rsid w:val="00A13BD8"/>
    <w:rsid w:val="00A13D1A"/>
    <w:rsid w:val="00A13F19"/>
    <w:rsid w:val="00A1462C"/>
    <w:rsid w:val="00A14DC2"/>
    <w:rsid w:val="00A14DD6"/>
    <w:rsid w:val="00A1506C"/>
    <w:rsid w:val="00A15082"/>
    <w:rsid w:val="00A1555D"/>
    <w:rsid w:val="00A15708"/>
    <w:rsid w:val="00A15A11"/>
    <w:rsid w:val="00A15B8D"/>
    <w:rsid w:val="00A15CC6"/>
    <w:rsid w:val="00A15D5E"/>
    <w:rsid w:val="00A15E37"/>
    <w:rsid w:val="00A15FF8"/>
    <w:rsid w:val="00A16031"/>
    <w:rsid w:val="00A161F8"/>
    <w:rsid w:val="00A16249"/>
    <w:rsid w:val="00A16631"/>
    <w:rsid w:val="00A169FA"/>
    <w:rsid w:val="00A16A37"/>
    <w:rsid w:val="00A16A74"/>
    <w:rsid w:val="00A16AD3"/>
    <w:rsid w:val="00A16C6D"/>
    <w:rsid w:val="00A16C94"/>
    <w:rsid w:val="00A171AC"/>
    <w:rsid w:val="00A171CC"/>
    <w:rsid w:val="00A174B6"/>
    <w:rsid w:val="00A17569"/>
    <w:rsid w:val="00A1766A"/>
    <w:rsid w:val="00A179BD"/>
    <w:rsid w:val="00A200F4"/>
    <w:rsid w:val="00A201A3"/>
    <w:rsid w:val="00A206C9"/>
    <w:rsid w:val="00A2086A"/>
    <w:rsid w:val="00A2091C"/>
    <w:rsid w:val="00A20BC2"/>
    <w:rsid w:val="00A20C27"/>
    <w:rsid w:val="00A20CF6"/>
    <w:rsid w:val="00A20D97"/>
    <w:rsid w:val="00A20E7D"/>
    <w:rsid w:val="00A2111D"/>
    <w:rsid w:val="00A211B8"/>
    <w:rsid w:val="00A214C6"/>
    <w:rsid w:val="00A21651"/>
    <w:rsid w:val="00A216BC"/>
    <w:rsid w:val="00A21857"/>
    <w:rsid w:val="00A221F3"/>
    <w:rsid w:val="00A22334"/>
    <w:rsid w:val="00A22374"/>
    <w:rsid w:val="00A22597"/>
    <w:rsid w:val="00A228AC"/>
    <w:rsid w:val="00A22CB5"/>
    <w:rsid w:val="00A22EA0"/>
    <w:rsid w:val="00A22EA5"/>
    <w:rsid w:val="00A22EFE"/>
    <w:rsid w:val="00A2302E"/>
    <w:rsid w:val="00A230C7"/>
    <w:rsid w:val="00A23325"/>
    <w:rsid w:val="00A234EF"/>
    <w:rsid w:val="00A23573"/>
    <w:rsid w:val="00A23596"/>
    <w:rsid w:val="00A235A7"/>
    <w:rsid w:val="00A237A3"/>
    <w:rsid w:val="00A23892"/>
    <w:rsid w:val="00A23931"/>
    <w:rsid w:val="00A23FD6"/>
    <w:rsid w:val="00A240D4"/>
    <w:rsid w:val="00A242AC"/>
    <w:rsid w:val="00A245F4"/>
    <w:rsid w:val="00A247AC"/>
    <w:rsid w:val="00A24E7F"/>
    <w:rsid w:val="00A24EEB"/>
    <w:rsid w:val="00A25219"/>
    <w:rsid w:val="00A25317"/>
    <w:rsid w:val="00A256A3"/>
    <w:rsid w:val="00A25706"/>
    <w:rsid w:val="00A25766"/>
    <w:rsid w:val="00A25991"/>
    <w:rsid w:val="00A25CB7"/>
    <w:rsid w:val="00A25CC9"/>
    <w:rsid w:val="00A25D84"/>
    <w:rsid w:val="00A25F51"/>
    <w:rsid w:val="00A26029"/>
    <w:rsid w:val="00A26107"/>
    <w:rsid w:val="00A262E4"/>
    <w:rsid w:val="00A2684C"/>
    <w:rsid w:val="00A268EA"/>
    <w:rsid w:val="00A26A29"/>
    <w:rsid w:val="00A26D7D"/>
    <w:rsid w:val="00A27418"/>
    <w:rsid w:val="00A27487"/>
    <w:rsid w:val="00A276A9"/>
    <w:rsid w:val="00A27845"/>
    <w:rsid w:val="00A2785F"/>
    <w:rsid w:val="00A27889"/>
    <w:rsid w:val="00A27D97"/>
    <w:rsid w:val="00A3002C"/>
    <w:rsid w:val="00A30030"/>
    <w:rsid w:val="00A30448"/>
    <w:rsid w:val="00A3046B"/>
    <w:rsid w:val="00A306AD"/>
    <w:rsid w:val="00A30720"/>
    <w:rsid w:val="00A308CD"/>
    <w:rsid w:val="00A30971"/>
    <w:rsid w:val="00A30F37"/>
    <w:rsid w:val="00A30F6E"/>
    <w:rsid w:val="00A30F75"/>
    <w:rsid w:val="00A3139C"/>
    <w:rsid w:val="00A314F3"/>
    <w:rsid w:val="00A317BE"/>
    <w:rsid w:val="00A31AD9"/>
    <w:rsid w:val="00A31B69"/>
    <w:rsid w:val="00A31CE0"/>
    <w:rsid w:val="00A31E0D"/>
    <w:rsid w:val="00A31EC0"/>
    <w:rsid w:val="00A31FA9"/>
    <w:rsid w:val="00A31FE4"/>
    <w:rsid w:val="00A3207D"/>
    <w:rsid w:val="00A32584"/>
    <w:rsid w:val="00A32B4A"/>
    <w:rsid w:val="00A333BF"/>
    <w:rsid w:val="00A33825"/>
    <w:rsid w:val="00A3398F"/>
    <w:rsid w:val="00A33BBE"/>
    <w:rsid w:val="00A34468"/>
    <w:rsid w:val="00A3466E"/>
    <w:rsid w:val="00A34757"/>
    <w:rsid w:val="00A34AB7"/>
    <w:rsid w:val="00A34D71"/>
    <w:rsid w:val="00A34E69"/>
    <w:rsid w:val="00A3525D"/>
    <w:rsid w:val="00A35583"/>
    <w:rsid w:val="00A35895"/>
    <w:rsid w:val="00A358C9"/>
    <w:rsid w:val="00A35B3B"/>
    <w:rsid w:val="00A35F26"/>
    <w:rsid w:val="00A35F87"/>
    <w:rsid w:val="00A35FD9"/>
    <w:rsid w:val="00A363EF"/>
    <w:rsid w:val="00A36454"/>
    <w:rsid w:val="00A36744"/>
    <w:rsid w:val="00A367F8"/>
    <w:rsid w:val="00A3685B"/>
    <w:rsid w:val="00A36DFE"/>
    <w:rsid w:val="00A370FD"/>
    <w:rsid w:val="00A37339"/>
    <w:rsid w:val="00A3798C"/>
    <w:rsid w:val="00A37AF1"/>
    <w:rsid w:val="00A37DD9"/>
    <w:rsid w:val="00A37FBF"/>
    <w:rsid w:val="00A40291"/>
    <w:rsid w:val="00A406A6"/>
    <w:rsid w:val="00A40A8D"/>
    <w:rsid w:val="00A40C52"/>
    <w:rsid w:val="00A40ED7"/>
    <w:rsid w:val="00A40F83"/>
    <w:rsid w:val="00A412BA"/>
    <w:rsid w:val="00A41416"/>
    <w:rsid w:val="00A414CB"/>
    <w:rsid w:val="00A4174B"/>
    <w:rsid w:val="00A418EC"/>
    <w:rsid w:val="00A41A07"/>
    <w:rsid w:val="00A41C4E"/>
    <w:rsid w:val="00A41DEA"/>
    <w:rsid w:val="00A41E6B"/>
    <w:rsid w:val="00A4200D"/>
    <w:rsid w:val="00A42073"/>
    <w:rsid w:val="00A424BF"/>
    <w:rsid w:val="00A4253A"/>
    <w:rsid w:val="00A4258E"/>
    <w:rsid w:val="00A4273A"/>
    <w:rsid w:val="00A428C5"/>
    <w:rsid w:val="00A429F4"/>
    <w:rsid w:val="00A42E07"/>
    <w:rsid w:val="00A43070"/>
    <w:rsid w:val="00A4308E"/>
    <w:rsid w:val="00A430D6"/>
    <w:rsid w:val="00A432D1"/>
    <w:rsid w:val="00A435B4"/>
    <w:rsid w:val="00A43716"/>
    <w:rsid w:val="00A438FD"/>
    <w:rsid w:val="00A4398B"/>
    <w:rsid w:val="00A439F0"/>
    <w:rsid w:val="00A43B83"/>
    <w:rsid w:val="00A43C27"/>
    <w:rsid w:val="00A43DDA"/>
    <w:rsid w:val="00A43E31"/>
    <w:rsid w:val="00A43E68"/>
    <w:rsid w:val="00A43E75"/>
    <w:rsid w:val="00A44180"/>
    <w:rsid w:val="00A442C5"/>
    <w:rsid w:val="00A44324"/>
    <w:rsid w:val="00A446AF"/>
    <w:rsid w:val="00A44712"/>
    <w:rsid w:val="00A44A0D"/>
    <w:rsid w:val="00A44AA0"/>
    <w:rsid w:val="00A44AF5"/>
    <w:rsid w:val="00A44B6D"/>
    <w:rsid w:val="00A44B8B"/>
    <w:rsid w:val="00A44C41"/>
    <w:rsid w:val="00A44CB2"/>
    <w:rsid w:val="00A45052"/>
    <w:rsid w:val="00A4517F"/>
    <w:rsid w:val="00A45434"/>
    <w:rsid w:val="00A45B41"/>
    <w:rsid w:val="00A45C8A"/>
    <w:rsid w:val="00A45E8D"/>
    <w:rsid w:val="00A45EC4"/>
    <w:rsid w:val="00A462C5"/>
    <w:rsid w:val="00A46827"/>
    <w:rsid w:val="00A46873"/>
    <w:rsid w:val="00A46926"/>
    <w:rsid w:val="00A46C7B"/>
    <w:rsid w:val="00A46F49"/>
    <w:rsid w:val="00A47212"/>
    <w:rsid w:val="00A474EA"/>
    <w:rsid w:val="00A47525"/>
    <w:rsid w:val="00A4763D"/>
    <w:rsid w:val="00A47776"/>
    <w:rsid w:val="00A47994"/>
    <w:rsid w:val="00A47E08"/>
    <w:rsid w:val="00A47E95"/>
    <w:rsid w:val="00A47F49"/>
    <w:rsid w:val="00A5009B"/>
    <w:rsid w:val="00A501B2"/>
    <w:rsid w:val="00A50227"/>
    <w:rsid w:val="00A502A0"/>
    <w:rsid w:val="00A5034A"/>
    <w:rsid w:val="00A50515"/>
    <w:rsid w:val="00A50985"/>
    <w:rsid w:val="00A509DE"/>
    <w:rsid w:val="00A50C7A"/>
    <w:rsid w:val="00A50D22"/>
    <w:rsid w:val="00A50FFA"/>
    <w:rsid w:val="00A510B9"/>
    <w:rsid w:val="00A510D6"/>
    <w:rsid w:val="00A510DF"/>
    <w:rsid w:val="00A51247"/>
    <w:rsid w:val="00A51266"/>
    <w:rsid w:val="00A512A7"/>
    <w:rsid w:val="00A5139A"/>
    <w:rsid w:val="00A516CC"/>
    <w:rsid w:val="00A51874"/>
    <w:rsid w:val="00A51EEC"/>
    <w:rsid w:val="00A52425"/>
    <w:rsid w:val="00A527D4"/>
    <w:rsid w:val="00A527FE"/>
    <w:rsid w:val="00A529F3"/>
    <w:rsid w:val="00A52AA1"/>
    <w:rsid w:val="00A52D3A"/>
    <w:rsid w:val="00A52EB9"/>
    <w:rsid w:val="00A53957"/>
    <w:rsid w:val="00A539D1"/>
    <w:rsid w:val="00A53A5A"/>
    <w:rsid w:val="00A53F7A"/>
    <w:rsid w:val="00A541D3"/>
    <w:rsid w:val="00A544D6"/>
    <w:rsid w:val="00A548B9"/>
    <w:rsid w:val="00A548F2"/>
    <w:rsid w:val="00A54AC3"/>
    <w:rsid w:val="00A54DAE"/>
    <w:rsid w:val="00A54E26"/>
    <w:rsid w:val="00A55046"/>
    <w:rsid w:val="00A55199"/>
    <w:rsid w:val="00A55565"/>
    <w:rsid w:val="00A55B28"/>
    <w:rsid w:val="00A55D1F"/>
    <w:rsid w:val="00A55D9C"/>
    <w:rsid w:val="00A56079"/>
    <w:rsid w:val="00A562A4"/>
    <w:rsid w:val="00A567AC"/>
    <w:rsid w:val="00A568F9"/>
    <w:rsid w:val="00A56976"/>
    <w:rsid w:val="00A56D3B"/>
    <w:rsid w:val="00A56DE2"/>
    <w:rsid w:val="00A5700B"/>
    <w:rsid w:val="00A57267"/>
    <w:rsid w:val="00A572EF"/>
    <w:rsid w:val="00A573C0"/>
    <w:rsid w:val="00A57450"/>
    <w:rsid w:val="00A57479"/>
    <w:rsid w:val="00A575D1"/>
    <w:rsid w:val="00A5786E"/>
    <w:rsid w:val="00A57C08"/>
    <w:rsid w:val="00A57C87"/>
    <w:rsid w:val="00A57DA6"/>
    <w:rsid w:val="00A6007E"/>
    <w:rsid w:val="00A600D9"/>
    <w:rsid w:val="00A6035A"/>
    <w:rsid w:val="00A604CD"/>
    <w:rsid w:val="00A604EE"/>
    <w:rsid w:val="00A607BE"/>
    <w:rsid w:val="00A609F7"/>
    <w:rsid w:val="00A60B9A"/>
    <w:rsid w:val="00A60C58"/>
    <w:rsid w:val="00A60C66"/>
    <w:rsid w:val="00A610C7"/>
    <w:rsid w:val="00A6131F"/>
    <w:rsid w:val="00A6159F"/>
    <w:rsid w:val="00A616A4"/>
    <w:rsid w:val="00A61801"/>
    <w:rsid w:val="00A61836"/>
    <w:rsid w:val="00A61895"/>
    <w:rsid w:val="00A61932"/>
    <w:rsid w:val="00A61960"/>
    <w:rsid w:val="00A61A3C"/>
    <w:rsid w:val="00A61C45"/>
    <w:rsid w:val="00A61D99"/>
    <w:rsid w:val="00A61E44"/>
    <w:rsid w:val="00A62359"/>
    <w:rsid w:val="00A624A4"/>
    <w:rsid w:val="00A629A8"/>
    <w:rsid w:val="00A62B63"/>
    <w:rsid w:val="00A62CCA"/>
    <w:rsid w:val="00A62FE1"/>
    <w:rsid w:val="00A63347"/>
    <w:rsid w:val="00A637A0"/>
    <w:rsid w:val="00A6384F"/>
    <w:rsid w:val="00A63C49"/>
    <w:rsid w:val="00A63D11"/>
    <w:rsid w:val="00A63ECD"/>
    <w:rsid w:val="00A64016"/>
    <w:rsid w:val="00A64064"/>
    <w:rsid w:val="00A64093"/>
    <w:rsid w:val="00A640EB"/>
    <w:rsid w:val="00A641B9"/>
    <w:rsid w:val="00A645C2"/>
    <w:rsid w:val="00A64606"/>
    <w:rsid w:val="00A64613"/>
    <w:rsid w:val="00A6461B"/>
    <w:rsid w:val="00A64815"/>
    <w:rsid w:val="00A6486D"/>
    <w:rsid w:val="00A64B13"/>
    <w:rsid w:val="00A64D9C"/>
    <w:rsid w:val="00A64E95"/>
    <w:rsid w:val="00A65043"/>
    <w:rsid w:val="00A6506B"/>
    <w:rsid w:val="00A6573C"/>
    <w:rsid w:val="00A65D17"/>
    <w:rsid w:val="00A65D30"/>
    <w:rsid w:val="00A65EF4"/>
    <w:rsid w:val="00A6615E"/>
    <w:rsid w:val="00A6636A"/>
    <w:rsid w:val="00A66BA9"/>
    <w:rsid w:val="00A66CB8"/>
    <w:rsid w:val="00A66DA0"/>
    <w:rsid w:val="00A66DF9"/>
    <w:rsid w:val="00A67010"/>
    <w:rsid w:val="00A67432"/>
    <w:rsid w:val="00A676F7"/>
    <w:rsid w:val="00A67DF7"/>
    <w:rsid w:val="00A7042B"/>
    <w:rsid w:val="00A704E4"/>
    <w:rsid w:val="00A7058E"/>
    <w:rsid w:val="00A70615"/>
    <w:rsid w:val="00A7084F"/>
    <w:rsid w:val="00A70898"/>
    <w:rsid w:val="00A708C6"/>
    <w:rsid w:val="00A70BE3"/>
    <w:rsid w:val="00A70BE5"/>
    <w:rsid w:val="00A7136A"/>
    <w:rsid w:val="00A71A4A"/>
    <w:rsid w:val="00A71C44"/>
    <w:rsid w:val="00A71E56"/>
    <w:rsid w:val="00A71EB7"/>
    <w:rsid w:val="00A71F70"/>
    <w:rsid w:val="00A720D4"/>
    <w:rsid w:val="00A721A0"/>
    <w:rsid w:val="00A72261"/>
    <w:rsid w:val="00A72296"/>
    <w:rsid w:val="00A72773"/>
    <w:rsid w:val="00A727E8"/>
    <w:rsid w:val="00A729EF"/>
    <w:rsid w:val="00A72A9A"/>
    <w:rsid w:val="00A72ABF"/>
    <w:rsid w:val="00A72CDC"/>
    <w:rsid w:val="00A72FAB"/>
    <w:rsid w:val="00A73108"/>
    <w:rsid w:val="00A73164"/>
    <w:rsid w:val="00A731C0"/>
    <w:rsid w:val="00A7388E"/>
    <w:rsid w:val="00A73AB9"/>
    <w:rsid w:val="00A73AFB"/>
    <w:rsid w:val="00A73BE4"/>
    <w:rsid w:val="00A73C2E"/>
    <w:rsid w:val="00A73C40"/>
    <w:rsid w:val="00A74042"/>
    <w:rsid w:val="00A740A7"/>
    <w:rsid w:val="00A741ED"/>
    <w:rsid w:val="00A74544"/>
    <w:rsid w:val="00A74548"/>
    <w:rsid w:val="00A74DF2"/>
    <w:rsid w:val="00A74E4D"/>
    <w:rsid w:val="00A74F16"/>
    <w:rsid w:val="00A75220"/>
    <w:rsid w:val="00A7543B"/>
    <w:rsid w:val="00A75460"/>
    <w:rsid w:val="00A7562C"/>
    <w:rsid w:val="00A75692"/>
    <w:rsid w:val="00A75703"/>
    <w:rsid w:val="00A7592E"/>
    <w:rsid w:val="00A75A3F"/>
    <w:rsid w:val="00A762C0"/>
    <w:rsid w:val="00A763CC"/>
    <w:rsid w:val="00A76743"/>
    <w:rsid w:val="00A767DD"/>
    <w:rsid w:val="00A76933"/>
    <w:rsid w:val="00A7698C"/>
    <w:rsid w:val="00A76B26"/>
    <w:rsid w:val="00A76C1F"/>
    <w:rsid w:val="00A76F5B"/>
    <w:rsid w:val="00A77088"/>
    <w:rsid w:val="00A77405"/>
    <w:rsid w:val="00A774A7"/>
    <w:rsid w:val="00A774E9"/>
    <w:rsid w:val="00A776FE"/>
    <w:rsid w:val="00A77DE2"/>
    <w:rsid w:val="00A77F15"/>
    <w:rsid w:val="00A77F53"/>
    <w:rsid w:val="00A77F7B"/>
    <w:rsid w:val="00A803FC"/>
    <w:rsid w:val="00A805BB"/>
    <w:rsid w:val="00A8071A"/>
    <w:rsid w:val="00A80D8A"/>
    <w:rsid w:val="00A80DD9"/>
    <w:rsid w:val="00A80F8F"/>
    <w:rsid w:val="00A80FCA"/>
    <w:rsid w:val="00A810FC"/>
    <w:rsid w:val="00A813B3"/>
    <w:rsid w:val="00A8195A"/>
    <w:rsid w:val="00A81A29"/>
    <w:rsid w:val="00A81CBC"/>
    <w:rsid w:val="00A81DAE"/>
    <w:rsid w:val="00A82257"/>
    <w:rsid w:val="00A82506"/>
    <w:rsid w:val="00A82652"/>
    <w:rsid w:val="00A828BC"/>
    <w:rsid w:val="00A82909"/>
    <w:rsid w:val="00A829DD"/>
    <w:rsid w:val="00A829FA"/>
    <w:rsid w:val="00A82A5F"/>
    <w:rsid w:val="00A82BAF"/>
    <w:rsid w:val="00A82EDC"/>
    <w:rsid w:val="00A82FCA"/>
    <w:rsid w:val="00A82FFE"/>
    <w:rsid w:val="00A83200"/>
    <w:rsid w:val="00A834B6"/>
    <w:rsid w:val="00A836AA"/>
    <w:rsid w:val="00A83793"/>
    <w:rsid w:val="00A837CE"/>
    <w:rsid w:val="00A838B0"/>
    <w:rsid w:val="00A83B36"/>
    <w:rsid w:val="00A83DB5"/>
    <w:rsid w:val="00A83DBC"/>
    <w:rsid w:val="00A83FBA"/>
    <w:rsid w:val="00A84030"/>
    <w:rsid w:val="00A840CB"/>
    <w:rsid w:val="00A8444C"/>
    <w:rsid w:val="00A84485"/>
    <w:rsid w:val="00A844FC"/>
    <w:rsid w:val="00A84624"/>
    <w:rsid w:val="00A84636"/>
    <w:rsid w:val="00A847BC"/>
    <w:rsid w:val="00A84CA9"/>
    <w:rsid w:val="00A84FE1"/>
    <w:rsid w:val="00A85080"/>
    <w:rsid w:val="00A853D4"/>
    <w:rsid w:val="00A85673"/>
    <w:rsid w:val="00A85995"/>
    <w:rsid w:val="00A859AA"/>
    <w:rsid w:val="00A85B0F"/>
    <w:rsid w:val="00A85BA4"/>
    <w:rsid w:val="00A85C88"/>
    <w:rsid w:val="00A85E65"/>
    <w:rsid w:val="00A86406"/>
    <w:rsid w:val="00A864A1"/>
    <w:rsid w:val="00A864F9"/>
    <w:rsid w:val="00A86730"/>
    <w:rsid w:val="00A8677F"/>
    <w:rsid w:val="00A86853"/>
    <w:rsid w:val="00A86B75"/>
    <w:rsid w:val="00A86E75"/>
    <w:rsid w:val="00A86F33"/>
    <w:rsid w:val="00A87302"/>
    <w:rsid w:val="00A87716"/>
    <w:rsid w:val="00A87860"/>
    <w:rsid w:val="00A879CE"/>
    <w:rsid w:val="00A879CF"/>
    <w:rsid w:val="00A87BE4"/>
    <w:rsid w:val="00A87C92"/>
    <w:rsid w:val="00A87E26"/>
    <w:rsid w:val="00A901B8"/>
    <w:rsid w:val="00A9065F"/>
    <w:rsid w:val="00A90881"/>
    <w:rsid w:val="00A90882"/>
    <w:rsid w:val="00A90B0E"/>
    <w:rsid w:val="00A90DC2"/>
    <w:rsid w:val="00A91618"/>
    <w:rsid w:val="00A918B2"/>
    <w:rsid w:val="00A91AA1"/>
    <w:rsid w:val="00A91ABC"/>
    <w:rsid w:val="00A91C8C"/>
    <w:rsid w:val="00A91F0D"/>
    <w:rsid w:val="00A921F2"/>
    <w:rsid w:val="00A922C5"/>
    <w:rsid w:val="00A9235A"/>
    <w:rsid w:val="00A925C6"/>
    <w:rsid w:val="00A92A08"/>
    <w:rsid w:val="00A92B7D"/>
    <w:rsid w:val="00A92D09"/>
    <w:rsid w:val="00A92E05"/>
    <w:rsid w:val="00A92E44"/>
    <w:rsid w:val="00A92F66"/>
    <w:rsid w:val="00A92FF7"/>
    <w:rsid w:val="00A93069"/>
    <w:rsid w:val="00A93286"/>
    <w:rsid w:val="00A93899"/>
    <w:rsid w:val="00A938E6"/>
    <w:rsid w:val="00A939DB"/>
    <w:rsid w:val="00A93A54"/>
    <w:rsid w:val="00A93BC5"/>
    <w:rsid w:val="00A93DEB"/>
    <w:rsid w:val="00A9421A"/>
    <w:rsid w:val="00A943C8"/>
    <w:rsid w:val="00A945EE"/>
    <w:rsid w:val="00A9468F"/>
    <w:rsid w:val="00A9498D"/>
    <w:rsid w:val="00A95139"/>
    <w:rsid w:val="00A951D7"/>
    <w:rsid w:val="00A95253"/>
    <w:rsid w:val="00A95335"/>
    <w:rsid w:val="00A9566B"/>
    <w:rsid w:val="00A9576E"/>
    <w:rsid w:val="00A95A52"/>
    <w:rsid w:val="00A95CFE"/>
    <w:rsid w:val="00A960AB"/>
    <w:rsid w:val="00A9642F"/>
    <w:rsid w:val="00A9657F"/>
    <w:rsid w:val="00A96695"/>
    <w:rsid w:val="00A96B17"/>
    <w:rsid w:val="00A96C86"/>
    <w:rsid w:val="00A970E0"/>
    <w:rsid w:val="00A97263"/>
    <w:rsid w:val="00A97281"/>
    <w:rsid w:val="00A9734A"/>
    <w:rsid w:val="00A9755B"/>
    <w:rsid w:val="00A9785E"/>
    <w:rsid w:val="00A9797D"/>
    <w:rsid w:val="00A979E5"/>
    <w:rsid w:val="00A979EA"/>
    <w:rsid w:val="00A97BB6"/>
    <w:rsid w:val="00AA0041"/>
    <w:rsid w:val="00AA005C"/>
    <w:rsid w:val="00AA015F"/>
    <w:rsid w:val="00AA0163"/>
    <w:rsid w:val="00AA034C"/>
    <w:rsid w:val="00AA034F"/>
    <w:rsid w:val="00AA03DB"/>
    <w:rsid w:val="00AA0663"/>
    <w:rsid w:val="00AA07EA"/>
    <w:rsid w:val="00AA0C3A"/>
    <w:rsid w:val="00AA12DF"/>
    <w:rsid w:val="00AA14C2"/>
    <w:rsid w:val="00AA1723"/>
    <w:rsid w:val="00AA190D"/>
    <w:rsid w:val="00AA1A73"/>
    <w:rsid w:val="00AA1CED"/>
    <w:rsid w:val="00AA1E74"/>
    <w:rsid w:val="00AA1F5D"/>
    <w:rsid w:val="00AA1FDD"/>
    <w:rsid w:val="00AA22B3"/>
    <w:rsid w:val="00AA22C3"/>
    <w:rsid w:val="00AA230D"/>
    <w:rsid w:val="00AA2810"/>
    <w:rsid w:val="00AA2AC4"/>
    <w:rsid w:val="00AA2BFE"/>
    <w:rsid w:val="00AA2E37"/>
    <w:rsid w:val="00AA3079"/>
    <w:rsid w:val="00AA33A3"/>
    <w:rsid w:val="00AA3AFC"/>
    <w:rsid w:val="00AA3EC8"/>
    <w:rsid w:val="00AA3EF9"/>
    <w:rsid w:val="00AA3F33"/>
    <w:rsid w:val="00AA48BD"/>
    <w:rsid w:val="00AA4941"/>
    <w:rsid w:val="00AA49E9"/>
    <w:rsid w:val="00AA4BD2"/>
    <w:rsid w:val="00AA4F36"/>
    <w:rsid w:val="00AA4FB0"/>
    <w:rsid w:val="00AA5475"/>
    <w:rsid w:val="00AA551A"/>
    <w:rsid w:val="00AA5598"/>
    <w:rsid w:val="00AA5876"/>
    <w:rsid w:val="00AA5B5D"/>
    <w:rsid w:val="00AA5E8A"/>
    <w:rsid w:val="00AA5F6E"/>
    <w:rsid w:val="00AA5F8D"/>
    <w:rsid w:val="00AA6257"/>
    <w:rsid w:val="00AA65E5"/>
    <w:rsid w:val="00AA6672"/>
    <w:rsid w:val="00AA69AB"/>
    <w:rsid w:val="00AA6A8A"/>
    <w:rsid w:val="00AA6D1D"/>
    <w:rsid w:val="00AA6DD8"/>
    <w:rsid w:val="00AA6FA3"/>
    <w:rsid w:val="00AA70BB"/>
    <w:rsid w:val="00AA7116"/>
    <w:rsid w:val="00AA757C"/>
    <w:rsid w:val="00AA764A"/>
    <w:rsid w:val="00AA7A62"/>
    <w:rsid w:val="00AA7E1B"/>
    <w:rsid w:val="00AA7EEF"/>
    <w:rsid w:val="00AA7F10"/>
    <w:rsid w:val="00AB01EA"/>
    <w:rsid w:val="00AB0210"/>
    <w:rsid w:val="00AB0391"/>
    <w:rsid w:val="00AB0633"/>
    <w:rsid w:val="00AB0C54"/>
    <w:rsid w:val="00AB1726"/>
    <w:rsid w:val="00AB179F"/>
    <w:rsid w:val="00AB186A"/>
    <w:rsid w:val="00AB198A"/>
    <w:rsid w:val="00AB1F7B"/>
    <w:rsid w:val="00AB2151"/>
    <w:rsid w:val="00AB24AA"/>
    <w:rsid w:val="00AB26C1"/>
    <w:rsid w:val="00AB27CB"/>
    <w:rsid w:val="00AB28B8"/>
    <w:rsid w:val="00AB2C59"/>
    <w:rsid w:val="00AB2C8A"/>
    <w:rsid w:val="00AB3116"/>
    <w:rsid w:val="00AB340C"/>
    <w:rsid w:val="00AB359B"/>
    <w:rsid w:val="00AB3623"/>
    <w:rsid w:val="00AB3FE5"/>
    <w:rsid w:val="00AB401C"/>
    <w:rsid w:val="00AB41D6"/>
    <w:rsid w:val="00AB42B6"/>
    <w:rsid w:val="00AB47BC"/>
    <w:rsid w:val="00AB4B8C"/>
    <w:rsid w:val="00AB4C2D"/>
    <w:rsid w:val="00AB4D67"/>
    <w:rsid w:val="00AB4F43"/>
    <w:rsid w:val="00AB4F67"/>
    <w:rsid w:val="00AB512A"/>
    <w:rsid w:val="00AB51A1"/>
    <w:rsid w:val="00AB525A"/>
    <w:rsid w:val="00AB545D"/>
    <w:rsid w:val="00AB54D7"/>
    <w:rsid w:val="00AB5645"/>
    <w:rsid w:val="00AB5736"/>
    <w:rsid w:val="00AB57D3"/>
    <w:rsid w:val="00AB57F4"/>
    <w:rsid w:val="00AB58FF"/>
    <w:rsid w:val="00AB5B45"/>
    <w:rsid w:val="00AB5FF4"/>
    <w:rsid w:val="00AB6078"/>
    <w:rsid w:val="00AB6245"/>
    <w:rsid w:val="00AB6357"/>
    <w:rsid w:val="00AB6886"/>
    <w:rsid w:val="00AB6AE4"/>
    <w:rsid w:val="00AB6B3A"/>
    <w:rsid w:val="00AB6E00"/>
    <w:rsid w:val="00AB6EF1"/>
    <w:rsid w:val="00AB6F37"/>
    <w:rsid w:val="00AB71C4"/>
    <w:rsid w:val="00AB766A"/>
    <w:rsid w:val="00AB7674"/>
    <w:rsid w:val="00AB769E"/>
    <w:rsid w:val="00AB7751"/>
    <w:rsid w:val="00AB793F"/>
    <w:rsid w:val="00AB7D55"/>
    <w:rsid w:val="00AC053F"/>
    <w:rsid w:val="00AC0569"/>
    <w:rsid w:val="00AC0604"/>
    <w:rsid w:val="00AC0681"/>
    <w:rsid w:val="00AC0841"/>
    <w:rsid w:val="00AC09A3"/>
    <w:rsid w:val="00AC0B41"/>
    <w:rsid w:val="00AC0E1F"/>
    <w:rsid w:val="00AC10B4"/>
    <w:rsid w:val="00AC113D"/>
    <w:rsid w:val="00AC12CB"/>
    <w:rsid w:val="00AC154B"/>
    <w:rsid w:val="00AC1670"/>
    <w:rsid w:val="00AC1B72"/>
    <w:rsid w:val="00AC1FB2"/>
    <w:rsid w:val="00AC26C3"/>
    <w:rsid w:val="00AC26FE"/>
    <w:rsid w:val="00AC2B32"/>
    <w:rsid w:val="00AC317C"/>
    <w:rsid w:val="00AC350D"/>
    <w:rsid w:val="00AC3568"/>
    <w:rsid w:val="00AC3587"/>
    <w:rsid w:val="00AC3981"/>
    <w:rsid w:val="00AC3996"/>
    <w:rsid w:val="00AC3CF2"/>
    <w:rsid w:val="00AC3F58"/>
    <w:rsid w:val="00AC40C4"/>
    <w:rsid w:val="00AC4197"/>
    <w:rsid w:val="00AC436D"/>
    <w:rsid w:val="00AC4511"/>
    <w:rsid w:val="00AC4572"/>
    <w:rsid w:val="00AC47EC"/>
    <w:rsid w:val="00AC4850"/>
    <w:rsid w:val="00AC48C9"/>
    <w:rsid w:val="00AC4A0A"/>
    <w:rsid w:val="00AC4B32"/>
    <w:rsid w:val="00AC4C82"/>
    <w:rsid w:val="00AC4CFC"/>
    <w:rsid w:val="00AC4E5D"/>
    <w:rsid w:val="00AC50F3"/>
    <w:rsid w:val="00AC511F"/>
    <w:rsid w:val="00AC5177"/>
    <w:rsid w:val="00AC564D"/>
    <w:rsid w:val="00AC56DB"/>
    <w:rsid w:val="00AC58B4"/>
    <w:rsid w:val="00AC5BFC"/>
    <w:rsid w:val="00AC5C56"/>
    <w:rsid w:val="00AC5DDE"/>
    <w:rsid w:val="00AC62B8"/>
    <w:rsid w:val="00AC6904"/>
    <w:rsid w:val="00AC6AA7"/>
    <w:rsid w:val="00AC6B24"/>
    <w:rsid w:val="00AC6C53"/>
    <w:rsid w:val="00AC6E85"/>
    <w:rsid w:val="00AC6F3A"/>
    <w:rsid w:val="00AC7284"/>
    <w:rsid w:val="00AC7A67"/>
    <w:rsid w:val="00AC7BF8"/>
    <w:rsid w:val="00AC7BFC"/>
    <w:rsid w:val="00AC7CAD"/>
    <w:rsid w:val="00AC7CE6"/>
    <w:rsid w:val="00AC7F59"/>
    <w:rsid w:val="00AD0433"/>
    <w:rsid w:val="00AD0828"/>
    <w:rsid w:val="00AD0B13"/>
    <w:rsid w:val="00AD0B41"/>
    <w:rsid w:val="00AD0BD6"/>
    <w:rsid w:val="00AD0E69"/>
    <w:rsid w:val="00AD0EBB"/>
    <w:rsid w:val="00AD0F38"/>
    <w:rsid w:val="00AD103D"/>
    <w:rsid w:val="00AD113E"/>
    <w:rsid w:val="00AD11B4"/>
    <w:rsid w:val="00AD1257"/>
    <w:rsid w:val="00AD1297"/>
    <w:rsid w:val="00AD144D"/>
    <w:rsid w:val="00AD159C"/>
    <w:rsid w:val="00AD17FA"/>
    <w:rsid w:val="00AD1900"/>
    <w:rsid w:val="00AD19EC"/>
    <w:rsid w:val="00AD1CC1"/>
    <w:rsid w:val="00AD1D3F"/>
    <w:rsid w:val="00AD1D87"/>
    <w:rsid w:val="00AD1DD3"/>
    <w:rsid w:val="00AD20CE"/>
    <w:rsid w:val="00AD2717"/>
    <w:rsid w:val="00AD27CF"/>
    <w:rsid w:val="00AD2BE4"/>
    <w:rsid w:val="00AD2BEF"/>
    <w:rsid w:val="00AD2C5E"/>
    <w:rsid w:val="00AD2E78"/>
    <w:rsid w:val="00AD30D5"/>
    <w:rsid w:val="00AD3421"/>
    <w:rsid w:val="00AD361E"/>
    <w:rsid w:val="00AD36C3"/>
    <w:rsid w:val="00AD36CA"/>
    <w:rsid w:val="00AD3723"/>
    <w:rsid w:val="00AD382C"/>
    <w:rsid w:val="00AD3DC4"/>
    <w:rsid w:val="00AD3DD3"/>
    <w:rsid w:val="00AD3F87"/>
    <w:rsid w:val="00AD40DA"/>
    <w:rsid w:val="00AD440B"/>
    <w:rsid w:val="00AD475F"/>
    <w:rsid w:val="00AD4FEF"/>
    <w:rsid w:val="00AD4FF4"/>
    <w:rsid w:val="00AD50E8"/>
    <w:rsid w:val="00AD5164"/>
    <w:rsid w:val="00AD531D"/>
    <w:rsid w:val="00AD54B3"/>
    <w:rsid w:val="00AD56CA"/>
    <w:rsid w:val="00AD5701"/>
    <w:rsid w:val="00AD5788"/>
    <w:rsid w:val="00AD5BA9"/>
    <w:rsid w:val="00AD600C"/>
    <w:rsid w:val="00AD63D6"/>
    <w:rsid w:val="00AD6982"/>
    <w:rsid w:val="00AD6AD3"/>
    <w:rsid w:val="00AD6B58"/>
    <w:rsid w:val="00AD6B80"/>
    <w:rsid w:val="00AD6CA6"/>
    <w:rsid w:val="00AD6CD5"/>
    <w:rsid w:val="00AD6EEB"/>
    <w:rsid w:val="00AD7024"/>
    <w:rsid w:val="00AD70DF"/>
    <w:rsid w:val="00AD7320"/>
    <w:rsid w:val="00AD733B"/>
    <w:rsid w:val="00AD785B"/>
    <w:rsid w:val="00AD7C46"/>
    <w:rsid w:val="00AD7CA7"/>
    <w:rsid w:val="00AD7DE0"/>
    <w:rsid w:val="00AD7DEA"/>
    <w:rsid w:val="00AD7F57"/>
    <w:rsid w:val="00AE0040"/>
    <w:rsid w:val="00AE01F1"/>
    <w:rsid w:val="00AE026A"/>
    <w:rsid w:val="00AE0270"/>
    <w:rsid w:val="00AE0606"/>
    <w:rsid w:val="00AE07B1"/>
    <w:rsid w:val="00AE0D6C"/>
    <w:rsid w:val="00AE0F83"/>
    <w:rsid w:val="00AE184D"/>
    <w:rsid w:val="00AE18F2"/>
    <w:rsid w:val="00AE1B5E"/>
    <w:rsid w:val="00AE1C03"/>
    <w:rsid w:val="00AE1DD5"/>
    <w:rsid w:val="00AE1E08"/>
    <w:rsid w:val="00AE20C6"/>
    <w:rsid w:val="00AE2109"/>
    <w:rsid w:val="00AE216F"/>
    <w:rsid w:val="00AE23E3"/>
    <w:rsid w:val="00AE23FA"/>
    <w:rsid w:val="00AE2897"/>
    <w:rsid w:val="00AE2E20"/>
    <w:rsid w:val="00AE2E94"/>
    <w:rsid w:val="00AE2F65"/>
    <w:rsid w:val="00AE2F7E"/>
    <w:rsid w:val="00AE317E"/>
    <w:rsid w:val="00AE3423"/>
    <w:rsid w:val="00AE35A5"/>
    <w:rsid w:val="00AE380A"/>
    <w:rsid w:val="00AE3B5F"/>
    <w:rsid w:val="00AE3EEB"/>
    <w:rsid w:val="00AE3F4D"/>
    <w:rsid w:val="00AE4117"/>
    <w:rsid w:val="00AE4152"/>
    <w:rsid w:val="00AE4754"/>
    <w:rsid w:val="00AE4836"/>
    <w:rsid w:val="00AE4CE6"/>
    <w:rsid w:val="00AE4E2A"/>
    <w:rsid w:val="00AE4E52"/>
    <w:rsid w:val="00AE5153"/>
    <w:rsid w:val="00AE515D"/>
    <w:rsid w:val="00AE5CB9"/>
    <w:rsid w:val="00AE5CF9"/>
    <w:rsid w:val="00AE5DB6"/>
    <w:rsid w:val="00AE5E5E"/>
    <w:rsid w:val="00AE5F56"/>
    <w:rsid w:val="00AE5F60"/>
    <w:rsid w:val="00AE6060"/>
    <w:rsid w:val="00AE6244"/>
    <w:rsid w:val="00AE6360"/>
    <w:rsid w:val="00AE63DE"/>
    <w:rsid w:val="00AE6572"/>
    <w:rsid w:val="00AE6583"/>
    <w:rsid w:val="00AE66B6"/>
    <w:rsid w:val="00AE680C"/>
    <w:rsid w:val="00AE682E"/>
    <w:rsid w:val="00AE6C3C"/>
    <w:rsid w:val="00AE6D5B"/>
    <w:rsid w:val="00AE6F5E"/>
    <w:rsid w:val="00AE702E"/>
    <w:rsid w:val="00AE713C"/>
    <w:rsid w:val="00AE7212"/>
    <w:rsid w:val="00AE73E0"/>
    <w:rsid w:val="00AE74D8"/>
    <w:rsid w:val="00AE7985"/>
    <w:rsid w:val="00AF0054"/>
    <w:rsid w:val="00AF00BD"/>
    <w:rsid w:val="00AF03C0"/>
    <w:rsid w:val="00AF05F7"/>
    <w:rsid w:val="00AF07C2"/>
    <w:rsid w:val="00AF0DF9"/>
    <w:rsid w:val="00AF0EC3"/>
    <w:rsid w:val="00AF0FBE"/>
    <w:rsid w:val="00AF10DA"/>
    <w:rsid w:val="00AF166F"/>
    <w:rsid w:val="00AF1C03"/>
    <w:rsid w:val="00AF20DA"/>
    <w:rsid w:val="00AF212E"/>
    <w:rsid w:val="00AF21C1"/>
    <w:rsid w:val="00AF254B"/>
    <w:rsid w:val="00AF26FB"/>
    <w:rsid w:val="00AF2931"/>
    <w:rsid w:val="00AF2AB0"/>
    <w:rsid w:val="00AF2AF2"/>
    <w:rsid w:val="00AF2DB8"/>
    <w:rsid w:val="00AF2F1D"/>
    <w:rsid w:val="00AF3066"/>
    <w:rsid w:val="00AF314D"/>
    <w:rsid w:val="00AF31C6"/>
    <w:rsid w:val="00AF3372"/>
    <w:rsid w:val="00AF37FE"/>
    <w:rsid w:val="00AF391E"/>
    <w:rsid w:val="00AF39AF"/>
    <w:rsid w:val="00AF3A1A"/>
    <w:rsid w:val="00AF3AB7"/>
    <w:rsid w:val="00AF3B50"/>
    <w:rsid w:val="00AF3BE6"/>
    <w:rsid w:val="00AF3C3F"/>
    <w:rsid w:val="00AF3E3B"/>
    <w:rsid w:val="00AF3E5A"/>
    <w:rsid w:val="00AF3EE7"/>
    <w:rsid w:val="00AF446E"/>
    <w:rsid w:val="00AF46FE"/>
    <w:rsid w:val="00AF4731"/>
    <w:rsid w:val="00AF4735"/>
    <w:rsid w:val="00AF486F"/>
    <w:rsid w:val="00AF4A92"/>
    <w:rsid w:val="00AF4C29"/>
    <w:rsid w:val="00AF5121"/>
    <w:rsid w:val="00AF52D5"/>
    <w:rsid w:val="00AF548B"/>
    <w:rsid w:val="00AF555F"/>
    <w:rsid w:val="00AF55E0"/>
    <w:rsid w:val="00AF5666"/>
    <w:rsid w:val="00AF5870"/>
    <w:rsid w:val="00AF5A1B"/>
    <w:rsid w:val="00AF5F58"/>
    <w:rsid w:val="00AF6371"/>
    <w:rsid w:val="00AF6569"/>
    <w:rsid w:val="00AF6619"/>
    <w:rsid w:val="00AF6637"/>
    <w:rsid w:val="00AF6772"/>
    <w:rsid w:val="00AF67A7"/>
    <w:rsid w:val="00AF6CF0"/>
    <w:rsid w:val="00AF6CFD"/>
    <w:rsid w:val="00AF6EB6"/>
    <w:rsid w:val="00AF70CE"/>
    <w:rsid w:val="00AF76B3"/>
    <w:rsid w:val="00AF76F0"/>
    <w:rsid w:val="00AF79DB"/>
    <w:rsid w:val="00AF7C8A"/>
    <w:rsid w:val="00AF7DC1"/>
    <w:rsid w:val="00AF7DFC"/>
    <w:rsid w:val="00AF7DFF"/>
    <w:rsid w:val="00AF7E32"/>
    <w:rsid w:val="00AF7EFB"/>
    <w:rsid w:val="00B000AE"/>
    <w:rsid w:val="00B0040B"/>
    <w:rsid w:val="00B0041F"/>
    <w:rsid w:val="00B004BE"/>
    <w:rsid w:val="00B00830"/>
    <w:rsid w:val="00B00A83"/>
    <w:rsid w:val="00B00AB5"/>
    <w:rsid w:val="00B00CC0"/>
    <w:rsid w:val="00B00DC8"/>
    <w:rsid w:val="00B00DEF"/>
    <w:rsid w:val="00B00E49"/>
    <w:rsid w:val="00B00F5C"/>
    <w:rsid w:val="00B01162"/>
    <w:rsid w:val="00B01209"/>
    <w:rsid w:val="00B018A4"/>
    <w:rsid w:val="00B01954"/>
    <w:rsid w:val="00B019C1"/>
    <w:rsid w:val="00B01AB6"/>
    <w:rsid w:val="00B021A2"/>
    <w:rsid w:val="00B02232"/>
    <w:rsid w:val="00B0236E"/>
    <w:rsid w:val="00B02396"/>
    <w:rsid w:val="00B02506"/>
    <w:rsid w:val="00B02ACE"/>
    <w:rsid w:val="00B02CCC"/>
    <w:rsid w:val="00B02F60"/>
    <w:rsid w:val="00B032E9"/>
    <w:rsid w:val="00B032F7"/>
    <w:rsid w:val="00B03332"/>
    <w:rsid w:val="00B03415"/>
    <w:rsid w:val="00B03913"/>
    <w:rsid w:val="00B0409B"/>
    <w:rsid w:val="00B043E1"/>
    <w:rsid w:val="00B04CEA"/>
    <w:rsid w:val="00B04DAD"/>
    <w:rsid w:val="00B04E9A"/>
    <w:rsid w:val="00B04F9B"/>
    <w:rsid w:val="00B05261"/>
    <w:rsid w:val="00B0549C"/>
    <w:rsid w:val="00B05540"/>
    <w:rsid w:val="00B055B8"/>
    <w:rsid w:val="00B05607"/>
    <w:rsid w:val="00B058E5"/>
    <w:rsid w:val="00B0592B"/>
    <w:rsid w:val="00B059CA"/>
    <w:rsid w:val="00B05A08"/>
    <w:rsid w:val="00B05BFB"/>
    <w:rsid w:val="00B05C29"/>
    <w:rsid w:val="00B05E47"/>
    <w:rsid w:val="00B05F14"/>
    <w:rsid w:val="00B06035"/>
    <w:rsid w:val="00B0625A"/>
    <w:rsid w:val="00B062E4"/>
    <w:rsid w:val="00B0644E"/>
    <w:rsid w:val="00B064C5"/>
    <w:rsid w:val="00B06549"/>
    <w:rsid w:val="00B06737"/>
    <w:rsid w:val="00B0674B"/>
    <w:rsid w:val="00B067B0"/>
    <w:rsid w:val="00B0752E"/>
    <w:rsid w:val="00B07741"/>
    <w:rsid w:val="00B0784C"/>
    <w:rsid w:val="00B07AC6"/>
    <w:rsid w:val="00B07CE9"/>
    <w:rsid w:val="00B07D13"/>
    <w:rsid w:val="00B07D50"/>
    <w:rsid w:val="00B07E5B"/>
    <w:rsid w:val="00B101D5"/>
    <w:rsid w:val="00B10337"/>
    <w:rsid w:val="00B10429"/>
    <w:rsid w:val="00B104C0"/>
    <w:rsid w:val="00B10633"/>
    <w:rsid w:val="00B107F2"/>
    <w:rsid w:val="00B10948"/>
    <w:rsid w:val="00B10B08"/>
    <w:rsid w:val="00B10BF2"/>
    <w:rsid w:val="00B10D68"/>
    <w:rsid w:val="00B11043"/>
    <w:rsid w:val="00B1105A"/>
    <w:rsid w:val="00B1109F"/>
    <w:rsid w:val="00B1159E"/>
    <w:rsid w:val="00B117F8"/>
    <w:rsid w:val="00B11A78"/>
    <w:rsid w:val="00B11B3A"/>
    <w:rsid w:val="00B11B83"/>
    <w:rsid w:val="00B11CFB"/>
    <w:rsid w:val="00B11E69"/>
    <w:rsid w:val="00B11E90"/>
    <w:rsid w:val="00B12111"/>
    <w:rsid w:val="00B12199"/>
    <w:rsid w:val="00B121D4"/>
    <w:rsid w:val="00B123B7"/>
    <w:rsid w:val="00B126AC"/>
    <w:rsid w:val="00B126E7"/>
    <w:rsid w:val="00B12758"/>
    <w:rsid w:val="00B12A46"/>
    <w:rsid w:val="00B13058"/>
    <w:rsid w:val="00B1358D"/>
    <w:rsid w:val="00B13654"/>
    <w:rsid w:val="00B13B76"/>
    <w:rsid w:val="00B13DA4"/>
    <w:rsid w:val="00B13E18"/>
    <w:rsid w:val="00B13EB7"/>
    <w:rsid w:val="00B13FA8"/>
    <w:rsid w:val="00B14109"/>
    <w:rsid w:val="00B14139"/>
    <w:rsid w:val="00B1429F"/>
    <w:rsid w:val="00B142FC"/>
    <w:rsid w:val="00B14410"/>
    <w:rsid w:val="00B147A4"/>
    <w:rsid w:val="00B1486D"/>
    <w:rsid w:val="00B14A52"/>
    <w:rsid w:val="00B14A62"/>
    <w:rsid w:val="00B14C04"/>
    <w:rsid w:val="00B14C67"/>
    <w:rsid w:val="00B15003"/>
    <w:rsid w:val="00B150D6"/>
    <w:rsid w:val="00B151C6"/>
    <w:rsid w:val="00B15373"/>
    <w:rsid w:val="00B15639"/>
    <w:rsid w:val="00B15913"/>
    <w:rsid w:val="00B159AB"/>
    <w:rsid w:val="00B15D15"/>
    <w:rsid w:val="00B15E42"/>
    <w:rsid w:val="00B15EEE"/>
    <w:rsid w:val="00B1608D"/>
    <w:rsid w:val="00B16198"/>
    <w:rsid w:val="00B1655A"/>
    <w:rsid w:val="00B166CB"/>
    <w:rsid w:val="00B16A2C"/>
    <w:rsid w:val="00B16A7C"/>
    <w:rsid w:val="00B16A92"/>
    <w:rsid w:val="00B16B4C"/>
    <w:rsid w:val="00B16FB6"/>
    <w:rsid w:val="00B17022"/>
    <w:rsid w:val="00B17119"/>
    <w:rsid w:val="00B173AD"/>
    <w:rsid w:val="00B174BC"/>
    <w:rsid w:val="00B175B5"/>
    <w:rsid w:val="00B179ED"/>
    <w:rsid w:val="00B17CF0"/>
    <w:rsid w:val="00B17E30"/>
    <w:rsid w:val="00B20297"/>
    <w:rsid w:val="00B20C9B"/>
    <w:rsid w:val="00B20CDA"/>
    <w:rsid w:val="00B210BA"/>
    <w:rsid w:val="00B21262"/>
    <w:rsid w:val="00B2151D"/>
    <w:rsid w:val="00B21736"/>
    <w:rsid w:val="00B2187B"/>
    <w:rsid w:val="00B218B1"/>
    <w:rsid w:val="00B21A33"/>
    <w:rsid w:val="00B21B27"/>
    <w:rsid w:val="00B21CF2"/>
    <w:rsid w:val="00B220BB"/>
    <w:rsid w:val="00B22337"/>
    <w:rsid w:val="00B2236A"/>
    <w:rsid w:val="00B224AA"/>
    <w:rsid w:val="00B2251A"/>
    <w:rsid w:val="00B22586"/>
    <w:rsid w:val="00B226E3"/>
    <w:rsid w:val="00B22739"/>
    <w:rsid w:val="00B22998"/>
    <w:rsid w:val="00B229FE"/>
    <w:rsid w:val="00B22AD8"/>
    <w:rsid w:val="00B22CD1"/>
    <w:rsid w:val="00B22E6F"/>
    <w:rsid w:val="00B2302B"/>
    <w:rsid w:val="00B2313B"/>
    <w:rsid w:val="00B2327F"/>
    <w:rsid w:val="00B23394"/>
    <w:rsid w:val="00B2354D"/>
    <w:rsid w:val="00B23625"/>
    <w:rsid w:val="00B23765"/>
    <w:rsid w:val="00B23BFA"/>
    <w:rsid w:val="00B23DE7"/>
    <w:rsid w:val="00B24341"/>
    <w:rsid w:val="00B24363"/>
    <w:rsid w:val="00B24501"/>
    <w:rsid w:val="00B2453D"/>
    <w:rsid w:val="00B2456E"/>
    <w:rsid w:val="00B24979"/>
    <w:rsid w:val="00B249C0"/>
    <w:rsid w:val="00B25042"/>
    <w:rsid w:val="00B250A5"/>
    <w:rsid w:val="00B25102"/>
    <w:rsid w:val="00B2530C"/>
    <w:rsid w:val="00B2533D"/>
    <w:rsid w:val="00B25532"/>
    <w:rsid w:val="00B25651"/>
    <w:rsid w:val="00B258DA"/>
    <w:rsid w:val="00B25D3F"/>
    <w:rsid w:val="00B25E12"/>
    <w:rsid w:val="00B25FF9"/>
    <w:rsid w:val="00B260BF"/>
    <w:rsid w:val="00B26466"/>
    <w:rsid w:val="00B264E5"/>
    <w:rsid w:val="00B265D9"/>
    <w:rsid w:val="00B2688B"/>
    <w:rsid w:val="00B268A7"/>
    <w:rsid w:val="00B26937"/>
    <w:rsid w:val="00B26B02"/>
    <w:rsid w:val="00B26C78"/>
    <w:rsid w:val="00B26D75"/>
    <w:rsid w:val="00B26EF5"/>
    <w:rsid w:val="00B26F5D"/>
    <w:rsid w:val="00B271A5"/>
    <w:rsid w:val="00B2735B"/>
    <w:rsid w:val="00B27641"/>
    <w:rsid w:val="00B27718"/>
    <w:rsid w:val="00B2772C"/>
    <w:rsid w:val="00B277F9"/>
    <w:rsid w:val="00B278B0"/>
    <w:rsid w:val="00B27A72"/>
    <w:rsid w:val="00B27AEF"/>
    <w:rsid w:val="00B27B47"/>
    <w:rsid w:val="00B27B68"/>
    <w:rsid w:val="00B27DCA"/>
    <w:rsid w:val="00B27DFD"/>
    <w:rsid w:val="00B27F12"/>
    <w:rsid w:val="00B27FD9"/>
    <w:rsid w:val="00B3004D"/>
    <w:rsid w:val="00B30243"/>
    <w:rsid w:val="00B303C2"/>
    <w:rsid w:val="00B30421"/>
    <w:rsid w:val="00B30918"/>
    <w:rsid w:val="00B30BAC"/>
    <w:rsid w:val="00B30C89"/>
    <w:rsid w:val="00B30CF6"/>
    <w:rsid w:val="00B30DC8"/>
    <w:rsid w:val="00B30EE2"/>
    <w:rsid w:val="00B30FAC"/>
    <w:rsid w:val="00B3106A"/>
    <w:rsid w:val="00B310DF"/>
    <w:rsid w:val="00B3158B"/>
    <w:rsid w:val="00B315BB"/>
    <w:rsid w:val="00B3180D"/>
    <w:rsid w:val="00B3191C"/>
    <w:rsid w:val="00B31977"/>
    <w:rsid w:val="00B31E13"/>
    <w:rsid w:val="00B32244"/>
    <w:rsid w:val="00B3235A"/>
    <w:rsid w:val="00B323BF"/>
    <w:rsid w:val="00B3254C"/>
    <w:rsid w:val="00B3260C"/>
    <w:rsid w:val="00B32758"/>
    <w:rsid w:val="00B328FC"/>
    <w:rsid w:val="00B32F4B"/>
    <w:rsid w:val="00B33100"/>
    <w:rsid w:val="00B333FE"/>
    <w:rsid w:val="00B33715"/>
    <w:rsid w:val="00B3380B"/>
    <w:rsid w:val="00B3382B"/>
    <w:rsid w:val="00B33FBA"/>
    <w:rsid w:val="00B34082"/>
    <w:rsid w:val="00B340ED"/>
    <w:rsid w:val="00B342C3"/>
    <w:rsid w:val="00B3466C"/>
    <w:rsid w:val="00B34927"/>
    <w:rsid w:val="00B34B6B"/>
    <w:rsid w:val="00B34D43"/>
    <w:rsid w:val="00B34E68"/>
    <w:rsid w:val="00B35094"/>
    <w:rsid w:val="00B350F0"/>
    <w:rsid w:val="00B3523C"/>
    <w:rsid w:val="00B35352"/>
    <w:rsid w:val="00B353FF"/>
    <w:rsid w:val="00B354F2"/>
    <w:rsid w:val="00B354FF"/>
    <w:rsid w:val="00B35775"/>
    <w:rsid w:val="00B357AC"/>
    <w:rsid w:val="00B35992"/>
    <w:rsid w:val="00B35A25"/>
    <w:rsid w:val="00B35E4B"/>
    <w:rsid w:val="00B35FCC"/>
    <w:rsid w:val="00B36094"/>
    <w:rsid w:val="00B36168"/>
    <w:rsid w:val="00B36341"/>
    <w:rsid w:val="00B36518"/>
    <w:rsid w:val="00B368CF"/>
    <w:rsid w:val="00B36C66"/>
    <w:rsid w:val="00B36E75"/>
    <w:rsid w:val="00B36EAF"/>
    <w:rsid w:val="00B3704D"/>
    <w:rsid w:val="00B37883"/>
    <w:rsid w:val="00B378B6"/>
    <w:rsid w:val="00B378CC"/>
    <w:rsid w:val="00B37B51"/>
    <w:rsid w:val="00B37CF6"/>
    <w:rsid w:val="00B40020"/>
    <w:rsid w:val="00B409D2"/>
    <w:rsid w:val="00B40A23"/>
    <w:rsid w:val="00B40FB6"/>
    <w:rsid w:val="00B41615"/>
    <w:rsid w:val="00B41868"/>
    <w:rsid w:val="00B41965"/>
    <w:rsid w:val="00B41B88"/>
    <w:rsid w:val="00B41DEF"/>
    <w:rsid w:val="00B41FD8"/>
    <w:rsid w:val="00B420DF"/>
    <w:rsid w:val="00B4216F"/>
    <w:rsid w:val="00B4252B"/>
    <w:rsid w:val="00B4259A"/>
    <w:rsid w:val="00B428E2"/>
    <w:rsid w:val="00B429FD"/>
    <w:rsid w:val="00B42A2C"/>
    <w:rsid w:val="00B42A5C"/>
    <w:rsid w:val="00B42A98"/>
    <w:rsid w:val="00B42AC4"/>
    <w:rsid w:val="00B42C64"/>
    <w:rsid w:val="00B42C6C"/>
    <w:rsid w:val="00B430EB"/>
    <w:rsid w:val="00B43295"/>
    <w:rsid w:val="00B435D3"/>
    <w:rsid w:val="00B43CF2"/>
    <w:rsid w:val="00B43DA6"/>
    <w:rsid w:val="00B43FEE"/>
    <w:rsid w:val="00B44098"/>
    <w:rsid w:val="00B444B5"/>
    <w:rsid w:val="00B4485E"/>
    <w:rsid w:val="00B448EF"/>
    <w:rsid w:val="00B44DEA"/>
    <w:rsid w:val="00B44F92"/>
    <w:rsid w:val="00B455C5"/>
    <w:rsid w:val="00B4588F"/>
    <w:rsid w:val="00B45AB2"/>
    <w:rsid w:val="00B46249"/>
    <w:rsid w:val="00B46326"/>
    <w:rsid w:val="00B46394"/>
    <w:rsid w:val="00B4681B"/>
    <w:rsid w:val="00B4690B"/>
    <w:rsid w:val="00B46D0B"/>
    <w:rsid w:val="00B46F2D"/>
    <w:rsid w:val="00B470A5"/>
    <w:rsid w:val="00B471B2"/>
    <w:rsid w:val="00B472B3"/>
    <w:rsid w:val="00B47493"/>
    <w:rsid w:val="00B474C8"/>
    <w:rsid w:val="00B474DF"/>
    <w:rsid w:val="00B47915"/>
    <w:rsid w:val="00B47A75"/>
    <w:rsid w:val="00B47E2B"/>
    <w:rsid w:val="00B47F6E"/>
    <w:rsid w:val="00B47F9E"/>
    <w:rsid w:val="00B50016"/>
    <w:rsid w:val="00B501C5"/>
    <w:rsid w:val="00B504A0"/>
    <w:rsid w:val="00B50645"/>
    <w:rsid w:val="00B506F1"/>
    <w:rsid w:val="00B5070C"/>
    <w:rsid w:val="00B50AC2"/>
    <w:rsid w:val="00B50C3E"/>
    <w:rsid w:val="00B50E18"/>
    <w:rsid w:val="00B50E50"/>
    <w:rsid w:val="00B50EEC"/>
    <w:rsid w:val="00B50F3A"/>
    <w:rsid w:val="00B50F91"/>
    <w:rsid w:val="00B510C9"/>
    <w:rsid w:val="00B51138"/>
    <w:rsid w:val="00B51210"/>
    <w:rsid w:val="00B51295"/>
    <w:rsid w:val="00B513A9"/>
    <w:rsid w:val="00B51568"/>
    <w:rsid w:val="00B515D1"/>
    <w:rsid w:val="00B51610"/>
    <w:rsid w:val="00B5167B"/>
    <w:rsid w:val="00B516A0"/>
    <w:rsid w:val="00B5170E"/>
    <w:rsid w:val="00B517AC"/>
    <w:rsid w:val="00B51850"/>
    <w:rsid w:val="00B51A3B"/>
    <w:rsid w:val="00B51A9F"/>
    <w:rsid w:val="00B51E40"/>
    <w:rsid w:val="00B520E3"/>
    <w:rsid w:val="00B52336"/>
    <w:rsid w:val="00B52730"/>
    <w:rsid w:val="00B52992"/>
    <w:rsid w:val="00B52BA9"/>
    <w:rsid w:val="00B52D86"/>
    <w:rsid w:val="00B53284"/>
    <w:rsid w:val="00B5372F"/>
    <w:rsid w:val="00B5388C"/>
    <w:rsid w:val="00B5395B"/>
    <w:rsid w:val="00B545D2"/>
    <w:rsid w:val="00B54708"/>
    <w:rsid w:val="00B549E1"/>
    <w:rsid w:val="00B54A78"/>
    <w:rsid w:val="00B54D5D"/>
    <w:rsid w:val="00B54DF6"/>
    <w:rsid w:val="00B550BD"/>
    <w:rsid w:val="00B551C8"/>
    <w:rsid w:val="00B55212"/>
    <w:rsid w:val="00B557EF"/>
    <w:rsid w:val="00B55961"/>
    <w:rsid w:val="00B55B4E"/>
    <w:rsid w:val="00B55CED"/>
    <w:rsid w:val="00B55D57"/>
    <w:rsid w:val="00B55E9D"/>
    <w:rsid w:val="00B55F7A"/>
    <w:rsid w:val="00B55F80"/>
    <w:rsid w:val="00B56480"/>
    <w:rsid w:val="00B56592"/>
    <w:rsid w:val="00B565D6"/>
    <w:rsid w:val="00B56868"/>
    <w:rsid w:val="00B576A4"/>
    <w:rsid w:val="00B57998"/>
    <w:rsid w:val="00B57B6A"/>
    <w:rsid w:val="00B57CD0"/>
    <w:rsid w:val="00B57DA9"/>
    <w:rsid w:val="00B5E5A0"/>
    <w:rsid w:val="00B60177"/>
    <w:rsid w:val="00B60639"/>
    <w:rsid w:val="00B60AA4"/>
    <w:rsid w:val="00B60D5D"/>
    <w:rsid w:val="00B61079"/>
    <w:rsid w:val="00B61088"/>
    <w:rsid w:val="00B61168"/>
    <w:rsid w:val="00B6123C"/>
    <w:rsid w:val="00B617C0"/>
    <w:rsid w:val="00B6185A"/>
    <w:rsid w:val="00B6188E"/>
    <w:rsid w:val="00B61AE8"/>
    <w:rsid w:val="00B61DA3"/>
    <w:rsid w:val="00B61E52"/>
    <w:rsid w:val="00B61FBD"/>
    <w:rsid w:val="00B62066"/>
    <w:rsid w:val="00B6209F"/>
    <w:rsid w:val="00B6235A"/>
    <w:rsid w:val="00B62534"/>
    <w:rsid w:val="00B62610"/>
    <w:rsid w:val="00B62EF1"/>
    <w:rsid w:val="00B62FB3"/>
    <w:rsid w:val="00B6308E"/>
    <w:rsid w:val="00B632F7"/>
    <w:rsid w:val="00B636A4"/>
    <w:rsid w:val="00B637AB"/>
    <w:rsid w:val="00B6395F"/>
    <w:rsid w:val="00B63D58"/>
    <w:rsid w:val="00B63D9E"/>
    <w:rsid w:val="00B63EAA"/>
    <w:rsid w:val="00B640EC"/>
    <w:rsid w:val="00B6414E"/>
    <w:rsid w:val="00B64999"/>
    <w:rsid w:val="00B649DD"/>
    <w:rsid w:val="00B64AD1"/>
    <w:rsid w:val="00B64B96"/>
    <w:rsid w:val="00B64E8A"/>
    <w:rsid w:val="00B6525E"/>
    <w:rsid w:val="00B65377"/>
    <w:rsid w:val="00B65532"/>
    <w:rsid w:val="00B65588"/>
    <w:rsid w:val="00B65707"/>
    <w:rsid w:val="00B6578D"/>
    <w:rsid w:val="00B658D1"/>
    <w:rsid w:val="00B65905"/>
    <w:rsid w:val="00B66064"/>
    <w:rsid w:val="00B66080"/>
    <w:rsid w:val="00B6671B"/>
    <w:rsid w:val="00B667BF"/>
    <w:rsid w:val="00B6698E"/>
    <w:rsid w:val="00B66995"/>
    <w:rsid w:val="00B669B1"/>
    <w:rsid w:val="00B66F99"/>
    <w:rsid w:val="00B67176"/>
    <w:rsid w:val="00B671A1"/>
    <w:rsid w:val="00B672E7"/>
    <w:rsid w:val="00B675A6"/>
    <w:rsid w:val="00B6794D"/>
    <w:rsid w:val="00B67B55"/>
    <w:rsid w:val="00B67C2D"/>
    <w:rsid w:val="00B67C6C"/>
    <w:rsid w:val="00B67F40"/>
    <w:rsid w:val="00B67FD7"/>
    <w:rsid w:val="00B70000"/>
    <w:rsid w:val="00B70AA0"/>
    <w:rsid w:val="00B70C61"/>
    <w:rsid w:val="00B70D51"/>
    <w:rsid w:val="00B70DDC"/>
    <w:rsid w:val="00B70E5A"/>
    <w:rsid w:val="00B70E85"/>
    <w:rsid w:val="00B7154C"/>
    <w:rsid w:val="00B7197A"/>
    <w:rsid w:val="00B71A7A"/>
    <w:rsid w:val="00B71B72"/>
    <w:rsid w:val="00B71C29"/>
    <w:rsid w:val="00B71CC6"/>
    <w:rsid w:val="00B71E95"/>
    <w:rsid w:val="00B71EFE"/>
    <w:rsid w:val="00B72158"/>
    <w:rsid w:val="00B7220D"/>
    <w:rsid w:val="00B7225D"/>
    <w:rsid w:val="00B72315"/>
    <w:rsid w:val="00B72631"/>
    <w:rsid w:val="00B726E9"/>
    <w:rsid w:val="00B727E7"/>
    <w:rsid w:val="00B7299F"/>
    <w:rsid w:val="00B72DB4"/>
    <w:rsid w:val="00B72E05"/>
    <w:rsid w:val="00B72F1C"/>
    <w:rsid w:val="00B72F36"/>
    <w:rsid w:val="00B730CE"/>
    <w:rsid w:val="00B7317C"/>
    <w:rsid w:val="00B7353C"/>
    <w:rsid w:val="00B73712"/>
    <w:rsid w:val="00B73724"/>
    <w:rsid w:val="00B73BE8"/>
    <w:rsid w:val="00B73FA3"/>
    <w:rsid w:val="00B74308"/>
    <w:rsid w:val="00B7454B"/>
    <w:rsid w:val="00B74694"/>
    <w:rsid w:val="00B747E3"/>
    <w:rsid w:val="00B747EB"/>
    <w:rsid w:val="00B74814"/>
    <w:rsid w:val="00B749B6"/>
    <w:rsid w:val="00B7509A"/>
    <w:rsid w:val="00B75489"/>
    <w:rsid w:val="00B7583A"/>
    <w:rsid w:val="00B7589A"/>
    <w:rsid w:val="00B75933"/>
    <w:rsid w:val="00B75D00"/>
    <w:rsid w:val="00B75E05"/>
    <w:rsid w:val="00B7613E"/>
    <w:rsid w:val="00B76218"/>
    <w:rsid w:val="00B7631A"/>
    <w:rsid w:val="00B763E1"/>
    <w:rsid w:val="00B76447"/>
    <w:rsid w:val="00B765E3"/>
    <w:rsid w:val="00B766C1"/>
    <w:rsid w:val="00B767EC"/>
    <w:rsid w:val="00B76814"/>
    <w:rsid w:val="00B7692C"/>
    <w:rsid w:val="00B76966"/>
    <w:rsid w:val="00B76A87"/>
    <w:rsid w:val="00B76B28"/>
    <w:rsid w:val="00B76B96"/>
    <w:rsid w:val="00B76D99"/>
    <w:rsid w:val="00B76DDB"/>
    <w:rsid w:val="00B76EFB"/>
    <w:rsid w:val="00B76EFD"/>
    <w:rsid w:val="00B77129"/>
    <w:rsid w:val="00B773F3"/>
    <w:rsid w:val="00B7745E"/>
    <w:rsid w:val="00B775E2"/>
    <w:rsid w:val="00B77A71"/>
    <w:rsid w:val="00B77B1B"/>
    <w:rsid w:val="00B77BAC"/>
    <w:rsid w:val="00B77C37"/>
    <w:rsid w:val="00B77E94"/>
    <w:rsid w:val="00B77F51"/>
    <w:rsid w:val="00B80053"/>
    <w:rsid w:val="00B806D4"/>
    <w:rsid w:val="00B807BF"/>
    <w:rsid w:val="00B809B1"/>
    <w:rsid w:val="00B80AB3"/>
    <w:rsid w:val="00B80F0F"/>
    <w:rsid w:val="00B81696"/>
    <w:rsid w:val="00B818F2"/>
    <w:rsid w:val="00B81936"/>
    <w:rsid w:val="00B81A50"/>
    <w:rsid w:val="00B81DA6"/>
    <w:rsid w:val="00B81FFF"/>
    <w:rsid w:val="00B82058"/>
    <w:rsid w:val="00B82543"/>
    <w:rsid w:val="00B82585"/>
    <w:rsid w:val="00B82998"/>
    <w:rsid w:val="00B82B31"/>
    <w:rsid w:val="00B82D64"/>
    <w:rsid w:val="00B83274"/>
    <w:rsid w:val="00B834B0"/>
    <w:rsid w:val="00B83558"/>
    <w:rsid w:val="00B837F6"/>
    <w:rsid w:val="00B83A14"/>
    <w:rsid w:val="00B83B33"/>
    <w:rsid w:val="00B83B80"/>
    <w:rsid w:val="00B83DAE"/>
    <w:rsid w:val="00B83EFF"/>
    <w:rsid w:val="00B83F76"/>
    <w:rsid w:val="00B8403F"/>
    <w:rsid w:val="00B84514"/>
    <w:rsid w:val="00B84637"/>
    <w:rsid w:val="00B8475B"/>
    <w:rsid w:val="00B84C23"/>
    <w:rsid w:val="00B84CB6"/>
    <w:rsid w:val="00B84CCF"/>
    <w:rsid w:val="00B84DDD"/>
    <w:rsid w:val="00B84FB4"/>
    <w:rsid w:val="00B8518C"/>
    <w:rsid w:val="00B85841"/>
    <w:rsid w:val="00B85A24"/>
    <w:rsid w:val="00B85BD8"/>
    <w:rsid w:val="00B85D35"/>
    <w:rsid w:val="00B8611C"/>
    <w:rsid w:val="00B86210"/>
    <w:rsid w:val="00B862F7"/>
    <w:rsid w:val="00B867D5"/>
    <w:rsid w:val="00B869FF"/>
    <w:rsid w:val="00B86D90"/>
    <w:rsid w:val="00B872DC"/>
    <w:rsid w:val="00B8756E"/>
    <w:rsid w:val="00B87C18"/>
    <w:rsid w:val="00B87DF9"/>
    <w:rsid w:val="00B87F89"/>
    <w:rsid w:val="00B900DF"/>
    <w:rsid w:val="00B902B4"/>
    <w:rsid w:val="00B90324"/>
    <w:rsid w:val="00B907A8"/>
    <w:rsid w:val="00B907D4"/>
    <w:rsid w:val="00B908CA"/>
    <w:rsid w:val="00B90A1C"/>
    <w:rsid w:val="00B90FF5"/>
    <w:rsid w:val="00B91030"/>
    <w:rsid w:val="00B910A6"/>
    <w:rsid w:val="00B91293"/>
    <w:rsid w:val="00B913F9"/>
    <w:rsid w:val="00B918A8"/>
    <w:rsid w:val="00B91951"/>
    <w:rsid w:val="00B91A58"/>
    <w:rsid w:val="00B91C71"/>
    <w:rsid w:val="00B91D49"/>
    <w:rsid w:val="00B91E73"/>
    <w:rsid w:val="00B91EAD"/>
    <w:rsid w:val="00B91ED6"/>
    <w:rsid w:val="00B920B9"/>
    <w:rsid w:val="00B925A5"/>
    <w:rsid w:val="00B925C6"/>
    <w:rsid w:val="00B927EB"/>
    <w:rsid w:val="00B92A69"/>
    <w:rsid w:val="00B92B7D"/>
    <w:rsid w:val="00B92F4F"/>
    <w:rsid w:val="00B92FAF"/>
    <w:rsid w:val="00B930B2"/>
    <w:rsid w:val="00B930D2"/>
    <w:rsid w:val="00B93238"/>
    <w:rsid w:val="00B932F3"/>
    <w:rsid w:val="00B93380"/>
    <w:rsid w:val="00B934CB"/>
    <w:rsid w:val="00B93519"/>
    <w:rsid w:val="00B935E9"/>
    <w:rsid w:val="00B93635"/>
    <w:rsid w:val="00B936AF"/>
    <w:rsid w:val="00B93775"/>
    <w:rsid w:val="00B937CD"/>
    <w:rsid w:val="00B937DC"/>
    <w:rsid w:val="00B93844"/>
    <w:rsid w:val="00B938BC"/>
    <w:rsid w:val="00B93997"/>
    <w:rsid w:val="00B93AE8"/>
    <w:rsid w:val="00B93BF2"/>
    <w:rsid w:val="00B93C98"/>
    <w:rsid w:val="00B93CBB"/>
    <w:rsid w:val="00B93D10"/>
    <w:rsid w:val="00B93D27"/>
    <w:rsid w:val="00B94297"/>
    <w:rsid w:val="00B946A8"/>
    <w:rsid w:val="00B947D3"/>
    <w:rsid w:val="00B95051"/>
    <w:rsid w:val="00B9505D"/>
    <w:rsid w:val="00B9542B"/>
    <w:rsid w:val="00B954AC"/>
    <w:rsid w:val="00B9574A"/>
    <w:rsid w:val="00B95811"/>
    <w:rsid w:val="00B95963"/>
    <w:rsid w:val="00B95CC0"/>
    <w:rsid w:val="00B96541"/>
    <w:rsid w:val="00B967F0"/>
    <w:rsid w:val="00B968B5"/>
    <w:rsid w:val="00B969ED"/>
    <w:rsid w:val="00B96AF0"/>
    <w:rsid w:val="00B96C6B"/>
    <w:rsid w:val="00B96EDB"/>
    <w:rsid w:val="00B96F70"/>
    <w:rsid w:val="00B9714D"/>
    <w:rsid w:val="00B9742E"/>
    <w:rsid w:val="00B97459"/>
    <w:rsid w:val="00B97501"/>
    <w:rsid w:val="00B97664"/>
    <w:rsid w:val="00B976BB"/>
    <w:rsid w:val="00B97730"/>
    <w:rsid w:val="00B97DB9"/>
    <w:rsid w:val="00B97EF5"/>
    <w:rsid w:val="00BA01A7"/>
    <w:rsid w:val="00BA0224"/>
    <w:rsid w:val="00BA05BD"/>
    <w:rsid w:val="00BA05C8"/>
    <w:rsid w:val="00BA05E8"/>
    <w:rsid w:val="00BA072E"/>
    <w:rsid w:val="00BA0861"/>
    <w:rsid w:val="00BA09AA"/>
    <w:rsid w:val="00BA0A0A"/>
    <w:rsid w:val="00BA0A68"/>
    <w:rsid w:val="00BA0AD5"/>
    <w:rsid w:val="00BA0BD8"/>
    <w:rsid w:val="00BA0C41"/>
    <w:rsid w:val="00BA0CA0"/>
    <w:rsid w:val="00BA0DFB"/>
    <w:rsid w:val="00BA0E28"/>
    <w:rsid w:val="00BA0E3C"/>
    <w:rsid w:val="00BA1783"/>
    <w:rsid w:val="00BA1881"/>
    <w:rsid w:val="00BA19F5"/>
    <w:rsid w:val="00BA1C56"/>
    <w:rsid w:val="00BA1C82"/>
    <w:rsid w:val="00BA1D28"/>
    <w:rsid w:val="00BA1F34"/>
    <w:rsid w:val="00BA1F74"/>
    <w:rsid w:val="00BA1FE7"/>
    <w:rsid w:val="00BA207C"/>
    <w:rsid w:val="00BA2082"/>
    <w:rsid w:val="00BA253C"/>
    <w:rsid w:val="00BA2B1D"/>
    <w:rsid w:val="00BA2C2A"/>
    <w:rsid w:val="00BA2FA5"/>
    <w:rsid w:val="00BA32C6"/>
    <w:rsid w:val="00BA32F2"/>
    <w:rsid w:val="00BA33B9"/>
    <w:rsid w:val="00BA33C7"/>
    <w:rsid w:val="00BA37BF"/>
    <w:rsid w:val="00BA3D14"/>
    <w:rsid w:val="00BA3E41"/>
    <w:rsid w:val="00BA3F96"/>
    <w:rsid w:val="00BA435A"/>
    <w:rsid w:val="00BA471C"/>
    <w:rsid w:val="00BA47D0"/>
    <w:rsid w:val="00BA4881"/>
    <w:rsid w:val="00BA4BE9"/>
    <w:rsid w:val="00BA4CFD"/>
    <w:rsid w:val="00BA4F03"/>
    <w:rsid w:val="00BA54BA"/>
    <w:rsid w:val="00BA5603"/>
    <w:rsid w:val="00BA56D9"/>
    <w:rsid w:val="00BA590C"/>
    <w:rsid w:val="00BA5C16"/>
    <w:rsid w:val="00BA5C9B"/>
    <w:rsid w:val="00BA5E42"/>
    <w:rsid w:val="00BA6028"/>
    <w:rsid w:val="00BA6194"/>
    <w:rsid w:val="00BA627A"/>
    <w:rsid w:val="00BA6593"/>
    <w:rsid w:val="00BA6AD7"/>
    <w:rsid w:val="00BA6DD9"/>
    <w:rsid w:val="00BA71B2"/>
    <w:rsid w:val="00BA7290"/>
    <w:rsid w:val="00BA7336"/>
    <w:rsid w:val="00BA73D7"/>
    <w:rsid w:val="00BA74E4"/>
    <w:rsid w:val="00BA76F8"/>
    <w:rsid w:val="00BA7C69"/>
    <w:rsid w:val="00BA7DC3"/>
    <w:rsid w:val="00BA7E2A"/>
    <w:rsid w:val="00BA7EEE"/>
    <w:rsid w:val="00BB05AD"/>
    <w:rsid w:val="00BB0634"/>
    <w:rsid w:val="00BB08E0"/>
    <w:rsid w:val="00BB0A89"/>
    <w:rsid w:val="00BB0B55"/>
    <w:rsid w:val="00BB0C4E"/>
    <w:rsid w:val="00BB0C6C"/>
    <w:rsid w:val="00BB0ED6"/>
    <w:rsid w:val="00BB0FA2"/>
    <w:rsid w:val="00BB1446"/>
    <w:rsid w:val="00BB14A2"/>
    <w:rsid w:val="00BB1562"/>
    <w:rsid w:val="00BB171C"/>
    <w:rsid w:val="00BB18D2"/>
    <w:rsid w:val="00BB18E3"/>
    <w:rsid w:val="00BB1A0A"/>
    <w:rsid w:val="00BB1A11"/>
    <w:rsid w:val="00BB1FF0"/>
    <w:rsid w:val="00BB2008"/>
    <w:rsid w:val="00BB2433"/>
    <w:rsid w:val="00BB2637"/>
    <w:rsid w:val="00BB2920"/>
    <w:rsid w:val="00BB29DF"/>
    <w:rsid w:val="00BB2C6B"/>
    <w:rsid w:val="00BB2CFC"/>
    <w:rsid w:val="00BB2F23"/>
    <w:rsid w:val="00BB342E"/>
    <w:rsid w:val="00BB34DC"/>
    <w:rsid w:val="00BB3513"/>
    <w:rsid w:val="00BB35D0"/>
    <w:rsid w:val="00BB3AC4"/>
    <w:rsid w:val="00BB3ECD"/>
    <w:rsid w:val="00BB400A"/>
    <w:rsid w:val="00BB4074"/>
    <w:rsid w:val="00BB4099"/>
    <w:rsid w:val="00BB4127"/>
    <w:rsid w:val="00BB43E5"/>
    <w:rsid w:val="00BB476A"/>
    <w:rsid w:val="00BB4883"/>
    <w:rsid w:val="00BB48A3"/>
    <w:rsid w:val="00BB4999"/>
    <w:rsid w:val="00BB4B9A"/>
    <w:rsid w:val="00BB4BCD"/>
    <w:rsid w:val="00BB4D84"/>
    <w:rsid w:val="00BB4F10"/>
    <w:rsid w:val="00BB50AE"/>
    <w:rsid w:val="00BB5344"/>
    <w:rsid w:val="00BB53A5"/>
    <w:rsid w:val="00BB565C"/>
    <w:rsid w:val="00BB56C7"/>
    <w:rsid w:val="00BB57E3"/>
    <w:rsid w:val="00BB5886"/>
    <w:rsid w:val="00BB5B62"/>
    <w:rsid w:val="00BB5B7B"/>
    <w:rsid w:val="00BB5BF0"/>
    <w:rsid w:val="00BB5DEA"/>
    <w:rsid w:val="00BB6092"/>
    <w:rsid w:val="00BB61F7"/>
    <w:rsid w:val="00BB6423"/>
    <w:rsid w:val="00BB6502"/>
    <w:rsid w:val="00BB67B5"/>
    <w:rsid w:val="00BB6B0B"/>
    <w:rsid w:val="00BB6BBB"/>
    <w:rsid w:val="00BB6BCD"/>
    <w:rsid w:val="00BB6D92"/>
    <w:rsid w:val="00BB70F9"/>
    <w:rsid w:val="00BB712A"/>
    <w:rsid w:val="00BB71E2"/>
    <w:rsid w:val="00BB7248"/>
    <w:rsid w:val="00BB7389"/>
    <w:rsid w:val="00BB763F"/>
    <w:rsid w:val="00BB77AF"/>
    <w:rsid w:val="00BB79EF"/>
    <w:rsid w:val="00BB7A94"/>
    <w:rsid w:val="00BB7B1A"/>
    <w:rsid w:val="00BB7C89"/>
    <w:rsid w:val="00BB7C9B"/>
    <w:rsid w:val="00BC07B9"/>
    <w:rsid w:val="00BC0AF5"/>
    <w:rsid w:val="00BC0D88"/>
    <w:rsid w:val="00BC1225"/>
    <w:rsid w:val="00BC1289"/>
    <w:rsid w:val="00BC137D"/>
    <w:rsid w:val="00BC13C3"/>
    <w:rsid w:val="00BC1527"/>
    <w:rsid w:val="00BC16B1"/>
    <w:rsid w:val="00BC1D2A"/>
    <w:rsid w:val="00BC2306"/>
    <w:rsid w:val="00BC2462"/>
    <w:rsid w:val="00BC2A18"/>
    <w:rsid w:val="00BC2F31"/>
    <w:rsid w:val="00BC37A7"/>
    <w:rsid w:val="00BC3F32"/>
    <w:rsid w:val="00BC3F77"/>
    <w:rsid w:val="00BC4036"/>
    <w:rsid w:val="00BC41FD"/>
    <w:rsid w:val="00BC429D"/>
    <w:rsid w:val="00BC439E"/>
    <w:rsid w:val="00BC4809"/>
    <w:rsid w:val="00BC4976"/>
    <w:rsid w:val="00BC4F0A"/>
    <w:rsid w:val="00BC509F"/>
    <w:rsid w:val="00BC512F"/>
    <w:rsid w:val="00BC5188"/>
    <w:rsid w:val="00BC51D2"/>
    <w:rsid w:val="00BC51E3"/>
    <w:rsid w:val="00BC52D8"/>
    <w:rsid w:val="00BC5436"/>
    <w:rsid w:val="00BC5791"/>
    <w:rsid w:val="00BC57A9"/>
    <w:rsid w:val="00BC5811"/>
    <w:rsid w:val="00BC5DE8"/>
    <w:rsid w:val="00BC61B9"/>
    <w:rsid w:val="00BC630E"/>
    <w:rsid w:val="00BC632C"/>
    <w:rsid w:val="00BC6334"/>
    <w:rsid w:val="00BC6478"/>
    <w:rsid w:val="00BC64BE"/>
    <w:rsid w:val="00BC64D3"/>
    <w:rsid w:val="00BC6E69"/>
    <w:rsid w:val="00BC6FD3"/>
    <w:rsid w:val="00BC6FE8"/>
    <w:rsid w:val="00BC70C2"/>
    <w:rsid w:val="00BC7155"/>
    <w:rsid w:val="00BC725B"/>
    <w:rsid w:val="00BC7550"/>
    <w:rsid w:val="00BC7A85"/>
    <w:rsid w:val="00BC7B28"/>
    <w:rsid w:val="00BD00F4"/>
    <w:rsid w:val="00BD025A"/>
    <w:rsid w:val="00BD02EA"/>
    <w:rsid w:val="00BD03D9"/>
    <w:rsid w:val="00BD07E2"/>
    <w:rsid w:val="00BD09DE"/>
    <w:rsid w:val="00BD0B3F"/>
    <w:rsid w:val="00BD0B72"/>
    <w:rsid w:val="00BD0BD4"/>
    <w:rsid w:val="00BD0CD1"/>
    <w:rsid w:val="00BD0DF9"/>
    <w:rsid w:val="00BD11D2"/>
    <w:rsid w:val="00BD1393"/>
    <w:rsid w:val="00BD1509"/>
    <w:rsid w:val="00BD1797"/>
    <w:rsid w:val="00BD17B0"/>
    <w:rsid w:val="00BD1831"/>
    <w:rsid w:val="00BD187E"/>
    <w:rsid w:val="00BD1A55"/>
    <w:rsid w:val="00BD2298"/>
    <w:rsid w:val="00BD242F"/>
    <w:rsid w:val="00BD2668"/>
    <w:rsid w:val="00BD2710"/>
    <w:rsid w:val="00BD28A6"/>
    <w:rsid w:val="00BD299F"/>
    <w:rsid w:val="00BD2A54"/>
    <w:rsid w:val="00BD37C5"/>
    <w:rsid w:val="00BD38B7"/>
    <w:rsid w:val="00BD3924"/>
    <w:rsid w:val="00BD3A46"/>
    <w:rsid w:val="00BD3B05"/>
    <w:rsid w:val="00BD3B86"/>
    <w:rsid w:val="00BD3D84"/>
    <w:rsid w:val="00BD4177"/>
    <w:rsid w:val="00BD42EF"/>
    <w:rsid w:val="00BD4393"/>
    <w:rsid w:val="00BD450F"/>
    <w:rsid w:val="00BD4512"/>
    <w:rsid w:val="00BD457D"/>
    <w:rsid w:val="00BD45E2"/>
    <w:rsid w:val="00BD465D"/>
    <w:rsid w:val="00BD4D36"/>
    <w:rsid w:val="00BD505D"/>
    <w:rsid w:val="00BD51DC"/>
    <w:rsid w:val="00BD523B"/>
    <w:rsid w:val="00BD52AA"/>
    <w:rsid w:val="00BD54E6"/>
    <w:rsid w:val="00BD5629"/>
    <w:rsid w:val="00BD59C7"/>
    <w:rsid w:val="00BD5A6C"/>
    <w:rsid w:val="00BD5CBF"/>
    <w:rsid w:val="00BD5FE0"/>
    <w:rsid w:val="00BD6E75"/>
    <w:rsid w:val="00BD7158"/>
    <w:rsid w:val="00BD767C"/>
    <w:rsid w:val="00BD7804"/>
    <w:rsid w:val="00BD7D35"/>
    <w:rsid w:val="00BE0449"/>
    <w:rsid w:val="00BE0642"/>
    <w:rsid w:val="00BE06BC"/>
    <w:rsid w:val="00BE0852"/>
    <w:rsid w:val="00BE0955"/>
    <w:rsid w:val="00BE0AF0"/>
    <w:rsid w:val="00BE0E95"/>
    <w:rsid w:val="00BE1053"/>
    <w:rsid w:val="00BE1061"/>
    <w:rsid w:val="00BE1150"/>
    <w:rsid w:val="00BE1321"/>
    <w:rsid w:val="00BE15FE"/>
    <w:rsid w:val="00BE162F"/>
    <w:rsid w:val="00BE1733"/>
    <w:rsid w:val="00BE17AA"/>
    <w:rsid w:val="00BE1800"/>
    <w:rsid w:val="00BE18A7"/>
    <w:rsid w:val="00BE1A7D"/>
    <w:rsid w:val="00BE1A86"/>
    <w:rsid w:val="00BE220F"/>
    <w:rsid w:val="00BE23F0"/>
    <w:rsid w:val="00BE23FA"/>
    <w:rsid w:val="00BE2481"/>
    <w:rsid w:val="00BE268B"/>
    <w:rsid w:val="00BE2697"/>
    <w:rsid w:val="00BE2745"/>
    <w:rsid w:val="00BE2893"/>
    <w:rsid w:val="00BE28DB"/>
    <w:rsid w:val="00BE2AFC"/>
    <w:rsid w:val="00BE2DDA"/>
    <w:rsid w:val="00BE2EB4"/>
    <w:rsid w:val="00BE2F5A"/>
    <w:rsid w:val="00BE301E"/>
    <w:rsid w:val="00BE3387"/>
    <w:rsid w:val="00BE34FC"/>
    <w:rsid w:val="00BE3663"/>
    <w:rsid w:val="00BE36A3"/>
    <w:rsid w:val="00BE3792"/>
    <w:rsid w:val="00BE37D3"/>
    <w:rsid w:val="00BE3965"/>
    <w:rsid w:val="00BE3EEE"/>
    <w:rsid w:val="00BE3F21"/>
    <w:rsid w:val="00BE3F25"/>
    <w:rsid w:val="00BE4087"/>
    <w:rsid w:val="00BE41EC"/>
    <w:rsid w:val="00BE522A"/>
    <w:rsid w:val="00BE53FF"/>
    <w:rsid w:val="00BE56B9"/>
    <w:rsid w:val="00BE57B5"/>
    <w:rsid w:val="00BE59AE"/>
    <w:rsid w:val="00BE5E22"/>
    <w:rsid w:val="00BE5F0A"/>
    <w:rsid w:val="00BE5FD5"/>
    <w:rsid w:val="00BE609C"/>
    <w:rsid w:val="00BE60FC"/>
    <w:rsid w:val="00BE6536"/>
    <w:rsid w:val="00BE6741"/>
    <w:rsid w:val="00BE67E6"/>
    <w:rsid w:val="00BE6EEB"/>
    <w:rsid w:val="00BE6F34"/>
    <w:rsid w:val="00BE6FE3"/>
    <w:rsid w:val="00BE76E9"/>
    <w:rsid w:val="00BE7A7C"/>
    <w:rsid w:val="00BE7CB5"/>
    <w:rsid w:val="00BE7D9A"/>
    <w:rsid w:val="00BF00E3"/>
    <w:rsid w:val="00BF08CE"/>
    <w:rsid w:val="00BF0A44"/>
    <w:rsid w:val="00BF0CD1"/>
    <w:rsid w:val="00BF0CEC"/>
    <w:rsid w:val="00BF0D88"/>
    <w:rsid w:val="00BF0EC5"/>
    <w:rsid w:val="00BF1000"/>
    <w:rsid w:val="00BF1091"/>
    <w:rsid w:val="00BF10E2"/>
    <w:rsid w:val="00BF12EF"/>
    <w:rsid w:val="00BF131F"/>
    <w:rsid w:val="00BF1A44"/>
    <w:rsid w:val="00BF1A8F"/>
    <w:rsid w:val="00BF1BFF"/>
    <w:rsid w:val="00BF1EDF"/>
    <w:rsid w:val="00BF2A31"/>
    <w:rsid w:val="00BF2A3F"/>
    <w:rsid w:val="00BF2CA3"/>
    <w:rsid w:val="00BF2ED1"/>
    <w:rsid w:val="00BF2F6E"/>
    <w:rsid w:val="00BF2F7A"/>
    <w:rsid w:val="00BF3129"/>
    <w:rsid w:val="00BF31F0"/>
    <w:rsid w:val="00BF34F0"/>
    <w:rsid w:val="00BF3B36"/>
    <w:rsid w:val="00BF3B61"/>
    <w:rsid w:val="00BF3DF2"/>
    <w:rsid w:val="00BF3F61"/>
    <w:rsid w:val="00BF404B"/>
    <w:rsid w:val="00BF4181"/>
    <w:rsid w:val="00BF44BE"/>
    <w:rsid w:val="00BF4CD7"/>
    <w:rsid w:val="00BF4D3D"/>
    <w:rsid w:val="00BF4EB1"/>
    <w:rsid w:val="00BF5176"/>
    <w:rsid w:val="00BF52F5"/>
    <w:rsid w:val="00BF54BD"/>
    <w:rsid w:val="00BF569F"/>
    <w:rsid w:val="00BF58DD"/>
    <w:rsid w:val="00BF5A27"/>
    <w:rsid w:val="00BF5B8C"/>
    <w:rsid w:val="00BF5D76"/>
    <w:rsid w:val="00BF5DE6"/>
    <w:rsid w:val="00BF606E"/>
    <w:rsid w:val="00BF62C3"/>
    <w:rsid w:val="00BF6619"/>
    <w:rsid w:val="00BF66B7"/>
    <w:rsid w:val="00BF6865"/>
    <w:rsid w:val="00BF6881"/>
    <w:rsid w:val="00BF69D0"/>
    <w:rsid w:val="00BF6A68"/>
    <w:rsid w:val="00BF6ADD"/>
    <w:rsid w:val="00BF6B52"/>
    <w:rsid w:val="00BF6C08"/>
    <w:rsid w:val="00BF6D75"/>
    <w:rsid w:val="00BF7152"/>
    <w:rsid w:val="00BF73F0"/>
    <w:rsid w:val="00BF75B1"/>
    <w:rsid w:val="00BF75C9"/>
    <w:rsid w:val="00BF75D4"/>
    <w:rsid w:val="00BF7645"/>
    <w:rsid w:val="00BF77D1"/>
    <w:rsid w:val="00BF7BD3"/>
    <w:rsid w:val="00BF7BF6"/>
    <w:rsid w:val="00BF7D6C"/>
    <w:rsid w:val="00BF7F39"/>
    <w:rsid w:val="00BF7F3D"/>
    <w:rsid w:val="00C00352"/>
    <w:rsid w:val="00C00486"/>
    <w:rsid w:val="00C006F7"/>
    <w:rsid w:val="00C00776"/>
    <w:rsid w:val="00C007CE"/>
    <w:rsid w:val="00C008F1"/>
    <w:rsid w:val="00C00911"/>
    <w:rsid w:val="00C00940"/>
    <w:rsid w:val="00C0095B"/>
    <w:rsid w:val="00C00A22"/>
    <w:rsid w:val="00C00A59"/>
    <w:rsid w:val="00C00F18"/>
    <w:rsid w:val="00C010E9"/>
    <w:rsid w:val="00C012CF"/>
    <w:rsid w:val="00C0145F"/>
    <w:rsid w:val="00C019B0"/>
    <w:rsid w:val="00C01BB6"/>
    <w:rsid w:val="00C01CA2"/>
    <w:rsid w:val="00C01D17"/>
    <w:rsid w:val="00C01D39"/>
    <w:rsid w:val="00C01DE4"/>
    <w:rsid w:val="00C0200C"/>
    <w:rsid w:val="00C020A8"/>
    <w:rsid w:val="00C020C2"/>
    <w:rsid w:val="00C020F3"/>
    <w:rsid w:val="00C026AA"/>
    <w:rsid w:val="00C02A77"/>
    <w:rsid w:val="00C0301A"/>
    <w:rsid w:val="00C03115"/>
    <w:rsid w:val="00C034A4"/>
    <w:rsid w:val="00C03585"/>
    <w:rsid w:val="00C03789"/>
    <w:rsid w:val="00C037B5"/>
    <w:rsid w:val="00C038F4"/>
    <w:rsid w:val="00C03B7A"/>
    <w:rsid w:val="00C03B88"/>
    <w:rsid w:val="00C03BA4"/>
    <w:rsid w:val="00C03D7F"/>
    <w:rsid w:val="00C03DD0"/>
    <w:rsid w:val="00C04426"/>
    <w:rsid w:val="00C04445"/>
    <w:rsid w:val="00C045C7"/>
    <w:rsid w:val="00C04690"/>
    <w:rsid w:val="00C04705"/>
    <w:rsid w:val="00C04738"/>
    <w:rsid w:val="00C04809"/>
    <w:rsid w:val="00C04A7F"/>
    <w:rsid w:val="00C04D89"/>
    <w:rsid w:val="00C04E2B"/>
    <w:rsid w:val="00C05145"/>
    <w:rsid w:val="00C051AA"/>
    <w:rsid w:val="00C05338"/>
    <w:rsid w:val="00C05357"/>
    <w:rsid w:val="00C05550"/>
    <w:rsid w:val="00C0577A"/>
    <w:rsid w:val="00C057AC"/>
    <w:rsid w:val="00C057B9"/>
    <w:rsid w:val="00C059DD"/>
    <w:rsid w:val="00C05E0F"/>
    <w:rsid w:val="00C05E65"/>
    <w:rsid w:val="00C05F08"/>
    <w:rsid w:val="00C060A0"/>
    <w:rsid w:val="00C061C3"/>
    <w:rsid w:val="00C0630A"/>
    <w:rsid w:val="00C06323"/>
    <w:rsid w:val="00C06338"/>
    <w:rsid w:val="00C063FB"/>
    <w:rsid w:val="00C0651C"/>
    <w:rsid w:val="00C06ADC"/>
    <w:rsid w:val="00C06AF6"/>
    <w:rsid w:val="00C06F96"/>
    <w:rsid w:val="00C07024"/>
    <w:rsid w:val="00C07187"/>
    <w:rsid w:val="00C075C9"/>
    <w:rsid w:val="00C07A0C"/>
    <w:rsid w:val="00C07B83"/>
    <w:rsid w:val="00C07FAD"/>
    <w:rsid w:val="00C1003A"/>
    <w:rsid w:val="00C10344"/>
    <w:rsid w:val="00C106C4"/>
    <w:rsid w:val="00C106DD"/>
    <w:rsid w:val="00C10A2E"/>
    <w:rsid w:val="00C10B1A"/>
    <w:rsid w:val="00C11031"/>
    <w:rsid w:val="00C111EA"/>
    <w:rsid w:val="00C115E1"/>
    <w:rsid w:val="00C11979"/>
    <w:rsid w:val="00C119AD"/>
    <w:rsid w:val="00C11ACB"/>
    <w:rsid w:val="00C11C8C"/>
    <w:rsid w:val="00C11FBB"/>
    <w:rsid w:val="00C1228D"/>
    <w:rsid w:val="00C1252E"/>
    <w:rsid w:val="00C12673"/>
    <w:rsid w:val="00C12762"/>
    <w:rsid w:val="00C1278F"/>
    <w:rsid w:val="00C127C9"/>
    <w:rsid w:val="00C12AB5"/>
    <w:rsid w:val="00C12ABE"/>
    <w:rsid w:val="00C12AFD"/>
    <w:rsid w:val="00C12B6F"/>
    <w:rsid w:val="00C12E87"/>
    <w:rsid w:val="00C12EE1"/>
    <w:rsid w:val="00C1301A"/>
    <w:rsid w:val="00C1308D"/>
    <w:rsid w:val="00C13103"/>
    <w:rsid w:val="00C13558"/>
    <w:rsid w:val="00C13691"/>
    <w:rsid w:val="00C136C4"/>
    <w:rsid w:val="00C13812"/>
    <w:rsid w:val="00C13BBA"/>
    <w:rsid w:val="00C13BF1"/>
    <w:rsid w:val="00C13C20"/>
    <w:rsid w:val="00C13DB8"/>
    <w:rsid w:val="00C13FED"/>
    <w:rsid w:val="00C14054"/>
    <w:rsid w:val="00C14184"/>
    <w:rsid w:val="00C141CC"/>
    <w:rsid w:val="00C14312"/>
    <w:rsid w:val="00C145D4"/>
    <w:rsid w:val="00C14A88"/>
    <w:rsid w:val="00C14AED"/>
    <w:rsid w:val="00C14D8D"/>
    <w:rsid w:val="00C14E7D"/>
    <w:rsid w:val="00C14F51"/>
    <w:rsid w:val="00C150C6"/>
    <w:rsid w:val="00C151D8"/>
    <w:rsid w:val="00C15490"/>
    <w:rsid w:val="00C15722"/>
    <w:rsid w:val="00C1585D"/>
    <w:rsid w:val="00C158D2"/>
    <w:rsid w:val="00C1591F"/>
    <w:rsid w:val="00C15BC2"/>
    <w:rsid w:val="00C15DBB"/>
    <w:rsid w:val="00C15E67"/>
    <w:rsid w:val="00C16066"/>
    <w:rsid w:val="00C161FD"/>
    <w:rsid w:val="00C16484"/>
    <w:rsid w:val="00C164A0"/>
    <w:rsid w:val="00C16897"/>
    <w:rsid w:val="00C16A6F"/>
    <w:rsid w:val="00C1749D"/>
    <w:rsid w:val="00C177D1"/>
    <w:rsid w:val="00C17887"/>
    <w:rsid w:val="00C17B40"/>
    <w:rsid w:val="00C200C9"/>
    <w:rsid w:val="00C201A6"/>
    <w:rsid w:val="00C203EF"/>
    <w:rsid w:val="00C208C2"/>
    <w:rsid w:val="00C20AE2"/>
    <w:rsid w:val="00C20C64"/>
    <w:rsid w:val="00C20CB2"/>
    <w:rsid w:val="00C210BA"/>
    <w:rsid w:val="00C21677"/>
    <w:rsid w:val="00C21BA0"/>
    <w:rsid w:val="00C21BBE"/>
    <w:rsid w:val="00C21C0E"/>
    <w:rsid w:val="00C21D8E"/>
    <w:rsid w:val="00C22076"/>
    <w:rsid w:val="00C220D4"/>
    <w:rsid w:val="00C22525"/>
    <w:rsid w:val="00C2346C"/>
    <w:rsid w:val="00C234CA"/>
    <w:rsid w:val="00C23A1A"/>
    <w:rsid w:val="00C23BB0"/>
    <w:rsid w:val="00C23DBB"/>
    <w:rsid w:val="00C23DC8"/>
    <w:rsid w:val="00C23FE1"/>
    <w:rsid w:val="00C2410D"/>
    <w:rsid w:val="00C2415D"/>
    <w:rsid w:val="00C2426C"/>
    <w:rsid w:val="00C24939"/>
    <w:rsid w:val="00C249E5"/>
    <w:rsid w:val="00C249FE"/>
    <w:rsid w:val="00C24A47"/>
    <w:rsid w:val="00C24A96"/>
    <w:rsid w:val="00C24BAF"/>
    <w:rsid w:val="00C24CE0"/>
    <w:rsid w:val="00C24D93"/>
    <w:rsid w:val="00C24E28"/>
    <w:rsid w:val="00C24E89"/>
    <w:rsid w:val="00C24EFC"/>
    <w:rsid w:val="00C250E3"/>
    <w:rsid w:val="00C2578E"/>
    <w:rsid w:val="00C258DB"/>
    <w:rsid w:val="00C2591D"/>
    <w:rsid w:val="00C25CBB"/>
    <w:rsid w:val="00C25D10"/>
    <w:rsid w:val="00C25F8B"/>
    <w:rsid w:val="00C26049"/>
    <w:rsid w:val="00C26136"/>
    <w:rsid w:val="00C261CB"/>
    <w:rsid w:val="00C262A6"/>
    <w:rsid w:val="00C2639B"/>
    <w:rsid w:val="00C2641C"/>
    <w:rsid w:val="00C264C9"/>
    <w:rsid w:val="00C265C0"/>
    <w:rsid w:val="00C26B9E"/>
    <w:rsid w:val="00C26BFE"/>
    <w:rsid w:val="00C26C9B"/>
    <w:rsid w:val="00C26FDD"/>
    <w:rsid w:val="00C27180"/>
    <w:rsid w:val="00C2726B"/>
    <w:rsid w:val="00C27273"/>
    <w:rsid w:val="00C272EF"/>
    <w:rsid w:val="00C2732B"/>
    <w:rsid w:val="00C274EC"/>
    <w:rsid w:val="00C27516"/>
    <w:rsid w:val="00C2753F"/>
    <w:rsid w:val="00C276A8"/>
    <w:rsid w:val="00C27975"/>
    <w:rsid w:val="00C27E57"/>
    <w:rsid w:val="00C27FCB"/>
    <w:rsid w:val="00C300BC"/>
    <w:rsid w:val="00C3029C"/>
    <w:rsid w:val="00C30430"/>
    <w:rsid w:val="00C3080D"/>
    <w:rsid w:val="00C3093D"/>
    <w:rsid w:val="00C30CA2"/>
    <w:rsid w:val="00C30D75"/>
    <w:rsid w:val="00C30F73"/>
    <w:rsid w:val="00C310EC"/>
    <w:rsid w:val="00C311A8"/>
    <w:rsid w:val="00C31324"/>
    <w:rsid w:val="00C317FC"/>
    <w:rsid w:val="00C318F7"/>
    <w:rsid w:val="00C319D2"/>
    <w:rsid w:val="00C31F85"/>
    <w:rsid w:val="00C32181"/>
    <w:rsid w:val="00C32398"/>
    <w:rsid w:val="00C32534"/>
    <w:rsid w:val="00C325B6"/>
    <w:rsid w:val="00C326B5"/>
    <w:rsid w:val="00C326EE"/>
    <w:rsid w:val="00C32951"/>
    <w:rsid w:val="00C32C02"/>
    <w:rsid w:val="00C32E37"/>
    <w:rsid w:val="00C32ED4"/>
    <w:rsid w:val="00C32F92"/>
    <w:rsid w:val="00C3317D"/>
    <w:rsid w:val="00C33235"/>
    <w:rsid w:val="00C332D5"/>
    <w:rsid w:val="00C33365"/>
    <w:rsid w:val="00C33677"/>
    <w:rsid w:val="00C33AE3"/>
    <w:rsid w:val="00C33FA8"/>
    <w:rsid w:val="00C34016"/>
    <w:rsid w:val="00C34137"/>
    <w:rsid w:val="00C341E8"/>
    <w:rsid w:val="00C3440E"/>
    <w:rsid w:val="00C3447F"/>
    <w:rsid w:val="00C345C7"/>
    <w:rsid w:val="00C34747"/>
    <w:rsid w:val="00C3476B"/>
    <w:rsid w:val="00C34EAA"/>
    <w:rsid w:val="00C351E6"/>
    <w:rsid w:val="00C35240"/>
    <w:rsid w:val="00C35404"/>
    <w:rsid w:val="00C35474"/>
    <w:rsid w:val="00C3568E"/>
    <w:rsid w:val="00C358BA"/>
    <w:rsid w:val="00C35A95"/>
    <w:rsid w:val="00C35B05"/>
    <w:rsid w:val="00C3665E"/>
    <w:rsid w:val="00C3684F"/>
    <w:rsid w:val="00C368B3"/>
    <w:rsid w:val="00C3692F"/>
    <w:rsid w:val="00C36D9D"/>
    <w:rsid w:val="00C36DA4"/>
    <w:rsid w:val="00C36F07"/>
    <w:rsid w:val="00C3716A"/>
    <w:rsid w:val="00C37214"/>
    <w:rsid w:val="00C372E8"/>
    <w:rsid w:val="00C37374"/>
    <w:rsid w:val="00C37728"/>
    <w:rsid w:val="00C377EC"/>
    <w:rsid w:val="00C37926"/>
    <w:rsid w:val="00C37C7B"/>
    <w:rsid w:val="00C37CE2"/>
    <w:rsid w:val="00C40037"/>
    <w:rsid w:val="00C401DE"/>
    <w:rsid w:val="00C401F2"/>
    <w:rsid w:val="00C407BB"/>
    <w:rsid w:val="00C407C3"/>
    <w:rsid w:val="00C409A2"/>
    <w:rsid w:val="00C409A4"/>
    <w:rsid w:val="00C409DC"/>
    <w:rsid w:val="00C40B1B"/>
    <w:rsid w:val="00C40C5E"/>
    <w:rsid w:val="00C40C89"/>
    <w:rsid w:val="00C40C94"/>
    <w:rsid w:val="00C40C9D"/>
    <w:rsid w:val="00C40DB9"/>
    <w:rsid w:val="00C40E88"/>
    <w:rsid w:val="00C4134D"/>
    <w:rsid w:val="00C4145D"/>
    <w:rsid w:val="00C414B3"/>
    <w:rsid w:val="00C414E3"/>
    <w:rsid w:val="00C416A3"/>
    <w:rsid w:val="00C4173E"/>
    <w:rsid w:val="00C41780"/>
    <w:rsid w:val="00C41785"/>
    <w:rsid w:val="00C41799"/>
    <w:rsid w:val="00C4198C"/>
    <w:rsid w:val="00C41A9C"/>
    <w:rsid w:val="00C41C3E"/>
    <w:rsid w:val="00C41FC1"/>
    <w:rsid w:val="00C42688"/>
    <w:rsid w:val="00C42708"/>
    <w:rsid w:val="00C4300A"/>
    <w:rsid w:val="00C431F5"/>
    <w:rsid w:val="00C432E4"/>
    <w:rsid w:val="00C434C2"/>
    <w:rsid w:val="00C4359F"/>
    <w:rsid w:val="00C4363B"/>
    <w:rsid w:val="00C43940"/>
    <w:rsid w:val="00C43980"/>
    <w:rsid w:val="00C43AB0"/>
    <w:rsid w:val="00C43C02"/>
    <w:rsid w:val="00C43E2A"/>
    <w:rsid w:val="00C43EB4"/>
    <w:rsid w:val="00C442B3"/>
    <w:rsid w:val="00C44304"/>
    <w:rsid w:val="00C4431E"/>
    <w:rsid w:val="00C44342"/>
    <w:rsid w:val="00C44694"/>
    <w:rsid w:val="00C446C3"/>
    <w:rsid w:val="00C44744"/>
    <w:rsid w:val="00C448B0"/>
    <w:rsid w:val="00C44D87"/>
    <w:rsid w:val="00C44DC0"/>
    <w:rsid w:val="00C44F69"/>
    <w:rsid w:val="00C44FEE"/>
    <w:rsid w:val="00C45275"/>
    <w:rsid w:val="00C457C1"/>
    <w:rsid w:val="00C45A47"/>
    <w:rsid w:val="00C462F8"/>
    <w:rsid w:val="00C46425"/>
    <w:rsid w:val="00C46567"/>
    <w:rsid w:val="00C46625"/>
    <w:rsid w:val="00C46870"/>
    <w:rsid w:val="00C468E8"/>
    <w:rsid w:val="00C46B7D"/>
    <w:rsid w:val="00C46DB2"/>
    <w:rsid w:val="00C4718D"/>
    <w:rsid w:val="00C47228"/>
    <w:rsid w:val="00C47545"/>
    <w:rsid w:val="00C47593"/>
    <w:rsid w:val="00C47748"/>
    <w:rsid w:val="00C47E26"/>
    <w:rsid w:val="00C47F49"/>
    <w:rsid w:val="00C50176"/>
    <w:rsid w:val="00C50413"/>
    <w:rsid w:val="00C5044B"/>
    <w:rsid w:val="00C506BD"/>
    <w:rsid w:val="00C509F9"/>
    <w:rsid w:val="00C50A70"/>
    <w:rsid w:val="00C50B30"/>
    <w:rsid w:val="00C50BA0"/>
    <w:rsid w:val="00C50DDF"/>
    <w:rsid w:val="00C50E55"/>
    <w:rsid w:val="00C50EE4"/>
    <w:rsid w:val="00C50F99"/>
    <w:rsid w:val="00C51217"/>
    <w:rsid w:val="00C51426"/>
    <w:rsid w:val="00C51622"/>
    <w:rsid w:val="00C51B32"/>
    <w:rsid w:val="00C51CAB"/>
    <w:rsid w:val="00C51FB3"/>
    <w:rsid w:val="00C51FC5"/>
    <w:rsid w:val="00C5223C"/>
    <w:rsid w:val="00C52256"/>
    <w:rsid w:val="00C522A6"/>
    <w:rsid w:val="00C52357"/>
    <w:rsid w:val="00C52480"/>
    <w:rsid w:val="00C52605"/>
    <w:rsid w:val="00C5262C"/>
    <w:rsid w:val="00C52A35"/>
    <w:rsid w:val="00C52ACD"/>
    <w:rsid w:val="00C52BF0"/>
    <w:rsid w:val="00C52CD1"/>
    <w:rsid w:val="00C52F9C"/>
    <w:rsid w:val="00C53213"/>
    <w:rsid w:val="00C53243"/>
    <w:rsid w:val="00C534AD"/>
    <w:rsid w:val="00C535C0"/>
    <w:rsid w:val="00C5382C"/>
    <w:rsid w:val="00C53917"/>
    <w:rsid w:val="00C53C27"/>
    <w:rsid w:val="00C53D3B"/>
    <w:rsid w:val="00C53DBE"/>
    <w:rsid w:val="00C541DE"/>
    <w:rsid w:val="00C5424F"/>
    <w:rsid w:val="00C54257"/>
    <w:rsid w:val="00C54475"/>
    <w:rsid w:val="00C54A19"/>
    <w:rsid w:val="00C54A60"/>
    <w:rsid w:val="00C54B0F"/>
    <w:rsid w:val="00C54C11"/>
    <w:rsid w:val="00C54C67"/>
    <w:rsid w:val="00C54E65"/>
    <w:rsid w:val="00C55378"/>
    <w:rsid w:val="00C55398"/>
    <w:rsid w:val="00C553C2"/>
    <w:rsid w:val="00C55500"/>
    <w:rsid w:val="00C55626"/>
    <w:rsid w:val="00C55687"/>
    <w:rsid w:val="00C55976"/>
    <w:rsid w:val="00C55F0E"/>
    <w:rsid w:val="00C5611B"/>
    <w:rsid w:val="00C56324"/>
    <w:rsid w:val="00C563C4"/>
    <w:rsid w:val="00C5653B"/>
    <w:rsid w:val="00C565A3"/>
    <w:rsid w:val="00C56804"/>
    <w:rsid w:val="00C56950"/>
    <w:rsid w:val="00C56AA6"/>
    <w:rsid w:val="00C56C7B"/>
    <w:rsid w:val="00C56D57"/>
    <w:rsid w:val="00C56E48"/>
    <w:rsid w:val="00C57103"/>
    <w:rsid w:val="00C572B0"/>
    <w:rsid w:val="00C5731E"/>
    <w:rsid w:val="00C57766"/>
    <w:rsid w:val="00C577F7"/>
    <w:rsid w:val="00C57B2B"/>
    <w:rsid w:val="00C57D38"/>
    <w:rsid w:val="00C60667"/>
    <w:rsid w:val="00C6072D"/>
    <w:rsid w:val="00C607A5"/>
    <w:rsid w:val="00C608A9"/>
    <w:rsid w:val="00C60962"/>
    <w:rsid w:val="00C609F2"/>
    <w:rsid w:val="00C60AC3"/>
    <w:rsid w:val="00C61AB9"/>
    <w:rsid w:val="00C61D0E"/>
    <w:rsid w:val="00C61F84"/>
    <w:rsid w:val="00C62123"/>
    <w:rsid w:val="00C62347"/>
    <w:rsid w:val="00C62503"/>
    <w:rsid w:val="00C62C60"/>
    <w:rsid w:val="00C62E3F"/>
    <w:rsid w:val="00C62FD8"/>
    <w:rsid w:val="00C62FF7"/>
    <w:rsid w:val="00C6306A"/>
    <w:rsid w:val="00C63135"/>
    <w:rsid w:val="00C631FC"/>
    <w:rsid w:val="00C63218"/>
    <w:rsid w:val="00C63379"/>
    <w:rsid w:val="00C635B2"/>
    <w:rsid w:val="00C637BC"/>
    <w:rsid w:val="00C637DC"/>
    <w:rsid w:val="00C63EE8"/>
    <w:rsid w:val="00C63FCA"/>
    <w:rsid w:val="00C6417D"/>
    <w:rsid w:val="00C64222"/>
    <w:rsid w:val="00C6432E"/>
    <w:rsid w:val="00C644C0"/>
    <w:rsid w:val="00C64728"/>
    <w:rsid w:val="00C64996"/>
    <w:rsid w:val="00C649DA"/>
    <w:rsid w:val="00C64B6E"/>
    <w:rsid w:val="00C65058"/>
    <w:rsid w:val="00C652F6"/>
    <w:rsid w:val="00C65718"/>
    <w:rsid w:val="00C65812"/>
    <w:rsid w:val="00C65C81"/>
    <w:rsid w:val="00C65F84"/>
    <w:rsid w:val="00C65FD4"/>
    <w:rsid w:val="00C6608B"/>
    <w:rsid w:val="00C662A6"/>
    <w:rsid w:val="00C6636A"/>
    <w:rsid w:val="00C664EA"/>
    <w:rsid w:val="00C66500"/>
    <w:rsid w:val="00C66715"/>
    <w:rsid w:val="00C66772"/>
    <w:rsid w:val="00C66D2B"/>
    <w:rsid w:val="00C67007"/>
    <w:rsid w:val="00C67022"/>
    <w:rsid w:val="00C670CD"/>
    <w:rsid w:val="00C672D2"/>
    <w:rsid w:val="00C672D6"/>
    <w:rsid w:val="00C67445"/>
    <w:rsid w:val="00C67580"/>
    <w:rsid w:val="00C67769"/>
    <w:rsid w:val="00C6781C"/>
    <w:rsid w:val="00C67853"/>
    <w:rsid w:val="00C67959"/>
    <w:rsid w:val="00C67A32"/>
    <w:rsid w:val="00C67A9D"/>
    <w:rsid w:val="00C67EA1"/>
    <w:rsid w:val="00C70122"/>
    <w:rsid w:val="00C705CC"/>
    <w:rsid w:val="00C706DA"/>
    <w:rsid w:val="00C70856"/>
    <w:rsid w:val="00C708BF"/>
    <w:rsid w:val="00C70A82"/>
    <w:rsid w:val="00C70A89"/>
    <w:rsid w:val="00C70AEE"/>
    <w:rsid w:val="00C7103E"/>
    <w:rsid w:val="00C71250"/>
    <w:rsid w:val="00C71363"/>
    <w:rsid w:val="00C7155D"/>
    <w:rsid w:val="00C715B6"/>
    <w:rsid w:val="00C715D9"/>
    <w:rsid w:val="00C7173B"/>
    <w:rsid w:val="00C71786"/>
    <w:rsid w:val="00C719B6"/>
    <w:rsid w:val="00C719F2"/>
    <w:rsid w:val="00C71C57"/>
    <w:rsid w:val="00C71D00"/>
    <w:rsid w:val="00C71D0C"/>
    <w:rsid w:val="00C71D15"/>
    <w:rsid w:val="00C71D5F"/>
    <w:rsid w:val="00C7210C"/>
    <w:rsid w:val="00C7234D"/>
    <w:rsid w:val="00C7244E"/>
    <w:rsid w:val="00C7259D"/>
    <w:rsid w:val="00C725D4"/>
    <w:rsid w:val="00C7262D"/>
    <w:rsid w:val="00C726C9"/>
    <w:rsid w:val="00C72801"/>
    <w:rsid w:val="00C72933"/>
    <w:rsid w:val="00C72A7E"/>
    <w:rsid w:val="00C72C0A"/>
    <w:rsid w:val="00C7315F"/>
    <w:rsid w:val="00C73185"/>
    <w:rsid w:val="00C7333A"/>
    <w:rsid w:val="00C735F6"/>
    <w:rsid w:val="00C73ABD"/>
    <w:rsid w:val="00C73B09"/>
    <w:rsid w:val="00C73BEA"/>
    <w:rsid w:val="00C73DBF"/>
    <w:rsid w:val="00C73E67"/>
    <w:rsid w:val="00C73E83"/>
    <w:rsid w:val="00C73FAD"/>
    <w:rsid w:val="00C74153"/>
    <w:rsid w:val="00C7444B"/>
    <w:rsid w:val="00C745EF"/>
    <w:rsid w:val="00C74AE1"/>
    <w:rsid w:val="00C74BF6"/>
    <w:rsid w:val="00C74DF1"/>
    <w:rsid w:val="00C74EBC"/>
    <w:rsid w:val="00C7510F"/>
    <w:rsid w:val="00C7533A"/>
    <w:rsid w:val="00C7543D"/>
    <w:rsid w:val="00C754A1"/>
    <w:rsid w:val="00C7556D"/>
    <w:rsid w:val="00C75732"/>
    <w:rsid w:val="00C757B8"/>
    <w:rsid w:val="00C7590B"/>
    <w:rsid w:val="00C75B5F"/>
    <w:rsid w:val="00C75D5C"/>
    <w:rsid w:val="00C75EA0"/>
    <w:rsid w:val="00C7623F"/>
    <w:rsid w:val="00C7632D"/>
    <w:rsid w:val="00C76906"/>
    <w:rsid w:val="00C76980"/>
    <w:rsid w:val="00C76B7C"/>
    <w:rsid w:val="00C76BB4"/>
    <w:rsid w:val="00C76CC7"/>
    <w:rsid w:val="00C76E2D"/>
    <w:rsid w:val="00C76F2C"/>
    <w:rsid w:val="00C76F81"/>
    <w:rsid w:val="00C771EB"/>
    <w:rsid w:val="00C774E7"/>
    <w:rsid w:val="00C776A4"/>
    <w:rsid w:val="00C77758"/>
    <w:rsid w:val="00C77944"/>
    <w:rsid w:val="00C800DD"/>
    <w:rsid w:val="00C80397"/>
    <w:rsid w:val="00C808AA"/>
    <w:rsid w:val="00C808D3"/>
    <w:rsid w:val="00C80920"/>
    <w:rsid w:val="00C80A34"/>
    <w:rsid w:val="00C80B03"/>
    <w:rsid w:val="00C80CCA"/>
    <w:rsid w:val="00C80F8A"/>
    <w:rsid w:val="00C810B6"/>
    <w:rsid w:val="00C8127D"/>
    <w:rsid w:val="00C8129C"/>
    <w:rsid w:val="00C81311"/>
    <w:rsid w:val="00C815C6"/>
    <w:rsid w:val="00C81671"/>
    <w:rsid w:val="00C816BC"/>
    <w:rsid w:val="00C81A14"/>
    <w:rsid w:val="00C8219D"/>
    <w:rsid w:val="00C8220C"/>
    <w:rsid w:val="00C8243F"/>
    <w:rsid w:val="00C82764"/>
    <w:rsid w:val="00C8285B"/>
    <w:rsid w:val="00C8289B"/>
    <w:rsid w:val="00C829CE"/>
    <w:rsid w:val="00C829F1"/>
    <w:rsid w:val="00C82D54"/>
    <w:rsid w:val="00C82F3B"/>
    <w:rsid w:val="00C831C4"/>
    <w:rsid w:val="00C8361D"/>
    <w:rsid w:val="00C836D8"/>
    <w:rsid w:val="00C83740"/>
    <w:rsid w:val="00C837C4"/>
    <w:rsid w:val="00C83829"/>
    <w:rsid w:val="00C83839"/>
    <w:rsid w:val="00C83858"/>
    <w:rsid w:val="00C83881"/>
    <w:rsid w:val="00C83EDD"/>
    <w:rsid w:val="00C83F53"/>
    <w:rsid w:val="00C843FD"/>
    <w:rsid w:val="00C844B7"/>
    <w:rsid w:val="00C84534"/>
    <w:rsid w:val="00C8455C"/>
    <w:rsid w:val="00C8482F"/>
    <w:rsid w:val="00C84BF1"/>
    <w:rsid w:val="00C84CA2"/>
    <w:rsid w:val="00C84D31"/>
    <w:rsid w:val="00C852A3"/>
    <w:rsid w:val="00C8546C"/>
    <w:rsid w:val="00C85A36"/>
    <w:rsid w:val="00C85CD1"/>
    <w:rsid w:val="00C85E65"/>
    <w:rsid w:val="00C860B1"/>
    <w:rsid w:val="00C8629E"/>
    <w:rsid w:val="00C866C7"/>
    <w:rsid w:val="00C86706"/>
    <w:rsid w:val="00C8677F"/>
    <w:rsid w:val="00C8687F"/>
    <w:rsid w:val="00C86BF4"/>
    <w:rsid w:val="00C86C30"/>
    <w:rsid w:val="00C86C56"/>
    <w:rsid w:val="00C871BB"/>
    <w:rsid w:val="00C8773E"/>
    <w:rsid w:val="00C877C9"/>
    <w:rsid w:val="00C87809"/>
    <w:rsid w:val="00C87962"/>
    <w:rsid w:val="00C87C36"/>
    <w:rsid w:val="00C9024A"/>
    <w:rsid w:val="00C903EC"/>
    <w:rsid w:val="00C904E9"/>
    <w:rsid w:val="00C90579"/>
    <w:rsid w:val="00C905C3"/>
    <w:rsid w:val="00C90601"/>
    <w:rsid w:val="00C9063E"/>
    <w:rsid w:val="00C908CF"/>
    <w:rsid w:val="00C909C0"/>
    <w:rsid w:val="00C909F5"/>
    <w:rsid w:val="00C90AA3"/>
    <w:rsid w:val="00C90B19"/>
    <w:rsid w:val="00C90CCB"/>
    <w:rsid w:val="00C90D16"/>
    <w:rsid w:val="00C90D3F"/>
    <w:rsid w:val="00C9116A"/>
    <w:rsid w:val="00C9134D"/>
    <w:rsid w:val="00C914D9"/>
    <w:rsid w:val="00C91AB8"/>
    <w:rsid w:val="00C91DE6"/>
    <w:rsid w:val="00C9206B"/>
    <w:rsid w:val="00C92168"/>
    <w:rsid w:val="00C921E3"/>
    <w:rsid w:val="00C921EA"/>
    <w:rsid w:val="00C9265D"/>
    <w:rsid w:val="00C9275C"/>
    <w:rsid w:val="00C92824"/>
    <w:rsid w:val="00C932B8"/>
    <w:rsid w:val="00C936CD"/>
    <w:rsid w:val="00C937BA"/>
    <w:rsid w:val="00C93BB5"/>
    <w:rsid w:val="00C93D15"/>
    <w:rsid w:val="00C93DFE"/>
    <w:rsid w:val="00C93EB0"/>
    <w:rsid w:val="00C9428C"/>
    <w:rsid w:val="00C943B6"/>
    <w:rsid w:val="00C9464D"/>
    <w:rsid w:val="00C94723"/>
    <w:rsid w:val="00C949FC"/>
    <w:rsid w:val="00C94B79"/>
    <w:rsid w:val="00C94BAB"/>
    <w:rsid w:val="00C94BDD"/>
    <w:rsid w:val="00C94CA6"/>
    <w:rsid w:val="00C94E64"/>
    <w:rsid w:val="00C94FD3"/>
    <w:rsid w:val="00C95373"/>
    <w:rsid w:val="00C955C4"/>
    <w:rsid w:val="00C956AA"/>
    <w:rsid w:val="00C95956"/>
    <w:rsid w:val="00C95993"/>
    <w:rsid w:val="00C95D3E"/>
    <w:rsid w:val="00C95DE5"/>
    <w:rsid w:val="00C95E7E"/>
    <w:rsid w:val="00C95F0F"/>
    <w:rsid w:val="00C960CF"/>
    <w:rsid w:val="00C962D2"/>
    <w:rsid w:val="00C963FB"/>
    <w:rsid w:val="00C96534"/>
    <w:rsid w:val="00C9658E"/>
    <w:rsid w:val="00C96672"/>
    <w:rsid w:val="00C96678"/>
    <w:rsid w:val="00C96767"/>
    <w:rsid w:val="00C96772"/>
    <w:rsid w:val="00C969FE"/>
    <w:rsid w:val="00C96CFA"/>
    <w:rsid w:val="00C96D0F"/>
    <w:rsid w:val="00C96D3B"/>
    <w:rsid w:val="00C96E5A"/>
    <w:rsid w:val="00C96E6C"/>
    <w:rsid w:val="00C96EB5"/>
    <w:rsid w:val="00C96EED"/>
    <w:rsid w:val="00C9702D"/>
    <w:rsid w:val="00C972CF"/>
    <w:rsid w:val="00C975A4"/>
    <w:rsid w:val="00C975BC"/>
    <w:rsid w:val="00C975CA"/>
    <w:rsid w:val="00C9767E"/>
    <w:rsid w:val="00C976C3"/>
    <w:rsid w:val="00C9795E"/>
    <w:rsid w:val="00C97B4C"/>
    <w:rsid w:val="00C97DB9"/>
    <w:rsid w:val="00CA0257"/>
    <w:rsid w:val="00CA034A"/>
    <w:rsid w:val="00CA054D"/>
    <w:rsid w:val="00CA0917"/>
    <w:rsid w:val="00CA0D9E"/>
    <w:rsid w:val="00CA0DFD"/>
    <w:rsid w:val="00CA0FCE"/>
    <w:rsid w:val="00CA102B"/>
    <w:rsid w:val="00CA1209"/>
    <w:rsid w:val="00CA1336"/>
    <w:rsid w:val="00CA1339"/>
    <w:rsid w:val="00CA14E6"/>
    <w:rsid w:val="00CA1B08"/>
    <w:rsid w:val="00CA1B57"/>
    <w:rsid w:val="00CA1CC9"/>
    <w:rsid w:val="00CA210C"/>
    <w:rsid w:val="00CA2567"/>
    <w:rsid w:val="00CA27A7"/>
    <w:rsid w:val="00CA283D"/>
    <w:rsid w:val="00CA29D1"/>
    <w:rsid w:val="00CA2DD6"/>
    <w:rsid w:val="00CA313E"/>
    <w:rsid w:val="00CA314E"/>
    <w:rsid w:val="00CA31C0"/>
    <w:rsid w:val="00CA3247"/>
    <w:rsid w:val="00CA3615"/>
    <w:rsid w:val="00CA3752"/>
    <w:rsid w:val="00CA3999"/>
    <w:rsid w:val="00CA39C0"/>
    <w:rsid w:val="00CA3D19"/>
    <w:rsid w:val="00CA3EC4"/>
    <w:rsid w:val="00CA43D0"/>
    <w:rsid w:val="00CA45FC"/>
    <w:rsid w:val="00CA4620"/>
    <w:rsid w:val="00CA4CC4"/>
    <w:rsid w:val="00CA500C"/>
    <w:rsid w:val="00CA5424"/>
    <w:rsid w:val="00CA55CC"/>
    <w:rsid w:val="00CA57AF"/>
    <w:rsid w:val="00CA58C6"/>
    <w:rsid w:val="00CA58C8"/>
    <w:rsid w:val="00CA58FC"/>
    <w:rsid w:val="00CA59F5"/>
    <w:rsid w:val="00CA5AD3"/>
    <w:rsid w:val="00CA61EC"/>
    <w:rsid w:val="00CA62DD"/>
    <w:rsid w:val="00CA6319"/>
    <w:rsid w:val="00CA63CA"/>
    <w:rsid w:val="00CA69BA"/>
    <w:rsid w:val="00CA6B62"/>
    <w:rsid w:val="00CA6C13"/>
    <w:rsid w:val="00CA6CFF"/>
    <w:rsid w:val="00CA6D7C"/>
    <w:rsid w:val="00CA6FEC"/>
    <w:rsid w:val="00CA7437"/>
    <w:rsid w:val="00CA7467"/>
    <w:rsid w:val="00CA74D9"/>
    <w:rsid w:val="00CA772F"/>
    <w:rsid w:val="00CA7802"/>
    <w:rsid w:val="00CA7A2D"/>
    <w:rsid w:val="00CA7DE6"/>
    <w:rsid w:val="00CB0229"/>
    <w:rsid w:val="00CB0251"/>
    <w:rsid w:val="00CB0339"/>
    <w:rsid w:val="00CB05B7"/>
    <w:rsid w:val="00CB067D"/>
    <w:rsid w:val="00CB0813"/>
    <w:rsid w:val="00CB0873"/>
    <w:rsid w:val="00CB0E7A"/>
    <w:rsid w:val="00CB0F4E"/>
    <w:rsid w:val="00CB104B"/>
    <w:rsid w:val="00CB110E"/>
    <w:rsid w:val="00CB1187"/>
    <w:rsid w:val="00CB11F8"/>
    <w:rsid w:val="00CB135D"/>
    <w:rsid w:val="00CB13B6"/>
    <w:rsid w:val="00CB152D"/>
    <w:rsid w:val="00CB1923"/>
    <w:rsid w:val="00CB1AE7"/>
    <w:rsid w:val="00CB1DD0"/>
    <w:rsid w:val="00CB1E98"/>
    <w:rsid w:val="00CB225B"/>
    <w:rsid w:val="00CB2270"/>
    <w:rsid w:val="00CB2293"/>
    <w:rsid w:val="00CB26DE"/>
    <w:rsid w:val="00CB2A21"/>
    <w:rsid w:val="00CB2C84"/>
    <w:rsid w:val="00CB2DA2"/>
    <w:rsid w:val="00CB2EF5"/>
    <w:rsid w:val="00CB2F86"/>
    <w:rsid w:val="00CB2FD8"/>
    <w:rsid w:val="00CB303E"/>
    <w:rsid w:val="00CB304B"/>
    <w:rsid w:val="00CB30BA"/>
    <w:rsid w:val="00CB3210"/>
    <w:rsid w:val="00CB33E4"/>
    <w:rsid w:val="00CB34B4"/>
    <w:rsid w:val="00CB34D0"/>
    <w:rsid w:val="00CB35AD"/>
    <w:rsid w:val="00CB3614"/>
    <w:rsid w:val="00CB39A7"/>
    <w:rsid w:val="00CB4230"/>
    <w:rsid w:val="00CB431B"/>
    <w:rsid w:val="00CB44A0"/>
    <w:rsid w:val="00CB4566"/>
    <w:rsid w:val="00CB45CB"/>
    <w:rsid w:val="00CB498A"/>
    <w:rsid w:val="00CB4A77"/>
    <w:rsid w:val="00CB4C6A"/>
    <w:rsid w:val="00CB4CCD"/>
    <w:rsid w:val="00CB4E6C"/>
    <w:rsid w:val="00CB4EA5"/>
    <w:rsid w:val="00CB4F40"/>
    <w:rsid w:val="00CB5346"/>
    <w:rsid w:val="00CB545E"/>
    <w:rsid w:val="00CB557F"/>
    <w:rsid w:val="00CB57D1"/>
    <w:rsid w:val="00CB5883"/>
    <w:rsid w:val="00CB592B"/>
    <w:rsid w:val="00CB5C5F"/>
    <w:rsid w:val="00CB5C7E"/>
    <w:rsid w:val="00CB5D42"/>
    <w:rsid w:val="00CB600E"/>
    <w:rsid w:val="00CB629A"/>
    <w:rsid w:val="00CB6447"/>
    <w:rsid w:val="00CB6462"/>
    <w:rsid w:val="00CB64B3"/>
    <w:rsid w:val="00CB65B8"/>
    <w:rsid w:val="00CB6633"/>
    <w:rsid w:val="00CB6885"/>
    <w:rsid w:val="00CB6912"/>
    <w:rsid w:val="00CB6A47"/>
    <w:rsid w:val="00CB6B95"/>
    <w:rsid w:val="00CB6CDF"/>
    <w:rsid w:val="00CB6F7F"/>
    <w:rsid w:val="00CB7264"/>
    <w:rsid w:val="00CB730F"/>
    <w:rsid w:val="00CB7470"/>
    <w:rsid w:val="00CB7487"/>
    <w:rsid w:val="00CB74DE"/>
    <w:rsid w:val="00CB761C"/>
    <w:rsid w:val="00CB76B5"/>
    <w:rsid w:val="00CB7A1B"/>
    <w:rsid w:val="00CB7AD6"/>
    <w:rsid w:val="00CB7C8B"/>
    <w:rsid w:val="00CC0122"/>
    <w:rsid w:val="00CC038D"/>
    <w:rsid w:val="00CC0495"/>
    <w:rsid w:val="00CC0544"/>
    <w:rsid w:val="00CC0FFD"/>
    <w:rsid w:val="00CC110F"/>
    <w:rsid w:val="00CC1191"/>
    <w:rsid w:val="00CC11B8"/>
    <w:rsid w:val="00CC138D"/>
    <w:rsid w:val="00CC13CE"/>
    <w:rsid w:val="00CC1873"/>
    <w:rsid w:val="00CC1A3B"/>
    <w:rsid w:val="00CC1AF9"/>
    <w:rsid w:val="00CC1BA1"/>
    <w:rsid w:val="00CC1BF5"/>
    <w:rsid w:val="00CC1FC2"/>
    <w:rsid w:val="00CC20E0"/>
    <w:rsid w:val="00CC237D"/>
    <w:rsid w:val="00CC23C2"/>
    <w:rsid w:val="00CC24CD"/>
    <w:rsid w:val="00CC254C"/>
    <w:rsid w:val="00CC257F"/>
    <w:rsid w:val="00CC2818"/>
    <w:rsid w:val="00CC2825"/>
    <w:rsid w:val="00CC28B5"/>
    <w:rsid w:val="00CC29CD"/>
    <w:rsid w:val="00CC29E0"/>
    <w:rsid w:val="00CC2A3D"/>
    <w:rsid w:val="00CC2B0A"/>
    <w:rsid w:val="00CC2E20"/>
    <w:rsid w:val="00CC2F11"/>
    <w:rsid w:val="00CC2F7A"/>
    <w:rsid w:val="00CC3A70"/>
    <w:rsid w:val="00CC3AAE"/>
    <w:rsid w:val="00CC3D79"/>
    <w:rsid w:val="00CC3F0E"/>
    <w:rsid w:val="00CC4033"/>
    <w:rsid w:val="00CC40B8"/>
    <w:rsid w:val="00CC446A"/>
    <w:rsid w:val="00CC44BD"/>
    <w:rsid w:val="00CC453F"/>
    <w:rsid w:val="00CC469E"/>
    <w:rsid w:val="00CC47B9"/>
    <w:rsid w:val="00CC4802"/>
    <w:rsid w:val="00CC496C"/>
    <w:rsid w:val="00CC4CCA"/>
    <w:rsid w:val="00CC4F2D"/>
    <w:rsid w:val="00CC5178"/>
    <w:rsid w:val="00CC5361"/>
    <w:rsid w:val="00CC5444"/>
    <w:rsid w:val="00CC5631"/>
    <w:rsid w:val="00CC567D"/>
    <w:rsid w:val="00CC5AF1"/>
    <w:rsid w:val="00CC628B"/>
    <w:rsid w:val="00CC62A6"/>
    <w:rsid w:val="00CC65BB"/>
    <w:rsid w:val="00CC676C"/>
    <w:rsid w:val="00CC67BA"/>
    <w:rsid w:val="00CC6A87"/>
    <w:rsid w:val="00CC6B18"/>
    <w:rsid w:val="00CC6D5B"/>
    <w:rsid w:val="00CC73F4"/>
    <w:rsid w:val="00CC758C"/>
    <w:rsid w:val="00CC7612"/>
    <w:rsid w:val="00CC7A11"/>
    <w:rsid w:val="00CC7D37"/>
    <w:rsid w:val="00CC9841"/>
    <w:rsid w:val="00CD006C"/>
    <w:rsid w:val="00CD010D"/>
    <w:rsid w:val="00CD01E8"/>
    <w:rsid w:val="00CD01F0"/>
    <w:rsid w:val="00CD0229"/>
    <w:rsid w:val="00CD024B"/>
    <w:rsid w:val="00CD04A8"/>
    <w:rsid w:val="00CD051B"/>
    <w:rsid w:val="00CD0632"/>
    <w:rsid w:val="00CD0A72"/>
    <w:rsid w:val="00CD0B69"/>
    <w:rsid w:val="00CD0E10"/>
    <w:rsid w:val="00CD0E8B"/>
    <w:rsid w:val="00CD0EF0"/>
    <w:rsid w:val="00CD1081"/>
    <w:rsid w:val="00CD1174"/>
    <w:rsid w:val="00CD1610"/>
    <w:rsid w:val="00CD17EC"/>
    <w:rsid w:val="00CD1937"/>
    <w:rsid w:val="00CD1B61"/>
    <w:rsid w:val="00CD1C9B"/>
    <w:rsid w:val="00CD1D90"/>
    <w:rsid w:val="00CD1DB1"/>
    <w:rsid w:val="00CD21AA"/>
    <w:rsid w:val="00CD22B5"/>
    <w:rsid w:val="00CD22F4"/>
    <w:rsid w:val="00CD25E1"/>
    <w:rsid w:val="00CD2BF4"/>
    <w:rsid w:val="00CD2CFE"/>
    <w:rsid w:val="00CD2FDE"/>
    <w:rsid w:val="00CD312B"/>
    <w:rsid w:val="00CD317A"/>
    <w:rsid w:val="00CD3510"/>
    <w:rsid w:val="00CD3565"/>
    <w:rsid w:val="00CD367C"/>
    <w:rsid w:val="00CD36C7"/>
    <w:rsid w:val="00CD3CF2"/>
    <w:rsid w:val="00CD3CF9"/>
    <w:rsid w:val="00CD3F09"/>
    <w:rsid w:val="00CD4443"/>
    <w:rsid w:val="00CD454A"/>
    <w:rsid w:val="00CD470A"/>
    <w:rsid w:val="00CD470C"/>
    <w:rsid w:val="00CD47BE"/>
    <w:rsid w:val="00CD4DA4"/>
    <w:rsid w:val="00CD4E1D"/>
    <w:rsid w:val="00CD4F54"/>
    <w:rsid w:val="00CD4FFE"/>
    <w:rsid w:val="00CD5311"/>
    <w:rsid w:val="00CD5649"/>
    <w:rsid w:val="00CD56E2"/>
    <w:rsid w:val="00CD57FA"/>
    <w:rsid w:val="00CD58E9"/>
    <w:rsid w:val="00CD5979"/>
    <w:rsid w:val="00CD5A33"/>
    <w:rsid w:val="00CD5A6E"/>
    <w:rsid w:val="00CD5B64"/>
    <w:rsid w:val="00CD5C1E"/>
    <w:rsid w:val="00CD6256"/>
    <w:rsid w:val="00CD63DE"/>
    <w:rsid w:val="00CD68A6"/>
    <w:rsid w:val="00CD701F"/>
    <w:rsid w:val="00CD711F"/>
    <w:rsid w:val="00CD723F"/>
    <w:rsid w:val="00CD7262"/>
    <w:rsid w:val="00CD74A7"/>
    <w:rsid w:val="00CD79B2"/>
    <w:rsid w:val="00CD7BEE"/>
    <w:rsid w:val="00CE022E"/>
    <w:rsid w:val="00CE0298"/>
    <w:rsid w:val="00CE0314"/>
    <w:rsid w:val="00CE0414"/>
    <w:rsid w:val="00CE0415"/>
    <w:rsid w:val="00CE0540"/>
    <w:rsid w:val="00CE05D1"/>
    <w:rsid w:val="00CE076C"/>
    <w:rsid w:val="00CE0834"/>
    <w:rsid w:val="00CE0A3C"/>
    <w:rsid w:val="00CE0D8A"/>
    <w:rsid w:val="00CE0E46"/>
    <w:rsid w:val="00CE0F93"/>
    <w:rsid w:val="00CE14DE"/>
    <w:rsid w:val="00CE157C"/>
    <w:rsid w:val="00CE16E6"/>
    <w:rsid w:val="00CE1A71"/>
    <w:rsid w:val="00CE1AF6"/>
    <w:rsid w:val="00CE1BA5"/>
    <w:rsid w:val="00CE1C90"/>
    <w:rsid w:val="00CE1E4D"/>
    <w:rsid w:val="00CE1E9F"/>
    <w:rsid w:val="00CE2066"/>
    <w:rsid w:val="00CE2298"/>
    <w:rsid w:val="00CE2D90"/>
    <w:rsid w:val="00CE3064"/>
    <w:rsid w:val="00CE30EB"/>
    <w:rsid w:val="00CE335B"/>
    <w:rsid w:val="00CE33B1"/>
    <w:rsid w:val="00CE3643"/>
    <w:rsid w:val="00CE39D4"/>
    <w:rsid w:val="00CE39E4"/>
    <w:rsid w:val="00CE3F9F"/>
    <w:rsid w:val="00CE3FC9"/>
    <w:rsid w:val="00CE4282"/>
    <w:rsid w:val="00CE4432"/>
    <w:rsid w:val="00CE4A55"/>
    <w:rsid w:val="00CE4BF3"/>
    <w:rsid w:val="00CE4BF8"/>
    <w:rsid w:val="00CE4FD6"/>
    <w:rsid w:val="00CE54E1"/>
    <w:rsid w:val="00CE55B6"/>
    <w:rsid w:val="00CE55E2"/>
    <w:rsid w:val="00CE57FD"/>
    <w:rsid w:val="00CE5856"/>
    <w:rsid w:val="00CE58D5"/>
    <w:rsid w:val="00CE5BDE"/>
    <w:rsid w:val="00CE5C5A"/>
    <w:rsid w:val="00CE5CB6"/>
    <w:rsid w:val="00CE6143"/>
    <w:rsid w:val="00CE665D"/>
    <w:rsid w:val="00CE666C"/>
    <w:rsid w:val="00CE6682"/>
    <w:rsid w:val="00CE6699"/>
    <w:rsid w:val="00CE6833"/>
    <w:rsid w:val="00CE6937"/>
    <w:rsid w:val="00CE6A6D"/>
    <w:rsid w:val="00CE6C27"/>
    <w:rsid w:val="00CE6CDD"/>
    <w:rsid w:val="00CE6E33"/>
    <w:rsid w:val="00CE702F"/>
    <w:rsid w:val="00CE7284"/>
    <w:rsid w:val="00CE730F"/>
    <w:rsid w:val="00CE7356"/>
    <w:rsid w:val="00CE73A8"/>
    <w:rsid w:val="00CE74CD"/>
    <w:rsid w:val="00CE75A1"/>
    <w:rsid w:val="00CE76A1"/>
    <w:rsid w:val="00CE774C"/>
    <w:rsid w:val="00CE7879"/>
    <w:rsid w:val="00CE7959"/>
    <w:rsid w:val="00CE7F58"/>
    <w:rsid w:val="00CF012E"/>
    <w:rsid w:val="00CF0211"/>
    <w:rsid w:val="00CF03D7"/>
    <w:rsid w:val="00CF04D4"/>
    <w:rsid w:val="00CF0796"/>
    <w:rsid w:val="00CF07F9"/>
    <w:rsid w:val="00CF0AE4"/>
    <w:rsid w:val="00CF0B4C"/>
    <w:rsid w:val="00CF0B62"/>
    <w:rsid w:val="00CF1159"/>
    <w:rsid w:val="00CF1591"/>
    <w:rsid w:val="00CF1656"/>
    <w:rsid w:val="00CF1680"/>
    <w:rsid w:val="00CF1767"/>
    <w:rsid w:val="00CF1907"/>
    <w:rsid w:val="00CF190F"/>
    <w:rsid w:val="00CF1BD7"/>
    <w:rsid w:val="00CF1ED7"/>
    <w:rsid w:val="00CF2104"/>
    <w:rsid w:val="00CF21A5"/>
    <w:rsid w:val="00CF22B2"/>
    <w:rsid w:val="00CF2518"/>
    <w:rsid w:val="00CF27B7"/>
    <w:rsid w:val="00CF2B77"/>
    <w:rsid w:val="00CF2DDE"/>
    <w:rsid w:val="00CF2F6E"/>
    <w:rsid w:val="00CF326A"/>
    <w:rsid w:val="00CF3276"/>
    <w:rsid w:val="00CF344A"/>
    <w:rsid w:val="00CF37DE"/>
    <w:rsid w:val="00CF37EB"/>
    <w:rsid w:val="00CF3837"/>
    <w:rsid w:val="00CF3897"/>
    <w:rsid w:val="00CF39A0"/>
    <w:rsid w:val="00CF39C1"/>
    <w:rsid w:val="00CF3D1C"/>
    <w:rsid w:val="00CF3E91"/>
    <w:rsid w:val="00CF4297"/>
    <w:rsid w:val="00CF4399"/>
    <w:rsid w:val="00CF43B0"/>
    <w:rsid w:val="00CF4713"/>
    <w:rsid w:val="00CF495A"/>
    <w:rsid w:val="00CF4B12"/>
    <w:rsid w:val="00CF4D7A"/>
    <w:rsid w:val="00CF5568"/>
    <w:rsid w:val="00CF56CD"/>
    <w:rsid w:val="00CF5894"/>
    <w:rsid w:val="00CF58FE"/>
    <w:rsid w:val="00CF5A29"/>
    <w:rsid w:val="00CF5D10"/>
    <w:rsid w:val="00CF5D57"/>
    <w:rsid w:val="00CF5E9B"/>
    <w:rsid w:val="00CF5EBE"/>
    <w:rsid w:val="00CF5EDB"/>
    <w:rsid w:val="00CF63C5"/>
    <w:rsid w:val="00CF6697"/>
    <w:rsid w:val="00CF6A5D"/>
    <w:rsid w:val="00CF6C48"/>
    <w:rsid w:val="00CF6DAD"/>
    <w:rsid w:val="00CF6E01"/>
    <w:rsid w:val="00CF6E73"/>
    <w:rsid w:val="00CF6F2E"/>
    <w:rsid w:val="00CF7195"/>
    <w:rsid w:val="00CF783B"/>
    <w:rsid w:val="00CF7AAE"/>
    <w:rsid w:val="00CF7AFC"/>
    <w:rsid w:val="00CF7C06"/>
    <w:rsid w:val="00CF7D14"/>
    <w:rsid w:val="00CF7D97"/>
    <w:rsid w:val="00CF7E18"/>
    <w:rsid w:val="00CF7EEC"/>
    <w:rsid w:val="00D001C2"/>
    <w:rsid w:val="00D002A4"/>
    <w:rsid w:val="00D005F8"/>
    <w:rsid w:val="00D00657"/>
    <w:rsid w:val="00D00779"/>
    <w:rsid w:val="00D00802"/>
    <w:rsid w:val="00D009D8"/>
    <w:rsid w:val="00D00A31"/>
    <w:rsid w:val="00D00AAF"/>
    <w:rsid w:val="00D00ADE"/>
    <w:rsid w:val="00D00B52"/>
    <w:rsid w:val="00D0105D"/>
    <w:rsid w:val="00D012E1"/>
    <w:rsid w:val="00D01305"/>
    <w:rsid w:val="00D01318"/>
    <w:rsid w:val="00D015E3"/>
    <w:rsid w:val="00D01665"/>
    <w:rsid w:val="00D01961"/>
    <w:rsid w:val="00D01AC8"/>
    <w:rsid w:val="00D01B89"/>
    <w:rsid w:val="00D01CAD"/>
    <w:rsid w:val="00D01D1E"/>
    <w:rsid w:val="00D01FC7"/>
    <w:rsid w:val="00D0205E"/>
    <w:rsid w:val="00D02066"/>
    <w:rsid w:val="00D023F9"/>
    <w:rsid w:val="00D02580"/>
    <w:rsid w:val="00D02587"/>
    <w:rsid w:val="00D0279B"/>
    <w:rsid w:val="00D02862"/>
    <w:rsid w:val="00D028F7"/>
    <w:rsid w:val="00D02C7B"/>
    <w:rsid w:val="00D02CE9"/>
    <w:rsid w:val="00D02E98"/>
    <w:rsid w:val="00D030BA"/>
    <w:rsid w:val="00D032D2"/>
    <w:rsid w:val="00D0369E"/>
    <w:rsid w:val="00D03723"/>
    <w:rsid w:val="00D0375E"/>
    <w:rsid w:val="00D0397B"/>
    <w:rsid w:val="00D039A3"/>
    <w:rsid w:val="00D03AAA"/>
    <w:rsid w:val="00D03BCC"/>
    <w:rsid w:val="00D03BF7"/>
    <w:rsid w:val="00D03F1E"/>
    <w:rsid w:val="00D04267"/>
    <w:rsid w:val="00D0428E"/>
    <w:rsid w:val="00D042D5"/>
    <w:rsid w:val="00D04366"/>
    <w:rsid w:val="00D043F6"/>
    <w:rsid w:val="00D04426"/>
    <w:rsid w:val="00D047B2"/>
    <w:rsid w:val="00D0482F"/>
    <w:rsid w:val="00D04982"/>
    <w:rsid w:val="00D04A33"/>
    <w:rsid w:val="00D04C5F"/>
    <w:rsid w:val="00D04D02"/>
    <w:rsid w:val="00D04E4B"/>
    <w:rsid w:val="00D04FE2"/>
    <w:rsid w:val="00D05029"/>
    <w:rsid w:val="00D051C3"/>
    <w:rsid w:val="00D052FB"/>
    <w:rsid w:val="00D055AC"/>
    <w:rsid w:val="00D05655"/>
    <w:rsid w:val="00D056E9"/>
    <w:rsid w:val="00D05892"/>
    <w:rsid w:val="00D059B5"/>
    <w:rsid w:val="00D05A7C"/>
    <w:rsid w:val="00D05AD2"/>
    <w:rsid w:val="00D05BCB"/>
    <w:rsid w:val="00D05C92"/>
    <w:rsid w:val="00D05E90"/>
    <w:rsid w:val="00D05F4F"/>
    <w:rsid w:val="00D060CE"/>
    <w:rsid w:val="00D0632D"/>
    <w:rsid w:val="00D064B3"/>
    <w:rsid w:val="00D065CA"/>
    <w:rsid w:val="00D066AB"/>
    <w:rsid w:val="00D067C0"/>
    <w:rsid w:val="00D06824"/>
    <w:rsid w:val="00D068B5"/>
    <w:rsid w:val="00D068CB"/>
    <w:rsid w:val="00D06B7C"/>
    <w:rsid w:val="00D06C03"/>
    <w:rsid w:val="00D06F33"/>
    <w:rsid w:val="00D06FE5"/>
    <w:rsid w:val="00D071A0"/>
    <w:rsid w:val="00D072AF"/>
    <w:rsid w:val="00D072EA"/>
    <w:rsid w:val="00D07BEE"/>
    <w:rsid w:val="00D101F9"/>
    <w:rsid w:val="00D10313"/>
    <w:rsid w:val="00D1037A"/>
    <w:rsid w:val="00D1051D"/>
    <w:rsid w:val="00D10591"/>
    <w:rsid w:val="00D106B0"/>
    <w:rsid w:val="00D10A53"/>
    <w:rsid w:val="00D10C06"/>
    <w:rsid w:val="00D10D09"/>
    <w:rsid w:val="00D10E9B"/>
    <w:rsid w:val="00D1163E"/>
    <w:rsid w:val="00D11DE5"/>
    <w:rsid w:val="00D120AA"/>
    <w:rsid w:val="00D12362"/>
    <w:rsid w:val="00D12599"/>
    <w:rsid w:val="00D12A4F"/>
    <w:rsid w:val="00D12A70"/>
    <w:rsid w:val="00D12ABE"/>
    <w:rsid w:val="00D1335A"/>
    <w:rsid w:val="00D1339D"/>
    <w:rsid w:val="00D1343C"/>
    <w:rsid w:val="00D135C2"/>
    <w:rsid w:val="00D1367E"/>
    <w:rsid w:val="00D13B0A"/>
    <w:rsid w:val="00D13CB4"/>
    <w:rsid w:val="00D141C9"/>
    <w:rsid w:val="00D1420F"/>
    <w:rsid w:val="00D14320"/>
    <w:rsid w:val="00D143F6"/>
    <w:rsid w:val="00D14612"/>
    <w:rsid w:val="00D1468C"/>
    <w:rsid w:val="00D1496E"/>
    <w:rsid w:val="00D14C15"/>
    <w:rsid w:val="00D14EE5"/>
    <w:rsid w:val="00D14F01"/>
    <w:rsid w:val="00D14FF9"/>
    <w:rsid w:val="00D150B2"/>
    <w:rsid w:val="00D154EB"/>
    <w:rsid w:val="00D1572A"/>
    <w:rsid w:val="00D15B22"/>
    <w:rsid w:val="00D15CB3"/>
    <w:rsid w:val="00D15E1D"/>
    <w:rsid w:val="00D15F51"/>
    <w:rsid w:val="00D15F6E"/>
    <w:rsid w:val="00D15F70"/>
    <w:rsid w:val="00D162B7"/>
    <w:rsid w:val="00D162C0"/>
    <w:rsid w:val="00D1649D"/>
    <w:rsid w:val="00D1676B"/>
    <w:rsid w:val="00D167C6"/>
    <w:rsid w:val="00D16B2D"/>
    <w:rsid w:val="00D16B31"/>
    <w:rsid w:val="00D16D51"/>
    <w:rsid w:val="00D16ED5"/>
    <w:rsid w:val="00D16FEE"/>
    <w:rsid w:val="00D17217"/>
    <w:rsid w:val="00D17291"/>
    <w:rsid w:val="00D176E4"/>
    <w:rsid w:val="00D17700"/>
    <w:rsid w:val="00D17858"/>
    <w:rsid w:val="00D202B1"/>
    <w:rsid w:val="00D20450"/>
    <w:rsid w:val="00D20473"/>
    <w:rsid w:val="00D20662"/>
    <w:rsid w:val="00D2097D"/>
    <w:rsid w:val="00D2098B"/>
    <w:rsid w:val="00D20AA6"/>
    <w:rsid w:val="00D210C2"/>
    <w:rsid w:val="00D21291"/>
    <w:rsid w:val="00D215B2"/>
    <w:rsid w:val="00D2164C"/>
    <w:rsid w:val="00D216DA"/>
    <w:rsid w:val="00D2189E"/>
    <w:rsid w:val="00D21958"/>
    <w:rsid w:val="00D21BB4"/>
    <w:rsid w:val="00D21C8A"/>
    <w:rsid w:val="00D21FE9"/>
    <w:rsid w:val="00D2226C"/>
    <w:rsid w:val="00D22562"/>
    <w:rsid w:val="00D2264C"/>
    <w:rsid w:val="00D2297E"/>
    <w:rsid w:val="00D22D5B"/>
    <w:rsid w:val="00D22DE5"/>
    <w:rsid w:val="00D22EE1"/>
    <w:rsid w:val="00D22EF9"/>
    <w:rsid w:val="00D23183"/>
    <w:rsid w:val="00D233BD"/>
    <w:rsid w:val="00D233D7"/>
    <w:rsid w:val="00D23CBB"/>
    <w:rsid w:val="00D23EB5"/>
    <w:rsid w:val="00D24594"/>
    <w:rsid w:val="00D24A81"/>
    <w:rsid w:val="00D24E02"/>
    <w:rsid w:val="00D25125"/>
    <w:rsid w:val="00D2513D"/>
    <w:rsid w:val="00D251EE"/>
    <w:rsid w:val="00D2523E"/>
    <w:rsid w:val="00D2540C"/>
    <w:rsid w:val="00D25806"/>
    <w:rsid w:val="00D258B5"/>
    <w:rsid w:val="00D258F7"/>
    <w:rsid w:val="00D25BFA"/>
    <w:rsid w:val="00D25E37"/>
    <w:rsid w:val="00D25E9D"/>
    <w:rsid w:val="00D25F1C"/>
    <w:rsid w:val="00D26135"/>
    <w:rsid w:val="00D26371"/>
    <w:rsid w:val="00D263C1"/>
    <w:rsid w:val="00D2649F"/>
    <w:rsid w:val="00D2665A"/>
    <w:rsid w:val="00D267D3"/>
    <w:rsid w:val="00D2695F"/>
    <w:rsid w:val="00D26AC3"/>
    <w:rsid w:val="00D26B66"/>
    <w:rsid w:val="00D26DE6"/>
    <w:rsid w:val="00D26E3B"/>
    <w:rsid w:val="00D26EE7"/>
    <w:rsid w:val="00D27204"/>
    <w:rsid w:val="00D275CE"/>
    <w:rsid w:val="00D277F5"/>
    <w:rsid w:val="00D27941"/>
    <w:rsid w:val="00D27955"/>
    <w:rsid w:val="00D27CA8"/>
    <w:rsid w:val="00D301F6"/>
    <w:rsid w:val="00D302CA"/>
    <w:rsid w:val="00D303D4"/>
    <w:rsid w:val="00D30422"/>
    <w:rsid w:val="00D30718"/>
    <w:rsid w:val="00D308EE"/>
    <w:rsid w:val="00D30A78"/>
    <w:rsid w:val="00D31655"/>
    <w:rsid w:val="00D318A0"/>
    <w:rsid w:val="00D31906"/>
    <w:rsid w:val="00D319C7"/>
    <w:rsid w:val="00D31B73"/>
    <w:rsid w:val="00D31B80"/>
    <w:rsid w:val="00D31E2E"/>
    <w:rsid w:val="00D31F0F"/>
    <w:rsid w:val="00D322FB"/>
    <w:rsid w:val="00D32475"/>
    <w:rsid w:val="00D32510"/>
    <w:rsid w:val="00D32619"/>
    <w:rsid w:val="00D326EB"/>
    <w:rsid w:val="00D32733"/>
    <w:rsid w:val="00D32EF4"/>
    <w:rsid w:val="00D32F9A"/>
    <w:rsid w:val="00D32F9D"/>
    <w:rsid w:val="00D33088"/>
    <w:rsid w:val="00D331E7"/>
    <w:rsid w:val="00D332BF"/>
    <w:rsid w:val="00D3331D"/>
    <w:rsid w:val="00D334C4"/>
    <w:rsid w:val="00D3350B"/>
    <w:rsid w:val="00D335B6"/>
    <w:rsid w:val="00D33BDD"/>
    <w:rsid w:val="00D33F81"/>
    <w:rsid w:val="00D33FB7"/>
    <w:rsid w:val="00D340BD"/>
    <w:rsid w:val="00D34457"/>
    <w:rsid w:val="00D3447D"/>
    <w:rsid w:val="00D34850"/>
    <w:rsid w:val="00D34880"/>
    <w:rsid w:val="00D34B4F"/>
    <w:rsid w:val="00D34E1A"/>
    <w:rsid w:val="00D34F1A"/>
    <w:rsid w:val="00D34FA0"/>
    <w:rsid w:val="00D35060"/>
    <w:rsid w:val="00D350E3"/>
    <w:rsid w:val="00D3541F"/>
    <w:rsid w:val="00D35764"/>
    <w:rsid w:val="00D358B7"/>
    <w:rsid w:val="00D359E2"/>
    <w:rsid w:val="00D35B59"/>
    <w:rsid w:val="00D35C12"/>
    <w:rsid w:val="00D35D4E"/>
    <w:rsid w:val="00D35DC4"/>
    <w:rsid w:val="00D35E6A"/>
    <w:rsid w:val="00D35E7E"/>
    <w:rsid w:val="00D35F27"/>
    <w:rsid w:val="00D36209"/>
    <w:rsid w:val="00D3639E"/>
    <w:rsid w:val="00D36510"/>
    <w:rsid w:val="00D3696D"/>
    <w:rsid w:val="00D369D4"/>
    <w:rsid w:val="00D36AD7"/>
    <w:rsid w:val="00D36D18"/>
    <w:rsid w:val="00D36EF4"/>
    <w:rsid w:val="00D36FAE"/>
    <w:rsid w:val="00D36FD9"/>
    <w:rsid w:val="00D373E9"/>
    <w:rsid w:val="00D37C61"/>
    <w:rsid w:val="00D40014"/>
    <w:rsid w:val="00D400D9"/>
    <w:rsid w:val="00D4013F"/>
    <w:rsid w:val="00D40287"/>
    <w:rsid w:val="00D403FF"/>
    <w:rsid w:val="00D404C4"/>
    <w:rsid w:val="00D40578"/>
    <w:rsid w:val="00D407AF"/>
    <w:rsid w:val="00D40A0A"/>
    <w:rsid w:val="00D40C7B"/>
    <w:rsid w:val="00D40CC8"/>
    <w:rsid w:val="00D40CE9"/>
    <w:rsid w:val="00D40D32"/>
    <w:rsid w:val="00D40FE1"/>
    <w:rsid w:val="00D414C5"/>
    <w:rsid w:val="00D41521"/>
    <w:rsid w:val="00D41B7E"/>
    <w:rsid w:val="00D42115"/>
    <w:rsid w:val="00D42125"/>
    <w:rsid w:val="00D42AD5"/>
    <w:rsid w:val="00D42B04"/>
    <w:rsid w:val="00D42EFD"/>
    <w:rsid w:val="00D4323F"/>
    <w:rsid w:val="00D432D5"/>
    <w:rsid w:val="00D4340A"/>
    <w:rsid w:val="00D43506"/>
    <w:rsid w:val="00D43538"/>
    <w:rsid w:val="00D435D3"/>
    <w:rsid w:val="00D43653"/>
    <w:rsid w:val="00D4380A"/>
    <w:rsid w:val="00D43813"/>
    <w:rsid w:val="00D43ACE"/>
    <w:rsid w:val="00D43AE2"/>
    <w:rsid w:val="00D43B89"/>
    <w:rsid w:val="00D43E57"/>
    <w:rsid w:val="00D446ED"/>
    <w:rsid w:val="00D446FC"/>
    <w:rsid w:val="00D448CB"/>
    <w:rsid w:val="00D44DE5"/>
    <w:rsid w:val="00D44EC4"/>
    <w:rsid w:val="00D44F40"/>
    <w:rsid w:val="00D45310"/>
    <w:rsid w:val="00D457D1"/>
    <w:rsid w:val="00D458AA"/>
    <w:rsid w:val="00D45B7A"/>
    <w:rsid w:val="00D45F5A"/>
    <w:rsid w:val="00D462BF"/>
    <w:rsid w:val="00D46338"/>
    <w:rsid w:val="00D467E3"/>
    <w:rsid w:val="00D46856"/>
    <w:rsid w:val="00D469A4"/>
    <w:rsid w:val="00D46BA2"/>
    <w:rsid w:val="00D47234"/>
    <w:rsid w:val="00D47281"/>
    <w:rsid w:val="00D47581"/>
    <w:rsid w:val="00D475EB"/>
    <w:rsid w:val="00D47863"/>
    <w:rsid w:val="00D47878"/>
    <w:rsid w:val="00D47D26"/>
    <w:rsid w:val="00D47D31"/>
    <w:rsid w:val="00D47D53"/>
    <w:rsid w:val="00D47DE8"/>
    <w:rsid w:val="00D50295"/>
    <w:rsid w:val="00D5069A"/>
    <w:rsid w:val="00D509D4"/>
    <w:rsid w:val="00D50BB1"/>
    <w:rsid w:val="00D50E43"/>
    <w:rsid w:val="00D50F80"/>
    <w:rsid w:val="00D51082"/>
    <w:rsid w:val="00D51469"/>
    <w:rsid w:val="00D517D0"/>
    <w:rsid w:val="00D5184D"/>
    <w:rsid w:val="00D51F2E"/>
    <w:rsid w:val="00D520EF"/>
    <w:rsid w:val="00D524A7"/>
    <w:rsid w:val="00D524EE"/>
    <w:rsid w:val="00D5261C"/>
    <w:rsid w:val="00D526E1"/>
    <w:rsid w:val="00D527AD"/>
    <w:rsid w:val="00D52918"/>
    <w:rsid w:val="00D52B45"/>
    <w:rsid w:val="00D52E81"/>
    <w:rsid w:val="00D530EB"/>
    <w:rsid w:val="00D531B7"/>
    <w:rsid w:val="00D53393"/>
    <w:rsid w:val="00D533A8"/>
    <w:rsid w:val="00D53526"/>
    <w:rsid w:val="00D5358B"/>
    <w:rsid w:val="00D535B6"/>
    <w:rsid w:val="00D536CE"/>
    <w:rsid w:val="00D53B96"/>
    <w:rsid w:val="00D53C19"/>
    <w:rsid w:val="00D53C67"/>
    <w:rsid w:val="00D5459C"/>
    <w:rsid w:val="00D54602"/>
    <w:rsid w:val="00D54A15"/>
    <w:rsid w:val="00D54A57"/>
    <w:rsid w:val="00D54C8C"/>
    <w:rsid w:val="00D54D8C"/>
    <w:rsid w:val="00D55235"/>
    <w:rsid w:val="00D5523B"/>
    <w:rsid w:val="00D552A5"/>
    <w:rsid w:val="00D554E8"/>
    <w:rsid w:val="00D557F0"/>
    <w:rsid w:val="00D55BB0"/>
    <w:rsid w:val="00D55BC9"/>
    <w:rsid w:val="00D55C8E"/>
    <w:rsid w:val="00D55D78"/>
    <w:rsid w:val="00D55DFF"/>
    <w:rsid w:val="00D55E4D"/>
    <w:rsid w:val="00D55E93"/>
    <w:rsid w:val="00D56013"/>
    <w:rsid w:val="00D56042"/>
    <w:rsid w:val="00D565CE"/>
    <w:rsid w:val="00D56A7F"/>
    <w:rsid w:val="00D56EC9"/>
    <w:rsid w:val="00D56FD6"/>
    <w:rsid w:val="00D57033"/>
    <w:rsid w:val="00D572B2"/>
    <w:rsid w:val="00D575D7"/>
    <w:rsid w:val="00D578FB"/>
    <w:rsid w:val="00D57B52"/>
    <w:rsid w:val="00D57F53"/>
    <w:rsid w:val="00D60076"/>
    <w:rsid w:val="00D60132"/>
    <w:rsid w:val="00D603B0"/>
    <w:rsid w:val="00D6043F"/>
    <w:rsid w:val="00D6057C"/>
    <w:rsid w:val="00D60661"/>
    <w:rsid w:val="00D60CAB"/>
    <w:rsid w:val="00D60EE3"/>
    <w:rsid w:val="00D610FD"/>
    <w:rsid w:val="00D6124F"/>
    <w:rsid w:val="00D612AF"/>
    <w:rsid w:val="00D61650"/>
    <w:rsid w:val="00D618D0"/>
    <w:rsid w:val="00D619EC"/>
    <w:rsid w:val="00D619F3"/>
    <w:rsid w:val="00D61D86"/>
    <w:rsid w:val="00D61E24"/>
    <w:rsid w:val="00D61EDD"/>
    <w:rsid w:val="00D6258C"/>
    <w:rsid w:val="00D62A5B"/>
    <w:rsid w:val="00D62B43"/>
    <w:rsid w:val="00D62C69"/>
    <w:rsid w:val="00D62E89"/>
    <w:rsid w:val="00D62ECD"/>
    <w:rsid w:val="00D633A3"/>
    <w:rsid w:val="00D633F3"/>
    <w:rsid w:val="00D634CC"/>
    <w:rsid w:val="00D636EB"/>
    <w:rsid w:val="00D63717"/>
    <w:rsid w:val="00D63748"/>
    <w:rsid w:val="00D63756"/>
    <w:rsid w:val="00D63919"/>
    <w:rsid w:val="00D639F0"/>
    <w:rsid w:val="00D63A97"/>
    <w:rsid w:val="00D63C1B"/>
    <w:rsid w:val="00D63D76"/>
    <w:rsid w:val="00D63E28"/>
    <w:rsid w:val="00D64673"/>
    <w:rsid w:val="00D64809"/>
    <w:rsid w:val="00D64966"/>
    <w:rsid w:val="00D64BA1"/>
    <w:rsid w:val="00D64BFF"/>
    <w:rsid w:val="00D64D43"/>
    <w:rsid w:val="00D64DE1"/>
    <w:rsid w:val="00D64E3F"/>
    <w:rsid w:val="00D6507E"/>
    <w:rsid w:val="00D6513B"/>
    <w:rsid w:val="00D651A2"/>
    <w:rsid w:val="00D653D0"/>
    <w:rsid w:val="00D6547D"/>
    <w:rsid w:val="00D654F7"/>
    <w:rsid w:val="00D65561"/>
    <w:rsid w:val="00D6590E"/>
    <w:rsid w:val="00D65C78"/>
    <w:rsid w:val="00D65CDE"/>
    <w:rsid w:val="00D660E7"/>
    <w:rsid w:val="00D66230"/>
    <w:rsid w:val="00D66331"/>
    <w:rsid w:val="00D66348"/>
    <w:rsid w:val="00D6635E"/>
    <w:rsid w:val="00D6642E"/>
    <w:rsid w:val="00D66589"/>
    <w:rsid w:val="00D66749"/>
    <w:rsid w:val="00D66900"/>
    <w:rsid w:val="00D6692A"/>
    <w:rsid w:val="00D66A99"/>
    <w:rsid w:val="00D66C50"/>
    <w:rsid w:val="00D66DD9"/>
    <w:rsid w:val="00D66E55"/>
    <w:rsid w:val="00D674A2"/>
    <w:rsid w:val="00D674E9"/>
    <w:rsid w:val="00D676DE"/>
    <w:rsid w:val="00D6799A"/>
    <w:rsid w:val="00D67B96"/>
    <w:rsid w:val="00D67C35"/>
    <w:rsid w:val="00D70012"/>
    <w:rsid w:val="00D7009C"/>
    <w:rsid w:val="00D7024B"/>
    <w:rsid w:val="00D703FD"/>
    <w:rsid w:val="00D7082A"/>
    <w:rsid w:val="00D70955"/>
    <w:rsid w:val="00D70DA3"/>
    <w:rsid w:val="00D70F17"/>
    <w:rsid w:val="00D70F9F"/>
    <w:rsid w:val="00D71031"/>
    <w:rsid w:val="00D71084"/>
    <w:rsid w:val="00D710DE"/>
    <w:rsid w:val="00D712DA"/>
    <w:rsid w:val="00D7133F"/>
    <w:rsid w:val="00D714F4"/>
    <w:rsid w:val="00D719EF"/>
    <w:rsid w:val="00D72055"/>
    <w:rsid w:val="00D72327"/>
    <w:rsid w:val="00D723DB"/>
    <w:rsid w:val="00D727E0"/>
    <w:rsid w:val="00D72A73"/>
    <w:rsid w:val="00D72B87"/>
    <w:rsid w:val="00D72C2E"/>
    <w:rsid w:val="00D72C72"/>
    <w:rsid w:val="00D72DEE"/>
    <w:rsid w:val="00D72ED0"/>
    <w:rsid w:val="00D736D8"/>
    <w:rsid w:val="00D736F4"/>
    <w:rsid w:val="00D737F9"/>
    <w:rsid w:val="00D73C45"/>
    <w:rsid w:val="00D73F98"/>
    <w:rsid w:val="00D74160"/>
    <w:rsid w:val="00D7448C"/>
    <w:rsid w:val="00D74693"/>
    <w:rsid w:val="00D7478F"/>
    <w:rsid w:val="00D74948"/>
    <w:rsid w:val="00D74EEE"/>
    <w:rsid w:val="00D75406"/>
    <w:rsid w:val="00D7583C"/>
    <w:rsid w:val="00D758E7"/>
    <w:rsid w:val="00D7596E"/>
    <w:rsid w:val="00D759B0"/>
    <w:rsid w:val="00D75B0B"/>
    <w:rsid w:val="00D75D22"/>
    <w:rsid w:val="00D75DA5"/>
    <w:rsid w:val="00D7601B"/>
    <w:rsid w:val="00D76314"/>
    <w:rsid w:val="00D76420"/>
    <w:rsid w:val="00D7644E"/>
    <w:rsid w:val="00D7655F"/>
    <w:rsid w:val="00D768ED"/>
    <w:rsid w:val="00D76987"/>
    <w:rsid w:val="00D76C58"/>
    <w:rsid w:val="00D76CF2"/>
    <w:rsid w:val="00D76E73"/>
    <w:rsid w:val="00D76E7C"/>
    <w:rsid w:val="00D76F39"/>
    <w:rsid w:val="00D7719C"/>
    <w:rsid w:val="00D77266"/>
    <w:rsid w:val="00D77706"/>
    <w:rsid w:val="00D778EC"/>
    <w:rsid w:val="00D7790D"/>
    <w:rsid w:val="00D77998"/>
    <w:rsid w:val="00D77AED"/>
    <w:rsid w:val="00D80700"/>
    <w:rsid w:val="00D808B2"/>
    <w:rsid w:val="00D80B40"/>
    <w:rsid w:val="00D80DF5"/>
    <w:rsid w:val="00D80E0F"/>
    <w:rsid w:val="00D80F10"/>
    <w:rsid w:val="00D80F13"/>
    <w:rsid w:val="00D80F22"/>
    <w:rsid w:val="00D81146"/>
    <w:rsid w:val="00D81250"/>
    <w:rsid w:val="00D81418"/>
    <w:rsid w:val="00D81531"/>
    <w:rsid w:val="00D8155B"/>
    <w:rsid w:val="00D8176D"/>
    <w:rsid w:val="00D81E79"/>
    <w:rsid w:val="00D81EF7"/>
    <w:rsid w:val="00D81F2F"/>
    <w:rsid w:val="00D81FF4"/>
    <w:rsid w:val="00D82310"/>
    <w:rsid w:val="00D825A5"/>
    <w:rsid w:val="00D825B7"/>
    <w:rsid w:val="00D82628"/>
    <w:rsid w:val="00D82806"/>
    <w:rsid w:val="00D8290E"/>
    <w:rsid w:val="00D82AD1"/>
    <w:rsid w:val="00D82C0B"/>
    <w:rsid w:val="00D82E6E"/>
    <w:rsid w:val="00D82F60"/>
    <w:rsid w:val="00D83040"/>
    <w:rsid w:val="00D830E2"/>
    <w:rsid w:val="00D8323B"/>
    <w:rsid w:val="00D832FF"/>
    <w:rsid w:val="00D83370"/>
    <w:rsid w:val="00D83489"/>
    <w:rsid w:val="00D8383A"/>
    <w:rsid w:val="00D83AEE"/>
    <w:rsid w:val="00D83C4B"/>
    <w:rsid w:val="00D83D13"/>
    <w:rsid w:val="00D841AC"/>
    <w:rsid w:val="00D8477A"/>
    <w:rsid w:val="00D84A34"/>
    <w:rsid w:val="00D84A62"/>
    <w:rsid w:val="00D84B45"/>
    <w:rsid w:val="00D84CD1"/>
    <w:rsid w:val="00D8573B"/>
    <w:rsid w:val="00D8589D"/>
    <w:rsid w:val="00D858B4"/>
    <w:rsid w:val="00D858D8"/>
    <w:rsid w:val="00D85928"/>
    <w:rsid w:val="00D8594F"/>
    <w:rsid w:val="00D85A81"/>
    <w:rsid w:val="00D85DEB"/>
    <w:rsid w:val="00D85E03"/>
    <w:rsid w:val="00D85EB0"/>
    <w:rsid w:val="00D8610F"/>
    <w:rsid w:val="00D8627B"/>
    <w:rsid w:val="00D86466"/>
    <w:rsid w:val="00D869C1"/>
    <w:rsid w:val="00D86CC4"/>
    <w:rsid w:val="00D86D8B"/>
    <w:rsid w:val="00D86DF3"/>
    <w:rsid w:val="00D86E77"/>
    <w:rsid w:val="00D86F2B"/>
    <w:rsid w:val="00D870E8"/>
    <w:rsid w:val="00D873F8"/>
    <w:rsid w:val="00D87423"/>
    <w:rsid w:val="00D87452"/>
    <w:rsid w:val="00D87485"/>
    <w:rsid w:val="00D87630"/>
    <w:rsid w:val="00D87695"/>
    <w:rsid w:val="00D87812"/>
    <w:rsid w:val="00D87BCF"/>
    <w:rsid w:val="00D87D40"/>
    <w:rsid w:val="00D87EF8"/>
    <w:rsid w:val="00D90115"/>
    <w:rsid w:val="00D901CC"/>
    <w:rsid w:val="00D9038A"/>
    <w:rsid w:val="00D9060E"/>
    <w:rsid w:val="00D90621"/>
    <w:rsid w:val="00D907CB"/>
    <w:rsid w:val="00D90A24"/>
    <w:rsid w:val="00D90A54"/>
    <w:rsid w:val="00D90A5B"/>
    <w:rsid w:val="00D91709"/>
    <w:rsid w:val="00D91BF2"/>
    <w:rsid w:val="00D9202B"/>
    <w:rsid w:val="00D9205E"/>
    <w:rsid w:val="00D92176"/>
    <w:rsid w:val="00D92E70"/>
    <w:rsid w:val="00D92ECB"/>
    <w:rsid w:val="00D93054"/>
    <w:rsid w:val="00D93328"/>
    <w:rsid w:val="00D935A3"/>
    <w:rsid w:val="00D93B24"/>
    <w:rsid w:val="00D93C1C"/>
    <w:rsid w:val="00D94026"/>
    <w:rsid w:val="00D94120"/>
    <w:rsid w:val="00D9424B"/>
    <w:rsid w:val="00D94B80"/>
    <w:rsid w:val="00D94EF0"/>
    <w:rsid w:val="00D94F43"/>
    <w:rsid w:val="00D951DD"/>
    <w:rsid w:val="00D952CB"/>
    <w:rsid w:val="00D952ED"/>
    <w:rsid w:val="00D954F8"/>
    <w:rsid w:val="00D957FA"/>
    <w:rsid w:val="00D9660E"/>
    <w:rsid w:val="00D9664C"/>
    <w:rsid w:val="00D96A2E"/>
    <w:rsid w:val="00D96EC6"/>
    <w:rsid w:val="00D973B7"/>
    <w:rsid w:val="00D97404"/>
    <w:rsid w:val="00D97415"/>
    <w:rsid w:val="00D9742D"/>
    <w:rsid w:val="00D97567"/>
    <w:rsid w:val="00D975A3"/>
    <w:rsid w:val="00D979D0"/>
    <w:rsid w:val="00D97B95"/>
    <w:rsid w:val="00DA023E"/>
    <w:rsid w:val="00DA03BA"/>
    <w:rsid w:val="00DA04D5"/>
    <w:rsid w:val="00DA051C"/>
    <w:rsid w:val="00DA05DA"/>
    <w:rsid w:val="00DA0671"/>
    <w:rsid w:val="00DA0761"/>
    <w:rsid w:val="00DA082B"/>
    <w:rsid w:val="00DA08CA"/>
    <w:rsid w:val="00DA0AB4"/>
    <w:rsid w:val="00DA0CA1"/>
    <w:rsid w:val="00DA0F37"/>
    <w:rsid w:val="00DA101A"/>
    <w:rsid w:val="00DA10DD"/>
    <w:rsid w:val="00DA11A2"/>
    <w:rsid w:val="00DA1205"/>
    <w:rsid w:val="00DA122C"/>
    <w:rsid w:val="00DA1262"/>
    <w:rsid w:val="00DA1325"/>
    <w:rsid w:val="00DA150E"/>
    <w:rsid w:val="00DA196B"/>
    <w:rsid w:val="00DA19B1"/>
    <w:rsid w:val="00DA1FF1"/>
    <w:rsid w:val="00DA24BD"/>
    <w:rsid w:val="00DA25A8"/>
    <w:rsid w:val="00DA25D2"/>
    <w:rsid w:val="00DA2BB5"/>
    <w:rsid w:val="00DA2CA9"/>
    <w:rsid w:val="00DA2F99"/>
    <w:rsid w:val="00DA2FD5"/>
    <w:rsid w:val="00DA3B64"/>
    <w:rsid w:val="00DA3DCA"/>
    <w:rsid w:val="00DA3E79"/>
    <w:rsid w:val="00DA46E4"/>
    <w:rsid w:val="00DA4838"/>
    <w:rsid w:val="00DA4989"/>
    <w:rsid w:val="00DA4B98"/>
    <w:rsid w:val="00DA4E51"/>
    <w:rsid w:val="00DA5313"/>
    <w:rsid w:val="00DA531A"/>
    <w:rsid w:val="00DA5422"/>
    <w:rsid w:val="00DA544E"/>
    <w:rsid w:val="00DA549E"/>
    <w:rsid w:val="00DA55A4"/>
    <w:rsid w:val="00DA5721"/>
    <w:rsid w:val="00DA5951"/>
    <w:rsid w:val="00DA5A30"/>
    <w:rsid w:val="00DA5CAC"/>
    <w:rsid w:val="00DA5F38"/>
    <w:rsid w:val="00DA5F5F"/>
    <w:rsid w:val="00DA6173"/>
    <w:rsid w:val="00DA62BB"/>
    <w:rsid w:val="00DA643A"/>
    <w:rsid w:val="00DA6443"/>
    <w:rsid w:val="00DA66C8"/>
    <w:rsid w:val="00DA6BCD"/>
    <w:rsid w:val="00DA729C"/>
    <w:rsid w:val="00DA7477"/>
    <w:rsid w:val="00DA7501"/>
    <w:rsid w:val="00DA7526"/>
    <w:rsid w:val="00DA7573"/>
    <w:rsid w:val="00DA75FA"/>
    <w:rsid w:val="00DA7983"/>
    <w:rsid w:val="00DA799A"/>
    <w:rsid w:val="00DA7BD4"/>
    <w:rsid w:val="00DA7E37"/>
    <w:rsid w:val="00DB0068"/>
    <w:rsid w:val="00DB00AF"/>
    <w:rsid w:val="00DB0191"/>
    <w:rsid w:val="00DB0359"/>
    <w:rsid w:val="00DB0407"/>
    <w:rsid w:val="00DB041E"/>
    <w:rsid w:val="00DB0ABE"/>
    <w:rsid w:val="00DB0CE7"/>
    <w:rsid w:val="00DB0E4B"/>
    <w:rsid w:val="00DB0EF6"/>
    <w:rsid w:val="00DB0F10"/>
    <w:rsid w:val="00DB0F8A"/>
    <w:rsid w:val="00DB137B"/>
    <w:rsid w:val="00DB13C4"/>
    <w:rsid w:val="00DB1579"/>
    <w:rsid w:val="00DB1AD7"/>
    <w:rsid w:val="00DB1B5A"/>
    <w:rsid w:val="00DB1C31"/>
    <w:rsid w:val="00DB1CD7"/>
    <w:rsid w:val="00DB1D75"/>
    <w:rsid w:val="00DB1DBE"/>
    <w:rsid w:val="00DB1DE8"/>
    <w:rsid w:val="00DB2154"/>
    <w:rsid w:val="00DB26A8"/>
    <w:rsid w:val="00DB27CF"/>
    <w:rsid w:val="00DB2977"/>
    <w:rsid w:val="00DB29D2"/>
    <w:rsid w:val="00DB2BED"/>
    <w:rsid w:val="00DB2C7D"/>
    <w:rsid w:val="00DB2D99"/>
    <w:rsid w:val="00DB2F3E"/>
    <w:rsid w:val="00DB324C"/>
    <w:rsid w:val="00DB3704"/>
    <w:rsid w:val="00DB3FD3"/>
    <w:rsid w:val="00DB4186"/>
    <w:rsid w:val="00DB435C"/>
    <w:rsid w:val="00DB49BD"/>
    <w:rsid w:val="00DB4A92"/>
    <w:rsid w:val="00DB4C37"/>
    <w:rsid w:val="00DB53C3"/>
    <w:rsid w:val="00DB54E3"/>
    <w:rsid w:val="00DB5707"/>
    <w:rsid w:val="00DB5826"/>
    <w:rsid w:val="00DB5917"/>
    <w:rsid w:val="00DB5D4B"/>
    <w:rsid w:val="00DB5F2A"/>
    <w:rsid w:val="00DB6048"/>
    <w:rsid w:val="00DB6200"/>
    <w:rsid w:val="00DB62C8"/>
    <w:rsid w:val="00DB6965"/>
    <w:rsid w:val="00DB6B3C"/>
    <w:rsid w:val="00DB6BB4"/>
    <w:rsid w:val="00DB6C44"/>
    <w:rsid w:val="00DB6F45"/>
    <w:rsid w:val="00DB72B7"/>
    <w:rsid w:val="00DB7376"/>
    <w:rsid w:val="00DB7546"/>
    <w:rsid w:val="00DB791D"/>
    <w:rsid w:val="00DB79A7"/>
    <w:rsid w:val="00DB7AEF"/>
    <w:rsid w:val="00DB7E8B"/>
    <w:rsid w:val="00DC0555"/>
    <w:rsid w:val="00DC0624"/>
    <w:rsid w:val="00DC08F8"/>
    <w:rsid w:val="00DC0E75"/>
    <w:rsid w:val="00DC0F6B"/>
    <w:rsid w:val="00DC0FC3"/>
    <w:rsid w:val="00DC1016"/>
    <w:rsid w:val="00DC12DF"/>
    <w:rsid w:val="00DC1321"/>
    <w:rsid w:val="00DC16BB"/>
    <w:rsid w:val="00DC18EB"/>
    <w:rsid w:val="00DC19D1"/>
    <w:rsid w:val="00DC1A58"/>
    <w:rsid w:val="00DC1A7D"/>
    <w:rsid w:val="00DC1AC0"/>
    <w:rsid w:val="00DC1C1F"/>
    <w:rsid w:val="00DC1CDD"/>
    <w:rsid w:val="00DC1D7C"/>
    <w:rsid w:val="00DC1D8E"/>
    <w:rsid w:val="00DC1EF3"/>
    <w:rsid w:val="00DC20A5"/>
    <w:rsid w:val="00DC20C3"/>
    <w:rsid w:val="00DC21CE"/>
    <w:rsid w:val="00DC227A"/>
    <w:rsid w:val="00DC22CC"/>
    <w:rsid w:val="00DC2360"/>
    <w:rsid w:val="00DC2643"/>
    <w:rsid w:val="00DC2659"/>
    <w:rsid w:val="00DC26BC"/>
    <w:rsid w:val="00DC26E4"/>
    <w:rsid w:val="00DC2BAE"/>
    <w:rsid w:val="00DC2CEE"/>
    <w:rsid w:val="00DC2DC1"/>
    <w:rsid w:val="00DC2F2F"/>
    <w:rsid w:val="00DC3257"/>
    <w:rsid w:val="00DC3279"/>
    <w:rsid w:val="00DC334E"/>
    <w:rsid w:val="00DC3448"/>
    <w:rsid w:val="00DC34AD"/>
    <w:rsid w:val="00DC3BF1"/>
    <w:rsid w:val="00DC418E"/>
    <w:rsid w:val="00DC4A27"/>
    <w:rsid w:val="00DC4C1E"/>
    <w:rsid w:val="00DC4D1D"/>
    <w:rsid w:val="00DC4D87"/>
    <w:rsid w:val="00DC4F4C"/>
    <w:rsid w:val="00DC54EB"/>
    <w:rsid w:val="00DC56B3"/>
    <w:rsid w:val="00DC574A"/>
    <w:rsid w:val="00DC5768"/>
    <w:rsid w:val="00DC580A"/>
    <w:rsid w:val="00DC586F"/>
    <w:rsid w:val="00DC58AE"/>
    <w:rsid w:val="00DC58D9"/>
    <w:rsid w:val="00DC5B50"/>
    <w:rsid w:val="00DC5C7D"/>
    <w:rsid w:val="00DC5DDC"/>
    <w:rsid w:val="00DC5DEA"/>
    <w:rsid w:val="00DC5E72"/>
    <w:rsid w:val="00DC60E7"/>
    <w:rsid w:val="00DC6340"/>
    <w:rsid w:val="00DC650A"/>
    <w:rsid w:val="00DC66BA"/>
    <w:rsid w:val="00DC66BC"/>
    <w:rsid w:val="00DC6AEA"/>
    <w:rsid w:val="00DC6FEC"/>
    <w:rsid w:val="00DC705D"/>
    <w:rsid w:val="00DC713A"/>
    <w:rsid w:val="00DC7223"/>
    <w:rsid w:val="00DC727F"/>
    <w:rsid w:val="00DC72DF"/>
    <w:rsid w:val="00DC740C"/>
    <w:rsid w:val="00DC742C"/>
    <w:rsid w:val="00DC7614"/>
    <w:rsid w:val="00DC7E78"/>
    <w:rsid w:val="00DC7F6A"/>
    <w:rsid w:val="00DD0493"/>
    <w:rsid w:val="00DD0924"/>
    <w:rsid w:val="00DD0AD1"/>
    <w:rsid w:val="00DD0B4A"/>
    <w:rsid w:val="00DD0CBF"/>
    <w:rsid w:val="00DD0D43"/>
    <w:rsid w:val="00DD0E15"/>
    <w:rsid w:val="00DD1071"/>
    <w:rsid w:val="00DD12FD"/>
    <w:rsid w:val="00DD1576"/>
    <w:rsid w:val="00DD16E3"/>
    <w:rsid w:val="00DD185E"/>
    <w:rsid w:val="00DD1BB3"/>
    <w:rsid w:val="00DD2545"/>
    <w:rsid w:val="00DD264A"/>
    <w:rsid w:val="00DD268C"/>
    <w:rsid w:val="00DD2893"/>
    <w:rsid w:val="00DD28DB"/>
    <w:rsid w:val="00DD2B7E"/>
    <w:rsid w:val="00DD2CC2"/>
    <w:rsid w:val="00DD2EA0"/>
    <w:rsid w:val="00DD2F51"/>
    <w:rsid w:val="00DD3303"/>
    <w:rsid w:val="00DD3327"/>
    <w:rsid w:val="00DD3394"/>
    <w:rsid w:val="00DD34E0"/>
    <w:rsid w:val="00DD3525"/>
    <w:rsid w:val="00DD355D"/>
    <w:rsid w:val="00DD412B"/>
    <w:rsid w:val="00DD43EA"/>
    <w:rsid w:val="00DD4483"/>
    <w:rsid w:val="00DD4513"/>
    <w:rsid w:val="00DD469D"/>
    <w:rsid w:val="00DD4717"/>
    <w:rsid w:val="00DD47D4"/>
    <w:rsid w:val="00DD4A2A"/>
    <w:rsid w:val="00DD4AE7"/>
    <w:rsid w:val="00DD4F74"/>
    <w:rsid w:val="00DD50CF"/>
    <w:rsid w:val="00DD527F"/>
    <w:rsid w:val="00DD52A6"/>
    <w:rsid w:val="00DD52D6"/>
    <w:rsid w:val="00DD531F"/>
    <w:rsid w:val="00DD556C"/>
    <w:rsid w:val="00DD55D7"/>
    <w:rsid w:val="00DD5737"/>
    <w:rsid w:val="00DD5E81"/>
    <w:rsid w:val="00DD5EDF"/>
    <w:rsid w:val="00DD6C46"/>
    <w:rsid w:val="00DD6C6D"/>
    <w:rsid w:val="00DD6C7A"/>
    <w:rsid w:val="00DD6DBB"/>
    <w:rsid w:val="00DD6F44"/>
    <w:rsid w:val="00DD6FA1"/>
    <w:rsid w:val="00DD7158"/>
    <w:rsid w:val="00DD7194"/>
    <w:rsid w:val="00DD7399"/>
    <w:rsid w:val="00DD76B7"/>
    <w:rsid w:val="00DD78E0"/>
    <w:rsid w:val="00DD7CCA"/>
    <w:rsid w:val="00DD7E8E"/>
    <w:rsid w:val="00DE001B"/>
    <w:rsid w:val="00DE05B8"/>
    <w:rsid w:val="00DE069B"/>
    <w:rsid w:val="00DE07B4"/>
    <w:rsid w:val="00DE096E"/>
    <w:rsid w:val="00DE0BDE"/>
    <w:rsid w:val="00DE0C66"/>
    <w:rsid w:val="00DE10CF"/>
    <w:rsid w:val="00DE1270"/>
    <w:rsid w:val="00DE185C"/>
    <w:rsid w:val="00DE1E1E"/>
    <w:rsid w:val="00DE1EC6"/>
    <w:rsid w:val="00DE208F"/>
    <w:rsid w:val="00DE223E"/>
    <w:rsid w:val="00DE2355"/>
    <w:rsid w:val="00DE2575"/>
    <w:rsid w:val="00DE2729"/>
    <w:rsid w:val="00DE2751"/>
    <w:rsid w:val="00DE2A52"/>
    <w:rsid w:val="00DE2D33"/>
    <w:rsid w:val="00DE2D77"/>
    <w:rsid w:val="00DE2DAE"/>
    <w:rsid w:val="00DE2F98"/>
    <w:rsid w:val="00DE2F99"/>
    <w:rsid w:val="00DE3355"/>
    <w:rsid w:val="00DE34EB"/>
    <w:rsid w:val="00DE3592"/>
    <w:rsid w:val="00DE374D"/>
    <w:rsid w:val="00DE3A93"/>
    <w:rsid w:val="00DE3E1B"/>
    <w:rsid w:val="00DE3E78"/>
    <w:rsid w:val="00DE40AA"/>
    <w:rsid w:val="00DE40EB"/>
    <w:rsid w:val="00DE40F0"/>
    <w:rsid w:val="00DE413B"/>
    <w:rsid w:val="00DE41F8"/>
    <w:rsid w:val="00DE48B4"/>
    <w:rsid w:val="00DE48E1"/>
    <w:rsid w:val="00DE49BA"/>
    <w:rsid w:val="00DE4B1D"/>
    <w:rsid w:val="00DE4B9D"/>
    <w:rsid w:val="00DE4D4D"/>
    <w:rsid w:val="00DE4E37"/>
    <w:rsid w:val="00DE504D"/>
    <w:rsid w:val="00DE50BC"/>
    <w:rsid w:val="00DE50EA"/>
    <w:rsid w:val="00DE52F4"/>
    <w:rsid w:val="00DE536F"/>
    <w:rsid w:val="00DE545C"/>
    <w:rsid w:val="00DE54F9"/>
    <w:rsid w:val="00DE5512"/>
    <w:rsid w:val="00DE5722"/>
    <w:rsid w:val="00DE5753"/>
    <w:rsid w:val="00DE57D0"/>
    <w:rsid w:val="00DE5832"/>
    <w:rsid w:val="00DE5886"/>
    <w:rsid w:val="00DE5ACF"/>
    <w:rsid w:val="00DE5B48"/>
    <w:rsid w:val="00DE5B62"/>
    <w:rsid w:val="00DE5C9F"/>
    <w:rsid w:val="00DE5DB8"/>
    <w:rsid w:val="00DE6392"/>
    <w:rsid w:val="00DE639B"/>
    <w:rsid w:val="00DE6A44"/>
    <w:rsid w:val="00DE70AF"/>
    <w:rsid w:val="00DE734E"/>
    <w:rsid w:val="00DE7887"/>
    <w:rsid w:val="00DE78C3"/>
    <w:rsid w:val="00DE7A31"/>
    <w:rsid w:val="00DE7BF8"/>
    <w:rsid w:val="00DF039C"/>
    <w:rsid w:val="00DF041A"/>
    <w:rsid w:val="00DF04BF"/>
    <w:rsid w:val="00DF04DC"/>
    <w:rsid w:val="00DF07D0"/>
    <w:rsid w:val="00DF08BE"/>
    <w:rsid w:val="00DF0DC3"/>
    <w:rsid w:val="00DF1026"/>
    <w:rsid w:val="00DF14F9"/>
    <w:rsid w:val="00DF15D3"/>
    <w:rsid w:val="00DF17AF"/>
    <w:rsid w:val="00DF1B2D"/>
    <w:rsid w:val="00DF1B95"/>
    <w:rsid w:val="00DF1C2D"/>
    <w:rsid w:val="00DF1CB1"/>
    <w:rsid w:val="00DF1DDA"/>
    <w:rsid w:val="00DF1E92"/>
    <w:rsid w:val="00DF1FAE"/>
    <w:rsid w:val="00DF204D"/>
    <w:rsid w:val="00DF209D"/>
    <w:rsid w:val="00DF2501"/>
    <w:rsid w:val="00DF25F2"/>
    <w:rsid w:val="00DF28A9"/>
    <w:rsid w:val="00DF2ABF"/>
    <w:rsid w:val="00DF2AD9"/>
    <w:rsid w:val="00DF2B07"/>
    <w:rsid w:val="00DF2BDC"/>
    <w:rsid w:val="00DF2C1E"/>
    <w:rsid w:val="00DF2F04"/>
    <w:rsid w:val="00DF3477"/>
    <w:rsid w:val="00DF3492"/>
    <w:rsid w:val="00DF3677"/>
    <w:rsid w:val="00DF3938"/>
    <w:rsid w:val="00DF3BA3"/>
    <w:rsid w:val="00DF3D27"/>
    <w:rsid w:val="00DF3E5F"/>
    <w:rsid w:val="00DF3F8F"/>
    <w:rsid w:val="00DF3F99"/>
    <w:rsid w:val="00DF407F"/>
    <w:rsid w:val="00DF4344"/>
    <w:rsid w:val="00DF44AB"/>
    <w:rsid w:val="00DF466A"/>
    <w:rsid w:val="00DF47E3"/>
    <w:rsid w:val="00DF4971"/>
    <w:rsid w:val="00DF49B2"/>
    <w:rsid w:val="00DF4A72"/>
    <w:rsid w:val="00DF506C"/>
    <w:rsid w:val="00DF5122"/>
    <w:rsid w:val="00DF51A3"/>
    <w:rsid w:val="00DF54D0"/>
    <w:rsid w:val="00DF563E"/>
    <w:rsid w:val="00DF580C"/>
    <w:rsid w:val="00DF5B95"/>
    <w:rsid w:val="00DF5C1A"/>
    <w:rsid w:val="00DF5D3A"/>
    <w:rsid w:val="00DF6043"/>
    <w:rsid w:val="00DF623C"/>
    <w:rsid w:val="00DF63C7"/>
    <w:rsid w:val="00DF65AD"/>
    <w:rsid w:val="00DF6828"/>
    <w:rsid w:val="00DF68F0"/>
    <w:rsid w:val="00DF696F"/>
    <w:rsid w:val="00DF6BCB"/>
    <w:rsid w:val="00DF6CFB"/>
    <w:rsid w:val="00DF6D2D"/>
    <w:rsid w:val="00DF6D45"/>
    <w:rsid w:val="00DF6DAB"/>
    <w:rsid w:val="00DF6F0E"/>
    <w:rsid w:val="00DF7042"/>
    <w:rsid w:val="00DF71A6"/>
    <w:rsid w:val="00DF7244"/>
    <w:rsid w:val="00DF780C"/>
    <w:rsid w:val="00DF78FD"/>
    <w:rsid w:val="00DF7A14"/>
    <w:rsid w:val="00DF7A32"/>
    <w:rsid w:val="00DF7C13"/>
    <w:rsid w:val="00DF7C64"/>
    <w:rsid w:val="00DF7CA9"/>
    <w:rsid w:val="00DF7EFE"/>
    <w:rsid w:val="00E00318"/>
    <w:rsid w:val="00E0037B"/>
    <w:rsid w:val="00E0041D"/>
    <w:rsid w:val="00E0088B"/>
    <w:rsid w:val="00E008D1"/>
    <w:rsid w:val="00E00923"/>
    <w:rsid w:val="00E00A1F"/>
    <w:rsid w:val="00E00ADB"/>
    <w:rsid w:val="00E00DBD"/>
    <w:rsid w:val="00E00E15"/>
    <w:rsid w:val="00E00F63"/>
    <w:rsid w:val="00E01210"/>
    <w:rsid w:val="00E014C0"/>
    <w:rsid w:val="00E018D5"/>
    <w:rsid w:val="00E0198B"/>
    <w:rsid w:val="00E01D50"/>
    <w:rsid w:val="00E01DD5"/>
    <w:rsid w:val="00E0207F"/>
    <w:rsid w:val="00E021AC"/>
    <w:rsid w:val="00E021D2"/>
    <w:rsid w:val="00E0224D"/>
    <w:rsid w:val="00E02482"/>
    <w:rsid w:val="00E0257A"/>
    <w:rsid w:val="00E02664"/>
    <w:rsid w:val="00E027E3"/>
    <w:rsid w:val="00E02A16"/>
    <w:rsid w:val="00E02C4D"/>
    <w:rsid w:val="00E02DAA"/>
    <w:rsid w:val="00E02E83"/>
    <w:rsid w:val="00E031A5"/>
    <w:rsid w:val="00E0321D"/>
    <w:rsid w:val="00E0341B"/>
    <w:rsid w:val="00E0343A"/>
    <w:rsid w:val="00E0348F"/>
    <w:rsid w:val="00E03590"/>
    <w:rsid w:val="00E035A6"/>
    <w:rsid w:val="00E036DF"/>
    <w:rsid w:val="00E036E9"/>
    <w:rsid w:val="00E038D4"/>
    <w:rsid w:val="00E038F5"/>
    <w:rsid w:val="00E039B9"/>
    <w:rsid w:val="00E03A54"/>
    <w:rsid w:val="00E03B05"/>
    <w:rsid w:val="00E03B2D"/>
    <w:rsid w:val="00E03D67"/>
    <w:rsid w:val="00E03F08"/>
    <w:rsid w:val="00E04082"/>
    <w:rsid w:val="00E043EA"/>
    <w:rsid w:val="00E04510"/>
    <w:rsid w:val="00E045E2"/>
    <w:rsid w:val="00E04784"/>
    <w:rsid w:val="00E04B52"/>
    <w:rsid w:val="00E04FB8"/>
    <w:rsid w:val="00E0501C"/>
    <w:rsid w:val="00E05569"/>
    <w:rsid w:val="00E0584A"/>
    <w:rsid w:val="00E05A6C"/>
    <w:rsid w:val="00E05B02"/>
    <w:rsid w:val="00E05B9F"/>
    <w:rsid w:val="00E05F59"/>
    <w:rsid w:val="00E0655D"/>
    <w:rsid w:val="00E065BA"/>
    <w:rsid w:val="00E0670D"/>
    <w:rsid w:val="00E067B3"/>
    <w:rsid w:val="00E06D66"/>
    <w:rsid w:val="00E06E22"/>
    <w:rsid w:val="00E06E9C"/>
    <w:rsid w:val="00E07351"/>
    <w:rsid w:val="00E073A2"/>
    <w:rsid w:val="00E073C2"/>
    <w:rsid w:val="00E07423"/>
    <w:rsid w:val="00E077E1"/>
    <w:rsid w:val="00E078B9"/>
    <w:rsid w:val="00E07CB9"/>
    <w:rsid w:val="00E100C7"/>
    <w:rsid w:val="00E1013F"/>
    <w:rsid w:val="00E1024A"/>
    <w:rsid w:val="00E102E3"/>
    <w:rsid w:val="00E102E4"/>
    <w:rsid w:val="00E10486"/>
    <w:rsid w:val="00E105CB"/>
    <w:rsid w:val="00E10653"/>
    <w:rsid w:val="00E10B17"/>
    <w:rsid w:val="00E10B67"/>
    <w:rsid w:val="00E10B6C"/>
    <w:rsid w:val="00E10B76"/>
    <w:rsid w:val="00E10DCC"/>
    <w:rsid w:val="00E1104F"/>
    <w:rsid w:val="00E11150"/>
    <w:rsid w:val="00E11764"/>
    <w:rsid w:val="00E1220E"/>
    <w:rsid w:val="00E122F3"/>
    <w:rsid w:val="00E1241A"/>
    <w:rsid w:val="00E12742"/>
    <w:rsid w:val="00E12815"/>
    <w:rsid w:val="00E128C0"/>
    <w:rsid w:val="00E128EF"/>
    <w:rsid w:val="00E12AB9"/>
    <w:rsid w:val="00E12B67"/>
    <w:rsid w:val="00E12C0C"/>
    <w:rsid w:val="00E12DAE"/>
    <w:rsid w:val="00E12EFD"/>
    <w:rsid w:val="00E12F3D"/>
    <w:rsid w:val="00E12F73"/>
    <w:rsid w:val="00E13127"/>
    <w:rsid w:val="00E1352F"/>
    <w:rsid w:val="00E13CF4"/>
    <w:rsid w:val="00E13ED1"/>
    <w:rsid w:val="00E141D3"/>
    <w:rsid w:val="00E14322"/>
    <w:rsid w:val="00E145E5"/>
    <w:rsid w:val="00E1470F"/>
    <w:rsid w:val="00E14941"/>
    <w:rsid w:val="00E1496C"/>
    <w:rsid w:val="00E14A13"/>
    <w:rsid w:val="00E14C66"/>
    <w:rsid w:val="00E14D03"/>
    <w:rsid w:val="00E1526B"/>
    <w:rsid w:val="00E1534B"/>
    <w:rsid w:val="00E153C8"/>
    <w:rsid w:val="00E15408"/>
    <w:rsid w:val="00E15743"/>
    <w:rsid w:val="00E1591E"/>
    <w:rsid w:val="00E15B37"/>
    <w:rsid w:val="00E15C52"/>
    <w:rsid w:val="00E15E23"/>
    <w:rsid w:val="00E15EDA"/>
    <w:rsid w:val="00E15F02"/>
    <w:rsid w:val="00E15F0B"/>
    <w:rsid w:val="00E160E8"/>
    <w:rsid w:val="00E16148"/>
    <w:rsid w:val="00E1614E"/>
    <w:rsid w:val="00E16199"/>
    <w:rsid w:val="00E16274"/>
    <w:rsid w:val="00E16311"/>
    <w:rsid w:val="00E16322"/>
    <w:rsid w:val="00E164D4"/>
    <w:rsid w:val="00E165E5"/>
    <w:rsid w:val="00E16C4E"/>
    <w:rsid w:val="00E1702C"/>
    <w:rsid w:val="00E1703F"/>
    <w:rsid w:val="00E170CF"/>
    <w:rsid w:val="00E1712F"/>
    <w:rsid w:val="00E17140"/>
    <w:rsid w:val="00E1738A"/>
    <w:rsid w:val="00E17401"/>
    <w:rsid w:val="00E17588"/>
    <w:rsid w:val="00E1765C"/>
    <w:rsid w:val="00E178A1"/>
    <w:rsid w:val="00E178F7"/>
    <w:rsid w:val="00E17A87"/>
    <w:rsid w:val="00E17D81"/>
    <w:rsid w:val="00E17FAA"/>
    <w:rsid w:val="00E20098"/>
    <w:rsid w:val="00E20687"/>
    <w:rsid w:val="00E20729"/>
    <w:rsid w:val="00E20B17"/>
    <w:rsid w:val="00E20CC5"/>
    <w:rsid w:val="00E20D41"/>
    <w:rsid w:val="00E211EE"/>
    <w:rsid w:val="00E213E7"/>
    <w:rsid w:val="00E21557"/>
    <w:rsid w:val="00E21873"/>
    <w:rsid w:val="00E21ACA"/>
    <w:rsid w:val="00E21E85"/>
    <w:rsid w:val="00E21F93"/>
    <w:rsid w:val="00E2229F"/>
    <w:rsid w:val="00E22474"/>
    <w:rsid w:val="00E2257B"/>
    <w:rsid w:val="00E22B80"/>
    <w:rsid w:val="00E22C0E"/>
    <w:rsid w:val="00E22CFF"/>
    <w:rsid w:val="00E22D6C"/>
    <w:rsid w:val="00E22DDE"/>
    <w:rsid w:val="00E230FD"/>
    <w:rsid w:val="00E231CD"/>
    <w:rsid w:val="00E231E1"/>
    <w:rsid w:val="00E23359"/>
    <w:rsid w:val="00E23435"/>
    <w:rsid w:val="00E23517"/>
    <w:rsid w:val="00E237C6"/>
    <w:rsid w:val="00E2381D"/>
    <w:rsid w:val="00E23888"/>
    <w:rsid w:val="00E23B9C"/>
    <w:rsid w:val="00E23C9F"/>
    <w:rsid w:val="00E23CE3"/>
    <w:rsid w:val="00E23CF7"/>
    <w:rsid w:val="00E23E76"/>
    <w:rsid w:val="00E240FB"/>
    <w:rsid w:val="00E241F7"/>
    <w:rsid w:val="00E249DB"/>
    <w:rsid w:val="00E24A68"/>
    <w:rsid w:val="00E24C71"/>
    <w:rsid w:val="00E24EE0"/>
    <w:rsid w:val="00E24EFA"/>
    <w:rsid w:val="00E251BA"/>
    <w:rsid w:val="00E253A3"/>
    <w:rsid w:val="00E25402"/>
    <w:rsid w:val="00E254B1"/>
    <w:rsid w:val="00E258AD"/>
    <w:rsid w:val="00E259B0"/>
    <w:rsid w:val="00E25AB4"/>
    <w:rsid w:val="00E25AF8"/>
    <w:rsid w:val="00E25B07"/>
    <w:rsid w:val="00E25C85"/>
    <w:rsid w:val="00E25D5B"/>
    <w:rsid w:val="00E25DA7"/>
    <w:rsid w:val="00E26316"/>
    <w:rsid w:val="00E26464"/>
    <w:rsid w:val="00E26654"/>
    <w:rsid w:val="00E26A87"/>
    <w:rsid w:val="00E26AEC"/>
    <w:rsid w:val="00E26BB0"/>
    <w:rsid w:val="00E272A9"/>
    <w:rsid w:val="00E274E7"/>
    <w:rsid w:val="00E2757B"/>
    <w:rsid w:val="00E278FB"/>
    <w:rsid w:val="00E2792D"/>
    <w:rsid w:val="00E27B00"/>
    <w:rsid w:val="00E27B2D"/>
    <w:rsid w:val="00E27E3B"/>
    <w:rsid w:val="00E27F27"/>
    <w:rsid w:val="00E27F99"/>
    <w:rsid w:val="00E30046"/>
    <w:rsid w:val="00E30093"/>
    <w:rsid w:val="00E301D8"/>
    <w:rsid w:val="00E303E2"/>
    <w:rsid w:val="00E30828"/>
    <w:rsid w:val="00E30830"/>
    <w:rsid w:val="00E30B37"/>
    <w:rsid w:val="00E30DA6"/>
    <w:rsid w:val="00E30E5E"/>
    <w:rsid w:val="00E3109C"/>
    <w:rsid w:val="00E3115F"/>
    <w:rsid w:val="00E31193"/>
    <w:rsid w:val="00E311D1"/>
    <w:rsid w:val="00E31664"/>
    <w:rsid w:val="00E31936"/>
    <w:rsid w:val="00E31C2D"/>
    <w:rsid w:val="00E31E62"/>
    <w:rsid w:val="00E31EC8"/>
    <w:rsid w:val="00E320AA"/>
    <w:rsid w:val="00E32396"/>
    <w:rsid w:val="00E32432"/>
    <w:rsid w:val="00E324E0"/>
    <w:rsid w:val="00E32FF3"/>
    <w:rsid w:val="00E33959"/>
    <w:rsid w:val="00E33A34"/>
    <w:rsid w:val="00E33B1E"/>
    <w:rsid w:val="00E33D3E"/>
    <w:rsid w:val="00E34277"/>
    <w:rsid w:val="00E3469B"/>
    <w:rsid w:val="00E347DF"/>
    <w:rsid w:val="00E34B41"/>
    <w:rsid w:val="00E34C58"/>
    <w:rsid w:val="00E34D07"/>
    <w:rsid w:val="00E34DAE"/>
    <w:rsid w:val="00E35354"/>
    <w:rsid w:val="00E3556B"/>
    <w:rsid w:val="00E35678"/>
    <w:rsid w:val="00E3593E"/>
    <w:rsid w:val="00E35F04"/>
    <w:rsid w:val="00E3620B"/>
    <w:rsid w:val="00E3621B"/>
    <w:rsid w:val="00E363E6"/>
    <w:rsid w:val="00E364DD"/>
    <w:rsid w:val="00E36E58"/>
    <w:rsid w:val="00E36F39"/>
    <w:rsid w:val="00E36F43"/>
    <w:rsid w:val="00E373B0"/>
    <w:rsid w:val="00E377A5"/>
    <w:rsid w:val="00E378C3"/>
    <w:rsid w:val="00E37B9F"/>
    <w:rsid w:val="00E37C3B"/>
    <w:rsid w:val="00E37F0C"/>
    <w:rsid w:val="00E40091"/>
    <w:rsid w:val="00E4011D"/>
    <w:rsid w:val="00E4060D"/>
    <w:rsid w:val="00E409D9"/>
    <w:rsid w:val="00E40A6B"/>
    <w:rsid w:val="00E40A98"/>
    <w:rsid w:val="00E40ADF"/>
    <w:rsid w:val="00E40B50"/>
    <w:rsid w:val="00E40DBB"/>
    <w:rsid w:val="00E40E11"/>
    <w:rsid w:val="00E410FF"/>
    <w:rsid w:val="00E411EF"/>
    <w:rsid w:val="00E41392"/>
    <w:rsid w:val="00E41422"/>
    <w:rsid w:val="00E414EF"/>
    <w:rsid w:val="00E414F3"/>
    <w:rsid w:val="00E418E3"/>
    <w:rsid w:val="00E41939"/>
    <w:rsid w:val="00E41960"/>
    <w:rsid w:val="00E419C3"/>
    <w:rsid w:val="00E41AA4"/>
    <w:rsid w:val="00E41B11"/>
    <w:rsid w:val="00E41D98"/>
    <w:rsid w:val="00E41E68"/>
    <w:rsid w:val="00E41FA3"/>
    <w:rsid w:val="00E421BF"/>
    <w:rsid w:val="00E423DE"/>
    <w:rsid w:val="00E4251D"/>
    <w:rsid w:val="00E42837"/>
    <w:rsid w:val="00E42ACF"/>
    <w:rsid w:val="00E42C98"/>
    <w:rsid w:val="00E42CB7"/>
    <w:rsid w:val="00E42DA7"/>
    <w:rsid w:val="00E42E8D"/>
    <w:rsid w:val="00E42F07"/>
    <w:rsid w:val="00E436FD"/>
    <w:rsid w:val="00E4370F"/>
    <w:rsid w:val="00E4381C"/>
    <w:rsid w:val="00E439C2"/>
    <w:rsid w:val="00E43B5B"/>
    <w:rsid w:val="00E43EED"/>
    <w:rsid w:val="00E4411A"/>
    <w:rsid w:val="00E4441D"/>
    <w:rsid w:val="00E444D0"/>
    <w:rsid w:val="00E4492E"/>
    <w:rsid w:val="00E44A86"/>
    <w:rsid w:val="00E44BED"/>
    <w:rsid w:val="00E44DB9"/>
    <w:rsid w:val="00E44E4C"/>
    <w:rsid w:val="00E44ECE"/>
    <w:rsid w:val="00E453AB"/>
    <w:rsid w:val="00E45882"/>
    <w:rsid w:val="00E45A72"/>
    <w:rsid w:val="00E45B36"/>
    <w:rsid w:val="00E45C62"/>
    <w:rsid w:val="00E45EE8"/>
    <w:rsid w:val="00E462E6"/>
    <w:rsid w:val="00E463A0"/>
    <w:rsid w:val="00E4655F"/>
    <w:rsid w:val="00E465DF"/>
    <w:rsid w:val="00E466AD"/>
    <w:rsid w:val="00E4675C"/>
    <w:rsid w:val="00E46A52"/>
    <w:rsid w:val="00E46C1B"/>
    <w:rsid w:val="00E46CC6"/>
    <w:rsid w:val="00E46E2A"/>
    <w:rsid w:val="00E46FE5"/>
    <w:rsid w:val="00E470A8"/>
    <w:rsid w:val="00E47362"/>
    <w:rsid w:val="00E474CA"/>
    <w:rsid w:val="00E475EA"/>
    <w:rsid w:val="00E47839"/>
    <w:rsid w:val="00E478A0"/>
    <w:rsid w:val="00E4790A"/>
    <w:rsid w:val="00E47911"/>
    <w:rsid w:val="00E47983"/>
    <w:rsid w:val="00E47A8C"/>
    <w:rsid w:val="00E47E1C"/>
    <w:rsid w:val="00E50479"/>
    <w:rsid w:val="00E50610"/>
    <w:rsid w:val="00E50719"/>
    <w:rsid w:val="00E5074E"/>
    <w:rsid w:val="00E50804"/>
    <w:rsid w:val="00E5086A"/>
    <w:rsid w:val="00E50876"/>
    <w:rsid w:val="00E51054"/>
    <w:rsid w:val="00E51AA0"/>
    <w:rsid w:val="00E51BCC"/>
    <w:rsid w:val="00E51CDE"/>
    <w:rsid w:val="00E51F8F"/>
    <w:rsid w:val="00E51FFC"/>
    <w:rsid w:val="00E5210B"/>
    <w:rsid w:val="00E52233"/>
    <w:rsid w:val="00E5238A"/>
    <w:rsid w:val="00E5248E"/>
    <w:rsid w:val="00E524B8"/>
    <w:rsid w:val="00E52FD5"/>
    <w:rsid w:val="00E53083"/>
    <w:rsid w:val="00E53224"/>
    <w:rsid w:val="00E53268"/>
    <w:rsid w:val="00E53631"/>
    <w:rsid w:val="00E5388F"/>
    <w:rsid w:val="00E53971"/>
    <w:rsid w:val="00E53C87"/>
    <w:rsid w:val="00E53EC4"/>
    <w:rsid w:val="00E54088"/>
    <w:rsid w:val="00E540A7"/>
    <w:rsid w:val="00E54239"/>
    <w:rsid w:val="00E54272"/>
    <w:rsid w:val="00E542BC"/>
    <w:rsid w:val="00E5441F"/>
    <w:rsid w:val="00E54521"/>
    <w:rsid w:val="00E545A0"/>
    <w:rsid w:val="00E54617"/>
    <w:rsid w:val="00E5484B"/>
    <w:rsid w:val="00E54C2F"/>
    <w:rsid w:val="00E551C9"/>
    <w:rsid w:val="00E5557D"/>
    <w:rsid w:val="00E55705"/>
    <w:rsid w:val="00E55906"/>
    <w:rsid w:val="00E55A33"/>
    <w:rsid w:val="00E55D36"/>
    <w:rsid w:val="00E55D87"/>
    <w:rsid w:val="00E55FCF"/>
    <w:rsid w:val="00E56023"/>
    <w:rsid w:val="00E5620D"/>
    <w:rsid w:val="00E56531"/>
    <w:rsid w:val="00E568D8"/>
    <w:rsid w:val="00E569D2"/>
    <w:rsid w:val="00E56A02"/>
    <w:rsid w:val="00E56D6E"/>
    <w:rsid w:val="00E56FEA"/>
    <w:rsid w:val="00E56FEF"/>
    <w:rsid w:val="00E57140"/>
    <w:rsid w:val="00E5721E"/>
    <w:rsid w:val="00E5773A"/>
    <w:rsid w:val="00E577F9"/>
    <w:rsid w:val="00E57D97"/>
    <w:rsid w:val="00E57FB5"/>
    <w:rsid w:val="00E60202"/>
    <w:rsid w:val="00E6035F"/>
    <w:rsid w:val="00E604E4"/>
    <w:rsid w:val="00E604F2"/>
    <w:rsid w:val="00E60703"/>
    <w:rsid w:val="00E60827"/>
    <w:rsid w:val="00E60AAE"/>
    <w:rsid w:val="00E60BD0"/>
    <w:rsid w:val="00E60F14"/>
    <w:rsid w:val="00E61851"/>
    <w:rsid w:val="00E6199E"/>
    <w:rsid w:val="00E61B23"/>
    <w:rsid w:val="00E61DB4"/>
    <w:rsid w:val="00E61E4E"/>
    <w:rsid w:val="00E6245B"/>
    <w:rsid w:val="00E625BE"/>
    <w:rsid w:val="00E625F7"/>
    <w:rsid w:val="00E626E9"/>
    <w:rsid w:val="00E6284B"/>
    <w:rsid w:val="00E62B47"/>
    <w:rsid w:val="00E62D06"/>
    <w:rsid w:val="00E62D07"/>
    <w:rsid w:val="00E62DF6"/>
    <w:rsid w:val="00E62F2C"/>
    <w:rsid w:val="00E62FE8"/>
    <w:rsid w:val="00E6307B"/>
    <w:rsid w:val="00E63086"/>
    <w:rsid w:val="00E631CF"/>
    <w:rsid w:val="00E6326C"/>
    <w:rsid w:val="00E63526"/>
    <w:rsid w:val="00E635BF"/>
    <w:rsid w:val="00E6394B"/>
    <w:rsid w:val="00E63A22"/>
    <w:rsid w:val="00E63B58"/>
    <w:rsid w:val="00E63B8F"/>
    <w:rsid w:val="00E63FBF"/>
    <w:rsid w:val="00E64038"/>
    <w:rsid w:val="00E641CE"/>
    <w:rsid w:val="00E6432B"/>
    <w:rsid w:val="00E6462A"/>
    <w:rsid w:val="00E646B5"/>
    <w:rsid w:val="00E647D2"/>
    <w:rsid w:val="00E649DA"/>
    <w:rsid w:val="00E64DC4"/>
    <w:rsid w:val="00E64E84"/>
    <w:rsid w:val="00E64E99"/>
    <w:rsid w:val="00E65044"/>
    <w:rsid w:val="00E65427"/>
    <w:rsid w:val="00E6543F"/>
    <w:rsid w:val="00E65653"/>
    <w:rsid w:val="00E658D8"/>
    <w:rsid w:val="00E6592D"/>
    <w:rsid w:val="00E65FB3"/>
    <w:rsid w:val="00E661C0"/>
    <w:rsid w:val="00E66340"/>
    <w:rsid w:val="00E663F5"/>
    <w:rsid w:val="00E66714"/>
    <w:rsid w:val="00E667C9"/>
    <w:rsid w:val="00E66829"/>
    <w:rsid w:val="00E668BB"/>
    <w:rsid w:val="00E6690E"/>
    <w:rsid w:val="00E66928"/>
    <w:rsid w:val="00E6694B"/>
    <w:rsid w:val="00E66DA8"/>
    <w:rsid w:val="00E66E97"/>
    <w:rsid w:val="00E66EBE"/>
    <w:rsid w:val="00E6722E"/>
    <w:rsid w:val="00E672C3"/>
    <w:rsid w:val="00E674FF"/>
    <w:rsid w:val="00E67781"/>
    <w:rsid w:val="00E6797A"/>
    <w:rsid w:val="00E67CEF"/>
    <w:rsid w:val="00E7051B"/>
    <w:rsid w:val="00E7058F"/>
    <w:rsid w:val="00E708F3"/>
    <w:rsid w:val="00E70A83"/>
    <w:rsid w:val="00E70BD6"/>
    <w:rsid w:val="00E70E8B"/>
    <w:rsid w:val="00E710A3"/>
    <w:rsid w:val="00E71305"/>
    <w:rsid w:val="00E7149C"/>
    <w:rsid w:val="00E71563"/>
    <w:rsid w:val="00E71BE7"/>
    <w:rsid w:val="00E71DA1"/>
    <w:rsid w:val="00E71FEC"/>
    <w:rsid w:val="00E72088"/>
    <w:rsid w:val="00E72383"/>
    <w:rsid w:val="00E724D2"/>
    <w:rsid w:val="00E72675"/>
    <w:rsid w:val="00E7284E"/>
    <w:rsid w:val="00E7298F"/>
    <w:rsid w:val="00E72CFD"/>
    <w:rsid w:val="00E72D9F"/>
    <w:rsid w:val="00E72EAB"/>
    <w:rsid w:val="00E72F1F"/>
    <w:rsid w:val="00E72F9B"/>
    <w:rsid w:val="00E72FDF"/>
    <w:rsid w:val="00E732F9"/>
    <w:rsid w:val="00E733A2"/>
    <w:rsid w:val="00E7371D"/>
    <w:rsid w:val="00E7375A"/>
    <w:rsid w:val="00E73797"/>
    <w:rsid w:val="00E738C5"/>
    <w:rsid w:val="00E73A4C"/>
    <w:rsid w:val="00E73C41"/>
    <w:rsid w:val="00E73CE8"/>
    <w:rsid w:val="00E73E05"/>
    <w:rsid w:val="00E7421E"/>
    <w:rsid w:val="00E744E7"/>
    <w:rsid w:val="00E745F7"/>
    <w:rsid w:val="00E7465E"/>
    <w:rsid w:val="00E748D5"/>
    <w:rsid w:val="00E74933"/>
    <w:rsid w:val="00E749C3"/>
    <w:rsid w:val="00E74AD6"/>
    <w:rsid w:val="00E74B8B"/>
    <w:rsid w:val="00E74EDC"/>
    <w:rsid w:val="00E753B6"/>
    <w:rsid w:val="00E755B3"/>
    <w:rsid w:val="00E75641"/>
    <w:rsid w:val="00E75737"/>
    <w:rsid w:val="00E75875"/>
    <w:rsid w:val="00E75886"/>
    <w:rsid w:val="00E75D6E"/>
    <w:rsid w:val="00E75FBD"/>
    <w:rsid w:val="00E76007"/>
    <w:rsid w:val="00E76181"/>
    <w:rsid w:val="00E762AC"/>
    <w:rsid w:val="00E76371"/>
    <w:rsid w:val="00E76564"/>
    <w:rsid w:val="00E76826"/>
    <w:rsid w:val="00E76B61"/>
    <w:rsid w:val="00E770B9"/>
    <w:rsid w:val="00E770F2"/>
    <w:rsid w:val="00E7720F"/>
    <w:rsid w:val="00E772B9"/>
    <w:rsid w:val="00E77379"/>
    <w:rsid w:val="00E77561"/>
    <w:rsid w:val="00E776D1"/>
    <w:rsid w:val="00E7775A"/>
    <w:rsid w:val="00E77EAC"/>
    <w:rsid w:val="00E77FE3"/>
    <w:rsid w:val="00E80206"/>
    <w:rsid w:val="00E80441"/>
    <w:rsid w:val="00E80F1F"/>
    <w:rsid w:val="00E81048"/>
    <w:rsid w:val="00E81069"/>
    <w:rsid w:val="00E81103"/>
    <w:rsid w:val="00E811E3"/>
    <w:rsid w:val="00E81365"/>
    <w:rsid w:val="00E81472"/>
    <w:rsid w:val="00E81495"/>
    <w:rsid w:val="00E81600"/>
    <w:rsid w:val="00E81757"/>
    <w:rsid w:val="00E8179C"/>
    <w:rsid w:val="00E817AD"/>
    <w:rsid w:val="00E817EF"/>
    <w:rsid w:val="00E8184F"/>
    <w:rsid w:val="00E819C4"/>
    <w:rsid w:val="00E81B11"/>
    <w:rsid w:val="00E81BE5"/>
    <w:rsid w:val="00E81CB4"/>
    <w:rsid w:val="00E81D17"/>
    <w:rsid w:val="00E81DD4"/>
    <w:rsid w:val="00E81E3D"/>
    <w:rsid w:val="00E81FF2"/>
    <w:rsid w:val="00E8208F"/>
    <w:rsid w:val="00E823B7"/>
    <w:rsid w:val="00E828D5"/>
    <w:rsid w:val="00E82A00"/>
    <w:rsid w:val="00E82D81"/>
    <w:rsid w:val="00E83000"/>
    <w:rsid w:val="00E83259"/>
    <w:rsid w:val="00E837CD"/>
    <w:rsid w:val="00E839BE"/>
    <w:rsid w:val="00E83CAC"/>
    <w:rsid w:val="00E83E90"/>
    <w:rsid w:val="00E83FCF"/>
    <w:rsid w:val="00E84009"/>
    <w:rsid w:val="00E841AA"/>
    <w:rsid w:val="00E8453A"/>
    <w:rsid w:val="00E8493D"/>
    <w:rsid w:val="00E84966"/>
    <w:rsid w:val="00E84C89"/>
    <w:rsid w:val="00E84D51"/>
    <w:rsid w:val="00E84E09"/>
    <w:rsid w:val="00E851E9"/>
    <w:rsid w:val="00E852B1"/>
    <w:rsid w:val="00E854AB"/>
    <w:rsid w:val="00E85544"/>
    <w:rsid w:val="00E8556E"/>
    <w:rsid w:val="00E85826"/>
    <w:rsid w:val="00E85B60"/>
    <w:rsid w:val="00E85C7F"/>
    <w:rsid w:val="00E85D2B"/>
    <w:rsid w:val="00E85E17"/>
    <w:rsid w:val="00E85E56"/>
    <w:rsid w:val="00E86061"/>
    <w:rsid w:val="00E860DD"/>
    <w:rsid w:val="00E862A9"/>
    <w:rsid w:val="00E8686A"/>
    <w:rsid w:val="00E86C0F"/>
    <w:rsid w:val="00E86C82"/>
    <w:rsid w:val="00E86CF2"/>
    <w:rsid w:val="00E86E09"/>
    <w:rsid w:val="00E86F86"/>
    <w:rsid w:val="00E8713D"/>
    <w:rsid w:val="00E87153"/>
    <w:rsid w:val="00E87273"/>
    <w:rsid w:val="00E87A46"/>
    <w:rsid w:val="00E87E95"/>
    <w:rsid w:val="00E87F48"/>
    <w:rsid w:val="00E901B6"/>
    <w:rsid w:val="00E90329"/>
    <w:rsid w:val="00E90533"/>
    <w:rsid w:val="00E90E2B"/>
    <w:rsid w:val="00E910D5"/>
    <w:rsid w:val="00E913B3"/>
    <w:rsid w:val="00E9144D"/>
    <w:rsid w:val="00E91659"/>
    <w:rsid w:val="00E9188D"/>
    <w:rsid w:val="00E91A21"/>
    <w:rsid w:val="00E922C4"/>
    <w:rsid w:val="00E9240C"/>
    <w:rsid w:val="00E92584"/>
    <w:rsid w:val="00E930B4"/>
    <w:rsid w:val="00E9314E"/>
    <w:rsid w:val="00E936D4"/>
    <w:rsid w:val="00E93785"/>
    <w:rsid w:val="00E937A8"/>
    <w:rsid w:val="00E93BFA"/>
    <w:rsid w:val="00E93C42"/>
    <w:rsid w:val="00E943AE"/>
    <w:rsid w:val="00E9448A"/>
    <w:rsid w:val="00E945A4"/>
    <w:rsid w:val="00E947B0"/>
    <w:rsid w:val="00E94AF0"/>
    <w:rsid w:val="00E94B73"/>
    <w:rsid w:val="00E94E8F"/>
    <w:rsid w:val="00E94F1A"/>
    <w:rsid w:val="00E94F5D"/>
    <w:rsid w:val="00E9535C"/>
    <w:rsid w:val="00E95802"/>
    <w:rsid w:val="00E95AF0"/>
    <w:rsid w:val="00E95C10"/>
    <w:rsid w:val="00E95D82"/>
    <w:rsid w:val="00E95F21"/>
    <w:rsid w:val="00E96019"/>
    <w:rsid w:val="00E96273"/>
    <w:rsid w:val="00E9665E"/>
    <w:rsid w:val="00E96840"/>
    <w:rsid w:val="00E96BB8"/>
    <w:rsid w:val="00E96D9C"/>
    <w:rsid w:val="00E96E4A"/>
    <w:rsid w:val="00E96E97"/>
    <w:rsid w:val="00E97269"/>
    <w:rsid w:val="00E97D49"/>
    <w:rsid w:val="00E97F98"/>
    <w:rsid w:val="00EA0156"/>
    <w:rsid w:val="00EA0251"/>
    <w:rsid w:val="00EA05AD"/>
    <w:rsid w:val="00EA0A82"/>
    <w:rsid w:val="00EA0AA0"/>
    <w:rsid w:val="00EA0F32"/>
    <w:rsid w:val="00EA0F72"/>
    <w:rsid w:val="00EA1065"/>
    <w:rsid w:val="00EA114C"/>
    <w:rsid w:val="00EA11EE"/>
    <w:rsid w:val="00EA1243"/>
    <w:rsid w:val="00EA1322"/>
    <w:rsid w:val="00EA1401"/>
    <w:rsid w:val="00EA1405"/>
    <w:rsid w:val="00EA1434"/>
    <w:rsid w:val="00EA17FD"/>
    <w:rsid w:val="00EA19DD"/>
    <w:rsid w:val="00EA1ACD"/>
    <w:rsid w:val="00EA1B87"/>
    <w:rsid w:val="00EA1DFD"/>
    <w:rsid w:val="00EA212E"/>
    <w:rsid w:val="00EA21D6"/>
    <w:rsid w:val="00EA23FB"/>
    <w:rsid w:val="00EA24CB"/>
    <w:rsid w:val="00EA2EAE"/>
    <w:rsid w:val="00EA3133"/>
    <w:rsid w:val="00EA36C3"/>
    <w:rsid w:val="00EA3958"/>
    <w:rsid w:val="00EA3BE7"/>
    <w:rsid w:val="00EA3C21"/>
    <w:rsid w:val="00EA3C3E"/>
    <w:rsid w:val="00EA45D6"/>
    <w:rsid w:val="00EA4634"/>
    <w:rsid w:val="00EA466F"/>
    <w:rsid w:val="00EA4694"/>
    <w:rsid w:val="00EA48D3"/>
    <w:rsid w:val="00EA4B2E"/>
    <w:rsid w:val="00EA4FB4"/>
    <w:rsid w:val="00EA5164"/>
    <w:rsid w:val="00EA532B"/>
    <w:rsid w:val="00EA546B"/>
    <w:rsid w:val="00EA55B2"/>
    <w:rsid w:val="00EA57B0"/>
    <w:rsid w:val="00EA57C5"/>
    <w:rsid w:val="00EA58AD"/>
    <w:rsid w:val="00EA5C10"/>
    <w:rsid w:val="00EA5D7E"/>
    <w:rsid w:val="00EA5F31"/>
    <w:rsid w:val="00EA5F92"/>
    <w:rsid w:val="00EA6202"/>
    <w:rsid w:val="00EA622E"/>
    <w:rsid w:val="00EA63D8"/>
    <w:rsid w:val="00EA6444"/>
    <w:rsid w:val="00EA64B4"/>
    <w:rsid w:val="00EA652C"/>
    <w:rsid w:val="00EA65E0"/>
    <w:rsid w:val="00EA65F1"/>
    <w:rsid w:val="00EA6665"/>
    <w:rsid w:val="00EA67D2"/>
    <w:rsid w:val="00EA6935"/>
    <w:rsid w:val="00EA6967"/>
    <w:rsid w:val="00EA6F21"/>
    <w:rsid w:val="00EA6F44"/>
    <w:rsid w:val="00EA71E9"/>
    <w:rsid w:val="00EA7613"/>
    <w:rsid w:val="00EA7880"/>
    <w:rsid w:val="00EA790F"/>
    <w:rsid w:val="00EA793B"/>
    <w:rsid w:val="00EA7A7E"/>
    <w:rsid w:val="00EA7D10"/>
    <w:rsid w:val="00EB0065"/>
    <w:rsid w:val="00EB05DA"/>
    <w:rsid w:val="00EB0818"/>
    <w:rsid w:val="00EB0AC6"/>
    <w:rsid w:val="00EB0AF2"/>
    <w:rsid w:val="00EB0B94"/>
    <w:rsid w:val="00EB0D6E"/>
    <w:rsid w:val="00EB0DDD"/>
    <w:rsid w:val="00EB0F1E"/>
    <w:rsid w:val="00EB10CE"/>
    <w:rsid w:val="00EB115F"/>
    <w:rsid w:val="00EB1328"/>
    <w:rsid w:val="00EB17EE"/>
    <w:rsid w:val="00EB190F"/>
    <w:rsid w:val="00EB1BD8"/>
    <w:rsid w:val="00EB1C5F"/>
    <w:rsid w:val="00EB1CDE"/>
    <w:rsid w:val="00EB2090"/>
    <w:rsid w:val="00EB212A"/>
    <w:rsid w:val="00EB235B"/>
    <w:rsid w:val="00EB24DD"/>
    <w:rsid w:val="00EB270C"/>
    <w:rsid w:val="00EB3063"/>
    <w:rsid w:val="00EB31A3"/>
    <w:rsid w:val="00EB325B"/>
    <w:rsid w:val="00EB32A5"/>
    <w:rsid w:val="00EB3801"/>
    <w:rsid w:val="00EB39D6"/>
    <w:rsid w:val="00EB3E22"/>
    <w:rsid w:val="00EB3E49"/>
    <w:rsid w:val="00EB454D"/>
    <w:rsid w:val="00EB4835"/>
    <w:rsid w:val="00EB48AE"/>
    <w:rsid w:val="00EB4A5E"/>
    <w:rsid w:val="00EB4BFA"/>
    <w:rsid w:val="00EB4C36"/>
    <w:rsid w:val="00EB50DE"/>
    <w:rsid w:val="00EB513D"/>
    <w:rsid w:val="00EB5284"/>
    <w:rsid w:val="00EB54A1"/>
    <w:rsid w:val="00EB578A"/>
    <w:rsid w:val="00EB6358"/>
    <w:rsid w:val="00EB6462"/>
    <w:rsid w:val="00EB6547"/>
    <w:rsid w:val="00EB68C0"/>
    <w:rsid w:val="00EB693B"/>
    <w:rsid w:val="00EB6A5C"/>
    <w:rsid w:val="00EB6A8B"/>
    <w:rsid w:val="00EB6C12"/>
    <w:rsid w:val="00EB6C2A"/>
    <w:rsid w:val="00EB6E04"/>
    <w:rsid w:val="00EB729C"/>
    <w:rsid w:val="00EB766A"/>
    <w:rsid w:val="00EB7A27"/>
    <w:rsid w:val="00EB7A5F"/>
    <w:rsid w:val="00EB7BA9"/>
    <w:rsid w:val="00EB7D75"/>
    <w:rsid w:val="00EB7E7F"/>
    <w:rsid w:val="00EB7EDA"/>
    <w:rsid w:val="00EC014D"/>
    <w:rsid w:val="00EC02E2"/>
    <w:rsid w:val="00EC0609"/>
    <w:rsid w:val="00EC0688"/>
    <w:rsid w:val="00EC06C8"/>
    <w:rsid w:val="00EC098A"/>
    <w:rsid w:val="00EC0A75"/>
    <w:rsid w:val="00EC0B20"/>
    <w:rsid w:val="00EC0E03"/>
    <w:rsid w:val="00EC0EE7"/>
    <w:rsid w:val="00EC13E2"/>
    <w:rsid w:val="00EC1784"/>
    <w:rsid w:val="00EC1A7F"/>
    <w:rsid w:val="00EC1B82"/>
    <w:rsid w:val="00EC1C3A"/>
    <w:rsid w:val="00EC1D6B"/>
    <w:rsid w:val="00EC1F51"/>
    <w:rsid w:val="00EC21BB"/>
    <w:rsid w:val="00EC2665"/>
    <w:rsid w:val="00EC2B1D"/>
    <w:rsid w:val="00EC2BB6"/>
    <w:rsid w:val="00EC303C"/>
    <w:rsid w:val="00EC323F"/>
    <w:rsid w:val="00EC364A"/>
    <w:rsid w:val="00EC3792"/>
    <w:rsid w:val="00EC3B13"/>
    <w:rsid w:val="00EC3B1D"/>
    <w:rsid w:val="00EC3E00"/>
    <w:rsid w:val="00EC3E94"/>
    <w:rsid w:val="00EC3EAC"/>
    <w:rsid w:val="00EC3F7B"/>
    <w:rsid w:val="00EC3FB1"/>
    <w:rsid w:val="00EC419C"/>
    <w:rsid w:val="00EC4233"/>
    <w:rsid w:val="00EC4415"/>
    <w:rsid w:val="00EC44FF"/>
    <w:rsid w:val="00EC4544"/>
    <w:rsid w:val="00EC470E"/>
    <w:rsid w:val="00EC488B"/>
    <w:rsid w:val="00EC4A85"/>
    <w:rsid w:val="00EC57B2"/>
    <w:rsid w:val="00EC58B6"/>
    <w:rsid w:val="00EC58F4"/>
    <w:rsid w:val="00EC5A60"/>
    <w:rsid w:val="00EC5D2F"/>
    <w:rsid w:val="00EC5F33"/>
    <w:rsid w:val="00EC650B"/>
    <w:rsid w:val="00EC6771"/>
    <w:rsid w:val="00EC6BD7"/>
    <w:rsid w:val="00EC6DB0"/>
    <w:rsid w:val="00EC7029"/>
    <w:rsid w:val="00EC7252"/>
    <w:rsid w:val="00EC74D1"/>
    <w:rsid w:val="00EC74FA"/>
    <w:rsid w:val="00EC772C"/>
    <w:rsid w:val="00EC776E"/>
    <w:rsid w:val="00EC7808"/>
    <w:rsid w:val="00EC793E"/>
    <w:rsid w:val="00EC7B27"/>
    <w:rsid w:val="00EC7BFA"/>
    <w:rsid w:val="00EC7F10"/>
    <w:rsid w:val="00EC7FC6"/>
    <w:rsid w:val="00ED03A9"/>
    <w:rsid w:val="00ED03C3"/>
    <w:rsid w:val="00ED042E"/>
    <w:rsid w:val="00ED05E8"/>
    <w:rsid w:val="00ED0E3C"/>
    <w:rsid w:val="00ED1249"/>
    <w:rsid w:val="00ED1295"/>
    <w:rsid w:val="00ED12D0"/>
    <w:rsid w:val="00ED13C7"/>
    <w:rsid w:val="00ED1BAE"/>
    <w:rsid w:val="00ED1C31"/>
    <w:rsid w:val="00ED1D8C"/>
    <w:rsid w:val="00ED1FF7"/>
    <w:rsid w:val="00ED23EF"/>
    <w:rsid w:val="00ED2725"/>
    <w:rsid w:val="00ED2796"/>
    <w:rsid w:val="00ED27AC"/>
    <w:rsid w:val="00ED2C73"/>
    <w:rsid w:val="00ED2E29"/>
    <w:rsid w:val="00ED34D1"/>
    <w:rsid w:val="00ED365F"/>
    <w:rsid w:val="00ED367F"/>
    <w:rsid w:val="00ED3BFB"/>
    <w:rsid w:val="00ED3C8B"/>
    <w:rsid w:val="00ED4206"/>
    <w:rsid w:val="00ED4342"/>
    <w:rsid w:val="00ED43C1"/>
    <w:rsid w:val="00ED44F8"/>
    <w:rsid w:val="00ED464C"/>
    <w:rsid w:val="00ED473B"/>
    <w:rsid w:val="00ED4A31"/>
    <w:rsid w:val="00ED4F86"/>
    <w:rsid w:val="00ED5212"/>
    <w:rsid w:val="00ED531C"/>
    <w:rsid w:val="00ED5434"/>
    <w:rsid w:val="00ED573C"/>
    <w:rsid w:val="00ED58A2"/>
    <w:rsid w:val="00ED58C3"/>
    <w:rsid w:val="00ED5B05"/>
    <w:rsid w:val="00ED5BB8"/>
    <w:rsid w:val="00ED5C71"/>
    <w:rsid w:val="00ED5EEE"/>
    <w:rsid w:val="00ED5FB7"/>
    <w:rsid w:val="00ED667C"/>
    <w:rsid w:val="00ED682E"/>
    <w:rsid w:val="00ED6973"/>
    <w:rsid w:val="00ED69AA"/>
    <w:rsid w:val="00ED69F8"/>
    <w:rsid w:val="00ED6DA3"/>
    <w:rsid w:val="00ED700D"/>
    <w:rsid w:val="00ED71DC"/>
    <w:rsid w:val="00ED73AC"/>
    <w:rsid w:val="00ED77FA"/>
    <w:rsid w:val="00ED7966"/>
    <w:rsid w:val="00ED7EAD"/>
    <w:rsid w:val="00EE0118"/>
    <w:rsid w:val="00EE01CC"/>
    <w:rsid w:val="00EE0201"/>
    <w:rsid w:val="00EE03D6"/>
    <w:rsid w:val="00EE0454"/>
    <w:rsid w:val="00EE04EE"/>
    <w:rsid w:val="00EE0603"/>
    <w:rsid w:val="00EE06EE"/>
    <w:rsid w:val="00EE0D16"/>
    <w:rsid w:val="00EE0D1F"/>
    <w:rsid w:val="00EE0E6F"/>
    <w:rsid w:val="00EE1041"/>
    <w:rsid w:val="00EE116D"/>
    <w:rsid w:val="00EE1217"/>
    <w:rsid w:val="00EE1253"/>
    <w:rsid w:val="00EE1281"/>
    <w:rsid w:val="00EE1562"/>
    <w:rsid w:val="00EE173B"/>
    <w:rsid w:val="00EE1760"/>
    <w:rsid w:val="00EE18E6"/>
    <w:rsid w:val="00EE192C"/>
    <w:rsid w:val="00EE1ADB"/>
    <w:rsid w:val="00EE1BA5"/>
    <w:rsid w:val="00EE1E7C"/>
    <w:rsid w:val="00EE1F9B"/>
    <w:rsid w:val="00EE228F"/>
    <w:rsid w:val="00EE24E8"/>
    <w:rsid w:val="00EE2614"/>
    <w:rsid w:val="00EE287D"/>
    <w:rsid w:val="00EE2A8C"/>
    <w:rsid w:val="00EE2CAD"/>
    <w:rsid w:val="00EE2E43"/>
    <w:rsid w:val="00EE3434"/>
    <w:rsid w:val="00EE34DB"/>
    <w:rsid w:val="00EE355F"/>
    <w:rsid w:val="00EE37EA"/>
    <w:rsid w:val="00EE3B32"/>
    <w:rsid w:val="00EE3C13"/>
    <w:rsid w:val="00EE3CFF"/>
    <w:rsid w:val="00EE3D3E"/>
    <w:rsid w:val="00EE3DF7"/>
    <w:rsid w:val="00EE3E5D"/>
    <w:rsid w:val="00EE3E63"/>
    <w:rsid w:val="00EE3F39"/>
    <w:rsid w:val="00EE414C"/>
    <w:rsid w:val="00EE4188"/>
    <w:rsid w:val="00EE44FE"/>
    <w:rsid w:val="00EE4517"/>
    <w:rsid w:val="00EE4A68"/>
    <w:rsid w:val="00EE4B37"/>
    <w:rsid w:val="00EE4C4B"/>
    <w:rsid w:val="00EE4C84"/>
    <w:rsid w:val="00EE4CCD"/>
    <w:rsid w:val="00EE5406"/>
    <w:rsid w:val="00EE57A5"/>
    <w:rsid w:val="00EE5A65"/>
    <w:rsid w:val="00EE5B1B"/>
    <w:rsid w:val="00EE5D86"/>
    <w:rsid w:val="00EE5D9E"/>
    <w:rsid w:val="00EE5EF8"/>
    <w:rsid w:val="00EE6163"/>
    <w:rsid w:val="00EE620F"/>
    <w:rsid w:val="00EE6214"/>
    <w:rsid w:val="00EE6534"/>
    <w:rsid w:val="00EE6964"/>
    <w:rsid w:val="00EE6A1D"/>
    <w:rsid w:val="00EE6A3C"/>
    <w:rsid w:val="00EE6D18"/>
    <w:rsid w:val="00EE6D69"/>
    <w:rsid w:val="00EE7022"/>
    <w:rsid w:val="00EE705D"/>
    <w:rsid w:val="00EE714C"/>
    <w:rsid w:val="00EE723C"/>
    <w:rsid w:val="00EE75C9"/>
    <w:rsid w:val="00EE76F3"/>
    <w:rsid w:val="00EE7832"/>
    <w:rsid w:val="00EE7838"/>
    <w:rsid w:val="00EE7850"/>
    <w:rsid w:val="00EE7A40"/>
    <w:rsid w:val="00EE7B12"/>
    <w:rsid w:val="00EE7D12"/>
    <w:rsid w:val="00EE7E7A"/>
    <w:rsid w:val="00EE7E94"/>
    <w:rsid w:val="00EF0379"/>
    <w:rsid w:val="00EF0922"/>
    <w:rsid w:val="00EF0A40"/>
    <w:rsid w:val="00EF0E73"/>
    <w:rsid w:val="00EF1054"/>
    <w:rsid w:val="00EF1230"/>
    <w:rsid w:val="00EF138E"/>
    <w:rsid w:val="00EF1742"/>
    <w:rsid w:val="00EF18BC"/>
    <w:rsid w:val="00EF1B66"/>
    <w:rsid w:val="00EF1D57"/>
    <w:rsid w:val="00EF1FC9"/>
    <w:rsid w:val="00EF223B"/>
    <w:rsid w:val="00EF2299"/>
    <w:rsid w:val="00EF29B7"/>
    <w:rsid w:val="00EF29DE"/>
    <w:rsid w:val="00EF2ABA"/>
    <w:rsid w:val="00EF2ADA"/>
    <w:rsid w:val="00EF2CF1"/>
    <w:rsid w:val="00EF38E2"/>
    <w:rsid w:val="00EF3978"/>
    <w:rsid w:val="00EF3A47"/>
    <w:rsid w:val="00EF3AAC"/>
    <w:rsid w:val="00EF3B28"/>
    <w:rsid w:val="00EF3BB7"/>
    <w:rsid w:val="00EF3CA5"/>
    <w:rsid w:val="00EF3FD5"/>
    <w:rsid w:val="00EF4032"/>
    <w:rsid w:val="00EF41C3"/>
    <w:rsid w:val="00EF41E6"/>
    <w:rsid w:val="00EF426B"/>
    <w:rsid w:val="00EF4638"/>
    <w:rsid w:val="00EF46BA"/>
    <w:rsid w:val="00EF485D"/>
    <w:rsid w:val="00EF4D42"/>
    <w:rsid w:val="00EF4FD1"/>
    <w:rsid w:val="00EF4FE6"/>
    <w:rsid w:val="00EF5074"/>
    <w:rsid w:val="00EF5125"/>
    <w:rsid w:val="00EF5318"/>
    <w:rsid w:val="00EF53A5"/>
    <w:rsid w:val="00EF53F8"/>
    <w:rsid w:val="00EF56FA"/>
    <w:rsid w:val="00EF5902"/>
    <w:rsid w:val="00EF5B0D"/>
    <w:rsid w:val="00EF5CDD"/>
    <w:rsid w:val="00EF5E7C"/>
    <w:rsid w:val="00EF6300"/>
    <w:rsid w:val="00EF6365"/>
    <w:rsid w:val="00EF657A"/>
    <w:rsid w:val="00EF6C1F"/>
    <w:rsid w:val="00EF6EE7"/>
    <w:rsid w:val="00EF708A"/>
    <w:rsid w:val="00EF70F5"/>
    <w:rsid w:val="00EF70F9"/>
    <w:rsid w:val="00EF72C3"/>
    <w:rsid w:val="00EF7591"/>
    <w:rsid w:val="00EF768E"/>
    <w:rsid w:val="00EF76CA"/>
    <w:rsid w:val="00EF76F1"/>
    <w:rsid w:val="00EF7754"/>
    <w:rsid w:val="00EF79CE"/>
    <w:rsid w:val="00EF7A49"/>
    <w:rsid w:val="00EF7C63"/>
    <w:rsid w:val="00EF7DAB"/>
    <w:rsid w:val="00F00152"/>
    <w:rsid w:val="00F001FA"/>
    <w:rsid w:val="00F00352"/>
    <w:rsid w:val="00F005CB"/>
    <w:rsid w:val="00F0063A"/>
    <w:rsid w:val="00F0069D"/>
    <w:rsid w:val="00F00B1B"/>
    <w:rsid w:val="00F00CC2"/>
    <w:rsid w:val="00F00E37"/>
    <w:rsid w:val="00F010EE"/>
    <w:rsid w:val="00F0115F"/>
    <w:rsid w:val="00F0116F"/>
    <w:rsid w:val="00F0127C"/>
    <w:rsid w:val="00F01383"/>
    <w:rsid w:val="00F01528"/>
    <w:rsid w:val="00F01661"/>
    <w:rsid w:val="00F0167D"/>
    <w:rsid w:val="00F0177A"/>
    <w:rsid w:val="00F018AB"/>
    <w:rsid w:val="00F019D5"/>
    <w:rsid w:val="00F01A79"/>
    <w:rsid w:val="00F01ACC"/>
    <w:rsid w:val="00F01AF6"/>
    <w:rsid w:val="00F01C04"/>
    <w:rsid w:val="00F02319"/>
    <w:rsid w:val="00F0239D"/>
    <w:rsid w:val="00F02411"/>
    <w:rsid w:val="00F02476"/>
    <w:rsid w:val="00F02500"/>
    <w:rsid w:val="00F0252C"/>
    <w:rsid w:val="00F025C3"/>
    <w:rsid w:val="00F02AD2"/>
    <w:rsid w:val="00F02D0A"/>
    <w:rsid w:val="00F03107"/>
    <w:rsid w:val="00F032E2"/>
    <w:rsid w:val="00F03536"/>
    <w:rsid w:val="00F037E3"/>
    <w:rsid w:val="00F03991"/>
    <w:rsid w:val="00F03CC7"/>
    <w:rsid w:val="00F03EC7"/>
    <w:rsid w:val="00F03FB2"/>
    <w:rsid w:val="00F03FF2"/>
    <w:rsid w:val="00F04130"/>
    <w:rsid w:val="00F041BB"/>
    <w:rsid w:val="00F0477D"/>
    <w:rsid w:val="00F04AF8"/>
    <w:rsid w:val="00F04D14"/>
    <w:rsid w:val="00F04E26"/>
    <w:rsid w:val="00F04E37"/>
    <w:rsid w:val="00F04F9E"/>
    <w:rsid w:val="00F051A6"/>
    <w:rsid w:val="00F051F1"/>
    <w:rsid w:val="00F05569"/>
    <w:rsid w:val="00F05671"/>
    <w:rsid w:val="00F059B3"/>
    <w:rsid w:val="00F05BF6"/>
    <w:rsid w:val="00F06A08"/>
    <w:rsid w:val="00F06A47"/>
    <w:rsid w:val="00F06A75"/>
    <w:rsid w:val="00F070A1"/>
    <w:rsid w:val="00F0717F"/>
    <w:rsid w:val="00F073E3"/>
    <w:rsid w:val="00F073EC"/>
    <w:rsid w:val="00F073FF"/>
    <w:rsid w:val="00F0747A"/>
    <w:rsid w:val="00F076D3"/>
    <w:rsid w:val="00F07829"/>
    <w:rsid w:val="00F07849"/>
    <w:rsid w:val="00F07882"/>
    <w:rsid w:val="00F07883"/>
    <w:rsid w:val="00F07D7C"/>
    <w:rsid w:val="00F07FF3"/>
    <w:rsid w:val="00F10177"/>
    <w:rsid w:val="00F103B3"/>
    <w:rsid w:val="00F10488"/>
    <w:rsid w:val="00F104FA"/>
    <w:rsid w:val="00F105CC"/>
    <w:rsid w:val="00F1084E"/>
    <w:rsid w:val="00F1085E"/>
    <w:rsid w:val="00F1098B"/>
    <w:rsid w:val="00F10D83"/>
    <w:rsid w:val="00F11301"/>
    <w:rsid w:val="00F115AE"/>
    <w:rsid w:val="00F11786"/>
    <w:rsid w:val="00F11890"/>
    <w:rsid w:val="00F1192B"/>
    <w:rsid w:val="00F1196B"/>
    <w:rsid w:val="00F11A6A"/>
    <w:rsid w:val="00F11AB1"/>
    <w:rsid w:val="00F11EB1"/>
    <w:rsid w:val="00F1221B"/>
    <w:rsid w:val="00F12368"/>
    <w:rsid w:val="00F126BD"/>
    <w:rsid w:val="00F127D4"/>
    <w:rsid w:val="00F12B0B"/>
    <w:rsid w:val="00F12B5D"/>
    <w:rsid w:val="00F12BE3"/>
    <w:rsid w:val="00F12C9E"/>
    <w:rsid w:val="00F12CFE"/>
    <w:rsid w:val="00F13433"/>
    <w:rsid w:val="00F134FC"/>
    <w:rsid w:val="00F1350E"/>
    <w:rsid w:val="00F13577"/>
    <w:rsid w:val="00F135CA"/>
    <w:rsid w:val="00F136C7"/>
    <w:rsid w:val="00F13734"/>
    <w:rsid w:val="00F137DD"/>
    <w:rsid w:val="00F137DF"/>
    <w:rsid w:val="00F13B62"/>
    <w:rsid w:val="00F13E28"/>
    <w:rsid w:val="00F1404E"/>
    <w:rsid w:val="00F1412F"/>
    <w:rsid w:val="00F14184"/>
    <w:rsid w:val="00F14419"/>
    <w:rsid w:val="00F14606"/>
    <w:rsid w:val="00F146AF"/>
    <w:rsid w:val="00F1470E"/>
    <w:rsid w:val="00F147A5"/>
    <w:rsid w:val="00F1487A"/>
    <w:rsid w:val="00F14AA7"/>
    <w:rsid w:val="00F14D1B"/>
    <w:rsid w:val="00F14E2B"/>
    <w:rsid w:val="00F1511C"/>
    <w:rsid w:val="00F1518E"/>
    <w:rsid w:val="00F151C3"/>
    <w:rsid w:val="00F15884"/>
    <w:rsid w:val="00F158F7"/>
    <w:rsid w:val="00F15A24"/>
    <w:rsid w:val="00F15B8E"/>
    <w:rsid w:val="00F15E96"/>
    <w:rsid w:val="00F15FD3"/>
    <w:rsid w:val="00F16078"/>
    <w:rsid w:val="00F1617D"/>
    <w:rsid w:val="00F16665"/>
    <w:rsid w:val="00F16D00"/>
    <w:rsid w:val="00F16D87"/>
    <w:rsid w:val="00F16FB0"/>
    <w:rsid w:val="00F17098"/>
    <w:rsid w:val="00F171C4"/>
    <w:rsid w:val="00F1733B"/>
    <w:rsid w:val="00F17474"/>
    <w:rsid w:val="00F17694"/>
    <w:rsid w:val="00F17855"/>
    <w:rsid w:val="00F17B9A"/>
    <w:rsid w:val="00F17D02"/>
    <w:rsid w:val="00F20112"/>
    <w:rsid w:val="00F20143"/>
    <w:rsid w:val="00F201CC"/>
    <w:rsid w:val="00F202C3"/>
    <w:rsid w:val="00F20487"/>
    <w:rsid w:val="00F204CA"/>
    <w:rsid w:val="00F20877"/>
    <w:rsid w:val="00F209B6"/>
    <w:rsid w:val="00F20A69"/>
    <w:rsid w:val="00F20F65"/>
    <w:rsid w:val="00F20FCF"/>
    <w:rsid w:val="00F2106D"/>
    <w:rsid w:val="00F21114"/>
    <w:rsid w:val="00F21283"/>
    <w:rsid w:val="00F2144C"/>
    <w:rsid w:val="00F2153F"/>
    <w:rsid w:val="00F216DC"/>
    <w:rsid w:val="00F2188F"/>
    <w:rsid w:val="00F21DE4"/>
    <w:rsid w:val="00F21E0A"/>
    <w:rsid w:val="00F21F9D"/>
    <w:rsid w:val="00F22100"/>
    <w:rsid w:val="00F22197"/>
    <w:rsid w:val="00F221C5"/>
    <w:rsid w:val="00F22337"/>
    <w:rsid w:val="00F22424"/>
    <w:rsid w:val="00F22459"/>
    <w:rsid w:val="00F22B2F"/>
    <w:rsid w:val="00F22D65"/>
    <w:rsid w:val="00F23050"/>
    <w:rsid w:val="00F23175"/>
    <w:rsid w:val="00F234CC"/>
    <w:rsid w:val="00F23786"/>
    <w:rsid w:val="00F23827"/>
    <w:rsid w:val="00F23955"/>
    <w:rsid w:val="00F23A14"/>
    <w:rsid w:val="00F23B7F"/>
    <w:rsid w:val="00F23D43"/>
    <w:rsid w:val="00F23EE9"/>
    <w:rsid w:val="00F23FB0"/>
    <w:rsid w:val="00F2423A"/>
    <w:rsid w:val="00F24263"/>
    <w:rsid w:val="00F24310"/>
    <w:rsid w:val="00F243A9"/>
    <w:rsid w:val="00F247AD"/>
    <w:rsid w:val="00F2480A"/>
    <w:rsid w:val="00F24891"/>
    <w:rsid w:val="00F24AAB"/>
    <w:rsid w:val="00F24AAC"/>
    <w:rsid w:val="00F24B9F"/>
    <w:rsid w:val="00F24CA6"/>
    <w:rsid w:val="00F24FFB"/>
    <w:rsid w:val="00F25317"/>
    <w:rsid w:val="00F2545E"/>
    <w:rsid w:val="00F25646"/>
    <w:rsid w:val="00F25651"/>
    <w:rsid w:val="00F256AE"/>
    <w:rsid w:val="00F25773"/>
    <w:rsid w:val="00F25793"/>
    <w:rsid w:val="00F257FA"/>
    <w:rsid w:val="00F25E1B"/>
    <w:rsid w:val="00F26004"/>
    <w:rsid w:val="00F266BC"/>
    <w:rsid w:val="00F267EA"/>
    <w:rsid w:val="00F26B3D"/>
    <w:rsid w:val="00F270E8"/>
    <w:rsid w:val="00F27833"/>
    <w:rsid w:val="00F279A8"/>
    <w:rsid w:val="00F27EF5"/>
    <w:rsid w:val="00F27FDB"/>
    <w:rsid w:val="00F30251"/>
    <w:rsid w:val="00F305CC"/>
    <w:rsid w:val="00F307D1"/>
    <w:rsid w:val="00F308F1"/>
    <w:rsid w:val="00F30AA4"/>
    <w:rsid w:val="00F30CE8"/>
    <w:rsid w:val="00F30F78"/>
    <w:rsid w:val="00F31588"/>
    <w:rsid w:val="00F3179A"/>
    <w:rsid w:val="00F31D54"/>
    <w:rsid w:val="00F31DCD"/>
    <w:rsid w:val="00F31EAB"/>
    <w:rsid w:val="00F31F7F"/>
    <w:rsid w:val="00F32095"/>
    <w:rsid w:val="00F3224C"/>
    <w:rsid w:val="00F32357"/>
    <w:rsid w:val="00F328E8"/>
    <w:rsid w:val="00F32A41"/>
    <w:rsid w:val="00F32C70"/>
    <w:rsid w:val="00F32CBE"/>
    <w:rsid w:val="00F333FE"/>
    <w:rsid w:val="00F337CD"/>
    <w:rsid w:val="00F33A77"/>
    <w:rsid w:val="00F34011"/>
    <w:rsid w:val="00F3411A"/>
    <w:rsid w:val="00F3451C"/>
    <w:rsid w:val="00F34DE0"/>
    <w:rsid w:val="00F34E02"/>
    <w:rsid w:val="00F34E34"/>
    <w:rsid w:val="00F34EDE"/>
    <w:rsid w:val="00F34F14"/>
    <w:rsid w:val="00F351EE"/>
    <w:rsid w:val="00F35360"/>
    <w:rsid w:val="00F35495"/>
    <w:rsid w:val="00F3549E"/>
    <w:rsid w:val="00F357C1"/>
    <w:rsid w:val="00F35915"/>
    <w:rsid w:val="00F35B9B"/>
    <w:rsid w:val="00F35DEF"/>
    <w:rsid w:val="00F35F69"/>
    <w:rsid w:val="00F360F2"/>
    <w:rsid w:val="00F36259"/>
    <w:rsid w:val="00F362DD"/>
    <w:rsid w:val="00F36438"/>
    <w:rsid w:val="00F3649A"/>
    <w:rsid w:val="00F36500"/>
    <w:rsid w:val="00F365A7"/>
    <w:rsid w:val="00F366C4"/>
    <w:rsid w:val="00F36782"/>
    <w:rsid w:val="00F3681C"/>
    <w:rsid w:val="00F36860"/>
    <w:rsid w:val="00F368BA"/>
    <w:rsid w:val="00F36CBB"/>
    <w:rsid w:val="00F36E79"/>
    <w:rsid w:val="00F36EE4"/>
    <w:rsid w:val="00F36FC9"/>
    <w:rsid w:val="00F37131"/>
    <w:rsid w:val="00F3715A"/>
    <w:rsid w:val="00F37375"/>
    <w:rsid w:val="00F37467"/>
    <w:rsid w:val="00F37589"/>
    <w:rsid w:val="00F3769D"/>
    <w:rsid w:val="00F37838"/>
    <w:rsid w:val="00F37A4D"/>
    <w:rsid w:val="00F37D32"/>
    <w:rsid w:val="00F37D36"/>
    <w:rsid w:val="00F37DBE"/>
    <w:rsid w:val="00F37E8F"/>
    <w:rsid w:val="00F37FC0"/>
    <w:rsid w:val="00F404F4"/>
    <w:rsid w:val="00F40B95"/>
    <w:rsid w:val="00F4124B"/>
    <w:rsid w:val="00F4143E"/>
    <w:rsid w:val="00F415E3"/>
    <w:rsid w:val="00F41CC5"/>
    <w:rsid w:val="00F41D25"/>
    <w:rsid w:val="00F421B8"/>
    <w:rsid w:val="00F42386"/>
    <w:rsid w:val="00F423C2"/>
    <w:rsid w:val="00F42764"/>
    <w:rsid w:val="00F42A34"/>
    <w:rsid w:val="00F43100"/>
    <w:rsid w:val="00F433C2"/>
    <w:rsid w:val="00F433F8"/>
    <w:rsid w:val="00F433FE"/>
    <w:rsid w:val="00F43627"/>
    <w:rsid w:val="00F43781"/>
    <w:rsid w:val="00F43833"/>
    <w:rsid w:val="00F43F0C"/>
    <w:rsid w:val="00F44280"/>
    <w:rsid w:val="00F442D0"/>
    <w:rsid w:val="00F443B2"/>
    <w:rsid w:val="00F443E0"/>
    <w:rsid w:val="00F4463C"/>
    <w:rsid w:val="00F4486E"/>
    <w:rsid w:val="00F448D7"/>
    <w:rsid w:val="00F4518C"/>
    <w:rsid w:val="00F451D9"/>
    <w:rsid w:val="00F45409"/>
    <w:rsid w:val="00F4579F"/>
    <w:rsid w:val="00F4589E"/>
    <w:rsid w:val="00F458EA"/>
    <w:rsid w:val="00F45B6F"/>
    <w:rsid w:val="00F4615C"/>
    <w:rsid w:val="00F4632D"/>
    <w:rsid w:val="00F464DD"/>
    <w:rsid w:val="00F46650"/>
    <w:rsid w:val="00F4691B"/>
    <w:rsid w:val="00F46E26"/>
    <w:rsid w:val="00F46EB0"/>
    <w:rsid w:val="00F471B5"/>
    <w:rsid w:val="00F4724C"/>
    <w:rsid w:val="00F47396"/>
    <w:rsid w:val="00F473A5"/>
    <w:rsid w:val="00F473F3"/>
    <w:rsid w:val="00F474B8"/>
    <w:rsid w:val="00F47557"/>
    <w:rsid w:val="00F478CA"/>
    <w:rsid w:val="00F47B0F"/>
    <w:rsid w:val="00F47CE2"/>
    <w:rsid w:val="00F47DA8"/>
    <w:rsid w:val="00F47E7B"/>
    <w:rsid w:val="00F47F2F"/>
    <w:rsid w:val="00F501C1"/>
    <w:rsid w:val="00F501F3"/>
    <w:rsid w:val="00F5052B"/>
    <w:rsid w:val="00F506E4"/>
    <w:rsid w:val="00F50724"/>
    <w:rsid w:val="00F508B5"/>
    <w:rsid w:val="00F509F7"/>
    <w:rsid w:val="00F50A2E"/>
    <w:rsid w:val="00F50A98"/>
    <w:rsid w:val="00F50BD1"/>
    <w:rsid w:val="00F50D03"/>
    <w:rsid w:val="00F50D12"/>
    <w:rsid w:val="00F50E5F"/>
    <w:rsid w:val="00F513EE"/>
    <w:rsid w:val="00F51460"/>
    <w:rsid w:val="00F514B3"/>
    <w:rsid w:val="00F51667"/>
    <w:rsid w:val="00F5166C"/>
    <w:rsid w:val="00F51942"/>
    <w:rsid w:val="00F519CA"/>
    <w:rsid w:val="00F51B21"/>
    <w:rsid w:val="00F520B1"/>
    <w:rsid w:val="00F521DC"/>
    <w:rsid w:val="00F52285"/>
    <w:rsid w:val="00F5269D"/>
    <w:rsid w:val="00F52B9E"/>
    <w:rsid w:val="00F5309F"/>
    <w:rsid w:val="00F53199"/>
    <w:rsid w:val="00F53221"/>
    <w:rsid w:val="00F53392"/>
    <w:rsid w:val="00F53599"/>
    <w:rsid w:val="00F537B7"/>
    <w:rsid w:val="00F538B5"/>
    <w:rsid w:val="00F53AC6"/>
    <w:rsid w:val="00F53BC7"/>
    <w:rsid w:val="00F53C35"/>
    <w:rsid w:val="00F53CF9"/>
    <w:rsid w:val="00F53EF6"/>
    <w:rsid w:val="00F541A1"/>
    <w:rsid w:val="00F54B09"/>
    <w:rsid w:val="00F54B72"/>
    <w:rsid w:val="00F54BEA"/>
    <w:rsid w:val="00F54D2F"/>
    <w:rsid w:val="00F54E8A"/>
    <w:rsid w:val="00F556B2"/>
    <w:rsid w:val="00F559A8"/>
    <w:rsid w:val="00F559F7"/>
    <w:rsid w:val="00F55C21"/>
    <w:rsid w:val="00F55DE3"/>
    <w:rsid w:val="00F55E5F"/>
    <w:rsid w:val="00F55F13"/>
    <w:rsid w:val="00F55F6D"/>
    <w:rsid w:val="00F5633A"/>
    <w:rsid w:val="00F563B6"/>
    <w:rsid w:val="00F56515"/>
    <w:rsid w:val="00F5651A"/>
    <w:rsid w:val="00F56522"/>
    <w:rsid w:val="00F56547"/>
    <w:rsid w:val="00F566FC"/>
    <w:rsid w:val="00F56800"/>
    <w:rsid w:val="00F56AD6"/>
    <w:rsid w:val="00F56B4B"/>
    <w:rsid w:val="00F56E57"/>
    <w:rsid w:val="00F56ECC"/>
    <w:rsid w:val="00F56F79"/>
    <w:rsid w:val="00F56F98"/>
    <w:rsid w:val="00F57206"/>
    <w:rsid w:val="00F572B3"/>
    <w:rsid w:val="00F5736B"/>
    <w:rsid w:val="00F57607"/>
    <w:rsid w:val="00F57731"/>
    <w:rsid w:val="00F57880"/>
    <w:rsid w:val="00F57A28"/>
    <w:rsid w:val="00F57FC2"/>
    <w:rsid w:val="00F60154"/>
    <w:rsid w:val="00F607CB"/>
    <w:rsid w:val="00F608AB"/>
    <w:rsid w:val="00F60BE7"/>
    <w:rsid w:val="00F60D0E"/>
    <w:rsid w:val="00F60D5E"/>
    <w:rsid w:val="00F60F0D"/>
    <w:rsid w:val="00F6107E"/>
    <w:rsid w:val="00F61099"/>
    <w:rsid w:val="00F610B6"/>
    <w:rsid w:val="00F61351"/>
    <w:rsid w:val="00F61521"/>
    <w:rsid w:val="00F6159C"/>
    <w:rsid w:val="00F61714"/>
    <w:rsid w:val="00F61972"/>
    <w:rsid w:val="00F61B7C"/>
    <w:rsid w:val="00F61C0F"/>
    <w:rsid w:val="00F61F38"/>
    <w:rsid w:val="00F62127"/>
    <w:rsid w:val="00F6238F"/>
    <w:rsid w:val="00F6239E"/>
    <w:rsid w:val="00F6254A"/>
    <w:rsid w:val="00F626A4"/>
    <w:rsid w:val="00F62753"/>
    <w:rsid w:val="00F62AD5"/>
    <w:rsid w:val="00F62B4C"/>
    <w:rsid w:val="00F62C8A"/>
    <w:rsid w:val="00F62CEC"/>
    <w:rsid w:val="00F62FC9"/>
    <w:rsid w:val="00F633EE"/>
    <w:rsid w:val="00F63E59"/>
    <w:rsid w:val="00F6401E"/>
    <w:rsid w:val="00F64420"/>
    <w:rsid w:val="00F64BE0"/>
    <w:rsid w:val="00F64C36"/>
    <w:rsid w:val="00F64C86"/>
    <w:rsid w:val="00F651ED"/>
    <w:rsid w:val="00F656EC"/>
    <w:rsid w:val="00F65B68"/>
    <w:rsid w:val="00F65C62"/>
    <w:rsid w:val="00F66090"/>
    <w:rsid w:val="00F66125"/>
    <w:rsid w:val="00F6617A"/>
    <w:rsid w:val="00F6636B"/>
    <w:rsid w:val="00F66A08"/>
    <w:rsid w:val="00F66EED"/>
    <w:rsid w:val="00F66F48"/>
    <w:rsid w:val="00F67305"/>
    <w:rsid w:val="00F67394"/>
    <w:rsid w:val="00F674A1"/>
    <w:rsid w:val="00F67701"/>
    <w:rsid w:val="00F67828"/>
    <w:rsid w:val="00F67846"/>
    <w:rsid w:val="00F67A38"/>
    <w:rsid w:val="00F67B42"/>
    <w:rsid w:val="00F67D1E"/>
    <w:rsid w:val="00F70032"/>
    <w:rsid w:val="00F70158"/>
    <w:rsid w:val="00F7022E"/>
    <w:rsid w:val="00F703FB"/>
    <w:rsid w:val="00F709C6"/>
    <w:rsid w:val="00F70A2E"/>
    <w:rsid w:val="00F70B72"/>
    <w:rsid w:val="00F70DEF"/>
    <w:rsid w:val="00F70EA3"/>
    <w:rsid w:val="00F711AB"/>
    <w:rsid w:val="00F711B6"/>
    <w:rsid w:val="00F711EC"/>
    <w:rsid w:val="00F7126F"/>
    <w:rsid w:val="00F71398"/>
    <w:rsid w:val="00F7174D"/>
    <w:rsid w:val="00F7188C"/>
    <w:rsid w:val="00F71D45"/>
    <w:rsid w:val="00F71F90"/>
    <w:rsid w:val="00F72255"/>
    <w:rsid w:val="00F7280D"/>
    <w:rsid w:val="00F72841"/>
    <w:rsid w:val="00F7294C"/>
    <w:rsid w:val="00F72AC8"/>
    <w:rsid w:val="00F72BD2"/>
    <w:rsid w:val="00F72C1E"/>
    <w:rsid w:val="00F72C5F"/>
    <w:rsid w:val="00F7347B"/>
    <w:rsid w:val="00F73549"/>
    <w:rsid w:val="00F7358B"/>
    <w:rsid w:val="00F735F5"/>
    <w:rsid w:val="00F73855"/>
    <w:rsid w:val="00F73BCB"/>
    <w:rsid w:val="00F73F87"/>
    <w:rsid w:val="00F74291"/>
    <w:rsid w:val="00F74669"/>
    <w:rsid w:val="00F7476B"/>
    <w:rsid w:val="00F74890"/>
    <w:rsid w:val="00F74D36"/>
    <w:rsid w:val="00F74EE0"/>
    <w:rsid w:val="00F7501D"/>
    <w:rsid w:val="00F752F0"/>
    <w:rsid w:val="00F75412"/>
    <w:rsid w:val="00F75510"/>
    <w:rsid w:val="00F7556C"/>
    <w:rsid w:val="00F75751"/>
    <w:rsid w:val="00F75782"/>
    <w:rsid w:val="00F75791"/>
    <w:rsid w:val="00F7592A"/>
    <w:rsid w:val="00F75994"/>
    <w:rsid w:val="00F75C27"/>
    <w:rsid w:val="00F75F50"/>
    <w:rsid w:val="00F76052"/>
    <w:rsid w:val="00F7615E"/>
    <w:rsid w:val="00F76266"/>
    <w:rsid w:val="00F76683"/>
    <w:rsid w:val="00F7673D"/>
    <w:rsid w:val="00F76970"/>
    <w:rsid w:val="00F76BC4"/>
    <w:rsid w:val="00F76C39"/>
    <w:rsid w:val="00F76C51"/>
    <w:rsid w:val="00F76F8D"/>
    <w:rsid w:val="00F776DC"/>
    <w:rsid w:val="00F77C99"/>
    <w:rsid w:val="00F77D63"/>
    <w:rsid w:val="00F77ED2"/>
    <w:rsid w:val="00F80137"/>
    <w:rsid w:val="00F80242"/>
    <w:rsid w:val="00F802C3"/>
    <w:rsid w:val="00F805A6"/>
    <w:rsid w:val="00F806B9"/>
    <w:rsid w:val="00F807E4"/>
    <w:rsid w:val="00F807E7"/>
    <w:rsid w:val="00F80820"/>
    <w:rsid w:val="00F808FD"/>
    <w:rsid w:val="00F80C1D"/>
    <w:rsid w:val="00F81130"/>
    <w:rsid w:val="00F8115F"/>
    <w:rsid w:val="00F81217"/>
    <w:rsid w:val="00F81252"/>
    <w:rsid w:val="00F815F3"/>
    <w:rsid w:val="00F818F7"/>
    <w:rsid w:val="00F81B04"/>
    <w:rsid w:val="00F81E2E"/>
    <w:rsid w:val="00F81EC5"/>
    <w:rsid w:val="00F82027"/>
    <w:rsid w:val="00F82439"/>
    <w:rsid w:val="00F827B9"/>
    <w:rsid w:val="00F8292A"/>
    <w:rsid w:val="00F82AD3"/>
    <w:rsid w:val="00F82B3F"/>
    <w:rsid w:val="00F82D54"/>
    <w:rsid w:val="00F83184"/>
    <w:rsid w:val="00F8325D"/>
    <w:rsid w:val="00F832A9"/>
    <w:rsid w:val="00F832B0"/>
    <w:rsid w:val="00F832CD"/>
    <w:rsid w:val="00F83307"/>
    <w:rsid w:val="00F833A5"/>
    <w:rsid w:val="00F8345F"/>
    <w:rsid w:val="00F83614"/>
    <w:rsid w:val="00F8361C"/>
    <w:rsid w:val="00F83E36"/>
    <w:rsid w:val="00F84432"/>
    <w:rsid w:val="00F844D3"/>
    <w:rsid w:val="00F845B7"/>
    <w:rsid w:val="00F84629"/>
    <w:rsid w:val="00F84676"/>
    <w:rsid w:val="00F8467A"/>
    <w:rsid w:val="00F84693"/>
    <w:rsid w:val="00F84728"/>
    <w:rsid w:val="00F848D8"/>
    <w:rsid w:val="00F849E4"/>
    <w:rsid w:val="00F84B71"/>
    <w:rsid w:val="00F84CF3"/>
    <w:rsid w:val="00F84F0E"/>
    <w:rsid w:val="00F8503C"/>
    <w:rsid w:val="00F8519E"/>
    <w:rsid w:val="00F85217"/>
    <w:rsid w:val="00F85437"/>
    <w:rsid w:val="00F856D9"/>
    <w:rsid w:val="00F85A88"/>
    <w:rsid w:val="00F85E9D"/>
    <w:rsid w:val="00F85F4E"/>
    <w:rsid w:val="00F85FF5"/>
    <w:rsid w:val="00F862FD"/>
    <w:rsid w:val="00F86929"/>
    <w:rsid w:val="00F86BB4"/>
    <w:rsid w:val="00F86CA4"/>
    <w:rsid w:val="00F870F5"/>
    <w:rsid w:val="00F87383"/>
    <w:rsid w:val="00F87502"/>
    <w:rsid w:val="00F87563"/>
    <w:rsid w:val="00F87705"/>
    <w:rsid w:val="00F877E1"/>
    <w:rsid w:val="00F87A1A"/>
    <w:rsid w:val="00F87ABC"/>
    <w:rsid w:val="00F87C5F"/>
    <w:rsid w:val="00F87C72"/>
    <w:rsid w:val="00F87E49"/>
    <w:rsid w:val="00F87EAA"/>
    <w:rsid w:val="00F87FA6"/>
    <w:rsid w:val="00F902D2"/>
    <w:rsid w:val="00F9034B"/>
    <w:rsid w:val="00F903FA"/>
    <w:rsid w:val="00F904DD"/>
    <w:rsid w:val="00F907DF"/>
    <w:rsid w:val="00F909FE"/>
    <w:rsid w:val="00F90A8B"/>
    <w:rsid w:val="00F90B12"/>
    <w:rsid w:val="00F90CBD"/>
    <w:rsid w:val="00F90E82"/>
    <w:rsid w:val="00F90FF2"/>
    <w:rsid w:val="00F9109E"/>
    <w:rsid w:val="00F911E4"/>
    <w:rsid w:val="00F9177E"/>
    <w:rsid w:val="00F91855"/>
    <w:rsid w:val="00F9198F"/>
    <w:rsid w:val="00F91B90"/>
    <w:rsid w:val="00F91CB2"/>
    <w:rsid w:val="00F91D0D"/>
    <w:rsid w:val="00F91E4F"/>
    <w:rsid w:val="00F91EEC"/>
    <w:rsid w:val="00F91FDF"/>
    <w:rsid w:val="00F92054"/>
    <w:rsid w:val="00F92806"/>
    <w:rsid w:val="00F92832"/>
    <w:rsid w:val="00F92AA1"/>
    <w:rsid w:val="00F92BF1"/>
    <w:rsid w:val="00F92F15"/>
    <w:rsid w:val="00F92FCB"/>
    <w:rsid w:val="00F92FDC"/>
    <w:rsid w:val="00F93035"/>
    <w:rsid w:val="00F930FA"/>
    <w:rsid w:val="00F931D2"/>
    <w:rsid w:val="00F93422"/>
    <w:rsid w:val="00F93431"/>
    <w:rsid w:val="00F93A4A"/>
    <w:rsid w:val="00F93AAD"/>
    <w:rsid w:val="00F93D27"/>
    <w:rsid w:val="00F93EA9"/>
    <w:rsid w:val="00F9423E"/>
    <w:rsid w:val="00F943C2"/>
    <w:rsid w:val="00F94695"/>
    <w:rsid w:val="00F94883"/>
    <w:rsid w:val="00F94BDB"/>
    <w:rsid w:val="00F94C57"/>
    <w:rsid w:val="00F95015"/>
    <w:rsid w:val="00F953B2"/>
    <w:rsid w:val="00F955B2"/>
    <w:rsid w:val="00F95613"/>
    <w:rsid w:val="00F956E8"/>
    <w:rsid w:val="00F9578A"/>
    <w:rsid w:val="00F95867"/>
    <w:rsid w:val="00F95991"/>
    <w:rsid w:val="00F95DD6"/>
    <w:rsid w:val="00F96370"/>
    <w:rsid w:val="00F96613"/>
    <w:rsid w:val="00F96DD3"/>
    <w:rsid w:val="00F9703A"/>
    <w:rsid w:val="00F97940"/>
    <w:rsid w:val="00F97BA3"/>
    <w:rsid w:val="00F97DC7"/>
    <w:rsid w:val="00F97EA2"/>
    <w:rsid w:val="00F97F0C"/>
    <w:rsid w:val="00F97F0D"/>
    <w:rsid w:val="00F97F1E"/>
    <w:rsid w:val="00FA0313"/>
    <w:rsid w:val="00FA039A"/>
    <w:rsid w:val="00FA04D7"/>
    <w:rsid w:val="00FA0575"/>
    <w:rsid w:val="00FA08CF"/>
    <w:rsid w:val="00FA09CD"/>
    <w:rsid w:val="00FA0B0A"/>
    <w:rsid w:val="00FA0C50"/>
    <w:rsid w:val="00FA0DA7"/>
    <w:rsid w:val="00FA0EFC"/>
    <w:rsid w:val="00FA121C"/>
    <w:rsid w:val="00FA136B"/>
    <w:rsid w:val="00FA1407"/>
    <w:rsid w:val="00FA1595"/>
    <w:rsid w:val="00FA1A68"/>
    <w:rsid w:val="00FA1B1A"/>
    <w:rsid w:val="00FA1D21"/>
    <w:rsid w:val="00FA1FAE"/>
    <w:rsid w:val="00FA22EB"/>
    <w:rsid w:val="00FA2617"/>
    <w:rsid w:val="00FA2698"/>
    <w:rsid w:val="00FA2747"/>
    <w:rsid w:val="00FA2A33"/>
    <w:rsid w:val="00FA2C8F"/>
    <w:rsid w:val="00FA2CF7"/>
    <w:rsid w:val="00FA3410"/>
    <w:rsid w:val="00FA360B"/>
    <w:rsid w:val="00FA3860"/>
    <w:rsid w:val="00FA3A50"/>
    <w:rsid w:val="00FA3D45"/>
    <w:rsid w:val="00FA3D58"/>
    <w:rsid w:val="00FA3D7F"/>
    <w:rsid w:val="00FA3E8D"/>
    <w:rsid w:val="00FA3EDD"/>
    <w:rsid w:val="00FA3EE1"/>
    <w:rsid w:val="00FA404C"/>
    <w:rsid w:val="00FA4093"/>
    <w:rsid w:val="00FA41AD"/>
    <w:rsid w:val="00FA42EE"/>
    <w:rsid w:val="00FA46D3"/>
    <w:rsid w:val="00FA474A"/>
    <w:rsid w:val="00FA4763"/>
    <w:rsid w:val="00FA4830"/>
    <w:rsid w:val="00FA4A18"/>
    <w:rsid w:val="00FA4A9B"/>
    <w:rsid w:val="00FA4BAA"/>
    <w:rsid w:val="00FA4E19"/>
    <w:rsid w:val="00FA5032"/>
    <w:rsid w:val="00FA50C9"/>
    <w:rsid w:val="00FA5106"/>
    <w:rsid w:val="00FA5361"/>
    <w:rsid w:val="00FA56D1"/>
    <w:rsid w:val="00FA58F9"/>
    <w:rsid w:val="00FA58FC"/>
    <w:rsid w:val="00FA595F"/>
    <w:rsid w:val="00FA5B64"/>
    <w:rsid w:val="00FA5BC0"/>
    <w:rsid w:val="00FA6032"/>
    <w:rsid w:val="00FA6294"/>
    <w:rsid w:val="00FA640B"/>
    <w:rsid w:val="00FA6428"/>
    <w:rsid w:val="00FA6692"/>
    <w:rsid w:val="00FA66E9"/>
    <w:rsid w:val="00FA6980"/>
    <w:rsid w:val="00FA6A91"/>
    <w:rsid w:val="00FA6BF0"/>
    <w:rsid w:val="00FA6CDF"/>
    <w:rsid w:val="00FA6EDD"/>
    <w:rsid w:val="00FA6FAC"/>
    <w:rsid w:val="00FA709F"/>
    <w:rsid w:val="00FA752F"/>
    <w:rsid w:val="00FA7572"/>
    <w:rsid w:val="00FA7B95"/>
    <w:rsid w:val="00FA7BB5"/>
    <w:rsid w:val="00FA7C80"/>
    <w:rsid w:val="00FA7C85"/>
    <w:rsid w:val="00FA7D42"/>
    <w:rsid w:val="00FB0420"/>
    <w:rsid w:val="00FB0470"/>
    <w:rsid w:val="00FB0526"/>
    <w:rsid w:val="00FB054F"/>
    <w:rsid w:val="00FB0764"/>
    <w:rsid w:val="00FB07F4"/>
    <w:rsid w:val="00FB105C"/>
    <w:rsid w:val="00FB12D8"/>
    <w:rsid w:val="00FB1309"/>
    <w:rsid w:val="00FB143C"/>
    <w:rsid w:val="00FB176A"/>
    <w:rsid w:val="00FB184B"/>
    <w:rsid w:val="00FB19A3"/>
    <w:rsid w:val="00FB1A7C"/>
    <w:rsid w:val="00FB1CDC"/>
    <w:rsid w:val="00FB1EBC"/>
    <w:rsid w:val="00FB2187"/>
    <w:rsid w:val="00FB238A"/>
    <w:rsid w:val="00FB2446"/>
    <w:rsid w:val="00FB26F9"/>
    <w:rsid w:val="00FB2A47"/>
    <w:rsid w:val="00FB2C81"/>
    <w:rsid w:val="00FB2D7B"/>
    <w:rsid w:val="00FB2D8F"/>
    <w:rsid w:val="00FB337F"/>
    <w:rsid w:val="00FB34DB"/>
    <w:rsid w:val="00FB3B3A"/>
    <w:rsid w:val="00FB3BC4"/>
    <w:rsid w:val="00FB3E84"/>
    <w:rsid w:val="00FB3F9C"/>
    <w:rsid w:val="00FB3FDE"/>
    <w:rsid w:val="00FB407A"/>
    <w:rsid w:val="00FB44B1"/>
    <w:rsid w:val="00FB4676"/>
    <w:rsid w:val="00FB479A"/>
    <w:rsid w:val="00FB47A1"/>
    <w:rsid w:val="00FB490C"/>
    <w:rsid w:val="00FB4C24"/>
    <w:rsid w:val="00FB4E64"/>
    <w:rsid w:val="00FB5066"/>
    <w:rsid w:val="00FB5552"/>
    <w:rsid w:val="00FB557D"/>
    <w:rsid w:val="00FB5789"/>
    <w:rsid w:val="00FB58A0"/>
    <w:rsid w:val="00FB5B9D"/>
    <w:rsid w:val="00FB5F3A"/>
    <w:rsid w:val="00FB5FD4"/>
    <w:rsid w:val="00FB6297"/>
    <w:rsid w:val="00FB652F"/>
    <w:rsid w:val="00FB66EE"/>
    <w:rsid w:val="00FB671A"/>
    <w:rsid w:val="00FB6AA9"/>
    <w:rsid w:val="00FB6AD4"/>
    <w:rsid w:val="00FB6C93"/>
    <w:rsid w:val="00FB7208"/>
    <w:rsid w:val="00FB7EC0"/>
    <w:rsid w:val="00FB7F22"/>
    <w:rsid w:val="00FB7FAE"/>
    <w:rsid w:val="00FB7FE1"/>
    <w:rsid w:val="00FC00F3"/>
    <w:rsid w:val="00FC0311"/>
    <w:rsid w:val="00FC09CF"/>
    <w:rsid w:val="00FC09F8"/>
    <w:rsid w:val="00FC0A33"/>
    <w:rsid w:val="00FC0BD7"/>
    <w:rsid w:val="00FC0C70"/>
    <w:rsid w:val="00FC0CE1"/>
    <w:rsid w:val="00FC0DFF"/>
    <w:rsid w:val="00FC1182"/>
    <w:rsid w:val="00FC1416"/>
    <w:rsid w:val="00FC14B2"/>
    <w:rsid w:val="00FC1823"/>
    <w:rsid w:val="00FC1C19"/>
    <w:rsid w:val="00FC1CD1"/>
    <w:rsid w:val="00FC1CF8"/>
    <w:rsid w:val="00FC1D41"/>
    <w:rsid w:val="00FC2198"/>
    <w:rsid w:val="00FC21C5"/>
    <w:rsid w:val="00FC21CA"/>
    <w:rsid w:val="00FC2443"/>
    <w:rsid w:val="00FC257F"/>
    <w:rsid w:val="00FC26A4"/>
    <w:rsid w:val="00FC2755"/>
    <w:rsid w:val="00FC2C93"/>
    <w:rsid w:val="00FC2CCB"/>
    <w:rsid w:val="00FC2EDD"/>
    <w:rsid w:val="00FC2FD0"/>
    <w:rsid w:val="00FC2FDE"/>
    <w:rsid w:val="00FC325A"/>
    <w:rsid w:val="00FC33ED"/>
    <w:rsid w:val="00FC394E"/>
    <w:rsid w:val="00FC3D7B"/>
    <w:rsid w:val="00FC3DFC"/>
    <w:rsid w:val="00FC40D1"/>
    <w:rsid w:val="00FC43AD"/>
    <w:rsid w:val="00FC4605"/>
    <w:rsid w:val="00FC4607"/>
    <w:rsid w:val="00FC48A3"/>
    <w:rsid w:val="00FC4990"/>
    <w:rsid w:val="00FC4D5F"/>
    <w:rsid w:val="00FC4FC7"/>
    <w:rsid w:val="00FC53F8"/>
    <w:rsid w:val="00FC5477"/>
    <w:rsid w:val="00FC5481"/>
    <w:rsid w:val="00FC550D"/>
    <w:rsid w:val="00FC5571"/>
    <w:rsid w:val="00FC567B"/>
    <w:rsid w:val="00FC5876"/>
    <w:rsid w:val="00FC5BE3"/>
    <w:rsid w:val="00FC5CDC"/>
    <w:rsid w:val="00FC62F5"/>
    <w:rsid w:val="00FC6813"/>
    <w:rsid w:val="00FC6A2B"/>
    <w:rsid w:val="00FC6CEF"/>
    <w:rsid w:val="00FC70A7"/>
    <w:rsid w:val="00FC70C1"/>
    <w:rsid w:val="00FC728D"/>
    <w:rsid w:val="00FC731E"/>
    <w:rsid w:val="00FC748B"/>
    <w:rsid w:val="00FC7BC5"/>
    <w:rsid w:val="00FC7C4D"/>
    <w:rsid w:val="00FC7C86"/>
    <w:rsid w:val="00FD035A"/>
    <w:rsid w:val="00FD053A"/>
    <w:rsid w:val="00FD0B4A"/>
    <w:rsid w:val="00FD0BEE"/>
    <w:rsid w:val="00FD1077"/>
    <w:rsid w:val="00FD130D"/>
    <w:rsid w:val="00FD17CB"/>
    <w:rsid w:val="00FD1906"/>
    <w:rsid w:val="00FD19F1"/>
    <w:rsid w:val="00FD1A7E"/>
    <w:rsid w:val="00FD1CFD"/>
    <w:rsid w:val="00FD205E"/>
    <w:rsid w:val="00FD234F"/>
    <w:rsid w:val="00FD24E9"/>
    <w:rsid w:val="00FD254D"/>
    <w:rsid w:val="00FD2788"/>
    <w:rsid w:val="00FD2CC3"/>
    <w:rsid w:val="00FD2CD2"/>
    <w:rsid w:val="00FD30D4"/>
    <w:rsid w:val="00FD31BF"/>
    <w:rsid w:val="00FD34BB"/>
    <w:rsid w:val="00FD39AA"/>
    <w:rsid w:val="00FD3B85"/>
    <w:rsid w:val="00FD3CC7"/>
    <w:rsid w:val="00FD3F30"/>
    <w:rsid w:val="00FD4148"/>
    <w:rsid w:val="00FD41D0"/>
    <w:rsid w:val="00FD425B"/>
    <w:rsid w:val="00FD4373"/>
    <w:rsid w:val="00FD4D5B"/>
    <w:rsid w:val="00FD5292"/>
    <w:rsid w:val="00FD5672"/>
    <w:rsid w:val="00FD5FAC"/>
    <w:rsid w:val="00FD6453"/>
    <w:rsid w:val="00FD657F"/>
    <w:rsid w:val="00FD6687"/>
    <w:rsid w:val="00FD67FD"/>
    <w:rsid w:val="00FD69DA"/>
    <w:rsid w:val="00FD6A70"/>
    <w:rsid w:val="00FD6B8B"/>
    <w:rsid w:val="00FD6BFC"/>
    <w:rsid w:val="00FD6F03"/>
    <w:rsid w:val="00FD6F58"/>
    <w:rsid w:val="00FD718E"/>
    <w:rsid w:val="00FD76E9"/>
    <w:rsid w:val="00FD7773"/>
    <w:rsid w:val="00FD7861"/>
    <w:rsid w:val="00FD7CB2"/>
    <w:rsid w:val="00FD7D28"/>
    <w:rsid w:val="00FD7D46"/>
    <w:rsid w:val="00FD7D8B"/>
    <w:rsid w:val="00FD7F0E"/>
    <w:rsid w:val="00FE0017"/>
    <w:rsid w:val="00FE02BE"/>
    <w:rsid w:val="00FE0437"/>
    <w:rsid w:val="00FE0569"/>
    <w:rsid w:val="00FE05A6"/>
    <w:rsid w:val="00FE0603"/>
    <w:rsid w:val="00FE0705"/>
    <w:rsid w:val="00FE0929"/>
    <w:rsid w:val="00FE094B"/>
    <w:rsid w:val="00FE0AF2"/>
    <w:rsid w:val="00FE0BC8"/>
    <w:rsid w:val="00FE0C06"/>
    <w:rsid w:val="00FE0DDA"/>
    <w:rsid w:val="00FE0F7A"/>
    <w:rsid w:val="00FE1178"/>
    <w:rsid w:val="00FE132C"/>
    <w:rsid w:val="00FE15C9"/>
    <w:rsid w:val="00FE1878"/>
    <w:rsid w:val="00FE189E"/>
    <w:rsid w:val="00FE194C"/>
    <w:rsid w:val="00FE1BDC"/>
    <w:rsid w:val="00FE1C47"/>
    <w:rsid w:val="00FE1CF2"/>
    <w:rsid w:val="00FE22DD"/>
    <w:rsid w:val="00FE2313"/>
    <w:rsid w:val="00FE2511"/>
    <w:rsid w:val="00FE28BB"/>
    <w:rsid w:val="00FE2A7D"/>
    <w:rsid w:val="00FE2CFB"/>
    <w:rsid w:val="00FE2EB7"/>
    <w:rsid w:val="00FE3536"/>
    <w:rsid w:val="00FE35A3"/>
    <w:rsid w:val="00FE3894"/>
    <w:rsid w:val="00FE3A8C"/>
    <w:rsid w:val="00FE3AC3"/>
    <w:rsid w:val="00FE3AF6"/>
    <w:rsid w:val="00FE3EB2"/>
    <w:rsid w:val="00FE447A"/>
    <w:rsid w:val="00FE4598"/>
    <w:rsid w:val="00FE45FF"/>
    <w:rsid w:val="00FE499E"/>
    <w:rsid w:val="00FE4A1C"/>
    <w:rsid w:val="00FE4A60"/>
    <w:rsid w:val="00FE4C6B"/>
    <w:rsid w:val="00FE5128"/>
    <w:rsid w:val="00FE54E0"/>
    <w:rsid w:val="00FE55F0"/>
    <w:rsid w:val="00FE565E"/>
    <w:rsid w:val="00FE5671"/>
    <w:rsid w:val="00FE5893"/>
    <w:rsid w:val="00FE5B90"/>
    <w:rsid w:val="00FE601B"/>
    <w:rsid w:val="00FE62CF"/>
    <w:rsid w:val="00FE6331"/>
    <w:rsid w:val="00FE642A"/>
    <w:rsid w:val="00FE6840"/>
    <w:rsid w:val="00FE685B"/>
    <w:rsid w:val="00FE6957"/>
    <w:rsid w:val="00FE6B61"/>
    <w:rsid w:val="00FE6C12"/>
    <w:rsid w:val="00FE6D41"/>
    <w:rsid w:val="00FE6F67"/>
    <w:rsid w:val="00FE7178"/>
    <w:rsid w:val="00FE735F"/>
    <w:rsid w:val="00FE7445"/>
    <w:rsid w:val="00FE7894"/>
    <w:rsid w:val="00FE7A9C"/>
    <w:rsid w:val="00FE7B04"/>
    <w:rsid w:val="00FE7B82"/>
    <w:rsid w:val="00FF017D"/>
    <w:rsid w:val="00FF01FA"/>
    <w:rsid w:val="00FF057F"/>
    <w:rsid w:val="00FF0726"/>
    <w:rsid w:val="00FF08C6"/>
    <w:rsid w:val="00FF0DCF"/>
    <w:rsid w:val="00FF116D"/>
    <w:rsid w:val="00FF11D4"/>
    <w:rsid w:val="00FF13EB"/>
    <w:rsid w:val="00FF1679"/>
    <w:rsid w:val="00FF18BB"/>
    <w:rsid w:val="00FF1A9C"/>
    <w:rsid w:val="00FF1CE1"/>
    <w:rsid w:val="00FF1E96"/>
    <w:rsid w:val="00FF1EB6"/>
    <w:rsid w:val="00FF21B5"/>
    <w:rsid w:val="00FF21C3"/>
    <w:rsid w:val="00FF225F"/>
    <w:rsid w:val="00FF24AF"/>
    <w:rsid w:val="00FF24B7"/>
    <w:rsid w:val="00FF25DE"/>
    <w:rsid w:val="00FF2A11"/>
    <w:rsid w:val="00FF2AA0"/>
    <w:rsid w:val="00FF304A"/>
    <w:rsid w:val="00FF316E"/>
    <w:rsid w:val="00FF3205"/>
    <w:rsid w:val="00FF3626"/>
    <w:rsid w:val="00FF3C1D"/>
    <w:rsid w:val="00FF3C8D"/>
    <w:rsid w:val="00FF3DDC"/>
    <w:rsid w:val="00FF3F6C"/>
    <w:rsid w:val="00FF4005"/>
    <w:rsid w:val="00FF4603"/>
    <w:rsid w:val="00FF4A02"/>
    <w:rsid w:val="00FF4B07"/>
    <w:rsid w:val="00FF4BC6"/>
    <w:rsid w:val="00FF4BEB"/>
    <w:rsid w:val="00FF4BFC"/>
    <w:rsid w:val="00FF4C11"/>
    <w:rsid w:val="00FF4E52"/>
    <w:rsid w:val="00FF501E"/>
    <w:rsid w:val="00FF50D3"/>
    <w:rsid w:val="00FF545F"/>
    <w:rsid w:val="00FF54C0"/>
    <w:rsid w:val="00FF56B9"/>
    <w:rsid w:val="00FF57E8"/>
    <w:rsid w:val="00FF58C0"/>
    <w:rsid w:val="00FF5948"/>
    <w:rsid w:val="00FF5B30"/>
    <w:rsid w:val="00FF5B49"/>
    <w:rsid w:val="00FF5DBB"/>
    <w:rsid w:val="00FF5DBE"/>
    <w:rsid w:val="00FF5E99"/>
    <w:rsid w:val="00FF5F5A"/>
    <w:rsid w:val="00FF62B2"/>
    <w:rsid w:val="00FF6413"/>
    <w:rsid w:val="00FF657F"/>
    <w:rsid w:val="00FF66CC"/>
    <w:rsid w:val="00FF69E4"/>
    <w:rsid w:val="00FF6A61"/>
    <w:rsid w:val="00FF6AEB"/>
    <w:rsid w:val="00FF6B71"/>
    <w:rsid w:val="00FF6EDF"/>
    <w:rsid w:val="00FF6EEA"/>
    <w:rsid w:val="00FF7214"/>
    <w:rsid w:val="00FF767C"/>
    <w:rsid w:val="00FF77DF"/>
    <w:rsid w:val="00FF77F0"/>
    <w:rsid w:val="00FF7ABB"/>
    <w:rsid w:val="00FF7AEC"/>
    <w:rsid w:val="00FF7AF6"/>
    <w:rsid w:val="00FF7B99"/>
    <w:rsid w:val="00FF7BF4"/>
    <w:rsid w:val="00FF7CF0"/>
    <w:rsid w:val="00FF7F64"/>
    <w:rsid w:val="01F991D0"/>
    <w:rsid w:val="0200732E"/>
    <w:rsid w:val="021F07E1"/>
    <w:rsid w:val="043EBD6A"/>
    <w:rsid w:val="04B7B6B0"/>
    <w:rsid w:val="04FE6064"/>
    <w:rsid w:val="0548213F"/>
    <w:rsid w:val="06009341"/>
    <w:rsid w:val="066FB6A6"/>
    <w:rsid w:val="06BF228E"/>
    <w:rsid w:val="06C9CE11"/>
    <w:rsid w:val="06FC61DC"/>
    <w:rsid w:val="082A669B"/>
    <w:rsid w:val="09736A93"/>
    <w:rsid w:val="09D68710"/>
    <w:rsid w:val="0A7291F2"/>
    <w:rsid w:val="0ACB6E7F"/>
    <w:rsid w:val="0BE7EE3B"/>
    <w:rsid w:val="0C18F65F"/>
    <w:rsid w:val="0C7685EF"/>
    <w:rsid w:val="0E4F214D"/>
    <w:rsid w:val="0E59AAFC"/>
    <w:rsid w:val="0F3F8E87"/>
    <w:rsid w:val="0FA899B3"/>
    <w:rsid w:val="10270232"/>
    <w:rsid w:val="111D5061"/>
    <w:rsid w:val="116EB881"/>
    <w:rsid w:val="11A0902E"/>
    <w:rsid w:val="124B0365"/>
    <w:rsid w:val="125205A5"/>
    <w:rsid w:val="1340B7ED"/>
    <w:rsid w:val="135E546F"/>
    <w:rsid w:val="13A420FF"/>
    <w:rsid w:val="1424612E"/>
    <w:rsid w:val="1448E56D"/>
    <w:rsid w:val="152574BF"/>
    <w:rsid w:val="15EA78AE"/>
    <w:rsid w:val="16B40385"/>
    <w:rsid w:val="1840C894"/>
    <w:rsid w:val="1863309D"/>
    <w:rsid w:val="188BC8DA"/>
    <w:rsid w:val="18AE91D5"/>
    <w:rsid w:val="19482F46"/>
    <w:rsid w:val="19B11FBB"/>
    <w:rsid w:val="1A21E92D"/>
    <w:rsid w:val="1ACBF003"/>
    <w:rsid w:val="1AF0703B"/>
    <w:rsid w:val="1B0B3ABF"/>
    <w:rsid w:val="1B105EDF"/>
    <w:rsid w:val="1BA55B7A"/>
    <w:rsid w:val="1C53F6AF"/>
    <w:rsid w:val="1CFE99B4"/>
    <w:rsid w:val="1D356755"/>
    <w:rsid w:val="1D3922E3"/>
    <w:rsid w:val="1E77F94D"/>
    <w:rsid w:val="1EC55EDF"/>
    <w:rsid w:val="1EE5379D"/>
    <w:rsid w:val="1F46A29A"/>
    <w:rsid w:val="1F8B2886"/>
    <w:rsid w:val="201C5F7C"/>
    <w:rsid w:val="203A6173"/>
    <w:rsid w:val="208ACFF6"/>
    <w:rsid w:val="215F6261"/>
    <w:rsid w:val="2203D5E3"/>
    <w:rsid w:val="229688BD"/>
    <w:rsid w:val="22E4969A"/>
    <w:rsid w:val="2378307E"/>
    <w:rsid w:val="23B7767B"/>
    <w:rsid w:val="23CC2815"/>
    <w:rsid w:val="245587F1"/>
    <w:rsid w:val="2462889A"/>
    <w:rsid w:val="25AEF680"/>
    <w:rsid w:val="25E4D8C1"/>
    <w:rsid w:val="267BDB2C"/>
    <w:rsid w:val="273B1FA1"/>
    <w:rsid w:val="27AB088A"/>
    <w:rsid w:val="27F268C0"/>
    <w:rsid w:val="2854B5F1"/>
    <w:rsid w:val="28A63ECF"/>
    <w:rsid w:val="28EDBEF5"/>
    <w:rsid w:val="28F1BF56"/>
    <w:rsid w:val="29947978"/>
    <w:rsid w:val="29F35F1D"/>
    <w:rsid w:val="2A5DB679"/>
    <w:rsid w:val="2A77070A"/>
    <w:rsid w:val="2B1D2969"/>
    <w:rsid w:val="2B448562"/>
    <w:rsid w:val="2CC68A94"/>
    <w:rsid w:val="2D226C80"/>
    <w:rsid w:val="2D333159"/>
    <w:rsid w:val="2DC6231E"/>
    <w:rsid w:val="2DFAB9E2"/>
    <w:rsid w:val="2E344F03"/>
    <w:rsid w:val="2EADBBF1"/>
    <w:rsid w:val="2F02396A"/>
    <w:rsid w:val="30037081"/>
    <w:rsid w:val="308130C3"/>
    <w:rsid w:val="31BBF0E4"/>
    <w:rsid w:val="326AF9FE"/>
    <w:rsid w:val="3278AF02"/>
    <w:rsid w:val="33243C81"/>
    <w:rsid w:val="332C0EC4"/>
    <w:rsid w:val="33BB5D9E"/>
    <w:rsid w:val="33F038C9"/>
    <w:rsid w:val="34FDEB35"/>
    <w:rsid w:val="361BA6A5"/>
    <w:rsid w:val="370C58CE"/>
    <w:rsid w:val="37A83744"/>
    <w:rsid w:val="37B6E1EC"/>
    <w:rsid w:val="3A5CF198"/>
    <w:rsid w:val="3B13A6A0"/>
    <w:rsid w:val="3B2DED7D"/>
    <w:rsid w:val="3B5CC09F"/>
    <w:rsid w:val="3B758BC2"/>
    <w:rsid w:val="3C2EEA19"/>
    <w:rsid w:val="3C34F4BB"/>
    <w:rsid w:val="3C845303"/>
    <w:rsid w:val="3DEF282A"/>
    <w:rsid w:val="3DFC05AF"/>
    <w:rsid w:val="3E16E19C"/>
    <w:rsid w:val="3EF094CA"/>
    <w:rsid w:val="3F3F0687"/>
    <w:rsid w:val="3F6E2B12"/>
    <w:rsid w:val="3F9CEA4D"/>
    <w:rsid w:val="40FD7B9E"/>
    <w:rsid w:val="41152DA1"/>
    <w:rsid w:val="41DA2D3D"/>
    <w:rsid w:val="425E9BE4"/>
    <w:rsid w:val="429F23A6"/>
    <w:rsid w:val="42D32E3A"/>
    <w:rsid w:val="43B674C4"/>
    <w:rsid w:val="43DB3647"/>
    <w:rsid w:val="441787A6"/>
    <w:rsid w:val="4454083B"/>
    <w:rsid w:val="4574C8BB"/>
    <w:rsid w:val="45CB5C9B"/>
    <w:rsid w:val="4718FB7E"/>
    <w:rsid w:val="4753FB57"/>
    <w:rsid w:val="47C508F2"/>
    <w:rsid w:val="4831EFEC"/>
    <w:rsid w:val="48797B89"/>
    <w:rsid w:val="49BDF3AA"/>
    <w:rsid w:val="49E12600"/>
    <w:rsid w:val="49F7A7E6"/>
    <w:rsid w:val="4A51BFD6"/>
    <w:rsid w:val="4AEA2604"/>
    <w:rsid w:val="4B6BC1B5"/>
    <w:rsid w:val="4BECEFC9"/>
    <w:rsid w:val="4C043330"/>
    <w:rsid w:val="4CB25789"/>
    <w:rsid w:val="4D37E0E8"/>
    <w:rsid w:val="4E5C2924"/>
    <w:rsid w:val="4E91BA15"/>
    <w:rsid w:val="4EB9A7CD"/>
    <w:rsid w:val="4F79579B"/>
    <w:rsid w:val="4FCB0E72"/>
    <w:rsid w:val="4FE19A70"/>
    <w:rsid w:val="50162D29"/>
    <w:rsid w:val="50A1F0F3"/>
    <w:rsid w:val="50EDB475"/>
    <w:rsid w:val="512DE406"/>
    <w:rsid w:val="5168DA8A"/>
    <w:rsid w:val="51F17F64"/>
    <w:rsid w:val="5249F967"/>
    <w:rsid w:val="52552CEB"/>
    <w:rsid w:val="5386ADAB"/>
    <w:rsid w:val="54D304FB"/>
    <w:rsid w:val="54DC7D9C"/>
    <w:rsid w:val="551B8DA0"/>
    <w:rsid w:val="567FDDF3"/>
    <w:rsid w:val="568D5FC0"/>
    <w:rsid w:val="569F2F7B"/>
    <w:rsid w:val="572E49DA"/>
    <w:rsid w:val="57642B73"/>
    <w:rsid w:val="576B2934"/>
    <w:rsid w:val="59283C44"/>
    <w:rsid w:val="597AAC72"/>
    <w:rsid w:val="59D763FA"/>
    <w:rsid w:val="5A0DA0F2"/>
    <w:rsid w:val="5AB1CADA"/>
    <w:rsid w:val="5B518918"/>
    <w:rsid w:val="5BBDEC75"/>
    <w:rsid w:val="5BD3CBD8"/>
    <w:rsid w:val="5BE81730"/>
    <w:rsid w:val="5CF4C53A"/>
    <w:rsid w:val="5D168BAF"/>
    <w:rsid w:val="5D5EE26F"/>
    <w:rsid w:val="5D854F71"/>
    <w:rsid w:val="5DC1F391"/>
    <w:rsid w:val="5DF0D18E"/>
    <w:rsid w:val="5E31C655"/>
    <w:rsid w:val="5E8AD41F"/>
    <w:rsid w:val="5E97C792"/>
    <w:rsid w:val="5EC3DAC6"/>
    <w:rsid w:val="5F32AA32"/>
    <w:rsid w:val="606E0975"/>
    <w:rsid w:val="60B3CE33"/>
    <w:rsid w:val="6197CCDD"/>
    <w:rsid w:val="61BB8046"/>
    <w:rsid w:val="61C92DFC"/>
    <w:rsid w:val="61D0C224"/>
    <w:rsid w:val="62413975"/>
    <w:rsid w:val="62AE0B4D"/>
    <w:rsid w:val="62B62A1E"/>
    <w:rsid w:val="62BC7F00"/>
    <w:rsid w:val="62E7D69F"/>
    <w:rsid w:val="634DEFDC"/>
    <w:rsid w:val="6461124E"/>
    <w:rsid w:val="6498BAEF"/>
    <w:rsid w:val="64D6980A"/>
    <w:rsid w:val="65C5F24D"/>
    <w:rsid w:val="669A896E"/>
    <w:rsid w:val="67089C86"/>
    <w:rsid w:val="6807D5F2"/>
    <w:rsid w:val="680A207D"/>
    <w:rsid w:val="682171FE"/>
    <w:rsid w:val="68271A17"/>
    <w:rsid w:val="6828ED59"/>
    <w:rsid w:val="685F28E3"/>
    <w:rsid w:val="68CC322D"/>
    <w:rsid w:val="68D2FF01"/>
    <w:rsid w:val="6ADACA29"/>
    <w:rsid w:val="6B32D746"/>
    <w:rsid w:val="6B39A7CE"/>
    <w:rsid w:val="6C5B461A"/>
    <w:rsid w:val="6CC6D881"/>
    <w:rsid w:val="6D3CA5C7"/>
    <w:rsid w:val="6EACFCA6"/>
    <w:rsid w:val="6F282340"/>
    <w:rsid w:val="6F3C714B"/>
    <w:rsid w:val="701BF5AF"/>
    <w:rsid w:val="708BF3B3"/>
    <w:rsid w:val="71F25D0A"/>
    <w:rsid w:val="728CAFBC"/>
    <w:rsid w:val="73A1790B"/>
    <w:rsid w:val="74348C27"/>
    <w:rsid w:val="74B18831"/>
    <w:rsid w:val="75BE4184"/>
    <w:rsid w:val="76E488EF"/>
    <w:rsid w:val="76EAC525"/>
    <w:rsid w:val="77708CCC"/>
    <w:rsid w:val="77F6E127"/>
    <w:rsid w:val="77F86B8C"/>
    <w:rsid w:val="78302BED"/>
    <w:rsid w:val="785B5CB3"/>
    <w:rsid w:val="78AA3FBA"/>
    <w:rsid w:val="78E48401"/>
    <w:rsid w:val="78FF3AB2"/>
    <w:rsid w:val="790F8D36"/>
    <w:rsid w:val="79551FED"/>
    <w:rsid w:val="798EBAB0"/>
    <w:rsid w:val="79C45DE1"/>
    <w:rsid w:val="7A4AF4E1"/>
    <w:rsid w:val="7A64705D"/>
    <w:rsid w:val="7BAA79BA"/>
    <w:rsid w:val="7C48C70F"/>
    <w:rsid w:val="7CDC2204"/>
    <w:rsid w:val="7D1121F0"/>
    <w:rsid w:val="7D3CBC31"/>
    <w:rsid w:val="7DD0D6E2"/>
    <w:rsid w:val="7E92D3A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5E88D5"/>
  <w14:defaultImageDpi w14:val="330"/>
  <w15:docId w15:val="{8A026B8F-E78F-4F9A-9575-95199038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C4"/>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025B04"/>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025B04"/>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025B04"/>
    <w:pPr>
      <w:keepNext/>
      <w:tabs>
        <w:tab w:val="left" w:pos="851"/>
      </w:tabs>
      <w:spacing w:before="360" w:after="0" w:line="36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221F85"/>
    <w:pPr>
      <w:spacing w:line="360" w:lineRule="exact"/>
      <w:outlineLvl w:val="3"/>
    </w:pPr>
    <w:rPr>
      <w:sz w:val="24"/>
    </w:rPr>
  </w:style>
  <w:style w:type="paragraph" w:styleId="Heading5">
    <w:name w:val="heading 5"/>
    <w:basedOn w:val="Normal"/>
    <w:next w:val="BodyText"/>
    <w:link w:val="Heading5Char"/>
    <w:qFormat/>
    <w:rsid w:val="00221F85"/>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5B04"/>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025B04"/>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025B04"/>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221F85"/>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221F85"/>
    <w:rPr>
      <w:rFonts w:ascii="Calibri" w:eastAsiaTheme="majorEastAsia" w:hAnsi="Calibri" w:cstheme="majorBidi"/>
      <w:i/>
      <w:sz w:val="24"/>
      <w:lang w:eastAsia="en-NZ"/>
    </w:rPr>
  </w:style>
  <w:style w:type="paragraph" w:styleId="BodyText">
    <w:name w:val="Body Text"/>
    <w:basedOn w:val="Normal"/>
    <w:link w:val="BodyTextChar"/>
    <w:qFormat/>
    <w:rsid w:val="00025B04"/>
    <w:pPr>
      <w:jc w:val="left"/>
    </w:pPr>
  </w:style>
  <w:style w:type="character" w:customStyle="1" w:styleId="BodyTextChar">
    <w:name w:val="Body Text Char"/>
    <w:basedOn w:val="DefaultParagraphFont"/>
    <w:link w:val="BodyText"/>
    <w:rsid w:val="00025B0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3"/>
      </w:numPr>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jc w:val="left"/>
    </w:pPr>
  </w:style>
  <w:style w:type="paragraph" w:customStyle="1" w:styleId="Figureheading">
    <w:name w:val="Figure heading"/>
    <w:basedOn w:val="Normal"/>
    <w:next w:val="BodyText"/>
    <w:uiPriority w:val="1"/>
    <w:qFormat/>
    <w:rsid w:val="00221F85"/>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221F85"/>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D85928"/>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D85928"/>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6164DD"/>
    <w:pPr>
      <w:keepNext/>
      <w:spacing w:before="240"/>
      <w:ind w:left="1134" w:hanging="1134"/>
      <w:jc w:val="left"/>
    </w:pPr>
    <w:rPr>
      <w:b/>
      <w:sz w:val="20"/>
    </w:rPr>
  </w:style>
  <w:style w:type="paragraph" w:customStyle="1" w:styleId="TableText">
    <w:name w:val="TableText"/>
    <w:basedOn w:val="Normal"/>
    <w:qFormat/>
    <w:rsid w:val="00221F85"/>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221F85"/>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221F85"/>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1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AA5598"/>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EE2CAD"/>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C15722"/>
    <w:pPr>
      <w:numPr>
        <w:numId w:val="11"/>
      </w:numPr>
      <w:spacing w:before="0"/>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5"/>
      </w:numPr>
      <w:spacing w:before="0"/>
    </w:pPr>
  </w:style>
  <w:style w:type="paragraph" w:styleId="NormalWeb">
    <w:name w:val="Normal (Web)"/>
    <w:basedOn w:val="Normal"/>
    <w:uiPriority w:val="99"/>
    <w:semiHidden/>
    <w:unhideWhenUsed/>
    <w:rsid w:val="004B70D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8E2FAF"/>
    <w:rPr>
      <w:color w:val="605E5C"/>
      <w:shd w:val="clear" w:color="auto" w:fill="E1DFDD"/>
    </w:rPr>
  </w:style>
  <w:style w:type="paragraph" w:customStyle="1" w:styleId="Bluetext-numbered">
    <w:name w:val="Blue text - numbered"/>
    <w:basedOn w:val="Greentext-casestudytables"/>
    <w:uiPriority w:val="1"/>
    <w:qFormat/>
    <w:rsid w:val="007032F7"/>
    <w:pPr>
      <w:numPr>
        <w:ilvl w:val="3"/>
        <w:numId w:val="20"/>
      </w:numPr>
      <w:spacing w:before="80" w:after="80"/>
    </w:pPr>
    <w:rPr>
      <w:color w:val="1C556C"/>
    </w:rPr>
  </w:style>
  <w:style w:type="table" w:customStyle="1" w:styleId="TableGrid2">
    <w:name w:val="Table Grid2"/>
    <w:basedOn w:val="TableNormal"/>
    <w:next w:val="TableGrid"/>
    <w:uiPriority w:val="39"/>
    <w:rsid w:val="00271D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3F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FD6F58"/>
    <w:pPr>
      <w:spacing w:line="240" w:lineRule="auto"/>
    </w:pPr>
    <w:rPr>
      <w:sz w:val="20"/>
      <w:szCs w:val="20"/>
    </w:rPr>
  </w:style>
  <w:style w:type="character" w:customStyle="1" w:styleId="CommentTextChar">
    <w:name w:val="Comment Text Char"/>
    <w:basedOn w:val="DefaultParagraphFont"/>
    <w:link w:val="CommentText"/>
    <w:uiPriority w:val="99"/>
    <w:rsid w:val="00FD6F58"/>
    <w:rPr>
      <w:rFonts w:ascii="Calibri" w:eastAsiaTheme="minorEastAsia" w:hAnsi="Calibri"/>
      <w:sz w:val="20"/>
      <w:szCs w:val="20"/>
      <w:lang w:eastAsia="en-NZ"/>
    </w:rPr>
  </w:style>
  <w:style w:type="table" w:customStyle="1" w:styleId="TableGrid1">
    <w:name w:val="Table Grid1"/>
    <w:basedOn w:val="TableNormal"/>
    <w:next w:val="TableGrid"/>
    <w:uiPriority w:val="39"/>
    <w:rsid w:val="00F7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80DF5"/>
  </w:style>
  <w:style w:type="paragraph" w:customStyle="1" w:styleId="CabRec">
    <w:name w:val="CabRec"/>
    <w:basedOn w:val="Normal"/>
    <w:uiPriority w:val="1"/>
    <w:qFormat/>
    <w:rsid w:val="00DE3E1B"/>
    <w:pPr>
      <w:tabs>
        <w:tab w:val="num" w:pos="720"/>
      </w:tabs>
      <w:spacing w:before="0" w:after="240" w:line="240" w:lineRule="auto"/>
      <w:ind w:left="720" w:hanging="720"/>
      <w:jc w:val="left"/>
    </w:pPr>
    <w:rPr>
      <w:rFonts w:ascii="Times New Roman" w:eastAsia="Times New Roman" w:hAnsi="Times New Roman" w:cs="Times New Roman"/>
      <w:sz w:val="24"/>
      <w:szCs w:val="20"/>
      <w:lang w:val="en-GB" w:eastAsia="ja-JP"/>
    </w:rPr>
  </w:style>
  <w:style w:type="numbering" w:customStyle="1" w:styleId="Recommendations">
    <w:name w:val="Recommendations"/>
    <w:rsid w:val="00DE3E1B"/>
    <w:pPr>
      <w:numPr>
        <w:numId w:val="16"/>
      </w:numPr>
    </w:pPr>
  </w:style>
  <w:style w:type="paragraph" w:styleId="ListParagraph">
    <w:name w:val="List Paragraph"/>
    <w:basedOn w:val="Normal"/>
    <w:uiPriority w:val="34"/>
    <w:qFormat/>
    <w:rsid w:val="007F7B83"/>
    <w:pPr>
      <w:spacing w:before="0" w:after="0" w:line="240" w:lineRule="auto"/>
      <w:ind w:left="720"/>
      <w:jc w:val="left"/>
    </w:pPr>
    <w:rPr>
      <w:rFonts w:eastAsiaTheme="minorHAnsi" w:cs="Calibri"/>
      <w:lang w:eastAsia="en-US"/>
    </w:rPr>
  </w:style>
  <w:style w:type="paragraph" w:customStyle="1" w:styleId="xmsolistparagraph">
    <w:name w:val="x_msolistparagraph"/>
    <w:basedOn w:val="Normal"/>
    <w:rsid w:val="007F7B83"/>
    <w:pPr>
      <w:spacing w:before="0" w:after="0" w:line="240" w:lineRule="auto"/>
      <w:ind w:left="720"/>
      <w:jc w:val="left"/>
    </w:pPr>
    <w:rPr>
      <w:rFonts w:eastAsiaTheme="minorHAnsi" w:cs="Calibri"/>
    </w:rPr>
  </w:style>
  <w:style w:type="character" w:styleId="Mention">
    <w:name w:val="Mention"/>
    <w:basedOn w:val="DefaultParagraphFont"/>
    <w:uiPriority w:val="99"/>
    <w:unhideWhenUsed/>
    <w:rsid w:val="005B4D29"/>
    <w:rPr>
      <w:color w:val="2B579A"/>
      <w:shd w:val="clear" w:color="auto" w:fill="E6E6E6"/>
    </w:rPr>
  </w:style>
  <w:style w:type="paragraph" w:customStyle="1" w:styleId="subprov">
    <w:name w:val="subprov"/>
    <w:basedOn w:val="Normal"/>
    <w:rsid w:val="005B4D2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label">
    <w:name w:val="label"/>
    <w:basedOn w:val="DefaultParagraphFont"/>
    <w:rsid w:val="005B4D29"/>
  </w:style>
  <w:style w:type="paragraph" w:customStyle="1" w:styleId="text">
    <w:name w:val="text"/>
    <w:basedOn w:val="Normal"/>
    <w:rsid w:val="005B4D2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Definition">
    <w:name w:val="HTML Definition"/>
    <w:basedOn w:val="DefaultParagraphFont"/>
    <w:uiPriority w:val="99"/>
    <w:semiHidden/>
    <w:unhideWhenUsed/>
    <w:rsid w:val="005B4D29"/>
    <w:rPr>
      <w:i/>
      <w:iCs/>
    </w:rPr>
  </w:style>
  <w:style w:type="paragraph" w:customStyle="1" w:styleId="CabStandard">
    <w:name w:val="CabStandard"/>
    <w:basedOn w:val="Normal"/>
    <w:rsid w:val="002E48E9"/>
    <w:pPr>
      <w:numPr>
        <w:numId w:val="17"/>
      </w:numPr>
      <w:tabs>
        <w:tab w:val="num" w:pos="360"/>
      </w:tabs>
      <w:spacing w:before="0" w:after="240" w:line="240" w:lineRule="auto"/>
      <w:jc w:val="left"/>
    </w:pPr>
    <w:rPr>
      <w:rFonts w:ascii="Times New Roman" w:eastAsia="Times New Roman" w:hAnsi="Times New Roman" w:cs="Times New Roman"/>
      <w:sz w:val="24"/>
      <w:szCs w:val="20"/>
      <w:lang w:val="en-GB" w:eastAsia="ja-JP"/>
    </w:rPr>
  </w:style>
  <w:style w:type="paragraph" w:customStyle="1" w:styleId="Default">
    <w:name w:val="Default"/>
    <w:rsid w:val="00275713"/>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3403FE"/>
    <w:rPr>
      <w:color w:val="808080"/>
    </w:rPr>
  </w:style>
  <w:style w:type="paragraph" w:customStyle="1" w:styleId="lead">
    <w:name w:val="lead"/>
    <w:basedOn w:val="Normal"/>
    <w:rsid w:val="00461C6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moticon-hidden-text">
    <w:name w:val="emoticon-hidden-text"/>
    <w:basedOn w:val="DefaultParagraphFont"/>
    <w:rsid w:val="00B550BD"/>
  </w:style>
  <w:style w:type="table" w:styleId="PlainTable4">
    <w:name w:val="Plain Table 4"/>
    <w:basedOn w:val="TableNormal"/>
    <w:uiPriority w:val="44"/>
    <w:rsid w:val="00A237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1">
    <w:name w:val="Grid Table 6 Colorful Accent 1"/>
    <w:basedOn w:val="TableNormal"/>
    <w:uiPriority w:val="51"/>
    <w:rsid w:val="0019420E"/>
    <w:pPr>
      <w:spacing w:after="0" w:line="240" w:lineRule="auto"/>
    </w:pPr>
    <w:rPr>
      <w:color w:val="153F50" w:themeColor="accent1" w:themeShade="BF"/>
    </w:r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rPr>
      <w:tblPr/>
      <w:tcPr>
        <w:tcBorders>
          <w:bottom w:val="single" w:sz="12" w:space="0" w:color="4CAAD0" w:themeColor="accent1" w:themeTint="99"/>
        </w:tcBorders>
      </w:tcPr>
    </w:tblStylePr>
    <w:tblStylePr w:type="lastRow">
      <w:rPr>
        <w:b/>
        <w:bCs/>
      </w:rPr>
      <w:tblPr/>
      <w:tcPr>
        <w:tcBorders>
          <w:top w:val="double" w:sz="4" w:space="0" w:color="4CAAD0" w:themeColor="accent1" w:themeTint="99"/>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table" w:styleId="ListTable1Light-Accent1">
    <w:name w:val="List Table 1 Light Accent 1"/>
    <w:basedOn w:val="TableNormal"/>
    <w:uiPriority w:val="46"/>
    <w:rsid w:val="0019420E"/>
    <w:pPr>
      <w:spacing w:after="0" w:line="240" w:lineRule="auto"/>
    </w:pPr>
    <w:tblPr>
      <w:tblStyleRowBandSize w:val="1"/>
      <w:tblStyleColBandSize w:val="1"/>
    </w:tblPr>
    <w:tblStylePr w:type="firstRow">
      <w:rPr>
        <w:b/>
        <w:bCs/>
      </w:rPr>
      <w:tblPr/>
      <w:tcPr>
        <w:tcBorders>
          <w:bottom w:val="single" w:sz="4" w:space="0" w:color="4CAAD0" w:themeColor="accent1" w:themeTint="99"/>
        </w:tcBorders>
      </w:tcPr>
    </w:tblStylePr>
    <w:tblStylePr w:type="lastRow">
      <w:rPr>
        <w:b/>
        <w:bCs/>
      </w:rPr>
      <w:tblPr/>
      <w:tcPr>
        <w:tcBorders>
          <w:top w:val="single" w:sz="4" w:space="0" w:color="4CAAD0" w:themeColor="accent1" w:themeTint="99"/>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table" w:styleId="ListTable3-Accent1">
    <w:name w:val="List Table 3 Accent 1"/>
    <w:basedOn w:val="TableNormal"/>
    <w:uiPriority w:val="48"/>
    <w:rsid w:val="00C3440E"/>
    <w:pPr>
      <w:spacing w:after="0" w:line="240" w:lineRule="auto"/>
    </w:p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9914">
      <w:bodyDiv w:val="1"/>
      <w:marLeft w:val="0"/>
      <w:marRight w:val="0"/>
      <w:marTop w:val="0"/>
      <w:marBottom w:val="0"/>
      <w:divBdr>
        <w:top w:val="none" w:sz="0" w:space="0" w:color="auto"/>
        <w:left w:val="none" w:sz="0" w:space="0" w:color="auto"/>
        <w:bottom w:val="none" w:sz="0" w:space="0" w:color="auto"/>
        <w:right w:val="none" w:sz="0" w:space="0" w:color="auto"/>
      </w:divBdr>
    </w:div>
    <w:div w:id="112094850">
      <w:bodyDiv w:val="1"/>
      <w:marLeft w:val="0"/>
      <w:marRight w:val="0"/>
      <w:marTop w:val="0"/>
      <w:marBottom w:val="0"/>
      <w:divBdr>
        <w:top w:val="none" w:sz="0" w:space="0" w:color="auto"/>
        <w:left w:val="none" w:sz="0" w:space="0" w:color="auto"/>
        <w:bottom w:val="none" w:sz="0" w:space="0" w:color="auto"/>
        <w:right w:val="none" w:sz="0" w:space="0" w:color="auto"/>
      </w:divBdr>
    </w:div>
    <w:div w:id="119539997">
      <w:bodyDiv w:val="1"/>
      <w:marLeft w:val="0"/>
      <w:marRight w:val="0"/>
      <w:marTop w:val="0"/>
      <w:marBottom w:val="0"/>
      <w:divBdr>
        <w:top w:val="none" w:sz="0" w:space="0" w:color="auto"/>
        <w:left w:val="none" w:sz="0" w:space="0" w:color="auto"/>
        <w:bottom w:val="none" w:sz="0" w:space="0" w:color="auto"/>
        <w:right w:val="none" w:sz="0" w:space="0" w:color="auto"/>
      </w:divBdr>
    </w:div>
    <w:div w:id="131867608">
      <w:bodyDiv w:val="1"/>
      <w:marLeft w:val="0"/>
      <w:marRight w:val="0"/>
      <w:marTop w:val="0"/>
      <w:marBottom w:val="0"/>
      <w:divBdr>
        <w:top w:val="none" w:sz="0" w:space="0" w:color="auto"/>
        <w:left w:val="none" w:sz="0" w:space="0" w:color="auto"/>
        <w:bottom w:val="none" w:sz="0" w:space="0" w:color="auto"/>
        <w:right w:val="none" w:sz="0" w:space="0" w:color="auto"/>
      </w:divBdr>
    </w:div>
    <w:div w:id="189033891">
      <w:bodyDiv w:val="1"/>
      <w:marLeft w:val="0"/>
      <w:marRight w:val="0"/>
      <w:marTop w:val="0"/>
      <w:marBottom w:val="0"/>
      <w:divBdr>
        <w:top w:val="none" w:sz="0" w:space="0" w:color="auto"/>
        <w:left w:val="none" w:sz="0" w:space="0" w:color="auto"/>
        <w:bottom w:val="none" w:sz="0" w:space="0" w:color="auto"/>
        <w:right w:val="none" w:sz="0" w:space="0" w:color="auto"/>
      </w:divBdr>
    </w:div>
    <w:div w:id="207110212">
      <w:bodyDiv w:val="1"/>
      <w:marLeft w:val="0"/>
      <w:marRight w:val="0"/>
      <w:marTop w:val="0"/>
      <w:marBottom w:val="0"/>
      <w:divBdr>
        <w:top w:val="none" w:sz="0" w:space="0" w:color="auto"/>
        <w:left w:val="none" w:sz="0" w:space="0" w:color="auto"/>
        <w:bottom w:val="none" w:sz="0" w:space="0" w:color="auto"/>
        <w:right w:val="none" w:sz="0" w:space="0" w:color="auto"/>
      </w:divBdr>
      <w:divsChild>
        <w:div w:id="357849638">
          <w:marLeft w:val="0"/>
          <w:marRight w:val="0"/>
          <w:marTop w:val="83"/>
          <w:marBottom w:val="0"/>
          <w:divBdr>
            <w:top w:val="none" w:sz="0" w:space="0" w:color="auto"/>
            <w:left w:val="none" w:sz="0" w:space="0" w:color="auto"/>
            <w:bottom w:val="none" w:sz="0" w:space="0" w:color="auto"/>
            <w:right w:val="none" w:sz="0" w:space="0" w:color="auto"/>
          </w:divBdr>
        </w:div>
        <w:div w:id="1252815309">
          <w:marLeft w:val="0"/>
          <w:marRight w:val="0"/>
          <w:marTop w:val="83"/>
          <w:marBottom w:val="0"/>
          <w:divBdr>
            <w:top w:val="none" w:sz="0" w:space="0" w:color="auto"/>
            <w:left w:val="none" w:sz="0" w:space="0" w:color="auto"/>
            <w:bottom w:val="none" w:sz="0" w:space="0" w:color="auto"/>
            <w:right w:val="none" w:sz="0" w:space="0" w:color="auto"/>
          </w:divBdr>
        </w:div>
        <w:div w:id="1989244181">
          <w:marLeft w:val="0"/>
          <w:marRight w:val="0"/>
          <w:marTop w:val="83"/>
          <w:marBottom w:val="0"/>
          <w:divBdr>
            <w:top w:val="none" w:sz="0" w:space="0" w:color="auto"/>
            <w:left w:val="none" w:sz="0" w:space="0" w:color="auto"/>
            <w:bottom w:val="none" w:sz="0" w:space="0" w:color="auto"/>
            <w:right w:val="none" w:sz="0" w:space="0" w:color="auto"/>
          </w:divBdr>
        </w:div>
        <w:div w:id="1998877494">
          <w:marLeft w:val="0"/>
          <w:marRight w:val="0"/>
          <w:marTop w:val="83"/>
          <w:marBottom w:val="0"/>
          <w:divBdr>
            <w:top w:val="none" w:sz="0" w:space="0" w:color="auto"/>
            <w:left w:val="none" w:sz="0" w:space="0" w:color="auto"/>
            <w:bottom w:val="none" w:sz="0" w:space="0" w:color="auto"/>
            <w:right w:val="none" w:sz="0" w:space="0" w:color="auto"/>
          </w:divBdr>
          <w:divsChild>
            <w:div w:id="1356885272">
              <w:marLeft w:val="0"/>
              <w:marRight w:val="0"/>
              <w:marTop w:val="83"/>
              <w:marBottom w:val="0"/>
              <w:divBdr>
                <w:top w:val="none" w:sz="0" w:space="0" w:color="auto"/>
                <w:left w:val="none" w:sz="0" w:space="0" w:color="auto"/>
                <w:bottom w:val="none" w:sz="0" w:space="0" w:color="auto"/>
                <w:right w:val="none" w:sz="0" w:space="0" w:color="auto"/>
              </w:divBdr>
            </w:div>
            <w:div w:id="1524130389">
              <w:marLeft w:val="0"/>
              <w:marRight w:val="0"/>
              <w:marTop w:val="83"/>
              <w:marBottom w:val="0"/>
              <w:divBdr>
                <w:top w:val="none" w:sz="0" w:space="0" w:color="auto"/>
                <w:left w:val="none" w:sz="0" w:space="0" w:color="auto"/>
                <w:bottom w:val="none" w:sz="0" w:space="0" w:color="auto"/>
                <w:right w:val="none" w:sz="0" w:space="0" w:color="auto"/>
              </w:divBdr>
            </w:div>
            <w:div w:id="212796586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2661638">
      <w:bodyDiv w:val="1"/>
      <w:marLeft w:val="0"/>
      <w:marRight w:val="0"/>
      <w:marTop w:val="0"/>
      <w:marBottom w:val="0"/>
      <w:divBdr>
        <w:top w:val="none" w:sz="0" w:space="0" w:color="auto"/>
        <w:left w:val="none" w:sz="0" w:space="0" w:color="auto"/>
        <w:bottom w:val="none" w:sz="0" w:space="0" w:color="auto"/>
        <w:right w:val="none" w:sz="0" w:space="0" w:color="auto"/>
      </w:divBdr>
      <w:divsChild>
        <w:div w:id="81610245">
          <w:marLeft w:val="0"/>
          <w:marRight w:val="0"/>
          <w:marTop w:val="0"/>
          <w:marBottom w:val="0"/>
          <w:divBdr>
            <w:top w:val="none" w:sz="0" w:space="0" w:color="auto"/>
            <w:left w:val="none" w:sz="0" w:space="0" w:color="auto"/>
            <w:bottom w:val="none" w:sz="0" w:space="0" w:color="auto"/>
            <w:right w:val="none" w:sz="0" w:space="0" w:color="auto"/>
          </w:divBdr>
        </w:div>
        <w:div w:id="1018385237">
          <w:marLeft w:val="0"/>
          <w:marRight w:val="0"/>
          <w:marTop w:val="0"/>
          <w:marBottom w:val="0"/>
          <w:divBdr>
            <w:top w:val="none" w:sz="0" w:space="0" w:color="auto"/>
            <w:left w:val="none" w:sz="0" w:space="0" w:color="auto"/>
            <w:bottom w:val="none" w:sz="0" w:space="0" w:color="auto"/>
            <w:right w:val="none" w:sz="0" w:space="0" w:color="auto"/>
          </w:divBdr>
        </w:div>
      </w:divsChild>
    </w:div>
    <w:div w:id="262305362">
      <w:bodyDiv w:val="1"/>
      <w:marLeft w:val="0"/>
      <w:marRight w:val="0"/>
      <w:marTop w:val="0"/>
      <w:marBottom w:val="0"/>
      <w:divBdr>
        <w:top w:val="none" w:sz="0" w:space="0" w:color="auto"/>
        <w:left w:val="none" w:sz="0" w:space="0" w:color="auto"/>
        <w:bottom w:val="none" w:sz="0" w:space="0" w:color="auto"/>
        <w:right w:val="none" w:sz="0" w:space="0" w:color="auto"/>
      </w:divBdr>
    </w:div>
    <w:div w:id="270625615">
      <w:bodyDiv w:val="1"/>
      <w:marLeft w:val="0"/>
      <w:marRight w:val="0"/>
      <w:marTop w:val="0"/>
      <w:marBottom w:val="0"/>
      <w:divBdr>
        <w:top w:val="none" w:sz="0" w:space="0" w:color="auto"/>
        <w:left w:val="none" w:sz="0" w:space="0" w:color="auto"/>
        <w:bottom w:val="none" w:sz="0" w:space="0" w:color="auto"/>
        <w:right w:val="none" w:sz="0" w:space="0" w:color="auto"/>
      </w:divBdr>
    </w:div>
    <w:div w:id="276957798">
      <w:bodyDiv w:val="1"/>
      <w:marLeft w:val="0"/>
      <w:marRight w:val="0"/>
      <w:marTop w:val="0"/>
      <w:marBottom w:val="0"/>
      <w:divBdr>
        <w:top w:val="none" w:sz="0" w:space="0" w:color="auto"/>
        <w:left w:val="none" w:sz="0" w:space="0" w:color="auto"/>
        <w:bottom w:val="none" w:sz="0" w:space="0" w:color="auto"/>
        <w:right w:val="none" w:sz="0" w:space="0" w:color="auto"/>
      </w:divBdr>
    </w:div>
    <w:div w:id="280916774">
      <w:bodyDiv w:val="1"/>
      <w:marLeft w:val="0"/>
      <w:marRight w:val="0"/>
      <w:marTop w:val="0"/>
      <w:marBottom w:val="0"/>
      <w:divBdr>
        <w:top w:val="none" w:sz="0" w:space="0" w:color="auto"/>
        <w:left w:val="none" w:sz="0" w:space="0" w:color="auto"/>
        <w:bottom w:val="none" w:sz="0" w:space="0" w:color="auto"/>
        <w:right w:val="none" w:sz="0" w:space="0" w:color="auto"/>
      </w:divBdr>
    </w:div>
    <w:div w:id="388766799">
      <w:bodyDiv w:val="1"/>
      <w:marLeft w:val="0"/>
      <w:marRight w:val="0"/>
      <w:marTop w:val="0"/>
      <w:marBottom w:val="0"/>
      <w:divBdr>
        <w:top w:val="none" w:sz="0" w:space="0" w:color="auto"/>
        <w:left w:val="none" w:sz="0" w:space="0" w:color="auto"/>
        <w:bottom w:val="none" w:sz="0" w:space="0" w:color="auto"/>
        <w:right w:val="none" w:sz="0" w:space="0" w:color="auto"/>
      </w:divBdr>
    </w:div>
    <w:div w:id="430785471">
      <w:bodyDiv w:val="1"/>
      <w:marLeft w:val="0"/>
      <w:marRight w:val="0"/>
      <w:marTop w:val="0"/>
      <w:marBottom w:val="0"/>
      <w:divBdr>
        <w:top w:val="none" w:sz="0" w:space="0" w:color="auto"/>
        <w:left w:val="none" w:sz="0" w:space="0" w:color="auto"/>
        <w:bottom w:val="none" w:sz="0" w:space="0" w:color="auto"/>
        <w:right w:val="none" w:sz="0" w:space="0" w:color="auto"/>
      </w:divBdr>
    </w:div>
    <w:div w:id="521818838">
      <w:bodyDiv w:val="1"/>
      <w:marLeft w:val="0"/>
      <w:marRight w:val="0"/>
      <w:marTop w:val="0"/>
      <w:marBottom w:val="0"/>
      <w:divBdr>
        <w:top w:val="none" w:sz="0" w:space="0" w:color="auto"/>
        <w:left w:val="none" w:sz="0" w:space="0" w:color="auto"/>
        <w:bottom w:val="none" w:sz="0" w:space="0" w:color="auto"/>
        <w:right w:val="none" w:sz="0" w:space="0" w:color="auto"/>
      </w:divBdr>
      <w:divsChild>
        <w:div w:id="833372369">
          <w:marLeft w:val="0"/>
          <w:marRight w:val="0"/>
          <w:marTop w:val="83"/>
          <w:marBottom w:val="0"/>
          <w:divBdr>
            <w:top w:val="none" w:sz="0" w:space="0" w:color="auto"/>
            <w:left w:val="none" w:sz="0" w:space="0" w:color="auto"/>
            <w:bottom w:val="none" w:sz="0" w:space="0" w:color="auto"/>
            <w:right w:val="none" w:sz="0" w:space="0" w:color="auto"/>
          </w:divBdr>
        </w:div>
        <w:div w:id="966348940">
          <w:marLeft w:val="0"/>
          <w:marRight w:val="0"/>
          <w:marTop w:val="83"/>
          <w:marBottom w:val="0"/>
          <w:divBdr>
            <w:top w:val="none" w:sz="0" w:space="0" w:color="auto"/>
            <w:left w:val="none" w:sz="0" w:space="0" w:color="auto"/>
            <w:bottom w:val="none" w:sz="0" w:space="0" w:color="auto"/>
            <w:right w:val="none" w:sz="0" w:space="0" w:color="auto"/>
          </w:divBdr>
          <w:divsChild>
            <w:div w:id="879630226">
              <w:marLeft w:val="0"/>
              <w:marRight w:val="0"/>
              <w:marTop w:val="83"/>
              <w:marBottom w:val="0"/>
              <w:divBdr>
                <w:top w:val="none" w:sz="0" w:space="0" w:color="auto"/>
                <w:left w:val="none" w:sz="0" w:space="0" w:color="auto"/>
                <w:bottom w:val="none" w:sz="0" w:space="0" w:color="auto"/>
                <w:right w:val="none" w:sz="0" w:space="0" w:color="auto"/>
              </w:divBdr>
            </w:div>
            <w:div w:id="1006008830">
              <w:marLeft w:val="0"/>
              <w:marRight w:val="0"/>
              <w:marTop w:val="83"/>
              <w:marBottom w:val="0"/>
              <w:divBdr>
                <w:top w:val="none" w:sz="0" w:space="0" w:color="auto"/>
                <w:left w:val="none" w:sz="0" w:space="0" w:color="auto"/>
                <w:bottom w:val="none" w:sz="0" w:space="0" w:color="auto"/>
                <w:right w:val="none" w:sz="0" w:space="0" w:color="auto"/>
              </w:divBdr>
              <w:divsChild>
                <w:div w:id="904071674">
                  <w:marLeft w:val="0"/>
                  <w:marRight w:val="0"/>
                  <w:marTop w:val="83"/>
                  <w:marBottom w:val="0"/>
                  <w:divBdr>
                    <w:top w:val="none" w:sz="0" w:space="0" w:color="auto"/>
                    <w:left w:val="none" w:sz="0" w:space="0" w:color="auto"/>
                    <w:bottom w:val="none" w:sz="0" w:space="0" w:color="auto"/>
                    <w:right w:val="none" w:sz="0" w:space="0" w:color="auto"/>
                  </w:divBdr>
                </w:div>
                <w:div w:id="106144095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727916731">
      <w:bodyDiv w:val="1"/>
      <w:marLeft w:val="0"/>
      <w:marRight w:val="0"/>
      <w:marTop w:val="0"/>
      <w:marBottom w:val="0"/>
      <w:divBdr>
        <w:top w:val="none" w:sz="0" w:space="0" w:color="auto"/>
        <w:left w:val="none" w:sz="0" w:space="0" w:color="auto"/>
        <w:bottom w:val="none" w:sz="0" w:space="0" w:color="auto"/>
        <w:right w:val="none" w:sz="0" w:space="0" w:color="auto"/>
      </w:divBdr>
    </w:div>
    <w:div w:id="754591054">
      <w:bodyDiv w:val="1"/>
      <w:marLeft w:val="0"/>
      <w:marRight w:val="0"/>
      <w:marTop w:val="0"/>
      <w:marBottom w:val="0"/>
      <w:divBdr>
        <w:top w:val="none" w:sz="0" w:space="0" w:color="auto"/>
        <w:left w:val="none" w:sz="0" w:space="0" w:color="auto"/>
        <w:bottom w:val="none" w:sz="0" w:space="0" w:color="auto"/>
        <w:right w:val="none" w:sz="0" w:space="0" w:color="auto"/>
      </w:divBdr>
    </w:div>
    <w:div w:id="763304492">
      <w:bodyDiv w:val="1"/>
      <w:marLeft w:val="0"/>
      <w:marRight w:val="0"/>
      <w:marTop w:val="0"/>
      <w:marBottom w:val="0"/>
      <w:divBdr>
        <w:top w:val="none" w:sz="0" w:space="0" w:color="auto"/>
        <w:left w:val="none" w:sz="0" w:space="0" w:color="auto"/>
        <w:bottom w:val="none" w:sz="0" w:space="0" w:color="auto"/>
        <w:right w:val="none" w:sz="0" w:space="0" w:color="auto"/>
      </w:divBdr>
    </w:div>
    <w:div w:id="789127415">
      <w:bodyDiv w:val="1"/>
      <w:marLeft w:val="0"/>
      <w:marRight w:val="0"/>
      <w:marTop w:val="0"/>
      <w:marBottom w:val="0"/>
      <w:divBdr>
        <w:top w:val="none" w:sz="0" w:space="0" w:color="auto"/>
        <w:left w:val="none" w:sz="0" w:space="0" w:color="auto"/>
        <w:bottom w:val="none" w:sz="0" w:space="0" w:color="auto"/>
        <w:right w:val="none" w:sz="0" w:space="0" w:color="auto"/>
      </w:divBdr>
    </w:div>
    <w:div w:id="818617840">
      <w:bodyDiv w:val="1"/>
      <w:marLeft w:val="0"/>
      <w:marRight w:val="0"/>
      <w:marTop w:val="0"/>
      <w:marBottom w:val="0"/>
      <w:divBdr>
        <w:top w:val="none" w:sz="0" w:space="0" w:color="auto"/>
        <w:left w:val="none" w:sz="0" w:space="0" w:color="auto"/>
        <w:bottom w:val="none" w:sz="0" w:space="0" w:color="auto"/>
        <w:right w:val="none" w:sz="0" w:space="0" w:color="auto"/>
      </w:divBdr>
    </w:div>
    <w:div w:id="871110168">
      <w:bodyDiv w:val="1"/>
      <w:marLeft w:val="0"/>
      <w:marRight w:val="0"/>
      <w:marTop w:val="0"/>
      <w:marBottom w:val="0"/>
      <w:divBdr>
        <w:top w:val="none" w:sz="0" w:space="0" w:color="auto"/>
        <w:left w:val="none" w:sz="0" w:space="0" w:color="auto"/>
        <w:bottom w:val="none" w:sz="0" w:space="0" w:color="auto"/>
        <w:right w:val="none" w:sz="0" w:space="0" w:color="auto"/>
      </w:divBdr>
    </w:div>
    <w:div w:id="897278715">
      <w:bodyDiv w:val="1"/>
      <w:marLeft w:val="0"/>
      <w:marRight w:val="0"/>
      <w:marTop w:val="0"/>
      <w:marBottom w:val="0"/>
      <w:divBdr>
        <w:top w:val="none" w:sz="0" w:space="0" w:color="auto"/>
        <w:left w:val="none" w:sz="0" w:space="0" w:color="auto"/>
        <w:bottom w:val="none" w:sz="0" w:space="0" w:color="auto"/>
        <w:right w:val="none" w:sz="0" w:space="0" w:color="auto"/>
      </w:divBdr>
    </w:div>
    <w:div w:id="906499922">
      <w:bodyDiv w:val="1"/>
      <w:marLeft w:val="0"/>
      <w:marRight w:val="0"/>
      <w:marTop w:val="0"/>
      <w:marBottom w:val="0"/>
      <w:divBdr>
        <w:top w:val="none" w:sz="0" w:space="0" w:color="auto"/>
        <w:left w:val="none" w:sz="0" w:space="0" w:color="auto"/>
        <w:bottom w:val="none" w:sz="0" w:space="0" w:color="auto"/>
        <w:right w:val="none" w:sz="0" w:space="0" w:color="auto"/>
      </w:divBdr>
    </w:div>
    <w:div w:id="965701458">
      <w:bodyDiv w:val="1"/>
      <w:marLeft w:val="0"/>
      <w:marRight w:val="0"/>
      <w:marTop w:val="0"/>
      <w:marBottom w:val="0"/>
      <w:divBdr>
        <w:top w:val="none" w:sz="0" w:space="0" w:color="auto"/>
        <w:left w:val="none" w:sz="0" w:space="0" w:color="auto"/>
        <w:bottom w:val="none" w:sz="0" w:space="0" w:color="auto"/>
        <w:right w:val="none" w:sz="0" w:space="0" w:color="auto"/>
      </w:divBdr>
    </w:div>
    <w:div w:id="985546212">
      <w:bodyDiv w:val="1"/>
      <w:marLeft w:val="0"/>
      <w:marRight w:val="0"/>
      <w:marTop w:val="0"/>
      <w:marBottom w:val="0"/>
      <w:divBdr>
        <w:top w:val="none" w:sz="0" w:space="0" w:color="auto"/>
        <w:left w:val="none" w:sz="0" w:space="0" w:color="auto"/>
        <w:bottom w:val="none" w:sz="0" w:space="0" w:color="auto"/>
        <w:right w:val="none" w:sz="0" w:space="0" w:color="auto"/>
      </w:divBdr>
    </w:div>
    <w:div w:id="996496203">
      <w:bodyDiv w:val="1"/>
      <w:marLeft w:val="0"/>
      <w:marRight w:val="0"/>
      <w:marTop w:val="0"/>
      <w:marBottom w:val="0"/>
      <w:divBdr>
        <w:top w:val="none" w:sz="0" w:space="0" w:color="auto"/>
        <w:left w:val="none" w:sz="0" w:space="0" w:color="auto"/>
        <w:bottom w:val="none" w:sz="0" w:space="0" w:color="auto"/>
        <w:right w:val="none" w:sz="0" w:space="0" w:color="auto"/>
      </w:divBdr>
    </w:div>
    <w:div w:id="1028410503">
      <w:bodyDiv w:val="1"/>
      <w:marLeft w:val="0"/>
      <w:marRight w:val="0"/>
      <w:marTop w:val="0"/>
      <w:marBottom w:val="0"/>
      <w:divBdr>
        <w:top w:val="none" w:sz="0" w:space="0" w:color="auto"/>
        <w:left w:val="none" w:sz="0" w:space="0" w:color="auto"/>
        <w:bottom w:val="none" w:sz="0" w:space="0" w:color="auto"/>
        <w:right w:val="none" w:sz="0" w:space="0" w:color="auto"/>
      </w:divBdr>
    </w:div>
    <w:div w:id="1032455635">
      <w:bodyDiv w:val="1"/>
      <w:marLeft w:val="0"/>
      <w:marRight w:val="0"/>
      <w:marTop w:val="0"/>
      <w:marBottom w:val="0"/>
      <w:divBdr>
        <w:top w:val="none" w:sz="0" w:space="0" w:color="auto"/>
        <w:left w:val="none" w:sz="0" w:space="0" w:color="auto"/>
        <w:bottom w:val="none" w:sz="0" w:space="0" w:color="auto"/>
        <w:right w:val="none" w:sz="0" w:space="0" w:color="auto"/>
      </w:divBdr>
    </w:div>
    <w:div w:id="1042942860">
      <w:bodyDiv w:val="1"/>
      <w:marLeft w:val="0"/>
      <w:marRight w:val="0"/>
      <w:marTop w:val="0"/>
      <w:marBottom w:val="0"/>
      <w:divBdr>
        <w:top w:val="none" w:sz="0" w:space="0" w:color="auto"/>
        <w:left w:val="none" w:sz="0" w:space="0" w:color="auto"/>
        <w:bottom w:val="none" w:sz="0" w:space="0" w:color="auto"/>
        <w:right w:val="none" w:sz="0" w:space="0" w:color="auto"/>
      </w:divBdr>
    </w:div>
    <w:div w:id="1130779661">
      <w:bodyDiv w:val="1"/>
      <w:marLeft w:val="0"/>
      <w:marRight w:val="0"/>
      <w:marTop w:val="0"/>
      <w:marBottom w:val="0"/>
      <w:divBdr>
        <w:top w:val="none" w:sz="0" w:space="0" w:color="auto"/>
        <w:left w:val="none" w:sz="0" w:space="0" w:color="auto"/>
        <w:bottom w:val="none" w:sz="0" w:space="0" w:color="auto"/>
        <w:right w:val="none" w:sz="0" w:space="0" w:color="auto"/>
      </w:divBdr>
    </w:div>
    <w:div w:id="1184981251">
      <w:bodyDiv w:val="1"/>
      <w:marLeft w:val="0"/>
      <w:marRight w:val="0"/>
      <w:marTop w:val="0"/>
      <w:marBottom w:val="0"/>
      <w:divBdr>
        <w:top w:val="none" w:sz="0" w:space="0" w:color="auto"/>
        <w:left w:val="none" w:sz="0" w:space="0" w:color="auto"/>
        <w:bottom w:val="none" w:sz="0" w:space="0" w:color="auto"/>
        <w:right w:val="none" w:sz="0" w:space="0" w:color="auto"/>
      </w:divBdr>
    </w:div>
    <w:div w:id="1209880264">
      <w:bodyDiv w:val="1"/>
      <w:marLeft w:val="0"/>
      <w:marRight w:val="0"/>
      <w:marTop w:val="0"/>
      <w:marBottom w:val="0"/>
      <w:divBdr>
        <w:top w:val="none" w:sz="0" w:space="0" w:color="auto"/>
        <w:left w:val="none" w:sz="0" w:space="0" w:color="auto"/>
        <w:bottom w:val="none" w:sz="0" w:space="0" w:color="auto"/>
        <w:right w:val="none" w:sz="0" w:space="0" w:color="auto"/>
      </w:divBdr>
    </w:div>
    <w:div w:id="1239438165">
      <w:bodyDiv w:val="1"/>
      <w:marLeft w:val="0"/>
      <w:marRight w:val="0"/>
      <w:marTop w:val="0"/>
      <w:marBottom w:val="0"/>
      <w:divBdr>
        <w:top w:val="none" w:sz="0" w:space="0" w:color="auto"/>
        <w:left w:val="none" w:sz="0" w:space="0" w:color="auto"/>
        <w:bottom w:val="none" w:sz="0" w:space="0" w:color="auto"/>
        <w:right w:val="none" w:sz="0" w:space="0" w:color="auto"/>
      </w:divBdr>
    </w:div>
    <w:div w:id="1307933290">
      <w:bodyDiv w:val="1"/>
      <w:marLeft w:val="0"/>
      <w:marRight w:val="0"/>
      <w:marTop w:val="0"/>
      <w:marBottom w:val="0"/>
      <w:divBdr>
        <w:top w:val="none" w:sz="0" w:space="0" w:color="auto"/>
        <w:left w:val="none" w:sz="0" w:space="0" w:color="auto"/>
        <w:bottom w:val="none" w:sz="0" w:space="0" w:color="auto"/>
        <w:right w:val="none" w:sz="0" w:space="0" w:color="auto"/>
      </w:divBdr>
    </w:div>
    <w:div w:id="1330675223">
      <w:bodyDiv w:val="1"/>
      <w:marLeft w:val="0"/>
      <w:marRight w:val="0"/>
      <w:marTop w:val="0"/>
      <w:marBottom w:val="0"/>
      <w:divBdr>
        <w:top w:val="none" w:sz="0" w:space="0" w:color="auto"/>
        <w:left w:val="none" w:sz="0" w:space="0" w:color="auto"/>
        <w:bottom w:val="none" w:sz="0" w:space="0" w:color="auto"/>
        <w:right w:val="none" w:sz="0" w:space="0" w:color="auto"/>
      </w:divBdr>
    </w:div>
    <w:div w:id="1337808196">
      <w:bodyDiv w:val="1"/>
      <w:marLeft w:val="0"/>
      <w:marRight w:val="0"/>
      <w:marTop w:val="0"/>
      <w:marBottom w:val="0"/>
      <w:divBdr>
        <w:top w:val="none" w:sz="0" w:space="0" w:color="auto"/>
        <w:left w:val="none" w:sz="0" w:space="0" w:color="auto"/>
        <w:bottom w:val="none" w:sz="0" w:space="0" w:color="auto"/>
        <w:right w:val="none" w:sz="0" w:space="0" w:color="auto"/>
      </w:divBdr>
    </w:div>
    <w:div w:id="1358502797">
      <w:bodyDiv w:val="1"/>
      <w:marLeft w:val="0"/>
      <w:marRight w:val="0"/>
      <w:marTop w:val="0"/>
      <w:marBottom w:val="0"/>
      <w:divBdr>
        <w:top w:val="none" w:sz="0" w:space="0" w:color="auto"/>
        <w:left w:val="none" w:sz="0" w:space="0" w:color="auto"/>
        <w:bottom w:val="none" w:sz="0" w:space="0" w:color="auto"/>
        <w:right w:val="none" w:sz="0" w:space="0" w:color="auto"/>
      </w:divBdr>
    </w:div>
    <w:div w:id="1361591744">
      <w:bodyDiv w:val="1"/>
      <w:marLeft w:val="0"/>
      <w:marRight w:val="0"/>
      <w:marTop w:val="0"/>
      <w:marBottom w:val="0"/>
      <w:divBdr>
        <w:top w:val="none" w:sz="0" w:space="0" w:color="auto"/>
        <w:left w:val="none" w:sz="0" w:space="0" w:color="auto"/>
        <w:bottom w:val="none" w:sz="0" w:space="0" w:color="auto"/>
        <w:right w:val="none" w:sz="0" w:space="0" w:color="auto"/>
      </w:divBdr>
    </w:div>
    <w:div w:id="1402942320">
      <w:bodyDiv w:val="1"/>
      <w:marLeft w:val="0"/>
      <w:marRight w:val="0"/>
      <w:marTop w:val="0"/>
      <w:marBottom w:val="0"/>
      <w:divBdr>
        <w:top w:val="none" w:sz="0" w:space="0" w:color="auto"/>
        <w:left w:val="none" w:sz="0" w:space="0" w:color="auto"/>
        <w:bottom w:val="none" w:sz="0" w:space="0" w:color="auto"/>
        <w:right w:val="none" w:sz="0" w:space="0" w:color="auto"/>
      </w:divBdr>
    </w:div>
    <w:div w:id="1424494716">
      <w:bodyDiv w:val="1"/>
      <w:marLeft w:val="0"/>
      <w:marRight w:val="0"/>
      <w:marTop w:val="0"/>
      <w:marBottom w:val="0"/>
      <w:divBdr>
        <w:top w:val="none" w:sz="0" w:space="0" w:color="auto"/>
        <w:left w:val="none" w:sz="0" w:space="0" w:color="auto"/>
        <w:bottom w:val="none" w:sz="0" w:space="0" w:color="auto"/>
        <w:right w:val="none" w:sz="0" w:space="0" w:color="auto"/>
      </w:divBdr>
    </w:div>
    <w:div w:id="147359741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3465275">
      <w:bodyDiv w:val="1"/>
      <w:marLeft w:val="0"/>
      <w:marRight w:val="0"/>
      <w:marTop w:val="0"/>
      <w:marBottom w:val="0"/>
      <w:divBdr>
        <w:top w:val="none" w:sz="0" w:space="0" w:color="auto"/>
        <w:left w:val="none" w:sz="0" w:space="0" w:color="auto"/>
        <w:bottom w:val="none" w:sz="0" w:space="0" w:color="auto"/>
        <w:right w:val="none" w:sz="0" w:space="0" w:color="auto"/>
      </w:divBdr>
    </w:div>
    <w:div w:id="1631126204">
      <w:bodyDiv w:val="1"/>
      <w:marLeft w:val="0"/>
      <w:marRight w:val="0"/>
      <w:marTop w:val="0"/>
      <w:marBottom w:val="0"/>
      <w:divBdr>
        <w:top w:val="none" w:sz="0" w:space="0" w:color="auto"/>
        <w:left w:val="none" w:sz="0" w:space="0" w:color="auto"/>
        <w:bottom w:val="none" w:sz="0" w:space="0" w:color="auto"/>
        <w:right w:val="none" w:sz="0" w:space="0" w:color="auto"/>
      </w:divBdr>
    </w:div>
    <w:div w:id="1684554568">
      <w:bodyDiv w:val="1"/>
      <w:marLeft w:val="0"/>
      <w:marRight w:val="0"/>
      <w:marTop w:val="0"/>
      <w:marBottom w:val="0"/>
      <w:divBdr>
        <w:top w:val="none" w:sz="0" w:space="0" w:color="auto"/>
        <w:left w:val="none" w:sz="0" w:space="0" w:color="auto"/>
        <w:bottom w:val="none" w:sz="0" w:space="0" w:color="auto"/>
        <w:right w:val="none" w:sz="0" w:space="0" w:color="auto"/>
      </w:divBdr>
    </w:div>
    <w:div w:id="1715230588">
      <w:bodyDiv w:val="1"/>
      <w:marLeft w:val="0"/>
      <w:marRight w:val="0"/>
      <w:marTop w:val="0"/>
      <w:marBottom w:val="0"/>
      <w:divBdr>
        <w:top w:val="none" w:sz="0" w:space="0" w:color="auto"/>
        <w:left w:val="none" w:sz="0" w:space="0" w:color="auto"/>
        <w:bottom w:val="none" w:sz="0" w:space="0" w:color="auto"/>
        <w:right w:val="none" w:sz="0" w:space="0" w:color="auto"/>
      </w:divBdr>
    </w:div>
    <w:div w:id="1777482936">
      <w:bodyDiv w:val="1"/>
      <w:marLeft w:val="0"/>
      <w:marRight w:val="0"/>
      <w:marTop w:val="0"/>
      <w:marBottom w:val="0"/>
      <w:divBdr>
        <w:top w:val="none" w:sz="0" w:space="0" w:color="auto"/>
        <w:left w:val="none" w:sz="0" w:space="0" w:color="auto"/>
        <w:bottom w:val="none" w:sz="0" w:space="0" w:color="auto"/>
        <w:right w:val="none" w:sz="0" w:space="0" w:color="auto"/>
      </w:divBdr>
    </w:div>
    <w:div w:id="1782846272">
      <w:bodyDiv w:val="1"/>
      <w:marLeft w:val="0"/>
      <w:marRight w:val="0"/>
      <w:marTop w:val="0"/>
      <w:marBottom w:val="0"/>
      <w:divBdr>
        <w:top w:val="none" w:sz="0" w:space="0" w:color="auto"/>
        <w:left w:val="none" w:sz="0" w:space="0" w:color="auto"/>
        <w:bottom w:val="none" w:sz="0" w:space="0" w:color="auto"/>
        <w:right w:val="none" w:sz="0" w:space="0" w:color="auto"/>
      </w:divBdr>
    </w:div>
    <w:div w:id="1796213356">
      <w:bodyDiv w:val="1"/>
      <w:marLeft w:val="0"/>
      <w:marRight w:val="0"/>
      <w:marTop w:val="0"/>
      <w:marBottom w:val="0"/>
      <w:divBdr>
        <w:top w:val="none" w:sz="0" w:space="0" w:color="auto"/>
        <w:left w:val="none" w:sz="0" w:space="0" w:color="auto"/>
        <w:bottom w:val="none" w:sz="0" w:space="0" w:color="auto"/>
        <w:right w:val="none" w:sz="0" w:space="0" w:color="auto"/>
      </w:divBdr>
    </w:div>
    <w:div w:id="1863743912">
      <w:bodyDiv w:val="1"/>
      <w:marLeft w:val="0"/>
      <w:marRight w:val="0"/>
      <w:marTop w:val="0"/>
      <w:marBottom w:val="0"/>
      <w:divBdr>
        <w:top w:val="none" w:sz="0" w:space="0" w:color="auto"/>
        <w:left w:val="none" w:sz="0" w:space="0" w:color="auto"/>
        <w:bottom w:val="none" w:sz="0" w:space="0" w:color="auto"/>
        <w:right w:val="none" w:sz="0" w:space="0" w:color="auto"/>
      </w:divBdr>
    </w:div>
    <w:div w:id="1963146201">
      <w:bodyDiv w:val="1"/>
      <w:marLeft w:val="0"/>
      <w:marRight w:val="0"/>
      <w:marTop w:val="0"/>
      <w:marBottom w:val="0"/>
      <w:divBdr>
        <w:top w:val="none" w:sz="0" w:space="0" w:color="auto"/>
        <w:left w:val="none" w:sz="0" w:space="0" w:color="auto"/>
        <w:bottom w:val="none" w:sz="0" w:space="0" w:color="auto"/>
        <w:right w:val="none" w:sz="0" w:space="0" w:color="auto"/>
      </w:divBdr>
    </w:div>
    <w:div w:id="2002811140">
      <w:bodyDiv w:val="1"/>
      <w:marLeft w:val="0"/>
      <w:marRight w:val="0"/>
      <w:marTop w:val="0"/>
      <w:marBottom w:val="0"/>
      <w:divBdr>
        <w:top w:val="none" w:sz="0" w:space="0" w:color="auto"/>
        <w:left w:val="none" w:sz="0" w:space="0" w:color="auto"/>
        <w:bottom w:val="none" w:sz="0" w:space="0" w:color="auto"/>
        <w:right w:val="none" w:sz="0" w:space="0" w:color="auto"/>
      </w:divBdr>
    </w:div>
    <w:div w:id="2062634737">
      <w:bodyDiv w:val="1"/>
      <w:marLeft w:val="0"/>
      <w:marRight w:val="0"/>
      <w:marTop w:val="0"/>
      <w:marBottom w:val="0"/>
      <w:divBdr>
        <w:top w:val="none" w:sz="0" w:space="0" w:color="auto"/>
        <w:left w:val="none" w:sz="0" w:space="0" w:color="auto"/>
        <w:bottom w:val="none" w:sz="0" w:space="0" w:color="auto"/>
        <w:right w:val="none" w:sz="0" w:space="0" w:color="auto"/>
      </w:divBdr>
    </w:div>
    <w:div w:id="2081631623">
      <w:bodyDiv w:val="1"/>
      <w:marLeft w:val="0"/>
      <w:marRight w:val="0"/>
      <w:marTop w:val="0"/>
      <w:marBottom w:val="0"/>
      <w:divBdr>
        <w:top w:val="none" w:sz="0" w:space="0" w:color="auto"/>
        <w:left w:val="none" w:sz="0" w:space="0" w:color="auto"/>
        <w:bottom w:val="none" w:sz="0" w:space="0" w:color="auto"/>
        <w:right w:val="none" w:sz="0" w:space="0" w:color="auto"/>
      </w:divBdr>
    </w:div>
    <w:div w:id="2120484658">
      <w:bodyDiv w:val="1"/>
      <w:marLeft w:val="0"/>
      <w:marRight w:val="0"/>
      <w:marTop w:val="0"/>
      <w:marBottom w:val="0"/>
      <w:divBdr>
        <w:top w:val="none" w:sz="0" w:space="0" w:color="auto"/>
        <w:left w:val="none" w:sz="0" w:space="0" w:color="auto"/>
        <w:bottom w:val="none" w:sz="0" w:space="0" w:color="auto"/>
        <w:right w:val="none" w:sz="0" w:space="0" w:color="auto"/>
      </w:divBdr>
    </w:div>
    <w:div w:id="21379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environment.govt.nz/publications/the-epas-cost-recovery-arrangement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businessnz.org.nz/__data/assets/pdf_file/0012/237000/220314-BusinessNZ-Planning-Forecast-March-quarter-2022.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nvironment.govt.nz" TargetMode="External"/><Relationship Id="rId25" Type="http://schemas.openxmlformats.org/officeDocument/2006/relationships/hyperlink" Target="https://www.treasury.govt.nz/publications/guide/guidelines-setting-charges-public-sector-2017-html" TargetMode="External"/><Relationship Id="rId2" Type="http://schemas.openxmlformats.org/officeDocument/2006/relationships/customXml" Target="../customXml/item2.xml"/><Relationship Id="rId16" Type="http://schemas.openxmlformats.org/officeDocument/2006/relationships/hyperlink" Target="https://environment.govt.nz/what-government-is-doing/cabinet-papers-and-regulatory-impact-statements/stage-2-interim-cost-recovery-impact-statement" TargetMode="External"/><Relationship Id="rId20" Type="http://schemas.openxmlformats.org/officeDocument/2006/relationships/hyperlink" Target="https://d.docs.live.net/664cc23cb7f4d710/docs/department%20of%20correctness/Ministry%20for%20the%20Environment/DRAFT%20-%20EEZ%20cost%20recovery%20discussion%20document%20(edited)%2022.09.202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pa.govt.nz/assets/Uploads/Documents/Marine-Activities-EEZ/Policies/EEZ-cost-recovery-policy.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oag.parliament.nz/2021/fees-and-levies/docs/fees-and-levies.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businessnz.org.nz/__data/assets/pdf_file/0012/237000/220314-BusinessNZ-Planning-Forecast-March-quarter-202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vironment.govt.nz/" TargetMode="External"/><Relationship Id="rId22" Type="http://schemas.openxmlformats.org/officeDocument/2006/relationships/hyperlink" Target="https://environment.govt.nz/what-government-is-doing/cabinet-papers-and-regulatory-impact-statements/reference-number-egi-min-12-2914/" TargetMode="External"/><Relationship Id="rId27" Type="http://schemas.openxmlformats.org/officeDocument/2006/relationships/footer" Target="footer3.xml"/><Relationship Id="rId30"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www.treasury.govt.nz/publications/guide/guidelines-setting-charges-public-sector-2017-html" TargetMode="External"/><Relationship Id="rId13" Type="http://schemas.openxmlformats.org/officeDocument/2006/relationships/hyperlink" Target="https://www.legislation.govt.nz/regulation/public/2021/0272/latest/whole.html" TargetMode="External"/><Relationship Id="rId3" Type="http://schemas.openxmlformats.org/officeDocument/2006/relationships/hyperlink" Target="https://www.legislation.govt.nz/act/public/2012/0072/latest/DLM3956333.html" TargetMode="External"/><Relationship Id="rId7" Type="http://schemas.openxmlformats.org/officeDocument/2006/relationships/hyperlink" Target="https://www.legislation.govt.nz/regulation/public/2021/0272/latest/whole.html" TargetMode="External"/><Relationship Id="rId12" Type="http://schemas.openxmlformats.org/officeDocument/2006/relationships/hyperlink" Target="https://www.epa.govt.nz/assets/Uploads/Documents/Marine-Activities-EEZ/Policies/EEZ-cost-recovery-policy.pdf" TargetMode="External"/><Relationship Id="rId17" Type="http://schemas.openxmlformats.org/officeDocument/2006/relationships/hyperlink" Target="https://www.legislation.govt.nz/act/public/1991/0069/latest/DLM230265.html?src=qs" TargetMode="External"/><Relationship Id="rId2" Type="http://schemas.openxmlformats.org/officeDocument/2006/relationships/hyperlink" Target="https://www.legislation.govt.nz/act/public/2012/0072/latest/DLM3956333.html" TargetMode="External"/><Relationship Id="rId16" Type="http://schemas.openxmlformats.org/officeDocument/2006/relationships/hyperlink" Target="https://www.legislation.govt.nz/act/public/2012/0072/latest/DLM3956333.html" TargetMode="External"/><Relationship Id="rId1" Type="http://schemas.openxmlformats.org/officeDocument/2006/relationships/hyperlink" Target="https://www.legislation.govt.nz/regulation/public/2013/0283/latest/DLM5270601.html" TargetMode="External"/><Relationship Id="rId6" Type="http://schemas.openxmlformats.org/officeDocument/2006/relationships/hyperlink" Target="https://www.legislation.govt.nz/regulation/public/2013/0284/latest/whole.html" TargetMode="External"/><Relationship Id="rId11" Type="http://schemas.openxmlformats.org/officeDocument/2006/relationships/hyperlink" Target="https://www.legislation.govt.nz/act/public/2012/0072/latest/DLM3956334.html" TargetMode="External"/><Relationship Id="rId5" Type="http://schemas.openxmlformats.org/officeDocument/2006/relationships/hyperlink" Target="https://www.legislation.govt.nz/regulation/public/2013/0284/latest/whole.html" TargetMode="External"/><Relationship Id="rId15" Type="http://schemas.openxmlformats.org/officeDocument/2006/relationships/hyperlink" Target="file:///C:/Users/WiltonH.MFE/AppData/Local/Microsoft/Windows/INetCache/Content.Outlook/DXR315H2/COVID-19%20Recovery%20(Fast-track%20Consenting)%20Act%202020" TargetMode="External"/><Relationship Id="rId10" Type="http://schemas.openxmlformats.org/officeDocument/2006/relationships/hyperlink" Target="https://www.legislation.govt.nz/act/public/2012/0072/latest/DLM3956333.html" TargetMode="External"/><Relationship Id="rId4" Type="http://schemas.openxmlformats.org/officeDocument/2006/relationships/hyperlink" Target="https://environment.govt.nz/what-government-is-doing/cabinet-papers-and-regulatory-impact-statements/reference-number-egi-min-12-2914/" TargetMode="External"/><Relationship Id="rId9" Type="http://schemas.openxmlformats.org/officeDocument/2006/relationships/hyperlink" Target="https://oag.parliament.nz/2021/fees-and-levies/docs/fees-and-levies.pdf" TargetMode="External"/><Relationship Id="rId14" Type="http://schemas.openxmlformats.org/officeDocument/2006/relationships/hyperlink" Target="https://www.businessnz.org.nz/__data/assets/pdf_file/0012/237000/220314-BusinessNZ-Planning-Forecast-March-quarter-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documenttasks/documenttasks1.xml><?xml version="1.0" encoding="utf-8"?>
<t:Tasks xmlns:t="http://schemas.microsoft.com/office/tasks/2019/documenttasks" xmlns:oel="http://schemas.microsoft.com/office/2019/extlst">
  <t:Task id="{B633A7F5-AC73-4131-9343-369204FE2792}">
    <t:Anchor>
      <t:Comment id="620592687"/>
    </t:Anchor>
    <t:History>
      <t:Event id="{3755DEDA-99F2-4241-B051-309248A216CC}" time="2021-09-28T00:26:15.788Z">
        <t:Attribution userId="S::james.hudson@mfe.govt.nz::917b8a98-206b-4ad9-a451-bcc029c40a23" userProvider="AD" userName="James Hudson"/>
        <t:Anchor>
          <t:Comment id="2080664528"/>
        </t:Anchor>
        <t:Create/>
      </t:Event>
      <t:Event id="{AC3C0368-6F81-4062-B93A-3B2BF8A1AF99}" time="2021-09-28T00:26:15.788Z">
        <t:Attribution userId="S::james.hudson@mfe.govt.nz::917b8a98-206b-4ad9-a451-bcc029c40a23" userProvider="AD" userName="James Hudson"/>
        <t:Anchor>
          <t:Comment id="2080664528"/>
        </t:Anchor>
        <t:Assign userId="S::Bella.Smith@mfe.govt.nz::1284850e-ffcf-4ab0-a0c4-f095a4909370" userProvider="AD" userName="Bella Smith"/>
      </t:Event>
      <t:Event id="{46A1C46D-A023-4F38-9F87-9197E4A4991D}" time="2021-09-28T00:26:15.788Z">
        <t:Attribution userId="S::james.hudson@mfe.govt.nz::917b8a98-206b-4ad9-a451-bcc029c40a23" userProvider="AD" userName="James Hudson"/>
        <t:Anchor>
          <t:Comment id="2080664528"/>
        </t:Anchor>
        <t:SetTitle title="@Bella Smith How's that?"/>
      </t:Event>
    </t:History>
  </t:Task>
</t:Task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Te Puna Document" ma:contentTypeID="0x0101000F684E23C2896D4293FF5A13117172040012F5946AEBE11C43B3740AD057D7C1D2" ma:contentTypeVersion="28" ma:contentTypeDescription="Create a new document." ma:contentTypeScope="" ma:versionID="8f3f4323a1abe7393bfd5997dd3fde5f">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ae1c97cecaf499b2c1bffd6baf9c79e5"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RM_x0020_Classification" minOccurs="0"/>
                <xsd:element ref="ns3:File_x0020_Number" minOccurs="0"/>
                <xsd:element ref="ns3:RSI" minOccurs="0"/>
                <xsd:element ref="ns3:Current_x0020_Security_x0020_Clearance_x0020_Level" minOccurs="0"/>
                <xsd:element ref="ns3:OpenText_x0020_Path"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1" nillable="true" ma:displayName="Taxonomy Catch All Column" ma:hidden="true" ma:list="{20d632c6-fb1f-43d6-95e4-429892e0496a}"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RM_x0020_Classification" ma:index="21" nillable="true" ma:displayName="RM Classification" ma:default="" ma:description="" ma:internalName="RM_x0020_Classification" ma:readOnly="false">
      <xsd:simpleType>
        <xsd:restriction base="dms:Text">
          <xsd:maxLength value="255"/>
        </xsd:restriction>
      </xsd:simpleType>
    </xsd:element>
    <xsd:element name="File_x0020_Number" ma:index="22" nillable="true" ma:displayName="File Number" ma:default="" ma:description="" ma:internalName="File_x0020_Number" ma:readOnly="false">
      <xsd:simpleType>
        <xsd:restriction base="dms:Text">
          <xsd:maxLength value="255"/>
        </xsd:restriction>
      </xsd:simpleType>
    </xsd:element>
    <xsd:element name="RSI" ma:index="23" nillable="true" ma:displayName="RSI" ma:default="" ma:description="" ma:internalName="RSI" ma:readOnly="false">
      <xsd:simpleType>
        <xsd:restriction base="dms:Text">
          <xsd:maxLength value="255"/>
        </xsd:restriction>
      </xsd:simpleType>
    </xsd:element>
    <xsd:element name="Current_x0020_Security_x0020_Clearance_x0020_Level" ma:index="24"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5" nillable="true" ma:displayName="OpenText Path" ma:default="" ma:description="" ma:internalName="OpenText_x0020_Path" ma:readOnly="false">
      <xsd:simpleType>
        <xsd:restriction base="dms:Note"/>
      </xsd:simpleType>
    </xsd:element>
    <xsd:element name="Document_x0020_Type" ma:index="26" nillable="true" ma:displayName="Document Type" ma:default="" ma:description="" ma:internalName="Document_x0020_Type">
      <xsd:simpleType>
        <xsd:restriction base="dms:Note">
          <xsd:maxLength value="255"/>
        </xsd:restriction>
      </xsd:simpleType>
    </xsd:element>
    <xsd:element name="Library" ma:index="27" nillable="true" ma:displayName="Library" ma:default="" ma:description="" ma:internalName="Library">
      <xsd:simpleType>
        <xsd:restriction base="dms:Text">
          <xsd:maxLength value="255"/>
        </xsd:restriction>
      </xsd:simpleType>
    </xsd:element>
    <xsd:element name="Legacy_x0020_DocID" ma:index="28" nillable="true" ma:displayName="Legacy DocID" ma:decimals="-1" ma:default="" ma:description="" ma:internalName="Legacy_x0020_DocID">
      <xsd:simpleType>
        <xsd:restriction base="dms:Number"/>
      </xsd:simpleType>
    </xsd:element>
    <xsd:element name="Legacy_x0020_Version" ma:index="29" nillable="true" ma:displayName="Legacy Version" ma:default="" ma:description="" ma:internalName="Legacy_x0020_Version">
      <xsd:simpleType>
        <xsd:restriction base="dms:Text">
          <xsd:maxLength value="255"/>
        </xsd:restriction>
      </xsd:simpleType>
    </xsd:element>
    <xsd:element name="Class" ma:index="30" nillable="true" ma:displayName="Class" ma:default="" ma:description="" ma:internalName="Class">
      <xsd:simpleType>
        <xsd:restriction base="dms:Text">
          <xsd:maxLength value="255"/>
        </xsd:restriction>
      </xsd:simpleType>
    </xsd:element>
    <xsd:element name="Author0" ma:index="31" nillable="true" ma:displayName="Author" ma:default="" ma:description="" ma:internalName="Author0">
      <xsd:simpleType>
        <xsd:restriction base="dms:Text">
          <xsd:maxLength value="255"/>
        </xsd:restriction>
      </xsd:simpleType>
    </xsd:element>
    <xsd:element name="Status" ma:index="32" nillable="true" ma:displayName="Status" ma:default="" ma:description="" ma:internalName="Status">
      <xsd:simpleType>
        <xsd:restriction base="dms:Text">
          <xsd:maxLength value="255"/>
        </xsd:restriction>
      </xsd:simpleType>
    </xsd:element>
    <xsd:element name="Year" ma:index="33" nillable="true" ma:displayName="Year" ma:default="" ma:description="" ma:internalName="Year">
      <xsd:simpleType>
        <xsd:restriction base="dms:Text">
          <xsd:maxLength value="255"/>
        </xsd:restriction>
      </xsd:simpleType>
    </xsd:element>
    <xsd:element name="Other_x0020_Details" ma:index="34" nillable="true" ma:displayName="Other Details" ma:default="" ma:description="" ma:internalName="Other_x0020_Details">
      <xsd:simpleType>
        <xsd:restriction base="dms:Text">
          <xsd:maxLength value="255"/>
        </xsd:restriction>
      </xsd:simpleType>
    </xsd:element>
    <xsd:element name="MTS_x0020_Type" ma:index="35" nillable="true" ma:displayName="MTS Type" ma:default="" ma:description="" ma:internalName="MTS_x0020_Type">
      <xsd:simpleType>
        <xsd:restriction base="dms:Note">
          <xsd:maxLength value="255"/>
        </xsd:restriction>
      </xsd:simpleType>
    </xsd:element>
    <xsd:element name="MTS_x0020_ID" ma:index="36" nillable="true" ma:displayName="MTS ID" ma:default="" ma:description="" ma:internalName="MTS_x0020_ID">
      <xsd:simpleType>
        <xsd:restriction base="dms:Text">
          <xsd:maxLength value="255"/>
        </xsd:restriction>
      </xsd:simpleType>
    </xsd:element>
    <xsd:element name="Sender" ma:index="37" nillable="true" ma:displayName="Sender" ma:description="" ma:internalName="Sender">
      <xsd:simpleType>
        <xsd:restriction base="dms:Text">
          <xsd:maxLength value="255"/>
        </xsd:restriction>
      </xsd:simpleType>
    </xsd:element>
    <xsd:element name="Receiver" ma:index="38" nillable="true" ma:displayName="Receiver" ma:description="" ma:internalName="Receiver">
      <xsd:simpleType>
        <xsd:restriction base="dms:Text">
          <xsd:maxLength value="255"/>
        </xsd:restriction>
      </xsd:simpleType>
    </xsd:element>
    <xsd:element name="Sender_x0020_Date" ma:index="39" nillable="true" ma:displayName="Sender Date" ma:default="" ma:description="" ma:format="DateTime" ma:internalName="Sender_x0020_Date">
      <xsd:simpleType>
        <xsd:restriction base="dms:DateTime"/>
      </xsd:simpleType>
    </xsd:element>
    <xsd:element name="Receiver_x0020_Date" ma:index="40" nillable="true" ma:displayName="Receiver Date" ma:default="" ma:description="" ma:format="DateTime" ma:internalName="Receiver_x0020_Date">
      <xsd:simpleType>
        <xsd:restriction base="dms:DateTime"/>
      </xsd:simpleType>
    </xsd:element>
    <xsd:element name="Carbon_x0020_Copy" ma:index="41" nillable="true" ma:displayName="Carbon Copy" ma:description="" ma:internalName="Carbon_x0020_Copy">
      <xsd:simpleType>
        <xsd:restriction base="dms:Text">
          <xsd:maxLength value="255"/>
        </xsd:restriction>
      </xsd:simpleType>
    </xsd:element>
    <xsd:element name="Email_x0020_Table" ma:index="43" nillable="true" ma:displayName="Email Table" ma:description="" ma:internalName="Email_x0020_Table">
      <xsd:simpleType>
        <xsd:restriction base="dms:Note">
          <xsd:maxLength value="255"/>
        </xsd:restriction>
      </xsd:simpleType>
    </xsd:element>
    <xsd:element name="To" ma:index="44" nillable="true" ma:displayName="To" ma:default="" ma:description="" ma:internalName="To">
      <xsd:simpleType>
        <xsd:restriction base="dms:Note">
          <xsd:maxLength value="255"/>
        </xsd:restriction>
      </xsd:simpleType>
    </xsd:element>
    <xsd:element name="From" ma:index="45" nillable="true" ma:displayName="From" ma:default="" ma:description="" ma:internalName="From">
      <xsd:simpleType>
        <xsd:restriction base="dms:Text">
          <xsd:maxLength value="255"/>
        </xsd:restriction>
      </xsd:simpleType>
    </xsd:element>
    <xsd:element name="Sent_x002f_Received" ma:index="46" nillable="true" ma:displayName="Sent/Received" ma:default="" ma:description="" ma:internalName="Sent_x002f_Received">
      <xsd:simpleType>
        <xsd:restriction base="dms:Text">
          <xsd:maxLength value="255"/>
        </xsd:restriction>
      </xsd:simpleType>
    </xsd:element>
    <xsd:element name="Other_x0020_Details_2" ma:index="47" nillable="true" ma:displayName="Other Details_2" ma:description="" ma:internalName="Other_x0020_Details_2">
      <xsd:simpleType>
        <xsd:restriction base="dms:Text">
          <xsd:maxLength value="255"/>
        </xsd:restriction>
      </xsd:simpleType>
    </xsd:element>
    <xsd:element name="Other_x0020_Details_3" ma:index="48" nillable="true" ma:displayName="Other Details_3" ma:description="" ma:internalName="Other_x0020_Details_3">
      <xsd:simpleType>
        <xsd:restriction base="dms:Text">
          <xsd:maxLength value="255"/>
        </xsd:restriction>
      </xsd:simpleType>
    </xsd:element>
    <xsd:element name="Supplemental_x0020_Markings" ma:index="49" nillable="true" ma:displayName="Supplemental Markings" ma:description="" ma:internalName="Supplemental_x0020_Markings">
      <xsd:simpleType>
        <xsd:restriction base="dms:Note">
          <xsd:maxLength value="255"/>
        </xsd:restriction>
      </xsd:simpleType>
    </xsd:element>
    <xsd:element name="lcf76f155ced4ddcb4097134ff3c332f" ma:index="5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4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lcf76f155ced4ddcb4097134ff3c332f xmlns="4a94300e-a927-4b92-9d3a-682523035cb6" xsi:nil="true"/>
    <RM_x0020_Classification xmlns="4a94300e-a927-4b92-9d3a-682523035cb6" xsi:nil="true"/>
    <OpenText_x0020_Path xmlns="4a94300e-a927-4b92-9d3a-682523035cb6" xsi:nil="true"/>
    <Legacy_x0020_DocID xmlns="4a94300e-a927-4b92-9d3a-682523035cb6" xsi:nil="true"/>
    <Year xmlns="4a94300e-a927-4b92-9d3a-682523035cb6" xsi:nil="true"/>
    <RSI xmlns="4a94300e-a927-4b92-9d3a-682523035cb6" xsi:nil="true"/>
    <Legacy_x0020_Version xmlns="4a94300e-a927-4b92-9d3a-682523035cb6" xsi:nil="true"/>
    <Nickname xmlns="4a94300e-a927-4b92-9d3a-682523035cb6" xsi:nil="true"/>
    <Library xmlns="4a94300e-a927-4b92-9d3a-682523035cb6" xsi:nil="true"/>
    <Sender_x0020_Date xmlns="4a94300e-a927-4b92-9d3a-682523035cb6" xsi:nil="true"/>
    <File_x0020_Number xmlns="4a94300e-a927-4b92-9d3a-682523035cb6" xsi:nil="true"/>
    <Current_x0020_Security_x0020_Clearance_x0020_Level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Owned_x0020_By xmlns="4a94300e-a927-4b92-9d3a-682523035cb6">
      <UserInfo>
        <DisplayName/>
        <AccountId xsi:nil="true"/>
        <AccountType/>
      </UserInfo>
    </Owned_x0020_By>
    <Te_x0020_Puna_x0020_Created_x0020_By xmlns="4a94300e-a927-4b92-9d3a-682523035cb6" xsi:nil="true"/>
    <Te_x0020_Puna_x0020_Owned_x0020_By xmlns="4a94300e-a927-4b92-9d3a-682523035cb6" xsi:nil="true"/>
    <_ExtendedDescription xmlns="http://schemas.microsoft.com/sharepoint/v3" xsi:nil="true"/>
    <Other_x0020_Details xmlns="4a94300e-a927-4b92-9d3a-682523035cb6" xsi:nil="true"/>
    <Best_x0020_Bets_x0020_Expiry xmlns="4a94300e-a927-4b92-9d3a-682523035cb6" xsi:nil="true"/>
    <Author0 xmlns="4a94300e-a927-4b92-9d3a-682523035cb6" xsi:nil="true"/>
    <Carbon_x0020_Copy xmlns="4a94300e-a927-4b92-9d3a-682523035cb6" xsi:nil="true"/>
    <Te_x0020_Puna_x0020_Name xmlns="4a94300e-a927-4b92-9d3a-682523035cb6" xsi:nil="true"/>
    <Audit xmlns="4a94300e-a927-4b92-9d3a-682523035cb6" xsi:nil="true"/>
    <MTS_x0020_ID xmlns="4a94300e-a927-4b92-9d3a-682523035cb6" xsi:nil="true"/>
    <Email_x0020_Table xmlns="4a94300e-a927-4b92-9d3a-682523035cb6" xsi:nil="true"/>
    <Best_x0020_Bets_x0020_Value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Te_x0020_Puna_x0020_Modified_x0020_By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ECM-525343738-45257</_dlc_DocId>
    <_dlc_DocIdUrl xmlns="58a6f171-52cb-4404-b47d-af1c8daf8fd1">
      <Url>https://ministryforenvironment.sharepoint.com/sites/ECM-Pol-Mar/_layouts/15/DocIdRedir.aspx?ID=ECM-525343738-45257</Url>
      <Description>ECM-525343738-45257</Description>
    </_dlc_DocIdUrl>
  </documentManagement>
</p:properties>
</file>

<file path=customXml/itemProps1.xml><?xml version="1.0" encoding="utf-8"?>
<ds:datastoreItem xmlns:ds="http://schemas.openxmlformats.org/officeDocument/2006/customXml" ds:itemID="{35735C1F-79CC-4051-8666-E99193ACC1D7}">
  <ds:schemaRefs>
    <ds:schemaRef ds:uri="http://schemas.microsoft.com/sharepoint/v3/contenttype/form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11588E9E-5F65-4E8F-BE56-7C690C84E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A18437-E3E1-4A6A-BE83-68E74A7EC10C}">
  <ds:schemaRefs>
    <ds:schemaRef ds:uri="http://schemas.microsoft.com/sharepoint/events"/>
  </ds:schemaRefs>
</ds:datastoreItem>
</file>

<file path=customXml/itemProps5.xml><?xml version="1.0" encoding="utf-8"?>
<ds:datastoreItem xmlns:ds="http://schemas.openxmlformats.org/officeDocument/2006/customXml" ds:itemID="{50CBAD2B-78FA-401E-835D-FDD944158A45}">
  <ds:schemaRef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dcmitype/"/>
    <ds:schemaRef ds:uri="4a94300e-a927-4b92-9d3a-682523035cb6"/>
    <ds:schemaRef ds:uri="58a6f171-52cb-4404-b47d-af1c8daf8fd1"/>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3</TotalTime>
  <Pages>32</Pages>
  <Words>8676</Words>
  <Characters>47464</Characters>
  <Application>Microsoft Office Word</Application>
  <DocSecurity>0</DocSecurity>
  <Lines>1438</Lines>
  <Paragraphs>920</Paragraphs>
  <ScaleCrop>false</ScaleCrop>
  <HeadingPairs>
    <vt:vector size="2" baseType="variant">
      <vt:variant>
        <vt:lpstr>Title</vt:lpstr>
      </vt:variant>
      <vt:variant>
        <vt:i4>1</vt:i4>
      </vt:variant>
    </vt:vector>
  </HeadingPairs>
  <TitlesOfParts>
    <vt:vector size="1" baseType="lpstr">
      <vt:lpstr>MFE DRAFT - EEZ cost recovery discussion document (1)</vt:lpstr>
    </vt:vector>
  </TitlesOfParts>
  <Company/>
  <LinksUpToDate>false</LinksUpToDate>
  <CharactersWithSpaces>55220</CharactersWithSpaces>
  <SharedDoc>false</SharedDoc>
  <HLinks>
    <vt:vector size="360" baseType="variant">
      <vt:variant>
        <vt:i4>6422589</vt:i4>
      </vt:variant>
      <vt:variant>
        <vt:i4>312</vt:i4>
      </vt:variant>
      <vt:variant>
        <vt:i4>0</vt:i4>
      </vt:variant>
      <vt:variant>
        <vt:i4>5</vt:i4>
      </vt:variant>
      <vt:variant>
        <vt:lpwstr>https://www.treasury.govt.nz/publications/guide/guidelines-setting-charges-public-sector-2017-html</vt:lpwstr>
      </vt:variant>
      <vt:variant>
        <vt:lpwstr/>
      </vt:variant>
      <vt:variant>
        <vt:i4>5767261</vt:i4>
      </vt:variant>
      <vt:variant>
        <vt:i4>309</vt:i4>
      </vt:variant>
      <vt:variant>
        <vt:i4>0</vt:i4>
      </vt:variant>
      <vt:variant>
        <vt:i4>5</vt:i4>
      </vt:variant>
      <vt:variant>
        <vt:lpwstr>https://www.epa.govt.nz/assets/Uploads/Documents/Marine-Activities-EEZ/Policies/EEZ-cost-recovery-policy.pdf</vt:lpwstr>
      </vt:variant>
      <vt:variant>
        <vt:lpwstr/>
      </vt:variant>
      <vt:variant>
        <vt:i4>8323174</vt:i4>
      </vt:variant>
      <vt:variant>
        <vt:i4>306</vt:i4>
      </vt:variant>
      <vt:variant>
        <vt:i4>0</vt:i4>
      </vt:variant>
      <vt:variant>
        <vt:i4>5</vt:i4>
      </vt:variant>
      <vt:variant>
        <vt:lpwstr>https://oag.parliament.nz/2021/fees-and-levies/docs/fees-and-levies.pdf</vt:lpwstr>
      </vt:variant>
      <vt:variant>
        <vt:lpwstr/>
      </vt:variant>
      <vt:variant>
        <vt:i4>3604542</vt:i4>
      </vt:variant>
      <vt:variant>
        <vt:i4>303</vt:i4>
      </vt:variant>
      <vt:variant>
        <vt:i4>0</vt:i4>
      </vt:variant>
      <vt:variant>
        <vt:i4>5</vt:i4>
      </vt:variant>
      <vt:variant>
        <vt:lpwstr>https://environment.govt.nz/what-government-is-doing/cabinet-papers-and-regulatory-impact-statements/reference-number-egi-min-12-2914/</vt:lpwstr>
      </vt:variant>
      <vt:variant>
        <vt:lpwstr/>
      </vt:variant>
      <vt:variant>
        <vt:i4>2818121</vt:i4>
      </vt:variant>
      <vt:variant>
        <vt:i4>300</vt:i4>
      </vt:variant>
      <vt:variant>
        <vt:i4>0</vt:i4>
      </vt:variant>
      <vt:variant>
        <vt:i4>5</vt:i4>
      </vt:variant>
      <vt:variant>
        <vt:lpwstr>https://www.businessnz.org.nz/__data/assets/pdf_file/0012/237000/220314-BusinessNZ-Planning-Forecast-March-quarter-2022.pdf</vt:lpwstr>
      </vt:variant>
      <vt:variant>
        <vt:lpwstr/>
      </vt:variant>
      <vt:variant>
        <vt:i4>7077978</vt:i4>
      </vt:variant>
      <vt:variant>
        <vt:i4>270</vt:i4>
      </vt:variant>
      <vt:variant>
        <vt:i4>0</vt:i4>
      </vt:variant>
      <vt:variant>
        <vt:i4>5</vt:i4>
      </vt:variant>
      <vt:variant>
        <vt:lpwstr>https://d.docs.live.net/664cc23cb7f4d710/docs/department of correctness/Ministry for the Environment/DRAFT - EEZ cost recovery discussion document (edited) 22.09.2022.docx</vt:lpwstr>
      </vt:variant>
      <vt:variant>
        <vt:lpwstr>_Appendix_3:_Estimates</vt:lpwstr>
      </vt:variant>
      <vt:variant>
        <vt:i4>524324</vt:i4>
      </vt:variant>
      <vt:variant>
        <vt:i4>267</vt:i4>
      </vt:variant>
      <vt:variant>
        <vt:i4>0</vt:i4>
      </vt:variant>
      <vt:variant>
        <vt:i4>5</vt:i4>
      </vt:variant>
      <vt:variant>
        <vt:lpwstr/>
      </vt:variant>
      <vt:variant>
        <vt:lpwstr>_Appendix_3:_Estimates</vt:lpwstr>
      </vt:variant>
      <vt:variant>
        <vt:i4>524324</vt:i4>
      </vt:variant>
      <vt:variant>
        <vt:i4>264</vt:i4>
      </vt:variant>
      <vt:variant>
        <vt:i4>0</vt:i4>
      </vt:variant>
      <vt:variant>
        <vt:i4>5</vt:i4>
      </vt:variant>
      <vt:variant>
        <vt:lpwstr/>
      </vt:variant>
      <vt:variant>
        <vt:lpwstr>_Appendix_3:_Estimates</vt:lpwstr>
      </vt:variant>
      <vt:variant>
        <vt:i4>2818121</vt:i4>
      </vt:variant>
      <vt:variant>
        <vt:i4>243</vt:i4>
      </vt:variant>
      <vt:variant>
        <vt:i4>0</vt:i4>
      </vt:variant>
      <vt:variant>
        <vt:i4>5</vt:i4>
      </vt:variant>
      <vt:variant>
        <vt:lpwstr>https://www.businessnz.org.nz/__data/assets/pdf_file/0012/237000/220314-BusinessNZ-Planning-Forecast-March-quarter-2022.pdf</vt:lpwstr>
      </vt:variant>
      <vt:variant>
        <vt:lpwstr/>
      </vt:variant>
      <vt:variant>
        <vt:i4>1310774</vt:i4>
      </vt:variant>
      <vt:variant>
        <vt:i4>222</vt:i4>
      </vt:variant>
      <vt:variant>
        <vt:i4>0</vt:i4>
      </vt:variant>
      <vt:variant>
        <vt:i4>5</vt:i4>
      </vt:variant>
      <vt:variant>
        <vt:lpwstr/>
      </vt:variant>
      <vt:variant>
        <vt:lpwstr>_Appendix_2:_Background</vt:lpwstr>
      </vt:variant>
      <vt:variant>
        <vt:i4>196685</vt:i4>
      </vt:variant>
      <vt:variant>
        <vt:i4>195</vt:i4>
      </vt:variant>
      <vt:variant>
        <vt:i4>0</vt:i4>
      </vt:variant>
      <vt:variant>
        <vt:i4>5</vt:i4>
      </vt:variant>
      <vt:variant>
        <vt:lpwstr>https://environment.govt.nz/publications/the-epas-cost-recovery-arrangements</vt:lpwstr>
      </vt:variant>
      <vt:variant>
        <vt:lpwstr/>
      </vt:variant>
      <vt:variant>
        <vt:i4>7340128</vt:i4>
      </vt:variant>
      <vt:variant>
        <vt:i4>189</vt:i4>
      </vt:variant>
      <vt:variant>
        <vt:i4>0</vt:i4>
      </vt:variant>
      <vt:variant>
        <vt:i4>5</vt:i4>
      </vt:variant>
      <vt:variant>
        <vt:lpwstr>http://www.environment.govt.nz/</vt:lpwstr>
      </vt:variant>
      <vt:variant>
        <vt:lpwstr/>
      </vt:variant>
      <vt:variant>
        <vt:i4>3735675</vt:i4>
      </vt:variant>
      <vt:variant>
        <vt:i4>183</vt:i4>
      </vt:variant>
      <vt:variant>
        <vt:i4>0</vt:i4>
      </vt:variant>
      <vt:variant>
        <vt:i4>5</vt:i4>
      </vt:variant>
      <vt:variant>
        <vt:lpwstr>https://environment.govt.nz/what-government-is-doing/cabinet-papers-and-regulatory-impact-statements/stage-2-interim-cost-recovery-impact-statement</vt:lpwstr>
      </vt:variant>
      <vt:variant>
        <vt:lpwstr/>
      </vt:variant>
      <vt:variant>
        <vt:i4>1507390</vt:i4>
      </vt:variant>
      <vt:variant>
        <vt:i4>176</vt:i4>
      </vt:variant>
      <vt:variant>
        <vt:i4>0</vt:i4>
      </vt:variant>
      <vt:variant>
        <vt:i4>5</vt:i4>
      </vt:variant>
      <vt:variant>
        <vt:lpwstr/>
      </vt:variant>
      <vt:variant>
        <vt:lpwstr>_Toc115682252</vt:lpwstr>
      </vt:variant>
      <vt:variant>
        <vt:i4>1507390</vt:i4>
      </vt:variant>
      <vt:variant>
        <vt:i4>170</vt:i4>
      </vt:variant>
      <vt:variant>
        <vt:i4>0</vt:i4>
      </vt:variant>
      <vt:variant>
        <vt:i4>5</vt:i4>
      </vt:variant>
      <vt:variant>
        <vt:lpwstr/>
      </vt:variant>
      <vt:variant>
        <vt:lpwstr>_Toc115682251</vt:lpwstr>
      </vt:variant>
      <vt:variant>
        <vt:i4>1507390</vt:i4>
      </vt:variant>
      <vt:variant>
        <vt:i4>164</vt:i4>
      </vt:variant>
      <vt:variant>
        <vt:i4>0</vt:i4>
      </vt:variant>
      <vt:variant>
        <vt:i4>5</vt:i4>
      </vt:variant>
      <vt:variant>
        <vt:lpwstr/>
      </vt:variant>
      <vt:variant>
        <vt:lpwstr>_Toc115682250</vt:lpwstr>
      </vt:variant>
      <vt:variant>
        <vt:i4>1441854</vt:i4>
      </vt:variant>
      <vt:variant>
        <vt:i4>158</vt:i4>
      </vt:variant>
      <vt:variant>
        <vt:i4>0</vt:i4>
      </vt:variant>
      <vt:variant>
        <vt:i4>5</vt:i4>
      </vt:variant>
      <vt:variant>
        <vt:lpwstr/>
      </vt:variant>
      <vt:variant>
        <vt:lpwstr>_Toc115682249</vt:lpwstr>
      </vt:variant>
      <vt:variant>
        <vt:i4>1441854</vt:i4>
      </vt:variant>
      <vt:variant>
        <vt:i4>152</vt:i4>
      </vt:variant>
      <vt:variant>
        <vt:i4>0</vt:i4>
      </vt:variant>
      <vt:variant>
        <vt:i4>5</vt:i4>
      </vt:variant>
      <vt:variant>
        <vt:lpwstr/>
      </vt:variant>
      <vt:variant>
        <vt:lpwstr>_Toc115682248</vt:lpwstr>
      </vt:variant>
      <vt:variant>
        <vt:i4>1441854</vt:i4>
      </vt:variant>
      <vt:variant>
        <vt:i4>146</vt:i4>
      </vt:variant>
      <vt:variant>
        <vt:i4>0</vt:i4>
      </vt:variant>
      <vt:variant>
        <vt:i4>5</vt:i4>
      </vt:variant>
      <vt:variant>
        <vt:lpwstr/>
      </vt:variant>
      <vt:variant>
        <vt:lpwstr>_Toc115682247</vt:lpwstr>
      </vt:variant>
      <vt:variant>
        <vt:i4>1441854</vt:i4>
      </vt:variant>
      <vt:variant>
        <vt:i4>140</vt:i4>
      </vt:variant>
      <vt:variant>
        <vt:i4>0</vt:i4>
      </vt:variant>
      <vt:variant>
        <vt:i4>5</vt:i4>
      </vt:variant>
      <vt:variant>
        <vt:lpwstr/>
      </vt:variant>
      <vt:variant>
        <vt:lpwstr>_Toc115682246</vt:lpwstr>
      </vt:variant>
      <vt:variant>
        <vt:i4>1441854</vt:i4>
      </vt:variant>
      <vt:variant>
        <vt:i4>134</vt:i4>
      </vt:variant>
      <vt:variant>
        <vt:i4>0</vt:i4>
      </vt:variant>
      <vt:variant>
        <vt:i4>5</vt:i4>
      </vt:variant>
      <vt:variant>
        <vt:lpwstr/>
      </vt:variant>
      <vt:variant>
        <vt:lpwstr>_Toc115682245</vt:lpwstr>
      </vt:variant>
      <vt:variant>
        <vt:i4>1441854</vt:i4>
      </vt:variant>
      <vt:variant>
        <vt:i4>128</vt:i4>
      </vt:variant>
      <vt:variant>
        <vt:i4>0</vt:i4>
      </vt:variant>
      <vt:variant>
        <vt:i4>5</vt:i4>
      </vt:variant>
      <vt:variant>
        <vt:lpwstr/>
      </vt:variant>
      <vt:variant>
        <vt:lpwstr>_Toc115682244</vt:lpwstr>
      </vt:variant>
      <vt:variant>
        <vt:i4>1441854</vt:i4>
      </vt:variant>
      <vt:variant>
        <vt:i4>122</vt:i4>
      </vt:variant>
      <vt:variant>
        <vt:i4>0</vt:i4>
      </vt:variant>
      <vt:variant>
        <vt:i4>5</vt:i4>
      </vt:variant>
      <vt:variant>
        <vt:lpwstr/>
      </vt:variant>
      <vt:variant>
        <vt:lpwstr>_Toc115682243</vt:lpwstr>
      </vt:variant>
      <vt:variant>
        <vt:i4>1441854</vt:i4>
      </vt:variant>
      <vt:variant>
        <vt:i4>116</vt:i4>
      </vt:variant>
      <vt:variant>
        <vt:i4>0</vt:i4>
      </vt:variant>
      <vt:variant>
        <vt:i4>5</vt:i4>
      </vt:variant>
      <vt:variant>
        <vt:lpwstr/>
      </vt:variant>
      <vt:variant>
        <vt:lpwstr>_Toc115682242</vt:lpwstr>
      </vt:variant>
      <vt:variant>
        <vt:i4>1441854</vt:i4>
      </vt:variant>
      <vt:variant>
        <vt:i4>110</vt:i4>
      </vt:variant>
      <vt:variant>
        <vt:i4>0</vt:i4>
      </vt:variant>
      <vt:variant>
        <vt:i4>5</vt:i4>
      </vt:variant>
      <vt:variant>
        <vt:lpwstr/>
      </vt:variant>
      <vt:variant>
        <vt:lpwstr>_Toc115682241</vt:lpwstr>
      </vt:variant>
      <vt:variant>
        <vt:i4>1441854</vt:i4>
      </vt:variant>
      <vt:variant>
        <vt:i4>104</vt:i4>
      </vt:variant>
      <vt:variant>
        <vt:i4>0</vt:i4>
      </vt:variant>
      <vt:variant>
        <vt:i4>5</vt:i4>
      </vt:variant>
      <vt:variant>
        <vt:lpwstr/>
      </vt:variant>
      <vt:variant>
        <vt:lpwstr>_Toc115682240</vt:lpwstr>
      </vt:variant>
      <vt:variant>
        <vt:i4>1114174</vt:i4>
      </vt:variant>
      <vt:variant>
        <vt:i4>98</vt:i4>
      </vt:variant>
      <vt:variant>
        <vt:i4>0</vt:i4>
      </vt:variant>
      <vt:variant>
        <vt:i4>5</vt:i4>
      </vt:variant>
      <vt:variant>
        <vt:lpwstr/>
      </vt:variant>
      <vt:variant>
        <vt:lpwstr>_Toc115682239</vt:lpwstr>
      </vt:variant>
      <vt:variant>
        <vt:i4>1114174</vt:i4>
      </vt:variant>
      <vt:variant>
        <vt:i4>92</vt:i4>
      </vt:variant>
      <vt:variant>
        <vt:i4>0</vt:i4>
      </vt:variant>
      <vt:variant>
        <vt:i4>5</vt:i4>
      </vt:variant>
      <vt:variant>
        <vt:lpwstr/>
      </vt:variant>
      <vt:variant>
        <vt:lpwstr>_Toc115682238</vt:lpwstr>
      </vt:variant>
      <vt:variant>
        <vt:i4>1376307</vt:i4>
      </vt:variant>
      <vt:variant>
        <vt:i4>83</vt:i4>
      </vt:variant>
      <vt:variant>
        <vt:i4>0</vt:i4>
      </vt:variant>
      <vt:variant>
        <vt:i4>5</vt:i4>
      </vt:variant>
      <vt:variant>
        <vt:lpwstr/>
      </vt:variant>
      <vt:variant>
        <vt:lpwstr>_Toc114734509</vt:lpwstr>
      </vt:variant>
      <vt:variant>
        <vt:i4>1376307</vt:i4>
      </vt:variant>
      <vt:variant>
        <vt:i4>77</vt:i4>
      </vt:variant>
      <vt:variant>
        <vt:i4>0</vt:i4>
      </vt:variant>
      <vt:variant>
        <vt:i4>5</vt:i4>
      </vt:variant>
      <vt:variant>
        <vt:lpwstr/>
      </vt:variant>
      <vt:variant>
        <vt:lpwstr>_Toc114734506</vt:lpwstr>
      </vt:variant>
      <vt:variant>
        <vt:i4>1376307</vt:i4>
      </vt:variant>
      <vt:variant>
        <vt:i4>71</vt:i4>
      </vt:variant>
      <vt:variant>
        <vt:i4>0</vt:i4>
      </vt:variant>
      <vt:variant>
        <vt:i4>5</vt:i4>
      </vt:variant>
      <vt:variant>
        <vt:lpwstr/>
      </vt:variant>
      <vt:variant>
        <vt:lpwstr>_Toc114734505</vt:lpwstr>
      </vt:variant>
      <vt:variant>
        <vt:i4>1376307</vt:i4>
      </vt:variant>
      <vt:variant>
        <vt:i4>65</vt:i4>
      </vt:variant>
      <vt:variant>
        <vt:i4>0</vt:i4>
      </vt:variant>
      <vt:variant>
        <vt:i4>5</vt:i4>
      </vt:variant>
      <vt:variant>
        <vt:lpwstr/>
      </vt:variant>
      <vt:variant>
        <vt:lpwstr>_Toc114734504</vt:lpwstr>
      </vt:variant>
      <vt:variant>
        <vt:i4>1376307</vt:i4>
      </vt:variant>
      <vt:variant>
        <vt:i4>59</vt:i4>
      </vt:variant>
      <vt:variant>
        <vt:i4>0</vt:i4>
      </vt:variant>
      <vt:variant>
        <vt:i4>5</vt:i4>
      </vt:variant>
      <vt:variant>
        <vt:lpwstr/>
      </vt:variant>
      <vt:variant>
        <vt:lpwstr>_Toc114734501</vt:lpwstr>
      </vt:variant>
      <vt:variant>
        <vt:i4>1376307</vt:i4>
      </vt:variant>
      <vt:variant>
        <vt:i4>53</vt:i4>
      </vt:variant>
      <vt:variant>
        <vt:i4>0</vt:i4>
      </vt:variant>
      <vt:variant>
        <vt:i4>5</vt:i4>
      </vt:variant>
      <vt:variant>
        <vt:lpwstr/>
      </vt:variant>
      <vt:variant>
        <vt:lpwstr>_Toc114734500</vt:lpwstr>
      </vt:variant>
      <vt:variant>
        <vt:i4>1835058</vt:i4>
      </vt:variant>
      <vt:variant>
        <vt:i4>47</vt:i4>
      </vt:variant>
      <vt:variant>
        <vt:i4>0</vt:i4>
      </vt:variant>
      <vt:variant>
        <vt:i4>5</vt:i4>
      </vt:variant>
      <vt:variant>
        <vt:lpwstr/>
      </vt:variant>
      <vt:variant>
        <vt:lpwstr>_Toc114734496</vt:lpwstr>
      </vt:variant>
      <vt:variant>
        <vt:i4>1835058</vt:i4>
      </vt:variant>
      <vt:variant>
        <vt:i4>41</vt:i4>
      </vt:variant>
      <vt:variant>
        <vt:i4>0</vt:i4>
      </vt:variant>
      <vt:variant>
        <vt:i4>5</vt:i4>
      </vt:variant>
      <vt:variant>
        <vt:lpwstr/>
      </vt:variant>
      <vt:variant>
        <vt:lpwstr>_Toc114734495</vt:lpwstr>
      </vt:variant>
      <vt:variant>
        <vt:i4>1835058</vt:i4>
      </vt:variant>
      <vt:variant>
        <vt:i4>35</vt:i4>
      </vt:variant>
      <vt:variant>
        <vt:i4>0</vt:i4>
      </vt:variant>
      <vt:variant>
        <vt:i4>5</vt:i4>
      </vt:variant>
      <vt:variant>
        <vt:lpwstr/>
      </vt:variant>
      <vt:variant>
        <vt:lpwstr>_Toc114734494</vt:lpwstr>
      </vt:variant>
      <vt:variant>
        <vt:i4>1835058</vt:i4>
      </vt:variant>
      <vt:variant>
        <vt:i4>29</vt:i4>
      </vt:variant>
      <vt:variant>
        <vt:i4>0</vt:i4>
      </vt:variant>
      <vt:variant>
        <vt:i4>5</vt:i4>
      </vt:variant>
      <vt:variant>
        <vt:lpwstr/>
      </vt:variant>
      <vt:variant>
        <vt:lpwstr>_Toc114734493</vt:lpwstr>
      </vt:variant>
      <vt:variant>
        <vt:i4>1835058</vt:i4>
      </vt:variant>
      <vt:variant>
        <vt:i4>23</vt:i4>
      </vt:variant>
      <vt:variant>
        <vt:i4>0</vt:i4>
      </vt:variant>
      <vt:variant>
        <vt:i4>5</vt:i4>
      </vt:variant>
      <vt:variant>
        <vt:lpwstr/>
      </vt:variant>
      <vt:variant>
        <vt:lpwstr>_Toc114734491</vt:lpwstr>
      </vt:variant>
      <vt:variant>
        <vt:i4>1835058</vt:i4>
      </vt:variant>
      <vt:variant>
        <vt:i4>17</vt:i4>
      </vt:variant>
      <vt:variant>
        <vt:i4>0</vt:i4>
      </vt:variant>
      <vt:variant>
        <vt:i4>5</vt:i4>
      </vt:variant>
      <vt:variant>
        <vt:lpwstr/>
      </vt:variant>
      <vt:variant>
        <vt:lpwstr>_Toc114734490</vt:lpwstr>
      </vt:variant>
      <vt:variant>
        <vt:i4>1900594</vt:i4>
      </vt:variant>
      <vt:variant>
        <vt:i4>11</vt:i4>
      </vt:variant>
      <vt:variant>
        <vt:i4>0</vt:i4>
      </vt:variant>
      <vt:variant>
        <vt:i4>5</vt:i4>
      </vt:variant>
      <vt:variant>
        <vt:lpwstr/>
      </vt:variant>
      <vt:variant>
        <vt:lpwstr>_Toc114734484</vt:lpwstr>
      </vt:variant>
      <vt:variant>
        <vt:i4>1900594</vt:i4>
      </vt:variant>
      <vt:variant>
        <vt:i4>5</vt:i4>
      </vt:variant>
      <vt:variant>
        <vt:i4>0</vt:i4>
      </vt:variant>
      <vt:variant>
        <vt:i4>5</vt:i4>
      </vt:variant>
      <vt:variant>
        <vt:lpwstr/>
      </vt:variant>
      <vt:variant>
        <vt:lpwstr>_Toc114734483</vt:lpwstr>
      </vt:variant>
      <vt:variant>
        <vt:i4>917531</vt:i4>
      </vt:variant>
      <vt:variant>
        <vt:i4>0</vt:i4>
      </vt:variant>
      <vt:variant>
        <vt:i4>0</vt:i4>
      </vt:variant>
      <vt:variant>
        <vt:i4>5</vt:i4>
      </vt:variant>
      <vt:variant>
        <vt:lpwstr>https://environment.govt.nz/</vt:lpwstr>
      </vt:variant>
      <vt:variant>
        <vt:lpwstr/>
      </vt:variant>
      <vt:variant>
        <vt:i4>1310787</vt:i4>
      </vt:variant>
      <vt:variant>
        <vt:i4>63</vt:i4>
      </vt:variant>
      <vt:variant>
        <vt:i4>0</vt:i4>
      </vt:variant>
      <vt:variant>
        <vt:i4>5</vt:i4>
      </vt:variant>
      <vt:variant>
        <vt:lpwstr>https://www.legislation.govt.nz/act/public/1991/0069/latest/DLM230265.html?src=qs</vt:lpwstr>
      </vt:variant>
      <vt:variant>
        <vt:lpwstr/>
      </vt:variant>
      <vt:variant>
        <vt:i4>7602287</vt:i4>
      </vt:variant>
      <vt:variant>
        <vt:i4>57</vt:i4>
      </vt:variant>
      <vt:variant>
        <vt:i4>0</vt:i4>
      </vt:variant>
      <vt:variant>
        <vt:i4>5</vt:i4>
      </vt:variant>
      <vt:variant>
        <vt:lpwstr>https://www.legislation.govt.nz/act/public/2012/0072/latest/DLM3956333.html</vt:lpwstr>
      </vt:variant>
      <vt:variant>
        <vt:lpwstr/>
      </vt:variant>
      <vt:variant>
        <vt:i4>524310</vt:i4>
      </vt:variant>
      <vt:variant>
        <vt:i4>54</vt:i4>
      </vt:variant>
      <vt:variant>
        <vt:i4>0</vt:i4>
      </vt:variant>
      <vt:variant>
        <vt:i4>5</vt:i4>
      </vt:variant>
      <vt:variant>
        <vt:lpwstr>C:\Users\WiltonH.MFE\AppData\Local\Microsoft\Windows\INetCache\Content.Outlook\DXR315H2\COVID-19 Recovery (Fast-track Consenting) Act 2020</vt:lpwstr>
      </vt:variant>
      <vt:variant>
        <vt:lpwstr/>
      </vt:variant>
      <vt:variant>
        <vt:i4>2818121</vt:i4>
      </vt:variant>
      <vt:variant>
        <vt:i4>51</vt:i4>
      </vt:variant>
      <vt:variant>
        <vt:i4>0</vt:i4>
      </vt:variant>
      <vt:variant>
        <vt:i4>5</vt:i4>
      </vt:variant>
      <vt:variant>
        <vt:lpwstr>https://www.businessnz.org.nz/__data/assets/pdf_file/0012/237000/220314-BusinessNZ-Planning-Forecast-March-quarter-2022.pdf</vt:lpwstr>
      </vt:variant>
      <vt:variant>
        <vt:lpwstr/>
      </vt:variant>
      <vt:variant>
        <vt:i4>1310727</vt:i4>
      </vt:variant>
      <vt:variant>
        <vt:i4>48</vt:i4>
      </vt:variant>
      <vt:variant>
        <vt:i4>0</vt:i4>
      </vt:variant>
      <vt:variant>
        <vt:i4>5</vt:i4>
      </vt:variant>
      <vt:variant>
        <vt:lpwstr>https://www.legislation.govt.nz/regulation/public/2021/0272/latest/whole.html</vt:lpwstr>
      </vt:variant>
      <vt:variant>
        <vt:lpwstr>LMS548501</vt:lpwstr>
      </vt:variant>
      <vt:variant>
        <vt:i4>5767261</vt:i4>
      </vt:variant>
      <vt:variant>
        <vt:i4>39</vt:i4>
      </vt:variant>
      <vt:variant>
        <vt:i4>0</vt:i4>
      </vt:variant>
      <vt:variant>
        <vt:i4>5</vt:i4>
      </vt:variant>
      <vt:variant>
        <vt:lpwstr>https://www.epa.govt.nz/assets/Uploads/Documents/Marine-Activities-EEZ/Policies/EEZ-cost-recovery-policy.pdf</vt:lpwstr>
      </vt:variant>
      <vt:variant>
        <vt:lpwstr/>
      </vt:variant>
      <vt:variant>
        <vt:i4>7536751</vt:i4>
      </vt:variant>
      <vt:variant>
        <vt:i4>36</vt:i4>
      </vt:variant>
      <vt:variant>
        <vt:i4>0</vt:i4>
      </vt:variant>
      <vt:variant>
        <vt:i4>5</vt:i4>
      </vt:variant>
      <vt:variant>
        <vt:lpwstr>https://www.legislation.govt.nz/act/public/2012/0072/latest/DLM3956334.html</vt:lpwstr>
      </vt:variant>
      <vt:variant>
        <vt:lpwstr/>
      </vt:variant>
      <vt:variant>
        <vt:i4>7602287</vt:i4>
      </vt:variant>
      <vt:variant>
        <vt:i4>27</vt:i4>
      </vt:variant>
      <vt:variant>
        <vt:i4>0</vt:i4>
      </vt:variant>
      <vt:variant>
        <vt:i4>5</vt:i4>
      </vt:variant>
      <vt:variant>
        <vt:lpwstr>https://www.legislation.govt.nz/act/public/2012/0072/latest/DLM3956333.html</vt:lpwstr>
      </vt:variant>
      <vt:variant>
        <vt:lpwstr/>
      </vt:variant>
      <vt:variant>
        <vt:i4>8323174</vt:i4>
      </vt:variant>
      <vt:variant>
        <vt:i4>24</vt:i4>
      </vt:variant>
      <vt:variant>
        <vt:i4>0</vt:i4>
      </vt:variant>
      <vt:variant>
        <vt:i4>5</vt:i4>
      </vt:variant>
      <vt:variant>
        <vt:lpwstr>https://oag.parliament.nz/2021/fees-and-levies/docs/fees-and-levies.pdf</vt:lpwstr>
      </vt:variant>
      <vt:variant>
        <vt:lpwstr/>
      </vt:variant>
      <vt:variant>
        <vt:i4>6422589</vt:i4>
      </vt:variant>
      <vt:variant>
        <vt:i4>21</vt:i4>
      </vt:variant>
      <vt:variant>
        <vt:i4>0</vt:i4>
      </vt:variant>
      <vt:variant>
        <vt:i4>5</vt:i4>
      </vt:variant>
      <vt:variant>
        <vt:lpwstr>https://www.treasury.govt.nz/publications/guide/guidelines-setting-charges-public-sector-2017-html</vt:lpwstr>
      </vt:variant>
      <vt:variant>
        <vt:lpwstr/>
      </vt:variant>
      <vt:variant>
        <vt:i4>1310727</vt:i4>
      </vt:variant>
      <vt:variant>
        <vt:i4>18</vt:i4>
      </vt:variant>
      <vt:variant>
        <vt:i4>0</vt:i4>
      </vt:variant>
      <vt:variant>
        <vt:i4>5</vt:i4>
      </vt:variant>
      <vt:variant>
        <vt:lpwstr>https://www.legislation.govt.nz/regulation/public/2021/0272/latest/whole.html</vt:lpwstr>
      </vt:variant>
      <vt:variant>
        <vt:lpwstr>LMS548501</vt:lpwstr>
      </vt:variant>
      <vt:variant>
        <vt:i4>2228256</vt:i4>
      </vt:variant>
      <vt:variant>
        <vt:i4>15</vt:i4>
      </vt:variant>
      <vt:variant>
        <vt:i4>0</vt:i4>
      </vt:variant>
      <vt:variant>
        <vt:i4>5</vt:i4>
      </vt:variant>
      <vt:variant>
        <vt:lpwstr>https://www.legislation.govt.nz/regulation/public/2013/0284/latest/whole.html</vt:lpwstr>
      </vt:variant>
      <vt:variant>
        <vt:lpwstr>DLM5266511</vt:lpwstr>
      </vt:variant>
      <vt:variant>
        <vt:i4>2228256</vt:i4>
      </vt:variant>
      <vt:variant>
        <vt:i4>12</vt:i4>
      </vt:variant>
      <vt:variant>
        <vt:i4>0</vt:i4>
      </vt:variant>
      <vt:variant>
        <vt:i4>5</vt:i4>
      </vt:variant>
      <vt:variant>
        <vt:lpwstr>https://www.legislation.govt.nz/regulation/public/2013/0284/latest/whole.html</vt:lpwstr>
      </vt:variant>
      <vt:variant>
        <vt:lpwstr>DLM5266511</vt:lpwstr>
      </vt:variant>
      <vt:variant>
        <vt:i4>3604542</vt:i4>
      </vt:variant>
      <vt:variant>
        <vt:i4>9</vt:i4>
      </vt:variant>
      <vt:variant>
        <vt:i4>0</vt:i4>
      </vt:variant>
      <vt:variant>
        <vt:i4>5</vt:i4>
      </vt:variant>
      <vt:variant>
        <vt:lpwstr>https://environment.govt.nz/what-government-is-doing/cabinet-papers-and-regulatory-impact-statements/reference-number-egi-min-12-2914/</vt:lpwstr>
      </vt:variant>
      <vt:variant>
        <vt:lpwstr/>
      </vt:variant>
      <vt:variant>
        <vt:i4>7602287</vt:i4>
      </vt:variant>
      <vt:variant>
        <vt:i4>6</vt:i4>
      </vt:variant>
      <vt:variant>
        <vt:i4>0</vt:i4>
      </vt:variant>
      <vt:variant>
        <vt:i4>5</vt:i4>
      </vt:variant>
      <vt:variant>
        <vt:lpwstr>https://www.legislation.govt.nz/act/public/2012/0072/latest/DLM3956333.html</vt:lpwstr>
      </vt:variant>
      <vt:variant>
        <vt:lpwstr/>
      </vt:variant>
      <vt:variant>
        <vt:i4>7602287</vt:i4>
      </vt:variant>
      <vt:variant>
        <vt:i4>3</vt:i4>
      </vt:variant>
      <vt:variant>
        <vt:i4>0</vt:i4>
      </vt:variant>
      <vt:variant>
        <vt:i4>5</vt:i4>
      </vt:variant>
      <vt:variant>
        <vt:lpwstr>https://www.legislation.govt.nz/act/public/2012/0072/latest/DLM3956333.html</vt:lpwstr>
      </vt:variant>
      <vt:variant>
        <vt:lpwstr/>
      </vt:variant>
      <vt:variant>
        <vt:i4>3932201</vt:i4>
      </vt:variant>
      <vt:variant>
        <vt:i4>0</vt:i4>
      </vt:variant>
      <vt:variant>
        <vt:i4>0</vt:i4>
      </vt:variant>
      <vt:variant>
        <vt:i4>5</vt:i4>
      </vt:variant>
      <vt:variant>
        <vt:lpwstr>https://www.legislation.govt.nz/regulation/public/2013/0283/latest/DLM5270601.html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MFE DRAFT - EEZ cost recovery discussion document (1)</dc:title>
  <dc:subject/>
  <dc:creator>Jenny</dc:creator>
  <cp:keywords/>
  <cp:lastModifiedBy>Dee Warring</cp:lastModifiedBy>
  <cp:revision>4</cp:revision>
  <cp:lastPrinted>2022-07-26T21:40:00Z</cp:lastPrinted>
  <dcterms:created xsi:type="dcterms:W3CDTF">2022-11-17T01:01:00Z</dcterms:created>
  <dcterms:modified xsi:type="dcterms:W3CDTF">2022-11-17T01:07:00Z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2021-09-01T19:47:04Z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0057bf2a-f248-4bb9-b29b-574e3937a4c1</vt:lpwstr>
  </property>
  <property fmtid="{D5CDD505-2E9C-101B-9397-08002B2CF9AE}" pid="8" name="MSIP_Label_52dda6cc-d61d-4fd2-bf18-9b3017d931cc_ContentBits">
    <vt:lpwstr>0</vt:lpwstr>
  </property>
  <property fmtid="{D5CDD505-2E9C-101B-9397-08002B2CF9AE}" pid="9" name="ContentTypeId">
    <vt:lpwstr>0x0101000F684E23C2896D4293FF5A13117172040012F5946AEBE11C43B3740AD057D7C1D2</vt:lpwstr>
  </property>
  <property fmtid="{D5CDD505-2E9C-101B-9397-08002B2CF9AE}" pid="10" name="_dlc_DocIdItemGuid">
    <vt:lpwstr>57677a8c-5096-4c5c-bc20-ebafe1ef573f</vt:lpwstr>
  </property>
  <property fmtid="{D5CDD505-2E9C-101B-9397-08002B2CF9AE}" pid="11" name="de4a286b95064a22a21d003ff8662fa1">
    <vt:lpwstr>Open|065e90b9-3a7f-40dc-88e5-dfbf2839bea5</vt:lpwstr>
  </property>
  <property fmtid="{D5CDD505-2E9C-101B-9397-08002B2CF9AE}" pid="12" name="b762c43d7ff0410895efb805ad8c2a49">
    <vt:lpwstr>2021|44a441bf-c7bc-4744-98fd-bc14e1d194e2</vt:lpwstr>
  </property>
  <property fmtid="{D5CDD505-2E9C-101B-9397-08002B2CF9AE}" pid="13" name="FinancialYear">
    <vt:lpwstr>11;#2021/22|29f0c1c7-76f6-4ad8-b514-b230be488def</vt:lpwstr>
  </property>
  <property fmtid="{D5CDD505-2E9C-101B-9397-08002B2CF9AE}" pid="14" name="SecurityClassificationMarking">
    <vt:lpwstr/>
  </property>
  <property fmtid="{D5CDD505-2E9C-101B-9397-08002B2CF9AE}" pid="15" name="Vendor">
    <vt:lpwstr/>
  </property>
  <property fmtid="{D5CDD505-2E9C-101B-9397-08002B2CF9AE}" pid="16" name="m0c1894656014760af731de2a3be6e75">
    <vt:lpwstr/>
  </property>
  <property fmtid="{D5CDD505-2E9C-101B-9397-08002B2CF9AE}" pid="17" name="n8e854d3d8f64ceb8add7745cab68b57">
    <vt:lpwstr/>
  </property>
  <property fmtid="{D5CDD505-2E9C-101B-9397-08002B2CF9AE}" pid="18" name="BusinessUnit">
    <vt:lpwstr>27;#Strategy|53ae0835-5bad-4bfa-a778-249ee686dee4</vt:lpwstr>
  </property>
  <property fmtid="{D5CDD505-2E9C-101B-9397-08002B2CF9AE}" pid="19" name="AppTypeEEZ">
    <vt:lpwstr/>
  </property>
  <property fmtid="{D5CDD505-2E9C-101B-9397-08002B2CF9AE}" pid="20" name="f30227938eab4eb5b60861779462e9af">
    <vt:lpwstr/>
  </property>
  <property fmtid="{D5CDD505-2E9C-101B-9397-08002B2CF9AE}" pid="21" name="FileStatus">
    <vt:lpwstr>8;#Open|065e90b9-3a7f-40dc-88e5-dfbf2839bea5</vt:lpwstr>
  </property>
  <property fmtid="{D5CDD505-2E9C-101B-9397-08002B2CF9AE}" pid="22" name="Publisher">
    <vt:lpwstr/>
  </property>
  <property fmtid="{D5CDD505-2E9C-101B-9397-08002B2CF9AE}" pid="23" name="k3ba82bb806b47ada10fce19fe10cb91">
    <vt:lpwstr/>
  </property>
  <property fmtid="{D5CDD505-2E9C-101B-9397-08002B2CF9AE}" pid="24" name="kb1a1dd83a184636b5fc077b67a1afb4">
    <vt:lpwstr/>
  </property>
  <property fmtid="{D5CDD505-2E9C-101B-9397-08002B2CF9AE}" pid="25" name="Locations">
    <vt:lpwstr/>
  </property>
  <property fmtid="{D5CDD505-2E9C-101B-9397-08002B2CF9AE}" pid="26" name="SortingKey">
    <vt:lpwstr/>
  </property>
  <property fmtid="{D5CDD505-2E9C-101B-9397-08002B2CF9AE}" pid="27" name="Organisation">
    <vt:lpwstr/>
  </property>
  <property fmtid="{D5CDD505-2E9C-101B-9397-08002B2CF9AE}" pid="28" name="CalendarYear">
    <vt:lpwstr>6;#2021|44a441bf-c7bc-4744-98fd-bc14e1d194e2</vt:lpwstr>
  </property>
  <property fmtid="{D5CDD505-2E9C-101B-9397-08002B2CF9AE}" pid="29" name="Legislation">
    <vt:lpwstr>9;#Exclusive Economic Zone and Continental Shelf (Environmental Effects) Act 2012|872b0035-f8c3-4c47-9d48-98a17deb5fd5;#28;#Exclusive Economic Zone and Continental Shelf (Fees and Charges) Regulations 2013|e65b248e-9f7e-4082-b82d-69d9a79a9833</vt:lpwstr>
  </property>
  <property fmtid="{D5CDD505-2E9C-101B-9397-08002B2CF9AE}" pid="30" name="b5e257c49e0e4fa2a862a5015e7102f0">
    <vt:lpwstr/>
  </property>
  <property fmtid="{D5CDD505-2E9C-101B-9397-08002B2CF9AE}" pid="31" name="Applicant">
    <vt:lpwstr/>
  </property>
  <property fmtid="{D5CDD505-2E9C-101B-9397-08002B2CF9AE}" pid="32" name="SharedWithUsers">
    <vt:lpwstr>87;#Tim Ramsden;#198;#Ross Perrin;#86;#Evelyn Cole</vt:lpwstr>
  </property>
  <property fmtid="{D5CDD505-2E9C-101B-9397-08002B2CF9AE}" pid="33" name="MediaServiceImageTags">
    <vt:lpwstr/>
  </property>
</Properties>
</file>