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C1E9" w14:textId="4428CD7B" w:rsidR="0080531E" w:rsidRPr="00B37D13" w:rsidRDefault="00C8004E" w:rsidP="00A34764">
      <w:pPr>
        <w:pStyle w:val="Title"/>
      </w:pPr>
      <w:r w:rsidRPr="00B37D13">
        <w:t>Our air 2021</w:t>
      </w:r>
      <w:r w:rsidR="00B37D13" w:rsidRPr="00B37D13">
        <w:t xml:space="preserve">: </w:t>
      </w:r>
      <w:r w:rsidR="00B37D13" w:rsidRPr="00B37D13">
        <w:br/>
      </w:r>
      <w:r w:rsidR="00D342E1">
        <w:t>p</w:t>
      </w:r>
      <w:r w:rsidR="00B37D13" w:rsidRPr="00B37D13">
        <w:t>reliminary data release</w:t>
      </w:r>
    </w:p>
    <w:p w14:paraId="4EA4EAA0" w14:textId="33974FFB" w:rsidR="0003640E" w:rsidRPr="00B37D13" w:rsidRDefault="00C8004E" w:rsidP="00A34764">
      <w:pPr>
        <w:pStyle w:val="Subtitle"/>
      </w:pPr>
      <w:r w:rsidRPr="00B37D13">
        <w:t>New Zealand’s environmental reporting series</w:t>
      </w:r>
    </w:p>
    <w:p w14:paraId="27C9D3F1" w14:textId="77777777" w:rsidR="0080531E" w:rsidRPr="006B77BB" w:rsidRDefault="0080531E" w:rsidP="0072651D">
      <w:pPr>
        <w:pStyle w:val="BodyText"/>
      </w:pPr>
    </w:p>
    <w:p w14:paraId="04D499E6" w14:textId="77777777" w:rsidR="0003640E" w:rsidRPr="006B77BB" w:rsidRDefault="0003640E" w:rsidP="0072651D">
      <w:pPr>
        <w:pStyle w:val="BodyText"/>
      </w:pPr>
    </w:p>
    <w:p w14:paraId="6B20BBC2" w14:textId="77777777" w:rsidR="0003640E" w:rsidRPr="006B77BB" w:rsidRDefault="0003640E" w:rsidP="0080531E">
      <w:pPr>
        <w:jc w:val="left"/>
        <w:rPr>
          <w:color w:val="FF0000"/>
        </w:rPr>
        <w:sectPr w:rsidR="0003640E" w:rsidRPr="006B77BB" w:rsidSect="00B73ABB">
          <w:headerReference w:type="even" r:id="rId12"/>
          <w:headerReference w:type="default" r:id="rId13"/>
          <w:footerReference w:type="even" r:id="rId14"/>
          <w:footerReference w:type="default" r:id="rId15"/>
          <w:headerReference w:type="first" r:id="rId16"/>
          <w:footerReference w:type="first" r:id="rId17"/>
          <w:pgSz w:w="11907" w:h="16840" w:code="9"/>
          <w:pgMar w:top="5670" w:right="1418" w:bottom="1701" w:left="1418" w:header="567" w:footer="685" w:gutter="0"/>
          <w:cols w:space="720"/>
        </w:sectPr>
      </w:pPr>
    </w:p>
    <w:p w14:paraId="7EED18BF" w14:textId="77777777" w:rsidR="00AC7190" w:rsidRPr="007F0476" w:rsidRDefault="00AC7190" w:rsidP="0072651D">
      <w:pPr>
        <w:pStyle w:val="BodyText"/>
      </w:pPr>
      <w:r w:rsidRPr="007F0476">
        <w:lastRenderedPageBreak/>
        <w:t>Crown copyright ©</w:t>
      </w:r>
    </w:p>
    <w:p w14:paraId="68DB4EA2" w14:textId="07392B20" w:rsidR="00AC7190" w:rsidRPr="00AC7190" w:rsidRDefault="00AC7190" w:rsidP="00AC7190">
      <w:pPr>
        <w:pStyle w:val="Imprint"/>
        <w:spacing w:before="0"/>
        <w:rPr>
          <w:szCs w:val="18"/>
        </w:rPr>
      </w:pPr>
      <w:r w:rsidRPr="00AC7190">
        <w:rPr>
          <w:szCs w:val="18"/>
        </w:rPr>
        <w:t xml:space="preserve">Unless otherwise stated, this copyright work is licensed for re-use under a Creative Commons Attribution 4.0 International licence. </w:t>
      </w:r>
      <w:r w:rsidR="0081121D">
        <w:rPr>
          <w:szCs w:val="18"/>
        </w:rPr>
        <w:t>In</w:t>
      </w:r>
      <w:r w:rsidRPr="00AC7190">
        <w:rPr>
          <w:szCs w:val="18"/>
        </w:rPr>
        <w:t xml:space="preserve"> essence, you are free to copy, distribute, and adapt the work, as long as you attribute the work to the New Zealand Government and abide by the other licence terms. To view a copy of this licence, visit </w:t>
      </w:r>
      <w:hyperlink r:id="rId18" w:history="1">
        <w:r w:rsidRPr="00AC7190">
          <w:rPr>
            <w:rStyle w:val="Hyperlink"/>
            <w:szCs w:val="18"/>
          </w:rPr>
          <w:t>Creative Commons Attribution 4.0 International lic</w:t>
        </w:r>
        <w:r w:rsidRPr="00AC7190">
          <w:rPr>
            <w:rStyle w:val="Hyperlink"/>
            <w:rFonts w:cs="Calibri"/>
            <w:szCs w:val="18"/>
          </w:rPr>
          <w:t>ence</w:t>
        </w:r>
      </w:hyperlink>
      <w:r w:rsidRPr="00AC7190">
        <w:rPr>
          <w:rFonts w:cs="Calibri"/>
          <w:szCs w:val="18"/>
        </w:rPr>
        <w:t xml:space="preserve">. </w:t>
      </w:r>
    </w:p>
    <w:p w14:paraId="40648D05" w14:textId="77777777" w:rsidR="00AC7190" w:rsidRPr="00AC7190" w:rsidRDefault="00AC7190" w:rsidP="00AC7190">
      <w:pPr>
        <w:pStyle w:val="Imprint"/>
        <w:rPr>
          <w:rFonts w:cs="Arial"/>
          <w:szCs w:val="18"/>
        </w:rPr>
      </w:pPr>
      <w:r w:rsidRPr="00AC7190">
        <w:rPr>
          <w:szCs w:val="18"/>
        </w:rPr>
        <w:t xml:space="preserve">Please note that neither the New Zealand Government emblem nor the New Zealand Government logo may be used in any way which infringes any provision of the </w:t>
      </w:r>
      <w:hyperlink r:id="rId19" w:anchor="dlm52216" w:tgtFrame="_blank" w:history="1">
        <w:r w:rsidRPr="00AC7190">
          <w:rPr>
            <w:rStyle w:val="Hyperlink"/>
            <w:szCs w:val="18"/>
          </w:rPr>
          <w:t>Flags, Emblems, and Names Protection Act 1981</w:t>
        </w:r>
      </w:hyperlink>
      <w:r w:rsidRPr="00AC7190">
        <w:rPr>
          <w:szCs w:val="18"/>
        </w:rPr>
        <w:t xml:space="preserve"> or would infringe such provision if the relevant use occurred within New Zealand. Attribution to the New Zealand Government should be in written form and not by reproduction of any emblem or the New Zealand Government logo.</w:t>
      </w:r>
    </w:p>
    <w:p w14:paraId="6C82CF6E" w14:textId="77777777" w:rsidR="00AC7190" w:rsidRPr="00AC7190" w:rsidRDefault="00AC7190" w:rsidP="00AC7190">
      <w:pPr>
        <w:pStyle w:val="Imprint"/>
        <w:rPr>
          <w:szCs w:val="18"/>
        </w:rPr>
      </w:pPr>
      <w:r w:rsidRPr="00AC7190">
        <w:rPr>
          <w:szCs w:val="18"/>
        </w:rPr>
        <w:t xml:space="preserve">If you publish, distribute, or otherwise disseminate this work (or any part of it) to the public without adapting it, the following attribution statement should be used: </w:t>
      </w:r>
    </w:p>
    <w:p w14:paraId="715CAE43" w14:textId="77777777" w:rsidR="00AC7190" w:rsidRPr="00AC7190" w:rsidRDefault="00AC7190" w:rsidP="00AC7190">
      <w:pPr>
        <w:pStyle w:val="Quote"/>
        <w:spacing w:before="0"/>
        <w:rPr>
          <w:sz w:val="18"/>
          <w:szCs w:val="18"/>
        </w:rPr>
      </w:pPr>
      <w:r w:rsidRPr="00AC7190">
        <w:rPr>
          <w:sz w:val="18"/>
          <w:szCs w:val="18"/>
        </w:rPr>
        <w:t>Source: Ministry for the Environment, Stats NZ, and data providers, and licensed by the Ministry for the Environment and Stats NZ for re-use under the Creative Commons Attribution 4.0 International licence.</w:t>
      </w:r>
    </w:p>
    <w:p w14:paraId="0B96318F" w14:textId="77777777" w:rsidR="00AC7190" w:rsidRPr="00AC7190" w:rsidRDefault="00AC7190" w:rsidP="00AC7190">
      <w:pPr>
        <w:pStyle w:val="Imprint"/>
        <w:rPr>
          <w:szCs w:val="18"/>
        </w:rPr>
      </w:pPr>
      <w:r w:rsidRPr="00AC7190">
        <w:rPr>
          <w:szCs w:val="18"/>
        </w:rPr>
        <w:t>If you adapt this work in any way, or include it in a collection, and publish, distribute, or otherwise disseminate that adaptation or collection to the public, the following attribution statement should be used:</w:t>
      </w:r>
    </w:p>
    <w:p w14:paraId="1BF8001C" w14:textId="77777777" w:rsidR="00AC7190" w:rsidRPr="00AC7190" w:rsidRDefault="00AC7190" w:rsidP="00AC7190">
      <w:pPr>
        <w:pStyle w:val="Quote"/>
        <w:spacing w:before="0"/>
        <w:rPr>
          <w:sz w:val="18"/>
          <w:szCs w:val="18"/>
        </w:rPr>
      </w:pPr>
      <w:r w:rsidRPr="00AC7190">
        <w:rPr>
          <w:sz w:val="18"/>
          <w:szCs w:val="18"/>
        </w:rPr>
        <w:t>This work uses material sourced from the Ministry for the Environment, Stats NZ, and data providers, which is licensed by the Ministry for the Environment and Stats NZ for re-use under the Creative Commons Attribution 4.0 International licence.</w:t>
      </w:r>
    </w:p>
    <w:p w14:paraId="1428FEC0" w14:textId="77777777" w:rsidR="00AC7190" w:rsidRPr="00AC7190" w:rsidRDefault="00AC7190" w:rsidP="00AC7190">
      <w:pPr>
        <w:pStyle w:val="Imprint"/>
        <w:rPr>
          <w:szCs w:val="18"/>
        </w:rPr>
      </w:pPr>
      <w:r w:rsidRPr="00AC7190">
        <w:rPr>
          <w:szCs w:val="18"/>
        </w:rPr>
        <w:t>Where practicable, please hyperlink the name of the Ministry for the Environment or Stats NZ to the Ministry for the Environment or Stats NZ web page that contains, or links to, the source data.</w:t>
      </w:r>
    </w:p>
    <w:p w14:paraId="03C1D7A8" w14:textId="77777777" w:rsidR="00AC7190" w:rsidRPr="00AC7190" w:rsidRDefault="00AC7190" w:rsidP="00AC7190">
      <w:pPr>
        <w:pStyle w:val="Imprint"/>
        <w:spacing w:after="0"/>
        <w:rPr>
          <w:b/>
          <w:szCs w:val="18"/>
        </w:rPr>
      </w:pPr>
      <w:r w:rsidRPr="00AC7190">
        <w:rPr>
          <w:b/>
          <w:szCs w:val="18"/>
        </w:rPr>
        <w:t>Disclaimer</w:t>
      </w:r>
    </w:p>
    <w:p w14:paraId="3E7AFB95" w14:textId="77777777" w:rsidR="00AC7190" w:rsidRPr="00AC7190" w:rsidRDefault="00AC7190" w:rsidP="007F0476">
      <w:pPr>
        <w:pStyle w:val="Imprint"/>
        <w:spacing w:before="60"/>
        <w:rPr>
          <w:b/>
          <w:szCs w:val="18"/>
        </w:rPr>
      </w:pPr>
      <w:r w:rsidRPr="00AC7190">
        <w:rPr>
          <w:szCs w:val="18"/>
        </w:rPr>
        <w:t>While all care and diligence has been used in processing, analysing, and extracting data and information for this publication, the Ministry for the Environment, Stats NZ, and the data providers give no warranty in relation to the report or data used in the report – including its accuracy, reliability, and suitability – and accept no liability whatsoever in relation to any loss, damage, or other costs relating to the use of any part of the report (including any data) or any compilations, derivative works, or modifications of the report (including any data).</w:t>
      </w:r>
    </w:p>
    <w:p w14:paraId="0F125BC6" w14:textId="77777777" w:rsidR="00AC7190" w:rsidRPr="00AC7190" w:rsidRDefault="00AC7190" w:rsidP="00AC7190">
      <w:pPr>
        <w:pStyle w:val="Imprint"/>
        <w:spacing w:after="0"/>
        <w:rPr>
          <w:b/>
          <w:szCs w:val="18"/>
        </w:rPr>
      </w:pPr>
      <w:r w:rsidRPr="00AC7190">
        <w:rPr>
          <w:b/>
          <w:szCs w:val="18"/>
        </w:rPr>
        <w:t>Citation</w:t>
      </w:r>
    </w:p>
    <w:p w14:paraId="4E5769D6" w14:textId="4435E8F6" w:rsidR="00AC7190" w:rsidRPr="00AC7190" w:rsidRDefault="00AC7190" w:rsidP="007F0476">
      <w:pPr>
        <w:pStyle w:val="Imprint"/>
        <w:spacing w:before="60"/>
        <w:rPr>
          <w:szCs w:val="18"/>
        </w:rPr>
      </w:pPr>
      <w:r w:rsidRPr="00AC7190">
        <w:rPr>
          <w:szCs w:val="18"/>
        </w:rPr>
        <w:t xml:space="preserve">Ministry for the Environment &amp; Stats NZ (2021). </w:t>
      </w:r>
      <w:r w:rsidRPr="00D342E1">
        <w:rPr>
          <w:i/>
          <w:szCs w:val="18"/>
        </w:rPr>
        <w:t>New Zealand’s Environmental Reporting Series: Our air 2021</w:t>
      </w:r>
      <w:r w:rsidR="00602374" w:rsidRPr="00D342E1">
        <w:rPr>
          <w:i/>
          <w:szCs w:val="18"/>
        </w:rPr>
        <w:t xml:space="preserve">: </w:t>
      </w:r>
      <w:r w:rsidR="00D342E1">
        <w:rPr>
          <w:i/>
          <w:szCs w:val="18"/>
        </w:rPr>
        <w:t>p</w:t>
      </w:r>
      <w:r w:rsidR="00602374" w:rsidRPr="00D342E1">
        <w:rPr>
          <w:i/>
          <w:szCs w:val="18"/>
        </w:rPr>
        <w:t>reliminary data releas</w:t>
      </w:r>
      <w:r w:rsidR="00602374">
        <w:rPr>
          <w:i/>
          <w:szCs w:val="18"/>
        </w:rPr>
        <w:t>e</w:t>
      </w:r>
      <w:r w:rsidRPr="00AC7190">
        <w:rPr>
          <w:i/>
          <w:szCs w:val="18"/>
        </w:rPr>
        <w:t xml:space="preserve">. </w:t>
      </w:r>
      <w:r w:rsidRPr="00AC7190">
        <w:rPr>
          <w:szCs w:val="18"/>
        </w:rPr>
        <w:t xml:space="preserve">Retrieved from </w:t>
      </w:r>
      <w:hyperlink r:id="rId20" w:history="1">
        <w:r w:rsidRPr="008078F4">
          <w:rPr>
            <w:rStyle w:val="Hyperlink"/>
            <w:szCs w:val="18"/>
          </w:rPr>
          <w:t>environment.govt.nz</w:t>
        </w:r>
      </w:hyperlink>
      <w:r w:rsidRPr="00AC7190">
        <w:rPr>
          <w:szCs w:val="18"/>
        </w:rPr>
        <w:t>.</w:t>
      </w:r>
    </w:p>
    <w:p w14:paraId="0A840558" w14:textId="77777777" w:rsidR="00AC7190" w:rsidRPr="00AC7190" w:rsidRDefault="00AC7190" w:rsidP="00AC7190">
      <w:pPr>
        <w:pStyle w:val="Imprint"/>
        <w:rPr>
          <w:szCs w:val="18"/>
        </w:rPr>
      </w:pPr>
      <w:r w:rsidRPr="00AC7190">
        <w:rPr>
          <w:szCs w:val="18"/>
        </w:rPr>
        <w:t xml:space="preserve">Published in October 2021 by </w:t>
      </w:r>
      <w:r w:rsidRPr="00AC7190">
        <w:rPr>
          <w:szCs w:val="18"/>
        </w:rPr>
        <w:br/>
        <w:t>Ministry for the Environment and Stats NZ</w:t>
      </w:r>
    </w:p>
    <w:p w14:paraId="05CDC934" w14:textId="77777777" w:rsidR="00AC7190" w:rsidRPr="00D342E1" w:rsidRDefault="00AC7190" w:rsidP="00AC7190">
      <w:pPr>
        <w:pStyle w:val="Imprint"/>
        <w:spacing w:after="0"/>
        <w:rPr>
          <w:rFonts w:cs="Calibri"/>
          <w:szCs w:val="18"/>
        </w:rPr>
      </w:pPr>
      <w:r w:rsidRPr="00AC7190">
        <w:rPr>
          <w:rFonts w:cstheme="minorHAnsi"/>
          <w:szCs w:val="18"/>
        </w:rPr>
        <w:t>Publication number</w:t>
      </w:r>
      <w:r w:rsidRPr="00AC7190">
        <w:rPr>
          <w:rFonts w:cs="Calibri"/>
          <w:szCs w:val="18"/>
        </w:rPr>
        <w:t xml:space="preserve">: </w:t>
      </w:r>
      <w:r w:rsidRPr="00D342E1">
        <w:rPr>
          <w:rFonts w:cs="Calibri"/>
          <w:szCs w:val="18"/>
        </w:rPr>
        <w:t>ME 1598</w:t>
      </w:r>
    </w:p>
    <w:p w14:paraId="0EDFB5A9" w14:textId="77777777" w:rsidR="00AC7190" w:rsidRDefault="00AC7190" w:rsidP="00AC7190">
      <w:pPr>
        <w:jc w:val="left"/>
        <w:rPr>
          <w:rFonts w:ascii="Lato" w:hAnsi="Lato" w:cs="Calibri"/>
          <w:sz w:val="18"/>
          <w:szCs w:val="18"/>
        </w:rPr>
      </w:pPr>
      <w:r w:rsidRPr="00D342E1">
        <w:rPr>
          <w:rFonts w:ascii="Lato" w:hAnsi="Lato" w:cs="Calibri"/>
          <w:sz w:val="18"/>
          <w:szCs w:val="18"/>
        </w:rPr>
        <w:t>ISSN: 2382-0179</w:t>
      </w:r>
      <w:r w:rsidRPr="00D342E1">
        <w:rPr>
          <w:rFonts w:ascii="Lato" w:hAnsi="Lato" w:cs="Calibri"/>
          <w:sz w:val="18"/>
          <w:szCs w:val="18"/>
        </w:rPr>
        <w:br/>
        <w:t>ISBN: 978-1-99-003384-1</w:t>
      </w:r>
    </w:p>
    <w:p w14:paraId="5B196F3A" w14:textId="77777777" w:rsidR="0080531E" w:rsidRPr="00A84FE1" w:rsidRDefault="0080531E" w:rsidP="00A84FE1">
      <w:pPr>
        <w:sectPr w:rsidR="0080531E" w:rsidRPr="00A84FE1" w:rsidSect="0036151C">
          <w:headerReference w:type="even" r:id="rId21"/>
          <w:headerReference w:type="default" r:id="rId22"/>
          <w:footerReference w:type="even" r:id="rId23"/>
          <w:footerReference w:type="default" r:id="rId24"/>
          <w:pgSz w:w="11907" w:h="16840" w:code="9"/>
          <w:pgMar w:top="1134" w:right="1418" w:bottom="1134" w:left="1418" w:header="567" w:footer="567" w:gutter="567"/>
          <w:pgNumType w:fmt="lowerRoman"/>
          <w:cols w:space="720"/>
        </w:sectPr>
      </w:pPr>
    </w:p>
    <w:p w14:paraId="79CCF762" w14:textId="77777777" w:rsidR="0080531E" w:rsidRPr="00225830" w:rsidRDefault="0080531E" w:rsidP="00B73ABB">
      <w:pPr>
        <w:pStyle w:val="Heading"/>
      </w:pPr>
      <w:r w:rsidRPr="00225830">
        <w:lastRenderedPageBreak/>
        <w:t>Contents</w:t>
      </w:r>
    </w:p>
    <w:p w14:paraId="39068260" w14:textId="0FB61F47" w:rsidR="004F02B6" w:rsidRPr="00F02CF2" w:rsidRDefault="00775F57">
      <w:pPr>
        <w:pStyle w:val="TOC1"/>
        <w:rPr>
          <w:rFonts w:asciiTheme="minorHAnsi" w:eastAsiaTheme="minorEastAsia" w:hAnsiTheme="minorHAnsi" w:cstheme="minorHAnsi"/>
          <w:noProof/>
        </w:rPr>
      </w:pPr>
      <w:r w:rsidRPr="00F02CF2">
        <w:rPr>
          <w:rFonts w:asciiTheme="minorHAnsi" w:hAnsiTheme="minorHAnsi" w:cstheme="minorHAnsi"/>
          <w:color w:val="0092CF"/>
        </w:rPr>
        <w:fldChar w:fldCharType="begin"/>
      </w:r>
      <w:r w:rsidRPr="00F02CF2">
        <w:rPr>
          <w:rFonts w:asciiTheme="minorHAnsi" w:hAnsiTheme="minorHAnsi" w:cstheme="minorHAnsi"/>
          <w:color w:val="0092CF"/>
        </w:rPr>
        <w:instrText xml:space="preserve"> TOC \h \z \t "Heading 1,1,Heading 2,2" </w:instrText>
      </w:r>
      <w:r w:rsidRPr="00F02CF2">
        <w:rPr>
          <w:rFonts w:asciiTheme="minorHAnsi" w:hAnsiTheme="minorHAnsi" w:cstheme="minorHAnsi"/>
          <w:color w:val="0092CF"/>
        </w:rPr>
        <w:fldChar w:fldCharType="separate"/>
      </w:r>
      <w:hyperlink w:anchor="_Toc84935036" w:history="1">
        <w:r w:rsidR="004F02B6" w:rsidRPr="00F02CF2">
          <w:rPr>
            <w:rStyle w:val="Hyperlink"/>
            <w:rFonts w:asciiTheme="minorHAnsi" w:hAnsiTheme="minorHAnsi" w:cstheme="minorHAnsi"/>
            <w:noProof/>
          </w:rPr>
          <w:t xml:space="preserve">Introduction to </w:t>
        </w:r>
        <w:r w:rsidR="0042397E">
          <w:rPr>
            <w:rStyle w:val="Hyperlink"/>
            <w:rFonts w:asciiTheme="minorHAnsi" w:hAnsiTheme="minorHAnsi" w:cstheme="minorHAnsi"/>
            <w:noProof/>
          </w:rPr>
          <w:t>O</w:t>
        </w:r>
        <w:r w:rsidR="004F02B6" w:rsidRPr="00F02CF2">
          <w:rPr>
            <w:rStyle w:val="Hyperlink"/>
            <w:rFonts w:asciiTheme="minorHAnsi" w:hAnsiTheme="minorHAnsi" w:cstheme="minorHAnsi"/>
            <w:noProof/>
          </w:rPr>
          <w:t>ur air</w:t>
        </w:r>
        <w:r w:rsidR="0042397E">
          <w:rPr>
            <w:rStyle w:val="Hyperlink"/>
            <w:rFonts w:asciiTheme="minorHAnsi" w:hAnsiTheme="minorHAnsi" w:cstheme="minorHAnsi"/>
            <w:noProof/>
          </w:rPr>
          <w:t xml:space="preserve"> 2021</w:t>
        </w:r>
        <w:r w:rsidR="004F02B6" w:rsidRPr="00F02CF2">
          <w:rPr>
            <w:rFonts w:asciiTheme="minorHAnsi" w:hAnsiTheme="minorHAnsi" w:cstheme="minorHAnsi"/>
            <w:noProof/>
            <w:webHidden/>
          </w:rPr>
          <w:tab/>
        </w:r>
        <w:r w:rsidR="004F02B6" w:rsidRPr="00F02CF2">
          <w:rPr>
            <w:rFonts w:asciiTheme="minorHAnsi" w:hAnsiTheme="minorHAnsi" w:cstheme="minorHAnsi"/>
            <w:noProof/>
            <w:webHidden/>
          </w:rPr>
          <w:fldChar w:fldCharType="begin"/>
        </w:r>
        <w:r w:rsidR="004F02B6" w:rsidRPr="00F02CF2">
          <w:rPr>
            <w:rFonts w:asciiTheme="minorHAnsi" w:hAnsiTheme="minorHAnsi" w:cstheme="minorHAnsi"/>
            <w:noProof/>
            <w:webHidden/>
          </w:rPr>
          <w:instrText xml:space="preserve"> PAGEREF _Toc84935036 \h </w:instrText>
        </w:r>
        <w:r w:rsidR="004F02B6" w:rsidRPr="00F02CF2">
          <w:rPr>
            <w:rFonts w:asciiTheme="minorHAnsi" w:hAnsiTheme="minorHAnsi" w:cstheme="minorHAnsi"/>
            <w:noProof/>
            <w:webHidden/>
          </w:rPr>
        </w:r>
        <w:r w:rsidR="004F02B6" w:rsidRPr="00F02CF2">
          <w:rPr>
            <w:rFonts w:asciiTheme="minorHAnsi" w:hAnsiTheme="minorHAnsi" w:cstheme="minorHAnsi"/>
            <w:noProof/>
            <w:webHidden/>
          </w:rPr>
          <w:fldChar w:fldCharType="separate"/>
        </w:r>
        <w:r w:rsidR="009E3AF7">
          <w:rPr>
            <w:rFonts w:asciiTheme="minorHAnsi" w:hAnsiTheme="minorHAnsi" w:cstheme="minorHAnsi"/>
            <w:noProof/>
            <w:webHidden/>
          </w:rPr>
          <w:t>4</w:t>
        </w:r>
        <w:r w:rsidR="004F02B6" w:rsidRPr="00F02CF2">
          <w:rPr>
            <w:rFonts w:asciiTheme="minorHAnsi" w:hAnsiTheme="minorHAnsi" w:cstheme="minorHAnsi"/>
            <w:noProof/>
            <w:webHidden/>
          </w:rPr>
          <w:fldChar w:fldCharType="end"/>
        </w:r>
      </w:hyperlink>
    </w:p>
    <w:p w14:paraId="49C47644" w14:textId="4E89901C" w:rsidR="004F02B6" w:rsidRPr="00F02CF2" w:rsidRDefault="009F7BD9">
      <w:pPr>
        <w:pStyle w:val="TOC2"/>
        <w:rPr>
          <w:rFonts w:asciiTheme="minorHAnsi" w:eastAsiaTheme="minorEastAsia" w:hAnsiTheme="minorHAnsi" w:cstheme="minorHAnsi"/>
          <w:noProof/>
        </w:rPr>
      </w:pPr>
      <w:hyperlink w:anchor="_Toc84935037" w:history="1">
        <w:r w:rsidR="004F02B6" w:rsidRPr="00F02CF2">
          <w:rPr>
            <w:rStyle w:val="Hyperlink"/>
            <w:rFonts w:asciiTheme="minorHAnsi" w:hAnsiTheme="minorHAnsi" w:cstheme="minorHAnsi"/>
            <w:noProof/>
          </w:rPr>
          <w:t>About</w:t>
        </w:r>
        <w:r w:rsidR="004F02B6" w:rsidRPr="006F0EDD">
          <w:rPr>
            <w:rStyle w:val="Hyperlink"/>
            <w:rFonts w:asciiTheme="minorHAnsi" w:hAnsiTheme="minorHAnsi" w:cstheme="minorHAnsi"/>
            <w:iCs/>
            <w:noProof/>
          </w:rPr>
          <w:t xml:space="preserve"> Our air 2021</w:t>
        </w:r>
        <w:r w:rsidR="004F02B6" w:rsidRPr="00F02CF2">
          <w:rPr>
            <w:rFonts w:asciiTheme="minorHAnsi" w:hAnsiTheme="minorHAnsi" w:cstheme="minorHAnsi"/>
            <w:noProof/>
            <w:webHidden/>
          </w:rPr>
          <w:tab/>
        </w:r>
        <w:r w:rsidR="004F02B6" w:rsidRPr="00F02CF2">
          <w:rPr>
            <w:rFonts w:asciiTheme="minorHAnsi" w:hAnsiTheme="minorHAnsi" w:cstheme="minorHAnsi"/>
            <w:noProof/>
            <w:webHidden/>
          </w:rPr>
          <w:fldChar w:fldCharType="begin"/>
        </w:r>
        <w:r w:rsidR="004F02B6" w:rsidRPr="00F02CF2">
          <w:rPr>
            <w:rFonts w:asciiTheme="minorHAnsi" w:hAnsiTheme="minorHAnsi" w:cstheme="minorHAnsi"/>
            <w:noProof/>
            <w:webHidden/>
          </w:rPr>
          <w:instrText xml:space="preserve"> PAGEREF _Toc84935037 \h </w:instrText>
        </w:r>
        <w:r w:rsidR="004F02B6" w:rsidRPr="00F02CF2">
          <w:rPr>
            <w:rFonts w:asciiTheme="minorHAnsi" w:hAnsiTheme="minorHAnsi" w:cstheme="minorHAnsi"/>
            <w:noProof/>
            <w:webHidden/>
          </w:rPr>
        </w:r>
        <w:r w:rsidR="004F02B6" w:rsidRPr="00F02CF2">
          <w:rPr>
            <w:rFonts w:asciiTheme="minorHAnsi" w:hAnsiTheme="minorHAnsi" w:cstheme="minorHAnsi"/>
            <w:noProof/>
            <w:webHidden/>
          </w:rPr>
          <w:fldChar w:fldCharType="separate"/>
        </w:r>
        <w:r w:rsidR="009E3AF7">
          <w:rPr>
            <w:rFonts w:asciiTheme="minorHAnsi" w:hAnsiTheme="minorHAnsi" w:cstheme="minorHAnsi"/>
            <w:noProof/>
            <w:webHidden/>
          </w:rPr>
          <w:t>4</w:t>
        </w:r>
        <w:r w:rsidR="004F02B6" w:rsidRPr="00F02CF2">
          <w:rPr>
            <w:rFonts w:asciiTheme="minorHAnsi" w:hAnsiTheme="minorHAnsi" w:cstheme="minorHAnsi"/>
            <w:noProof/>
            <w:webHidden/>
          </w:rPr>
          <w:fldChar w:fldCharType="end"/>
        </w:r>
      </w:hyperlink>
    </w:p>
    <w:p w14:paraId="10F9DCEE" w14:textId="042D677F" w:rsidR="004F02B6" w:rsidRPr="00F02CF2" w:rsidRDefault="009F7BD9">
      <w:pPr>
        <w:pStyle w:val="TOC1"/>
        <w:rPr>
          <w:rFonts w:asciiTheme="minorHAnsi" w:eastAsiaTheme="minorEastAsia" w:hAnsiTheme="minorHAnsi" w:cstheme="minorHAnsi"/>
          <w:noProof/>
        </w:rPr>
      </w:pPr>
      <w:hyperlink w:anchor="_Toc84935038" w:history="1">
        <w:r w:rsidR="004F02B6" w:rsidRPr="00F02CF2">
          <w:rPr>
            <w:rStyle w:val="Hyperlink"/>
            <w:rFonts w:asciiTheme="minorHAnsi" w:hAnsiTheme="minorHAnsi" w:cstheme="minorHAnsi"/>
            <w:noProof/>
          </w:rPr>
          <w:t>Indicator findings</w:t>
        </w:r>
        <w:r w:rsidR="004F02B6" w:rsidRPr="00F02CF2">
          <w:rPr>
            <w:rFonts w:asciiTheme="minorHAnsi" w:hAnsiTheme="minorHAnsi" w:cstheme="minorHAnsi"/>
            <w:noProof/>
            <w:webHidden/>
          </w:rPr>
          <w:tab/>
        </w:r>
        <w:r w:rsidR="004F02B6" w:rsidRPr="00F02CF2">
          <w:rPr>
            <w:rFonts w:asciiTheme="minorHAnsi" w:hAnsiTheme="minorHAnsi" w:cstheme="minorHAnsi"/>
            <w:noProof/>
            <w:webHidden/>
          </w:rPr>
          <w:fldChar w:fldCharType="begin"/>
        </w:r>
        <w:r w:rsidR="004F02B6" w:rsidRPr="00F02CF2">
          <w:rPr>
            <w:rFonts w:asciiTheme="minorHAnsi" w:hAnsiTheme="minorHAnsi" w:cstheme="minorHAnsi"/>
            <w:noProof/>
            <w:webHidden/>
          </w:rPr>
          <w:instrText xml:space="preserve"> PAGEREF _Toc84935038 \h </w:instrText>
        </w:r>
        <w:r w:rsidR="004F02B6" w:rsidRPr="00F02CF2">
          <w:rPr>
            <w:rFonts w:asciiTheme="minorHAnsi" w:hAnsiTheme="minorHAnsi" w:cstheme="minorHAnsi"/>
            <w:noProof/>
            <w:webHidden/>
          </w:rPr>
        </w:r>
        <w:r w:rsidR="004F02B6" w:rsidRPr="00F02CF2">
          <w:rPr>
            <w:rFonts w:asciiTheme="minorHAnsi" w:hAnsiTheme="minorHAnsi" w:cstheme="minorHAnsi"/>
            <w:noProof/>
            <w:webHidden/>
          </w:rPr>
          <w:fldChar w:fldCharType="separate"/>
        </w:r>
        <w:r w:rsidR="009E3AF7">
          <w:rPr>
            <w:rFonts w:asciiTheme="minorHAnsi" w:hAnsiTheme="minorHAnsi" w:cstheme="minorHAnsi"/>
            <w:noProof/>
            <w:webHidden/>
          </w:rPr>
          <w:t>6</w:t>
        </w:r>
        <w:r w:rsidR="004F02B6" w:rsidRPr="00F02CF2">
          <w:rPr>
            <w:rFonts w:asciiTheme="minorHAnsi" w:hAnsiTheme="minorHAnsi" w:cstheme="minorHAnsi"/>
            <w:noProof/>
            <w:webHidden/>
          </w:rPr>
          <w:fldChar w:fldCharType="end"/>
        </w:r>
      </w:hyperlink>
    </w:p>
    <w:p w14:paraId="5C9D6236" w14:textId="7D4A6C6A" w:rsidR="004F02B6" w:rsidRPr="00F02CF2" w:rsidRDefault="009F7BD9">
      <w:pPr>
        <w:pStyle w:val="TOC2"/>
        <w:rPr>
          <w:rFonts w:asciiTheme="minorHAnsi" w:eastAsiaTheme="minorEastAsia" w:hAnsiTheme="minorHAnsi" w:cstheme="minorHAnsi"/>
          <w:noProof/>
        </w:rPr>
      </w:pPr>
      <w:hyperlink w:anchor="_Toc84935039" w:history="1">
        <w:r w:rsidR="004F02B6" w:rsidRPr="00F02CF2">
          <w:rPr>
            <w:rStyle w:val="Hyperlink"/>
            <w:rFonts w:asciiTheme="minorHAnsi" w:hAnsiTheme="minorHAnsi" w:cstheme="minorHAnsi"/>
            <w:noProof/>
          </w:rPr>
          <w:t>Particulate matter</w:t>
        </w:r>
        <w:r w:rsidR="004F02B6" w:rsidRPr="00F02CF2">
          <w:rPr>
            <w:rFonts w:asciiTheme="minorHAnsi" w:hAnsiTheme="minorHAnsi" w:cstheme="minorHAnsi"/>
            <w:noProof/>
            <w:webHidden/>
          </w:rPr>
          <w:tab/>
        </w:r>
        <w:r w:rsidR="004F02B6" w:rsidRPr="00F02CF2">
          <w:rPr>
            <w:rFonts w:asciiTheme="minorHAnsi" w:hAnsiTheme="minorHAnsi" w:cstheme="minorHAnsi"/>
            <w:noProof/>
            <w:webHidden/>
          </w:rPr>
          <w:fldChar w:fldCharType="begin"/>
        </w:r>
        <w:r w:rsidR="004F02B6" w:rsidRPr="00F02CF2">
          <w:rPr>
            <w:rFonts w:asciiTheme="minorHAnsi" w:hAnsiTheme="minorHAnsi" w:cstheme="minorHAnsi"/>
            <w:noProof/>
            <w:webHidden/>
          </w:rPr>
          <w:instrText xml:space="preserve"> PAGEREF _Toc84935039 \h </w:instrText>
        </w:r>
        <w:r w:rsidR="004F02B6" w:rsidRPr="00F02CF2">
          <w:rPr>
            <w:rFonts w:asciiTheme="minorHAnsi" w:hAnsiTheme="minorHAnsi" w:cstheme="minorHAnsi"/>
            <w:noProof/>
            <w:webHidden/>
          </w:rPr>
        </w:r>
        <w:r w:rsidR="004F02B6" w:rsidRPr="00F02CF2">
          <w:rPr>
            <w:rFonts w:asciiTheme="minorHAnsi" w:hAnsiTheme="minorHAnsi" w:cstheme="minorHAnsi"/>
            <w:noProof/>
            <w:webHidden/>
          </w:rPr>
          <w:fldChar w:fldCharType="separate"/>
        </w:r>
        <w:r w:rsidR="009E3AF7">
          <w:rPr>
            <w:rFonts w:asciiTheme="minorHAnsi" w:hAnsiTheme="minorHAnsi" w:cstheme="minorHAnsi"/>
            <w:noProof/>
            <w:webHidden/>
          </w:rPr>
          <w:t>6</w:t>
        </w:r>
        <w:r w:rsidR="004F02B6" w:rsidRPr="00F02CF2">
          <w:rPr>
            <w:rFonts w:asciiTheme="minorHAnsi" w:hAnsiTheme="minorHAnsi" w:cstheme="minorHAnsi"/>
            <w:noProof/>
            <w:webHidden/>
          </w:rPr>
          <w:fldChar w:fldCharType="end"/>
        </w:r>
      </w:hyperlink>
    </w:p>
    <w:p w14:paraId="1CCDA3F6" w14:textId="494174E0" w:rsidR="004F02B6" w:rsidRPr="00F02CF2" w:rsidRDefault="009F7BD9">
      <w:pPr>
        <w:pStyle w:val="TOC2"/>
        <w:rPr>
          <w:rFonts w:asciiTheme="minorHAnsi" w:eastAsiaTheme="minorEastAsia" w:hAnsiTheme="minorHAnsi" w:cstheme="minorHAnsi"/>
          <w:noProof/>
        </w:rPr>
      </w:pPr>
      <w:hyperlink w:anchor="_Toc84935040" w:history="1">
        <w:r w:rsidR="004F02B6" w:rsidRPr="00F02CF2">
          <w:rPr>
            <w:rStyle w:val="Hyperlink"/>
            <w:rFonts w:asciiTheme="minorHAnsi" w:hAnsiTheme="minorHAnsi" w:cstheme="minorHAnsi"/>
            <w:noProof/>
          </w:rPr>
          <w:t>PM</w:t>
        </w:r>
        <w:r w:rsidR="004F02B6" w:rsidRPr="00F02CF2">
          <w:rPr>
            <w:rStyle w:val="Hyperlink"/>
            <w:rFonts w:asciiTheme="minorHAnsi" w:hAnsiTheme="minorHAnsi" w:cstheme="minorHAnsi"/>
            <w:noProof/>
            <w:vertAlign w:val="subscript"/>
          </w:rPr>
          <w:t>10</w:t>
        </w:r>
        <w:r w:rsidR="004F02B6" w:rsidRPr="00F02CF2">
          <w:rPr>
            <w:rStyle w:val="Hyperlink"/>
            <w:rFonts w:asciiTheme="minorHAnsi" w:hAnsiTheme="minorHAnsi" w:cstheme="minorHAnsi"/>
            <w:noProof/>
          </w:rPr>
          <w:t xml:space="preserve"> concentrations</w:t>
        </w:r>
        <w:r w:rsidR="004F02B6" w:rsidRPr="00F02CF2">
          <w:rPr>
            <w:rFonts w:asciiTheme="minorHAnsi" w:hAnsiTheme="minorHAnsi" w:cstheme="minorHAnsi"/>
            <w:noProof/>
            <w:webHidden/>
          </w:rPr>
          <w:tab/>
        </w:r>
        <w:r w:rsidR="004F02B6" w:rsidRPr="00F02CF2">
          <w:rPr>
            <w:rFonts w:asciiTheme="minorHAnsi" w:hAnsiTheme="minorHAnsi" w:cstheme="minorHAnsi"/>
            <w:noProof/>
            <w:webHidden/>
          </w:rPr>
          <w:fldChar w:fldCharType="begin"/>
        </w:r>
        <w:r w:rsidR="004F02B6" w:rsidRPr="00F02CF2">
          <w:rPr>
            <w:rFonts w:asciiTheme="minorHAnsi" w:hAnsiTheme="minorHAnsi" w:cstheme="minorHAnsi"/>
            <w:noProof/>
            <w:webHidden/>
          </w:rPr>
          <w:instrText xml:space="preserve"> PAGEREF _Toc84935040 \h </w:instrText>
        </w:r>
        <w:r w:rsidR="004F02B6" w:rsidRPr="00F02CF2">
          <w:rPr>
            <w:rFonts w:asciiTheme="minorHAnsi" w:hAnsiTheme="minorHAnsi" w:cstheme="minorHAnsi"/>
            <w:noProof/>
            <w:webHidden/>
          </w:rPr>
        </w:r>
        <w:r w:rsidR="004F02B6" w:rsidRPr="00F02CF2">
          <w:rPr>
            <w:rFonts w:asciiTheme="minorHAnsi" w:hAnsiTheme="minorHAnsi" w:cstheme="minorHAnsi"/>
            <w:noProof/>
            <w:webHidden/>
          </w:rPr>
          <w:fldChar w:fldCharType="separate"/>
        </w:r>
        <w:r w:rsidR="009E3AF7">
          <w:rPr>
            <w:rFonts w:asciiTheme="minorHAnsi" w:hAnsiTheme="minorHAnsi" w:cstheme="minorHAnsi"/>
            <w:noProof/>
            <w:webHidden/>
          </w:rPr>
          <w:t>6</w:t>
        </w:r>
        <w:r w:rsidR="004F02B6" w:rsidRPr="00F02CF2">
          <w:rPr>
            <w:rFonts w:asciiTheme="minorHAnsi" w:hAnsiTheme="minorHAnsi" w:cstheme="minorHAnsi"/>
            <w:noProof/>
            <w:webHidden/>
          </w:rPr>
          <w:fldChar w:fldCharType="end"/>
        </w:r>
      </w:hyperlink>
    </w:p>
    <w:p w14:paraId="1817CEE4" w14:textId="30205FD8" w:rsidR="004F02B6" w:rsidRPr="00F02CF2" w:rsidRDefault="009F7BD9">
      <w:pPr>
        <w:pStyle w:val="TOC2"/>
        <w:rPr>
          <w:rFonts w:asciiTheme="minorHAnsi" w:eastAsiaTheme="minorEastAsia" w:hAnsiTheme="minorHAnsi" w:cstheme="minorHAnsi"/>
          <w:noProof/>
        </w:rPr>
      </w:pPr>
      <w:hyperlink w:anchor="_Toc84935041" w:history="1">
        <w:r w:rsidR="004F02B6" w:rsidRPr="00F02CF2">
          <w:rPr>
            <w:rStyle w:val="Hyperlink"/>
            <w:rFonts w:asciiTheme="minorHAnsi" w:hAnsiTheme="minorHAnsi" w:cstheme="minorHAnsi"/>
            <w:noProof/>
          </w:rPr>
          <w:t>PM</w:t>
        </w:r>
        <w:r w:rsidR="004F02B6" w:rsidRPr="00F02CF2">
          <w:rPr>
            <w:rStyle w:val="Hyperlink"/>
            <w:rFonts w:asciiTheme="minorHAnsi" w:hAnsiTheme="minorHAnsi" w:cstheme="minorHAnsi"/>
            <w:noProof/>
            <w:vertAlign w:val="subscript"/>
          </w:rPr>
          <w:t>2.5</w:t>
        </w:r>
        <w:r w:rsidR="004F02B6" w:rsidRPr="00F02CF2">
          <w:rPr>
            <w:rStyle w:val="Hyperlink"/>
            <w:rFonts w:asciiTheme="minorHAnsi" w:hAnsiTheme="minorHAnsi" w:cstheme="minorHAnsi"/>
            <w:noProof/>
          </w:rPr>
          <w:t xml:space="preserve"> concentrations</w:t>
        </w:r>
        <w:r w:rsidR="004F02B6" w:rsidRPr="00F02CF2">
          <w:rPr>
            <w:rFonts w:asciiTheme="minorHAnsi" w:hAnsiTheme="minorHAnsi" w:cstheme="minorHAnsi"/>
            <w:noProof/>
            <w:webHidden/>
          </w:rPr>
          <w:tab/>
        </w:r>
        <w:r w:rsidR="004F02B6" w:rsidRPr="00F02CF2">
          <w:rPr>
            <w:rFonts w:asciiTheme="minorHAnsi" w:hAnsiTheme="minorHAnsi" w:cstheme="minorHAnsi"/>
            <w:noProof/>
            <w:webHidden/>
          </w:rPr>
          <w:fldChar w:fldCharType="begin"/>
        </w:r>
        <w:r w:rsidR="004F02B6" w:rsidRPr="00F02CF2">
          <w:rPr>
            <w:rFonts w:asciiTheme="minorHAnsi" w:hAnsiTheme="minorHAnsi" w:cstheme="minorHAnsi"/>
            <w:noProof/>
            <w:webHidden/>
          </w:rPr>
          <w:instrText xml:space="preserve"> PAGEREF _Toc84935041 \h </w:instrText>
        </w:r>
        <w:r w:rsidR="004F02B6" w:rsidRPr="00F02CF2">
          <w:rPr>
            <w:rFonts w:asciiTheme="minorHAnsi" w:hAnsiTheme="minorHAnsi" w:cstheme="minorHAnsi"/>
            <w:noProof/>
            <w:webHidden/>
          </w:rPr>
        </w:r>
        <w:r w:rsidR="004F02B6" w:rsidRPr="00F02CF2">
          <w:rPr>
            <w:rFonts w:asciiTheme="minorHAnsi" w:hAnsiTheme="minorHAnsi" w:cstheme="minorHAnsi"/>
            <w:noProof/>
            <w:webHidden/>
          </w:rPr>
          <w:fldChar w:fldCharType="separate"/>
        </w:r>
        <w:r w:rsidR="009E3AF7">
          <w:rPr>
            <w:rFonts w:asciiTheme="minorHAnsi" w:hAnsiTheme="minorHAnsi" w:cstheme="minorHAnsi"/>
            <w:noProof/>
            <w:webHidden/>
          </w:rPr>
          <w:t>7</w:t>
        </w:r>
        <w:r w:rsidR="004F02B6" w:rsidRPr="00F02CF2">
          <w:rPr>
            <w:rFonts w:asciiTheme="minorHAnsi" w:hAnsiTheme="minorHAnsi" w:cstheme="minorHAnsi"/>
            <w:noProof/>
            <w:webHidden/>
          </w:rPr>
          <w:fldChar w:fldCharType="end"/>
        </w:r>
      </w:hyperlink>
    </w:p>
    <w:p w14:paraId="6468AEFB" w14:textId="5205E8C2" w:rsidR="004F02B6" w:rsidRPr="00F02CF2" w:rsidRDefault="009F7BD9">
      <w:pPr>
        <w:pStyle w:val="TOC2"/>
        <w:rPr>
          <w:rFonts w:asciiTheme="minorHAnsi" w:eastAsiaTheme="minorEastAsia" w:hAnsiTheme="minorHAnsi" w:cstheme="minorHAnsi"/>
          <w:noProof/>
        </w:rPr>
      </w:pPr>
      <w:hyperlink w:anchor="_Toc84935042" w:history="1">
        <w:r w:rsidR="004F02B6" w:rsidRPr="00F02CF2">
          <w:rPr>
            <w:rStyle w:val="Hyperlink"/>
            <w:rFonts w:asciiTheme="minorHAnsi" w:hAnsiTheme="minorHAnsi" w:cstheme="minorHAnsi"/>
            <w:noProof/>
          </w:rPr>
          <w:t>Nitrogen dioxide concentrations</w:t>
        </w:r>
        <w:r w:rsidR="004F02B6" w:rsidRPr="00F02CF2">
          <w:rPr>
            <w:rFonts w:asciiTheme="minorHAnsi" w:hAnsiTheme="minorHAnsi" w:cstheme="minorHAnsi"/>
            <w:noProof/>
            <w:webHidden/>
          </w:rPr>
          <w:tab/>
        </w:r>
        <w:r w:rsidR="004F02B6" w:rsidRPr="00F02CF2">
          <w:rPr>
            <w:rFonts w:asciiTheme="minorHAnsi" w:hAnsiTheme="minorHAnsi" w:cstheme="minorHAnsi"/>
            <w:noProof/>
            <w:webHidden/>
          </w:rPr>
          <w:fldChar w:fldCharType="begin"/>
        </w:r>
        <w:r w:rsidR="004F02B6" w:rsidRPr="00F02CF2">
          <w:rPr>
            <w:rFonts w:asciiTheme="minorHAnsi" w:hAnsiTheme="minorHAnsi" w:cstheme="minorHAnsi"/>
            <w:noProof/>
            <w:webHidden/>
          </w:rPr>
          <w:instrText xml:space="preserve"> PAGEREF _Toc84935042 \h </w:instrText>
        </w:r>
        <w:r w:rsidR="004F02B6" w:rsidRPr="00F02CF2">
          <w:rPr>
            <w:rFonts w:asciiTheme="minorHAnsi" w:hAnsiTheme="minorHAnsi" w:cstheme="minorHAnsi"/>
            <w:noProof/>
            <w:webHidden/>
          </w:rPr>
        </w:r>
        <w:r w:rsidR="004F02B6" w:rsidRPr="00F02CF2">
          <w:rPr>
            <w:rFonts w:asciiTheme="minorHAnsi" w:hAnsiTheme="minorHAnsi" w:cstheme="minorHAnsi"/>
            <w:noProof/>
            <w:webHidden/>
          </w:rPr>
          <w:fldChar w:fldCharType="separate"/>
        </w:r>
        <w:r w:rsidR="009E3AF7">
          <w:rPr>
            <w:rFonts w:asciiTheme="minorHAnsi" w:hAnsiTheme="minorHAnsi" w:cstheme="minorHAnsi"/>
            <w:noProof/>
            <w:webHidden/>
          </w:rPr>
          <w:t>8</w:t>
        </w:r>
        <w:r w:rsidR="004F02B6" w:rsidRPr="00F02CF2">
          <w:rPr>
            <w:rFonts w:asciiTheme="minorHAnsi" w:hAnsiTheme="minorHAnsi" w:cstheme="minorHAnsi"/>
            <w:noProof/>
            <w:webHidden/>
          </w:rPr>
          <w:fldChar w:fldCharType="end"/>
        </w:r>
      </w:hyperlink>
    </w:p>
    <w:p w14:paraId="1F0DCF31" w14:textId="1CD3EFBC" w:rsidR="004F02B6" w:rsidRPr="00F02CF2" w:rsidRDefault="009F7BD9">
      <w:pPr>
        <w:pStyle w:val="TOC2"/>
        <w:rPr>
          <w:rFonts w:asciiTheme="minorHAnsi" w:eastAsiaTheme="minorEastAsia" w:hAnsiTheme="minorHAnsi" w:cstheme="minorHAnsi"/>
          <w:noProof/>
        </w:rPr>
      </w:pPr>
      <w:hyperlink w:anchor="_Toc84935043" w:history="1">
        <w:r w:rsidR="004F02B6" w:rsidRPr="00F02CF2">
          <w:rPr>
            <w:rStyle w:val="Hyperlink"/>
            <w:rFonts w:asciiTheme="minorHAnsi" w:hAnsiTheme="minorHAnsi" w:cstheme="minorHAnsi"/>
            <w:noProof/>
          </w:rPr>
          <w:t>Sulphur dioxide concentrations</w:t>
        </w:r>
        <w:r w:rsidR="004F02B6" w:rsidRPr="00F02CF2">
          <w:rPr>
            <w:rFonts w:asciiTheme="minorHAnsi" w:hAnsiTheme="minorHAnsi" w:cstheme="minorHAnsi"/>
            <w:noProof/>
            <w:webHidden/>
          </w:rPr>
          <w:tab/>
        </w:r>
        <w:r w:rsidR="004F02B6" w:rsidRPr="00F02CF2">
          <w:rPr>
            <w:rFonts w:asciiTheme="minorHAnsi" w:hAnsiTheme="minorHAnsi" w:cstheme="minorHAnsi"/>
            <w:noProof/>
            <w:webHidden/>
          </w:rPr>
          <w:fldChar w:fldCharType="begin"/>
        </w:r>
        <w:r w:rsidR="004F02B6" w:rsidRPr="00F02CF2">
          <w:rPr>
            <w:rFonts w:asciiTheme="minorHAnsi" w:hAnsiTheme="minorHAnsi" w:cstheme="minorHAnsi"/>
            <w:noProof/>
            <w:webHidden/>
          </w:rPr>
          <w:instrText xml:space="preserve"> PAGEREF _Toc84935043 \h </w:instrText>
        </w:r>
        <w:r w:rsidR="004F02B6" w:rsidRPr="00F02CF2">
          <w:rPr>
            <w:rFonts w:asciiTheme="minorHAnsi" w:hAnsiTheme="minorHAnsi" w:cstheme="minorHAnsi"/>
            <w:noProof/>
            <w:webHidden/>
          </w:rPr>
        </w:r>
        <w:r w:rsidR="004F02B6" w:rsidRPr="00F02CF2">
          <w:rPr>
            <w:rFonts w:asciiTheme="minorHAnsi" w:hAnsiTheme="minorHAnsi" w:cstheme="minorHAnsi"/>
            <w:noProof/>
            <w:webHidden/>
          </w:rPr>
          <w:fldChar w:fldCharType="separate"/>
        </w:r>
        <w:r w:rsidR="009E3AF7">
          <w:rPr>
            <w:rFonts w:asciiTheme="minorHAnsi" w:hAnsiTheme="minorHAnsi" w:cstheme="minorHAnsi"/>
            <w:noProof/>
            <w:webHidden/>
          </w:rPr>
          <w:t>9</w:t>
        </w:r>
        <w:r w:rsidR="004F02B6" w:rsidRPr="00F02CF2">
          <w:rPr>
            <w:rFonts w:asciiTheme="minorHAnsi" w:hAnsiTheme="minorHAnsi" w:cstheme="minorHAnsi"/>
            <w:noProof/>
            <w:webHidden/>
          </w:rPr>
          <w:fldChar w:fldCharType="end"/>
        </w:r>
      </w:hyperlink>
    </w:p>
    <w:p w14:paraId="6FD255E0" w14:textId="407FF68C" w:rsidR="004F02B6" w:rsidRPr="00F02CF2" w:rsidRDefault="009F7BD9">
      <w:pPr>
        <w:pStyle w:val="TOC2"/>
        <w:rPr>
          <w:rFonts w:asciiTheme="minorHAnsi" w:eastAsiaTheme="minorEastAsia" w:hAnsiTheme="minorHAnsi" w:cstheme="minorHAnsi"/>
          <w:noProof/>
        </w:rPr>
      </w:pPr>
      <w:hyperlink w:anchor="_Toc84935044" w:history="1">
        <w:r w:rsidR="004F02B6" w:rsidRPr="00F02CF2">
          <w:rPr>
            <w:rStyle w:val="Hyperlink"/>
            <w:rFonts w:asciiTheme="minorHAnsi" w:hAnsiTheme="minorHAnsi" w:cstheme="minorHAnsi"/>
            <w:noProof/>
          </w:rPr>
          <w:t>Ground-level ozone</w:t>
        </w:r>
        <w:r w:rsidR="004F02B6" w:rsidRPr="00F02CF2">
          <w:rPr>
            <w:rFonts w:asciiTheme="minorHAnsi" w:hAnsiTheme="minorHAnsi" w:cstheme="minorHAnsi"/>
            <w:noProof/>
            <w:webHidden/>
          </w:rPr>
          <w:tab/>
        </w:r>
        <w:r w:rsidR="004F02B6" w:rsidRPr="00F02CF2">
          <w:rPr>
            <w:rFonts w:asciiTheme="minorHAnsi" w:hAnsiTheme="minorHAnsi" w:cstheme="minorHAnsi"/>
            <w:noProof/>
            <w:webHidden/>
          </w:rPr>
          <w:fldChar w:fldCharType="begin"/>
        </w:r>
        <w:r w:rsidR="004F02B6" w:rsidRPr="00F02CF2">
          <w:rPr>
            <w:rFonts w:asciiTheme="minorHAnsi" w:hAnsiTheme="minorHAnsi" w:cstheme="minorHAnsi"/>
            <w:noProof/>
            <w:webHidden/>
          </w:rPr>
          <w:instrText xml:space="preserve"> PAGEREF _Toc84935044 \h </w:instrText>
        </w:r>
        <w:r w:rsidR="004F02B6" w:rsidRPr="00F02CF2">
          <w:rPr>
            <w:rFonts w:asciiTheme="minorHAnsi" w:hAnsiTheme="minorHAnsi" w:cstheme="minorHAnsi"/>
            <w:noProof/>
            <w:webHidden/>
          </w:rPr>
        </w:r>
        <w:r w:rsidR="004F02B6" w:rsidRPr="00F02CF2">
          <w:rPr>
            <w:rFonts w:asciiTheme="minorHAnsi" w:hAnsiTheme="minorHAnsi" w:cstheme="minorHAnsi"/>
            <w:noProof/>
            <w:webHidden/>
          </w:rPr>
          <w:fldChar w:fldCharType="separate"/>
        </w:r>
        <w:r w:rsidR="009E3AF7">
          <w:rPr>
            <w:rFonts w:asciiTheme="minorHAnsi" w:hAnsiTheme="minorHAnsi" w:cstheme="minorHAnsi"/>
            <w:noProof/>
            <w:webHidden/>
          </w:rPr>
          <w:t>10</w:t>
        </w:r>
        <w:r w:rsidR="004F02B6" w:rsidRPr="00F02CF2">
          <w:rPr>
            <w:rFonts w:asciiTheme="minorHAnsi" w:hAnsiTheme="minorHAnsi" w:cstheme="minorHAnsi"/>
            <w:noProof/>
            <w:webHidden/>
          </w:rPr>
          <w:fldChar w:fldCharType="end"/>
        </w:r>
      </w:hyperlink>
    </w:p>
    <w:p w14:paraId="733572B9" w14:textId="1FD90029" w:rsidR="004F02B6" w:rsidRPr="00F02CF2" w:rsidRDefault="009F7BD9">
      <w:pPr>
        <w:pStyle w:val="TOC2"/>
        <w:rPr>
          <w:rFonts w:asciiTheme="minorHAnsi" w:eastAsiaTheme="minorEastAsia" w:hAnsiTheme="minorHAnsi" w:cstheme="minorHAnsi"/>
          <w:noProof/>
        </w:rPr>
      </w:pPr>
      <w:hyperlink w:anchor="_Toc84935045" w:history="1">
        <w:r w:rsidR="004F02B6" w:rsidRPr="00F02CF2">
          <w:rPr>
            <w:rStyle w:val="Hyperlink"/>
            <w:rFonts w:asciiTheme="minorHAnsi" w:hAnsiTheme="minorHAnsi" w:cstheme="minorHAnsi"/>
            <w:noProof/>
          </w:rPr>
          <w:t>Carbon monoxide concentrations</w:t>
        </w:r>
        <w:r w:rsidR="004F02B6" w:rsidRPr="00F02CF2">
          <w:rPr>
            <w:rFonts w:asciiTheme="minorHAnsi" w:hAnsiTheme="minorHAnsi" w:cstheme="minorHAnsi"/>
            <w:noProof/>
            <w:webHidden/>
          </w:rPr>
          <w:tab/>
        </w:r>
        <w:r w:rsidR="004F02B6" w:rsidRPr="00F02CF2">
          <w:rPr>
            <w:rFonts w:asciiTheme="minorHAnsi" w:hAnsiTheme="minorHAnsi" w:cstheme="minorHAnsi"/>
            <w:noProof/>
            <w:webHidden/>
          </w:rPr>
          <w:fldChar w:fldCharType="begin"/>
        </w:r>
        <w:r w:rsidR="004F02B6" w:rsidRPr="00F02CF2">
          <w:rPr>
            <w:rFonts w:asciiTheme="minorHAnsi" w:hAnsiTheme="minorHAnsi" w:cstheme="minorHAnsi"/>
            <w:noProof/>
            <w:webHidden/>
          </w:rPr>
          <w:instrText xml:space="preserve"> PAGEREF _Toc84935045 \h </w:instrText>
        </w:r>
        <w:r w:rsidR="004F02B6" w:rsidRPr="00F02CF2">
          <w:rPr>
            <w:rFonts w:asciiTheme="minorHAnsi" w:hAnsiTheme="minorHAnsi" w:cstheme="minorHAnsi"/>
            <w:noProof/>
            <w:webHidden/>
          </w:rPr>
        </w:r>
        <w:r w:rsidR="004F02B6" w:rsidRPr="00F02CF2">
          <w:rPr>
            <w:rFonts w:asciiTheme="minorHAnsi" w:hAnsiTheme="minorHAnsi" w:cstheme="minorHAnsi"/>
            <w:noProof/>
            <w:webHidden/>
          </w:rPr>
          <w:fldChar w:fldCharType="separate"/>
        </w:r>
        <w:r w:rsidR="009E3AF7">
          <w:rPr>
            <w:rFonts w:asciiTheme="minorHAnsi" w:hAnsiTheme="minorHAnsi" w:cstheme="minorHAnsi"/>
            <w:noProof/>
            <w:webHidden/>
          </w:rPr>
          <w:t>11</w:t>
        </w:r>
        <w:r w:rsidR="004F02B6" w:rsidRPr="00F02CF2">
          <w:rPr>
            <w:rFonts w:asciiTheme="minorHAnsi" w:hAnsiTheme="minorHAnsi" w:cstheme="minorHAnsi"/>
            <w:noProof/>
            <w:webHidden/>
          </w:rPr>
          <w:fldChar w:fldCharType="end"/>
        </w:r>
      </w:hyperlink>
    </w:p>
    <w:p w14:paraId="647F2940" w14:textId="7E43422A" w:rsidR="004F02B6" w:rsidRPr="00F02CF2" w:rsidRDefault="009F7BD9">
      <w:pPr>
        <w:pStyle w:val="TOC2"/>
        <w:rPr>
          <w:rFonts w:asciiTheme="minorHAnsi" w:eastAsiaTheme="minorEastAsia" w:hAnsiTheme="minorHAnsi" w:cstheme="minorHAnsi"/>
          <w:noProof/>
        </w:rPr>
      </w:pPr>
      <w:hyperlink w:anchor="_Toc84935046" w:history="1">
        <w:r w:rsidR="004F02B6" w:rsidRPr="00F02CF2">
          <w:rPr>
            <w:rStyle w:val="Hyperlink"/>
            <w:rFonts w:asciiTheme="minorHAnsi" w:hAnsiTheme="minorHAnsi" w:cstheme="minorHAnsi"/>
            <w:noProof/>
          </w:rPr>
          <w:t>Air pollutant emissions (sources)</w:t>
        </w:r>
        <w:r w:rsidR="004F02B6" w:rsidRPr="00F02CF2">
          <w:rPr>
            <w:rFonts w:asciiTheme="minorHAnsi" w:hAnsiTheme="minorHAnsi" w:cstheme="minorHAnsi"/>
            <w:noProof/>
            <w:webHidden/>
          </w:rPr>
          <w:tab/>
        </w:r>
        <w:r w:rsidR="004F02B6" w:rsidRPr="00F02CF2">
          <w:rPr>
            <w:rFonts w:asciiTheme="minorHAnsi" w:hAnsiTheme="minorHAnsi" w:cstheme="minorHAnsi"/>
            <w:noProof/>
            <w:webHidden/>
          </w:rPr>
          <w:fldChar w:fldCharType="begin"/>
        </w:r>
        <w:r w:rsidR="004F02B6" w:rsidRPr="00F02CF2">
          <w:rPr>
            <w:rFonts w:asciiTheme="minorHAnsi" w:hAnsiTheme="minorHAnsi" w:cstheme="minorHAnsi"/>
            <w:noProof/>
            <w:webHidden/>
          </w:rPr>
          <w:instrText xml:space="preserve"> PAGEREF _Toc84935046 \h </w:instrText>
        </w:r>
        <w:r w:rsidR="004F02B6" w:rsidRPr="00F02CF2">
          <w:rPr>
            <w:rFonts w:asciiTheme="minorHAnsi" w:hAnsiTheme="minorHAnsi" w:cstheme="minorHAnsi"/>
            <w:noProof/>
            <w:webHidden/>
          </w:rPr>
        </w:r>
        <w:r w:rsidR="004F02B6" w:rsidRPr="00F02CF2">
          <w:rPr>
            <w:rFonts w:asciiTheme="minorHAnsi" w:hAnsiTheme="minorHAnsi" w:cstheme="minorHAnsi"/>
            <w:noProof/>
            <w:webHidden/>
          </w:rPr>
          <w:fldChar w:fldCharType="separate"/>
        </w:r>
        <w:r w:rsidR="009E3AF7">
          <w:rPr>
            <w:rFonts w:asciiTheme="minorHAnsi" w:hAnsiTheme="minorHAnsi" w:cstheme="minorHAnsi"/>
            <w:noProof/>
            <w:webHidden/>
          </w:rPr>
          <w:t>12</w:t>
        </w:r>
        <w:r w:rsidR="004F02B6" w:rsidRPr="00F02CF2">
          <w:rPr>
            <w:rFonts w:asciiTheme="minorHAnsi" w:hAnsiTheme="minorHAnsi" w:cstheme="minorHAnsi"/>
            <w:noProof/>
            <w:webHidden/>
          </w:rPr>
          <w:fldChar w:fldCharType="end"/>
        </w:r>
      </w:hyperlink>
    </w:p>
    <w:p w14:paraId="7D5E7ACD" w14:textId="2D6A39B8" w:rsidR="004F02B6" w:rsidRPr="00F02CF2" w:rsidRDefault="009F7BD9">
      <w:pPr>
        <w:pStyle w:val="TOC2"/>
        <w:rPr>
          <w:rFonts w:asciiTheme="minorHAnsi" w:eastAsiaTheme="minorEastAsia" w:hAnsiTheme="minorHAnsi" w:cstheme="minorHAnsi"/>
          <w:noProof/>
        </w:rPr>
      </w:pPr>
      <w:hyperlink w:anchor="_Toc84935047" w:history="1">
        <w:r w:rsidR="004F02B6" w:rsidRPr="00F02CF2">
          <w:rPr>
            <w:rStyle w:val="Hyperlink"/>
            <w:rFonts w:asciiTheme="minorHAnsi" w:hAnsiTheme="minorHAnsi" w:cstheme="minorHAnsi"/>
            <w:noProof/>
          </w:rPr>
          <w:t>Health impacts of air pollution</w:t>
        </w:r>
        <w:r w:rsidR="004F02B6" w:rsidRPr="00F02CF2">
          <w:rPr>
            <w:rFonts w:asciiTheme="minorHAnsi" w:hAnsiTheme="minorHAnsi" w:cstheme="minorHAnsi"/>
            <w:noProof/>
            <w:webHidden/>
          </w:rPr>
          <w:tab/>
        </w:r>
        <w:r w:rsidR="004F02B6" w:rsidRPr="00F02CF2">
          <w:rPr>
            <w:rFonts w:asciiTheme="minorHAnsi" w:hAnsiTheme="minorHAnsi" w:cstheme="minorHAnsi"/>
            <w:noProof/>
            <w:webHidden/>
          </w:rPr>
          <w:fldChar w:fldCharType="begin"/>
        </w:r>
        <w:r w:rsidR="004F02B6" w:rsidRPr="00F02CF2">
          <w:rPr>
            <w:rFonts w:asciiTheme="minorHAnsi" w:hAnsiTheme="minorHAnsi" w:cstheme="minorHAnsi"/>
            <w:noProof/>
            <w:webHidden/>
          </w:rPr>
          <w:instrText xml:space="preserve"> PAGEREF _Toc84935047 \h </w:instrText>
        </w:r>
        <w:r w:rsidR="004F02B6" w:rsidRPr="00F02CF2">
          <w:rPr>
            <w:rFonts w:asciiTheme="minorHAnsi" w:hAnsiTheme="minorHAnsi" w:cstheme="minorHAnsi"/>
            <w:noProof/>
            <w:webHidden/>
          </w:rPr>
        </w:r>
        <w:r w:rsidR="004F02B6" w:rsidRPr="00F02CF2">
          <w:rPr>
            <w:rFonts w:asciiTheme="minorHAnsi" w:hAnsiTheme="minorHAnsi" w:cstheme="minorHAnsi"/>
            <w:noProof/>
            <w:webHidden/>
          </w:rPr>
          <w:fldChar w:fldCharType="separate"/>
        </w:r>
        <w:r w:rsidR="009E3AF7">
          <w:rPr>
            <w:rFonts w:asciiTheme="minorHAnsi" w:hAnsiTheme="minorHAnsi" w:cstheme="minorHAnsi"/>
            <w:noProof/>
            <w:webHidden/>
          </w:rPr>
          <w:t>13</w:t>
        </w:r>
        <w:r w:rsidR="004F02B6" w:rsidRPr="00F02CF2">
          <w:rPr>
            <w:rFonts w:asciiTheme="minorHAnsi" w:hAnsiTheme="minorHAnsi" w:cstheme="minorHAnsi"/>
            <w:noProof/>
            <w:webHidden/>
          </w:rPr>
          <w:fldChar w:fldCharType="end"/>
        </w:r>
      </w:hyperlink>
    </w:p>
    <w:p w14:paraId="2C9A02A9" w14:textId="14C98750" w:rsidR="004F02B6" w:rsidRPr="00F02CF2" w:rsidRDefault="009F7BD9">
      <w:pPr>
        <w:pStyle w:val="TOC1"/>
        <w:rPr>
          <w:rFonts w:asciiTheme="minorHAnsi" w:eastAsiaTheme="minorEastAsia" w:hAnsiTheme="minorHAnsi" w:cstheme="minorHAnsi"/>
          <w:noProof/>
        </w:rPr>
      </w:pPr>
      <w:hyperlink w:anchor="_Toc84935048" w:history="1">
        <w:r w:rsidR="004F02B6" w:rsidRPr="00F02CF2">
          <w:rPr>
            <w:rStyle w:val="Hyperlink"/>
            <w:rFonts w:asciiTheme="minorHAnsi" w:hAnsiTheme="minorHAnsi" w:cstheme="minorHAnsi"/>
            <w:noProof/>
          </w:rPr>
          <w:t>References</w:t>
        </w:r>
        <w:r w:rsidR="004F02B6" w:rsidRPr="00F02CF2">
          <w:rPr>
            <w:rFonts w:asciiTheme="minorHAnsi" w:hAnsiTheme="minorHAnsi" w:cstheme="minorHAnsi"/>
            <w:noProof/>
            <w:webHidden/>
          </w:rPr>
          <w:tab/>
        </w:r>
        <w:r w:rsidR="004F02B6" w:rsidRPr="00F02CF2">
          <w:rPr>
            <w:rFonts w:asciiTheme="minorHAnsi" w:hAnsiTheme="minorHAnsi" w:cstheme="minorHAnsi"/>
            <w:noProof/>
            <w:webHidden/>
          </w:rPr>
          <w:fldChar w:fldCharType="begin"/>
        </w:r>
        <w:r w:rsidR="004F02B6" w:rsidRPr="00F02CF2">
          <w:rPr>
            <w:rFonts w:asciiTheme="minorHAnsi" w:hAnsiTheme="minorHAnsi" w:cstheme="minorHAnsi"/>
            <w:noProof/>
            <w:webHidden/>
          </w:rPr>
          <w:instrText xml:space="preserve"> PAGEREF _Toc84935048 \h </w:instrText>
        </w:r>
        <w:r w:rsidR="004F02B6" w:rsidRPr="00F02CF2">
          <w:rPr>
            <w:rFonts w:asciiTheme="minorHAnsi" w:hAnsiTheme="minorHAnsi" w:cstheme="minorHAnsi"/>
            <w:noProof/>
            <w:webHidden/>
          </w:rPr>
        </w:r>
        <w:r w:rsidR="004F02B6" w:rsidRPr="00F02CF2">
          <w:rPr>
            <w:rFonts w:asciiTheme="minorHAnsi" w:hAnsiTheme="minorHAnsi" w:cstheme="minorHAnsi"/>
            <w:noProof/>
            <w:webHidden/>
          </w:rPr>
          <w:fldChar w:fldCharType="separate"/>
        </w:r>
        <w:r w:rsidR="009E3AF7">
          <w:rPr>
            <w:rFonts w:asciiTheme="minorHAnsi" w:hAnsiTheme="minorHAnsi" w:cstheme="minorHAnsi"/>
            <w:noProof/>
            <w:webHidden/>
          </w:rPr>
          <w:t>14</w:t>
        </w:r>
        <w:r w:rsidR="004F02B6" w:rsidRPr="00F02CF2">
          <w:rPr>
            <w:rFonts w:asciiTheme="minorHAnsi" w:hAnsiTheme="minorHAnsi" w:cstheme="minorHAnsi"/>
            <w:noProof/>
            <w:webHidden/>
          </w:rPr>
          <w:fldChar w:fldCharType="end"/>
        </w:r>
      </w:hyperlink>
    </w:p>
    <w:p w14:paraId="3EC3FE62" w14:textId="2B64CE5C" w:rsidR="0080531E" w:rsidRPr="006B77BB" w:rsidRDefault="00775F57" w:rsidP="002B4778">
      <w:pPr>
        <w:pStyle w:val="Glossary"/>
      </w:pPr>
      <w:r w:rsidRPr="00F02CF2">
        <w:rPr>
          <w:rFonts w:asciiTheme="minorHAnsi" w:hAnsiTheme="minorHAnsi" w:cstheme="minorHAnsi"/>
          <w:color w:val="0092CF"/>
        </w:rPr>
        <w:fldChar w:fldCharType="end"/>
      </w:r>
    </w:p>
    <w:p w14:paraId="0002C721" w14:textId="77777777" w:rsidR="00796A6F" w:rsidRPr="00554B30" w:rsidRDefault="00796A6F" w:rsidP="00554B30">
      <w:r w:rsidRPr="00554B30">
        <w:br w:type="page"/>
      </w:r>
    </w:p>
    <w:p w14:paraId="50C05A3C" w14:textId="2D96C2F9" w:rsidR="0080531E" w:rsidRDefault="007A2033" w:rsidP="00B73ABB">
      <w:pPr>
        <w:pStyle w:val="Heading1"/>
        <w:rPr>
          <w:rStyle w:val="Heading1Char"/>
          <w:b/>
          <w:bCs/>
        </w:rPr>
      </w:pPr>
      <w:bookmarkStart w:id="0" w:name="_Toc84935036"/>
      <w:bookmarkStart w:id="1" w:name="_Toc345760336"/>
      <w:r>
        <w:rPr>
          <w:rStyle w:val="Heading1Char"/>
          <w:b/>
          <w:bCs/>
        </w:rPr>
        <w:lastRenderedPageBreak/>
        <w:t xml:space="preserve">Introduction to </w:t>
      </w:r>
      <w:r w:rsidR="00A0275B">
        <w:rPr>
          <w:rStyle w:val="Heading1Char"/>
          <w:b/>
          <w:bCs/>
        </w:rPr>
        <w:t xml:space="preserve">Our </w:t>
      </w:r>
      <w:r>
        <w:rPr>
          <w:rStyle w:val="Heading1Char"/>
          <w:b/>
          <w:bCs/>
        </w:rPr>
        <w:t>air</w:t>
      </w:r>
      <w:bookmarkEnd w:id="0"/>
      <w:r w:rsidR="0042397E">
        <w:rPr>
          <w:rStyle w:val="Heading1Char"/>
          <w:b/>
          <w:bCs/>
        </w:rPr>
        <w:t xml:space="preserve"> 2021</w:t>
      </w:r>
    </w:p>
    <w:p w14:paraId="7E00A3CA" w14:textId="0C03E272" w:rsidR="00A138E6" w:rsidRDefault="00A138E6" w:rsidP="00A138E6">
      <w:pPr>
        <w:pStyle w:val="BodyText"/>
        <w:rPr>
          <w:color w:val="009DDF"/>
        </w:rPr>
      </w:pPr>
      <w:r>
        <w:rPr>
          <w:color w:val="009DDF"/>
        </w:rPr>
        <w:t xml:space="preserve">This section provides background to </w:t>
      </w:r>
      <w:r>
        <w:rPr>
          <w:i/>
          <w:color w:val="009DDF"/>
        </w:rPr>
        <w:t>Our air 2021</w:t>
      </w:r>
      <w:r>
        <w:rPr>
          <w:color w:val="009DDF"/>
        </w:rPr>
        <w:t>, including the nature of this release and what standards we report against in this report.</w:t>
      </w:r>
    </w:p>
    <w:p w14:paraId="53B27B49" w14:textId="77777777" w:rsidR="004338F4" w:rsidRPr="00B73ABB" w:rsidRDefault="004338F4" w:rsidP="004338F4">
      <w:pPr>
        <w:pStyle w:val="Heading2"/>
      </w:pPr>
      <w:bookmarkStart w:id="2" w:name="_Toc84935037"/>
      <w:r>
        <w:t xml:space="preserve">About </w:t>
      </w:r>
      <w:r w:rsidRPr="00EE2850">
        <w:t>Our air 2021</w:t>
      </w:r>
      <w:bookmarkEnd w:id="2"/>
    </w:p>
    <w:p w14:paraId="125206EE" w14:textId="7ADB9293" w:rsidR="002921E8" w:rsidRDefault="002921E8" w:rsidP="00653A06">
      <w:pPr>
        <w:pStyle w:val="BodyText"/>
        <w:spacing w:before="180"/>
      </w:pPr>
      <w:r w:rsidRPr="0072651D">
        <w:rPr>
          <w:i/>
        </w:rPr>
        <w:t>Our air 2021</w:t>
      </w:r>
      <w:r w:rsidR="007D4026">
        <w:t xml:space="preserve"> </w:t>
      </w:r>
      <w:r w:rsidRPr="0072651D">
        <w:t xml:space="preserve">is </w:t>
      </w:r>
      <w:r>
        <w:t>part of</w:t>
      </w:r>
      <w:r w:rsidRPr="0072651D">
        <w:t xml:space="preserve"> the series of environmental reports produced by </w:t>
      </w:r>
      <w:r>
        <w:t xml:space="preserve">the </w:t>
      </w:r>
      <w:r w:rsidRPr="0072651D">
        <w:t xml:space="preserve">Ministry for the Environment and Stats NZ. </w:t>
      </w:r>
      <w:r>
        <w:t xml:space="preserve">This report is a preliminary data release under the Environmental Reporting Act 2015. This report </w:t>
      </w:r>
      <w:r w:rsidRPr="0072651D">
        <w:t xml:space="preserve">updates the indicators we have reported on in previous years </w:t>
      </w:r>
      <w:r>
        <w:t xml:space="preserve">(2014 and 2018) </w:t>
      </w:r>
      <w:r w:rsidRPr="0072651D">
        <w:t>but does not introduce new ones.</w:t>
      </w:r>
    </w:p>
    <w:p w14:paraId="56D0F205" w14:textId="5AFC367D" w:rsidR="002812D8" w:rsidRDefault="002921E8" w:rsidP="002921E8">
      <w:pPr>
        <w:pStyle w:val="BodyText"/>
      </w:pPr>
      <w:r>
        <w:t xml:space="preserve">This information release is preliminary because further work is underway on </w:t>
      </w:r>
      <w:r w:rsidR="0050375C">
        <w:t>the</w:t>
      </w:r>
      <w:r>
        <w:t xml:space="preserve"> human health impacts of air quality. </w:t>
      </w:r>
      <w:r w:rsidR="009E3B81">
        <w:t>We are</w:t>
      </w:r>
      <w:r>
        <w:t xml:space="preserve"> evaluating data against the </w:t>
      </w:r>
      <w:r w:rsidR="009D04AE">
        <w:t>re</w:t>
      </w:r>
      <w:r w:rsidR="00037541">
        <w:t xml:space="preserve">cently released </w:t>
      </w:r>
      <w:r>
        <w:t xml:space="preserve">2021 World Health Organization (WHO) </w:t>
      </w:r>
      <w:r w:rsidR="001446BE">
        <w:t>a</w:t>
      </w:r>
      <w:r>
        <w:t xml:space="preserve">ir </w:t>
      </w:r>
      <w:r w:rsidR="001446BE">
        <w:t>q</w:t>
      </w:r>
      <w:r w:rsidRPr="00AB1334">
        <w:t xml:space="preserve">uality </w:t>
      </w:r>
      <w:r w:rsidR="001446BE">
        <w:t>g</w:t>
      </w:r>
      <w:r w:rsidRPr="00AB1334">
        <w:t>uidelines</w:t>
      </w:r>
      <w:r>
        <w:t xml:space="preserve"> (described below), </w:t>
      </w:r>
      <w:r w:rsidR="007A6F46">
        <w:t>which</w:t>
      </w:r>
      <w:r>
        <w:t xml:space="preserve"> will form the basis of a subsequent release </w:t>
      </w:r>
      <w:r w:rsidR="007A6F46">
        <w:t xml:space="preserve">of </w:t>
      </w:r>
      <w:r w:rsidR="00623C89" w:rsidRPr="006F0EDD">
        <w:rPr>
          <w:i/>
          <w:iCs/>
        </w:rPr>
        <w:t>Our air</w:t>
      </w:r>
      <w:r>
        <w:t xml:space="preserve"> on </w:t>
      </w:r>
      <w:r w:rsidRPr="007D4026">
        <w:t>10 December 2021.</w:t>
      </w:r>
      <w:r>
        <w:t xml:space="preserve"> </w:t>
      </w:r>
    </w:p>
    <w:p w14:paraId="6FE0862A" w14:textId="4855EF4F" w:rsidR="002921E8" w:rsidRDefault="002812D8" w:rsidP="002921E8">
      <w:pPr>
        <w:pStyle w:val="BodyText"/>
      </w:pPr>
      <w:r>
        <w:t>In addition</w:t>
      </w:r>
      <w:r w:rsidR="002921E8">
        <w:t xml:space="preserve">, updated results from the Health and Air Pollution in New Zealand model, </w:t>
      </w:r>
      <w:r>
        <w:t>which provide us with important information on health impacts,</w:t>
      </w:r>
      <w:r w:rsidR="00ED30C8">
        <w:t xml:space="preserve"> are due to be released in early 2022.</w:t>
      </w:r>
      <w:r w:rsidR="002921E8">
        <w:t xml:space="preserve"> </w:t>
      </w:r>
    </w:p>
    <w:p w14:paraId="3FD0330E" w14:textId="4057AC16" w:rsidR="00E70379" w:rsidRPr="0072651D" w:rsidRDefault="00967009" w:rsidP="006F0EDD">
      <w:pPr>
        <w:pStyle w:val="BodyText"/>
      </w:pPr>
      <w:r>
        <w:t>It should be noted that while s</w:t>
      </w:r>
      <w:r w:rsidR="00E70379">
        <w:t>ocial restrictions implemented nationally in 2020 as a response to the COVID-19 pandemic temporarily decreased concentrations of several key pollutants across the country</w:t>
      </w:r>
      <w:r w:rsidR="00F97B3C">
        <w:t>,</w:t>
      </w:r>
      <w:r w:rsidR="00E70379">
        <w:t xml:space="preserve"> </w:t>
      </w:r>
      <w:r w:rsidR="00E70379">
        <w:rPr>
          <w:i/>
          <w:iCs/>
        </w:rPr>
        <w:t>Our air 2021</w:t>
      </w:r>
      <w:r w:rsidR="00E70379">
        <w:t xml:space="preserve"> does not </w:t>
      </w:r>
      <w:r w:rsidR="000323C7">
        <w:t xml:space="preserve">specifically </w:t>
      </w:r>
      <w:r w:rsidR="00E70379">
        <w:t xml:space="preserve">analyse the effect of </w:t>
      </w:r>
      <w:r w:rsidR="002A31B8">
        <w:t>these restrictions.</w:t>
      </w:r>
      <w:r w:rsidR="00E70379">
        <w:t xml:space="preserve"> </w:t>
      </w:r>
      <w:r w:rsidR="002A31B8">
        <w:t>However</w:t>
      </w:r>
      <w:r w:rsidR="00E70379">
        <w:t xml:space="preserve">, other studies </w:t>
      </w:r>
      <w:r w:rsidR="002A31B8">
        <w:t xml:space="preserve">have </w:t>
      </w:r>
      <w:r w:rsidR="00E70379">
        <w:t xml:space="preserve">examined the effect of Level 4 lockdown </w:t>
      </w:r>
      <w:r w:rsidR="002A31B8">
        <w:t xml:space="preserve">restrictions </w:t>
      </w:r>
      <w:r w:rsidR="00E70379">
        <w:t>on air quality in</w:t>
      </w:r>
      <w:r w:rsidR="006F0EDD">
        <w:t xml:space="preserve"> </w:t>
      </w:r>
      <w:r w:rsidR="00E70379">
        <w:t>Auckland (Patel et al.</w:t>
      </w:r>
      <w:r w:rsidR="007144EA">
        <w:t>,</w:t>
      </w:r>
      <w:r w:rsidR="00E70379">
        <w:t xml:space="preserve"> 2021) and </w:t>
      </w:r>
      <w:r w:rsidR="00B84B37">
        <w:t>nationally</w:t>
      </w:r>
      <w:r w:rsidR="00E70379">
        <w:t xml:space="preserve"> as restrictions eased through June 2020 (</w:t>
      </w:r>
      <w:r w:rsidR="00D20920" w:rsidRPr="006F0EDD">
        <w:rPr>
          <w:rFonts w:ascii="Calibri" w:hAnsi="Calibri" w:cs="Times New Roman"/>
          <w:color w:val="000000" w:themeColor="text1"/>
          <w:lang w:val="en-NZ" w:eastAsia="en-NZ"/>
        </w:rPr>
        <w:t>Talbot et al., 2021)</w:t>
      </w:r>
      <w:r w:rsidR="00E70379" w:rsidRPr="006F0EDD">
        <w:rPr>
          <w:rFonts w:ascii="Calibri" w:hAnsi="Calibri" w:cs="Times New Roman"/>
          <w:color w:val="000000" w:themeColor="text1"/>
          <w:lang w:val="en-NZ" w:eastAsia="en-NZ"/>
        </w:rPr>
        <w:t>.</w:t>
      </w:r>
    </w:p>
    <w:p w14:paraId="4A87605C" w14:textId="48651A7D" w:rsidR="004338F4" w:rsidRDefault="00AE7E1A" w:rsidP="004338F4">
      <w:pPr>
        <w:pStyle w:val="Heading3"/>
      </w:pPr>
      <w:r>
        <w:t>S</w:t>
      </w:r>
      <w:r w:rsidR="004338F4">
        <w:t>tandards we report against</w:t>
      </w:r>
    </w:p>
    <w:p w14:paraId="4688891B" w14:textId="1BBB90BB" w:rsidR="004338F4" w:rsidRDefault="004338F4" w:rsidP="004338F4">
      <w:pPr>
        <w:spacing w:after="0"/>
        <w:jc w:val="left"/>
        <w:textAlignment w:val="baseline"/>
        <w:rPr>
          <w:rFonts w:cs="Calibri"/>
        </w:rPr>
      </w:pPr>
      <w:r>
        <w:rPr>
          <w:rFonts w:cs="Calibri"/>
        </w:rPr>
        <w:t>This report evaluates monitored data against two primary standards or guidelines – one national and one international</w:t>
      </w:r>
      <w:r w:rsidR="00280D34">
        <w:rPr>
          <w:rFonts w:cs="Calibri"/>
        </w:rPr>
        <w:t xml:space="preserve"> </w:t>
      </w:r>
      <w:r w:rsidR="007235D0">
        <w:rPr>
          <w:rFonts w:cs="Calibri"/>
        </w:rPr>
        <w:t>–</w:t>
      </w:r>
      <w:r w:rsidR="00280D34">
        <w:rPr>
          <w:rFonts w:cs="Calibri"/>
        </w:rPr>
        <w:t xml:space="preserve"> to indicate potential impacts on human health.</w:t>
      </w:r>
    </w:p>
    <w:p w14:paraId="7F00A8EC" w14:textId="14E9E1F3" w:rsidR="004338F4" w:rsidRPr="00C800EE" w:rsidRDefault="004338F4" w:rsidP="004338F4">
      <w:pPr>
        <w:spacing w:after="0"/>
        <w:jc w:val="left"/>
        <w:textAlignment w:val="baseline"/>
        <w:rPr>
          <w:rFonts w:cs="Calibri"/>
        </w:rPr>
      </w:pPr>
      <w:r>
        <w:rPr>
          <w:rFonts w:cs="Calibri"/>
        </w:rPr>
        <w:t xml:space="preserve">The </w:t>
      </w:r>
      <w:hyperlink r:id="rId25" w:tgtFrame="_blank" w:history="1">
        <w:r w:rsidRPr="00C800EE">
          <w:rPr>
            <w:rFonts w:cs="Calibri"/>
            <w:color w:val="009DDF"/>
          </w:rPr>
          <w:t>National Environmental Standards for Air Quality</w:t>
        </w:r>
        <w:r w:rsidRPr="00C800EE">
          <w:rPr>
            <w:rFonts w:cs="Calibri"/>
            <w:color w:val="0000FF"/>
          </w:rPr>
          <w:t xml:space="preserve"> </w:t>
        </w:r>
      </w:hyperlink>
      <w:r>
        <w:rPr>
          <w:rFonts w:cs="Calibri"/>
        </w:rPr>
        <w:t>set l</w:t>
      </w:r>
      <w:r w:rsidRPr="00C800EE">
        <w:rPr>
          <w:rFonts w:cs="Calibri"/>
        </w:rPr>
        <w:t>imits for particulate matter and gaseous pollutants to protect communities against detrimental health impacts. The standard focuses on short-term exposure</w:t>
      </w:r>
      <w:r w:rsidR="00226F26">
        <w:rPr>
          <w:rFonts w:cs="Calibri"/>
        </w:rPr>
        <w:t xml:space="preserve"> </w:t>
      </w:r>
      <w:r w:rsidR="00AA4EBE">
        <w:rPr>
          <w:rFonts w:cs="Calibri"/>
        </w:rPr>
        <w:t>–</w:t>
      </w:r>
      <w:r w:rsidRPr="00C800EE">
        <w:rPr>
          <w:rFonts w:cs="Calibri"/>
        </w:rPr>
        <w:t xml:space="preserve"> that is, average hourly or 24-hour time periods. The standard allows some pollutants to be above the threshold limit (ie an exceedance) a </w:t>
      </w:r>
      <w:r w:rsidR="00FE2D14">
        <w:rPr>
          <w:rFonts w:cs="Calibri"/>
        </w:rPr>
        <w:t>few</w:t>
      </w:r>
      <w:r w:rsidRPr="00C800EE">
        <w:rPr>
          <w:rFonts w:cs="Calibri"/>
        </w:rPr>
        <w:t xml:space="preserve"> times per year.</w:t>
      </w:r>
    </w:p>
    <w:p w14:paraId="575D56F3" w14:textId="3BC57C29" w:rsidR="004338F4" w:rsidRDefault="004338F4" w:rsidP="00037AB1">
      <w:pPr>
        <w:jc w:val="left"/>
        <w:textAlignment w:val="baseline"/>
        <w:rPr>
          <w:rFonts w:cs="Calibri"/>
        </w:rPr>
      </w:pPr>
      <w:r>
        <w:rPr>
          <w:rFonts w:cs="Calibri"/>
        </w:rPr>
        <w:t>T</w:t>
      </w:r>
      <w:r w:rsidRPr="00915CDD">
        <w:rPr>
          <w:rFonts w:cs="Calibri"/>
        </w:rPr>
        <w:t>he</w:t>
      </w:r>
      <w:r w:rsidR="00B826D8">
        <w:rPr>
          <w:rFonts w:cs="Calibri"/>
        </w:rPr>
        <w:t xml:space="preserve"> </w:t>
      </w:r>
      <w:hyperlink r:id="rId26">
        <w:r w:rsidR="79C63E25" w:rsidRPr="2827F77E">
          <w:rPr>
            <w:rFonts w:cs="Calibri"/>
            <w:color w:val="009DDF"/>
          </w:rPr>
          <w:t>World Health Organization (WHO) Air Quality Guidelines</w:t>
        </w:r>
      </w:hyperlink>
      <w:r w:rsidRPr="00915CDD">
        <w:rPr>
          <w:rFonts w:cs="Calibri"/>
        </w:rPr>
        <w:t xml:space="preserve"> </w:t>
      </w:r>
      <w:r>
        <w:rPr>
          <w:rFonts w:cs="Calibri"/>
        </w:rPr>
        <w:t xml:space="preserve">also </w:t>
      </w:r>
      <w:r w:rsidRPr="00915CDD">
        <w:rPr>
          <w:rFonts w:cs="Calibri"/>
        </w:rPr>
        <w:t xml:space="preserve">provide indicative limits to protect communities from the long-term or chronic health impacts of air pollution. The WHO </w:t>
      </w:r>
      <w:r>
        <w:rPr>
          <w:rFonts w:cs="Calibri"/>
        </w:rPr>
        <w:t>guidelines</w:t>
      </w:r>
      <w:r w:rsidRPr="00915CDD">
        <w:rPr>
          <w:rFonts w:cs="Calibri"/>
        </w:rPr>
        <w:t xml:space="preserve"> are based on a synthesis of research on the health effects of </w:t>
      </w:r>
      <w:r>
        <w:rPr>
          <w:rFonts w:cs="Calibri"/>
        </w:rPr>
        <w:t xml:space="preserve">air </w:t>
      </w:r>
      <w:r w:rsidRPr="00915CDD">
        <w:rPr>
          <w:rFonts w:cs="Calibri"/>
        </w:rPr>
        <w:t>pollutant</w:t>
      </w:r>
      <w:r>
        <w:rPr>
          <w:rFonts w:cs="Calibri"/>
        </w:rPr>
        <w:t>s</w:t>
      </w:r>
      <w:r w:rsidRPr="00915CDD">
        <w:rPr>
          <w:rFonts w:cs="Calibri"/>
        </w:rPr>
        <w:t xml:space="preserve">. </w:t>
      </w:r>
      <w:r>
        <w:rPr>
          <w:rFonts w:cs="Calibri"/>
        </w:rPr>
        <w:t>M</w:t>
      </w:r>
      <w:r w:rsidRPr="00915CDD">
        <w:rPr>
          <w:rFonts w:cs="Calibri"/>
        </w:rPr>
        <w:t>any regional councils and unitary authorities</w:t>
      </w:r>
      <w:r>
        <w:rPr>
          <w:rFonts w:cs="Calibri"/>
        </w:rPr>
        <w:t>, which are responsible for monitoring and managing air quality in New Zealand,</w:t>
      </w:r>
      <w:r w:rsidRPr="00915CDD">
        <w:rPr>
          <w:rFonts w:cs="Calibri"/>
        </w:rPr>
        <w:t xml:space="preserve"> choose to report on levels of air pollutants </w:t>
      </w:r>
      <w:r>
        <w:rPr>
          <w:rFonts w:cs="Calibri"/>
        </w:rPr>
        <w:t>against</w:t>
      </w:r>
      <w:r w:rsidRPr="00915CDD">
        <w:rPr>
          <w:rFonts w:cs="Calibri"/>
        </w:rPr>
        <w:t xml:space="preserve"> the WHO </w:t>
      </w:r>
      <w:r>
        <w:rPr>
          <w:rFonts w:cs="Calibri"/>
        </w:rPr>
        <w:t>guidelines</w:t>
      </w:r>
      <w:r w:rsidRPr="00915CDD">
        <w:rPr>
          <w:rFonts w:cs="Calibri"/>
        </w:rPr>
        <w:t>, in addition to the N</w:t>
      </w:r>
      <w:r>
        <w:rPr>
          <w:rFonts w:cs="Calibri"/>
        </w:rPr>
        <w:t>ational Environmental Standards</w:t>
      </w:r>
      <w:r w:rsidR="007235D0">
        <w:rPr>
          <w:rFonts w:cs="Calibri"/>
        </w:rPr>
        <w:t xml:space="preserve"> for Air Quality</w:t>
      </w:r>
      <w:r w:rsidRPr="00915CDD">
        <w:rPr>
          <w:rFonts w:cs="Calibri"/>
        </w:rPr>
        <w:t>.</w:t>
      </w:r>
    </w:p>
    <w:p w14:paraId="5A618DF9" w14:textId="58268754" w:rsidR="00037AB1" w:rsidRPr="00037AB1" w:rsidRDefault="00037AB1" w:rsidP="00971A10">
      <w:pPr>
        <w:pStyle w:val="Heading3"/>
        <w:rPr>
          <w:b w:val="0"/>
          <w:bCs w:val="0"/>
        </w:rPr>
      </w:pPr>
      <w:r w:rsidRPr="00971A10">
        <w:t>Revised World Health Organi</w:t>
      </w:r>
      <w:r w:rsidR="006F0EDD">
        <w:t>z</w:t>
      </w:r>
      <w:r w:rsidRPr="00971A10">
        <w:t xml:space="preserve">ation </w:t>
      </w:r>
      <w:r w:rsidR="007235D0" w:rsidRPr="002B0792">
        <w:t>g</w:t>
      </w:r>
      <w:r w:rsidRPr="00653A06">
        <w:t xml:space="preserve">uidelines </w:t>
      </w:r>
      <w:r w:rsidR="007D25E4" w:rsidRPr="00653A06">
        <w:t xml:space="preserve">and updated </w:t>
      </w:r>
      <w:r w:rsidR="00B84B37">
        <w:t xml:space="preserve">modelling </w:t>
      </w:r>
      <w:r w:rsidR="00226F26">
        <w:br/>
      </w:r>
      <w:r w:rsidR="00B84B37">
        <w:t>of health impacts</w:t>
      </w:r>
    </w:p>
    <w:p w14:paraId="32DD93CD" w14:textId="08634B8E" w:rsidR="004338F4" w:rsidRPr="00915CDD" w:rsidRDefault="004338F4" w:rsidP="00FA7718">
      <w:pPr>
        <w:pStyle w:val="BodyText"/>
        <w:spacing w:before="120"/>
      </w:pPr>
      <w:r w:rsidRPr="00915CDD">
        <w:t>During the final production stages of</w:t>
      </w:r>
      <w:r>
        <w:t xml:space="preserve"> </w:t>
      </w:r>
      <w:r w:rsidRPr="0072651D">
        <w:rPr>
          <w:i/>
          <w:iCs/>
        </w:rPr>
        <w:t>Our air 2021</w:t>
      </w:r>
      <w:r w:rsidRPr="00915CDD">
        <w:t>, the WHO released updated</w:t>
      </w:r>
      <w:r>
        <w:t xml:space="preserve"> </w:t>
      </w:r>
      <w:r w:rsidRPr="0072651D">
        <w:t xml:space="preserve">2021 </w:t>
      </w:r>
      <w:r w:rsidR="007235D0">
        <w:t>g</w:t>
      </w:r>
      <w:r w:rsidRPr="0072651D">
        <w:t xml:space="preserve">lobal </w:t>
      </w:r>
      <w:r w:rsidR="007235D0">
        <w:t>a</w:t>
      </w:r>
      <w:r w:rsidRPr="0072651D">
        <w:t xml:space="preserve">ir </w:t>
      </w:r>
      <w:r w:rsidR="007235D0">
        <w:t>q</w:t>
      </w:r>
      <w:r w:rsidRPr="0072651D">
        <w:t xml:space="preserve">uality </w:t>
      </w:r>
      <w:r w:rsidR="007235D0">
        <w:t>g</w:t>
      </w:r>
      <w:r w:rsidRPr="0072651D">
        <w:t>uidelines</w:t>
      </w:r>
      <w:r w:rsidRPr="00915CDD">
        <w:t xml:space="preserve">. This is the first update </w:t>
      </w:r>
      <w:r w:rsidR="00534D03">
        <w:t>in</w:t>
      </w:r>
      <w:r w:rsidRPr="00915CDD">
        <w:t xml:space="preserve"> 16 years, and comes after a systematic review of more</w:t>
      </w:r>
      <w:r>
        <w:t xml:space="preserve"> than</w:t>
      </w:r>
      <w:r w:rsidRPr="00915CDD">
        <w:t xml:space="preserve"> 500 publications by </w:t>
      </w:r>
      <w:r w:rsidR="00241F2B">
        <w:t>experts around the world</w:t>
      </w:r>
      <w:r w:rsidRPr="00915CDD">
        <w:t xml:space="preserve">. </w:t>
      </w:r>
      <w:r w:rsidR="00642204">
        <w:t>I</w:t>
      </w:r>
      <w:r w:rsidRPr="00915CDD">
        <w:t>t builds on the advances in measurement and pollution assessment from a global database as well as epidemiological studies (</w:t>
      </w:r>
      <w:r>
        <w:t>WHO,</w:t>
      </w:r>
      <w:r w:rsidRPr="00915CDD">
        <w:t xml:space="preserve"> 2021).</w:t>
      </w:r>
      <w:r w:rsidR="00ED1266">
        <w:t xml:space="preserve"> I</w:t>
      </w:r>
      <w:r w:rsidR="00ED1266" w:rsidRPr="00C800EE">
        <w:t>n most cases the 2021 WHO guidelines are more stringent than the 2005 guidelines, reflecting the large body of evidence of detrimental effects of key pollutants on human health, even at low levels.</w:t>
      </w:r>
    </w:p>
    <w:p w14:paraId="10B86037" w14:textId="0F3F9EAC" w:rsidR="005E5832" w:rsidRDefault="005E5832" w:rsidP="005E5832">
      <w:pPr>
        <w:spacing w:after="0"/>
        <w:jc w:val="left"/>
        <w:textAlignment w:val="baseline"/>
        <w:rPr>
          <w:rFonts w:cs="Calibri"/>
        </w:rPr>
      </w:pPr>
      <w:r>
        <w:rPr>
          <w:rFonts w:cs="Calibri"/>
        </w:rPr>
        <w:lastRenderedPageBreak/>
        <w:t xml:space="preserve">It was not possible to complete the analytical work against the 2021 guidelines in time for this release. This </w:t>
      </w:r>
      <w:r w:rsidR="0098762F">
        <w:rPr>
          <w:rFonts w:cs="Calibri"/>
        </w:rPr>
        <w:t>preliminary</w:t>
      </w:r>
      <w:r>
        <w:rPr>
          <w:rFonts w:cs="Calibri"/>
        </w:rPr>
        <w:t xml:space="preserve"> release </w:t>
      </w:r>
      <w:r w:rsidRPr="00C800EE">
        <w:rPr>
          <w:rFonts w:cs="Calibri"/>
        </w:rPr>
        <w:t xml:space="preserve">reports on the 2005 WHO </w:t>
      </w:r>
      <w:r>
        <w:rPr>
          <w:rFonts w:cs="Calibri"/>
        </w:rPr>
        <w:t>g</w:t>
      </w:r>
      <w:r w:rsidRPr="00C800EE">
        <w:rPr>
          <w:rFonts w:cs="Calibri"/>
        </w:rPr>
        <w:t>uidelines</w:t>
      </w:r>
      <w:r>
        <w:rPr>
          <w:rFonts w:cs="Calibri"/>
        </w:rPr>
        <w:t xml:space="preserve"> </w:t>
      </w:r>
      <w:r w:rsidR="00EE2850">
        <w:rPr>
          <w:rFonts w:cs="Calibri"/>
        </w:rPr>
        <w:t>as</w:t>
      </w:r>
      <w:r>
        <w:rPr>
          <w:rFonts w:cs="Calibri"/>
        </w:rPr>
        <w:t xml:space="preserve"> </w:t>
      </w:r>
      <w:r w:rsidRPr="00C800EE">
        <w:rPr>
          <w:rFonts w:cs="Calibri"/>
        </w:rPr>
        <w:t>these are currently referenced across New Zealand</w:t>
      </w:r>
      <w:r w:rsidR="004563C6">
        <w:rPr>
          <w:rFonts w:cs="Calibri"/>
        </w:rPr>
        <w:t>,</w:t>
      </w:r>
      <w:r w:rsidRPr="00C800EE">
        <w:rPr>
          <w:rFonts w:cs="Calibri"/>
        </w:rPr>
        <w:t xml:space="preserve"> and </w:t>
      </w:r>
      <w:r w:rsidR="00D011F4">
        <w:rPr>
          <w:rFonts w:cs="Calibri"/>
        </w:rPr>
        <w:t xml:space="preserve">this </w:t>
      </w:r>
      <w:r>
        <w:rPr>
          <w:rFonts w:cs="Calibri"/>
        </w:rPr>
        <w:t>enable</w:t>
      </w:r>
      <w:r w:rsidR="00D011F4">
        <w:rPr>
          <w:rFonts w:cs="Calibri"/>
        </w:rPr>
        <w:t>s</w:t>
      </w:r>
      <w:r w:rsidRPr="00C800EE">
        <w:rPr>
          <w:rFonts w:cs="Calibri"/>
        </w:rPr>
        <w:t xml:space="preserve"> comparability with </w:t>
      </w:r>
      <w:r w:rsidRPr="00FF7F41">
        <w:rPr>
          <w:rFonts w:cs="Calibri"/>
          <w:i/>
        </w:rPr>
        <w:t>Our air 2018</w:t>
      </w:r>
      <w:r w:rsidRPr="00C800EE">
        <w:rPr>
          <w:rFonts w:cs="Calibri"/>
        </w:rPr>
        <w:t xml:space="preserve">. </w:t>
      </w:r>
    </w:p>
    <w:p w14:paraId="65845EFF" w14:textId="3080C2CA" w:rsidR="00602374" w:rsidRPr="00971A10" w:rsidRDefault="000F6500" w:rsidP="00971A10">
      <w:pPr>
        <w:spacing w:after="0"/>
        <w:jc w:val="left"/>
        <w:textAlignment w:val="baseline"/>
        <w:rPr>
          <w:rFonts w:cs="Calibri"/>
        </w:rPr>
      </w:pPr>
      <w:r>
        <w:rPr>
          <w:rFonts w:cs="Calibri"/>
        </w:rPr>
        <w:t>As noted above, u</w:t>
      </w:r>
      <w:r w:rsidR="005E5832">
        <w:rPr>
          <w:rFonts w:cs="Calibri"/>
        </w:rPr>
        <w:t xml:space="preserve">pdated results from </w:t>
      </w:r>
      <w:r w:rsidR="004A330D">
        <w:rPr>
          <w:rFonts w:cs="Calibri"/>
        </w:rPr>
        <w:t xml:space="preserve">the </w:t>
      </w:r>
      <w:r w:rsidR="005E5832">
        <w:rPr>
          <w:rFonts w:cs="Calibri"/>
        </w:rPr>
        <w:t xml:space="preserve">Health and Air Pollution in New Zealand (HAPINZ) model are also underway, </w:t>
      </w:r>
      <w:r>
        <w:rPr>
          <w:rFonts w:cs="Calibri"/>
        </w:rPr>
        <w:t>and</w:t>
      </w:r>
      <w:r w:rsidR="005E5832">
        <w:rPr>
          <w:rFonts w:cs="Calibri"/>
        </w:rPr>
        <w:t xml:space="preserve"> </w:t>
      </w:r>
      <w:r w:rsidR="1672E014" w:rsidRPr="2827F77E">
        <w:rPr>
          <w:rFonts w:cs="Calibri"/>
        </w:rPr>
        <w:t>we expect to receive these early next year (2022)</w:t>
      </w:r>
      <w:r w:rsidR="13DC4E70" w:rsidRPr="2827F77E">
        <w:rPr>
          <w:rFonts w:cs="Calibri"/>
        </w:rPr>
        <w:t>.</w:t>
      </w:r>
      <w:r w:rsidR="005E5832">
        <w:rPr>
          <w:rFonts w:cs="Calibri"/>
        </w:rPr>
        <w:t xml:space="preserve"> </w:t>
      </w:r>
      <w:r>
        <w:rPr>
          <w:rFonts w:cs="Calibri"/>
        </w:rPr>
        <w:t xml:space="preserve">This data will be used to update the indicator </w:t>
      </w:r>
      <w:r w:rsidR="00D947F1">
        <w:rPr>
          <w:rFonts w:cs="Calibri"/>
        </w:rPr>
        <w:t>on h</w:t>
      </w:r>
      <w:r>
        <w:rPr>
          <w:rFonts w:cs="Calibri"/>
        </w:rPr>
        <w:t xml:space="preserve">ealth impacts </w:t>
      </w:r>
      <w:r w:rsidR="001205A0">
        <w:rPr>
          <w:rFonts w:cs="Calibri"/>
        </w:rPr>
        <w:t xml:space="preserve">of </w:t>
      </w:r>
      <w:r w:rsidR="006F4066">
        <w:rPr>
          <w:rFonts w:cs="Calibri"/>
        </w:rPr>
        <w:t>air pollution</w:t>
      </w:r>
      <w:r w:rsidR="001205A0">
        <w:rPr>
          <w:rFonts w:cs="Calibri"/>
        </w:rPr>
        <w:t xml:space="preserve">. </w:t>
      </w:r>
      <w:r w:rsidR="00602374">
        <w:br w:type="page"/>
      </w:r>
    </w:p>
    <w:p w14:paraId="4F35F432" w14:textId="087FB673" w:rsidR="007A2033" w:rsidRDefault="007A2033" w:rsidP="007A2033">
      <w:pPr>
        <w:pStyle w:val="Heading1"/>
      </w:pPr>
      <w:bookmarkStart w:id="3" w:name="_Toc84935038"/>
      <w:r>
        <w:lastRenderedPageBreak/>
        <w:t>Indicator findings</w:t>
      </w:r>
      <w:bookmarkEnd w:id="3"/>
    </w:p>
    <w:p w14:paraId="26871A38" w14:textId="03A6DDA7" w:rsidR="0072651D" w:rsidRPr="00553B87" w:rsidRDefault="0072651D" w:rsidP="0072651D">
      <w:pPr>
        <w:pStyle w:val="BodyText"/>
        <w:rPr>
          <w:color w:val="009DDF"/>
        </w:rPr>
      </w:pPr>
      <w:r w:rsidRPr="00553B87">
        <w:rPr>
          <w:color w:val="009DDF"/>
        </w:rPr>
        <w:t>This section provides a summary of key findings for each of the indicators included in this report: PM</w:t>
      </w:r>
      <w:r w:rsidRPr="00553B87">
        <w:rPr>
          <w:color w:val="009DDF"/>
          <w:vertAlign w:val="subscript"/>
        </w:rPr>
        <w:t>10</w:t>
      </w:r>
      <w:r w:rsidR="0002549B" w:rsidRPr="00553B87">
        <w:rPr>
          <w:color w:val="009DDF"/>
        </w:rPr>
        <w:t xml:space="preserve"> </w:t>
      </w:r>
      <w:r w:rsidRPr="00553B87">
        <w:rPr>
          <w:color w:val="009DDF"/>
        </w:rPr>
        <w:t>concentrations, PM</w:t>
      </w:r>
      <w:r w:rsidRPr="00553B87">
        <w:rPr>
          <w:color w:val="009DDF"/>
          <w:vertAlign w:val="subscript"/>
        </w:rPr>
        <w:t>2.5</w:t>
      </w:r>
      <w:r w:rsidR="0002549B" w:rsidRPr="00553B87">
        <w:rPr>
          <w:color w:val="009DDF"/>
        </w:rPr>
        <w:t xml:space="preserve"> </w:t>
      </w:r>
      <w:r w:rsidRPr="00553B87">
        <w:rPr>
          <w:color w:val="009DDF"/>
        </w:rPr>
        <w:t>concentrations, nitrogen dioxide concentrations,</w:t>
      </w:r>
      <w:r w:rsidR="0002549B" w:rsidRPr="00553B87">
        <w:rPr>
          <w:color w:val="009DDF"/>
        </w:rPr>
        <w:t xml:space="preserve"> </w:t>
      </w:r>
      <w:r w:rsidRPr="00553B87">
        <w:rPr>
          <w:color w:val="009DDF"/>
        </w:rPr>
        <w:t>sulphur</w:t>
      </w:r>
      <w:r w:rsidR="0002549B" w:rsidRPr="00553B87">
        <w:rPr>
          <w:color w:val="009DDF"/>
        </w:rPr>
        <w:t xml:space="preserve"> </w:t>
      </w:r>
      <w:r w:rsidRPr="00553B87">
        <w:rPr>
          <w:color w:val="009DDF"/>
        </w:rPr>
        <w:t>dioxide concentrations, ground-level ozone, carbon monoxide concentrations, air pollutant emissions,</w:t>
      </w:r>
      <w:r w:rsidR="0002549B" w:rsidRPr="00553B87">
        <w:rPr>
          <w:color w:val="009DDF"/>
        </w:rPr>
        <w:t xml:space="preserve"> </w:t>
      </w:r>
      <w:r w:rsidRPr="00553B87">
        <w:rPr>
          <w:color w:val="009DDF"/>
        </w:rPr>
        <w:t>and the health impacts of air pollution.</w:t>
      </w:r>
    </w:p>
    <w:p w14:paraId="3EC6F901" w14:textId="617C6C9A" w:rsidR="000A5945" w:rsidRPr="00B73ABB" w:rsidRDefault="0072651D" w:rsidP="000A5945">
      <w:pPr>
        <w:pStyle w:val="Heading2"/>
      </w:pPr>
      <w:bookmarkStart w:id="4" w:name="_Toc84935039"/>
      <w:r>
        <w:t>Particulate matter</w:t>
      </w:r>
      <w:bookmarkEnd w:id="4"/>
    </w:p>
    <w:p w14:paraId="03609389" w14:textId="77777777" w:rsidR="0072651D" w:rsidRPr="0002549B" w:rsidRDefault="0072651D" w:rsidP="0002549B">
      <w:pPr>
        <w:pStyle w:val="FirstParagraph"/>
        <w:spacing w:before="120" w:after="120" w:line="240" w:lineRule="atLeast"/>
        <w:rPr>
          <w:rFonts w:asciiTheme="minorHAnsi" w:hAnsiTheme="minorHAnsi" w:cstheme="minorHAnsi"/>
        </w:rPr>
      </w:pPr>
      <w:r w:rsidRPr="0002549B">
        <w:rPr>
          <w:rFonts w:asciiTheme="minorHAnsi" w:hAnsiTheme="minorHAnsi" w:cstheme="minorHAnsi"/>
        </w:rPr>
        <w:t>In New Zealand and worldwide, the most significant human health impacts from poor air quality are associated with exposure to particulate matter (PM) (Health Effects Institute, 2018). Particulate matter is a term used for a mixture of solid particles and liquid droplets found in the air (US EPA, 2021). This report refers to two types of particulate matter:</w:t>
      </w:r>
    </w:p>
    <w:p w14:paraId="2B0899B4" w14:textId="1950B2F0" w:rsidR="0072651D" w:rsidRPr="0002549B" w:rsidRDefault="0072651D" w:rsidP="0002549B">
      <w:pPr>
        <w:pStyle w:val="FirstParagraph"/>
        <w:spacing w:before="120" w:after="120" w:line="240" w:lineRule="atLeast"/>
        <w:rPr>
          <w:rFonts w:asciiTheme="minorHAnsi" w:hAnsiTheme="minorHAnsi" w:cstheme="minorHAnsi"/>
        </w:rPr>
      </w:pPr>
      <w:r w:rsidRPr="0002549B">
        <w:rPr>
          <w:rFonts w:asciiTheme="minorHAnsi" w:hAnsiTheme="minorHAnsi" w:cstheme="minorHAnsi"/>
        </w:rPr>
        <w:t>PM</w:t>
      </w:r>
      <w:r w:rsidRPr="0002549B">
        <w:rPr>
          <w:rFonts w:asciiTheme="minorHAnsi" w:hAnsiTheme="minorHAnsi" w:cstheme="minorHAnsi"/>
          <w:vertAlign w:val="subscript"/>
        </w:rPr>
        <w:t>10</w:t>
      </w:r>
      <w:r w:rsidRPr="0002549B">
        <w:rPr>
          <w:rFonts w:asciiTheme="minorHAnsi" w:hAnsiTheme="minorHAnsi" w:cstheme="minorHAnsi"/>
        </w:rPr>
        <w:t>: larger particles (but still small enough that they can be inhaled), generally 10 micrometres or less in diameter.</w:t>
      </w:r>
    </w:p>
    <w:p w14:paraId="0ED140D8" w14:textId="71B1EA18" w:rsidR="0072651D" w:rsidRPr="003B5F56" w:rsidRDefault="0072651D" w:rsidP="0002549B">
      <w:pPr>
        <w:pStyle w:val="FirstParagraph"/>
        <w:spacing w:before="120" w:after="120" w:line="240" w:lineRule="atLeast"/>
        <w:rPr>
          <w:rFonts w:asciiTheme="minorHAnsi" w:hAnsiTheme="minorHAnsi"/>
        </w:rPr>
      </w:pPr>
      <w:r w:rsidRPr="0002549B">
        <w:rPr>
          <w:rFonts w:asciiTheme="minorHAnsi" w:hAnsiTheme="minorHAnsi" w:cstheme="minorHAnsi"/>
        </w:rPr>
        <w:t>PM</w:t>
      </w:r>
      <w:r w:rsidRPr="0002549B">
        <w:rPr>
          <w:rFonts w:asciiTheme="minorHAnsi" w:hAnsiTheme="minorHAnsi" w:cstheme="minorHAnsi"/>
          <w:vertAlign w:val="subscript"/>
        </w:rPr>
        <w:t>2.5</w:t>
      </w:r>
      <w:r w:rsidRPr="0002549B">
        <w:rPr>
          <w:rFonts w:asciiTheme="minorHAnsi" w:hAnsiTheme="minorHAnsi" w:cstheme="minorHAnsi"/>
        </w:rPr>
        <w:t>: finer particles, generally 2.5 micrometres or less in diameter. Because PM</w:t>
      </w:r>
      <w:r w:rsidRPr="0002549B">
        <w:rPr>
          <w:rFonts w:asciiTheme="minorHAnsi" w:hAnsiTheme="minorHAnsi" w:cstheme="minorHAnsi"/>
          <w:vertAlign w:val="subscript"/>
        </w:rPr>
        <w:t>10</w:t>
      </w:r>
      <w:r w:rsidRPr="0002549B">
        <w:rPr>
          <w:rFonts w:asciiTheme="minorHAnsi" w:hAnsiTheme="minorHAnsi" w:cstheme="minorHAnsi"/>
        </w:rPr>
        <w:t xml:space="preserve"> includes particles smaller than 10 micrometres, PM</w:t>
      </w:r>
      <w:r w:rsidRPr="00553B87">
        <w:rPr>
          <w:rFonts w:asciiTheme="minorHAnsi" w:hAnsiTheme="minorHAnsi" w:cstheme="minorHAnsi"/>
          <w:vertAlign w:val="subscript"/>
        </w:rPr>
        <w:t>2.5</w:t>
      </w:r>
      <w:r w:rsidRPr="0002549B">
        <w:rPr>
          <w:rFonts w:asciiTheme="minorHAnsi" w:hAnsiTheme="minorHAnsi" w:cstheme="minorHAnsi"/>
        </w:rPr>
        <w:t xml:space="preserve"> is a subset of PM</w:t>
      </w:r>
      <w:r w:rsidRPr="0002549B">
        <w:rPr>
          <w:rFonts w:asciiTheme="minorHAnsi" w:hAnsiTheme="minorHAnsi" w:cstheme="minorHAnsi"/>
          <w:vertAlign w:val="subscript"/>
        </w:rPr>
        <w:t>10</w:t>
      </w:r>
      <w:r w:rsidR="004D239A" w:rsidRPr="004D239A">
        <w:rPr>
          <w:rFonts w:asciiTheme="minorHAnsi" w:hAnsiTheme="minorHAnsi" w:cstheme="minorHAnsi"/>
        </w:rPr>
        <w:t>.</w:t>
      </w:r>
    </w:p>
    <w:p w14:paraId="6A6952DF" w14:textId="77777777" w:rsidR="008573F9" w:rsidRPr="009C7279" w:rsidRDefault="008573F9" w:rsidP="009C7279">
      <w:pPr>
        <w:pStyle w:val="FirstParagraph"/>
        <w:rPr>
          <w:rFonts w:asciiTheme="minorHAnsi" w:hAnsiTheme="minorHAnsi" w:cstheme="minorHAnsi"/>
        </w:rPr>
      </w:pPr>
      <w:r w:rsidRPr="009C7279">
        <w:rPr>
          <w:rFonts w:asciiTheme="minorHAnsi" w:hAnsiTheme="minorHAnsi" w:cstheme="minorHAnsi"/>
          <w:i/>
          <w:iCs/>
        </w:rPr>
        <w:t xml:space="preserve">Note: Evaluation of data against the 2021 </w:t>
      </w:r>
      <w:r w:rsidR="0032280A">
        <w:rPr>
          <w:rFonts w:asciiTheme="minorHAnsi" w:hAnsiTheme="minorHAnsi" w:cstheme="minorHAnsi"/>
          <w:i/>
          <w:iCs/>
        </w:rPr>
        <w:t>WHO g</w:t>
      </w:r>
      <w:r w:rsidRPr="009C7279">
        <w:rPr>
          <w:rFonts w:asciiTheme="minorHAnsi" w:hAnsiTheme="minorHAnsi" w:cstheme="minorHAnsi"/>
          <w:i/>
          <w:iCs/>
        </w:rPr>
        <w:t>uidelines will be released 10 December 2021</w:t>
      </w:r>
      <w:r>
        <w:rPr>
          <w:rFonts w:asciiTheme="minorHAnsi" w:hAnsiTheme="minorHAnsi" w:cstheme="minorHAnsi"/>
        </w:rPr>
        <w:t xml:space="preserve">. </w:t>
      </w:r>
    </w:p>
    <w:p w14:paraId="396CCE28" w14:textId="3B5C7F53" w:rsidR="0072651D" w:rsidRPr="00B73ABB" w:rsidRDefault="0072651D" w:rsidP="0072651D">
      <w:pPr>
        <w:pStyle w:val="Heading2"/>
      </w:pPr>
      <w:bookmarkStart w:id="5" w:name="_Toc84935040"/>
      <w:r>
        <w:t>PM</w:t>
      </w:r>
      <w:r w:rsidRPr="0072651D">
        <w:rPr>
          <w:vertAlign w:val="subscript"/>
        </w:rPr>
        <w:t>10</w:t>
      </w:r>
      <w:r>
        <w:t xml:space="preserve"> concentrations</w:t>
      </w:r>
      <w:bookmarkEnd w:id="5"/>
    </w:p>
    <w:p w14:paraId="07B038F7" w14:textId="1029E9E3" w:rsidR="0072651D" w:rsidRDefault="0072651D" w:rsidP="0072651D">
      <w:pPr>
        <w:pStyle w:val="Heading3"/>
      </w:pPr>
      <w:r>
        <w:t>Key findings</w:t>
      </w:r>
    </w:p>
    <w:p w14:paraId="663CF8D2" w14:textId="77777777" w:rsidR="0072651D" w:rsidRPr="0072651D" w:rsidRDefault="0072651D" w:rsidP="0072651D">
      <w:pPr>
        <w:pStyle w:val="FirstParagraph"/>
        <w:rPr>
          <w:rFonts w:asciiTheme="minorHAnsi" w:hAnsiTheme="minorHAnsi" w:cstheme="minorHAnsi"/>
        </w:rPr>
      </w:pPr>
      <w:r w:rsidRPr="0072651D">
        <w:rPr>
          <w:rFonts w:asciiTheme="minorHAnsi" w:hAnsiTheme="minorHAnsi" w:cstheme="minorHAnsi"/>
        </w:rPr>
        <w:t>In the four-year period between 2017 and 2020:</w:t>
      </w:r>
    </w:p>
    <w:p w14:paraId="56998F50" w14:textId="790C15F3" w:rsidR="0072651D" w:rsidRPr="0072651D" w:rsidRDefault="0072651D" w:rsidP="0072651D">
      <w:pPr>
        <w:pStyle w:val="Bullet"/>
        <w:rPr>
          <w:rFonts w:asciiTheme="minorHAnsi" w:hAnsiTheme="minorHAnsi" w:cstheme="minorHAnsi"/>
        </w:rPr>
      </w:pPr>
      <w:r w:rsidRPr="0072651D">
        <w:rPr>
          <w:rFonts w:asciiTheme="minorHAnsi" w:hAnsiTheme="minorHAnsi" w:cstheme="minorHAnsi"/>
        </w:rPr>
        <w:t xml:space="preserve">25 of 46 sites (61 percent) </w:t>
      </w:r>
      <w:r w:rsidRPr="0072651D">
        <w:rPr>
          <w:rStyle w:val="normaltextrun"/>
          <w:rFonts w:asciiTheme="minorHAnsi" w:hAnsiTheme="minorHAnsi" w:cstheme="minorHAnsi"/>
          <w:szCs w:val="22"/>
          <w:shd w:val="clear" w:color="auto" w:fill="FFFFFF"/>
        </w:rPr>
        <w:t xml:space="preserve">had at least two exceedances of </w:t>
      </w:r>
      <w:r w:rsidRPr="0072651D">
        <w:rPr>
          <w:rFonts w:asciiTheme="minorHAnsi" w:hAnsiTheme="minorHAnsi" w:cstheme="minorHAnsi"/>
        </w:rPr>
        <w:t>the 24-hour PM</w:t>
      </w:r>
      <w:r w:rsidRPr="0072651D">
        <w:rPr>
          <w:rFonts w:asciiTheme="minorHAnsi" w:hAnsiTheme="minorHAnsi" w:cstheme="minorHAnsi"/>
          <w:vertAlign w:val="subscript"/>
        </w:rPr>
        <w:t>10</w:t>
      </w:r>
      <w:r w:rsidRPr="0072651D">
        <w:rPr>
          <w:rFonts w:asciiTheme="minorHAnsi" w:hAnsiTheme="minorHAnsi" w:cstheme="minorHAnsi"/>
        </w:rPr>
        <w:t xml:space="preserve"> </w:t>
      </w:r>
      <w:hyperlink r:id="rId27" w:history="1">
        <w:r w:rsidRPr="0072651D">
          <w:rPr>
            <w:rFonts w:asciiTheme="minorHAnsi" w:hAnsiTheme="minorHAnsi" w:cstheme="minorHAnsi"/>
          </w:rPr>
          <w:t xml:space="preserve">National Environmental Standards for Air Quality </w:t>
        </w:r>
      </w:hyperlink>
      <w:r w:rsidRPr="0072651D">
        <w:rPr>
          <w:rFonts w:asciiTheme="minorHAnsi" w:hAnsiTheme="minorHAnsi" w:cstheme="minorHAnsi"/>
        </w:rPr>
        <w:t>over a 12-month period. Most exceedances were at sites classified as residential.</w:t>
      </w:r>
    </w:p>
    <w:p w14:paraId="5C1BC1CF" w14:textId="71454728" w:rsidR="0072651D" w:rsidRPr="0072651D" w:rsidRDefault="0072651D" w:rsidP="0072651D">
      <w:pPr>
        <w:pStyle w:val="Bullet"/>
        <w:rPr>
          <w:rFonts w:asciiTheme="minorHAnsi" w:hAnsiTheme="minorHAnsi" w:cstheme="minorHAnsi"/>
        </w:rPr>
      </w:pPr>
      <w:r w:rsidRPr="0072651D">
        <w:rPr>
          <w:rFonts w:asciiTheme="minorHAnsi" w:hAnsiTheme="minorHAnsi" w:cstheme="minorHAnsi"/>
        </w:rPr>
        <w:t xml:space="preserve">Arrowtown (at 30 days), Pomona Street (Invercargill) (12 days), and Anzac Square (Timaru) </w:t>
      </w:r>
      <w:r w:rsidR="009843E9">
        <w:rPr>
          <w:rFonts w:asciiTheme="minorHAnsi" w:hAnsiTheme="minorHAnsi" w:cstheme="minorHAnsi"/>
        </w:rPr>
        <w:br/>
      </w:r>
      <w:r w:rsidRPr="0072651D">
        <w:rPr>
          <w:rFonts w:asciiTheme="minorHAnsi" w:hAnsiTheme="minorHAnsi" w:cstheme="minorHAnsi"/>
        </w:rPr>
        <w:t>(12 days) had the highest number of average daily exceedances of the 24-hour PM</w:t>
      </w:r>
      <w:r w:rsidRPr="0072651D">
        <w:rPr>
          <w:rFonts w:asciiTheme="minorHAnsi" w:hAnsiTheme="minorHAnsi" w:cstheme="minorHAnsi"/>
          <w:vertAlign w:val="subscript"/>
        </w:rPr>
        <w:t>10</w:t>
      </w:r>
      <w:r w:rsidRPr="0072651D">
        <w:rPr>
          <w:rFonts w:asciiTheme="minorHAnsi" w:hAnsiTheme="minorHAnsi" w:cstheme="minorHAnsi"/>
        </w:rPr>
        <w:t xml:space="preserve"> </w:t>
      </w:r>
      <w:r w:rsidR="00B37FB4" w:rsidRPr="00B37FB4">
        <w:rPr>
          <w:rFonts w:asciiTheme="minorHAnsi" w:hAnsiTheme="minorHAnsi" w:cstheme="minorHAnsi"/>
        </w:rPr>
        <w:t>National Environmental Standards for Air Quality</w:t>
      </w:r>
      <w:r w:rsidR="00B37FB4" w:rsidRPr="00B37FB4" w:rsidDel="00B37FB4">
        <w:rPr>
          <w:rFonts w:asciiTheme="minorHAnsi" w:hAnsiTheme="minorHAnsi" w:cstheme="minorHAnsi"/>
        </w:rPr>
        <w:t xml:space="preserve"> </w:t>
      </w:r>
      <w:r w:rsidRPr="0072651D">
        <w:rPr>
          <w:rFonts w:asciiTheme="minorHAnsi" w:hAnsiTheme="minorHAnsi" w:cstheme="minorHAnsi"/>
        </w:rPr>
        <w:t>per year.</w:t>
      </w:r>
    </w:p>
    <w:p w14:paraId="2FE7028F" w14:textId="7EA76031" w:rsidR="0072651D" w:rsidRPr="0072651D" w:rsidRDefault="0072651D" w:rsidP="0072651D">
      <w:pPr>
        <w:pStyle w:val="Bullet"/>
        <w:rPr>
          <w:rFonts w:asciiTheme="minorHAnsi" w:hAnsiTheme="minorHAnsi" w:cstheme="minorHAnsi"/>
        </w:rPr>
      </w:pPr>
      <w:r w:rsidRPr="0072651D">
        <w:rPr>
          <w:rFonts w:asciiTheme="minorHAnsi" w:hAnsiTheme="minorHAnsi" w:cstheme="minorHAnsi"/>
        </w:rPr>
        <w:t xml:space="preserve">The majority (83 percent) of all exceedances recorded over this four-year period were in winter </w:t>
      </w:r>
      <w:r w:rsidRPr="0072651D">
        <w:rPr>
          <w:rStyle w:val="normaltextrun"/>
          <w:rFonts w:asciiTheme="minorHAnsi" w:hAnsiTheme="minorHAnsi" w:cstheme="minorHAnsi"/>
          <w:szCs w:val="22"/>
          <w:shd w:val="clear" w:color="auto" w:fill="FFFFFF"/>
        </w:rPr>
        <w:t>(June, July, August)</w:t>
      </w:r>
      <w:r w:rsidRPr="0072651D">
        <w:rPr>
          <w:rFonts w:asciiTheme="minorHAnsi" w:hAnsiTheme="minorHAnsi" w:cstheme="minorHAnsi"/>
        </w:rPr>
        <w:t xml:space="preserve">. A lesser amount (13 percent) were recorded in autumn </w:t>
      </w:r>
      <w:r w:rsidRPr="0072651D">
        <w:rPr>
          <w:rStyle w:val="normaltextrun"/>
          <w:rFonts w:asciiTheme="minorHAnsi" w:hAnsiTheme="minorHAnsi" w:cstheme="minorHAnsi"/>
          <w:szCs w:val="22"/>
          <w:shd w:val="clear" w:color="auto" w:fill="FFFFFF"/>
        </w:rPr>
        <w:t>(March, April, May)</w:t>
      </w:r>
      <w:r w:rsidRPr="0072651D">
        <w:rPr>
          <w:rFonts w:asciiTheme="minorHAnsi" w:hAnsiTheme="minorHAnsi" w:cstheme="minorHAnsi"/>
        </w:rPr>
        <w:t>.</w:t>
      </w:r>
    </w:p>
    <w:p w14:paraId="4C59F20E" w14:textId="56EA8A11" w:rsidR="0072651D" w:rsidRPr="0072651D" w:rsidRDefault="0072651D" w:rsidP="0072651D">
      <w:pPr>
        <w:pStyle w:val="Bullet"/>
        <w:rPr>
          <w:rFonts w:asciiTheme="minorHAnsi" w:hAnsiTheme="minorHAnsi" w:cstheme="minorHAnsi"/>
        </w:rPr>
      </w:pPr>
      <w:r w:rsidRPr="0072651D">
        <w:rPr>
          <w:rFonts w:asciiTheme="minorHAnsi" w:hAnsiTheme="minorHAnsi" w:cstheme="minorHAnsi"/>
        </w:rPr>
        <w:t>Three sites exceeded the annual average PM</w:t>
      </w:r>
      <w:r w:rsidRPr="0072651D">
        <w:rPr>
          <w:rFonts w:asciiTheme="minorHAnsi" w:hAnsiTheme="minorHAnsi" w:cstheme="minorHAnsi"/>
          <w:vertAlign w:val="subscript"/>
        </w:rPr>
        <w:t>10</w:t>
      </w:r>
      <w:r w:rsidRPr="0072651D">
        <w:rPr>
          <w:rFonts w:asciiTheme="minorHAnsi" w:hAnsiTheme="minorHAnsi" w:cstheme="minorHAnsi"/>
        </w:rPr>
        <w:t xml:space="preserve"> 2005 World Health Organization guideline (20 μg/m</w:t>
      </w:r>
      <w:r w:rsidRPr="0072651D">
        <w:rPr>
          <w:rFonts w:asciiTheme="minorHAnsi" w:hAnsiTheme="minorHAnsi" w:cstheme="minorHAnsi"/>
          <w:vertAlign w:val="superscript"/>
        </w:rPr>
        <w:t>3</w:t>
      </w:r>
      <w:r w:rsidRPr="0072651D">
        <w:rPr>
          <w:rFonts w:asciiTheme="minorHAnsi" w:hAnsiTheme="minorHAnsi" w:cstheme="minorHAnsi"/>
        </w:rPr>
        <w:t>) for air quality at least once over the four-year period. These sites were: Anzac Square (Timaru), Pomona Street (Invercargill), and Arrowtown. Anzac Square (Timaru) had the most exceedances over this period, exceeding the guideline in 2017, 2019, and 2020.</w:t>
      </w:r>
    </w:p>
    <w:p w14:paraId="30B11EC7" w14:textId="77777777" w:rsidR="0072651D" w:rsidRPr="0072651D" w:rsidRDefault="0072651D" w:rsidP="0072651D">
      <w:pPr>
        <w:pStyle w:val="FirstParagraph"/>
        <w:rPr>
          <w:rFonts w:asciiTheme="minorHAnsi" w:hAnsiTheme="minorHAnsi" w:cstheme="minorHAnsi"/>
        </w:rPr>
      </w:pPr>
      <w:r w:rsidRPr="0072651D">
        <w:rPr>
          <w:rFonts w:asciiTheme="minorHAnsi" w:hAnsiTheme="minorHAnsi" w:cstheme="minorHAnsi"/>
        </w:rPr>
        <w:t>For the 36 sites that were analysed for trends during the 10-year period between 2011 and 2020:</w:t>
      </w:r>
    </w:p>
    <w:p w14:paraId="4F1A8ED9" w14:textId="77777777" w:rsidR="0072651D" w:rsidRPr="0072651D" w:rsidRDefault="0072651D" w:rsidP="0072651D">
      <w:pPr>
        <w:pStyle w:val="Bullet"/>
        <w:tabs>
          <w:tab w:val="left" w:pos="397"/>
        </w:tabs>
        <w:rPr>
          <w:rStyle w:val="normaltextrun"/>
          <w:rFonts w:asciiTheme="minorHAnsi" w:hAnsiTheme="minorHAnsi" w:cstheme="minorHAnsi"/>
          <w:szCs w:val="22"/>
          <w:shd w:val="clear" w:color="auto" w:fill="FFFFFF"/>
        </w:rPr>
      </w:pPr>
      <w:r w:rsidRPr="0072651D">
        <w:rPr>
          <w:rStyle w:val="normaltextrun"/>
          <w:rFonts w:asciiTheme="minorHAnsi" w:hAnsiTheme="minorHAnsi" w:cstheme="minorHAnsi"/>
          <w:szCs w:val="22"/>
          <w:shd w:val="clear" w:color="auto" w:fill="FFFFFF"/>
        </w:rPr>
        <w:t>72 percent were improving (26 of 36) and 8 percent were worsening (3 of 36). No trend could be determined at 19 percent of sites (7 of 36).</w:t>
      </w:r>
    </w:p>
    <w:p w14:paraId="68461CC6" w14:textId="3C77A631" w:rsidR="0072651D" w:rsidRDefault="0072651D" w:rsidP="0072651D">
      <w:pPr>
        <w:pStyle w:val="Heading3"/>
      </w:pPr>
      <w:r>
        <w:t>Find out more</w:t>
      </w:r>
    </w:p>
    <w:p w14:paraId="552F8063" w14:textId="01DBEDBF" w:rsidR="0072651D" w:rsidRPr="0002549B" w:rsidRDefault="009F7BD9" w:rsidP="0072651D">
      <w:pPr>
        <w:pStyle w:val="BodyText"/>
        <w:rPr>
          <w:color w:val="009DDF"/>
        </w:rPr>
      </w:pPr>
      <w:hyperlink r:id="rId28" w:history="1">
        <w:r w:rsidR="0072651D" w:rsidRPr="00553B87">
          <w:rPr>
            <w:rStyle w:val="Hyperlink"/>
          </w:rPr>
          <w:t>Stats NZ PM</w:t>
        </w:r>
        <w:r w:rsidR="0072651D" w:rsidRPr="00553B87">
          <w:rPr>
            <w:rStyle w:val="Hyperlink"/>
            <w:vertAlign w:val="subscript"/>
          </w:rPr>
          <w:t>10</w:t>
        </w:r>
        <w:r w:rsidR="0072651D" w:rsidRPr="00553B87">
          <w:rPr>
            <w:rStyle w:val="Hyperlink"/>
          </w:rPr>
          <w:t xml:space="preserve"> concentrations web page</w:t>
        </w:r>
      </w:hyperlink>
    </w:p>
    <w:p w14:paraId="690570FA" w14:textId="30F50E84" w:rsidR="0072651D" w:rsidRPr="00B73ABB" w:rsidRDefault="0002549B" w:rsidP="0072651D">
      <w:pPr>
        <w:pStyle w:val="Heading2"/>
      </w:pPr>
      <w:bookmarkStart w:id="6" w:name="_Toc84935041"/>
      <w:r>
        <w:lastRenderedPageBreak/>
        <w:t>PM</w:t>
      </w:r>
      <w:r w:rsidRPr="0002549B">
        <w:rPr>
          <w:vertAlign w:val="subscript"/>
        </w:rPr>
        <w:t>2.5</w:t>
      </w:r>
      <w:r>
        <w:t xml:space="preserve"> concentrations</w:t>
      </w:r>
      <w:bookmarkEnd w:id="6"/>
    </w:p>
    <w:p w14:paraId="7F16AFFC" w14:textId="56F3ED46" w:rsidR="0072651D" w:rsidRDefault="0002549B" w:rsidP="0072651D">
      <w:pPr>
        <w:pStyle w:val="Heading3"/>
      </w:pPr>
      <w:r>
        <w:t>Key findings</w:t>
      </w:r>
    </w:p>
    <w:p w14:paraId="45AA924F" w14:textId="77777777" w:rsidR="0002549B" w:rsidRPr="0002549B" w:rsidRDefault="0002549B" w:rsidP="0002549B">
      <w:pPr>
        <w:pStyle w:val="FirstParagraph"/>
        <w:rPr>
          <w:rFonts w:asciiTheme="minorHAnsi" w:hAnsiTheme="minorHAnsi" w:cstheme="minorHAnsi"/>
        </w:rPr>
      </w:pPr>
      <w:r w:rsidRPr="0002549B">
        <w:rPr>
          <w:rFonts w:asciiTheme="minorHAnsi" w:hAnsiTheme="minorHAnsi" w:cstheme="minorHAnsi"/>
        </w:rPr>
        <w:t>In terms of short-term exposure in the four-year period between 2017 and 2020:</w:t>
      </w:r>
    </w:p>
    <w:p w14:paraId="3BBBC135" w14:textId="09C7B0DC" w:rsidR="0002549B" w:rsidRPr="0002549B" w:rsidRDefault="0002549B" w:rsidP="0002549B">
      <w:pPr>
        <w:pStyle w:val="Bullet"/>
        <w:rPr>
          <w:rFonts w:asciiTheme="minorHAnsi" w:hAnsiTheme="minorHAnsi" w:cstheme="minorHAnsi"/>
        </w:rPr>
      </w:pPr>
      <w:r w:rsidRPr="0002549B">
        <w:rPr>
          <w:rFonts w:asciiTheme="minorHAnsi" w:hAnsiTheme="minorHAnsi" w:cstheme="minorHAnsi"/>
        </w:rPr>
        <w:t>84 percent of sites (16 of 19) were greater than the PM</w:t>
      </w:r>
      <w:r w:rsidRPr="0002549B">
        <w:rPr>
          <w:rFonts w:asciiTheme="minorHAnsi" w:hAnsiTheme="minorHAnsi" w:cstheme="minorHAnsi"/>
          <w:vertAlign w:val="subscript"/>
        </w:rPr>
        <w:t>2.5</w:t>
      </w:r>
      <w:r w:rsidRPr="0002549B">
        <w:rPr>
          <w:rFonts w:asciiTheme="minorHAnsi" w:hAnsiTheme="minorHAnsi" w:cstheme="minorHAnsi"/>
        </w:rPr>
        <w:t xml:space="preserve"> 2005 World Health Organization </w:t>
      </w:r>
      <w:r w:rsidR="009843E9">
        <w:rPr>
          <w:rFonts w:asciiTheme="minorHAnsi" w:hAnsiTheme="minorHAnsi" w:cstheme="minorHAnsi"/>
        </w:rPr>
        <w:br/>
      </w:r>
      <w:r w:rsidRPr="0002549B">
        <w:rPr>
          <w:rFonts w:asciiTheme="minorHAnsi" w:hAnsiTheme="minorHAnsi" w:cstheme="minorHAnsi"/>
        </w:rPr>
        <w:t>24-hour average guideline. Most measurements above the World Health Organization guideline were at sites classified as residential.</w:t>
      </w:r>
    </w:p>
    <w:p w14:paraId="2CEFE64C" w14:textId="4CD8ADFB" w:rsidR="0002549B" w:rsidRPr="0002549B" w:rsidRDefault="0002549B" w:rsidP="0002549B">
      <w:pPr>
        <w:pStyle w:val="Bullet"/>
        <w:rPr>
          <w:rFonts w:asciiTheme="minorHAnsi" w:hAnsiTheme="minorHAnsi" w:cstheme="minorHAnsi"/>
        </w:rPr>
      </w:pPr>
      <w:r w:rsidRPr="0002549B">
        <w:rPr>
          <w:rFonts w:asciiTheme="minorHAnsi" w:hAnsiTheme="minorHAnsi" w:cstheme="minorHAnsi"/>
        </w:rPr>
        <w:t xml:space="preserve">Blenheim Bowling Club (at 52 days), Masterton East (36 days), and Anzac Square (Timaru) </w:t>
      </w:r>
      <w:r w:rsidR="009843E9">
        <w:rPr>
          <w:rFonts w:asciiTheme="minorHAnsi" w:hAnsiTheme="minorHAnsi" w:cstheme="minorHAnsi"/>
        </w:rPr>
        <w:br/>
      </w:r>
      <w:r w:rsidRPr="0002549B">
        <w:rPr>
          <w:rFonts w:asciiTheme="minorHAnsi" w:hAnsiTheme="minorHAnsi" w:cstheme="minorHAnsi"/>
        </w:rPr>
        <w:t>(31 days) recorded the highest number of average daily exceedances of the 2005 World Health Organization 24-hour average guideline per year.</w:t>
      </w:r>
    </w:p>
    <w:p w14:paraId="0A62B57F" w14:textId="77777777" w:rsidR="0002549B" w:rsidRPr="0002549B" w:rsidRDefault="0002549B" w:rsidP="0002549B">
      <w:pPr>
        <w:pStyle w:val="Bullet"/>
        <w:rPr>
          <w:rFonts w:asciiTheme="minorHAnsi" w:hAnsiTheme="minorHAnsi" w:cstheme="minorHAnsi"/>
        </w:rPr>
      </w:pPr>
      <w:r w:rsidRPr="0002549B">
        <w:rPr>
          <w:rFonts w:asciiTheme="minorHAnsi" w:hAnsiTheme="minorHAnsi" w:cstheme="minorHAnsi"/>
        </w:rPr>
        <w:t>The majority (82 percent) of all exceedances recorded over this period occurred in winter (June, July, August). Seventeen percent were recorded in autumn (March, April, May).</w:t>
      </w:r>
    </w:p>
    <w:p w14:paraId="07D99258" w14:textId="77777777" w:rsidR="0002549B" w:rsidRPr="0002549B" w:rsidRDefault="0002549B" w:rsidP="0002549B">
      <w:pPr>
        <w:pStyle w:val="FirstParagraph"/>
        <w:rPr>
          <w:rFonts w:asciiTheme="minorHAnsi" w:hAnsiTheme="minorHAnsi" w:cstheme="minorHAnsi"/>
        </w:rPr>
      </w:pPr>
      <w:r w:rsidRPr="0002549B">
        <w:rPr>
          <w:rFonts w:asciiTheme="minorHAnsi" w:hAnsiTheme="minorHAnsi" w:cstheme="minorHAnsi"/>
        </w:rPr>
        <w:t>In terms of long-term exposure in the four-year period between 2017 and 2020:</w:t>
      </w:r>
    </w:p>
    <w:p w14:paraId="40CFFF34" w14:textId="343279C0" w:rsidR="0002549B" w:rsidRPr="0002549B" w:rsidRDefault="0002549B" w:rsidP="0002549B">
      <w:pPr>
        <w:pStyle w:val="Bullet"/>
        <w:rPr>
          <w:rFonts w:asciiTheme="minorHAnsi" w:hAnsiTheme="minorHAnsi" w:cstheme="minorHAnsi"/>
        </w:rPr>
      </w:pPr>
      <w:r w:rsidRPr="0002549B">
        <w:rPr>
          <w:rFonts w:asciiTheme="minorHAnsi" w:hAnsiTheme="minorHAnsi" w:cstheme="minorHAnsi"/>
        </w:rPr>
        <w:t>Seven sites had at least one exceedance for the annual mean PM</w:t>
      </w:r>
      <w:r w:rsidRPr="0002549B">
        <w:rPr>
          <w:rFonts w:asciiTheme="minorHAnsi" w:hAnsiTheme="minorHAnsi" w:cstheme="minorHAnsi"/>
          <w:vertAlign w:val="subscript"/>
        </w:rPr>
        <w:t>2.5</w:t>
      </w:r>
      <w:r w:rsidRPr="0002549B">
        <w:rPr>
          <w:rFonts w:asciiTheme="minorHAnsi" w:hAnsiTheme="minorHAnsi" w:cstheme="minorHAnsi"/>
        </w:rPr>
        <w:t xml:space="preserve"> 2005 World Health Organization guideline of 10 µg/m</w:t>
      </w:r>
      <w:r w:rsidRPr="0002549B">
        <w:rPr>
          <w:rFonts w:asciiTheme="minorHAnsi" w:hAnsiTheme="minorHAnsi" w:cstheme="minorHAnsi"/>
          <w:vertAlign w:val="superscript"/>
        </w:rPr>
        <w:t>3</w:t>
      </w:r>
      <w:r w:rsidRPr="0002549B">
        <w:rPr>
          <w:rFonts w:asciiTheme="minorHAnsi" w:hAnsiTheme="minorHAnsi" w:cstheme="minorHAnsi"/>
        </w:rPr>
        <w:t xml:space="preserve"> for air quality. These were Blenheim Bowling Club, Geraldine, Kaiapoi, Masterton East, Masterton West, Rotorua at Edmund Rd, and Anzac Square (Timaru). At four exceedances, Blenheim Bowling Club had the most exceedances over this four-year period, in 2017, 2018, 2019, and 2020.</w:t>
      </w:r>
    </w:p>
    <w:p w14:paraId="067E4171" w14:textId="77777777" w:rsidR="0002549B" w:rsidRPr="0002549B" w:rsidRDefault="0002549B" w:rsidP="0002549B">
      <w:pPr>
        <w:pStyle w:val="FirstParagraph"/>
        <w:rPr>
          <w:rFonts w:asciiTheme="minorHAnsi" w:hAnsiTheme="minorHAnsi" w:cstheme="minorHAnsi"/>
        </w:rPr>
      </w:pPr>
      <w:r w:rsidRPr="0002549B">
        <w:rPr>
          <w:rFonts w:asciiTheme="minorHAnsi" w:hAnsiTheme="minorHAnsi" w:cstheme="minorHAnsi"/>
        </w:rPr>
        <w:t>For the eight sites that were analysed for trends in the 10-year period between 2011 and 2020:</w:t>
      </w:r>
    </w:p>
    <w:p w14:paraId="55381D45" w14:textId="048EACC0" w:rsidR="0002549B" w:rsidRPr="003B3D34" w:rsidRDefault="0002549B" w:rsidP="000212A3">
      <w:pPr>
        <w:pStyle w:val="Bullet"/>
        <w:rPr>
          <w:rFonts w:asciiTheme="minorHAnsi" w:hAnsiTheme="minorHAnsi" w:cstheme="minorHAnsi"/>
        </w:rPr>
      </w:pPr>
      <w:r w:rsidRPr="0002549B">
        <w:rPr>
          <w:rFonts w:asciiTheme="minorHAnsi" w:hAnsiTheme="minorHAnsi" w:cstheme="minorHAnsi"/>
        </w:rPr>
        <w:t>PM</w:t>
      </w:r>
      <w:r w:rsidRPr="0002549B">
        <w:rPr>
          <w:rFonts w:asciiTheme="minorHAnsi" w:hAnsiTheme="minorHAnsi" w:cstheme="minorHAnsi"/>
          <w:vertAlign w:val="subscript"/>
        </w:rPr>
        <w:t>2.5</w:t>
      </w:r>
      <w:r w:rsidRPr="0002549B">
        <w:rPr>
          <w:rFonts w:asciiTheme="minorHAnsi" w:hAnsiTheme="minorHAnsi" w:cstheme="minorHAnsi"/>
        </w:rPr>
        <w:t xml:space="preserve"> concentrations improved at four sites (50 percent), worsened at one site (12 percent), and trends were indeterminate at three sites (38 </w:t>
      </w:r>
      <w:r w:rsidRPr="0002549B">
        <w:t>percent).</w:t>
      </w:r>
    </w:p>
    <w:p w14:paraId="21626979" w14:textId="4D2A498A" w:rsidR="00460F4F" w:rsidRDefault="00460F4F" w:rsidP="00690489">
      <w:pPr>
        <w:pStyle w:val="Heading3"/>
      </w:pPr>
      <w:r>
        <w:t>Find out more</w:t>
      </w:r>
    </w:p>
    <w:p w14:paraId="577503B9" w14:textId="77777777" w:rsidR="00460F4F" w:rsidRPr="00460F4F" w:rsidRDefault="00460F4F" w:rsidP="007C0290">
      <w:pPr>
        <w:pStyle w:val="BodyText"/>
        <w:rPr>
          <w:rStyle w:val="Hyperlink"/>
        </w:rPr>
      </w:pPr>
      <w:r w:rsidRPr="00460F4F">
        <w:rPr>
          <w:rFonts w:eastAsiaTheme="minorHAnsi"/>
          <w:szCs w:val="24"/>
        </w:rPr>
        <w:fldChar w:fldCharType="begin"/>
      </w:r>
      <w:r w:rsidRPr="00460F4F">
        <w:rPr>
          <w:color w:val="009DDF"/>
        </w:rPr>
        <w:instrText xml:space="preserve"> HYPERLINK "https://www.stats.govt.nz/indicators/pm2-5-concentrations" </w:instrText>
      </w:r>
      <w:r w:rsidRPr="00460F4F">
        <w:rPr>
          <w:rFonts w:eastAsiaTheme="minorHAnsi"/>
          <w:color w:val="009DDF"/>
          <w:szCs w:val="24"/>
        </w:rPr>
        <w:fldChar w:fldCharType="separate"/>
      </w:r>
      <w:r w:rsidRPr="00460F4F">
        <w:rPr>
          <w:rStyle w:val="Hyperlink"/>
        </w:rPr>
        <w:t>Stats NZ PM</w:t>
      </w:r>
      <w:r w:rsidRPr="00460F4F">
        <w:rPr>
          <w:rStyle w:val="Hyperlink"/>
          <w:vertAlign w:val="subscript"/>
        </w:rPr>
        <w:t>2.5</w:t>
      </w:r>
      <w:r w:rsidRPr="00460F4F">
        <w:rPr>
          <w:rStyle w:val="Hyperlink"/>
        </w:rPr>
        <w:t xml:space="preserve"> concentrations web page </w:t>
      </w:r>
    </w:p>
    <w:p w14:paraId="47FEC6F7" w14:textId="77777777" w:rsidR="003B3D34" w:rsidRDefault="00460F4F" w:rsidP="007C0290">
      <w:pPr>
        <w:pStyle w:val="BodyText"/>
      </w:pPr>
      <w:r w:rsidRPr="00460F4F">
        <w:fldChar w:fldCharType="end"/>
      </w:r>
    </w:p>
    <w:p w14:paraId="27C6B95D" w14:textId="77777777" w:rsidR="007C0290" w:rsidRDefault="007C0290">
      <w:pPr>
        <w:spacing w:before="0" w:after="0" w:line="240" w:lineRule="auto"/>
        <w:jc w:val="left"/>
      </w:pPr>
      <w:r>
        <w:br w:type="page"/>
      </w:r>
    </w:p>
    <w:p w14:paraId="3E9E3E9B" w14:textId="31F1E40E" w:rsidR="0002549B" w:rsidRPr="00B73ABB" w:rsidRDefault="0002549B" w:rsidP="00EE2850">
      <w:pPr>
        <w:pStyle w:val="Heading2"/>
      </w:pPr>
      <w:bookmarkStart w:id="7" w:name="_Toc84935042"/>
      <w:r>
        <w:lastRenderedPageBreak/>
        <w:t>Nitrogen dioxide concentrations</w:t>
      </w:r>
      <w:bookmarkEnd w:id="7"/>
    </w:p>
    <w:p w14:paraId="00CD8230" w14:textId="77777777" w:rsidR="0002549B" w:rsidRPr="0002549B" w:rsidRDefault="0002549B" w:rsidP="007A5681">
      <w:pPr>
        <w:pStyle w:val="BodyText"/>
        <w:spacing w:before="180"/>
      </w:pPr>
      <w:r w:rsidRPr="0002549B">
        <w:t>Nitrogen dioxide (NO</w:t>
      </w:r>
      <w:r w:rsidRPr="0002549B">
        <w:rPr>
          <w:vertAlign w:val="subscript"/>
        </w:rPr>
        <w:t>2</w:t>
      </w:r>
      <w:r w:rsidRPr="0002549B">
        <w:t xml:space="preserve">) is a gas primarily generated by burning fossil fuels, mainly by motor vehicles (particularly diesel vehicles), but also from industrial emissions and home heating. </w:t>
      </w:r>
    </w:p>
    <w:p w14:paraId="67081339" w14:textId="77777777" w:rsidR="0002549B" w:rsidRPr="0002549B" w:rsidRDefault="0002549B" w:rsidP="007A5681">
      <w:pPr>
        <w:pStyle w:val="BodyText"/>
      </w:pPr>
      <w:r w:rsidRPr="0002549B">
        <w:t xml:space="preserve">There are health impacts from short-term and long-term exposure to nitrogen dioxide. Short-term exposure to high concentrations of nitrogen dioxide causes inflammation of the airways and respiratory problems, and can cause asthma attacks (US EPA, 2016). Short-term exposure may also trigger heart attacks and increase the risk of premature death (US EPA, 2016). Long-term exposure may cause asthma to develop and lead to decreased lung development in children. It may also increase the risk of certain forms of cancer and premature death (US EPA, 2016). </w:t>
      </w:r>
    </w:p>
    <w:p w14:paraId="3E1FA711" w14:textId="77777777" w:rsidR="008573F9" w:rsidRPr="0002549B" w:rsidRDefault="008573F9" w:rsidP="009C7279">
      <w:pPr>
        <w:pStyle w:val="FirstParagraph"/>
        <w:rPr>
          <w:rFonts w:asciiTheme="minorHAnsi" w:hAnsiTheme="minorHAnsi" w:cstheme="minorHAnsi"/>
        </w:rPr>
      </w:pPr>
      <w:r w:rsidRPr="009C7279">
        <w:rPr>
          <w:rFonts w:asciiTheme="minorHAnsi" w:hAnsiTheme="minorHAnsi" w:cstheme="minorHAnsi"/>
          <w:i/>
          <w:iCs/>
        </w:rPr>
        <w:t xml:space="preserve">Note: Evaluation of data against the 2021 WHO </w:t>
      </w:r>
      <w:r w:rsidR="0032280A">
        <w:rPr>
          <w:rFonts w:asciiTheme="minorHAnsi" w:hAnsiTheme="minorHAnsi" w:cstheme="minorHAnsi"/>
          <w:i/>
          <w:iCs/>
        </w:rPr>
        <w:t>g</w:t>
      </w:r>
      <w:r w:rsidRPr="009C7279">
        <w:rPr>
          <w:rFonts w:asciiTheme="minorHAnsi" w:hAnsiTheme="minorHAnsi" w:cstheme="minorHAnsi"/>
          <w:i/>
          <w:iCs/>
        </w:rPr>
        <w:t>uidelines will be released 10 December 2021</w:t>
      </w:r>
      <w:r>
        <w:rPr>
          <w:rFonts w:asciiTheme="minorHAnsi" w:hAnsiTheme="minorHAnsi" w:cstheme="minorHAnsi"/>
        </w:rPr>
        <w:t xml:space="preserve">. </w:t>
      </w:r>
    </w:p>
    <w:p w14:paraId="0ECEFC26" w14:textId="66BD3750" w:rsidR="0002549B" w:rsidRDefault="0002549B" w:rsidP="0002549B">
      <w:pPr>
        <w:pStyle w:val="Heading3"/>
      </w:pPr>
      <w:r>
        <w:t>Key findings</w:t>
      </w:r>
    </w:p>
    <w:p w14:paraId="0BC59032" w14:textId="77777777" w:rsidR="0002549B" w:rsidRPr="0002549B" w:rsidRDefault="0002549B" w:rsidP="0002549B">
      <w:pPr>
        <w:pStyle w:val="FirstParagraph"/>
        <w:rPr>
          <w:rFonts w:asciiTheme="minorHAnsi" w:hAnsiTheme="minorHAnsi" w:cstheme="minorHAnsi"/>
        </w:rPr>
      </w:pPr>
      <w:bookmarkStart w:id="8" w:name="summary-1"/>
      <w:r w:rsidRPr="0002549B">
        <w:rPr>
          <w:rFonts w:asciiTheme="minorHAnsi" w:hAnsiTheme="minorHAnsi" w:cstheme="minorHAnsi"/>
        </w:rPr>
        <w:t>In terms of short-term exposure in the four-year period between 2017 and 2020:</w:t>
      </w:r>
    </w:p>
    <w:p w14:paraId="35397F18" w14:textId="01F8F743" w:rsidR="0002549B" w:rsidRPr="0002549B" w:rsidRDefault="0002549B" w:rsidP="009F7F9F">
      <w:pPr>
        <w:pStyle w:val="Bullet"/>
        <w:rPr>
          <w:rFonts w:asciiTheme="minorHAnsi" w:hAnsiTheme="minorHAnsi" w:cstheme="minorHAnsi"/>
        </w:rPr>
      </w:pPr>
      <w:r w:rsidRPr="009F7F9F">
        <w:rPr>
          <w:rFonts w:asciiTheme="minorHAnsi" w:hAnsiTheme="minorHAnsi" w:cstheme="minorHAnsi"/>
        </w:rPr>
        <w:t>No site exceeded the National Environmental Standards for Air Quality short-term standard of 200 μg/m</w:t>
      </w:r>
      <w:r w:rsidRPr="0002549B">
        <w:rPr>
          <w:rFonts w:asciiTheme="minorHAnsi" w:hAnsiTheme="minorHAnsi" w:cstheme="minorHAnsi"/>
          <w:vertAlign w:val="superscript"/>
        </w:rPr>
        <w:t>3</w:t>
      </w:r>
      <w:r w:rsidRPr="0002549B">
        <w:rPr>
          <w:rFonts w:asciiTheme="minorHAnsi" w:hAnsiTheme="minorHAnsi" w:cstheme="minorHAnsi"/>
        </w:rPr>
        <w:t xml:space="preserve"> average over 1-hour. </w:t>
      </w:r>
    </w:p>
    <w:bookmarkEnd w:id="8"/>
    <w:p w14:paraId="5CB35A5B" w14:textId="77777777" w:rsidR="0002549B" w:rsidRPr="0002549B" w:rsidRDefault="0002549B" w:rsidP="0002549B">
      <w:pPr>
        <w:pStyle w:val="FirstParagraph"/>
        <w:rPr>
          <w:rFonts w:asciiTheme="minorHAnsi" w:hAnsiTheme="minorHAnsi" w:cstheme="minorHAnsi"/>
        </w:rPr>
      </w:pPr>
      <w:r w:rsidRPr="0002549B">
        <w:rPr>
          <w:rFonts w:asciiTheme="minorHAnsi" w:hAnsiTheme="minorHAnsi" w:cstheme="minorHAnsi"/>
        </w:rPr>
        <w:t>In terms of long-term exposure in the four-year period between 2017 and 2020:</w:t>
      </w:r>
    </w:p>
    <w:p w14:paraId="679E3CFB" w14:textId="3A7D6589" w:rsidR="0002549B" w:rsidRPr="009F7F9F" w:rsidRDefault="0002549B" w:rsidP="009F7F9F">
      <w:pPr>
        <w:pStyle w:val="Bullet"/>
        <w:rPr>
          <w:rFonts w:asciiTheme="minorHAnsi" w:hAnsiTheme="minorHAnsi" w:cstheme="minorBidi"/>
        </w:rPr>
      </w:pPr>
      <w:r w:rsidRPr="2827F77E">
        <w:rPr>
          <w:rFonts w:asciiTheme="minorHAnsi" w:hAnsiTheme="minorHAnsi" w:cstheme="minorBidi"/>
        </w:rPr>
        <w:t xml:space="preserve">Queen Street </w:t>
      </w:r>
      <w:r w:rsidR="01614A32" w:rsidRPr="2827F77E">
        <w:rPr>
          <w:rFonts w:asciiTheme="minorHAnsi" w:hAnsiTheme="minorHAnsi" w:cstheme="minorBidi"/>
        </w:rPr>
        <w:t>(Auckland)</w:t>
      </w:r>
      <w:r w:rsidR="1488F710" w:rsidRPr="2827F77E">
        <w:rPr>
          <w:rFonts w:asciiTheme="minorHAnsi" w:hAnsiTheme="minorHAnsi" w:cstheme="minorBidi"/>
        </w:rPr>
        <w:t xml:space="preserve"> </w:t>
      </w:r>
      <w:r w:rsidRPr="2827F77E">
        <w:rPr>
          <w:rFonts w:asciiTheme="minorHAnsi" w:hAnsiTheme="minorHAnsi" w:cstheme="minorBidi"/>
        </w:rPr>
        <w:t>exceeded the 2005 WHO annual guideline</w:t>
      </w:r>
      <w:r w:rsidRPr="2827F77E" w:rsidDel="00970F59">
        <w:rPr>
          <w:rFonts w:asciiTheme="minorHAnsi" w:hAnsiTheme="minorHAnsi" w:cstheme="minorBidi"/>
        </w:rPr>
        <w:t xml:space="preserve"> </w:t>
      </w:r>
      <w:r w:rsidRPr="2827F77E">
        <w:rPr>
          <w:rFonts w:asciiTheme="minorHAnsi" w:hAnsiTheme="minorHAnsi" w:cstheme="minorBidi"/>
        </w:rPr>
        <w:t>in 2017 (43.9 µg/m</w:t>
      </w:r>
      <w:r w:rsidRPr="2827F77E">
        <w:rPr>
          <w:rFonts w:asciiTheme="minorHAnsi" w:hAnsiTheme="minorHAnsi" w:cstheme="minorBidi"/>
          <w:vertAlign w:val="superscript"/>
        </w:rPr>
        <w:t>3</w:t>
      </w:r>
      <w:r w:rsidRPr="2827F77E">
        <w:rPr>
          <w:rFonts w:asciiTheme="minorHAnsi" w:hAnsiTheme="minorHAnsi" w:cstheme="minorBidi"/>
        </w:rPr>
        <w:t>) and 2018 (43.9 µg/m</w:t>
      </w:r>
      <w:r w:rsidRPr="2827F77E">
        <w:rPr>
          <w:rFonts w:asciiTheme="minorHAnsi" w:hAnsiTheme="minorHAnsi" w:cstheme="minorBidi"/>
          <w:vertAlign w:val="superscript"/>
        </w:rPr>
        <w:t>3</w:t>
      </w:r>
      <w:r w:rsidRPr="2827F77E">
        <w:rPr>
          <w:rFonts w:asciiTheme="minorHAnsi" w:hAnsiTheme="minorHAnsi" w:cstheme="minorBidi"/>
        </w:rPr>
        <w:t>).</w:t>
      </w:r>
    </w:p>
    <w:p w14:paraId="3C9666EA" w14:textId="77777777" w:rsidR="0002549B" w:rsidRPr="009F7F9F" w:rsidRDefault="0002549B" w:rsidP="009F7F9F">
      <w:pPr>
        <w:pStyle w:val="Bullet"/>
        <w:rPr>
          <w:rFonts w:asciiTheme="minorHAnsi" w:hAnsiTheme="minorHAnsi" w:cstheme="minorHAnsi"/>
        </w:rPr>
      </w:pPr>
      <w:r w:rsidRPr="009F7F9F">
        <w:rPr>
          <w:rFonts w:asciiTheme="minorHAnsi" w:hAnsiTheme="minorHAnsi" w:cstheme="minorHAnsi"/>
        </w:rPr>
        <w:t>Queen Street (Auckland) recorded the highest concentration of nitrogen dioxide (41.5 µg/m</w:t>
      </w:r>
      <w:r w:rsidRPr="009F7F9F">
        <w:rPr>
          <w:rFonts w:asciiTheme="minorHAnsi" w:hAnsiTheme="minorHAnsi" w:cstheme="minorHAnsi"/>
          <w:vertAlign w:val="superscript"/>
        </w:rPr>
        <w:t>3</w:t>
      </w:r>
      <w:r w:rsidRPr="009F7F9F">
        <w:rPr>
          <w:rFonts w:asciiTheme="minorHAnsi" w:hAnsiTheme="minorHAnsi" w:cstheme="minorHAnsi"/>
        </w:rPr>
        <w:t>) averaged over 2017–20. Riccarton Road (Christchurch) recorded the second highest concentration (29.9 µg/m</w:t>
      </w:r>
      <w:r w:rsidRPr="009F7F9F">
        <w:rPr>
          <w:rFonts w:asciiTheme="minorHAnsi" w:hAnsiTheme="minorHAnsi" w:cstheme="minorHAnsi"/>
          <w:vertAlign w:val="superscript"/>
        </w:rPr>
        <w:t>3</w:t>
      </w:r>
      <w:r w:rsidRPr="009F7F9F">
        <w:rPr>
          <w:rFonts w:asciiTheme="minorHAnsi" w:hAnsiTheme="minorHAnsi" w:cstheme="minorHAnsi"/>
        </w:rPr>
        <w:t>).</w:t>
      </w:r>
    </w:p>
    <w:p w14:paraId="70F6F0E7" w14:textId="77777777" w:rsidR="0002549B" w:rsidRPr="009F7F9F" w:rsidRDefault="0002549B" w:rsidP="009F7F9F">
      <w:pPr>
        <w:pStyle w:val="Bullet"/>
        <w:rPr>
          <w:rFonts w:asciiTheme="minorHAnsi" w:hAnsiTheme="minorHAnsi" w:cstheme="minorHAnsi"/>
        </w:rPr>
      </w:pPr>
      <w:r w:rsidRPr="009F7F9F">
        <w:rPr>
          <w:rFonts w:asciiTheme="minorHAnsi" w:hAnsiTheme="minorHAnsi" w:cstheme="minorHAnsi"/>
        </w:rPr>
        <w:t>Nitrogen dioxide concentrations at monitored sites were highest in winter (June, July, August).</w:t>
      </w:r>
    </w:p>
    <w:p w14:paraId="1B354BD8" w14:textId="77777777" w:rsidR="0002549B" w:rsidRPr="0002549B" w:rsidRDefault="0002549B" w:rsidP="0002549B">
      <w:pPr>
        <w:pStyle w:val="FirstParagraph"/>
        <w:rPr>
          <w:rFonts w:asciiTheme="minorHAnsi" w:hAnsiTheme="minorHAnsi" w:cstheme="minorHAnsi"/>
        </w:rPr>
      </w:pPr>
      <w:r w:rsidRPr="0002549B">
        <w:rPr>
          <w:rFonts w:asciiTheme="minorHAnsi" w:hAnsiTheme="minorHAnsi" w:cstheme="minorHAnsi"/>
        </w:rPr>
        <w:t>Ten-year trends between 2011 and 2020 (Waka Kotahi NZ Transport Agency sites):</w:t>
      </w:r>
    </w:p>
    <w:p w14:paraId="66AB6A58" w14:textId="77777777" w:rsidR="0002549B" w:rsidRPr="0002549B" w:rsidRDefault="0002549B" w:rsidP="009F7F9F">
      <w:pPr>
        <w:pStyle w:val="Bullet"/>
        <w:rPr>
          <w:rFonts w:asciiTheme="minorHAnsi" w:hAnsiTheme="minorHAnsi" w:cstheme="minorHAnsi"/>
        </w:rPr>
      </w:pPr>
      <w:r w:rsidRPr="009F7F9F">
        <w:rPr>
          <w:rFonts w:asciiTheme="minorHAnsi" w:hAnsiTheme="minorHAnsi" w:cstheme="minorHAnsi"/>
        </w:rPr>
        <w:t>Two-thirds of sites (72 of 110) had improving trends while 4 percent (4 of 110) were worsening. No trend could be determined for 31 percent of sites (34 of 110).</w:t>
      </w:r>
    </w:p>
    <w:p w14:paraId="19AF59D4" w14:textId="5900EF29" w:rsidR="0002549B" w:rsidRDefault="0002549B" w:rsidP="0002549B">
      <w:pPr>
        <w:pStyle w:val="Heading3"/>
      </w:pPr>
      <w:r>
        <w:t>Find out more</w:t>
      </w:r>
    </w:p>
    <w:p w14:paraId="62E45337" w14:textId="71E9A992" w:rsidR="0002549B" w:rsidRPr="000D4120" w:rsidRDefault="009F7BD9" w:rsidP="000D4120">
      <w:pPr>
        <w:pStyle w:val="BodyText"/>
        <w:rPr>
          <w:color w:val="009DDF"/>
        </w:rPr>
      </w:pPr>
      <w:hyperlink r:id="rId29" w:history="1">
        <w:r w:rsidR="0002549B" w:rsidRPr="00A758E3">
          <w:rPr>
            <w:rStyle w:val="Hyperlink"/>
          </w:rPr>
          <w:t>Stats NZ Nitrogen dioxide concentrations web page</w:t>
        </w:r>
      </w:hyperlink>
      <w:r w:rsidR="0002549B">
        <w:br w:type="page"/>
      </w:r>
    </w:p>
    <w:p w14:paraId="50295680" w14:textId="77777777" w:rsidR="00460F4F" w:rsidRPr="001B69D7" w:rsidRDefault="00460F4F" w:rsidP="00460F4F">
      <w:pPr>
        <w:pStyle w:val="Heading2"/>
      </w:pPr>
      <w:bookmarkStart w:id="9" w:name="X5852898a7070eff261914df5080be15346de79c"/>
      <w:bookmarkStart w:id="10" w:name="_Toc83825121"/>
      <w:bookmarkStart w:id="11" w:name="_Toc84935043"/>
      <w:r w:rsidRPr="001B69D7">
        <w:lastRenderedPageBreak/>
        <w:t>Sulphur dioxide</w:t>
      </w:r>
      <w:bookmarkEnd w:id="9"/>
      <w:r>
        <w:t xml:space="preserve"> concentrations</w:t>
      </w:r>
      <w:bookmarkEnd w:id="10"/>
      <w:bookmarkEnd w:id="11"/>
    </w:p>
    <w:p w14:paraId="46C8810C" w14:textId="77777777" w:rsidR="00460F4F" w:rsidRDefault="00460F4F" w:rsidP="007A5681">
      <w:pPr>
        <w:pStyle w:val="BodyText"/>
        <w:spacing w:before="180"/>
      </w:pPr>
      <w:r w:rsidRPr="00082331">
        <w:t>Sulphur dioxide (</w:t>
      </w:r>
      <w:r w:rsidRPr="00082331">
        <w:rPr>
          <w:bCs/>
        </w:rPr>
        <w:t>SO</w:t>
      </w:r>
      <w:r w:rsidRPr="00082331">
        <w:rPr>
          <w:bCs/>
          <w:vertAlign w:val="subscript"/>
        </w:rPr>
        <w:t>2</w:t>
      </w:r>
      <w:r w:rsidRPr="00082331">
        <w:rPr>
          <w:bCs/>
        </w:rPr>
        <w:t>)</w:t>
      </w:r>
      <w:r w:rsidRPr="00082331">
        <w:t xml:space="preserve"> is </w:t>
      </w:r>
      <w:r w:rsidRPr="00082331">
        <w:rPr>
          <w:lang w:eastAsia="en-NZ"/>
        </w:rPr>
        <w:t>a colourless gas with a sharp, irritating odour. It is</w:t>
      </w:r>
      <w:r w:rsidRPr="00082331">
        <w:t xml:space="preserve"> associated with combustion of fossil fuels (such as coal, diesel</w:t>
      </w:r>
      <w:r>
        <w:t>,</w:t>
      </w:r>
      <w:r w:rsidRPr="00082331">
        <w:t xml:space="preserve"> and heavy fuel oil used in maritime vessels) and industrial processes (such as the production of fertili</w:t>
      </w:r>
      <w:r>
        <w:t>s</w:t>
      </w:r>
      <w:r w:rsidRPr="00082331">
        <w:t xml:space="preserve">ers and the smelting of mineral ores containing sulphur). </w:t>
      </w:r>
    </w:p>
    <w:p w14:paraId="150B8BF8" w14:textId="77777777" w:rsidR="00460F4F" w:rsidRDefault="00460F4F" w:rsidP="00460F4F">
      <w:pPr>
        <w:pStyle w:val="BodyText"/>
      </w:pPr>
      <w:r>
        <w:rPr>
          <w:rStyle w:val="normaltextrun"/>
          <w:rFonts w:ascii="Calibri" w:hAnsi="Calibri" w:cs="Calibri"/>
          <w:shd w:val="clear" w:color="auto" w:fill="FFFFFF"/>
        </w:rPr>
        <w:t>At high levels, s</w:t>
      </w:r>
      <w:r w:rsidRPr="001B69D7">
        <w:rPr>
          <w:rStyle w:val="normaltextrun"/>
          <w:rFonts w:ascii="Calibri" w:hAnsi="Calibri" w:cs="Calibri"/>
          <w:shd w:val="clear" w:color="auto" w:fill="FFFFFF"/>
        </w:rPr>
        <w:t>ulphur dioxide</w:t>
      </w:r>
      <w:r>
        <w:rPr>
          <w:rStyle w:val="normaltextrun"/>
          <w:rFonts w:ascii="Calibri" w:hAnsi="Calibri" w:cs="Calibri"/>
          <w:shd w:val="clear" w:color="auto" w:fill="FFFFFF"/>
        </w:rPr>
        <w:t xml:space="preserve"> can have human health and ecological impacts.</w:t>
      </w:r>
      <w:r w:rsidRPr="001B69D7">
        <w:rPr>
          <w:rStyle w:val="normaltextrun"/>
          <w:rFonts w:ascii="Calibri" w:hAnsi="Calibri" w:cs="Calibri"/>
          <w:shd w:val="clear" w:color="auto" w:fill="FFFFFF"/>
        </w:rPr>
        <w:t xml:space="preserve"> </w:t>
      </w:r>
      <w:r>
        <w:t xml:space="preserve">When inhaled, sulphur dioxide is associated with respiratory problems such as bronchitis. It can aggravate the symptoms of asthma and chronic lung disease and cause irritation to eyes. In ecosystems, it can damage vegetation, acidify </w:t>
      </w:r>
      <w:r w:rsidRPr="00BB7FC0">
        <w:t>water and soil (US EPA, 2017), and affect biodiversity</w:t>
      </w:r>
      <w:r>
        <w:t>.</w:t>
      </w:r>
    </w:p>
    <w:p w14:paraId="7395FEA9" w14:textId="77777777" w:rsidR="008573F9" w:rsidRPr="00C613A5" w:rsidRDefault="008573F9" w:rsidP="00C613A5">
      <w:pPr>
        <w:pStyle w:val="FirstParagraph"/>
        <w:rPr>
          <w:i/>
          <w:iCs/>
        </w:rPr>
      </w:pPr>
      <w:r w:rsidRPr="00C613A5">
        <w:rPr>
          <w:rFonts w:asciiTheme="minorHAnsi" w:hAnsiTheme="minorHAnsi" w:cstheme="minorHAnsi"/>
          <w:i/>
          <w:iCs/>
        </w:rPr>
        <w:t xml:space="preserve">Note: Evaluation of data against the 2021 WHO </w:t>
      </w:r>
      <w:r w:rsidR="005325EC">
        <w:rPr>
          <w:rFonts w:asciiTheme="minorHAnsi" w:hAnsiTheme="minorHAnsi" w:cstheme="minorHAnsi"/>
          <w:i/>
          <w:iCs/>
        </w:rPr>
        <w:t>g</w:t>
      </w:r>
      <w:r w:rsidRPr="00C613A5">
        <w:rPr>
          <w:rFonts w:asciiTheme="minorHAnsi" w:hAnsiTheme="minorHAnsi" w:cstheme="minorHAnsi"/>
          <w:i/>
          <w:iCs/>
        </w:rPr>
        <w:t xml:space="preserve">uidelines will be released 10 December 2021. </w:t>
      </w:r>
    </w:p>
    <w:p w14:paraId="1CDE5716" w14:textId="10E915F6" w:rsidR="0002549B" w:rsidRDefault="00460F4F" w:rsidP="0002549B">
      <w:pPr>
        <w:pStyle w:val="Heading3"/>
      </w:pPr>
      <w:r>
        <w:t>Key findings</w:t>
      </w:r>
    </w:p>
    <w:p w14:paraId="50A08013" w14:textId="77777777" w:rsidR="00460F4F" w:rsidRPr="00460F4F" w:rsidRDefault="00460F4F" w:rsidP="00460F4F">
      <w:pPr>
        <w:pStyle w:val="FirstParagraph"/>
        <w:rPr>
          <w:rFonts w:asciiTheme="minorHAnsi" w:hAnsiTheme="minorHAnsi" w:cstheme="minorHAnsi"/>
        </w:rPr>
      </w:pPr>
      <w:r w:rsidRPr="00460F4F">
        <w:rPr>
          <w:rFonts w:asciiTheme="minorHAnsi" w:hAnsiTheme="minorHAnsi" w:cstheme="minorHAnsi"/>
        </w:rPr>
        <w:t xml:space="preserve">In the four-year period between 2017 and 2020: </w:t>
      </w:r>
    </w:p>
    <w:p w14:paraId="385E3CA2" w14:textId="3FFE273D" w:rsidR="00460F4F" w:rsidRPr="00460F4F" w:rsidRDefault="00460F4F" w:rsidP="007A5681">
      <w:pPr>
        <w:pStyle w:val="Bullet"/>
        <w:rPr>
          <w:rFonts w:asciiTheme="minorHAnsi" w:hAnsiTheme="minorHAnsi" w:cstheme="minorHAnsi"/>
        </w:rPr>
      </w:pPr>
      <w:r w:rsidRPr="00460F4F">
        <w:rPr>
          <w:rFonts w:asciiTheme="minorHAnsi" w:hAnsiTheme="minorHAnsi" w:cstheme="minorHAnsi"/>
        </w:rPr>
        <w:t xml:space="preserve">No sites exceeded the short-term sulphur dioxide one-hour </w:t>
      </w:r>
      <w:r w:rsidR="00EE3FB2" w:rsidRPr="00EE3FB2">
        <w:rPr>
          <w:rFonts w:asciiTheme="minorHAnsi" w:hAnsiTheme="minorHAnsi" w:cstheme="minorHAnsi"/>
        </w:rPr>
        <w:t>National Environmental Standards for Air Quality</w:t>
      </w:r>
      <w:r w:rsidR="00EE3FB2" w:rsidRPr="00EE3FB2" w:rsidDel="00EE3FB2">
        <w:rPr>
          <w:rFonts w:asciiTheme="minorHAnsi" w:hAnsiTheme="minorHAnsi" w:cstheme="minorHAnsi"/>
        </w:rPr>
        <w:t xml:space="preserve"> </w:t>
      </w:r>
      <w:r w:rsidRPr="00460F4F">
        <w:rPr>
          <w:rFonts w:asciiTheme="minorHAnsi" w:hAnsiTheme="minorHAnsi" w:cstheme="minorHAnsi"/>
        </w:rPr>
        <w:t>lower threshold of 350 µg/m</w:t>
      </w:r>
      <w:r w:rsidRPr="00460F4F">
        <w:rPr>
          <w:rFonts w:asciiTheme="minorHAnsi" w:hAnsiTheme="minorHAnsi" w:cstheme="minorHAnsi"/>
          <w:vertAlign w:val="superscript"/>
        </w:rPr>
        <w:t>3</w:t>
      </w:r>
      <w:r w:rsidRPr="00460F4F">
        <w:rPr>
          <w:rFonts w:asciiTheme="minorHAnsi" w:hAnsiTheme="minorHAnsi" w:cstheme="minorHAnsi"/>
        </w:rPr>
        <w:t xml:space="preserve"> or the upper threshold of 570 µg/m</w:t>
      </w:r>
      <w:r w:rsidRPr="00460F4F">
        <w:rPr>
          <w:rFonts w:asciiTheme="minorHAnsi" w:hAnsiTheme="minorHAnsi" w:cstheme="minorHAnsi"/>
          <w:vertAlign w:val="superscript"/>
        </w:rPr>
        <w:t>3</w:t>
      </w:r>
      <w:r w:rsidRPr="00460F4F">
        <w:rPr>
          <w:rFonts w:asciiTheme="minorHAnsi" w:hAnsiTheme="minorHAnsi" w:cstheme="minorHAnsi"/>
        </w:rPr>
        <w:t>.</w:t>
      </w:r>
    </w:p>
    <w:p w14:paraId="1248E3A1" w14:textId="14341E23" w:rsidR="00460F4F" w:rsidRPr="00460F4F" w:rsidRDefault="00460F4F" w:rsidP="007A5681">
      <w:pPr>
        <w:pStyle w:val="Bullet"/>
        <w:rPr>
          <w:rFonts w:asciiTheme="minorHAnsi" w:hAnsiTheme="minorHAnsi" w:cstheme="minorHAnsi"/>
        </w:rPr>
      </w:pPr>
      <w:r w:rsidRPr="00460F4F">
        <w:rPr>
          <w:rFonts w:asciiTheme="minorHAnsi" w:hAnsiTheme="minorHAnsi" w:cstheme="minorHAnsi"/>
        </w:rPr>
        <w:t>Four sites out of seven (57 percent) exceeded the 24-hour sulphur dioxide 2005 World Health Organization guideline threshold of 20 µg/m</w:t>
      </w:r>
      <w:r w:rsidRPr="00553B87">
        <w:rPr>
          <w:rFonts w:asciiTheme="minorHAnsi" w:hAnsiTheme="minorHAnsi" w:cstheme="minorHAnsi"/>
          <w:vertAlign w:val="superscript"/>
        </w:rPr>
        <w:t>3</w:t>
      </w:r>
      <w:r w:rsidRPr="00460F4F">
        <w:rPr>
          <w:rFonts w:asciiTheme="minorHAnsi" w:hAnsiTheme="minorHAnsi" w:cstheme="minorHAnsi"/>
        </w:rPr>
        <w:t xml:space="preserve">. Totara St, Whareroa Marae, and Tauranga Bridge Marina (all in Mount Maunganui), had the highest average daily exceedances of the 24-hour </w:t>
      </w:r>
      <w:r w:rsidR="004607B4">
        <w:rPr>
          <w:rFonts w:asciiTheme="minorHAnsi" w:hAnsiTheme="minorHAnsi" w:cstheme="minorHAnsi"/>
        </w:rPr>
        <w:t xml:space="preserve">2005 </w:t>
      </w:r>
      <w:r w:rsidR="00EE3FB2">
        <w:rPr>
          <w:rFonts w:asciiTheme="minorHAnsi" w:hAnsiTheme="minorHAnsi" w:cstheme="minorHAnsi"/>
        </w:rPr>
        <w:t>World Health Organization</w:t>
      </w:r>
      <w:r w:rsidR="00EE3FB2" w:rsidRPr="00460F4F">
        <w:rPr>
          <w:rFonts w:asciiTheme="minorHAnsi" w:hAnsiTheme="minorHAnsi" w:cstheme="minorHAnsi"/>
        </w:rPr>
        <w:t xml:space="preserve"> </w:t>
      </w:r>
      <w:r w:rsidRPr="00460F4F">
        <w:rPr>
          <w:rFonts w:asciiTheme="minorHAnsi" w:hAnsiTheme="minorHAnsi" w:cstheme="minorHAnsi"/>
        </w:rPr>
        <w:t>short-term guideline over this period (81, 40, and 16 average exceedances per year respectively).</w:t>
      </w:r>
    </w:p>
    <w:p w14:paraId="115143A0" w14:textId="2E74E96D" w:rsidR="00460F4F" w:rsidRPr="00460F4F" w:rsidRDefault="00460F4F" w:rsidP="007A5681">
      <w:pPr>
        <w:pStyle w:val="Bullet"/>
        <w:rPr>
          <w:rFonts w:asciiTheme="minorHAnsi" w:hAnsiTheme="minorHAnsi" w:cstheme="minorHAnsi"/>
        </w:rPr>
      </w:pPr>
      <w:r w:rsidRPr="00460F4F">
        <w:rPr>
          <w:rFonts w:asciiTheme="minorHAnsi" w:hAnsiTheme="minorHAnsi" w:cstheme="minorHAnsi"/>
        </w:rPr>
        <w:t xml:space="preserve">Of all exceedances of the 2005 </w:t>
      </w:r>
      <w:r w:rsidR="00EE3FB2">
        <w:rPr>
          <w:rFonts w:asciiTheme="minorHAnsi" w:hAnsiTheme="minorHAnsi" w:cstheme="minorHAnsi"/>
        </w:rPr>
        <w:t>World health Organization</w:t>
      </w:r>
      <w:r w:rsidR="00EE3FB2" w:rsidRPr="00460F4F">
        <w:rPr>
          <w:rFonts w:asciiTheme="minorHAnsi" w:hAnsiTheme="minorHAnsi" w:cstheme="minorHAnsi"/>
        </w:rPr>
        <w:t xml:space="preserve"> </w:t>
      </w:r>
      <w:r w:rsidRPr="00460F4F">
        <w:rPr>
          <w:rFonts w:asciiTheme="minorHAnsi" w:hAnsiTheme="minorHAnsi" w:cstheme="minorHAnsi"/>
        </w:rPr>
        <w:t>24-hour guideline recorded over this period, 32 percent were in summer (December, January, February) and 30 percent were recorded in spring (September, October, November).</w:t>
      </w:r>
    </w:p>
    <w:p w14:paraId="759C0413" w14:textId="77777777" w:rsidR="00460F4F" w:rsidRPr="00460F4F" w:rsidRDefault="00460F4F" w:rsidP="006460D5">
      <w:pPr>
        <w:pStyle w:val="FirstParagraph"/>
        <w:spacing w:before="120" w:after="120"/>
        <w:rPr>
          <w:rFonts w:asciiTheme="minorHAnsi" w:hAnsiTheme="minorHAnsi" w:cstheme="minorHAnsi"/>
        </w:rPr>
      </w:pPr>
      <w:r w:rsidRPr="00460F4F">
        <w:rPr>
          <w:rFonts w:asciiTheme="minorHAnsi" w:hAnsiTheme="minorHAnsi" w:cstheme="minorHAnsi"/>
        </w:rPr>
        <w:t>Ten-year trends between 2011 and 2020:</w:t>
      </w:r>
    </w:p>
    <w:p w14:paraId="38C3E7EB" w14:textId="68009B32" w:rsidR="00460F4F" w:rsidRPr="00015E4C" w:rsidRDefault="00460F4F" w:rsidP="007A5681">
      <w:pPr>
        <w:pStyle w:val="Bullet"/>
        <w:rPr>
          <w:rFonts w:asciiTheme="minorHAnsi" w:hAnsiTheme="minorHAnsi" w:cstheme="minorHAnsi"/>
        </w:rPr>
      </w:pPr>
      <w:r w:rsidRPr="00460F4F">
        <w:rPr>
          <w:rFonts w:asciiTheme="minorHAnsi" w:hAnsiTheme="minorHAnsi" w:cstheme="minorHAnsi"/>
        </w:rPr>
        <w:t xml:space="preserve">At </w:t>
      </w:r>
      <w:r w:rsidR="008335E5">
        <w:rPr>
          <w:rFonts w:asciiTheme="minorHAnsi" w:hAnsiTheme="minorHAnsi" w:cstheme="minorHAnsi"/>
        </w:rPr>
        <w:t>five</w:t>
      </w:r>
      <w:r w:rsidRPr="00460F4F">
        <w:rPr>
          <w:rFonts w:asciiTheme="minorHAnsi" w:hAnsiTheme="minorHAnsi" w:cstheme="minorHAnsi"/>
        </w:rPr>
        <w:t xml:space="preserve"> of </w:t>
      </w:r>
      <w:r w:rsidR="008335E5">
        <w:rPr>
          <w:rFonts w:asciiTheme="minorHAnsi" w:hAnsiTheme="minorHAnsi" w:cstheme="minorHAnsi"/>
        </w:rPr>
        <w:t>six</w:t>
      </w:r>
      <w:r w:rsidRPr="00460F4F">
        <w:rPr>
          <w:rFonts w:asciiTheme="minorHAnsi" w:hAnsiTheme="minorHAnsi" w:cstheme="minorHAnsi"/>
        </w:rPr>
        <w:t xml:space="preserve"> sites (83 percent) annual trends were improving. </w:t>
      </w:r>
    </w:p>
    <w:p w14:paraId="0A3082A2" w14:textId="3CB317F0" w:rsidR="00460F4F" w:rsidRDefault="00460F4F" w:rsidP="00460F4F">
      <w:pPr>
        <w:pStyle w:val="Heading3"/>
      </w:pPr>
      <w:bookmarkStart w:id="12" w:name="find-out-more-information-2"/>
      <w:r>
        <w:t>Find out more</w:t>
      </w:r>
      <w:bookmarkEnd w:id="12"/>
    </w:p>
    <w:p w14:paraId="2CD2C335" w14:textId="021047D0" w:rsidR="0002549B" w:rsidRPr="00460F4F" w:rsidRDefault="009F7BD9" w:rsidP="00460F4F">
      <w:pPr>
        <w:pStyle w:val="BodyText"/>
        <w:rPr>
          <w:color w:val="009DDF"/>
        </w:rPr>
      </w:pPr>
      <w:hyperlink r:id="rId30" w:history="1">
        <w:r w:rsidR="00460F4F" w:rsidRPr="00460F4F">
          <w:rPr>
            <w:rStyle w:val="Hyperlink"/>
          </w:rPr>
          <w:t>Stats NZ Sulphur dioxide concentrations web page</w:t>
        </w:r>
      </w:hyperlink>
    </w:p>
    <w:p w14:paraId="2C979EB9" w14:textId="77777777" w:rsidR="0002549B" w:rsidRPr="000A5945" w:rsidRDefault="0002549B" w:rsidP="0002549B">
      <w:pPr>
        <w:pStyle w:val="BodyText"/>
      </w:pPr>
    </w:p>
    <w:p w14:paraId="479A049E" w14:textId="77777777" w:rsidR="00460F4F" w:rsidRPr="005876AA" w:rsidRDefault="00460F4F" w:rsidP="005876AA">
      <w:pPr>
        <w:pStyle w:val="BodyText"/>
      </w:pPr>
      <w:r w:rsidRPr="005876AA">
        <w:br w:type="page"/>
      </w:r>
    </w:p>
    <w:p w14:paraId="7388EFE6" w14:textId="0E6EDBC5" w:rsidR="00460F4F" w:rsidRDefault="00460F4F" w:rsidP="00460F4F">
      <w:pPr>
        <w:pStyle w:val="Heading2"/>
      </w:pPr>
      <w:bookmarkStart w:id="13" w:name="_Toc83825123"/>
      <w:bookmarkStart w:id="14" w:name="_Toc84935044"/>
      <w:r w:rsidRPr="006B21F3">
        <w:rPr>
          <w:rStyle w:val="normaltextrun"/>
        </w:rPr>
        <w:lastRenderedPageBreak/>
        <w:t>Ground-level ozone</w:t>
      </w:r>
      <w:bookmarkEnd w:id="13"/>
      <w:bookmarkEnd w:id="14"/>
    </w:p>
    <w:p w14:paraId="6551969C" w14:textId="77777777" w:rsidR="008335E5" w:rsidRDefault="00460F4F" w:rsidP="007A5681">
      <w:pPr>
        <w:pStyle w:val="BodyText"/>
        <w:spacing w:before="180"/>
      </w:pPr>
      <w:r>
        <w:t>Ozone (O</w:t>
      </w:r>
      <w:r w:rsidRPr="00460F4F">
        <w:rPr>
          <w:vertAlign w:val="subscript"/>
        </w:rPr>
        <w:t>3</w:t>
      </w:r>
      <w:r>
        <w:t xml:space="preserve">) is a gas found naturally in the atmosphere. However, when it occurs at ground level, it is a pollutant generated by human activity and can have harmful effects. </w:t>
      </w:r>
    </w:p>
    <w:p w14:paraId="14A76C9A" w14:textId="2CEB98CC" w:rsidR="00460F4F" w:rsidRPr="00B620F0" w:rsidRDefault="00460F4F" w:rsidP="00460F4F">
      <w:pPr>
        <w:pStyle w:val="BodyText"/>
      </w:pPr>
      <w:r>
        <w:t xml:space="preserve">Exposure to high concentrations of ground-level ozone can cause respiratory health issues and is linked to cardiovascular health problems and increased mortality. Those most at risk include people with asthma, children, older adults, and people who are active outdoors, such as outdoor workers. </w:t>
      </w:r>
      <w:r w:rsidRPr="00460F4F">
        <w:t>Exposure to ground-level ozone may also be associated with nervous system, reproductive, and developmental effects (WHO, 2013). High levels of ground-level ozone can also have harmful ecological effects: it can damage vegetation, reduce plant growth (affecting crop and forest yields), and harm sensitive ecosystems (US EPA, 2013).</w:t>
      </w:r>
    </w:p>
    <w:p w14:paraId="192BFAE0" w14:textId="77777777" w:rsidR="008573F9" w:rsidRPr="00595F07" w:rsidRDefault="008573F9" w:rsidP="00C613A5">
      <w:pPr>
        <w:pStyle w:val="FirstParagraph"/>
      </w:pPr>
      <w:r w:rsidRPr="00C613A5">
        <w:rPr>
          <w:rFonts w:asciiTheme="minorHAnsi" w:hAnsiTheme="minorHAnsi" w:cstheme="minorHAnsi"/>
          <w:i/>
          <w:iCs/>
        </w:rPr>
        <w:t>Note: Evaluation of data against the 2021 WHO</w:t>
      </w:r>
      <w:r w:rsidRPr="00C94534">
        <w:rPr>
          <w:rFonts w:asciiTheme="minorHAnsi" w:hAnsiTheme="minorHAnsi" w:cstheme="minorHAnsi"/>
          <w:i/>
          <w:iCs/>
        </w:rPr>
        <w:t xml:space="preserve"> </w:t>
      </w:r>
      <w:r w:rsidR="005325EC" w:rsidRPr="000A1AE7">
        <w:rPr>
          <w:rFonts w:asciiTheme="minorHAnsi" w:hAnsiTheme="minorHAnsi" w:cstheme="minorHAnsi"/>
          <w:i/>
          <w:iCs/>
        </w:rPr>
        <w:t>g</w:t>
      </w:r>
      <w:r w:rsidRPr="00D20209">
        <w:rPr>
          <w:rFonts w:asciiTheme="minorHAnsi" w:eastAsia="Times New Roman" w:hAnsiTheme="minorHAnsi" w:cstheme="minorHAnsi"/>
          <w:i/>
          <w:szCs w:val="22"/>
        </w:rPr>
        <w:t>uidelines will be released 10 December 2021</w:t>
      </w:r>
      <w:r w:rsidRPr="00D20209">
        <w:rPr>
          <w:rFonts w:asciiTheme="minorHAnsi" w:hAnsiTheme="minorHAnsi" w:cstheme="minorHAnsi"/>
          <w:i/>
        </w:rPr>
        <w:t>.</w:t>
      </w:r>
      <w:r>
        <w:rPr>
          <w:rFonts w:asciiTheme="minorHAnsi" w:hAnsiTheme="minorHAnsi" w:cstheme="minorHAnsi"/>
        </w:rPr>
        <w:t xml:space="preserve"> </w:t>
      </w:r>
    </w:p>
    <w:p w14:paraId="51240CF2" w14:textId="26D8054A" w:rsidR="0002549B" w:rsidRDefault="00460F4F" w:rsidP="0002549B">
      <w:pPr>
        <w:pStyle w:val="Heading3"/>
      </w:pPr>
      <w:r>
        <w:t>Key findings</w:t>
      </w:r>
    </w:p>
    <w:p w14:paraId="62EBF3C5" w14:textId="77777777" w:rsidR="00460F4F" w:rsidRPr="00460F4F" w:rsidRDefault="00460F4F" w:rsidP="00460F4F">
      <w:pPr>
        <w:pStyle w:val="FirstParagraph"/>
        <w:rPr>
          <w:rFonts w:asciiTheme="minorHAnsi" w:hAnsiTheme="minorHAnsi" w:cstheme="minorHAnsi"/>
        </w:rPr>
      </w:pPr>
      <w:r w:rsidRPr="00460F4F">
        <w:rPr>
          <w:rFonts w:asciiTheme="minorHAnsi" w:hAnsiTheme="minorHAnsi" w:cstheme="minorHAnsi"/>
        </w:rPr>
        <w:t>In the four-year period between 2017 and 2020:</w:t>
      </w:r>
    </w:p>
    <w:p w14:paraId="10F3ADC0" w14:textId="0682DCFA" w:rsidR="00460F4F" w:rsidRPr="00460F4F" w:rsidRDefault="00460F4F" w:rsidP="007A5681">
      <w:pPr>
        <w:pStyle w:val="Bullet"/>
        <w:rPr>
          <w:rFonts w:asciiTheme="minorHAnsi" w:hAnsiTheme="minorHAnsi" w:cstheme="minorHAnsi"/>
        </w:rPr>
      </w:pPr>
      <w:r w:rsidRPr="00460F4F">
        <w:rPr>
          <w:rFonts w:asciiTheme="minorHAnsi" w:hAnsiTheme="minorHAnsi" w:cstheme="minorHAnsi"/>
        </w:rPr>
        <w:t>Neither of the two monitored sites, Patumāhoe (Auckland) and Wellington Central, exceeded the National Environmental Standards for Air Quality 1-hour average threshold of 150 µg/m</w:t>
      </w:r>
      <w:r w:rsidRPr="00460F4F">
        <w:rPr>
          <w:rFonts w:asciiTheme="minorHAnsi" w:hAnsiTheme="minorHAnsi" w:cstheme="minorHAnsi"/>
          <w:vertAlign w:val="superscript"/>
        </w:rPr>
        <w:t>3</w:t>
      </w:r>
      <w:r w:rsidRPr="00460F4F">
        <w:rPr>
          <w:rFonts w:asciiTheme="minorHAnsi" w:hAnsiTheme="minorHAnsi" w:cstheme="minorHAnsi"/>
        </w:rPr>
        <w:t xml:space="preserve"> or the 2005 World Health Organization running 8-hour average guideline of 100 µg/m</w:t>
      </w:r>
      <w:r w:rsidRPr="00460F4F">
        <w:rPr>
          <w:rFonts w:asciiTheme="minorHAnsi" w:hAnsiTheme="minorHAnsi" w:cstheme="minorHAnsi"/>
          <w:vertAlign w:val="superscript"/>
        </w:rPr>
        <w:t>3</w:t>
      </w:r>
      <w:r w:rsidRPr="00460F4F">
        <w:rPr>
          <w:rFonts w:asciiTheme="minorHAnsi" w:hAnsiTheme="minorHAnsi" w:cstheme="minorHAnsi"/>
        </w:rPr>
        <w:t>.</w:t>
      </w:r>
    </w:p>
    <w:p w14:paraId="6F5D68C7" w14:textId="7A4ECB31" w:rsidR="00460F4F" w:rsidRPr="00460F4F" w:rsidRDefault="00460F4F" w:rsidP="007A5681">
      <w:pPr>
        <w:pStyle w:val="Bullet"/>
        <w:rPr>
          <w:rFonts w:asciiTheme="minorHAnsi" w:hAnsiTheme="minorHAnsi" w:cstheme="minorHAnsi"/>
        </w:rPr>
      </w:pPr>
      <w:r w:rsidRPr="00460F4F">
        <w:rPr>
          <w:rFonts w:asciiTheme="minorHAnsi" w:hAnsiTheme="minorHAnsi" w:cstheme="minorHAnsi"/>
        </w:rPr>
        <w:t>Ground-level ozone had higher concentrations during the mid-afternoon.</w:t>
      </w:r>
    </w:p>
    <w:p w14:paraId="6D8985D0" w14:textId="77777777" w:rsidR="00460F4F" w:rsidRPr="00460F4F" w:rsidRDefault="00460F4F" w:rsidP="007A5681">
      <w:pPr>
        <w:pStyle w:val="Bullet"/>
        <w:rPr>
          <w:rFonts w:asciiTheme="minorHAnsi" w:hAnsiTheme="minorHAnsi" w:cstheme="minorHAnsi"/>
        </w:rPr>
      </w:pPr>
      <w:r w:rsidRPr="00460F4F">
        <w:rPr>
          <w:rFonts w:asciiTheme="minorHAnsi" w:hAnsiTheme="minorHAnsi" w:cstheme="minorHAnsi"/>
        </w:rPr>
        <w:t>Patumāhoe had a higher annual average ground-level ozone concentration (40.1 µg/m</w:t>
      </w:r>
      <w:r w:rsidRPr="00460F4F">
        <w:rPr>
          <w:rFonts w:asciiTheme="minorHAnsi" w:hAnsiTheme="minorHAnsi" w:cstheme="minorHAnsi"/>
          <w:vertAlign w:val="superscript"/>
        </w:rPr>
        <w:t>3</w:t>
      </w:r>
      <w:r w:rsidRPr="00460F4F">
        <w:rPr>
          <w:rFonts w:asciiTheme="minorHAnsi" w:hAnsiTheme="minorHAnsi" w:cstheme="minorHAnsi"/>
        </w:rPr>
        <w:t>) than Wellington Central (17.3 µg/m</w:t>
      </w:r>
      <w:r w:rsidRPr="00460F4F">
        <w:rPr>
          <w:rFonts w:asciiTheme="minorHAnsi" w:hAnsiTheme="minorHAnsi" w:cstheme="minorHAnsi"/>
          <w:vertAlign w:val="superscript"/>
        </w:rPr>
        <w:t>3</w:t>
      </w:r>
      <w:r w:rsidRPr="00460F4F">
        <w:rPr>
          <w:rFonts w:asciiTheme="minorHAnsi" w:hAnsiTheme="minorHAnsi" w:cstheme="minorHAnsi"/>
        </w:rPr>
        <w:t>).</w:t>
      </w:r>
    </w:p>
    <w:p w14:paraId="4FDF6F94" w14:textId="77777777" w:rsidR="00460F4F" w:rsidRPr="00460F4F" w:rsidRDefault="00460F4F" w:rsidP="00460F4F">
      <w:pPr>
        <w:pStyle w:val="FirstParagraph"/>
        <w:rPr>
          <w:rFonts w:asciiTheme="minorHAnsi" w:hAnsiTheme="minorHAnsi" w:cstheme="minorHAnsi"/>
        </w:rPr>
      </w:pPr>
      <w:r w:rsidRPr="00460F4F">
        <w:rPr>
          <w:rFonts w:asciiTheme="minorHAnsi" w:hAnsiTheme="minorHAnsi" w:cstheme="minorHAnsi"/>
        </w:rPr>
        <w:t>Ten-year trends between 2011 and 2020:</w:t>
      </w:r>
    </w:p>
    <w:p w14:paraId="2183F261" w14:textId="5779523E" w:rsidR="00460F4F" w:rsidRPr="007A5681" w:rsidRDefault="00460F4F" w:rsidP="007A5681">
      <w:pPr>
        <w:pStyle w:val="Bullet"/>
        <w:rPr>
          <w:rFonts w:asciiTheme="minorHAnsi" w:hAnsiTheme="minorHAnsi" w:cstheme="minorHAnsi"/>
        </w:rPr>
      </w:pPr>
      <w:r w:rsidRPr="00460F4F">
        <w:rPr>
          <w:rFonts w:asciiTheme="minorHAnsi" w:hAnsiTheme="minorHAnsi" w:cstheme="minorHAnsi"/>
        </w:rPr>
        <w:t xml:space="preserve">Patumāhoe showed an improving annual trend. </w:t>
      </w:r>
    </w:p>
    <w:p w14:paraId="41893FA6" w14:textId="1A3F6E15" w:rsidR="00460F4F" w:rsidRPr="001B69D7" w:rsidRDefault="00460F4F" w:rsidP="007646CB">
      <w:pPr>
        <w:pStyle w:val="Heading3"/>
        <w:rPr>
          <w:rStyle w:val="eop"/>
          <w:rFonts w:eastAsiaTheme="minorHAnsi" w:cstheme="majorHAnsi"/>
          <w:b w:val="0"/>
          <w:sz w:val="22"/>
        </w:rPr>
      </w:pPr>
      <w:r w:rsidRPr="001B69D7">
        <w:rPr>
          <w:rStyle w:val="eop"/>
        </w:rPr>
        <w:t>Find out more</w:t>
      </w:r>
    </w:p>
    <w:p w14:paraId="495B914E" w14:textId="0034916B" w:rsidR="00460F4F" w:rsidRDefault="009F7BD9" w:rsidP="00460F4F">
      <w:pPr>
        <w:pStyle w:val="BodyText"/>
        <w:rPr>
          <w:rStyle w:val="Hyperlink"/>
        </w:rPr>
      </w:pPr>
      <w:hyperlink r:id="rId31" w:history="1">
        <w:r w:rsidR="00460F4F" w:rsidRPr="00460F4F">
          <w:rPr>
            <w:rStyle w:val="Hyperlink"/>
          </w:rPr>
          <w:t>Stats NZ Ground-level ozone concentrations web page</w:t>
        </w:r>
      </w:hyperlink>
    </w:p>
    <w:p w14:paraId="34E83211" w14:textId="77777777" w:rsidR="002A3B68" w:rsidRPr="005876AA" w:rsidRDefault="002A3B68" w:rsidP="005876AA">
      <w:pPr>
        <w:pStyle w:val="BodyText"/>
        <w:rPr>
          <w:rStyle w:val="normaltextrun"/>
        </w:rPr>
      </w:pPr>
      <w:bookmarkStart w:id="15" w:name="_Toc83825125"/>
      <w:r w:rsidRPr="005876AA">
        <w:rPr>
          <w:rStyle w:val="normaltextrun"/>
        </w:rPr>
        <w:br w:type="page"/>
      </w:r>
    </w:p>
    <w:p w14:paraId="1E8EA0A5" w14:textId="4D2D7F7A" w:rsidR="0002549B" w:rsidRDefault="00460F4F" w:rsidP="00EE2850">
      <w:pPr>
        <w:pStyle w:val="Heading2"/>
      </w:pPr>
      <w:bookmarkStart w:id="16" w:name="_Toc84935045"/>
      <w:r w:rsidRPr="00B2578D">
        <w:rPr>
          <w:rStyle w:val="normaltextrun"/>
        </w:rPr>
        <w:lastRenderedPageBreak/>
        <w:t>Carbon monoxide</w:t>
      </w:r>
      <w:bookmarkEnd w:id="15"/>
      <w:r w:rsidRPr="00602374">
        <w:t xml:space="preserve"> </w:t>
      </w:r>
      <w:r w:rsidR="004B0D59">
        <w:t>concentrations</w:t>
      </w:r>
      <w:bookmarkEnd w:id="16"/>
    </w:p>
    <w:p w14:paraId="03A30CD4" w14:textId="77777777" w:rsidR="00460F4F" w:rsidRPr="008129D6" w:rsidRDefault="00460F4F" w:rsidP="00785A58">
      <w:pPr>
        <w:pStyle w:val="BodyText"/>
        <w:spacing w:before="180"/>
      </w:pPr>
      <w:r w:rsidRPr="00460F4F">
        <w:t xml:space="preserve">Carbon monoxide (CO) is caused by the incomplete combustion of fuels, especially in petrol-fueled motor vehicles. </w:t>
      </w:r>
    </w:p>
    <w:p w14:paraId="212FE5E0" w14:textId="77777777" w:rsidR="00460F4F" w:rsidRPr="00460F4F" w:rsidRDefault="00460F4F" w:rsidP="00460F4F">
      <w:pPr>
        <w:pStyle w:val="BodyText"/>
      </w:pPr>
      <w:r w:rsidRPr="00460F4F">
        <w:t>Carbon monoxide can have a range of health effects even after short-term exposure to relatively low concentrations. When inhaled, carbon monoxide enters the blood stream and attaches to haemoglobin in red blood cells, which transport oxygen around the body. This reduces the amount of oxygen that body tissues receive and can have adverse effects on the brain, heart, and general health (US EPA, 2010).</w:t>
      </w:r>
    </w:p>
    <w:p w14:paraId="3E1ABE43" w14:textId="77777777" w:rsidR="008573F9" w:rsidRPr="00C613A5" w:rsidRDefault="008573F9" w:rsidP="00C613A5">
      <w:pPr>
        <w:pStyle w:val="FirstParagraph"/>
        <w:rPr>
          <w:i/>
          <w:iCs/>
        </w:rPr>
      </w:pPr>
      <w:r w:rsidRPr="00C613A5">
        <w:rPr>
          <w:rFonts w:asciiTheme="minorHAnsi" w:hAnsiTheme="minorHAnsi" w:cstheme="minorHAnsi"/>
          <w:i/>
          <w:iCs/>
        </w:rPr>
        <w:t>Note</w:t>
      </w:r>
      <w:r>
        <w:rPr>
          <w:rFonts w:asciiTheme="minorHAnsi" w:hAnsiTheme="minorHAnsi" w:cstheme="minorHAnsi"/>
          <w:i/>
          <w:iCs/>
        </w:rPr>
        <w:t>: E</w:t>
      </w:r>
      <w:r w:rsidRPr="00C613A5">
        <w:rPr>
          <w:rFonts w:asciiTheme="minorHAnsi" w:hAnsiTheme="minorHAnsi" w:cstheme="minorHAnsi"/>
          <w:i/>
          <w:iCs/>
        </w:rPr>
        <w:t xml:space="preserve">valuation of data against the 2021 WHO </w:t>
      </w:r>
      <w:r w:rsidR="005325EC">
        <w:rPr>
          <w:rFonts w:asciiTheme="minorHAnsi" w:hAnsiTheme="minorHAnsi" w:cstheme="minorHAnsi"/>
          <w:i/>
          <w:iCs/>
        </w:rPr>
        <w:t>g</w:t>
      </w:r>
      <w:r w:rsidRPr="00C613A5">
        <w:rPr>
          <w:rFonts w:asciiTheme="minorHAnsi" w:hAnsiTheme="minorHAnsi" w:cstheme="minorHAnsi"/>
          <w:i/>
          <w:iCs/>
        </w:rPr>
        <w:t xml:space="preserve">uidelines will be released 10 December 2021. </w:t>
      </w:r>
    </w:p>
    <w:p w14:paraId="60B5AA56" w14:textId="584ADDB7" w:rsidR="0002549B" w:rsidRDefault="00460F4F" w:rsidP="0002549B">
      <w:pPr>
        <w:pStyle w:val="Heading3"/>
      </w:pPr>
      <w:r>
        <w:t>Key findings</w:t>
      </w:r>
    </w:p>
    <w:p w14:paraId="179A49A3" w14:textId="77777777" w:rsidR="00460F4F" w:rsidRPr="00460F4F" w:rsidRDefault="00460F4F" w:rsidP="00460F4F">
      <w:pPr>
        <w:pStyle w:val="FirstParagraph"/>
        <w:rPr>
          <w:rFonts w:asciiTheme="minorHAnsi" w:hAnsiTheme="minorHAnsi" w:cstheme="minorHAnsi"/>
        </w:rPr>
      </w:pPr>
      <w:r w:rsidRPr="00460F4F">
        <w:rPr>
          <w:rFonts w:asciiTheme="minorHAnsi" w:hAnsiTheme="minorHAnsi" w:cstheme="minorHAnsi"/>
        </w:rPr>
        <w:t>In the four-year period between 2017 and 2020:</w:t>
      </w:r>
    </w:p>
    <w:p w14:paraId="1507AF0F" w14:textId="3714BAFA" w:rsidR="00460F4F" w:rsidRPr="00460F4F" w:rsidRDefault="00460F4F" w:rsidP="00785A58">
      <w:pPr>
        <w:pStyle w:val="Bullet"/>
        <w:rPr>
          <w:rFonts w:asciiTheme="minorHAnsi" w:hAnsiTheme="minorHAnsi" w:cstheme="minorHAnsi"/>
        </w:rPr>
      </w:pPr>
      <w:r w:rsidRPr="00460F4F">
        <w:rPr>
          <w:rFonts w:asciiTheme="minorHAnsi" w:hAnsiTheme="minorHAnsi" w:cstheme="minorHAnsi"/>
        </w:rPr>
        <w:t>No site exceeded the National Environmental Standards for Air Quality running 8-hour average threshold of 10 mg/m</w:t>
      </w:r>
      <w:r w:rsidRPr="00460F4F">
        <w:rPr>
          <w:rFonts w:asciiTheme="minorHAnsi" w:hAnsiTheme="minorHAnsi" w:cstheme="minorHAnsi"/>
          <w:vertAlign w:val="superscript"/>
        </w:rPr>
        <w:t>3</w:t>
      </w:r>
      <w:r w:rsidRPr="00460F4F">
        <w:rPr>
          <w:rFonts w:asciiTheme="minorHAnsi" w:hAnsiTheme="minorHAnsi" w:cstheme="minorHAnsi"/>
        </w:rPr>
        <w:t>.</w:t>
      </w:r>
    </w:p>
    <w:p w14:paraId="62D398CE" w14:textId="7708B0A1" w:rsidR="00460F4F" w:rsidRPr="00460F4F" w:rsidRDefault="00460F4F" w:rsidP="00785A58">
      <w:pPr>
        <w:pStyle w:val="Bullet"/>
        <w:rPr>
          <w:rFonts w:asciiTheme="minorHAnsi" w:hAnsiTheme="minorHAnsi" w:cstheme="minorHAnsi"/>
        </w:rPr>
      </w:pPr>
      <w:r w:rsidRPr="00460F4F">
        <w:rPr>
          <w:rFonts w:asciiTheme="minorHAnsi" w:hAnsiTheme="minorHAnsi" w:cstheme="minorHAnsi"/>
        </w:rPr>
        <w:t>No site exceeded the</w:t>
      </w:r>
      <w:r w:rsidR="0084600D">
        <w:rPr>
          <w:rFonts w:asciiTheme="minorHAnsi" w:hAnsiTheme="minorHAnsi" w:cstheme="minorHAnsi"/>
        </w:rPr>
        <w:t xml:space="preserve"> 2</w:t>
      </w:r>
      <w:r w:rsidRPr="00460F4F">
        <w:rPr>
          <w:rFonts w:asciiTheme="minorHAnsi" w:hAnsiTheme="minorHAnsi" w:cstheme="minorHAnsi"/>
        </w:rPr>
        <w:t>0</w:t>
      </w:r>
      <w:r w:rsidR="009F7BD9">
        <w:rPr>
          <w:rFonts w:asciiTheme="minorHAnsi" w:hAnsiTheme="minorHAnsi" w:cstheme="minorHAnsi"/>
        </w:rPr>
        <w:t>1</w:t>
      </w:r>
      <w:r w:rsidRPr="00460F4F">
        <w:rPr>
          <w:rFonts w:asciiTheme="minorHAnsi" w:hAnsiTheme="minorHAnsi" w:cstheme="minorHAnsi"/>
        </w:rPr>
        <w:t>0 World Health Organization 1-hour average guideline of 3</w:t>
      </w:r>
      <w:r w:rsidR="009F7BD9">
        <w:rPr>
          <w:rFonts w:asciiTheme="minorHAnsi" w:hAnsiTheme="minorHAnsi" w:cstheme="minorHAnsi"/>
        </w:rPr>
        <w:t>5</w:t>
      </w:r>
      <w:r w:rsidRPr="00460F4F">
        <w:rPr>
          <w:rFonts w:asciiTheme="minorHAnsi" w:hAnsiTheme="minorHAnsi" w:cstheme="minorHAnsi"/>
        </w:rPr>
        <w:t xml:space="preserve"> mg/m</w:t>
      </w:r>
      <w:r w:rsidRPr="00460F4F">
        <w:rPr>
          <w:rFonts w:asciiTheme="minorHAnsi" w:hAnsiTheme="minorHAnsi" w:cstheme="minorHAnsi"/>
          <w:vertAlign w:val="superscript"/>
        </w:rPr>
        <w:t>3</w:t>
      </w:r>
      <w:r w:rsidRPr="00460F4F">
        <w:rPr>
          <w:rFonts w:asciiTheme="minorHAnsi" w:hAnsiTheme="minorHAnsi" w:cstheme="minorHAnsi"/>
        </w:rPr>
        <w:t>.</w:t>
      </w:r>
    </w:p>
    <w:p w14:paraId="6A9A062D" w14:textId="59F172D8" w:rsidR="00460F4F" w:rsidRPr="00460F4F" w:rsidRDefault="00460F4F" w:rsidP="00785A58">
      <w:pPr>
        <w:pStyle w:val="Bullet"/>
        <w:rPr>
          <w:rFonts w:asciiTheme="minorHAnsi" w:hAnsiTheme="minorHAnsi" w:cstheme="minorHAnsi"/>
        </w:rPr>
      </w:pPr>
      <w:r w:rsidRPr="00785A58">
        <w:rPr>
          <w:rFonts w:asciiTheme="minorHAnsi" w:hAnsiTheme="minorHAnsi" w:cstheme="minorHAnsi"/>
        </w:rPr>
        <w:t>Riccarton Road (Christchurc</w:t>
      </w:r>
      <w:r w:rsidRPr="00460F4F">
        <w:rPr>
          <w:rFonts w:asciiTheme="minorHAnsi" w:hAnsiTheme="minorHAnsi" w:cstheme="minorHAnsi"/>
        </w:rPr>
        <w:t xml:space="preserve">h) had the highest average concentrations of carbon monoxide </w:t>
      </w:r>
      <w:r w:rsidR="009843E9">
        <w:rPr>
          <w:rFonts w:asciiTheme="minorHAnsi" w:hAnsiTheme="minorHAnsi" w:cstheme="minorHAnsi"/>
        </w:rPr>
        <w:br/>
      </w:r>
      <w:r w:rsidRPr="00460F4F">
        <w:rPr>
          <w:rFonts w:asciiTheme="minorHAnsi" w:hAnsiTheme="minorHAnsi" w:cstheme="minorHAnsi"/>
        </w:rPr>
        <w:t>(0.4 mg/m</w:t>
      </w:r>
      <w:r w:rsidRPr="00460F4F">
        <w:rPr>
          <w:rFonts w:asciiTheme="minorHAnsi" w:hAnsiTheme="minorHAnsi" w:cstheme="minorHAnsi"/>
          <w:vertAlign w:val="superscript"/>
        </w:rPr>
        <w:t>3</w:t>
      </w:r>
      <w:r w:rsidRPr="00460F4F">
        <w:rPr>
          <w:rFonts w:asciiTheme="minorHAnsi" w:hAnsiTheme="minorHAnsi" w:cstheme="minorHAnsi"/>
        </w:rPr>
        <w:t>). The rest of the sites had average concentrations of 0.2 mg/m</w:t>
      </w:r>
      <w:r w:rsidRPr="00460F4F">
        <w:rPr>
          <w:rFonts w:asciiTheme="minorHAnsi" w:hAnsiTheme="minorHAnsi" w:cstheme="minorHAnsi"/>
          <w:vertAlign w:val="superscript"/>
        </w:rPr>
        <w:t>3</w:t>
      </w:r>
      <w:r w:rsidRPr="00460F4F">
        <w:rPr>
          <w:rFonts w:asciiTheme="minorHAnsi" w:hAnsiTheme="minorHAnsi" w:cstheme="minorHAnsi"/>
        </w:rPr>
        <w:t>.</w:t>
      </w:r>
    </w:p>
    <w:p w14:paraId="31EBE967" w14:textId="77777777" w:rsidR="00460F4F" w:rsidRPr="00460F4F" w:rsidRDefault="00460F4F" w:rsidP="00785A58">
      <w:pPr>
        <w:pStyle w:val="Bullet"/>
        <w:rPr>
          <w:rFonts w:asciiTheme="minorHAnsi" w:hAnsiTheme="minorHAnsi" w:cstheme="minorHAnsi"/>
        </w:rPr>
      </w:pPr>
      <w:r w:rsidRPr="00785A58">
        <w:rPr>
          <w:rFonts w:asciiTheme="minorHAnsi" w:hAnsiTheme="minorHAnsi" w:cstheme="minorHAnsi"/>
        </w:rPr>
        <w:t xml:space="preserve">Across sites, peak </w:t>
      </w:r>
      <w:r w:rsidRPr="00460F4F">
        <w:rPr>
          <w:rFonts w:asciiTheme="minorHAnsi" w:hAnsiTheme="minorHAnsi" w:cstheme="minorHAnsi"/>
        </w:rPr>
        <w:t>concentrations of carbon monoxide occurred during morning and evening hours.</w:t>
      </w:r>
    </w:p>
    <w:p w14:paraId="4265F454" w14:textId="77777777" w:rsidR="00460F4F" w:rsidRPr="00460F4F" w:rsidRDefault="00460F4F" w:rsidP="00785A58">
      <w:pPr>
        <w:pStyle w:val="Bullet"/>
        <w:rPr>
          <w:rFonts w:asciiTheme="minorHAnsi" w:hAnsiTheme="minorHAnsi" w:cstheme="minorHAnsi"/>
        </w:rPr>
      </w:pPr>
      <w:r w:rsidRPr="00785A58">
        <w:rPr>
          <w:rFonts w:asciiTheme="minorHAnsi" w:hAnsiTheme="minorHAnsi" w:cstheme="minorHAnsi"/>
        </w:rPr>
        <w:t>Carbon monoxide concent</w:t>
      </w:r>
      <w:r w:rsidRPr="00460F4F">
        <w:rPr>
          <w:rFonts w:asciiTheme="minorHAnsi" w:hAnsiTheme="minorHAnsi" w:cstheme="minorHAnsi"/>
        </w:rPr>
        <w:t>rations were highest in winter (averaging 0.4 mg/m</w:t>
      </w:r>
      <w:r w:rsidRPr="00460F4F">
        <w:rPr>
          <w:rFonts w:asciiTheme="minorHAnsi" w:hAnsiTheme="minorHAnsi" w:cstheme="minorHAnsi"/>
          <w:vertAlign w:val="superscript"/>
        </w:rPr>
        <w:t>3</w:t>
      </w:r>
      <w:r w:rsidRPr="00460F4F">
        <w:rPr>
          <w:rFonts w:asciiTheme="minorHAnsi" w:hAnsiTheme="minorHAnsi" w:cstheme="minorHAnsi"/>
        </w:rPr>
        <w:t xml:space="preserve"> over the winter months – June, July, August).</w:t>
      </w:r>
    </w:p>
    <w:p w14:paraId="5C5B012C" w14:textId="77777777" w:rsidR="00460F4F" w:rsidRPr="00460F4F" w:rsidRDefault="00460F4F" w:rsidP="00460F4F">
      <w:pPr>
        <w:pStyle w:val="FirstParagraph"/>
        <w:rPr>
          <w:rFonts w:asciiTheme="minorHAnsi" w:hAnsiTheme="minorHAnsi" w:cstheme="minorHAnsi"/>
        </w:rPr>
      </w:pPr>
      <w:r w:rsidRPr="00460F4F">
        <w:rPr>
          <w:rFonts w:asciiTheme="minorHAnsi" w:hAnsiTheme="minorHAnsi" w:cstheme="minorHAnsi"/>
        </w:rPr>
        <w:t>Ten-year trends between 2011 and 2020:</w:t>
      </w:r>
    </w:p>
    <w:p w14:paraId="09D78C7D" w14:textId="2931A0E3" w:rsidR="0002549B" w:rsidRPr="00543C81" w:rsidRDefault="00460F4F" w:rsidP="00785A58">
      <w:pPr>
        <w:pStyle w:val="Bullet"/>
        <w:rPr>
          <w:rFonts w:asciiTheme="minorHAnsi" w:hAnsiTheme="minorHAnsi" w:cstheme="minorHAnsi"/>
        </w:rPr>
      </w:pPr>
      <w:r w:rsidRPr="00460F4F">
        <w:rPr>
          <w:rFonts w:asciiTheme="minorHAnsi" w:hAnsiTheme="minorHAnsi" w:cstheme="minorHAnsi"/>
        </w:rPr>
        <w:t>Of the 10 sites assessed for annual trends, seven were improving and three were indeterminate.</w:t>
      </w:r>
    </w:p>
    <w:p w14:paraId="43E5A5F0" w14:textId="77777777" w:rsidR="007646CB" w:rsidRPr="007646CB" w:rsidRDefault="007646CB" w:rsidP="007646CB">
      <w:pPr>
        <w:pStyle w:val="Heading3"/>
        <w:rPr>
          <w:rStyle w:val="eop"/>
        </w:rPr>
      </w:pPr>
      <w:r w:rsidRPr="00B2578D">
        <w:rPr>
          <w:rStyle w:val="eop"/>
        </w:rPr>
        <w:t xml:space="preserve">Find out more </w:t>
      </w:r>
    </w:p>
    <w:p w14:paraId="5C1BCF23" w14:textId="77777777" w:rsidR="007646CB" w:rsidRPr="007646CB" w:rsidRDefault="007646CB" w:rsidP="007646CB">
      <w:pPr>
        <w:pStyle w:val="BodyText"/>
        <w:rPr>
          <w:rStyle w:val="Hyperlink"/>
        </w:rPr>
      </w:pPr>
      <w:r w:rsidRPr="007646CB">
        <w:rPr>
          <w:rFonts w:eastAsiaTheme="minorHAnsi"/>
          <w:color w:val="009DDF"/>
          <w:szCs w:val="24"/>
        </w:rPr>
        <w:fldChar w:fldCharType="begin"/>
      </w:r>
      <w:r w:rsidRPr="007646CB">
        <w:rPr>
          <w:color w:val="009DDF"/>
        </w:rPr>
        <w:instrText xml:space="preserve"> HYPERLINK "https://www.stats.govt.nz/indicators/carbon-monoxide-concentrations" </w:instrText>
      </w:r>
      <w:r w:rsidRPr="007646CB">
        <w:rPr>
          <w:rFonts w:eastAsiaTheme="minorHAnsi"/>
          <w:color w:val="009DDF"/>
          <w:szCs w:val="24"/>
        </w:rPr>
        <w:fldChar w:fldCharType="separate"/>
      </w:r>
      <w:r w:rsidRPr="007646CB">
        <w:rPr>
          <w:rStyle w:val="Hyperlink"/>
        </w:rPr>
        <w:t>Stats NZ Carbon monoxide concentrations web page</w:t>
      </w:r>
    </w:p>
    <w:p w14:paraId="2D3556F3" w14:textId="31E66195" w:rsidR="0002549B" w:rsidRPr="000A5945" w:rsidRDefault="007646CB" w:rsidP="007646CB">
      <w:pPr>
        <w:pStyle w:val="BodyText"/>
      </w:pPr>
      <w:r w:rsidRPr="007646CB">
        <w:rPr>
          <w:rFonts w:cstheme="majorHAnsi"/>
          <w:b/>
          <w:bCs/>
          <w:color w:val="009DDF"/>
        </w:rPr>
        <w:fldChar w:fldCharType="end"/>
      </w:r>
    </w:p>
    <w:p w14:paraId="44C67CDF" w14:textId="7E50794F" w:rsidR="007646CB" w:rsidRPr="00785A58" w:rsidRDefault="007646CB" w:rsidP="00785A58">
      <w:pPr>
        <w:pStyle w:val="BodyText"/>
      </w:pPr>
      <w:r>
        <w:br w:type="page"/>
      </w:r>
    </w:p>
    <w:p w14:paraId="09AB8AC9" w14:textId="77777777" w:rsidR="007646CB" w:rsidRDefault="007646CB" w:rsidP="007646CB">
      <w:pPr>
        <w:pStyle w:val="Heading2"/>
      </w:pPr>
      <w:bookmarkStart w:id="17" w:name="air-pollutant-emissions-inventory"/>
      <w:bookmarkStart w:id="18" w:name="_Toc83825127"/>
      <w:bookmarkStart w:id="19" w:name="_Toc84935046"/>
      <w:r>
        <w:lastRenderedPageBreak/>
        <w:t>Air pollutant emissions</w:t>
      </w:r>
      <w:bookmarkEnd w:id="17"/>
      <w:r>
        <w:t xml:space="preserve"> (sources)</w:t>
      </w:r>
      <w:bookmarkEnd w:id="18"/>
      <w:bookmarkEnd w:id="19"/>
    </w:p>
    <w:p w14:paraId="2CB11154" w14:textId="51F3DF68" w:rsidR="007646CB" w:rsidRPr="007646CB" w:rsidRDefault="007646CB" w:rsidP="00785A58">
      <w:pPr>
        <w:pStyle w:val="BodyText"/>
        <w:spacing w:before="180"/>
      </w:pPr>
      <w:r w:rsidRPr="007646CB">
        <w:t xml:space="preserve">Understanding the key sources of air pollutants is critical to managing and improving air quality. Emissions inventories estimate the quantities of different pollutants emitted to the air by different sources, over a certain time period. </w:t>
      </w:r>
    </w:p>
    <w:p w14:paraId="1E43DE7A" w14:textId="43C80AE3" w:rsidR="007646CB" w:rsidRPr="007646CB" w:rsidRDefault="007646CB" w:rsidP="007646CB">
      <w:pPr>
        <w:pStyle w:val="FirstParagraph"/>
        <w:rPr>
          <w:rFonts w:asciiTheme="minorHAnsi" w:hAnsiTheme="minorHAnsi" w:cstheme="minorHAnsi"/>
        </w:rPr>
      </w:pPr>
      <w:r w:rsidRPr="007646CB">
        <w:rPr>
          <w:rFonts w:asciiTheme="minorHAnsi" w:hAnsiTheme="minorHAnsi" w:cstheme="minorHAnsi"/>
        </w:rPr>
        <w:t>Nationally in 2019:</w:t>
      </w:r>
    </w:p>
    <w:p w14:paraId="2CBABBF3" w14:textId="4F227E0D" w:rsidR="007646CB" w:rsidRPr="007646CB" w:rsidRDefault="007646CB" w:rsidP="00785A58">
      <w:pPr>
        <w:pStyle w:val="Bullet"/>
        <w:rPr>
          <w:rFonts w:asciiTheme="minorHAnsi" w:hAnsiTheme="minorHAnsi" w:cstheme="minorHAnsi"/>
        </w:rPr>
      </w:pPr>
      <w:r w:rsidRPr="00785A58">
        <w:rPr>
          <w:rFonts w:asciiTheme="minorHAnsi" w:hAnsiTheme="minorHAnsi" w:cstheme="minorHAnsi"/>
        </w:rPr>
        <w:t>The residential sect</w:t>
      </w:r>
      <w:r w:rsidRPr="007646CB">
        <w:rPr>
          <w:rFonts w:asciiTheme="minorHAnsi" w:hAnsiTheme="minorHAnsi" w:cstheme="minorHAnsi"/>
        </w:rPr>
        <w:t>or (primarily burning wood for home heating) contributed 30 percent of PM</w:t>
      </w:r>
      <w:r w:rsidRPr="007646CB">
        <w:rPr>
          <w:rFonts w:asciiTheme="minorHAnsi" w:hAnsiTheme="minorHAnsi" w:cstheme="minorHAnsi"/>
          <w:vertAlign w:val="subscript"/>
        </w:rPr>
        <w:t>2.5</w:t>
      </w:r>
      <w:r w:rsidRPr="007646CB">
        <w:rPr>
          <w:rFonts w:asciiTheme="minorHAnsi" w:hAnsiTheme="minorHAnsi" w:cstheme="minorHAnsi"/>
        </w:rPr>
        <w:t xml:space="preserve"> emissions and 41 percent of carbon monoxide emissions. Almost all particulate matter emissions generated by the residential sector were PM</w:t>
      </w:r>
      <w:r w:rsidRPr="007646CB">
        <w:rPr>
          <w:rFonts w:asciiTheme="minorHAnsi" w:hAnsiTheme="minorHAnsi" w:cstheme="minorHAnsi"/>
          <w:vertAlign w:val="subscript"/>
        </w:rPr>
        <w:t>2.5</w:t>
      </w:r>
      <w:r w:rsidRPr="007646CB">
        <w:rPr>
          <w:rFonts w:asciiTheme="minorHAnsi" w:hAnsiTheme="minorHAnsi" w:cstheme="minorHAnsi"/>
        </w:rPr>
        <w:t>.</w:t>
      </w:r>
    </w:p>
    <w:p w14:paraId="12C913A6" w14:textId="13CE6DE7" w:rsidR="007646CB" w:rsidRPr="007646CB" w:rsidRDefault="007646CB" w:rsidP="00785A58">
      <w:pPr>
        <w:pStyle w:val="Bullet"/>
        <w:rPr>
          <w:rFonts w:asciiTheme="minorHAnsi" w:hAnsiTheme="minorHAnsi" w:cstheme="minorHAnsi"/>
        </w:rPr>
      </w:pPr>
      <w:r w:rsidRPr="00785A58">
        <w:rPr>
          <w:rFonts w:asciiTheme="minorHAnsi" w:hAnsiTheme="minorHAnsi" w:cstheme="minorHAnsi"/>
        </w:rPr>
        <w:t>Dust fro</w:t>
      </w:r>
      <w:r w:rsidRPr="007646CB">
        <w:rPr>
          <w:rFonts w:asciiTheme="minorHAnsi" w:hAnsiTheme="minorHAnsi" w:cstheme="minorHAnsi"/>
        </w:rPr>
        <w:t>m unsealed roads was the dominant source of PM</w:t>
      </w:r>
      <w:r w:rsidRPr="007646CB">
        <w:rPr>
          <w:rFonts w:asciiTheme="minorHAnsi" w:hAnsiTheme="minorHAnsi" w:cstheme="minorHAnsi"/>
          <w:vertAlign w:val="subscript"/>
        </w:rPr>
        <w:t>10</w:t>
      </w:r>
      <w:r w:rsidRPr="007646CB">
        <w:rPr>
          <w:rFonts w:asciiTheme="minorHAnsi" w:hAnsiTheme="minorHAnsi" w:cstheme="minorHAnsi"/>
        </w:rPr>
        <w:t xml:space="preserve"> (28 percent). </w:t>
      </w:r>
    </w:p>
    <w:p w14:paraId="47038DE3" w14:textId="77777777" w:rsidR="007646CB" w:rsidRPr="007646CB" w:rsidRDefault="007646CB" w:rsidP="00785A58">
      <w:pPr>
        <w:pStyle w:val="Bullet"/>
        <w:rPr>
          <w:rFonts w:asciiTheme="minorHAnsi" w:hAnsiTheme="minorHAnsi" w:cstheme="minorHAnsi"/>
        </w:rPr>
      </w:pPr>
      <w:r w:rsidRPr="00785A58">
        <w:rPr>
          <w:rFonts w:asciiTheme="minorHAnsi" w:hAnsiTheme="minorHAnsi" w:cstheme="minorHAnsi"/>
        </w:rPr>
        <w:t>On-road vehicles were the dominant sour</w:t>
      </w:r>
      <w:r w:rsidRPr="007646CB">
        <w:rPr>
          <w:rFonts w:asciiTheme="minorHAnsi" w:hAnsiTheme="minorHAnsi" w:cstheme="minorHAnsi"/>
        </w:rPr>
        <w:t>ce of nitrogen oxides (39 percent), primarily diesel vehicles.</w:t>
      </w:r>
    </w:p>
    <w:p w14:paraId="6E671B59" w14:textId="3E4F5D77" w:rsidR="007646CB" w:rsidRPr="007646CB" w:rsidRDefault="007646CB" w:rsidP="00785A58">
      <w:pPr>
        <w:pStyle w:val="Bullet"/>
        <w:rPr>
          <w:rFonts w:asciiTheme="minorHAnsi" w:hAnsiTheme="minorHAnsi" w:cstheme="minorHAnsi"/>
        </w:rPr>
      </w:pPr>
      <w:r w:rsidRPr="00785A58">
        <w:rPr>
          <w:rFonts w:asciiTheme="minorHAnsi" w:hAnsiTheme="minorHAnsi" w:cstheme="minorHAnsi"/>
        </w:rPr>
        <w:t xml:space="preserve">Burning coal was a large source of sulphur dioxide emissions (41 percent), primarily from </w:t>
      </w:r>
      <w:r w:rsidRPr="007646CB">
        <w:rPr>
          <w:rFonts w:asciiTheme="minorHAnsi" w:hAnsiTheme="minorHAnsi" w:cstheme="minorHAnsi"/>
        </w:rPr>
        <w:t>manufacturing and construction and electricity generation. Domestic shipping (16 percent) and aluminium production (13 percent) were also significant sources of sulphur dioxide.</w:t>
      </w:r>
    </w:p>
    <w:p w14:paraId="04911607" w14:textId="73B027F5" w:rsidR="007646CB" w:rsidRPr="007646CB" w:rsidRDefault="007646CB" w:rsidP="007646CB">
      <w:pPr>
        <w:pStyle w:val="FirstParagraph"/>
        <w:rPr>
          <w:rFonts w:asciiTheme="minorHAnsi" w:hAnsiTheme="minorHAnsi" w:cstheme="minorHAnsi"/>
        </w:rPr>
      </w:pPr>
      <w:r w:rsidRPr="007646CB">
        <w:rPr>
          <w:rFonts w:asciiTheme="minorHAnsi" w:hAnsiTheme="minorHAnsi" w:cstheme="minorHAnsi"/>
        </w:rPr>
        <w:t>In the eight-year period between 2012 and 2019:</w:t>
      </w:r>
    </w:p>
    <w:p w14:paraId="4D06C536" w14:textId="570A1F1E" w:rsidR="007646CB" w:rsidRPr="007646CB" w:rsidRDefault="007646CB" w:rsidP="00785A58">
      <w:pPr>
        <w:pStyle w:val="Bullet"/>
        <w:rPr>
          <w:rFonts w:asciiTheme="minorHAnsi" w:hAnsiTheme="minorHAnsi" w:cstheme="minorHAnsi"/>
        </w:rPr>
      </w:pPr>
      <w:r w:rsidRPr="00785A58">
        <w:rPr>
          <w:rFonts w:asciiTheme="minorHAnsi" w:hAnsiTheme="minorHAnsi" w:cstheme="minorHAnsi"/>
        </w:rPr>
        <w:t xml:space="preserve">Total emissions were lower in </w:t>
      </w:r>
      <w:r w:rsidRPr="007646CB">
        <w:rPr>
          <w:rFonts w:asciiTheme="minorHAnsi" w:hAnsiTheme="minorHAnsi" w:cstheme="minorHAnsi"/>
        </w:rPr>
        <w:t>2019 for all pollutants except PM</w:t>
      </w:r>
      <w:r w:rsidRPr="00553B87">
        <w:rPr>
          <w:rFonts w:asciiTheme="minorHAnsi" w:hAnsiTheme="minorHAnsi" w:cstheme="minorHAnsi"/>
          <w:vertAlign w:val="subscript"/>
        </w:rPr>
        <w:t>10</w:t>
      </w:r>
      <w:r w:rsidRPr="007646CB">
        <w:rPr>
          <w:rFonts w:asciiTheme="minorHAnsi" w:hAnsiTheme="minorHAnsi" w:cstheme="minorHAnsi"/>
        </w:rPr>
        <w:t>. Annual emissions of carbon monoxide were down 15 percent compared to 2012 (by more than 87,000 tonnes).</w:t>
      </w:r>
    </w:p>
    <w:p w14:paraId="17C88B13" w14:textId="207CE091" w:rsidR="007646CB" w:rsidRPr="007646CB" w:rsidRDefault="007646CB" w:rsidP="00785A58">
      <w:pPr>
        <w:pStyle w:val="Bullet"/>
        <w:rPr>
          <w:rFonts w:asciiTheme="minorHAnsi" w:hAnsiTheme="minorHAnsi" w:cstheme="minorHAnsi"/>
        </w:rPr>
      </w:pPr>
      <w:r w:rsidRPr="00785A58">
        <w:rPr>
          <w:rFonts w:asciiTheme="minorHAnsi" w:hAnsiTheme="minorHAnsi" w:cstheme="minorHAnsi"/>
        </w:rPr>
        <w:t>Transport emissions were lower in 2019 for all pollutants except sulphur dioxide, with emissions of carbon monoxide</w:t>
      </w:r>
      <w:r w:rsidRPr="007646CB">
        <w:rPr>
          <w:rFonts w:asciiTheme="minorHAnsi" w:hAnsiTheme="minorHAnsi" w:cstheme="minorHAnsi"/>
        </w:rPr>
        <w:t xml:space="preserve"> down 47 percent (by more than 85,000 tonnes) and nitrogen oxides down 12 percent (by more than 8,000 tonnes).</w:t>
      </w:r>
    </w:p>
    <w:p w14:paraId="4581037F" w14:textId="715AF794" w:rsidR="0072651D" w:rsidRPr="00844058" w:rsidRDefault="007646CB" w:rsidP="00785A58">
      <w:pPr>
        <w:pStyle w:val="Bullet"/>
        <w:rPr>
          <w:rFonts w:asciiTheme="minorHAnsi" w:hAnsiTheme="minorHAnsi" w:cstheme="minorHAnsi"/>
        </w:rPr>
      </w:pPr>
      <w:r w:rsidRPr="00785A58">
        <w:rPr>
          <w:rFonts w:asciiTheme="minorHAnsi" w:hAnsiTheme="minorHAnsi" w:cstheme="minorHAnsi"/>
        </w:rPr>
        <w:t>Emissions from electricity generation were lower in 2019 across all pollutants. Most notably, sulphur dioxide emissions decreased by 40 percent (</w:t>
      </w:r>
      <w:r w:rsidRPr="007646CB">
        <w:rPr>
          <w:rFonts w:asciiTheme="minorHAnsi" w:hAnsiTheme="minorHAnsi" w:cstheme="minorHAnsi"/>
        </w:rPr>
        <w:t>by more than 5,000 tonnes) due to lower emissions from coal burning.</w:t>
      </w:r>
    </w:p>
    <w:p w14:paraId="574FA1AA" w14:textId="483CC5FA" w:rsidR="007646CB" w:rsidRDefault="007646CB" w:rsidP="007646CB">
      <w:pPr>
        <w:pStyle w:val="Heading3"/>
      </w:pPr>
      <w:bookmarkStart w:id="20" w:name="find-out-more-information-3"/>
      <w:r>
        <w:t xml:space="preserve">Find out more </w:t>
      </w:r>
      <w:bookmarkEnd w:id="20"/>
    </w:p>
    <w:p w14:paraId="24F9D039" w14:textId="46FD0DC6" w:rsidR="007646CB" w:rsidRDefault="009F7BD9" w:rsidP="007646CB">
      <w:pPr>
        <w:rPr>
          <w:rStyle w:val="Hyperlink"/>
        </w:rPr>
      </w:pPr>
      <w:hyperlink r:id="rId32" w:history="1">
        <w:r w:rsidR="007646CB" w:rsidRPr="007646CB">
          <w:rPr>
            <w:rStyle w:val="Hyperlink"/>
          </w:rPr>
          <w:t>Stats NZ Air pollutant emissions web page</w:t>
        </w:r>
      </w:hyperlink>
    </w:p>
    <w:p w14:paraId="03475C5B" w14:textId="77777777" w:rsidR="00541E08" w:rsidRPr="00541E08" w:rsidRDefault="00541E08" w:rsidP="00541E08">
      <w:pPr>
        <w:pStyle w:val="BodyText"/>
      </w:pPr>
      <w:bookmarkStart w:id="21" w:name="health-impacts"/>
      <w:bookmarkStart w:id="22" w:name="_Toc83825129"/>
      <w:bookmarkStart w:id="23" w:name="_Toc84935047"/>
      <w:r w:rsidRPr="00541E08">
        <w:br w:type="page"/>
      </w:r>
    </w:p>
    <w:p w14:paraId="47ABD6BB" w14:textId="28EF66CC" w:rsidR="007646CB" w:rsidRDefault="007646CB" w:rsidP="004C517F">
      <w:pPr>
        <w:pStyle w:val="Heading2"/>
      </w:pPr>
      <w:r>
        <w:lastRenderedPageBreak/>
        <w:t>Health impacts</w:t>
      </w:r>
      <w:bookmarkEnd w:id="21"/>
      <w:r>
        <w:t xml:space="preserve"> of air pollution</w:t>
      </w:r>
      <w:bookmarkEnd w:id="22"/>
      <w:bookmarkEnd w:id="23"/>
    </w:p>
    <w:p w14:paraId="48CCBA08" w14:textId="556E186A" w:rsidR="007646CB" w:rsidRDefault="007646CB" w:rsidP="00D639C1">
      <w:pPr>
        <w:pStyle w:val="BodyText"/>
        <w:spacing w:before="180"/>
      </w:pPr>
      <w:r>
        <w:t>Air pollution causes a wide range of health impacts. Because of the difficulty of separating air pollution effects from other causes, modelling is commonly used to estimate health impacts from air pollution. This indicator uses a modelling methodology informed by the Health and Air Pollution in New Zealand (</w:t>
      </w:r>
      <w:r w:rsidR="00F12EC5">
        <w:t xml:space="preserve">HAPINZ, </w:t>
      </w:r>
      <w:r>
        <w:t xml:space="preserve">2012) study, which was developed in accordance with international best </w:t>
      </w:r>
      <w:r w:rsidRPr="00946FDD">
        <w:t>practice (Kuschel et al, 2012).</w:t>
      </w:r>
      <w:r>
        <w:t xml:space="preserve"> </w:t>
      </w:r>
    </w:p>
    <w:p w14:paraId="710999DF" w14:textId="772D2B5D" w:rsidR="007646CB" w:rsidRPr="007646CB" w:rsidRDefault="007646CB" w:rsidP="007646CB">
      <w:pPr>
        <w:pStyle w:val="BodyText"/>
        <w:rPr>
          <w:i/>
          <w:iCs/>
        </w:rPr>
      </w:pPr>
      <w:r w:rsidRPr="007646CB">
        <w:rPr>
          <w:i/>
          <w:iCs/>
        </w:rPr>
        <w:t>Note: We are anticipating that this indicator will be updated soon, pending an update to the model. Updated information will be available on the Stats NZ website. This indicator used PM</w:t>
      </w:r>
      <w:r w:rsidRPr="007646CB">
        <w:rPr>
          <w:i/>
          <w:iCs/>
          <w:vertAlign w:val="subscript"/>
        </w:rPr>
        <w:t>10</w:t>
      </w:r>
      <w:r w:rsidRPr="007646CB">
        <w:rPr>
          <w:i/>
          <w:iCs/>
        </w:rPr>
        <w:t xml:space="preserve"> as a proxy for all air pollution in New Zealand but the revision currently underway is investigating also reporting on PM</w:t>
      </w:r>
      <w:r w:rsidRPr="007646CB">
        <w:rPr>
          <w:i/>
          <w:iCs/>
          <w:vertAlign w:val="subscript"/>
        </w:rPr>
        <w:t>2.5</w:t>
      </w:r>
      <w:r w:rsidRPr="007646CB">
        <w:rPr>
          <w:i/>
          <w:iCs/>
        </w:rPr>
        <w:t xml:space="preserve"> and nitrogen dioxide.</w:t>
      </w:r>
      <w:r w:rsidR="00856617">
        <w:rPr>
          <w:i/>
          <w:iCs/>
        </w:rPr>
        <w:t xml:space="preserve"> </w:t>
      </w:r>
    </w:p>
    <w:p w14:paraId="4EE97F40" w14:textId="54FD048F" w:rsidR="007646CB" w:rsidRDefault="007646CB" w:rsidP="007646CB">
      <w:pPr>
        <w:pStyle w:val="Heading3"/>
      </w:pPr>
      <w:r>
        <w:t>Key findings</w:t>
      </w:r>
    </w:p>
    <w:p w14:paraId="2727B666" w14:textId="77777777" w:rsidR="007646CB" w:rsidRPr="007646CB" w:rsidRDefault="007646CB" w:rsidP="007646CB">
      <w:pPr>
        <w:pStyle w:val="FirstParagraph"/>
        <w:rPr>
          <w:rFonts w:asciiTheme="minorHAnsi" w:hAnsiTheme="minorHAnsi" w:cstheme="minorHAnsi"/>
        </w:rPr>
      </w:pPr>
      <w:r w:rsidRPr="007646CB">
        <w:rPr>
          <w:rFonts w:asciiTheme="minorHAnsi" w:hAnsiTheme="minorHAnsi" w:cstheme="minorHAnsi"/>
        </w:rPr>
        <w:t>From modelling based on the current HAPINZ model:</w:t>
      </w:r>
    </w:p>
    <w:p w14:paraId="398D23BF" w14:textId="3BD60492" w:rsidR="007646CB" w:rsidRPr="007646CB" w:rsidRDefault="007646CB" w:rsidP="00D639C1">
      <w:pPr>
        <w:pStyle w:val="Bullet"/>
        <w:rPr>
          <w:rFonts w:asciiTheme="minorHAnsi" w:hAnsiTheme="minorHAnsi" w:cstheme="minorHAnsi"/>
        </w:rPr>
      </w:pPr>
      <w:r w:rsidRPr="007646CB">
        <w:rPr>
          <w:rFonts w:asciiTheme="minorHAnsi" w:hAnsiTheme="minorHAnsi" w:cstheme="minorHAnsi"/>
        </w:rPr>
        <w:t xml:space="preserve">As shown in table </w:t>
      </w:r>
      <w:r w:rsidR="00AE2AED">
        <w:rPr>
          <w:rFonts w:asciiTheme="minorHAnsi" w:hAnsiTheme="minorHAnsi" w:cstheme="minorHAnsi"/>
        </w:rPr>
        <w:t>1</w:t>
      </w:r>
      <w:r w:rsidRPr="007646CB">
        <w:rPr>
          <w:rFonts w:asciiTheme="minorHAnsi" w:hAnsiTheme="minorHAnsi" w:cstheme="minorHAnsi"/>
        </w:rPr>
        <w:t>, adult (older than 30 years) premature deaths linked to exposure to human-generated PM</w:t>
      </w:r>
      <w:r w:rsidRPr="00553B87">
        <w:rPr>
          <w:rFonts w:asciiTheme="minorHAnsi" w:hAnsiTheme="minorHAnsi" w:cstheme="minorHAnsi"/>
          <w:vertAlign w:val="subscript"/>
        </w:rPr>
        <w:t>10</w:t>
      </w:r>
      <w:r w:rsidRPr="007646CB">
        <w:rPr>
          <w:rFonts w:asciiTheme="minorHAnsi" w:hAnsiTheme="minorHAnsi" w:cstheme="minorHAnsi"/>
        </w:rPr>
        <w:t xml:space="preserve"> were estimated to be 8 percent lower in 2016 than in 2006 (27 deaths per 100,000 people, compared to 29 in 2006).</w:t>
      </w:r>
    </w:p>
    <w:p w14:paraId="76A1352B" w14:textId="77777777" w:rsidR="007646CB" w:rsidRPr="007646CB" w:rsidRDefault="007646CB" w:rsidP="00D639C1">
      <w:pPr>
        <w:pStyle w:val="Bullet"/>
        <w:rPr>
          <w:rFonts w:asciiTheme="minorHAnsi" w:hAnsiTheme="minorHAnsi" w:cstheme="minorHAnsi"/>
        </w:rPr>
      </w:pPr>
      <w:r w:rsidRPr="007646CB">
        <w:rPr>
          <w:rFonts w:asciiTheme="minorHAnsi" w:hAnsiTheme="minorHAnsi" w:cstheme="minorHAnsi"/>
        </w:rPr>
        <w:t>Total hospital admissions due to human-generated PM</w:t>
      </w:r>
      <w:r w:rsidRPr="00553B87">
        <w:rPr>
          <w:rFonts w:asciiTheme="minorHAnsi" w:hAnsiTheme="minorHAnsi" w:cstheme="minorHAnsi"/>
          <w:vertAlign w:val="subscript"/>
        </w:rPr>
        <w:t>10</w:t>
      </w:r>
      <w:r w:rsidRPr="007646CB">
        <w:rPr>
          <w:rFonts w:asciiTheme="minorHAnsi" w:hAnsiTheme="minorHAnsi" w:cstheme="minorHAnsi"/>
        </w:rPr>
        <w:t xml:space="preserve"> were estimated to be 2 percent lower in 2016 than in 2006 (14 admissions per 10,000 people compared to 15 in 2006).</w:t>
      </w:r>
    </w:p>
    <w:p w14:paraId="2181AA35" w14:textId="77777777" w:rsidR="007646CB" w:rsidRPr="007646CB" w:rsidRDefault="007646CB" w:rsidP="008B1949">
      <w:pPr>
        <w:pStyle w:val="Sub-list"/>
        <w:rPr>
          <w:rFonts w:asciiTheme="minorHAnsi" w:hAnsiTheme="minorHAnsi" w:cstheme="minorHAnsi"/>
        </w:rPr>
      </w:pPr>
      <w:r w:rsidRPr="007646CB">
        <w:rPr>
          <w:rFonts w:asciiTheme="minorHAnsi" w:hAnsiTheme="minorHAnsi" w:cstheme="minorHAnsi"/>
        </w:rPr>
        <w:t>For cardiac illness, admissions were estimated to be 11 percent lower (5 per 100,000 people compared to 6 in 2006).</w:t>
      </w:r>
    </w:p>
    <w:p w14:paraId="066B8933" w14:textId="77777777" w:rsidR="007646CB" w:rsidRPr="007646CB" w:rsidRDefault="007646CB" w:rsidP="008B1949">
      <w:pPr>
        <w:pStyle w:val="Sub-list"/>
        <w:rPr>
          <w:rFonts w:asciiTheme="minorHAnsi" w:hAnsiTheme="minorHAnsi" w:cstheme="minorHAnsi"/>
        </w:rPr>
      </w:pPr>
      <w:r w:rsidRPr="007646CB">
        <w:rPr>
          <w:rFonts w:asciiTheme="minorHAnsi" w:hAnsiTheme="minorHAnsi" w:cstheme="minorHAnsi"/>
        </w:rPr>
        <w:t>For respiratory illness, admissions were estimated to be 4 percent higher in 2016 than in 2006 (although rounding makes the admissions total the same: 9 admissions per 100,000 people in both years).</w:t>
      </w:r>
    </w:p>
    <w:p w14:paraId="667B2A1D" w14:textId="77777777" w:rsidR="007646CB" w:rsidRPr="007646CB" w:rsidRDefault="007646CB" w:rsidP="00D639C1">
      <w:pPr>
        <w:pStyle w:val="Bullet"/>
        <w:rPr>
          <w:rFonts w:asciiTheme="minorHAnsi" w:hAnsiTheme="minorHAnsi" w:cstheme="minorHAnsi"/>
        </w:rPr>
      </w:pPr>
      <w:r w:rsidRPr="007646CB">
        <w:rPr>
          <w:rFonts w:asciiTheme="minorHAnsi" w:hAnsiTheme="minorHAnsi" w:cstheme="minorHAnsi"/>
        </w:rPr>
        <w:t>Restricted activity days, in which symptoms were sufficient to prevent usual activities such as work or study, were estimated to be 12 percent lower in 2016 than 2006 (31,800 per 100,000 people compared to 36,300 in 2006).</w:t>
      </w:r>
    </w:p>
    <w:p w14:paraId="3342AA29" w14:textId="2DC2D2B2" w:rsidR="007646CB" w:rsidRDefault="007646CB" w:rsidP="007646CB">
      <w:pPr>
        <w:pStyle w:val="Figureheading"/>
      </w:pPr>
      <w:r>
        <w:t xml:space="preserve">Table </w:t>
      </w:r>
      <w:r w:rsidR="00AE2AED">
        <w:t>1</w:t>
      </w:r>
      <w:r>
        <w:t xml:space="preserve">: </w:t>
      </w:r>
      <w:r>
        <w:tab/>
      </w:r>
      <w:r w:rsidRPr="000902AD">
        <w:t>Modelled health effects from exposure to human-generated PM</w:t>
      </w:r>
      <w:r w:rsidRPr="00060749">
        <w:rPr>
          <w:vertAlign w:val="subscript"/>
        </w:rPr>
        <w:t>10</w:t>
      </w:r>
      <w:r w:rsidRPr="000902AD">
        <w:t>, 2006 and 2016</w:t>
      </w:r>
    </w:p>
    <w:tbl>
      <w:tblPr>
        <w:tblW w:w="8391" w:type="dxa"/>
        <w:tblInd w:w="113" w:type="dxa"/>
        <w:tblBorders>
          <w:top w:val="single" w:sz="4" w:space="0" w:color="009DDF"/>
          <w:bottom w:val="single" w:sz="4" w:space="0" w:color="009DDF"/>
          <w:insideH w:val="single" w:sz="4" w:space="0" w:color="009DDF"/>
          <w:insideV w:val="single" w:sz="4" w:space="0" w:color="009DDF"/>
        </w:tblBorders>
        <w:tblLook w:val="04A0" w:firstRow="1" w:lastRow="0" w:firstColumn="1" w:lastColumn="0" w:noHBand="0" w:noVBand="1"/>
      </w:tblPr>
      <w:tblGrid>
        <w:gridCol w:w="2136"/>
        <w:gridCol w:w="2854"/>
        <w:gridCol w:w="1701"/>
        <w:gridCol w:w="1700"/>
      </w:tblGrid>
      <w:tr w:rsidR="007646CB" w:rsidRPr="006657CC" w14:paraId="5D615B05" w14:textId="77777777" w:rsidTr="00DA6C58">
        <w:trPr>
          <w:tblHeader/>
        </w:trPr>
        <w:tc>
          <w:tcPr>
            <w:tcW w:w="4990" w:type="dxa"/>
            <w:gridSpan w:val="2"/>
            <w:shd w:val="clear" w:color="auto" w:fill="009DDF"/>
          </w:tcPr>
          <w:p w14:paraId="5874D7C4" w14:textId="77777777" w:rsidR="007646CB" w:rsidRPr="006657CC" w:rsidRDefault="007646CB" w:rsidP="00DA6C58">
            <w:pPr>
              <w:pStyle w:val="TableTextbold"/>
              <w:rPr>
                <w:color w:val="FFFFFF" w:themeColor="background1"/>
              </w:rPr>
            </w:pPr>
            <w:r w:rsidRPr="006657CC">
              <w:rPr>
                <w:color w:val="FFFFFF" w:themeColor="background1"/>
              </w:rPr>
              <w:t>Health effect</w:t>
            </w:r>
          </w:p>
        </w:tc>
        <w:tc>
          <w:tcPr>
            <w:tcW w:w="3401" w:type="dxa"/>
            <w:gridSpan w:val="2"/>
            <w:shd w:val="clear" w:color="auto" w:fill="009DDF"/>
          </w:tcPr>
          <w:p w14:paraId="1586546B" w14:textId="77777777" w:rsidR="007646CB" w:rsidRPr="006657CC" w:rsidRDefault="007646CB" w:rsidP="00DA6C58">
            <w:pPr>
              <w:pStyle w:val="TableTextbold"/>
              <w:rPr>
                <w:color w:val="FFFFFF" w:themeColor="background1"/>
              </w:rPr>
            </w:pPr>
            <w:r w:rsidRPr="006657CC">
              <w:rPr>
                <w:color w:val="FFFFFF" w:themeColor="background1"/>
              </w:rPr>
              <w:t>Number of cases per 100,000 people</w:t>
            </w:r>
          </w:p>
        </w:tc>
      </w:tr>
      <w:tr w:rsidR="007646CB" w:rsidRPr="00A01420" w14:paraId="44EC0597" w14:textId="77777777" w:rsidTr="00DA6C58">
        <w:trPr>
          <w:tblHeader/>
        </w:trPr>
        <w:tc>
          <w:tcPr>
            <w:tcW w:w="4990" w:type="dxa"/>
            <w:gridSpan w:val="2"/>
            <w:shd w:val="clear" w:color="auto" w:fill="009DDF"/>
          </w:tcPr>
          <w:p w14:paraId="7AEDB9F6" w14:textId="77777777" w:rsidR="007646CB" w:rsidRDefault="007646CB" w:rsidP="00DA6C58">
            <w:pPr>
              <w:pStyle w:val="TableTextbold"/>
            </w:pPr>
          </w:p>
        </w:tc>
        <w:tc>
          <w:tcPr>
            <w:tcW w:w="1701" w:type="dxa"/>
            <w:shd w:val="clear" w:color="auto" w:fill="009DDF"/>
          </w:tcPr>
          <w:p w14:paraId="0D0408D5" w14:textId="77777777" w:rsidR="007646CB" w:rsidRPr="006657CC" w:rsidRDefault="007646CB" w:rsidP="00DA6C58">
            <w:pPr>
              <w:pStyle w:val="TableTextbold"/>
              <w:rPr>
                <w:color w:val="FFFFFF" w:themeColor="background1"/>
              </w:rPr>
            </w:pPr>
            <w:r w:rsidRPr="006657CC">
              <w:rPr>
                <w:color w:val="FFFFFF" w:themeColor="background1"/>
              </w:rPr>
              <w:t>2006</w:t>
            </w:r>
          </w:p>
        </w:tc>
        <w:tc>
          <w:tcPr>
            <w:tcW w:w="1700" w:type="dxa"/>
            <w:shd w:val="clear" w:color="auto" w:fill="009DDF"/>
          </w:tcPr>
          <w:p w14:paraId="6ED38D98" w14:textId="77777777" w:rsidR="007646CB" w:rsidRPr="006657CC" w:rsidRDefault="007646CB" w:rsidP="00DA6C58">
            <w:pPr>
              <w:pStyle w:val="TableTextbold"/>
              <w:rPr>
                <w:color w:val="FFFFFF" w:themeColor="background1"/>
              </w:rPr>
            </w:pPr>
            <w:r w:rsidRPr="006657CC">
              <w:rPr>
                <w:color w:val="FFFFFF" w:themeColor="background1"/>
              </w:rPr>
              <w:t>2016</w:t>
            </w:r>
          </w:p>
        </w:tc>
      </w:tr>
      <w:tr w:rsidR="007646CB" w:rsidRPr="00A01420" w14:paraId="06062756" w14:textId="77777777" w:rsidTr="00DA6C58">
        <w:tc>
          <w:tcPr>
            <w:tcW w:w="4990" w:type="dxa"/>
            <w:gridSpan w:val="2"/>
            <w:shd w:val="clear" w:color="auto" w:fill="auto"/>
          </w:tcPr>
          <w:p w14:paraId="2D9F57FC" w14:textId="77777777" w:rsidR="007646CB" w:rsidRPr="00A01420" w:rsidRDefault="007646CB" w:rsidP="00DA6C58">
            <w:pPr>
              <w:pStyle w:val="TableText"/>
            </w:pPr>
            <w:r>
              <w:t>Premature mortality (adults 30+)</w:t>
            </w:r>
          </w:p>
        </w:tc>
        <w:tc>
          <w:tcPr>
            <w:tcW w:w="1701" w:type="dxa"/>
          </w:tcPr>
          <w:p w14:paraId="54FF2820" w14:textId="77777777" w:rsidR="007646CB" w:rsidRPr="00A01420" w:rsidRDefault="007646CB" w:rsidP="00DA6C58">
            <w:pPr>
              <w:pStyle w:val="TableText"/>
            </w:pPr>
            <w:r>
              <w:t>29</w:t>
            </w:r>
          </w:p>
        </w:tc>
        <w:tc>
          <w:tcPr>
            <w:tcW w:w="1700" w:type="dxa"/>
          </w:tcPr>
          <w:p w14:paraId="5BB33BB3" w14:textId="77777777" w:rsidR="007646CB" w:rsidRPr="00A01420" w:rsidRDefault="007646CB" w:rsidP="00DA6C58">
            <w:pPr>
              <w:pStyle w:val="TableText"/>
            </w:pPr>
            <w:r>
              <w:t>27</w:t>
            </w:r>
          </w:p>
        </w:tc>
      </w:tr>
      <w:tr w:rsidR="007646CB" w:rsidRPr="00A01420" w14:paraId="017CC638" w14:textId="77777777" w:rsidTr="00DA6C58">
        <w:tc>
          <w:tcPr>
            <w:tcW w:w="2136" w:type="dxa"/>
            <w:vMerge w:val="restart"/>
            <w:shd w:val="clear" w:color="auto" w:fill="auto"/>
            <w:vAlign w:val="center"/>
          </w:tcPr>
          <w:p w14:paraId="351FB189" w14:textId="77777777" w:rsidR="007646CB" w:rsidRPr="00A01420" w:rsidRDefault="007646CB" w:rsidP="00DA6C58">
            <w:pPr>
              <w:pStyle w:val="TableText"/>
            </w:pPr>
            <w:r>
              <w:t>Hospital admissions</w:t>
            </w:r>
          </w:p>
        </w:tc>
        <w:tc>
          <w:tcPr>
            <w:tcW w:w="2854" w:type="dxa"/>
            <w:shd w:val="clear" w:color="auto" w:fill="auto"/>
          </w:tcPr>
          <w:p w14:paraId="1BEA9D74" w14:textId="77777777" w:rsidR="007646CB" w:rsidRPr="00A01420" w:rsidRDefault="007646CB" w:rsidP="00DA6C58">
            <w:pPr>
              <w:pStyle w:val="TableText"/>
            </w:pPr>
            <w:r>
              <w:t>Cardiac hospital admissions</w:t>
            </w:r>
          </w:p>
        </w:tc>
        <w:tc>
          <w:tcPr>
            <w:tcW w:w="1701" w:type="dxa"/>
          </w:tcPr>
          <w:p w14:paraId="12A725F6" w14:textId="77777777" w:rsidR="007646CB" w:rsidRPr="00A01420" w:rsidRDefault="007646CB" w:rsidP="00DA6C58">
            <w:pPr>
              <w:pStyle w:val="TableText"/>
            </w:pPr>
            <w:r>
              <w:t>6</w:t>
            </w:r>
          </w:p>
        </w:tc>
        <w:tc>
          <w:tcPr>
            <w:tcW w:w="1700" w:type="dxa"/>
          </w:tcPr>
          <w:p w14:paraId="31681866" w14:textId="77777777" w:rsidR="007646CB" w:rsidRPr="00A01420" w:rsidRDefault="007646CB" w:rsidP="00DA6C58">
            <w:pPr>
              <w:pStyle w:val="TableText"/>
            </w:pPr>
            <w:r>
              <w:t>5</w:t>
            </w:r>
          </w:p>
        </w:tc>
      </w:tr>
      <w:tr w:rsidR="007646CB" w:rsidRPr="00A01420" w14:paraId="6C51230C" w14:textId="77777777" w:rsidTr="00DA6C58">
        <w:tc>
          <w:tcPr>
            <w:tcW w:w="2136" w:type="dxa"/>
            <w:vMerge/>
            <w:shd w:val="clear" w:color="auto" w:fill="auto"/>
          </w:tcPr>
          <w:p w14:paraId="2ACCF88F" w14:textId="77777777" w:rsidR="007646CB" w:rsidRPr="00A01420" w:rsidRDefault="007646CB" w:rsidP="00DA6C58">
            <w:pPr>
              <w:pStyle w:val="TableText"/>
            </w:pPr>
          </w:p>
        </w:tc>
        <w:tc>
          <w:tcPr>
            <w:tcW w:w="2854" w:type="dxa"/>
            <w:shd w:val="clear" w:color="auto" w:fill="auto"/>
          </w:tcPr>
          <w:p w14:paraId="146851DB" w14:textId="77777777" w:rsidR="007646CB" w:rsidRPr="00A01420" w:rsidRDefault="007646CB" w:rsidP="00DA6C58">
            <w:pPr>
              <w:pStyle w:val="TableText"/>
            </w:pPr>
            <w:r>
              <w:t>Respiratory hospital admissions</w:t>
            </w:r>
          </w:p>
        </w:tc>
        <w:tc>
          <w:tcPr>
            <w:tcW w:w="1701" w:type="dxa"/>
          </w:tcPr>
          <w:p w14:paraId="0118FD9D" w14:textId="77777777" w:rsidR="007646CB" w:rsidRPr="00A01420" w:rsidRDefault="007646CB" w:rsidP="00DA6C58">
            <w:pPr>
              <w:pStyle w:val="TableText"/>
            </w:pPr>
            <w:r>
              <w:t>9</w:t>
            </w:r>
          </w:p>
        </w:tc>
        <w:tc>
          <w:tcPr>
            <w:tcW w:w="1700" w:type="dxa"/>
          </w:tcPr>
          <w:p w14:paraId="36C630F6" w14:textId="77777777" w:rsidR="007646CB" w:rsidRPr="00A01420" w:rsidRDefault="007646CB" w:rsidP="00DA6C58">
            <w:pPr>
              <w:pStyle w:val="TableText"/>
            </w:pPr>
            <w:r>
              <w:t>9</w:t>
            </w:r>
          </w:p>
        </w:tc>
      </w:tr>
      <w:tr w:rsidR="007646CB" w:rsidRPr="00A01420" w14:paraId="1472D934" w14:textId="77777777" w:rsidTr="00DA6C58">
        <w:tc>
          <w:tcPr>
            <w:tcW w:w="2136" w:type="dxa"/>
            <w:vMerge/>
            <w:shd w:val="clear" w:color="auto" w:fill="auto"/>
          </w:tcPr>
          <w:p w14:paraId="7FBA709A" w14:textId="77777777" w:rsidR="007646CB" w:rsidRPr="00A01420" w:rsidRDefault="007646CB" w:rsidP="00DA6C58">
            <w:pPr>
              <w:pStyle w:val="TableText"/>
            </w:pPr>
          </w:p>
        </w:tc>
        <w:tc>
          <w:tcPr>
            <w:tcW w:w="2854" w:type="dxa"/>
            <w:shd w:val="clear" w:color="auto" w:fill="auto"/>
          </w:tcPr>
          <w:p w14:paraId="2E7EBDDB" w14:textId="77777777" w:rsidR="007646CB" w:rsidRPr="00A01420" w:rsidRDefault="007646CB" w:rsidP="00DA6C58">
            <w:pPr>
              <w:pStyle w:val="TableText"/>
            </w:pPr>
            <w:r>
              <w:t>Total hospital admissions</w:t>
            </w:r>
          </w:p>
        </w:tc>
        <w:tc>
          <w:tcPr>
            <w:tcW w:w="1701" w:type="dxa"/>
          </w:tcPr>
          <w:p w14:paraId="4F46426A" w14:textId="77777777" w:rsidR="007646CB" w:rsidRPr="00A01420" w:rsidRDefault="007646CB" w:rsidP="00DA6C58">
            <w:pPr>
              <w:pStyle w:val="TableText"/>
            </w:pPr>
            <w:r>
              <w:t>15</w:t>
            </w:r>
          </w:p>
        </w:tc>
        <w:tc>
          <w:tcPr>
            <w:tcW w:w="1700" w:type="dxa"/>
          </w:tcPr>
          <w:p w14:paraId="556EBDC4" w14:textId="77777777" w:rsidR="007646CB" w:rsidRPr="00A01420" w:rsidRDefault="007646CB" w:rsidP="00DA6C58">
            <w:pPr>
              <w:pStyle w:val="TableText"/>
            </w:pPr>
            <w:r>
              <w:t>14</w:t>
            </w:r>
          </w:p>
        </w:tc>
      </w:tr>
      <w:tr w:rsidR="007646CB" w:rsidRPr="00A01420" w14:paraId="4BCE0123" w14:textId="77777777" w:rsidTr="00DA6C58">
        <w:tc>
          <w:tcPr>
            <w:tcW w:w="4990" w:type="dxa"/>
            <w:gridSpan w:val="2"/>
            <w:shd w:val="clear" w:color="auto" w:fill="auto"/>
          </w:tcPr>
          <w:p w14:paraId="150360EE" w14:textId="77777777" w:rsidR="007646CB" w:rsidRPr="00A01420" w:rsidRDefault="007646CB" w:rsidP="00DA6C58">
            <w:pPr>
              <w:pStyle w:val="TableText"/>
            </w:pPr>
            <w:r>
              <w:t>Restricted activity days</w:t>
            </w:r>
          </w:p>
        </w:tc>
        <w:tc>
          <w:tcPr>
            <w:tcW w:w="1701" w:type="dxa"/>
          </w:tcPr>
          <w:p w14:paraId="3DAA576A" w14:textId="77777777" w:rsidR="007646CB" w:rsidRPr="00A01420" w:rsidRDefault="007646CB" w:rsidP="00DA6C58">
            <w:pPr>
              <w:pStyle w:val="TableText"/>
            </w:pPr>
            <w:r>
              <w:t>36,300</w:t>
            </w:r>
          </w:p>
        </w:tc>
        <w:tc>
          <w:tcPr>
            <w:tcW w:w="1700" w:type="dxa"/>
          </w:tcPr>
          <w:p w14:paraId="4AE845E3" w14:textId="77777777" w:rsidR="007646CB" w:rsidRPr="00A01420" w:rsidRDefault="007646CB" w:rsidP="00DA6C58">
            <w:pPr>
              <w:pStyle w:val="TableText"/>
            </w:pPr>
            <w:r>
              <w:t>31,800</w:t>
            </w:r>
          </w:p>
        </w:tc>
      </w:tr>
    </w:tbl>
    <w:p w14:paraId="76005107" w14:textId="08D6A178" w:rsidR="003F7FF4" w:rsidRDefault="003F7FF4" w:rsidP="003F7FF4">
      <w:pPr>
        <w:pStyle w:val="Source"/>
      </w:pPr>
      <w:r w:rsidRPr="003228B1">
        <w:t>Source: HAPINZ Exposure Model (Kuschel et al, 2012), Emission Impossible Ltd</w:t>
      </w:r>
    </w:p>
    <w:p w14:paraId="09A4D09F" w14:textId="75D8238C" w:rsidR="007646CB" w:rsidRDefault="007646CB" w:rsidP="007646CB">
      <w:pPr>
        <w:pStyle w:val="Heading3"/>
      </w:pPr>
      <w:r>
        <w:t>Find out more</w:t>
      </w:r>
    </w:p>
    <w:p w14:paraId="54FD1E14" w14:textId="722AFC3B" w:rsidR="007646CB" w:rsidRPr="007646CB" w:rsidRDefault="009F7BD9" w:rsidP="007646CB">
      <w:pPr>
        <w:rPr>
          <w:rStyle w:val="Hyperlink"/>
        </w:rPr>
      </w:pPr>
      <w:hyperlink r:id="rId33" w:history="1">
        <w:r w:rsidR="007646CB" w:rsidRPr="00A758E3">
          <w:rPr>
            <w:rStyle w:val="Hyperlink"/>
          </w:rPr>
          <w:t>Stats NZ Health impacts of PM</w:t>
        </w:r>
        <w:r w:rsidR="007646CB" w:rsidRPr="00A758E3">
          <w:rPr>
            <w:rStyle w:val="Hyperlink"/>
            <w:vertAlign w:val="subscript"/>
          </w:rPr>
          <w:t>10</w:t>
        </w:r>
        <w:r w:rsidR="007646CB" w:rsidRPr="00A758E3">
          <w:rPr>
            <w:rStyle w:val="Hyperlink"/>
          </w:rPr>
          <w:t xml:space="preserve"> web page</w:t>
        </w:r>
      </w:hyperlink>
    </w:p>
    <w:p w14:paraId="05D4EBFA" w14:textId="4E76141E" w:rsidR="007646CB" w:rsidRPr="00076547" w:rsidRDefault="00602374" w:rsidP="008B1949">
      <w:pPr>
        <w:pStyle w:val="BodyText"/>
      </w:pPr>
      <w:r>
        <w:br w:type="page"/>
      </w:r>
    </w:p>
    <w:p w14:paraId="0B1CB9EF" w14:textId="4CB4D6FE" w:rsidR="00FE4E5C" w:rsidRDefault="007A2033" w:rsidP="00BC60CD">
      <w:pPr>
        <w:pStyle w:val="Heading1"/>
      </w:pPr>
      <w:bookmarkStart w:id="24" w:name="_Toc84935048"/>
      <w:r>
        <w:lastRenderedPageBreak/>
        <w:t>References</w:t>
      </w:r>
      <w:bookmarkEnd w:id="24"/>
    </w:p>
    <w:p w14:paraId="60FE29DB" w14:textId="6CDE8EB7" w:rsidR="00F94689" w:rsidRPr="00BD7ED2" w:rsidRDefault="00F94689" w:rsidP="00F94689">
      <w:pPr>
        <w:pStyle w:val="BodyText"/>
        <w:rPr>
          <w:sz w:val="20"/>
        </w:rPr>
      </w:pPr>
      <w:r w:rsidRPr="00BD7ED2">
        <w:rPr>
          <w:sz w:val="20"/>
        </w:rPr>
        <w:t xml:space="preserve">Environmental Reporting Act 2015. </w:t>
      </w:r>
      <w:r w:rsidR="00BD7ED2" w:rsidRPr="00BD7ED2">
        <w:rPr>
          <w:sz w:val="20"/>
        </w:rPr>
        <w:t>Retrieved from https://www.legislation.govt.nz/act/public/2015/0087/latest/DLM5941105.html</w:t>
      </w:r>
    </w:p>
    <w:p w14:paraId="62D800D5" w14:textId="77777777" w:rsidR="00553B87" w:rsidRPr="00AE38CF" w:rsidRDefault="00553B87" w:rsidP="00553B87">
      <w:pPr>
        <w:pStyle w:val="BodyText"/>
        <w:rPr>
          <w:sz w:val="20"/>
        </w:rPr>
      </w:pPr>
      <w:r w:rsidRPr="00AE38CF">
        <w:rPr>
          <w:sz w:val="20"/>
        </w:rPr>
        <w:t xml:space="preserve">Health Effects Institute (2018). </w:t>
      </w:r>
      <w:r w:rsidRPr="00AE38CF">
        <w:rPr>
          <w:i/>
          <w:sz w:val="20"/>
        </w:rPr>
        <w:t>State of global air 2018. Special Report</w:t>
      </w:r>
      <w:r w:rsidRPr="00AE38CF">
        <w:rPr>
          <w:sz w:val="20"/>
        </w:rPr>
        <w:t>. Health Effects Institute, Boston, USA.</w:t>
      </w:r>
    </w:p>
    <w:p w14:paraId="13A4DBA0" w14:textId="61C95563" w:rsidR="00553B87" w:rsidRDefault="00553B87" w:rsidP="00553B87">
      <w:pPr>
        <w:pStyle w:val="BodyText"/>
        <w:rPr>
          <w:sz w:val="20"/>
        </w:rPr>
      </w:pPr>
      <w:r w:rsidRPr="00AE38CF">
        <w:rPr>
          <w:sz w:val="20"/>
        </w:rPr>
        <w:t xml:space="preserve">Kuschel, G, Metcalfe, J, Wilton, E, Guria, J, Hales, S, Rolfe, K, &amp; Woodward, A (2012). </w:t>
      </w:r>
      <w:r w:rsidRPr="00AE38CF">
        <w:rPr>
          <w:i/>
          <w:sz w:val="20"/>
        </w:rPr>
        <w:t>Updated Health and Air Pollution in New Zealand Study Volume 1: Summary report (Vol. 1)</w:t>
      </w:r>
      <w:r w:rsidRPr="00AE38CF">
        <w:rPr>
          <w:sz w:val="20"/>
        </w:rPr>
        <w:t xml:space="preserve">. Retrieved from </w:t>
      </w:r>
      <w:r w:rsidR="00E0034D" w:rsidRPr="00C610CE">
        <w:rPr>
          <w:sz w:val="20"/>
        </w:rPr>
        <w:t>https://environment.govt.nz/publications/updated-health-and-air-pollution-in-new-zealand-study-2012-technical-report/</w:t>
      </w:r>
    </w:p>
    <w:p w14:paraId="157F7D70" w14:textId="5F824D59" w:rsidR="00E0034D" w:rsidRDefault="00E0034D" w:rsidP="00553B87">
      <w:pPr>
        <w:pStyle w:val="BodyText"/>
        <w:rPr>
          <w:sz w:val="20"/>
        </w:rPr>
      </w:pPr>
      <w:r>
        <w:rPr>
          <w:sz w:val="20"/>
        </w:rPr>
        <w:t xml:space="preserve">Patel, H, Talbot, N, Salmond, J, Dirks, K, Xie, S, &amp; Davy, P (2020). </w:t>
      </w:r>
      <w:r w:rsidRPr="002C5DF2">
        <w:rPr>
          <w:sz w:val="20"/>
        </w:rPr>
        <w:t>Implications for air quality management of changes in air quality during lockdown in Auckland (New Zealand) in response to the 2020 SARS-CoV-2 epidemic</w:t>
      </w:r>
      <w:r>
        <w:rPr>
          <w:sz w:val="20"/>
        </w:rPr>
        <w:t xml:space="preserve">. </w:t>
      </w:r>
      <w:r w:rsidRPr="002C5DF2">
        <w:rPr>
          <w:sz w:val="20"/>
        </w:rPr>
        <w:t>Science of The Total Environment</w:t>
      </w:r>
      <w:r>
        <w:rPr>
          <w:sz w:val="20"/>
        </w:rPr>
        <w:t>: 746.</w:t>
      </w:r>
    </w:p>
    <w:p w14:paraId="0E49B0EA" w14:textId="21899CC8" w:rsidR="007926E8" w:rsidRPr="00AE38CF" w:rsidRDefault="007926E8" w:rsidP="00553B87">
      <w:pPr>
        <w:pStyle w:val="BodyText"/>
        <w:rPr>
          <w:sz w:val="20"/>
        </w:rPr>
      </w:pPr>
      <w:r>
        <w:rPr>
          <w:rStyle w:val="normaltextrun"/>
          <w:rFonts w:ascii="Calibri" w:hAnsi="Calibri" w:cs="Calibri"/>
          <w:color w:val="000000"/>
          <w:sz w:val="20"/>
          <w:szCs w:val="20"/>
          <w:shd w:val="clear" w:color="auto" w:fill="FFFFFF"/>
        </w:rPr>
        <w:t>Talbot, N, Takada,</w:t>
      </w:r>
      <w:r w:rsidR="00A2315E">
        <w:rPr>
          <w:rStyle w:val="normaltextrun"/>
          <w:rFonts w:ascii="Calibri" w:hAnsi="Calibri" w:cs="Calibri"/>
          <w:color w:val="000000"/>
          <w:sz w:val="20"/>
          <w:szCs w:val="20"/>
          <w:shd w:val="clear" w:color="auto" w:fill="FFFFFF"/>
        </w:rPr>
        <w:t xml:space="preserve"> </w:t>
      </w:r>
      <w:r>
        <w:rPr>
          <w:rStyle w:val="normaltextrun"/>
          <w:rFonts w:ascii="Calibri" w:hAnsi="Calibri" w:cs="Calibri"/>
          <w:color w:val="000000"/>
          <w:sz w:val="20"/>
          <w:szCs w:val="20"/>
          <w:shd w:val="clear" w:color="auto" w:fill="FFFFFF"/>
        </w:rPr>
        <w:t>A, Bingham, AH,</w:t>
      </w:r>
      <w:r w:rsidR="00A2315E">
        <w:rPr>
          <w:rStyle w:val="normaltextrun"/>
          <w:rFonts w:ascii="Calibri" w:hAnsi="Calibri" w:cs="Calibri"/>
          <w:color w:val="000000"/>
          <w:sz w:val="20"/>
          <w:szCs w:val="20"/>
          <w:shd w:val="clear" w:color="auto" w:fill="FFFFFF"/>
        </w:rPr>
        <w:t xml:space="preserve"> </w:t>
      </w:r>
      <w:r>
        <w:rPr>
          <w:rStyle w:val="normaltextrun"/>
          <w:rFonts w:ascii="Calibri" w:hAnsi="Calibri" w:cs="Calibri"/>
          <w:color w:val="000000"/>
          <w:sz w:val="20"/>
          <w:szCs w:val="20"/>
          <w:shd w:val="clear" w:color="auto" w:fill="FFFFFF"/>
        </w:rPr>
        <w:t>Elder, D, Yee, SL,</w:t>
      </w:r>
      <w:r w:rsidR="00A2315E">
        <w:rPr>
          <w:rStyle w:val="normaltextrun"/>
          <w:rFonts w:ascii="Calibri" w:hAnsi="Calibri" w:cs="Calibri"/>
          <w:color w:val="000000"/>
          <w:sz w:val="20"/>
          <w:szCs w:val="20"/>
          <w:shd w:val="clear" w:color="auto" w:fill="FFFFFF"/>
        </w:rPr>
        <w:t xml:space="preserve"> </w:t>
      </w:r>
      <w:r>
        <w:rPr>
          <w:rStyle w:val="normaltextrun"/>
          <w:rFonts w:ascii="Calibri" w:hAnsi="Calibri" w:cs="Calibri"/>
          <w:color w:val="000000"/>
          <w:sz w:val="20"/>
          <w:szCs w:val="20"/>
          <w:shd w:val="clear" w:color="auto" w:fill="FFFFFF"/>
        </w:rPr>
        <w:t>&amp;</w:t>
      </w:r>
      <w:r w:rsidR="00A2315E">
        <w:rPr>
          <w:rStyle w:val="normaltextrun"/>
          <w:rFonts w:ascii="Calibri" w:hAnsi="Calibri" w:cs="Calibri"/>
          <w:color w:val="000000"/>
          <w:sz w:val="20"/>
          <w:szCs w:val="20"/>
          <w:shd w:val="clear" w:color="auto" w:fill="FFFFFF"/>
        </w:rPr>
        <w:t xml:space="preserve"> </w:t>
      </w:r>
      <w:r>
        <w:rPr>
          <w:rStyle w:val="normaltextrun"/>
          <w:rFonts w:ascii="Calibri" w:hAnsi="Calibri" w:cs="Calibri"/>
          <w:color w:val="000000"/>
          <w:sz w:val="20"/>
          <w:szCs w:val="20"/>
          <w:shd w:val="clear" w:color="auto" w:fill="FFFFFF"/>
        </w:rPr>
        <w:t>Golubiewski, NE</w:t>
      </w:r>
      <w:r w:rsidR="00A2315E">
        <w:rPr>
          <w:rStyle w:val="normaltextrun"/>
          <w:rFonts w:ascii="Calibri" w:hAnsi="Calibri" w:cs="Calibri"/>
          <w:color w:val="000000"/>
          <w:sz w:val="20"/>
          <w:szCs w:val="20"/>
          <w:shd w:val="clear" w:color="auto" w:fill="FFFFFF"/>
        </w:rPr>
        <w:t xml:space="preserve"> </w:t>
      </w:r>
      <w:r>
        <w:rPr>
          <w:rStyle w:val="normaltextrun"/>
          <w:rFonts w:ascii="Calibri" w:hAnsi="Calibri" w:cs="Calibri"/>
          <w:color w:val="000000"/>
          <w:sz w:val="20"/>
          <w:szCs w:val="20"/>
          <w:shd w:val="clear" w:color="auto" w:fill="FFFFFF"/>
        </w:rPr>
        <w:t>(2021).</w:t>
      </w:r>
      <w:r w:rsidR="00A2315E">
        <w:rPr>
          <w:rStyle w:val="normaltextrun"/>
          <w:rFonts w:ascii="Calibri" w:hAnsi="Calibri" w:cs="Calibri"/>
          <w:color w:val="000000"/>
          <w:sz w:val="20"/>
          <w:szCs w:val="20"/>
          <w:shd w:val="clear" w:color="auto" w:fill="FFFFFF"/>
        </w:rPr>
        <w:t xml:space="preserve"> </w:t>
      </w:r>
      <w:r>
        <w:rPr>
          <w:rStyle w:val="normaltextrun"/>
          <w:rFonts w:ascii="Calibri" w:hAnsi="Calibri" w:cs="Calibri"/>
          <w:color w:val="000000"/>
          <w:sz w:val="20"/>
          <w:szCs w:val="20"/>
          <w:shd w:val="clear" w:color="auto" w:fill="FFFFFF"/>
        </w:rPr>
        <w:t>An investigation of the impacts of a successful COVID-19 response and meteorology on air quality in New Zealand.</w:t>
      </w:r>
      <w:r w:rsidR="00A2315E">
        <w:rPr>
          <w:rStyle w:val="normaltextrun"/>
          <w:rFonts w:ascii="Calibri" w:hAnsi="Calibri" w:cs="Calibri"/>
          <w:color w:val="000000"/>
          <w:sz w:val="20"/>
          <w:szCs w:val="20"/>
          <w:shd w:val="clear" w:color="auto" w:fill="FFFFFF"/>
        </w:rPr>
        <w:t xml:space="preserve"> </w:t>
      </w:r>
      <w:r>
        <w:rPr>
          <w:rStyle w:val="normaltextrun"/>
          <w:rFonts w:ascii="Calibri" w:hAnsi="Calibri" w:cs="Calibri"/>
          <w:color w:val="000000"/>
          <w:sz w:val="20"/>
          <w:szCs w:val="20"/>
          <w:shd w:val="clear" w:color="auto" w:fill="FFFFFF"/>
        </w:rPr>
        <w:t>Atmospheric Environment,</w:t>
      </w:r>
      <w:r w:rsidR="00A2315E">
        <w:rPr>
          <w:rStyle w:val="normaltextrun"/>
          <w:rFonts w:ascii="Calibri" w:hAnsi="Calibri" w:cs="Calibri"/>
          <w:color w:val="000000"/>
          <w:sz w:val="20"/>
          <w:szCs w:val="20"/>
          <w:shd w:val="clear" w:color="auto" w:fill="FFFFFF"/>
        </w:rPr>
        <w:t xml:space="preserve"> </w:t>
      </w:r>
      <w:r>
        <w:rPr>
          <w:rStyle w:val="normaltextrun"/>
          <w:rFonts w:ascii="Calibri" w:hAnsi="Calibri" w:cs="Calibri"/>
          <w:color w:val="000000"/>
          <w:sz w:val="20"/>
          <w:szCs w:val="20"/>
          <w:shd w:val="clear" w:color="auto" w:fill="FFFFFF"/>
        </w:rPr>
        <w:t>254.</w:t>
      </w:r>
      <w:r w:rsidR="00A2315E">
        <w:rPr>
          <w:rStyle w:val="normaltextrun"/>
          <w:rFonts w:ascii="Calibri" w:hAnsi="Calibri" w:cs="Calibri"/>
          <w:color w:val="000000"/>
          <w:sz w:val="20"/>
          <w:szCs w:val="20"/>
          <w:shd w:val="clear" w:color="auto" w:fill="FFFFFF"/>
        </w:rPr>
        <w:t xml:space="preserve"> </w:t>
      </w:r>
      <w:r w:rsidR="00A2315E" w:rsidRPr="00CE6E72">
        <w:rPr>
          <w:rStyle w:val="normaltextrun"/>
          <w:rFonts w:ascii="Calibri" w:hAnsi="Calibri" w:cs="Calibri"/>
          <w:color w:val="000000"/>
          <w:sz w:val="20"/>
          <w:szCs w:val="20"/>
          <w:shd w:val="clear" w:color="auto" w:fill="FFFFFF"/>
        </w:rPr>
        <w:t>https://doi.org/10.1016/j.atmosenv.2021.118322</w:t>
      </w:r>
    </w:p>
    <w:p w14:paraId="368A4059" w14:textId="735613A3" w:rsidR="00553B87" w:rsidRPr="00AE38CF" w:rsidRDefault="00553B87" w:rsidP="00553B87">
      <w:pPr>
        <w:pStyle w:val="BodyText"/>
        <w:rPr>
          <w:sz w:val="20"/>
        </w:rPr>
      </w:pPr>
      <w:r w:rsidRPr="00AE38CF">
        <w:rPr>
          <w:sz w:val="20"/>
        </w:rPr>
        <w:t>United States Environmental Protection Agency (US EPA) (2010). Integrated Science Assessment for Carbon Monoxide. Retrieved from https://www.epa.gov/isa/integrated-science-assessment-isa-carbon-monoxide</w:t>
      </w:r>
    </w:p>
    <w:p w14:paraId="70D36B26" w14:textId="6CE370BF" w:rsidR="00553B87" w:rsidRPr="00AE38CF" w:rsidRDefault="00553B87" w:rsidP="00553B87">
      <w:pPr>
        <w:pStyle w:val="BodyText"/>
        <w:rPr>
          <w:sz w:val="20"/>
        </w:rPr>
      </w:pPr>
      <w:r w:rsidRPr="00AE38CF">
        <w:rPr>
          <w:sz w:val="20"/>
        </w:rPr>
        <w:t xml:space="preserve">United States Environmental Protection Agency (US EPA). (2013). Integrated </w:t>
      </w:r>
      <w:r w:rsidR="00A2089F">
        <w:rPr>
          <w:sz w:val="20"/>
        </w:rPr>
        <w:t>S</w:t>
      </w:r>
      <w:r w:rsidRPr="00AE38CF">
        <w:rPr>
          <w:sz w:val="20"/>
        </w:rPr>
        <w:t xml:space="preserve">cience </w:t>
      </w:r>
      <w:r w:rsidR="00A2089F">
        <w:rPr>
          <w:sz w:val="20"/>
        </w:rPr>
        <w:t>A</w:t>
      </w:r>
      <w:r w:rsidRPr="00AE38CF">
        <w:rPr>
          <w:sz w:val="20"/>
        </w:rPr>
        <w:t xml:space="preserve">ssessment for </w:t>
      </w:r>
      <w:r w:rsidR="00A2089F">
        <w:rPr>
          <w:sz w:val="20"/>
        </w:rPr>
        <w:t>O</w:t>
      </w:r>
      <w:r w:rsidRPr="00AE38CF">
        <w:rPr>
          <w:sz w:val="20"/>
        </w:rPr>
        <w:t xml:space="preserve">zone and </w:t>
      </w:r>
      <w:r w:rsidR="00A2089F">
        <w:rPr>
          <w:sz w:val="20"/>
        </w:rPr>
        <w:t>R</w:t>
      </w:r>
      <w:r w:rsidRPr="00AE38CF">
        <w:rPr>
          <w:sz w:val="20"/>
        </w:rPr>
        <w:t xml:space="preserve">elated </w:t>
      </w:r>
      <w:r w:rsidR="00A2089F">
        <w:rPr>
          <w:sz w:val="20"/>
        </w:rPr>
        <w:t>P</w:t>
      </w:r>
      <w:r w:rsidRPr="00AE38CF">
        <w:rPr>
          <w:sz w:val="20"/>
        </w:rPr>
        <w:t xml:space="preserve">hotochemical </w:t>
      </w:r>
      <w:r w:rsidR="00A2089F">
        <w:rPr>
          <w:sz w:val="20"/>
        </w:rPr>
        <w:t>O</w:t>
      </w:r>
      <w:r w:rsidRPr="00AE38CF">
        <w:rPr>
          <w:sz w:val="20"/>
        </w:rPr>
        <w:t>xidants. Federal Register (Vol. EPA 600/R-). Research Triangle Park, NC.</w:t>
      </w:r>
    </w:p>
    <w:p w14:paraId="79C28251" w14:textId="43725167" w:rsidR="00553B87" w:rsidRPr="00AE38CF" w:rsidRDefault="00553B87" w:rsidP="00553B87">
      <w:pPr>
        <w:pStyle w:val="BodyText"/>
        <w:rPr>
          <w:sz w:val="20"/>
        </w:rPr>
      </w:pPr>
      <w:r w:rsidRPr="00AE38CF">
        <w:rPr>
          <w:sz w:val="20"/>
        </w:rPr>
        <w:t>United States Environmental Protection Agency (US EPA) (2016). Integrated Science Assessment for Oxides of Nitrogen – Health Criteria. Retrieved from https://www.epa.gov/isa/integrated-science</w:t>
      </w:r>
      <w:r w:rsidR="00A2089F">
        <w:rPr>
          <w:sz w:val="20"/>
        </w:rPr>
        <w:t>-</w:t>
      </w:r>
      <w:r w:rsidRPr="00AE38CF">
        <w:rPr>
          <w:sz w:val="20"/>
        </w:rPr>
        <w:t>assessment-isa-nitrogen-dioxide-health-criteria</w:t>
      </w:r>
    </w:p>
    <w:p w14:paraId="360E64D2" w14:textId="39C8AF26" w:rsidR="00553B87" w:rsidRPr="00AE38CF" w:rsidRDefault="00553B87" w:rsidP="00553B87">
      <w:pPr>
        <w:pStyle w:val="BodyText"/>
        <w:rPr>
          <w:sz w:val="20"/>
        </w:rPr>
      </w:pPr>
      <w:r w:rsidRPr="00AE38CF">
        <w:rPr>
          <w:sz w:val="20"/>
        </w:rPr>
        <w:t>United States Environmental Protection Agency (US EPA). (2017). Integrated Science Assessment for Sulfur Oxides – Health Criteria. Research Triangle Park, NC. Retrieved from</w:t>
      </w:r>
      <w:r w:rsidR="006656B5">
        <w:rPr>
          <w:sz w:val="20"/>
        </w:rPr>
        <w:t xml:space="preserve"> </w:t>
      </w:r>
      <w:r w:rsidR="006656B5" w:rsidRPr="006656B5">
        <w:rPr>
          <w:sz w:val="20"/>
        </w:rPr>
        <w:t>https://www.epa.gov/isa/integrated-science-assessment-isa-sulfur-oxides-health-criteria</w:t>
      </w:r>
    </w:p>
    <w:p w14:paraId="613EAED1" w14:textId="62F4265C" w:rsidR="00553B87" w:rsidRDefault="00553B87" w:rsidP="00553B87">
      <w:pPr>
        <w:pStyle w:val="BodyText"/>
        <w:rPr>
          <w:sz w:val="20"/>
        </w:rPr>
      </w:pPr>
      <w:r w:rsidRPr="00AE38CF">
        <w:rPr>
          <w:sz w:val="20"/>
        </w:rPr>
        <w:t xml:space="preserve">United States Environmental Protection Agency (US EPA) (2021). Particulate Matter (PM) Basics. Retrieved from </w:t>
      </w:r>
      <w:r w:rsidR="00710A3E" w:rsidRPr="00A65C56">
        <w:rPr>
          <w:sz w:val="20"/>
        </w:rPr>
        <w:t>https://www.epa.gov/pm-pollution/particulate-matter-pm-basics#PM</w:t>
      </w:r>
    </w:p>
    <w:p w14:paraId="15262D5B" w14:textId="07F2B39B" w:rsidR="000F3D3D" w:rsidRDefault="000F3D3D" w:rsidP="00553B87">
      <w:pPr>
        <w:pStyle w:val="BodyText"/>
        <w:rPr>
          <w:sz w:val="20"/>
        </w:rPr>
      </w:pPr>
      <w:r w:rsidRPr="006A6430">
        <w:rPr>
          <w:sz w:val="20"/>
        </w:rPr>
        <w:t xml:space="preserve">World Health Organization (WHO) (2006). WHO Air quality guidelines for particulate matter, ozone, nitrogen dioxide and sulfur dioxide: global update 2005: summary of risk assessment. Geneva: World Health Organization. Geneva. </w:t>
      </w:r>
      <w:r w:rsidR="006A6430">
        <w:rPr>
          <w:sz w:val="20"/>
        </w:rPr>
        <w:t xml:space="preserve">Retrieved from </w:t>
      </w:r>
      <w:hyperlink r:id="rId34" w:history="1">
        <w:r w:rsidR="009F7BD9" w:rsidRPr="009F7BD9">
          <w:rPr>
            <w:rStyle w:val="Hyperlink"/>
            <w:color w:val="auto"/>
            <w:sz w:val="20"/>
          </w:rPr>
          <w:t>http://apps.who.int/iris/handle/10665/69477</w:t>
        </w:r>
      </w:hyperlink>
    </w:p>
    <w:p w14:paraId="646CECC4" w14:textId="77777777" w:rsidR="009F7BD9" w:rsidRPr="009F7BD9" w:rsidRDefault="009F7BD9" w:rsidP="009F7BD9">
      <w:pPr>
        <w:pStyle w:val="BodyText"/>
        <w:rPr>
          <w:sz w:val="20"/>
        </w:rPr>
      </w:pPr>
      <w:r w:rsidRPr="009F7BD9">
        <w:rPr>
          <w:sz w:val="20"/>
        </w:rPr>
        <w:t xml:space="preserve">WHO Regional Office for Europe (2010). WHO guidelines for indoor air quality: selected pollutants. Copenhagen: WHO Regional Office for Europe. </w:t>
      </w:r>
      <w:hyperlink r:id="rId35" w:history="1">
        <w:r w:rsidRPr="009F7BD9">
          <w:rPr>
            <w:sz w:val="20"/>
          </w:rPr>
          <w:t>https://apps.who.int/iris/handle/10665/260127</w:t>
        </w:r>
      </w:hyperlink>
      <w:r w:rsidRPr="009F7BD9">
        <w:rPr>
          <w:sz w:val="20"/>
        </w:rPr>
        <w:t xml:space="preserve"> </w:t>
      </w:r>
    </w:p>
    <w:p w14:paraId="3CC582A9" w14:textId="787F1817" w:rsidR="00553B87" w:rsidRPr="00AE38CF" w:rsidRDefault="00553B87" w:rsidP="00553B87">
      <w:pPr>
        <w:pStyle w:val="BodyText"/>
        <w:rPr>
          <w:sz w:val="20"/>
        </w:rPr>
      </w:pPr>
      <w:r w:rsidRPr="00AE38CF">
        <w:rPr>
          <w:sz w:val="20"/>
        </w:rPr>
        <w:t xml:space="preserve">World Health Organization (WHO) (2013). Review of evidence on health aspects of air pollution – REVIHAAP Project. Retrieved from </w:t>
      </w:r>
      <w:r w:rsidR="00A65C56" w:rsidRPr="00A65C56">
        <w:rPr>
          <w:sz w:val="20"/>
        </w:rPr>
        <w:t>https://www.euro.who.int/en/health-topics/environment-and-health/air-quality/publications/2013/review-of-evidence-on-health-aspects-of-air-pollution-revihaap-project-final-technical-report</w:t>
      </w:r>
    </w:p>
    <w:p w14:paraId="0032551B" w14:textId="77777777" w:rsidR="00553B87" w:rsidRPr="003C3A1D" w:rsidRDefault="00553B87" w:rsidP="00553B87">
      <w:pPr>
        <w:pStyle w:val="BodyText"/>
      </w:pPr>
      <w:r w:rsidRPr="00AE38CF">
        <w:rPr>
          <w:sz w:val="20"/>
          <w:szCs w:val="20"/>
          <w:shd w:val="clear" w:color="auto" w:fill="FFFFFF"/>
        </w:rPr>
        <w:t>World Health Organization. (‎2021)‎. WHO global air quality guidelines: particulate matter (‎PM</w:t>
      </w:r>
      <w:r w:rsidRPr="00AE38CF">
        <w:rPr>
          <w:sz w:val="20"/>
          <w:szCs w:val="20"/>
          <w:shd w:val="clear" w:color="auto" w:fill="FFFFFF"/>
          <w:vertAlign w:val="subscript"/>
        </w:rPr>
        <w:t>2.5</w:t>
      </w:r>
      <w:r w:rsidRPr="00AE38CF">
        <w:rPr>
          <w:sz w:val="20"/>
          <w:szCs w:val="20"/>
          <w:shd w:val="clear" w:color="auto" w:fill="FFFFFF"/>
        </w:rPr>
        <w:t xml:space="preserve"> and PM</w:t>
      </w:r>
      <w:r w:rsidRPr="00AE38CF">
        <w:rPr>
          <w:sz w:val="20"/>
          <w:szCs w:val="20"/>
          <w:shd w:val="clear" w:color="auto" w:fill="FFFFFF"/>
          <w:vertAlign w:val="subscript"/>
        </w:rPr>
        <w:t>10</w:t>
      </w:r>
      <w:r w:rsidRPr="00AE38CF">
        <w:rPr>
          <w:sz w:val="20"/>
          <w:szCs w:val="20"/>
          <w:shd w:val="clear" w:color="auto" w:fill="FFFFFF"/>
        </w:rPr>
        <w:t>)‎, ozone, nitrogen dioxide, sulfur dioxide and carbon monoxide. Retrieved from https://apps.who.int/iris/handle/10665/345329</w:t>
      </w:r>
    </w:p>
    <w:bookmarkEnd w:id="1"/>
    <w:p w14:paraId="402B93F5" w14:textId="7700423C" w:rsidR="00553B87" w:rsidRDefault="00553B87" w:rsidP="00553B87">
      <w:pPr>
        <w:pStyle w:val="BodyText"/>
      </w:pPr>
    </w:p>
    <w:sectPr w:rsidR="00553B87" w:rsidSect="00971A10">
      <w:footerReference w:type="even" r:id="rId36"/>
      <w:footerReference w:type="default" r:id="rId37"/>
      <w:pgSz w:w="11907" w:h="16840" w:code="9"/>
      <w:pgMar w:top="1134" w:right="1418" w:bottom="1134"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D0EC1" w14:textId="77777777" w:rsidR="00444F30" w:rsidRDefault="00444F30" w:rsidP="0080531E">
      <w:pPr>
        <w:spacing w:before="0" w:after="0" w:line="240" w:lineRule="auto"/>
      </w:pPr>
      <w:r>
        <w:separator/>
      </w:r>
    </w:p>
    <w:p w14:paraId="144BD2AA" w14:textId="77777777" w:rsidR="00444F30" w:rsidRDefault="00444F30"/>
  </w:endnote>
  <w:endnote w:type="continuationSeparator" w:id="0">
    <w:p w14:paraId="3BB81903" w14:textId="77777777" w:rsidR="00444F30" w:rsidRDefault="00444F30" w:rsidP="0080531E">
      <w:pPr>
        <w:spacing w:before="0" w:after="0" w:line="240" w:lineRule="auto"/>
      </w:pPr>
      <w:r>
        <w:continuationSeparator/>
      </w:r>
    </w:p>
    <w:p w14:paraId="20A44E3A" w14:textId="77777777" w:rsidR="00444F30" w:rsidRDefault="00444F30"/>
  </w:endnote>
  <w:endnote w:type="continuationNotice" w:id="1">
    <w:p w14:paraId="3F6D5D7F" w14:textId="77777777" w:rsidR="00444F30" w:rsidRDefault="00444F3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kPro-Bold">
    <w:panose1 w:val="00000000000000000000"/>
    <w:charset w:val="00"/>
    <w:family w:val="swiss"/>
    <w:notTrueType/>
    <w:pitch w:val="variable"/>
    <w:sig w:usb0="A00000FF" w:usb1="5000FCF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ADD8" w14:textId="77777777" w:rsidR="00AB5758" w:rsidRDefault="00AB5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854A" w14:textId="4D141F90" w:rsidR="00E5210B" w:rsidRDefault="00E5210B" w:rsidP="00734B9A">
    <w:pPr>
      <w:spacing w:before="0" w:after="0" w:line="240" w:lineRule="auto"/>
      <w:ind w:left="-57"/>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C81E8" w14:textId="77777777" w:rsidR="00AB5758" w:rsidRDefault="00AB57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ED08" w14:textId="77777777" w:rsidR="00E5210B" w:rsidRDefault="00E5210B" w:rsidP="00E65427">
    <w:pPr>
      <w:spacing w:before="240" w:after="0" w:line="24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CA26" w14:textId="77777777" w:rsidR="00E5210B" w:rsidRDefault="00E5210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117A" w14:textId="1D1E7C45" w:rsidR="00E453AB" w:rsidRDefault="00E5210B" w:rsidP="00CD25E1">
    <w:pPr>
      <w:pStyle w:val="Footereven"/>
    </w:pPr>
    <w:r w:rsidRPr="00553B87">
      <w:rPr>
        <w:rFonts w:asciiTheme="minorHAnsi" w:hAnsiTheme="minorHAnsi" w:cstheme="minorHAnsi"/>
        <w:b/>
      </w:rPr>
      <w:fldChar w:fldCharType="begin"/>
    </w:r>
    <w:r w:rsidRPr="00553B87">
      <w:rPr>
        <w:rFonts w:asciiTheme="minorHAnsi" w:hAnsiTheme="minorHAnsi" w:cstheme="minorHAnsi"/>
      </w:rPr>
      <w:instrText xml:space="preserve"> PAGE </w:instrText>
    </w:r>
    <w:r w:rsidRPr="00553B87">
      <w:rPr>
        <w:rFonts w:asciiTheme="minorHAnsi" w:hAnsiTheme="minorHAnsi" w:cstheme="minorHAnsi"/>
        <w:b/>
      </w:rPr>
      <w:fldChar w:fldCharType="separate"/>
    </w:r>
    <w:r w:rsidR="005037F9" w:rsidRPr="00553B87">
      <w:rPr>
        <w:rFonts w:asciiTheme="minorHAnsi" w:hAnsiTheme="minorHAnsi" w:cstheme="minorHAnsi"/>
        <w:noProof/>
      </w:rPr>
      <w:t>8</w:t>
    </w:r>
    <w:r w:rsidRPr="00553B87">
      <w:rPr>
        <w:rFonts w:asciiTheme="minorHAnsi" w:hAnsiTheme="minorHAnsi" w:cstheme="minorHAnsi"/>
        <w:b/>
      </w:rPr>
      <w:fldChar w:fldCharType="end"/>
    </w:r>
    <w:r>
      <w:tab/>
    </w:r>
    <w:r w:rsidR="00553B87" w:rsidRPr="00553B87">
      <w:rPr>
        <w:rFonts w:asciiTheme="minorHAnsi" w:hAnsiTheme="minorHAnsi" w:cstheme="minorHAnsi"/>
      </w:rPr>
      <w:t xml:space="preserve">Our air 2021: </w:t>
    </w:r>
    <w:r w:rsidR="00D342E1">
      <w:rPr>
        <w:rFonts w:asciiTheme="minorHAnsi" w:hAnsiTheme="minorHAnsi" w:cstheme="minorHAnsi"/>
      </w:rPr>
      <w:t>p</w:t>
    </w:r>
    <w:r w:rsidR="00553B87" w:rsidRPr="00553B87">
      <w:rPr>
        <w:rFonts w:asciiTheme="minorHAnsi" w:hAnsiTheme="minorHAnsi" w:cstheme="minorHAnsi"/>
      </w:rPr>
      <w:t>reliminary data release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25D6" w14:textId="0C035C98" w:rsidR="00E453AB" w:rsidRDefault="00E5210B" w:rsidP="00CD25E1">
    <w:pPr>
      <w:pStyle w:val="Footerodd"/>
    </w:pPr>
    <w:r>
      <w:tab/>
    </w:r>
    <w:r w:rsidR="00553B87" w:rsidRPr="00553B87">
      <w:rPr>
        <w:rFonts w:asciiTheme="minorHAnsi" w:hAnsiTheme="minorHAnsi" w:cstheme="minorHAnsi"/>
      </w:rPr>
      <w:t xml:space="preserve">Our air 2021: </w:t>
    </w:r>
    <w:r w:rsidR="00D342E1">
      <w:rPr>
        <w:rFonts w:asciiTheme="minorHAnsi" w:hAnsiTheme="minorHAnsi" w:cstheme="minorHAnsi"/>
      </w:rPr>
      <w:t>p</w:t>
    </w:r>
    <w:r w:rsidR="00553B87" w:rsidRPr="00553B87">
      <w:rPr>
        <w:rFonts w:asciiTheme="minorHAnsi" w:hAnsiTheme="minorHAnsi" w:cstheme="minorHAnsi"/>
      </w:rPr>
      <w:t>reliminary data releas</w:t>
    </w:r>
    <w:r w:rsidR="00553B87" w:rsidRPr="00553B87">
      <w:t>e</w:t>
    </w:r>
    <w:r>
      <w:tab/>
    </w:r>
    <w:r w:rsidR="008540A6" w:rsidRPr="00553B87">
      <w:rPr>
        <w:rFonts w:asciiTheme="minorHAnsi" w:hAnsiTheme="minorHAnsi" w:cstheme="minorHAnsi"/>
      </w:rPr>
      <w:fldChar w:fldCharType="begin"/>
    </w:r>
    <w:r w:rsidR="008540A6" w:rsidRPr="00553B87">
      <w:rPr>
        <w:rFonts w:asciiTheme="minorHAnsi" w:hAnsiTheme="minorHAnsi" w:cstheme="minorHAnsi"/>
      </w:rPr>
      <w:instrText xml:space="preserve"> PAGE   \* MERGEFORMAT </w:instrText>
    </w:r>
    <w:r w:rsidR="008540A6" w:rsidRPr="00553B87">
      <w:rPr>
        <w:rFonts w:asciiTheme="minorHAnsi" w:hAnsiTheme="minorHAnsi" w:cstheme="minorHAnsi"/>
      </w:rPr>
      <w:fldChar w:fldCharType="separate"/>
    </w:r>
    <w:r w:rsidR="005037F9" w:rsidRPr="00553B87">
      <w:rPr>
        <w:rFonts w:asciiTheme="minorHAnsi" w:hAnsiTheme="minorHAnsi" w:cstheme="minorHAnsi"/>
        <w:noProof/>
      </w:rPr>
      <w:t>7</w:t>
    </w:r>
    <w:r w:rsidR="008540A6" w:rsidRPr="00553B87">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033B" w14:textId="77777777" w:rsidR="00444F30" w:rsidRDefault="00444F30" w:rsidP="00CB5C5F">
      <w:pPr>
        <w:spacing w:before="0" w:after="80" w:line="240" w:lineRule="auto"/>
      </w:pPr>
      <w:r>
        <w:separator/>
      </w:r>
    </w:p>
  </w:footnote>
  <w:footnote w:type="continuationSeparator" w:id="0">
    <w:p w14:paraId="7D29E66E" w14:textId="77777777" w:rsidR="00444F30" w:rsidRDefault="00444F30" w:rsidP="0080531E">
      <w:pPr>
        <w:spacing w:before="0" w:after="0" w:line="240" w:lineRule="auto"/>
      </w:pPr>
      <w:r>
        <w:continuationSeparator/>
      </w:r>
    </w:p>
    <w:p w14:paraId="4B7A15DA" w14:textId="77777777" w:rsidR="00444F30" w:rsidRDefault="00444F30"/>
  </w:footnote>
  <w:footnote w:type="continuationNotice" w:id="1">
    <w:p w14:paraId="4C68F0AA" w14:textId="77777777" w:rsidR="00444F30" w:rsidRDefault="00444F3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4B0E" w14:textId="77777777" w:rsidR="00AB5758" w:rsidRDefault="00AB5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02CD" w14:textId="4AE357BC" w:rsidR="00DE7BF8" w:rsidRPr="00DE7BF8" w:rsidRDefault="009C4D8B" w:rsidP="00734B9A">
    <w:pPr>
      <w:pStyle w:val="Header"/>
      <w:ind w:left="-57"/>
      <w:jc w:val="left"/>
      <w:rPr>
        <w:rFonts w:ascii="Calibri" w:hAnsi="Calibri"/>
      </w:rPr>
    </w:pPr>
    <w:r>
      <w:rPr>
        <w:rFonts w:ascii="Calibri" w:hAnsi="Calibri"/>
        <w:noProof/>
      </w:rPr>
      <w:drawing>
        <wp:anchor distT="0" distB="0" distL="114300" distR="114300" simplePos="0" relativeHeight="251658240" behindDoc="0" locked="0" layoutInCell="1" allowOverlap="1" wp14:anchorId="6001846B" wp14:editId="7901117B">
          <wp:simplePos x="0" y="0"/>
          <wp:positionH relativeFrom="column">
            <wp:posOffset>4062094</wp:posOffset>
          </wp:positionH>
          <wp:positionV relativeFrom="paragraph">
            <wp:posOffset>135256</wp:posOffset>
          </wp:positionV>
          <wp:extent cx="1529905" cy="5610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43179" cy="565886"/>
                  </a:xfrm>
                  <a:prstGeom prst="rect">
                    <a:avLst/>
                  </a:prstGeom>
                </pic:spPr>
              </pic:pic>
            </a:graphicData>
          </a:graphic>
          <wp14:sizeRelH relativeFrom="margin">
            <wp14:pctWidth>0</wp14:pctWidth>
          </wp14:sizeRelH>
          <wp14:sizeRelV relativeFrom="margin">
            <wp14:pctHeight>0</wp14:pctHeight>
          </wp14:sizeRelV>
        </wp:anchor>
      </w:drawing>
    </w:r>
    <w:r w:rsidR="00225830">
      <w:rPr>
        <w:rFonts w:ascii="Calibri" w:hAnsi="Calibri"/>
        <w:noProof/>
      </w:rPr>
      <w:drawing>
        <wp:inline distT="0" distB="0" distL="0" distR="0" wp14:anchorId="145F6439" wp14:editId="5F372FCA">
          <wp:extent cx="2190750" cy="695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695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4211" w14:textId="77777777" w:rsidR="00AB5758" w:rsidRDefault="00AB57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715A" w14:textId="77777777" w:rsidR="00E5210B" w:rsidRDefault="00E5210B" w:rsidP="0036151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1EDB" w14:textId="77777777" w:rsidR="00E5210B" w:rsidRDefault="00E52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0E729AC8"/>
    <w:lvl w:ilvl="0">
      <w:start w:val="1"/>
      <w:numFmt w:val="bullet"/>
      <w:lvlText w:val="•"/>
      <w:lvlJc w:val="left"/>
      <w:pPr>
        <w:tabs>
          <w:tab w:val="num" w:pos="0"/>
        </w:tabs>
        <w:ind w:left="480" w:hanging="480"/>
      </w:pPr>
      <w:rPr>
        <w:rFonts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2C03076"/>
    <w:multiLevelType w:val="multilevel"/>
    <w:tmpl w:val="BEA6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A5496B"/>
    <w:multiLevelType w:val="multilevel"/>
    <w:tmpl w:val="A78E6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5" w15:restartNumberingAfterBreak="0">
    <w:nsid w:val="0B0F5F0E"/>
    <w:multiLevelType w:val="multilevel"/>
    <w:tmpl w:val="184C629E"/>
    <w:lvl w:ilvl="0">
      <w:start w:val="1"/>
      <w:numFmt w:val="bullet"/>
      <w:pStyle w:val="Greenbullet-casestudytables"/>
      <w:lvlText w:val=""/>
      <w:lvlJc w:val="left"/>
      <w:pPr>
        <w:ind w:left="680" w:hanging="396"/>
      </w:pPr>
      <w:rPr>
        <w:rFonts w:ascii="Symbol" w:hAnsi="Symbol" w:hint="default"/>
        <w:color w:val="1B556B"/>
        <w:sz w:val="16"/>
        <w:szCs w:val="16"/>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8"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9" w15:restartNumberingAfterBreak="0">
    <w:nsid w:val="204F1D2E"/>
    <w:multiLevelType w:val="multilevel"/>
    <w:tmpl w:val="78387896"/>
    <w:lvl w:ilvl="0">
      <w:start w:val="1"/>
      <w:numFmt w:val="bullet"/>
      <w:pStyle w:val="Blue-boxsub-bullet"/>
      <w:lvlText w:val="‒"/>
      <w:lvlJc w:val="left"/>
      <w:pPr>
        <w:ind w:left="1077" w:hanging="39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1"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6" w15:restartNumberingAfterBreak="0">
    <w:nsid w:val="2E6F201E"/>
    <w:multiLevelType w:val="multilevel"/>
    <w:tmpl w:val="C7440BB4"/>
    <w:numStyleLink w:val="Style2"/>
  </w:abstractNum>
  <w:abstractNum w:abstractNumId="17"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8"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6"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535234"/>
    <w:multiLevelType w:val="singleLevel"/>
    <w:tmpl w:val="D1A2CC06"/>
    <w:lvl w:ilvl="0">
      <w:start w:val="1"/>
      <w:numFmt w:val="bullet"/>
      <w:pStyle w:val="Blue-boxbullet"/>
      <w:lvlText w:val=""/>
      <w:lvlJc w:val="left"/>
      <w:pPr>
        <w:ind w:left="644" w:hanging="360"/>
      </w:pPr>
      <w:rPr>
        <w:rFonts w:ascii="Symbol" w:hAnsi="Symbol" w:hint="default"/>
        <w:color w:val="1C556C"/>
        <w:sz w:val="16"/>
      </w:rPr>
    </w:lvl>
  </w:abstractNum>
  <w:abstractNum w:abstractNumId="28"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2"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C042717"/>
    <w:multiLevelType w:val="multilevel"/>
    <w:tmpl w:val="DCDEB9D0"/>
    <w:numStyleLink w:val="Style1"/>
  </w:abstractNum>
  <w:abstractNum w:abstractNumId="34"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CB13B0"/>
    <w:multiLevelType w:val="hybridMultilevel"/>
    <w:tmpl w:val="D1900CC6"/>
    <w:lvl w:ilvl="0" w:tplc="68F288CA">
      <w:start w:val="1"/>
      <w:numFmt w:val="bullet"/>
      <w:pStyle w:val="Greensub-bullet-casestudytables"/>
      <w:lvlText w:val="‒"/>
      <w:lvlJc w:val="left"/>
      <w:pPr>
        <w:ind w:left="1004" w:hanging="360"/>
      </w:pPr>
      <w:rPr>
        <w:rFonts w:ascii="Calibri" w:hAnsi="Calibri" w:cs="Times New Roman" w:hint="default"/>
        <w:color w:val="1B556B"/>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6"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abstractNumId w:val="17"/>
  </w:num>
  <w:num w:numId="2">
    <w:abstractNumId w:val="27"/>
  </w:num>
  <w:num w:numId="3">
    <w:abstractNumId w:val="38"/>
  </w:num>
  <w:num w:numId="4">
    <w:abstractNumId w:val="22"/>
  </w:num>
  <w:num w:numId="5">
    <w:abstractNumId w:val="15"/>
  </w:num>
  <w:num w:numId="6">
    <w:abstractNumId w:val="10"/>
  </w:num>
  <w:num w:numId="7">
    <w:abstractNumId w:val="25"/>
  </w:num>
  <w:num w:numId="8">
    <w:abstractNumId w:val="24"/>
  </w:num>
  <w:num w:numId="9">
    <w:abstractNumId w:val="3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1"/>
  </w:num>
  <w:num w:numId="13">
    <w:abstractNumId w:val="14"/>
  </w:num>
  <w:num w:numId="14">
    <w:abstractNumId w:val="33"/>
  </w:num>
  <w:num w:numId="15">
    <w:abstractNumId w:val="23"/>
  </w:num>
  <w:num w:numId="16">
    <w:abstractNumId w:val="13"/>
  </w:num>
  <w:num w:numId="17">
    <w:abstractNumId w:val="32"/>
  </w:num>
  <w:num w:numId="18">
    <w:abstractNumId w:val="28"/>
  </w:num>
  <w:num w:numId="19">
    <w:abstractNumId w:val="34"/>
  </w:num>
  <w:num w:numId="20">
    <w:abstractNumId w:val="16"/>
  </w:num>
  <w:num w:numId="21">
    <w:abstractNumId w:val="29"/>
  </w:num>
  <w:num w:numId="22">
    <w:abstractNumId w:val="7"/>
  </w:num>
  <w:num w:numId="23">
    <w:abstractNumId w:val="26"/>
  </w:num>
  <w:num w:numId="24">
    <w:abstractNumId w:val="18"/>
  </w:num>
  <w:num w:numId="25">
    <w:abstractNumId w:val="36"/>
  </w:num>
  <w:num w:numId="26">
    <w:abstractNumId w:val="30"/>
  </w:num>
  <w:num w:numId="27">
    <w:abstractNumId w:val="2"/>
  </w:num>
  <w:num w:numId="28">
    <w:abstractNumId w:val="20"/>
  </w:num>
  <w:num w:numId="29">
    <w:abstractNumId w:val="11"/>
  </w:num>
  <w:num w:numId="30">
    <w:abstractNumId w:val="6"/>
  </w:num>
  <w:num w:numId="31">
    <w:abstractNumId w:val="5"/>
  </w:num>
  <w:num w:numId="32">
    <w:abstractNumId w:val="8"/>
  </w:num>
  <w:num w:numId="33">
    <w:abstractNumId w:val="12"/>
  </w:num>
  <w:num w:numId="34">
    <w:abstractNumId w:val="21"/>
  </w:num>
  <w:num w:numId="35">
    <w:abstractNumId w:val="19"/>
  </w:num>
  <w:num w:numId="36">
    <w:abstractNumId w:val="9"/>
  </w:num>
  <w:num w:numId="37">
    <w:abstractNumId w:val="35"/>
  </w:num>
  <w:num w:numId="38">
    <w:abstractNumId w:val="0"/>
  </w:num>
  <w:num w:numId="39">
    <w:abstractNumId w:val="21"/>
  </w:num>
  <w:num w:numId="40">
    <w:abstractNumId w:val="3"/>
  </w:num>
  <w:num w:numId="41">
    <w:abstractNumId w:val="1"/>
  </w:num>
  <w:num w:numId="42">
    <w:abstractNumId w:val="21"/>
  </w:num>
  <w:num w:numId="43">
    <w:abstractNumId w:val="21"/>
  </w:num>
  <w:num w:numId="44">
    <w:abstractNumId w:val="21"/>
  </w:num>
  <w:num w:numId="4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A5"/>
    <w:rsid w:val="00000792"/>
    <w:rsid w:val="00000F04"/>
    <w:rsid w:val="00003C4F"/>
    <w:rsid w:val="00004295"/>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5E4C"/>
    <w:rsid w:val="00016264"/>
    <w:rsid w:val="0001630C"/>
    <w:rsid w:val="000167AC"/>
    <w:rsid w:val="00016993"/>
    <w:rsid w:val="00016CAB"/>
    <w:rsid w:val="00016E5B"/>
    <w:rsid w:val="0001749B"/>
    <w:rsid w:val="00017D75"/>
    <w:rsid w:val="00017FE5"/>
    <w:rsid w:val="000212A3"/>
    <w:rsid w:val="00021910"/>
    <w:rsid w:val="00022E8D"/>
    <w:rsid w:val="0002348A"/>
    <w:rsid w:val="00024708"/>
    <w:rsid w:val="00024967"/>
    <w:rsid w:val="00024EE7"/>
    <w:rsid w:val="0002549B"/>
    <w:rsid w:val="00025F96"/>
    <w:rsid w:val="00025FAB"/>
    <w:rsid w:val="00026E89"/>
    <w:rsid w:val="000275A3"/>
    <w:rsid w:val="00030558"/>
    <w:rsid w:val="00030699"/>
    <w:rsid w:val="00030725"/>
    <w:rsid w:val="00030DB8"/>
    <w:rsid w:val="00031A83"/>
    <w:rsid w:val="0003213A"/>
    <w:rsid w:val="000323C7"/>
    <w:rsid w:val="00032A81"/>
    <w:rsid w:val="000340D8"/>
    <w:rsid w:val="0003427D"/>
    <w:rsid w:val="00034DFA"/>
    <w:rsid w:val="000357ED"/>
    <w:rsid w:val="00035E15"/>
    <w:rsid w:val="0003640E"/>
    <w:rsid w:val="0003688A"/>
    <w:rsid w:val="000368FC"/>
    <w:rsid w:val="00036DA3"/>
    <w:rsid w:val="00037541"/>
    <w:rsid w:val="000379BF"/>
    <w:rsid w:val="00037AB1"/>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0CDB"/>
    <w:rsid w:val="00050E27"/>
    <w:rsid w:val="0005144F"/>
    <w:rsid w:val="00051ABB"/>
    <w:rsid w:val="00051AF1"/>
    <w:rsid w:val="00051D42"/>
    <w:rsid w:val="000538A1"/>
    <w:rsid w:val="0005425F"/>
    <w:rsid w:val="00055375"/>
    <w:rsid w:val="00056319"/>
    <w:rsid w:val="000564E7"/>
    <w:rsid w:val="00056770"/>
    <w:rsid w:val="00057386"/>
    <w:rsid w:val="00057879"/>
    <w:rsid w:val="00057EEF"/>
    <w:rsid w:val="000619CB"/>
    <w:rsid w:val="00062387"/>
    <w:rsid w:val="00063509"/>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547"/>
    <w:rsid w:val="00076667"/>
    <w:rsid w:val="000766FD"/>
    <w:rsid w:val="00077473"/>
    <w:rsid w:val="00077481"/>
    <w:rsid w:val="000776F9"/>
    <w:rsid w:val="00077EE0"/>
    <w:rsid w:val="000801BE"/>
    <w:rsid w:val="000802F9"/>
    <w:rsid w:val="0008145A"/>
    <w:rsid w:val="0008162D"/>
    <w:rsid w:val="000831C8"/>
    <w:rsid w:val="00083F5E"/>
    <w:rsid w:val="00084FDB"/>
    <w:rsid w:val="0008505C"/>
    <w:rsid w:val="00085C46"/>
    <w:rsid w:val="0008686A"/>
    <w:rsid w:val="00087175"/>
    <w:rsid w:val="00087D35"/>
    <w:rsid w:val="00091796"/>
    <w:rsid w:val="00091BA2"/>
    <w:rsid w:val="00091CB0"/>
    <w:rsid w:val="00094344"/>
    <w:rsid w:val="000953C6"/>
    <w:rsid w:val="000953F4"/>
    <w:rsid w:val="0009590C"/>
    <w:rsid w:val="000959E7"/>
    <w:rsid w:val="00095E7D"/>
    <w:rsid w:val="000964DE"/>
    <w:rsid w:val="000972AB"/>
    <w:rsid w:val="00097B40"/>
    <w:rsid w:val="00097D0E"/>
    <w:rsid w:val="000A17EA"/>
    <w:rsid w:val="000A1AE7"/>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45"/>
    <w:rsid w:val="000A59C5"/>
    <w:rsid w:val="000A5A7D"/>
    <w:rsid w:val="000A5DEA"/>
    <w:rsid w:val="000A5EBD"/>
    <w:rsid w:val="000A7658"/>
    <w:rsid w:val="000A775F"/>
    <w:rsid w:val="000A7F0F"/>
    <w:rsid w:val="000A7F4C"/>
    <w:rsid w:val="000B02BC"/>
    <w:rsid w:val="000B0498"/>
    <w:rsid w:val="000B0F36"/>
    <w:rsid w:val="000B1942"/>
    <w:rsid w:val="000B1BED"/>
    <w:rsid w:val="000B2240"/>
    <w:rsid w:val="000B2477"/>
    <w:rsid w:val="000B2600"/>
    <w:rsid w:val="000B36F9"/>
    <w:rsid w:val="000B4074"/>
    <w:rsid w:val="000B4732"/>
    <w:rsid w:val="000B4BCD"/>
    <w:rsid w:val="000B66DC"/>
    <w:rsid w:val="000B6D1F"/>
    <w:rsid w:val="000C062F"/>
    <w:rsid w:val="000C17E7"/>
    <w:rsid w:val="000C3270"/>
    <w:rsid w:val="000C577E"/>
    <w:rsid w:val="000D04BA"/>
    <w:rsid w:val="000D0B6E"/>
    <w:rsid w:val="000D0D65"/>
    <w:rsid w:val="000D12E0"/>
    <w:rsid w:val="000D1944"/>
    <w:rsid w:val="000D1DD9"/>
    <w:rsid w:val="000D2172"/>
    <w:rsid w:val="000D293C"/>
    <w:rsid w:val="000D2BC1"/>
    <w:rsid w:val="000D337B"/>
    <w:rsid w:val="000D385A"/>
    <w:rsid w:val="000D38C2"/>
    <w:rsid w:val="000D3CA7"/>
    <w:rsid w:val="000D4120"/>
    <w:rsid w:val="000D5B16"/>
    <w:rsid w:val="000D5FD6"/>
    <w:rsid w:val="000D6201"/>
    <w:rsid w:val="000D6488"/>
    <w:rsid w:val="000D7088"/>
    <w:rsid w:val="000D770B"/>
    <w:rsid w:val="000D788E"/>
    <w:rsid w:val="000E12B0"/>
    <w:rsid w:val="000E13FF"/>
    <w:rsid w:val="000E1BC8"/>
    <w:rsid w:val="000E1D32"/>
    <w:rsid w:val="000E26D8"/>
    <w:rsid w:val="000E2B94"/>
    <w:rsid w:val="000E3156"/>
    <w:rsid w:val="000E35B6"/>
    <w:rsid w:val="000E3BB8"/>
    <w:rsid w:val="000E3D9B"/>
    <w:rsid w:val="000E3DFD"/>
    <w:rsid w:val="000E4261"/>
    <w:rsid w:val="000E4697"/>
    <w:rsid w:val="000E5472"/>
    <w:rsid w:val="000E58C5"/>
    <w:rsid w:val="000E6203"/>
    <w:rsid w:val="000E64CB"/>
    <w:rsid w:val="000E722C"/>
    <w:rsid w:val="000E755B"/>
    <w:rsid w:val="000E786F"/>
    <w:rsid w:val="000E7DA7"/>
    <w:rsid w:val="000E7FA0"/>
    <w:rsid w:val="000F00BA"/>
    <w:rsid w:val="000F02F8"/>
    <w:rsid w:val="000F0409"/>
    <w:rsid w:val="000F049F"/>
    <w:rsid w:val="000F0642"/>
    <w:rsid w:val="000F07FA"/>
    <w:rsid w:val="000F0B5E"/>
    <w:rsid w:val="000F1D43"/>
    <w:rsid w:val="000F1FFF"/>
    <w:rsid w:val="000F20AA"/>
    <w:rsid w:val="000F2651"/>
    <w:rsid w:val="000F348D"/>
    <w:rsid w:val="000F369A"/>
    <w:rsid w:val="000F3D3D"/>
    <w:rsid w:val="000F4463"/>
    <w:rsid w:val="000F5285"/>
    <w:rsid w:val="000F52E0"/>
    <w:rsid w:val="000F53A9"/>
    <w:rsid w:val="000F6464"/>
    <w:rsid w:val="000F6500"/>
    <w:rsid w:val="000F6628"/>
    <w:rsid w:val="000F6C25"/>
    <w:rsid w:val="000F76EB"/>
    <w:rsid w:val="000F78AE"/>
    <w:rsid w:val="000F7E25"/>
    <w:rsid w:val="001007EE"/>
    <w:rsid w:val="00100F76"/>
    <w:rsid w:val="0010148E"/>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205A0"/>
    <w:rsid w:val="00121211"/>
    <w:rsid w:val="00121628"/>
    <w:rsid w:val="0012167D"/>
    <w:rsid w:val="00122189"/>
    <w:rsid w:val="00122280"/>
    <w:rsid w:val="00122D42"/>
    <w:rsid w:val="00123345"/>
    <w:rsid w:val="00123C46"/>
    <w:rsid w:val="0012470B"/>
    <w:rsid w:val="00125C75"/>
    <w:rsid w:val="00125C7E"/>
    <w:rsid w:val="00127945"/>
    <w:rsid w:val="00127D94"/>
    <w:rsid w:val="00127E90"/>
    <w:rsid w:val="001302C1"/>
    <w:rsid w:val="001306D3"/>
    <w:rsid w:val="001310BF"/>
    <w:rsid w:val="00133E73"/>
    <w:rsid w:val="00133FDB"/>
    <w:rsid w:val="00134F4A"/>
    <w:rsid w:val="00135E4E"/>
    <w:rsid w:val="00136246"/>
    <w:rsid w:val="001364D4"/>
    <w:rsid w:val="001371C8"/>
    <w:rsid w:val="001372ED"/>
    <w:rsid w:val="00142B50"/>
    <w:rsid w:val="00143873"/>
    <w:rsid w:val="001439E9"/>
    <w:rsid w:val="00143C55"/>
    <w:rsid w:val="001446BE"/>
    <w:rsid w:val="00144C6F"/>
    <w:rsid w:val="00145089"/>
    <w:rsid w:val="001451E7"/>
    <w:rsid w:val="001462E3"/>
    <w:rsid w:val="00146A22"/>
    <w:rsid w:val="0014720C"/>
    <w:rsid w:val="001472C2"/>
    <w:rsid w:val="00147458"/>
    <w:rsid w:val="00147E21"/>
    <w:rsid w:val="00150BA8"/>
    <w:rsid w:val="00150D19"/>
    <w:rsid w:val="0015181B"/>
    <w:rsid w:val="00151A9F"/>
    <w:rsid w:val="00152B87"/>
    <w:rsid w:val="00153A96"/>
    <w:rsid w:val="00153D1C"/>
    <w:rsid w:val="001543E2"/>
    <w:rsid w:val="00155B43"/>
    <w:rsid w:val="001565A2"/>
    <w:rsid w:val="001567C3"/>
    <w:rsid w:val="00156A12"/>
    <w:rsid w:val="00157B3F"/>
    <w:rsid w:val="00157F8A"/>
    <w:rsid w:val="00160C33"/>
    <w:rsid w:val="00160C3D"/>
    <w:rsid w:val="00161B24"/>
    <w:rsid w:val="00161C41"/>
    <w:rsid w:val="00161DD5"/>
    <w:rsid w:val="001633A4"/>
    <w:rsid w:val="001634D6"/>
    <w:rsid w:val="001648DD"/>
    <w:rsid w:val="00165705"/>
    <w:rsid w:val="00166389"/>
    <w:rsid w:val="00166A11"/>
    <w:rsid w:val="00166E03"/>
    <w:rsid w:val="00167E4C"/>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996"/>
    <w:rsid w:val="00180B3F"/>
    <w:rsid w:val="00180C83"/>
    <w:rsid w:val="00180CE5"/>
    <w:rsid w:val="0018175B"/>
    <w:rsid w:val="001820A3"/>
    <w:rsid w:val="00182C9E"/>
    <w:rsid w:val="0018332A"/>
    <w:rsid w:val="00183D80"/>
    <w:rsid w:val="001842C8"/>
    <w:rsid w:val="00185044"/>
    <w:rsid w:val="001850DB"/>
    <w:rsid w:val="0018599C"/>
    <w:rsid w:val="001869EE"/>
    <w:rsid w:val="00186D00"/>
    <w:rsid w:val="0018743A"/>
    <w:rsid w:val="00190A57"/>
    <w:rsid w:val="00190B3F"/>
    <w:rsid w:val="0019122C"/>
    <w:rsid w:val="00191908"/>
    <w:rsid w:val="00192C90"/>
    <w:rsid w:val="00192DF3"/>
    <w:rsid w:val="0019301F"/>
    <w:rsid w:val="00193286"/>
    <w:rsid w:val="001937B8"/>
    <w:rsid w:val="00194BB7"/>
    <w:rsid w:val="00194CC5"/>
    <w:rsid w:val="001951B2"/>
    <w:rsid w:val="0019565D"/>
    <w:rsid w:val="00197564"/>
    <w:rsid w:val="00197EC2"/>
    <w:rsid w:val="00197ECE"/>
    <w:rsid w:val="001A1CED"/>
    <w:rsid w:val="001A279B"/>
    <w:rsid w:val="001A2DC3"/>
    <w:rsid w:val="001A2E87"/>
    <w:rsid w:val="001A3849"/>
    <w:rsid w:val="001A3869"/>
    <w:rsid w:val="001A38C2"/>
    <w:rsid w:val="001A65C8"/>
    <w:rsid w:val="001A732E"/>
    <w:rsid w:val="001A7572"/>
    <w:rsid w:val="001A7952"/>
    <w:rsid w:val="001A7F30"/>
    <w:rsid w:val="001B0307"/>
    <w:rsid w:val="001B06E2"/>
    <w:rsid w:val="001B103A"/>
    <w:rsid w:val="001B103D"/>
    <w:rsid w:val="001B1416"/>
    <w:rsid w:val="001B1513"/>
    <w:rsid w:val="001B1767"/>
    <w:rsid w:val="001B2453"/>
    <w:rsid w:val="001B3D48"/>
    <w:rsid w:val="001B5AF9"/>
    <w:rsid w:val="001B6600"/>
    <w:rsid w:val="001B66B9"/>
    <w:rsid w:val="001B66C2"/>
    <w:rsid w:val="001B6B9B"/>
    <w:rsid w:val="001B6C27"/>
    <w:rsid w:val="001B7144"/>
    <w:rsid w:val="001B7E91"/>
    <w:rsid w:val="001C147E"/>
    <w:rsid w:val="001C151B"/>
    <w:rsid w:val="001C19E5"/>
    <w:rsid w:val="001C3800"/>
    <w:rsid w:val="001C3C7B"/>
    <w:rsid w:val="001C6122"/>
    <w:rsid w:val="001C6587"/>
    <w:rsid w:val="001C69BE"/>
    <w:rsid w:val="001C6DB5"/>
    <w:rsid w:val="001C71AC"/>
    <w:rsid w:val="001C7316"/>
    <w:rsid w:val="001C7E5C"/>
    <w:rsid w:val="001D00CC"/>
    <w:rsid w:val="001D0494"/>
    <w:rsid w:val="001D07B7"/>
    <w:rsid w:val="001D1719"/>
    <w:rsid w:val="001D171B"/>
    <w:rsid w:val="001D1732"/>
    <w:rsid w:val="001D1E2E"/>
    <w:rsid w:val="001D2203"/>
    <w:rsid w:val="001D255C"/>
    <w:rsid w:val="001D2CA5"/>
    <w:rsid w:val="001D2DEF"/>
    <w:rsid w:val="001D30BB"/>
    <w:rsid w:val="001D488C"/>
    <w:rsid w:val="001D4CDF"/>
    <w:rsid w:val="001D4F88"/>
    <w:rsid w:val="001D578D"/>
    <w:rsid w:val="001D5818"/>
    <w:rsid w:val="001D653A"/>
    <w:rsid w:val="001D6E65"/>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E79"/>
    <w:rsid w:val="001F2F07"/>
    <w:rsid w:val="001F3123"/>
    <w:rsid w:val="001F376D"/>
    <w:rsid w:val="001F418C"/>
    <w:rsid w:val="001F4B2D"/>
    <w:rsid w:val="001F4F40"/>
    <w:rsid w:val="001F50E0"/>
    <w:rsid w:val="001F594C"/>
    <w:rsid w:val="001F69FC"/>
    <w:rsid w:val="001F6D62"/>
    <w:rsid w:val="001F7006"/>
    <w:rsid w:val="001F7675"/>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73A"/>
    <w:rsid w:val="00222D28"/>
    <w:rsid w:val="0022315D"/>
    <w:rsid w:val="00223CF4"/>
    <w:rsid w:val="00224220"/>
    <w:rsid w:val="00224398"/>
    <w:rsid w:val="00224A81"/>
    <w:rsid w:val="00224E91"/>
    <w:rsid w:val="00225830"/>
    <w:rsid w:val="00225B4C"/>
    <w:rsid w:val="00225E1E"/>
    <w:rsid w:val="00226129"/>
    <w:rsid w:val="0022614D"/>
    <w:rsid w:val="00226AA2"/>
    <w:rsid w:val="00226F26"/>
    <w:rsid w:val="00227218"/>
    <w:rsid w:val="0022770A"/>
    <w:rsid w:val="00227BEE"/>
    <w:rsid w:val="00227FB4"/>
    <w:rsid w:val="0023057E"/>
    <w:rsid w:val="002312BC"/>
    <w:rsid w:val="002337E5"/>
    <w:rsid w:val="00233C06"/>
    <w:rsid w:val="00233F24"/>
    <w:rsid w:val="00234BBB"/>
    <w:rsid w:val="002356F4"/>
    <w:rsid w:val="00235F02"/>
    <w:rsid w:val="00236D28"/>
    <w:rsid w:val="00237FE4"/>
    <w:rsid w:val="00240656"/>
    <w:rsid w:val="00241610"/>
    <w:rsid w:val="00241AED"/>
    <w:rsid w:val="00241F2B"/>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17A8"/>
    <w:rsid w:val="00251EEE"/>
    <w:rsid w:val="00253177"/>
    <w:rsid w:val="002538B8"/>
    <w:rsid w:val="0025396F"/>
    <w:rsid w:val="00254319"/>
    <w:rsid w:val="0025539F"/>
    <w:rsid w:val="00256388"/>
    <w:rsid w:val="00256E44"/>
    <w:rsid w:val="00260919"/>
    <w:rsid w:val="002612FD"/>
    <w:rsid w:val="002613DC"/>
    <w:rsid w:val="00261755"/>
    <w:rsid w:val="002619BA"/>
    <w:rsid w:val="00261AAA"/>
    <w:rsid w:val="00262097"/>
    <w:rsid w:val="00262148"/>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77E20"/>
    <w:rsid w:val="002805DF"/>
    <w:rsid w:val="0028092D"/>
    <w:rsid w:val="00280D34"/>
    <w:rsid w:val="002812D8"/>
    <w:rsid w:val="002815D9"/>
    <w:rsid w:val="00282317"/>
    <w:rsid w:val="00282D25"/>
    <w:rsid w:val="00282DF9"/>
    <w:rsid w:val="00283A44"/>
    <w:rsid w:val="00284D4A"/>
    <w:rsid w:val="0028529F"/>
    <w:rsid w:val="00285687"/>
    <w:rsid w:val="00287649"/>
    <w:rsid w:val="00287DAB"/>
    <w:rsid w:val="00287FB6"/>
    <w:rsid w:val="002900C5"/>
    <w:rsid w:val="002901E0"/>
    <w:rsid w:val="0029075B"/>
    <w:rsid w:val="00290BB1"/>
    <w:rsid w:val="00291BC1"/>
    <w:rsid w:val="002921E8"/>
    <w:rsid w:val="002933CA"/>
    <w:rsid w:val="00293A8F"/>
    <w:rsid w:val="00295155"/>
    <w:rsid w:val="00295D51"/>
    <w:rsid w:val="00296203"/>
    <w:rsid w:val="00296428"/>
    <w:rsid w:val="0029643D"/>
    <w:rsid w:val="0029706A"/>
    <w:rsid w:val="002972EE"/>
    <w:rsid w:val="00297F01"/>
    <w:rsid w:val="002A052D"/>
    <w:rsid w:val="002A06FD"/>
    <w:rsid w:val="002A0DF8"/>
    <w:rsid w:val="002A1928"/>
    <w:rsid w:val="002A1F1F"/>
    <w:rsid w:val="002A21B5"/>
    <w:rsid w:val="002A2631"/>
    <w:rsid w:val="002A2A0C"/>
    <w:rsid w:val="002A2BB6"/>
    <w:rsid w:val="002A30E0"/>
    <w:rsid w:val="002A310C"/>
    <w:rsid w:val="002A31B8"/>
    <w:rsid w:val="002A3521"/>
    <w:rsid w:val="002A35C5"/>
    <w:rsid w:val="002A37E1"/>
    <w:rsid w:val="002A3B61"/>
    <w:rsid w:val="002A3B68"/>
    <w:rsid w:val="002A402A"/>
    <w:rsid w:val="002A45AA"/>
    <w:rsid w:val="002A4B0B"/>
    <w:rsid w:val="002A4B6F"/>
    <w:rsid w:val="002A4FFF"/>
    <w:rsid w:val="002A533C"/>
    <w:rsid w:val="002A56E1"/>
    <w:rsid w:val="002A59BD"/>
    <w:rsid w:val="002A75CA"/>
    <w:rsid w:val="002A7889"/>
    <w:rsid w:val="002A799A"/>
    <w:rsid w:val="002B0212"/>
    <w:rsid w:val="002B0792"/>
    <w:rsid w:val="002B097D"/>
    <w:rsid w:val="002B11B2"/>
    <w:rsid w:val="002B18F7"/>
    <w:rsid w:val="002B3ED7"/>
    <w:rsid w:val="002B4778"/>
    <w:rsid w:val="002B6306"/>
    <w:rsid w:val="002B75B2"/>
    <w:rsid w:val="002B79B7"/>
    <w:rsid w:val="002C141D"/>
    <w:rsid w:val="002C19C0"/>
    <w:rsid w:val="002C2485"/>
    <w:rsid w:val="002C25E0"/>
    <w:rsid w:val="002C26B7"/>
    <w:rsid w:val="002C2A2B"/>
    <w:rsid w:val="002C2A2D"/>
    <w:rsid w:val="002C36C0"/>
    <w:rsid w:val="002C3928"/>
    <w:rsid w:val="002C3B33"/>
    <w:rsid w:val="002C435E"/>
    <w:rsid w:val="002C43BB"/>
    <w:rsid w:val="002C44AB"/>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B35"/>
    <w:rsid w:val="002D7E58"/>
    <w:rsid w:val="002E0D31"/>
    <w:rsid w:val="002E0EFA"/>
    <w:rsid w:val="002E1073"/>
    <w:rsid w:val="002E12EC"/>
    <w:rsid w:val="002E146D"/>
    <w:rsid w:val="002E272B"/>
    <w:rsid w:val="002E29F8"/>
    <w:rsid w:val="002E2C52"/>
    <w:rsid w:val="002E342B"/>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DCB"/>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C50"/>
    <w:rsid w:val="003031C2"/>
    <w:rsid w:val="00303861"/>
    <w:rsid w:val="00304FFF"/>
    <w:rsid w:val="00305557"/>
    <w:rsid w:val="0030561F"/>
    <w:rsid w:val="00305CA3"/>
    <w:rsid w:val="00306E5C"/>
    <w:rsid w:val="00307C19"/>
    <w:rsid w:val="00310732"/>
    <w:rsid w:val="00310BC9"/>
    <w:rsid w:val="00311762"/>
    <w:rsid w:val="00311E98"/>
    <w:rsid w:val="00312215"/>
    <w:rsid w:val="0031249C"/>
    <w:rsid w:val="003125C3"/>
    <w:rsid w:val="00312896"/>
    <w:rsid w:val="003138FE"/>
    <w:rsid w:val="00313EAC"/>
    <w:rsid w:val="003142F4"/>
    <w:rsid w:val="0031454E"/>
    <w:rsid w:val="0031611F"/>
    <w:rsid w:val="00317A33"/>
    <w:rsid w:val="00320339"/>
    <w:rsid w:val="00321214"/>
    <w:rsid w:val="003213D5"/>
    <w:rsid w:val="0032280A"/>
    <w:rsid w:val="003228B1"/>
    <w:rsid w:val="00323737"/>
    <w:rsid w:val="00323AD6"/>
    <w:rsid w:val="00323F27"/>
    <w:rsid w:val="003242EF"/>
    <w:rsid w:val="00325339"/>
    <w:rsid w:val="003255AA"/>
    <w:rsid w:val="003314B6"/>
    <w:rsid w:val="00331A20"/>
    <w:rsid w:val="00331E65"/>
    <w:rsid w:val="00332136"/>
    <w:rsid w:val="00333107"/>
    <w:rsid w:val="0033343B"/>
    <w:rsid w:val="0033393C"/>
    <w:rsid w:val="003357EE"/>
    <w:rsid w:val="00337368"/>
    <w:rsid w:val="00337A06"/>
    <w:rsid w:val="00337B4D"/>
    <w:rsid w:val="003407A9"/>
    <w:rsid w:val="00340BA3"/>
    <w:rsid w:val="00340BAF"/>
    <w:rsid w:val="00340C2B"/>
    <w:rsid w:val="00340F9A"/>
    <w:rsid w:val="00341018"/>
    <w:rsid w:val="003420D9"/>
    <w:rsid w:val="003423E0"/>
    <w:rsid w:val="0034301A"/>
    <w:rsid w:val="00343D76"/>
    <w:rsid w:val="00344DFD"/>
    <w:rsid w:val="003451D3"/>
    <w:rsid w:val="00346631"/>
    <w:rsid w:val="00346AAD"/>
    <w:rsid w:val="00346D96"/>
    <w:rsid w:val="0034736A"/>
    <w:rsid w:val="0034747C"/>
    <w:rsid w:val="00347B2F"/>
    <w:rsid w:val="00347B6C"/>
    <w:rsid w:val="0035151C"/>
    <w:rsid w:val="00352254"/>
    <w:rsid w:val="003522A3"/>
    <w:rsid w:val="00353929"/>
    <w:rsid w:val="00353F9E"/>
    <w:rsid w:val="003540D1"/>
    <w:rsid w:val="003545BF"/>
    <w:rsid w:val="0035586A"/>
    <w:rsid w:val="00355936"/>
    <w:rsid w:val="0035611A"/>
    <w:rsid w:val="00356C3D"/>
    <w:rsid w:val="00360476"/>
    <w:rsid w:val="00360B75"/>
    <w:rsid w:val="0036151C"/>
    <w:rsid w:val="00361A9B"/>
    <w:rsid w:val="003621CA"/>
    <w:rsid w:val="00362CCF"/>
    <w:rsid w:val="003631DB"/>
    <w:rsid w:val="00364524"/>
    <w:rsid w:val="0036513A"/>
    <w:rsid w:val="00365237"/>
    <w:rsid w:val="0036559C"/>
    <w:rsid w:val="00365825"/>
    <w:rsid w:val="0036587E"/>
    <w:rsid w:val="003660CD"/>
    <w:rsid w:val="00366B08"/>
    <w:rsid w:val="00367496"/>
    <w:rsid w:val="003678BE"/>
    <w:rsid w:val="003700F8"/>
    <w:rsid w:val="00370949"/>
    <w:rsid w:val="00370FA1"/>
    <w:rsid w:val="0037243B"/>
    <w:rsid w:val="0037251C"/>
    <w:rsid w:val="0037272C"/>
    <w:rsid w:val="00372B9A"/>
    <w:rsid w:val="003731BF"/>
    <w:rsid w:val="00375287"/>
    <w:rsid w:val="00375791"/>
    <w:rsid w:val="00375826"/>
    <w:rsid w:val="00375994"/>
    <w:rsid w:val="00375C59"/>
    <w:rsid w:val="00375E05"/>
    <w:rsid w:val="00376BB7"/>
    <w:rsid w:val="00376EEE"/>
    <w:rsid w:val="00377BA1"/>
    <w:rsid w:val="00377FF0"/>
    <w:rsid w:val="00380616"/>
    <w:rsid w:val="00381022"/>
    <w:rsid w:val="003811B3"/>
    <w:rsid w:val="003814B8"/>
    <w:rsid w:val="00382909"/>
    <w:rsid w:val="00382EE1"/>
    <w:rsid w:val="00384258"/>
    <w:rsid w:val="00385131"/>
    <w:rsid w:val="0038593B"/>
    <w:rsid w:val="0038620B"/>
    <w:rsid w:val="00387647"/>
    <w:rsid w:val="0038791A"/>
    <w:rsid w:val="00390056"/>
    <w:rsid w:val="0039055C"/>
    <w:rsid w:val="00390718"/>
    <w:rsid w:val="00390767"/>
    <w:rsid w:val="00390883"/>
    <w:rsid w:val="00391470"/>
    <w:rsid w:val="003920C4"/>
    <w:rsid w:val="00392184"/>
    <w:rsid w:val="00392652"/>
    <w:rsid w:val="00392B41"/>
    <w:rsid w:val="0039456F"/>
    <w:rsid w:val="003945C8"/>
    <w:rsid w:val="0039480D"/>
    <w:rsid w:val="00395446"/>
    <w:rsid w:val="00396725"/>
    <w:rsid w:val="00397A28"/>
    <w:rsid w:val="00397E94"/>
    <w:rsid w:val="00397F05"/>
    <w:rsid w:val="003A0442"/>
    <w:rsid w:val="003A0899"/>
    <w:rsid w:val="003A1512"/>
    <w:rsid w:val="003A1651"/>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71AD"/>
    <w:rsid w:val="003A7D1D"/>
    <w:rsid w:val="003B1688"/>
    <w:rsid w:val="003B1FA4"/>
    <w:rsid w:val="003B1FE6"/>
    <w:rsid w:val="003B3106"/>
    <w:rsid w:val="003B3974"/>
    <w:rsid w:val="003B39E0"/>
    <w:rsid w:val="003B3D34"/>
    <w:rsid w:val="003B3DAB"/>
    <w:rsid w:val="003B404D"/>
    <w:rsid w:val="003B4B34"/>
    <w:rsid w:val="003B4CDA"/>
    <w:rsid w:val="003B4F2D"/>
    <w:rsid w:val="003B5BD9"/>
    <w:rsid w:val="003B5F56"/>
    <w:rsid w:val="003B64A3"/>
    <w:rsid w:val="003B6DB8"/>
    <w:rsid w:val="003B72B9"/>
    <w:rsid w:val="003C0171"/>
    <w:rsid w:val="003C0887"/>
    <w:rsid w:val="003C08AF"/>
    <w:rsid w:val="003C2EDD"/>
    <w:rsid w:val="003C3220"/>
    <w:rsid w:val="003C3A47"/>
    <w:rsid w:val="003C3A79"/>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3583"/>
    <w:rsid w:val="003D391E"/>
    <w:rsid w:val="003D3B6F"/>
    <w:rsid w:val="003D40E8"/>
    <w:rsid w:val="003D455E"/>
    <w:rsid w:val="003D5316"/>
    <w:rsid w:val="003D5785"/>
    <w:rsid w:val="003D5A2D"/>
    <w:rsid w:val="003D5A9D"/>
    <w:rsid w:val="003D62C0"/>
    <w:rsid w:val="003D65F6"/>
    <w:rsid w:val="003D66A7"/>
    <w:rsid w:val="003D6911"/>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7E7"/>
    <w:rsid w:val="003E6B3C"/>
    <w:rsid w:val="003E6B95"/>
    <w:rsid w:val="003E70FF"/>
    <w:rsid w:val="003E7F1B"/>
    <w:rsid w:val="003F0B41"/>
    <w:rsid w:val="003F1E39"/>
    <w:rsid w:val="003F229D"/>
    <w:rsid w:val="003F25F0"/>
    <w:rsid w:val="003F2D5B"/>
    <w:rsid w:val="003F38BF"/>
    <w:rsid w:val="003F5AD2"/>
    <w:rsid w:val="003F5CA4"/>
    <w:rsid w:val="003F6D50"/>
    <w:rsid w:val="003F7006"/>
    <w:rsid w:val="003F7507"/>
    <w:rsid w:val="003F7C72"/>
    <w:rsid w:val="003F7D10"/>
    <w:rsid w:val="003F7FF4"/>
    <w:rsid w:val="00401000"/>
    <w:rsid w:val="004016C6"/>
    <w:rsid w:val="0040179A"/>
    <w:rsid w:val="00401856"/>
    <w:rsid w:val="004028A2"/>
    <w:rsid w:val="00402FEB"/>
    <w:rsid w:val="00403344"/>
    <w:rsid w:val="00403C82"/>
    <w:rsid w:val="00404134"/>
    <w:rsid w:val="00404C44"/>
    <w:rsid w:val="00404EE8"/>
    <w:rsid w:val="0040510D"/>
    <w:rsid w:val="0040512D"/>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4818"/>
    <w:rsid w:val="00415531"/>
    <w:rsid w:val="00416330"/>
    <w:rsid w:val="004176C7"/>
    <w:rsid w:val="00417877"/>
    <w:rsid w:val="00417D9F"/>
    <w:rsid w:val="00420229"/>
    <w:rsid w:val="00420DBA"/>
    <w:rsid w:val="00421311"/>
    <w:rsid w:val="00422E13"/>
    <w:rsid w:val="0042350F"/>
    <w:rsid w:val="00423599"/>
    <w:rsid w:val="0042384C"/>
    <w:rsid w:val="00423893"/>
    <w:rsid w:val="0042397E"/>
    <w:rsid w:val="00423BC9"/>
    <w:rsid w:val="004255B4"/>
    <w:rsid w:val="00425C1F"/>
    <w:rsid w:val="00426766"/>
    <w:rsid w:val="004267D0"/>
    <w:rsid w:val="00426DDD"/>
    <w:rsid w:val="004279CA"/>
    <w:rsid w:val="00427A82"/>
    <w:rsid w:val="00427EA2"/>
    <w:rsid w:val="00430115"/>
    <w:rsid w:val="00430A4B"/>
    <w:rsid w:val="00431C46"/>
    <w:rsid w:val="004327E6"/>
    <w:rsid w:val="004329DC"/>
    <w:rsid w:val="00432AC6"/>
    <w:rsid w:val="004338F4"/>
    <w:rsid w:val="00434C5E"/>
    <w:rsid w:val="00435765"/>
    <w:rsid w:val="004360B6"/>
    <w:rsid w:val="004362E5"/>
    <w:rsid w:val="00436356"/>
    <w:rsid w:val="00437B5D"/>
    <w:rsid w:val="00440722"/>
    <w:rsid w:val="004425D9"/>
    <w:rsid w:val="00443244"/>
    <w:rsid w:val="00444AF6"/>
    <w:rsid w:val="00444F30"/>
    <w:rsid w:val="0044519D"/>
    <w:rsid w:val="00445544"/>
    <w:rsid w:val="00445C0B"/>
    <w:rsid w:val="00446195"/>
    <w:rsid w:val="0044638E"/>
    <w:rsid w:val="00447CD0"/>
    <w:rsid w:val="00447FC2"/>
    <w:rsid w:val="004502F4"/>
    <w:rsid w:val="004506F4"/>
    <w:rsid w:val="004509D1"/>
    <w:rsid w:val="00450A42"/>
    <w:rsid w:val="004513A5"/>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3C6"/>
    <w:rsid w:val="00456896"/>
    <w:rsid w:val="00456ADA"/>
    <w:rsid w:val="00456B0D"/>
    <w:rsid w:val="0045770D"/>
    <w:rsid w:val="0045790F"/>
    <w:rsid w:val="00457D63"/>
    <w:rsid w:val="00457E21"/>
    <w:rsid w:val="0046007E"/>
    <w:rsid w:val="0046024B"/>
    <w:rsid w:val="004607B4"/>
    <w:rsid w:val="00460E36"/>
    <w:rsid w:val="00460F4F"/>
    <w:rsid w:val="00461155"/>
    <w:rsid w:val="0046218C"/>
    <w:rsid w:val="004623D4"/>
    <w:rsid w:val="00463944"/>
    <w:rsid w:val="0046512A"/>
    <w:rsid w:val="00465234"/>
    <w:rsid w:val="00465B24"/>
    <w:rsid w:val="00466858"/>
    <w:rsid w:val="00466D0F"/>
    <w:rsid w:val="00467544"/>
    <w:rsid w:val="004676BA"/>
    <w:rsid w:val="0046784C"/>
    <w:rsid w:val="00467ECB"/>
    <w:rsid w:val="004710C3"/>
    <w:rsid w:val="00471459"/>
    <w:rsid w:val="00472274"/>
    <w:rsid w:val="004722D4"/>
    <w:rsid w:val="00472D9C"/>
    <w:rsid w:val="00473B60"/>
    <w:rsid w:val="004753D9"/>
    <w:rsid w:val="00475AFF"/>
    <w:rsid w:val="00475D0F"/>
    <w:rsid w:val="00475D30"/>
    <w:rsid w:val="004765F4"/>
    <w:rsid w:val="00476B4D"/>
    <w:rsid w:val="00476CBC"/>
    <w:rsid w:val="00476E6C"/>
    <w:rsid w:val="00477282"/>
    <w:rsid w:val="00477947"/>
    <w:rsid w:val="00480FA1"/>
    <w:rsid w:val="00481FD7"/>
    <w:rsid w:val="00482DE5"/>
    <w:rsid w:val="00483266"/>
    <w:rsid w:val="0048352E"/>
    <w:rsid w:val="004836A9"/>
    <w:rsid w:val="00483B23"/>
    <w:rsid w:val="004840D7"/>
    <w:rsid w:val="004846F4"/>
    <w:rsid w:val="00485C26"/>
    <w:rsid w:val="00485C36"/>
    <w:rsid w:val="00485EC0"/>
    <w:rsid w:val="004875E1"/>
    <w:rsid w:val="00487B37"/>
    <w:rsid w:val="00490636"/>
    <w:rsid w:val="00490FF0"/>
    <w:rsid w:val="004910FE"/>
    <w:rsid w:val="00491198"/>
    <w:rsid w:val="004917E0"/>
    <w:rsid w:val="00491BF6"/>
    <w:rsid w:val="00491FED"/>
    <w:rsid w:val="00492F82"/>
    <w:rsid w:val="00493930"/>
    <w:rsid w:val="004943C2"/>
    <w:rsid w:val="00494918"/>
    <w:rsid w:val="00494C65"/>
    <w:rsid w:val="00494F0C"/>
    <w:rsid w:val="00495557"/>
    <w:rsid w:val="0049618D"/>
    <w:rsid w:val="004965EF"/>
    <w:rsid w:val="0049719D"/>
    <w:rsid w:val="00497F97"/>
    <w:rsid w:val="00497FCD"/>
    <w:rsid w:val="004A0D1E"/>
    <w:rsid w:val="004A0E66"/>
    <w:rsid w:val="004A0EEC"/>
    <w:rsid w:val="004A130F"/>
    <w:rsid w:val="004A17EF"/>
    <w:rsid w:val="004A1BDA"/>
    <w:rsid w:val="004A22DA"/>
    <w:rsid w:val="004A2700"/>
    <w:rsid w:val="004A330D"/>
    <w:rsid w:val="004A36C8"/>
    <w:rsid w:val="004A3721"/>
    <w:rsid w:val="004A3742"/>
    <w:rsid w:val="004A37B8"/>
    <w:rsid w:val="004A3ED3"/>
    <w:rsid w:val="004A47BC"/>
    <w:rsid w:val="004A4AC6"/>
    <w:rsid w:val="004B0D59"/>
    <w:rsid w:val="004B1199"/>
    <w:rsid w:val="004B16C4"/>
    <w:rsid w:val="004B1867"/>
    <w:rsid w:val="004B2A64"/>
    <w:rsid w:val="004B388C"/>
    <w:rsid w:val="004B41DA"/>
    <w:rsid w:val="004B470D"/>
    <w:rsid w:val="004B4764"/>
    <w:rsid w:val="004B4846"/>
    <w:rsid w:val="004B48C6"/>
    <w:rsid w:val="004B5394"/>
    <w:rsid w:val="004B5BDD"/>
    <w:rsid w:val="004B5C9A"/>
    <w:rsid w:val="004B6E9E"/>
    <w:rsid w:val="004B6F83"/>
    <w:rsid w:val="004B7C29"/>
    <w:rsid w:val="004C06E5"/>
    <w:rsid w:val="004C1B7D"/>
    <w:rsid w:val="004C1E3C"/>
    <w:rsid w:val="004C25F0"/>
    <w:rsid w:val="004C26DD"/>
    <w:rsid w:val="004C2B5D"/>
    <w:rsid w:val="004C2D68"/>
    <w:rsid w:val="004C2F56"/>
    <w:rsid w:val="004C339D"/>
    <w:rsid w:val="004C33E8"/>
    <w:rsid w:val="004C4307"/>
    <w:rsid w:val="004C4309"/>
    <w:rsid w:val="004C49E3"/>
    <w:rsid w:val="004C4E8A"/>
    <w:rsid w:val="004C514A"/>
    <w:rsid w:val="004C517F"/>
    <w:rsid w:val="004C6572"/>
    <w:rsid w:val="004C6D4F"/>
    <w:rsid w:val="004C7541"/>
    <w:rsid w:val="004D1E71"/>
    <w:rsid w:val="004D239A"/>
    <w:rsid w:val="004D2766"/>
    <w:rsid w:val="004D2CDF"/>
    <w:rsid w:val="004D33CE"/>
    <w:rsid w:val="004D4AAE"/>
    <w:rsid w:val="004D52B5"/>
    <w:rsid w:val="004D7C86"/>
    <w:rsid w:val="004E0197"/>
    <w:rsid w:val="004E1122"/>
    <w:rsid w:val="004E1409"/>
    <w:rsid w:val="004E1A87"/>
    <w:rsid w:val="004E1BB0"/>
    <w:rsid w:val="004E2FB8"/>
    <w:rsid w:val="004E3030"/>
    <w:rsid w:val="004E3311"/>
    <w:rsid w:val="004E38EC"/>
    <w:rsid w:val="004E3933"/>
    <w:rsid w:val="004E4549"/>
    <w:rsid w:val="004E4C83"/>
    <w:rsid w:val="004E4D53"/>
    <w:rsid w:val="004E4D84"/>
    <w:rsid w:val="004E4EBC"/>
    <w:rsid w:val="004E5104"/>
    <w:rsid w:val="004E5B06"/>
    <w:rsid w:val="004E5FA8"/>
    <w:rsid w:val="004E684C"/>
    <w:rsid w:val="004E6FF1"/>
    <w:rsid w:val="004E76DB"/>
    <w:rsid w:val="004F02B6"/>
    <w:rsid w:val="004F1F90"/>
    <w:rsid w:val="004F2401"/>
    <w:rsid w:val="004F2A44"/>
    <w:rsid w:val="004F2DAD"/>
    <w:rsid w:val="004F34F7"/>
    <w:rsid w:val="004F55D6"/>
    <w:rsid w:val="004F565A"/>
    <w:rsid w:val="004F571B"/>
    <w:rsid w:val="004F5823"/>
    <w:rsid w:val="004F64EB"/>
    <w:rsid w:val="004F7A74"/>
    <w:rsid w:val="00500250"/>
    <w:rsid w:val="00500264"/>
    <w:rsid w:val="00500824"/>
    <w:rsid w:val="00500DAB"/>
    <w:rsid w:val="00501144"/>
    <w:rsid w:val="005013EF"/>
    <w:rsid w:val="005019E0"/>
    <w:rsid w:val="0050211F"/>
    <w:rsid w:val="005022E7"/>
    <w:rsid w:val="00502A93"/>
    <w:rsid w:val="0050375C"/>
    <w:rsid w:val="005037F9"/>
    <w:rsid w:val="00506083"/>
    <w:rsid w:val="005068D6"/>
    <w:rsid w:val="00506B86"/>
    <w:rsid w:val="00506EEC"/>
    <w:rsid w:val="00506FD4"/>
    <w:rsid w:val="005107FF"/>
    <w:rsid w:val="00510CBC"/>
    <w:rsid w:val="0051102D"/>
    <w:rsid w:val="005112A5"/>
    <w:rsid w:val="00511F48"/>
    <w:rsid w:val="00512448"/>
    <w:rsid w:val="0051253A"/>
    <w:rsid w:val="0051266C"/>
    <w:rsid w:val="00513B72"/>
    <w:rsid w:val="00515277"/>
    <w:rsid w:val="005158C2"/>
    <w:rsid w:val="005169DE"/>
    <w:rsid w:val="0051754D"/>
    <w:rsid w:val="0051785D"/>
    <w:rsid w:val="00517913"/>
    <w:rsid w:val="0052005F"/>
    <w:rsid w:val="00520200"/>
    <w:rsid w:val="00520E2D"/>
    <w:rsid w:val="00520F04"/>
    <w:rsid w:val="00521717"/>
    <w:rsid w:val="0052235D"/>
    <w:rsid w:val="005224B2"/>
    <w:rsid w:val="00523B23"/>
    <w:rsid w:val="00523DFA"/>
    <w:rsid w:val="005254BC"/>
    <w:rsid w:val="005256FC"/>
    <w:rsid w:val="00526C27"/>
    <w:rsid w:val="00526DFF"/>
    <w:rsid w:val="00527473"/>
    <w:rsid w:val="00527EF9"/>
    <w:rsid w:val="005305FF"/>
    <w:rsid w:val="00530C9B"/>
    <w:rsid w:val="00532334"/>
    <w:rsid w:val="005324AF"/>
    <w:rsid w:val="005325EC"/>
    <w:rsid w:val="0053402C"/>
    <w:rsid w:val="00534090"/>
    <w:rsid w:val="00534ABA"/>
    <w:rsid w:val="00534D03"/>
    <w:rsid w:val="00535DD4"/>
    <w:rsid w:val="00535FFF"/>
    <w:rsid w:val="0053616F"/>
    <w:rsid w:val="005368AD"/>
    <w:rsid w:val="005370BC"/>
    <w:rsid w:val="00537B35"/>
    <w:rsid w:val="00537DE7"/>
    <w:rsid w:val="00537EC4"/>
    <w:rsid w:val="00537FE4"/>
    <w:rsid w:val="0054027D"/>
    <w:rsid w:val="00540D36"/>
    <w:rsid w:val="00541222"/>
    <w:rsid w:val="005415E5"/>
    <w:rsid w:val="00541A8D"/>
    <w:rsid w:val="00541D4D"/>
    <w:rsid w:val="00541E08"/>
    <w:rsid w:val="0054222A"/>
    <w:rsid w:val="00543C81"/>
    <w:rsid w:val="00544DA0"/>
    <w:rsid w:val="005454BD"/>
    <w:rsid w:val="005457E4"/>
    <w:rsid w:val="00546C49"/>
    <w:rsid w:val="0055010B"/>
    <w:rsid w:val="00550D59"/>
    <w:rsid w:val="0055110D"/>
    <w:rsid w:val="00551F81"/>
    <w:rsid w:val="0055210F"/>
    <w:rsid w:val="00552CD7"/>
    <w:rsid w:val="00553210"/>
    <w:rsid w:val="005533BE"/>
    <w:rsid w:val="00553B87"/>
    <w:rsid w:val="00554B30"/>
    <w:rsid w:val="00554FFB"/>
    <w:rsid w:val="005568DE"/>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C23"/>
    <w:rsid w:val="00565406"/>
    <w:rsid w:val="00565570"/>
    <w:rsid w:val="005657DD"/>
    <w:rsid w:val="00565B29"/>
    <w:rsid w:val="005662E2"/>
    <w:rsid w:val="005664CC"/>
    <w:rsid w:val="0056664B"/>
    <w:rsid w:val="00567588"/>
    <w:rsid w:val="00567992"/>
    <w:rsid w:val="00567C3C"/>
    <w:rsid w:val="005702F8"/>
    <w:rsid w:val="00571231"/>
    <w:rsid w:val="00571767"/>
    <w:rsid w:val="00571E44"/>
    <w:rsid w:val="00573E61"/>
    <w:rsid w:val="0057411B"/>
    <w:rsid w:val="00574525"/>
    <w:rsid w:val="00574778"/>
    <w:rsid w:val="0057498F"/>
    <w:rsid w:val="00574DE9"/>
    <w:rsid w:val="00575DF4"/>
    <w:rsid w:val="0057765D"/>
    <w:rsid w:val="005777FC"/>
    <w:rsid w:val="005808EB"/>
    <w:rsid w:val="00580D37"/>
    <w:rsid w:val="00581FA0"/>
    <w:rsid w:val="0058280D"/>
    <w:rsid w:val="00582B90"/>
    <w:rsid w:val="005831A7"/>
    <w:rsid w:val="00583321"/>
    <w:rsid w:val="0058341E"/>
    <w:rsid w:val="00584F3A"/>
    <w:rsid w:val="005853AB"/>
    <w:rsid w:val="00585748"/>
    <w:rsid w:val="0058589B"/>
    <w:rsid w:val="005859C5"/>
    <w:rsid w:val="00585C79"/>
    <w:rsid w:val="00586144"/>
    <w:rsid w:val="005876AA"/>
    <w:rsid w:val="00587785"/>
    <w:rsid w:val="0058788D"/>
    <w:rsid w:val="00587E29"/>
    <w:rsid w:val="00587FE6"/>
    <w:rsid w:val="00591698"/>
    <w:rsid w:val="00593B87"/>
    <w:rsid w:val="00593C1C"/>
    <w:rsid w:val="00593E94"/>
    <w:rsid w:val="00594143"/>
    <w:rsid w:val="00594543"/>
    <w:rsid w:val="00594612"/>
    <w:rsid w:val="00595873"/>
    <w:rsid w:val="00595CDD"/>
    <w:rsid w:val="00595F07"/>
    <w:rsid w:val="00595FA5"/>
    <w:rsid w:val="005964BB"/>
    <w:rsid w:val="00596A70"/>
    <w:rsid w:val="00596BD3"/>
    <w:rsid w:val="00596BE7"/>
    <w:rsid w:val="00596C3E"/>
    <w:rsid w:val="005977DD"/>
    <w:rsid w:val="005A04BD"/>
    <w:rsid w:val="005A0A3F"/>
    <w:rsid w:val="005A114F"/>
    <w:rsid w:val="005A1F49"/>
    <w:rsid w:val="005A2364"/>
    <w:rsid w:val="005A2480"/>
    <w:rsid w:val="005A2A1F"/>
    <w:rsid w:val="005A2B2C"/>
    <w:rsid w:val="005A2D6B"/>
    <w:rsid w:val="005A3252"/>
    <w:rsid w:val="005A33F7"/>
    <w:rsid w:val="005A40CF"/>
    <w:rsid w:val="005A4A9C"/>
    <w:rsid w:val="005A4BAE"/>
    <w:rsid w:val="005A4F39"/>
    <w:rsid w:val="005A574D"/>
    <w:rsid w:val="005A5B5C"/>
    <w:rsid w:val="005A6E93"/>
    <w:rsid w:val="005A707A"/>
    <w:rsid w:val="005A7340"/>
    <w:rsid w:val="005A7F93"/>
    <w:rsid w:val="005B07EA"/>
    <w:rsid w:val="005B0B20"/>
    <w:rsid w:val="005B0BD6"/>
    <w:rsid w:val="005B0EFB"/>
    <w:rsid w:val="005B1060"/>
    <w:rsid w:val="005B12B9"/>
    <w:rsid w:val="005B17C1"/>
    <w:rsid w:val="005B3737"/>
    <w:rsid w:val="005B3A42"/>
    <w:rsid w:val="005B5D40"/>
    <w:rsid w:val="005B5EFC"/>
    <w:rsid w:val="005B6412"/>
    <w:rsid w:val="005B6698"/>
    <w:rsid w:val="005B68A7"/>
    <w:rsid w:val="005B6AC3"/>
    <w:rsid w:val="005C055E"/>
    <w:rsid w:val="005C0FA1"/>
    <w:rsid w:val="005C1615"/>
    <w:rsid w:val="005C1D98"/>
    <w:rsid w:val="005C1DA5"/>
    <w:rsid w:val="005C2559"/>
    <w:rsid w:val="005C2873"/>
    <w:rsid w:val="005C34FC"/>
    <w:rsid w:val="005C35A0"/>
    <w:rsid w:val="005C3B5C"/>
    <w:rsid w:val="005C3C7F"/>
    <w:rsid w:val="005C5143"/>
    <w:rsid w:val="005C5639"/>
    <w:rsid w:val="005C5742"/>
    <w:rsid w:val="005C760E"/>
    <w:rsid w:val="005C7E9E"/>
    <w:rsid w:val="005D18C9"/>
    <w:rsid w:val="005D1B72"/>
    <w:rsid w:val="005D2471"/>
    <w:rsid w:val="005D25A3"/>
    <w:rsid w:val="005D2779"/>
    <w:rsid w:val="005D3000"/>
    <w:rsid w:val="005D3242"/>
    <w:rsid w:val="005D610C"/>
    <w:rsid w:val="005D74E7"/>
    <w:rsid w:val="005D7F7B"/>
    <w:rsid w:val="005E3BCD"/>
    <w:rsid w:val="005E4A87"/>
    <w:rsid w:val="005E4DA5"/>
    <w:rsid w:val="005E503E"/>
    <w:rsid w:val="005E5832"/>
    <w:rsid w:val="005E59C7"/>
    <w:rsid w:val="005E5E7B"/>
    <w:rsid w:val="005E6095"/>
    <w:rsid w:val="005E6A3F"/>
    <w:rsid w:val="005E6DB8"/>
    <w:rsid w:val="005E6EA5"/>
    <w:rsid w:val="005E7228"/>
    <w:rsid w:val="005E7284"/>
    <w:rsid w:val="005E7BAC"/>
    <w:rsid w:val="005F0E5C"/>
    <w:rsid w:val="005F134E"/>
    <w:rsid w:val="005F1365"/>
    <w:rsid w:val="005F2C1F"/>
    <w:rsid w:val="005F2E44"/>
    <w:rsid w:val="005F3206"/>
    <w:rsid w:val="005F3690"/>
    <w:rsid w:val="005F3986"/>
    <w:rsid w:val="005F4C57"/>
    <w:rsid w:val="005F6774"/>
    <w:rsid w:val="005F79AA"/>
    <w:rsid w:val="0060044B"/>
    <w:rsid w:val="006013D7"/>
    <w:rsid w:val="006014DB"/>
    <w:rsid w:val="00601587"/>
    <w:rsid w:val="00602079"/>
    <w:rsid w:val="006022F3"/>
    <w:rsid w:val="00602374"/>
    <w:rsid w:val="00602579"/>
    <w:rsid w:val="00602BA4"/>
    <w:rsid w:val="00602DA2"/>
    <w:rsid w:val="00602FF4"/>
    <w:rsid w:val="00603228"/>
    <w:rsid w:val="00603DAE"/>
    <w:rsid w:val="00604ACD"/>
    <w:rsid w:val="00604C15"/>
    <w:rsid w:val="00604DC2"/>
    <w:rsid w:val="00605A0E"/>
    <w:rsid w:val="006060C4"/>
    <w:rsid w:val="006064B7"/>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159D"/>
    <w:rsid w:val="00621680"/>
    <w:rsid w:val="00621EC5"/>
    <w:rsid w:val="006223E0"/>
    <w:rsid w:val="006224D0"/>
    <w:rsid w:val="00622BCE"/>
    <w:rsid w:val="00622E29"/>
    <w:rsid w:val="00623643"/>
    <w:rsid w:val="00623C89"/>
    <w:rsid w:val="00624018"/>
    <w:rsid w:val="006240C4"/>
    <w:rsid w:val="00624B6C"/>
    <w:rsid w:val="00625304"/>
    <w:rsid w:val="0062581B"/>
    <w:rsid w:val="006261F4"/>
    <w:rsid w:val="0063164E"/>
    <w:rsid w:val="0063191D"/>
    <w:rsid w:val="00633488"/>
    <w:rsid w:val="00633581"/>
    <w:rsid w:val="006339AF"/>
    <w:rsid w:val="00633C47"/>
    <w:rsid w:val="006348F7"/>
    <w:rsid w:val="00634C18"/>
    <w:rsid w:val="0063512D"/>
    <w:rsid w:val="006358FB"/>
    <w:rsid w:val="00635AE2"/>
    <w:rsid w:val="00635E1E"/>
    <w:rsid w:val="0063677C"/>
    <w:rsid w:val="00636972"/>
    <w:rsid w:val="00636B69"/>
    <w:rsid w:val="00636BC2"/>
    <w:rsid w:val="00637936"/>
    <w:rsid w:val="006404D1"/>
    <w:rsid w:val="00640F43"/>
    <w:rsid w:val="006412CA"/>
    <w:rsid w:val="006420DA"/>
    <w:rsid w:val="00642204"/>
    <w:rsid w:val="00642A0A"/>
    <w:rsid w:val="006434FF"/>
    <w:rsid w:val="00643AC1"/>
    <w:rsid w:val="00643D62"/>
    <w:rsid w:val="00644A5E"/>
    <w:rsid w:val="00644A6C"/>
    <w:rsid w:val="00644D69"/>
    <w:rsid w:val="006457A8"/>
    <w:rsid w:val="00645EA0"/>
    <w:rsid w:val="00645F76"/>
    <w:rsid w:val="006460D5"/>
    <w:rsid w:val="00646EB0"/>
    <w:rsid w:val="0064714D"/>
    <w:rsid w:val="0064727D"/>
    <w:rsid w:val="00647B32"/>
    <w:rsid w:val="00647C27"/>
    <w:rsid w:val="006519E6"/>
    <w:rsid w:val="00651CDE"/>
    <w:rsid w:val="00652326"/>
    <w:rsid w:val="00652907"/>
    <w:rsid w:val="00652E06"/>
    <w:rsid w:val="00653A06"/>
    <w:rsid w:val="00653FC4"/>
    <w:rsid w:val="00654F91"/>
    <w:rsid w:val="00655361"/>
    <w:rsid w:val="00656253"/>
    <w:rsid w:val="00656799"/>
    <w:rsid w:val="00656B77"/>
    <w:rsid w:val="00656E72"/>
    <w:rsid w:val="006578A1"/>
    <w:rsid w:val="0066137B"/>
    <w:rsid w:val="0066143C"/>
    <w:rsid w:val="0066174E"/>
    <w:rsid w:val="00661BBB"/>
    <w:rsid w:val="00661E57"/>
    <w:rsid w:val="006629E4"/>
    <w:rsid w:val="00663783"/>
    <w:rsid w:val="00663E47"/>
    <w:rsid w:val="006644A7"/>
    <w:rsid w:val="00664BDE"/>
    <w:rsid w:val="0066565B"/>
    <w:rsid w:val="006656B5"/>
    <w:rsid w:val="006657CC"/>
    <w:rsid w:val="00665C44"/>
    <w:rsid w:val="00666284"/>
    <w:rsid w:val="006667F3"/>
    <w:rsid w:val="00667AEA"/>
    <w:rsid w:val="006704FA"/>
    <w:rsid w:val="00670687"/>
    <w:rsid w:val="00670DC5"/>
    <w:rsid w:val="00671652"/>
    <w:rsid w:val="00671FAA"/>
    <w:rsid w:val="006745BD"/>
    <w:rsid w:val="00675DA5"/>
    <w:rsid w:val="00680482"/>
    <w:rsid w:val="006808DC"/>
    <w:rsid w:val="006816B6"/>
    <w:rsid w:val="00681BD1"/>
    <w:rsid w:val="006820EB"/>
    <w:rsid w:val="00682128"/>
    <w:rsid w:val="0068220C"/>
    <w:rsid w:val="00682AB1"/>
    <w:rsid w:val="00682E9F"/>
    <w:rsid w:val="00683252"/>
    <w:rsid w:val="0068343A"/>
    <w:rsid w:val="006834D4"/>
    <w:rsid w:val="0068413D"/>
    <w:rsid w:val="006844BA"/>
    <w:rsid w:val="006845A2"/>
    <w:rsid w:val="00684BF8"/>
    <w:rsid w:val="00684D9B"/>
    <w:rsid w:val="006856EC"/>
    <w:rsid w:val="006858AA"/>
    <w:rsid w:val="00685BCF"/>
    <w:rsid w:val="006871D0"/>
    <w:rsid w:val="0068751F"/>
    <w:rsid w:val="006900D1"/>
    <w:rsid w:val="00690297"/>
    <w:rsid w:val="00690489"/>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6430"/>
    <w:rsid w:val="006A7D95"/>
    <w:rsid w:val="006B120D"/>
    <w:rsid w:val="006B13C1"/>
    <w:rsid w:val="006B2CC7"/>
    <w:rsid w:val="006B3AF9"/>
    <w:rsid w:val="006B44C5"/>
    <w:rsid w:val="006B555F"/>
    <w:rsid w:val="006B6242"/>
    <w:rsid w:val="006B6C7C"/>
    <w:rsid w:val="006B6EA4"/>
    <w:rsid w:val="006B77BB"/>
    <w:rsid w:val="006B7F8F"/>
    <w:rsid w:val="006B7FC5"/>
    <w:rsid w:val="006C055E"/>
    <w:rsid w:val="006C0D13"/>
    <w:rsid w:val="006C187F"/>
    <w:rsid w:val="006C19BC"/>
    <w:rsid w:val="006C19D5"/>
    <w:rsid w:val="006C1B44"/>
    <w:rsid w:val="006C1F77"/>
    <w:rsid w:val="006C2211"/>
    <w:rsid w:val="006C3031"/>
    <w:rsid w:val="006C3607"/>
    <w:rsid w:val="006C3990"/>
    <w:rsid w:val="006C3ED2"/>
    <w:rsid w:val="006C4233"/>
    <w:rsid w:val="006C42E7"/>
    <w:rsid w:val="006C4422"/>
    <w:rsid w:val="006C5CCA"/>
    <w:rsid w:val="006C625F"/>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A5"/>
    <w:rsid w:val="006E06F9"/>
    <w:rsid w:val="006E07A9"/>
    <w:rsid w:val="006E0D91"/>
    <w:rsid w:val="006E1706"/>
    <w:rsid w:val="006E3CB2"/>
    <w:rsid w:val="006E3DA8"/>
    <w:rsid w:val="006E406D"/>
    <w:rsid w:val="006E5DAA"/>
    <w:rsid w:val="006E7006"/>
    <w:rsid w:val="006F00E7"/>
    <w:rsid w:val="006F0EDD"/>
    <w:rsid w:val="006F0F6E"/>
    <w:rsid w:val="006F1B22"/>
    <w:rsid w:val="006F1BA4"/>
    <w:rsid w:val="006F2259"/>
    <w:rsid w:val="006F23E1"/>
    <w:rsid w:val="006F2F8F"/>
    <w:rsid w:val="006F2FDA"/>
    <w:rsid w:val="006F2FE5"/>
    <w:rsid w:val="006F3460"/>
    <w:rsid w:val="006F34FE"/>
    <w:rsid w:val="006F3615"/>
    <w:rsid w:val="006F3FA3"/>
    <w:rsid w:val="006F4066"/>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3E"/>
    <w:rsid w:val="00710AC6"/>
    <w:rsid w:val="00710C1D"/>
    <w:rsid w:val="007110A3"/>
    <w:rsid w:val="00711108"/>
    <w:rsid w:val="00711213"/>
    <w:rsid w:val="007112A1"/>
    <w:rsid w:val="00711996"/>
    <w:rsid w:val="00711B3B"/>
    <w:rsid w:val="00711BA3"/>
    <w:rsid w:val="00711C9D"/>
    <w:rsid w:val="00712B71"/>
    <w:rsid w:val="00712E55"/>
    <w:rsid w:val="00713023"/>
    <w:rsid w:val="00713159"/>
    <w:rsid w:val="0071322C"/>
    <w:rsid w:val="00713779"/>
    <w:rsid w:val="00713989"/>
    <w:rsid w:val="00713DCF"/>
    <w:rsid w:val="00714004"/>
    <w:rsid w:val="007144EA"/>
    <w:rsid w:val="0071458E"/>
    <w:rsid w:val="007145C9"/>
    <w:rsid w:val="00714631"/>
    <w:rsid w:val="00714B6E"/>
    <w:rsid w:val="0071512F"/>
    <w:rsid w:val="007169AC"/>
    <w:rsid w:val="007169DD"/>
    <w:rsid w:val="00717679"/>
    <w:rsid w:val="00717B67"/>
    <w:rsid w:val="007206A2"/>
    <w:rsid w:val="00720B38"/>
    <w:rsid w:val="00720CA7"/>
    <w:rsid w:val="0072147B"/>
    <w:rsid w:val="0072181E"/>
    <w:rsid w:val="00722267"/>
    <w:rsid w:val="0072285E"/>
    <w:rsid w:val="00722C62"/>
    <w:rsid w:val="0072321F"/>
    <w:rsid w:val="00723295"/>
    <w:rsid w:val="007235D0"/>
    <w:rsid w:val="007238E2"/>
    <w:rsid w:val="007239B4"/>
    <w:rsid w:val="00724446"/>
    <w:rsid w:val="00724584"/>
    <w:rsid w:val="00724AA1"/>
    <w:rsid w:val="00724D39"/>
    <w:rsid w:val="00725A19"/>
    <w:rsid w:val="00726356"/>
    <w:rsid w:val="0072651D"/>
    <w:rsid w:val="007268C7"/>
    <w:rsid w:val="00726AAB"/>
    <w:rsid w:val="00727077"/>
    <w:rsid w:val="0072724E"/>
    <w:rsid w:val="00730EA6"/>
    <w:rsid w:val="00731C15"/>
    <w:rsid w:val="00732045"/>
    <w:rsid w:val="007322A0"/>
    <w:rsid w:val="00732C1A"/>
    <w:rsid w:val="007336C0"/>
    <w:rsid w:val="00733CDC"/>
    <w:rsid w:val="00734B9A"/>
    <w:rsid w:val="00735695"/>
    <w:rsid w:val="007360CB"/>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6386"/>
    <w:rsid w:val="00756603"/>
    <w:rsid w:val="007575C0"/>
    <w:rsid w:val="00757D2F"/>
    <w:rsid w:val="0076000E"/>
    <w:rsid w:val="00760C00"/>
    <w:rsid w:val="007610E9"/>
    <w:rsid w:val="00761728"/>
    <w:rsid w:val="00761C6C"/>
    <w:rsid w:val="00762B72"/>
    <w:rsid w:val="00763CCB"/>
    <w:rsid w:val="007642B4"/>
    <w:rsid w:val="007646CB"/>
    <w:rsid w:val="00764C45"/>
    <w:rsid w:val="00765A6A"/>
    <w:rsid w:val="00765C9B"/>
    <w:rsid w:val="00766277"/>
    <w:rsid w:val="0076656A"/>
    <w:rsid w:val="00766701"/>
    <w:rsid w:val="00766911"/>
    <w:rsid w:val="00767793"/>
    <w:rsid w:val="007679D8"/>
    <w:rsid w:val="00770803"/>
    <w:rsid w:val="00771319"/>
    <w:rsid w:val="007713E8"/>
    <w:rsid w:val="00771794"/>
    <w:rsid w:val="00771BD6"/>
    <w:rsid w:val="00771CCF"/>
    <w:rsid w:val="00771F7D"/>
    <w:rsid w:val="00772B36"/>
    <w:rsid w:val="00772C3E"/>
    <w:rsid w:val="007736E8"/>
    <w:rsid w:val="00774ACE"/>
    <w:rsid w:val="00775823"/>
    <w:rsid w:val="00775F57"/>
    <w:rsid w:val="00776584"/>
    <w:rsid w:val="007769EF"/>
    <w:rsid w:val="00776D4F"/>
    <w:rsid w:val="00776DDC"/>
    <w:rsid w:val="007770F9"/>
    <w:rsid w:val="00777179"/>
    <w:rsid w:val="00777945"/>
    <w:rsid w:val="00777D40"/>
    <w:rsid w:val="00780B8D"/>
    <w:rsid w:val="00780B8E"/>
    <w:rsid w:val="00781649"/>
    <w:rsid w:val="00781E77"/>
    <w:rsid w:val="007822CE"/>
    <w:rsid w:val="007823D6"/>
    <w:rsid w:val="0078254E"/>
    <w:rsid w:val="00782628"/>
    <w:rsid w:val="007826AB"/>
    <w:rsid w:val="007840E2"/>
    <w:rsid w:val="0078569F"/>
    <w:rsid w:val="00785803"/>
    <w:rsid w:val="00785A58"/>
    <w:rsid w:val="00785EB4"/>
    <w:rsid w:val="0078609A"/>
    <w:rsid w:val="00786C5F"/>
    <w:rsid w:val="00786F85"/>
    <w:rsid w:val="0078731A"/>
    <w:rsid w:val="00787487"/>
    <w:rsid w:val="007906F1"/>
    <w:rsid w:val="00790EDA"/>
    <w:rsid w:val="00791349"/>
    <w:rsid w:val="00791D85"/>
    <w:rsid w:val="00791DAF"/>
    <w:rsid w:val="007924CA"/>
    <w:rsid w:val="007926E8"/>
    <w:rsid w:val="00794CBF"/>
    <w:rsid w:val="00795365"/>
    <w:rsid w:val="0079567E"/>
    <w:rsid w:val="007961D5"/>
    <w:rsid w:val="00796A6F"/>
    <w:rsid w:val="00796C5D"/>
    <w:rsid w:val="00797B06"/>
    <w:rsid w:val="00797B9C"/>
    <w:rsid w:val="007A0483"/>
    <w:rsid w:val="007A1065"/>
    <w:rsid w:val="007A1D86"/>
    <w:rsid w:val="007A2033"/>
    <w:rsid w:val="007A2A97"/>
    <w:rsid w:val="007A2CDC"/>
    <w:rsid w:val="007A371B"/>
    <w:rsid w:val="007A3832"/>
    <w:rsid w:val="007A3A0F"/>
    <w:rsid w:val="007A3E60"/>
    <w:rsid w:val="007A407D"/>
    <w:rsid w:val="007A464F"/>
    <w:rsid w:val="007A5681"/>
    <w:rsid w:val="007A6196"/>
    <w:rsid w:val="007A63D5"/>
    <w:rsid w:val="007A689A"/>
    <w:rsid w:val="007A68EA"/>
    <w:rsid w:val="007A6B7D"/>
    <w:rsid w:val="007A6F46"/>
    <w:rsid w:val="007A7629"/>
    <w:rsid w:val="007B1027"/>
    <w:rsid w:val="007B1691"/>
    <w:rsid w:val="007B174F"/>
    <w:rsid w:val="007B1863"/>
    <w:rsid w:val="007B22E0"/>
    <w:rsid w:val="007B28CA"/>
    <w:rsid w:val="007B358D"/>
    <w:rsid w:val="007B5401"/>
    <w:rsid w:val="007B5FB4"/>
    <w:rsid w:val="007B6B2B"/>
    <w:rsid w:val="007B7949"/>
    <w:rsid w:val="007B7D30"/>
    <w:rsid w:val="007C0290"/>
    <w:rsid w:val="007C0FA9"/>
    <w:rsid w:val="007C2413"/>
    <w:rsid w:val="007C25AE"/>
    <w:rsid w:val="007C3152"/>
    <w:rsid w:val="007C333B"/>
    <w:rsid w:val="007C3914"/>
    <w:rsid w:val="007C3CEA"/>
    <w:rsid w:val="007C3D92"/>
    <w:rsid w:val="007C3E98"/>
    <w:rsid w:val="007C5A8F"/>
    <w:rsid w:val="007C5B38"/>
    <w:rsid w:val="007C6D41"/>
    <w:rsid w:val="007C76E8"/>
    <w:rsid w:val="007C7DCB"/>
    <w:rsid w:val="007D01E6"/>
    <w:rsid w:val="007D035E"/>
    <w:rsid w:val="007D0396"/>
    <w:rsid w:val="007D0644"/>
    <w:rsid w:val="007D0F06"/>
    <w:rsid w:val="007D1801"/>
    <w:rsid w:val="007D1FE0"/>
    <w:rsid w:val="007D20BB"/>
    <w:rsid w:val="007D25E4"/>
    <w:rsid w:val="007D261E"/>
    <w:rsid w:val="007D2F61"/>
    <w:rsid w:val="007D3004"/>
    <w:rsid w:val="007D3D0E"/>
    <w:rsid w:val="007D3D33"/>
    <w:rsid w:val="007D4026"/>
    <w:rsid w:val="007D41C2"/>
    <w:rsid w:val="007D4F02"/>
    <w:rsid w:val="007D674C"/>
    <w:rsid w:val="007D6B7B"/>
    <w:rsid w:val="007D6CF1"/>
    <w:rsid w:val="007D7131"/>
    <w:rsid w:val="007D7BEC"/>
    <w:rsid w:val="007D7CE3"/>
    <w:rsid w:val="007E051A"/>
    <w:rsid w:val="007E0798"/>
    <w:rsid w:val="007E1B72"/>
    <w:rsid w:val="007E3EE3"/>
    <w:rsid w:val="007E57DE"/>
    <w:rsid w:val="007E5902"/>
    <w:rsid w:val="007E5E31"/>
    <w:rsid w:val="007E6719"/>
    <w:rsid w:val="007E68ED"/>
    <w:rsid w:val="007E69ED"/>
    <w:rsid w:val="007E7B2D"/>
    <w:rsid w:val="007F0221"/>
    <w:rsid w:val="007F034B"/>
    <w:rsid w:val="007F0476"/>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6494"/>
    <w:rsid w:val="007F72DC"/>
    <w:rsid w:val="007F795F"/>
    <w:rsid w:val="0080069C"/>
    <w:rsid w:val="008006FD"/>
    <w:rsid w:val="0080148D"/>
    <w:rsid w:val="0080156B"/>
    <w:rsid w:val="00801A3A"/>
    <w:rsid w:val="00803D6B"/>
    <w:rsid w:val="00804114"/>
    <w:rsid w:val="00804634"/>
    <w:rsid w:val="008047E8"/>
    <w:rsid w:val="0080531E"/>
    <w:rsid w:val="00805C3D"/>
    <w:rsid w:val="00806F1D"/>
    <w:rsid w:val="008077ED"/>
    <w:rsid w:val="008078F4"/>
    <w:rsid w:val="00807B6F"/>
    <w:rsid w:val="00807E93"/>
    <w:rsid w:val="00810172"/>
    <w:rsid w:val="00810762"/>
    <w:rsid w:val="00810858"/>
    <w:rsid w:val="00810EFF"/>
    <w:rsid w:val="0081121D"/>
    <w:rsid w:val="00811314"/>
    <w:rsid w:val="00811A39"/>
    <w:rsid w:val="0081291B"/>
    <w:rsid w:val="00813622"/>
    <w:rsid w:val="00813DCF"/>
    <w:rsid w:val="00813FAB"/>
    <w:rsid w:val="0081498C"/>
    <w:rsid w:val="00814AE1"/>
    <w:rsid w:val="00815D31"/>
    <w:rsid w:val="0081601F"/>
    <w:rsid w:val="00816064"/>
    <w:rsid w:val="008174B2"/>
    <w:rsid w:val="00817CFF"/>
    <w:rsid w:val="00817E02"/>
    <w:rsid w:val="0082000D"/>
    <w:rsid w:val="0082037E"/>
    <w:rsid w:val="00820C9C"/>
    <w:rsid w:val="00820F55"/>
    <w:rsid w:val="00821572"/>
    <w:rsid w:val="00821D96"/>
    <w:rsid w:val="00822310"/>
    <w:rsid w:val="00823794"/>
    <w:rsid w:val="008237F4"/>
    <w:rsid w:val="00823F67"/>
    <w:rsid w:val="00824022"/>
    <w:rsid w:val="0082483A"/>
    <w:rsid w:val="00824A29"/>
    <w:rsid w:val="00824A81"/>
    <w:rsid w:val="008257B8"/>
    <w:rsid w:val="00825A03"/>
    <w:rsid w:val="00825EA2"/>
    <w:rsid w:val="008260ED"/>
    <w:rsid w:val="0082699D"/>
    <w:rsid w:val="00826E6B"/>
    <w:rsid w:val="008275FD"/>
    <w:rsid w:val="00830BA1"/>
    <w:rsid w:val="00830EB2"/>
    <w:rsid w:val="00831652"/>
    <w:rsid w:val="0083202E"/>
    <w:rsid w:val="0083304F"/>
    <w:rsid w:val="008334C9"/>
    <w:rsid w:val="008335E5"/>
    <w:rsid w:val="00834122"/>
    <w:rsid w:val="008352C5"/>
    <w:rsid w:val="008358A6"/>
    <w:rsid w:val="008359FB"/>
    <w:rsid w:val="00835C56"/>
    <w:rsid w:val="008360FC"/>
    <w:rsid w:val="00836E81"/>
    <w:rsid w:val="008377C1"/>
    <w:rsid w:val="00837C90"/>
    <w:rsid w:val="00837EB1"/>
    <w:rsid w:val="0084042B"/>
    <w:rsid w:val="008409BB"/>
    <w:rsid w:val="0084184A"/>
    <w:rsid w:val="008423F2"/>
    <w:rsid w:val="00842A30"/>
    <w:rsid w:val="00842F71"/>
    <w:rsid w:val="00843179"/>
    <w:rsid w:val="0084386A"/>
    <w:rsid w:val="00843E0E"/>
    <w:rsid w:val="00844058"/>
    <w:rsid w:val="008442EA"/>
    <w:rsid w:val="00844589"/>
    <w:rsid w:val="00844794"/>
    <w:rsid w:val="00844FE7"/>
    <w:rsid w:val="00845969"/>
    <w:rsid w:val="00845F37"/>
    <w:rsid w:val="00845FF5"/>
    <w:rsid w:val="00846001"/>
    <w:rsid w:val="0084600D"/>
    <w:rsid w:val="0084615D"/>
    <w:rsid w:val="0084642A"/>
    <w:rsid w:val="008465C4"/>
    <w:rsid w:val="00846710"/>
    <w:rsid w:val="008478ED"/>
    <w:rsid w:val="00851728"/>
    <w:rsid w:val="00851DFF"/>
    <w:rsid w:val="00853084"/>
    <w:rsid w:val="00853142"/>
    <w:rsid w:val="008540A6"/>
    <w:rsid w:val="00854420"/>
    <w:rsid w:val="00854481"/>
    <w:rsid w:val="00856617"/>
    <w:rsid w:val="008573F9"/>
    <w:rsid w:val="00857591"/>
    <w:rsid w:val="00857E88"/>
    <w:rsid w:val="008612DB"/>
    <w:rsid w:val="00861B57"/>
    <w:rsid w:val="00862AC4"/>
    <w:rsid w:val="008633AC"/>
    <w:rsid w:val="008634E3"/>
    <w:rsid w:val="008637AE"/>
    <w:rsid w:val="00864627"/>
    <w:rsid w:val="00864635"/>
    <w:rsid w:val="00864678"/>
    <w:rsid w:val="00864C1A"/>
    <w:rsid w:val="00865217"/>
    <w:rsid w:val="008658AA"/>
    <w:rsid w:val="00865CBD"/>
    <w:rsid w:val="00866E37"/>
    <w:rsid w:val="00866F9E"/>
    <w:rsid w:val="008672E2"/>
    <w:rsid w:val="0086793D"/>
    <w:rsid w:val="00867B1C"/>
    <w:rsid w:val="008713D6"/>
    <w:rsid w:val="00871643"/>
    <w:rsid w:val="0087281D"/>
    <w:rsid w:val="008732D8"/>
    <w:rsid w:val="00873377"/>
    <w:rsid w:val="00873577"/>
    <w:rsid w:val="0087409F"/>
    <w:rsid w:val="00874D58"/>
    <w:rsid w:val="008750D2"/>
    <w:rsid w:val="00875AB5"/>
    <w:rsid w:val="00875C91"/>
    <w:rsid w:val="00875F85"/>
    <w:rsid w:val="00876C6B"/>
    <w:rsid w:val="00876DC9"/>
    <w:rsid w:val="00877125"/>
    <w:rsid w:val="008777C2"/>
    <w:rsid w:val="00881511"/>
    <w:rsid w:val="00882448"/>
    <w:rsid w:val="00882F1D"/>
    <w:rsid w:val="00883A4D"/>
    <w:rsid w:val="00883B21"/>
    <w:rsid w:val="00883F8F"/>
    <w:rsid w:val="00884235"/>
    <w:rsid w:val="00885285"/>
    <w:rsid w:val="00885985"/>
    <w:rsid w:val="00886699"/>
    <w:rsid w:val="0088709A"/>
    <w:rsid w:val="0089116E"/>
    <w:rsid w:val="0089199F"/>
    <w:rsid w:val="00891C32"/>
    <w:rsid w:val="00891D7F"/>
    <w:rsid w:val="00892265"/>
    <w:rsid w:val="0089233E"/>
    <w:rsid w:val="0089330E"/>
    <w:rsid w:val="00893A8E"/>
    <w:rsid w:val="00893E27"/>
    <w:rsid w:val="008945F7"/>
    <w:rsid w:val="0089463D"/>
    <w:rsid w:val="0089554F"/>
    <w:rsid w:val="008955E6"/>
    <w:rsid w:val="00895B5F"/>
    <w:rsid w:val="0089637C"/>
    <w:rsid w:val="00896712"/>
    <w:rsid w:val="00896870"/>
    <w:rsid w:val="008969BD"/>
    <w:rsid w:val="008A13BD"/>
    <w:rsid w:val="008A1596"/>
    <w:rsid w:val="008A1EDF"/>
    <w:rsid w:val="008A2695"/>
    <w:rsid w:val="008A2DC9"/>
    <w:rsid w:val="008A2FF1"/>
    <w:rsid w:val="008A32D4"/>
    <w:rsid w:val="008A367F"/>
    <w:rsid w:val="008A37AF"/>
    <w:rsid w:val="008A3D62"/>
    <w:rsid w:val="008A448D"/>
    <w:rsid w:val="008A4A55"/>
    <w:rsid w:val="008A506F"/>
    <w:rsid w:val="008A528A"/>
    <w:rsid w:val="008A5298"/>
    <w:rsid w:val="008A535A"/>
    <w:rsid w:val="008A720F"/>
    <w:rsid w:val="008A7C72"/>
    <w:rsid w:val="008B04F2"/>
    <w:rsid w:val="008B0D0E"/>
    <w:rsid w:val="008B12BB"/>
    <w:rsid w:val="008B1411"/>
    <w:rsid w:val="008B17A2"/>
    <w:rsid w:val="008B1949"/>
    <w:rsid w:val="008B25F2"/>
    <w:rsid w:val="008B2643"/>
    <w:rsid w:val="008B2FAE"/>
    <w:rsid w:val="008B3317"/>
    <w:rsid w:val="008B414B"/>
    <w:rsid w:val="008B4E0E"/>
    <w:rsid w:val="008B4FAA"/>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2DE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657"/>
    <w:rsid w:val="008D6752"/>
    <w:rsid w:val="008D69E7"/>
    <w:rsid w:val="008D6FC1"/>
    <w:rsid w:val="008E0140"/>
    <w:rsid w:val="008E0688"/>
    <w:rsid w:val="008E0BEF"/>
    <w:rsid w:val="008E266D"/>
    <w:rsid w:val="008E2F0C"/>
    <w:rsid w:val="008E3E23"/>
    <w:rsid w:val="008E547B"/>
    <w:rsid w:val="008E5DF8"/>
    <w:rsid w:val="008E79B6"/>
    <w:rsid w:val="008F0250"/>
    <w:rsid w:val="008F11F4"/>
    <w:rsid w:val="008F1952"/>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2E5B"/>
    <w:rsid w:val="00903BE9"/>
    <w:rsid w:val="00903FD9"/>
    <w:rsid w:val="00904CF5"/>
    <w:rsid w:val="00905259"/>
    <w:rsid w:val="0090556C"/>
    <w:rsid w:val="00905633"/>
    <w:rsid w:val="00905EAE"/>
    <w:rsid w:val="009060C4"/>
    <w:rsid w:val="00906C91"/>
    <w:rsid w:val="00906C95"/>
    <w:rsid w:val="00907656"/>
    <w:rsid w:val="00907E47"/>
    <w:rsid w:val="009115EF"/>
    <w:rsid w:val="009116DD"/>
    <w:rsid w:val="00912D1C"/>
    <w:rsid w:val="00913019"/>
    <w:rsid w:val="00913F1E"/>
    <w:rsid w:val="00913FB2"/>
    <w:rsid w:val="009140C4"/>
    <w:rsid w:val="009144A9"/>
    <w:rsid w:val="0091468B"/>
    <w:rsid w:val="0091526F"/>
    <w:rsid w:val="009153D2"/>
    <w:rsid w:val="0091611F"/>
    <w:rsid w:val="00916286"/>
    <w:rsid w:val="00916595"/>
    <w:rsid w:val="00916C47"/>
    <w:rsid w:val="009171AD"/>
    <w:rsid w:val="009173B3"/>
    <w:rsid w:val="00917569"/>
    <w:rsid w:val="00920174"/>
    <w:rsid w:val="009219D2"/>
    <w:rsid w:val="00921A4E"/>
    <w:rsid w:val="00921E37"/>
    <w:rsid w:val="009220AF"/>
    <w:rsid w:val="00922511"/>
    <w:rsid w:val="00922F07"/>
    <w:rsid w:val="00923463"/>
    <w:rsid w:val="00925238"/>
    <w:rsid w:val="009256B0"/>
    <w:rsid w:val="00925ACF"/>
    <w:rsid w:val="0092615D"/>
    <w:rsid w:val="00926546"/>
    <w:rsid w:val="009265A1"/>
    <w:rsid w:val="00927700"/>
    <w:rsid w:val="0093036E"/>
    <w:rsid w:val="00930A2A"/>
    <w:rsid w:val="00931224"/>
    <w:rsid w:val="009333D3"/>
    <w:rsid w:val="009339B6"/>
    <w:rsid w:val="00933B4C"/>
    <w:rsid w:val="00933DC4"/>
    <w:rsid w:val="0093431B"/>
    <w:rsid w:val="009346D6"/>
    <w:rsid w:val="00934743"/>
    <w:rsid w:val="0093487E"/>
    <w:rsid w:val="00934FFE"/>
    <w:rsid w:val="00936405"/>
    <w:rsid w:val="0093677E"/>
    <w:rsid w:val="00936B64"/>
    <w:rsid w:val="009379C4"/>
    <w:rsid w:val="0094041A"/>
    <w:rsid w:val="00940D32"/>
    <w:rsid w:val="0094190D"/>
    <w:rsid w:val="00942354"/>
    <w:rsid w:val="00942681"/>
    <w:rsid w:val="00943A7E"/>
    <w:rsid w:val="00943E42"/>
    <w:rsid w:val="00943E5D"/>
    <w:rsid w:val="00944728"/>
    <w:rsid w:val="009453E8"/>
    <w:rsid w:val="00945664"/>
    <w:rsid w:val="00945AD1"/>
    <w:rsid w:val="00946ECB"/>
    <w:rsid w:val="00947268"/>
    <w:rsid w:val="0094750E"/>
    <w:rsid w:val="00947C94"/>
    <w:rsid w:val="009507C8"/>
    <w:rsid w:val="0095115E"/>
    <w:rsid w:val="0095118A"/>
    <w:rsid w:val="00952468"/>
    <w:rsid w:val="00954767"/>
    <w:rsid w:val="0095487A"/>
    <w:rsid w:val="009548FB"/>
    <w:rsid w:val="0095538B"/>
    <w:rsid w:val="00957053"/>
    <w:rsid w:val="00957AF7"/>
    <w:rsid w:val="00960ACA"/>
    <w:rsid w:val="00960C4F"/>
    <w:rsid w:val="0096217C"/>
    <w:rsid w:val="00962441"/>
    <w:rsid w:val="00963277"/>
    <w:rsid w:val="00963E74"/>
    <w:rsid w:val="00964B53"/>
    <w:rsid w:val="00964C3F"/>
    <w:rsid w:val="00964C6C"/>
    <w:rsid w:val="00965176"/>
    <w:rsid w:val="00965240"/>
    <w:rsid w:val="00965847"/>
    <w:rsid w:val="00965A3E"/>
    <w:rsid w:val="00965C48"/>
    <w:rsid w:val="00966D9D"/>
    <w:rsid w:val="00966E4A"/>
    <w:rsid w:val="00967009"/>
    <w:rsid w:val="00967041"/>
    <w:rsid w:val="00970918"/>
    <w:rsid w:val="0097099E"/>
    <w:rsid w:val="00971761"/>
    <w:rsid w:val="00971A10"/>
    <w:rsid w:val="0097216F"/>
    <w:rsid w:val="0097299E"/>
    <w:rsid w:val="00972C3B"/>
    <w:rsid w:val="00973057"/>
    <w:rsid w:val="00974D50"/>
    <w:rsid w:val="009751AF"/>
    <w:rsid w:val="00975326"/>
    <w:rsid w:val="00975DEA"/>
    <w:rsid w:val="00977CDF"/>
    <w:rsid w:val="0098043F"/>
    <w:rsid w:val="00981038"/>
    <w:rsid w:val="0098106E"/>
    <w:rsid w:val="00981511"/>
    <w:rsid w:val="00981D1C"/>
    <w:rsid w:val="00981E1C"/>
    <w:rsid w:val="00982118"/>
    <w:rsid w:val="00982C62"/>
    <w:rsid w:val="00982C91"/>
    <w:rsid w:val="00982F76"/>
    <w:rsid w:val="00982FA3"/>
    <w:rsid w:val="009840FD"/>
    <w:rsid w:val="009843E9"/>
    <w:rsid w:val="00984701"/>
    <w:rsid w:val="00984847"/>
    <w:rsid w:val="00984BEC"/>
    <w:rsid w:val="00985EB8"/>
    <w:rsid w:val="00985FB3"/>
    <w:rsid w:val="00986566"/>
    <w:rsid w:val="00986CC1"/>
    <w:rsid w:val="00986F4E"/>
    <w:rsid w:val="00987191"/>
    <w:rsid w:val="0098762F"/>
    <w:rsid w:val="00987A5A"/>
    <w:rsid w:val="00987CB4"/>
    <w:rsid w:val="0099097E"/>
    <w:rsid w:val="009921FC"/>
    <w:rsid w:val="0099272B"/>
    <w:rsid w:val="00992A0E"/>
    <w:rsid w:val="0099399E"/>
    <w:rsid w:val="0099413C"/>
    <w:rsid w:val="00994230"/>
    <w:rsid w:val="0099479E"/>
    <w:rsid w:val="009951D8"/>
    <w:rsid w:val="00995355"/>
    <w:rsid w:val="0099586F"/>
    <w:rsid w:val="0099719E"/>
    <w:rsid w:val="009A0169"/>
    <w:rsid w:val="009A1B56"/>
    <w:rsid w:val="009A3118"/>
    <w:rsid w:val="009A3C93"/>
    <w:rsid w:val="009A3FD0"/>
    <w:rsid w:val="009A51C7"/>
    <w:rsid w:val="009A5515"/>
    <w:rsid w:val="009A59EC"/>
    <w:rsid w:val="009A5C56"/>
    <w:rsid w:val="009A5CA8"/>
    <w:rsid w:val="009A6ED0"/>
    <w:rsid w:val="009A706A"/>
    <w:rsid w:val="009A71AB"/>
    <w:rsid w:val="009A7745"/>
    <w:rsid w:val="009A7C3D"/>
    <w:rsid w:val="009B0156"/>
    <w:rsid w:val="009B0295"/>
    <w:rsid w:val="009B05BA"/>
    <w:rsid w:val="009B1B0E"/>
    <w:rsid w:val="009B2596"/>
    <w:rsid w:val="009B42B6"/>
    <w:rsid w:val="009B42CC"/>
    <w:rsid w:val="009B43D6"/>
    <w:rsid w:val="009B5081"/>
    <w:rsid w:val="009B6985"/>
    <w:rsid w:val="009B69B3"/>
    <w:rsid w:val="009B7011"/>
    <w:rsid w:val="009B71E4"/>
    <w:rsid w:val="009C04EE"/>
    <w:rsid w:val="009C0CD4"/>
    <w:rsid w:val="009C15E7"/>
    <w:rsid w:val="009C1767"/>
    <w:rsid w:val="009C17C8"/>
    <w:rsid w:val="009C385B"/>
    <w:rsid w:val="009C3E3C"/>
    <w:rsid w:val="009C4353"/>
    <w:rsid w:val="009C49C2"/>
    <w:rsid w:val="009C4D8B"/>
    <w:rsid w:val="009C4E2D"/>
    <w:rsid w:val="009C62C0"/>
    <w:rsid w:val="009C6A88"/>
    <w:rsid w:val="009C7279"/>
    <w:rsid w:val="009C765D"/>
    <w:rsid w:val="009C7ADA"/>
    <w:rsid w:val="009D000A"/>
    <w:rsid w:val="009D04AE"/>
    <w:rsid w:val="009D1A86"/>
    <w:rsid w:val="009D1E12"/>
    <w:rsid w:val="009D2DA9"/>
    <w:rsid w:val="009D2E93"/>
    <w:rsid w:val="009D2EA9"/>
    <w:rsid w:val="009D3038"/>
    <w:rsid w:val="009D34C0"/>
    <w:rsid w:val="009D35FB"/>
    <w:rsid w:val="009D3BBC"/>
    <w:rsid w:val="009D4BBE"/>
    <w:rsid w:val="009D4E16"/>
    <w:rsid w:val="009D567E"/>
    <w:rsid w:val="009D5893"/>
    <w:rsid w:val="009D6620"/>
    <w:rsid w:val="009D6C54"/>
    <w:rsid w:val="009D72B0"/>
    <w:rsid w:val="009D77CE"/>
    <w:rsid w:val="009D7DE3"/>
    <w:rsid w:val="009E004A"/>
    <w:rsid w:val="009E066B"/>
    <w:rsid w:val="009E1515"/>
    <w:rsid w:val="009E1CFF"/>
    <w:rsid w:val="009E1FEE"/>
    <w:rsid w:val="009E23EA"/>
    <w:rsid w:val="009E2D24"/>
    <w:rsid w:val="009E2EA0"/>
    <w:rsid w:val="009E305F"/>
    <w:rsid w:val="009E3503"/>
    <w:rsid w:val="009E36FF"/>
    <w:rsid w:val="009E37D3"/>
    <w:rsid w:val="009E3AF7"/>
    <w:rsid w:val="009E3B81"/>
    <w:rsid w:val="009E5028"/>
    <w:rsid w:val="009E50FB"/>
    <w:rsid w:val="009E5280"/>
    <w:rsid w:val="009E5386"/>
    <w:rsid w:val="009E5DD1"/>
    <w:rsid w:val="009E60AD"/>
    <w:rsid w:val="009E68C8"/>
    <w:rsid w:val="009E6AB5"/>
    <w:rsid w:val="009E6DAB"/>
    <w:rsid w:val="009E6F4B"/>
    <w:rsid w:val="009E703C"/>
    <w:rsid w:val="009E735B"/>
    <w:rsid w:val="009E7E4C"/>
    <w:rsid w:val="009F08F5"/>
    <w:rsid w:val="009F0956"/>
    <w:rsid w:val="009F0EE5"/>
    <w:rsid w:val="009F1264"/>
    <w:rsid w:val="009F245B"/>
    <w:rsid w:val="009F25E6"/>
    <w:rsid w:val="009F2BE8"/>
    <w:rsid w:val="009F2F09"/>
    <w:rsid w:val="009F39A7"/>
    <w:rsid w:val="009F40B7"/>
    <w:rsid w:val="009F4188"/>
    <w:rsid w:val="009F4302"/>
    <w:rsid w:val="009F4393"/>
    <w:rsid w:val="009F4BE9"/>
    <w:rsid w:val="009F62D3"/>
    <w:rsid w:val="009F7BD9"/>
    <w:rsid w:val="009F7F9F"/>
    <w:rsid w:val="00A00112"/>
    <w:rsid w:val="00A008B5"/>
    <w:rsid w:val="00A01420"/>
    <w:rsid w:val="00A017B4"/>
    <w:rsid w:val="00A01C53"/>
    <w:rsid w:val="00A01D38"/>
    <w:rsid w:val="00A02414"/>
    <w:rsid w:val="00A025B9"/>
    <w:rsid w:val="00A0275B"/>
    <w:rsid w:val="00A0355C"/>
    <w:rsid w:val="00A03A13"/>
    <w:rsid w:val="00A040CD"/>
    <w:rsid w:val="00A04429"/>
    <w:rsid w:val="00A06446"/>
    <w:rsid w:val="00A06697"/>
    <w:rsid w:val="00A06C40"/>
    <w:rsid w:val="00A10586"/>
    <w:rsid w:val="00A10A48"/>
    <w:rsid w:val="00A110DA"/>
    <w:rsid w:val="00A1132B"/>
    <w:rsid w:val="00A11930"/>
    <w:rsid w:val="00A11B54"/>
    <w:rsid w:val="00A11CDC"/>
    <w:rsid w:val="00A1238C"/>
    <w:rsid w:val="00A1263D"/>
    <w:rsid w:val="00A12AF2"/>
    <w:rsid w:val="00A12D8A"/>
    <w:rsid w:val="00A12E6C"/>
    <w:rsid w:val="00A136D0"/>
    <w:rsid w:val="00A138E6"/>
    <w:rsid w:val="00A13D1A"/>
    <w:rsid w:val="00A14DC2"/>
    <w:rsid w:val="00A14DD6"/>
    <w:rsid w:val="00A15D5E"/>
    <w:rsid w:val="00A161F8"/>
    <w:rsid w:val="00A169FA"/>
    <w:rsid w:val="00A1766A"/>
    <w:rsid w:val="00A200F4"/>
    <w:rsid w:val="00A206C9"/>
    <w:rsid w:val="00A2089F"/>
    <w:rsid w:val="00A20C27"/>
    <w:rsid w:val="00A20E7D"/>
    <w:rsid w:val="00A216BC"/>
    <w:rsid w:val="00A2315E"/>
    <w:rsid w:val="00A23931"/>
    <w:rsid w:val="00A23FD6"/>
    <w:rsid w:val="00A25317"/>
    <w:rsid w:val="00A25706"/>
    <w:rsid w:val="00A257BA"/>
    <w:rsid w:val="00A25D84"/>
    <w:rsid w:val="00A26029"/>
    <w:rsid w:val="00A262E4"/>
    <w:rsid w:val="00A268EA"/>
    <w:rsid w:val="00A31CE0"/>
    <w:rsid w:val="00A31FA9"/>
    <w:rsid w:val="00A333BF"/>
    <w:rsid w:val="00A33825"/>
    <w:rsid w:val="00A3398F"/>
    <w:rsid w:val="00A34764"/>
    <w:rsid w:val="00A35583"/>
    <w:rsid w:val="00A3566D"/>
    <w:rsid w:val="00A363EF"/>
    <w:rsid w:val="00A36DFE"/>
    <w:rsid w:val="00A370FD"/>
    <w:rsid w:val="00A3798C"/>
    <w:rsid w:val="00A37DD9"/>
    <w:rsid w:val="00A40ED7"/>
    <w:rsid w:val="00A40F83"/>
    <w:rsid w:val="00A412BA"/>
    <w:rsid w:val="00A41416"/>
    <w:rsid w:val="00A41EEB"/>
    <w:rsid w:val="00A4200D"/>
    <w:rsid w:val="00A424BF"/>
    <w:rsid w:val="00A4258E"/>
    <w:rsid w:val="00A432D1"/>
    <w:rsid w:val="00A43716"/>
    <w:rsid w:val="00A442C5"/>
    <w:rsid w:val="00A44712"/>
    <w:rsid w:val="00A44AF5"/>
    <w:rsid w:val="00A44B8B"/>
    <w:rsid w:val="00A45EC4"/>
    <w:rsid w:val="00A45F48"/>
    <w:rsid w:val="00A47212"/>
    <w:rsid w:val="00A474EA"/>
    <w:rsid w:val="00A501B2"/>
    <w:rsid w:val="00A5034A"/>
    <w:rsid w:val="00A50FFA"/>
    <w:rsid w:val="00A539D1"/>
    <w:rsid w:val="00A54DAE"/>
    <w:rsid w:val="00A56D3B"/>
    <w:rsid w:val="00A57450"/>
    <w:rsid w:val="00A57479"/>
    <w:rsid w:val="00A57C08"/>
    <w:rsid w:val="00A600D9"/>
    <w:rsid w:val="00A604CD"/>
    <w:rsid w:val="00A620C4"/>
    <w:rsid w:val="00A637A0"/>
    <w:rsid w:val="00A63ECD"/>
    <w:rsid w:val="00A64093"/>
    <w:rsid w:val="00A640EB"/>
    <w:rsid w:val="00A64815"/>
    <w:rsid w:val="00A65043"/>
    <w:rsid w:val="00A65C56"/>
    <w:rsid w:val="00A66DF9"/>
    <w:rsid w:val="00A704E4"/>
    <w:rsid w:val="00A7136A"/>
    <w:rsid w:val="00A71C44"/>
    <w:rsid w:val="00A72296"/>
    <w:rsid w:val="00A7388E"/>
    <w:rsid w:val="00A74544"/>
    <w:rsid w:val="00A74548"/>
    <w:rsid w:val="00A74DF2"/>
    <w:rsid w:val="00A74E4D"/>
    <w:rsid w:val="00A758E3"/>
    <w:rsid w:val="00A7592E"/>
    <w:rsid w:val="00A76C1F"/>
    <w:rsid w:val="00A803FC"/>
    <w:rsid w:val="00A8071A"/>
    <w:rsid w:val="00A80DD9"/>
    <w:rsid w:val="00A80FCA"/>
    <w:rsid w:val="00A81814"/>
    <w:rsid w:val="00A81CBC"/>
    <w:rsid w:val="00A82506"/>
    <w:rsid w:val="00A837CE"/>
    <w:rsid w:val="00A83DB5"/>
    <w:rsid w:val="00A83FBA"/>
    <w:rsid w:val="00A84636"/>
    <w:rsid w:val="00A84FE1"/>
    <w:rsid w:val="00A85080"/>
    <w:rsid w:val="00A85825"/>
    <w:rsid w:val="00A86406"/>
    <w:rsid w:val="00A86853"/>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4EBE"/>
    <w:rsid w:val="00AA5475"/>
    <w:rsid w:val="00AA5876"/>
    <w:rsid w:val="00AA6A8A"/>
    <w:rsid w:val="00AA6DD8"/>
    <w:rsid w:val="00AA6FA3"/>
    <w:rsid w:val="00AA70BB"/>
    <w:rsid w:val="00AA757C"/>
    <w:rsid w:val="00AA7F10"/>
    <w:rsid w:val="00AB0391"/>
    <w:rsid w:val="00AB105E"/>
    <w:rsid w:val="00AB2151"/>
    <w:rsid w:val="00AB2C59"/>
    <w:rsid w:val="00AB2C8A"/>
    <w:rsid w:val="00AB42B6"/>
    <w:rsid w:val="00AB4752"/>
    <w:rsid w:val="00AB4D67"/>
    <w:rsid w:val="00AB545D"/>
    <w:rsid w:val="00AB54D7"/>
    <w:rsid w:val="00AB5758"/>
    <w:rsid w:val="00AB57D3"/>
    <w:rsid w:val="00AB6886"/>
    <w:rsid w:val="00AB6AE4"/>
    <w:rsid w:val="00AB6E00"/>
    <w:rsid w:val="00AB6F37"/>
    <w:rsid w:val="00AB769E"/>
    <w:rsid w:val="00AB7D55"/>
    <w:rsid w:val="00AC0681"/>
    <w:rsid w:val="00AC154B"/>
    <w:rsid w:val="00AC1B72"/>
    <w:rsid w:val="00AC26FE"/>
    <w:rsid w:val="00AC2DC4"/>
    <w:rsid w:val="00AC350D"/>
    <w:rsid w:val="00AC3568"/>
    <w:rsid w:val="00AC3CF2"/>
    <w:rsid w:val="00AC47EC"/>
    <w:rsid w:val="00AC4E5D"/>
    <w:rsid w:val="00AC6C53"/>
    <w:rsid w:val="00AC6E85"/>
    <w:rsid w:val="00AC7190"/>
    <w:rsid w:val="00AC7284"/>
    <w:rsid w:val="00AC7CE6"/>
    <w:rsid w:val="00AD0828"/>
    <w:rsid w:val="00AD0B13"/>
    <w:rsid w:val="00AD0E69"/>
    <w:rsid w:val="00AD103D"/>
    <w:rsid w:val="00AD159C"/>
    <w:rsid w:val="00AD17FA"/>
    <w:rsid w:val="00AD19EC"/>
    <w:rsid w:val="00AD2717"/>
    <w:rsid w:val="00AD3DC4"/>
    <w:rsid w:val="00AD4405"/>
    <w:rsid w:val="00AD4FF4"/>
    <w:rsid w:val="00AD531D"/>
    <w:rsid w:val="00AD600C"/>
    <w:rsid w:val="00AD63D6"/>
    <w:rsid w:val="00AD6CD5"/>
    <w:rsid w:val="00AD733B"/>
    <w:rsid w:val="00AD7CA7"/>
    <w:rsid w:val="00AE0040"/>
    <w:rsid w:val="00AE184D"/>
    <w:rsid w:val="00AE1C03"/>
    <w:rsid w:val="00AE23E3"/>
    <w:rsid w:val="00AE2AED"/>
    <w:rsid w:val="00AE2F65"/>
    <w:rsid w:val="00AE317E"/>
    <w:rsid w:val="00AE35A5"/>
    <w:rsid w:val="00AE4823"/>
    <w:rsid w:val="00AE4E2A"/>
    <w:rsid w:val="00AE5CF9"/>
    <w:rsid w:val="00AE5DB6"/>
    <w:rsid w:val="00AE6C3C"/>
    <w:rsid w:val="00AE702E"/>
    <w:rsid w:val="00AE73E0"/>
    <w:rsid w:val="00AE7E1A"/>
    <w:rsid w:val="00AF03C0"/>
    <w:rsid w:val="00AF166F"/>
    <w:rsid w:val="00AF1C03"/>
    <w:rsid w:val="00AF1CB8"/>
    <w:rsid w:val="00AF39AF"/>
    <w:rsid w:val="00AF3E3B"/>
    <w:rsid w:val="00AF3E5A"/>
    <w:rsid w:val="00AF46FE"/>
    <w:rsid w:val="00AF486F"/>
    <w:rsid w:val="00AF4AE4"/>
    <w:rsid w:val="00AF548B"/>
    <w:rsid w:val="00AF55E0"/>
    <w:rsid w:val="00AF5666"/>
    <w:rsid w:val="00AF5870"/>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A"/>
    <w:rsid w:val="00B05607"/>
    <w:rsid w:val="00B059D8"/>
    <w:rsid w:val="00B05A08"/>
    <w:rsid w:val="00B05F14"/>
    <w:rsid w:val="00B06737"/>
    <w:rsid w:val="00B0784C"/>
    <w:rsid w:val="00B07CE9"/>
    <w:rsid w:val="00B101D5"/>
    <w:rsid w:val="00B10633"/>
    <w:rsid w:val="00B10B08"/>
    <w:rsid w:val="00B11A78"/>
    <w:rsid w:val="00B11CFB"/>
    <w:rsid w:val="00B12111"/>
    <w:rsid w:val="00B13E18"/>
    <w:rsid w:val="00B14109"/>
    <w:rsid w:val="00B14410"/>
    <w:rsid w:val="00B1486D"/>
    <w:rsid w:val="00B150D6"/>
    <w:rsid w:val="00B15373"/>
    <w:rsid w:val="00B15639"/>
    <w:rsid w:val="00B15D15"/>
    <w:rsid w:val="00B15E42"/>
    <w:rsid w:val="00B15EEE"/>
    <w:rsid w:val="00B16198"/>
    <w:rsid w:val="00B1695C"/>
    <w:rsid w:val="00B16A2C"/>
    <w:rsid w:val="00B16FB6"/>
    <w:rsid w:val="00B17022"/>
    <w:rsid w:val="00B21736"/>
    <w:rsid w:val="00B218B1"/>
    <w:rsid w:val="00B21A33"/>
    <w:rsid w:val="00B21ED2"/>
    <w:rsid w:val="00B224AA"/>
    <w:rsid w:val="00B22700"/>
    <w:rsid w:val="00B22998"/>
    <w:rsid w:val="00B229FE"/>
    <w:rsid w:val="00B2302B"/>
    <w:rsid w:val="00B24363"/>
    <w:rsid w:val="00B2456E"/>
    <w:rsid w:val="00B24979"/>
    <w:rsid w:val="00B250A5"/>
    <w:rsid w:val="00B25651"/>
    <w:rsid w:val="00B26937"/>
    <w:rsid w:val="00B26DC8"/>
    <w:rsid w:val="00B27E07"/>
    <w:rsid w:val="00B30243"/>
    <w:rsid w:val="00B30421"/>
    <w:rsid w:val="00B30DC8"/>
    <w:rsid w:val="00B315BB"/>
    <w:rsid w:val="00B31977"/>
    <w:rsid w:val="00B3235A"/>
    <w:rsid w:val="00B333FE"/>
    <w:rsid w:val="00B3382B"/>
    <w:rsid w:val="00B35094"/>
    <w:rsid w:val="00B350F0"/>
    <w:rsid w:val="00B357AC"/>
    <w:rsid w:val="00B35992"/>
    <w:rsid w:val="00B35E4B"/>
    <w:rsid w:val="00B35FCC"/>
    <w:rsid w:val="00B36518"/>
    <w:rsid w:val="00B378CC"/>
    <w:rsid w:val="00B37D13"/>
    <w:rsid w:val="00B37FB4"/>
    <w:rsid w:val="00B41615"/>
    <w:rsid w:val="00B41FD8"/>
    <w:rsid w:val="00B420DF"/>
    <w:rsid w:val="00B428E2"/>
    <w:rsid w:val="00B42A2C"/>
    <w:rsid w:val="00B42A5C"/>
    <w:rsid w:val="00B42A98"/>
    <w:rsid w:val="00B42C64"/>
    <w:rsid w:val="00B448EF"/>
    <w:rsid w:val="00B455FC"/>
    <w:rsid w:val="00B45B94"/>
    <w:rsid w:val="00B464E2"/>
    <w:rsid w:val="00B47493"/>
    <w:rsid w:val="00B474C8"/>
    <w:rsid w:val="00B474DF"/>
    <w:rsid w:val="00B47915"/>
    <w:rsid w:val="00B504B7"/>
    <w:rsid w:val="00B50E18"/>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2C5"/>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3ABB"/>
    <w:rsid w:val="00B749B6"/>
    <w:rsid w:val="00B74FB5"/>
    <w:rsid w:val="00B7509A"/>
    <w:rsid w:val="00B7613E"/>
    <w:rsid w:val="00B766C1"/>
    <w:rsid w:val="00B76966"/>
    <w:rsid w:val="00B76B96"/>
    <w:rsid w:val="00B76EFB"/>
    <w:rsid w:val="00B77129"/>
    <w:rsid w:val="00B77C37"/>
    <w:rsid w:val="00B807BF"/>
    <w:rsid w:val="00B809B1"/>
    <w:rsid w:val="00B82543"/>
    <w:rsid w:val="00B826D8"/>
    <w:rsid w:val="00B82998"/>
    <w:rsid w:val="00B834B0"/>
    <w:rsid w:val="00B837F6"/>
    <w:rsid w:val="00B83DAE"/>
    <w:rsid w:val="00B84B37"/>
    <w:rsid w:val="00B84FB4"/>
    <w:rsid w:val="00B8756E"/>
    <w:rsid w:val="00B87DF9"/>
    <w:rsid w:val="00B91951"/>
    <w:rsid w:val="00B91A58"/>
    <w:rsid w:val="00B91EAD"/>
    <w:rsid w:val="00B920B9"/>
    <w:rsid w:val="00B930D2"/>
    <w:rsid w:val="00B937CD"/>
    <w:rsid w:val="00B938BC"/>
    <w:rsid w:val="00B93997"/>
    <w:rsid w:val="00B93C98"/>
    <w:rsid w:val="00B94938"/>
    <w:rsid w:val="00B976BB"/>
    <w:rsid w:val="00BA01A7"/>
    <w:rsid w:val="00BA0224"/>
    <w:rsid w:val="00BA05C8"/>
    <w:rsid w:val="00BA09AA"/>
    <w:rsid w:val="00BA0AD5"/>
    <w:rsid w:val="00BA0CA0"/>
    <w:rsid w:val="00BA0E3C"/>
    <w:rsid w:val="00BA1F74"/>
    <w:rsid w:val="00BA1FE7"/>
    <w:rsid w:val="00BA2A68"/>
    <w:rsid w:val="00BA2B1D"/>
    <w:rsid w:val="00BA2E51"/>
    <w:rsid w:val="00BA3D14"/>
    <w:rsid w:val="00BA435A"/>
    <w:rsid w:val="00BA54BA"/>
    <w:rsid w:val="00BA5603"/>
    <w:rsid w:val="00BA56D9"/>
    <w:rsid w:val="00BA5BA1"/>
    <w:rsid w:val="00BA603B"/>
    <w:rsid w:val="00BA6194"/>
    <w:rsid w:val="00BA7EEE"/>
    <w:rsid w:val="00BB2008"/>
    <w:rsid w:val="00BB29DF"/>
    <w:rsid w:val="00BB2CFC"/>
    <w:rsid w:val="00BB34DC"/>
    <w:rsid w:val="00BB35D0"/>
    <w:rsid w:val="00BB3AC4"/>
    <w:rsid w:val="00BB4999"/>
    <w:rsid w:val="00BB4BCD"/>
    <w:rsid w:val="00BB56C7"/>
    <w:rsid w:val="00BB5B62"/>
    <w:rsid w:val="00BB6502"/>
    <w:rsid w:val="00BB6BCD"/>
    <w:rsid w:val="00BB70F9"/>
    <w:rsid w:val="00BB7C9B"/>
    <w:rsid w:val="00BC1527"/>
    <w:rsid w:val="00BC2306"/>
    <w:rsid w:val="00BC2F31"/>
    <w:rsid w:val="00BC4036"/>
    <w:rsid w:val="00BC4F0A"/>
    <w:rsid w:val="00BC509F"/>
    <w:rsid w:val="00BC51D2"/>
    <w:rsid w:val="00BC60CD"/>
    <w:rsid w:val="00BC64BE"/>
    <w:rsid w:val="00BC7155"/>
    <w:rsid w:val="00BC7550"/>
    <w:rsid w:val="00BD0B72"/>
    <w:rsid w:val="00BD2668"/>
    <w:rsid w:val="00BD2E39"/>
    <w:rsid w:val="00BD3924"/>
    <w:rsid w:val="00BD3F6E"/>
    <w:rsid w:val="00BD450F"/>
    <w:rsid w:val="00BD4512"/>
    <w:rsid w:val="00BD52AA"/>
    <w:rsid w:val="00BD7ED2"/>
    <w:rsid w:val="00BE1061"/>
    <w:rsid w:val="00BE1321"/>
    <w:rsid w:val="00BE2893"/>
    <w:rsid w:val="00BE2EB4"/>
    <w:rsid w:val="00BE2F5A"/>
    <w:rsid w:val="00BE37D3"/>
    <w:rsid w:val="00BE522A"/>
    <w:rsid w:val="00BE57B5"/>
    <w:rsid w:val="00BE7A7C"/>
    <w:rsid w:val="00BF0A44"/>
    <w:rsid w:val="00BF0CEC"/>
    <w:rsid w:val="00BF1A44"/>
    <w:rsid w:val="00BF1EDF"/>
    <w:rsid w:val="00BF4D3D"/>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34A4"/>
    <w:rsid w:val="00C03DD0"/>
    <w:rsid w:val="00C04445"/>
    <w:rsid w:val="00C04705"/>
    <w:rsid w:val="00C04A7F"/>
    <w:rsid w:val="00C04E2B"/>
    <w:rsid w:val="00C051AA"/>
    <w:rsid w:val="00C060A0"/>
    <w:rsid w:val="00C07187"/>
    <w:rsid w:val="00C075C9"/>
    <w:rsid w:val="00C07FAD"/>
    <w:rsid w:val="00C106C4"/>
    <w:rsid w:val="00C10F54"/>
    <w:rsid w:val="00C111EA"/>
    <w:rsid w:val="00C119AD"/>
    <w:rsid w:val="00C1228D"/>
    <w:rsid w:val="00C13FED"/>
    <w:rsid w:val="00C14E7D"/>
    <w:rsid w:val="00C15722"/>
    <w:rsid w:val="00C16897"/>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75"/>
    <w:rsid w:val="00C300BC"/>
    <w:rsid w:val="00C318F7"/>
    <w:rsid w:val="00C319D2"/>
    <w:rsid w:val="00C31F85"/>
    <w:rsid w:val="00C32534"/>
    <w:rsid w:val="00C326EE"/>
    <w:rsid w:val="00C32951"/>
    <w:rsid w:val="00C32C02"/>
    <w:rsid w:val="00C33235"/>
    <w:rsid w:val="00C33677"/>
    <w:rsid w:val="00C34137"/>
    <w:rsid w:val="00C3476B"/>
    <w:rsid w:val="00C35240"/>
    <w:rsid w:val="00C368B3"/>
    <w:rsid w:val="00C36F07"/>
    <w:rsid w:val="00C37214"/>
    <w:rsid w:val="00C372E8"/>
    <w:rsid w:val="00C409DC"/>
    <w:rsid w:val="00C40B1B"/>
    <w:rsid w:val="00C40E88"/>
    <w:rsid w:val="00C416A3"/>
    <w:rsid w:val="00C416C9"/>
    <w:rsid w:val="00C41785"/>
    <w:rsid w:val="00C41FC1"/>
    <w:rsid w:val="00C42A56"/>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0CE"/>
    <w:rsid w:val="00C613A5"/>
    <w:rsid w:val="00C61AB9"/>
    <w:rsid w:val="00C61F84"/>
    <w:rsid w:val="00C62FF7"/>
    <w:rsid w:val="00C63135"/>
    <w:rsid w:val="00C637DC"/>
    <w:rsid w:val="00C63EE8"/>
    <w:rsid w:val="00C6432E"/>
    <w:rsid w:val="00C65718"/>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F81"/>
    <w:rsid w:val="00C776A4"/>
    <w:rsid w:val="00C8004E"/>
    <w:rsid w:val="00C800DD"/>
    <w:rsid w:val="00C80920"/>
    <w:rsid w:val="00C80B03"/>
    <w:rsid w:val="00C8243F"/>
    <w:rsid w:val="00C8289B"/>
    <w:rsid w:val="00C82D54"/>
    <w:rsid w:val="00C82F3B"/>
    <w:rsid w:val="00C837C4"/>
    <w:rsid w:val="00C83829"/>
    <w:rsid w:val="00C83EDD"/>
    <w:rsid w:val="00C84BF1"/>
    <w:rsid w:val="00C84CA2"/>
    <w:rsid w:val="00C85A36"/>
    <w:rsid w:val="00C85CD1"/>
    <w:rsid w:val="00C86C56"/>
    <w:rsid w:val="00C8773E"/>
    <w:rsid w:val="00C90601"/>
    <w:rsid w:val="00C90D16"/>
    <w:rsid w:val="00C9116A"/>
    <w:rsid w:val="00C9265D"/>
    <w:rsid w:val="00C92824"/>
    <w:rsid w:val="00C937BA"/>
    <w:rsid w:val="00C94534"/>
    <w:rsid w:val="00C949F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2DD"/>
    <w:rsid w:val="00CA69BA"/>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AF9"/>
    <w:rsid w:val="00CC1EF1"/>
    <w:rsid w:val="00CC20E0"/>
    <w:rsid w:val="00CC2818"/>
    <w:rsid w:val="00CC2F7A"/>
    <w:rsid w:val="00CC3A70"/>
    <w:rsid w:val="00CC4033"/>
    <w:rsid w:val="00CC40B8"/>
    <w:rsid w:val="00CC417B"/>
    <w:rsid w:val="00CC5444"/>
    <w:rsid w:val="00CC5631"/>
    <w:rsid w:val="00CC62A6"/>
    <w:rsid w:val="00CC676C"/>
    <w:rsid w:val="00CC7A11"/>
    <w:rsid w:val="00CD04A8"/>
    <w:rsid w:val="00CD051B"/>
    <w:rsid w:val="00CD0BC2"/>
    <w:rsid w:val="00CD1DB1"/>
    <w:rsid w:val="00CD22B5"/>
    <w:rsid w:val="00CD22F4"/>
    <w:rsid w:val="00CD25E1"/>
    <w:rsid w:val="00CD367C"/>
    <w:rsid w:val="00CD454A"/>
    <w:rsid w:val="00CD4F54"/>
    <w:rsid w:val="00CD4FFE"/>
    <w:rsid w:val="00CD57FA"/>
    <w:rsid w:val="00CD5A6E"/>
    <w:rsid w:val="00CD711F"/>
    <w:rsid w:val="00CD74A7"/>
    <w:rsid w:val="00CD79B2"/>
    <w:rsid w:val="00CE06C8"/>
    <w:rsid w:val="00CE157C"/>
    <w:rsid w:val="00CE1AF6"/>
    <w:rsid w:val="00CE2298"/>
    <w:rsid w:val="00CE3064"/>
    <w:rsid w:val="00CE39E4"/>
    <w:rsid w:val="00CE4282"/>
    <w:rsid w:val="00CE54E1"/>
    <w:rsid w:val="00CE55B6"/>
    <w:rsid w:val="00CE5856"/>
    <w:rsid w:val="00CE5BDE"/>
    <w:rsid w:val="00CE6A6D"/>
    <w:rsid w:val="00CE6E72"/>
    <w:rsid w:val="00CE774C"/>
    <w:rsid w:val="00CF012E"/>
    <w:rsid w:val="00CF04D4"/>
    <w:rsid w:val="00CF0B4C"/>
    <w:rsid w:val="00CF0D4F"/>
    <w:rsid w:val="00CF1680"/>
    <w:rsid w:val="00CF1BD7"/>
    <w:rsid w:val="00CF21A5"/>
    <w:rsid w:val="00CF2518"/>
    <w:rsid w:val="00CF2DDE"/>
    <w:rsid w:val="00CF344A"/>
    <w:rsid w:val="00CF39A0"/>
    <w:rsid w:val="00CF3D1C"/>
    <w:rsid w:val="00CF4713"/>
    <w:rsid w:val="00CF4B12"/>
    <w:rsid w:val="00CF58FE"/>
    <w:rsid w:val="00CF5EBE"/>
    <w:rsid w:val="00CF783B"/>
    <w:rsid w:val="00CF7D97"/>
    <w:rsid w:val="00CF7EEC"/>
    <w:rsid w:val="00D001C2"/>
    <w:rsid w:val="00D00779"/>
    <w:rsid w:val="00D009D8"/>
    <w:rsid w:val="00D011F4"/>
    <w:rsid w:val="00D012E1"/>
    <w:rsid w:val="00D01318"/>
    <w:rsid w:val="00D01665"/>
    <w:rsid w:val="00D01D1E"/>
    <w:rsid w:val="00D02580"/>
    <w:rsid w:val="00D03511"/>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CB3"/>
    <w:rsid w:val="00D15F51"/>
    <w:rsid w:val="00D16ED5"/>
    <w:rsid w:val="00D17958"/>
    <w:rsid w:val="00D20209"/>
    <w:rsid w:val="00D202B1"/>
    <w:rsid w:val="00D20662"/>
    <w:rsid w:val="00D20920"/>
    <w:rsid w:val="00D21291"/>
    <w:rsid w:val="00D21C8A"/>
    <w:rsid w:val="00D2297E"/>
    <w:rsid w:val="00D22DE5"/>
    <w:rsid w:val="00D233BD"/>
    <w:rsid w:val="00D233D7"/>
    <w:rsid w:val="00D2364B"/>
    <w:rsid w:val="00D23CBB"/>
    <w:rsid w:val="00D24635"/>
    <w:rsid w:val="00D25806"/>
    <w:rsid w:val="00D25E9D"/>
    <w:rsid w:val="00D25F1C"/>
    <w:rsid w:val="00D26DE6"/>
    <w:rsid w:val="00D26EE7"/>
    <w:rsid w:val="00D30718"/>
    <w:rsid w:val="00D322FB"/>
    <w:rsid w:val="00D32475"/>
    <w:rsid w:val="00D32EF4"/>
    <w:rsid w:val="00D33F81"/>
    <w:rsid w:val="00D342E1"/>
    <w:rsid w:val="00D34850"/>
    <w:rsid w:val="00D34A82"/>
    <w:rsid w:val="00D35060"/>
    <w:rsid w:val="00D369D4"/>
    <w:rsid w:val="00D36AD7"/>
    <w:rsid w:val="00D373E9"/>
    <w:rsid w:val="00D37C61"/>
    <w:rsid w:val="00D403FF"/>
    <w:rsid w:val="00D404C4"/>
    <w:rsid w:val="00D40CE9"/>
    <w:rsid w:val="00D42115"/>
    <w:rsid w:val="00D4242D"/>
    <w:rsid w:val="00D42EFD"/>
    <w:rsid w:val="00D43EC9"/>
    <w:rsid w:val="00D457D1"/>
    <w:rsid w:val="00D458AA"/>
    <w:rsid w:val="00D46338"/>
    <w:rsid w:val="00D46BA2"/>
    <w:rsid w:val="00D47234"/>
    <w:rsid w:val="00D47281"/>
    <w:rsid w:val="00D47581"/>
    <w:rsid w:val="00D50295"/>
    <w:rsid w:val="00D5069A"/>
    <w:rsid w:val="00D50E43"/>
    <w:rsid w:val="00D51469"/>
    <w:rsid w:val="00D52B45"/>
    <w:rsid w:val="00D530EB"/>
    <w:rsid w:val="00D53393"/>
    <w:rsid w:val="00D53434"/>
    <w:rsid w:val="00D535B6"/>
    <w:rsid w:val="00D5364A"/>
    <w:rsid w:val="00D55235"/>
    <w:rsid w:val="00D55D78"/>
    <w:rsid w:val="00D572B2"/>
    <w:rsid w:val="00D57F53"/>
    <w:rsid w:val="00D60CAB"/>
    <w:rsid w:val="00D610FD"/>
    <w:rsid w:val="00D612AF"/>
    <w:rsid w:val="00D619F3"/>
    <w:rsid w:val="00D62836"/>
    <w:rsid w:val="00D62A5B"/>
    <w:rsid w:val="00D62B43"/>
    <w:rsid w:val="00D62ECD"/>
    <w:rsid w:val="00D63748"/>
    <w:rsid w:val="00D639C1"/>
    <w:rsid w:val="00D639F0"/>
    <w:rsid w:val="00D63C1B"/>
    <w:rsid w:val="00D63D76"/>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72"/>
    <w:rsid w:val="00D74160"/>
    <w:rsid w:val="00D75D22"/>
    <w:rsid w:val="00D75DA5"/>
    <w:rsid w:val="00D76C58"/>
    <w:rsid w:val="00D76CF2"/>
    <w:rsid w:val="00D76E7C"/>
    <w:rsid w:val="00D80B40"/>
    <w:rsid w:val="00D8155B"/>
    <w:rsid w:val="00D81E79"/>
    <w:rsid w:val="00D8229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87FD6"/>
    <w:rsid w:val="00D907CB"/>
    <w:rsid w:val="00D91638"/>
    <w:rsid w:val="00D91BF2"/>
    <w:rsid w:val="00D93C1C"/>
    <w:rsid w:val="00D94026"/>
    <w:rsid w:val="00D94120"/>
    <w:rsid w:val="00D947F1"/>
    <w:rsid w:val="00D951DD"/>
    <w:rsid w:val="00D952ED"/>
    <w:rsid w:val="00D957FA"/>
    <w:rsid w:val="00D9664C"/>
    <w:rsid w:val="00D97404"/>
    <w:rsid w:val="00D975A3"/>
    <w:rsid w:val="00D979D0"/>
    <w:rsid w:val="00DA08CA"/>
    <w:rsid w:val="00DA0F37"/>
    <w:rsid w:val="00DA101A"/>
    <w:rsid w:val="00DA122C"/>
    <w:rsid w:val="00DA2FD5"/>
    <w:rsid w:val="00DA4838"/>
    <w:rsid w:val="00DA488A"/>
    <w:rsid w:val="00DA4989"/>
    <w:rsid w:val="00DA5721"/>
    <w:rsid w:val="00DA6173"/>
    <w:rsid w:val="00DA6C58"/>
    <w:rsid w:val="00DA7477"/>
    <w:rsid w:val="00DA7573"/>
    <w:rsid w:val="00DA7BD4"/>
    <w:rsid w:val="00DB0191"/>
    <w:rsid w:val="00DB0359"/>
    <w:rsid w:val="00DB0905"/>
    <w:rsid w:val="00DB0EF6"/>
    <w:rsid w:val="00DB0F8A"/>
    <w:rsid w:val="00DB26A8"/>
    <w:rsid w:val="00DB27CF"/>
    <w:rsid w:val="00DB324C"/>
    <w:rsid w:val="00DB3FD3"/>
    <w:rsid w:val="00DB5F2A"/>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3257"/>
    <w:rsid w:val="00DC3279"/>
    <w:rsid w:val="00DC3BF1"/>
    <w:rsid w:val="00DC4D1D"/>
    <w:rsid w:val="00DC4D87"/>
    <w:rsid w:val="00DC54EB"/>
    <w:rsid w:val="00DC580A"/>
    <w:rsid w:val="00DC5B50"/>
    <w:rsid w:val="00DC66BC"/>
    <w:rsid w:val="00DC727F"/>
    <w:rsid w:val="00DC73B9"/>
    <w:rsid w:val="00DC7E78"/>
    <w:rsid w:val="00DD0493"/>
    <w:rsid w:val="00DD0924"/>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F8"/>
    <w:rsid w:val="00DE4B9D"/>
    <w:rsid w:val="00DE50EA"/>
    <w:rsid w:val="00DE52B9"/>
    <w:rsid w:val="00DE545C"/>
    <w:rsid w:val="00DE56BB"/>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34D"/>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1024A"/>
    <w:rsid w:val="00E10B17"/>
    <w:rsid w:val="00E10B67"/>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17A"/>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8FA"/>
    <w:rsid w:val="00E33B1E"/>
    <w:rsid w:val="00E34277"/>
    <w:rsid w:val="00E3621B"/>
    <w:rsid w:val="00E363F8"/>
    <w:rsid w:val="00E36F43"/>
    <w:rsid w:val="00E37F0C"/>
    <w:rsid w:val="00E408F3"/>
    <w:rsid w:val="00E40ADF"/>
    <w:rsid w:val="00E418E3"/>
    <w:rsid w:val="00E423DE"/>
    <w:rsid w:val="00E42F07"/>
    <w:rsid w:val="00E4370F"/>
    <w:rsid w:val="00E4441D"/>
    <w:rsid w:val="00E453AB"/>
    <w:rsid w:val="00E462E6"/>
    <w:rsid w:val="00E463A0"/>
    <w:rsid w:val="00E46FE3"/>
    <w:rsid w:val="00E47839"/>
    <w:rsid w:val="00E51CDE"/>
    <w:rsid w:val="00E5210B"/>
    <w:rsid w:val="00E5311F"/>
    <w:rsid w:val="00E53631"/>
    <w:rsid w:val="00E5388F"/>
    <w:rsid w:val="00E54239"/>
    <w:rsid w:val="00E54272"/>
    <w:rsid w:val="00E542BC"/>
    <w:rsid w:val="00E54521"/>
    <w:rsid w:val="00E54617"/>
    <w:rsid w:val="00E5484B"/>
    <w:rsid w:val="00E56023"/>
    <w:rsid w:val="00E56D6E"/>
    <w:rsid w:val="00E56FEF"/>
    <w:rsid w:val="00E577F9"/>
    <w:rsid w:val="00E57FB5"/>
    <w:rsid w:val="00E60F14"/>
    <w:rsid w:val="00E61B23"/>
    <w:rsid w:val="00E625BE"/>
    <w:rsid w:val="00E6284B"/>
    <w:rsid w:val="00E62D07"/>
    <w:rsid w:val="00E62DF6"/>
    <w:rsid w:val="00E63A22"/>
    <w:rsid w:val="00E63B8F"/>
    <w:rsid w:val="00E646B5"/>
    <w:rsid w:val="00E65427"/>
    <w:rsid w:val="00E6543F"/>
    <w:rsid w:val="00E661C0"/>
    <w:rsid w:val="00E663F5"/>
    <w:rsid w:val="00E66E97"/>
    <w:rsid w:val="00E70379"/>
    <w:rsid w:val="00E70BD6"/>
    <w:rsid w:val="00E711A5"/>
    <w:rsid w:val="00E71305"/>
    <w:rsid w:val="00E72383"/>
    <w:rsid w:val="00E724D2"/>
    <w:rsid w:val="00E72D9F"/>
    <w:rsid w:val="00E73C41"/>
    <w:rsid w:val="00E74933"/>
    <w:rsid w:val="00E74EDC"/>
    <w:rsid w:val="00E75737"/>
    <w:rsid w:val="00E75875"/>
    <w:rsid w:val="00E75886"/>
    <w:rsid w:val="00E75D6E"/>
    <w:rsid w:val="00E76007"/>
    <w:rsid w:val="00E76181"/>
    <w:rsid w:val="00E770F2"/>
    <w:rsid w:val="00E77415"/>
    <w:rsid w:val="00E77EAC"/>
    <w:rsid w:val="00E81069"/>
    <w:rsid w:val="00E817AD"/>
    <w:rsid w:val="00E817EF"/>
    <w:rsid w:val="00E8184F"/>
    <w:rsid w:val="00E828D5"/>
    <w:rsid w:val="00E82D81"/>
    <w:rsid w:val="00E83259"/>
    <w:rsid w:val="00E839BE"/>
    <w:rsid w:val="00E83CAC"/>
    <w:rsid w:val="00E84C89"/>
    <w:rsid w:val="00E85E56"/>
    <w:rsid w:val="00E860DD"/>
    <w:rsid w:val="00E8713D"/>
    <w:rsid w:val="00E90329"/>
    <w:rsid w:val="00E910D5"/>
    <w:rsid w:val="00E922C4"/>
    <w:rsid w:val="00E943AE"/>
    <w:rsid w:val="00E947B0"/>
    <w:rsid w:val="00E95D82"/>
    <w:rsid w:val="00E95F21"/>
    <w:rsid w:val="00E96273"/>
    <w:rsid w:val="00E96E97"/>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4E"/>
    <w:rsid w:val="00EB235B"/>
    <w:rsid w:val="00EB27AA"/>
    <w:rsid w:val="00EB31A3"/>
    <w:rsid w:val="00EB325B"/>
    <w:rsid w:val="00EB3E22"/>
    <w:rsid w:val="00EB693B"/>
    <w:rsid w:val="00EB7BA9"/>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D042E"/>
    <w:rsid w:val="00ED1266"/>
    <w:rsid w:val="00ED1295"/>
    <w:rsid w:val="00ED2725"/>
    <w:rsid w:val="00ED30C8"/>
    <w:rsid w:val="00ED34D1"/>
    <w:rsid w:val="00ED367F"/>
    <w:rsid w:val="00ED4206"/>
    <w:rsid w:val="00ED58A2"/>
    <w:rsid w:val="00ED58C3"/>
    <w:rsid w:val="00ED5C71"/>
    <w:rsid w:val="00ED5EEE"/>
    <w:rsid w:val="00ED667C"/>
    <w:rsid w:val="00ED70AA"/>
    <w:rsid w:val="00ED7966"/>
    <w:rsid w:val="00EE01CC"/>
    <w:rsid w:val="00EE04EE"/>
    <w:rsid w:val="00EE1760"/>
    <w:rsid w:val="00EE2850"/>
    <w:rsid w:val="00EE287D"/>
    <w:rsid w:val="00EE3B32"/>
    <w:rsid w:val="00EE3CFF"/>
    <w:rsid w:val="00EE3F39"/>
    <w:rsid w:val="00EE3FB2"/>
    <w:rsid w:val="00EE414C"/>
    <w:rsid w:val="00EE44FE"/>
    <w:rsid w:val="00EE5406"/>
    <w:rsid w:val="00EE5EF8"/>
    <w:rsid w:val="00EE6964"/>
    <w:rsid w:val="00EE6A1D"/>
    <w:rsid w:val="00EE6D18"/>
    <w:rsid w:val="00EE7E7A"/>
    <w:rsid w:val="00EF1230"/>
    <w:rsid w:val="00EF223B"/>
    <w:rsid w:val="00EF29DE"/>
    <w:rsid w:val="00EF3978"/>
    <w:rsid w:val="00EF3AAC"/>
    <w:rsid w:val="00EF4D42"/>
    <w:rsid w:val="00EF4FD1"/>
    <w:rsid w:val="00EF5318"/>
    <w:rsid w:val="00EF708A"/>
    <w:rsid w:val="00EF72C3"/>
    <w:rsid w:val="00EF79CE"/>
    <w:rsid w:val="00F00152"/>
    <w:rsid w:val="00F00352"/>
    <w:rsid w:val="00F00B1B"/>
    <w:rsid w:val="00F00E37"/>
    <w:rsid w:val="00F010EE"/>
    <w:rsid w:val="00F011AF"/>
    <w:rsid w:val="00F01383"/>
    <w:rsid w:val="00F0167D"/>
    <w:rsid w:val="00F0177A"/>
    <w:rsid w:val="00F019D5"/>
    <w:rsid w:val="00F02500"/>
    <w:rsid w:val="00F02CF2"/>
    <w:rsid w:val="00F032E2"/>
    <w:rsid w:val="00F037E3"/>
    <w:rsid w:val="00F03FF2"/>
    <w:rsid w:val="00F04F9E"/>
    <w:rsid w:val="00F06A47"/>
    <w:rsid w:val="00F0717F"/>
    <w:rsid w:val="00F0747A"/>
    <w:rsid w:val="00F07849"/>
    <w:rsid w:val="00F07882"/>
    <w:rsid w:val="00F07883"/>
    <w:rsid w:val="00F10177"/>
    <w:rsid w:val="00F10D83"/>
    <w:rsid w:val="00F1196B"/>
    <w:rsid w:val="00F11A6A"/>
    <w:rsid w:val="00F126BD"/>
    <w:rsid w:val="00F12EC5"/>
    <w:rsid w:val="00F13433"/>
    <w:rsid w:val="00F134FC"/>
    <w:rsid w:val="00F1350E"/>
    <w:rsid w:val="00F14419"/>
    <w:rsid w:val="00F1470E"/>
    <w:rsid w:val="00F147A5"/>
    <w:rsid w:val="00F14AA7"/>
    <w:rsid w:val="00F15884"/>
    <w:rsid w:val="00F15B8E"/>
    <w:rsid w:val="00F16665"/>
    <w:rsid w:val="00F16876"/>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1F43"/>
    <w:rsid w:val="00F32357"/>
    <w:rsid w:val="00F32C70"/>
    <w:rsid w:val="00F34E02"/>
    <w:rsid w:val="00F3549E"/>
    <w:rsid w:val="00F365A7"/>
    <w:rsid w:val="00F3681C"/>
    <w:rsid w:val="00F3769D"/>
    <w:rsid w:val="00F404F4"/>
    <w:rsid w:val="00F4143E"/>
    <w:rsid w:val="00F41CC5"/>
    <w:rsid w:val="00F41D25"/>
    <w:rsid w:val="00F423C2"/>
    <w:rsid w:val="00F433F8"/>
    <w:rsid w:val="00F433FE"/>
    <w:rsid w:val="00F43627"/>
    <w:rsid w:val="00F43781"/>
    <w:rsid w:val="00F4463C"/>
    <w:rsid w:val="00F459D4"/>
    <w:rsid w:val="00F473A5"/>
    <w:rsid w:val="00F473F3"/>
    <w:rsid w:val="00F474B8"/>
    <w:rsid w:val="00F478CA"/>
    <w:rsid w:val="00F47CE2"/>
    <w:rsid w:val="00F47F95"/>
    <w:rsid w:val="00F501F3"/>
    <w:rsid w:val="00F50A98"/>
    <w:rsid w:val="00F50E5F"/>
    <w:rsid w:val="00F51460"/>
    <w:rsid w:val="00F51667"/>
    <w:rsid w:val="00F521DC"/>
    <w:rsid w:val="00F53199"/>
    <w:rsid w:val="00F541A1"/>
    <w:rsid w:val="00F54B09"/>
    <w:rsid w:val="00F54BEA"/>
    <w:rsid w:val="00F54E8A"/>
    <w:rsid w:val="00F551B8"/>
    <w:rsid w:val="00F559A8"/>
    <w:rsid w:val="00F55C21"/>
    <w:rsid w:val="00F55E5F"/>
    <w:rsid w:val="00F55F6D"/>
    <w:rsid w:val="00F5736B"/>
    <w:rsid w:val="00F57880"/>
    <w:rsid w:val="00F608AB"/>
    <w:rsid w:val="00F60BE7"/>
    <w:rsid w:val="00F6159C"/>
    <w:rsid w:val="00F61714"/>
    <w:rsid w:val="00F6238F"/>
    <w:rsid w:val="00F63E59"/>
    <w:rsid w:val="00F64BE0"/>
    <w:rsid w:val="00F65B68"/>
    <w:rsid w:val="00F67846"/>
    <w:rsid w:val="00F67B42"/>
    <w:rsid w:val="00F70B72"/>
    <w:rsid w:val="00F70DEF"/>
    <w:rsid w:val="00F70EA3"/>
    <w:rsid w:val="00F71398"/>
    <w:rsid w:val="00F7294C"/>
    <w:rsid w:val="00F72C5F"/>
    <w:rsid w:val="00F7319C"/>
    <w:rsid w:val="00F73549"/>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70F5"/>
    <w:rsid w:val="00F87B61"/>
    <w:rsid w:val="00F902D2"/>
    <w:rsid w:val="00F90B12"/>
    <w:rsid w:val="00F90CBD"/>
    <w:rsid w:val="00F9109E"/>
    <w:rsid w:val="00F9177E"/>
    <w:rsid w:val="00F91E4F"/>
    <w:rsid w:val="00F91FDF"/>
    <w:rsid w:val="00F92AA1"/>
    <w:rsid w:val="00F92FDC"/>
    <w:rsid w:val="00F931D2"/>
    <w:rsid w:val="00F93431"/>
    <w:rsid w:val="00F93A4A"/>
    <w:rsid w:val="00F93D27"/>
    <w:rsid w:val="00F94689"/>
    <w:rsid w:val="00F95DD6"/>
    <w:rsid w:val="00F96370"/>
    <w:rsid w:val="00F97940"/>
    <w:rsid w:val="00F97B3C"/>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812"/>
    <w:rsid w:val="00FA6980"/>
    <w:rsid w:val="00FA6A26"/>
    <w:rsid w:val="00FA6CDF"/>
    <w:rsid w:val="00FA7718"/>
    <w:rsid w:val="00FA7BB5"/>
    <w:rsid w:val="00FA7C85"/>
    <w:rsid w:val="00FB076D"/>
    <w:rsid w:val="00FB0AD4"/>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574"/>
    <w:rsid w:val="00FC0A33"/>
    <w:rsid w:val="00FC1416"/>
    <w:rsid w:val="00FC14B2"/>
    <w:rsid w:val="00FC1823"/>
    <w:rsid w:val="00FC2198"/>
    <w:rsid w:val="00FC26A4"/>
    <w:rsid w:val="00FC2C93"/>
    <w:rsid w:val="00FC325A"/>
    <w:rsid w:val="00FC33ED"/>
    <w:rsid w:val="00FC43AD"/>
    <w:rsid w:val="00FC5876"/>
    <w:rsid w:val="00FC62F5"/>
    <w:rsid w:val="00FC731E"/>
    <w:rsid w:val="00FC7FC8"/>
    <w:rsid w:val="00FD035A"/>
    <w:rsid w:val="00FD19F1"/>
    <w:rsid w:val="00FD1A7E"/>
    <w:rsid w:val="00FD2CC3"/>
    <w:rsid w:val="00FD31BF"/>
    <w:rsid w:val="00FD3CC7"/>
    <w:rsid w:val="00FD4148"/>
    <w:rsid w:val="00FD4D5B"/>
    <w:rsid w:val="00FD6453"/>
    <w:rsid w:val="00FD67FD"/>
    <w:rsid w:val="00FD7CB2"/>
    <w:rsid w:val="00FD7D46"/>
    <w:rsid w:val="00FD7D8B"/>
    <w:rsid w:val="00FE0AF2"/>
    <w:rsid w:val="00FE1C47"/>
    <w:rsid w:val="00FE22DD"/>
    <w:rsid w:val="00FE2CFB"/>
    <w:rsid w:val="00FE2D14"/>
    <w:rsid w:val="00FE4A60"/>
    <w:rsid w:val="00FE4E5C"/>
    <w:rsid w:val="00FE54E0"/>
    <w:rsid w:val="00FE55F0"/>
    <w:rsid w:val="00FE6331"/>
    <w:rsid w:val="00FE685B"/>
    <w:rsid w:val="00FE6C12"/>
    <w:rsid w:val="00FE7894"/>
    <w:rsid w:val="00FF01FA"/>
    <w:rsid w:val="00FF0317"/>
    <w:rsid w:val="00FF1189"/>
    <w:rsid w:val="00FF21B5"/>
    <w:rsid w:val="00FF21C3"/>
    <w:rsid w:val="00FF2A11"/>
    <w:rsid w:val="00FF2AA0"/>
    <w:rsid w:val="00FF2ECF"/>
    <w:rsid w:val="00FF3F6C"/>
    <w:rsid w:val="00FF4603"/>
    <w:rsid w:val="00FF497E"/>
    <w:rsid w:val="00FF4B07"/>
    <w:rsid w:val="00FF4BFC"/>
    <w:rsid w:val="00FF4C11"/>
    <w:rsid w:val="00FF56B9"/>
    <w:rsid w:val="00FF57E8"/>
    <w:rsid w:val="00FF58C0"/>
    <w:rsid w:val="00FF5948"/>
    <w:rsid w:val="00FF6B71"/>
    <w:rsid w:val="00FF6EDF"/>
    <w:rsid w:val="00FF6EEA"/>
    <w:rsid w:val="00FF77DF"/>
    <w:rsid w:val="00FF7ABB"/>
    <w:rsid w:val="00FF7B8F"/>
    <w:rsid w:val="00FF7B99"/>
    <w:rsid w:val="01614A32"/>
    <w:rsid w:val="0E8B0A37"/>
    <w:rsid w:val="13DC4E70"/>
    <w:rsid w:val="1488F710"/>
    <w:rsid w:val="1672E014"/>
    <w:rsid w:val="2827F77E"/>
    <w:rsid w:val="28F515E3"/>
    <w:rsid w:val="4CA299AF"/>
    <w:rsid w:val="5DB4229D"/>
    <w:rsid w:val="619BBDCF"/>
    <w:rsid w:val="6F797B11"/>
    <w:rsid w:val="6FCCA5E0"/>
    <w:rsid w:val="76A03325"/>
    <w:rsid w:val="79C63E2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49258"/>
  <w15:docId w15:val="{C90AE56E-4843-4116-94AE-40ADE96C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0"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1754D"/>
    <w:pPr>
      <w:spacing w:before="120" w:after="120" w:line="280" w:lineRule="atLeast"/>
      <w:jc w:val="both"/>
    </w:pPr>
    <w:rPr>
      <w:rFonts w:eastAsia="Times New Roman"/>
      <w:sz w:val="22"/>
      <w:szCs w:val="22"/>
    </w:rPr>
  </w:style>
  <w:style w:type="paragraph" w:styleId="Heading1">
    <w:name w:val="heading 1"/>
    <w:basedOn w:val="Normal"/>
    <w:next w:val="BodyText"/>
    <w:link w:val="Heading1Char"/>
    <w:autoRedefine/>
    <w:qFormat/>
    <w:rsid w:val="00971A10"/>
    <w:pPr>
      <w:keepNext/>
      <w:tabs>
        <w:tab w:val="left" w:pos="851"/>
      </w:tabs>
      <w:spacing w:before="0" w:after="240" w:line="240" w:lineRule="auto"/>
      <w:jc w:val="left"/>
      <w:outlineLvl w:val="0"/>
    </w:pPr>
    <w:rPr>
      <w:rFonts w:ascii="Lato" w:hAnsi="Lato"/>
      <w:b/>
      <w:bCs/>
      <w:color w:val="009DDF"/>
      <w:sz w:val="48"/>
      <w:szCs w:val="28"/>
    </w:rPr>
  </w:style>
  <w:style w:type="paragraph" w:styleId="Heading2">
    <w:name w:val="heading 2"/>
    <w:basedOn w:val="Normal"/>
    <w:next w:val="BodyText"/>
    <w:link w:val="Heading2Char"/>
    <w:qFormat/>
    <w:rsid w:val="00EE2850"/>
    <w:pPr>
      <w:keepNext/>
      <w:tabs>
        <w:tab w:val="left" w:pos="851"/>
      </w:tabs>
      <w:spacing w:before="240" w:after="0" w:line="240" w:lineRule="auto"/>
      <w:jc w:val="left"/>
      <w:outlineLvl w:val="1"/>
    </w:pPr>
    <w:rPr>
      <w:rFonts w:ascii="Lato" w:hAnsi="Lato"/>
      <w:b/>
      <w:bCs/>
      <w:sz w:val="36"/>
      <w:szCs w:val="26"/>
    </w:rPr>
  </w:style>
  <w:style w:type="paragraph" w:styleId="Heading3">
    <w:name w:val="heading 3"/>
    <w:basedOn w:val="Normal"/>
    <w:next w:val="BodyText"/>
    <w:link w:val="Heading3Char"/>
    <w:qFormat/>
    <w:rsid w:val="00AC7190"/>
    <w:pPr>
      <w:keepNext/>
      <w:tabs>
        <w:tab w:val="left" w:pos="851"/>
      </w:tabs>
      <w:spacing w:before="360" w:after="0" w:line="240" w:lineRule="auto"/>
      <w:jc w:val="left"/>
      <w:outlineLvl w:val="2"/>
    </w:pPr>
    <w:rPr>
      <w:rFonts w:ascii="Lato" w:hAnsi="Lato"/>
      <w:b/>
      <w:bCs/>
      <w:sz w:val="28"/>
    </w:rPr>
  </w:style>
  <w:style w:type="paragraph" w:styleId="Heading4">
    <w:name w:val="heading 4"/>
    <w:basedOn w:val="Heading3"/>
    <w:next w:val="BodyText"/>
    <w:link w:val="Heading4Char"/>
    <w:autoRedefine/>
    <w:qFormat/>
    <w:rsid w:val="00360476"/>
    <w:pPr>
      <w:outlineLvl w:val="3"/>
    </w:pPr>
    <w:rPr>
      <w:sz w:val="24"/>
    </w:rPr>
  </w:style>
  <w:style w:type="paragraph" w:styleId="Heading5">
    <w:name w:val="heading 5"/>
    <w:basedOn w:val="Normal"/>
    <w:next w:val="BodyText"/>
    <w:link w:val="Heading5Char"/>
    <w:autoRedefine/>
    <w:qFormat/>
    <w:rsid w:val="00AC7190"/>
    <w:pPr>
      <w:keepNext/>
      <w:spacing w:before="320" w:after="0" w:line="240" w:lineRule="auto"/>
      <w:jc w:val="left"/>
      <w:outlineLvl w:val="4"/>
    </w:pPr>
    <w:rPr>
      <w:rFonts w:ascii="Lato" w:hAnsi="Lato"/>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7190"/>
    <w:rPr>
      <w:rFonts w:ascii="Lato" w:eastAsia="Times New Roman" w:hAnsi="Lato"/>
      <w:b/>
      <w:bCs/>
      <w:color w:val="009DDF"/>
      <w:sz w:val="48"/>
      <w:szCs w:val="28"/>
    </w:rPr>
  </w:style>
  <w:style w:type="character" w:customStyle="1" w:styleId="Heading2Char">
    <w:name w:val="Heading 2 Char"/>
    <w:link w:val="Heading2"/>
    <w:rsid w:val="00AC7190"/>
    <w:rPr>
      <w:rFonts w:ascii="Lato" w:eastAsia="Times New Roman" w:hAnsi="Lato"/>
      <w:b/>
      <w:bCs/>
      <w:sz w:val="36"/>
      <w:szCs w:val="26"/>
    </w:rPr>
  </w:style>
  <w:style w:type="character" w:customStyle="1" w:styleId="Heading3Char">
    <w:name w:val="Heading 3 Char"/>
    <w:link w:val="Heading3"/>
    <w:rsid w:val="00AC7190"/>
    <w:rPr>
      <w:rFonts w:ascii="Lato" w:eastAsia="Times New Roman" w:hAnsi="Lato"/>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AC7190"/>
    <w:rPr>
      <w:rFonts w:ascii="Lato" w:eastAsia="Times New Roman" w:hAnsi="Lato"/>
      <w:i/>
      <w:sz w:val="24"/>
      <w:szCs w:val="22"/>
    </w:rPr>
  </w:style>
  <w:style w:type="paragraph" w:styleId="BodyText">
    <w:name w:val="Body Text"/>
    <w:basedOn w:val="Normal"/>
    <w:link w:val="BodyTextChar"/>
    <w:qFormat/>
    <w:rsid w:val="0072651D"/>
    <w:pPr>
      <w:spacing w:before="60" w:after="60"/>
      <w:jc w:val="left"/>
    </w:pPr>
    <w:rPr>
      <w:rFonts w:asciiTheme="minorHAnsi" w:hAnsiTheme="minorHAnsi" w:cstheme="minorHAnsi"/>
      <w:lang w:val="en-US" w:eastAsia="en-US"/>
    </w:rPr>
  </w:style>
  <w:style w:type="character" w:customStyle="1" w:styleId="BodyTextChar">
    <w:name w:val="Body Text Char"/>
    <w:link w:val="BodyText"/>
    <w:rsid w:val="0072651D"/>
    <w:rPr>
      <w:rFonts w:asciiTheme="minorHAnsi" w:eastAsia="Times New Roman" w:hAnsiTheme="minorHAnsi" w:cstheme="minorHAnsi"/>
      <w:sz w:val="22"/>
      <w:szCs w:val="22"/>
      <w:lang w:val="en-US" w:eastAsia="en-US"/>
    </w:rPr>
  </w:style>
  <w:style w:type="table" w:styleId="TableGrid">
    <w:name w:val="Table Grid"/>
    <w:basedOn w:val="TableNormal"/>
    <w:uiPriority w:val="59"/>
    <w:rsid w:val="00EA64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autoRedefine/>
    <w:qFormat/>
    <w:rsid w:val="007F0476"/>
    <w:pPr>
      <w:spacing w:before="60" w:after="60"/>
      <w:ind w:left="567" w:right="567"/>
      <w:jc w:val="left"/>
    </w:pPr>
    <w:rPr>
      <w:rFonts w:ascii="Lato" w:hAnsi="Lato"/>
      <w:sz w:val="20"/>
    </w:rPr>
  </w:style>
  <w:style w:type="character" w:customStyle="1" w:styleId="QuoteChar">
    <w:name w:val="Quote Char"/>
    <w:link w:val="Quote"/>
    <w:rsid w:val="007F0476"/>
    <w:rPr>
      <w:rFonts w:ascii="Lato" w:eastAsia="Times New Roman" w:hAnsi="Lato"/>
      <w:szCs w:val="22"/>
    </w:rPr>
  </w:style>
  <w:style w:type="paragraph" w:customStyle="1" w:styleId="Box">
    <w:name w:val="Box"/>
    <w:basedOn w:val="Normal"/>
    <w:uiPriority w:val="1"/>
    <w:qFormat/>
    <w:rsid w:val="00AC7190"/>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rFonts w:ascii="Lato" w:hAnsi="Lato"/>
      <w:sz w:val="20"/>
    </w:rPr>
  </w:style>
  <w:style w:type="paragraph" w:customStyle="1" w:styleId="Boxbullet">
    <w:name w:val="Box bullet"/>
    <w:basedOn w:val="Box"/>
    <w:uiPriority w:val="1"/>
    <w:qFormat/>
    <w:rsid w:val="00A56D3B"/>
    <w:pPr>
      <w:tabs>
        <w:tab w:val="left" w:pos="680"/>
      </w:tabs>
      <w:spacing w:before="0"/>
      <w:ind w:left="681" w:hanging="397"/>
    </w:pPr>
  </w:style>
  <w:style w:type="paragraph" w:customStyle="1" w:styleId="Boxheading">
    <w:name w:val="Box heading"/>
    <w:basedOn w:val="Box"/>
    <w:next w:val="Box"/>
    <w:uiPriority w:val="1"/>
    <w:qFormat/>
    <w:rsid w:val="001820A3"/>
    <w:pPr>
      <w:keepNext/>
      <w:spacing w:after="0"/>
    </w:pPr>
    <w:rPr>
      <w:b/>
    </w:rPr>
  </w:style>
  <w:style w:type="paragraph" w:customStyle="1" w:styleId="Bullet">
    <w:name w:val="Bullet"/>
    <w:basedOn w:val="Normal"/>
    <w:link w:val="BulletChar"/>
    <w:qFormat/>
    <w:rsid w:val="00AC7190"/>
    <w:pPr>
      <w:numPr>
        <w:numId w:val="34"/>
      </w:numPr>
      <w:spacing w:before="0" w:line="280" w:lineRule="exact"/>
      <w:jc w:val="left"/>
    </w:pPr>
    <w:rPr>
      <w:rFonts w:ascii="Lato" w:hAnsi="Lato"/>
      <w:szCs w:val="20"/>
    </w:rPr>
  </w:style>
  <w:style w:type="paragraph" w:customStyle="1" w:styleId="Heading">
    <w:name w:val="Heading"/>
    <w:basedOn w:val="Heading1"/>
    <w:next w:val="Normal"/>
    <w:uiPriority w:val="3"/>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F03FF2"/>
    <w:rPr>
      <w:rFonts w:ascii="Calibri" w:eastAsia="Times New Roman" w:hAnsi="Calibri"/>
      <w:lang w:eastAsia="en-NZ"/>
    </w:rPr>
  </w:style>
  <w:style w:type="paragraph" w:customStyle="1" w:styleId="Sub-list">
    <w:name w:val="Sub-list"/>
    <w:basedOn w:val="Normal"/>
    <w:qFormat/>
    <w:rsid w:val="00AC7190"/>
    <w:pPr>
      <w:numPr>
        <w:numId w:val="4"/>
      </w:numPr>
      <w:tabs>
        <w:tab w:val="clear" w:pos="397"/>
        <w:tab w:val="left" w:pos="794"/>
      </w:tabs>
      <w:spacing w:before="0"/>
      <w:ind w:left="794" w:hanging="397"/>
      <w:jc w:val="left"/>
    </w:pPr>
    <w:rPr>
      <w:rFonts w:ascii="Lato" w:hAnsi="Lato"/>
    </w:rPr>
  </w:style>
  <w:style w:type="paragraph" w:customStyle="1" w:styleId="Figureheading">
    <w:name w:val="Figure heading"/>
    <w:basedOn w:val="Normal"/>
    <w:next w:val="BodyText"/>
    <w:qFormat/>
    <w:rsid w:val="00AC7190"/>
    <w:pPr>
      <w:keepNext/>
      <w:ind w:left="1134" w:hanging="1134"/>
      <w:jc w:val="left"/>
    </w:pPr>
    <w:rPr>
      <w:rFonts w:ascii="Lato" w:hAnsi="Lato"/>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autoRedefine/>
    <w:uiPriority w:val="99"/>
    <w:rsid w:val="007A2033"/>
    <w:pPr>
      <w:spacing w:before="0" w:after="60" w:line="240" w:lineRule="atLeast"/>
      <w:ind w:left="284" w:hanging="284"/>
      <w:jc w:val="left"/>
    </w:pPr>
    <w:rPr>
      <w:rFonts w:ascii="Lato" w:hAnsi="Lato"/>
      <w:sz w:val="18"/>
    </w:rPr>
  </w:style>
  <w:style w:type="character" w:customStyle="1" w:styleId="FootnoteTextChar">
    <w:name w:val="Footnote Text Char"/>
    <w:link w:val="FootnoteText"/>
    <w:uiPriority w:val="99"/>
    <w:rsid w:val="007A2033"/>
    <w:rPr>
      <w:rFonts w:ascii="Lato" w:eastAsia="Times New Roman" w:hAnsi="Lato"/>
      <w:sz w:val="18"/>
      <w:szCs w:val="22"/>
    </w:rPr>
  </w:style>
  <w:style w:type="character" w:styleId="Hyperlink">
    <w:name w:val="Hyperlink"/>
    <w:uiPriority w:val="99"/>
    <w:qFormat/>
    <w:rsid w:val="007A2033"/>
    <w:rPr>
      <w:color w:val="009DDF"/>
      <w:u w:val="none"/>
    </w:rPr>
  </w:style>
  <w:style w:type="paragraph" w:customStyle="1" w:styleId="Imprint">
    <w:name w:val="Imprint"/>
    <w:basedOn w:val="Normal"/>
    <w:autoRedefine/>
    <w:uiPriority w:val="1"/>
    <w:rsid w:val="007A2033"/>
    <w:pPr>
      <w:jc w:val="left"/>
    </w:pPr>
    <w:rPr>
      <w:rFonts w:ascii="Lato" w:hAnsi="Lato"/>
      <w:sz w:val="18"/>
    </w:rPr>
  </w:style>
  <w:style w:type="paragraph" w:customStyle="1" w:styleId="Note">
    <w:name w:val="Note"/>
    <w:basedOn w:val="BodyText"/>
    <w:next w:val="Normal"/>
    <w:uiPriority w:val="1"/>
    <w:qFormat/>
    <w:rsid w:val="00EA64B4"/>
  </w:style>
  <w:style w:type="paragraph" w:customStyle="1" w:styleId="References">
    <w:name w:val="References"/>
    <w:basedOn w:val="Normal"/>
    <w:autoRedefine/>
    <w:uiPriority w:val="1"/>
    <w:qFormat/>
    <w:rsid w:val="007A2033"/>
    <w:pPr>
      <w:spacing w:before="0" w:line="260" w:lineRule="atLeast"/>
      <w:jc w:val="left"/>
    </w:pPr>
    <w:rPr>
      <w:rFonts w:ascii="Lato" w:hAnsi="Lato"/>
      <w:sz w:val="20"/>
    </w:rPr>
  </w:style>
  <w:style w:type="paragraph" w:customStyle="1" w:styleId="Source">
    <w:name w:val="Source"/>
    <w:basedOn w:val="Normal"/>
    <w:next w:val="Normal"/>
    <w:autoRedefine/>
    <w:uiPriority w:val="1"/>
    <w:qFormat/>
    <w:rsid w:val="007A2033"/>
    <w:pPr>
      <w:tabs>
        <w:tab w:val="left" w:pos="680"/>
      </w:tabs>
      <w:jc w:val="left"/>
    </w:pPr>
    <w:rPr>
      <w:rFonts w:ascii="Lato" w:hAnsi="Lato"/>
      <w:sz w:val="18"/>
    </w:rPr>
  </w:style>
  <w:style w:type="paragraph" w:styleId="Title">
    <w:name w:val="Title"/>
    <w:basedOn w:val="Normal"/>
    <w:link w:val="TitleChar"/>
    <w:autoRedefine/>
    <w:uiPriority w:val="2"/>
    <w:rsid w:val="00A34764"/>
    <w:pPr>
      <w:spacing w:line="360" w:lineRule="auto"/>
      <w:jc w:val="center"/>
    </w:pPr>
    <w:rPr>
      <w:b/>
      <w:color w:val="009DDF"/>
      <w:sz w:val="52"/>
    </w:rPr>
  </w:style>
  <w:style w:type="character" w:customStyle="1" w:styleId="TitleChar">
    <w:name w:val="Title Char"/>
    <w:link w:val="Title"/>
    <w:uiPriority w:val="2"/>
    <w:rsid w:val="00A34764"/>
    <w:rPr>
      <w:rFonts w:eastAsia="Times New Roman"/>
      <w:b/>
      <w:color w:val="009DDF"/>
      <w:sz w:val="52"/>
      <w:szCs w:val="22"/>
    </w:rPr>
  </w:style>
  <w:style w:type="paragraph" w:styleId="Subtitle">
    <w:name w:val="Subtitle"/>
    <w:basedOn w:val="Title"/>
    <w:link w:val="SubtitleChar"/>
    <w:autoRedefine/>
    <w:uiPriority w:val="2"/>
    <w:rsid w:val="007A2033"/>
    <w:pPr>
      <w:spacing w:before="600" w:line="240" w:lineRule="auto"/>
    </w:pPr>
    <w:rPr>
      <w:rFonts w:ascii="Lato" w:hAnsi="Lato"/>
      <w:sz w:val="36"/>
      <w:szCs w:val="36"/>
    </w:rPr>
  </w:style>
  <w:style w:type="character" w:customStyle="1" w:styleId="SubtitleChar">
    <w:name w:val="Subtitle Char"/>
    <w:link w:val="Subtitle"/>
    <w:uiPriority w:val="2"/>
    <w:rsid w:val="007A2033"/>
    <w:rPr>
      <w:rFonts w:ascii="Lato" w:eastAsia="Times New Roman" w:hAnsi="Lato"/>
      <w:b/>
      <w:color w:val="009DDF"/>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autoRedefine/>
    <w:qFormat/>
    <w:rsid w:val="00AC7190"/>
    <w:pPr>
      <w:spacing w:before="60" w:after="60" w:line="240" w:lineRule="atLeast"/>
      <w:jc w:val="left"/>
    </w:pPr>
    <w:rPr>
      <w:rFonts w:ascii="Lato" w:hAnsi="Lato"/>
      <w:sz w:val="18"/>
    </w:rPr>
  </w:style>
  <w:style w:type="paragraph" w:customStyle="1" w:styleId="TableTextbold">
    <w:name w:val="TableText bold"/>
    <w:basedOn w:val="TableText"/>
    <w:rsid w:val="00EA64B4"/>
    <w:rPr>
      <w:b/>
    </w:rPr>
  </w:style>
  <w:style w:type="paragraph" w:styleId="TOC1">
    <w:name w:val="toc 1"/>
    <w:basedOn w:val="Normal"/>
    <w:next w:val="Normal"/>
    <w:autoRedefine/>
    <w:uiPriority w:val="39"/>
    <w:rsid w:val="007A2033"/>
    <w:pPr>
      <w:tabs>
        <w:tab w:val="right" w:pos="8505"/>
      </w:tabs>
      <w:spacing w:before="280" w:after="0" w:line="240" w:lineRule="auto"/>
      <w:ind w:left="567" w:right="567" w:hanging="567"/>
      <w:jc w:val="left"/>
    </w:pPr>
    <w:rPr>
      <w:rFonts w:ascii="Lato" w:hAnsi="Lato"/>
    </w:rPr>
  </w:style>
  <w:style w:type="paragraph" w:styleId="TOC2">
    <w:name w:val="toc 2"/>
    <w:basedOn w:val="Normal"/>
    <w:next w:val="Normal"/>
    <w:autoRedefine/>
    <w:uiPriority w:val="39"/>
    <w:rsid w:val="007A2033"/>
    <w:pPr>
      <w:tabs>
        <w:tab w:val="right" w:pos="8505"/>
      </w:tabs>
      <w:spacing w:before="60" w:after="60" w:line="240" w:lineRule="auto"/>
      <w:ind w:left="1134" w:right="567" w:hanging="567"/>
      <w:jc w:val="left"/>
    </w:pPr>
    <w:rPr>
      <w:rFonts w:ascii="Lato" w:hAnsi="Lato"/>
    </w:r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autoRedefine/>
    <w:uiPriority w:val="1"/>
    <w:qFormat/>
    <w:rsid w:val="00AC7190"/>
    <w:pPr>
      <w:tabs>
        <w:tab w:val="left" w:pos="2835"/>
      </w:tabs>
      <w:spacing w:after="0"/>
      <w:jc w:val="left"/>
    </w:pPr>
    <w:rPr>
      <w:rFonts w:ascii="Lato" w:hAnsi="Lato"/>
    </w:rPr>
  </w:style>
  <w:style w:type="paragraph" w:customStyle="1" w:styleId="Footerodd">
    <w:name w:val="Footer odd"/>
    <w:basedOn w:val="Normal"/>
    <w:autoRedefine/>
    <w:uiPriority w:val="1"/>
    <w:rsid w:val="00AC7190"/>
    <w:pPr>
      <w:tabs>
        <w:tab w:val="right" w:pos="7938"/>
        <w:tab w:val="right" w:pos="8505"/>
      </w:tabs>
      <w:jc w:val="left"/>
    </w:pPr>
    <w:rPr>
      <w:rFonts w:ascii="Lato" w:hAnsi="Lato"/>
      <w:sz w:val="16"/>
    </w:rPr>
  </w:style>
  <w:style w:type="paragraph" w:customStyle="1" w:styleId="Footereven">
    <w:name w:val="Footer even"/>
    <w:basedOn w:val="Normal"/>
    <w:autoRedefine/>
    <w:uiPriority w:val="1"/>
    <w:rsid w:val="00AC7190"/>
    <w:pPr>
      <w:tabs>
        <w:tab w:val="left" w:pos="567"/>
      </w:tabs>
    </w:pPr>
    <w:rPr>
      <w:rFonts w:ascii="Lato" w:hAnsi="Lato"/>
      <w:sz w:val="16"/>
    </w:rPr>
  </w:style>
  <w:style w:type="paragraph" w:customStyle="1" w:styleId="Numberedparagraph">
    <w:name w:val="Numbered paragraph"/>
    <w:basedOn w:val="Normal"/>
    <w:autoRedefine/>
    <w:uiPriority w:val="1"/>
    <w:qFormat/>
    <w:rsid w:val="007A2033"/>
    <w:pPr>
      <w:numPr>
        <w:numId w:val="5"/>
      </w:numPr>
      <w:spacing w:before="0"/>
      <w:ind w:left="397" w:hanging="397"/>
      <w:jc w:val="left"/>
    </w:pPr>
    <w:rPr>
      <w:rFonts w:ascii="Lato" w:hAnsi="Lato"/>
    </w:rPr>
  </w:style>
  <w:style w:type="paragraph" w:customStyle="1" w:styleId="Sub-lista">
    <w:name w:val="Sub-list a"/>
    <w:aliases w:val="b"/>
    <w:basedOn w:val="Normal"/>
    <w:autoRedefine/>
    <w:uiPriority w:val="2"/>
    <w:rsid w:val="007A2033"/>
    <w:pPr>
      <w:numPr>
        <w:numId w:val="6"/>
      </w:numPr>
      <w:spacing w:before="0"/>
      <w:ind w:left="794" w:hanging="397"/>
      <w:jc w:val="left"/>
    </w:pPr>
    <w:rPr>
      <w:rFonts w:ascii="Lato" w:hAnsi="Lato"/>
    </w:r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autoRedefine/>
    <w:uiPriority w:val="99"/>
    <w:rsid w:val="007A2033"/>
    <w:pPr>
      <w:spacing w:before="0"/>
      <w:ind w:left="1134" w:right="567" w:hanging="1134"/>
      <w:jc w:val="left"/>
    </w:pPr>
    <w:rPr>
      <w:rFonts w:ascii="Lato" w:hAnsi="Lato"/>
    </w:rPr>
  </w:style>
  <w:style w:type="paragraph" w:customStyle="1" w:styleId="Sub-listi">
    <w:name w:val="Sub-list i"/>
    <w:aliases w:val="ii"/>
    <w:basedOn w:val="BodyText"/>
    <w:semiHidden/>
    <w:rsid w:val="00EA64B4"/>
    <w:pPr>
      <w:numPr>
        <w:numId w:val="7"/>
      </w:numPr>
    </w:pPr>
  </w:style>
  <w:style w:type="paragraph" w:customStyle="1" w:styleId="TableBullet">
    <w:name w:val="TableBullet"/>
    <w:basedOn w:val="Normal"/>
    <w:autoRedefine/>
    <w:qFormat/>
    <w:rsid w:val="00AC7190"/>
    <w:pPr>
      <w:numPr>
        <w:numId w:val="8"/>
      </w:numPr>
      <w:spacing w:before="0" w:after="60" w:line="240" w:lineRule="atLeast"/>
      <w:jc w:val="left"/>
    </w:pPr>
    <w:rPr>
      <w:rFonts w:ascii="Lato" w:hAnsi="Lato" w:cs="Arial"/>
      <w:sz w:val="18"/>
      <w:szCs w:val="16"/>
    </w:rPr>
  </w:style>
  <w:style w:type="paragraph" w:customStyle="1" w:styleId="TableDash">
    <w:name w:val="TableDash"/>
    <w:basedOn w:val="TableBullet"/>
    <w:autoRedefine/>
    <w:qFormat/>
    <w:rsid w:val="005E3BCD"/>
    <w:pPr>
      <w:numPr>
        <w:numId w:val="9"/>
      </w:numPr>
      <w:ind w:left="568" w:hanging="284"/>
    </w:pPr>
  </w:style>
  <w:style w:type="paragraph" w:styleId="ListParagraph">
    <w:name w:val="List Paragraph"/>
    <w:basedOn w:val="Normal"/>
    <w:uiPriority w:val="34"/>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MarkPro-Bold" w:eastAsia="Times New Roman" w:hAnsi="MarkPro-Bold"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MarkPro-Bold" w:eastAsia="Times New Roman" w:hAnsi="MarkPro-Bold"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MarkPro-Bold" w:eastAsia="Times New Roman" w:hAnsi="MarkPro-Bold" w:cs="Times New Roman"/>
        <w:b/>
        <w:bCs/>
      </w:rPr>
    </w:tblStylePr>
    <w:tblStylePr w:type="lastCol">
      <w:rPr>
        <w:rFonts w:ascii="MarkPro-Bold" w:eastAsia="Times New Roman" w:hAnsi="MarkPro-Bold"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MarkPro-Bold" w:eastAsia="Times New Roman" w:hAnsi="MarkPro-Bold"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MarkPro-Bold" w:eastAsia="Times New Roman" w:hAnsi="MarkPro-Bold"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MarkPro-Bold" w:eastAsia="Times New Roman" w:hAnsi="MarkPro-Bold" w:cs="Times New Roman"/>
        <w:b/>
        <w:bCs/>
      </w:rPr>
    </w:tblStylePr>
    <w:tblStylePr w:type="lastCol">
      <w:rPr>
        <w:rFonts w:ascii="MarkPro-Bold" w:eastAsia="Times New Roman" w:hAnsi="MarkPro-Bold"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link w:val="CaptionChar"/>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AC7190"/>
    <w:rPr>
      <w:rFonts w:ascii="Lato" w:eastAsia="Times New Roman" w:hAnsi="Lato"/>
      <w:sz w:val="22"/>
    </w:rPr>
  </w:style>
  <w:style w:type="paragraph" w:customStyle="1" w:styleId="Casestudyheading">
    <w:name w:val="Case study heading"/>
    <w:basedOn w:val="BodyText"/>
    <w:uiPriority w:val="1"/>
    <w:qFormat/>
    <w:rsid w:val="00AC7190"/>
    <w:pPr>
      <w:keepNext/>
      <w:spacing w:line="240" w:lineRule="auto"/>
      <w:ind w:left="284"/>
    </w:pPr>
    <w:rPr>
      <w:b/>
      <w:caps/>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autoRedefine/>
    <w:uiPriority w:val="1"/>
    <w:rsid w:val="00AC7190"/>
    <w:pPr>
      <w:numPr>
        <w:numId w:val="31"/>
      </w:numPr>
      <w:ind w:left="681" w:hanging="397"/>
    </w:pPr>
    <w:rPr>
      <w:color w:val="000000" w:themeColor="text1"/>
    </w:rPr>
  </w:style>
  <w:style w:type="paragraph" w:customStyle="1" w:styleId="Greentext-casestudytables">
    <w:name w:val="Green text - case study tables"/>
    <w:basedOn w:val="BodyText"/>
    <w:uiPriority w:val="1"/>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qFormat/>
    <w:rsid w:val="00AC7190"/>
    <w:pPr>
      <w:spacing w:line="260" w:lineRule="atLeast"/>
      <w:ind w:left="284" w:right="284"/>
      <w:jc w:val="left"/>
    </w:pPr>
    <w:rPr>
      <w:rFonts w:ascii="Lato" w:hAnsi="Lato"/>
      <w:sz w:val="20"/>
    </w:rPr>
  </w:style>
  <w:style w:type="paragraph" w:customStyle="1" w:styleId="Blue-boxbullet">
    <w:name w:val="Blue-box bullet"/>
    <w:basedOn w:val="Blueboxtext"/>
    <w:autoRedefine/>
    <w:uiPriority w:val="1"/>
    <w:qFormat/>
    <w:rsid w:val="007A2033"/>
    <w:pPr>
      <w:numPr>
        <w:numId w:val="2"/>
      </w:numPr>
      <w:tabs>
        <w:tab w:val="left" w:pos="680"/>
      </w:tabs>
      <w:spacing w:before="0"/>
      <w:ind w:left="681" w:hanging="397"/>
    </w:pPr>
    <w:rPr>
      <w:color w:val="000000" w:themeColor="text1"/>
      <w:szCs w:val="20"/>
    </w:rPr>
  </w:style>
  <w:style w:type="paragraph" w:customStyle="1" w:styleId="Blueboxheading">
    <w:name w:val="Blue box heading"/>
    <w:basedOn w:val="Blueboxtext"/>
    <w:next w:val="Blueboxtext"/>
    <w:uiPriority w:val="1"/>
    <w:qFormat/>
    <w:rsid w:val="00AC7190"/>
    <w:pPr>
      <w:keepNext/>
      <w:spacing w:before="240" w:after="0"/>
    </w:pPr>
    <w:rPr>
      <w:b/>
      <w:color w:val="009DDF"/>
      <w:szCs w:val="20"/>
    </w:rPr>
  </w:style>
  <w:style w:type="paragraph" w:customStyle="1" w:styleId="Blue-boxsub-bullet">
    <w:name w:val="Blue-box sub-bullet"/>
    <w:basedOn w:val="Blueboxtext"/>
    <w:uiPriority w:val="1"/>
    <w:qFormat/>
    <w:rsid w:val="007823D6"/>
    <w:pPr>
      <w:numPr>
        <w:numId w:val="36"/>
      </w:numPr>
      <w:spacing w:before="0"/>
    </w:pPr>
    <w:rPr>
      <w:szCs w:val="20"/>
    </w:rPr>
  </w:style>
  <w:style w:type="paragraph" w:customStyle="1" w:styleId="Greensub-bullet-casestudytables">
    <w:name w:val="Green sub-bullet - case study tables"/>
    <w:basedOn w:val="Greentext-casestudytables"/>
    <w:autoRedefine/>
    <w:uiPriority w:val="1"/>
    <w:qFormat/>
    <w:rsid w:val="00AC7190"/>
    <w:pPr>
      <w:numPr>
        <w:numId w:val="37"/>
      </w:numPr>
      <w:ind w:left="1077" w:hanging="397"/>
    </w:pPr>
    <w:rPr>
      <w:bCs/>
      <w:color w:val="000000" w:themeColor="text1"/>
    </w:rPr>
  </w:style>
  <w:style w:type="character" w:styleId="UnresolvedMention">
    <w:name w:val="Unresolved Mention"/>
    <w:basedOn w:val="DefaultParagraphFont"/>
    <w:uiPriority w:val="99"/>
    <w:semiHidden/>
    <w:unhideWhenUsed/>
    <w:rsid w:val="00B73ABB"/>
    <w:rPr>
      <w:color w:val="605E5C"/>
      <w:shd w:val="clear" w:color="auto" w:fill="E1DFDD"/>
    </w:rPr>
  </w:style>
  <w:style w:type="paragraph" w:customStyle="1" w:styleId="FirstParagraph">
    <w:name w:val="First Paragraph"/>
    <w:basedOn w:val="BodyText"/>
    <w:next w:val="BodyText"/>
    <w:qFormat/>
    <w:rsid w:val="0072651D"/>
    <w:pPr>
      <w:spacing w:before="180" w:after="180" w:line="240" w:lineRule="auto"/>
    </w:pPr>
    <w:rPr>
      <w:rFonts w:asciiTheme="majorHAnsi" w:eastAsiaTheme="minorHAnsi" w:hAnsiTheme="majorHAnsi" w:cstheme="majorHAnsi"/>
      <w:szCs w:val="24"/>
    </w:rPr>
  </w:style>
  <w:style w:type="paragraph" w:customStyle="1" w:styleId="Compact">
    <w:name w:val="Compact"/>
    <w:basedOn w:val="BodyText"/>
    <w:qFormat/>
    <w:rsid w:val="0072651D"/>
    <w:pPr>
      <w:spacing w:before="36" w:after="36" w:line="240" w:lineRule="auto"/>
    </w:pPr>
    <w:rPr>
      <w:rFonts w:asciiTheme="majorHAnsi" w:eastAsiaTheme="minorHAnsi" w:hAnsiTheme="majorHAnsi" w:cstheme="majorHAnsi"/>
      <w:szCs w:val="24"/>
    </w:rPr>
  </w:style>
  <w:style w:type="character" w:customStyle="1" w:styleId="normaltextrun">
    <w:name w:val="normaltextrun"/>
    <w:basedOn w:val="DefaultParagraphFont"/>
    <w:rsid w:val="0072651D"/>
  </w:style>
  <w:style w:type="character" w:customStyle="1" w:styleId="eop">
    <w:name w:val="eop"/>
    <w:basedOn w:val="DefaultParagraphFont"/>
    <w:rsid w:val="0002549B"/>
  </w:style>
  <w:style w:type="paragraph" w:customStyle="1" w:styleId="paragraph">
    <w:name w:val="paragraph"/>
    <w:basedOn w:val="Normal"/>
    <w:rsid w:val="0002549B"/>
    <w:pPr>
      <w:spacing w:before="100" w:beforeAutospacing="1" w:after="100" w:afterAutospacing="1" w:line="240" w:lineRule="auto"/>
      <w:jc w:val="left"/>
    </w:pPr>
    <w:rPr>
      <w:rFonts w:ascii="Times New Roman" w:hAnsi="Times New Roman"/>
      <w:sz w:val="24"/>
      <w:szCs w:val="24"/>
    </w:rPr>
  </w:style>
  <w:style w:type="paragraph" w:customStyle="1" w:styleId="Default">
    <w:name w:val="Default"/>
    <w:rsid w:val="0002549B"/>
    <w:pPr>
      <w:autoSpaceDE w:val="0"/>
      <w:autoSpaceDN w:val="0"/>
      <w:adjustRightInd w:val="0"/>
    </w:pPr>
    <w:rPr>
      <w:rFonts w:eastAsiaTheme="minorHAnsi" w:cs="Calibri"/>
      <w:color w:val="000000"/>
      <w:sz w:val="24"/>
      <w:szCs w:val="24"/>
      <w:lang w:eastAsia="en-US"/>
    </w:rPr>
  </w:style>
  <w:style w:type="paragraph" w:customStyle="1" w:styleId="Author">
    <w:name w:val="Author"/>
    <w:next w:val="BodyText"/>
    <w:qFormat/>
    <w:rsid w:val="00460F4F"/>
    <w:pPr>
      <w:keepNext/>
      <w:keepLines/>
      <w:spacing w:after="200"/>
      <w:jc w:val="center"/>
    </w:pPr>
    <w:rPr>
      <w:rFonts w:asciiTheme="minorHAnsi" w:eastAsiaTheme="minorHAnsi" w:hAnsiTheme="minorHAnsi" w:cstheme="minorBidi"/>
      <w:sz w:val="24"/>
      <w:szCs w:val="24"/>
      <w:lang w:val="en-US" w:eastAsia="en-US"/>
    </w:rPr>
  </w:style>
  <w:style w:type="character" w:customStyle="1" w:styleId="CaptionChar">
    <w:name w:val="Caption Char"/>
    <w:basedOn w:val="DefaultParagraphFont"/>
    <w:link w:val="Caption"/>
    <w:rsid w:val="007646CB"/>
    <w:rPr>
      <w:rFonts w:ascii="Times New Roman" w:eastAsia="Times New Roman" w:hAnsi="Times New Roman"/>
      <w:b/>
      <w:bCs/>
      <w:color w:val="1C556C"/>
      <w:sz w:val="18"/>
      <w:szCs w:val="18"/>
      <w:lang w:eastAsia="en-US"/>
    </w:rPr>
  </w:style>
  <w:style w:type="paragraph" w:styleId="CommentText">
    <w:name w:val="annotation text"/>
    <w:basedOn w:val="Normal"/>
    <w:link w:val="CommentTextChar"/>
    <w:uiPriority w:val="99"/>
    <w:semiHidden/>
    <w:rsid w:val="004338F4"/>
    <w:pPr>
      <w:spacing w:line="240" w:lineRule="auto"/>
    </w:pPr>
    <w:rPr>
      <w:sz w:val="20"/>
      <w:szCs w:val="20"/>
    </w:rPr>
  </w:style>
  <w:style w:type="character" w:customStyle="1" w:styleId="CommentTextChar">
    <w:name w:val="Comment Text Char"/>
    <w:basedOn w:val="DefaultParagraphFont"/>
    <w:link w:val="CommentText"/>
    <w:uiPriority w:val="99"/>
    <w:semiHidden/>
    <w:rsid w:val="004338F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316039568">
      <w:bodyDiv w:val="1"/>
      <w:marLeft w:val="0"/>
      <w:marRight w:val="0"/>
      <w:marTop w:val="0"/>
      <w:marBottom w:val="0"/>
      <w:divBdr>
        <w:top w:val="none" w:sz="0" w:space="0" w:color="auto"/>
        <w:left w:val="none" w:sz="0" w:space="0" w:color="auto"/>
        <w:bottom w:val="none" w:sz="0" w:space="0" w:color="auto"/>
        <w:right w:val="none" w:sz="0" w:space="0" w:color="auto"/>
      </w:divBdr>
    </w:div>
    <w:div w:id="1160079601">
      <w:bodyDiv w:val="1"/>
      <w:marLeft w:val="0"/>
      <w:marRight w:val="0"/>
      <w:marTop w:val="0"/>
      <w:marBottom w:val="0"/>
      <w:divBdr>
        <w:top w:val="none" w:sz="0" w:space="0" w:color="auto"/>
        <w:left w:val="none" w:sz="0" w:space="0" w:color="auto"/>
        <w:bottom w:val="none" w:sz="0" w:space="0" w:color="auto"/>
        <w:right w:val="none" w:sz="0" w:space="0" w:color="auto"/>
      </w:divBdr>
    </w:div>
    <w:div w:id="1486245176">
      <w:bodyDiv w:val="1"/>
      <w:marLeft w:val="0"/>
      <w:marRight w:val="0"/>
      <w:marTop w:val="0"/>
      <w:marBottom w:val="0"/>
      <w:divBdr>
        <w:top w:val="none" w:sz="0" w:space="0" w:color="auto"/>
        <w:left w:val="none" w:sz="0" w:space="0" w:color="auto"/>
        <w:bottom w:val="none" w:sz="0" w:space="0" w:color="auto"/>
        <w:right w:val="none" w:sz="0" w:space="0" w:color="auto"/>
      </w:divBdr>
    </w:div>
    <w:div w:id="1541748900">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37102027">
      <w:bodyDiv w:val="1"/>
      <w:marLeft w:val="0"/>
      <w:marRight w:val="0"/>
      <w:marTop w:val="0"/>
      <w:marBottom w:val="0"/>
      <w:divBdr>
        <w:top w:val="none" w:sz="0" w:space="0" w:color="auto"/>
        <w:left w:val="none" w:sz="0" w:space="0" w:color="auto"/>
        <w:bottom w:val="none" w:sz="0" w:space="0" w:color="auto"/>
        <w:right w:val="none" w:sz="0" w:space="0" w:color="auto"/>
      </w:divBdr>
    </w:div>
    <w:div w:id="185240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creativecommons.org/licenses/by/4.0/" TargetMode="External"/><Relationship Id="rId26" Type="http://schemas.openxmlformats.org/officeDocument/2006/relationships/hyperlink" Target="https://apps.who.int/iris/handle/10665/345329" TargetMode="External"/><Relationship Id="rId39" Type="http://schemas.openxmlformats.org/officeDocument/2006/relationships/theme" Target="theme/theme1.xml"/><Relationship Id="rId21" Type="http://schemas.openxmlformats.org/officeDocument/2006/relationships/header" Target="header4.xml"/><Relationship Id="rId34" Type="http://schemas.openxmlformats.org/officeDocument/2006/relationships/hyperlink" Target="http://apps.who.int/iris/handle/10665/69477"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nvironment.govt.nz/acts-and-regulations/regulations/national-environmental-standards-for-air-quality/" TargetMode="External"/><Relationship Id="rId33" Type="http://schemas.openxmlformats.org/officeDocument/2006/relationships/hyperlink" Target="https://www.stats.govt.nz/indicators/health-impacts-of-pm10"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nvironment.govt.nz/" TargetMode="External"/><Relationship Id="rId29" Type="http://schemas.openxmlformats.org/officeDocument/2006/relationships/hyperlink" Target="https://www.stats.govt.nz/indicators/nitrogen-dioxide-concentra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yperlink" Target="https://www.stats.govt.nz/indicators/air-pollutant-emissions" TargetMode="External"/><Relationship Id="rId37"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yperlink" Target="https://www.stats.govt.nz/indicators/pm10-concentrations" TargetMode="External"/><Relationship Id="rId36"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http://www.legislation.govt.nz/act/public/1981/0047/latest/whole.html" TargetMode="External"/><Relationship Id="rId31" Type="http://schemas.openxmlformats.org/officeDocument/2006/relationships/hyperlink" Target="https://www.stats.govt.nz/indicators/ground-level-ozone-concentr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https://environment.govt.nz/acts-and-regulations/regulations/national-environmental-standards-for-air-quality/" TargetMode="External"/><Relationship Id="rId30" Type="http://schemas.openxmlformats.org/officeDocument/2006/relationships/hyperlink" Target="https://www.stats.govt.nz/indicators/sulphur-dioxide-concentrations" TargetMode="External"/><Relationship Id="rId35" Type="http://schemas.openxmlformats.org/officeDocument/2006/relationships/hyperlink" Target="https://aus01.safelinks.protection.outlook.com/?url=https%3A%2F%2Fapps.who.int%2Firis%2Fhandle%2F10665%2F260127&amp;data=04%7C01%7Clinda.stirling%40mfe.govt.nz%7C5c1090654ad549c3fbbe08d9ad2ed583%7C761dd003d4ff40498a728549b20fcbb1%7C0%7C0%7C637731238929161397%7CUnknown%7CTWFpbGZsb3d8eyJWIjoiMC4wLjAwMDAiLCJQIjoiV2luMzIiLCJBTiI6Ik1haWwiLCJXVCI6Mn0%3D%7C3000&amp;sdata=%2F8%2FHw89YSDib0JoOd0LIqOUM%2FKW1lRwFC2XBiFp0Jow%3D&amp;reserved=0"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Mfe brand colours">
      <a:dk1>
        <a:sysClr val="windowText" lastClr="000000"/>
      </a:dk1>
      <a:lt1>
        <a:sysClr val="window" lastClr="FFFFFF"/>
      </a:lt1>
      <a:dk2>
        <a:srgbClr val="1B556B"/>
      </a:dk2>
      <a:lt2>
        <a:srgbClr val="E7E6E6"/>
      </a:lt2>
      <a:accent1>
        <a:srgbClr val="32809C"/>
      </a:accent1>
      <a:accent2>
        <a:srgbClr val="1B556B"/>
      </a:accent2>
      <a:accent3>
        <a:srgbClr val="2C9986"/>
      </a:accent3>
      <a:accent4>
        <a:srgbClr val="BF2F37"/>
      </a:accent4>
      <a:accent5>
        <a:srgbClr val="DA5A28"/>
      </a:accent5>
      <a:accent6>
        <a:srgbClr val="1F3B71"/>
      </a:accent6>
      <a:hlink>
        <a:srgbClr val="32809C"/>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37" ma:contentTypeDescription="Create a new document." ma:contentTypeScope="" ma:versionID="8f04731a435263199d232f73549a0e59">
  <xsd:schema xmlns:xsd="http://www.w3.org/2001/XMLSchema" xmlns:xs="http://www.w3.org/2001/XMLSchema" xmlns:p="http://schemas.microsoft.com/office/2006/metadata/properties" xmlns:ns1="http://schemas.microsoft.com/sharepoint/v3" xmlns:ns2="58a6f171-52cb-4404-b47d-af1c8daf8fd1" xmlns:ns3="4a94300e-a927-4b92-9d3a-682523035cb6" targetNamespace="http://schemas.microsoft.com/office/2006/metadata/properties" ma:root="true" ma:fieldsID="5391236868552d37393d73c2cde572f6" ns1:_="" ns2:_="" ns3:_="">
    <xsd:import namespace="http://schemas.microsoft.com/sharepoint/v3"/>
    <xsd:import namespace="58a6f171-52cb-4404-b47d-af1c8daf8fd1"/>
    <xsd:import namespace="4a94300e-a927-4b92-9d3a-682523035cb6"/>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ECM-1122293896-66281</_dlc_DocId>
    <_dlc_DocIdUrl xmlns="58a6f171-52cb-4404-b47d-af1c8daf8fd1">
      <Url>https://ministryforenvironment.sharepoint.com/sites/ECM-ER-Comms/_layouts/15/DocIdRedir.aspx?ID=ECM-1122293896-66281</Url>
      <Description>ECM-1122293896-66281</Description>
    </_dlc_DocIdUrl>
  </documentManagement>
</p:properties>
</file>

<file path=customXml/itemProps1.xml><?xml version="1.0" encoding="utf-8"?>
<ds:datastoreItem xmlns:ds="http://schemas.openxmlformats.org/officeDocument/2006/customXml" ds:itemID="{13DB9FFE-89FE-4C07-ADC1-3AC10D9CFAD4}">
  <ds:schemaRefs>
    <ds:schemaRef ds:uri="http://schemas.microsoft.com/sharepoint/events"/>
  </ds:schemaRefs>
</ds:datastoreItem>
</file>

<file path=customXml/itemProps2.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3.xml><?xml version="1.0" encoding="utf-8"?>
<ds:datastoreItem xmlns:ds="http://schemas.openxmlformats.org/officeDocument/2006/customXml" ds:itemID="{37F5448B-8825-4ABA-89DA-C3C55D959C25}">
  <ds:schemaRefs>
    <ds:schemaRef ds:uri="http://schemas.microsoft.com/sharepoint/v3/contenttype/forms"/>
  </ds:schemaRefs>
</ds:datastoreItem>
</file>

<file path=customXml/itemProps4.xml><?xml version="1.0" encoding="utf-8"?>
<ds:datastoreItem xmlns:ds="http://schemas.openxmlformats.org/officeDocument/2006/customXml" ds:itemID="{8B2C5E75-7815-4837-BB58-63EFE4671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8783D4-912C-441D-BAD5-F7C2602BB184}">
  <ds:schemaRefs>
    <ds:schemaRef ds:uri="http://schemas.microsoft.com/office/2006/metadata/properties"/>
    <ds:schemaRef ds:uri="http://schemas.microsoft.com/office/infopath/2007/PartnerControls"/>
    <ds:schemaRef ds:uri="4a94300e-a927-4b92-9d3a-682523035cb6"/>
    <ds:schemaRef ds:uri="http://schemas.microsoft.com/sharepoint/v3"/>
    <ds:schemaRef ds:uri="58a6f171-52cb-4404-b47d-af1c8daf8fd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4101</Words>
  <Characters>23381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27428</CharactersWithSpaces>
  <SharedDoc>false</SharedDoc>
  <HLinks>
    <vt:vector size="162" baseType="variant">
      <vt:variant>
        <vt:i4>6553700</vt:i4>
      </vt:variant>
      <vt:variant>
        <vt:i4>120</vt:i4>
      </vt:variant>
      <vt:variant>
        <vt:i4>0</vt:i4>
      </vt:variant>
      <vt:variant>
        <vt:i4>5</vt:i4>
      </vt:variant>
      <vt:variant>
        <vt:lpwstr>https://www.stats.govt.nz/indicators/health-impacts-of-pm10</vt:lpwstr>
      </vt:variant>
      <vt:variant>
        <vt:lpwstr/>
      </vt:variant>
      <vt:variant>
        <vt:i4>4849738</vt:i4>
      </vt:variant>
      <vt:variant>
        <vt:i4>117</vt:i4>
      </vt:variant>
      <vt:variant>
        <vt:i4>0</vt:i4>
      </vt:variant>
      <vt:variant>
        <vt:i4>5</vt:i4>
      </vt:variant>
      <vt:variant>
        <vt:lpwstr>https://www.stats.govt.nz/indicators/air-pollutant-emissions</vt:lpwstr>
      </vt:variant>
      <vt:variant>
        <vt:lpwstr/>
      </vt:variant>
      <vt:variant>
        <vt:i4>6488183</vt:i4>
      </vt:variant>
      <vt:variant>
        <vt:i4>114</vt:i4>
      </vt:variant>
      <vt:variant>
        <vt:i4>0</vt:i4>
      </vt:variant>
      <vt:variant>
        <vt:i4>5</vt:i4>
      </vt:variant>
      <vt:variant>
        <vt:lpwstr>https://www.stats.govt.nz/indicators/carbon-monoxide-concentrations</vt:lpwstr>
      </vt:variant>
      <vt:variant>
        <vt:lpwstr/>
      </vt:variant>
      <vt:variant>
        <vt:i4>6357033</vt:i4>
      </vt:variant>
      <vt:variant>
        <vt:i4>111</vt:i4>
      </vt:variant>
      <vt:variant>
        <vt:i4>0</vt:i4>
      </vt:variant>
      <vt:variant>
        <vt:i4>5</vt:i4>
      </vt:variant>
      <vt:variant>
        <vt:lpwstr>https://www.stats.govt.nz/indicators/ground-level-ozone-concentrations</vt:lpwstr>
      </vt:variant>
      <vt:variant>
        <vt:lpwstr/>
      </vt:variant>
      <vt:variant>
        <vt:i4>4063277</vt:i4>
      </vt:variant>
      <vt:variant>
        <vt:i4>108</vt:i4>
      </vt:variant>
      <vt:variant>
        <vt:i4>0</vt:i4>
      </vt:variant>
      <vt:variant>
        <vt:i4>5</vt:i4>
      </vt:variant>
      <vt:variant>
        <vt:lpwstr>https://www.stats.govt.nz/indicators/sulphur-dioxide-concentrations</vt:lpwstr>
      </vt:variant>
      <vt:variant>
        <vt:lpwstr/>
      </vt:variant>
      <vt:variant>
        <vt:i4>5963852</vt:i4>
      </vt:variant>
      <vt:variant>
        <vt:i4>105</vt:i4>
      </vt:variant>
      <vt:variant>
        <vt:i4>0</vt:i4>
      </vt:variant>
      <vt:variant>
        <vt:i4>5</vt:i4>
      </vt:variant>
      <vt:variant>
        <vt:lpwstr>https://www.stats.govt.nz/indicators/nitrogen-dioxide-concentrations</vt:lpwstr>
      </vt:variant>
      <vt:variant>
        <vt:lpwstr/>
      </vt:variant>
      <vt:variant>
        <vt:i4>4915269</vt:i4>
      </vt:variant>
      <vt:variant>
        <vt:i4>102</vt:i4>
      </vt:variant>
      <vt:variant>
        <vt:i4>0</vt:i4>
      </vt:variant>
      <vt:variant>
        <vt:i4>5</vt:i4>
      </vt:variant>
      <vt:variant>
        <vt:lpwstr>https://www.stats.govt.nz/indicators/pm2-5-concentrations</vt:lpwstr>
      </vt:variant>
      <vt:variant>
        <vt:lpwstr/>
      </vt:variant>
      <vt:variant>
        <vt:i4>5373956</vt:i4>
      </vt:variant>
      <vt:variant>
        <vt:i4>99</vt:i4>
      </vt:variant>
      <vt:variant>
        <vt:i4>0</vt:i4>
      </vt:variant>
      <vt:variant>
        <vt:i4>5</vt:i4>
      </vt:variant>
      <vt:variant>
        <vt:lpwstr>https://www.stats.govt.nz/indicators/pm10-concentrations</vt:lpwstr>
      </vt:variant>
      <vt:variant>
        <vt:lpwstr/>
      </vt:variant>
      <vt:variant>
        <vt:i4>7536744</vt:i4>
      </vt:variant>
      <vt:variant>
        <vt:i4>96</vt:i4>
      </vt:variant>
      <vt:variant>
        <vt:i4>0</vt:i4>
      </vt:variant>
      <vt:variant>
        <vt:i4>5</vt:i4>
      </vt:variant>
      <vt:variant>
        <vt:lpwstr>https://environment.govt.nz/acts-and-regulations/regulations/national-environmental-standards-for-air-quality/</vt:lpwstr>
      </vt:variant>
      <vt:variant>
        <vt:lpwstr/>
      </vt:variant>
      <vt:variant>
        <vt:i4>6160402</vt:i4>
      </vt:variant>
      <vt:variant>
        <vt:i4>93</vt:i4>
      </vt:variant>
      <vt:variant>
        <vt:i4>0</vt:i4>
      </vt:variant>
      <vt:variant>
        <vt:i4>5</vt:i4>
      </vt:variant>
      <vt:variant>
        <vt:lpwstr>https://apps.who.int/iris/handle/10665/345329</vt:lpwstr>
      </vt:variant>
      <vt:variant>
        <vt:lpwstr/>
      </vt:variant>
      <vt:variant>
        <vt:i4>7536744</vt:i4>
      </vt:variant>
      <vt:variant>
        <vt:i4>90</vt:i4>
      </vt:variant>
      <vt:variant>
        <vt:i4>0</vt:i4>
      </vt:variant>
      <vt:variant>
        <vt:i4>5</vt:i4>
      </vt:variant>
      <vt:variant>
        <vt:lpwstr>https://environment.govt.nz/acts-and-regulations/regulations/national-environmental-standards-for-air-quality/</vt:lpwstr>
      </vt:variant>
      <vt:variant>
        <vt:lpwstr/>
      </vt:variant>
      <vt:variant>
        <vt:i4>1572912</vt:i4>
      </vt:variant>
      <vt:variant>
        <vt:i4>83</vt:i4>
      </vt:variant>
      <vt:variant>
        <vt:i4>0</vt:i4>
      </vt:variant>
      <vt:variant>
        <vt:i4>5</vt:i4>
      </vt:variant>
      <vt:variant>
        <vt:lpwstr/>
      </vt:variant>
      <vt:variant>
        <vt:lpwstr>_Toc84935048</vt:lpwstr>
      </vt:variant>
      <vt:variant>
        <vt:i4>1507376</vt:i4>
      </vt:variant>
      <vt:variant>
        <vt:i4>77</vt:i4>
      </vt:variant>
      <vt:variant>
        <vt:i4>0</vt:i4>
      </vt:variant>
      <vt:variant>
        <vt:i4>5</vt:i4>
      </vt:variant>
      <vt:variant>
        <vt:lpwstr/>
      </vt:variant>
      <vt:variant>
        <vt:lpwstr>_Toc84935047</vt:lpwstr>
      </vt:variant>
      <vt:variant>
        <vt:i4>1441840</vt:i4>
      </vt:variant>
      <vt:variant>
        <vt:i4>71</vt:i4>
      </vt:variant>
      <vt:variant>
        <vt:i4>0</vt:i4>
      </vt:variant>
      <vt:variant>
        <vt:i4>5</vt:i4>
      </vt:variant>
      <vt:variant>
        <vt:lpwstr/>
      </vt:variant>
      <vt:variant>
        <vt:lpwstr>_Toc84935046</vt:lpwstr>
      </vt:variant>
      <vt:variant>
        <vt:i4>1376304</vt:i4>
      </vt:variant>
      <vt:variant>
        <vt:i4>65</vt:i4>
      </vt:variant>
      <vt:variant>
        <vt:i4>0</vt:i4>
      </vt:variant>
      <vt:variant>
        <vt:i4>5</vt:i4>
      </vt:variant>
      <vt:variant>
        <vt:lpwstr/>
      </vt:variant>
      <vt:variant>
        <vt:lpwstr>_Toc84935045</vt:lpwstr>
      </vt:variant>
      <vt:variant>
        <vt:i4>1310768</vt:i4>
      </vt:variant>
      <vt:variant>
        <vt:i4>59</vt:i4>
      </vt:variant>
      <vt:variant>
        <vt:i4>0</vt:i4>
      </vt:variant>
      <vt:variant>
        <vt:i4>5</vt:i4>
      </vt:variant>
      <vt:variant>
        <vt:lpwstr/>
      </vt:variant>
      <vt:variant>
        <vt:lpwstr>_Toc84935044</vt:lpwstr>
      </vt:variant>
      <vt:variant>
        <vt:i4>1245232</vt:i4>
      </vt:variant>
      <vt:variant>
        <vt:i4>53</vt:i4>
      </vt:variant>
      <vt:variant>
        <vt:i4>0</vt:i4>
      </vt:variant>
      <vt:variant>
        <vt:i4>5</vt:i4>
      </vt:variant>
      <vt:variant>
        <vt:lpwstr/>
      </vt:variant>
      <vt:variant>
        <vt:lpwstr>_Toc84935043</vt:lpwstr>
      </vt:variant>
      <vt:variant>
        <vt:i4>1179696</vt:i4>
      </vt:variant>
      <vt:variant>
        <vt:i4>47</vt:i4>
      </vt:variant>
      <vt:variant>
        <vt:i4>0</vt:i4>
      </vt:variant>
      <vt:variant>
        <vt:i4>5</vt:i4>
      </vt:variant>
      <vt:variant>
        <vt:lpwstr/>
      </vt:variant>
      <vt:variant>
        <vt:lpwstr>_Toc84935042</vt:lpwstr>
      </vt:variant>
      <vt:variant>
        <vt:i4>1114160</vt:i4>
      </vt:variant>
      <vt:variant>
        <vt:i4>41</vt:i4>
      </vt:variant>
      <vt:variant>
        <vt:i4>0</vt:i4>
      </vt:variant>
      <vt:variant>
        <vt:i4>5</vt:i4>
      </vt:variant>
      <vt:variant>
        <vt:lpwstr/>
      </vt:variant>
      <vt:variant>
        <vt:lpwstr>_Toc84935041</vt:lpwstr>
      </vt:variant>
      <vt:variant>
        <vt:i4>1048624</vt:i4>
      </vt:variant>
      <vt:variant>
        <vt:i4>35</vt:i4>
      </vt:variant>
      <vt:variant>
        <vt:i4>0</vt:i4>
      </vt:variant>
      <vt:variant>
        <vt:i4>5</vt:i4>
      </vt:variant>
      <vt:variant>
        <vt:lpwstr/>
      </vt:variant>
      <vt:variant>
        <vt:lpwstr>_Toc84935040</vt:lpwstr>
      </vt:variant>
      <vt:variant>
        <vt:i4>1638455</vt:i4>
      </vt:variant>
      <vt:variant>
        <vt:i4>29</vt:i4>
      </vt:variant>
      <vt:variant>
        <vt:i4>0</vt:i4>
      </vt:variant>
      <vt:variant>
        <vt:i4>5</vt:i4>
      </vt:variant>
      <vt:variant>
        <vt:lpwstr/>
      </vt:variant>
      <vt:variant>
        <vt:lpwstr>_Toc84935039</vt:lpwstr>
      </vt:variant>
      <vt:variant>
        <vt:i4>1572919</vt:i4>
      </vt:variant>
      <vt:variant>
        <vt:i4>23</vt:i4>
      </vt:variant>
      <vt:variant>
        <vt:i4>0</vt:i4>
      </vt:variant>
      <vt:variant>
        <vt:i4>5</vt:i4>
      </vt:variant>
      <vt:variant>
        <vt:lpwstr/>
      </vt:variant>
      <vt:variant>
        <vt:lpwstr>_Toc84935038</vt:lpwstr>
      </vt:variant>
      <vt:variant>
        <vt:i4>1507383</vt:i4>
      </vt:variant>
      <vt:variant>
        <vt:i4>17</vt:i4>
      </vt:variant>
      <vt:variant>
        <vt:i4>0</vt:i4>
      </vt:variant>
      <vt:variant>
        <vt:i4>5</vt:i4>
      </vt:variant>
      <vt:variant>
        <vt:lpwstr/>
      </vt:variant>
      <vt:variant>
        <vt:lpwstr>_Toc84935037</vt:lpwstr>
      </vt:variant>
      <vt:variant>
        <vt:i4>1441847</vt:i4>
      </vt:variant>
      <vt:variant>
        <vt:i4>11</vt:i4>
      </vt:variant>
      <vt:variant>
        <vt:i4>0</vt:i4>
      </vt:variant>
      <vt:variant>
        <vt:i4>5</vt:i4>
      </vt:variant>
      <vt:variant>
        <vt:lpwstr/>
      </vt:variant>
      <vt:variant>
        <vt:lpwstr>_Toc84935036</vt:lpwstr>
      </vt:variant>
      <vt:variant>
        <vt:i4>917531</vt:i4>
      </vt:variant>
      <vt:variant>
        <vt:i4>6</vt:i4>
      </vt:variant>
      <vt:variant>
        <vt:i4>0</vt:i4>
      </vt:variant>
      <vt:variant>
        <vt:i4>5</vt:i4>
      </vt:variant>
      <vt:variant>
        <vt:lpwstr>https://environment.govt.nz/</vt:lpwstr>
      </vt:variant>
      <vt:variant>
        <vt:lpwstr/>
      </vt:variant>
      <vt:variant>
        <vt:i4>4653144</vt:i4>
      </vt:variant>
      <vt:variant>
        <vt:i4>3</vt:i4>
      </vt:variant>
      <vt:variant>
        <vt:i4>0</vt:i4>
      </vt:variant>
      <vt:variant>
        <vt:i4>5</vt:i4>
      </vt:variant>
      <vt:variant>
        <vt:lpwstr>http://www.legislation.govt.nz/act/public/1981/0047/latest/whole.html</vt:lpwstr>
      </vt:variant>
      <vt:variant>
        <vt:lpwstr>dlm52216</vt:lpwstr>
      </vt: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stirlingl</dc:creator>
  <cp:keywords/>
  <cp:lastModifiedBy>Linda Stirling</cp:lastModifiedBy>
  <cp:revision>3</cp:revision>
  <dcterms:created xsi:type="dcterms:W3CDTF">2021-10-12T19:53:00Z</dcterms:created>
  <dcterms:modified xsi:type="dcterms:W3CDTF">2021-11-21T20:49:00Z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8e3a2620-cd14-4395-8d7e-bdba31b36c8d</vt:lpwstr>
  </property>
</Properties>
</file>