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3A8D3" w14:textId="67EFAB01" w:rsidR="005D4298" w:rsidRPr="006B77BB" w:rsidRDefault="009A5B75" w:rsidP="00595BEA">
      <w:pPr>
        <w:pStyle w:val="BodyText"/>
      </w:pPr>
      <w:r w:rsidRPr="00461805">
        <w:rPr>
          <w:b/>
          <w:noProof/>
        </w:rPr>
        <mc:AlternateContent>
          <mc:Choice Requires="wps">
            <w:drawing>
              <wp:anchor distT="45720" distB="45720" distL="114300" distR="114300" simplePos="0" relativeHeight="251660288" behindDoc="0" locked="0" layoutInCell="1" allowOverlap="1" wp14:anchorId="5CC770AA" wp14:editId="6071E966">
                <wp:simplePos x="0" y="0"/>
                <wp:positionH relativeFrom="margin">
                  <wp:align>right</wp:align>
                </wp:positionH>
                <wp:positionV relativeFrom="paragraph">
                  <wp:posOffset>1543051</wp:posOffset>
                </wp:positionV>
                <wp:extent cx="5177155" cy="1381125"/>
                <wp:effectExtent l="0" t="1543050" r="0" b="1552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40358">
                          <a:off x="0" y="0"/>
                          <a:ext cx="5177155" cy="1381125"/>
                        </a:xfrm>
                        <a:prstGeom prst="rect">
                          <a:avLst/>
                        </a:prstGeom>
                        <a:noFill/>
                        <a:ln w="9525">
                          <a:noFill/>
                          <a:miter lim="800000"/>
                          <a:headEnd/>
                          <a:tailEnd/>
                        </a:ln>
                      </wps:spPr>
                      <wps:txbx>
                        <w:txbxContent>
                          <w:p w14:paraId="197C0344" w14:textId="77777777" w:rsidR="00F65CE3" w:rsidRPr="00F65CE3" w:rsidRDefault="00F65CE3" w:rsidP="00F65CE3">
                            <w:pPr>
                              <w:rPr>
                                <w:color w:val="D9D9D9" w:themeColor="background1" w:themeShade="D9"/>
                                <w:sz w:val="144"/>
                                <w:szCs w:val="144"/>
                              </w:rPr>
                            </w:pPr>
                            <w:r w:rsidRPr="00F65CE3">
                              <w:rPr>
                                <w:color w:val="D9D9D9" w:themeColor="background1" w:themeShade="D9"/>
                                <w:sz w:val="144"/>
                                <w:szCs w:val="144"/>
                              </w:rPr>
                              <w:t>SUPERSEDED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C770AA" id="_x0000_t202" coordsize="21600,21600" o:spt="202" path="m,l,21600r21600,l21600,xe">
                <v:stroke joinstyle="miter"/>
                <v:path gradientshapeok="t" o:connecttype="rect"/>
              </v:shapetype>
              <v:shape id="Text Box 2" o:spid="_x0000_s1026" type="#_x0000_t202" style="position:absolute;margin-left:356.45pt;margin-top:121.5pt;width:407.65pt;height:108.75pt;rotation:-2905038fd;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" filled="f" stroked="f">
                <v:textbox>
                  <w:txbxContent>
                    <w:p w14:paraId="197C0344" w14:textId="77777777" w:rsidR="00F65CE3" w:rsidRPr="00F65CE3" w:rsidRDefault="00F65CE3" w:rsidP="00F65CE3">
                      <w:pPr>
                        <w:rPr>
                          <w:color w:val="D9D9D9" w:themeColor="background1" w:themeShade="D9"/>
                          <w:sz w:val="144"/>
                          <w:szCs w:val="144"/>
                        </w:rPr>
                      </w:pPr>
                      <w:r w:rsidRPr="00F65CE3">
                        <w:rPr>
                          <w:color w:val="D9D9D9" w:themeColor="background1" w:themeShade="D9"/>
                          <w:sz w:val="144"/>
                          <w:szCs w:val="144"/>
                        </w:rPr>
                        <w:t>SUPERSEDED</w:t>
                      </w:r>
                    </w:p>
                  </w:txbxContent>
                </v:textbox>
                <w10:wrap type="square" anchorx="margin"/>
              </v:shape>
            </w:pict>
          </mc:Fallback>
        </mc:AlternateContent>
      </w:r>
      <w:r w:rsidR="00F65CE3">
        <w:rPr>
          <w:noProof/>
        </w:rPr>
        <w:drawing>
          <wp:anchor distT="0" distB="0" distL="114300" distR="114300" simplePos="0" relativeHeight="251658240" behindDoc="0" locked="0" layoutInCell="1" allowOverlap="1" wp14:anchorId="2DB326EA" wp14:editId="0FB818F2">
            <wp:simplePos x="0" y="0"/>
            <wp:positionH relativeFrom="page">
              <wp:posOffset>-38100</wp:posOffset>
            </wp:positionH>
            <wp:positionV relativeFrom="paragraph">
              <wp:posOffset>-3596005</wp:posOffset>
            </wp:positionV>
            <wp:extent cx="7586674" cy="1072852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86674" cy="10728526"/>
                    </a:xfrm>
                    <a:prstGeom prst="rect">
                      <a:avLst/>
                    </a:prstGeom>
                  </pic:spPr>
                </pic:pic>
              </a:graphicData>
            </a:graphic>
            <wp14:sizeRelH relativeFrom="margin">
              <wp14:pctWidth>0</wp14:pctWidth>
            </wp14:sizeRelH>
            <wp14:sizeRelV relativeFrom="margin">
              <wp14:pctHeight>0</wp14:pctHeight>
            </wp14:sizeRelV>
          </wp:anchor>
        </w:drawing>
      </w:r>
    </w:p>
    <w:p w14:paraId="29309579" w14:textId="52D8F303" w:rsidR="005D4298" w:rsidRPr="006B77BB" w:rsidRDefault="005D4298" w:rsidP="00595BEA">
      <w:pPr>
        <w:pStyle w:val="BodyText"/>
      </w:pPr>
    </w:p>
    <w:p w14:paraId="47E30F4F" w14:textId="77777777" w:rsidR="005D4298" w:rsidRPr="006B77BB" w:rsidRDefault="005D4298" w:rsidP="00595BEA">
      <w:pPr>
        <w:jc w:val="left"/>
        <w:rPr>
          <w:color w:val="FF0000"/>
        </w:rPr>
        <w:sectPr w:rsidR="005D4298" w:rsidRPr="006B77BB">
          <w:headerReference w:type="even" r:id="rId13"/>
          <w:headerReference w:type="default" r:id="rId14"/>
          <w:footerReference w:type="even" r:id="rId15"/>
          <w:footerReference w:type="default" r:id="rId16"/>
          <w:headerReference w:type="first" r:id="rId17"/>
          <w:footerReference w:type="first" r:id="rId18"/>
          <w:pgSz w:w="11907" w:h="16840" w:code="9"/>
          <w:pgMar w:top="5670" w:right="1701" w:bottom="1701" w:left="1701" w:header="567" w:footer="1134" w:gutter="0"/>
          <w:cols w:space="720"/>
        </w:sectPr>
      </w:pPr>
    </w:p>
    <w:p w14:paraId="2EBFB2E0" w14:textId="39088555" w:rsidR="00452EC4" w:rsidRPr="00582EF5" w:rsidRDefault="00452EC4" w:rsidP="00595BEA">
      <w:pPr>
        <w:pStyle w:val="Imprint"/>
        <w:spacing w:before="0" w:after="0"/>
        <w:rPr>
          <w:b/>
        </w:rPr>
      </w:pPr>
      <w:r w:rsidRPr="00582EF5">
        <w:rPr>
          <w:b/>
        </w:rPr>
        <w:lastRenderedPageBreak/>
        <w:t>Disclaimer</w:t>
      </w:r>
    </w:p>
    <w:p w14:paraId="2D1C525D" w14:textId="77777777" w:rsidR="00F43CF3" w:rsidRPr="000378DA" w:rsidRDefault="00F43CF3" w:rsidP="00595BEA">
      <w:pPr>
        <w:pStyle w:val="Imprint"/>
      </w:pPr>
      <w:r w:rsidRPr="000378DA">
        <w:t>While every effort has been made to ensure the information in this publication is accurate, the Ministry for the Environment does not accept any responsibility or liability for error of fact, omission, interpretation or opinion that may be present, nor for the consequences of any decisions based on this information.</w:t>
      </w:r>
    </w:p>
    <w:p w14:paraId="632065EF" w14:textId="77777777" w:rsidR="00452EC4" w:rsidRPr="00582EF5" w:rsidRDefault="00452EC4" w:rsidP="00595BEA">
      <w:pPr>
        <w:pStyle w:val="Imprint"/>
      </w:pPr>
    </w:p>
    <w:p w14:paraId="4C9FB48C" w14:textId="6CA3C824" w:rsidR="00FC713D" w:rsidRDefault="00FC713D" w:rsidP="00595BEA">
      <w:pPr>
        <w:pStyle w:val="Imprint"/>
      </w:pPr>
    </w:p>
    <w:p w14:paraId="6241FD52" w14:textId="77777777" w:rsidR="00FC713D" w:rsidRPr="00582EF5" w:rsidRDefault="00FC713D" w:rsidP="00595BEA">
      <w:pPr>
        <w:pStyle w:val="Imprint"/>
      </w:pPr>
    </w:p>
    <w:p w14:paraId="3B384F78" w14:textId="7D8D969E" w:rsidR="00452EC4" w:rsidRPr="00582EF5" w:rsidRDefault="74A351C3" w:rsidP="00595BEA">
      <w:pPr>
        <w:pStyle w:val="Imprint"/>
      </w:pPr>
      <w:r>
        <w:t xml:space="preserve">This </w:t>
      </w:r>
      <w:r w:rsidR="46765DD8">
        <w:t>document</w:t>
      </w:r>
      <w:r>
        <w:t xml:space="preserve"> may be cited as:</w:t>
      </w:r>
      <w:r w:rsidR="46765DD8">
        <w:t xml:space="preserve"> Ministry for the Environment. </w:t>
      </w:r>
      <w:r w:rsidR="746B8BFB">
        <w:t>20</w:t>
      </w:r>
      <w:r w:rsidR="7FAE261A">
        <w:t>22</w:t>
      </w:r>
      <w:r w:rsidR="46765DD8">
        <w:t xml:space="preserve">. </w:t>
      </w:r>
      <w:r w:rsidR="746B8BFB" w:rsidRPr="703AEB20">
        <w:rPr>
          <w:i/>
          <w:iCs/>
        </w:rPr>
        <w:t>New Zealand’s updated National Implementation Plan under the Stockholm Convention on Persistent Organic Pollutants</w:t>
      </w:r>
      <w:r w:rsidR="46765DD8">
        <w:t>. Wellington: Ministry for the Environment.</w:t>
      </w:r>
    </w:p>
    <w:p w14:paraId="7A4D8AFA" w14:textId="77777777" w:rsidR="0080531E" w:rsidRPr="00582EF5" w:rsidRDefault="0080531E" w:rsidP="00595BEA">
      <w:pPr>
        <w:pStyle w:val="Imprint"/>
      </w:pPr>
    </w:p>
    <w:p w14:paraId="0BD9979A" w14:textId="77777777" w:rsidR="0080531E" w:rsidRPr="00582EF5" w:rsidRDefault="0080531E" w:rsidP="00595BEA">
      <w:pPr>
        <w:pStyle w:val="Imprint"/>
      </w:pPr>
    </w:p>
    <w:p w14:paraId="3599AF4F" w14:textId="77777777" w:rsidR="0080531E" w:rsidRPr="00582EF5" w:rsidRDefault="0080531E" w:rsidP="00595BEA">
      <w:pPr>
        <w:pStyle w:val="Imprint"/>
      </w:pPr>
    </w:p>
    <w:p w14:paraId="5FD8BF5C" w14:textId="77777777" w:rsidR="00663783" w:rsidRPr="00582EF5" w:rsidRDefault="00663783" w:rsidP="00595BEA">
      <w:pPr>
        <w:pStyle w:val="Imprint"/>
      </w:pPr>
    </w:p>
    <w:p w14:paraId="064296B0" w14:textId="77777777" w:rsidR="004B7C47" w:rsidRDefault="004B7C47" w:rsidP="00F65CE3">
      <w:pPr>
        <w:pStyle w:val="Imprint"/>
        <w:jc w:val="center"/>
      </w:pPr>
    </w:p>
    <w:p w14:paraId="3BCD8789" w14:textId="77777777" w:rsidR="004B7C47" w:rsidRDefault="004B7C47" w:rsidP="00595BEA">
      <w:pPr>
        <w:pStyle w:val="Imprint"/>
      </w:pPr>
    </w:p>
    <w:p w14:paraId="6CA314B0" w14:textId="77777777" w:rsidR="004B7C47" w:rsidRDefault="004B7C47" w:rsidP="00595BEA">
      <w:pPr>
        <w:pStyle w:val="Imprint"/>
      </w:pPr>
    </w:p>
    <w:p w14:paraId="2B72ED50" w14:textId="77777777" w:rsidR="004B7C47" w:rsidRDefault="004B7C47" w:rsidP="00595BEA">
      <w:pPr>
        <w:pStyle w:val="Imprint"/>
      </w:pPr>
    </w:p>
    <w:p w14:paraId="4D217F09" w14:textId="77777777" w:rsidR="004B7C47" w:rsidRDefault="004B7C47" w:rsidP="00595BEA">
      <w:pPr>
        <w:pStyle w:val="Imprint"/>
      </w:pPr>
    </w:p>
    <w:p w14:paraId="719B7CE7" w14:textId="77777777" w:rsidR="004B7C47" w:rsidRPr="00582EF5" w:rsidRDefault="004B7C47" w:rsidP="00595BEA">
      <w:pPr>
        <w:pStyle w:val="Imprint"/>
      </w:pPr>
    </w:p>
    <w:p w14:paraId="1932030B" w14:textId="77777777" w:rsidR="00760C00" w:rsidRPr="00582EF5" w:rsidRDefault="00760C00" w:rsidP="00595BEA">
      <w:pPr>
        <w:pStyle w:val="Imprint"/>
      </w:pPr>
    </w:p>
    <w:p w14:paraId="531A05CA" w14:textId="77777777" w:rsidR="004B7C47" w:rsidRDefault="004B7C47" w:rsidP="00595BEA">
      <w:pPr>
        <w:pStyle w:val="Imprint"/>
      </w:pPr>
    </w:p>
    <w:p w14:paraId="357AEF1B" w14:textId="77777777" w:rsidR="00A17E8D" w:rsidRDefault="00A17E8D" w:rsidP="00595BEA">
      <w:pPr>
        <w:pStyle w:val="Imprint"/>
      </w:pPr>
    </w:p>
    <w:p w14:paraId="04002151" w14:textId="77777777" w:rsidR="00A17E8D" w:rsidRPr="00582EF5" w:rsidRDefault="00A17E8D" w:rsidP="00595BEA">
      <w:pPr>
        <w:pStyle w:val="Imprint"/>
      </w:pPr>
    </w:p>
    <w:p w14:paraId="2D2C317E" w14:textId="77777777" w:rsidR="005572D7" w:rsidRPr="00582EF5" w:rsidRDefault="005572D7" w:rsidP="00595BEA">
      <w:pPr>
        <w:pStyle w:val="Imprint"/>
      </w:pPr>
    </w:p>
    <w:p w14:paraId="2EAB6F93" w14:textId="6FD2A36F" w:rsidR="0080531E" w:rsidRPr="00582EF5" w:rsidRDefault="6F723BC3" w:rsidP="00595BEA">
      <w:pPr>
        <w:pStyle w:val="Imprint"/>
        <w:spacing w:before="0"/>
      </w:pPr>
      <w:r>
        <w:t xml:space="preserve">Published in </w:t>
      </w:r>
      <w:r w:rsidR="746B8BFB">
        <w:t>December</w:t>
      </w:r>
      <w:r w:rsidR="46765DD8">
        <w:t xml:space="preserve"> </w:t>
      </w:r>
      <w:r w:rsidR="746B8BFB" w:rsidRPr="007D47E4">
        <w:t>20</w:t>
      </w:r>
      <w:r w:rsidR="00595D66">
        <w:t>22</w:t>
      </w:r>
      <w:r>
        <w:t xml:space="preserve"> by the</w:t>
      </w:r>
      <w:r w:rsidR="0080531E">
        <w:br/>
      </w:r>
      <w:r>
        <w:t xml:space="preserve">Ministry for the Environment </w:t>
      </w:r>
      <w:r w:rsidR="0080531E">
        <w:br/>
      </w:r>
      <w:proofErr w:type="spellStart"/>
      <w:r w:rsidR="0080531E" w:rsidDel="6F723BC3">
        <w:t>Manatū</w:t>
      </w:r>
      <w:proofErr w:type="spellEnd"/>
      <w:r w:rsidR="0080531E" w:rsidDel="6F723BC3">
        <w:t xml:space="preserve"> </w:t>
      </w:r>
      <w:proofErr w:type="spellStart"/>
      <w:r w:rsidR="0080531E" w:rsidDel="6F723BC3">
        <w:t>Mō</w:t>
      </w:r>
      <w:proofErr w:type="spellEnd"/>
      <w:r w:rsidR="0080531E" w:rsidDel="6F723BC3">
        <w:t xml:space="preserve"> Te Taiao</w:t>
      </w:r>
      <w:r w:rsidR="0080531E">
        <w:br/>
      </w:r>
      <w:r w:rsidR="0080531E" w:rsidDel="6F723BC3">
        <w:t>PO Box 10362, Wellington 6143, New Zealand</w:t>
      </w:r>
    </w:p>
    <w:p w14:paraId="28733A31" w14:textId="6EC8760F" w:rsidR="0080531E" w:rsidRPr="00582EF5" w:rsidRDefault="6F723BC3" w:rsidP="00103954">
      <w:pPr>
        <w:pStyle w:val="Imprint"/>
      </w:pPr>
      <w:r>
        <w:t xml:space="preserve">ISBN: </w:t>
      </w:r>
      <w:r w:rsidR="004B7C47" w:rsidRPr="004B7C47">
        <w:t>978-1-991077-11-0</w:t>
      </w:r>
      <w:r w:rsidR="00103954">
        <w:br/>
      </w:r>
      <w:r>
        <w:t xml:space="preserve">Publication number: </w:t>
      </w:r>
      <w:r w:rsidR="004B7C47" w:rsidRPr="004B7C47">
        <w:t>1719</w:t>
      </w:r>
    </w:p>
    <w:p w14:paraId="42914672" w14:textId="725B8D7C" w:rsidR="00A84FE1" w:rsidRPr="00582EF5" w:rsidRDefault="6F723BC3" w:rsidP="00A17E8D">
      <w:pPr>
        <w:pStyle w:val="Imprint"/>
        <w:spacing w:after="80"/>
      </w:pPr>
      <w:r>
        <w:t xml:space="preserve">© Crown copyright New Zealand </w:t>
      </w:r>
      <w:r w:rsidR="746B8BFB">
        <w:t>20</w:t>
      </w:r>
      <w:r w:rsidR="13FDAE39">
        <w:t>22</w:t>
      </w:r>
    </w:p>
    <w:p w14:paraId="5A484EA4" w14:textId="77777777" w:rsidR="0080531E" w:rsidRPr="00582EF5" w:rsidRDefault="0080531E" w:rsidP="00680062">
      <w:pPr>
        <w:spacing w:after="0"/>
        <w:sectPr w:rsidR="0080531E" w:rsidRPr="00582EF5" w:rsidSect="00E26FFB">
          <w:headerReference w:type="even" r:id="rId19"/>
          <w:headerReference w:type="default" r:id="rId20"/>
          <w:footerReference w:type="even" r:id="rId21"/>
          <w:footerReference w:type="default" r:id="rId22"/>
          <w:headerReference w:type="first" r:id="rId23"/>
          <w:footerReference w:type="first" r:id="rId24"/>
          <w:pgSz w:w="11907" w:h="16840" w:code="9"/>
          <w:pgMar w:top="1134" w:right="1701" w:bottom="1134" w:left="1701" w:header="567" w:footer="567" w:gutter="0"/>
          <w:pgNumType w:fmt="lowerRoman"/>
          <w:cols w:space="720"/>
        </w:sectPr>
      </w:pPr>
    </w:p>
    <w:p w14:paraId="22FDD181" w14:textId="77777777" w:rsidR="0080531E" w:rsidRPr="00582EF5" w:rsidRDefault="0080531E" w:rsidP="004B7C47">
      <w:pPr>
        <w:pStyle w:val="Heading"/>
      </w:pPr>
      <w:r w:rsidRPr="00582EF5">
        <w:lastRenderedPageBreak/>
        <w:t>Contents</w:t>
      </w:r>
    </w:p>
    <w:p w14:paraId="42CE5E8F" w14:textId="6545641C" w:rsidR="00A22B1A" w:rsidRDefault="00775F57">
      <w:pPr>
        <w:pStyle w:val="TOC1"/>
        <w:rPr>
          <w:rFonts w:asciiTheme="minorHAnsi" w:hAnsiTheme="minorHAnsi"/>
          <w:noProof/>
        </w:rPr>
      </w:pPr>
      <w:r w:rsidRPr="00582EF5">
        <w:rPr>
          <w:color w:val="0092CF"/>
          <w:shd w:val="clear" w:color="auto" w:fill="E6E6E6"/>
        </w:rPr>
        <w:fldChar w:fldCharType="begin"/>
      </w:r>
      <w:r w:rsidRPr="00582EF5">
        <w:rPr>
          <w:color w:val="0092CF"/>
        </w:rPr>
        <w:instrText xml:space="preserve"> TOC \h \z \t "Heading 1,1,Heading 2,2" </w:instrText>
      </w:r>
      <w:r w:rsidRPr="00582EF5">
        <w:rPr>
          <w:color w:val="0092CF"/>
          <w:shd w:val="clear" w:color="auto" w:fill="E6E6E6"/>
        </w:rPr>
        <w:fldChar w:fldCharType="separate"/>
      </w:r>
      <w:hyperlink w:anchor="_Toc120532226" w:history="1">
        <w:r w:rsidR="00A22B1A" w:rsidRPr="00D662A5">
          <w:rPr>
            <w:rStyle w:val="Hyperlink"/>
            <w:noProof/>
          </w:rPr>
          <w:t>Foreword</w:t>
        </w:r>
        <w:r w:rsidR="00A22B1A">
          <w:rPr>
            <w:noProof/>
            <w:webHidden/>
          </w:rPr>
          <w:tab/>
        </w:r>
        <w:r w:rsidR="00A22B1A">
          <w:rPr>
            <w:noProof/>
            <w:webHidden/>
          </w:rPr>
          <w:fldChar w:fldCharType="begin"/>
        </w:r>
        <w:r w:rsidR="00A22B1A">
          <w:rPr>
            <w:noProof/>
            <w:webHidden/>
          </w:rPr>
          <w:instrText xml:space="preserve"> PAGEREF _Toc120532226 \h </w:instrText>
        </w:r>
        <w:r w:rsidR="00A22B1A">
          <w:rPr>
            <w:noProof/>
            <w:webHidden/>
          </w:rPr>
        </w:r>
        <w:r w:rsidR="00A22B1A">
          <w:rPr>
            <w:noProof/>
            <w:webHidden/>
          </w:rPr>
          <w:fldChar w:fldCharType="separate"/>
        </w:r>
        <w:r w:rsidR="001C7C2E">
          <w:rPr>
            <w:noProof/>
            <w:webHidden/>
          </w:rPr>
          <w:t>7</w:t>
        </w:r>
        <w:r w:rsidR="00A22B1A">
          <w:rPr>
            <w:noProof/>
            <w:webHidden/>
          </w:rPr>
          <w:fldChar w:fldCharType="end"/>
        </w:r>
      </w:hyperlink>
    </w:p>
    <w:p w14:paraId="020E6507" w14:textId="577D25D1" w:rsidR="00A22B1A" w:rsidRDefault="00A22B1A">
      <w:pPr>
        <w:pStyle w:val="TOC1"/>
        <w:rPr>
          <w:rFonts w:asciiTheme="minorHAnsi" w:hAnsiTheme="minorHAnsi"/>
          <w:noProof/>
        </w:rPr>
      </w:pPr>
      <w:hyperlink w:anchor="_Toc120532227" w:history="1">
        <w:r w:rsidRPr="00D662A5">
          <w:rPr>
            <w:rStyle w:val="Hyperlink"/>
            <w:noProof/>
          </w:rPr>
          <w:t>Executive summary</w:t>
        </w:r>
        <w:r>
          <w:rPr>
            <w:noProof/>
            <w:webHidden/>
          </w:rPr>
          <w:tab/>
        </w:r>
        <w:r>
          <w:rPr>
            <w:noProof/>
            <w:webHidden/>
          </w:rPr>
          <w:fldChar w:fldCharType="begin"/>
        </w:r>
        <w:r>
          <w:rPr>
            <w:noProof/>
            <w:webHidden/>
          </w:rPr>
          <w:instrText xml:space="preserve"> PAGEREF _Toc120532227 \h </w:instrText>
        </w:r>
        <w:r>
          <w:rPr>
            <w:noProof/>
            <w:webHidden/>
          </w:rPr>
        </w:r>
        <w:r>
          <w:rPr>
            <w:noProof/>
            <w:webHidden/>
          </w:rPr>
          <w:fldChar w:fldCharType="separate"/>
        </w:r>
        <w:r w:rsidR="001C7C2E">
          <w:rPr>
            <w:noProof/>
            <w:webHidden/>
          </w:rPr>
          <w:t>8</w:t>
        </w:r>
        <w:r>
          <w:rPr>
            <w:noProof/>
            <w:webHidden/>
          </w:rPr>
          <w:fldChar w:fldCharType="end"/>
        </w:r>
      </w:hyperlink>
    </w:p>
    <w:p w14:paraId="7D465F2F" w14:textId="39393C3B" w:rsidR="00A22B1A" w:rsidRDefault="00A22B1A">
      <w:pPr>
        <w:pStyle w:val="TOC1"/>
        <w:rPr>
          <w:rFonts w:asciiTheme="minorHAnsi" w:hAnsiTheme="minorHAnsi"/>
          <w:noProof/>
        </w:rPr>
      </w:pPr>
      <w:hyperlink w:anchor="_Toc120532228" w:history="1">
        <w:r w:rsidRPr="00D662A5">
          <w:rPr>
            <w:rStyle w:val="Hyperlink"/>
            <w:noProof/>
          </w:rPr>
          <w:t>Chapter 1: National implementation plan process and the Stockholm Convention</w:t>
        </w:r>
        <w:r>
          <w:rPr>
            <w:noProof/>
            <w:webHidden/>
          </w:rPr>
          <w:tab/>
        </w:r>
        <w:r>
          <w:rPr>
            <w:noProof/>
            <w:webHidden/>
          </w:rPr>
          <w:fldChar w:fldCharType="begin"/>
        </w:r>
        <w:r>
          <w:rPr>
            <w:noProof/>
            <w:webHidden/>
          </w:rPr>
          <w:instrText xml:space="preserve"> PAGEREF _Toc120532228 \h </w:instrText>
        </w:r>
        <w:r>
          <w:rPr>
            <w:noProof/>
            <w:webHidden/>
          </w:rPr>
        </w:r>
        <w:r>
          <w:rPr>
            <w:noProof/>
            <w:webHidden/>
          </w:rPr>
          <w:fldChar w:fldCharType="separate"/>
        </w:r>
        <w:r w:rsidR="001C7C2E">
          <w:rPr>
            <w:noProof/>
            <w:webHidden/>
          </w:rPr>
          <w:t>11</w:t>
        </w:r>
        <w:r>
          <w:rPr>
            <w:noProof/>
            <w:webHidden/>
          </w:rPr>
          <w:fldChar w:fldCharType="end"/>
        </w:r>
      </w:hyperlink>
    </w:p>
    <w:p w14:paraId="0FBE7D46" w14:textId="1A55DC51" w:rsidR="00A22B1A" w:rsidRDefault="00A22B1A">
      <w:pPr>
        <w:pStyle w:val="TOC2"/>
        <w:tabs>
          <w:tab w:val="left" w:pos="1134"/>
        </w:tabs>
        <w:rPr>
          <w:rFonts w:asciiTheme="minorHAnsi" w:hAnsiTheme="minorHAnsi"/>
          <w:noProof/>
        </w:rPr>
      </w:pPr>
      <w:hyperlink w:anchor="_Toc120532229" w:history="1">
        <w:r w:rsidRPr="00D662A5">
          <w:rPr>
            <w:rStyle w:val="Hyperlink"/>
            <w:noProof/>
          </w:rPr>
          <w:t xml:space="preserve">1.1 </w:t>
        </w:r>
        <w:r>
          <w:rPr>
            <w:rFonts w:asciiTheme="minorHAnsi" w:hAnsiTheme="minorHAnsi"/>
            <w:noProof/>
          </w:rPr>
          <w:tab/>
        </w:r>
        <w:r w:rsidRPr="00D662A5">
          <w:rPr>
            <w:rStyle w:val="Hyperlink"/>
            <w:noProof/>
          </w:rPr>
          <w:t>New Zealand and the Stockholm Convention</w:t>
        </w:r>
        <w:r>
          <w:rPr>
            <w:noProof/>
            <w:webHidden/>
          </w:rPr>
          <w:tab/>
        </w:r>
        <w:r>
          <w:rPr>
            <w:noProof/>
            <w:webHidden/>
          </w:rPr>
          <w:fldChar w:fldCharType="begin"/>
        </w:r>
        <w:r>
          <w:rPr>
            <w:noProof/>
            <w:webHidden/>
          </w:rPr>
          <w:instrText xml:space="preserve"> PAGEREF _Toc120532229 \h </w:instrText>
        </w:r>
        <w:r>
          <w:rPr>
            <w:noProof/>
            <w:webHidden/>
          </w:rPr>
        </w:r>
        <w:r>
          <w:rPr>
            <w:noProof/>
            <w:webHidden/>
          </w:rPr>
          <w:fldChar w:fldCharType="separate"/>
        </w:r>
        <w:r w:rsidR="001C7C2E">
          <w:rPr>
            <w:noProof/>
            <w:webHidden/>
          </w:rPr>
          <w:t>11</w:t>
        </w:r>
        <w:r>
          <w:rPr>
            <w:noProof/>
            <w:webHidden/>
          </w:rPr>
          <w:fldChar w:fldCharType="end"/>
        </w:r>
      </w:hyperlink>
    </w:p>
    <w:p w14:paraId="19D89FE7" w14:textId="5830A531" w:rsidR="00A22B1A" w:rsidRDefault="00A22B1A">
      <w:pPr>
        <w:pStyle w:val="TOC2"/>
        <w:tabs>
          <w:tab w:val="left" w:pos="1134"/>
        </w:tabs>
        <w:rPr>
          <w:rFonts w:asciiTheme="minorHAnsi" w:hAnsiTheme="minorHAnsi"/>
          <w:noProof/>
        </w:rPr>
      </w:pPr>
      <w:hyperlink w:anchor="_Toc120532230" w:history="1">
        <w:r w:rsidRPr="00D662A5">
          <w:rPr>
            <w:rStyle w:val="Hyperlink"/>
            <w:noProof/>
          </w:rPr>
          <w:t xml:space="preserve">1.2 </w:t>
        </w:r>
        <w:r>
          <w:rPr>
            <w:rFonts w:asciiTheme="minorHAnsi" w:hAnsiTheme="minorHAnsi"/>
            <w:noProof/>
          </w:rPr>
          <w:tab/>
        </w:r>
        <w:r w:rsidRPr="00D662A5">
          <w:rPr>
            <w:rStyle w:val="Hyperlink"/>
            <w:noProof/>
          </w:rPr>
          <w:t>National implementation plan process in New Zealand</w:t>
        </w:r>
        <w:r>
          <w:rPr>
            <w:noProof/>
            <w:webHidden/>
          </w:rPr>
          <w:tab/>
        </w:r>
        <w:r>
          <w:rPr>
            <w:noProof/>
            <w:webHidden/>
          </w:rPr>
          <w:fldChar w:fldCharType="begin"/>
        </w:r>
        <w:r>
          <w:rPr>
            <w:noProof/>
            <w:webHidden/>
          </w:rPr>
          <w:instrText xml:space="preserve"> PAGEREF _Toc120532230 \h </w:instrText>
        </w:r>
        <w:r>
          <w:rPr>
            <w:noProof/>
            <w:webHidden/>
          </w:rPr>
        </w:r>
        <w:r>
          <w:rPr>
            <w:noProof/>
            <w:webHidden/>
          </w:rPr>
          <w:fldChar w:fldCharType="separate"/>
        </w:r>
        <w:r w:rsidR="001C7C2E">
          <w:rPr>
            <w:noProof/>
            <w:webHidden/>
          </w:rPr>
          <w:t>11</w:t>
        </w:r>
        <w:r>
          <w:rPr>
            <w:noProof/>
            <w:webHidden/>
          </w:rPr>
          <w:fldChar w:fldCharType="end"/>
        </w:r>
      </w:hyperlink>
    </w:p>
    <w:p w14:paraId="267B209C" w14:textId="35B22902" w:rsidR="00A22B1A" w:rsidRDefault="00A22B1A">
      <w:pPr>
        <w:pStyle w:val="TOC2"/>
        <w:tabs>
          <w:tab w:val="left" w:pos="1134"/>
        </w:tabs>
        <w:rPr>
          <w:rFonts w:asciiTheme="minorHAnsi" w:hAnsiTheme="minorHAnsi"/>
          <w:noProof/>
        </w:rPr>
      </w:pPr>
      <w:hyperlink w:anchor="_Toc120532231" w:history="1">
        <w:r w:rsidRPr="00D662A5">
          <w:rPr>
            <w:rStyle w:val="Hyperlink"/>
            <w:noProof/>
          </w:rPr>
          <w:t xml:space="preserve">1.3 </w:t>
        </w:r>
        <w:r>
          <w:rPr>
            <w:rFonts w:asciiTheme="minorHAnsi" w:hAnsiTheme="minorHAnsi"/>
            <w:noProof/>
          </w:rPr>
          <w:tab/>
        </w:r>
        <w:r w:rsidRPr="00D662A5">
          <w:rPr>
            <w:rStyle w:val="Hyperlink"/>
            <w:noProof/>
          </w:rPr>
          <w:t>Persistent organic pollutants listed under the Stockholm Convention</w:t>
        </w:r>
        <w:r>
          <w:rPr>
            <w:noProof/>
            <w:webHidden/>
          </w:rPr>
          <w:tab/>
        </w:r>
        <w:r>
          <w:rPr>
            <w:noProof/>
            <w:webHidden/>
          </w:rPr>
          <w:fldChar w:fldCharType="begin"/>
        </w:r>
        <w:r>
          <w:rPr>
            <w:noProof/>
            <w:webHidden/>
          </w:rPr>
          <w:instrText xml:space="preserve"> PAGEREF _Toc120532231 \h </w:instrText>
        </w:r>
        <w:r>
          <w:rPr>
            <w:noProof/>
            <w:webHidden/>
          </w:rPr>
        </w:r>
        <w:r>
          <w:rPr>
            <w:noProof/>
            <w:webHidden/>
          </w:rPr>
          <w:fldChar w:fldCharType="separate"/>
        </w:r>
        <w:r w:rsidR="001C7C2E">
          <w:rPr>
            <w:noProof/>
            <w:webHidden/>
          </w:rPr>
          <w:t>13</w:t>
        </w:r>
        <w:r>
          <w:rPr>
            <w:noProof/>
            <w:webHidden/>
          </w:rPr>
          <w:fldChar w:fldCharType="end"/>
        </w:r>
      </w:hyperlink>
    </w:p>
    <w:p w14:paraId="5C9EC348" w14:textId="27E5EBAE" w:rsidR="00A22B1A" w:rsidRDefault="00A22B1A">
      <w:pPr>
        <w:pStyle w:val="TOC1"/>
        <w:rPr>
          <w:rFonts w:asciiTheme="minorHAnsi" w:hAnsiTheme="minorHAnsi"/>
          <w:noProof/>
        </w:rPr>
      </w:pPr>
      <w:hyperlink w:anchor="_Toc120532232" w:history="1">
        <w:r w:rsidRPr="00D662A5">
          <w:rPr>
            <w:rStyle w:val="Hyperlink"/>
            <w:noProof/>
          </w:rPr>
          <w:t>Chapter 2: Overview of New Zealand and its regulatory framework to implement the Stockholm Convention</w:t>
        </w:r>
        <w:r>
          <w:rPr>
            <w:noProof/>
            <w:webHidden/>
          </w:rPr>
          <w:tab/>
        </w:r>
        <w:r>
          <w:rPr>
            <w:noProof/>
            <w:webHidden/>
          </w:rPr>
          <w:fldChar w:fldCharType="begin"/>
        </w:r>
        <w:r>
          <w:rPr>
            <w:noProof/>
            <w:webHidden/>
          </w:rPr>
          <w:instrText xml:space="preserve"> PAGEREF _Toc120532232 \h </w:instrText>
        </w:r>
        <w:r>
          <w:rPr>
            <w:noProof/>
            <w:webHidden/>
          </w:rPr>
        </w:r>
        <w:r>
          <w:rPr>
            <w:noProof/>
            <w:webHidden/>
          </w:rPr>
          <w:fldChar w:fldCharType="separate"/>
        </w:r>
        <w:r w:rsidR="001C7C2E">
          <w:rPr>
            <w:noProof/>
            <w:webHidden/>
          </w:rPr>
          <w:t>16</w:t>
        </w:r>
        <w:r>
          <w:rPr>
            <w:noProof/>
            <w:webHidden/>
          </w:rPr>
          <w:fldChar w:fldCharType="end"/>
        </w:r>
      </w:hyperlink>
    </w:p>
    <w:p w14:paraId="51B68D5A" w14:textId="257F6ABE" w:rsidR="00A22B1A" w:rsidRDefault="00A22B1A">
      <w:pPr>
        <w:pStyle w:val="TOC2"/>
        <w:tabs>
          <w:tab w:val="left" w:pos="1134"/>
        </w:tabs>
        <w:rPr>
          <w:rFonts w:asciiTheme="minorHAnsi" w:hAnsiTheme="minorHAnsi"/>
          <w:noProof/>
        </w:rPr>
      </w:pPr>
      <w:hyperlink w:anchor="_Toc120532233" w:history="1">
        <w:r w:rsidRPr="00D662A5">
          <w:rPr>
            <w:rStyle w:val="Hyperlink"/>
            <w:noProof/>
          </w:rPr>
          <w:t xml:space="preserve">2.1 </w:t>
        </w:r>
        <w:r>
          <w:rPr>
            <w:rFonts w:asciiTheme="minorHAnsi" w:hAnsiTheme="minorHAnsi"/>
            <w:noProof/>
          </w:rPr>
          <w:tab/>
        </w:r>
        <w:r w:rsidRPr="00D662A5">
          <w:rPr>
            <w:rStyle w:val="Hyperlink"/>
            <w:noProof/>
          </w:rPr>
          <w:t>Country profile and history of use in New Zealand</w:t>
        </w:r>
        <w:r>
          <w:rPr>
            <w:noProof/>
            <w:webHidden/>
          </w:rPr>
          <w:tab/>
        </w:r>
        <w:r>
          <w:rPr>
            <w:noProof/>
            <w:webHidden/>
          </w:rPr>
          <w:fldChar w:fldCharType="begin"/>
        </w:r>
        <w:r>
          <w:rPr>
            <w:noProof/>
            <w:webHidden/>
          </w:rPr>
          <w:instrText xml:space="preserve"> PAGEREF _Toc120532233 \h </w:instrText>
        </w:r>
        <w:r>
          <w:rPr>
            <w:noProof/>
            <w:webHidden/>
          </w:rPr>
        </w:r>
        <w:r>
          <w:rPr>
            <w:noProof/>
            <w:webHidden/>
          </w:rPr>
          <w:fldChar w:fldCharType="separate"/>
        </w:r>
        <w:r w:rsidR="001C7C2E">
          <w:rPr>
            <w:noProof/>
            <w:webHidden/>
          </w:rPr>
          <w:t>16</w:t>
        </w:r>
        <w:r>
          <w:rPr>
            <w:noProof/>
            <w:webHidden/>
          </w:rPr>
          <w:fldChar w:fldCharType="end"/>
        </w:r>
      </w:hyperlink>
    </w:p>
    <w:p w14:paraId="63599A9F" w14:textId="3141CFA2" w:rsidR="00A22B1A" w:rsidRDefault="00A22B1A">
      <w:pPr>
        <w:pStyle w:val="TOC2"/>
        <w:tabs>
          <w:tab w:val="left" w:pos="1134"/>
        </w:tabs>
        <w:rPr>
          <w:rFonts w:asciiTheme="minorHAnsi" w:hAnsiTheme="minorHAnsi"/>
          <w:noProof/>
        </w:rPr>
      </w:pPr>
      <w:hyperlink w:anchor="_Toc120532234" w:history="1">
        <w:r w:rsidRPr="00D662A5">
          <w:rPr>
            <w:rStyle w:val="Hyperlink"/>
            <w:noProof/>
          </w:rPr>
          <w:t xml:space="preserve">2.2 </w:t>
        </w:r>
        <w:r>
          <w:rPr>
            <w:rFonts w:asciiTheme="minorHAnsi" w:hAnsiTheme="minorHAnsi"/>
            <w:noProof/>
          </w:rPr>
          <w:tab/>
        </w:r>
        <w:r w:rsidRPr="00D662A5">
          <w:rPr>
            <w:rStyle w:val="Hyperlink"/>
            <w:noProof/>
          </w:rPr>
          <w:t>Domestic policy and regulatory controls</w:t>
        </w:r>
        <w:r>
          <w:rPr>
            <w:noProof/>
            <w:webHidden/>
          </w:rPr>
          <w:tab/>
        </w:r>
        <w:r>
          <w:rPr>
            <w:noProof/>
            <w:webHidden/>
          </w:rPr>
          <w:fldChar w:fldCharType="begin"/>
        </w:r>
        <w:r>
          <w:rPr>
            <w:noProof/>
            <w:webHidden/>
          </w:rPr>
          <w:instrText xml:space="preserve"> PAGEREF _Toc120532234 \h </w:instrText>
        </w:r>
        <w:r>
          <w:rPr>
            <w:noProof/>
            <w:webHidden/>
          </w:rPr>
        </w:r>
        <w:r>
          <w:rPr>
            <w:noProof/>
            <w:webHidden/>
          </w:rPr>
          <w:fldChar w:fldCharType="separate"/>
        </w:r>
        <w:r w:rsidR="001C7C2E">
          <w:rPr>
            <w:noProof/>
            <w:webHidden/>
          </w:rPr>
          <w:t>17</w:t>
        </w:r>
        <w:r>
          <w:rPr>
            <w:noProof/>
            <w:webHidden/>
          </w:rPr>
          <w:fldChar w:fldCharType="end"/>
        </w:r>
      </w:hyperlink>
    </w:p>
    <w:p w14:paraId="7F8DB94C" w14:textId="2DC00087" w:rsidR="00A22B1A" w:rsidRDefault="00A22B1A">
      <w:pPr>
        <w:pStyle w:val="TOC1"/>
        <w:rPr>
          <w:rFonts w:asciiTheme="minorHAnsi" w:hAnsiTheme="minorHAnsi"/>
          <w:noProof/>
        </w:rPr>
      </w:pPr>
      <w:hyperlink w:anchor="_Toc120532235" w:history="1">
        <w:r w:rsidRPr="00D662A5">
          <w:rPr>
            <w:rStyle w:val="Hyperlink"/>
            <w:noProof/>
          </w:rPr>
          <w:t>Chapter 3: Initial Annex A and Annex B persistent organic pollutants</w:t>
        </w:r>
        <w:r>
          <w:rPr>
            <w:noProof/>
            <w:webHidden/>
          </w:rPr>
          <w:tab/>
        </w:r>
        <w:r>
          <w:rPr>
            <w:noProof/>
            <w:webHidden/>
          </w:rPr>
          <w:fldChar w:fldCharType="begin"/>
        </w:r>
        <w:r>
          <w:rPr>
            <w:noProof/>
            <w:webHidden/>
          </w:rPr>
          <w:instrText xml:space="preserve"> PAGEREF _Toc120532235 \h </w:instrText>
        </w:r>
        <w:r>
          <w:rPr>
            <w:noProof/>
            <w:webHidden/>
          </w:rPr>
        </w:r>
        <w:r>
          <w:rPr>
            <w:noProof/>
            <w:webHidden/>
          </w:rPr>
          <w:fldChar w:fldCharType="separate"/>
        </w:r>
        <w:r w:rsidR="001C7C2E">
          <w:rPr>
            <w:noProof/>
            <w:webHidden/>
          </w:rPr>
          <w:t>25</w:t>
        </w:r>
        <w:r>
          <w:rPr>
            <w:noProof/>
            <w:webHidden/>
          </w:rPr>
          <w:fldChar w:fldCharType="end"/>
        </w:r>
      </w:hyperlink>
    </w:p>
    <w:p w14:paraId="7B0A9C41" w14:textId="06C363A1" w:rsidR="00A22B1A" w:rsidRDefault="00A22B1A">
      <w:pPr>
        <w:pStyle w:val="TOC2"/>
        <w:tabs>
          <w:tab w:val="left" w:pos="1134"/>
        </w:tabs>
        <w:rPr>
          <w:rFonts w:asciiTheme="minorHAnsi" w:hAnsiTheme="minorHAnsi"/>
          <w:noProof/>
        </w:rPr>
      </w:pPr>
      <w:hyperlink w:anchor="_Toc120532236" w:history="1">
        <w:r w:rsidRPr="00D662A5">
          <w:rPr>
            <w:rStyle w:val="Hyperlink"/>
            <w:noProof/>
          </w:rPr>
          <w:t xml:space="preserve">3.1 </w:t>
        </w:r>
        <w:r>
          <w:rPr>
            <w:rFonts w:asciiTheme="minorHAnsi" w:hAnsiTheme="minorHAnsi"/>
            <w:noProof/>
          </w:rPr>
          <w:tab/>
        </w:r>
        <w:r w:rsidRPr="00D662A5">
          <w:rPr>
            <w:rStyle w:val="Hyperlink"/>
            <w:noProof/>
          </w:rPr>
          <w:t>Convention obligations</w:t>
        </w:r>
        <w:r>
          <w:rPr>
            <w:noProof/>
            <w:webHidden/>
          </w:rPr>
          <w:tab/>
        </w:r>
        <w:r>
          <w:rPr>
            <w:noProof/>
            <w:webHidden/>
          </w:rPr>
          <w:fldChar w:fldCharType="begin"/>
        </w:r>
        <w:r>
          <w:rPr>
            <w:noProof/>
            <w:webHidden/>
          </w:rPr>
          <w:instrText xml:space="preserve"> PAGEREF _Toc120532236 \h </w:instrText>
        </w:r>
        <w:r>
          <w:rPr>
            <w:noProof/>
            <w:webHidden/>
          </w:rPr>
        </w:r>
        <w:r>
          <w:rPr>
            <w:noProof/>
            <w:webHidden/>
          </w:rPr>
          <w:fldChar w:fldCharType="separate"/>
        </w:r>
        <w:r w:rsidR="001C7C2E">
          <w:rPr>
            <w:noProof/>
            <w:webHidden/>
          </w:rPr>
          <w:t>25</w:t>
        </w:r>
        <w:r>
          <w:rPr>
            <w:noProof/>
            <w:webHidden/>
          </w:rPr>
          <w:fldChar w:fldCharType="end"/>
        </w:r>
      </w:hyperlink>
    </w:p>
    <w:p w14:paraId="61196F5C" w14:textId="59DD48FD" w:rsidR="00A22B1A" w:rsidRDefault="00A22B1A">
      <w:pPr>
        <w:pStyle w:val="TOC2"/>
        <w:tabs>
          <w:tab w:val="left" w:pos="1134"/>
        </w:tabs>
        <w:rPr>
          <w:rFonts w:asciiTheme="minorHAnsi" w:hAnsiTheme="minorHAnsi"/>
          <w:noProof/>
        </w:rPr>
      </w:pPr>
      <w:hyperlink w:anchor="_Toc120532237" w:history="1">
        <w:r w:rsidRPr="00D662A5">
          <w:rPr>
            <w:rStyle w:val="Hyperlink"/>
            <w:noProof/>
          </w:rPr>
          <w:t xml:space="preserve">3.2 </w:t>
        </w:r>
        <w:r>
          <w:rPr>
            <w:rFonts w:asciiTheme="minorHAnsi" w:hAnsiTheme="minorHAnsi"/>
            <w:noProof/>
          </w:rPr>
          <w:tab/>
        </w:r>
        <w:r w:rsidRPr="00D662A5">
          <w:rPr>
            <w:rStyle w:val="Hyperlink"/>
            <w:noProof/>
          </w:rPr>
          <w:t>Initial persistent organic pollutants</w:t>
        </w:r>
        <w:r>
          <w:rPr>
            <w:noProof/>
            <w:webHidden/>
          </w:rPr>
          <w:tab/>
        </w:r>
        <w:r>
          <w:rPr>
            <w:noProof/>
            <w:webHidden/>
          </w:rPr>
          <w:fldChar w:fldCharType="begin"/>
        </w:r>
        <w:r>
          <w:rPr>
            <w:noProof/>
            <w:webHidden/>
          </w:rPr>
          <w:instrText xml:space="preserve"> PAGEREF _Toc120532237 \h </w:instrText>
        </w:r>
        <w:r>
          <w:rPr>
            <w:noProof/>
            <w:webHidden/>
          </w:rPr>
        </w:r>
        <w:r>
          <w:rPr>
            <w:noProof/>
            <w:webHidden/>
          </w:rPr>
          <w:fldChar w:fldCharType="separate"/>
        </w:r>
        <w:r w:rsidR="001C7C2E">
          <w:rPr>
            <w:noProof/>
            <w:webHidden/>
          </w:rPr>
          <w:t>25</w:t>
        </w:r>
        <w:r>
          <w:rPr>
            <w:noProof/>
            <w:webHidden/>
          </w:rPr>
          <w:fldChar w:fldCharType="end"/>
        </w:r>
      </w:hyperlink>
    </w:p>
    <w:p w14:paraId="27D1FF1B" w14:textId="2DE18ED9" w:rsidR="00A22B1A" w:rsidRDefault="00A22B1A">
      <w:pPr>
        <w:pStyle w:val="TOC2"/>
        <w:tabs>
          <w:tab w:val="left" w:pos="1134"/>
        </w:tabs>
        <w:rPr>
          <w:rFonts w:asciiTheme="minorHAnsi" w:hAnsiTheme="minorHAnsi"/>
          <w:noProof/>
        </w:rPr>
      </w:pPr>
      <w:hyperlink w:anchor="_Toc120532238" w:history="1">
        <w:r w:rsidRPr="00D662A5">
          <w:rPr>
            <w:rStyle w:val="Hyperlink"/>
            <w:noProof/>
          </w:rPr>
          <w:t xml:space="preserve">3.3 </w:t>
        </w:r>
        <w:r>
          <w:rPr>
            <w:rFonts w:asciiTheme="minorHAnsi" w:hAnsiTheme="minorHAnsi"/>
            <w:noProof/>
          </w:rPr>
          <w:tab/>
        </w:r>
        <w:r w:rsidRPr="00D662A5">
          <w:rPr>
            <w:rStyle w:val="Hyperlink"/>
            <w:noProof/>
          </w:rPr>
          <w:t>Progress since previous National Implementation Plans</w:t>
        </w:r>
        <w:r>
          <w:rPr>
            <w:noProof/>
            <w:webHidden/>
          </w:rPr>
          <w:tab/>
        </w:r>
        <w:r>
          <w:rPr>
            <w:noProof/>
            <w:webHidden/>
          </w:rPr>
          <w:fldChar w:fldCharType="begin"/>
        </w:r>
        <w:r>
          <w:rPr>
            <w:noProof/>
            <w:webHidden/>
          </w:rPr>
          <w:instrText xml:space="preserve"> PAGEREF _Toc120532238 \h </w:instrText>
        </w:r>
        <w:r>
          <w:rPr>
            <w:noProof/>
            <w:webHidden/>
          </w:rPr>
        </w:r>
        <w:r>
          <w:rPr>
            <w:noProof/>
            <w:webHidden/>
          </w:rPr>
          <w:fldChar w:fldCharType="separate"/>
        </w:r>
        <w:r w:rsidR="001C7C2E">
          <w:rPr>
            <w:noProof/>
            <w:webHidden/>
          </w:rPr>
          <w:t>27</w:t>
        </w:r>
        <w:r>
          <w:rPr>
            <w:noProof/>
            <w:webHidden/>
          </w:rPr>
          <w:fldChar w:fldCharType="end"/>
        </w:r>
      </w:hyperlink>
    </w:p>
    <w:p w14:paraId="3E346AC0" w14:textId="3530B466" w:rsidR="00A22B1A" w:rsidRDefault="00A22B1A">
      <w:pPr>
        <w:pStyle w:val="TOC1"/>
        <w:rPr>
          <w:rFonts w:asciiTheme="minorHAnsi" w:hAnsiTheme="minorHAnsi"/>
          <w:noProof/>
        </w:rPr>
      </w:pPr>
      <w:hyperlink w:anchor="_Toc120532239" w:history="1">
        <w:r w:rsidRPr="00D662A5">
          <w:rPr>
            <w:rStyle w:val="Hyperlink"/>
            <w:noProof/>
          </w:rPr>
          <w:t>Chapter 4: New Annex A and Annex B persistent organic pollutants</w:t>
        </w:r>
        <w:r>
          <w:rPr>
            <w:noProof/>
            <w:webHidden/>
          </w:rPr>
          <w:tab/>
        </w:r>
        <w:r>
          <w:rPr>
            <w:noProof/>
            <w:webHidden/>
          </w:rPr>
          <w:fldChar w:fldCharType="begin"/>
        </w:r>
        <w:r>
          <w:rPr>
            <w:noProof/>
            <w:webHidden/>
          </w:rPr>
          <w:instrText xml:space="preserve"> PAGEREF _Toc120532239 \h </w:instrText>
        </w:r>
        <w:r>
          <w:rPr>
            <w:noProof/>
            <w:webHidden/>
          </w:rPr>
        </w:r>
        <w:r>
          <w:rPr>
            <w:noProof/>
            <w:webHidden/>
          </w:rPr>
          <w:fldChar w:fldCharType="separate"/>
        </w:r>
        <w:r w:rsidR="001C7C2E">
          <w:rPr>
            <w:noProof/>
            <w:webHidden/>
          </w:rPr>
          <w:t>29</w:t>
        </w:r>
        <w:r>
          <w:rPr>
            <w:noProof/>
            <w:webHidden/>
          </w:rPr>
          <w:fldChar w:fldCharType="end"/>
        </w:r>
      </w:hyperlink>
    </w:p>
    <w:p w14:paraId="7BF02D93" w14:textId="22F42F21" w:rsidR="00A22B1A" w:rsidRDefault="00A22B1A">
      <w:pPr>
        <w:pStyle w:val="TOC2"/>
        <w:tabs>
          <w:tab w:val="left" w:pos="1134"/>
        </w:tabs>
        <w:rPr>
          <w:rFonts w:asciiTheme="minorHAnsi" w:hAnsiTheme="minorHAnsi"/>
          <w:noProof/>
        </w:rPr>
      </w:pPr>
      <w:hyperlink w:anchor="_Toc120532240" w:history="1">
        <w:r w:rsidRPr="00D662A5">
          <w:rPr>
            <w:rStyle w:val="Hyperlink"/>
            <w:noProof/>
          </w:rPr>
          <w:t xml:space="preserve">4.1 </w:t>
        </w:r>
        <w:r>
          <w:rPr>
            <w:rFonts w:asciiTheme="minorHAnsi" w:hAnsiTheme="minorHAnsi"/>
            <w:noProof/>
          </w:rPr>
          <w:tab/>
        </w:r>
        <w:r w:rsidRPr="00D662A5">
          <w:rPr>
            <w:rStyle w:val="Hyperlink"/>
            <w:noProof/>
          </w:rPr>
          <w:t>Convention obligations</w:t>
        </w:r>
        <w:r>
          <w:rPr>
            <w:noProof/>
            <w:webHidden/>
          </w:rPr>
          <w:tab/>
        </w:r>
        <w:r>
          <w:rPr>
            <w:noProof/>
            <w:webHidden/>
          </w:rPr>
          <w:fldChar w:fldCharType="begin"/>
        </w:r>
        <w:r>
          <w:rPr>
            <w:noProof/>
            <w:webHidden/>
          </w:rPr>
          <w:instrText xml:space="preserve"> PAGEREF _Toc120532240 \h </w:instrText>
        </w:r>
        <w:r>
          <w:rPr>
            <w:noProof/>
            <w:webHidden/>
          </w:rPr>
        </w:r>
        <w:r>
          <w:rPr>
            <w:noProof/>
            <w:webHidden/>
          </w:rPr>
          <w:fldChar w:fldCharType="separate"/>
        </w:r>
        <w:r w:rsidR="001C7C2E">
          <w:rPr>
            <w:noProof/>
            <w:webHidden/>
          </w:rPr>
          <w:t>29</w:t>
        </w:r>
        <w:r>
          <w:rPr>
            <w:noProof/>
            <w:webHidden/>
          </w:rPr>
          <w:fldChar w:fldCharType="end"/>
        </w:r>
      </w:hyperlink>
    </w:p>
    <w:p w14:paraId="48115AD6" w14:textId="592976A0" w:rsidR="00A22B1A" w:rsidRDefault="00A22B1A">
      <w:pPr>
        <w:pStyle w:val="TOC2"/>
        <w:tabs>
          <w:tab w:val="left" w:pos="1134"/>
        </w:tabs>
        <w:rPr>
          <w:rFonts w:asciiTheme="minorHAnsi" w:hAnsiTheme="minorHAnsi"/>
          <w:noProof/>
        </w:rPr>
      </w:pPr>
      <w:hyperlink w:anchor="_Toc120532241" w:history="1">
        <w:r w:rsidRPr="00D662A5">
          <w:rPr>
            <w:rStyle w:val="Hyperlink"/>
            <w:noProof/>
          </w:rPr>
          <w:t xml:space="preserve">4.2 </w:t>
        </w:r>
        <w:r>
          <w:rPr>
            <w:rFonts w:asciiTheme="minorHAnsi" w:hAnsiTheme="minorHAnsi"/>
            <w:noProof/>
          </w:rPr>
          <w:tab/>
        </w:r>
        <w:r w:rsidRPr="00D662A5">
          <w:rPr>
            <w:rStyle w:val="Hyperlink"/>
            <w:noProof/>
          </w:rPr>
          <w:t>New persistent organic pollutants</w:t>
        </w:r>
        <w:r>
          <w:rPr>
            <w:noProof/>
            <w:webHidden/>
          </w:rPr>
          <w:tab/>
        </w:r>
        <w:r>
          <w:rPr>
            <w:noProof/>
            <w:webHidden/>
          </w:rPr>
          <w:fldChar w:fldCharType="begin"/>
        </w:r>
        <w:r>
          <w:rPr>
            <w:noProof/>
            <w:webHidden/>
          </w:rPr>
          <w:instrText xml:space="preserve"> PAGEREF _Toc120532241 \h </w:instrText>
        </w:r>
        <w:r>
          <w:rPr>
            <w:noProof/>
            <w:webHidden/>
          </w:rPr>
        </w:r>
        <w:r>
          <w:rPr>
            <w:noProof/>
            <w:webHidden/>
          </w:rPr>
          <w:fldChar w:fldCharType="separate"/>
        </w:r>
        <w:r w:rsidR="001C7C2E">
          <w:rPr>
            <w:noProof/>
            <w:webHidden/>
          </w:rPr>
          <w:t>29</w:t>
        </w:r>
        <w:r>
          <w:rPr>
            <w:noProof/>
            <w:webHidden/>
          </w:rPr>
          <w:fldChar w:fldCharType="end"/>
        </w:r>
      </w:hyperlink>
    </w:p>
    <w:p w14:paraId="5CD69616" w14:textId="1736DAE7" w:rsidR="00A22B1A" w:rsidRDefault="00A22B1A">
      <w:pPr>
        <w:pStyle w:val="TOC2"/>
        <w:tabs>
          <w:tab w:val="left" w:pos="1134"/>
        </w:tabs>
        <w:rPr>
          <w:rFonts w:asciiTheme="minorHAnsi" w:hAnsiTheme="minorHAnsi"/>
          <w:noProof/>
        </w:rPr>
      </w:pPr>
      <w:hyperlink w:anchor="_Toc120532242" w:history="1">
        <w:r w:rsidRPr="00D662A5">
          <w:rPr>
            <w:rStyle w:val="Hyperlink"/>
            <w:noProof/>
          </w:rPr>
          <w:t xml:space="preserve">4.3 </w:t>
        </w:r>
        <w:r>
          <w:rPr>
            <w:rFonts w:asciiTheme="minorHAnsi" w:hAnsiTheme="minorHAnsi"/>
            <w:noProof/>
          </w:rPr>
          <w:tab/>
        </w:r>
        <w:r w:rsidRPr="00D662A5">
          <w:rPr>
            <w:rStyle w:val="Hyperlink"/>
            <w:noProof/>
          </w:rPr>
          <w:t>Overview of regulatory controls</w:t>
        </w:r>
        <w:r>
          <w:rPr>
            <w:noProof/>
            <w:webHidden/>
          </w:rPr>
          <w:tab/>
        </w:r>
        <w:r>
          <w:rPr>
            <w:noProof/>
            <w:webHidden/>
          </w:rPr>
          <w:fldChar w:fldCharType="begin"/>
        </w:r>
        <w:r>
          <w:rPr>
            <w:noProof/>
            <w:webHidden/>
          </w:rPr>
          <w:instrText xml:space="preserve"> PAGEREF _Toc120532242 \h </w:instrText>
        </w:r>
        <w:r>
          <w:rPr>
            <w:noProof/>
            <w:webHidden/>
          </w:rPr>
        </w:r>
        <w:r>
          <w:rPr>
            <w:noProof/>
            <w:webHidden/>
          </w:rPr>
          <w:fldChar w:fldCharType="separate"/>
        </w:r>
        <w:r w:rsidR="001C7C2E">
          <w:rPr>
            <w:noProof/>
            <w:webHidden/>
          </w:rPr>
          <w:t>32</w:t>
        </w:r>
        <w:r>
          <w:rPr>
            <w:noProof/>
            <w:webHidden/>
          </w:rPr>
          <w:fldChar w:fldCharType="end"/>
        </w:r>
      </w:hyperlink>
    </w:p>
    <w:p w14:paraId="2F48BBBC" w14:textId="64B0D92F" w:rsidR="00A22B1A" w:rsidRDefault="00A22B1A">
      <w:pPr>
        <w:pStyle w:val="TOC2"/>
        <w:tabs>
          <w:tab w:val="left" w:pos="1134"/>
        </w:tabs>
        <w:rPr>
          <w:rFonts w:asciiTheme="minorHAnsi" w:hAnsiTheme="minorHAnsi"/>
          <w:noProof/>
        </w:rPr>
      </w:pPr>
      <w:hyperlink w:anchor="_Toc120532243" w:history="1">
        <w:r w:rsidRPr="00D662A5">
          <w:rPr>
            <w:rStyle w:val="Hyperlink"/>
            <w:rFonts w:cs="Arial"/>
            <w:noProof/>
          </w:rPr>
          <w:t xml:space="preserve">4.4 </w:t>
        </w:r>
        <w:r>
          <w:rPr>
            <w:rFonts w:asciiTheme="minorHAnsi" w:hAnsiTheme="minorHAnsi"/>
            <w:noProof/>
          </w:rPr>
          <w:tab/>
        </w:r>
        <w:r w:rsidRPr="00D662A5">
          <w:rPr>
            <w:rStyle w:val="Hyperlink"/>
            <w:rFonts w:cs="Arial"/>
            <w:noProof/>
          </w:rPr>
          <w:t>Eliminating releases from intentional production and use</w:t>
        </w:r>
        <w:r>
          <w:rPr>
            <w:noProof/>
            <w:webHidden/>
          </w:rPr>
          <w:tab/>
        </w:r>
        <w:r>
          <w:rPr>
            <w:noProof/>
            <w:webHidden/>
          </w:rPr>
          <w:fldChar w:fldCharType="begin"/>
        </w:r>
        <w:r>
          <w:rPr>
            <w:noProof/>
            <w:webHidden/>
          </w:rPr>
          <w:instrText xml:space="preserve"> PAGEREF _Toc120532243 \h </w:instrText>
        </w:r>
        <w:r>
          <w:rPr>
            <w:noProof/>
            <w:webHidden/>
          </w:rPr>
        </w:r>
        <w:r>
          <w:rPr>
            <w:noProof/>
            <w:webHidden/>
          </w:rPr>
          <w:fldChar w:fldCharType="separate"/>
        </w:r>
        <w:r w:rsidR="001C7C2E">
          <w:rPr>
            <w:noProof/>
            <w:webHidden/>
          </w:rPr>
          <w:t>32</w:t>
        </w:r>
        <w:r>
          <w:rPr>
            <w:noProof/>
            <w:webHidden/>
          </w:rPr>
          <w:fldChar w:fldCharType="end"/>
        </w:r>
      </w:hyperlink>
    </w:p>
    <w:p w14:paraId="1456EACC" w14:textId="6D17433E" w:rsidR="00A22B1A" w:rsidRDefault="00A22B1A">
      <w:pPr>
        <w:pStyle w:val="TOC1"/>
        <w:rPr>
          <w:rFonts w:asciiTheme="minorHAnsi" w:hAnsiTheme="minorHAnsi"/>
          <w:noProof/>
        </w:rPr>
      </w:pPr>
      <w:hyperlink w:anchor="_Toc120532244" w:history="1">
        <w:r w:rsidRPr="00D662A5">
          <w:rPr>
            <w:rStyle w:val="Hyperlink"/>
            <w:rFonts w:eastAsiaTheme="minorHAnsi"/>
            <w:noProof/>
          </w:rPr>
          <w:t xml:space="preserve">Chapter 5: New Zealand implementation of the Stockholm Convention: Part 3 Annex C </w:t>
        </w:r>
        <w:r w:rsidRPr="00D662A5">
          <w:rPr>
            <w:rStyle w:val="Hyperlink"/>
            <w:noProof/>
          </w:rPr>
          <w:t>persistent organic pollutants</w:t>
        </w:r>
        <w:r>
          <w:rPr>
            <w:noProof/>
            <w:webHidden/>
          </w:rPr>
          <w:tab/>
        </w:r>
        <w:r>
          <w:rPr>
            <w:noProof/>
            <w:webHidden/>
          </w:rPr>
          <w:fldChar w:fldCharType="begin"/>
        </w:r>
        <w:r>
          <w:rPr>
            <w:noProof/>
            <w:webHidden/>
          </w:rPr>
          <w:instrText xml:space="preserve"> PAGEREF _Toc120532244 \h </w:instrText>
        </w:r>
        <w:r>
          <w:rPr>
            <w:noProof/>
            <w:webHidden/>
          </w:rPr>
        </w:r>
        <w:r>
          <w:rPr>
            <w:noProof/>
            <w:webHidden/>
          </w:rPr>
          <w:fldChar w:fldCharType="separate"/>
        </w:r>
        <w:r w:rsidR="001C7C2E">
          <w:rPr>
            <w:noProof/>
            <w:webHidden/>
          </w:rPr>
          <w:t>50</w:t>
        </w:r>
        <w:r>
          <w:rPr>
            <w:noProof/>
            <w:webHidden/>
          </w:rPr>
          <w:fldChar w:fldCharType="end"/>
        </w:r>
      </w:hyperlink>
    </w:p>
    <w:p w14:paraId="657A633B" w14:textId="120F2D49" w:rsidR="00A22B1A" w:rsidRDefault="00A22B1A">
      <w:pPr>
        <w:pStyle w:val="TOC2"/>
        <w:tabs>
          <w:tab w:val="left" w:pos="1134"/>
        </w:tabs>
        <w:rPr>
          <w:rFonts w:asciiTheme="minorHAnsi" w:hAnsiTheme="minorHAnsi"/>
          <w:noProof/>
        </w:rPr>
      </w:pPr>
      <w:hyperlink w:anchor="_Toc120532245" w:history="1">
        <w:r w:rsidRPr="00D662A5">
          <w:rPr>
            <w:rStyle w:val="Hyperlink"/>
            <w:rFonts w:eastAsiaTheme="minorHAnsi"/>
            <w:noProof/>
          </w:rPr>
          <w:t xml:space="preserve">5.1 </w:t>
        </w:r>
        <w:r>
          <w:rPr>
            <w:rFonts w:asciiTheme="minorHAnsi" w:hAnsiTheme="minorHAnsi"/>
            <w:noProof/>
          </w:rPr>
          <w:tab/>
        </w:r>
        <w:r w:rsidRPr="00D662A5">
          <w:rPr>
            <w:rStyle w:val="Hyperlink"/>
            <w:rFonts w:eastAsiaTheme="minorHAnsi"/>
            <w:noProof/>
          </w:rPr>
          <w:t>Convention obligations</w:t>
        </w:r>
        <w:r>
          <w:rPr>
            <w:noProof/>
            <w:webHidden/>
          </w:rPr>
          <w:tab/>
        </w:r>
        <w:r>
          <w:rPr>
            <w:noProof/>
            <w:webHidden/>
          </w:rPr>
          <w:fldChar w:fldCharType="begin"/>
        </w:r>
        <w:r>
          <w:rPr>
            <w:noProof/>
            <w:webHidden/>
          </w:rPr>
          <w:instrText xml:space="preserve"> PAGEREF _Toc120532245 \h </w:instrText>
        </w:r>
        <w:r>
          <w:rPr>
            <w:noProof/>
            <w:webHidden/>
          </w:rPr>
        </w:r>
        <w:r>
          <w:rPr>
            <w:noProof/>
            <w:webHidden/>
          </w:rPr>
          <w:fldChar w:fldCharType="separate"/>
        </w:r>
        <w:r w:rsidR="001C7C2E">
          <w:rPr>
            <w:noProof/>
            <w:webHidden/>
          </w:rPr>
          <w:t>50</w:t>
        </w:r>
        <w:r>
          <w:rPr>
            <w:noProof/>
            <w:webHidden/>
          </w:rPr>
          <w:fldChar w:fldCharType="end"/>
        </w:r>
      </w:hyperlink>
    </w:p>
    <w:p w14:paraId="233DC772" w14:textId="6BE79FBE" w:rsidR="00A22B1A" w:rsidRDefault="00A22B1A">
      <w:pPr>
        <w:pStyle w:val="TOC2"/>
        <w:tabs>
          <w:tab w:val="left" w:pos="1134"/>
        </w:tabs>
        <w:rPr>
          <w:rFonts w:asciiTheme="minorHAnsi" w:hAnsiTheme="minorHAnsi"/>
          <w:noProof/>
        </w:rPr>
      </w:pPr>
      <w:hyperlink w:anchor="_Toc120532246" w:history="1">
        <w:r w:rsidRPr="00D662A5">
          <w:rPr>
            <w:rStyle w:val="Hyperlink"/>
            <w:noProof/>
          </w:rPr>
          <w:t xml:space="preserve">5.2 </w:t>
        </w:r>
        <w:r>
          <w:rPr>
            <w:rFonts w:asciiTheme="minorHAnsi" w:hAnsiTheme="minorHAnsi"/>
            <w:noProof/>
          </w:rPr>
          <w:tab/>
        </w:r>
        <w:r w:rsidRPr="00D662A5">
          <w:rPr>
            <w:rStyle w:val="Hyperlink"/>
            <w:noProof/>
          </w:rPr>
          <w:t>Annex C persistent organic pollutants</w:t>
        </w:r>
        <w:r>
          <w:rPr>
            <w:noProof/>
            <w:webHidden/>
          </w:rPr>
          <w:tab/>
        </w:r>
        <w:r>
          <w:rPr>
            <w:noProof/>
            <w:webHidden/>
          </w:rPr>
          <w:fldChar w:fldCharType="begin"/>
        </w:r>
        <w:r>
          <w:rPr>
            <w:noProof/>
            <w:webHidden/>
          </w:rPr>
          <w:instrText xml:space="preserve"> PAGEREF _Toc120532246 \h </w:instrText>
        </w:r>
        <w:r>
          <w:rPr>
            <w:noProof/>
            <w:webHidden/>
          </w:rPr>
        </w:r>
        <w:r>
          <w:rPr>
            <w:noProof/>
            <w:webHidden/>
          </w:rPr>
          <w:fldChar w:fldCharType="separate"/>
        </w:r>
        <w:r w:rsidR="001C7C2E">
          <w:rPr>
            <w:noProof/>
            <w:webHidden/>
          </w:rPr>
          <w:t>50</w:t>
        </w:r>
        <w:r>
          <w:rPr>
            <w:noProof/>
            <w:webHidden/>
          </w:rPr>
          <w:fldChar w:fldCharType="end"/>
        </w:r>
      </w:hyperlink>
    </w:p>
    <w:p w14:paraId="1419214E" w14:textId="7AD714C3" w:rsidR="00A22B1A" w:rsidRDefault="00A22B1A">
      <w:pPr>
        <w:pStyle w:val="TOC2"/>
        <w:tabs>
          <w:tab w:val="left" w:pos="1134"/>
        </w:tabs>
        <w:rPr>
          <w:rFonts w:asciiTheme="minorHAnsi" w:hAnsiTheme="minorHAnsi"/>
          <w:noProof/>
        </w:rPr>
      </w:pPr>
      <w:hyperlink w:anchor="_Toc120532247" w:history="1">
        <w:r w:rsidRPr="00D662A5">
          <w:rPr>
            <w:rStyle w:val="Hyperlink"/>
            <w:noProof/>
          </w:rPr>
          <w:t xml:space="preserve">5.3 </w:t>
        </w:r>
        <w:r>
          <w:rPr>
            <w:rFonts w:asciiTheme="minorHAnsi" w:hAnsiTheme="minorHAnsi"/>
            <w:noProof/>
          </w:rPr>
          <w:tab/>
        </w:r>
        <w:r w:rsidRPr="00D662A5">
          <w:rPr>
            <w:rStyle w:val="Hyperlink"/>
            <w:noProof/>
          </w:rPr>
          <w:t>Progress since National Implementation Plan 1</w:t>
        </w:r>
        <w:r>
          <w:rPr>
            <w:noProof/>
            <w:webHidden/>
          </w:rPr>
          <w:tab/>
        </w:r>
        <w:r>
          <w:rPr>
            <w:noProof/>
            <w:webHidden/>
          </w:rPr>
          <w:fldChar w:fldCharType="begin"/>
        </w:r>
        <w:r>
          <w:rPr>
            <w:noProof/>
            <w:webHidden/>
          </w:rPr>
          <w:instrText xml:space="preserve"> PAGEREF _Toc120532247 \h </w:instrText>
        </w:r>
        <w:r>
          <w:rPr>
            <w:noProof/>
            <w:webHidden/>
          </w:rPr>
        </w:r>
        <w:r>
          <w:rPr>
            <w:noProof/>
            <w:webHidden/>
          </w:rPr>
          <w:fldChar w:fldCharType="separate"/>
        </w:r>
        <w:r w:rsidR="001C7C2E">
          <w:rPr>
            <w:noProof/>
            <w:webHidden/>
          </w:rPr>
          <w:t>50</w:t>
        </w:r>
        <w:r>
          <w:rPr>
            <w:noProof/>
            <w:webHidden/>
          </w:rPr>
          <w:fldChar w:fldCharType="end"/>
        </w:r>
      </w:hyperlink>
    </w:p>
    <w:p w14:paraId="231F6C5A" w14:textId="6721B94B" w:rsidR="00A22B1A" w:rsidRDefault="00A22B1A">
      <w:pPr>
        <w:pStyle w:val="TOC1"/>
        <w:rPr>
          <w:rFonts w:asciiTheme="minorHAnsi" w:hAnsiTheme="minorHAnsi"/>
          <w:noProof/>
        </w:rPr>
      </w:pPr>
      <w:hyperlink w:anchor="_Toc120532248" w:history="1">
        <w:r w:rsidRPr="00D662A5">
          <w:rPr>
            <w:rStyle w:val="Hyperlink"/>
            <w:noProof/>
          </w:rPr>
          <w:t>Chapter 6: Stockpiles, waste disposal and contaminated sites</w:t>
        </w:r>
        <w:r>
          <w:rPr>
            <w:noProof/>
            <w:webHidden/>
          </w:rPr>
          <w:tab/>
        </w:r>
        <w:r>
          <w:rPr>
            <w:noProof/>
            <w:webHidden/>
          </w:rPr>
          <w:fldChar w:fldCharType="begin"/>
        </w:r>
        <w:r>
          <w:rPr>
            <w:noProof/>
            <w:webHidden/>
          </w:rPr>
          <w:instrText xml:space="preserve"> PAGEREF _Toc120532248 \h </w:instrText>
        </w:r>
        <w:r>
          <w:rPr>
            <w:noProof/>
            <w:webHidden/>
          </w:rPr>
        </w:r>
        <w:r>
          <w:rPr>
            <w:noProof/>
            <w:webHidden/>
          </w:rPr>
          <w:fldChar w:fldCharType="separate"/>
        </w:r>
        <w:r w:rsidR="001C7C2E">
          <w:rPr>
            <w:noProof/>
            <w:webHidden/>
          </w:rPr>
          <w:t>57</w:t>
        </w:r>
        <w:r>
          <w:rPr>
            <w:noProof/>
            <w:webHidden/>
          </w:rPr>
          <w:fldChar w:fldCharType="end"/>
        </w:r>
      </w:hyperlink>
    </w:p>
    <w:p w14:paraId="078C8952" w14:textId="7143205F" w:rsidR="00A22B1A" w:rsidRDefault="00A22B1A">
      <w:pPr>
        <w:pStyle w:val="TOC2"/>
        <w:tabs>
          <w:tab w:val="left" w:pos="1134"/>
        </w:tabs>
        <w:rPr>
          <w:rFonts w:asciiTheme="minorHAnsi" w:hAnsiTheme="minorHAnsi"/>
          <w:noProof/>
        </w:rPr>
      </w:pPr>
      <w:hyperlink w:anchor="_Toc120532249" w:history="1">
        <w:r w:rsidRPr="00D662A5">
          <w:rPr>
            <w:rStyle w:val="Hyperlink"/>
            <w:noProof/>
          </w:rPr>
          <w:t xml:space="preserve">6.1 </w:t>
        </w:r>
        <w:r>
          <w:rPr>
            <w:rFonts w:asciiTheme="minorHAnsi" w:hAnsiTheme="minorHAnsi"/>
            <w:noProof/>
          </w:rPr>
          <w:tab/>
        </w:r>
        <w:r w:rsidRPr="00D662A5">
          <w:rPr>
            <w:rStyle w:val="Hyperlink"/>
            <w:noProof/>
          </w:rPr>
          <w:t>Convention obligations</w:t>
        </w:r>
        <w:r>
          <w:rPr>
            <w:noProof/>
            <w:webHidden/>
          </w:rPr>
          <w:tab/>
        </w:r>
        <w:r>
          <w:rPr>
            <w:noProof/>
            <w:webHidden/>
          </w:rPr>
          <w:fldChar w:fldCharType="begin"/>
        </w:r>
        <w:r>
          <w:rPr>
            <w:noProof/>
            <w:webHidden/>
          </w:rPr>
          <w:instrText xml:space="preserve"> PAGEREF _Toc120532249 \h </w:instrText>
        </w:r>
        <w:r>
          <w:rPr>
            <w:noProof/>
            <w:webHidden/>
          </w:rPr>
        </w:r>
        <w:r>
          <w:rPr>
            <w:noProof/>
            <w:webHidden/>
          </w:rPr>
          <w:fldChar w:fldCharType="separate"/>
        </w:r>
        <w:r w:rsidR="001C7C2E">
          <w:rPr>
            <w:noProof/>
            <w:webHidden/>
          </w:rPr>
          <w:t>57</w:t>
        </w:r>
        <w:r>
          <w:rPr>
            <w:noProof/>
            <w:webHidden/>
          </w:rPr>
          <w:fldChar w:fldCharType="end"/>
        </w:r>
      </w:hyperlink>
    </w:p>
    <w:p w14:paraId="357CD359" w14:textId="57D6B1DB" w:rsidR="00A22B1A" w:rsidRDefault="00A22B1A">
      <w:pPr>
        <w:pStyle w:val="TOC2"/>
        <w:tabs>
          <w:tab w:val="left" w:pos="1134"/>
        </w:tabs>
        <w:rPr>
          <w:rFonts w:asciiTheme="minorHAnsi" w:hAnsiTheme="minorHAnsi"/>
          <w:noProof/>
        </w:rPr>
      </w:pPr>
      <w:hyperlink w:anchor="_Toc120532250" w:history="1">
        <w:r w:rsidRPr="00D662A5">
          <w:rPr>
            <w:rStyle w:val="Hyperlink"/>
            <w:noProof/>
          </w:rPr>
          <w:t xml:space="preserve">6.2 </w:t>
        </w:r>
        <w:r>
          <w:rPr>
            <w:rFonts w:asciiTheme="minorHAnsi" w:hAnsiTheme="minorHAnsi"/>
            <w:noProof/>
          </w:rPr>
          <w:tab/>
        </w:r>
        <w:r w:rsidRPr="00D662A5">
          <w:rPr>
            <w:rStyle w:val="Hyperlink"/>
            <w:noProof/>
          </w:rPr>
          <w:t>Stockpiles</w:t>
        </w:r>
        <w:r>
          <w:rPr>
            <w:noProof/>
            <w:webHidden/>
          </w:rPr>
          <w:tab/>
        </w:r>
        <w:r>
          <w:rPr>
            <w:noProof/>
            <w:webHidden/>
          </w:rPr>
          <w:fldChar w:fldCharType="begin"/>
        </w:r>
        <w:r>
          <w:rPr>
            <w:noProof/>
            <w:webHidden/>
          </w:rPr>
          <w:instrText xml:space="preserve"> PAGEREF _Toc120532250 \h </w:instrText>
        </w:r>
        <w:r>
          <w:rPr>
            <w:noProof/>
            <w:webHidden/>
          </w:rPr>
        </w:r>
        <w:r>
          <w:rPr>
            <w:noProof/>
            <w:webHidden/>
          </w:rPr>
          <w:fldChar w:fldCharType="separate"/>
        </w:r>
        <w:r w:rsidR="001C7C2E">
          <w:rPr>
            <w:noProof/>
            <w:webHidden/>
          </w:rPr>
          <w:t>57</w:t>
        </w:r>
        <w:r>
          <w:rPr>
            <w:noProof/>
            <w:webHidden/>
          </w:rPr>
          <w:fldChar w:fldCharType="end"/>
        </w:r>
      </w:hyperlink>
    </w:p>
    <w:p w14:paraId="10C4DEE4" w14:textId="492254ED" w:rsidR="00A22B1A" w:rsidRDefault="00A22B1A">
      <w:pPr>
        <w:pStyle w:val="TOC2"/>
        <w:tabs>
          <w:tab w:val="left" w:pos="1134"/>
        </w:tabs>
        <w:rPr>
          <w:rFonts w:asciiTheme="minorHAnsi" w:hAnsiTheme="minorHAnsi"/>
          <w:noProof/>
        </w:rPr>
      </w:pPr>
      <w:hyperlink w:anchor="_Toc120532251" w:history="1">
        <w:r w:rsidRPr="00D662A5">
          <w:rPr>
            <w:rStyle w:val="Hyperlink"/>
            <w:noProof/>
          </w:rPr>
          <w:t xml:space="preserve">6.3 </w:t>
        </w:r>
        <w:r>
          <w:rPr>
            <w:rFonts w:asciiTheme="minorHAnsi" w:hAnsiTheme="minorHAnsi"/>
            <w:noProof/>
          </w:rPr>
          <w:tab/>
        </w:r>
        <w:r w:rsidRPr="00D662A5">
          <w:rPr>
            <w:rStyle w:val="Hyperlink"/>
            <w:noProof/>
          </w:rPr>
          <w:t>Waste</w:t>
        </w:r>
        <w:r>
          <w:rPr>
            <w:noProof/>
            <w:webHidden/>
          </w:rPr>
          <w:tab/>
        </w:r>
        <w:r>
          <w:rPr>
            <w:noProof/>
            <w:webHidden/>
          </w:rPr>
          <w:fldChar w:fldCharType="begin"/>
        </w:r>
        <w:r>
          <w:rPr>
            <w:noProof/>
            <w:webHidden/>
          </w:rPr>
          <w:instrText xml:space="preserve"> PAGEREF _Toc120532251 \h </w:instrText>
        </w:r>
        <w:r>
          <w:rPr>
            <w:noProof/>
            <w:webHidden/>
          </w:rPr>
        </w:r>
        <w:r>
          <w:rPr>
            <w:noProof/>
            <w:webHidden/>
          </w:rPr>
          <w:fldChar w:fldCharType="separate"/>
        </w:r>
        <w:r w:rsidR="001C7C2E">
          <w:rPr>
            <w:noProof/>
            <w:webHidden/>
          </w:rPr>
          <w:t>58</w:t>
        </w:r>
        <w:r>
          <w:rPr>
            <w:noProof/>
            <w:webHidden/>
          </w:rPr>
          <w:fldChar w:fldCharType="end"/>
        </w:r>
      </w:hyperlink>
    </w:p>
    <w:p w14:paraId="6BA79755" w14:textId="18777226" w:rsidR="00A22B1A" w:rsidRDefault="00A22B1A">
      <w:pPr>
        <w:pStyle w:val="TOC2"/>
        <w:tabs>
          <w:tab w:val="left" w:pos="1134"/>
        </w:tabs>
        <w:rPr>
          <w:rFonts w:asciiTheme="minorHAnsi" w:hAnsiTheme="minorHAnsi"/>
          <w:noProof/>
        </w:rPr>
      </w:pPr>
      <w:hyperlink w:anchor="_Toc120532252" w:history="1">
        <w:r w:rsidRPr="00D662A5">
          <w:rPr>
            <w:rStyle w:val="Hyperlink"/>
            <w:noProof/>
          </w:rPr>
          <w:t xml:space="preserve">6.4 </w:t>
        </w:r>
        <w:r>
          <w:rPr>
            <w:rFonts w:asciiTheme="minorHAnsi" w:hAnsiTheme="minorHAnsi"/>
            <w:noProof/>
          </w:rPr>
          <w:tab/>
        </w:r>
        <w:r w:rsidRPr="00D662A5">
          <w:rPr>
            <w:rStyle w:val="Hyperlink"/>
            <w:noProof/>
          </w:rPr>
          <w:t>Contaminated land management</w:t>
        </w:r>
        <w:r>
          <w:rPr>
            <w:noProof/>
            <w:webHidden/>
          </w:rPr>
          <w:tab/>
        </w:r>
        <w:r>
          <w:rPr>
            <w:noProof/>
            <w:webHidden/>
          </w:rPr>
          <w:fldChar w:fldCharType="begin"/>
        </w:r>
        <w:r>
          <w:rPr>
            <w:noProof/>
            <w:webHidden/>
          </w:rPr>
          <w:instrText xml:space="preserve"> PAGEREF _Toc120532252 \h </w:instrText>
        </w:r>
        <w:r>
          <w:rPr>
            <w:noProof/>
            <w:webHidden/>
          </w:rPr>
        </w:r>
        <w:r>
          <w:rPr>
            <w:noProof/>
            <w:webHidden/>
          </w:rPr>
          <w:fldChar w:fldCharType="separate"/>
        </w:r>
        <w:r w:rsidR="001C7C2E">
          <w:rPr>
            <w:noProof/>
            <w:webHidden/>
          </w:rPr>
          <w:t>61</w:t>
        </w:r>
        <w:r>
          <w:rPr>
            <w:noProof/>
            <w:webHidden/>
          </w:rPr>
          <w:fldChar w:fldCharType="end"/>
        </w:r>
      </w:hyperlink>
    </w:p>
    <w:p w14:paraId="17659529" w14:textId="1FD36207" w:rsidR="00A22B1A" w:rsidRDefault="00A22B1A">
      <w:pPr>
        <w:pStyle w:val="TOC1"/>
        <w:rPr>
          <w:rFonts w:asciiTheme="minorHAnsi" w:hAnsiTheme="minorHAnsi"/>
          <w:noProof/>
        </w:rPr>
      </w:pPr>
      <w:hyperlink w:anchor="_Toc120532253" w:history="1">
        <w:r w:rsidRPr="00D662A5">
          <w:rPr>
            <w:rStyle w:val="Hyperlink"/>
            <w:noProof/>
          </w:rPr>
          <w:t>Chapter 7: Effectiveness of persistent organic pollutants management</w:t>
        </w:r>
        <w:r>
          <w:rPr>
            <w:noProof/>
            <w:webHidden/>
          </w:rPr>
          <w:tab/>
        </w:r>
        <w:r>
          <w:rPr>
            <w:noProof/>
            <w:webHidden/>
          </w:rPr>
          <w:fldChar w:fldCharType="begin"/>
        </w:r>
        <w:r>
          <w:rPr>
            <w:noProof/>
            <w:webHidden/>
          </w:rPr>
          <w:instrText xml:space="preserve"> PAGEREF _Toc120532253 \h </w:instrText>
        </w:r>
        <w:r>
          <w:rPr>
            <w:noProof/>
            <w:webHidden/>
          </w:rPr>
        </w:r>
        <w:r>
          <w:rPr>
            <w:noProof/>
            <w:webHidden/>
          </w:rPr>
          <w:fldChar w:fldCharType="separate"/>
        </w:r>
        <w:r w:rsidR="001C7C2E">
          <w:rPr>
            <w:noProof/>
            <w:webHidden/>
          </w:rPr>
          <w:t>69</w:t>
        </w:r>
        <w:r>
          <w:rPr>
            <w:noProof/>
            <w:webHidden/>
          </w:rPr>
          <w:fldChar w:fldCharType="end"/>
        </w:r>
      </w:hyperlink>
    </w:p>
    <w:p w14:paraId="2F181459" w14:textId="25E68C15" w:rsidR="00A22B1A" w:rsidRDefault="00A22B1A">
      <w:pPr>
        <w:pStyle w:val="TOC2"/>
        <w:tabs>
          <w:tab w:val="left" w:pos="1134"/>
        </w:tabs>
        <w:rPr>
          <w:rFonts w:asciiTheme="minorHAnsi" w:hAnsiTheme="minorHAnsi"/>
          <w:noProof/>
        </w:rPr>
      </w:pPr>
      <w:hyperlink w:anchor="_Toc120532254" w:history="1">
        <w:r w:rsidRPr="00D662A5">
          <w:rPr>
            <w:rStyle w:val="Hyperlink"/>
            <w:noProof/>
          </w:rPr>
          <w:t xml:space="preserve">7.1 </w:t>
        </w:r>
        <w:r>
          <w:rPr>
            <w:rFonts w:asciiTheme="minorHAnsi" w:hAnsiTheme="minorHAnsi"/>
            <w:noProof/>
          </w:rPr>
          <w:tab/>
        </w:r>
        <w:r w:rsidRPr="00D662A5">
          <w:rPr>
            <w:rStyle w:val="Hyperlink"/>
            <w:noProof/>
          </w:rPr>
          <w:t>Convention obligations</w:t>
        </w:r>
        <w:r>
          <w:rPr>
            <w:noProof/>
            <w:webHidden/>
          </w:rPr>
          <w:tab/>
        </w:r>
        <w:r>
          <w:rPr>
            <w:noProof/>
            <w:webHidden/>
          </w:rPr>
          <w:fldChar w:fldCharType="begin"/>
        </w:r>
        <w:r>
          <w:rPr>
            <w:noProof/>
            <w:webHidden/>
          </w:rPr>
          <w:instrText xml:space="preserve"> PAGEREF _Toc120532254 \h </w:instrText>
        </w:r>
        <w:r>
          <w:rPr>
            <w:noProof/>
            <w:webHidden/>
          </w:rPr>
        </w:r>
        <w:r>
          <w:rPr>
            <w:noProof/>
            <w:webHidden/>
          </w:rPr>
          <w:fldChar w:fldCharType="separate"/>
        </w:r>
        <w:r w:rsidR="001C7C2E">
          <w:rPr>
            <w:noProof/>
            <w:webHidden/>
          </w:rPr>
          <w:t>69</w:t>
        </w:r>
        <w:r>
          <w:rPr>
            <w:noProof/>
            <w:webHidden/>
          </w:rPr>
          <w:fldChar w:fldCharType="end"/>
        </w:r>
      </w:hyperlink>
    </w:p>
    <w:p w14:paraId="49D154A0" w14:textId="388A9A66" w:rsidR="00A22B1A" w:rsidRDefault="00A22B1A">
      <w:pPr>
        <w:pStyle w:val="TOC2"/>
        <w:tabs>
          <w:tab w:val="left" w:pos="1134"/>
        </w:tabs>
        <w:rPr>
          <w:rFonts w:asciiTheme="minorHAnsi" w:hAnsiTheme="minorHAnsi"/>
          <w:noProof/>
        </w:rPr>
      </w:pPr>
      <w:hyperlink w:anchor="_Toc120532255" w:history="1">
        <w:r w:rsidRPr="00D662A5">
          <w:rPr>
            <w:rStyle w:val="Hyperlink"/>
            <w:noProof/>
          </w:rPr>
          <w:t xml:space="preserve">7.2 </w:t>
        </w:r>
        <w:r>
          <w:rPr>
            <w:rFonts w:asciiTheme="minorHAnsi" w:hAnsiTheme="minorHAnsi"/>
            <w:noProof/>
          </w:rPr>
          <w:tab/>
        </w:r>
        <w:r w:rsidRPr="00D662A5">
          <w:rPr>
            <w:rStyle w:val="Hyperlink"/>
            <w:noProof/>
          </w:rPr>
          <w:t>Biomonitoring</w:t>
        </w:r>
        <w:r>
          <w:rPr>
            <w:noProof/>
            <w:webHidden/>
          </w:rPr>
          <w:tab/>
        </w:r>
        <w:r>
          <w:rPr>
            <w:noProof/>
            <w:webHidden/>
          </w:rPr>
          <w:fldChar w:fldCharType="begin"/>
        </w:r>
        <w:r>
          <w:rPr>
            <w:noProof/>
            <w:webHidden/>
          </w:rPr>
          <w:instrText xml:space="preserve"> PAGEREF _Toc120532255 \h </w:instrText>
        </w:r>
        <w:r>
          <w:rPr>
            <w:noProof/>
            <w:webHidden/>
          </w:rPr>
        </w:r>
        <w:r>
          <w:rPr>
            <w:noProof/>
            <w:webHidden/>
          </w:rPr>
          <w:fldChar w:fldCharType="separate"/>
        </w:r>
        <w:r w:rsidR="001C7C2E">
          <w:rPr>
            <w:noProof/>
            <w:webHidden/>
          </w:rPr>
          <w:t>69</w:t>
        </w:r>
        <w:r>
          <w:rPr>
            <w:noProof/>
            <w:webHidden/>
          </w:rPr>
          <w:fldChar w:fldCharType="end"/>
        </w:r>
      </w:hyperlink>
    </w:p>
    <w:p w14:paraId="7EA86419" w14:textId="401245B3" w:rsidR="00A22B1A" w:rsidRDefault="00A22B1A">
      <w:pPr>
        <w:pStyle w:val="TOC2"/>
        <w:tabs>
          <w:tab w:val="left" w:pos="1134"/>
        </w:tabs>
        <w:rPr>
          <w:rFonts w:asciiTheme="minorHAnsi" w:hAnsiTheme="minorHAnsi"/>
          <w:noProof/>
        </w:rPr>
      </w:pPr>
      <w:hyperlink w:anchor="_Toc120532256" w:history="1">
        <w:r w:rsidRPr="00D662A5">
          <w:rPr>
            <w:rStyle w:val="Hyperlink"/>
            <w:noProof/>
          </w:rPr>
          <w:t xml:space="preserve">7.3 </w:t>
        </w:r>
        <w:r>
          <w:rPr>
            <w:rFonts w:asciiTheme="minorHAnsi" w:hAnsiTheme="minorHAnsi"/>
            <w:noProof/>
          </w:rPr>
          <w:tab/>
        </w:r>
        <w:r w:rsidRPr="00D662A5">
          <w:rPr>
            <w:rStyle w:val="Hyperlink"/>
            <w:noProof/>
          </w:rPr>
          <w:t>Persistent organic pollutants in the  New Zealand environment</w:t>
        </w:r>
        <w:r>
          <w:rPr>
            <w:noProof/>
            <w:webHidden/>
          </w:rPr>
          <w:tab/>
        </w:r>
        <w:r>
          <w:rPr>
            <w:noProof/>
            <w:webHidden/>
          </w:rPr>
          <w:fldChar w:fldCharType="begin"/>
        </w:r>
        <w:r>
          <w:rPr>
            <w:noProof/>
            <w:webHidden/>
          </w:rPr>
          <w:instrText xml:space="preserve"> PAGEREF _Toc120532256 \h </w:instrText>
        </w:r>
        <w:r>
          <w:rPr>
            <w:noProof/>
            <w:webHidden/>
          </w:rPr>
        </w:r>
        <w:r>
          <w:rPr>
            <w:noProof/>
            <w:webHidden/>
          </w:rPr>
          <w:fldChar w:fldCharType="separate"/>
        </w:r>
        <w:r w:rsidR="001C7C2E">
          <w:rPr>
            <w:noProof/>
            <w:webHidden/>
          </w:rPr>
          <w:t>71</w:t>
        </w:r>
        <w:r>
          <w:rPr>
            <w:noProof/>
            <w:webHidden/>
          </w:rPr>
          <w:fldChar w:fldCharType="end"/>
        </w:r>
      </w:hyperlink>
    </w:p>
    <w:p w14:paraId="1D151B74" w14:textId="22885DE6" w:rsidR="00A22B1A" w:rsidRDefault="00A22B1A">
      <w:pPr>
        <w:pStyle w:val="TOC2"/>
        <w:tabs>
          <w:tab w:val="left" w:pos="1134"/>
        </w:tabs>
        <w:rPr>
          <w:rFonts w:asciiTheme="minorHAnsi" w:hAnsiTheme="minorHAnsi"/>
          <w:noProof/>
        </w:rPr>
      </w:pPr>
      <w:hyperlink w:anchor="_Toc120532257" w:history="1">
        <w:r w:rsidRPr="00D662A5">
          <w:rPr>
            <w:rStyle w:val="Hyperlink"/>
            <w:noProof/>
          </w:rPr>
          <w:t xml:space="preserve">7.4 </w:t>
        </w:r>
        <w:r>
          <w:rPr>
            <w:rFonts w:asciiTheme="minorHAnsi" w:hAnsiTheme="minorHAnsi"/>
            <w:noProof/>
          </w:rPr>
          <w:tab/>
        </w:r>
        <w:r w:rsidRPr="00D662A5">
          <w:rPr>
            <w:rStyle w:val="Hyperlink"/>
            <w:noProof/>
          </w:rPr>
          <w:t>Health support services</w:t>
        </w:r>
        <w:r>
          <w:rPr>
            <w:noProof/>
            <w:webHidden/>
          </w:rPr>
          <w:tab/>
        </w:r>
        <w:r>
          <w:rPr>
            <w:noProof/>
            <w:webHidden/>
          </w:rPr>
          <w:fldChar w:fldCharType="begin"/>
        </w:r>
        <w:r>
          <w:rPr>
            <w:noProof/>
            <w:webHidden/>
          </w:rPr>
          <w:instrText xml:space="preserve"> PAGEREF _Toc120532257 \h </w:instrText>
        </w:r>
        <w:r>
          <w:rPr>
            <w:noProof/>
            <w:webHidden/>
          </w:rPr>
        </w:r>
        <w:r>
          <w:rPr>
            <w:noProof/>
            <w:webHidden/>
          </w:rPr>
          <w:fldChar w:fldCharType="separate"/>
        </w:r>
        <w:r w:rsidR="001C7C2E">
          <w:rPr>
            <w:noProof/>
            <w:webHidden/>
          </w:rPr>
          <w:t>75</w:t>
        </w:r>
        <w:r>
          <w:rPr>
            <w:noProof/>
            <w:webHidden/>
          </w:rPr>
          <w:fldChar w:fldCharType="end"/>
        </w:r>
      </w:hyperlink>
    </w:p>
    <w:p w14:paraId="4DCAFB18" w14:textId="2CEFD32B" w:rsidR="00A22B1A" w:rsidRDefault="00A22B1A">
      <w:pPr>
        <w:pStyle w:val="TOC1"/>
        <w:rPr>
          <w:rFonts w:asciiTheme="minorHAnsi" w:hAnsiTheme="minorHAnsi"/>
          <w:noProof/>
        </w:rPr>
      </w:pPr>
      <w:hyperlink w:anchor="_Toc120532258" w:history="1">
        <w:r w:rsidRPr="00D662A5">
          <w:rPr>
            <w:rStyle w:val="Hyperlink"/>
            <w:noProof/>
          </w:rPr>
          <w:t>Chapter 8: Other Stockholm Convention obligations</w:t>
        </w:r>
        <w:r>
          <w:rPr>
            <w:noProof/>
            <w:webHidden/>
          </w:rPr>
          <w:tab/>
        </w:r>
        <w:r>
          <w:rPr>
            <w:noProof/>
            <w:webHidden/>
          </w:rPr>
          <w:fldChar w:fldCharType="begin"/>
        </w:r>
        <w:r>
          <w:rPr>
            <w:noProof/>
            <w:webHidden/>
          </w:rPr>
          <w:instrText xml:space="preserve"> PAGEREF _Toc120532258 \h </w:instrText>
        </w:r>
        <w:r>
          <w:rPr>
            <w:noProof/>
            <w:webHidden/>
          </w:rPr>
        </w:r>
        <w:r>
          <w:rPr>
            <w:noProof/>
            <w:webHidden/>
          </w:rPr>
          <w:fldChar w:fldCharType="separate"/>
        </w:r>
        <w:r w:rsidR="001C7C2E">
          <w:rPr>
            <w:noProof/>
            <w:webHidden/>
          </w:rPr>
          <w:t>77</w:t>
        </w:r>
        <w:r>
          <w:rPr>
            <w:noProof/>
            <w:webHidden/>
          </w:rPr>
          <w:fldChar w:fldCharType="end"/>
        </w:r>
      </w:hyperlink>
    </w:p>
    <w:p w14:paraId="7F0FAC45" w14:textId="102BA381" w:rsidR="00A22B1A" w:rsidRDefault="00A22B1A">
      <w:pPr>
        <w:pStyle w:val="TOC2"/>
        <w:tabs>
          <w:tab w:val="left" w:pos="1134"/>
        </w:tabs>
        <w:rPr>
          <w:rFonts w:asciiTheme="minorHAnsi" w:hAnsiTheme="minorHAnsi"/>
          <w:noProof/>
        </w:rPr>
      </w:pPr>
      <w:hyperlink w:anchor="_Toc120532259" w:history="1">
        <w:r w:rsidRPr="00D662A5">
          <w:rPr>
            <w:rStyle w:val="Hyperlink"/>
            <w:noProof/>
          </w:rPr>
          <w:t xml:space="preserve">8.1 </w:t>
        </w:r>
        <w:r>
          <w:rPr>
            <w:rFonts w:asciiTheme="minorHAnsi" w:hAnsiTheme="minorHAnsi"/>
            <w:noProof/>
          </w:rPr>
          <w:tab/>
        </w:r>
        <w:r w:rsidRPr="00D662A5">
          <w:rPr>
            <w:rStyle w:val="Hyperlink"/>
            <w:noProof/>
          </w:rPr>
          <w:t>Convention obligations</w:t>
        </w:r>
        <w:r>
          <w:rPr>
            <w:noProof/>
            <w:webHidden/>
          </w:rPr>
          <w:tab/>
        </w:r>
        <w:r>
          <w:rPr>
            <w:noProof/>
            <w:webHidden/>
          </w:rPr>
          <w:fldChar w:fldCharType="begin"/>
        </w:r>
        <w:r>
          <w:rPr>
            <w:noProof/>
            <w:webHidden/>
          </w:rPr>
          <w:instrText xml:space="preserve"> PAGEREF _Toc120532259 \h </w:instrText>
        </w:r>
        <w:r>
          <w:rPr>
            <w:noProof/>
            <w:webHidden/>
          </w:rPr>
        </w:r>
        <w:r>
          <w:rPr>
            <w:noProof/>
            <w:webHidden/>
          </w:rPr>
          <w:fldChar w:fldCharType="separate"/>
        </w:r>
        <w:r w:rsidR="001C7C2E">
          <w:rPr>
            <w:noProof/>
            <w:webHidden/>
          </w:rPr>
          <w:t>77</w:t>
        </w:r>
        <w:r>
          <w:rPr>
            <w:noProof/>
            <w:webHidden/>
          </w:rPr>
          <w:fldChar w:fldCharType="end"/>
        </w:r>
      </w:hyperlink>
    </w:p>
    <w:p w14:paraId="1750CA21" w14:textId="3BEBB0C6" w:rsidR="00A22B1A" w:rsidRDefault="00A22B1A">
      <w:pPr>
        <w:pStyle w:val="TOC2"/>
        <w:tabs>
          <w:tab w:val="left" w:pos="1134"/>
        </w:tabs>
        <w:rPr>
          <w:rFonts w:asciiTheme="minorHAnsi" w:hAnsiTheme="minorHAnsi"/>
          <w:noProof/>
        </w:rPr>
      </w:pPr>
      <w:hyperlink w:anchor="_Toc120532260" w:history="1">
        <w:r w:rsidRPr="00D662A5">
          <w:rPr>
            <w:rStyle w:val="Hyperlink"/>
            <w:noProof/>
          </w:rPr>
          <w:t xml:space="preserve">8.2 </w:t>
        </w:r>
        <w:r>
          <w:rPr>
            <w:rFonts w:asciiTheme="minorHAnsi" w:hAnsiTheme="minorHAnsi"/>
            <w:noProof/>
          </w:rPr>
          <w:tab/>
        </w:r>
        <w:r w:rsidRPr="00D662A5">
          <w:rPr>
            <w:rStyle w:val="Hyperlink"/>
            <w:noProof/>
          </w:rPr>
          <w:t>Information exchange</w:t>
        </w:r>
        <w:r>
          <w:rPr>
            <w:noProof/>
            <w:webHidden/>
          </w:rPr>
          <w:tab/>
        </w:r>
        <w:r>
          <w:rPr>
            <w:noProof/>
            <w:webHidden/>
          </w:rPr>
          <w:fldChar w:fldCharType="begin"/>
        </w:r>
        <w:r>
          <w:rPr>
            <w:noProof/>
            <w:webHidden/>
          </w:rPr>
          <w:instrText xml:space="preserve"> PAGEREF _Toc120532260 \h </w:instrText>
        </w:r>
        <w:r>
          <w:rPr>
            <w:noProof/>
            <w:webHidden/>
          </w:rPr>
        </w:r>
        <w:r>
          <w:rPr>
            <w:noProof/>
            <w:webHidden/>
          </w:rPr>
          <w:fldChar w:fldCharType="separate"/>
        </w:r>
        <w:r w:rsidR="001C7C2E">
          <w:rPr>
            <w:noProof/>
            <w:webHidden/>
          </w:rPr>
          <w:t>77</w:t>
        </w:r>
        <w:r>
          <w:rPr>
            <w:noProof/>
            <w:webHidden/>
          </w:rPr>
          <w:fldChar w:fldCharType="end"/>
        </w:r>
      </w:hyperlink>
    </w:p>
    <w:p w14:paraId="11671F98" w14:textId="229D832D" w:rsidR="00A22B1A" w:rsidRDefault="00A22B1A">
      <w:pPr>
        <w:pStyle w:val="TOC2"/>
        <w:tabs>
          <w:tab w:val="left" w:pos="1134"/>
        </w:tabs>
        <w:rPr>
          <w:rFonts w:asciiTheme="minorHAnsi" w:hAnsiTheme="minorHAnsi"/>
          <w:noProof/>
        </w:rPr>
      </w:pPr>
      <w:hyperlink w:anchor="_Toc120532261" w:history="1">
        <w:r w:rsidRPr="00D662A5">
          <w:rPr>
            <w:rStyle w:val="Hyperlink"/>
            <w:noProof/>
          </w:rPr>
          <w:t xml:space="preserve">8.3 </w:t>
        </w:r>
        <w:r>
          <w:rPr>
            <w:rFonts w:asciiTheme="minorHAnsi" w:hAnsiTheme="minorHAnsi"/>
            <w:noProof/>
          </w:rPr>
          <w:tab/>
        </w:r>
        <w:r w:rsidRPr="00D662A5">
          <w:rPr>
            <w:rStyle w:val="Hyperlink"/>
            <w:noProof/>
          </w:rPr>
          <w:t>Public and stakeholder information and awareness</w:t>
        </w:r>
        <w:r>
          <w:rPr>
            <w:noProof/>
            <w:webHidden/>
          </w:rPr>
          <w:tab/>
        </w:r>
        <w:r>
          <w:rPr>
            <w:noProof/>
            <w:webHidden/>
          </w:rPr>
          <w:fldChar w:fldCharType="begin"/>
        </w:r>
        <w:r>
          <w:rPr>
            <w:noProof/>
            <w:webHidden/>
          </w:rPr>
          <w:instrText xml:space="preserve"> PAGEREF _Toc120532261 \h </w:instrText>
        </w:r>
        <w:r>
          <w:rPr>
            <w:noProof/>
            <w:webHidden/>
          </w:rPr>
        </w:r>
        <w:r>
          <w:rPr>
            <w:noProof/>
            <w:webHidden/>
          </w:rPr>
          <w:fldChar w:fldCharType="separate"/>
        </w:r>
        <w:r w:rsidR="001C7C2E">
          <w:rPr>
            <w:noProof/>
            <w:webHidden/>
          </w:rPr>
          <w:t>77</w:t>
        </w:r>
        <w:r>
          <w:rPr>
            <w:noProof/>
            <w:webHidden/>
          </w:rPr>
          <w:fldChar w:fldCharType="end"/>
        </w:r>
      </w:hyperlink>
    </w:p>
    <w:p w14:paraId="3C33C843" w14:textId="0C256D22" w:rsidR="00A22B1A" w:rsidRDefault="00A22B1A">
      <w:pPr>
        <w:pStyle w:val="TOC2"/>
        <w:tabs>
          <w:tab w:val="left" w:pos="1134"/>
        </w:tabs>
        <w:rPr>
          <w:rFonts w:asciiTheme="minorHAnsi" w:hAnsiTheme="minorHAnsi"/>
          <w:noProof/>
        </w:rPr>
      </w:pPr>
      <w:hyperlink w:anchor="_Toc120532262" w:history="1">
        <w:r w:rsidRPr="00D662A5">
          <w:rPr>
            <w:rStyle w:val="Hyperlink"/>
            <w:noProof/>
          </w:rPr>
          <w:t xml:space="preserve">8.4 </w:t>
        </w:r>
        <w:r>
          <w:rPr>
            <w:rFonts w:asciiTheme="minorHAnsi" w:hAnsiTheme="minorHAnsi"/>
            <w:noProof/>
          </w:rPr>
          <w:tab/>
        </w:r>
        <w:r w:rsidRPr="00D662A5">
          <w:rPr>
            <w:rStyle w:val="Hyperlink"/>
            <w:noProof/>
          </w:rPr>
          <w:t>Technical and financial assistance</w:t>
        </w:r>
        <w:r>
          <w:rPr>
            <w:noProof/>
            <w:webHidden/>
          </w:rPr>
          <w:tab/>
        </w:r>
        <w:r>
          <w:rPr>
            <w:noProof/>
            <w:webHidden/>
          </w:rPr>
          <w:fldChar w:fldCharType="begin"/>
        </w:r>
        <w:r>
          <w:rPr>
            <w:noProof/>
            <w:webHidden/>
          </w:rPr>
          <w:instrText xml:space="preserve"> PAGEREF _Toc120532262 \h </w:instrText>
        </w:r>
        <w:r>
          <w:rPr>
            <w:noProof/>
            <w:webHidden/>
          </w:rPr>
        </w:r>
        <w:r>
          <w:rPr>
            <w:noProof/>
            <w:webHidden/>
          </w:rPr>
          <w:fldChar w:fldCharType="separate"/>
        </w:r>
        <w:r w:rsidR="001C7C2E">
          <w:rPr>
            <w:noProof/>
            <w:webHidden/>
          </w:rPr>
          <w:t>78</w:t>
        </w:r>
        <w:r>
          <w:rPr>
            <w:noProof/>
            <w:webHidden/>
          </w:rPr>
          <w:fldChar w:fldCharType="end"/>
        </w:r>
      </w:hyperlink>
    </w:p>
    <w:p w14:paraId="2996751A" w14:textId="1341E373" w:rsidR="00A22B1A" w:rsidRDefault="00A22B1A">
      <w:pPr>
        <w:pStyle w:val="TOC2"/>
        <w:tabs>
          <w:tab w:val="left" w:pos="1134"/>
        </w:tabs>
        <w:rPr>
          <w:rFonts w:asciiTheme="minorHAnsi" w:hAnsiTheme="minorHAnsi"/>
          <w:noProof/>
        </w:rPr>
      </w:pPr>
      <w:hyperlink w:anchor="_Toc120532263" w:history="1">
        <w:r w:rsidRPr="00D662A5">
          <w:rPr>
            <w:rStyle w:val="Hyperlink"/>
            <w:noProof/>
          </w:rPr>
          <w:t xml:space="preserve">8.5 </w:t>
        </w:r>
        <w:r>
          <w:rPr>
            <w:rFonts w:asciiTheme="minorHAnsi" w:hAnsiTheme="minorHAnsi"/>
            <w:noProof/>
          </w:rPr>
          <w:tab/>
        </w:r>
        <w:r w:rsidRPr="00D662A5">
          <w:rPr>
            <w:rStyle w:val="Hyperlink"/>
            <w:noProof/>
          </w:rPr>
          <w:t>Reporting</w:t>
        </w:r>
        <w:r>
          <w:rPr>
            <w:noProof/>
            <w:webHidden/>
          </w:rPr>
          <w:tab/>
        </w:r>
        <w:r>
          <w:rPr>
            <w:noProof/>
            <w:webHidden/>
          </w:rPr>
          <w:fldChar w:fldCharType="begin"/>
        </w:r>
        <w:r>
          <w:rPr>
            <w:noProof/>
            <w:webHidden/>
          </w:rPr>
          <w:instrText xml:space="preserve"> PAGEREF _Toc120532263 \h </w:instrText>
        </w:r>
        <w:r>
          <w:rPr>
            <w:noProof/>
            <w:webHidden/>
          </w:rPr>
        </w:r>
        <w:r>
          <w:rPr>
            <w:noProof/>
            <w:webHidden/>
          </w:rPr>
          <w:fldChar w:fldCharType="separate"/>
        </w:r>
        <w:r w:rsidR="001C7C2E">
          <w:rPr>
            <w:noProof/>
            <w:webHidden/>
          </w:rPr>
          <w:t>79</w:t>
        </w:r>
        <w:r>
          <w:rPr>
            <w:noProof/>
            <w:webHidden/>
          </w:rPr>
          <w:fldChar w:fldCharType="end"/>
        </w:r>
      </w:hyperlink>
    </w:p>
    <w:p w14:paraId="0C173A38" w14:textId="069A5F19" w:rsidR="00A22B1A" w:rsidRDefault="00A22B1A">
      <w:pPr>
        <w:pStyle w:val="TOC1"/>
        <w:rPr>
          <w:rFonts w:asciiTheme="minorHAnsi" w:hAnsiTheme="minorHAnsi"/>
          <w:noProof/>
        </w:rPr>
      </w:pPr>
      <w:hyperlink w:anchor="_Toc120532264" w:history="1">
        <w:r w:rsidRPr="00D662A5">
          <w:rPr>
            <w:rStyle w:val="Hyperlink"/>
            <w:noProof/>
          </w:rPr>
          <w:t>Glossary</w:t>
        </w:r>
        <w:r>
          <w:rPr>
            <w:noProof/>
            <w:webHidden/>
          </w:rPr>
          <w:tab/>
        </w:r>
        <w:r>
          <w:rPr>
            <w:noProof/>
            <w:webHidden/>
          </w:rPr>
          <w:fldChar w:fldCharType="begin"/>
        </w:r>
        <w:r>
          <w:rPr>
            <w:noProof/>
            <w:webHidden/>
          </w:rPr>
          <w:instrText xml:space="preserve"> PAGEREF _Toc120532264 \h </w:instrText>
        </w:r>
        <w:r>
          <w:rPr>
            <w:noProof/>
            <w:webHidden/>
          </w:rPr>
        </w:r>
        <w:r>
          <w:rPr>
            <w:noProof/>
            <w:webHidden/>
          </w:rPr>
          <w:fldChar w:fldCharType="separate"/>
        </w:r>
        <w:r w:rsidR="001C7C2E">
          <w:rPr>
            <w:noProof/>
            <w:webHidden/>
          </w:rPr>
          <w:t>80</w:t>
        </w:r>
        <w:r>
          <w:rPr>
            <w:noProof/>
            <w:webHidden/>
          </w:rPr>
          <w:fldChar w:fldCharType="end"/>
        </w:r>
      </w:hyperlink>
    </w:p>
    <w:p w14:paraId="72212CAA" w14:textId="6C33A007" w:rsidR="00A22B1A" w:rsidRDefault="00A22B1A">
      <w:pPr>
        <w:pStyle w:val="TOC1"/>
        <w:rPr>
          <w:rFonts w:asciiTheme="minorHAnsi" w:hAnsiTheme="minorHAnsi"/>
          <w:noProof/>
        </w:rPr>
      </w:pPr>
      <w:hyperlink w:anchor="_Toc120532265" w:history="1">
        <w:r w:rsidRPr="00D662A5">
          <w:rPr>
            <w:rStyle w:val="Hyperlink"/>
            <w:noProof/>
          </w:rPr>
          <w:t>References</w:t>
        </w:r>
        <w:r>
          <w:rPr>
            <w:noProof/>
            <w:webHidden/>
          </w:rPr>
          <w:tab/>
        </w:r>
        <w:r>
          <w:rPr>
            <w:noProof/>
            <w:webHidden/>
          </w:rPr>
          <w:fldChar w:fldCharType="begin"/>
        </w:r>
        <w:r>
          <w:rPr>
            <w:noProof/>
            <w:webHidden/>
          </w:rPr>
          <w:instrText xml:space="preserve"> PAGEREF _Toc120532265 \h </w:instrText>
        </w:r>
        <w:r>
          <w:rPr>
            <w:noProof/>
            <w:webHidden/>
          </w:rPr>
        </w:r>
        <w:r>
          <w:rPr>
            <w:noProof/>
            <w:webHidden/>
          </w:rPr>
          <w:fldChar w:fldCharType="separate"/>
        </w:r>
        <w:r w:rsidR="001C7C2E">
          <w:rPr>
            <w:noProof/>
            <w:webHidden/>
          </w:rPr>
          <w:t>83</w:t>
        </w:r>
        <w:r>
          <w:rPr>
            <w:noProof/>
            <w:webHidden/>
          </w:rPr>
          <w:fldChar w:fldCharType="end"/>
        </w:r>
      </w:hyperlink>
    </w:p>
    <w:p w14:paraId="34E5FF5E" w14:textId="7DBB6A0B" w:rsidR="0080531E" w:rsidRPr="00582EF5" w:rsidRDefault="00775F57" w:rsidP="004B7C47">
      <w:pPr>
        <w:pStyle w:val="Glossary"/>
      </w:pPr>
      <w:r w:rsidRPr="00582EF5">
        <w:rPr>
          <w:color w:val="0092CF"/>
          <w:shd w:val="clear" w:color="auto" w:fill="E6E6E6"/>
        </w:rPr>
        <w:fldChar w:fldCharType="end"/>
      </w:r>
    </w:p>
    <w:p w14:paraId="76827AEF" w14:textId="77777777" w:rsidR="00796A6F" w:rsidRPr="00582EF5" w:rsidRDefault="00796A6F" w:rsidP="00680062">
      <w:r w:rsidRPr="00582EF5">
        <w:br w:type="page"/>
      </w:r>
    </w:p>
    <w:p w14:paraId="06B30F19" w14:textId="77777777" w:rsidR="00532334" w:rsidRPr="00582EF5" w:rsidRDefault="00532334" w:rsidP="004B7C47">
      <w:pPr>
        <w:pStyle w:val="Heading"/>
      </w:pPr>
      <w:r w:rsidRPr="00582EF5">
        <w:lastRenderedPageBreak/>
        <w:t>Tables</w:t>
      </w:r>
    </w:p>
    <w:p w14:paraId="5F3CDFB5" w14:textId="67E1340A" w:rsidR="00A22B1A" w:rsidRDefault="004943C2">
      <w:pPr>
        <w:pStyle w:val="TableofFigures"/>
        <w:tabs>
          <w:tab w:val="right" w:pos="8495"/>
        </w:tabs>
        <w:rPr>
          <w:rFonts w:asciiTheme="minorHAnsi" w:hAnsiTheme="minorHAnsi"/>
          <w:noProof/>
        </w:rPr>
      </w:pPr>
      <w:r w:rsidRPr="00582EF5">
        <w:rPr>
          <w:color w:val="2B579A"/>
          <w:shd w:val="clear" w:color="auto" w:fill="E6E6E6"/>
        </w:rPr>
        <w:fldChar w:fldCharType="begin"/>
      </w:r>
      <w:r w:rsidRPr="00582EF5">
        <w:instrText xml:space="preserve"> TOC \h \z \t "Table heading" \c </w:instrText>
      </w:r>
      <w:r w:rsidRPr="00582EF5">
        <w:rPr>
          <w:color w:val="2B579A"/>
          <w:shd w:val="clear" w:color="auto" w:fill="E6E6E6"/>
        </w:rPr>
        <w:fldChar w:fldCharType="separate"/>
      </w:r>
      <w:hyperlink w:anchor="_Toc120532266" w:history="1">
        <w:r w:rsidR="00A22B1A" w:rsidRPr="00EF59EF">
          <w:rPr>
            <w:rStyle w:val="Hyperlink"/>
            <w:noProof/>
          </w:rPr>
          <w:t xml:space="preserve">Table 1: </w:t>
        </w:r>
        <w:r w:rsidR="00A22B1A">
          <w:rPr>
            <w:rFonts w:asciiTheme="minorHAnsi" w:hAnsiTheme="minorHAnsi"/>
            <w:noProof/>
          </w:rPr>
          <w:tab/>
        </w:r>
        <w:r w:rsidR="00A22B1A" w:rsidRPr="00EF59EF">
          <w:rPr>
            <w:rStyle w:val="Hyperlink"/>
            <w:noProof/>
          </w:rPr>
          <w:t>National Implementation Plan 2022 summary of New Zealand measures</w:t>
        </w:r>
        <w:r w:rsidR="00A22B1A">
          <w:rPr>
            <w:noProof/>
            <w:webHidden/>
          </w:rPr>
          <w:tab/>
        </w:r>
        <w:r w:rsidR="00A22B1A">
          <w:rPr>
            <w:noProof/>
            <w:webHidden/>
          </w:rPr>
          <w:fldChar w:fldCharType="begin"/>
        </w:r>
        <w:r w:rsidR="00A22B1A">
          <w:rPr>
            <w:noProof/>
            <w:webHidden/>
          </w:rPr>
          <w:instrText xml:space="preserve"> PAGEREF _Toc120532266 \h </w:instrText>
        </w:r>
        <w:r w:rsidR="00A22B1A">
          <w:rPr>
            <w:noProof/>
            <w:webHidden/>
          </w:rPr>
        </w:r>
        <w:r w:rsidR="00A22B1A">
          <w:rPr>
            <w:noProof/>
            <w:webHidden/>
          </w:rPr>
          <w:fldChar w:fldCharType="separate"/>
        </w:r>
        <w:r w:rsidR="001C7C2E">
          <w:rPr>
            <w:noProof/>
            <w:webHidden/>
          </w:rPr>
          <w:t>8</w:t>
        </w:r>
        <w:r w:rsidR="00A22B1A">
          <w:rPr>
            <w:noProof/>
            <w:webHidden/>
          </w:rPr>
          <w:fldChar w:fldCharType="end"/>
        </w:r>
      </w:hyperlink>
    </w:p>
    <w:p w14:paraId="3D5F0D01" w14:textId="343EE8E6" w:rsidR="00A22B1A" w:rsidRDefault="00A22B1A">
      <w:pPr>
        <w:pStyle w:val="TableofFigures"/>
        <w:tabs>
          <w:tab w:val="right" w:pos="8495"/>
        </w:tabs>
        <w:rPr>
          <w:rFonts w:asciiTheme="minorHAnsi" w:hAnsiTheme="minorHAnsi"/>
          <w:noProof/>
        </w:rPr>
      </w:pPr>
      <w:hyperlink w:anchor="_Toc120532267" w:history="1">
        <w:r w:rsidRPr="00EF59EF">
          <w:rPr>
            <w:rStyle w:val="Hyperlink"/>
            <w:noProof/>
          </w:rPr>
          <w:t xml:space="preserve">Table 2: </w:t>
        </w:r>
        <w:r>
          <w:rPr>
            <w:rFonts w:asciiTheme="minorHAnsi" w:hAnsiTheme="minorHAnsi"/>
            <w:noProof/>
          </w:rPr>
          <w:tab/>
        </w:r>
        <w:r w:rsidRPr="00EF59EF">
          <w:rPr>
            <w:rStyle w:val="Hyperlink"/>
            <w:noProof/>
          </w:rPr>
          <w:t>Chemicals listed in Annex A of the Convention – to be eliminated</w:t>
        </w:r>
        <w:r>
          <w:rPr>
            <w:noProof/>
            <w:webHidden/>
          </w:rPr>
          <w:tab/>
        </w:r>
        <w:r>
          <w:rPr>
            <w:noProof/>
            <w:webHidden/>
          </w:rPr>
          <w:fldChar w:fldCharType="begin"/>
        </w:r>
        <w:r>
          <w:rPr>
            <w:noProof/>
            <w:webHidden/>
          </w:rPr>
          <w:instrText xml:space="preserve"> PAGEREF _Toc120532267 \h </w:instrText>
        </w:r>
        <w:r>
          <w:rPr>
            <w:noProof/>
            <w:webHidden/>
          </w:rPr>
        </w:r>
        <w:r>
          <w:rPr>
            <w:noProof/>
            <w:webHidden/>
          </w:rPr>
          <w:fldChar w:fldCharType="separate"/>
        </w:r>
        <w:r w:rsidR="001C7C2E">
          <w:rPr>
            <w:noProof/>
            <w:webHidden/>
          </w:rPr>
          <w:t>14</w:t>
        </w:r>
        <w:r>
          <w:rPr>
            <w:noProof/>
            <w:webHidden/>
          </w:rPr>
          <w:fldChar w:fldCharType="end"/>
        </w:r>
      </w:hyperlink>
    </w:p>
    <w:p w14:paraId="0282A893" w14:textId="101B4813" w:rsidR="00A22B1A" w:rsidRDefault="00A22B1A">
      <w:pPr>
        <w:pStyle w:val="TableofFigures"/>
        <w:tabs>
          <w:tab w:val="right" w:pos="8495"/>
        </w:tabs>
        <w:rPr>
          <w:rFonts w:asciiTheme="minorHAnsi" w:hAnsiTheme="minorHAnsi"/>
          <w:noProof/>
        </w:rPr>
      </w:pPr>
      <w:hyperlink w:anchor="_Toc120532268" w:history="1">
        <w:r w:rsidRPr="00EF59EF">
          <w:rPr>
            <w:rStyle w:val="Hyperlink"/>
            <w:noProof/>
          </w:rPr>
          <w:t xml:space="preserve">Table 3: </w:t>
        </w:r>
        <w:r>
          <w:rPr>
            <w:rFonts w:asciiTheme="minorHAnsi" w:hAnsiTheme="minorHAnsi"/>
            <w:noProof/>
          </w:rPr>
          <w:tab/>
        </w:r>
        <w:r w:rsidRPr="00EF59EF">
          <w:rPr>
            <w:rStyle w:val="Hyperlink"/>
            <w:noProof/>
          </w:rPr>
          <w:t>Chemicals listed in Annex B of the Convention – restricted use</w:t>
        </w:r>
        <w:r>
          <w:rPr>
            <w:noProof/>
            <w:webHidden/>
          </w:rPr>
          <w:tab/>
        </w:r>
        <w:r>
          <w:rPr>
            <w:noProof/>
            <w:webHidden/>
          </w:rPr>
          <w:fldChar w:fldCharType="begin"/>
        </w:r>
        <w:r>
          <w:rPr>
            <w:noProof/>
            <w:webHidden/>
          </w:rPr>
          <w:instrText xml:space="preserve"> PAGEREF _Toc120532268 \h </w:instrText>
        </w:r>
        <w:r>
          <w:rPr>
            <w:noProof/>
            <w:webHidden/>
          </w:rPr>
        </w:r>
        <w:r>
          <w:rPr>
            <w:noProof/>
            <w:webHidden/>
          </w:rPr>
          <w:fldChar w:fldCharType="separate"/>
        </w:r>
        <w:r w:rsidR="001C7C2E">
          <w:rPr>
            <w:noProof/>
            <w:webHidden/>
          </w:rPr>
          <w:t>14</w:t>
        </w:r>
        <w:r>
          <w:rPr>
            <w:noProof/>
            <w:webHidden/>
          </w:rPr>
          <w:fldChar w:fldCharType="end"/>
        </w:r>
      </w:hyperlink>
    </w:p>
    <w:p w14:paraId="6989AE45" w14:textId="3F9E449A" w:rsidR="00A22B1A" w:rsidRDefault="00A22B1A">
      <w:pPr>
        <w:pStyle w:val="TableofFigures"/>
        <w:tabs>
          <w:tab w:val="right" w:pos="8495"/>
        </w:tabs>
        <w:rPr>
          <w:rFonts w:asciiTheme="minorHAnsi" w:hAnsiTheme="minorHAnsi"/>
          <w:noProof/>
        </w:rPr>
      </w:pPr>
      <w:hyperlink w:anchor="_Toc120532269" w:history="1">
        <w:r w:rsidRPr="00EF59EF">
          <w:rPr>
            <w:rStyle w:val="Hyperlink"/>
            <w:noProof/>
          </w:rPr>
          <w:t xml:space="preserve">Table 4: </w:t>
        </w:r>
        <w:r>
          <w:rPr>
            <w:rFonts w:asciiTheme="minorHAnsi" w:hAnsiTheme="minorHAnsi"/>
            <w:noProof/>
          </w:rPr>
          <w:tab/>
        </w:r>
        <w:r w:rsidRPr="00EF59EF">
          <w:rPr>
            <w:rStyle w:val="Hyperlink"/>
            <w:noProof/>
          </w:rPr>
          <w:t>Chemicals listed in Annex C of the Convention – avoid unintentional production and release</w:t>
        </w:r>
        <w:r>
          <w:rPr>
            <w:noProof/>
            <w:webHidden/>
          </w:rPr>
          <w:tab/>
        </w:r>
        <w:r>
          <w:rPr>
            <w:noProof/>
            <w:webHidden/>
          </w:rPr>
          <w:fldChar w:fldCharType="begin"/>
        </w:r>
        <w:r>
          <w:rPr>
            <w:noProof/>
            <w:webHidden/>
          </w:rPr>
          <w:instrText xml:space="preserve"> PAGEREF _Toc120532269 \h </w:instrText>
        </w:r>
        <w:r>
          <w:rPr>
            <w:noProof/>
            <w:webHidden/>
          </w:rPr>
        </w:r>
        <w:r>
          <w:rPr>
            <w:noProof/>
            <w:webHidden/>
          </w:rPr>
          <w:fldChar w:fldCharType="separate"/>
        </w:r>
        <w:r w:rsidR="001C7C2E">
          <w:rPr>
            <w:noProof/>
            <w:webHidden/>
          </w:rPr>
          <w:t>15</w:t>
        </w:r>
        <w:r>
          <w:rPr>
            <w:noProof/>
            <w:webHidden/>
          </w:rPr>
          <w:fldChar w:fldCharType="end"/>
        </w:r>
      </w:hyperlink>
    </w:p>
    <w:p w14:paraId="61EF86FA" w14:textId="5239CC09" w:rsidR="00A22B1A" w:rsidRDefault="00A22B1A">
      <w:pPr>
        <w:pStyle w:val="TableofFigures"/>
        <w:tabs>
          <w:tab w:val="right" w:pos="8495"/>
        </w:tabs>
        <w:rPr>
          <w:rFonts w:asciiTheme="minorHAnsi" w:hAnsiTheme="minorHAnsi"/>
          <w:noProof/>
        </w:rPr>
      </w:pPr>
      <w:hyperlink w:anchor="_Toc120532270" w:history="1">
        <w:r w:rsidRPr="00EF59EF">
          <w:rPr>
            <w:rStyle w:val="Hyperlink"/>
            <w:noProof/>
          </w:rPr>
          <w:t xml:space="preserve">Table 5: </w:t>
        </w:r>
        <w:r>
          <w:rPr>
            <w:rFonts w:asciiTheme="minorHAnsi" w:hAnsiTheme="minorHAnsi"/>
            <w:noProof/>
          </w:rPr>
          <w:tab/>
        </w:r>
        <w:r w:rsidRPr="00EF59EF">
          <w:rPr>
            <w:rStyle w:val="Hyperlink"/>
            <w:noProof/>
          </w:rPr>
          <w:t>Initial persistent organic pollutants and their historical use in New Zealand</w:t>
        </w:r>
        <w:r>
          <w:rPr>
            <w:noProof/>
            <w:webHidden/>
          </w:rPr>
          <w:tab/>
        </w:r>
        <w:r>
          <w:rPr>
            <w:noProof/>
            <w:webHidden/>
          </w:rPr>
          <w:fldChar w:fldCharType="begin"/>
        </w:r>
        <w:r>
          <w:rPr>
            <w:noProof/>
            <w:webHidden/>
          </w:rPr>
          <w:instrText xml:space="preserve"> PAGEREF _Toc120532270 \h </w:instrText>
        </w:r>
        <w:r>
          <w:rPr>
            <w:noProof/>
            <w:webHidden/>
          </w:rPr>
        </w:r>
        <w:r>
          <w:rPr>
            <w:noProof/>
            <w:webHidden/>
          </w:rPr>
          <w:fldChar w:fldCharType="separate"/>
        </w:r>
        <w:r w:rsidR="001C7C2E">
          <w:rPr>
            <w:noProof/>
            <w:webHidden/>
          </w:rPr>
          <w:t>25</w:t>
        </w:r>
        <w:r>
          <w:rPr>
            <w:noProof/>
            <w:webHidden/>
          </w:rPr>
          <w:fldChar w:fldCharType="end"/>
        </w:r>
      </w:hyperlink>
    </w:p>
    <w:p w14:paraId="3D1A039B" w14:textId="7C71F831" w:rsidR="00A22B1A" w:rsidRDefault="00A22B1A">
      <w:pPr>
        <w:pStyle w:val="TableofFigures"/>
        <w:tabs>
          <w:tab w:val="right" w:pos="8495"/>
        </w:tabs>
        <w:rPr>
          <w:rFonts w:asciiTheme="minorHAnsi" w:hAnsiTheme="minorHAnsi"/>
          <w:noProof/>
        </w:rPr>
      </w:pPr>
      <w:hyperlink w:anchor="_Toc120532271" w:history="1">
        <w:r w:rsidRPr="00EF59EF">
          <w:rPr>
            <w:rStyle w:val="Hyperlink"/>
            <w:noProof/>
          </w:rPr>
          <w:t xml:space="preserve">Table 6: </w:t>
        </w:r>
        <w:r>
          <w:rPr>
            <w:rFonts w:asciiTheme="minorHAnsi" w:hAnsiTheme="minorHAnsi"/>
            <w:noProof/>
          </w:rPr>
          <w:tab/>
        </w:r>
        <w:r w:rsidRPr="00EF59EF">
          <w:rPr>
            <w:rStyle w:val="Hyperlink"/>
            <w:noProof/>
          </w:rPr>
          <w:t>Polychlorinated biphenyls waste disposal (in tonnes)</w:t>
        </w:r>
        <w:r>
          <w:rPr>
            <w:noProof/>
            <w:webHidden/>
          </w:rPr>
          <w:tab/>
        </w:r>
        <w:r>
          <w:rPr>
            <w:noProof/>
            <w:webHidden/>
          </w:rPr>
          <w:fldChar w:fldCharType="begin"/>
        </w:r>
        <w:r>
          <w:rPr>
            <w:noProof/>
            <w:webHidden/>
          </w:rPr>
          <w:instrText xml:space="preserve"> PAGEREF _Toc120532271 \h </w:instrText>
        </w:r>
        <w:r>
          <w:rPr>
            <w:noProof/>
            <w:webHidden/>
          </w:rPr>
        </w:r>
        <w:r>
          <w:rPr>
            <w:noProof/>
            <w:webHidden/>
          </w:rPr>
          <w:fldChar w:fldCharType="separate"/>
        </w:r>
        <w:r w:rsidR="001C7C2E">
          <w:rPr>
            <w:noProof/>
            <w:webHidden/>
          </w:rPr>
          <w:t>27</w:t>
        </w:r>
        <w:r>
          <w:rPr>
            <w:noProof/>
            <w:webHidden/>
          </w:rPr>
          <w:fldChar w:fldCharType="end"/>
        </w:r>
      </w:hyperlink>
    </w:p>
    <w:p w14:paraId="2A092288" w14:textId="555FE75A" w:rsidR="00A22B1A" w:rsidRDefault="00A22B1A">
      <w:pPr>
        <w:pStyle w:val="TableofFigures"/>
        <w:tabs>
          <w:tab w:val="right" w:pos="8495"/>
        </w:tabs>
        <w:rPr>
          <w:rFonts w:asciiTheme="minorHAnsi" w:hAnsiTheme="minorHAnsi"/>
          <w:noProof/>
        </w:rPr>
      </w:pPr>
      <w:hyperlink w:anchor="_Toc120532272" w:history="1">
        <w:r w:rsidRPr="00EF59EF">
          <w:rPr>
            <w:rStyle w:val="Hyperlink"/>
            <w:noProof/>
          </w:rPr>
          <w:t xml:space="preserve">Table 7: </w:t>
        </w:r>
        <w:r>
          <w:rPr>
            <w:rFonts w:asciiTheme="minorHAnsi" w:hAnsiTheme="minorHAnsi"/>
            <w:noProof/>
          </w:rPr>
          <w:tab/>
        </w:r>
        <w:r w:rsidRPr="00EF59EF">
          <w:rPr>
            <w:rStyle w:val="Hyperlink"/>
            <w:noProof/>
          </w:rPr>
          <w:t>Volume of legacy persistent organic pollutant pesticides exported for destruction (kilograms per year)</w:t>
        </w:r>
        <w:r>
          <w:rPr>
            <w:noProof/>
            <w:webHidden/>
          </w:rPr>
          <w:tab/>
        </w:r>
        <w:r>
          <w:rPr>
            <w:noProof/>
            <w:webHidden/>
          </w:rPr>
          <w:fldChar w:fldCharType="begin"/>
        </w:r>
        <w:r>
          <w:rPr>
            <w:noProof/>
            <w:webHidden/>
          </w:rPr>
          <w:instrText xml:space="preserve"> PAGEREF _Toc120532272 \h </w:instrText>
        </w:r>
        <w:r>
          <w:rPr>
            <w:noProof/>
            <w:webHidden/>
          </w:rPr>
        </w:r>
        <w:r>
          <w:rPr>
            <w:noProof/>
            <w:webHidden/>
          </w:rPr>
          <w:fldChar w:fldCharType="separate"/>
        </w:r>
        <w:r w:rsidR="001C7C2E">
          <w:rPr>
            <w:noProof/>
            <w:webHidden/>
          </w:rPr>
          <w:t>28</w:t>
        </w:r>
        <w:r>
          <w:rPr>
            <w:noProof/>
            <w:webHidden/>
          </w:rPr>
          <w:fldChar w:fldCharType="end"/>
        </w:r>
      </w:hyperlink>
    </w:p>
    <w:p w14:paraId="3B7E9159" w14:textId="0CAF868A" w:rsidR="00A22B1A" w:rsidRDefault="00A22B1A">
      <w:pPr>
        <w:pStyle w:val="TableofFigures"/>
        <w:tabs>
          <w:tab w:val="right" w:pos="8495"/>
        </w:tabs>
        <w:rPr>
          <w:rFonts w:asciiTheme="minorHAnsi" w:hAnsiTheme="minorHAnsi"/>
          <w:noProof/>
        </w:rPr>
      </w:pPr>
      <w:hyperlink w:anchor="_Toc120532273" w:history="1">
        <w:r w:rsidRPr="00EF59EF">
          <w:rPr>
            <w:rStyle w:val="Hyperlink"/>
            <w:noProof/>
          </w:rPr>
          <w:t xml:space="preserve">Table 8: </w:t>
        </w:r>
        <w:r>
          <w:rPr>
            <w:rFonts w:asciiTheme="minorHAnsi" w:hAnsiTheme="minorHAnsi"/>
            <w:noProof/>
          </w:rPr>
          <w:tab/>
        </w:r>
        <w:r w:rsidRPr="00EF59EF">
          <w:rPr>
            <w:rStyle w:val="Hyperlink"/>
            <w:noProof/>
          </w:rPr>
          <w:t>Persistent organic pollutants listed 2009–19, and New Zealand’s implementation measures</w:t>
        </w:r>
        <w:r>
          <w:rPr>
            <w:noProof/>
            <w:webHidden/>
          </w:rPr>
          <w:tab/>
        </w:r>
        <w:r>
          <w:rPr>
            <w:noProof/>
            <w:webHidden/>
          </w:rPr>
          <w:fldChar w:fldCharType="begin"/>
        </w:r>
        <w:r>
          <w:rPr>
            <w:noProof/>
            <w:webHidden/>
          </w:rPr>
          <w:instrText xml:space="preserve"> PAGEREF _Toc120532273 \h </w:instrText>
        </w:r>
        <w:r>
          <w:rPr>
            <w:noProof/>
            <w:webHidden/>
          </w:rPr>
        </w:r>
        <w:r>
          <w:rPr>
            <w:noProof/>
            <w:webHidden/>
          </w:rPr>
          <w:fldChar w:fldCharType="separate"/>
        </w:r>
        <w:r w:rsidR="001C7C2E">
          <w:rPr>
            <w:noProof/>
            <w:webHidden/>
          </w:rPr>
          <w:t>29</w:t>
        </w:r>
        <w:r>
          <w:rPr>
            <w:noProof/>
            <w:webHidden/>
          </w:rPr>
          <w:fldChar w:fldCharType="end"/>
        </w:r>
      </w:hyperlink>
    </w:p>
    <w:p w14:paraId="019AEA4A" w14:textId="6F1E1437" w:rsidR="00A22B1A" w:rsidRDefault="00A22B1A">
      <w:pPr>
        <w:pStyle w:val="TableofFigures"/>
        <w:tabs>
          <w:tab w:val="right" w:pos="8495"/>
        </w:tabs>
        <w:rPr>
          <w:rFonts w:asciiTheme="minorHAnsi" w:hAnsiTheme="minorHAnsi"/>
          <w:noProof/>
        </w:rPr>
      </w:pPr>
      <w:hyperlink w:anchor="_Toc120532274" w:history="1">
        <w:r w:rsidRPr="00EF59EF">
          <w:rPr>
            <w:rStyle w:val="Hyperlink"/>
            <w:noProof/>
          </w:rPr>
          <w:t xml:space="preserve">Table 9: </w:t>
        </w:r>
        <w:r>
          <w:rPr>
            <w:rFonts w:asciiTheme="minorHAnsi" w:hAnsiTheme="minorHAnsi"/>
            <w:noProof/>
          </w:rPr>
          <w:tab/>
        </w:r>
        <w:r w:rsidRPr="00EF59EF">
          <w:rPr>
            <w:rStyle w:val="Hyperlink"/>
            <w:noProof/>
          </w:rPr>
          <w:t>History of use and controls of alpha hexachlorocyclohexane and beta hexachlorocyclohexane</w:t>
        </w:r>
        <w:r>
          <w:rPr>
            <w:noProof/>
            <w:webHidden/>
          </w:rPr>
          <w:tab/>
        </w:r>
        <w:r>
          <w:rPr>
            <w:noProof/>
            <w:webHidden/>
          </w:rPr>
          <w:fldChar w:fldCharType="begin"/>
        </w:r>
        <w:r>
          <w:rPr>
            <w:noProof/>
            <w:webHidden/>
          </w:rPr>
          <w:instrText xml:space="preserve"> PAGEREF _Toc120532274 \h </w:instrText>
        </w:r>
        <w:r>
          <w:rPr>
            <w:noProof/>
            <w:webHidden/>
          </w:rPr>
        </w:r>
        <w:r>
          <w:rPr>
            <w:noProof/>
            <w:webHidden/>
          </w:rPr>
          <w:fldChar w:fldCharType="separate"/>
        </w:r>
        <w:r w:rsidR="001C7C2E">
          <w:rPr>
            <w:noProof/>
            <w:webHidden/>
          </w:rPr>
          <w:t>33</w:t>
        </w:r>
        <w:r>
          <w:rPr>
            <w:noProof/>
            <w:webHidden/>
          </w:rPr>
          <w:fldChar w:fldCharType="end"/>
        </w:r>
      </w:hyperlink>
    </w:p>
    <w:p w14:paraId="2F1ABC07" w14:textId="7498627A" w:rsidR="00A22B1A" w:rsidRDefault="00A22B1A">
      <w:pPr>
        <w:pStyle w:val="TableofFigures"/>
        <w:tabs>
          <w:tab w:val="right" w:pos="8495"/>
        </w:tabs>
        <w:rPr>
          <w:rFonts w:asciiTheme="minorHAnsi" w:hAnsiTheme="minorHAnsi"/>
          <w:noProof/>
        </w:rPr>
      </w:pPr>
      <w:hyperlink w:anchor="_Toc120532275" w:history="1">
        <w:r w:rsidRPr="00EF59EF">
          <w:rPr>
            <w:rStyle w:val="Hyperlink"/>
            <w:noProof/>
          </w:rPr>
          <w:t xml:space="preserve">Table 10: </w:t>
        </w:r>
        <w:r>
          <w:rPr>
            <w:rFonts w:asciiTheme="minorHAnsi" w:hAnsiTheme="minorHAnsi"/>
            <w:noProof/>
          </w:rPr>
          <w:tab/>
        </w:r>
        <w:r w:rsidRPr="00EF59EF">
          <w:rPr>
            <w:rStyle w:val="Hyperlink"/>
            <w:noProof/>
          </w:rPr>
          <w:t>History of use and controls of chlordecone</w:t>
        </w:r>
        <w:r>
          <w:rPr>
            <w:noProof/>
            <w:webHidden/>
          </w:rPr>
          <w:tab/>
        </w:r>
        <w:r>
          <w:rPr>
            <w:noProof/>
            <w:webHidden/>
          </w:rPr>
          <w:fldChar w:fldCharType="begin"/>
        </w:r>
        <w:r>
          <w:rPr>
            <w:noProof/>
            <w:webHidden/>
          </w:rPr>
          <w:instrText xml:space="preserve"> PAGEREF _Toc120532275 \h </w:instrText>
        </w:r>
        <w:r>
          <w:rPr>
            <w:noProof/>
            <w:webHidden/>
          </w:rPr>
        </w:r>
        <w:r>
          <w:rPr>
            <w:noProof/>
            <w:webHidden/>
          </w:rPr>
          <w:fldChar w:fldCharType="separate"/>
        </w:r>
        <w:r w:rsidR="001C7C2E">
          <w:rPr>
            <w:noProof/>
            <w:webHidden/>
          </w:rPr>
          <w:t>33</w:t>
        </w:r>
        <w:r>
          <w:rPr>
            <w:noProof/>
            <w:webHidden/>
          </w:rPr>
          <w:fldChar w:fldCharType="end"/>
        </w:r>
      </w:hyperlink>
    </w:p>
    <w:p w14:paraId="2FAC134A" w14:textId="419D9DEA" w:rsidR="00A22B1A" w:rsidRDefault="00A22B1A">
      <w:pPr>
        <w:pStyle w:val="TableofFigures"/>
        <w:tabs>
          <w:tab w:val="right" w:pos="8495"/>
        </w:tabs>
        <w:rPr>
          <w:rFonts w:asciiTheme="minorHAnsi" w:hAnsiTheme="minorHAnsi"/>
          <w:noProof/>
        </w:rPr>
      </w:pPr>
      <w:hyperlink w:anchor="_Toc120532276" w:history="1">
        <w:r w:rsidRPr="00EF59EF">
          <w:rPr>
            <w:rStyle w:val="Hyperlink"/>
            <w:noProof/>
          </w:rPr>
          <w:t xml:space="preserve">Table 11: </w:t>
        </w:r>
        <w:r>
          <w:rPr>
            <w:rFonts w:asciiTheme="minorHAnsi" w:hAnsiTheme="minorHAnsi"/>
            <w:noProof/>
          </w:rPr>
          <w:tab/>
        </w:r>
        <w:r w:rsidRPr="00EF59EF">
          <w:rPr>
            <w:rStyle w:val="Hyperlink"/>
            <w:noProof/>
          </w:rPr>
          <w:t>History of use and controls of hexabromobiphenyl</w:t>
        </w:r>
        <w:r>
          <w:rPr>
            <w:noProof/>
            <w:webHidden/>
          </w:rPr>
          <w:tab/>
        </w:r>
        <w:r>
          <w:rPr>
            <w:noProof/>
            <w:webHidden/>
          </w:rPr>
          <w:fldChar w:fldCharType="begin"/>
        </w:r>
        <w:r>
          <w:rPr>
            <w:noProof/>
            <w:webHidden/>
          </w:rPr>
          <w:instrText xml:space="preserve"> PAGEREF _Toc120532276 \h </w:instrText>
        </w:r>
        <w:r>
          <w:rPr>
            <w:noProof/>
            <w:webHidden/>
          </w:rPr>
        </w:r>
        <w:r>
          <w:rPr>
            <w:noProof/>
            <w:webHidden/>
          </w:rPr>
          <w:fldChar w:fldCharType="separate"/>
        </w:r>
        <w:r w:rsidR="001C7C2E">
          <w:rPr>
            <w:noProof/>
            <w:webHidden/>
          </w:rPr>
          <w:t>34</w:t>
        </w:r>
        <w:r>
          <w:rPr>
            <w:noProof/>
            <w:webHidden/>
          </w:rPr>
          <w:fldChar w:fldCharType="end"/>
        </w:r>
      </w:hyperlink>
    </w:p>
    <w:p w14:paraId="776CCC71" w14:textId="1B0953E1" w:rsidR="00A22B1A" w:rsidRDefault="00A22B1A">
      <w:pPr>
        <w:pStyle w:val="TableofFigures"/>
        <w:tabs>
          <w:tab w:val="right" w:pos="8495"/>
        </w:tabs>
        <w:rPr>
          <w:rFonts w:asciiTheme="minorHAnsi" w:hAnsiTheme="minorHAnsi"/>
          <w:noProof/>
        </w:rPr>
      </w:pPr>
      <w:hyperlink w:anchor="_Toc120532277" w:history="1">
        <w:r w:rsidRPr="00EF59EF">
          <w:rPr>
            <w:rStyle w:val="Hyperlink"/>
            <w:noProof/>
          </w:rPr>
          <w:t xml:space="preserve">Table 12: </w:t>
        </w:r>
        <w:r>
          <w:rPr>
            <w:rFonts w:asciiTheme="minorHAnsi" w:hAnsiTheme="minorHAnsi"/>
            <w:noProof/>
          </w:rPr>
          <w:tab/>
        </w:r>
        <w:r w:rsidRPr="00EF59EF">
          <w:rPr>
            <w:rStyle w:val="Hyperlink"/>
            <w:noProof/>
          </w:rPr>
          <w:t>History of use and controls of Endosulfan</w:t>
        </w:r>
        <w:r>
          <w:rPr>
            <w:noProof/>
            <w:webHidden/>
          </w:rPr>
          <w:tab/>
        </w:r>
        <w:r>
          <w:rPr>
            <w:noProof/>
            <w:webHidden/>
          </w:rPr>
          <w:fldChar w:fldCharType="begin"/>
        </w:r>
        <w:r>
          <w:rPr>
            <w:noProof/>
            <w:webHidden/>
          </w:rPr>
          <w:instrText xml:space="preserve"> PAGEREF _Toc120532277 \h </w:instrText>
        </w:r>
        <w:r>
          <w:rPr>
            <w:noProof/>
            <w:webHidden/>
          </w:rPr>
        </w:r>
        <w:r>
          <w:rPr>
            <w:noProof/>
            <w:webHidden/>
          </w:rPr>
          <w:fldChar w:fldCharType="separate"/>
        </w:r>
        <w:r w:rsidR="001C7C2E">
          <w:rPr>
            <w:noProof/>
            <w:webHidden/>
          </w:rPr>
          <w:t>34</w:t>
        </w:r>
        <w:r>
          <w:rPr>
            <w:noProof/>
            <w:webHidden/>
          </w:rPr>
          <w:fldChar w:fldCharType="end"/>
        </w:r>
      </w:hyperlink>
    </w:p>
    <w:p w14:paraId="23EC0958" w14:textId="6BB753C2" w:rsidR="00A22B1A" w:rsidRDefault="00A22B1A">
      <w:pPr>
        <w:pStyle w:val="TableofFigures"/>
        <w:tabs>
          <w:tab w:val="right" w:pos="8495"/>
        </w:tabs>
        <w:rPr>
          <w:rFonts w:asciiTheme="minorHAnsi" w:hAnsiTheme="minorHAnsi"/>
          <w:noProof/>
        </w:rPr>
      </w:pPr>
      <w:hyperlink w:anchor="_Toc120532278" w:history="1">
        <w:r w:rsidRPr="00EF59EF">
          <w:rPr>
            <w:rStyle w:val="Hyperlink"/>
            <w:noProof/>
          </w:rPr>
          <w:t xml:space="preserve">Table 13: </w:t>
        </w:r>
        <w:r>
          <w:rPr>
            <w:rFonts w:asciiTheme="minorHAnsi" w:hAnsiTheme="minorHAnsi"/>
            <w:noProof/>
          </w:rPr>
          <w:tab/>
        </w:r>
        <w:r w:rsidRPr="00EF59EF">
          <w:rPr>
            <w:rStyle w:val="Hyperlink"/>
            <w:noProof/>
          </w:rPr>
          <w:t>History of use and controls of hexabromodiphenyl ether and heptabromodiphenyl ether</w:t>
        </w:r>
        <w:r>
          <w:rPr>
            <w:noProof/>
            <w:webHidden/>
          </w:rPr>
          <w:tab/>
        </w:r>
        <w:r>
          <w:rPr>
            <w:noProof/>
            <w:webHidden/>
          </w:rPr>
          <w:fldChar w:fldCharType="begin"/>
        </w:r>
        <w:r>
          <w:rPr>
            <w:noProof/>
            <w:webHidden/>
          </w:rPr>
          <w:instrText xml:space="preserve"> PAGEREF _Toc120532278 \h </w:instrText>
        </w:r>
        <w:r>
          <w:rPr>
            <w:noProof/>
            <w:webHidden/>
          </w:rPr>
        </w:r>
        <w:r>
          <w:rPr>
            <w:noProof/>
            <w:webHidden/>
          </w:rPr>
          <w:fldChar w:fldCharType="separate"/>
        </w:r>
        <w:r w:rsidR="001C7C2E">
          <w:rPr>
            <w:noProof/>
            <w:webHidden/>
          </w:rPr>
          <w:t>36</w:t>
        </w:r>
        <w:r>
          <w:rPr>
            <w:noProof/>
            <w:webHidden/>
          </w:rPr>
          <w:fldChar w:fldCharType="end"/>
        </w:r>
      </w:hyperlink>
    </w:p>
    <w:p w14:paraId="312F419F" w14:textId="0D86DA3D" w:rsidR="00A22B1A" w:rsidRDefault="00A22B1A">
      <w:pPr>
        <w:pStyle w:val="TableofFigures"/>
        <w:tabs>
          <w:tab w:val="right" w:pos="8495"/>
        </w:tabs>
        <w:rPr>
          <w:rFonts w:asciiTheme="minorHAnsi" w:hAnsiTheme="minorHAnsi"/>
          <w:noProof/>
        </w:rPr>
      </w:pPr>
      <w:hyperlink w:anchor="_Toc120532279" w:history="1">
        <w:r w:rsidRPr="00EF59EF">
          <w:rPr>
            <w:rStyle w:val="Hyperlink"/>
            <w:noProof/>
          </w:rPr>
          <w:t xml:space="preserve">Table 14: </w:t>
        </w:r>
        <w:r>
          <w:rPr>
            <w:rFonts w:asciiTheme="minorHAnsi" w:hAnsiTheme="minorHAnsi"/>
            <w:noProof/>
          </w:rPr>
          <w:tab/>
        </w:r>
        <w:r w:rsidRPr="00EF59EF">
          <w:rPr>
            <w:rStyle w:val="Hyperlink"/>
            <w:noProof/>
          </w:rPr>
          <w:t>History of use and controls of lindane</w:t>
        </w:r>
        <w:r>
          <w:rPr>
            <w:noProof/>
            <w:webHidden/>
          </w:rPr>
          <w:tab/>
        </w:r>
        <w:r>
          <w:rPr>
            <w:noProof/>
            <w:webHidden/>
          </w:rPr>
          <w:fldChar w:fldCharType="begin"/>
        </w:r>
        <w:r>
          <w:rPr>
            <w:noProof/>
            <w:webHidden/>
          </w:rPr>
          <w:instrText xml:space="preserve"> PAGEREF _Toc120532279 \h </w:instrText>
        </w:r>
        <w:r>
          <w:rPr>
            <w:noProof/>
            <w:webHidden/>
          </w:rPr>
        </w:r>
        <w:r>
          <w:rPr>
            <w:noProof/>
            <w:webHidden/>
          </w:rPr>
          <w:fldChar w:fldCharType="separate"/>
        </w:r>
        <w:r w:rsidR="001C7C2E">
          <w:rPr>
            <w:noProof/>
            <w:webHidden/>
          </w:rPr>
          <w:t>37</w:t>
        </w:r>
        <w:r>
          <w:rPr>
            <w:noProof/>
            <w:webHidden/>
          </w:rPr>
          <w:fldChar w:fldCharType="end"/>
        </w:r>
      </w:hyperlink>
    </w:p>
    <w:p w14:paraId="7CF543A1" w14:textId="0466FD2A" w:rsidR="00A22B1A" w:rsidRDefault="00A22B1A">
      <w:pPr>
        <w:pStyle w:val="TableofFigures"/>
        <w:tabs>
          <w:tab w:val="right" w:pos="8495"/>
        </w:tabs>
        <w:rPr>
          <w:rFonts w:asciiTheme="minorHAnsi" w:hAnsiTheme="minorHAnsi"/>
          <w:noProof/>
        </w:rPr>
      </w:pPr>
      <w:hyperlink w:anchor="_Toc120532280" w:history="1">
        <w:r w:rsidRPr="00EF59EF">
          <w:rPr>
            <w:rStyle w:val="Hyperlink"/>
            <w:noProof/>
          </w:rPr>
          <w:t xml:space="preserve">Table 15: </w:t>
        </w:r>
        <w:r>
          <w:rPr>
            <w:rFonts w:asciiTheme="minorHAnsi" w:hAnsiTheme="minorHAnsi"/>
            <w:noProof/>
          </w:rPr>
          <w:tab/>
        </w:r>
        <w:r w:rsidRPr="00EF59EF">
          <w:rPr>
            <w:rStyle w:val="Hyperlink"/>
            <w:noProof/>
          </w:rPr>
          <w:t>History of use and controls of pentachlorobenzene</w:t>
        </w:r>
        <w:r>
          <w:rPr>
            <w:noProof/>
            <w:webHidden/>
          </w:rPr>
          <w:tab/>
        </w:r>
        <w:r>
          <w:rPr>
            <w:noProof/>
            <w:webHidden/>
          </w:rPr>
          <w:fldChar w:fldCharType="begin"/>
        </w:r>
        <w:r>
          <w:rPr>
            <w:noProof/>
            <w:webHidden/>
          </w:rPr>
          <w:instrText xml:space="preserve"> PAGEREF _Toc120532280 \h </w:instrText>
        </w:r>
        <w:r>
          <w:rPr>
            <w:noProof/>
            <w:webHidden/>
          </w:rPr>
        </w:r>
        <w:r>
          <w:rPr>
            <w:noProof/>
            <w:webHidden/>
          </w:rPr>
          <w:fldChar w:fldCharType="separate"/>
        </w:r>
        <w:r w:rsidR="001C7C2E">
          <w:rPr>
            <w:noProof/>
            <w:webHidden/>
          </w:rPr>
          <w:t>37</w:t>
        </w:r>
        <w:r>
          <w:rPr>
            <w:noProof/>
            <w:webHidden/>
          </w:rPr>
          <w:fldChar w:fldCharType="end"/>
        </w:r>
      </w:hyperlink>
    </w:p>
    <w:p w14:paraId="683073A4" w14:textId="05B90E55" w:rsidR="00A22B1A" w:rsidRDefault="00A22B1A">
      <w:pPr>
        <w:pStyle w:val="TableofFigures"/>
        <w:tabs>
          <w:tab w:val="right" w:pos="8495"/>
        </w:tabs>
        <w:rPr>
          <w:rFonts w:asciiTheme="minorHAnsi" w:hAnsiTheme="minorHAnsi"/>
          <w:noProof/>
        </w:rPr>
      </w:pPr>
      <w:hyperlink w:anchor="_Toc120532281" w:history="1">
        <w:r w:rsidRPr="00EF59EF">
          <w:rPr>
            <w:rStyle w:val="Hyperlink"/>
            <w:noProof/>
          </w:rPr>
          <w:t>Table 16:</w:t>
        </w:r>
        <w:r>
          <w:rPr>
            <w:rFonts w:asciiTheme="minorHAnsi" w:hAnsiTheme="minorHAnsi"/>
            <w:noProof/>
          </w:rPr>
          <w:tab/>
        </w:r>
        <w:r w:rsidRPr="00EF59EF">
          <w:rPr>
            <w:rStyle w:val="Hyperlink"/>
            <w:noProof/>
          </w:rPr>
          <w:t>History of use and controls of perfluorooctane sulfonic acid (PFOS)</w:t>
        </w:r>
        <w:r>
          <w:rPr>
            <w:noProof/>
            <w:webHidden/>
          </w:rPr>
          <w:tab/>
        </w:r>
        <w:r>
          <w:rPr>
            <w:noProof/>
            <w:webHidden/>
          </w:rPr>
          <w:fldChar w:fldCharType="begin"/>
        </w:r>
        <w:r>
          <w:rPr>
            <w:noProof/>
            <w:webHidden/>
          </w:rPr>
          <w:instrText xml:space="preserve"> PAGEREF _Toc120532281 \h </w:instrText>
        </w:r>
        <w:r>
          <w:rPr>
            <w:noProof/>
            <w:webHidden/>
          </w:rPr>
        </w:r>
        <w:r>
          <w:rPr>
            <w:noProof/>
            <w:webHidden/>
          </w:rPr>
          <w:fldChar w:fldCharType="separate"/>
        </w:r>
        <w:r w:rsidR="001C7C2E">
          <w:rPr>
            <w:noProof/>
            <w:webHidden/>
          </w:rPr>
          <w:t>38</w:t>
        </w:r>
        <w:r>
          <w:rPr>
            <w:noProof/>
            <w:webHidden/>
          </w:rPr>
          <w:fldChar w:fldCharType="end"/>
        </w:r>
      </w:hyperlink>
    </w:p>
    <w:p w14:paraId="25D15A08" w14:textId="48CB2C0B" w:rsidR="00A22B1A" w:rsidRDefault="00A22B1A">
      <w:pPr>
        <w:pStyle w:val="TableofFigures"/>
        <w:tabs>
          <w:tab w:val="right" w:pos="8495"/>
        </w:tabs>
        <w:rPr>
          <w:rFonts w:asciiTheme="minorHAnsi" w:hAnsiTheme="minorHAnsi"/>
          <w:noProof/>
        </w:rPr>
      </w:pPr>
      <w:hyperlink w:anchor="_Toc120532282" w:history="1">
        <w:r w:rsidRPr="00EF59EF">
          <w:rPr>
            <w:rStyle w:val="Hyperlink"/>
            <w:noProof/>
          </w:rPr>
          <w:t xml:space="preserve">Table 17: </w:t>
        </w:r>
        <w:r>
          <w:rPr>
            <w:rFonts w:asciiTheme="minorHAnsi" w:hAnsiTheme="minorHAnsi"/>
            <w:noProof/>
          </w:rPr>
          <w:tab/>
        </w:r>
        <w:r w:rsidRPr="00EF59EF">
          <w:rPr>
            <w:rStyle w:val="Hyperlink"/>
            <w:noProof/>
          </w:rPr>
          <w:t>History of use and controls of tetrabromodiphenyl ether and pentabromodiphenyl ether</w:t>
        </w:r>
        <w:r>
          <w:rPr>
            <w:noProof/>
            <w:webHidden/>
          </w:rPr>
          <w:tab/>
        </w:r>
        <w:r>
          <w:rPr>
            <w:noProof/>
            <w:webHidden/>
          </w:rPr>
          <w:fldChar w:fldCharType="begin"/>
        </w:r>
        <w:r>
          <w:rPr>
            <w:noProof/>
            <w:webHidden/>
          </w:rPr>
          <w:instrText xml:space="preserve"> PAGEREF _Toc120532282 \h </w:instrText>
        </w:r>
        <w:r>
          <w:rPr>
            <w:noProof/>
            <w:webHidden/>
          </w:rPr>
        </w:r>
        <w:r>
          <w:rPr>
            <w:noProof/>
            <w:webHidden/>
          </w:rPr>
          <w:fldChar w:fldCharType="separate"/>
        </w:r>
        <w:r w:rsidR="001C7C2E">
          <w:rPr>
            <w:noProof/>
            <w:webHidden/>
          </w:rPr>
          <w:t>39</w:t>
        </w:r>
        <w:r>
          <w:rPr>
            <w:noProof/>
            <w:webHidden/>
          </w:rPr>
          <w:fldChar w:fldCharType="end"/>
        </w:r>
      </w:hyperlink>
    </w:p>
    <w:p w14:paraId="6B77BD9E" w14:textId="0FB464C8" w:rsidR="00A22B1A" w:rsidRDefault="00A22B1A">
      <w:pPr>
        <w:pStyle w:val="TableofFigures"/>
        <w:tabs>
          <w:tab w:val="right" w:pos="8495"/>
        </w:tabs>
        <w:rPr>
          <w:rFonts w:asciiTheme="minorHAnsi" w:hAnsiTheme="minorHAnsi"/>
          <w:noProof/>
        </w:rPr>
      </w:pPr>
      <w:hyperlink w:anchor="_Toc120532283" w:history="1">
        <w:r w:rsidRPr="00EF59EF">
          <w:rPr>
            <w:rStyle w:val="Hyperlink"/>
            <w:noProof/>
          </w:rPr>
          <w:t xml:space="preserve">Table 18: </w:t>
        </w:r>
        <w:r>
          <w:rPr>
            <w:rFonts w:asciiTheme="minorHAnsi" w:hAnsiTheme="minorHAnsi"/>
            <w:noProof/>
          </w:rPr>
          <w:tab/>
        </w:r>
        <w:r w:rsidRPr="00EF59EF">
          <w:rPr>
            <w:rStyle w:val="Hyperlink"/>
            <w:noProof/>
          </w:rPr>
          <w:t>History of use and controls of hexabromocyclododecane (HBCD)</w:t>
        </w:r>
        <w:r>
          <w:rPr>
            <w:noProof/>
            <w:webHidden/>
          </w:rPr>
          <w:tab/>
        </w:r>
        <w:r>
          <w:rPr>
            <w:noProof/>
            <w:webHidden/>
          </w:rPr>
          <w:fldChar w:fldCharType="begin"/>
        </w:r>
        <w:r>
          <w:rPr>
            <w:noProof/>
            <w:webHidden/>
          </w:rPr>
          <w:instrText xml:space="preserve"> PAGEREF _Toc120532283 \h </w:instrText>
        </w:r>
        <w:r>
          <w:rPr>
            <w:noProof/>
            <w:webHidden/>
          </w:rPr>
        </w:r>
        <w:r>
          <w:rPr>
            <w:noProof/>
            <w:webHidden/>
          </w:rPr>
          <w:fldChar w:fldCharType="separate"/>
        </w:r>
        <w:r w:rsidR="001C7C2E">
          <w:rPr>
            <w:noProof/>
            <w:webHidden/>
          </w:rPr>
          <w:t>40</w:t>
        </w:r>
        <w:r>
          <w:rPr>
            <w:noProof/>
            <w:webHidden/>
          </w:rPr>
          <w:fldChar w:fldCharType="end"/>
        </w:r>
      </w:hyperlink>
    </w:p>
    <w:p w14:paraId="6BB258FF" w14:textId="6EF559FC" w:rsidR="00A22B1A" w:rsidRDefault="00A22B1A">
      <w:pPr>
        <w:pStyle w:val="TableofFigures"/>
        <w:tabs>
          <w:tab w:val="right" w:pos="8495"/>
        </w:tabs>
        <w:rPr>
          <w:rFonts w:asciiTheme="minorHAnsi" w:hAnsiTheme="minorHAnsi"/>
          <w:noProof/>
        </w:rPr>
      </w:pPr>
      <w:hyperlink w:anchor="_Toc120532284" w:history="1">
        <w:r w:rsidRPr="00EF59EF">
          <w:rPr>
            <w:rStyle w:val="Hyperlink"/>
            <w:noProof/>
          </w:rPr>
          <w:t xml:space="preserve">Table 19: </w:t>
        </w:r>
        <w:r>
          <w:rPr>
            <w:rFonts w:asciiTheme="minorHAnsi" w:hAnsiTheme="minorHAnsi"/>
            <w:noProof/>
          </w:rPr>
          <w:tab/>
        </w:r>
        <w:r w:rsidRPr="00EF59EF">
          <w:rPr>
            <w:rStyle w:val="Hyperlink"/>
            <w:noProof/>
          </w:rPr>
          <w:t>History of use and controls of pentachlorophenol</w:t>
        </w:r>
        <w:r>
          <w:rPr>
            <w:noProof/>
            <w:webHidden/>
          </w:rPr>
          <w:tab/>
        </w:r>
        <w:r>
          <w:rPr>
            <w:noProof/>
            <w:webHidden/>
          </w:rPr>
          <w:fldChar w:fldCharType="begin"/>
        </w:r>
        <w:r>
          <w:rPr>
            <w:noProof/>
            <w:webHidden/>
          </w:rPr>
          <w:instrText xml:space="preserve"> PAGEREF _Toc120532284 \h </w:instrText>
        </w:r>
        <w:r>
          <w:rPr>
            <w:noProof/>
            <w:webHidden/>
          </w:rPr>
        </w:r>
        <w:r>
          <w:rPr>
            <w:noProof/>
            <w:webHidden/>
          </w:rPr>
          <w:fldChar w:fldCharType="separate"/>
        </w:r>
        <w:r w:rsidR="001C7C2E">
          <w:rPr>
            <w:noProof/>
            <w:webHidden/>
          </w:rPr>
          <w:t>43</w:t>
        </w:r>
        <w:r>
          <w:rPr>
            <w:noProof/>
            <w:webHidden/>
          </w:rPr>
          <w:fldChar w:fldCharType="end"/>
        </w:r>
      </w:hyperlink>
    </w:p>
    <w:p w14:paraId="340D1F8E" w14:textId="2BFBA57C" w:rsidR="00A22B1A" w:rsidRDefault="00A22B1A">
      <w:pPr>
        <w:pStyle w:val="TableofFigures"/>
        <w:tabs>
          <w:tab w:val="right" w:pos="8495"/>
        </w:tabs>
        <w:rPr>
          <w:rFonts w:asciiTheme="minorHAnsi" w:hAnsiTheme="minorHAnsi"/>
          <w:noProof/>
        </w:rPr>
      </w:pPr>
      <w:hyperlink w:anchor="_Toc120532285" w:history="1">
        <w:r w:rsidRPr="00EF59EF">
          <w:rPr>
            <w:rStyle w:val="Hyperlink"/>
            <w:noProof/>
          </w:rPr>
          <w:t xml:space="preserve">Table 20: </w:t>
        </w:r>
        <w:r>
          <w:rPr>
            <w:rFonts w:asciiTheme="minorHAnsi" w:hAnsiTheme="minorHAnsi"/>
            <w:noProof/>
          </w:rPr>
          <w:tab/>
        </w:r>
        <w:r w:rsidRPr="00EF59EF">
          <w:rPr>
            <w:rStyle w:val="Hyperlink"/>
            <w:noProof/>
          </w:rPr>
          <w:t>History of use and controls of hexachlorobutadiene</w:t>
        </w:r>
        <w:r>
          <w:rPr>
            <w:noProof/>
            <w:webHidden/>
          </w:rPr>
          <w:tab/>
        </w:r>
        <w:r>
          <w:rPr>
            <w:noProof/>
            <w:webHidden/>
          </w:rPr>
          <w:fldChar w:fldCharType="begin"/>
        </w:r>
        <w:r>
          <w:rPr>
            <w:noProof/>
            <w:webHidden/>
          </w:rPr>
          <w:instrText xml:space="preserve"> PAGEREF _Toc120532285 \h </w:instrText>
        </w:r>
        <w:r>
          <w:rPr>
            <w:noProof/>
            <w:webHidden/>
          </w:rPr>
        </w:r>
        <w:r>
          <w:rPr>
            <w:noProof/>
            <w:webHidden/>
          </w:rPr>
          <w:fldChar w:fldCharType="separate"/>
        </w:r>
        <w:r w:rsidR="001C7C2E">
          <w:rPr>
            <w:noProof/>
            <w:webHidden/>
          </w:rPr>
          <w:t>43</w:t>
        </w:r>
        <w:r>
          <w:rPr>
            <w:noProof/>
            <w:webHidden/>
          </w:rPr>
          <w:fldChar w:fldCharType="end"/>
        </w:r>
      </w:hyperlink>
    </w:p>
    <w:p w14:paraId="76805A3B" w14:textId="090EDEC6" w:rsidR="00A22B1A" w:rsidRDefault="00A22B1A">
      <w:pPr>
        <w:pStyle w:val="TableofFigures"/>
        <w:tabs>
          <w:tab w:val="right" w:pos="8495"/>
        </w:tabs>
        <w:rPr>
          <w:rFonts w:asciiTheme="minorHAnsi" w:hAnsiTheme="minorHAnsi"/>
          <w:noProof/>
        </w:rPr>
      </w:pPr>
      <w:hyperlink w:anchor="_Toc120532286" w:history="1">
        <w:r w:rsidRPr="00EF59EF">
          <w:rPr>
            <w:rStyle w:val="Hyperlink"/>
            <w:noProof/>
          </w:rPr>
          <w:t xml:space="preserve">Table 21: </w:t>
        </w:r>
        <w:r>
          <w:rPr>
            <w:rFonts w:asciiTheme="minorHAnsi" w:hAnsiTheme="minorHAnsi"/>
            <w:noProof/>
          </w:rPr>
          <w:tab/>
        </w:r>
        <w:r w:rsidRPr="00EF59EF">
          <w:rPr>
            <w:rStyle w:val="Hyperlink"/>
            <w:noProof/>
          </w:rPr>
          <w:t xml:space="preserve">History of use and controls of </w:t>
        </w:r>
        <w:r w:rsidRPr="00EF59EF">
          <w:rPr>
            <w:rStyle w:val="Hyperlink"/>
            <w:rFonts w:eastAsia="Times New Roman"/>
            <w:noProof/>
          </w:rPr>
          <w:t>p</w:t>
        </w:r>
        <w:r w:rsidRPr="00EF59EF">
          <w:rPr>
            <w:rStyle w:val="Hyperlink"/>
            <w:noProof/>
          </w:rPr>
          <w:t>olychlorinated naphthalenes</w:t>
        </w:r>
        <w:r>
          <w:rPr>
            <w:noProof/>
            <w:webHidden/>
          </w:rPr>
          <w:tab/>
        </w:r>
        <w:r>
          <w:rPr>
            <w:noProof/>
            <w:webHidden/>
          </w:rPr>
          <w:fldChar w:fldCharType="begin"/>
        </w:r>
        <w:r>
          <w:rPr>
            <w:noProof/>
            <w:webHidden/>
          </w:rPr>
          <w:instrText xml:space="preserve"> PAGEREF _Toc120532286 \h </w:instrText>
        </w:r>
        <w:r>
          <w:rPr>
            <w:noProof/>
            <w:webHidden/>
          </w:rPr>
        </w:r>
        <w:r>
          <w:rPr>
            <w:noProof/>
            <w:webHidden/>
          </w:rPr>
          <w:fldChar w:fldCharType="separate"/>
        </w:r>
        <w:r w:rsidR="001C7C2E">
          <w:rPr>
            <w:noProof/>
            <w:webHidden/>
          </w:rPr>
          <w:t>44</w:t>
        </w:r>
        <w:r>
          <w:rPr>
            <w:noProof/>
            <w:webHidden/>
          </w:rPr>
          <w:fldChar w:fldCharType="end"/>
        </w:r>
      </w:hyperlink>
    </w:p>
    <w:p w14:paraId="35128CDC" w14:textId="7D9D27E5" w:rsidR="00A22B1A" w:rsidRDefault="00A22B1A">
      <w:pPr>
        <w:pStyle w:val="TableofFigures"/>
        <w:tabs>
          <w:tab w:val="right" w:pos="8495"/>
        </w:tabs>
        <w:rPr>
          <w:rFonts w:asciiTheme="minorHAnsi" w:hAnsiTheme="minorHAnsi"/>
          <w:noProof/>
        </w:rPr>
      </w:pPr>
      <w:hyperlink w:anchor="_Toc120532287" w:history="1">
        <w:r w:rsidRPr="00EF59EF">
          <w:rPr>
            <w:rStyle w:val="Hyperlink"/>
            <w:noProof/>
          </w:rPr>
          <w:t xml:space="preserve">Table 22: </w:t>
        </w:r>
        <w:r>
          <w:rPr>
            <w:rFonts w:asciiTheme="minorHAnsi" w:hAnsiTheme="minorHAnsi"/>
            <w:noProof/>
          </w:rPr>
          <w:tab/>
        </w:r>
        <w:r w:rsidRPr="00EF59EF">
          <w:rPr>
            <w:rStyle w:val="Hyperlink"/>
            <w:noProof/>
          </w:rPr>
          <w:t>History of use and controls of c</w:t>
        </w:r>
        <w:r w:rsidRPr="00EF59EF">
          <w:rPr>
            <w:rStyle w:val="Hyperlink"/>
            <w:noProof/>
            <w:lang w:eastAsia="en-US"/>
          </w:rPr>
          <w:t>ommercial mixture decabromodiphenyl ether (</w:t>
        </w:r>
        <w:r w:rsidRPr="00EF59EF">
          <w:rPr>
            <w:rStyle w:val="Hyperlink"/>
            <w:rFonts w:eastAsia="Times New Roman"/>
            <w:noProof/>
          </w:rPr>
          <w:t>c</w:t>
        </w:r>
        <w:r w:rsidRPr="00EF59EF">
          <w:rPr>
            <w:rStyle w:val="Hyperlink"/>
            <w:rFonts w:eastAsia="Times New Roman"/>
            <w:noProof/>
          </w:rPr>
          <w:noBreakHyphen/>
          <w:t>decaBDE)</w:t>
        </w:r>
        <w:r>
          <w:rPr>
            <w:noProof/>
            <w:webHidden/>
          </w:rPr>
          <w:tab/>
        </w:r>
        <w:r>
          <w:rPr>
            <w:noProof/>
            <w:webHidden/>
          </w:rPr>
          <w:fldChar w:fldCharType="begin"/>
        </w:r>
        <w:r>
          <w:rPr>
            <w:noProof/>
            <w:webHidden/>
          </w:rPr>
          <w:instrText xml:space="preserve"> PAGEREF _Toc120532287 \h </w:instrText>
        </w:r>
        <w:r>
          <w:rPr>
            <w:noProof/>
            <w:webHidden/>
          </w:rPr>
        </w:r>
        <w:r>
          <w:rPr>
            <w:noProof/>
            <w:webHidden/>
          </w:rPr>
          <w:fldChar w:fldCharType="separate"/>
        </w:r>
        <w:r w:rsidR="001C7C2E">
          <w:rPr>
            <w:noProof/>
            <w:webHidden/>
          </w:rPr>
          <w:t>45</w:t>
        </w:r>
        <w:r>
          <w:rPr>
            <w:noProof/>
            <w:webHidden/>
          </w:rPr>
          <w:fldChar w:fldCharType="end"/>
        </w:r>
      </w:hyperlink>
    </w:p>
    <w:p w14:paraId="23B29E7A" w14:textId="41DFB0A9" w:rsidR="00A22B1A" w:rsidRDefault="00A22B1A">
      <w:pPr>
        <w:pStyle w:val="TableofFigures"/>
        <w:tabs>
          <w:tab w:val="right" w:pos="8495"/>
        </w:tabs>
        <w:rPr>
          <w:rFonts w:asciiTheme="minorHAnsi" w:hAnsiTheme="minorHAnsi"/>
          <w:noProof/>
        </w:rPr>
      </w:pPr>
      <w:hyperlink w:anchor="_Toc120532288" w:history="1">
        <w:r w:rsidRPr="00EF59EF">
          <w:rPr>
            <w:rStyle w:val="Hyperlink"/>
            <w:noProof/>
          </w:rPr>
          <w:t xml:space="preserve">Table 23: </w:t>
        </w:r>
        <w:r>
          <w:rPr>
            <w:rFonts w:asciiTheme="minorHAnsi" w:hAnsiTheme="minorHAnsi"/>
            <w:noProof/>
          </w:rPr>
          <w:tab/>
        </w:r>
        <w:r w:rsidRPr="00EF59EF">
          <w:rPr>
            <w:rStyle w:val="Hyperlink"/>
            <w:noProof/>
          </w:rPr>
          <w:t>History of use and controls of short-chain chlorinated paraffins</w:t>
        </w:r>
        <w:r>
          <w:rPr>
            <w:noProof/>
            <w:webHidden/>
          </w:rPr>
          <w:tab/>
        </w:r>
        <w:r>
          <w:rPr>
            <w:noProof/>
            <w:webHidden/>
          </w:rPr>
          <w:fldChar w:fldCharType="begin"/>
        </w:r>
        <w:r>
          <w:rPr>
            <w:noProof/>
            <w:webHidden/>
          </w:rPr>
          <w:instrText xml:space="preserve"> PAGEREF _Toc120532288 \h </w:instrText>
        </w:r>
        <w:r>
          <w:rPr>
            <w:noProof/>
            <w:webHidden/>
          </w:rPr>
        </w:r>
        <w:r>
          <w:rPr>
            <w:noProof/>
            <w:webHidden/>
          </w:rPr>
          <w:fldChar w:fldCharType="separate"/>
        </w:r>
        <w:r w:rsidR="001C7C2E">
          <w:rPr>
            <w:noProof/>
            <w:webHidden/>
          </w:rPr>
          <w:t>46</w:t>
        </w:r>
        <w:r>
          <w:rPr>
            <w:noProof/>
            <w:webHidden/>
          </w:rPr>
          <w:fldChar w:fldCharType="end"/>
        </w:r>
      </w:hyperlink>
    </w:p>
    <w:p w14:paraId="16767DE6" w14:textId="50923433" w:rsidR="00A22B1A" w:rsidRDefault="00A22B1A">
      <w:pPr>
        <w:pStyle w:val="TableofFigures"/>
        <w:tabs>
          <w:tab w:val="right" w:pos="8495"/>
        </w:tabs>
        <w:rPr>
          <w:rFonts w:asciiTheme="minorHAnsi" w:hAnsiTheme="minorHAnsi"/>
          <w:noProof/>
        </w:rPr>
      </w:pPr>
      <w:hyperlink w:anchor="_Toc120532289" w:history="1">
        <w:r w:rsidRPr="00EF59EF">
          <w:rPr>
            <w:rStyle w:val="Hyperlink"/>
            <w:noProof/>
          </w:rPr>
          <w:t xml:space="preserve">Table 24: </w:t>
        </w:r>
        <w:r>
          <w:rPr>
            <w:rFonts w:asciiTheme="minorHAnsi" w:hAnsiTheme="minorHAnsi"/>
            <w:noProof/>
          </w:rPr>
          <w:tab/>
        </w:r>
        <w:r w:rsidRPr="00EF59EF">
          <w:rPr>
            <w:rStyle w:val="Hyperlink"/>
            <w:noProof/>
          </w:rPr>
          <w:t>History of use and controls of dicofol</w:t>
        </w:r>
        <w:r>
          <w:rPr>
            <w:noProof/>
            <w:webHidden/>
          </w:rPr>
          <w:tab/>
        </w:r>
        <w:r>
          <w:rPr>
            <w:noProof/>
            <w:webHidden/>
          </w:rPr>
          <w:fldChar w:fldCharType="begin"/>
        </w:r>
        <w:r>
          <w:rPr>
            <w:noProof/>
            <w:webHidden/>
          </w:rPr>
          <w:instrText xml:space="preserve"> PAGEREF _Toc120532289 \h </w:instrText>
        </w:r>
        <w:r>
          <w:rPr>
            <w:noProof/>
            <w:webHidden/>
          </w:rPr>
        </w:r>
        <w:r>
          <w:rPr>
            <w:noProof/>
            <w:webHidden/>
          </w:rPr>
          <w:fldChar w:fldCharType="separate"/>
        </w:r>
        <w:r w:rsidR="001C7C2E">
          <w:rPr>
            <w:noProof/>
            <w:webHidden/>
          </w:rPr>
          <w:t>47</w:t>
        </w:r>
        <w:r>
          <w:rPr>
            <w:noProof/>
            <w:webHidden/>
          </w:rPr>
          <w:fldChar w:fldCharType="end"/>
        </w:r>
      </w:hyperlink>
    </w:p>
    <w:p w14:paraId="5AC89048" w14:textId="7DFC0476" w:rsidR="00A22B1A" w:rsidRDefault="00A22B1A">
      <w:pPr>
        <w:pStyle w:val="TableofFigures"/>
        <w:tabs>
          <w:tab w:val="right" w:pos="8495"/>
        </w:tabs>
        <w:rPr>
          <w:rFonts w:asciiTheme="minorHAnsi" w:hAnsiTheme="minorHAnsi"/>
          <w:noProof/>
        </w:rPr>
      </w:pPr>
      <w:hyperlink w:anchor="_Toc120532290" w:history="1">
        <w:r w:rsidRPr="00EF59EF">
          <w:rPr>
            <w:rStyle w:val="Hyperlink"/>
            <w:noProof/>
          </w:rPr>
          <w:t xml:space="preserve">Table 25: </w:t>
        </w:r>
        <w:r>
          <w:rPr>
            <w:rFonts w:asciiTheme="minorHAnsi" w:hAnsiTheme="minorHAnsi"/>
            <w:noProof/>
          </w:rPr>
          <w:tab/>
        </w:r>
        <w:r w:rsidRPr="00EF59EF">
          <w:rPr>
            <w:rStyle w:val="Hyperlink"/>
            <w:noProof/>
          </w:rPr>
          <w:t>History of use and controls of perfluorooctanoic acid (PFOA), its salts and PFOA-related compounds</w:t>
        </w:r>
        <w:r>
          <w:rPr>
            <w:noProof/>
            <w:webHidden/>
          </w:rPr>
          <w:tab/>
        </w:r>
        <w:r>
          <w:rPr>
            <w:noProof/>
            <w:webHidden/>
          </w:rPr>
          <w:fldChar w:fldCharType="begin"/>
        </w:r>
        <w:r>
          <w:rPr>
            <w:noProof/>
            <w:webHidden/>
          </w:rPr>
          <w:instrText xml:space="preserve"> PAGEREF _Toc120532290 \h </w:instrText>
        </w:r>
        <w:r>
          <w:rPr>
            <w:noProof/>
            <w:webHidden/>
          </w:rPr>
        </w:r>
        <w:r>
          <w:rPr>
            <w:noProof/>
            <w:webHidden/>
          </w:rPr>
          <w:fldChar w:fldCharType="separate"/>
        </w:r>
        <w:r w:rsidR="001C7C2E">
          <w:rPr>
            <w:noProof/>
            <w:webHidden/>
          </w:rPr>
          <w:t>49</w:t>
        </w:r>
        <w:r>
          <w:rPr>
            <w:noProof/>
            <w:webHidden/>
          </w:rPr>
          <w:fldChar w:fldCharType="end"/>
        </w:r>
      </w:hyperlink>
    </w:p>
    <w:p w14:paraId="5B540F0B" w14:textId="76BAB576" w:rsidR="00A22B1A" w:rsidRDefault="00A22B1A">
      <w:pPr>
        <w:pStyle w:val="TableofFigures"/>
        <w:tabs>
          <w:tab w:val="right" w:pos="8495"/>
        </w:tabs>
        <w:rPr>
          <w:rFonts w:asciiTheme="minorHAnsi" w:hAnsiTheme="minorHAnsi"/>
          <w:noProof/>
        </w:rPr>
      </w:pPr>
      <w:hyperlink w:anchor="_Toc120532291" w:history="1">
        <w:r w:rsidRPr="00EF59EF">
          <w:rPr>
            <w:rStyle w:val="Hyperlink"/>
            <w:noProof/>
          </w:rPr>
          <w:t xml:space="preserve">Table 26: </w:t>
        </w:r>
        <w:r>
          <w:rPr>
            <w:rFonts w:asciiTheme="minorHAnsi" w:hAnsiTheme="minorHAnsi"/>
            <w:noProof/>
          </w:rPr>
          <w:tab/>
        </w:r>
        <w:r w:rsidRPr="00EF59EF">
          <w:rPr>
            <w:rStyle w:val="Hyperlink"/>
            <w:noProof/>
          </w:rPr>
          <w:t>Chemicals listed in Annex C of the Convention</w:t>
        </w:r>
        <w:r>
          <w:rPr>
            <w:noProof/>
            <w:webHidden/>
          </w:rPr>
          <w:tab/>
        </w:r>
        <w:r>
          <w:rPr>
            <w:noProof/>
            <w:webHidden/>
          </w:rPr>
          <w:fldChar w:fldCharType="begin"/>
        </w:r>
        <w:r>
          <w:rPr>
            <w:noProof/>
            <w:webHidden/>
          </w:rPr>
          <w:instrText xml:space="preserve"> PAGEREF _Toc120532291 \h </w:instrText>
        </w:r>
        <w:r>
          <w:rPr>
            <w:noProof/>
            <w:webHidden/>
          </w:rPr>
        </w:r>
        <w:r>
          <w:rPr>
            <w:noProof/>
            <w:webHidden/>
          </w:rPr>
          <w:fldChar w:fldCharType="separate"/>
        </w:r>
        <w:r w:rsidR="001C7C2E">
          <w:rPr>
            <w:noProof/>
            <w:webHidden/>
          </w:rPr>
          <w:t>50</w:t>
        </w:r>
        <w:r>
          <w:rPr>
            <w:noProof/>
            <w:webHidden/>
          </w:rPr>
          <w:fldChar w:fldCharType="end"/>
        </w:r>
      </w:hyperlink>
    </w:p>
    <w:p w14:paraId="42D2009F" w14:textId="1D3A61F1" w:rsidR="00A22B1A" w:rsidRDefault="00A22B1A">
      <w:pPr>
        <w:pStyle w:val="TableofFigures"/>
        <w:tabs>
          <w:tab w:val="right" w:pos="8495"/>
        </w:tabs>
        <w:rPr>
          <w:rFonts w:asciiTheme="minorHAnsi" w:hAnsiTheme="minorHAnsi"/>
          <w:noProof/>
        </w:rPr>
      </w:pPr>
      <w:hyperlink w:anchor="_Toc120532292" w:history="1">
        <w:r w:rsidRPr="00EF59EF">
          <w:rPr>
            <w:rStyle w:val="Hyperlink"/>
            <w:noProof/>
          </w:rPr>
          <w:t xml:space="preserve">Table 27: </w:t>
        </w:r>
        <w:r>
          <w:rPr>
            <w:rFonts w:asciiTheme="minorHAnsi" w:hAnsiTheme="minorHAnsi"/>
            <w:noProof/>
          </w:rPr>
          <w:tab/>
        </w:r>
        <w:r w:rsidRPr="00EF59EF">
          <w:rPr>
            <w:rStyle w:val="Hyperlink"/>
            <w:noProof/>
          </w:rPr>
          <w:t>Summary of previous and current annual dioxin release inventories 1998, 2008, 2012 by source category</w:t>
        </w:r>
        <w:r>
          <w:rPr>
            <w:noProof/>
            <w:webHidden/>
          </w:rPr>
          <w:tab/>
        </w:r>
        <w:r>
          <w:rPr>
            <w:noProof/>
            <w:webHidden/>
          </w:rPr>
          <w:fldChar w:fldCharType="begin"/>
        </w:r>
        <w:r>
          <w:rPr>
            <w:noProof/>
            <w:webHidden/>
          </w:rPr>
          <w:instrText xml:space="preserve"> PAGEREF _Toc120532292 \h </w:instrText>
        </w:r>
        <w:r>
          <w:rPr>
            <w:noProof/>
            <w:webHidden/>
          </w:rPr>
        </w:r>
        <w:r>
          <w:rPr>
            <w:noProof/>
            <w:webHidden/>
          </w:rPr>
          <w:fldChar w:fldCharType="separate"/>
        </w:r>
        <w:r w:rsidR="001C7C2E">
          <w:rPr>
            <w:noProof/>
            <w:webHidden/>
          </w:rPr>
          <w:t>53</w:t>
        </w:r>
        <w:r>
          <w:rPr>
            <w:noProof/>
            <w:webHidden/>
          </w:rPr>
          <w:fldChar w:fldCharType="end"/>
        </w:r>
      </w:hyperlink>
    </w:p>
    <w:p w14:paraId="0D6EB59F" w14:textId="29E64A51" w:rsidR="00A22B1A" w:rsidRDefault="00A22B1A">
      <w:pPr>
        <w:pStyle w:val="TableofFigures"/>
        <w:tabs>
          <w:tab w:val="right" w:pos="8495"/>
        </w:tabs>
        <w:rPr>
          <w:rFonts w:asciiTheme="minorHAnsi" w:hAnsiTheme="minorHAnsi"/>
          <w:noProof/>
        </w:rPr>
      </w:pPr>
      <w:hyperlink w:anchor="_Toc120532293" w:history="1">
        <w:r w:rsidRPr="00EF59EF">
          <w:rPr>
            <w:rStyle w:val="Hyperlink"/>
            <w:noProof/>
          </w:rPr>
          <w:t xml:space="preserve">Table 28: </w:t>
        </w:r>
        <w:r>
          <w:rPr>
            <w:rFonts w:asciiTheme="minorHAnsi" w:hAnsiTheme="minorHAnsi"/>
            <w:noProof/>
          </w:rPr>
          <w:tab/>
        </w:r>
        <w:r w:rsidRPr="00EF59EF">
          <w:rPr>
            <w:rStyle w:val="Hyperlink"/>
            <w:noProof/>
          </w:rPr>
          <w:t>Contaminated land management guidelines and description</w:t>
        </w:r>
        <w:r>
          <w:rPr>
            <w:noProof/>
            <w:webHidden/>
          </w:rPr>
          <w:tab/>
        </w:r>
        <w:r>
          <w:rPr>
            <w:noProof/>
            <w:webHidden/>
          </w:rPr>
          <w:fldChar w:fldCharType="begin"/>
        </w:r>
        <w:r>
          <w:rPr>
            <w:noProof/>
            <w:webHidden/>
          </w:rPr>
          <w:instrText xml:space="preserve"> PAGEREF _Toc120532293 \h </w:instrText>
        </w:r>
        <w:r>
          <w:rPr>
            <w:noProof/>
            <w:webHidden/>
          </w:rPr>
        </w:r>
        <w:r>
          <w:rPr>
            <w:noProof/>
            <w:webHidden/>
          </w:rPr>
          <w:fldChar w:fldCharType="separate"/>
        </w:r>
        <w:r w:rsidR="001C7C2E">
          <w:rPr>
            <w:noProof/>
            <w:webHidden/>
          </w:rPr>
          <w:t>64</w:t>
        </w:r>
        <w:r>
          <w:rPr>
            <w:noProof/>
            <w:webHidden/>
          </w:rPr>
          <w:fldChar w:fldCharType="end"/>
        </w:r>
      </w:hyperlink>
    </w:p>
    <w:p w14:paraId="6B3A50C7" w14:textId="44797B6F" w:rsidR="00A22B1A" w:rsidRDefault="00A22B1A">
      <w:pPr>
        <w:pStyle w:val="TableofFigures"/>
        <w:tabs>
          <w:tab w:val="right" w:pos="8495"/>
        </w:tabs>
        <w:rPr>
          <w:rFonts w:asciiTheme="minorHAnsi" w:hAnsiTheme="minorHAnsi"/>
          <w:noProof/>
        </w:rPr>
      </w:pPr>
      <w:hyperlink w:anchor="_Toc120532294" w:history="1">
        <w:r w:rsidRPr="00EF59EF">
          <w:rPr>
            <w:rStyle w:val="Hyperlink"/>
            <w:noProof/>
          </w:rPr>
          <w:t xml:space="preserve">Table 29: </w:t>
        </w:r>
        <w:r>
          <w:rPr>
            <w:rFonts w:asciiTheme="minorHAnsi" w:hAnsiTheme="minorHAnsi"/>
            <w:noProof/>
          </w:rPr>
          <w:tab/>
        </w:r>
        <w:r w:rsidRPr="00EF59EF">
          <w:rPr>
            <w:rStyle w:val="Hyperlink"/>
            <w:noProof/>
          </w:rPr>
          <w:t>DDT contained residue in samples (milligrams per kilogram)</w:t>
        </w:r>
        <w:r>
          <w:rPr>
            <w:noProof/>
            <w:webHidden/>
          </w:rPr>
          <w:tab/>
        </w:r>
        <w:r>
          <w:rPr>
            <w:noProof/>
            <w:webHidden/>
          </w:rPr>
          <w:fldChar w:fldCharType="begin"/>
        </w:r>
        <w:r>
          <w:rPr>
            <w:noProof/>
            <w:webHidden/>
          </w:rPr>
          <w:instrText xml:space="preserve"> PAGEREF _Toc120532294 \h </w:instrText>
        </w:r>
        <w:r>
          <w:rPr>
            <w:noProof/>
            <w:webHidden/>
          </w:rPr>
        </w:r>
        <w:r>
          <w:rPr>
            <w:noProof/>
            <w:webHidden/>
          </w:rPr>
          <w:fldChar w:fldCharType="separate"/>
        </w:r>
        <w:r w:rsidR="001C7C2E">
          <w:rPr>
            <w:noProof/>
            <w:webHidden/>
          </w:rPr>
          <w:t>72</w:t>
        </w:r>
        <w:r>
          <w:rPr>
            <w:noProof/>
            <w:webHidden/>
          </w:rPr>
          <w:fldChar w:fldCharType="end"/>
        </w:r>
      </w:hyperlink>
    </w:p>
    <w:p w14:paraId="3739CF17" w14:textId="0CC0DA2E" w:rsidR="00A22B1A" w:rsidRDefault="00A22B1A">
      <w:pPr>
        <w:pStyle w:val="TableofFigures"/>
        <w:tabs>
          <w:tab w:val="right" w:pos="8495"/>
        </w:tabs>
        <w:rPr>
          <w:rFonts w:asciiTheme="minorHAnsi" w:hAnsiTheme="minorHAnsi"/>
          <w:noProof/>
        </w:rPr>
      </w:pPr>
      <w:hyperlink w:anchor="_Toc120532295" w:history="1">
        <w:r w:rsidRPr="00EF59EF">
          <w:rPr>
            <w:rStyle w:val="Hyperlink"/>
            <w:noProof/>
          </w:rPr>
          <w:t xml:space="preserve">Table 30: </w:t>
        </w:r>
        <w:r>
          <w:rPr>
            <w:rFonts w:asciiTheme="minorHAnsi" w:hAnsiTheme="minorHAnsi"/>
            <w:noProof/>
          </w:rPr>
          <w:tab/>
        </w:r>
        <w:r w:rsidRPr="00EF59EF">
          <w:rPr>
            <w:rStyle w:val="Hyperlink"/>
            <w:noProof/>
          </w:rPr>
          <w:t>New Zealand’s National Reports</w:t>
        </w:r>
        <w:r>
          <w:rPr>
            <w:noProof/>
            <w:webHidden/>
          </w:rPr>
          <w:tab/>
        </w:r>
        <w:r>
          <w:rPr>
            <w:noProof/>
            <w:webHidden/>
          </w:rPr>
          <w:fldChar w:fldCharType="begin"/>
        </w:r>
        <w:r>
          <w:rPr>
            <w:noProof/>
            <w:webHidden/>
          </w:rPr>
          <w:instrText xml:space="preserve"> PAGEREF _Toc120532295 \h </w:instrText>
        </w:r>
        <w:r>
          <w:rPr>
            <w:noProof/>
            <w:webHidden/>
          </w:rPr>
        </w:r>
        <w:r>
          <w:rPr>
            <w:noProof/>
            <w:webHidden/>
          </w:rPr>
          <w:fldChar w:fldCharType="separate"/>
        </w:r>
        <w:r w:rsidR="001C7C2E">
          <w:rPr>
            <w:noProof/>
            <w:webHidden/>
          </w:rPr>
          <w:t>79</w:t>
        </w:r>
        <w:r>
          <w:rPr>
            <w:noProof/>
            <w:webHidden/>
          </w:rPr>
          <w:fldChar w:fldCharType="end"/>
        </w:r>
      </w:hyperlink>
    </w:p>
    <w:p w14:paraId="1ECA76B2" w14:textId="3FCA754E" w:rsidR="007627F3" w:rsidRPr="00F525EE" w:rsidRDefault="004943C2" w:rsidP="00E27C01">
      <w:pPr>
        <w:pStyle w:val="BodyText"/>
        <w:rPr>
          <w:shd w:val="clear" w:color="auto" w:fill="E6E6E6"/>
        </w:rPr>
      </w:pPr>
      <w:r w:rsidRPr="00582EF5">
        <w:rPr>
          <w:color w:val="2B579A"/>
          <w:shd w:val="clear" w:color="auto" w:fill="E6E6E6"/>
        </w:rPr>
        <w:fldChar w:fldCharType="end"/>
      </w:r>
    </w:p>
    <w:p w14:paraId="0F13ED23" w14:textId="77777777" w:rsidR="00F525EE" w:rsidRPr="00582EF5" w:rsidRDefault="00F525EE" w:rsidP="00E27C01">
      <w:pPr>
        <w:pStyle w:val="BodyText"/>
      </w:pPr>
    </w:p>
    <w:p w14:paraId="58384076" w14:textId="7E6F547F" w:rsidR="00532334" w:rsidRPr="00582EF5" w:rsidRDefault="00B1728D" w:rsidP="004B7C47">
      <w:pPr>
        <w:pStyle w:val="Heading"/>
      </w:pPr>
      <w:r w:rsidRPr="00582EF5">
        <w:t>Figures</w:t>
      </w:r>
    </w:p>
    <w:p w14:paraId="7AAB5882" w14:textId="62C9547F" w:rsidR="00A22B1A" w:rsidRDefault="004943C2">
      <w:pPr>
        <w:pStyle w:val="TableofFigures"/>
        <w:tabs>
          <w:tab w:val="right" w:pos="8495"/>
        </w:tabs>
        <w:rPr>
          <w:rFonts w:asciiTheme="minorHAnsi" w:hAnsiTheme="minorHAnsi"/>
          <w:noProof/>
        </w:rPr>
      </w:pPr>
      <w:r w:rsidRPr="00582EF5">
        <w:rPr>
          <w:color w:val="2B579A"/>
          <w:shd w:val="clear" w:color="auto" w:fill="E6E6E6"/>
        </w:rPr>
        <w:fldChar w:fldCharType="begin"/>
      </w:r>
      <w:r w:rsidRPr="00582EF5">
        <w:instrText xml:space="preserve"> TOC \h \z \t "Figure heading" \c </w:instrText>
      </w:r>
      <w:r w:rsidRPr="00582EF5">
        <w:rPr>
          <w:color w:val="2B579A"/>
          <w:shd w:val="clear" w:color="auto" w:fill="E6E6E6"/>
        </w:rPr>
        <w:fldChar w:fldCharType="separate"/>
      </w:r>
      <w:hyperlink w:anchor="_Toc120532296" w:history="1">
        <w:r w:rsidR="00A22B1A" w:rsidRPr="00963C9D">
          <w:rPr>
            <w:rStyle w:val="Hyperlink"/>
            <w:noProof/>
          </w:rPr>
          <w:t xml:space="preserve">Figure 1: </w:t>
        </w:r>
        <w:r w:rsidR="00A22B1A">
          <w:rPr>
            <w:rFonts w:asciiTheme="minorHAnsi" w:hAnsiTheme="minorHAnsi"/>
            <w:noProof/>
          </w:rPr>
          <w:tab/>
        </w:r>
        <w:r w:rsidR="00A22B1A" w:rsidRPr="00963C9D">
          <w:rPr>
            <w:rStyle w:val="Hyperlink"/>
            <w:noProof/>
          </w:rPr>
          <w:t>New Zealand bromodiphenyl ether profile, 1978–2010</w:t>
        </w:r>
        <w:r w:rsidR="00A22B1A">
          <w:rPr>
            <w:noProof/>
            <w:webHidden/>
          </w:rPr>
          <w:tab/>
        </w:r>
        <w:r w:rsidR="00A22B1A">
          <w:rPr>
            <w:noProof/>
            <w:webHidden/>
          </w:rPr>
          <w:fldChar w:fldCharType="begin"/>
        </w:r>
        <w:r w:rsidR="00A22B1A">
          <w:rPr>
            <w:noProof/>
            <w:webHidden/>
          </w:rPr>
          <w:instrText xml:space="preserve"> PAGEREF _Toc120532296 \h </w:instrText>
        </w:r>
        <w:r w:rsidR="00A22B1A">
          <w:rPr>
            <w:noProof/>
            <w:webHidden/>
          </w:rPr>
        </w:r>
        <w:r w:rsidR="00A22B1A">
          <w:rPr>
            <w:noProof/>
            <w:webHidden/>
          </w:rPr>
          <w:fldChar w:fldCharType="separate"/>
        </w:r>
        <w:r w:rsidR="001C7C2E">
          <w:rPr>
            <w:noProof/>
            <w:webHidden/>
          </w:rPr>
          <w:t>36</w:t>
        </w:r>
        <w:r w:rsidR="00A22B1A">
          <w:rPr>
            <w:noProof/>
            <w:webHidden/>
          </w:rPr>
          <w:fldChar w:fldCharType="end"/>
        </w:r>
      </w:hyperlink>
    </w:p>
    <w:p w14:paraId="1A6F61D3" w14:textId="14B36669" w:rsidR="00A22B1A" w:rsidRDefault="00A22B1A">
      <w:pPr>
        <w:pStyle w:val="TableofFigures"/>
        <w:tabs>
          <w:tab w:val="right" w:pos="8495"/>
        </w:tabs>
        <w:rPr>
          <w:rFonts w:asciiTheme="minorHAnsi" w:hAnsiTheme="minorHAnsi"/>
          <w:noProof/>
        </w:rPr>
      </w:pPr>
      <w:hyperlink w:anchor="_Toc120532297" w:history="1">
        <w:r w:rsidRPr="00963C9D">
          <w:rPr>
            <w:rStyle w:val="Hyperlink"/>
            <w:noProof/>
          </w:rPr>
          <w:t xml:space="preserve">Figure 2: </w:t>
        </w:r>
        <w:r>
          <w:rPr>
            <w:rFonts w:asciiTheme="minorHAnsi" w:hAnsiTheme="minorHAnsi"/>
            <w:noProof/>
          </w:rPr>
          <w:tab/>
        </w:r>
        <w:r w:rsidRPr="00963C9D">
          <w:rPr>
            <w:rStyle w:val="Hyperlink"/>
            <w:noProof/>
          </w:rPr>
          <w:t>Simple model of expanded polystyrene construction product manufacturing in New Zealand, and the associated hexabromocyclododecane-containing wastes arising over time</w:t>
        </w:r>
        <w:r>
          <w:rPr>
            <w:noProof/>
            <w:webHidden/>
          </w:rPr>
          <w:tab/>
        </w:r>
        <w:r>
          <w:rPr>
            <w:noProof/>
            <w:webHidden/>
          </w:rPr>
          <w:fldChar w:fldCharType="begin"/>
        </w:r>
        <w:r>
          <w:rPr>
            <w:noProof/>
            <w:webHidden/>
          </w:rPr>
          <w:instrText xml:space="preserve"> PAGEREF _Toc120532297 \h </w:instrText>
        </w:r>
        <w:r>
          <w:rPr>
            <w:noProof/>
            <w:webHidden/>
          </w:rPr>
        </w:r>
        <w:r>
          <w:rPr>
            <w:noProof/>
            <w:webHidden/>
          </w:rPr>
          <w:fldChar w:fldCharType="separate"/>
        </w:r>
        <w:r w:rsidR="001C7C2E">
          <w:rPr>
            <w:noProof/>
            <w:webHidden/>
          </w:rPr>
          <w:t>42</w:t>
        </w:r>
        <w:r>
          <w:rPr>
            <w:noProof/>
            <w:webHidden/>
          </w:rPr>
          <w:fldChar w:fldCharType="end"/>
        </w:r>
      </w:hyperlink>
    </w:p>
    <w:p w14:paraId="0B40BDC1" w14:textId="3E089306" w:rsidR="008A2FF1" w:rsidRPr="00F525EE" w:rsidRDefault="004943C2" w:rsidP="004B7C47">
      <w:pPr>
        <w:pStyle w:val="BodyText"/>
        <w:rPr>
          <w:shd w:val="clear" w:color="auto" w:fill="E6E6E6"/>
        </w:rPr>
      </w:pPr>
      <w:r w:rsidRPr="00582EF5">
        <w:rPr>
          <w:color w:val="2B579A"/>
          <w:shd w:val="clear" w:color="auto" w:fill="E6E6E6"/>
        </w:rPr>
        <w:fldChar w:fldCharType="end"/>
      </w:r>
    </w:p>
    <w:p w14:paraId="6AE85649" w14:textId="77777777" w:rsidR="00FF6E25" w:rsidRPr="00582EF5" w:rsidRDefault="00FF6E25" w:rsidP="004B7C47">
      <w:pPr>
        <w:pStyle w:val="BodyText"/>
      </w:pPr>
    </w:p>
    <w:p w14:paraId="513DE586" w14:textId="2D42FAFA" w:rsidR="001A3C39" w:rsidRPr="00582EF5" w:rsidRDefault="001A3C39" w:rsidP="004B7C47">
      <w:pPr>
        <w:pStyle w:val="Heading"/>
      </w:pPr>
      <w:bookmarkStart w:id="0" w:name="_Toc215561202"/>
      <w:r w:rsidRPr="00582EF5">
        <w:t>Boxes</w:t>
      </w:r>
    </w:p>
    <w:p w14:paraId="6DF11E38" w14:textId="1736592D" w:rsidR="00F525EE" w:rsidRDefault="001A4F87">
      <w:pPr>
        <w:pStyle w:val="TableofFigures"/>
        <w:tabs>
          <w:tab w:val="right" w:pos="8495"/>
        </w:tabs>
        <w:rPr>
          <w:rFonts w:asciiTheme="minorHAnsi" w:hAnsiTheme="minorHAnsi"/>
          <w:noProof/>
        </w:rPr>
      </w:pPr>
      <w:r w:rsidRPr="00582EF5">
        <w:rPr>
          <w:rStyle w:val="Hyperlink"/>
        </w:rPr>
        <w:fldChar w:fldCharType="begin"/>
      </w:r>
      <w:r w:rsidRPr="00582EF5">
        <w:rPr>
          <w:rStyle w:val="Hyperlink"/>
        </w:rPr>
        <w:instrText xml:space="preserve"> TOC \h \z \t "Blue box heading" \c </w:instrText>
      </w:r>
      <w:r w:rsidRPr="00582EF5">
        <w:rPr>
          <w:rStyle w:val="Hyperlink"/>
        </w:rPr>
        <w:fldChar w:fldCharType="separate"/>
      </w:r>
      <w:hyperlink w:anchor="_Toc120523646" w:history="1">
        <w:r w:rsidR="00F525EE" w:rsidRPr="00CB754F">
          <w:rPr>
            <w:rStyle w:val="Hyperlink"/>
            <w:noProof/>
          </w:rPr>
          <w:t xml:space="preserve">Box 1: </w:t>
        </w:r>
        <w:r w:rsidR="00F525EE">
          <w:rPr>
            <w:rStyle w:val="Hyperlink"/>
            <w:noProof/>
          </w:rPr>
          <w:tab/>
        </w:r>
        <w:r w:rsidR="00F525EE" w:rsidRPr="00CB754F">
          <w:rPr>
            <w:rStyle w:val="Hyperlink"/>
            <w:noProof/>
          </w:rPr>
          <w:t>Updated action plan for dioxins and other Annex C chemicals</w:t>
        </w:r>
        <w:r w:rsidR="00F525EE">
          <w:rPr>
            <w:noProof/>
            <w:webHidden/>
          </w:rPr>
          <w:tab/>
        </w:r>
        <w:r w:rsidR="00F525EE">
          <w:rPr>
            <w:noProof/>
            <w:webHidden/>
          </w:rPr>
          <w:fldChar w:fldCharType="begin"/>
        </w:r>
        <w:r w:rsidR="00F525EE">
          <w:rPr>
            <w:noProof/>
            <w:webHidden/>
          </w:rPr>
          <w:instrText xml:space="preserve"> PAGEREF _Toc120523646 \h </w:instrText>
        </w:r>
        <w:r w:rsidR="00F525EE">
          <w:rPr>
            <w:noProof/>
            <w:webHidden/>
          </w:rPr>
        </w:r>
        <w:r w:rsidR="00F525EE">
          <w:rPr>
            <w:noProof/>
            <w:webHidden/>
          </w:rPr>
          <w:fldChar w:fldCharType="separate"/>
        </w:r>
        <w:r w:rsidR="001C7C2E">
          <w:rPr>
            <w:noProof/>
            <w:webHidden/>
          </w:rPr>
          <w:t>51</w:t>
        </w:r>
        <w:r w:rsidR="00F525EE">
          <w:rPr>
            <w:noProof/>
            <w:webHidden/>
          </w:rPr>
          <w:fldChar w:fldCharType="end"/>
        </w:r>
      </w:hyperlink>
    </w:p>
    <w:p w14:paraId="56213723" w14:textId="15B3AF32" w:rsidR="00F525EE" w:rsidRDefault="00F525EE">
      <w:pPr>
        <w:pStyle w:val="TableofFigures"/>
        <w:tabs>
          <w:tab w:val="right" w:pos="8495"/>
        </w:tabs>
        <w:rPr>
          <w:rFonts w:asciiTheme="minorHAnsi" w:hAnsiTheme="minorHAnsi"/>
          <w:noProof/>
        </w:rPr>
      </w:pPr>
      <w:hyperlink w:anchor="_Toc120523647" w:history="1">
        <w:r w:rsidRPr="00CB754F">
          <w:rPr>
            <w:rStyle w:val="Hyperlink"/>
            <w:noProof/>
          </w:rPr>
          <w:t xml:space="preserve">Box 2: </w:t>
        </w:r>
        <w:r>
          <w:rPr>
            <w:rStyle w:val="Hyperlink"/>
            <w:noProof/>
          </w:rPr>
          <w:tab/>
        </w:r>
        <w:r w:rsidRPr="00CB754F">
          <w:rPr>
            <w:rStyle w:val="Hyperlink"/>
            <w:noProof/>
          </w:rPr>
          <w:t>Investigation of brominated flame retardants present in articles being used, recycled and disposed of in New Zealand</w:t>
        </w:r>
        <w:r>
          <w:rPr>
            <w:noProof/>
            <w:webHidden/>
          </w:rPr>
          <w:tab/>
        </w:r>
        <w:r>
          <w:rPr>
            <w:noProof/>
            <w:webHidden/>
          </w:rPr>
          <w:fldChar w:fldCharType="begin"/>
        </w:r>
        <w:r>
          <w:rPr>
            <w:noProof/>
            <w:webHidden/>
          </w:rPr>
          <w:instrText xml:space="preserve"> PAGEREF _Toc120523647 \h </w:instrText>
        </w:r>
        <w:r>
          <w:rPr>
            <w:noProof/>
            <w:webHidden/>
          </w:rPr>
        </w:r>
        <w:r>
          <w:rPr>
            <w:noProof/>
            <w:webHidden/>
          </w:rPr>
          <w:fldChar w:fldCharType="separate"/>
        </w:r>
        <w:r w:rsidR="001C7C2E">
          <w:rPr>
            <w:noProof/>
            <w:webHidden/>
          </w:rPr>
          <w:t>61</w:t>
        </w:r>
        <w:r>
          <w:rPr>
            <w:noProof/>
            <w:webHidden/>
          </w:rPr>
          <w:fldChar w:fldCharType="end"/>
        </w:r>
      </w:hyperlink>
    </w:p>
    <w:p w14:paraId="534D3007" w14:textId="36729D72" w:rsidR="00F525EE" w:rsidRDefault="00F525EE">
      <w:pPr>
        <w:pStyle w:val="TableofFigures"/>
        <w:tabs>
          <w:tab w:val="right" w:pos="8495"/>
        </w:tabs>
        <w:rPr>
          <w:rFonts w:asciiTheme="minorHAnsi" w:hAnsiTheme="minorHAnsi"/>
          <w:noProof/>
        </w:rPr>
      </w:pPr>
      <w:hyperlink w:anchor="_Toc120523648" w:history="1">
        <w:r w:rsidRPr="00CB754F">
          <w:rPr>
            <w:rStyle w:val="Hyperlink"/>
            <w:noProof/>
          </w:rPr>
          <w:t xml:space="preserve">Box 3: </w:t>
        </w:r>
        <w:r>
          <w:rPr>
            <w:rStyle w:val="Hyperlink"/>
            <w:noProof/>
          </w:rPr>
          <w:tab/>
        </w:r>
        <w:r w:rsidRPr="00CB754F">
          <w:rPr>
            <w:rStyle w:val="Hyperlink"/>
            <w:noProof/>
          </w:rPr>
          <w:t>Brominated flame-retardant research: A cost-benefit analysis of sorting options for e</w:t>
        </w:r>
        <w:r w:rsidRPr="00CB754F">
          <w:rPr>
            <w:rStyle w:val="Hyperlink"/>
            <w:noProof/>
          </w:rPr>
          <w:noBreakHyphen/>
          <w:t>waste plastics</w:t>
        </w:r>
        <w:r>
          <w:rPr>
            <w:noProof/>
            <w:webHidden/>
          </w:rPr>
          <w:tab/>
        </w:r>
        <w:r>
          <w:rPr>
            <w:noProof/>
            <w:webHidden/>
          </w:rPr>
          <w:fldChar w:fldCharType="begin"/>
        </w:r>
        <w:r>
          <w:rPr>
            <w:noProof/>
            <w:webHidden/>
          </w:rPr>
          <w:instrText xml:space="preserve"> PAGEREF _Toc120523648 \h </w:instrText>
        </w:r>
        <w:r>
          <w:rPr>
            <w:noProof/>
            <w:webHidden/>
          </w:rPr>
        </w:r>
        <w:r>
          <w:rPr>
            <w:noProof/>
            <w:webHidden/>
          </w:rPr>
          <w:fldChar w:fldCharType="separate"/>
        </w:r>
        <w:r w:rsidR="001C7C2E">
          <w:rPr>
            <w:noProof/>
            <w:webHidden/>
          </w:rPr>
          <w:t>61</w:t>
        </w:r>
        <w:r>
          <w:rPr>
            <w:noProof/>
            <w:webHidden/>
          </w:rPr>
          <w:fldChar w:fldCharType="end"/>
        </w:r>
      </w:hyperlink>
    </w:p>
    <w:p w14:paraId="53384F1D" w14:textId="66B88E65" w:rsidR="00F525EE" w:rsidRDefault="00F525EE">
      <w:pPr>
        <w:pStyle w:val="TableofFigures"/>
        <w:tabs>
          <w:tab w:val="right" w:pos="8495"/>
        </w:tabs>
        <w:rPr>
          <w:rFonts w:asciiTheme="minorHAnsi" w:hAnsiTheme="minorHAnsi"/>
          <w:noProof/>
        </w:rPr>
      </w:pPr>
      <w:hyperlink w:anchor="_Toc120523649" w:history="1">
        <w:r w:rsidRPr="00CB754F">
          <w:rPr>
            <w:rStyle w:val="Hyperlink"/>
            <w:noProof/>
          </w:rPr>
          <w:t xml:space="preserve">Box 4: </w:t>
        </w:r>
        <w:r>
          <w:rPr>
            <w:rStyle w:val="Hyperlink"/>
            <w:noProof/>
          </w:rPr>
          <w:tab/>
        </w:r>
        <w:r w:rsidRPr="00CB754F">
          <w:rPr>
            <w:rStyle w:val="Hyperlink"/>
            <w:noProof/>
          </w:rPr>
          <w:t>Support service for people exposed to dioxin</w:t>
        </w:r>
        <w:r>
          <w:rPr>
            <w:noProof/>
            <w:webHidden/>
          </w:rPr>
          <w:tab/>
        </w:r>
        <w:r>
          <w:rPr>
            <w:noProof/>
            <w:webHidden/>
          </w:rPr>
          <w:fldChar w:fldCharType="begin"/>
        </w:r>
        <w:r>
          <w:rPr>
            <w:noProof/>
            <w:webHidden/>
          </w:rPr>
          <w:instrText xml:space="preserve"> PAGEREF _Toc120523649 \h </w:instrText>
        </w:r>
        <w:r>
          <w:rPr>
            <w:noProof/>
            <w:webHidden/>
          </w:rPr>
        </w:r>
        <w:r>
          <w:rPr>
            <w:noProof/>
            <w:webHidden/>
          </w:rPr>
          <w:fldChar w:fldCharType="separate"/>
        </w:r>
        <w:r w:rsidR="001C7C2E">
          <w:rPr>
            <w:noProof/>
            <w:webHidden/>
          </w:rPr>
          <w:t>75</w:t>
        </w:r>
        <w:r>
          <w:rPr>
            <w:noProof/>
            <w:webHidden/>
          </w:rPr>
          <w:fldChar w:fldCharType="end"/>
        </w:r>
      </w:hyperlink>
    </w:p>
    <w:p w14:paraId="323FEBD2" w14:textId="7A98A1B7" w:rsidR="00F525EE" w:rsidRDefault="00F525EE">
      <w:pPr>
        <w:pStyle w:val="TableofFigures"/>
        <w:tabs>
          <w:tab w:val="right" w:pos="8495"/>
        </w:tabs>
        <w:rPr>
          <w:rFonts w:asciiTheme="minorHAnsi" w:hAnsiTheme="minorHAnsi"/>
          <w:noProof/>
        </w:rPr>
      </w:pPr>
      <w:hyperlink w:anchor="_Toc120523650" w:history="1">
        <w:r w:rsidRPr="00CB754F">
          <w:rPr>
            <w:rStyle w:val="Hyperlink"/>
            <w:noProof/>
          </w:rPr>
          <w:t xml:space="preserve">Box 5: </w:t>
        </w:r>
        <w:r>
          <w:rPr>
            <w:rStyle w:val="Hyperlink"/>
            <w:noProof/>
          </w:rPr>
          <w:tab/>
        </w:r>
        <w:r w:rsidRPr="00CB754F">
          <w:rPr>
            <w:rStyle w:val="Hyperlink"/>
            <w:noProof/>
          </w:rPr>
          <w:t>Special support service for former sawmill workers exposed to pentachlorophenol</w:t>
        </w:r>
        <w:r>
          <w:rPr>
            <w:noProof/>
            <w:webHidden/>
          </w:rPr>
          <w:tab/>
        </w:r>
        <w:r>
          <w:rPr>
            <w:noProof/>
            <w:webHidden/>
          </w:rPr>
          <w:fldChar w:fldCharType="begin"/>
        </w:r>
        <w:r>
          <w:rPr>
            <w:noProof/>
            <w:webHidden/>
          </w:rPr>
          <w:instrText xml:space="preserve"> PAGEREF _Toc120523650 \h </w:instrText>
        </w:r>
        <w:r>
          <w:rPr>
            <w:noProof/>
            <w:webHidden/>
          </w:rPr>
        </w:r>
        <w:r>
          <w:rPr>
            <w:noProof/>
            <w:webHidden/>
          </w:rPr>
          <w:fldChar w:fldCharType="separate"/>
        </w:r>
        <w:r w:rsidR="001C7C2E">
          <w:rPr>
            <w:noProof/>
            <w:webHidden/>
          </w:rPr>
          <w:t>76</w:t>
        </w:r>
        <w:r>
          <w:rPr>
            <w:noProof/>
            <w:webHidden/>
          </w:rPr>
          <w:fldChar w:fldCharType="end"/>
        </w:r>
      </w:hyperlink>
    </w:p>
    <w:p w14:paraId="68998826" w14:textId="59469A6C" w:rsidR="0091540C" w:rsidRPr="00582EF5" w:rsidRDefault="001A4F87" w:rsidP="004B7C47">
      <w:pPr>
        <w:pStyle w:val="TableofFigures"/>
        <w:tabs>
          <w:tab w:val="right" w:pos="8494"/>
        </w:tabs>
        <w:rPr>
          <w:rStyle w:val="Hyperlink"/>
          <w:color w:val="auto"/>
        </w:rPr>
      </w:pPr>
      <w:r w:rsidRPr="00582EF5">
        <w:rPr>
          <w:rStyle w:val="Hyperlink"/>
        </w:rPr>
        <w:fldChar w:fldCharType="end"/>
      </w:r>
    </w:p>
    <w:p w14:paraId="4DBC4897" w14:textId="1A8B2F12" w:rsidR="00796A6F" w:rsidRPr="00582EF5" w:rsidRDefault="00796A6F" w:rsidP="004B7C47">
      <w:pPr>
        <w:pStyle w:val="BodyText"/>
        <w:rPr>
          <w:rStyle w:val="Hyperlink"/>
          <w:color w:val="auto"/>
        </w:rPr>
      </w:pPr>
      <w:r w:rsidRPr="00582EF5">
        <w:rPr>
          <w:rStyle w:val="Hyperlink"/>
          <w:color w:val="auto"/>
        </w:rPr>
        <w:br w:type="page"/>
      </w:r>
    </w:p>
    <w:p w14:paraId="4B39A607" w14:textId="2E7ECDF1" w:rsidR="00166A58" w:rsidRPr="00582EF5" w:rsidRDefault="00166A58" w:rsidP="004B7C47">
      <w:pPr>
        <w:pStyle w:val="Heading1"/>
      </w:pPr>
      <w:bookmarkStart w:id="1" w:name="_Toc531102772"/>
      <w:bookmarkStart w:id="2" w:name="_Toc120532226"/>
      <w:bookmarkStart w:id="3" w:name="_Toc345760336"/>
      <w:bookmarkEnd w:id="0"/>
      <w:r w:rsidRPr="00582EF5">
        <w:lastRenderedPageBreak/>
        <w:t>F</w:t>
      </w:r>
      <w:bookmarkEnd w:id="1"/>
      <w:r w:rsidRPr="00582EF5">
        <w:t>oreword</w:t>
      </w:r>
      <w:bookmarkEnd w:id="2"/>
    </w:p>
    <w:p w14:paraId="1B9A04D4" w14:textId="5B286E41" w:rsidR="44ABF2A9" w:rsidRDefault="00140BB3" w:rsidP="00EC21DF">
      <w:pPr>
        <w:pStyle w:val="BodyText"/>
      </w:pPr>
      <w:r w:rsidDel="44ABF2A9">
        <w:t xml:space="preserve">The Stockholm Convention on Persistent Organic Pollutants commits governments to protect human health and the environment by reducing and, where feasible, eliminating the production and environmental releases of chemicals </w:t>
      </w:r>
      <w:r w:rsidDel="593E3E90">
        <w:t xml:space="preserve">listed under the Convention </w:t>
      </w:r>
      <w:r w:rsidDel="44ABF2A9">
        <w:t>called persistent organic pollutants</w:t>
      </w:r>
      <w:r w:rsidR="00D76B14">
        <w:t xml:space="preserve"> (</w:t>
      </w:r>
      <w:r w:rsidR="00A87588" w:rsidDel="44ABF2A9">
        <w:t>POPs</w:t>
      </w:r>
      <w:r w:rsidR="00D76B14">
        <w:t>)</w:t>
      </w:r>
      <w:r w:rsidR="00A8DB58">
        <w:t>.</w:t>
      </w:r>
    </w:p>
    <w:p w14:paraId="07B89275" w14:textId="1B9ED192" w:rsidR="00A8DB58" w:rsidRDefault="00A8DB58" w:rsidP="00EC21DF">
      <w:pPr>
        <w:pStyle w:val="BodyText"/>
      </w:pPr>
      <w:r>
        <w:t xml:space="preserve">The Convention came into force in 2004, and New Zealand was one of the original signatories.   </w:t>
      </w:r>
    </w:p>
    <w:p w14:paraId="40B04E0C" w14:textId="60C341F0" w:rsidR="00A8DB58" w:rsidRDefault="6B984E1F" w:rsidP="00EC21DF">
      <w:pPr>
        <w:pStyle w:val="BodyText"/>
      </w:pPr>
      <w:r>
        <w:t xml:space="preserve">New Zealand published its first national implementation plan in 2006 and added an Addendum to that plan </w:t>
      </w:r>
      <w:r w:rsidR="594969BB">
        <w:t xml:space="preserve">relating to </w:t>
      </w:r>
      <w:r>
        <w:t xml:space="preserve">the listing of endosulfan in 2014. </w:t>
      </w:r>
      <w:r w:rsidR="38A4AD98">
        <w:t xml:space="preserve">In 2018 the national implementation plan was updated to report on measures to implement obligations relating to a further 13 </w:t>
      </w:r>
      <w:r w:rsidR="3A0FDD00">
        <w:t xml:space="preserve">POPs </w:t>
      </w:r>
      <w:r w:rsidR="38A4AD98">
        <w:t>listed in the Stockholm Convention</w:t>
      </w:r>
      <w:r w:rsidR="21D518B6">
        <w:t>.</w:t>
      </w:r>
    </w:p>
    <w:p w14:paraId="5F0E9962" w14:textId="33375521" w:rsidR="34C4B380" w:rsidRDefault="34C4B380" w:rsidP="00EC21DF">
      <w:pPr>
        <w:pStyle w:val="BodyText"/>
      </w:pPr>
      <w:r>
        <w:t>This updated plan reports on our implementation of the two new listed POPs added to the Stockholm Convention in 2019</w:t>
      </w:r>
      <w:r w:rsidR="00DD5E80">
        <w:t xml:space="preserve"> –</w:t>
      </w:r>
      <w:r>
        <w:t xml:space="preserve"> dicofol and perfluorooctanoic acid (PFOA), its salts</w:t>
      </w:r>
      <w:r w:rsidR="00DD5E80">
        <w:t>,</w:t>
      </w:r>
      <w:r>
        <w:t xml:space="preserve"> and PFOA-related compounds.</w:t>
      </w:r>
    </w:p>
    <w:p w14:paraId="7E0F8A49" w14:textId="5BC2A8D9" w:rsidR="2F59ADCA" w:rsidRDefault="2F59ADCA" w:rsidP="00EC21DF">
      <w:pPr>
        <w:pStyle w:val="BodyText"/>
        <w:rPr>
          <w:rFonts w:eastAsia="Calibri" w:cs="Calibri"/>
        </w:rPr>
      </w:pPr>
      <w:r w:rsidRPr="0C1732D2">
        <w:rPr>
          <w:rFonts w:eastAsia="Calibri" w:cs="Calibri"/>
        </w:rPr>
        <w:t xml:space="preserve">New Zealand continues to actively support the goal of the Stockholm Convention. Since 2004, it has had in place a comprehensive system of laws and regulations to control the initial 12 </w:t>
      </w:r>
      <w:r w:rsidR="00045A71" w:rsidRPr="0C1732D2">
        <w:rPr>
          <w:rFonts w:eastAsia="Calibri" w:cs="Calibri"/>
        </w:rPr>
        <w:t>POPs</w:t>
      </w:r>
      <w:r w:rsidRPr="0C1732D2">
        <w:rPr>
          <w:rFonts w:eastAsia="Calibri" w:cs="Calibri"/>
        </w:rPr>
        <w:t>. New Zealand has updated the H</w:t>
      </w:r>
      <w:r w:rsidR="00045A71" w:rsidRPr="0C1732D2">
        <w:rPr>
          <w:rFonts w:eastAsia="Calibri" w:cs="Calibri"/>
        </w:rPr>
        <w:t xml:space="preserve">azardous Substances and New Organisms </w:t>
      </w:r>
      <w:r w:rsidR="081B7336" w:rsidRPr="0C1732D2">
        <w:rPr>
          <w:rFonts w:eastAsia="Calibri" w:cs="Calibri"/>
        </w:rPr>
        <w:t>Act</w:t>
      </w:r>
      <w:r w:rsidR="2955ABD6" w:rsidRPr="0C1732D2">
        <w:rPr>
          <w:rFonts w:eastAsia="Calibri" w:cs="Calibri"/>
        </w:rPr>
        <w:t xml:space="preserve"> </w:t>
      </w:r>
      <w:r w:rsidR="28BE6F17" w:rsidRPr="0C1732D2">
        <w:rPr>
          <w:rFonts w:eastAsia="Calibri" w:cs="Calibri"/>
        </w:rPr>
        <w:t>and the</w:t>
      </w:r>
      <w:r w:rsidR="080053B2" w:rsidRPr="0C1732D2">
        <w:rPr>
          <w:rFonts w:eastAsia="Calibri" w:cs="Calibri"/>
        </w:rPr>
        <w:t xml:space="preserve"> Imports and Exports </w:t>
      </w:r>
      <w:r w:rsidR="708DCE82" w:rsidRPr="0C1732D2">
        <w:rPr>
          <w:rFonts w:eastAsia="Calibri" w:cs="Calibri"/>
        </w:rPr>
        <w:t xml:space="preserve">(Restrictions) Prohibition </w:t>
      </w:r>
      <w:r w:rsidR="080053B2" w:rsidRPr="0C1732D2">
        <w:rPr>
          <w:rFonts w:eastAsia="Calibri" w:cs="Calibri"/>
        </w:rPr>
        <w:t>Order</w:t>
      </w:r>
      <w:r w:rsidR="696559D0" w:rsidRPr="0C1732D2">
        <w:rPr>
          <w:rFonts w:eastAsia="Calibri" w:cs="Calibri"/>
        </w:rPr>
        <w:t xml:space="preserve"> (No 2)</w:t>
      </w:r>
      <w:r w:rsidRPr="0C1732D2">
        <w:rPr>
          <w:rFonts w:eastAsia="Calibri" w:cs="Calibri"/>
        </w:rPr>
        <w:t xml:space="preserve"> to include controls on all the chemicals added to the Convention. </w:t>
      </w:r>
      <w:r w:rsidR="00527BF4" w:rsidRPr="0C1732D2">
        <w:rPr>
          <w:rFonts w:eastAsia="Calibri" w:cs="Calibri"/>
        </w:rPr>
        <w:t>G</w:t>
      </w:r>
      <w:r w:rsidRPr="0C1732D2">
        <w:rPr>
          <w:rFonts w:eastAsia="Calibri" w:cs="Calibri"/>
        </w:rPr>
        <w:t>overnment agencies, such as the Ministry for the Environment, Ministry of Health, the Environmental Protection Authority</w:t>
      </w:r>
      <w:r w:rsidR="00045A71" w:rsidRPr="0C1732D2">
        <w:rPr>
          <w:rFonts w:eastAsia="Calibri" w:cs="Calibri"/>
        </w:rPr>
        <w:t xml:space="preserve">, </w:t>
      </w:r>
      <w:r w:rsidRPr="0C1732D2">
        <w:rPr>
          <w:rFonts w:eastAsia="Calibri" w:cs="Calibri"/>
        </w:rPr>
        <w:t>Customs, and the Ministry for Primary Industries, cooperate to enforce the regulations and implement the Convention.</w:t>
      </w:r>
    </w:p>
    <w:p w14:paraId="3693D769" w14:textId="52CE544C" w:rsidR="00A8DB58" w:rsidRDefault="00A8DB58" w:rsidP="00EC21DF">
      <w:pPr>
        <w:pStyle w:val="BodyText"/>
      </w:pPr>
      <w:r>
        <w:t xml:space="preserve">New Zealand government agencies periodically undertake biomonitoring of New Zealanders' serum and breast milk and test the level of POPs in the food chain and environment. Other efforts include support services for people exposed to certain </w:t>
      </w:r>
      <w:r w:rsidR="56E570A2">
        <w:t>POPs</w:t>
      </w:r>
      <w:r>
        <w:t>, providing funding for chemical collection and site remediation, and addressing other legacy contamination.</w:t>
      </w:r>
    </w:p>
    <w:p w14:paraId="2C219871" w14:textId="3DBE4210" w:rsidR="77A71793" w:rsidRDefault="54A8E4CE" w:rsidP="00EC21DF">
      <w:pPr>
        <w:pStyle w:val="BodyText"/>
      </w:pPr>
      <w:r>
        <w:t xml:space="preserve">As a result, New Zealand has achieved key targets set out in its national implementation plans. This includes phasing out the use of polychlorinated biphenyls in 2016, ahead of the Convention's deadline of 2025. Dioxin releases into the air have also been reduced </w:t>
      </w:r>
      <w:proofErr w:type="gramStart"/>
      <w:r>
        <w:t>as a result of</w:t>
      </w:r>
      <w:proofErr w:type="gramEnd"/>
      <w:r>
        <w:t xml:space="preserve"> increasing use of renewable energy, improvements in fleet emission</w:t>
      </w:r>
      <w:r w:rsidR="18FA8B94">
        <w:t>s</w:t>
      </w:r>
      <w:r>
        <w:t xml:space="preserve"> control technology</w:t>
      </w:r>
      <w:r w:rsidR="005D2FC5">
        <w:t>,</w:t>
      </w:r>
      <w:r>
        <w:t xml:space="preserve"> and regulations on air quality. The levels of dioxins in New Zealand mothers' milk and in New Zealanders' serum have also been steadily dropping.</w:t>
      </w:r>
    </w:p>
    <w:p w14:paraId="10865B15" w14:textId="04D64C15" w:rsidR="00A8DB58" w:rsidRDefault="00A8DB58" w:rsidP="00EC21DF">
      <w:pPr>
        <w:pStyle w:val="BodyText"/>
      </w:pPr>
      <w:r>
        <w:t xml:space="preserve">This updated plan describes the measures New Zealand has already </w:t>
      </w:r>
      <w:r w:rsidDel="007462E9">
        <w:t>taken</w:t>
      </w:r>
      <w:r w:rsidR="007462E9">
        <w:t xml:space="preserve"> and</w:t>
      </w:r>
      <w:r>
        <w:t xml:space="preserve"> aims to provide a proactive </w:t>
      </w:r>
      <w:proofErr w:type="gramStart"/>
      <w:r>
        <w:t>plan for the future</w:t>
      </w:r>
      <w:proofErr w:type="gramEnd"/>
      <w:r>
        <w:t xml:space="preserve"> to support compliance with the Convention. Some issues remain with legacy </w:t>
      </w:r>
      <w:r w:rsidR="2C6F3B1D">
        <w:t>POPs</w:t>
      </w:r>
      <w:r>
        <w:t xml:space="preserve"> that New Zealand needs to address. By implementing this plan, New Zealand will continue to contribute to the international efforts in limiting the effects of persistent organic pollutants on human health and the environment.</w:t>
      </w:r>
    </w:p>
    <w:p w14:paraId="7EA44FF7" w14:textId="5B6C6ECC" w:rsidR="00166A58" w:rsidRPr="00582EF5" w:rsidRDefault="00166A58" w:rsidP="00EC21DF">
      <w:pPr>
        <w:pStyle w:val="BodyText"/>
        <w:spacing w:before="0" w:after="0"/>
      </w:pPr>
    </w:p>
    <w:p w14:paraId="24819945" w14:textId="6A45F3B5" w:rsidR="00140BB3" w:rsidRPr="00582EF5" w:rsidRDefault="66522D85" w:rsidP="00EC21DF">
      <w:pPr>
        <w:pStyle w:val="BodyText"/>
        <w:spacing w:before="0" w:after="0"/>
      </w:pPr>
      <w:r>
        <w:rPr>
          <w:noProof/>
        </w:rPr>
        <w:drawing>
          <wp:inline distT="0" distB="0" distL="0" distR="0" wp14:anchorId="79AE745B" wp14:editId="4B1B1A61">
            <wp:extent cx="922352" cy="381663"/>
            <wp:effectExtent l="0" t="0" r="0" b="0"/>
            <wp:docPr id="1535976227" name="Picture 1535976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41260" cy="389487"/>
                    </a:xfrm>
                    <a:prstGeom prst="rect">
                      <a:avLst/>
                    </a:prstGeom>
                  </pic:spPr>
                </pic:pic>
              </a:graphicData>
            </a:graphic>
          </wp:inline>
        </w:drawing>
      </w:r>
    </w:p>
    <w:p w14:paraId="1AE1AF81" w14:textId="77777777" w:rsidR="00140BB3" w:rsidRPr="00582EF5" w:rsidRDefault="00140BB3" w:rsidP="00EC21DF">
      <w:pPr>
        <w:pStyle w:val="BodyText"/>
        <w:spacing w:before="0" w:after="0"/>
      </w:pPr>
    </w:p>
    <w:p w14:paraId="7BD9F454" w14:textId="77777777" w:rsidR="00166A58" w:rsidRPr="00582EF5" w:rsidRDefault="00166A58" w:rsidP="00EC21DF">
      <w:pPr>
        <w:pStyle w:val="BodyText"/>
        <w:spacing w:after="0"/>
        <w:rPr>
          <w:b/>
        </w:rPr>
      </w:pPr>
      <w:r w:rsidRPr="00582EF5">
        <w:rPr>
          <w:b/>
        </w:rPr>
        <w:t>Vicky Robertson</w:t>
      </w:r>
    </w:p>
    <w:p w14:paraId="0527EEBE" w14:textId="552B6231" w:rsidR="1A06031B" w:rsidRPr="00FF6E25" w:rsidRDefault="00166A58" w:rsidP="00FF6E25">
      <w:pPr>
        <w:pStyle w:val="BodyText"/>
        <w:spacing w:before="0"/>
        <w:rPr>
          <w:b/>
        </w:rPr>
      </w:pPr>
      <w:r w:rsidRPr="00582EF5">
        <w:rPr>
          <w:b/>
        </w:rPr>
        <w:t>Secretary for the Environment</w:t>
      </w:r>
      <w:r w:rsidR="1A06031B">
        <w:br w:type="page"/>
      </w:r>
    </w:p>
    <w:p w14:paraId="2DF5CFC6" w14:textId="753C0C0C" w:rsidR="00F468A3" w:rsidRPr="00582EF5" w:rsidRDefault="00F468A3" w:rsidP="00EC21DF">
      <w:pPr>
        <w:pStyle w:val="Heading1"/>
      </w:pPr>
      <w:bookmarkStart w:id="4" w:name="_Toc120532227"/>
      <w:r w:rsidRPr="00582EF5">
        <w:lastRenderedPageBreak/>
        <w:t>Executive summary</w:t>
      </w:r>
      <w:bookmarkEnd w:id="4"/>
    </w:p>
    <w:p w14:paraId="4A30A24A" w14:textId="5F6A14C4" w:rsidR="00F468A3" w:rsidRPr="00582EF5" w:rsidRDefault="00F468A3" w:rsidP="00CE3688">
      <w:pPr>
        <w:pStyle w:val="BodyText"/>
      </w:pPr>
      <w:r w:rsidRPr="00582EF5">
        <w:t>The Stockholm Convention on Persistent Organic Pollutants (the Convention) commits governments to take measures to protect human health and the environment from persistent</w:t>
      </w:r>
      <w:r w:rsidR="00031FA0" w:rsidRPr="00582EF5">
        <w:t> </w:t>
      </w:r>
      <w:r w:rsidRPr="00582EF5">
        <w:t xml:space="preserve">organic pollutants (POPs). </w:t>
      </w:r>
    </w:p>
    <w:p w14:paraId="46CED609" w14:textId="249C0F9D" w:rsidR="00F468A3" w:rsidRPr="00582EF5" w:rsidRDefault="00F468A3" w:rsidP="00CE3688">
      <w:pPr>
        <w:pStyle w:val="BodyText"/>
      </w:pPr>
      <w:r w:rsidRPr="00582EF5">
        <w:t xml:space="preserve">Article 7 of the Convention requires each party to develop, implement and update a </w:t>
      </w:r>
      <w:r w:rsidR="00031FA0" w:rsidRPr="00582EF5">
        <w:t>n</w:t>
      </w:r>
      <w:r w:rsidRPr="00582EF5">
        <w:t xml:space="preserve">ational </w:t>
      </w:r>
      <w:r w:rsidR="00031FA0" w:rsidRPr="00582EF5">
        <w:t>i</w:t>
      </w:r>
      <w:r w:rsidRPr="00582EF5">
        <w:t xml:space="preserve">mplementation </w:t>
      </w:r>
      <w:r w:rsidR="00031FA0" w:rsidRPr="00582EF5">
        <w:t>p</w:t>
      </w:r>
      <w:r w:rsidRPr="00582EF5">
        <w:t xml:space="preserve">lan (NIP). New Zealand submitted a substantial NIP </w:t>
      </w:r>
      <w:r w:rsidR="00883BCC" w:rsidRPr="00582EF5">
        <w:t xml:space="preserve">in 2006, </w:t>
      </w:r>
      <w:r w:rsidRPr="00582EF5">
        <w:t>to implement the Convention</w:t>
      </w:r>
      <w:r w:rsidR="00883BCC" w:rsidRPr="00582EF5">
        <w:t>,</w:t>
      </w:r>
      <w:r w:rsidRPr="00582EF5">
        <w:t xml:space="preserve"> and an Addendum in 2014</w:t>
      </w:r>
      <w:r w:rsidR="00883BCC" w:rsidRPr="00582EF5">
        <w:t>,</w:t>
      </w:r>
      <w:r w:rsidRPr="00582EF5">
        <w:t xml:space="preserve"> to implement the amendment agreed at </w:t>
      </w:r>
      <w:r w:rsidR="00F221F5" w:rsidRPr="00582EF5">
        <w:t xml:space="preserve">the </w:t>
      </w:r>
      <w:r w:rsidR="00031FA0" w:rsidRPr="00582EF5">
        <w:t xml:space="preserve">fifth </w:t>
      </w:r>
      <w:r w:rsidR="00F221F5" w:rsidRPr="00582EF5">
        <w:t>Conference of the Parties in 2013</w:t>
      </w:r>
      <w:r w:rsidRPr="00582EF5">
        <w:t xml:space="preserve"> to list endosulfan. </w:t>
      </w:r>
    </w:p>
    <w:p w14:paraId="123D3936" w14:textId="20CAB107" w:rsidR="00BE715E" w:rsidRPr="007C52E4" w:rsidRDefault="00BE715E" w:rsidP="00CE3688">
      <w:pPr>
        <w:pStyle w:val="BodyText"/>
      </w:pPr>
      <w:r w:rsidRPr="007C52E4">
        <w:t xml:space="preserve">The second NIP published </w:t>
      </w:r>
      <w:r w:rsidR="6A88A3C9">
        <w:t>in</w:t>
      </w:r>
      <w:r w:rsidRPr="007C52E4">
        <w:t xml:space="preserve"> 2018</w:t>
      </w:r>
      <w:r w:rsidR="00D40C0F">
        <w:t xml:space="preserve"> </w:t>
      </w:r>
      <w:r w:rsidRPr="007C52E4">
        <w:t>(NIP2) addressed amendments to the Convention since New Zealand's first NIP (NIP1) and reference</w:t>
      </w:r>
      <w:r w:rsidR="007C52E4" w:rsidRPr="007C52E4">
        <w:t>d</w:t>
      </w:r>
      <w:r w:rsidRPr="007C52E4">
        <w:t xml:space="preserve"> the chemicals added to the Convention in 2017</w:t>
      </w:r>
      <w:r w:rsidR="3CAF5BB3">
        <w:t>.</w:t>
      </w:r>
    </w:p>
    <w:p w14:paraId="51C89153" w14:textId="444D0D2A" w:rsidR="00BE715E" w:rsidRPr="007C52E4" w:rsidRDefault="00BE715E" w:rsidP="00CE3688">
      <w:pPr>
        <w:pStyle w:val="BodyText"/>
      </w:pPr>
      <w:r>
        <w:t>This update (NIP3</w:t>
      </w:r>
      <w:r w:rsidR="17D12BF4">
        <w:t>),</w:t>
      </w:r>
      <w:r>
        <w:t xml:space="preserve"> </w:t>
      </w:r>
      <w:r w:rsidR="007C52E4">
        <w:t>addresses</w:t>
      </w:r>
      <w:r>
        <w:t xml:space="preserve"> </w:t>
      </w:r>
      <w:r w:rsidR="007C52E4">
        <w:t>amendments</w:t>
      </w:r>
      <w:r>
        <w:t xml:space="preserve"> to the Convention made in 2019 to Annex A</w:t>
      </w:r>
      <w:r w:rsidR="006A0AA6">
        <w:t>;</w:t>
      </w:r>
      <w:r>
        <w:t xml:space="preserve"> </w:t>
      </w:r>
      <w:r w:rsidR="2D7E0506">
        <w:t>specifically</w:t>
      </w:r>
      <w:r w:rsidR="006A0AA6">
        <w:t>,</w:t>
      </w:r>
      <w:r w:rsidR="2D7E0506">
        <w:t xml:space="preserve"> </w:t>
      </w:r>
      <w:r w:rsidR="0A1F70DB">
        <w:t>the</w:t>
      </w:r>
      <w:r w:rsidR="00DE326D">
        <w:t xml:space="preserve"> addition of</w:t>
      </w:r>
      <w:r w:rsidR="108B1E88">
        <w:t xml:space="preserve"> </w:t>
      </w:r>
      <w:r>
        <w:t xml:space="preserve">dicofol and perfluorooctanoic acid (PFOA), its salts and PFOA-related compounds. In addition, it addresses Decision SC-9/4, which amended and removed certain acceptable purposes and specific exemptions for </w:t>
      </w:r>
      <w:proofErr w:type="spellStart"/>
      <w:r>
        <w:t>perfluorooctane</w:t>
      </w:r>
      <w:proofErr w:type="spellEnd"/>
      <w:r>
        <w:t xml:space="preserve"> sulfonic acid (PFOS), its salts and </w:t>
      </w:r>
      <w:proofErr w:type="spellStart"/>
      <w:r>
        <w:t>perfluorooctane</w:t>
      </w:r>
      <w:proofErr w:type="spellEnd"/>
      <w:r>
        <w:t xml:space="preserve"> sulfonyl fluoride (PFOSF), </w:t>
      </w:r>
      <w:r w:rsidR="006A0AA6">
        <w:t>which</w:t>
      </w:r>
      <w:r>
        <w:t xml:space="preserve"> are listed in Annex B (chemicals with restricted uses). </w:t>
      </w:r>
      <w:r w:rsidR="6870B80B">
        <w:t>NIP</w:t>
      </w:r>
      <w:r w:rsidR="00C643A8">
        <w:t>3</w:t>
      </w:r>
      <w:r w:rsidR="6870B80B">
        <w:t xml:space="preserve"> </w:t>
      </w:r>
      <w:r w:rsidR="009A258E">
        <w:t xml:space="preserve">also </w:t>
      </w:r>
      <w:r w:rsidR="6870B80B">
        <w:t>provide</w:t>
      </w:r>
      <w:r w:rsidR="009A258E">
        <w:t>s</w:t>
      </w:r>
      <w:r w:rsidR="6870B80B">
        <w:t xml:space="preserve"> an update on the overall domestic system and the strategic issues faced in New Zealand. </w:t>
      </w:r>
    </w:p>
    <w:p w14:paraId="167C0CA6" w14:textId="785A706C" w:rsidR="00BE715E" w:rsidRDefault="3CAF5BB3" w:rsidP="00CE3688">
      <w:pPr>
        <w:pStyle w:val="BodyText"/>
      </w:pPr>
      <w:bookmarkStart w:id="5" w:name="_Toc118230291"/>
      <w:bookmarkStart w:id="6" w:name="_Toc118807089"/>
      <w:r>
        <w:t>NIP3</w:t>
      </w:r>
      <w:r w:rsidR="00BE715E" w:rsidRPr="007D5B8B">
        <w:t xml:space="preserve"> updates New Zealand's current and planned activities to address its obligations under the Convention. The updated measures are outlined under each relevant article and summarised in table 1.</w:t>
      </w:r>
      <w:bookmarkEnd w:id="5"/>
      <w:bookmarkEnd w:id="6"/>
      <w:r w:rsidR="00BE715E" w:rsidRPr="00774338">
        <w:t xml:space="preserve"> </w:t>
      </w:r>
    </w:p>
    <w:p w14:paraId="7B1607D4" w14:textId="5DE37DFA" w:rsidR="00F468A3" w:rsidRPr="00582EF5" w:rsidRDefault="00F468A3" w:rsidP="00CE3688">
      <w:pPr>
        <w:pStyle w:val="Tableheading"/>
      </w:pPr>
      <w:bookmarkStart w:id="7" w:name="_Toc120532266"/>
      <w:r w:rsidRPr="00582EF5">
        <w:t xml:space="preserve">Table 1: </w:t>
      </w:r>
      <w:r w:rsidR="0091540C" w:rsidRPr="00582EF5">
        <w:tab/>
      </w:r>
      <w:r w:rsidR="00580B2B" w:rsidRPr="00582EF5">
        <w:t>N</w:t>
      </w:r>
      <w:r w:rsidR="008A1736" w:rsidRPr="00582EF5">
        <w:t xml:space="preserve">ational </w:t>
      </w:r>
      <w:r w:rsidR="00580B2B" w:rsidRPr="00582EF5">
        <w:t>I</w:t>
      </w:r>
      <w:r w:rsidR="008A1736" w:rsidRPr="00582EF5">
        <w:t xml:space="preserve">mplementation </w:t>
      </w:r>
      <w:r w:rsidR="00580B2B" w:rsidRPr="00582EF5">
        <w:t>P</w:t>
      </w:r>
      <w:r w:rsidR="008A1736" w:rsidRPr="00582EF5">
        <w:t xml:space="preserve">lan </w:t>
      </w:r>
      <w:r w:rsidR="744C1DB3">
        <w:t>20</w:t>
      </w:r>
      <w:r w:rsidR="61818EDA">
        <w:t>22</w:t>
      </w:r>
      <w:r w:rsidRPr="00582EF5">
        <w:t xml:space="preserve"> </w:t>
      </w:r>
      <w:r w:rsidR="008A1736" w:rsidRPr="00582EF5">
        <w:t>s</w:t>
      </w:r>
      <w:r w:rsidRPr="00582EF5">
        <w:t>ummary of New Zealand measures</w:t>
      </w:r>
      <w:bookmarkEnd w:id="7"/>
    </w:p>
    <w:tbl>
      <w:tblPr>
        <w:tblW w:w="8505" w:type="dxa"/>
        <w:tblBorders>
          <w:top w:val="single" w:sz="4" w:space="0" w:color="1C556C"/>
          <w:bottom w:val="single" w:sz="4" w:space="0" w:color="1C556C"/>
          <w:insideH w:val="single" w:sz="4" w:space="0" w:color="1C556C"/>
          <w:insideV w:val="single" w:sz="4" w:space="0" w:color="1C556C"/>
        </w:tblBorders>
        <w:tblLook w:val="04A0" w:firstRow="1" w:lastRow="0" w:firstColumn="1" w:lastColumn="0" w:noHBand="0" w:noVBand="1"/>
      </w:tblPr>
      <w:tblGrid>
        <w:gridCol w:w="2054"/>
        <w:gridCol w:w="2060"/>
        <w:gridCol w:w="4391"/>
      </w:tblGrid>
      <w:tr w:rsidR="0091540C" w:rsidRPr="00582EF5" w14:paraId="69EC4B4B" w14:textId="77777777" w:rsidTr="74A0EEFA">
        <w:trPr>
          <w:tblHeader/>
        </w:trPr>
        <w:tc>
          <w:tcPr>
            <w:tcW w:w="2052" w:type="dxa"/>
            <w:shd w:val="clear" w:color="auto" w:fill="1C556C" w:themeFill="accent1"/>
          </w:tcPr>
          <w:p w14:paraId="17374775" w14:textId="77777777" w:rsidR="00F468A3" w:rsidRPr="00582EF5" w:rsidRDefault="00F468A3" w:rsidP="00CE3688">
            <w:pPr>
              <w:pStyle w:val="TableTextbold"/>
              <w:rPr>
                <w:color w:val="FFFFFF" w:themeColor="background1"/>
              </w:rPr>
            </w:pPr>
            <w:r w:rsidRPr="00582EF5">
              <w:rPr>
                <w:color w:val="FFFFFF" w:themeColor="background1"/>
              </w:rPr>
              <w:t>Article</w:t>
            </w:r>
          </w:p>
        </w:tc>
        <w:tc>
          <w:tcPr>
            <w:tcW w:w="2055" w:type="dxa"/>
            <w:shd w:val="clear" w:color="auto" w:fill="1C556C" w:themeFill="accent1"/>
          </w:tcPr>
          <w:p w14:paraId="3EBD0C3A" w14:textId="77777777" w:rsidR="00F468A3" w:rsidRPr="00582EF5" w:rsidRDefault="00F468A3" w:rsidP="00CE3688">
            <w:pPr>
              <w:pStyle w:val="TableTextbold"/>
              <w:rPr>
                <w:color w:val="FFFFFF" w:themeColor="background1"/>
              </w:rPr>
            </w:pPr>
            <w:r w:rsidRPr="00582EF5">
              <w:rPr>
                <w:color w:val="FFFFFF" w:themeColor="background1"/>
              </w:rPr>
              <w:t>Responsibility</w:t>
            </w:r>
          </w:p>
        </w:tc>
        <w:tc>
          <w:tcPr>
            <w:tcW w:w="4387" w:type="dxa"/>
            <w:shd w:val="clear" w:color="auto" w:fill="1C556C" w:themeFill="accent1"/>
          </w:tcPr>
          <w:p w14:paraId="758AD3CD" w14:textId="77777777" w:rsidR="00F468A3" w:rsidRPr="00582EF5" w:rsidRDefault="00F468A3" w:rsidP="00CE3688">
            <w:pPr>
              <w:pStyle w:val="TableTextbold"/>
              <w:rPr>
                <w:color w:val="FFFFFF" w:themeColor="background1"/>
              </w:rPr>
            </w:pPr>
            <w:r w:rsidRPr="00582EF5">
              <w:rPr>
                <w:color w:val="FFFFFF" w:themeColor="background1"/>
              </w:rPr>
              <w:t>Function – including measures</w:t>
            </w:r>
          </w:p>
        </w:tc>
      </w:tr>
      <w:tr w:rsidR="00F468A3" w:rsidRPr="00582EF5" w14:paraId="24E00909" w14:textId="77777777" w:rsidTr="74A0EEFA">
        <w:tc>
          <w:tcPr>
            <w:tcW w:w="2052" w:type="dxa"/>
            <w:vMerge w:val="restart"/>
          </w:tcPr>
          <w:p w14:paraId="291164C6" w14:textId="6EF48D03" w:rsidR="00F468A3" w:rsidRPr="00582EF5" w:rsidRDefault="00F468A3" w:rsidP="00CE3688">
            <w:pPr>
              <w:pStyle w:val="TableText"/>
            </w:pPr>
            <w:r w:rsidRPr="00582EF5">
              <w:t>Article 3: Eliminate releases from the intentional production and use of</w:t>
            </w:r>
            <w:r w:rsidR="008A1736" w:rsidRPr="00582EF5">
              <w:t xml:space="preserve"> persistent organic pollutants (</w:t>
            </w:r>
            <w:r w:rsidRPr="00582EF5">
              <w:t>POPs</w:t>
            </w:r>
            <w:r w:rsidR="008A1736" w:rsidRPr="00582EF5">
              <w:t>)</w:t>
            </w:r>
          </w:p>
        </w:tc>
        <w:tc>
          <w:tcPr>
            <w:tcW w:w="2055" w:type="dxa"/>
          </w:tcPr>
          <w:p w14:paraId="1B53C252" w14:textId="15D0808A" w:rsidR="00F468A3" w:rsidRPr="00582EF5" w:rsidRDefault="00B075A5" w:rsidP="00CE3688">
            <w:pPr>
              <w:pStyle w:val="TableText"/>
            </w:pPr>
            <w:r w:rsidRPr="00582EF5">
              <w:t>Environmental Protection Authority (</w:t>
            </w:r>
            <w:r w:rsidR="00F468A3" w:rsidRPr="00582EF5">
              <w:t>EPA</w:t>
            </w:r>
            <w:r w:rsidRPr="00582EF5">
              <w:t>)</w:t>
            </w:r>
          </w:p>
        </w:tc>
        <w:tc>
          <w:tcPr>
            <w:tcW w:w="4387" w:type="dxa"/>
          </w:tcPr>
          <w:p w14:paraId="775274B7" w14:textId="07334214" w:rsidR="00F468A3" w:rsidRPr="00582EF5" w:rsidRDefault="00F468A3" w:rsidP="00EE3F0D">
            <w:pPr>
              <w:pStyle w:val="TableText"/>
            </w:pPr>
            <w:r w:rsidRPr="00582EF5">
              <w:t>EPA administer</w:t>
            </w:r>
            <w:r w:rsidR="00CB6CB8" w:rsidRPr="00582EF5">
              <w:t>s</w:t>
            </w:r>
            <w:r w:rsidRPr="00582EF5">
              <w:t xml:space="preserve"> the </w:t>
            </w:r>
            <w:r w:rsidR="00F67EF1" w:rsidRPr="00582EF5">
              <w:t>Hazardous Substances and New Organisms (</w:t>
            </w:r>
            <w:r w:rsidRPr="00582EF5">
              <w:t>HSNO</w:t>
            </w:r>
            <w:r w:rsidR="00F67EF1" w:rsidRPr="00582EF5">
              <w:t>)</w:t>
            </w:r>
            <w:r w:rsidRPr="00582EF5">
              <w:t xml:space="preserve"> Act 1996 in matters relating to:</w:t>
            </w:r>
          </w:p>
          <w:p w14:paraId="2C0C81D6" w14:textId="40223774" w:rsidR="00E253A4" w:rsidRPr="00582EF5" w:rsidRDefault="00E253A4" w:rsidP="00EE3F0D">
            <w:pPr>
              <w:pStyle w:val="TableBullet"/>
            </w:pPr>
            <w:r w:rsidRPr="00582EF5">
              <w:t xml:space="preserve">prohibition on import, production, use, storage and disposal of POPs </w:t>
            </w:r>
          </w:p>
          <w:p w14:paraId="315481C6" w14:textId="1FCD99A3" w:rsidR="00F468A3" w:rsidRPr="00582EF5" w:rsidRDefault="00F468A3" w:rsidP="00EE3F0D">
            <w:pPr>
              <w:pStyle w:val="TableBullet"/>
            </w:pPr>
            <w:r w:rsidRPr="00582EF5">
              <w:t xml:space="preserve">assessing new </w:t>
            </w:r>
            <w:r w:rsidR="00E253A4" w:rsidRPr="00582EF5">
              <w:t xml:space="preserve">and existing </w:t>
            </w:r>
            <w:r w:rsidRPr="00582EF5">
              <w:t>chemicals</w:t>
            </w:r>
            <w:r w:rsidR="002C6E66" w:rsidRPr="00582EF5">
              <w:t xml:space="preserve"> t</w:t>
            </w:r>
            <w:r w:rsidRPr="00582EF5">
              <w:t>hat exhibit POP characteristics</w:t>
            </w:r>
          </w:p>
          <w:p w14:paraId="120354FC" w14:textId="2F0B3D5C" w:rsidR="00F468A3" w:rsidRPr="00582EF5" w:rsidRDefault="00F468A3" w:rsidP="00EE3F0D">
            <w:pPr>
              <w:pStyle w:val="TableBullet"/>
            </w:pPr>
            <w:r w:rsidRPr="00582EF5">
              <w:t>permitting the appropriate use of POP</w:t>
            </w:r>
            <w:r w:rsidR="00F67EF1" w:rsidRPr="00582EF5">
              <w:t>s</w:t>
            </w:r>
            <w:r w:rsidRPr="00582EF5">
              <w:t xml:space="preserve"> for laboratory-scale research or as a reference standard</w:t>
            </w:r>
            <w:r w:rsidR="00DC0BD4" w:rsidRPr="00582EF5">
              <w:t>.</w:t>
            </w:r>
          </w:p>
        </w:tc>
      </w:tr>
      <w:tr w:rsidR="00F468A3" w:rsidRPr="00582EF5" w14:paraId="5BEDC8B7" w14:textId="77777777" w:rsidTr="74A0EEFA">
        <w:tc>
          <w:tcPr>
            <w:tcW w:w="2052" w:type="dxa"/>
            <w:vMerge/>
          </w:tcPr>
          <w:p w14:paraId="41C76EAB" w14:textId="77777777" w:rsidR="00F468A3" w:rsidRPr="00582EF5" w:rsidRDefault="00F468A3" w:rsidP="00D40981">
            <w:pPr>
              <w:pStyle w:val="TableText"/>
              <w:jc w:val="both"/>
            </w:pPr>
          </w:p>
        </w:tc>
        <w:tc>
          <w:tcPr>
            <w:tcW w:w="2055" w:type="dxa"/>
          </w:tcPr>
          <w:p w14:paraId="1AED6C24" w14:textId="25858B75" w:rsidR="00F468A3" w:rsidRPr="00582EF5" w:rsidRDefault="002C6E66" w:rsidP="00EE3F0D">
            <w:pPr>
              <w:pStyle w:val="TableText"/>
            </w:pPr>
            <w:r w:rsidRPr="00582EF5">
              <w:t>EPA</w:t>
            </w:r>
            <w:r w:rsidR="00F468A3" w:rsidRPr="00582EF5">
              <w:t xml:space="preserve"> and </w:t>
            </w:r>
            <w:r w:rsidR="00F67EF1" w:rsidRPr="00582EF5">
              <w:t xml:space="preserve">New Zealand </w:t>
            </w:r>
            <w:r w:rsidR="00F468A3" w:rsidRPr="00582EF5">
              <w:t xml:space="preserve">Customs </w:t>
            </w:r>
            <w:r w:rsidR="00F67EF1" w:rsidRPr="00582EF5">
              <w:t>Service (Customs)</w:t>
            </w:r>
          </w:p>
        </w:tc>
        <w:tc>
          <w:tcPr>
            <w:tcW w:w="4387" w:type="dxa"/>
          </w:tcPr>
          <w:p w14:paraId="215A68A3" w14:textId="3F7F5AB9" w:rsidR="00F468A3" w:rsidRPr="00582EF5" w:rsidRDefault="002C6E66" w:rsidP="00EE3F0D">
            <w:pPr>
              <w:pStyle w:val="TableText"/>
            </w:pPr>
            <w:r w:rsidRPr="00582EF5">
              <w:t>EPA</w:t>
            </w:r>
            <w:r w:rsidR="00F468A3" w:rsidRPr="00582EF5">
              <w:t xml:space="preserve"> and Customs:</w:t>
            </w:r>
          </w:p>
          <w:p w14:paraId="246CFA9A" w14:textId="5B0629DD" w:rsidR="00F468A3" w:rsidRPr="00582EF5" w:rsidRDefault="00F468A3" w:rsidP="00EE3F0D">
            <w:pPr>
              <w:pStyle w:val="TableBullet"/>
            </w:pPr>
            <w:r w:rsidRPr="00582EF5">
              <w:t>administer and enforce the Imports and Exports (Restrictions) Prohibition Order (No 2) 2004 and the Basel Convention</w:t>
            </w:r>
            <w:r w:rsidR="008F161A" w:rsidRPr="00582EF5">
              <w:t xml:space="preserve"> on the Control of Transboundary Movements of Hazardous Wastes and </w:t>
            </w:r>
            <w:r w:rsidR="00665F02">
              <w:t>t</w:t>
            </w:r>
            <w:r w:rsidR="008F161A" w:rsidRPr="00582EF5">
              <w:t>heir Disposal (Basel Convention)</w:t>
            </w:r>
          </w:p>
          <w:p w14:paraId="03D6A111" w14:textId="335DC2E9" w:rsidR="00F468A3" w:rsidRPr="00582EF5" w:rsidRDefault="00F468A3" w:rsidP="00EE3F0D">
            <w:pPr>
              <w:pStyle w:val="TableBullet"/>
            </w:pPr>
            <w:r w:rsidRPr="00582EF5">
              <w:t>control movements of POP chemicals and POP hazardous waste across the border</w:t>
            </w:r>
            <w:r w:rsidR="00DC0BD4" w:rsidRPr="00582EF5">
              <w:t>.</w:t>
            </w:r>
          </w:p>
        </w:tc>
      </w:tr>
      <w:tr w:rsidR="00F468A3" w:rsidRPr="008E2D5E" w14:paraId="41D7D382" w14:textId="77777777" w:rsidTr="74A0EEFA">
        <w:tc>
          <w:tcPr>
            <w:tcW w:w="2052" w:type="dxa"/>
          </w:tcPr>
          <w:p w14:paraId="4C39EF85" w14:textId="6D56D182" w:rsidR="00F468A3" w:rsidRPr="00582EF5" w:rsidRDefault="00F468A3" w:rsidP="00CE3688">
            <w:pPr>
              <w:pStyle w:val="TableText"/>
            </w:pPr>
            <w:r w:rsidRPr="00582EF5">
              <w:t xml:space="preserve">Article 4: Register of </w:t>
            </w:r>
            <w:r w:rsidR="004A2D73" w:rsidRPr="00582EF5">
              <w:t>s</w:t>
            </w:r>
            <w:r w:rsidRPr="00582EF5">
              <w:t xml:space="preserve">pecific </w:t>
            </w:r>
            <w:r w:rsidR="004A2D73" w:rsidRPr="00582EF5">
              <w:t>e</w:t>
            </w:r>
            <w:r w:rsidRPr="00582EF5">
              <w:t>xemptions</w:t>
            </w:r>
          </w:p>
        </w:tc>
        <w:tc>
          <w:tcPr>
            <w:tcW w:w="2058" w:type="dxa"/>
          </w:tcPr>
          <w:p w14:paraId="65A68F64" w14:textId="35F2207F" w:rsidR="00F468A3" w:rsidRPr="00582EF5" w:rsidRDefault="00841603" w:rsidP="00CE3688">
            <w:pPr>
              <w:pStyle w:val="TableText"/>
            </w:pPr>
            <w:r>
              <w:t>MfE</w:t>
            </w:r>
          </w:p>
        </w:tc>
        <w:tc>
          <w:tcPr>
            <w:tcW w:w="0" w:type="auto"/>
          </w:tcPr>
          <w:p w14:paraId="12150171" w14:textId="61FD0DB0" w:rsidR="3DA4C074" w:rsidRDefault="3DA4C074" w:rsidP="74A0EEFA">
            <w:pPr>
              <w:pStyle w:val="TableText"/>
            </w:pPr>
            <w:r>
              <w:t>MfE will register specific exemptions, as appropriate.</w:t>
            </w:r>
          </w:p>
          <w:p w14:paraId="729ECB2E" w14:textId="1D7298B1" w:rsidR="74A0EEFA" w:rsidRDefault="74A0EEFA" w:rsidP="74A0EEFA">
            <w:pPr>
              <w:pStyle w:val="TableText"/>
            </w:pPr>
          </w:p>
        </w:tc>
      </w:tr>
      <w:tr w:rsidR="00F468A3" w:rsidRPr="00582EF5" w14:paraId="059AE987" w14:textId="77777777" w:rsidTr="74A0EEFA">
        <w:tc>
          <w:tcPr>
            <w:tcW w:w="2052" w:type="dxa"/>
          </w:tcPr>
          <w:p w14:paraId="0FD9F673" w14:textId="36B06043" w:rsidR="00F468A3" w:rsidRPr="00582EF5" w:rsidRDefault="00F468A3" w:rsidP="00CE3688">
            <w:pPr>
              <w:pStyle w:val="TableText"/>
            </w:pPr>
            <w:r w:rsidRPr="00582EF5">
              <w:t xml:space="preserve">Article 5: Action </w:t>
            </w:r>
            <w:r w:rsidR="004A2D73" w:rsidRPr="00582EF5">
              <w:t>p</w:t>
            </w:r>
            <w:r w:rsidRPr="00582EF5">
              <w:t>lan to reduce or eliminate releases of dioxins and other Annex C chemicals</w:t>
            </w:r>
          </w:p>
        </w:tc>
        <w:tc>
          <w:tcPr>
            <w:tcW w:w="2055" w:type="dxa"/>
          </w:tcPr>
          <w:p w14:paraId="37D0538C" w14:textId="77777777" w:rsidR="00F468A3" w:rsidRPr="00582EF5" w:rsidRDefault="00F468A3" w:rsidP="00CE3688">
            <w:pPr>
              <w:pStyle w:val="TableText"/>
            </w:pPr>
            <w:r w:rsidRPr="00582EF5">
              <w:t>MfE</w:t>
            </w:r>
          </w:p>
        </w:tc>
        <w:tc>
          <w:tcPr>
            <w:tcW w:w="4387" w:type="dxa"/>
          </w:tcPr>
          <w:p w14:paraId="4E21FD6C" w14:textId="671ED7BC" w:rsidR="00F468A3" w:rsidRPr="00582EF5" w:rsidRDefault="00F468A3" w:rsidP="00EE3F0D">
            <w:pPr>
              <w:pStyle w:val="TableText"/>
            </w:pPr>
            <w:r w:rsidRPr="00582EF5">
              <w:t>To protect human health and the environment by continuing the minimisation and, where feasible, ultimate elimination of release of dioxins and o</w:t>
            </w:r>
            <w:r w:rsidR="00CB6CB8" w:rsidRPr="00582EF5">
              <w:t>ther Annex C chemicals, MfE</w:t>
            </w:r>
            <w:r w:rsidR="00C330E1" w:rsidRPr="00582EF5">
              <w:t xml:space="preserve"> will continue to</w:t>
            </w:r>
            <w:r w:rsidR="004A2D73" w:rsidRPr="00582EF5">
              <w:t>:</w:t>
            </w:r>
          </w:p>
          <w:p w14:paraId="71A57A1D" w14:textId="2BD258C6" w:rsidR="009B02B3" w:rsidRDefault="00F468A3" w:rsidP="00EE3F0D">
            <w:pPr>
              <w:pStyle w:val="TableBullet"/>
            </w:pPr>
            <w:r w:rsidRPr="00582EF5">
              <w:lastRenderedPageBreak/>
              <w:t>review and update five</w:t>
            </w:r>
            <w:r w:rsidR="004A2D73" w:rsidRPr="00582EF5">
              <w:t xml:space="preserve"> </w:t>
            </w:r>
            <w:r w:rsidRPr="00582EF5">
              <w:t xml:space="preserve">yearly a </w:t>
            </w:r>
            <w:r w:rsidR="00A87588" w:rsidRPr="00754E66">
              <w:t xml:space="preserve">New Zealand </w:t>
            </w:r>
            <w:r w:rsidR="00A87588" w:rsidRPr="009C3728">
              <w:t xml:space="preserve">Inventory of Dioxin Emissions to Air, Land and Water, and Reservoir </w:t>
            </w:r>
            <w:r w:rsidR="761DF2A7" w:rsidRPr="009C3728">
              <w:t>Sources</w:t>
            </w:r>
          </w:p>
          <w:p w14:paraId="5473E0D5" w14:textId="4D2A0CE8" w:rsidR="009C3728" w:rsidRPr="009C3728" w:rsidRDefault="009C3728" w:rsidP="00EE3F0D">
            <w:pPr>
              <w:pStyle w:val="TableBullet"/>
            </w:pPr>
            <w:r>
              <w:t>monitor laws and policies to manage releases of dioxins and other Annex C chemicals</w:t>
            </w:r>
          </w:p>
          <w:p w14:paraId="0DDF32C3" w14:textId="42BF14A8" w:rsidR="00F468A3" w:rsidRPr="00582EF5" w:rsidRDefault="00C330E1" w:rsidP="00EE3F0D">
            <w:pPr>
              <w:pStyle w:val="TableBullet"/>
            </w:pPr>
            <w:r w:rsidRPr="00582EF5">
              <w:t>identify</w:t>
            </w:r>
            <w:r w:rsidR="00F468A3" w:rsidRPr="00582EF5">
              <w:t xml:space="preserve"> strategies to minimise releases of dioxins and other Annex C chemicals</w:t>
            </w:r>
          </w:p>
          <w:p w14:paraId="46AB2A65" w14:textId="4D84144E" w:rsidR="00F468A3" w:rsidRPr="00582EF5" w:rsidRDefault="00F468A3" w:rsidP="00EE3F0D">
            <w:pPr>
              <w:pStyle w:val="TableBullet"/>
            </w:pPr>
            <w:r w:rsidRPr="00582EF5">
              <w:t>promote information (where appropriate) to support the above programmes</w:t>
            </w:r>
          </w:p>
          <w:p w14:paraId="2F865071" w14:textId="1676E4AE" w:rsidR="00F468A3" w:rsidRPr="00582EF5" w:rsidRDefault="00F468A3" w:rsidP="00EE3F0D">
            <w:pPr>
              <w:pStyle w:val="TableBullet"/>
            </w:pPr>
            <w:r w:rsidRPr="00582EF5">
              <w:t>report progress under the Action Plan for Dioxins and Other Annex C Chemicals every five years</w:t>
            </w:r>
          </w:p>
          <w:p w14:paraId="4EC8BA2B" w14:textId="1F8C6AE7" w:rsidR="003156A1" w:rsidRPr="00582EF5" w:rsidRDefault="00BE0FE9" w:rsidP="00EE3F0D">
            <w:pPr>
              <w:pStyle w:val="TableBullet"/>
            </w:pPr>
            <w:r w:rsidRPr="00582EF5">
              <w:t xml:space="preserve">continue to </w:t>
            </w:r>
            <w:r w:rsidR="00F468A3" w:rsidRPr="00582EF5">
              <w:t xml:space="preserve">implement the Action Plan for Dioxins and Other Annex C </w:t>
            </w:r>
            <w:r w:rsidR="003F3EA4" w:rsidRPr="00582EF5">
              <w:t>C</w:t>
            </w:r>
            <w:r w:rsidR="00F468A3" w:rsidRPr="00582EF5">
              <w:t>hemicals to achieve release reduction or source elimination</w:t>
            </w:r>
            <w:r w:rsidR="00DC0BD4" w:rsidRPr="00582EF5">
              <w:t>.</w:t>
            </w:r>
          </w:p>
        </w:tc>
      </w:tr>
      <w:tr w:rsidR="00F468A3" w:rsidRPr="00582EF5" w14:paraId="0E19AE65" w14:textId="77777777" w:rsidTr="74A0EEFA">
        <w:tc>
          <w:tcPr>
            <w:tcW w:w="2052" w:type="dxa"/>
          </w:tcPr>
          <w:p w14:paraId="22FD94B8" w14:textId="77777777" w:rsidR="00F468A3" w:rsidRPr="00582EF5" w:rsidRDefault="00F468A3" w:rsidP="00EE3F0D">
            <w:pPr>
              <w:pStyle w:val="TableText"/>
            </w:pPr>
            <w:r w:rsidRPr="00582EF5">
              <w:lastRenderedPageBreak/>
              <w:t>Article 6: Stockpiles and wastes</w:t>
            </w:r>
          </w:p>
        </w:tc>
        <w:tc>
          <w:tcPr>
            <w:tcW w:w="2055" w:type="dxa"/>
          </w:tcPr>
          <w:p w14:paraId="753F24EB" w14:textId="77777777" w:rsidR="00F468A3" w:rsidRPr="00582EF5" w:rsidRDefault="00F468A3" w:rsidP="00EE3F0D">
            <w:pPr>
              <w:pStyle w:val="TableText"/>
            </w:pPr>
            <w:r w:rsidRPr="00582EF5">
              <w:t>EPA and MfE</w:t>
            </w:r>
          </w:p>
        </w:tc>
        <w:tc>
          <w:tcPr>
            <w:tcW w:w="4387" w:type="dxa"/>
          </w:tcPr>
          <w:p w14:paraId="12782F8E" w14:textId="6AE95C53" w:rsidR="00F468A3" w:rsidRPr="00582EF5" w:rsidRDefault="00F468A3" w:rsidP="00EE3F0D">
            <w:pPr>
              <w:pStyle w:val="TableText"/>
            </w:pPr>
            <w:r w:rsidRPr="00582EF5">
              <w:t>To reduce or eliminate releases from stockpiles and wastes</w:t>
            </w:r>
            <w:r w:rsidR="008843AE">
              <w:t>:</w:t>
            </w:r>
          </w:p>
          <w:p w14:paraId="27C50885" w14:textId="6D3E5C44" w:rsidR="00F468A3" w:rsidRPr="00582EF5" w:rsidRDefault="00BE0FE9" w:rsidP="00EE3F0D">
            <w:pPr>
              <w:pStyle w:val="TableText"/>
            </w:pPr>
            <w:r w:rsidRPr="00582EF5">
              <w:t>EPA</w:t>
            </w:r>
            <w:r w:rsidR="00F468A3" w:rsidRPr="00582EF5">
              <w:t>:</w:t>
            </w:r>
          </w:p>
          <w:p w14:paraId="4CE4970E" w14:textId="581A0DCE" w:rsidR="00F468A3" w:rsidRPr="00582EF5" w:rsidRDefault="00F468A3" w:rsidP="00EE3F0D">
            <w:pPr>
              <w:pStyle w:val="TableBullet"/>
            </w:pPr>
            <w:r w:rsidRPr="00582EF5">
              <w:t>enforce</w:t>
            </w:r>
            <w:r w:rsidR="00BE0FE9" w:rsidRPr="00582EF5">
              <w:t>s</w:t>
            </w:r>
            <w:r w:rsidRPr="00582EF5">
              <w:t xml:space="preserve"> any bans on POPs under the HSNO Act</w:t>
            </w:r>
            <w:r w:rsidR="00FD391A" w:rsidRPr="00582EF5">
              <w:t xml:space="preserve"> 1996</w:t>
            </w:r>
          </w:p>
          <w:p w14:paraId="7883CB86" w14:textId="031B4389" w:rsidR="00F468A3" w:rsidRPr="00582EF5" w:rsidRDefault="00F468A3" w:rsidP="00EE3F0D">
            <w:pPr>
              <w:pStyle w:val="TableBullet"/>
            </w:pPr>
            <w:r w:rsidRPr="00582EF5">
              <w:t>promote</w:t>
            </w:r>
            <w:r w:rsidR="00BE0FE9" w:rsidRPr="00582EF5">
              <w:t>s</w:t>
            </w:r>
            <w:r w:rsidRPr="00582EF5">
              <w:t xml:space="preserve"> the safe</w:t>
            </w:r>
            <w:r w:rsidR="006D7E9D" w:rsidRPr="00582EF5">
              <w:t xml:space="preserve"> </w:t>
            </w:r>
            <w:r w:rsidRPr="00582EF5">
              <w:t>interim</w:t>
            </w:r>
            <w:r w:rsidR="00A47607" w:rsidRPr="00582EF5">
              <w:t xml:space="preserve"> storage and disposal of </w:t>
            </w:r>
            <w:r w:rsidRPr="00582EF5">
              <w:t xml:space="preserve">POPs through </w:t>
            </w:r>
            <w:r w:rsidR="3D4CA5B0">
              <w:t>the Hazardous Substances (Storage and Disposal of Persistent Organic Pollutants) Notice 2004</w:t>
            </w:r>
          </w:p>
          <w:p w14:paraId="7323D2E8" w14:textId="68EDE36D" w:rsidR="00F468A3" w:rsidRPr="00582EF5" w:rsidRDefault="00F468A3" w:rsidP="00EE3F0D">
            <w:pPr>
              <w:pStyle w:val="TableBullet"/>
            </w:pPr>
            <w:r w:rsidRPr="00582EF5">
              <w:t>grant</w:t>
            </w:r>
            <w:r w:rsidR="00BE0FE9" w:rsidRPr="00582EF5">
              <w:t>s</w:t>
            </w:r>
            <w:r w:rsidRPr="00582EF5">
              <w:t xml:space="preserve"> </w:t>
            </w:r>
            <w:bookmarkStart w:id="8" w:name="_Int_UvkYqZv9"/>
            <w:proofErr w:type="gramStart"/>
            <w:r w:rsidRPr="00582EF5">
              <w:t>permits</w:t>
            </w:r>
            <w:bookmarkEnd w:id="8"/>
            <w:proofErr w:type="gramEnd"/>
            <w:r w:rsidRPr="00582EF5">
              <w:t xml:space="preserve"> to export POPs </w:t>
            </w:r>
            <w:r w:rsidR="00A47607" w:rsidRPr="00582EF5">
              <w:t xml:space="preserve">or POP wastes for destruction </w:t>
            </w:r>
            <w:r w:rsidRPr="00582EF5">
              <w:t>under the Imports and Exports (Restrictions) Prohibition Order (No 2) 2004</w:t>
            </w:r>
            <w:r w:rsidR="00DC0BD4" w:rsidRPr="00582EF5">
              <w:t>.</w:t>
            </w:r>
          </w:p>
          <w:p w14:paraId="405EF89B" w14:textId="5F4F9A6A" w:rsidR="00F468A3" w:rsidRPr="00582EF5" w:rsidRDefault="00F468A3" w:rsidP="00EE3F0D">
            <w:pPr>
              <w:pStyle w:val="TableText"/>
            </w:pPr>
            <w:r w:rsidRPr="00582EF5">
              <w:t>MfE:</w:t>
            </w:r>
          </w:p>
          <w:p w14:paraId="1674228F" w14:textId="2DD89CC7" w:rsidR="00F468A3" w:rsidRPr="00582EF5" w:rsidRDefault="00F468A3" w:rsidP="00EE3F0D">
            <w:pPr>
              <w:pStyle w:val="TableBullet"/>
            </w:pPr>
            <w:r w:rsidRPr="00582EF5">
              <w:t>administer</w:t>
            </w:r>
            <w:r w:rsidR="00BE0FE9" w:rsidRPr="00582EF5">
              <w:t>s</w:t>
            </w:r>
            <w:r w:rsidRPr="00582EF5">
              <w:t xml:space="preserve"> the </w:t>
            </w:r>
            <w:r w:rsidR="00B36CA5" w:rsidRPr="00582EF5">
              <w:t>Contaminated Sites Remediation Fund</w:t>
            </w:r>
            <w:r w:rsidRPr="00582EF5">
              <w:t xml:space="preserve"> to </w:t>
            </w:r>
            <w:r w:rsidR="003F3EA4" w:rsidRPr="00582EF5">
              <w:t xml:space="preserve">help </w:t>
            </w:r>
            <w:r w:rsidRPr="00582EF5">
              <w:t>local government to assess and clean</w:t>
            </w:r>
            <w:r w:rsidR="003F3EA4" w:rsidRPr="00582EF5">
              <w:t xml:space="preserve"> </w:t>
            </w:r>
            <w:r w:rsidRPr="00582EF5">
              <w:t>up contaminated sites throughout the country</w:t>
            </w:r>
          </w:p>
          <w:p w14:paraId="005E9009" w14:textId="44A8B0D7" w:rsidR="00F468A3" w:rsidRPr="00582EF5" w:rsidRDefault="00F468A3" w:rsidP="00EE3F0D">
            <w:pPr>
              <w:pStyle w:val="TableBullet"/>
            </w:pPr>
            <w:r w:rsidRPr="00582EF5">
              <w:t>provide</w:t>
            </w:r>
            <w:r w:rsidR="00BE0FE9" w:rsidRPr="00582EF5">
              <w:t>s</w:t>
            </w:r>
            <w:r w:rsidRPr="00582EF5">
              <w:t xml:space="preserve"> national direction</w:t>
            </w:r>
            <w:r w:rsidR="006D7E9D" w:rsidRPr="00582EF5">
              <w:t xml:space="preserve"> </w:t>
            </w:r>
            <w:r w:rsidRPr="00582EF5">
              <w:t xml:space="preserve">through the </w:t>
            </w:r>
            <w:r w:rsidR="004D253D">
              <w:t>Resource Management (</w:t>
            </w:r>
            <w:r w:rsidRPr="00582EF5">
              <w:t>National Environmental Standards for Air Quality</w:t>
            </w:r>
            <w:r w:rsidR="004D253D">
              <w:t>) Regulations</w:t>
            </w:r>
            <w:r w:rsidRPr="00582EF5">
              <w:t xml:space="preserve"> 2004 and </w:t>
            </w:r>
            <w:r w:rsidR="004D253D">
              <w:t>Resource Management (</w:t>
            </w:r>
            <w:r w:rsidRPr="00582EF5">
              <w:t xml:space="preserve">National Environmental Standard for Assessing and Managing Contaminants in Soil to Protect Human </w:t>
            </w:r>
            <w:r w:rsidR="009363ED" w:rsidRPr="00582EF5">
              <w:t>H</w:t>
            </w:r>
            <w:r w:rsidRPr="00582EF5">
              <w:t>ealth</w:t>
            </w:r>
            <w:r w:rsidR="008843AE">
              <w:t>)</w:t>
            </w:r>
            <w:r w:rsidRPr="00582EF5">
              <w:t xml:space="preserve"> </w:t>
            </w:r>
            <w:r w:rsidR="004D253D">
              <w:t xml:space="preserve">Regulations </w:t>
            </w:r>
            <w:r w:rsidRPr="00582EF5">
              <w:t>2011</w:t>
            </w:r>
          </w:p>
          <w:p w14:paraId="46C852B4" w14:textId="1680E55F" w:rsidR="00F468A3" w:rsidRPr="00582EF5" w:rsidRDefault="00F468A3" w:rsidP="00EE3F0D">
            <w:pPr>
              <w:pStyle w:val="TableBullet"/>
            </w:pPr>
            <w:r w:rsidRPr="00582EF5">
              <w:t>administer</w:t>
            </w:r>
            <w:r w:rsidR="00BE0FE9" w:rsidRPr="00582EF5">
              <w:t>s</w:t>
            </w:r>
            <w:r w:rsidRPr="00582EF5">
              <w:t xml:space="preserve"> the Waste Minimisation Act 2008</w:t>
            </w:r>
            <w:r w:rsidR="00D42061" w:rsidRPr="00582EF5">
              <w:t>,</w:t>
            </w:r>
            <w:r w:rsidRPr="00582EF5">
              <w:t xml:space="preserve"> which provides funding for chemical (including POPs) recovery schemes through the Waste Minimisation Fund, and for product stewardship schemes</w:t>
            </w:r>
            <w:r w:rsidR="00DC0BD4" w:rsidRPr="00582EF5">
              <w:t>.</w:t>
            </w:r>
          </w:p>
        </w:tc>
      </w:tr>
      <w:tr w:rsidR="00F468A3" w:rsidRPr="00582EF5" w14:paraId="4FC218EB" w14:textId="77777777" w:rsidTr="74A0EEFA">
        <w:tc>
          <w:tcPr>
            <w:tcW w:w="2052" w:type="dxa"/>
          </w:tcPr>
          <w:p w14:paraId="0A4402E1" w14:textId="1B46BF63" w:rsidR="00F468A3" w:rsidRPr="00582EF5" w:rsidRDefault="00F468A3" w:rsidP="00EE3F0D">
            <w:pPr>
              <w:pStyle w:val="TableText"/>
            </w:pPr>
            <w:r w:rsidRPr="00582EF5">
              <w:t xml:space="preserve">Article 7: </w:t>
            </w:r>
            <w:r w:rsidR="00580B2B" w:rsidRPr="00582EF5">
              <w:t>NIP</w:t>
            </w:r>
          </w:p>
        </w:tc>
        <w:tc>
          <w:tcPr>
            <w:tcW w:w="2055" w:type="dxa"/>
          </w:tcPr>
          <w:p w14:paraId="6E2F2F54" w14:textId="77777777" w:rsidR="00F468A3" w:rsidRPr="00582EF5" w:rsidRDefault="00F468A3" w:rsidP="00EE3F0D">
            <w:pPr>
              <w:pStyle w:val="TableText"/>
            </w:pPr>
            <w:r w:rsidRPr="00582EF5">
              <w:t>MfE</w:t>
            </w:r>
          </w:p>
        </w:tc>
        <w:tc>
          <w:tcPr>
            <w:tcW w:w="4387" w:type="dxa"/>
          </w:tcPr>
          <w:p w14:paraId="23378F32" w14:textId="3A17EEA8" w:rsidR="00F468A3" w:rsidRPr="00EE3F0D" w:rsidRDefault="00F468A3" w:rsidP="00680062">
            <w:pPr>
              <w:pStyle w:val="TableText"/>
              <w:jc w:val="both"/>
            </w:pPr>
            <w:r w:rsidRPr="00EE3F0D">
              <w:t>MfE will</w:t>
            </w:r>
            <w:r w:rsidR="00D42061" w:rsidRPr="00EE3F0D">
              <w:t>:</w:t>
            </w:r>
          </w:p>
          <w:p w14:paraId="3033F6E8" w14:textId="77777777" w:rsidR="00F468A3" w:rsidRPr="00EE3F0D" w:rsidRDefault="00F468A3" w:rsidP="00EE3F0D">
            <w:pPr>
              <w:pStyle w:val="TableBullet"/>
            </w:pPr>
            <w:r w:rsidRPr="00EE3F0D">
              <w:t xml:space="preserve">review and update the </w:t>
            </w:r>
            <w:r w:rsidR="00A47607" w:rsidRPr="00EE3F0D">
              <w:t>NIP</w:t>
            </w:r>
            <w:r w:rsidRPr="00EE3F0D">
              <w:t xml:space="preserve"> in accordance with the requirements of Article </w:t>
            </w:r>
            <w:r w:rsidR="00A47607" w:rsidRPr="00EE3F0D">
              <w:t>7</w:t>
            </w:r>
          </w:p>
          <w:p w14:paraId="257D3760" w14:textId="4FE32E31" w:rsidR="00A47607" w:rsidRPr="00EE3F0D" w:rsidRDefault="0D309E6A" w:rsidP="00EE3F0D">
            <w:pPr>
              <w:pStyle w:val="TableBullet"/>
            </w:pPr>
            <w:r>
              <w:t>submit New Zealand's updated NIP to the Secretariat of the Stockholm Convention (Convention Secretariat) by 0</w:t>
            </w:r>
            <w:r w:rsidR="4C461511">
              <w:t>3</w:t>
            </w:r>
            <w:r>
              <w:t xml:space="preserve"> December 2022.</w:t>
            </w:r>
          </w:p>
        </w:tc>
      </w:tr>
      <w:tr w:rsidR="00F468A3" w:rsidRPr="00582EF5" w14:paraId="5D181386" w14:textId="77777777" w:rsidTr="74A0EEFA">
        <w:tc>
          <w:tcPr>
            <w:tcW w:w="2052" w:type="dxa"/>
          </w:tcPr>
          <w:p w14:paraId="6442CE4E" w14:textId="59A05E29" w:rsidR="00F468A3" w:rsidRPr="00582EF5" w:rsidRDefault="00F468A3" w:rsidP="00EE3F0D">
            <w:pPr>
              <w:pStyle w:val="TableText"/>
            </w:pPr>
            <w:r w:rsidRPr="00582EF5">
              <w:t xml:space="preserve">Article 8: </w:t>
            </w:r>
            <w:r w:rsidR="00FC583B" w:rsidRPr="00582EF5">
              <w:t>L</w:t>
            </w:r>
            <w:r w:rsidRPr="00582EF5">
              <w:t>isting of new POPs under the Convention</w:t>
            </w:r>
          </w:p>
        </w:tc>
        <w:tc>
          <w:tcPr>
            <w:tcW w:w="2055" w:type="dxa"/>
          </w:tcPr>
          <w:p w14:paraId="71F1657E" w14:textId="77777777" w:rsidR="00F468A3" w:rsidRPr="00582EF5" w:rsidRDefault="00F468A3" w:rsidP="00EE3F0D">
            <w:pPr>
              <w:pStyle w:val="TableText"/>
            </w:pPr>
            <w:r w:rsidRPr="00582EF5">
              <w:t>EPA and MfE</w:t>
            </w:r>
          </w:p>
        </w:tc>
        <w:tc>
          <w:tcPr>
            <w:tcW w:w="4387" w:type="dxa"/>
          </w:tcPr>
          <w:p w14:paraId="54CF86D6" w14:textId="01AAA85C" w:rsidR="00F468A3" w:rsidRPr="00582EF5" w:rsidRDefault="00BE0FE9" w:rsidP="00EE3F0D">
            <w:pPr>
              <w:pStyle w:val="TableText"/>
            </w:pPr>
            <w:r w:rsidRPr="00582EF5">
              <w:t>EPA and MfE</w:t>
            </w:r>
            <w:r w:rsidR="00C330E1" w:rsidRPr="00582EF5">
              <w:t xml:space="preserve"> will continue to</w:t>
            </w:r>
            <w:r w:rsidR="00F468A3" w:rsidRPr="00582EF5">
              <w:t>:</w:t>
            </w:r>
          </w:p>
          <w:p w14:paraId="3874A785" w14:textId="78493D3C" w:rsidR="00F468A3" w:rsidRPr="00582EF5" w:rsidRDefault="00F468A3" w:rsidP="00EE3F0D">
            <w:pPr>
              <w:pStyle w:val="TableBullet"/>
            </w:pPr>
            <w:r w:rsidRPr="00582EF5">
              <w:t>monitor international assessments of potential POP chemicals and participate in forums, as appropriate; and, subject to resources, collect information about these POP candidates in New Zealand</w:t>
            </w:r>
          </w:p>
          <w:p w14:paraId="6E4B62BE" w14:textId="03A67294" w:rsidR="00F468A3" w:rsidRPr="00582EF5" w:rsidRDefault="00F468A3" w:rsidP="00EE3F0D">
            <w:pPr>
              <w:pStyle w:val="TableBullet"/>
            </w:pPr>
            <w:r w:rsidRPr="00582EF5">
              <w:t xml:space="preserve">consult with stakeholders in developing a New Zealand position on chemicals recommended by the </w:t>
            </w:r>
            <w:r w:rsidR="00580B2B" w:rsidRPr="00582EF5">
              <w:lastRenderedPageBreak/>
              <w:t>POPs</w:t>
            </w:r>
            <w:r w:rsidRPr="00582EF5">
              <w:t xml:space="preserve"> Review Committee to the </w:t>
            </w:r>
            <w:r w:rsidR="000E3F49">
              <w:t>Conference of the Parties</w:t>
            </w:r>
            <w:r w:rsidRPr="00582EF5">
              <w:t xml:space="preserve"> to the Convention for listing under the Convention</w:t>
            </w:r>
            <w:r w:rsidR="005D703A" w:rsidRPr="00582EF5">
              <w:t>.</w:t>
            </w:r>
          </w:p>
        </w:tc>
      </w:tr>
      <w:tr w:rsidR="00F468A3" w:rsidRPr="00582EF5" w14:paraId="62CDC478" w14:textId="77777777" w:rsidTr="74A0EEFA">
        <w:tc>
          <w:tcPr>
            <w:tcW w:w="2052" w:type="dxa"/>
          </w:tcPr>
          <w:p w14:paraId="7FB1E94C" w14:textId="77777777" w:rsidR="00F468A3" w:rsidRPr="00582EF5" w:rsidRDefault="00F468A3" w:rsidP="00EE3F0D">
            <w:pPr>
              <w:pStyle w:val="TableText"/>
            </w:pPr>
            <w:r w:rsidRPr="00582EF5">
              <w:lastRenderedPageBreak/>
              <w:t>Article 9: Information exchange</w:t>
            </w:r>
          </w:p>
        </w:tc>
        <w:tc>
          <w:tcPr>
            <w:tcW w:w="2055" w:type="dxa"/>
          </w:tcPr>
          <w:p w14:paraId="674FFED8" w14:textId="77777777" w:rsidR="00F468A3" w:rsidRPr="00582EF5" w:rsidRDefault="00F468A3" w:rsidP="00EE3F0D">
            <w:pPr>
              <w:pStyle w:val="TableText"/>
            </w:pPr>
            <w:r w:rsidRPr="00582EF5">
              <w:t>MfE</w:t>
            </w:r>
          </w:p>
        </w:tc>
        <w:tc>
          <w:tcPr>
            <w:tcW w:w="4387" w:type="dxa"/>
          </w:tcPr>
          <w:p w14:paraId="02F09697" w14:textId="2CBF1EAF" w:rsidR="00F468A3" w:rsidRPr="00582EF5" w:rsidRDefault="00F468A3" w:rsidP="00EE3F0D">
            <w:pPr>
              <w:pStyle w:val="TableText"/>
            </w:pPr>
            <w:r w:rsidRPr="00582EF5">
              <w:t xml:space="preserve">MfE </w:t>
            </w:r>
            <w:r w:rsidR="00BE0FE9" w:rsidRPr="00582EF5">
              <w:t xml:space="preserve">will </w:t>
            </w:r>
            <w:r w:rsidR="00C330E1" w:rsidRPr="00582EF5">
              <w:t xml:space="preserve">continue to </w:t>
            </w:r>
            <w:r w:rsidRPr="00582EF5">
              <w:t>provide and exchange information with parties to the Convention, either directly or via the Convention Secretariat</w:t>
            </w:r>
            <w:r w:rsidR="005D703A" w:rsidRPr="00582EF5">
              <w:t>.</w:t>
            </w:r>
          </w:p>
        </w:tc>
      </w:tr>
      <w:tr w:rsidR="00F468A3" w:rsidRPr="00582EF5" w14:paraId="7B529242" w14:textId="77777777" w:rsidTr="74A0EEFA">
        <w:tc>
          <w:tcPr>
            <w:tcW w:w="2052" w:type="dxa"/>
          </w:tcPr>
          <w:p w14:paraId="0AF7107B" w14:textId="77777777" w:rsidR="00F468A3" w:rsidRPr="00582EF5" w:rsidRDefault="00F468A3" w:rsidP="00EE3F0D">
            <w:pPr>
              <w:pStyle w:val="TableText"/>
            </w:pPr>
            <w:r w:rsidRPr="00582EF5">
              <w:t>Article 10: Public information, awareness and education</w:t>
            </w:r>
          </w:p>
        </w:tc>
        <w:tc>
          <w:tcPr>
            <w:tcW w:w="2055" w:type="dxa"/>
          </w:tcPr>
          <w:p w14:paraId="434003D8" w14:textId="77777777" w:rsidR="00F468A3" w:rsidRPr="00582EF5" w:rsidRDefault="00F468A3" w:rsidP="00EE3F0D">
            <w:pPr>
              <w:pStyle w:val="TableText"/>
            </w:pPr>
            <w:r w:rsidRPr="00582EF5">
              <w:t>MfE</w:t>
            </w:r>
          </w:p>
        </w:tc>
        <w:tc>
          <w:tcPr>
            <w:tcW w:w="4387" w:type="dxa"/>
          </w:tcPr>
          <w:p w14:paraId="09E0420D" w14:textId="45998533" w:rsidR="00F468A3" w:rsidRPr="00582EF5" w:rsidRDefault="00F468A3" w:rsidP="00EE3F0D">
            <w:pPr>
              <w:pStyle w:val="TableText"/>
            </w:pPr>
            <w:r w:rsidRPr="00582EF5">
              <w:t>MfE will</w:t>
            </w:r>
            <w:r w:rsidR="00C330E1" w:rsidRPr="00582EF5">
              <w:t xml:space="preserve"> continue to</w:t>
            </w:r>
            <w:r w:rsidRPr="00582EF5">
              <w:t xml:space="preserve"> consider the requirements of Article 10 when undertaking projects relevant to the Convention</w:t>
            </w:r>
            <w:r w:rsidR="005D703A" w:rsidRPr="00582EF5">
              <w:t>.</w:t>
            </w:r>
          </w:p>
        </w:tc>
      </w:tr>
      <w:tr w:rsidR="00F468A3" w:rsidRPr="00582EF5" w14:paraId="4A79807F" w14:textId="77777777" w:rsidTr="74A0EEFA">
        <w:tc>
          <w:tcPr>
            <w:tcW w:w="2052" w:type="dxa"/>
          </w:tcPr>
          <w:p w14:paraId="29C1EE41" w14:textId="77777777" w:rsidR="00F468A3" w:rsidRPr="00582EF5" w:rsidRDefault="00F468A3" w:rsidP="00EE3F0D">
            <w:pPr>
              <w:pStyle w:val="TableText"/>
            </w:pPr>
            <w:r w:rsidRPr="00582EF5">
              <w:t>Article 11: Research, development and monitoring</w:t>
            </w:r>
          </w:p>
        </w:tc>
        <w:tc>
          <w:tcPr>
            <w:tcW w:w="2055" w:type="dxa"/>
          </w:tcPr>
          <w:p w14:paraId="0FDE0C42" w14:textId="3B08EB07" w:rsidR="00F468A3" w:rsidRPr="00582EF5" w:rsidRDefault="00F468A3" w:rsidP="00EE3F0D">
            <w:pPr>
              <w:pStyle w:val="TableText"/>
            </w:pPr>
            <w:r w:rsidRPr="00582EF5">
              <w:t>MfE,</w:t>
            </w:r>
            <w:r w:rsidR="00FC7DF6" w:rsidRPr="00582EF5">
              <w:t xml:space="preserve"> Ministry of Health</w:t>
            </w:r>
            <w:r w:rsidRPr="00582EF5">
              <w:t xml:space="preserve"> </w:t>
            </w:r>
            <w:r w:rsidR="00FC7DF6" w:rsidRPr="00582EF5">
              <w:t>(</w:t>
            </w:r>
            <w:r w:rsidRPr="00582EF5">
              <w:t>M</w:t>
            </w:r>
            <w:r w:rsidR="00377E64" w:rsidRPr="00582EF5">
              <w:t>O</w:t>
            </w:r>
            <w:r w:rsidRPr="00582EF5">
              <w:t>H</w:t>
            </w:r>
            <w:r w:rsidR="00FC7DF6" w:rsidRPr="00582EF5">
              <w:t>)</w:t>
            </w:r>
            <w:r w:rsidRPr="00582EF5">
              <w:t xml:space="preserve">, </w:t>
            </w:r>
            <w:r w:rsidR="00FC7DF6" w:rsidRPr="00582EF5">
              <w:t xml:space="preserve">Ministry for Primary </w:t>
            </w:r>
            <w:r w:rsidR="00FC7DF6" w:rsidRPr="00A87588">
              <w:t>Industries</w:t>
            </w:r>
            <w:r w:rsidR="00FC7DF6" w:rsidRPr="006557BE">
              <w:t xml:space="preserve"> (</w:t>
            </w:r>
            <w:r w:rsidRPr="006557BE">
              <w:t>MPI</w:t>
            </w:r>
            <w:r w:rsidR="00FC7DF6" w:rsidRPr="00A87588">
              <w:t>)</w:t>
            </w:r>
          </w:p>
        </w:tc>
        <w:tc>
          <w:tcPr>
            <w:tcW w:w="4387" w:type="dxa"/>
          </w:tcPr>
          <w:p w14:paraId="5488EEE1" w14:textId="1156C3BE" w:rsidR="00F468A3" w:rsidRPr="00582EF5" w:rsidRDefault="00F468A3" w:rsidP="00EE3F0D">
            <w:pPr>
              <w:pStyle w:val="TableText"/>
            </w:pPr>
            <w:r w:rsidRPr="00582EF5">
              <w:t>MfE and M</w:t>
            </w:r>
            <w:r w:rsidR="005A5493" w:rsidRPr="00582EF5">
              <w:t>O</w:t>
            </w:r>
            <w:r w:rsidRPr="00582EF5">
              <w:t>H will continue, subject to resources, a biomon</w:t>
            </w:r>
            <w:r w:rsidR="00454909" w:rsidRPr="00582EF5">
              <w:t>itoring programme (</w:t>
            </w:r>
            <w:r w:rsidRPr="00582EF5">
              <w:t xml:space="preserve">serum) appropriate </w:t>
            </w:r>
            <w:r w:rsidR="00FC7DF6" w:rsidRPr="00582EF5">
              <w:t xml:space="preserve">for </w:t>
            </w:r>
            <w:r w:rsidRPr="00582EF5">
              <w:t>tracking the New Zealand population’s exposure to POPs</w:t>
            </w:r>
            <w:r w:rsidR="003033F3" w:rsidRPr="00582EF5">
              <w:t>.</w:t>
            </w:r>
          </w:p>
          <w:p w14:paraId="244122B4" w14:textId="2EC186E6" w:rsidR="00F468A3" w:rsidRPr="00C84D31" w:rsidRDefault="00F468A3" w:rsidP="00EE3F0D">
            <w:pPr>
              <w:pStyle w:val="TableText"/>
            </w:pPr>
            <w:r w:rsidRPr="00582EF5">
              <w:t>MfE will</w:t>
            </w:r>
            <w:r w:rsidR="00C330E1" w:rsidRPr="00582EF5">
              <w:t xml:space="preserve"> continue to</w:t>
            </w:r>
            <w:r w:rsidRPr="00582EF5">
              <w:t xml:space="preserve"> monitor the effectiveness of the NIP (relating to dioxin reduction, waste stocks and contaminated sites management)</w:t>
            </w:r>
            <w:r w:rsidR="00322831" w:rsidRPr="00582EF5">
              <w:t xml:space="preserve"> and monitor POPs in the environment</w:t>
            </w:r>
            <w:r w:rsidR="003033F3" w:rsidRPr="00C84D31">
              <w:t>.</w:t>
            </w:r>
          </w:p>
          <w:p w14:paraId="2B097A35" w14:textId="17D6CC9D" w:rsidR="39C8C38D" w:rsidRPr="00C84D31" w:rsidRDefault="7915F9A0" w:rsidP="39C8C38D">
            <w:pPr>
              <w:pStyle w:val="TableText"/>
            </w:pPr>
            <w:hyperlink r:id="rId26" w:history="1">
              <w:r w:rsidRPr="00C84D31">
                <w:rPr>
                  <w:rStyle w:val="Hyperlink"/>
                  <w:color w:val="auto"/>
                </w:rPr>
                <w:t>MfE and the EPA have a joint work programme to implement the recommendations of t</w:t>
              </w:r>
              <w:r w:rsidR="00BC76F7" w:rsidRPr="00C84D31">
                <w:rPr>
                  <w:rStyle w:val="Hyperlink"/>
                  <w:color w:val="auto"/>
                </w:rPr>
                <w:t xml:space="preserve">he Parliamentary Commissioner for the Environment’s </w:t>
              </w:r>
              <w:r w:rsidRPr="00C84D31">
                <w:rPr>
                  <w:rStyle w:val="Hyperlink"/>
                  <w:color w:val="auto"/>
                </w:rPr>
                <w:t xml:space="preserve">report </w:t>
              </w:r>
              <w:r w:rsidR="3EEF404A" w:rsidRPr="00C84D31">
                <w:rPr>
                  <w:rStyle w:val="Hyperlink"/>
                  <w:color w:val="auto"/>
                </w:rPr>
                <w:t xml:space="preserve">on improving </w:t>
              </w:r>
              <w:r w:rsidR="69387EB3" w:rsidRPr="00C84D31">
                <w:rPr>
                  <w:rStyle w:val="Hyperlink"/>
                  <w:color w:val="auto"/>
                </w:rPr>
                <w:t>chemicals management and the fate of chemicals in the environment</w:t>
              </w:r>
              <w:r w:rsidR="00212FC7" w:rsidRPr="00C84D31">
                <w:rPr>
                  <w:rStyle w:val="Hyperlink"/>
                  <w:color w:val="auto"/>
                </w:rPr>
                <w:t xml:space="preserve"> </w:t>
              </w:r>
              <w:r w:rsidR="00212FC7" w:rsidRPr="00C84D31">
                <w:rPr>
                  <w:rStyle w:val="Hyperlink"/>
                  <w:i/>
                  <w:iCs/>
                  <w:color w:val="auto"/>
                </w:rPr>
                <w:t>Knowing what’s out there</w:t>
              </w:r>
              <w:r w:rsidR="002614EF" w:rsidRPr="00C84D31">
                <w:rPr>
                  <w:rStyle w:val="Hyperlink"/>
                  <w:i/>
                  <w:iCs/>
                  <w:color w:val="auto"/>
                </w:rPr>
                <w:t xml:space="preserve"> - </w:t>
              </w:r>
              <w:r w:rsidR="00212FC7" w:rsidRPr="00C84D31">
                <w:rPr>
                  <w:rStyle w:val="Hyperlink"/>
                  <w:i/>
                  <w:iCs/>
                  <w:color w:val="auto"/>
                </w:rPr>
                <w:t>Regulating the environmental fate of chemicals</w:t>
              </w:r>
              <w:r w:rsidR="69387EB3" w:rsidRPr="00C84D31">
                <w:rPr>
                  <w:rStyle w:val="Hyperlink"/>
                  <w:color w:val="auto"/>
                </w:rPr>
                <w:t>.</w:t>
              </w:r>
            </w:hyperlink>
          </w:p>
          <w:p w14:paraId="71DD1B9E" w14:textId="1ED9311A" w:rsidR="000E1A43" w:rsidRPr="00582EF5" w:rsidRDefault="4B271AF8" w:rsidP="00EE3F0D">
            <w:pPr>
              <w:pStyle w:val="TableText"/>
            </w:pPr>
            <w:r>
              <w:t>MPI will monitor relevant POPs in the food chain (through the New Zealand Total Diet Study and the National Chemical Contaminants Programme, as appropriate).</w:t>
            </w:r>
          </w:p>
        </w:tc>
      </w:tr>
      <w:tr w:rsidR="00F468A3" w:rsidRPr="00582EF5" w14:paraId="7ADD0DD0" w14:textId="77777777" w:rsidTr="74A0EEFA">
        <w:tc>
          <w:tcPr>
            <w:tcW w:w="2052" w:type="dxa"/>
          </w:tcPr>
          <w:p w14:paraId="32436AF8" w14:textId="77777777" w:rsidR="00F468A3" w:rsidRPr="00582EF5" w:rsidRDefault="00F468A3" w:rsidP="00EE3F0D">
            <w:pPr>
              <w:pStyle w:val="TableText"/>
            </w:pPr>
            <w:r w:rsidRPr="00582EF5">
              <w:t>Article 12: Technical assistance</w:t>
            </w:r>
          </w:p>
        </w:tc>
        <w:tc>
          <w:tcPr>
            <w:tcW w:w="2055" w:type="dxa"/>
          </w:tcPr>
          <w:p w14:paraId="5F6B75F9" w14:textId="1FCA1463" w:rsidR="00F468A3" w:rsidRPr="00582EF5" w:rsidRDefault="00F468A3" w:rsidP="00EE3F0D">
            <w:pPr>
              <w:pStyle w:val="TableText"/>
            </w:pPr>
            <w:r w:rsidRPr="00582EF5">
              <w:t xml:space="preserve">MfE, </w:t>
            </w:r>
            <w:r w:rsidR="00563FD4" w:rsidRPr="00582EF5">
              <w:t>Ministry of Foreign Affairs and Trade (</w:t>
            </w:r>
            <w:r w:rsidRPr="00582EF5">
              <w:t>MFAT</w:t>
            </w:r>
            <w:r w:rsidR="00563FD4" w:rsidRPr="00582EF5">
              <w:t>)</w:t>
            </w:r>
          </w:p>
        </w:tc>
        <w:tc>
          <w:tcPr>
            <w:tcW w:w="4387" w:type="dxa"/>
          </w:tcPr>
          <w:p w14:paraId="3899AF0B" w14:textId="3A3DDCC3" w:rsidR="00F468A3" w:rsidRPr="00582EF5" w:rsidRDefault="00F468A3" w:rsidP="00EE3F0D">
            <w:pPr>
              <w:pStyle w:val="TableText"/>
            </w:pPr>
            <w:r w:rsidRPr="00582EF5">
              <w:t>MfE, in conjunction with MFAT, and subject to resources, will address requests for technical assistance</w:t>
            </w:r>
            <w:r w:rsidR="00CE0EF0" w:rsidRPr="00582EF5">
              <w:t>.</w:t>
            </w:r>
          </w:p>
        </w:tc>
      </w:tr>
      <w:tr w:rsidR="00F468A3" w:rsidRPr="00582EF5" w14:paraId="6952D593" w14:textId="77777777" w:rsidTr="74A0EEFA">
        <w:tc>
          <w:tcPr>
            <w:tcW w:w="2052" w:type="dxa"/>
          </w:tcPr>
          <w:p w14:paraId="0D67D615" w14:textId="273CAB1E" w:rsidR="00F468A3" w:rsidRPr="00582EF5" w:rsidRDefault="00F468A3" w:rsidP="00EE3F0D">
            <w:pPr>
              <w:pStyle w:val="TableText"/>
            </w:pPr>
            <w:r w:rsidRPr="00582EF5">
              <w:t xml:space="preserve">Articles 13 </w:t>
            </w:r>
            <w:r w:rsidRPr="00A87588">
              <w:t xml:space="preserve">and </w:t>
            </w:r>
            <w:r w:rsidRPr="006557BE">
              <w:t>14</w:t>
            </w:r>
            <w:r w:rsidRPr="00A87588">
              <w:t>:</w:t>
            </w:r>
            <w:r w:rsidRPr="00582EF5">
              <w:t xml:space="preserve"> </w:t>
            </w:r>
            <w:r w:rsidR="00A64E13" w:rsidRPr="00582EF5">
              <w:t>Financial resources</w:t>
            </w:r>
          </w:p>
        </w:tc>
        <w:tc>
          <w:tcPr>
            <w:tcW w:w="2055" w:type="dxa"/>
          </w:tcPr>
          <w:p w14:paraId="638C9E4C" w14:textId="77777777" w:rsidR="00F468A3" w:rsidRPr="00582EF5" w:rsidRDefault="00F468A3" w:rsidP="00EE3F0D">
            <w:pPr>
              <w:pStyle w:val="TableText"/>
            </w:pPr>
            <w:r w:rsidRPr="00582EF5">
              <w:t>MFAT</w:t>
            </w:r>
          </w:p>
        </w:tc>
        <w:tc>
          <w:tcPr>
            <w:tcW w:w="4387" w:type="dxa"/>
          </w:tcPr>
          <w:p w14:paraId="24A1AC11" w14:textId="3F2E861A" w:rsidR="00F468A3" w:rsidRPr="00582EF5" w:rsidRDefault="00F468A3" w:rsidP="00EE3F0D">
            <w:pPr>
              <w:pStyle w:val="TableText"/>
            </w:pPr>
            <w:r w:rsidRPr="00582EF5">
              <w:t>MFAT will consider New Zealand’s level of commitment to the Global Environment Facility replenishment rounds</w:t>
            </w:r>
            <w:r w:rsidR="00CE0EF0" w:rsidRPr="00582EF5">
              <w:t>.</w:t>
            </w:r>
          </w:p>
        </w:tc>
      </w:tr>
      <w:tr w:rsidR="00F468A3" w:rsidRPr="00582EF5" w14:paraId="75BD74A5" w14:textId="77777777" w:rsidTr="74A0EEFA">
        <w:tc>
          <w:tcPr>
            <w:tcW w:w="2052" w:type="dxa"/>
          </w:tcPr>
          <w:p w14:paraId="29D85A98" w14:textId="77777777" w:rsidR="00F468A3" w:rsidRPr="00582EF5" w:rsidRDefault="00F468A3" w:rsidP="00EE3F0D">
            <w:pPr>
              <w:pStyle w:val="TableText"/>
            </w:pPr>
            <w:r w:rsidRPr="00582EF5">
              <w:t>Article 15: Reporting</w:t>
            </w:r>
          </w:p>
        </w:tc>
        <w:tc>
          <w:tcPr>
            <w:tcW w:w="2055" w:type="dxa"/>
          </w:tcPr>
          <w:p w14:paraId="6C184C29" w14:textId="1F25B9A1" w:rsidR="00F468A3" w:rsidRPr="00582EF5" w:rsidRDefault="00F468A3" w:rsidP="00EE3F0D">
            <w:pPr>
              <w:pStyle w:val="TableText"/>
            </w:pPr>
            <w:r>
              <w:t>MfE</w:t>
            </w:r>
            <w:r w:rsidR="1A0A0583">
              <w:t xml:space="preserve"> and</w:t>
            </w:r>
            <w:r w:rsidR="00C84D31">
              <w:t xml:space="preserve"> </w:t>
            </w:r>
            <w:r w:rsidR="1A0A0583">
              <w:t>EPA</w:t>
            </w:r>
          </w:p>
        </w:tc>
        <w:tc>
          <w:tcPr>
            <w:tcW w:w="4387" w:type="dxa"/>
          </w:tcPr>
          <w:p w14:paraId="6D80800D" w14:textId="74542DA6" w:rsidR="00F468A3" w:rsidRPr="00582EF5" w:rsidRDefault="00544756" w:rsidP="00EE3F0D">
            <w:pPr>
              <w:pStyle w:val="TableText"/>
            </w:pPr>
            <w:r>
              <w:t>MfE</w:t>
            </w:r>
            <w:r w:rsidR="17027139">
              <w:t xml:space="preserve"> and</w:t>
            </w:r>
            <w:r w:rsidR="00C84D31">
              <w:t xml:space="preserve"> the</w:t>
            </w:r>
            <w:r w:rsidR="17027139">
              <w:t xml:space="preserve"> EPA</w:t>
            </w:r>
            <w:r w:rsidRPr="00582EF5">
              <w:t xml:space="preserve"> will </w:t>
            </w:r>
            <w:r w:rsidR="00F468A3" w:rsidRPr="00582EF5">
              <w:t>collect the necessary information and prepare and submit future New Zealand reports</w:t>
            </w:r>
            <w:r w:rsidR="00E1635F" w:rsidRPr="00582EF5">
              <w:t>,</w:t>
            </w:r>
            <w:r w:rsidR="00F468A3" w:rsidRPr="00582EF5">
              <w:t xml:space="preserve"> in accordance with the requirements of the Convention</w:t>
            </w:r>
            <w:r w:rsidR="00CE0EF0" w:rsidRPr="00582EF5">
              <w:t>.</w:t>
            </w:r>
          </w:p>
        </w:tc>
      </w:tr>
      <w:tr w:rsidR="00F468A3" w:rsidRPr="00582EF5" w14:paraId="04EEDD23" w14:textId="77777777" w:rsidTr="74A0EEFA">
        <w:tc>
          <w:tcPr>
            <w:tcW w:w="2052" w:type="dxa"/>
          </w:tcPr>
          <w:p w14:paraId="0030DCF3" w14:textId="77777777" w:rsidR="00F468A3" w:rsidRPr="00582EF5" w:rsidRDefault="00F468A3" w:rsidP="00EE3F0D">
            <w:pPr>
              <w:pStyle w:val="TableText"/>
            </w:pPr>
            <w:r w:rsidRPr="00582EF5">
              <w:t>Article 16: Effectiveness evaluation</w:t>
            </w:r>
          </w:p>
        </w:tc>
        <w:tc>
          <w:tcPr>
            <w:tcW w:w="2055" w:type="dxa"/>
          </w:tcPr>
          <w:p w14:paraId="6D990541" w14:textId="77777777" w:rsidR="00F468A3" w:rsidRPr="00582EF5" w:rsidRDefault="00F468A3" w:rsidP="00EE3F0D">
            <w:pPr>
              <w:pStyle w:val="TableText"/>
            </w:pPr>
            <w:r w:rsidRPr="00582EF5">
              <w:t>MfE</w:t>
            </w:r>
          </w:p>
        </w:tc>
        <w:tc>
          <w:tcPr>
            <w:tcW w:w="4387" w:type="dxa"/>
          </w:tcPr>
          <w:p w14:paraId="226B8A8C" w14:textId="4AD8E09D" w:rsidR="00F468A3" w:rsidRPr="00582EF5" w:rsidRDefault="00F468A3" w:rsidP="00EE3F0D">
            <w:pPr>
              <w:pStyle w:val="TableText"/>
            </w:pPr>
            <w:r w:rsidRPr="00582EF5">
              <w:t>MfE will</w:t>
            </w:r>
            <w:r w:rsidR="00183E63" w:rsidRPr="00582EF5">
              <w:t xml:space="preserve"> continue to</w:t>
            </w:r>
            <w:r w:rsidRPr="00582EF5">
              <w:t>:</w:t>
            </w:r>
          </w:p>
          <w:p w14:paraId="12AEEF5C" w14:textId="59E2A7DD" w:rsidR="00F468A3" w:rsidRPr="00582EF5" w:rsidRDefault="00F468A3" w:rsidP="00EE3F0D">
            <w:pPr>
              <w:pStyle w:val="TableBullet"/>
            </w:pPr>
            <w:r w:rsidRPr="00582EF5">
              <w:t xml:space="preserve">maintain international liaison and collaborate with the </w:t>
            </w:r>
            <w:r w:rsidR="00CF340C" w:rsidRPr="00582EF5">
              <w:t xml:space="preserve">Convention </w:t>
            </w:r>
            <w:r w:rsidRPr="00582EF5">
              <w:t>Secretariat, as appropriate and subject to resources, in contributing to a global monitoring programme</w:t>
            </w:r>
          </w:p>
          <w:p w14:paraId="5C214F5F" w14:textId="4BD76F5F" w:rsidR="00F468A3" w:rsidRPr="00582EF5" w:rsidRDefault="00F468A3" w:rsidP="00EE3F0D">
            <w:pPr>
              <w:pStyle w:val="TableBullet"/>
            </w:pPr>
            <w:r w:rsidRPr="00582EF5">
              <w:t xml:space="preserve">provide to the </w:t>
            </w:r>
            <w:r w:rsidR="00CF340C" w:rsidRPr="00582EF5">
              <w:t xml:space="preserve">Convention </w:t>
            </w:r>
            <w:r w:rsidRPr="00582EF5">
              <w:t>Secretariat information gained from existing POP monitoring programmes and from any future research programmes</w:t>
            </w:r>
            <w:r w:rsidR="00CE0EF0" w:rsidRPr="00582EF5">
              <w:t>.</w:t>
            </w:r>
          </w:p>
        </w:tc>
      </w:tr>
      <w:tr w:rsidR="00F468A3" w:rsidRPr="00582EF5" w14:paraId="10062FE4" w14:textId="77777777" w:rsidTr="74A0EEFA">
        <w:tc>
          <w:tcPr>
            <w:tcW w:w="2052" w:type="dxa"/>
          </w:tcPr>
          <w:p w14:paraId="5AA63139" w14:textId="674EB6E7" w:rsidR="00F468A3" w:rsidRPr="00582EF5" w:rsidRDefault="00F468A3" w:rsidP="00EE3F0D">
            <w:pPr>
              <w:pStyle w:val="TableText"/>
            </w:pPr>
            <w:r w:rsidRPr="00582EF5">
              <w:t>Articles 17</w:t>
            </w:r>
            <w:r w:rsidR="00CE0EF0" w:rsidRPr="00582EF5">
              <w:t>–</w:t>
            </w:r>
            <w:r w:rsidRPr="00582EF5">
              <w:t>30</w:t>
            </w:r>
          </w:p>
        </w:tc>
        <w:tc>
          <w:tcPr>
            <w:tcW w:w="6442" w:type="dxa"/>
            <w:gridSpan w:val="2"/>
          </w:tcPr>
          <w:p w14:paraId="34BB49AD" w14:textId="03AA0638" w:rsidR="00F468A3" w:rsidRPr="00582EF5" w:rsidRDefault="00F468A3" w:rsidP="00EE3F0D">
            <w:pPr>
              <w:pStyle w:val="TableText"/>
            </w:pPr>
            <w:r w:rsidRPr="00582EF5">
              <w:t>The remaining articles concern the international administration of the Convention and are not considered relevant to this updated NIP</w:t>
            </w:r>
            <w:r w:rsidR="00CE0EF0" w:rsidRPr="00582EF5">
              <w:t>.</w:t>
            </w:r>
          </w:p>
        </w:tc>
      </w:tr>
    </w:tbl>
    <w:p w14:paraId="58680097" w14:textId="77777777" w:rsidR="00F468A3" w:rsidRPr="00582EF5" w:rsidRDefault="00F468A3" w:rsidP="00EE3F0D">
      <w:pPr>
        <w:pStyle w:val="BodyText"/>
      </w:pPr>
    </w:p>
    <w:p w14:paraId="4C83D17C" w14:textId="04192B77" w:rsidR="00F468A3" w:rsidRPr="00582EF5" w:rsidRDefault="00F468A3" w:rsidP="00EE3F0D">
      <w:pPr>
        <w:pStyle w:val="BodyText"/>
      </w:pPr>
      <w:r w:rsidRPr="00582EF5">
        <w:br w:type="page"/>
      </w:r>
    </w:p>
    <w:p w14:paraId="2D8EA002" w14:textId="1DBE8BEA" w:rsidR="007771E5" w:rsidRPr="00582EF5" w:rsidRDefault="007771E5" w:rsidP="00EE3F0D">
      <w:pPr>
        <w:pStyle w:val="Heading1"/>
      </w:pPr>
      <w:bookmarkStart w:id="9" w:name="_Toc531102775"/>
      <w:bookmarkStart w:id="10" w:name="_Toc120532228"/>
      <w:r w:rsidRPr="00582EF5">
        <w:lastRenderedPageBreak/>
        <w:t>C</w:t>
      </w:r>
      <w:bookmarkEnd w:id="9"/>
      <w:r w:rsidR="00785CC0" w:rsidRPr="00582EF5">
        <w:t xml:space="preserve">hapter 1: </w:t>
      </w:r>
      <w:r w:rsidR="00D03B4E">
        <w:t xml:space="preserve">National implementation plan process and </w:t>
      </w:r>
      <w:r w:rsidR="008152E0" w:rsidRPr="00582EF5">
        <w:t>the Stockholm Convention</w:t>
      </w:r>
      <w:bookmarkEnd w:id="10"/>
    </w:p>
    <w:p w14:paraId="4D58E4E2" w14:textId="0E7E7423" w:rsidR="009363ED" w:rsidRPr="00582EF5" w:rsidRDefault="009363ED" w:rsidP="00EE3F0D">
      <w:pPr>
        <w:pStyle w:val="BodyText"/>
      </w:pPr>
      <w:bookmarkStart w:id="11" w:name="_Toc531102776"/>
      <w:r w:rsidRPr="00582EF5">
        <w:t xml:space="preserve">This chapter </w:t>
      </w:r>
      <w:r w:rsidR="00D90F87" w:rsidRPr="00582EF5">
        <w:t>summarises</w:t>
      </w:r>
      <w:r w:rsidRPr="00582EF5">
        <w:t xml:space="preserve"> the </w:t>
      </w:r>
      <w:r w:rsidR="007F3716" w:rsidRPr="00582EF5">
        <w:t>national implementation plan (</w:t>
      </w:r>
      <w:r w:rsidRPr="00582EF5">
        <w:t>NIP</w:t>
      </w:r>
      <w:r w:rsidR="007F3716" w:rsidRPr="00582EF5">
        <w:t>)</w:t>
      </w:r>
      <w:r w:rsidRPr="00582EF5">
        <w:t xml:space="preserve"> process in New Zealand and the </w:t>
      </w:r>
      <w:r w:rsidR="00D90F87" w:rsidRPr="00582EF5">
        <w:t>persistent organic pollutants (</w:t>
      </w:r>
      <w:r w:rsidRPr="00582EF5">
        <w:t>POPs</w:t>
      </w:r>
      <w:r w:rsidR="00D90F87" w:rsidRPr="00582EF5">
        <w:t>)</w:t>
      </w:r>
      <w:r w:rsidRPr="00582EF5">
        <w:t xml:space="preserve"> listed under the </w:t>
      </w:r>
      <w:r w:rsidR="006F2F46" w:rsidRPr="00582EF5">
        <w:t xml:space="preserve">Stockholm Convention on Persistent Organic Pollutants (the </w:t>
      </w:r>
      <w:r w:rsidRPr="00582EF5">
        <w:t>Convention</w:t>
      </w:r>
      <w:r w:rsidR="006F2F46" w:rsidRPr="00582EF5">
        <w:t>)</w:t>
      </w:r>
      <w:r w:rsidRPr="00582EF5">
        <w:t xml:space="preserve"> since 2001.</w:t>
      </w:r>
    </w:p>
    <w:p w14:paraId="539D3F85" w14:textId="1C8D5B86" w:rsidR="007771E5" w:rsidRPr="00582EF5" w:rsidRDefault="007771E5" w:rsidP="00EE3F0D">
      <w:pPr>
        <w:pStyle w:val="Heading2"/>
        <w:spacing w:before="320"/>
        <w:rPr>
          <w:b w:val="0"/>
        </w:rPr>
      </w:pPr>
      <w:bookmarkStart w:id="12" w:name="_Toc120532229"/>
      <w:r w:rsidRPr="00582EF5">
        <w:t xml:space="preserve">1.1 </w:t>
      </w:r>
      <w:r w:rsidR="00B1728D" w:rsidRPr="00582EF5">
        <w:tab/>
      </w:r>
      <w:r w:rsidR="008152E0" w:rsidRPr="00582EF5">
        <w:t>New Zealand and the Stockholm Convention</w:t>
      </w:r>
      <w:bookmarkEnd w:id="11"/>
      <w:bookmarkEnd w:id="12"/>
    </w:p>
    <w:p w14:paraId="16BE2001" w14:textId="08AF5CBD" w:rsidR="007771E5" w:rsidRPr="00582EF5" w:rsidRDefault="007771E5" w:rsidP="00EE3F0D">
      <w:pPr>
        <w:pStyle w:val="BodyText"/>
      </w:pPr>
      <w:r w:rsidRPr="00582EF5">
        <w:t>The Convention is a multilater</w:t>
      </w:r>
      <w:r w:rsidR="00A64E13" w:rsidRPr="00582EF5">
        <w:t>al environmental agreement</w:t>
      </w:r>
      <w:r w:rsidRPr="00582EF5">
        <w:t xml:space="preserve"> committing governments to take measures to protect human health and the environment from the negative effects of POPs. </w:t>
      </w:r>
      <w:r w:rsidR="00A11158" w:rsidRPr="00582EF5">
        <w:t xml:space="preserve">Its </w:t>
      </w:r>
      <w:r w:rsidRPr="00582EF5">
        <w:t xml:space="preserve">goal is to reduce and, where feasible, eliminate the production and environmental release of the chemicals listed under the Convention. </w:t>
      </w:r>
    </w:p>
    <w:p w14:paraId="1DAA80F0" w14:textId="5B357185" w:rsidR="007771E5" w:rsidRPr="00582EF5" w:rsidRDefault="007771E5" w:rsidP="00EE3F0D">
      <w:pPr>
        <w:pStyle w:val="BodyText"/>
      </w:pPr>
      <w:r w:rsidRPr="00582EF5">
        <w:t xml:space="preserve">New Zealand signed the Convention in 2001 and ratified it in 2004. </w:t>
      </w:r>
      <w:r w:rsidR="00DB28A9" w:rsidRPr="00582EF5">
        <w:t xml:space="preserve">The Ministry for the Environment (MfE) leads </w:t>
      </w:r>
      <w:r w:rsidRPr="00582EF5">
        <w:t>New Zealand’s participation in the Convention</w:t>
      </w:r>
      <w:r w:rsidR="00B5359D">
        <w:t xml:space="preserve"> and</w:t>
      </w:r>
      <w:r w:rsidRPr="00582EF5">
        <w:t xml:space="preserve"> coordinat</w:t>
      </w:r>
      <w:r w:rsidR="0063096C" w:rsidRPr="00582EF5">
        <w:t>es</w:t>
      </w:r>
      <w:r w:rsidRPr="00582EF5">
        <w:t xml:space="preserve"> the </w:t>
      </w:r>
      <w:r w:rsidR="0063096C" w:rsidRPr="00582EF5">
        <w:t xml:space="preserve">Convention’s </w:t>
      </w:r>
      <w:r w:rsidRPr="00582EF5">
        <w:t xml:space="preserve">implementation across </w:t>
      </w:r>
      <w:r w:rsidR="00A11158" w:rsidRPr="00582EF5">
        <w:t>g</w:t>
      </w:r>
      <w:r w:rsidRPr="00582EF5">
        <w:t>overnment</w:t>
      </w:r>
      <w:r w:rsidR="008843AE">
        <w:t>.</w:t>
      </w:r>
    </w:p>
    <w:p w14:paraId="312134DB" w14:textId="77777777" w:rsidR="007771E5" w:rsidRPr="00582EF5" w:rsidRDefault="007771E5" w:rsidP="00EE3F0D">
      <w:pPr>
        <w:pStyle w:val="BodyText"/>
        <w:spacing w:after="60"/>
        <w:rPr>
          <w:b/>
        </w:rPr>
      </w:pPr>
      <w:r w:rsidRPr="00582EF5">
        <w:rPr>
          <w:b/>
        </w:rPr>
        <w:t>Contact point</w:t>
      </w:r>
    </w:p>
    <w:p w14:paraId="48B94479" w14:textId="77777777" w:rsidR="007771E5" w:rsidRPr="00582EF5" w:rsidRDefault="007771E5" w:rsidP="00EE3F0D">
      <w:pPr>
        <w:pStyle w:val="BodyText"/>
        <w:spacing w:before="0" w:after="0"/>
      </w:pPr>
      <w:r w:rsidRPr="00582EF5">
        <w:t>National Focal Point Stockholm Convention</w:t>
      </w:r>
    </w:p>
    <w:p w14:paraId="7163C0DF" w14:textId="2F5B7B9C" w:rsidR="007771E5" w:rsidRPr="00582EF5" w:rsidRDefault="007771E5" w:rsidP="00EE3F0D">
      <w:pPr>
        <w:pStyle w:val="BodyText"/>
        <w:spacing w:before="0" w:after="0"/>
      </w:pPr>
      <w:r w:rsidRPr="00582EF5">
        <w:t>Ministry for the Environment</w:t>
      </w:r>
    </w:p>
    <w:p w14:paraId="61F57BD7" w14:textId="07221CA3" w:rsidR="007771E5" w:rsidRPr="00582EF5" w:rsidRDefault="007771E5" w:rsidP="00EE3F0D">
      <w:pPr>
        <w:pStyle w:val="BodyText"/>
        <w:spacing w:before="0" w:after="0"/>
      </w:pPr>
      <w:bookmarkStart w:id="13" w:name="_Int_sGg3bgML"/>
      <w:r w:rsidRPr="00582EF5">
        <w:t>PO</w:t>
      </w:r>
      <w:bookmarkEnd w:id="13"/>
      <w:r w:rsidRPr="00582EF5">
        <w:t xml:space="preserve"> Box 10362</w:t>
      </w:r>
    </w:p>
    <w:p w14:paraId="219CCF7C" w14:textId="77777777" w:rsidR="007771E5" w:rsidRPr="00582EF5" w:rsidRDefault="007771E5" w:rsidP="00EE3F0D">
      <w:pPr>
        <w:pStyle w:val="BodyText"/>
        <w:spacing w:before="0" w:after="0"/>
      </w:pPr>
      <w:r w:rsidRPr="00582EF5">
        <w:t>Wellington 6143</w:t>
      </w:r>
    </w:p>
    <w:p w14:paraId="17D07C80" w14:textId="504B01F5" w:rsidR="007771E5" w:rsidRPr="00582EF5" w:rsidRDefault="007771E5" w:rsidP="00EE3F0D">
      <w:pPr>
        <w:pStyle w:val="BodyText"/>
        <w:spacing w:before="0" w:after="0"/>
      </w:pPr>
      <w:r w:rsidRPr="00582EF5">
        <w:t>0800 499 700 or +64 4 439 7400</w:t>
      </w:r>
    </w:p>
    <w:p w14:paraId="3444F3AC" w14:textId="67F6876F" w:rsidR="007771E5" w:rsidRPr="00582EF5" w:rsidRDefault="007771E5" w:rsidP="00EE3F0D">
      <w:pPr>
        <w:pStyle w:val="BodyText"/>
        <w:spacing w:before="0"/>
        <w:rPr>
          <w:b/>
          <w:sz w:val="24"/>
          <w:szCs w:val="24"/>
        </w:rPr>
      </w:pPr>
      <w:hyperlink r:id="rId27" w:history="1">
        <w:r w:rsidRPr="00582EF5">
          <w:rPr>
            <w:rStyle w:val="Hyperlink"/>
            <w:rFonts w:cs="Arial"/>
          </w:rPr>
          <w:t>stockholm@mfe.govt.nz</w:t>
        </w:r>
      </w:hyperlink>
    </w:p>
    <w:p w14:paraId="58C7B47D" w14:textId="3A09F2BD" w:rsidR="009A38DD" w:rsidRPr="00582EF5" w:rsidRDefault="009A38DD" w:rsidP="00EE3F0D">
      <w:pPr>
        <w:pStyle w:val="Heading2"/>
        <w:rPr>
          <w:b w:val="0"/>
        </w:rPr>
      </w:pPr>
      <w:bookmarkStart w:id="14" w:name="_Toc531102777"/>
      <w:bookmarkStart w:id="15" w:name="_Toc120532230"/>
      <w:r w:rsidRPr="00582EF5">
        <w:t xml:space="preserve">1.2 </w:t>
      </w:r>
      <w:r w:rsidR="00B1728D" w:rsidRPr="00582EF5">
        <w:tab/>
      </w:r>
      <w:r w:rsidRPr="00582EF5">
        <w:t xml:space="preserve">National </w:t>
      </w:r>
      <w:r w:rsidR="00A11158" w:rsidRPr="00582EF5">
        <w:t>i</w:t>
      </w:r>
      <w:r w:rsidRPr="00582EF5">
        <w:t xml:space="preserve">mplementation </w:t>
      </w:r>
      <w:r w:rsidR="00A11158" w:rsidRPr="00582EF5">
        <w:t>p</w:t>
      </w:r>
      <w:r w:rsidRPr="00582EF5">
        <w:t>lan process in</w:t>
      </w:r>
      <w:r w:rsidR="00FB3ED8" w:rsidRPr="00582EF5">
        <w:t> </w:t>
      </w:r>
      <w:r w:rsidRPr="00582EF5">
        <w:t>New</w:t>
      </w:r>
      <w:r w:rsidR="00B1728D" w:rsidRPr="00582EF5">
        <w:t> </w:t>
      </w:r>
      <w:r w:rsidRPr="00582EF5">
        <w:t>Zealand</w:t>
      </w:r>
      <w:bookmarkEnd w:id="14"/>
      <w:bookmarkEnd w:id="15"/>
    </w:p>
    <w:p w14:paraId="00640877" w14:textId="77D810B6" w:rsidR="009A38DD" w:rsidRPr="00582EF5" w:rsidRDefault="009A38DD" w:rsidP="00610861">
      <w:pPr>
        <w:pStyle w:val="BodyText"/>
      </w:pPr>
      <w:r w:rsidRPr="00582EF5">
        <w:t>Article 7 of the Convention requires each party to develop a</w:t>
      </w:r>
      <w:r w:rsidR="00642699" w:rsidRPr="00582EF5">
        <w:t xml:space="preserve">n </w:t>
      </w:r>
      <w:r w:rsidRPr="00582EF5">
        <w:t>NIP. The NIP out</w:t>
      </w:r>
      <w:r w:rsidR="00FB3ED8" w:rsidRPr="00582EF5">
        <w:t>lines</w:t>
      </w:r>
      <w:r w:rsidRPr="00582EF5">
        <w:t xml:space="preserve"> how a country will address its obligations under the Convention. New Zealand submitted its first NIP in 2006, followed by an Addendum in 2014</w:t>
      </w:r>
      <w:r w:rsidR="1AAC2361">
        <w:t xml:space="preserve"> and the release of a second National Implementation Plan (NIP2) in 2018</w:t>
      </w:r>
      <w:r w:rsidR="00F32759">
        <w:t>.</w:t>
      </w:r>
    </w:p>
    <w:p w14:paraId="1BED77EF" w14:textId="514B04CD" w:rsidR="009A38DD" w:rsidRPr="00582EF5" w:rsidRDefault="00852C7A" w:rsidP="00EE3F0D">
      <w:pPr>
        <w:pStyle w:val="Heading3"/>
        <w:spacing w:before="280"/>
      </w:pPr>
      <w:r w:rsidRPr="00582EF5">
        <w:t>1.2.1</w:t>
      </w:r>
      <w:r w:rsidRPr="00582EF5">
        <w:tab/>
      </w:r>
      <w:r w:rsidR="009A38DD" w:rsidRPr="00582EF5">
        <w:t xml:space="preserve">National Implementation Plan </w:t>
      </w:r>
      <w:r w:rsidR="00FB3ED8" w:rsidRPr="00582EF5">
        <w:t xml:space="preserve">2006 </w:t>
      </w:r>
      <w:r w:rsidR="009A38DD" w:rsidRPr="00582EF5">
        <w:t>(NIP1)</w:t>
      </w:r>
    </w:p>
    <w:p w14:paraId="001EC162" w14:textId="71714FD3" w:rsidR="009A38DD" w:rsidRPr="00582EF5" w:rsidRDefault="00D03B4E" w:rsidP="00680062">
      <w:pPr>
        <w:pStyle w:val="BodyText"/>
        <w:jc w:val="both"/>
      </w:pPr>
      <w:r>
        <w:t>NIP1</w:t>
      </w:r>
      <w:r w:rsidR="009A38DD" w:rsidRPr="00582EF5">
        <w:t xml:space="preserve"> is available on </w:t>
      </w:r>
      <w:r w:rsidR="003D290C" w:rsidRPr="00582EF5">
        <w:t xml:space="preserve">either </w:t>
      </w:r>
      <w:r w:rsidR="009A38DD" w:rsidRPr="00582EF5">
        <w:t xml:space="preserve">the Convention or </w:t>
      </w:r>
      <w:hyperlink r:id="rId28" w:history="1">
        <w:r w:rsidR="009A38DD" w:rsidRPr="00905AF1">
          <w:rPr>
            <w:rStyle w:val="Hyperlink"/>
          </w:rPr>
          <w:t>MfE website</w:t>
        </w:r>
        <w:r w:rsidR="007C5D1B" w:rsidRPr="00905AF1">
          <w:rPr>
            <w:rStyle w:val="Hyperlink"/>
          </w:rPr>
          <w:t>s</w:t>
        </w:r>
      </w:hyperlink>
      <w:r w:rsidR="009A38DD" w:rsidRPr="00582EF5">
        <w:t>.</w:t>
      </w:r>
    </w:p>
    <w:p w14:paraId="36ED8313" w14:textId="133B9D9F" w:rsidR="009A38DD" w:rsidRPr="00582EF5" w:rsidRDefault="009A38DD" w:rsidP="00680062">
      <w:pPr>
        <w:pStyle w:val="BodyText"/>
        <w:jc w:val="both"/>
      </w:pPr>
      <w:r w:rsidRPr="00582EF5">
        <w:t>NIP1 outlined how New Zealand implemented measures to meet Convention obligations on the initial 12 chemicals listed under the Convention in 2001</w:t>
      </w:r>
      <w:r w:rsidR="005C2C51" w:rsidRPr="00582EF5">
        <w:t xml:space="preserve"> and </w:t>
      </w:r>
      <w:r w:rsidRPr="00582EF5">
        <w:t>which entered into force in New Zealand in 2004 (see tables 2</w:t>
      </w:r>
      <w:r w:rsidR="005C2C51" w:rsidRPr="00582EF5">
        <w:t>–</w:t>
      </w:r>
      <w:r w:rsidRPr="00582EF5">
        <w:t xml:space="preserve">4 </w:t>
      </w:r>
      <w:r w:rsidR="005C2C51" w:rsidRPr="00582EF5">
        <w:t xml:space="preserve">for </w:t>
      </w:r>
      <w:r w:rsidRPr="00582EF5">
        <w:t xml:space="preserve">the relevant Convention annexes for these listed chemicals). </w:t>
      </w:r>
    </w:p>
    <w:p w14:paraId="50CA4BC4" w14:textId="711AAB6F" w:rsidR="009A38DD" w:rsidRPr="00582EF5" w:rsidRDefault="00852C7A" w:rsidP="00EE3F0D">
      <w:pPr>
        <w:pStyle w:val="Heading3"/>
      </w:pPr>
      <w:r w:rsidRPr="00582EF5">
        <w:t>1.2.2</w:t>
      </w:r>
      <w:r w:rsidRPr="00582EF5">
        <w:tab/>
      </w:r>
      <w:r w:rsidR="009A38DD" w:rsidRPr="00582EF5">
        <w:t>National Implementation Plan Addendum</w:t>
      </w:r>
      <w:r w:rsidR="005C2C51" w:rsidRPr="00582EF5">
        <w:t xml:space="preserve"> 2014</w:t>
      </w:r>
      <w:r w:rsidR="009A38DD" w:rsidRPr="00582EF5">
        <w:t xml:space="preserve"> (NIP Addendum)</w:t>
      </w:r>
    </w:p>
    <w:p w14:paraId="7BC97A96" w14:textId="39C8CDDE" w:rsidR="009A38DD" w:rsidRPr="00582EF5" w:rsidRDefault="009A38DD" w:rsidP="00EE3F0D">
      <w:pPr>
        <w:pStyle w:val="BodyText"/>
      </w:pPr>
      <w:r w:rsidRPr="00582EF5">
        <w:t xml:space="preserve">New Zealand submitted an Addendum to </w:t>
      </w:r>
      <w:r w:rsidR="005C2C51" w:rsidRPr="00582EF5">
        <w:t>NIP1</w:t>
      </w:r>
      <w:r w:rsidRPr="00582EF5">
        <w:t xml:space="preserve"> concerning the 2011 listing of technical endosulfan and its related isomers. Th</w:t>
      </w:r>
      <w:r w:rsidR="00EE393B" w:rsidRPr="00582EF5">
        <w:t>e Addendum</w:t>
      </w:r>
      <w:r w:rsidRPr="00582EF5">
        <w:t xml:space="preserve"> is </w:t>
      </w:r>
      <w:r w:rsidRPr="008304A2">
        <w:t xml:space="preserve">available on the </w:t>
      </w:r>
      <w:hyperlink r:id="rId29" w:history="1">
        <w:r w:rsidRPr="008304A2">
          <w:rPr>
            <w:rStyle w:val="Hyperlink"/>
          </w:rPr>
          <w:t>Convention website</w:t>
        </w:r>
      </w:hyperlink>
      <w:r w:rsidRPr="00582EF5">
        <w:t>.</w:t>
      </w:r>
    </w:p>
    <w:p w14:paraId="5AC73306" w14:textId="53023AC7" w:rsidR="7D2DA830" w:rsidRDefault="00852C7A" w:rsidP="00EE3F0D">
      <w:pPr>
        <w:pStyle w:val="Heading3"/>
        <w:rPr>
          <w:szCs w:val="28"/>
        </w:rPr>
      </w:pPr>
      <w:r w:rsidRPr="00EE3F0D">
        <w:lastRenderedPageBreak/>
        <w:t>1.2.3</w:t>
      </w:r>
      <w:r w:rsidRPr="00582EF5">
        <w:tab/>
      </w:r>
      <w:r w:rsidR="009A38DD" w:rsidRPr="008B6755">
        <w:rPr>
          <w:szCs w:val="28"/>
        </w:rPr>
        <w:t xml:space="preserve">National Implementation Plan </w:t>
      </w:r>
      <w:r w:rsidR="00855CB3" w:rsidRPr="00A0690D">
        <w:rPr>
          <w:szCs w:val="28"/>
        </w:rPr>
        <w:t>20</w:t>
      </w:r>
      <w:r w:rsidR="00855CB3" w:rsidRPr="000D7B0A">
        <w:rPr>
          <w:szCs w:val="28"/>
        </w:rPr>
        <w:t>18</w:t>
      </w:r>
      <w:r w:rsidR="00855CB3" w:rsidRPr="008B6755">
        <w:rPr>
          <w:szCs w:val="28"/>
        </w:rPr>
        <w:t xml:space="preserve"> </w:t>
      </w:r>
      <w:r w:rsidR="009A38DD" w:rsidRPr="00A0690D">
        <w:rPr>
          <w:szCs w:val="28"/>
        </w:rPr>
        <w:t>(NIP</w:t>
      </w:r>
      <w:r w:rsidR="009A38DD" w:rsidRPr="000D7B0A">
        <w:rPr>
          <w:szCs w:val="28"/>
        </w:rPr>
        <w:t>2)</w:t>
      </w:r>
    </w:p>
    <w:p w14:paraId="76721B9E" w14:textId="5665A138" w:rsidR="007D1B2B" w:rsidRDefault="007D1B2B" w:rsidP="00680062">
      <w:pPr>
        <w:pStyle w:val="BodyText"/>
        <w:jc w:val="both"/>
      </w:pPr>
      <w:r>
        <w:t xml:space="preserve">NIP2 outlines New Zealand's implementation measures in relation to the chemicals added to the Stockholm Convention since New Zealand completed its NIP1. </w:t>
      </w:r>
    </w:p>
    <w:p w14:paraId="7B70CB44" w14:textId="6B4D46EC" w:rsidR="009A38DD" w:rsidRPr="00582EF5" w:rsidRDefault="4FE17D4B" w:rsidP="00EE3F0D">
      <w:pPr>
        <w:pStyle w:val="Heading3"/>
      </w:pPr>
      <w:r>
        <w:t>1.2.</w:t>
      </w:r>
      <w:r w:rsidR="4E16609D">
        <w:t>4</w:t>
      </w:r>
      <w:r w:rsidR="00852C7A">
        <w:tab/>
      </w:r>
      <w:r w:rsidR="3E350664">
        <w:t xml:space="preserve">National Implementation Plan </w:t>
      </w:r>
      <w:r w:rsidR="5589EF46">
        <w:t>20</w:t>
      </w:r>
      <w:r w:rsidR="4053FD16">
        <w:t>22</w:t>
      </w:r>
      <w:r w:rsidR="5589EF46">
        <w:t xml:space="preserve"> </w:t>
      </w:r>
      <w:r w:rsidR="3E350664">
        <w:t>(NIP</w:t>
      </w:r>
      <w:r w:rsidR="6F4CD9A8">
        <w:t>3</w:t>
      </w:r>
      <w:r w:rsidR="3E350664">
        <w:t>)</w:t>
      </w:r>
    </w:p>
    <w:p w14:paraId="493DA40B" w14:textId="1FACEBB3" w:rsidR="009D2445" w:rsidRPr="009D2445" w:rsidRDefault="004918D0" w:rsidP="00EE3F0D">
      <w:pPr>
        <w:pStyle w:val="BodyText"/>
      </w:pPr>
      <w:r w:rsidRPr="00A01A5B">
        <w:t>NIP</w:t>
      </w:r>
      <w:r>
        <w:t>3</w:t>
      </w:r>
      <w:r w:rsidR="00413BC0">
        <w:t xml:space="preserve"> </w:t>
      </w:r>
      <w:r w:rsidRPr="00A01A5B">
        <w:t>outline</w:t>
      </w:r>
      <w:r w:rsidR="00BA3078">
        <w:t>s</w:t>
      </w:r>
      <w:r w:rsidRPr="00A01A5B">
        <w:t xml:space="preserve"> New Zealand's implementation measures in relation to the chemicals listed</w:t>
      </w:r>
      <w:r>
        <w:t xml:space="preserve"> to the Stockholm Convention </w:t>
      </w:r>
      <w:r w:rsidRPr="00A01A5B">
        <w:t xml:space="preserve">since </w:t>
      </w:r>
      <w:r>
        <w:t xml:space="preserve">New Zealand submitted its </w:t>
      </w:r>
      <w:r w:rsidRPr="00A01A5B">
        <w:t>NIP</w:t>
      </w:r>
      <w:r>
        <w:t>2.</w:t>
      </w:r>
      <w:r w:rsidR="00BE6670">
        <w:t xml:space="preserve"> </w:t>
      </w:r>
      <w:r w:rsidR="3E350664">
        <w:t>NIP</w:t>
      </w:r>
      <w:r w:rsidR="314651EF">
        <w:t>3</w:t>
      </w:r>
      <w:r w:rsidR="009A38DD" w:rsidRPr="00582EF5">
        <w:t xml:space="preserve"> also reports on </w:t>
      </w:r>
      <w:r w:rsidR="00C229A0" w:rsidRPr="00582EF5">
        <w:t xml:space="preserve">New Zealand’s </w:t>
      </w:r>
      <w:r w:rsidR="009A38DD" w:rsidRPr="00582EF5">
        <w:t>achievements in phasing</w:t>
      </w:r>
      <w:r w:rsidR="00C229A0" w:rsidRPr="00582EF5">
        <w:t xml:space="preserve"> </w:t>
      </w:r>
      <w:r w:rsidR="009A38DD" w:rsidRPr="00582EF5">
        <w:t>out the 12 initial POPs</w:t>
      </w:r>
      <w:r w:rsidR="4AD8EE03">
        <w:t xml:space="preserve"> and additions from NIP2</w:t>
      </w:r>
      <w:r w:rsidR="009A38DD" w:rsidRPr="00582EF5">
        <w:t>.</w:t>
      </w:r>
      <w:r w:rsidR="009D2445">
        <w:t xml:space="preserve"> </w:t>
      </w:r>
    </w:p>
    <w:p w14:paraId="2F5B3719" w14:textId="4A02D26A" w:rsidR="009A38DD" w:rsidRPr="00582EF5" w:rsidRDefault="407A097B" w:rsidP="00EE3F0D">
      <w:pPr>
        <w:pStyle w:val="Heading4"/>
        <w:spacing w:before="240"/>
      </w:pPr>
      <w:r>
        <w:t xml:space="preserve">Developing National Implementation Plan </w:t>
      </w:r>
      <w:r w:rsidR="4096E042">
        <w:t>3</w:t>
      </w:r>
    </w:p>
    <w:p w14:paraId="595D77E6" w14:textId="0160E5C2" w:rsidR="009A38DD" w:rsidRPr="00582EF5" w:rsidRDefault="407A097B" w:rsidP="00680062">
      <w:pPr>
        <w:pStyle w:val="BodyText"/>
        <w:jc w:val="both"/>
      </w:pPr>
      <w:r>
        <w:t>NIP</w:t>
      </w:r>
      <w:r w:rsidR="44392DA2">
        <w:t>3</w:t>
      </w:r>
      <w:r>
        <w:t xml:space="preserve"> was developed by a working group led by MfE</w:t>
      </w:r>
      <w:r w:rsidR="58B65AF9">
        <w:t>,</w:t>
      </w:r>
      <w:r>
        <w:t xml:space="preserve"> with participation from the Environmental Protection Authority, Minis</w:t>
      </w:r>
      <w:r w:rsidR="69EFB1AF">
        <w:t>try for Primary Industries, Ministry of Health,</w:t>
      </w:r>
      <w:r>
        <w:t xml:space="preserve"> </w:t>
      </w:r>
      <w:r w:rsidR="7CA30125">
        <w:t xml:space="preserve">and </w:t>
      </w:r>
      <w:r>
        <w:t xml:space="preserve">Ministry of Foreign Affairs and Trade. </w:t>
      </w:r>
    </w:p>
    <w:p w14:paraId="71CD86C5" w14:textId="77777777" w:rsidR="009A38DD" w:rsidRPr="00582EF5" w:rsidRDefault="009A38DD" w:rsidP="00E10F2B">
      <w:pPr>
        <w:pStyle w:val="Heading4"/>
        <w:spacing w:before="240"/>
      </w:pPr>
      <w:r w:rsidRPr="00582EF5">
        <w:t>Context for this plan</w:t>
      </w:r>
    </w:p>
    <w:p w14:paraId="078C5442" w14:textId="05A0C72E" w:rsidR="00725BD9" w:rsidRPr="00582EF5" w:rsidRDefault="00F75E73" w:rsidP="00680062">
      <w:pPr>
        <w:pStyle w:val="BodyText"/>
        <w:spacing w:after="100"/>
        <w:jc w:val="both"/>
      </w:pPr>
      <w:r>
        <w:t xml:space="preserve">Previous </w:t>
      </w:r>
      <w:r w:rsidR="00F32759">
        <w:t>i</w:t>
      </w:r>
      <w:r>
        <w:t xml:space="preserve">mplementation </w:t>
      </w:r>
      <w:r w:rsidR="00F32759">
        <w:t>p</w:t>
      </w:r>
      <w:r>
        <w:t>lans</w:t>
      </w:r>
      <w:r w:rsidR="00050EDF">
        <w:t xml:space="preserve"> </w:t>
      </w:r>
      <w:r w:rsidR="0DADBC1F">
        <w:t xml:space="preserve">outlined </w:t>
      </w:r>
      <w:r w:rsidR="407A097B">
        <w:t>New Zealand</w:t>
      </w:r>
      <w:r w:rsidR="77FD6663">
        <w:t>’s</w:t>
      </w:r>
      <w:r w:rsidR="407A097B">
        <w:t xml:space="preserve"> historical importation, manufacture and use of POP chemicals. </w:t>
      </w:r>
      <w:r w:rsidR="57F462E0">
        <w:t>It</w:t>
      </w:r>
      <w:r w:rsidR="407A097B">
        <w:t xml:space="preserve"> presented New Zealand’s efforts in</w:t>
      </w:r>
      <w:r w:rsidR="081509A4">
        <w:t>:</w:t>
      </w:r>
    </w:p>
    <w:p w14:paraId="7E7673C0" w14:textId="4B63D4DB" w:rsidR="00725BD9" w:rsidRPr="00582EF5" w:rsidRDefault="009A38DD" w:rsidP="00680062">
      <w:pPr>
        <w:pStyle w:val="Bullet"/>
        <w:spacing w:after="100"/>
        <w:jc w:val="both"/>
      </w:pPr>
      <w:r w:rsidRPr="00582EF5">
        <w:t xml:space="preserve">eliminating releases from intentional production and use of POPs </w:t>
      </w:r>
    </w:p>
    <w:p w14:paraId="37DC5A74" w14:textId="4FE9BC36" w:rsidR="00725BD9" w:rsidRPr="00582EF5" w:rsidRDefault="009A38DD" w:rsidP="00680062">
      <w:pPr>
        <w:pStyle w:val="Bullet"/>
        <w:spacing w:after="100"/>
        <w:jc w:val="both"/>
      </w:pPr>
      <w:r w:rsidRPr="00582EF5">
        <w:t xml:space="preserve">reducing and eliminating releases from unintentional production of POPs </w:t>
      </w:r>
    </w:p>
    <w:p w14:paraId="2284266F" w14:textId="1A980F85" w:rsidR="00725BD9" w:rsidRPr="00582EF5" w:rsidRDefault="00D03B4E" w:rsidP="00680062">
      <w:pPr>
        <w:pStyle w:val="Bullet"/>
        <w:spacing w:after="100"/>
        <w:jc w:val="both"/>
      </w:pPr>
      <w:r>
        <w:t xml:space="preserve">reducing and eliminating </w:t>
      </w:r>
      <w:r w:rsidR="009A38DD" w:rsidRPr="00582EF5">
        <w:t>stockpiles</w:t>
      </w:r>
      <w:r w:rsidR="009A5D79">
        <w:t>,</w:t>
      </w:r>
      <w:r w:rsidR="009A38DD" w:rsidRPr="00582EF5">
        <w:t xml:space="preserve"> and waste management </w:t>
      </w:r>
    </w:p>
    <w:p w14:paraId="74B83A0F" w14:textId="42C342BF" w:rsidR="009A38DD" w:rsidRPr="00582EF5" w:rsidRDefault="009A38DD" w:rsidP="00680062">
      <w:pPr>
        <w:pStyle w:val="Bullet"/>
        <w:jc w:val="both"/>
      </w:pPr>
      <w:r w:rsidRPr="00582EF5">
        <w:t>research, development and monitoring the effects of POPs on New Zealanders and the environment.</w:t>
      </w:r>
      <w:r w:rsidR="007B0191" w:rsidRPr="00582EF5">
        <w:t xml:space="preserve"> </w:t>
      </w:r>
    </w:p>
    <w:p w14:paraId="5A985373" w14:textId="78AE3EEA" w:rsidR="009A38DD" w:rsidRPr="00582EF5" w:rsidRDefault="00DB28A9" w:rsidP="00E10F2B">
      <w:pPr>
        <w:pStyle w:val="BodyText"/>
      </w:pPr>
      <w:r w:rsidRPr="00582EF5">
        <w:t>New Zealand had banned a</w:t>
      </w:r>
      <w:r w:rsidR="009A38DD" w:rsidRPr="00582EF5">
        <w:t xml:space="preserve">ll original POPs by the time </w:t>
      </w:r>
      <w:r w:rsidR="000701C0" w:rsidRPr="00582EF5">
        <w:t xml:space="preserve">it </w:t>
      </w:r>
      <w:r w:rsidRPr="00582EF5">
        <w:t>signed</w:t>
      </w:r>
      <w:r w:rsidR="009A38DD" w:rsidRPr="00582EF5">
        <w:t xml:space="preserve"> the Convention. By 2006, New</w:t>
      </w:r>
      <w:r w:rsidR="00A564FD" w:rsidRPr="00582EF5">
        <w:t> </w:t>
      </w:r>
      <w:r w:rsidR="009A38DD" w:rsidRPr="00582EF5">
        <w:t xml:space="preserve">Zealand </w:t>
      </w:r>
      <w:r w:rsidRPr="00582EF5">
        <w:t xml:space="preserve">already </w:t>
      </w:r>
      <w:r w:rsidR="009A38DD" w:rsidRPr="00582EF5">
        <w:t xml:space="preserve">had laws and regulations in place to tightly control the import, export, manufacture and use of POPs and the disposal of POP hazardous waste, including its collection, handling and transport. </w:t>
      </w:r>
    </w:p>
    <w:p w14:paraId="00C252EF" w14:textId="61154D19" w:rsidR="00B53185" w:rsidRPr="00582EF5" w:rsidRDefault="00B53185" w:rsidP="00E10F2B">
      <w:pPr>
        <w:pStyle w:val="BodyText"/>
      </w:pPr>
      <w:r>
        <w:t xml:space="preserve">All the controls on listings added since 2004 are in force. </w:t>
      </w:r>
      <w:r w:rsidR="00F648F8">
        <w:t xml:space="preserve">However, </w:t>
      </w:r>
      <w:r w:rsidR="009E4DAC">
        <w:t>in 2010</w:t>
      </w:r>
      <w:r>
        <w:t xml:space="preserve"> New Zealand lodged a notice of non-acceptance for nine POPs added to the Convention in 2009, due to an issue with residual ‘articles in use’ for some of those POPs. New Zealand filed another notice of non-acceptance in 2014 for hexabromocyclododecane (HBCD), which was added to the Convention in 2013. New Zealand withdrew the two notices of non-acceptance in December 2016. The 2015 listings of hexachlorobutadiene (HCBD), pentachlorophenol (PCP) and polychlorinated </w:t>
      </w:r>
      <w:proofErr w:type="spellStart"/>
      <w:r>
        <w:t>naphthalenes</w:t>
      </w:r>
      <w:proofErr w:type="spellEnd"/>
      <w:r>
        <w:t xml:space="preserve"> (PCNs) in the Convention entered into force for New Zealand in December 2016 and were added in NIP2. The controls on POPs added to the Convention in 2017 came into force in New Zealand on 18 December 2018 and are also included in NIP2.</w:t>
      </w:r>
    </w:p>
    <w:p w14:paraId="77AB7B87" w14:textId="671AAB1B" w:rsidR="006060C0" w:rsidRPr="00A01A5B" w:rsidRDefault="006060C0" w:rsidP="00E10F2B">
      <w:pPr>
        <w:pStyle w:val="BodyText"/>
      </w:pPr>
      <w:bookmarkStart w:id="16" w:name="_Hlk119919177"/>
      <w:r w:rsidRPr="00A01A5B">
        <w:t xml:space="preserve">In 2019, the Conference of the Parties </w:t>
      </w:r>
      <w:r>
        <w:t xml:space="preserve">agreed to list </w:t>
      </w:r>
      <w:r w:rsidRPr="00A01A5B">
        <w:t xml:space="preserve">dicofol </w:t>
      </w:r>
      <w:r>
        <w:t>and perfluorooctanoic</w:t>
      </w:r>
      <w:r w:rsidRPr="00A01A5B">
        <w:t xml:space="preserve"> acid (PFOA), its salts and PFOA-related compounds</w:t>
      </w:r>
      <w:r>
        <w:t xml:space="preserve"> in Annex A of the Convention (Elimination)</w:t>
      </w:r>
      <w:r w:rsidRPr="00A01A5B">
        <w:t xml:space="preserve">. </w:t>
      </w:r>
      <w:r>
        <w:t xml:space="preserve">Parties also </w:t>
      </w:r>
      <w:r w:rsidRPr="00A01A5B">
        <w:t xml:space="preserve">amended and removed certain acceptable purposes and specific exemptions for </w:t>
      </w:r>
      <w:proofErr w:type="spellStart"/>
      <w:r w:rsidRPr="00A01A5B">
        <w:t>perfluorooctane</w:t>
      </w:r>
      <w:proofErr w:type="spellEnd"/>
      <w:r w:rsidRPr="00A01A5B">
        <w:t xml:space="preserve"> sulfonic acid (PFOS), its salts</w:t>
      </w:r>
      <w:r>
        <w:t>,</w:t>
      </w:r>
      <w:r w:rsidRPr="00A01A5B">
        <w:t xml:space="preserve"> and </w:t>
      </w:r>
      <w:proofErr w:type="spellStart"/>
      <w:r w:rsidRPr="00A01A5B">
        <w:t>perfluorooctane</w:t>
      </w:r>
      <w:proofErr w:type="spellEnd"/>
      <w:r w:rsidRPr="00A01A5B">
        <w:t xml:space="preserve"> sulfonyl fluoride (PFOSF), that are listed in Annex B (</w:t>
      </w:r>
      <w:r>
        <w:t>Restriction</w:t>
      </w:r>
      <w:r w:rsidRPr="00A01A5B">
        <w:t>). An updated NIP (NIP3</w:t>
      </w:r>
      <w:r>
        <w:t>) must</w:t>
      </w:r>
      <w:r w:rsidRPr="00A01A5B">
        <w:t xml:space="preserve"> therefore be </w:t>
      </w:r>
      <w:r>
        <w:t xml:space="preserve">submitted to </w:t>
      </w:r>
      <w:r w:rsidRPr="00A01A5B">
        <w:t>the Secretariat of the Stockholm Convention (Convention Secretariat) within two years of the new listings coming into effect for New Zealand</w:t>
      </w:r>
      <w:r>
        <w:t xml:space="preserve"> and will be submitted by </w:t>
      </w:r>
      <w:r w:rsidRPr="00A01A5B">
        <w:t>03 December 2022.</w:t>
      </w:r>
    </w:p>
    <w:bookmarkEnd w:id="16"/>
    <w:p w14:paraId="20C64250" w14:textId="77777777" w:rsidR="009A38DD" w:rsidRPr="00582EF5" w:rsidRDefault="009A38DD" w:rsidP="00E10F2B">
      <w:pPr>
        <w:pStyle w:val="Heading4"/>
        <w:spacing w:before="240"/>
      </w:pPr>
      <w:r w:rsidRPr="00582EF5">
        <w:lastRenderedPageBreak/>
        <w:t>Goal</w:t>
      </w:r>
    </w:p>
    <w:p w14:paraId="70EAC13D" w14:textId="0807B032" w:rsidR="009A38DD" w:rsidRPr="00582EF5" w:rsidRDefault="274211BC" w:rsidP="00610861">
      <w:pPr>
        <w:pStyle w:val="BodyText"/>
      </w:pPr>
      <w:r>
        <w:t>NIP</w:t>
      </w:r>
      <w:r w:rsidR="0391565F">
        <w:t>3</w:t>
      </w:r>
      <w:r>
        <w:t xml:space="preserve">’s </w:t>
      </w:r>
      <w:r w:rsidR="407A097B">
        <w:t xml:space="preserve">goal is to protect human health and the environment from POPs, by implementing the Convention. </w:t>
      </w:r>
    </w:p>
    <w:p w14:paraId="79043A9E" w14:textId="77777777" w:rsidR="009A38DD" w:rsidRPr="00582EF5" w:rsidRDefault="009A38DD" w:rsidP="00E10F2B">
      <w:pPr>
        <w:pStyle w:val="Heading4"/>
        <w:spacing w:before="240"/>
      </w:pPr>
      <w:r w:rsidRPr="00582EF5">
        <w:t>Objectives</w:t>
      </w:r>
    </w:p>
    <w:p w14:paraId="3249AA2C" w14:textId="12847E03" w:rsidR="009A38DD" w:rsidRPr="00582EF5" w:rsidRDefault="407A097B" w:rsidP="00E10F2B">
      <w:pPr>
        <w:pStyle w:val="BodyText"/>
      </w:pPr>
      <w:r>
        <w:t>New Zealand’s objectives for NIP</w:t>
      </w:r>
      <w:r w:rsidR="2D2C86AA">
        <w:t>3</w:t>
      </w:r>
      <w:r>
        <w:t xml:space="preserve"> are to:</w:t>
      </w:r>
    </w:p>
    <w:p w14:paraId="4F122DAE" w14:textId="43B3BD9E" w:rsidR="009A38DD" w:rsidRPr="00582EF5" w:rsidRDefault="009A38DD" w:rsidP="00E10F2B">
      <w:pPr>
        <w:pStyle w:val="Bullet"/>
      </w:pPr>
      <w:r w:rsidRPr="00582EF5">
        <w:t>communicate the actions taken to implement the Convention</w:t>
      </w:r>
    </w:p>
    <w:p w14:paraId="076F41EF" w14:textId="617E1CFB" w:rsidR="009A38DD" w:rsidRPr="00582EF5" w:rsidRDefault="009A38DD" w:rsidP="00E10F2B">
      <w:pPr>
        <w:pStyle w:val="Bullet"/>
      </w:pPr>
      <w:r w:rsidRPr="00582EF5">
        <w:t>assess progress taken to date to eliminate and reduce the use of POPs in New Zealand</w:t>
      </w:r>
    </w:p>
    <w:p w14:paraId="52411982" w14:textId="3E2AA712" w:rsidR="009A38DD" w:rsidRPr="00582EF5" w:rsidRDefault="009A38DD" w:rsidP="00E10F2B">
      <w:pPr>
        <w:pStyle w:val="Bullet"/>
      </w:pPr>
      <w:r w:rsidRPr="00582EF5">
        <w:t xml:space="preserve">identify actions needed to eliminate and reduce the use of ‘new </w:t>
      </w:r>
      <w:proofErr w:type="spellStart"/>
      <w:r w:rsidRPr="00582EF5">
        <w:t>POPs’</w:t>
      </w:r>
      <w:proofErr w:type="spellEnd"/>
    </w:p>
    <w:p w14:paraId="267C6619" w14:textId="055827DF" w:rsidR="009A38DD" w:rsidRPr="00582EF5" w:rsidRDefault="009A38DD" w:rsidP="00E10F2B">
      <w:pPr>
        <w:pStyle w:val="Bullet"/>
      </w:pPr>
      <w:r w:rsidRPr="00582EF5">
        <w:t>update and continue to implement New Zealand’s action plan for dioxins and other unintentionally produced POPs</w:t>
      </w:r>
    </w:p>
    <w:p w14:paraId="0D6586B5" w14:textId="346A05AB" w:rsidR="009A38DD" w:rsidRPr="00582EF5" w:rsidRDefault="009A38DD" w:rsidP="00E10F2B">
      <w:pPr>
        <w:pStyle w:val="Bullet"/>
      </w:pPr>
      <w:r w:rsidRPr="00582EF5">
        <w:t>dispose of POP stockpiles and manage sites contaminated by POPs</w:t>
      </w:r>
    </w:p>
    <w:p w14:paraId="0AED7505" w14:textId="77777777" w:rsidR="009A38DD" w:rsidRPr="00582EF5" w:rsidRDefault="009A38DD" w:rsidP="00E10F2B">
      <w:pPr>
        <w:pStyle w:val="Bullet"/>
      </w:pPr>
      <w:r w:rsidRPr="00582EF5">
        <w:t>comply with the Convention.</w:t>
      </w:r>
    </w:p>
    <w:p w14:paraId="52AEFB2F" w14:textId="77777777" w:rsidR="009A38DD" w:rsidRPr="00582EF5" w:rsidRDefault="009A38DD" w:rsidP="00E10F2B">
      <w:pPr>
        <w:pStyle w:val="Heading4"/>
        <w:spacing w:before="240"/>
      </w:pPr>
      <w:r w:rsidRPr="00582EF5">
        <w:t>Outcomes</w:t>
      </w:r>
    </w:p>
    <w:p w14:paraId="1DE72706" w14:textId="2F2BDF35" w:rsidR="009A38DD" w:rsidRPr="00582EF5" w:rsidRDefault="407A097B" w:rsidP="00E10F2B">
      <w:pPr>
        <w:pStyle w:val="BodyText"/>
      </w:pPr>
      <w:r>
        <w:t xml:space="preserve">New Zealand’s anticipated outcomes for </w:t>
      </w:r>
      <w:r w:rsidR="00C09050">
        <w:t>NIP</w:t>
      </w:r>
      <w:r w:rsidR="7C542E5C">
        <w:t>3</w:t>
      </w:r>
      <w:r>
        <w:t xml:space="preserve"> are to:</w:t>
      </w:r>
    </w:p>
    <w:p w14:paraId="47D0C8B4" w14:textId="52F05C2C" w:rsidR="009A38DD" w:rsidRPr="00582EF5" w:rsidRDefault="009A38DD" w:rsidP="00E10F2B">
      <w:pPr>
        <w:pStyle w:val="Bullet"/>
      </w:pPr>
      <w:r w:rsidRPr="00582EF5">
        <w:t>continue to protect human health from POPs as body burdens decline</w:t>
      </w:r>
      <w:r w:rsidR="00BE2A93" w:rsidRPr="00582EF5">
        <w:t>,</w:t>
      </w:r>
      <w:r w:rsidRPr="00582EF5">
        <w:t xml:space="preserve"> as shown from previous biomonitoring studies</w:t>
      </w:r>
    </w:p>
    <w:p w14:paraId="2FB06BB9" w14:textId="6A0CE0BE" w:rsidR="009A38DD" w:rsidRPr="00582EF5" w:rsidRDefault="009A38DD" w:rsidP="00E10F2B">
      <w:pPr>
        <w:pStyle w:val="Bullet"/>
      </w:pPr>
      <w:r w:rsidRPr="00582EF5">
        <w:t>continue to safeguard the present high quality of New Zealand primary products (especially meat and dairy foods)</w:t>
      </w:r>
    </w:p>
    <w:p w14:paraId="1E2152E1" w14:textId="05DAA048" w:rsidR="009A38DD" w:rsidRPr="00582EF5" w:rsidRDefault="009A38DD" w:rsidP="00E10F2B">
      <w:pPr>
        <w:pStyle w:val="Bullet"/>
      </w:pPr>
      <w:r w:rsidRPr="00582EF5">
        <w:t>manage the effects of POPs on New Zealand’s environment and continue to protect New Zealand</w:t>
      </w:r>
      <w:r w:rsidR="00BE2A93" w:rsidRPr="00582EF5">
        <w:t>’s</w:t>
      </w:r>
      <w:r w:rsidRPr="00582EF5">
        <w:t xml:space="preserve"> environment from POPs</w:t>
      </w:r>
    </w:p>
    <w:p w14:paraId="7F753DD4" w14:textId="77777777" w:rsidR="009A38DD" w:rsidRPr="00582EF5" w:rsidRDefault="009A38DD" w:rsidP="00E10F2B">
      <w:pPr>
        <w:pStyle w:val="Bullet"/>
      </w:pPr>
      <w:r w:rsidRPr="00582EF5">
        <w:t xml:space="preserve">fully comply with the Convention. </w:t>
      </w:r>
    </w:p>
    <w:p w14:paraId="701267DA" w14:textId="67EBF823" w:rsidR="007771E5" w:rsidRPr="00582EF5" w:rsidRDefault="00B84979" w:rsidP="002C6AF0">
      <w:pPr>
        <w:pStyle w:val="Heading2"/>
      </w:pPr>
      <w:bookmarkStart w:id="17" w:name="_Toc120532231"/>
      <w:r w:rsidRPr="00582EF5">
        <w:t xml:space="preserve">1.3 </w:t>
      </w:r>
      <w:r w:rsidR="00E9470C" w:rsidRPr="00582EF5">
        <w:tab/>
      </w:r>
      <w:r w:rsidR="007771E5" w:rsidRPr="00582EF5">
        <w:t>P</w:t>
      </w:r>
      <w:r w:rsidR="000647D6" w:rsidRPr="00582EF5">
        <w:t>ersistent organic pollutants</w:t>
      </w:r>
      <w:r w:rsidR="007771E5" w:rsidRPr="00582EF5">
        <w:t xml:space="preserve"> listed under the Stockholm Convention</w:t>
      </w:r>
      <w:bookmarkEnd w:id="17"/>
    </w:p>
    <w:p w14:paraId="18C27814" w14:textId="721FEC24" w:rsidR="00656858" w:rsidRPr="00582EF5" w:rsidRDefault="00656858" w:rsidP="00E10F2B">
      <w:pPr>
        <w:pStyle w:val="BodyText"/>
        <w:rPr>
          <w:lang w:eastAsia="en-US"/>
        </w:rPr>
      </w:pPr>
      <w:r w:rsidRPr="703AEB20">
        <w:rPr>
          <w:lang w:eastAsia="en-US"/>
        </w:rPr>
        <w:t>The Convention requires parties to apply control measures on the POPs listed.</w:t>
      </w:r>
      <w:r w:rsidR="00050EDF">
        <w:rPr>
          <w:lang w:eastAsia="en-US"/>
        </w:rPr>
        <w:t xml:space="preserve"> </w:t>
      </w:r>
      <w:r w:rsidRPr="703AEB20">
        <w:rPr>
          <w:lang w:eastAsia="en-US"/>
        </w:rPr>
        <w:t>Tables 2–4 outline the chemicals</w:t>
      </w:r>
      <w:r w:rsidR="00994C2E">
        <w:rPr>
          <w:lang w:eastAsia="en-US"/>
        </w:rPr>
        <w:t xml:space="preserve"> listed under the </w:t>
      </w:r>
      <w:r w:rsidR="00580930">
        <w:rPr>
          <w:lang w:eastAsia="en-US"/>
        </w:rPr>
        <w:t>C</w:t>
      </w:r>
      <w:r w:rsidR="00994C2E">
        <w:rPr>
          <w:lang w:eastAsia="en-US"/>
        </w:rPr>
        <w:t>onvention,</w:t>
      </w:r>
      <w:r w:rsidR="00F32759">
        <w:rPr>
          <w:lang w:eastAsia="en-US"/>
        </w:rPr>
        <w:t xml:space="preserve"> </w:t>
      </w:r>
      <w:r w:rsidRPr="703AEB20">
        <w:rPr>
          <w:lang w:eastAsia="en-US"/>
        </w:rPr>
        <w:t>when they were listed under the Convention, and when New Zealand implemented the measures.</w:t>
      </w:r>
    </w:p>
    <w:p w14:paraId="2C5A1DD8" w14:textId="6E677F38" w:rsidR="007771E5" w:rsidRPr="00582EF5" w:rsidRDefault="007771E5" w:rsidP="00E10F2B">
      <w:pPr>
        <w:pStyle w:val="BodyText"/>
      </w:pPr>
      <w:r w:rsidRPr="00582EF5">
        <w:t xml:space="preserve">Listed chemicals are divided into three groups (annexes) according to how each </w:t>
      </w:r>
      <w:r w:rsidR="00066237" w:rsidRPr="00582EF5">
        <w:t xml:space="preserve">is </w:t>
      </w:r>
      <w:bookmarkStart w:id="18" w:name="_Int_aspuCCtf"/>
      <w:r w:rsidRPr="00582EF5">
        <w:t>produced</w:t>
      </w:r>
      <w:bookmarkEnd w:id="18"/>
      <w:r w:rsidRPr="00582EF5">
        <w:t xml:space="preserve"> and the level of restriction required. </w:t>
      </w:r>
    </w:p>
    <w:p w14:paraId="1837BA58" w14:textId="4861F632" w:rsidR="007771E5" w:rsidRPr="00582EF5" w:rsidRDefault="007771E5" w:rsidP="00E10F2B">
      <w:pPr>
        <w:pStyle w:val="BodyText"/>
      </w:pPr>
      <w:r w:rsidRPr="00582EF5">
        <w:t xml:space="preserve">Annex A </w:t>
      </w:r>
      <w:r w:rsidR="0092015F" w:rsidRPr="00582EF5">
        <w:t>o</w:t>
      </w:r>
      <w:r w:rsidR="00321C54" w:rsidRPr="00582EF5">
        <w:t>f</w:t>
      </w:r>
      <w:r w:rsidR="0092015F" w:rsidRPr="00582EF5">
        <w:t xml:space="preserve"> the Convention </w:t>
      </w:r>
      <w:r w:rsidRPr="00582EF5">
        <w:t>contains a list of POPs to be eliminated (</w:t>
      </w:r>
      <w:r w:rsidR="00066237" w:rsidRPr="00582EF5">
        <w:t>t</w:t>
      </w:r>
      <w:r w:rsidRPr="00582EF5">
        <w:t xml:space="preserve">able 2). Convention </w:t>
      </w:r>
      <w:r w:rsidR="00A87155" w:rsidRPr="00582EF5">
        <w:t>p</w:t>
      </w:r>
      <w:r w:rsidR="00BC16F5" w:rsidRPr="00582EF5">
        <w:t xml:space="preserve">arties </w:t>
      </w:r>
      <w:r w:rsidRPr="00582EF5">
        <w:t xml:space="preserve">have an obligation to eliminate production and use as well as imports and exports of these chemicals, except for when a country has registered for a specific exemption when accepting the listing. </w:t>
      </w:r>
    </w:p>
    <w:p w14:paraId="33E30F62" w14:textId="77777777" w:rsidR="00F32759" w:rsidRDefault="00F32759">
      <w:pPr>
        <w:spacing w:before="0" w:after="200" w:line="276" w:lineRule="auto"/>
        <w:jc w:val="left"/>
        <w:rPr>
          <w:b/>
          <w:sz w:val="20"/>
        </w:rPr>
      </w:pPr>
      <w:bookmarkStart w:id="19" w:name="_Toc531263522"/>
      <w:r>
        <w:br w:type="page"/>
      </w:r>
    </w:p>
    <w:p w14:paraId="2CF47166" w14:textId="2B3F3BBA" w:rsidR="007771E5" w:rsidRPr="00582EF5" w:rsidRDefault="007771E5" w:rsidP="0094109F">
      <w:pPr>
        <w:pStyle w:val="Tableheading"/>
      </w:pPr>
      <w:bookmarkStart w:id="20" w:name="_Toc120532267"/>
      <w:r w:rsidRPr="00582EF5">
        <w:lastRenderedPageBreak/>
        <w:t xml:space="preserve">Table 2: </w:t>
      </w:r>
      <w:r w:rsidR="00E9470C" w:rsidRPr="00582EF5">
        <w:tab/>
      </w:r>
      <w:r w:rsidRPr="00582EF5">
        <w:t>Chemicals listed in Annex A o</w:t>
      </w:r>
      <w:r w:rsidR="00321C54" w:rsidRPr="00582EF5">
        <w:t>f</w:t>
      </w:r>
      <w:r w:rsidRPr="00582EF5">
        <w:t xml:space="preserve"> the Convention</w:t>
      </w:r>
      <w:bookmarkEnd w:id="19"/>
      <w:r w:rsidR="004160C0" w:rsidRPr="00582EF5">
        <w:t xml:space="preserve"> – to be eliminated</w:t>
      </w:r>
      <w:bookmarkEnd w:id="20"/>
    </w:p>
    <w:tbl>
      <w:tblPr>
        <w:tblW w:w="0" w:type="auto"/>
        <w:tblBorders>
          <w:top w:val="single" w:sz="4" w:space="0" w:color="1C556C" w:themeColor="accent1"/>
          <w:bottom w:val="single" w:sz="4" w:space="0" w:color="1C556C" w:themeColor="accent1"/>
          <w:insideH w:val="single" w:sz="4" w:space="0" w:color="1C556C" w:themeColor="accent1"/>
          <w:insideV w:val="single" w:sz="4" w:space="0" w:color="1C556C" w:themeColor="accent1"/>
        </w:tblBorders>
        <w:tblLayout w:type="fixed"/>
        <w:tblLook w:val="04A0" w:firstRow="1" w:lastRow="0" w:firstColumn="1" w:lastColumn="0" w:noHBand="0" w:noVBand="1"/>
      </w:tblPr>
      <w:tblGrid>
        <w:gridCol w:w="4706"/>
        <w:gridCol w:w="1871"/>
        <w:gridCol w:w="1928"/>
      </w:tblGrid>
      <w:tr w:rsidR="00E9470C" w:rsidRPr="00582EF5" w14:paraId="607BA0D7" w14:textId="77777777" w:rsidTr="703AEB20">
        <w:trPr>
          <w:tblHeader/>
        </w:trPr>
        <w:tc>
          <w:tcPr>
            <w:tcW w:w="4706" w:type="dxa"/>
            <w:shd w:val="clear" w:color="auto" w:fill="1C556C" w:themeFill="accent1"/>
            <w:vAlign w:val="bottom"/>
          </w:tcPr>
          <w:p w14:paraId="38AF2F12" w14:textId="77777777" w:rsidR="007771E5" w:rsidRPr="00582EF5" w:rsidRDefault="007771E5" w:rsidP="0094109F">
            <w:pPr>
              <w:pStyle w:val="TableTextbold"/>
              <w:rPr>
                <w:rFonts w:eastAsiaTheme="minorHAnsi"/>
                <w:color w:val="FFFFFF" w:themeColor="background1"/>
                <w:lang w:eastAsia="en-US"/>
              </w:rPr>
            </w:pPr>
            <w:r w:rsidRPr="00582EF5">
              <w:rPr>
                <w:rFonts w:eastAsiaTheme="minorHAnsi"/>
                <w:color w:val="FFFFFF" w:themeColor="background1"/>
                <w:lang w:eastAsia="en-US"/>
              </w:rPr>
              <w:t>Chemical</w:t>
            </w:r>
          </w:p>
        </w:tc>
        <w:tc>
          <w:tcPr>
            <w:tcW w:w="1871" w:type="dxa"/>
            <w:shd w:val="clear" w:color="auto" w:fill="1C556C" w:themeFill="accent1"/>
            <w:vAlign w:val="bottom"/>
          </w:tcPr>
          <w:p w14:paraId="33AD9749" w14:textId="77777777" w:rsidR="007771E5" w:rsidRPr="00582EF5" w:rsidRDefault="007771E5" w:rsidP="0094109F">
            <w:pPr>
              <w:pStyle w:val="TableTextbold"/>
              <w:jc w:val="center"/>
              <w:rPr>
                <w:rFonts w:eastAsiaTheme="minorHAnsi"/>
                <w:color w:val="FFFFFF" w:themeColor="background1"/>
                <w:lang w:eastAsia="en-US"/>
              </w:rPr>
            </w:pPr>
            <w:r w:rsidRPr="00582EF5">
              <w:rPr>
                <w:rFonts w:eastAsiaTheme="minorHAnsi"/>
                <w:color w:val="FFFFFF" w:themeColor="background1"/>
                <w:lang w:eastAsia="en-US"/>
              </w:rPr>
              <w:t>Year listed under Stockholm</w:t>
            </w:r>
          </w:p>
        </w:tc>
        <w:tc>
          <w:tcPr>
            <w:tcW w:w="1928" w:type="dxa"/>
            <w:shd w:val="clear" w:color="auto" w:fill="1C556C" w:themeFill="accent1"/>
            <w:vAlign w:val="bottom"/>
          </w:tcPr>
          <w:p w14:paraId="2591ABE1" w14:textId="77777777" w:rsidR="007771E5" w:rsidRPr="00582EF5" w:rsidRDefault="007771E5" w:rsidP="0094109F">
            <w:pPr>
              <w:pStyle w:val="TableTextbold"/>
              <w:jc w:val="center"/>
              <w:rPr>
                <w:rFonts w:eastAsiaTheme="minorHAnsi"/>
                <w:color w:val="FFFFFF" w:themeColor="background1"/>
                <w:lang w:eastAsia="en-US"/>
              </w:rPr>
            </w:pPr>
            <w:r w:rsidRPr="00582EF5">
              <w:rPr>
                <w:rFonts w:eastAsiaTheme="minorHAnsi"/>
                <w:color w:val="FFFFFF" w:themeColor="background1"/>
                <w:lang w:eastAsia="en-US"/>
              </w:rPr>
              <w:t>Date entered into force for New Zealand</w:t>
            </w:r>
          </w:p>
        </w:tc>
      </w:tr>
      <w:tr w:rsidR="007771E5" w:rsidRPr="00582EF5" w14:paraId="75EA6F09" w14:textId="77777777" w:rsidTr="703AEB20">
        <w:tc>
          <w:tcPr>
            <w:tcW w:w="4706" w:type="dxa"/>
          </w:tcPr>
          <w:p w14:paraId="01D64A9A" w14:textId="77777777" w:rsidR="007771E5" w:rsidRPr="00582EF5" w:rsidRDefault="007771E5" w:rsidP="0094109F">
            <w:pPr>
              <w:pStyle w:val="TableText"/>
              <w:spacing w:before="40" w:after="40"/>
              <w:rPr>
                <w:rFonts w:eastAsiaTheme="minorHAnsi"/>
                <w:lang w:eastAsia="en-US"/>
              </w:rPr>
            </w:pPr>
            <w:r w:rsidRPr="00582EF5">
              <w:rPr>
                <w:rFonts w:eastAsiaTheme="minorHAnsi"/>
                <w:lang w:eastAsia="en-US"/>
              </w:rPr>
              <w:t xml:space="preserve">Aldrin </w:t>
            </w:r>
          </w:p>
        </w:tc>
        <w:tc>
          <w:tcPr>
            <w:tcW w:w="1871" w:type="dxa"/>
          </w:tcPr>
          <w:p w14:paraId="14F8980A" w14:textId="77777777" w:rsidR="007771E5" w:rsidRPr="00582EF5" w:rsidRDefault="007771E5" w:rsidP="0094109F">
            <w:pPr>
              <w:pStyle w:val="TableText"/>
              <w:spacing w:before="40" w:after="40"/>
              <w:jc w:val="center"/>
              <w:rPr>
                <w:rFonts w:eastAsiaTheme="minorHAnsi"/>
                <w:lang w:eastAsia="en-US"/>
              </w:rPr>
            </w:pPr>
            <w:r w:rsidRPr="00582EF5">
              <w:rPr>
                <w:rFonts w:eastAsiaTheme="minorHAnsi"/>
                <w:lang w:eastAsia="en-US"/>
              </w:rPr>
              <w:t>2001</w:t>
            </w:r>
          </w:p>
        </w:tc>
        <w:tc>
          <w:tcPr>
            <w:tcW w:w="1928" w:type="dxa"/>
          </w:tcPr>
          <w:p w14:paraId="1FED83EA" w14:textId="77777777" w:rsidR="007771E5" w:rsidRPr="00582EF5" w:rsidRDefault="007771E5" w:rsidP="0094109F">
            <w:pPr>
              <w:pStyle w:val="TableText"/>
              <w:spacing w:before="40" w:after="40"/>
              <w:jc w:val="center"/>
              <w:rPr>
                <w:rFonts w:eastAsiaTheme="minorHAnsi"/>
                <w:lang w:eastAsia="en-US"/>
              </w:rPr>
            </w:pPr>
            <w:r w:rsidRPr="00582EF5">
              <w:rPr>
                <w:rFonts w:eastAsiaTheme="minorHAnsi"/>
                <w:lang w:eastAsia="en-US"/>
              </w:rPr>
              <w:t>2004</w:t>
            </w:r>
          </w:p>
        </w:tc>
      </w:tr>
      <w:tr w:rsidR="007771E5" w:rsidRPr="00582EF5" w14:paraId="2D39E022" w14:textId="77777777" w:rsidTr="703AEB20">
        <w:tc>
          <w:tcPr>
            <w:tcW w:w="4706" w:type="dxa"/>
          </w:tcPr>
          <w:p w14:paraId="3DB2B3F7" w14:textId="77777777" w:rsidR="007771E5" w:rsidRPr="00582EF5" w:rsidRDefault="007771E5" w:rsidP="0094109F">
            <w:pPr>
              <w:pStyle w:val="TableText"/>
              <w:spacing w:before="40" w:after="40"/>
              <w:rPr>
                <w:rFonts w:eastAsiaTheme="minorHAnsi"/>
                <w:lang w:eastAsia="en-US"/>
              </w:rPr>
            </w:pPr>
            <w:r w:rsidRPr="00582EF5">
              <w:rPr>
                <w:rFonts w:eastAsiaTheme="minorHAnsi"/>
                <w:lang w:eastAsia="en-US"/>
              </w:rPr>
              <w:t>Chlordane</w:t>
            </w:r>
          </w:p>
        </w:tc>
        <w:tc>
          <w:tcPr>
            <w:tcW w:w="1871" w:type="dxa"/>
          </w:tcPr>
          <w:p w14:paraId="0BAEE2C6" w14:textId="763B80B7" w:rsidR="007771E5" w:rsidRPr="00582EF5" w:rsidRDefault="007771E5" w:rsidP="0094109F">
            <w:pPr>
              <w:pStyle w:val="TableText"/>
              <w:spacing w:before="40" w:after="40"/>
              <w:jc w:val="center"/>
              <w:rPr>
                <w:rFonts w:eastAsiaTheme="minorHAnsi"/>
                <w:lang w:eastAsia="en-US"/>
              </w:rPr>
            </w:pPr>
            <w:r w:rsidRPr="00582EF5">
              <w:rPr>
                <w:rFonts w:eastAsiaTheme="minorHAnsi"/>
                <w:lang w:eastAsia="en-US"/>
              </w:rPr>
              <w:t>2001</w:t>
            </w:r>
          </w:p>
        </w:tc>
        <w:tc>
          <w:tcPr>
            <w:tcW w:w="1928" w:type="dxa"/>
          </w:tcPr>
          <w:p w14:paraId="4F3E89D0" w14:textId="77777777" w:rsidR="007771E5" w:rsidRPr="00582EF5" w:rsidRDefault="007771E5" w:rsidP="0094109F">
            <w:pPr>
              <w:pStyle w:val="TableText"/>
              <w:spacing w:before="40" w:after="40"/>
              <w:jc w:val="center"/>
              <w:rPr>
                <w:rFonts w:eastAsiaTheme="minorHAnsi"/>
                <w:lang w:eastAsia="en-US"/>
              </w:rPr>
            </w:pPr>
            <w:r w:rsidRPr="00582EF5">
              <w:rPr>
                <w:rFonts w:eastAsiaTheme="minorHAnsi"/>
                <w:lang w:eastAsia="en-US"/>
              </w:rPr>
              <w:t>2004</w:t>
            </w:r>
          </w:p>
        </w:tc>
      </w:tr>
      <w:tr w:rsidR="007771E5" w:rsidRPr="00582EF5" w14:paraId="7785F6F1" w14:textId="77777777" w:rsidTr="703AEB20">
        <w:tc>
          <w:tcPr>
            <w:tcW w:w="4706" w:type="dxa"/>
          </w:tcPr>
          <w:p w14:paraId="20583D96" w14:textId="77777777" w:rsidR="007771E5" w:rsidRPr="00582EF5" w:rsidRDefault="007771E5" w:rsidP="0094109F">
            <w:pPr>
              <w:pStyle w:val="TableText"/>
              <w:spacing w:before="40" w:after="40"/>
              <w:rPr>
                <w:rFonts w:eastAsiaTheme="minorHAnsi"/>
                <w:lang w:eastAsia="en-US"/>
              </w:rPr>
            </w:pPr>
            <w:r w:rsidRPr="00582EF5">
              <w:rPr>
                <w:rFonts w:eastAsiaTheme="minorHAnsi"/>
                <w:lang w:eastAsia="en-US"/>
              </w:rPr>
              <w:t>Dieldrin</w:t>
            </w:r>
          </w:p>
        </w:tc>
        <w:tc>
          <w:tcPr>
            <w:tcW w:w="1871" w:type="dxa"/>
          </w:tcPr>
          <w:p w14:paraId="743F7709" w14:textId="77777777" w:rsidR="007771E5" w:rsidRPr="00582EF5" w:rsidRDefault="007771E5" w:rsidP="0094109F">
            <w:pPr>
              <w:pStyle w:val="TableText"/>
              <w:spacing w:before="40" w:after="40"/>
              <w:jc w:val="center"/>
              <w:rPr>
                <w:rFonts w:eastAsiaTheme="minorHAnsi"/>
                <w:lang w:eastAsia="en-US"/>
              </w:rPr>
            </w:pPr>
            <w:r w:rsidRPr="00582EF5">
              <w:rPr>
                <w:rFonts w:eastAsiaTheme="minorHAnsi"/>
                <w:lang w:eastAsia="en-US"/>
              </w:rPr>
              <w:t>2001</w:t>
            </w:r>
          </w:p>
        </w:tc>
        <w:tc>
          <w:tcPr>
            <w:tcW w:w="1928" w:type="dxa"/>
          </w:tcPr>
          <w:p w14:paraId="41C6826A" w14:textId="77777777" w:rsidR="007771E5" w:rsidRPr="00582EF5" w:rsidRDefault="007771E5" w:rsidP="0094109F">
            <w:pPr>
              <w:pStyle w:val="TableText"/>
              <w:spacing w:before="40" w:after="40"/>
              <w:jc w:val="center"/>
              <w:rPr>
                <w:rFonts w:eastAsiaTheme="minorHAnsi"/>
                <w:lang w:eastAsia="en-US"/>
              </w:rPr>
            </w:pPr>
            <w:r w:rsidRPr="00582EF5">
              <w:rPr>
                <w:rFonts w:eastAsiaTheme="minorHAnsi"/>
                <w:lang w:eastAsia="en-US"/>
              </w:rPr>
              <w:t>2004</w:t>
            </w:r>
          </w:p>
        </w:tc>
      </w:tr>
      <w:tr w:rsidR="007771E5" w:rsidRPr="00582EF5" w14:paraId="7C03CB17" w14:textId="77777777" w:rsidTr="703AEB20">
        <w:tc>
          <w:tcPr>
            <w:tcW w:w="4706" w:type="dxa"/>
          </w:tcPr>
          <w:p w14:paraId="695F84F8" w14:textId="77777777" w:rsidR="007771E5" w:rsidRPr="00582EF5" w:rsidRDefault="007771E5" w:rsidP="0094109F">
            <w:pPr>
              <w:pStyle w:val="TableText"/>
              <w:spacing w:before="40" w:after="40"/>
              <w:rPr>
                <w:rFonts w:eastAsiaTheme="minorHAnsi"/>
                <w:lang w:eastAsia="en-US"/>
              </w:rPr>
            </w:pPr>
            <w:r w:rsidRPr="00582EF5">
              <w:rPr>
                <w:rFonts w:eastAsiaTheme="minorHAnsi"/>
                <w:lang w:eastAsia="en-US"/>
              </w:rPr>
              <w:t>Endrin</w:t>
            </w:r>
          </w:p>
        </w:tc>
        <w:tc>
          <w:tcPr>
            <w:tcW w:w="1871" w:type="dxa"/>
          </w:tcPr>
          <w:p w14:paraId="107CFD08" w14:textId="77777777" w:rsidR="007771E5" w:rsidRPr="00582EF5" w:rsidRDefault="007771E5" w:rsidP="0094109F">
            <w:pPr>
              <w:pStyle w:val="TableText"/>
              <w:spacing w:before="40" w:after="40"/>
              <w:jc w:val="center"/>
              <w:rPr>
                <w:rFonts w:eastAsiaTheme="minorHAnsi"/>
                <w:lang w:eastAsia="en-US"/>
              </w:rPr>
            </w:pPr>
            <w:r w:rsidRPr="00582EF5">
              <w:rPr>
                <w:rFonts w:eastAsiaTheme="minorHAnsi"/>
                <w:lang w:eastAsia="en-US"/>
              </w:rPr>
              <w:t>2001</w:t>
            </w:r>
          </w:p>
        </w:tc>
        <w:tc>
          <w:tcPr>
            <w:tcW w:w="1928" w:type="dxa"/>
          </w:tcPr>
          <w:p w14:paraId="2603D4B4" w14:textId="77777777" w:rsidR="007771E5" w:rsidRPr="00582EF5" w:rsidRDefault="007771E5" w:rsidP="0094109F">
            <w:pPr>
              <w:pStyle w:val="TableText"/>
              <w:spacing w:before="40" w:after="40"/>
              <w:jc w:val="center"/>
              <w:rPr>
                <w:rFonts w:eastAsiaTheme="minorHAnsi"/>
                <w:lang w:eastAsia="en-US"/>
              </w:rPr>
            </w:pPr>
            <w:r w:rsidRPr="00582EF5">
              <w:rPr>
                <w:rFonts w:eastAsiaTheme="minorHAnsi"/>
                <w:lang w:eastAsia="en-US"/>
              </w:rPr>
              <w:t>2004</w:t>
            </w:r>
          </w:p>
        </w:tc>
      </w:tr>
      <w:tr w:rsidR="007771E5" w:rsidRPr="00582EF5" w14:paraId="4627793D" w14:textId="77777777" w:rsidTr="703AEB20">
        <w:tc>
          <w:tcPr>
            <w:tcW w:w="4706" w:type="dxa"/>
          </w:tcPr>
          <w:p w14:paraId="3893190F" w14:textId="77777777" w:rsidR="007771E5" w:rsidRPr="00582EF5" w:rsidRDefault="007771E5" w:rsidP="00180B52">
            <w:pPr>
              <w:pStyle w:val="TableText"/>
              <w:spacing w:before="40" w:after="40"/>
              <w:rPr>
                <w:rFonts w:eastAsiaTheme="minorHAnsi"/>
                <w:lang w:eastAsia="en-US"/>
              </w:rPr>
            </w:pPr>
            <w:r w:rsidRPr="00582EF5">
              <w:rPr>
                <w:rFonts w:eastAsiaTheme="minorHAnsi"/>
                <w:lang w:eastAsia="en-US"/>
              </w:rPr>
              <w:t>Heptachlor</w:t>
            </w:r>
          </w:p>
        </w:tc>
        <w:tc>
          <w:tcPr>
            <w:tcW w:w="1871" w:type="dxa"/>
          </w:tcPr>
          <w:p w14:paraId="7E3516E8"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2001</w:t>
            </w:r>
          </w:p>
        </w:tc>
        <w:tc>
          <w:tcPr>
            <w:tcW w:w="1928" w:type="dxa"/>
          </w:tcPr>
          <w:p w14:paraId="55BCC6E7"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2004</w:t>
            </w:r>
          </w:p>
        </w:tc>
      </w:tr>
      <w:tr w:rsidR="007771E5" w:rsidRPr="00582EF5" w14:paraId="450D0BE4" w14:textId="77777777" w:rsidTr="703AEB20">
        <w:tc>
          <w:tcPr>
            <w:tcW w:w="4706" w:type="dxa"/>
          </w:tcPr>
          <w:p w14:paraId="7362F385" w14:textId="77777777" w:rsidR="007771E5" w:rsidRPr="00582EF5" w:rsidRDefault="007771E5" w:rsidP="0094109F">
            <w:pPr>
              <w:pStyle w:val="TableText"/>
              <w:spacing w:before="40" w:after="40"/>
              <w:rPr>
                <w:rFonts w:eastAsiaTheme="minorHAnsi"/>
                <w:lang w:eastAsia="en-US"/>
              </w:rPr>
            </w:pPr>
            <w:r w:rsidRPr="00582EF5">
              <w:rPr>
                <w:rFonts w:eastAsiaTheme="minorHAnsi"/>
                <w:lang w:eastAsia="en-US"/>
              </w:rPr>
              <w:t>Hexachlorobenzene (HCB)</w:t>
            </w:r>
          </w:p>
        </w:tc>
        <w:tc>
          <w:tcPr>
            <w:tcW w:w="1871" w:type="dxa"/>
          </w:tcPr>
          <w:p w14:paraId="362537C4" w14:textId="77777777" w:rsidR="007771E5" w:rsidRPr="00582EF5" w:rsidRDefault="007771E5" w:rsidP="0094109F">
            <w:pPr>
              <w:pStyle w:val="TableText"/>
              <w:spacing w:before="40" w:after="40"/>
              <w:jc w:val="center"/>
              <w:rPr>
                <w:rFonts w:eastAsiaTheme="minorHAnsi"/>
                <w:lang w:eastAsia="en-US"/>
              </w:rPr>
            </w:pPr>
            <w:r w:rsidRPr="00582EF5">
              <w:rPr>
                <w:rFonts w:eastAsiaTheme="minorHAnsi"/>
                <w:lang w:eastAsia="en-US"/>
              </w:rPr>
              <w:t>2001</w:t>
            </w:r>
          </w:p>
        </w:tc>
        <w:tc>
          <w:tcPr>
            <w:tcW w:w="1928" w:type="dxa"/>
          </w:tcPr>
          <w:p w14:paraId="4CD93D2F" w14:textId="77777777" w:rsidR="007771E5" w:rsidRPr="00582EF5" w:rsidRDefault="007771E5" w:rsidP="0094109F">
            <w:pPr>
              <w:pStyle w:val="TableText"/>
              <w:spacing w:before="40" w:after="40"/>
              <w:jc w:val="center"/>
              <w:rPr>
                <w:rFonts w:eastAsiaTheme="minorHAnsi"/>
                <w:lang w:eastAsia="en-US"/>
              </w:rPr>
            </w:pPr>
            <w:r w:rsidRPr="00582EF5">
              <w:rPr>
                <w:rFonts w:eastAsiaTheme="minorHAnsi"/>
                <w:lang w:eastAsia="en-US"/>
              </w:rPr>
              <w:t>2004</w:t>
            </w:r>
          </w:p>
        </w:tc>
      </w:tr>
      <w:tr w:rsidR="007771E5" w:rsidRPr="00582EF5" w14:paraId="2FDF19C7" w14:textId="77777777" w:rsidTr="703AEB20">
        <w:tc>
          <w:tcPr>
            <w:tcW w:w="4706" w:type="dxa"/>
          </w:tcPr>
          <w:p w14:paraId="208DFF2C" w14:textId="77777777" w:rsidR="007771E5" w:rsidRPr="00582EF5" w:rsidRDefault="007771E5" w:rsidP="00180B52">
            <w:pPr>
              <w:pStyle w:val="TableText"/>
              <w:spacing w:before="40" w:after="40"/>
              <w:rPr>
                <w:rFonts w:eastAsiaTheme="minorHAnsi"/>
                <w:lang w:eastAsia="en-US"/>
              </w:rPr>
            </w:pPr>
            <w:proofErr w:type="spellStart"/>
            <w:r w:rsidRPr="00582EF5">
              <w:rPr>
                <w:rFonts w:eastAsiaTheme="minorHAnsi"/>
                <w:lang w:eastAsia="en-US"/>
              </w:rPr>
              <w:t>Mirex</w:t>
            </w:r>
            <w:proofErr w:type="spellEnd"/>
          </w:p>
        </w:tc>
        <w:tc>
          <w:tcPr>
            <w:tcW w:w="1871" w:type="dxa"/>
          </w:tcPr>
          <w:p w14:paraId="0283108E"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2001</w:t>
            </w:r>
          </w:p>
        </w:tc>
        <w:tc>
          <w:tcPr>
            <w:tcW w:w="1928" w:type="dxa"/>
          </w:tcPr>
          <w:p w14:paraId="791EDBB1"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2004</w:t>
            </w:r>
          </w:p>
        </w:tc>
      </w:tr>
      <w:tr w:rsidR="007771E5" w:rsidRPr="00582EF5" w14:paraId="715C367F" w14:textId="77777777" w:rsidTr="703AEB20">
        <w:tc>
          <w:tcPr>
            <w:tcW w:w="4706" w:type="dxa"/>
          </w:tcPr>
          <w:p w14:paraId="1CECB73E" w14:textId="50BC36C6" w:rsidR="007771E5" w:rsidRPr="00582EF5" w:rsidRDefault="007771E5" w:rsidP="00180B52">
            <w:pPr>
              <w:pStyle w:val="TableText"/>
              <w:spacing w:before="40" w:after="40"/>
              <w:rPr>
                <w:rFonts w:eastAsiaTheme="minorHAnsi"/>
                <w:lang w:eastAsia="en-US"/>
              </w:rPr>
            </w:pPr>
            <w:r w:rsidRPr="00582EF5">
              <w:rPr>
                <w:rFonts w:eastAsiaTheme="minorHAnsi"/>
                <w:lang w:eastAsia="en-US"/>
              </w:rPr>
              <w:t>Polychlorinated biphenyls (PCB</w:t>
            </w:r>
            <w:r w:rsidR="00B34D33" w:rsidRPr="00582EF5">
              <w:rPr>
                <w:rFonts w:eastAsiaTheme="minorHAnsi"/>
                <w:lang w:eastAsia="en-US"/>
              </w:rPr>
              <w:t>s</w:t>
            </w:r>
            <w:r w:rsidRPr="00582EF5">
              <w:rPr>
                <w:rFonts w:eastAsiaTheme="minorHAnsi"/>
                <w:lang w:eastAsia="en-US"/>
              </w:rPr>
              <w:t>)</w:t>
            </w:r>
          </w:p>
        </w:tc>
        <w:tc>
          <w:tcPr>
            <w:tcW w:w="1871" w:type="dxa"/>
          </w:tcPr>
          <w:p w14:paraId="403E9818"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2001</w:t>
            </w:r>
          </w:p>
        </w:tc>
        <w:tc>
          <w:tcPr>
            <w:tcW w:w="1928" w:type="dxa"/>
          </w:tcPr>
          <w:p w14:paraId="3C5DB101"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2004</w:t>
            </w:r>
          </w:p>
        </w:tc>
      </w:tr>
      <w:tr w:rsidR="007771E5" w:rsidRPr="00582EF5" w14:paraId="2DD95FDF" w14:textId="77777777" w:rsidTr="703AEB20">
        <w:tc>
          <w:tcPr>
            <w:tcW w:w="4706" w:type="dxa"/>
          </w:tcPr>
          <w:p w14:paraId="77405017" w14:textId="77777777" w:rsidR="007771E5" w:rsidRPr="00582EF5" w:rsidRDefault="007771E5" w:rsidP="0094109F">
            <w:pPr>
              <w:pStyle w:val="TableText"/>
              <w:spacing w:before="40" w:after="40"/>
              <w:rPr>
                <w:rFonts w:eastAsiaTheme="minorHAnsi"/>
                <w:lang w:eastAsia="en-US"/>
              </w:rPr>
            </w:pPr>
            <w:r w:rsidRPr="00582EF5">
              <w:rPr>
                <w:rFonts w:eastAsiaTheme="minorHAnsi"/>
                <w:lang w:eastAsia="en-US"/>
              </w:rPr>
              <w:t>Toxaphene</w:t>
            </w:r>
          </w:p>
        </w:tc>
        <w:tc>
          <w:tcPr>
            <w:tcW w:w="1871" w:type="dxa"/>
          </w:tcPr>
          <w:p w14:paraId="794D8B06" w14:textId="77777777" w:rsidR="007771E5" w:rsidRPr="00582EF5" w:rsidRDefault="007771E5" w:rsidP="0094109F">
            <w:pPr>
              <w:pStyle w:val="TableText"/>
              <w:spacing w:before="40" w:after="40"/>
              <w:jc w:val="center"/>
              <w:rPr>
                <w:rFonts w:eastAsiaTheme="minorHAnsi"/>
                <w:lang w:eastAsia="en-US"/>
              </w:rPr>
            </w:pPr>
            <w:r w:rsidRPr="00582EF5">
              <w:rPr>
                <w:rFonts w:eastAsiaTheme="minorHAnsi"/>
                <w:lang w:eastAsia="en-US"/>
              </w:rPr>
              <w:t>2001</w:t>
            </w:r>
          </w:p>
        </w:tc>
        <w:tc>
          <w:tcPr>
            <w:tcW w:w="1928" w:type="dxa"/>
          </w:tcPr>
          <w:p w14:paraId="2EDB4B02" w14:textId="77777777" w:rsidR="007771E5" w:rsidRPr="00582EF5" w:rsidRDefault="007771E5" w:rsidP="0094109F">
            <w:pPr>
              <w:pStyle w:val="TableText"/>
              <w:spacing w:before="40" w:after="40"/>
              <w:jc w:val="center"/>
              <w:rPr>
                <w:rFonts w:eastAsiaTheme="minorHAnsi"/>
                <w:lang w:eastAsia="en-US"/>
              </w:rPr>
            </w:pPr>
            <w:r w:rsidRPr="00582EF5">
              <w:rPr>
                <w:rFonts w:eastAsiaTheme="minorHAnsi"/>
                <w:lang w:eastAsia="en-US"/>
              </w:rPr>
              <w:t>2004</w:t>
            </w:r>
          </w:p>
        </w:tc>
      </w:tr>
      <w:tr w:rsidR="007771E5" w:rsidRPr="00582EF5" w14:paraId="218DA109" w14:textId="77777777" w:rsidTr="703AEB20">
        <w:tc>
          <w:tcPr>
            <w:tcW w:w="4706" w:type="dxa"/>
          </w:tcPr>
          <w:p w14:paraId="073FC72E" w14:textId="26A1EAF1" w:rsidR="007771E5" w:rsidRPr="00582EF5" w:rsidRDefault="007771E5" w:rsidP="00180B52">
            <w:pPr>
              <w:pStyle w:val="TableText"/>
              <w:spacing w:before="40" w:after="40"/>
              <w:rPr>
                <w:rFonts w:eastAsiaTheme="minorHAnsi"/>
                <w:lang w:eastAsia="en-US"/>
              </w:rPr>
            </w:pPr>
            <w:r w:rsidRPr="00582EF5">
              <w:rPr>
                <w:rFonts w:eastAsiaTheme="minorHAnsi"/>
                <w:lang w:eastAsia="en-US"/>
              </w:rPr>
              <w:t>Alpha hexachlorocyclohexane (</w:t>
            </w:r>
            <w:r w:rsidR="00AC060C" w:rsidRPr="00582EF5">
              <w:rPr>
                <w:rFonts w:eastAsiaTheme="minorHAnsi"/>
                <w:lang w:eastAsia="en-US"/>
              </w:rPr>
              <w:t>a</w:t>
            </w:r>
            <w:r w:rsidRPr="00582EF5">
              <w:rPr>
                <w:rFonts w:eastAsiaTheme="minorHAnsi"/>
                <w:lang w:eastAsia="en-US"/>
              </w:rPr>
              <w:t>lpha</w:t>
            </w:r>
            <w:r w:rsidR="00C54D14">
              <w:rPr>
                <w:rFonts w:eastAsiaTheme="minorHAnsi"/>
                <w:lang w:eastAsia="en-US"/>
              </w:rPr>
              <w:t>-</w:t>
            </w:r>
            <w:r w:rsidRPr="00582EF5">
              <w:rPr>
                <w:rFonts w:eastAsiaTheme="minorHAnsi"/>
                <w:lang w:eastAsia="en-US"/>
              </w:rPr>
              <w:t>HCH)</w:t>
            </w:r>
          </w:p>
        </w:tc>
        <w:tc>
          <w:tcPr>
            <w:tcW w:w="1871" w:type="dxa"/>
          </w:tcPr>
          <w:p w14:paraId="34C8E908"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2009</w:t>
            </w:r>
          </w:p>
        </w:tc>
        <w:tc>
          <w:tcPr>
            <w:tcW w:w="1928" w:type="dxa"/>
          </w:tcPr>
          <w:p w14:paraId="1AA0B006"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2016</w:t>
            </w:r>
          </w:p>
        </w:tc>
      </w:tr>
      <w:tr w:rsidR="007771E5" w:rsidRPr="00582EF5" w14:paraId="544AC3FB" w14:textId="77777777" w:rsidTr="703AEB20">
        <w:tc>
          <w:tcPr>
            <w:tcW w:w="4706" w:type="dxa"/>
          </w:tcPr>
          <w:p w14:paraId="51679B5A" w14:textId="35866218" w:rsidR="007771E5" w:rsidRPr="00582EF5" w:rsidRDefault="007771E5" w:rsidP="00180B52">
            <w:pPr>
              <w:pStyle w:val="TableText"/>
              <w:spacing w:before="40" w:after="40"/>
              <w:rPr>
                <w:rFonts w:eastAsiaTheme="minorHAnsi"/>
                <w:lang w:eastAsia="en-US"/>
              </w:rPr>
            </w:pPr>
            <w:r w:rsidRPr="00582EF5">
              <w:rPr>
                <w:rFonts w:eastAsiaTheme="minorHAnsi"/>
                <w:lang w:eastAsia="en-US"/>
              </w:rPr>
              <w:t>Beta hexachlorocyclohexane (</w:t>
            </w:r>
            <w:r w:rsidR="00AC060C" w:rsidRPr="00582EF5">
              <w:rPr>
                <w:rFonts w:eastAsiaTheme="minorHAnsi"/>
                <w:lang w:eastAsia="en-US"/>
              </w:rPr>
              <w:t>b</w:t>
            </w:r>
            <w:r w:rsidRPr="00582EF5">
              <w:rPr>
                <w:rFonts w:eastAsiaTheme="minorHAnsi"/>
                <w:lang w:eastAsia="en-US"/>
              </w:rPr>
              <w:t>eta</w:t>
            </w:r>
            <w:r w:rsidR="00C54D14">
              <w:rPr>
                <w:rFonts w:eastAsiaTheme="minorHAnsi"/>
                <w:lang w:eastAsia="en-US"/>
              </w:rPr>
              <w:t>-</w:t>
            </w:r>
            <w:r w:rsidRPr="00582EF5">
              <w:rPr>
                <w:rFonts w:eastAsiaTheme="minorHAnsi"/>
                <w:lang w:eastAsia="en-US"/>
              </w:rPr>
              <w:t>HCH)</w:t>
            </w:r>
          </w:p>
        </w:tc>
        <w:tc>
          <w:tcPr>
            <w:tcW w:w="1871" w:type="dxa"/>
          </w:tcPr>
          <w:p w14:paraId="0EBFB7AC"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2009</w:t>
            </w:r>
          </w:p>
        </w:tc>
        <w:tc>
          <w:tcPr>
            <w:tcW w:w="1928" w:type="dxa"/>
          </w:tcPr>
          <w:p w14:paraId="6BF5EB24"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2016</w:t>
            </w:r>
          </w:p>
        </w:tc>
      </w:tr>
      <w:tr w:rsidR="007771E5" w:rsidRPr="00582EF5" w14:paraId="5C207834" w14:textId="77777777" w:rsidTr="703AEB20">
        <w:tc>
          <w:tcPr>
            <w:tcW w:w="4706" w:type="dxa"/>
          </w:tcPr>
          <w:p w14:paraId="534D506B" w14:textId="77777777" w:rsidR="007771E5" w:rsidRPr="00582EF5" w:rsidRDefault="007771E5" w:rsidP="00180B52">
            <w:pPr>
              <w:pStyle w:val="TableText"/>
              <w:spacing w:before="40" w:after="40"/>
              <w:rPr>
                <w:rFonts w:eastAsiaTheme="minorHAnsi"/>
                <w:lang w:eastAsia="en-US"/>
              </w:rPr>
            </w:pPr>
            <w:r w:rsidRPr="00582EF5">
              <w:rPr>
                <w:rFonts w:eastAsiaTheme="minorHAnsi"/>
                <w:lang w:eastAsia="en-US"/>
              </w:rPr>
              <w:t xml:space="preserve">Chlordecone </w:t>
            </w:r>
          </w:p>
        </w:tc>
        <w:tc>
          <w:tcPr>
            <w:tcW w:w="1871" w:type="dxa"/>
          </w:tcPr>
          <w:p w14:paraId="581309B6"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2009</w:t>
            </w:r>
          </w:p>
        </w:tc>
        <w:tc>
          <w:tcPr>
            <w:tcW w:w="1928" w:type="dxa"/>
          </w:tcPr>
          <w:p w14:paraId="6D687A15"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2016</w:t>
            </w:r>
          </w:p>
        </w:tc>
      </w:tr>
      <w:tr w:rsidR="007771E5" w:rsidRPr="00582EF5" w14:paraId="65510B6F" w14:textId="77777777" w:rsidTr="703AEB20">
        <w:tc>
          <w:tcPr>
            <w:tcW w:w="4706" w:type="dxa"/>
          </w:tcPr>
          <w:p w14:paraId="64B05767" w14:textId="77777777" w:rsidR="007771E5" w:rsidRPr="00582EF5" w:rsidRDefault="007771E5" w:rsidP="00180B52">
            <w:pPr>
              <w:pStyle w:val="TableText"/>
              <w:spacing w:before="40" w:after="40"/>
              <w:rPr>
                <w:rFonts w:eastAsiaTheme="minorHAnsi"/>
                <w:lang w:eastAsia="en-US"/>
              </w:rPr>
            </w:pPr>
            <w:r w:rsidRPr="00582EF5">
              <w:rPr>
                <w:rFonts w:eastAsiaTheme="minorHAnsi"/>
                <w:lang w:eastAsia="en-US"/>
              </w:rPr>
              <w:t>Hexabromobiphenyl</w:t>
            </w:r>
          </w:p>
        </w:tc>
        <w:tc>
          <w:tcPr>
            <w:tcW w:w="1871" w:type="dxa"/>
          </w:tcPr>
          <w:p w14:paraId="5C15F590" w14:textId="3611DF27" w:rsidR="007771E5" w:rsidRPr="00582EF5" w:rsidRDefault="005F2093" w:rsidP="00180B52">
            <w:pPr>
              <w:pStyle w:val="TableText"/>
              <w:spacing w:before="40" w:after="40"/>
              <w:jc w:val="center"/>
              <w:rPr>
                <w:rFonts w:eastAsiaTheme="minorHAnsi"/>
                <w:lang w:eastAsia="en-US"/>
              </w:rPr>
            </w:pPr>
            <w:r w:rsidRPr="00582EF5">
              <w:rPr>
                <w:rFonts w:eastAsiaTheme="minorHAnsi"/>
                <w:lang w:eastAsia="en-US"/>
              </w:rPr>
              <w:t>2009</w:t>
            </w:r>
          </w:p>
        </w:tc>
        <w:tc>
          <w:tcPr>
            <w:tcW w:w="1928" w:type="dxa"/>
          </w:tcPr>
          <w:p w14:paraId="517A8BC6"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2016</w:t>
            </w:r>
          </w:p>
        </w:tc>
      </w:tr>
      <w:tr w:rsidR="007771E5" w:rsidRPr="00582EF5" w14:paraId="31751630" w14:textId="77777777" w:rsidTr="703AEB20">
        <w:tc>
          <w:tcPr>
            <w:tcW w:w="4706" w:type="dxa"/>
          </w:tcPr>
          <w:p w14:paraId="71309FBA" w14:textId="6A14FACC" w:rsidR="007771E5" w:rsidRPr="00582EF5" w:rsidRDefault="007771E5" w:rsidP="00180B52">
            <w:pPr>
              <w:pStyle w:val="TableText"/>
              <w:spacing w:before="40" w:after="40"/>
              <w:rPr>
                <w:rFonts w:eastAsiaTheme="minorHAnsi"/>
                <w:lang w:eastAsia="en-US"/>
              </w:rPr>
            </w:pPr>
            <w:proofErr w:type="spellStart"/>
            <w:r w:rsidRPr="00582EF5">
              <w:rPr>
                <w:rFonts w:eastAsiaTheme="minorHAnsi"/>
                <w:lang w:eastAsia="en-US"/>
              </w:rPr>
              <w:t>Hexabromodiphenyl</w:t>
            </w:r>
            <w:proofErr w:type="spellEnd"/>
            <w:r w:rsidRPr="00582EF5">
              <w:rPr>
                <w:rFonts w:eastAsiaTheme="minorHAnsi"/>
                <w:lang w:eastAsia="en-US"/>
              </w:rPr>
              <w:t xml:space="preserve"> ether </w:t>
            </w:r>
            <w:r w:rsidR="00824303" w:rsidRPr="00582EF5">
              <w:rPr>
                <w:rFonts w:eastAsiaTheme="minorHAnsi"/>
                <w:lang w:eastAsia="en-US"/>
              </w:rPr>
              <w:t>(</w:t>
            </w:r>
            <w:proofErr w:type="spellStart"/>
            <w:r w:rsidR="00AC060C" w:rsidRPr="00582EF5">
              <w:rPr>
                <w:rFonts w:eastAsiaTheme="minorHAnsi"/>
                <w:lang w:eastAsia="en-US"/>
              </w:rPr>
              <w:t>h</w:t>
            </w:r>
            <w:r w:rsidR="00824303" w:rsidRPr="00582EF5">
              <w:rPr>
                <w:rFonts w:eastAsiaTheme="minorHAnsi"/>
                <w:lang w:eastAsia="en-US"/>
              </w:rPr>
              <w:t>exaBDE</w:t>
            </w:r>
            <w:proofErr w:type="spellEnd"/>
            <w:r w:rsidR="00824303" w:rsidRPr="00582EF5">
              <w:rPr>
                <w:rFonts w:eastAsiaTheme="minorHAnsi"/>
                <w:lang w:eastAsia="en-US"/>
              </w:rPr>
              <w:t xml:space="preserve">) </w:t>
            </w:r>
            <w:r w:rsidRPr="00582EF5">
              <w:rPr>
                <w:rFonts w:eastAsiaTheme="minorHAnsi"/>
                <w:lang w:eastAsia="en-US"/>
              </w:rPr>
              <w:t xml:space="preserve">and </w:t>
            </w:r>
            <w:proofErr w:type="spellStart"/>
            <w:r w:rsidR="00AC060C" w:rsidRPr="00582EF5">
              <w:rPr>
                <w:rFonts w:eastAsiaTheme="minorHAnsi"/>
                <w:lang w:eastAsia="en-US"/>
              </w:rPr>
              <w:t>h</w:t>
            </w:r>
            <w:r w:rsidRPr="00582EF5">
              <w:rPr>
                <w:rFonts w:eastAsiaTheme="minorHAnsi"/>
                <w:lang w:eastAsia="en-US"/>
              </w:rPr>
              <w:t>eptabromdiphenyl</w:t>
            </w:r>
            <w:proofErr w:type="spellEnd"/>
            <w:r w:rsidRPr="00582EF5">
              <w:rPr>
                <w:rFonts w:eastAsiaTheme="minorHAnsi"/>
                <w:lang w:eastAsia="en-US"/>
              </w:rPr>
              <w:t xml:space="preserve"> ether </w:t>
            </w:r>
            <w:r w:rsidR="00824303" w:rsidRPr="00582EF5">
              <w:rPr>
                <w:rFonts w:eastAsiaTheme="minorHAnsi"/>
                <w:lang w:eastAsia="en-US"/>
              </w:rPr>
              <w:t>(</w:t>
            </w:r>
            <w:proofErr w:type="spellStart"/>
            <w:r w:rsidR="00AC060C" w:rsidRPr="00582EF5">
              <w:rPr>
                <w:rFonts w:eastAsiaTheme="minorHAnsi"/>
                <w:lang w:eastAsia="en-US"/>
              </w:rPr>
              <w:t>h</w:t>
            </w:r>
            <w:r w:rsidR="00DD4250" w:rsidRPr="00582EF5">
              <w:rPr>
                <w:rFonts w:eastAsiaTheme="minorHAnsi"/>
                <w:lang w:eastAsia="en-US"/>
              </w:rPr>
              <w:t>eptaBDE</w:t>
            </w:r>
            <w:proofErr w:type="spellEnd"/>
            <w:r w:rsidR="00DD4250" w:rsidRPr="00582EF5">
              <w:rPr>
                <w:rFonts w:eastAsiaTheme="minorHAnsi"/>
                <w:lang w:eastAsia="en-US"/>
              </w:rPr>
              <w:t>)</w:t>
            </w:r>
          </w:p>
        </w:tc>
        <w:tc>
          <w:tcPr>
            <w:tcW w:w="1871" w:type="dxa"/>
          </w:tcPr>
          <w:p w14:paraId="716C8CD1"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2009</w:t>
            </w:r>
          </w:p>
        </w:tc>
        <w:tc>
          <w:tcPr>
            <w:tcW w:w="1928" w:type="dxa"/>
          </w:tcPr>
          <w:p w14:paraId="6C631DA4"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2016</w:t>
            </w:r>
          </w:p>
        </w:tc>
      </w:tr>
      <w:tr w:rsidR="007771E5" w:rsidRPr="00582EF5" w14:paraId="188D4D74" w14:textId="77777777" w:rsidTr="703AEB20">
        <w:tc>
          <w:tcPr>
            <w:tcW w:w="4706" w:type="dxa"/>
          </w:tcPr>
          <w:p w14:paraId="73E101C8" w14:textId="77777777" w:rsidR="007771E5" w:rsidRPr="00582EF5" w:rsidRDefault="007771E5" w:rsidP="00180B52">
            <w:pPr>
              <w:pStyle w:val="TableText"/>
              <w:spacing w:before="40" w:after="40"/>
              <w:rPr>
                <w:rFonts w:eastAsiaTheme="minorHAnsi"/>
                <w:lang w:eastAsia="en-US"/>
              </w:rPr>
            </w:pPr>
            <w:r w:rsidRPr="00582EF5">
              <w:rPr>
                <w:rFonts w:eastAsiaTheme="minorHAnsi"/>
                <w:lang w:eastAsia="en-US"/>
              </w:rPr>
              <w:t xml:space="preserve">Lindane </w:t>
            </w:r>
          </w:p>
        </w:tc>
        <w:tc>
          <w:tcPr>
            <w:tcW w:w="1871" w:type="dxa"/>
          </w:tcPr>
          <w:p w14:paraId="1A0E4766"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2009</w:t>
            </w:r>
          </w:p>
        </w:tc>
        <w:tc>
          <w:tcPr>
            <w:tcW w:w="1928" w:type="dxa"/>
          </w:tcPr>
          <w:p w14:paraId="30D5E3B4"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2016</w:t>
            </w:r>
          </w:p>
        </w:tc>
      </w:tr>
      <w:tr w:rsidR="007771E5" w:rsidRPr="00582EF5" w14:paraId="0E6FD2D0" w14:textId="77777777" w:rsidTr="703AEB20">
        <w:tc>
          <w:tcPr>
            <w:tcW w:w="4706" w:type="dxa"/>
          </w:tcPr>
          <w:p w14:paraId="7FE1258A" w14:textId="77777777" w:rsidR="007771E5" w:rsidRPr="00582EF5" w:rsidRDefault="007771E5" w:rsidP="00180B52">
            <w:pPr>
              <w:pStyle w:val="TableText"/>
              <w:spacing w:before="40" w:after="40"/>
              <w:rPr>
                <w:rFonts w:eastAsiaTheme="minorHAnsi"/>
                <w:lang w:eastAsia="en-US"/>
              </w:rPr>
            </w:pPr>
            <w:proofErr w:type="spellStart"/>
            <w:r w:rsidRPr="00582EF5">
              <w:rPr>
                <w:rFonts w:eastAsiaTheme="minorHAnsi"/>
                <w:lang w:eastAsia="en-US"/>
              </w:rPr>
              <w:t>Pentachlorobenzene</w:t>
            </w:r>
            <w:proofErr w:type="spellEnd"/>
            <w:r w:rsidRPr="00582EF5">
              <w:rPr>
                <w:rFonts w:eastAsiaTheme="minorHAnsi"/>
                <w:lang w:eastAsia="en-US"/>
              </w:rPr>
              <w:t xml:space="preserve"> (</w:t>
            </w:r>
            <w:proofErr w:type="spellStart"/>
            <w:r w:rsidRPr="00582EF5">
              <w:rPr>
                <w:rFonts w:eastAsiaTheme="minorHAnsi"/>
                <w:lang w:eastAsia="en-US"/>
              </w:rPr>
              <w:t>PeCB</w:t>
            </w:r>
            <w:proofErr w:type="spellEnd"/>
            <w:r w:rsidRPr="00582EF5">
              <w:rPr>
                <w:rFonts w:eastAsiaTheme="minorHAnsi"/>
                <w:lang w:eastAsia="en-US"/>
              </w:rPr>
              <w:t>)</w:t>
            </w:r>
          </w:p>
        </w:tc>
        <w:tc>
          <w:tcPr>
            <w:tcW w:w="1871" w:type="dxa"/>
          </w:tcPr>
          <w:p w14:paraId="7B6A2D7E"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2009</w:t>
            </w:r>
          </w:p>
        </w:tc>
        <w:tc>
          <w:tcPr>
            <w:tcW w:w="1928" w:type="dxa"/>
          </w:tcPr>
          <w:p w14:paraId="33603F79"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2016</w:t>
            </w:r>
          </w:p>
        </w:tc>
      </w:tr>
      <w:tr w:rsidR="007771E5" w:rsidRPr="00582EF5" w14:paraId="27498C14" w14:textId="77777777" w:rsidTr="703AEB20">
        <w:tc>
          <w:tcPr>
            <w:tcW w:w="4706" w:type="dxa"/>
          </w:tcPr>
          <w:p w14:paraId="72F71E78" w14:textId="120DF00E" w:rsidR="007771E5" w:rsidRPr="00582EF5" w:rsidRDefault="00DD4250" w:rsidP="00180B52">
            <w:pPr>
              <w:pStyle w:val="TableText"/>
              <w:spacing w:before="40" w:after="40"/>
              <w:rPr>
                <w:rFonts w:eastAsiaTheme="minorHAnsi"/>
                <w:lang w:eastAsia="en-US"/>
              </w:rPr>
            </w:pPr>
            <w:proofErr w:type="spellStart"/>
            <w:r w:rsidRPr="00582EF5">
              <w:rPr>
                <w:rFonts w:eastAsiaTheme="minorHAnsi"/>
                <w:lang w:eastAsia="en-US"/>
              </w:rPr>
              <w:t>Tetrabromodiphenyl</w:t>
            </w:r>
            <w:proofErr w:type="spellEnd"/>
            <w:r w:rsidRPr="00582EF5">
              <w:rPr>
                <w:rFonts w:eastAsiaTheme="minorHAnsi"/>
                <w:lang w:eastAsia="en-US"/>
              </w:rPr>
              <w:t xml:space="preserve"> ether </w:t>
            </w:r>
            <w:r w:rsidR="00824303" w:rsidRPr="00582EF5">
              <w:rPr>
                <w:rFonts w:eastAsiaTheme="minorHAnsi"/>
                <w:lang w:eastAsia="en-US"/>
              </w:rPr>
              <w:t>(</w:t>
            </w:r>
            <w:proofErr w:type="spellStart"/>
            <w:r w:rsidR="00AC060C" w:rsidRPr="00582EF5">
              <w:rPr>
                <w:rFonts w:eastAsiaTheme="minorHAnsi"/>
                <w:lang w:eastAsia="en-US"/>
              </w:rPr>
              <w:t>t</w:t>
            </w:r>
            <w:r w:rsidR="00824303" w:rsidRPr="00582EF5">
              <w:rPr>
                <w:rFonts w:eastAsiaTheme="minorHAnsi"/>
                <w:lang w:eastAsia="en-US"/>
              </w:rPr>
              <w:t>etraBDE</w:t>
            </w:r>
            <w:proofErr w:type="spellEnd"/>
            <w:r w:rsidR="00824303" w:rsidRPr="00582EF5">
              <w:rPr>
                <w:rFonts w:eastAsiaTheme="minorHAnsi"/>
                <w:lang w:eastAsia="en-US"/>
              </w:rPr>
              <w:t xml:space="preserve">) </w:t>
            </w:r>
            <w:r w:rsidRPr="00582EF5">
              <w:rPr>
                <w:rFonts w:eastAsiaTheme="minorHAnsi"/>
                <w:lang w:eastAsia="en-US"/>
              </w:rPr>
              <w:t xml:space="preserve">and </w:t>
            </w:r>
            <w:proofErr w:type="spellStart"/>
            <w:r w:rsidR="00AC060C" w:rsidRPr="00582EF5">
              <w:rPr>
                <w:rFonts w:eastAsiaTheme="minorHAnsi"/>
                <w:lang w:eastAsia="en-US"/>
              </w:rPr>
              <w:t>p</w:t>
            </w:r>
            <w:r w:rsidR="007771E5" w:rsidRPr="00582EF5">
              <w:rPr>
                <w:rFonts w:eastAsiaTheme="minorHAnsi"/>
                <w:lang w:eastAsia="en-US"/>
              </w:rPr>
              <w:t>entabromodiphenyl</w:t>
            </w:r>
            <w:proofErr w:type="spellEnd"/>
            <w:r w:rsidR="007771E5" w:rsidRPr="00582EF5">
              <w:rPr>
                <w:rFonts w:eastAsiaTheme="minorHAnsi"/>
                <w:lang w:eastAsia="en-US"/>
              </w:rPr>
              <w:t xml:space="preserve"> ether </w:t>
            </w:r>
            <w:r w:rsidR="00824303" w:rsidRPr="00582EF5">
              <w:rPr>
                <w:rFonts w:eastAsiaTheme="minorHAnsi"/>
                <w:lang w:eastAsia="en-US"/>
              </w:rPr>
              <w:t>(</w:t>
            </w:r>
            <w:proofErr w:type="spellStart"/>
            <w:r w:rsidR="00AC060C" w:rsidRPr="00582EF5">
              <w:rPr>
                <w:rFonts w:eastAsiaTheme="minorHAnsi"/>
                <w:lang w:eastAsia="en-US"/>
              </w:rPr>
              <w:t>p</w:t>
            </w:r>
            <w:r w:rsidRPr="00582EF5">
              <w:rPr>
                <w:rFonts w:eastAsiaTheme="minorHAnsi"/>
                <w:lang w:eastAsia="en-US"/>
              </w:rPr>
              <w:t>entaBDE</w:t>
            </w:r>
            <w:proofErr w:type="spellEnd"/>
            <w:r w:rsidRPr="00582EF5">
              <w:rPr>
                <w:rFonts w:eastAsiaTheme="minorHAnsi"/>
                <w:lang w:eastAsia="en-US"/>
              </w:rPr>
              <w:t>)</w:t>
            </w:r>
          </w:p>
        </w:tc>
        <w:tc>
          <w:tcPr>
            <w:tcW w:w="1871" w:type="dxa"/>
          </w:tcPr>
          <w:p w14:paraId="0D58E88B"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2009</w:t>
            </w:r>
          </w:p>
        </w:tc>
        <w:tc>
          <w:tcPr>
            <w:tcW w:w="1928" w:type="dxa"/>
          </w:tcPr>
          <w:p w14:paraId="26DDD538"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2016</w:t>
            </w:r>
          </w:p>
        </w:tc>
      </w:tr>
      <w:tr w:rsidR="007771E5" w:rsidRPr="00582EF5" w14:paraId="1DA4A5FA" w14:textId="77777777" w:rsidTr="703AEB20">
        <w:tc>
          <w:tcPr>
            <w:tcW w:w="4706" w:type="dxa"/>
          </w:tcPr>
          <w:p w14:paraId="4B8FA0B9" w14:textId="77777777" w:rsidR="007771E5" w:rsidRPr="00582EF5" w:rsidRDefault="007771E5" w:rsidP="00180B52">
            <w:pPr>
              <w:pStyle w:val="TableText"/>
              <w:spacing w:before="40" w:after="40"/>
              <w:rPr>
                <w:rFonts w:eastAsiaTheme="minorHAnsi"/>
                <w:lang w:eastAsia="en-US"/>
              </w:rPr>
            </w:pPr>
            <w:r w:rsidRPr="00582EF5">
              <w:rPr>
                <w:rFonts w:eastAsiaTheme="minorHAnsi"/>
                <w:lang w:eastAsia="en-US"/>
              </w:rPr>
              <w:t>Technical endosulfan and its related isomers</w:t>
            </w:r>
          </w:p>
        </w:tc>
        <w:tc>
          <w:tcPr>
            <w:tcW w:w="1871" w:type="dxa"/>
          </w:tcPr>
          <w:p w14:paraId="6015C1A8"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2011</w:t>
            </w:r>
          </w:p>
        </w:tc>
        <w:tc>
          <w:tcPr>
            <w:tcW w:w="1928" w:type="dxa"/>
          </w:tcPr>
          <w:p w14:paraId="3DB32BD0"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2012</w:t>
            </w:r>
          </w:p>
        </w:tc>
      </w:tr>
      <w:tr w:rsidR="007771E5" w:rsidRPr="00582EF5" w14:paraId="0575A28A" w14:textId="77777777" w:rsidTr="703AEB20">
        <w:tc>
          <w:tcPr>
            <w:tcW w:w="4706" w:type="dxa"/>
          </w:tcPr>
          <w:p w14:paraId="50803260" w14:textId="77777777" w:rsidR="007771E5" w:rsidRPr="00582EF5" w:rsidRDefault="007771E5" w:rsidP="00180B52">
            <w:pPr>
              <w:pStyle w:val="TableText"/>
              <w:spacing w:before="40" w:after="40"/>
              <w:rPr>
                <w:rFonts w:eastAsiaTheme="minorHAnsi"/>
                <w:lang w:eastAsia="en-US"/>
              </w:rPr>
            </w:pPr>
            <w:r w:rsidRPr="00582EF5">
              <w:rPr>
                <w:rFonts w:eastAsiaTheme="minorHAnsi"/>
                <w:lang w:eastAsia="en-US"/>
              </w:rPr>
              <w:t>Hexabromocyclododecane (HBCD)</w:t>
            </w:r>
          </w:p>
        </w:tc>
        <w:tc>
          <w:tcPr>
            <w:tcW w:w="1871" w:type="dxa"/>
          </w:tcPr>
          <w:p w14:paraId="61195C72"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2013</w:t>
            </w:r>
          </w:p>
        </w:tc>
        <w:tc>
          <w:tcPr>
            <w:tcW w:w="1928" w:type="dxa"/>
          </w:tcPr>
          <w:p w14:paraId="24FC7DDF"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2016</w:t>
            </w:r>
          </w:p>
        </w:tc>
      </w:tr>
      <w:tr w:rsidR="007771E5" w:rsidRPr="00582EF5" w14:paraId="1DBAEB09" w14:textId="77777777" w:rsidTr="703AEB20">
        <w:tc>
          <w:tcPr>
            <w:tcW w:w="4706" w:type="dxa"/>
          </w:tcPr>
          <w:p w14:paraId="0CE94966" w14:textId="2AA0A48C" w:rsidR="007771E5" w:rsidRPr="00582EF5" w:rsidRDefault="007771E5" w:rsidP="00180B52">
            <w:pPr>
              <w:pStyle w:val="TableText"/>
              <w:spacing w:before="40" w:after="40"/>
              <w:rPr>
                <w:rFonts w:eastAsiaTheme="minorHAnsi"/>
                <w:lang w:eastAsia="en-US"/>
              </w:rPr>
            </w:pPr>
            <w:r w:rsidRPr="00582EF5">
              <w:rPr>
                <w:rFonts w:eastAsiaTheme="minorHAnsi"/>
                <w:lang w:eastAsia="en-US"/>
              </w:rPr>
              <w:t>Hexachlorobutadiene</w:t>
            </w:r>
            <w:r w:rsidR="00FF4E6F" w:rsidRPr="00582EF5">
              <w:rPr>
                <w:rFonts w:eastAsiaTheme="minorHAnsi"/>
                <w:lang w:eastAsia="en-US"/>
              </w:rPr>
              <w:t xml:space="preserve"> (HCBD)</w:t>
            </w:r>
          </w:p>
        </w:tc>
        <w:tc>
          <w:tcPr>
            <w:tcW w:w="1871" w:type="dxa"/>
          </w:tcPr>
          <w:p w14:paraId="6CB1898C"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2015</w:t>
            </w:r>
          </w:p>
        </w:tc>
        <w:tc>
          <w:tcPr>
            <w:tcW w:w="1928" w:type="dxa"/>
          </w:tcPr>
          <w:p w14:paraId="71F6A23D"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2016</w:t>
            </w:r>
          </w:p>
        </w:tc>
      </w:tr>
      <w:tr w:rsidR="007771E5" w:rsidRPr="00582EF5" w14:paraId="29A8A6A1" w14:textId="77777777" w:rsidTr="703AEB20">
        <w:tc>
          <w:tcPr>
            <w:tcW w:w="4706" w:type="dxa"/>
          </w:tcPr>
          <w:p w14:paraId="26D768E6" w14:textId="3BBEF525" w:rsidR="007771E5" w:rsidRPr="00582EF5" w:rsidRDefault="007771E5" w:rsidP="00180B52">
            <w:pPr>
              <w:pStyle w:val="TableText"/>
              <w:spacing w:before="40" w:after="40"/>
              <w:rPr>
                <w:rFonts w:eastAsiaTheme="minorHAnsi"/>
                <w:lang w:eastAsia="en-US"/>
              </w:rPr>
            </w:pPr>
            <w:r w:rsidRPr="00582EF5">
              <w:rPr>
                <w:rFonts w:eastAsiaTheme="minorHAnsi"/>
                <w:lang w:eastAsia="en-US"/>
              </w:rPr>
              <w:t xml:space="preserve">Pentachlorophenol </w:t>
            </w:r>
            <w:r w:rsidR="00585D70" w:rsidRPr="00582EF5">
              <w:rPr>
                <w:rFonts w:eastAsiaTheme="minorHAnsi"/>
                <w:lang w:eastAsia="en-US"/>
              </w:rPr>
              <w:t xml:space="preserve">(PCP) </w:t>
            </w:r>
            <w:r w:rsidRPr="00582EF5">
              <w:rPr>
                <w:rFonts w:eastAsiaTheme="minorHAnsi"/>
                <w:lang w:eastAsia="en-US"/>
              </w:rPr>
              <w:t xml:space="preserve">and its salts and esters </w:t>
            </w:r>
          </w:p>
        </w:tc>
        <w:tc>
          <w:tcPr>
            <w:tcW w:w="1871" w:type="dxa"/>
          </w:tcPr>
          <w:p w14:paraId="30E014F9"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2015</w:t>
            </w:r>
          </w:p>
        </w:tc>
        <w:tc>
          <w:tcPr>
            <w:tcW w:w="1928" w:type="dxa"/>
          </w:tcPr>
          <w:p w14:paraId="1F9170FF"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2016</w:t>
            </w:r>
          </w:p>
        </w:tc>
      </w:tr>
      <w:tr w:rsidR="007771E5" w:rsidRPr="00582EF5" w14:paraId="560849FF" w14:textId="77777777" w:rsidTr="703AEB20">
        <w:tc>
          <w:tcPr>
            <w:tcW w:w="4706" w:type="dxa"/>
          </w:tcPr>
          <w:p w14:paraId="460D269C" w14:textId="77777777" w:rsidR="007771E5" w:rsidRPr="00582EF5" w:rsidRDefault="007771E5" w:rsidP="00180B52">
            <w:pPr>
              <w:pStyle w:val="TableText"/>
              <w:spacing w:before="40" w:after="40"/>
              <w:rPr>
                <w:rFonts w:eastAsiaTheme="minorHAnsi"/>
                <w:lang w:eastAsia="en-US"/>
              </w:rPr>
            </w:pPr>
            <w:r w:rsidRPr="00582EF5">
              <w:rPr>
                <w:rFonts w:eastAsiaTheme="minorHAnsi"/>
                <w:lang w:eastAsia="en-US"/>
              </w:rPr>
              <w:t xml:space="preserve">Polychlorinated </w:t>
            </w:r>
            <w:proofErr w:type="spellStart"/>
            <w:r w:rsidRPr="00582EF5">
              <w:rPr>
                <w:rFonts w:eastAsiaTheme="minorHAnsi"/>
                <w:lang w:eastAsia="en-US"/>
              </w:rPr>
              <w:t>naphthalenes</w:t>
            </w:r>
            <w:proofErr w:type="spellEnd"/>
            <w:r w:rsidRPr="00582EF5">
              <w:rPr>
                <w:rFonts w:eastAsiaTheme="minorHAnsi"/>
                <w:lang w:eastAsia="en-US"/>
              </w:rPr>
              <w:t xml:space="preserve"> (PCNs)</w:t>
            </w:r>
          </w:p>
        </w:tc>
        <w:tc>
          <w:tcPr>
            <w:tcW w:w="1871" w:type="dxa"/>
          </w:tcPr>
          <w:p w14:paraId="018F0A63"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2015</w:t>
            </w:r>
          </w:p>
        </w:tc>
        <w:tc>
          <w:tcPr>
            <w:tcW w:w="1928" w:type="dxa"/>
          </w:tcPr>
          <w:p w14:paraId="678E3807"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2016</w:t>
            </w:r>
          </w:p>
        </w:tc>
      </w:tr>
      <w:tr w:rsidR="007771E5" w:rsidRPr="00582EF5" w14:paraId="5766FFEC" w14:textId="77777777" w:rsidTr="703AEB20">
        <w:tc>
          <w:tcPr>
            <w:tcW w:w="4706" w:type="dxa"/>
          </w:tcPr>
          <w:p w14:paraId="170B9EB2" w14:textId="27CF5ECA" w:rsidR="007771E5" w:rsidRPr="00582EF5" w:rsidRDefault="007771E5" w:rsidP="00180B52">
            <w:pPr>
              <w:pStyle w:val="TableText"/>
              <w:spacing w:before="40" w:after="40"/>
              <w:rPr>
                <w:rFonts w:eastAsiaTheme="minorHAnsi"/>
                <w:lang w:eastAsia="en-US"/>
              </w:rPr>
            </w:pPr>
            <w:proofErr w:type="spellStart"/>
            <w:r w:rsidRPr="00582EF5">
              <w:rPr>
                <w:rFonts w:eastAsiaTheme="minorHAnsi"/>
                <w:lang w:eastAsia="en-US"/>
              </w:rPr>
              <w:t>Decabromodiphenyl</w:t>
            </w:r>
            <w:proofErr w:type="spellEnd"/>
            <w:r w:rsidRPr="00582EF5">
              <w:rPr>
                <w:rFonts w:eastAsiaTheme="minorHAnsi"/>
                <w:lang w:eastAsia="en-US"/>
              </w:rPr>
              <w:t xml:space="preserve"> ether</w:t>
            </w:r>
            <w:r w:rsidR="00E6635B" w:rsidRPr="00582EF5">
              <w:rPr>
                <w:rFonts w:eastAsiaTheme="minorHAnsi"/>
                <w:lang w:eastAsia="en-US"/>
              </w:rPr>
              <w:t xml:space="preserve"> (</w:t>
            </w:r>
            <w:proofErr w:type="spellStart"/>
            <w:r w:rsidR="00AC060C" w:rsidRPr="00582EF5">
              <w:rPr>
                <w:rFonts w:eastAsiaTheme="minorHAnsi"/>
                <w:lang w:eastAsia="en-US"/>
              </w:rPr>
              <w:t>d</w:t>
            </w:r>
            <w:r w:rsidR="00E6635B" w:rsidRPr="00582EF5">
              <w:rPr>
                <w:rFonts w:eastAsiaTheme="minorHAnsi"/>
                <w:lang w:eastAsia="en-US"/>
              </w:rPr>
              <w:t>ecaBDE</w:t>
            </w:r>
            <w:proofErr w:type="spellEnd"/>
            <w:r w:rsidR="00E6635B" w:rsidRPr="00582EF5">
              <w:rPr>
                <w:rFonts w:eastAsiaTheme="minorHAnsi"/>
                <w:lang w:eastAsia="en-US"/>
              </w:rPr>
              <w:t>)</w:t>
            </w:r>
            <w:r w:rsidRPr="00582EF5">
              <w:rPr>
                <w:rFonts w:eastAsiaTheme="minorHAnsi"/>
                <w:lang w:eastAsia="en-US"/>
              </w:rPr>
              <w:t xml:space="preserve"> (commercial mixture, c-</w:t>
            </w:r>
            <w:proofErr w:type="spellStart"/>
            <w:r w:rsidR="00E65A06" w:rsidRPr="00582EF5">
              <w:rPr>
                <w:rFonts w:eastAsiaTheme="minorHAnsi"/>
                <w:lang w:eastAsia="en-US"/>
              </w:rPr>
              <w:t>d</w:t>
            </w:r>
            <w:r w:rsidRPr="00582EF5">
              <w:rPr>
                <w:rFonts w:eastAsiaTheme="minorHAnsi"/>
                <w:lang w:eastAsia="en-US"/>
              </w:rPr>
              <w:t>ecaBDE</w:t>
            </w:r>
            <w:proofErr w:type="spellEnd"/>
            <w:r w:rsidRPr="00582EF5">
              <w:rPr>
                <w:rFonts w:eastAsiaTheme="minorHAnsi"/>
                <w:lang w:eastAsia="en-US"/>
              </w:rPr>
              <w:t>)</w:t>
            </w:r>
          </w:p>
        </w:tc>
        <w:tc>
          <w:tcPr>
            <w:tcW w:w="1871" w:type="dxa"/>
          </w:tcPr>
          <w:p w14:paraId="33D3CB16"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2017</w:t>
            </w:r>
          </w:p>
        </w:tc>
        <w:tc>
          <w:tcPr>
            <w:tcW w:w="1928" w:type="dxa"/>
          </w:tcPr>
          <w:p w14:paraId="5F22DC36" w14:textId="19D9C4B0"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2018</w:t>
            </w:r>
          </w:p>
        </w:tc>
      </w:tr>
      <w:tr w:rsidR="007771E5" w:rsidRPr="00582EF5" w14:paraId="288C2BF5" w14:textId="77777777" w:rsidTr="703AEB20">
        <w:tc>
          <w:tcPr>
            <w:tcW w:w="4706" w:type="dxa"/>
          </w:tcPr>
          <w:p w14:paraId="2574E7B0" w14:textId="61868236" w:rsidR="007771E5" w:rsidRPr="00582EF5" w:rsidRDefault="007771E5" w:rsidP="00180B52">
            <w:pPr>
              <w:pStyle w:val="TableText"/>
              <w:spacing w:before="40" w:after="40"/>
              <w:rPr>
                <w:rFonts w:eastAsiaTheme="minorHAnsi"/>
                <w:lang w:eastAsia="en-US"/>
              </w:rPr>
            </w:pPr>
            <w:r w:rsidRPr="00582EF5">
              <w:rPr>
                <w:rFonts w:eastAsiaTheme="minorHAnsi"/>
                <w:lang w:eastAsia="en-US"/>
              </w:rPr>
              <w:t>Short</w:t>
            </w:r>
            <w:r w:rsidR="00854061" w:rsidRPr="00582EF5">
              <w:rPr>
                <w:rFonts w:eastAsiaTheme="minorHAnsi"/>
                <w:lang w:eastAsia="en-US"/>
              </w:rPr>
              <w:t>-chain chlorinated paraffins (SC</w:t>
            </w:r>
            <w:r w:rsidRPr="00582EF5">
              <w:rPr>
                <w:rFonts w:eastAsiaTheme="minorHAnsi"/>
                <w:lang w:eastAsia="en-US"/>
              </w:rPr>
              <w:t>CPs)</w:t>
            </w:r>
          </w:p>
        </w:tc>
        <w:tc>
          <w:tcPr>
            <w:tcW w:w="1871" w:type="dxa"/>
          </w:tcPr>
          <w:p w14:paraId="10E91472" w14:textId="7777777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2017</w:t>
            </w:r>
          </w:p>
        </w:tc>
        <w:tc>
          <w:tcPr>
            <w:tcW w:w="1928" w:type="dxa"/>
          </w:tcPr>
          <w:p w14:paraId="58C21428" w14:textId="04B01C17" w:rsidR="007771E5" w:rsidRPr="00582EF5" w:rsidRDefault="007771E5" w:rsidP="00180B52">
            <w:pPr>
              <w:pStyle w:val="TableText"/>
              <w:spacing w:before="40" w:after="40"/>
              <w:jc w:val="center"/>
              <w:rPr>
                <w:rFonts w:eastAsiaTheme="minorHAnsi"/>
                <w:lang w:eastAsia="en-US"/>
              </w:rPr>
            </w:pPr>
            <w:r w:rsidRPr="00582EF5">
              <w:rPr>
                <w:rFonts w:eastAsiaTheme="minorHAnsi"/>
                <w:lang w:eastAsia="en-US"/>
              </w:rPr>
              <w:t>2018</w:t>
            </w:r>
          </w:p>
        </w:tc>
      </w:tr>
      <w:tr w:rsidR="703AEB20" w14:paraId="2315A9ED" w14:textId="77777777" w:rsidTr="703AEB20">
        <w:tc>
          <w:tcPr>
            <w:tcW w:w="4706" w:type="dxa"/>
          </w:tcPr>
          <w:p w14:paraId="62189AEA" w14:textId="6C593DE7" w:rsidR="04158881" w:rsidRDefault="04158881" w:rsidP="00180B52">
            <w:pPr>
              <w:pStyle w:val="TableText"/>
              <w:rPr>
                <w:lang w:eastAsia="en-US"/>
              </w:rPr>
            </w:pPr>
            <w:r w:rsidRPr="703AEB20">
              <w:rPr>
                <w:lang w:eastAsia="en-US"/>
              </w:rPr>
              <w:t>Dicofol</w:t>
            </w:r>
          </w:p>
        </w:tc>
        <w:tc>
          <w:tcPr>
            <w:tcW w:w="1871" w:type="dxa"/>
          </w:tcPr>
          <w:p w14:paraId="289F3B51" w14:textId="6A86414A" w:rsidR="04158881" w:rsidRDefault="04158881" w:rsidP="00180B52">
            <w:pPr>
              <w:pStyle w:val="TableText"/>
              <w:spacing w:before="40" w:after="40"/>
              <w:jc w:val="center"/>
              <w:rPr>
                <w:lang w:eastAsia="en-US"/>
              </w:rPr>
            </w:pPr>
            <w:r w:rsidRPr="703AEB20">
              <w:rPr>
                <w:lang w:eastAsia="en-US"/>
              </w:rPr>
              <w:t>2019</w:t>
            </w:r>
          </w:p>
        </w:tc>
        <w:tc>
          <w:tcPr>
            <w:tcW w:w="1928" w:type="dxa"/>
          </w:tcPr>
          <w:p w14:paraId="042C778D" w14:textId="36A66DEF" w:rsidR="04158881" w:rsidRDefault="04158881" w:rsidP="00180B52">
            <w:pPr>
              <w:pStyle w:val="TableText"/>
              <w:spacing w:before="40" w:after="40"/>
              <w:jc w:val="center"/>
              <w:rPr>
                <w:lang w:eastAsia="en-US"/>
              </w:rPr>
            </w:pPr>
            <w:r w:rsidRPr="703AEB20">
              <w:rPr>
                <w:lang w:eastAsia="en-US"/>
              </w:rPr>
              <w:t>2020</w:t>
            </w:r>
          </w:p>
        </w:tc>
      </w:tr>
      <w:tr w:rsidR="703AEB20" w14:paraId="35F4706A" w14:textId="77777777" w:rsidTr="703AEB20">
        <w:tc>
          <w:tcPr>
            <w:tcW w:w="4706" w:type="dxa"/>
          </w:tcPr>
          <w:p w14:paraId="7A7D9D44" w14:textId="6751CB78" w:rsidR="04158881" w:rsidRDefault="04158881" w:rsidP="00180B52">
            <w:pPr>
              <w:pStyle w:val="TableText"/>
              <w:rPr>
                <w:lang w:eastAsia="en-US"/>
              </w:rPr>
            </w:pPr>
            <w:r w:rsidRPr="703AEB20">
              <w:rPr>
                <w:lang w:eastAsia="en-US"/>
              </w:rPr>
              <w:t xml:space="preserve">Perfluorooctanoic acid (PFOA), its salts and PFOA-related compounds  </w:t>
            </w:r>
          </w:p>
        </w:tc>
        <w:tc>
          <w:tcPr>
            <w:tcW w:w="1871" w:type="dxa"/>
          </w:tcPr>
          <w:p w14:paraId="740ED6DE" w14:textId="721FD986" w:rsidR="04158881" w:rsidRDefault="04158881" w:rsidP="00180B52">
            <w:pPr>
              <w:pStyle w:val="TableText"/>
              <w:spacing w:before="40" w:after="40"/>
              <w:jc w:val="center"/>
              <w:rPr>
                <w:lang w:eastAsia="en-US"/>
              </w:rPr>
            </w:pPr>
            <w:r w:rsidRPr="703AEB20">
              <w:rPr>
                <w:lang w:eastAsia="en-US"/>
              </w:rPr>
              <w:t>2019</w:t>
            </w:r>
          </w:p>
        </w:tc>
        <w:tc>
          <w:tcPr>
            <w:tcW w:w="1928" w:type="dxa"/>
          </w:tcPr>
          <w:p w14:paraId="53668887" w14:textId="1C43D4CB" w:rsidR="04158881" w:rsidRDefault="04158881" w:rsidP="00180B52">
            <w:pPr>
              <w:pStyle w:val="TableText"/>
              <w:spacing w:before="40" w:after="40"/>
              <w:jc w:val="center"/>
              <w:rPr>
                <w:lang w:eastAsia="en-US"/>
              </w:rPr>
            </w:pPr>
            <w:r w:rsidRPr="703AEB20">
              <w:rPr>
                <w:lang w:eastAsia="en-US"/>
              </w:rPr>
              <w:t>2020</w:t>
            </w:r>
          </w:p>
        </w:tc>
      </w:tr>
    </w:tbl>
    <w:p w14:paraId="3DAA8658" w14:textId="0C786305" w:rsidR="00884A16" w:rsidRPr="00582EF5" w:rsidRDefault="00884A16" w:rsidP="00180B52">
      <w:pPr>
        <w:pStyle w:val="BodyText"/>
        <w:spacing w:before="360"/>
      </w:pPr>
      <w:r w:rsidRPr="00582EF5">
        <w:t xml:space="preserve">Annex B </w:t>
      </w:r>
      <w:r w:rsidR="006F2D24" w:rsidRPr="00582EF5">
        <w:t>o</w:t>
      </w:r>
      <w:r w:rsidR="00321C54" w:rsidRPr="00582EF5">
        <w:t>f</w:t>
      </w:r>
      <w:r w:rsidR="006F2D24" w:rsidRPr="00582EF5">
        <w:t xml:space="preserve"> the Convention </w:t>
      </w:r>
      <w:r w:rsidRPr="00582EF5">
        <w:t>list</w:t>
      </w:r>
      <w:r w:rsidR="00CB09BB" w:rsidRPr="00582EF5">
        <w:t>s</w:t>
      </w:r>
      <w:r w:rsidRPr="00582EF5">
        <w:t xml:space="preserve"> POPs to be restricted to uses contained in the annex (</w:t>
      </w:r>
      <w:r w:rsidR="00066237" w:rsidRPr="00582EF5">
        <w:t>t</w:t>
      </w:r>
      <w:r w:rsidRPr="00582EF5">
        <w:t>able</w:t>
      </w:r>
      <w:r w:rsidR="00E9470C" w:rsidRPr="00582EF5">
        <w:t> </w:t>
      </w:r>
      <w:r w:rsidRPr="00582EF5">
        <w:t>3).</w:t>
      </w:r>
    </w:p>
    <w:p w14:paraId="51F0B0D7" w14:textId="017B75D6" w:rsidR="00884A16" w:rsidRPr="00582EF5" w:rsidRDefault="00884A16" w:rsidP="00180B52">
      <w:pPr>
        <w:pStyle w:val="Tableheading"/>
      </w:pPr>
      <w:bookmarkStart w:id="21" w:name="_Toc531263523"/>
      <w:bookmarkStart w:id="22" w:name="_Toc120532268"/>
      <w:r w:rsidRPr="00582EF5">
        <w:t xml:space="preserve">Table 3: </w:t>
      </w:r>
      <w:r w:rsidR="00E9470C" w:rsidRPr="00582EF5">
        <w:tab/>
      </w:r>
      <w:r w:rsidRPr="00582EF5">
        <w:t>Chemicals listed in Annex B o</w:t>
      </w:r>
      <w:r w:rsidR="00321C54" w:rsidRPr="00582EF5">
        <w:t>f</w:t>
      </w:r>
      <w:r w:rsidRPr="00582EF5">
        <w:t xml:space="preserve"> the Convention</w:t>
      </w:r>
      <w:bookmarkEnd w:id="21"/>
      <w:r w:rsidR="004160C0" w:rsidRPr="00582EF5">
        <w:t xml:space="preserve"> – restricted use</w:t>
      </w:r>
      <w:bookmarkEnd w:id="22"/>
    </w:p>
    <w:tbl>
      <w:tblPr>
        <w:tblW w:w="8522" w:type="dxa"/>
        <w:tblBorders>
          <w:top w:val="single" w:sz="4" w:space="0" w:color="1C556C"/>
          <w:bottom w:val="single" w:sz="4" w:space="0" w:color="1C556C"/>
          <w:insideH w:val="single" w:sz="4" w:space="0" w:color="1C556C"/>
          <w:insideV w:val="single" w:sz="4" w:space="0" w:color="1C556C"/>
        </w:tblBorders>
        <w:tblLayout w:type="fixed"/>
        <w:tblLook w:val="04A0" w:firstRow="1" w:lastRow="0" w:firstColumn="1" w:lastColumn="0" w:noHBand="0" w:noVBand="1"/>
      </w:tblPr>
      <w:tblGrid>
        <w:gridCol w:w="4714"/>
        <w:gridCol w:w="1875"/>
        <w:gridCol w:w="1933"/>
      </w:tblGrid>
      <w:tr w:rsidR="00266D8D" w:rsidRPr="00582EF5" w14:paraId="2DF8FBB0" w14:textId="77777777" w:rsidTr="45D47978">
        <w:tc>
          <w:tcPr>
            <w:tcW w:w="4703" w:type="dxa"/>
            <w:shd w:val="clear" w:color="auto" w:fill="1C556C" w:themeFill="accent1"/>
            <w:vAlign w:val="bottom"/>
          </w:tcPr>
          <w:p w14:paraId="2D925801" w14:textId="77777777" w:rsidR="00884A16" w:rsidRPr="00582EF5" w:rsidRDefault="00884A16" w:rsidP="00180B52">
            <w:pPr>
              <w:pStyle w:val="TableTextbold"/>
              <w:rPr>
                <w:rFonts w:eastAsiaTheme="minorHAnsi"/>
                <w:color w:val="FFFFFF" w:themeColor="background1"/>
                <w:lang w:eastAsia="en-US"/>
              </w:rPr>
            </w:pPr>
            <w:r w:rsidRPr="00582EF5">
              <w:rPr>
                <w:rFonts w:eastAsiaTheme="minorHAnsi"/>
                <w:color w:val="FFFFFF" w:themeColor="background1"/>
                <w:lang w:eastAsia="en-US"/>
              </w:rPr>
              <w:t>Chemical</w:t>
            </w:r>
          </w:p>
        </w:tc>
        <w:tc>
          <w:tcPr>
            <w:tcW w:w="1871" w:type="dxa"/>
            <w:shd w:val="clear" w:color="auto" w:fill="1C556C" w:themeFill="accent1"/>
            <w:vAlign w:val="bottom"/>
          </w:tcPr>
          <w:p w14:paraId="6246DB6E" w14:textId="77777777" w:rsidR="00884A16" w:rsidRPr="00582EF5" w:rsidRDefault="00884A16" w:rsidP="00180B52">
            <w:pPr>
              <w:pStyle w:val="TableTextbold"/>
              <w:jc w:val="center"/>
              <w:rPr>
                <w:rFonts w:eastAsiaTheme="minorHAnsi"/>
                <w:color w:val="FFFFFF" w:themeColor="background1"/>
                <w:lang w:eastAsia="en-US"/>
              </w:rPr>
            </w:pPr>
            <w:r w:rsidRPr="00582EF5">
              <w:rPr>
                <w:rFonts w:eastAsiaTheme="minorHAnsi"/>
                <w:color w:val="FFFFFF" w:themeColor="background1"/>
                <w:lang w:eastAsia="en-US"/>
              </w:rPr>
              <w:t>Year listed under Stockholm</w:t>
            </w:r>
          </w:p>
        </w:tc>
        <w:tc>
          <w:tcPr>
            <w:tcW w:w="1928" w:type="dxa"/>
            <w:shd w:val="clear" w:color="auto" w:fill="1C556C" w:themeFill="accent1"/>
            <w:vAlign w:val="bottom"/>
          </w:tcPr>
          <w:p w14:paraId="535CE639" w14:textId="77777777" w:rsidR="00884A16" w:rsidRPr="00582EF5" w:rsidRDefault="00884A16" w:rsidP="00180B52">
            <w:pPr>
              <w:pStyle w:val="TableTextbold"/>
              <w:jc w:val="center"/>
              <w:rPr>
                <w:rFonts w:eastAsiaTheme="minorHAnsi"/>
                <w:color w:val="FFFFFF" w:themeColor="background1"/>
                <w:lang w:eastAsia="en-US"/>
              </w:rPr>
            </w:pPr>
            <w:r w:rsidRPr="00582EF5">
              <w:rPr>
                <w:rFonts w:eastAsiaTheme="minorHAnsi"/>
                <w:color w:val="FFFFFF" w:themeColor="background1"/>
                <w:lang w:eastAsia="en-US"/>
              </w:rPr>
              <w:t>Date entered into force for New Zealand</w:t>
            </w:r>
          </w:p>
        </w:tc>
      </w:tr>
      <w:tr w:rsidR="00884A16" w:rsidRPr="00582EF5" w14:paraId="324F4A2A" w14:textId="77777777" w:rsidTr="00486EB3">
        <w:tc>
          <w:tcPr>
            <w:tcW w:w="4703" w:type="dxa"/>
          </w:tcPr>
          <w:p w14:paraId="43DC66C1" w14:textId="388513ED" w:rsidR="00884A16" w:rsidRPr="00582EF5" w:rsidRDefault="00884A16" w:rsidP="00970E8D">
            <w:pPr>
              <w:pStyle w:val="TableText"/>
              <w:spacing w:before="40" w:after="40"/>
              <w:rPr>
                <w:lang w:eastAsia="en-US"/>
              </w:rPr>
            </w:pPr>
            <w:r w:rsidRPr="45D47978">
              <w:rPr>
                <w:lang w:eastAsia="en-US"/>
              </w:rPr>
              <w:t>1,1,1-trichloro-2, 2-bis (4-chlorophenyl</w:t>
            </w:r>
            <w:r w:rsidR="007E407E" w:rsidRPr="45D47978">
              <w:rPr>
                <w:lang w:eastAsia="en-US"/>
              </w:rPr>
              <w:t>)</w:t>
            </w:r>
            <w:r w:rsidRPr="45D47978">
              <w:rPr>
                <w:lang w:eastAsia="en-US"/>
              </w:rPr>
              <w:t xml:space="preserve"> ethane</w:t>
            </w:r>
            <w:r w:rsidR="007E407E" w:rsidRPr="45D47978">
              <w:rPr>
                <w:lang w:eastAsia="en-US"/>
              </w:rPr>
              <w:t xml:space="preserve"> (DDT)</w:t>
            </w:r>
          </w:p>
        </w:tc>
        <w:tc>
          <w:tcPr>
            <w:tcW w:w="1871" w:type="dxa"/>
          </w:tcPr>
          <w:p w14:paraId="795ECF74" w14:textId="77777777" w:rsidR="00884A16" w:rsidRPr="00582EF5" w:rsidRDefault="00884A16" w:rsidP="00970E8D">
            <w:pPr>
              <w:pStyle w:val="TableText"/>
              <w:spacing w:before="40" w:after="40"/>
              <w:jc w:val="center"/>
              <w:rPr>
                <w:rFonts w:eastAsiaTheme="minorHAnsi"/>
                <w:lang w:eastAsia="en-US"/>
              </w:rPr>
            </w:pPr>
            <w:r w:rsidRPr="00582EF5">
              <w:rPr>
                <w:rFonts w:eastAsiaTheme="minorHAnsi"/>
                <w:lang w:eastAsia="en-US"/>
              </w:rPr>
              <w:t>2001</w:t>
            </w:r>
          </w:p>
        </w:tc>
        <w:tc>
          <w:tcPr>
            <w:tcW w:w="1928" w:type="dxa"/>
          </w:tcPr>
          <w:p w14:paraId="45499112" w14:textId="77777777" w:rsidR="00884A16" w:rsidRPr="00582EF5" w:rsidRDefault="00884A16" w:rsidP="00970E8D">
            <w:pPr>
              <w:pStyle w:val="TableText"/>
              <w:spacing w:before="40" w:after="40"/>
              <w:jc w:val="center"/>
              <w:rPr>
                <w:rFonts w:eastAsiaTheme="minorHAnsi"/>
                <w:lang w:eastAsia="en-US"/>
              </w:rPr>
            </w:pPr>
            <w:r w:rsidRPr="00582EF5">
              <w:rPr>
                <w:rFonts w:eastAsiaTheme="minorHAnsi"/>
                <w:lang w:eastAsia="en-US"/>
              </w:rPr>
              <w:t>2004</w:t>
            </w:r>
          </w:p>
        </w:tc>
      </w:tr>
      <w:tr w:rsidR="00884A16" w:rsidRPr="00582EF5" w14:paraId="5474A08B" w14:textId="77777777" w:rsidTr="00486EB3">
        <w:tc>
          <w:tcPr>
            <w:tcW w:w="4703" w:type="dxa"/>
          </w:tcPr>
          <w:p w14:paraId="26DCF2F1" w14:textId="645A31E7" w:rsidR="00884A16" w:rsidRPr="00582EF5" w:rsidRDefault="00884A16" w:rsidP="00970E8D">
            <w:pPr>
              <w:pStyle w:val="TableText"/>
              <w:spacing w:before="40" w:after="40"/>
              <w:rPr>
                <w:rFonts w:eastAsiaTheme="minorHAnsi"/>
                <w:lang w:eastAsia="en-US"/>
              </w:rPr>
            </w:pPr>
            <w:proofErr w:type="spellStart"/>
            <w:r w:rsidRPr="00582EF5">
              <w:rPr>
                <w:rFonts w:eastAsiaTheme="minorHAnsi"/>
                <w:lang w:eastAsia="en-US"/>
              </w:rPr>
              <w:t>Perfluorooctane</w:t>
            </w:r>
            <w:proofErr w:type="spellEnd"/>
            <w:r w:rsidRPr="00582EF5">
              <w:rPr>
                <w:rFonts w:eastAsiaTheme="minorHAnsi"/>
                <w:lang w:eastAsia="en-US"/>
              </w:rPr>
              <w:t xml:space="preserve"> sulfonic acid (PFOS), its salts and </w:t>
            </w:r>
            <w:proofErr w:type="spellStart"/>
            <w:r w:rsidR="00CB09BB" w:rsidRPr="00582EF5">
              <w:rPr>
                <w:rFonts w:eastAsiaTheme="minorHAnsi"/>
                <w:lang w:eastAsia="en-US"/>
              </w:rPr>
              <w:t>p</w:t>
            </w:r>
            <w:r w:rsidRPr="00582EF5">
              <w:rPr>
                <w:rFonts w:eastAsiaTheme="minorHAnsi"/>
                <w:lang w:eastAsia="en-US"/>
              </w:rPr>
              <w:t>erfluor</w:t>
            </w:r>
            <w:r w:rsidR="00392D44" w:rsidRPr="00582EF5">
              <w:rPr>
                <w:rFonts w:eastAsiaTheme="minorHAnsi"/>
                <w:lang w:eastAsia="en-US"/>
              </w:rPr>
              <w:t>o</w:t>
            </w:r>
            <w:r w:rsidRPr="00582EF5">
              <w:rPr>
                <w:rFonts w:eastAsiaTheme="minorHAnsi"/>
                <w:lang w:eastAsia="en-US"/>
              </w:rPr>
              <w:t>octane</w:t>
            </w:r>
            <w:proofErr w:type="spellEnd"/>
            <w:r w:rsidRPr="00582EF5">
              <w:rPr>
                <w:rFonts w:eastAsiaTheme="minorHAnsi"/>
                <w:lang w:eastAsia="en-US"/>
              </w:rPr>
              <w:t xml:space="preserve"> sulfonyl fluoride (PFOS-F)</w:t>
            </w:r>
          </w:p>
        </w:tc>
        <w:tc>
          <w:tcPr>
            <w:tcW w:w="1871" w:type="dxa"/>
          </w:tcPr>
          <w:p w14:paraId="0560DE8C" w14:textId="77777777" w:rsidR="00884A16" w:rsidRPr="00582EF5" w:rsidRDefault="00884A16" w:rsidP="00970E8D">
            <w:pPr>
              <w:pStyle w:val="TableText"/>
              <w:spacing w:before="40" w:after="40"/>
              <w:jc w:val="center"/>
              <w:rPr>
                <w:rFonts w:eastAsiaTheme="minorHAnsi"/>
                <w:lang w:eastAsia="en-US"/>
              </w:rPr>
            </w:pPr>
            <w:r w:rsidRPr="00582EF5">
              <w:rPr>
                <w:rFonts w:eastAsiaTheme="minorHAnsi"/>
                <w:lang w:eastAsia="en-US"/>
              </w:rPr>
              <w:t>2009</w:t>
            </w:r>
          </w:p>
        </w:tc>
        <w:tc>
          <w:tcPr>
            <w:tcW w:w="1928" w:type="dxa"/>
          </w:tcPr>
          <w:p w14:paraId="70464FE9" w14:textId="77777777" w:rsidR="00884A16" w:rsidRPr="00582EF5" w:rsidRDefault="00884A16" w:rsidP="00970E8D">
            <w:pPr>
              <w:pStyle w:val="TableText"/>
              <w:spacing w:before="40" w:after="40"/>
              <w:jc w:val="center"/>
              <w:rPr>
                <w:rFonts w:eastAsiaTheme="minorHAnsi"/>
                <w:lang w:eastAsia="en-US"/>
              </w:rPr>
            </w:pPr>
            <w:r w:rsidRPr="00582EF5">
              <w:rPr>
                <w:rFonts w:eastAsiaTheme="minorHAnsi"/>
                <w:lang w:eastAsia="en-US"/>
              </w:rPr>
              <w:t>2016</w:t>
            </w:r>
          </w:p>
        </w:tc>
      </w:tr>
    </w:tbl>
    <w:p w14:paraId="7870E6AD" w14:textId="7ACCCD14" w:rsidR="007771E5" w:rsidRPr="00582EF5" w:rsidRDefault="007771E5" w:rsidP="00970E8D">
      <w:pPr>
        <w:pStyle w:val="BodyText"/>
        <w:keepNext/>
        <w:spacing w:before="240"/>
      </w:pPr>
      <w:r w:rsidRPr="00582EF5">
        <w:lastRenderedPageBreak/>
        <w:t xml:space="preserve">Annex C </w:t>
      </w:r>
      <w:r w:rsidR="00CB09BB" w:rsidRPr="00582EF5">
        <w:t>o</w:t>
      </w:r>
      <w:r w:rsidR="00321C54" w:rsidRPr="00582EF5">
        <w:t>f</w:t>
      </w:r>
      <w:r w:rsidR="00CB09BB" w:rsidRPr="00582EF5">
        <w:t xml:space="preserve"> the Convention </w:t>
      </w:r>
      <w:r w:rsidRPr="00582EF5">
        <w:t>lists POPs produced and released as unintentional by-products of specific processes (</w:t>
      </w:r>
      <w:r w:rsidR="00CB09BB" w:rsidRPr="00582EF5">
        <w:t>t</w:t>
      </w:r>
      <w:r w:rsidR="007F4069" w:rsidRPr="00582EF5">
        <w:t>able 4</w:t>
      </w:r>
      <w:r w:rsidRPr="00582EF5">
        <w:t>). The obligation is to take measures to avoid the unintentional production and release of the listed POPs.</w:t>
      </w:r>
    </w:p>
    <w:p w14:paraId="1E4E73A2" w14:textId="060BDC87" w:rsidR="007771E5" w:rsidRPr="00582EF5" w:rsidRDefault="007771E5" w:rsidP="00970E8D">
      <w:pPr>
        <w:pStyle w:val="Tableheading"/>
      </w:pPr>
      <w:bookmarkStart w:id="23" w:name="_Toc120532269"/>
      <w:r w:rsidRPr="00582EF5">
        <w:t xml:space="preserve">Table </w:t>
      </w:r>
      <w:r w:rsidR="007F4069" w:rsidRPr="00582EF5">
        <w:t>4</w:t>
      </w:r>
      <w:r w:rsidRPr="00582EF5">
        <w:t xml:space="preserve">: </w:t>
      </w:r>
      <w:r w:rsidR="006A76A3" w:rsidRPr="00582EF5">
        <w:tab/>
      </w:r>
      <w:r w:rsidRPr="00582EF5">
        <w:t>Chemicals listed in Annex C o</w:t>
      </w:r>
      <w:r w:rsidR="00321C54" w:rsidRPr="00582EF5">
        <w:t>f</w:t>
      </w:r>
      <w:r w:rsidRPr="00582EF5">
        <w:t xml:space="preserve"> the Convention</w:t>
      </w:r>
      <w:r w:rsidR="00D03B4E">
        <w:t xml:space="preserve"> – avoid unintentional production and release</w:t>
      </w:r>
      <w:bookmarkEnd w:id="23"/>
    </w:p>
    <w:tbl>
      <w:tblPr>
        <w:tblW w:w="8518" w:type="dxa"/>
        <w:tblBorders>
          <w:top w:val="single" w:sz="4" w:space="0" w:color="1C556C"/>
          <w:bottom w:val="single" w:sz="4" w:space="0" w:color="1C556C"/>
          <w:insideH w:val="single" w:sz="4" w:space="0" w:color="1C556C"/>
          <w:insideV w:val="single" w:sz="4" w:space="0" w:color="1C556C"/>
        </w:tblBorders>
        <w:tblLayout w:type="fixed"/>
        <w:tblLook w:val="04A0" w:firstRow="1" w:lastRow="0" w:firstColumn="1" w:lastColumn="0" w:noHBand="0" w:noVBand="1"/>
      </w:tblPr>
      <w:tblGrid>
        <w:gridCol w:w="4713"/>
        <w:gridCol w:w="1874"/>
        <w:gridCol w:w="1931"/>
      </w:tblGrid>
      <w:tr w:rsidR="006A76A3" w:rsidRPr="00582EF5" w14:paraId="01D5B5DC" w14:textId="77777777" w:rsidTr="00486EB3">
        <w:trPr>
          <w:tblHeader/>
        </w:trPr>
        <w:tc>
          <w:tcPr>
            <w:tcW w:w="4706" w:type="dxa"/>
            <w:shd w:val="clear" w:color="auto" w:fill="1C556C"/>
            <w:vAlign w:val="bottom"/>
          </w:tcPr>
          <w:p w14:paraId="42B6E033" w14:textId="77777777" w:rsidR="007771E5" w:rsidRPr="00582EF5" w:rsidRDefault="007771E5" w:rsidP="00970E8D">
            <w:pPr>
              <w:pStyle w:val="TableTextbold"/>
              <w:rPr>
                <w:rFonts w:eastAsiaTheme="minorHAnsi"/>
                <w:color w:val="FFFFFF" w:themeColor="background1"/>
                <w:lang w:eastAsia="en-US"/>
              </w:rPr>
            </w:pPr>
            <w:r w:rsidRPr="00582EF5">
              <w:rPr>
                <w:rFonts w:eastAsiaTheme="minorHAnsi"/>
                <w:color w:val="FFFFFF" w:themeColor="background1"/>
                <w:lang w:eastAsia="en-US"/>
              </w:rPr>
              <w:t>Chemical</w:t>
            </w:r>
          </w:p>
        </w:tc>
        <w:tc>
          <w:tcPr>
            <w:tcW w:w="1871" w:type="dxa"/>
            <w:shd w:val="clear" w:color="auto" w:fill="1C556C"/>
            <w:vAlign w:val="bottom"/>
          </w:tcPr>
          <w:p w14:paraId="7CC3CFE7" w14:textId="77777777" w:rsidR="007771E5" w:rsidRPr="00582EF5" w:rsidRDefault="007771E5" w:rsidP="00970E8D">
            <w:pPr>
              <w:pStyle w:val="TableTextbold"/>
              <w:jc w:val="center"/>
              <w:rPr>
                <w:rFonts w:eastAsiaTheme="minorHAnsi"/>
                <w:color w:val="FFFFFF" w:themeColor="background1"/>
                <w:lang w:eastAsia="en-US"/>
              </w:rPr>
            </w:pPr>
            <w:r w:rsidRPr="00582EF5">
              <w:rPr>
                <w:rFonts w:eastAsiaTheme="minorHAnsi"/>
                <w:color w:val="FFFFFF" w:themeColor="background1"/>
                <w:lang w:eastAsia="en-US"/>
              </w:rPr>
              <w:t>Year listed under Stockholm</w:t>
            </w:r>
          </w:p>
        </w:tc>
        <w:tc>
          <w:tcPr>
            <w:tcW w:w="1928" w:type="dxa"/>
            <w:shd w:val="clear" w:color="auto" w:fill="1C556C"/>
            <w:vAlign w:val="bottom"/>
          </w:tcPr>
          <w:p w14:paraId="7F0BC6C7" w14:textId="77777777" w:rsidR="007771E5" w:rsidRPr="00582EF5" w:rsidRDefault="007771E5" w:rsidP="00970E8D">
            <w:pPr>
              <w:pStyle w:val="TableTextbold"/>
              <w:jc w:val="center"/>
              <w:rPr>
                <w:rFonts w:eastAsiaTheme="minorHAnsi"/>
                <w:color w:val="FFFFFF" w:themeColor="background1"/>
                <w:lang w:eastAsia="en-US"/>
              </w:rPr>
            </w:pPr>
            <w:r w:rsidRPr="00582EF5">
              <w:rPr>
                <w:rFonts w:eastAsiaTheme="minorHAnsi"/>
                <w:color w:val="FFFFFF" w:themeColor="background1"/>
                <w:lang w:eastAsia="en-US"/>
              </w:rPr>
              <w:t>Date entered into force for New Zealand</w:t>
            </w:r>
          </w:p>
        </w:tc>
      </w:tr>
      <w:tr w:rsidR="007771E5" w:rsidRPr="00582EF5" w14:paraId="3133C15B" w14:textId="77777777" w:rsidTr="00486EB3">
        <w:tc>
          <w:tcPr>
            <w:tcW w:w="4706" w:type="dxa"/>
          </w:tcPr>
          <w:p w14:paraId="7EAE6C3F" w14:textId="77777777" w:rsidR="007771E5" w:rsidRPr="00582EF5" w:rsidRDefault="007771E5" w:rsidP="00970E8D">
            <w:pPr>
              <w:pStyle w:val="TableText"/>
              <w:spacing w:before="40" w:after="40"/>
              <w:rPr>
                <w:rFonts w:eastAsiaTheme="minorHAnsi"/>
                <w:lang w:eastAsia="en-US"/>
              </w:rPr>
            </w:pPr>
            <w:r w:rsidRPr="00582EF5">
              <w:rPr>
                <w:rFonts w:eastAsiaTheme="minorHAnsi"/>
                <w:lang w:eastAsia="en-US"/>
              </w:rPr>
              <w:t>Hexachlorobenzene (HCB)</w:t>
            </w:r>
          </w:p>
        </w:tc>
        <w:tc>
          <w:tcPr>
            <w:tcW w:w="1871" w:type="dxa"/>
          </w:tcPr>
          <w:p w14:paraId="047B96FE" w14:textId="77777777" w:rsidR="007771E5" w:rsidRPr="00582EF5" w:rsidRDefault="007771E5" w:rsidP="00970E8D">
            <w:pPr>
              <w:pStyle w:val="TableText"/>
              <w:spacing w:before="40" w:after="40"/>
              <w:jc w:val="center"/>
              <w:rPr>
                <w:rFonts w:eastAsiaTheme="minorHAnsi"/>
                <w:lang w:eastAsia="en-US"/>
              </w:rPr>
            </w:pPr>
            <w:r w:rsidRPr="00582EF5">
              <w:rPr>
                <w:rFonts w:eastAsiaTheme="minorHAnsi"/>
                <w:lang w:eastAsia="en-US"/>
              </w:rPr>
              <w:t>2001</w:t>
            </w:r>
          </w:p>
        </w:tc>
        <w:tc>
          <w:tcPr>
            <w:tcW w:w="1928" w:type="dxa"/>
          </w:tcPr>
          <w:p w14:paraId="145C3A42" w14:textId="77777777" w:rsidR="007771E5" w:rsidRPr="00582EF5" w:rsidRDefault="007771E5" w:rsidP="00970E8D">
            <w:pPr>
              <w:pStyle w:val="TableText"/>
              <w:spacing w:before="40" w:after="40"/>
              <w:jc w:val="center"/>
              <w:rPr>
                <w:rFonts w:eastAsiaTheme="minorHAnsi"/>
                <w:lang w:eastAsia="en-US"/>
              </w:rPr>
            </w:pPr>
            <w:r w:rsidRPr="00582EF5">
              <w:rPr>
                <w:rFonts w:eastAsiaTheme="minorHAnsi"/>
                <w:lang w:eastAsia="en-US"/>
              </w:rPr>
              <w:t>2004</w:t>
            </w:r>
          </w:p>
        </w:tc>
      </w:tr>
      <w:tr w:rsidR="007771E5" w:rsidRPr="00582EF5" w14:paraId="1F9BB11D" w14:textId="77777777" w:rsidTr="00486EB3">
        <w:tc>
          <w:tcPr>
            <w:tcW w:w="4706" w:type="dxa"/>
          </w:tcPr>
          <w:p w14:paraId="298D8F8F" w14:textId="1893682A" w:rsidR="007771E5" w:rsidRPr="00582EF5" w:rsidRDefault="007771E5" w:rsidP="00970E8D">
            <w:pPr>
              <w:pStyle w:val="TableText"/>
              <w:spacing w:before="40" w:after="40"/>
              <w:rPr>
                <w:rFonts w:eastAsiaTheme="minorHAnsi"/>
                <w:lang w:eastAsia="en-US"/>
              </w:rPr>
            </w:pPr>
            <w:r w:rsidRPr="00582EF5">
              <w:rPr>
                <w:rFonts w:eastAsiaTheme="minorHAnsi"/>
                <w:lang w:eastAsia="en-US"/>
              </w:rPr>
              <w:t>Polychlorinated bip</w:t>
            </w:r>
            <w:r w:rsidR="008A67D3" w:rsidRPr="00582EF5">
              <w:rPr>
                <w:rFonts w:eastAsiaTheme="minorHAnsi"/>
                <w:lang w:eastAsia="en-US"/>
              </w:rPr>
              <w:t>h</w:t>
            </w:r>
            <w:r w:rsidRPr="00582EF5">
              <w:rPr>
                <w:rFonts w:eastAsiaTheme="minorHAnsi"/>
                <w:lang w:eastAsia="en-US"/>
              </w:rPr>
              <w:t>enyls (PCB</w:t>
            </w:r>
            <w:r w:rsidR="008A67D3" w:rsidRPr="00582EF5">
              <w:rPr>
                <w:rFonts w:eastAsiaTheme="minorHAnsi"/>
                <w:lang w:eastAsia="en-US"/>
              </w:rPr>
              <w:t>s</w:t>
            </w:r>
            <w:r w:rsidRPr="00582EF5">
              <w:rPr>
                <w:rFonts w:eastAsiaTheme="minorHAnsi"/>
                <w:lang w:eastAsia="en-US"/>
              </w:rPr>
              <w:t>)</w:t>
            </w:r>
          </w:p>
        </w:tc>
        <w:tc>
          <w:tcPr>
            <w:tcW w:w="1871" w:type="dxa"/>
          </w:tcPr>
          <w:p w14:paraId="36C93013" w14:textId="77777777" w:rsidR="007771E5" w:rsidRPr="00582EF5" w:rsidRDefault="007771E5" w:rsidP="00970E8D">
            <w:pPr>
              <w:pStyle w:val="TableText"/>
              <w:spacing w:before="40" w:after="40"/>
              <w:jc w:val="center"/>
              <w:rPr>
                <w:rFonts w:eastAsiaTheme="minorHAnsi"/>
                <w:lang w:eastAsia="en-US"/>
              </w:rPr>
            </w:pPr>
            <w:r w:rsidRPr="00582EF5">
              <w:rPr>
                <w:rFonts w:eastAsiaTheme="minorHAnsi"/>
                <w:lang w:eastAsia="en-US"/>
              </w:rPr>
              <w:t>2001</w:t>
            </w:r>
          </w:p>
        </w:tc>
        <w:tc>
          <w:tcPr>
            <w:tcW w:w="1928" w:type="dxa"/>
          </w:tcPr>
          <w:p w14:paraId="5F461B8C" w14:textId="77777777" w:rsidR="007771E5" w:rsidRPr="00582EF5" w:rsidRDefault="007771E5" w:rsidP="00970E8D">
            <w:pPr>
              <w:pStyle w:val="TableText"/>
              <w:spacing w:before="40" w:after="40"/>
              <w:jc w:val="center"/>
              <w:rPr>
                <w:rFonts w:eastAsiaTheme="minorHAnsi"/>
                <w:lang w:eastAsia="en-US"/>
              </w:rPr>
            </w:pPr>
            <w:r w:rsidRPr="00582EF5">
              <w:rPr>
                <w:rFonts w:eastAsiaTheme="minorHAnsi"/>
                <w:lang w:eastAsia="en-US"/>
              </w:rPr>
              <w:t>2004</w:t>
            </w:r>
          </w:p>
        </w:tc>
      </w:tr>
      <w:tr w:rsidR="007771E5" w:rsidRPr="00582EF5" w14:paraId="47988FE2" w14:textId="77777777" w:rsidTr="00486EB3">
        <w:tc>
          <w:tcPr>
            <w:tcW w:w="4706" w:type="dxa"/>
          </w:tcPr>
          <w:p w14:paraId="32E6648D" w14:textId="7D898676" w:rsidR="007771E5" w:rsidRPr="00582EF5" w:rsidRDefault="007771E5" w:rsidP="00970E8D">
            <w:pPr>
              <w:pStyle w:val="TableText"/>
              <w:spacing w:before="40" w:after="40"/>
              <w:rPr>
                <w:rFonts w:eastAsiaTheme="minorHAnsi"/>
                <w:lang w:eastAsia="en-US"/>
              </w:rPr>
            </w:pPr>
            <w:r w:rsidRPr="00582EF5">
              <w:rPr>
                <w:rFonts w:eastAsiaTheme="minorHAnsi"/>
                <w:lang w:eastAsia="en-US"/>
              </w:rPr>
              <w:t>Polychlorinated dibenzo-p-dioxins (PCDD</w:t>
            </w:r>
            <w:r w:rsidR="008A67D3" w:rsidRPr="00582EF5">
              <w:rPr>
                <w:rFonts w:eastAsiaTheme="minorHAnsi"/>
                <w:lang w:eastAsia="en-US"/>
              </w:rPr>
              <w:t>s</w:t>
            </w:r>
            <w:r w:rsidRPr="00582EF5">
              <w:rPr>
                <w:rFonts w:eastAsiaTheme="minorHAnsi"/>
                <w:lang w:eastAsia="en-US"/>
              </w:rPr>
              <w:t>)</w:t>
            </w:r>
          </w:p>
        </w:tc>
        <w:tc>
          <w:tcPr>
            <w:tcW w:w="1871" w:type="dxa"/>
          </w:tcPr>
          <w:p w14:paraId="4BAC45D8" w14:textId="77777777" w:rsidR="007771E5" w:rsidRPr="00582EF5" w:rsidRDefault="007771E5" w:rsidP="00970E8D">
            <w:pPr>
              <w:pStyle w:val="TableText"/>
              <w:spacing w:before="40" w:after="40"/>
              <w:jc w:val="center"/>
              <w:rPr>
                <w:rFonts w:eastAsiaTheme="minorHAnsi"/>
                <w:lang w:eastAsia="en-US"/>
              </w:rPr>
            </w:pPr>
            <w:r w:rsidRPr="00582EF5">
              <w:rPr>
                <w:rFonts w:eastAsiaTheme="minorHAnsi"/>
                <w:lang w:eastAsia="en-US"/>
              </w:rPr>
              <w:t>2001</w:t>
            </w:r>
          </w:p>
        </w:tc>
        <w:tc>
          <w:tcPr>
            <w:tcW w:w="1928" w:type="dxa"/>
          </w:tcPr>
          <w:p w14:paraId="2B005A65" w14:textId="77777777" w:rsidR="007771E5" w:rsidRPr="00582EF5" w:rsidRDefault="007771E5" w:rsidP="00970E8D">
            <w:pPr>
              <w:pStyle w:val="TableText"/>
              <w:spacing w:before="40" w:after="40"/>
              <w:jc w:val="center"/>
              <w:rPr>
                <w:rFonts w:eastAsiaTheme="minorHAnsi"/>
                <w:lang w:eastAsia="en-US"/>
              </w:rPr>
            </w:pPr>
            <w:r w:rsidRPr="00582EF5">
              <w:rPr>
                <w:rFonts w:eastAsiaTheme="minorHAnsi"/>
                <w:lang w:eastAsia="en-US"/>
              </w:rPr>
              <w:t>2004</w:t>
            </w:r>
          </w:p>
        </w:tc>
      </w:tr>
      <w:tr w:rsidR="007771E5" w:rsidRPr="00582EF5" w14:paraId="403B6DE3" w14:textId="77777777" w:rsidTr="00486EB3">
        <w:tc>
          <w:tcPr>
            <w:tcW w:w="4706" w:type="dxa"/>
          </w:tcPr>
          <w:p w14:paraId="42D4BDF9" w14:textId="1FF856C7" w:rsidR="007771E5" w:rsidRPr="00582EF5" w:rsidRDefault="007771E5" w:rsidP="00970E8D">
            <w:pPr>
              <w:pStyle w:val="TableText"/>
              <w:spacing w:before="40" w:after="40"/>
              <w:rPr>
                <w:rFonts w:eastAsiaTheme="minorHAnsi"/>
                <w:lang w:eastAsia="en-US"/>
              </w:rPr>
            </w:pPr>
            <w:r w:rsidRPr="00582EF5">
              <w:rPr>
                <w:rFonts w:eastAsiaTheme="minorHAnsi"/>
                <w:lang w:eastAsia="en-US"/>
              </w:rPr>
              <w:t>Polychlorinated dibenzofurans (PCDF</w:t>
            </w:r>
            <w:r w:rsidR="008A67D3" w:rsidRPr="00582EF5">
              <w:rPr>
                <w:rFonts w:eastAsiaTheme="minorHAnsi"/>
                <w:lang w:eastAsia="en-US"/>
              </w:rPr>
              <w:t>s</w:t>
            </w:r>
            <w:r w:rsidRPr="00582EF5">
              <w:rPr>
                <w:rFonts w:eastAsiaTheme="minorHAnsi"/>
                <w:lang w:eastAsia="en-US"/>
              </w:rPr>
              <w:t>)</w:t>
            </w:r>
          </w:p>
        </w:tc>
        <w:tc>
          <w:tcPr>
            <w:tcW w:w="1871" w:type="dxa"/>
          </w:tcPr>
          <w:p w14:paraId="7688D05F" w14:textId="77777777" w:rsidR="007771E5" w:rsidRPr="00582EF5" w:rsidRDefault="007771E5" w:rsidP="00970E8D">
            <w:pPr>
              <w:pStyle w:val="TableText"/>
              <w:spacing w:before="40" w:after="40"/>
              <w:jc w:val="center"/>
              <w:rPr>
                <w:rFonts w:eastAsiaTheme="minorHAnsi"/>
                <w:lang w:eastAsia="en-US"/>
              </w:rPr>
            </w:pPr>
            <w:r w:rsidRPr="00582EF5">
              <w:rPr>
                <w:rFonts w:eastAsiaTheme="minorHAnsi"/>
                <w:lang w:eastAsia="en-US"/>
              </w:rPr>
              <w:t>2001</w:t>
            </w:r>
          </w:p>
        </w:tc>
        <w:tc>
          <w:tcPr>
            <w:tcW w:w="1928" w:type="dxa"/>
          </w:tcPr>
          <w:p w14:paraId="79AEC152" w14:textId="77777777" w:rsidR="007771E5" w:rsidRPr="00582EF5" w:rsidRDefault="007771E5" w:rsidP="00970E8D">
            <w:pPr>
              <w:pStyle w:val="TableText"/>
              <w:spacing w:before="40" w:after="40"/>
              <w:jc w:val="center"/>
              <w:rPr>
                <w:rFonts w:eastAsiaTheme="minorHAnsi"/>
                <w:lang w:eastAsia="en-US"/>
              </w:rPr>
            </w:pPr>
            <w:r w:rsidRPr="00582EF5">
              <w:rPr>
                <w:rFonts w:eastAsiaTheme="minorHAnsi"/>
                <w:lang w:eastAsia="en-US"/>
              </w:rPr>
              <w:t>2004</w:t>
            </w:r>
          </w:p>
        </w:tc>
      </w:tr>
      <w:tr w:rsidR="007771E5" w:rsidRPr="00582EF5" w14:paraId="0B1D4C38" w14:textId="77777777" w:rsidTr="00486EB3">
        <w:tc>
          <w:tcPr>
            <w:tcW w:w="4706" w:type="dxa"/>
          </w:tcPr>
          <w:p w14:paraId="42F3641F" w14:textId="77777777" w:rsidR="007771E5" w:rsidRPr="00582EF5" w:rsidRDefault="007771E5" w:rsidP="00970E8D">
            <w:pPr>
              <w:pStyle w:val="TableText"/>
              <w:spacing w:before="40" w:after="40"/>
              <w:rPr>
                <w:rFonts w:eastAsiaTheme="minorHAnsi"/>
                <w:lang w:eastAsia="en-US"/>
              </w:rPr>
            </w:pPr>
            <w:proofErr w:type="spellStart"/>
            <w:r w:rsidRPr="00582EF5">
              <w:rPr>
                <w:rFonts w:eastAsiaTheme="minorHAnsi"/>
                <w:lang w:eastAsia="en-US"/>
              </w:rPr>
              <w:t>Pentachlorobenzene</w:t>
            </w:r>
            <w:proofErr w:type="spellEnd"/>
            <w:r w:rsidRPr="00582EF5">
              <w:rPr>
                <w:rFonts w:eastAsiaTheme="minorHAnsi"/>
                <w:lang w:eastAsia="en-US"/>
              </w:rPr>
              <w:t xml:space="preserve"> (</w:t>
            </w:r>
            <w:proofErr w:type="spellStart"/>
            <w:r w:rsidRPr="00582EF5">
              <w:rPr>
                <w:rFonts w:eastAsiaTheme="minorHAnsi"/>
                <w:lang w:eastAsia="en-US"/>
              </w:rPr>
              <w:t>PeCB</w:t>
            </w:r>
            <w:proofErr w:type="spellEnd"/>
            <w:r w:rsidRPr="00582EF5">
              <w:rPr>
                <w:rFonts w:eastAsiaTheme="minorHAnsi"/>
                <w:lang w:eastAsia="en-US"/>
              </w:rPr>
              <w:t>)</w:t>
            </w:r>
          </w:p>
        </w:tc>
        <w:tc>
          <w:tcPr>
            <w:tcW w:w="1871" w:type="dxa"/>
          </w:tcPr>
          <w:p w14:paraId="0E54DE1E" w14:textId="77777777" w:rsidR="007771E5" w:rsidRPr="00582EF5" w:rsidRDefault="007771E5" w:rsidP="00970E8D">
            <w:pPr>
              <w:pStyle w:val="TableText"/>
              <w:spacing w:before="40" w:after="40"/>
              <w:jc w:val="center"/>
              <w:rPr>
                <w:rFonts w:eastAsiaTheme="minorHAnsi"/>
                <w:lang w:eastAsia="en-US"/>
              </w:rPr>
            </w:pPr>
            <w:r w:rsidRPr="00582EF5">
              <w:rPr>
                <w:rFonts w:eastAsiaTheme="minorHAnsi"/>
                <w:lang w:eastAsia="en-US"/>
              </w:rPr>
              <w:t>2009</w:t>
            </w:r>
          </w:p>
        </w:tc>
        <w:tc>
          <w:tcPr>
            <w:tcW w:w="1928" w:type="dxa"/>
          </w:tcPr>
          <w:p w14:paraId="68D9EB1B" w14:textId="77777777" w:rsidR="007771E5" w:rsidRPr="00582EF5" w:rsidRDefault="007771E5" w:rsidP="00970E8D">
            <w:pPr>
              <w:pStyle w:val="TableText"/>
              <w:spacing w:before="40" w:after="40"/>
              <w:jc w:val="center"/>
              <w:rPr>
                <w:rFonts w:eastAsiaTheme="minorHAnsi"/>
                <w:lang w:eastAsia="en-US"/>
              </w:rPr>
            </w:pPr>
            <w:r w:rsidRPr="00582EF5">
              <w:rPr>
                <w:rFonts w:eastAsiaTheme="minorHAnsi"/>
                <w:lang w:eastAsia="en-US"/>
              </w:rPr>
              <w:t>2016</w:t>
            </w:r>
          </w:p>
        </w:tc>
      </w:tr>
      <w:tr w:rsidR="007771E5" w:rsidRPr="00582EF5" w14:paraId="0F12DC3C" w14:textId="77777777" w:rsidTr="00486EB3">
        <w:tc>
          <w:tcPr>
            <w:tcW w:w="4706" w:type="dxa"/>
          </w:tcPr>
          <w:p w14:paraId="7E01B8E9" w14:textId="5088C214" w:rsidR="007771E5" w:rsidRPr="00582EF5" w:rsidRDefault="007771E5" w:rsidP="00970E8D">
            <w:pPr>
              <w:pStyle w:val="TableText"/>
              <w:spacing w:before="40" w:after="40"/>
              <w:rPr>
                <w:rFonts w:eastAsiaTheme="minorHAnsi"/>
                <w:lang w:eastAsia="en-US"/>
              </w:rPr>
            </w:pPr>
            <w:r w:rsidRPr="00582EF5">
              <w:rPr>
                <w:rFonts w:eastAsiaTheme="minorHAnsi"/>
                <w:lang w:eastAsia="en-US"/>
              </w:rPr>
              <w:t xml:space="preserve">Polychlorinated </w:t>
            </w:r>
            <w:proofErr w:type="spellStart"/>
            <w:r w:rsidRPr="00582EF5">
              <w:rPr>
                <w:rFonts w:eastAsiaTheme="minorHAnsi"/>
                <w:lang w:eastAsia="en-US"/>
              </w:rPr>
              <w:t>naphthalenes</w:t>
            </w:r>
            <w:proofErr w:type="spellEnd"/>
            <w:r w:rsidRPr="00582EF5">
              <w:rPr>
                <w:rFonts w:eastAsiaTheme="minorHAnsi"/>
                <w:lang w:eastAsia="en-US"/>
              </w:rPr>
              <w:t xml:space="preserve"> (PCN</w:t>
            </w:r>
            <w:r w:rsidR="008265AE" w:rsidRPr="00582EF5">
              <w:rPr>
                <w:rFonts w:eastAsiaTheme="minorHAnsi"/>
                <w:lang w:eastAsia="en-US"/>
              </w:rPr>
              <w:t>s</w:t>
            </w:r>
            <w:r w:rsidRPr="00582EF5">
              <w:rPr>
                <w:rFonts w:eastAsiaTheme="minorHAnsi"/>
                <w:lang w:eastAsia="en-US"/>
              </w:rPr>
              <w:t>)</w:t>
            </w:r>
          </w:p>
        </w:tc>
        <w:tc>
          <w:tcPr>
            <w:tcW w:w="1871" w:type="dxa"/>
          </w:tcPr>
          <w:p w14:paraId="231FC82B" w14:textId="77777777" w:rsidR="007771E5" w:rsidRPr="00582EF5" w:rsidRDefault="007771E5" w:rsidP="00970E8D">
            <w:pPr>
              <w:pStyle w:val="TableText"/>
              <w:spacing w:before="40" w:after="40"/>
              <w:jc w:val="center"/>
              <w:rPr>
                <w:rFonts w:eastAsiaTheme="minorHAnsi"/>
                <w:lang w:eastAsia="en-US"/>
              </w:rPr>
            </w:pPr>
            <w:r w:rsidRPr="00582EF5">
              <w:rPr>
                <w:rFonts w:eastAsiaTheme="minorHAnsi"/>
                <w:lang w:eastAsia="en-US"/>
              </w:rPr>
              <w:t>2015</w:t>
            </w:r>
          </w:p>
        </w:tc>
        <w:tc>
          <w:tcPr>
            <w:tcW w:w="1928" w:type="dxa"/>
          </w:tcPr>
          <w:p w14:paraId="154EE779" w14:textId="77777777" w:rsidR="007771E5" w:rsidRPr="00582EF5" w:rsidRDefault="007771E5" w:rsidP="00970E8D">
            <w:pPr>
              <w:pStyle w:val="TableText"/>
              <w:spacing w:before="40" w:after="40"/>
              <w:jc w:val="center"/>
              <w:rPr>
                <w:rFonts w:eastAsiaTheme="minorHAnsi"/>
                <w:lang w:eastAsia="en-US"/>
              </w:rPr>
            </w:pPr>
            <w:r w:rsidRPr="00582EF5">
              <w:rPr>
                <w:rFonts w:eastAsiaTheme="minorHAnsi"/>
                <w:lang w:eastAsia="en-US"/>
              </w:rPr>
              <w:t>2016</w:t>
            </w:r>
          </w:p>
        </w:tc>
      </w:tr>
      <w:tr w:rsidR="007771E5" w:rsidRPr="00582EF5" w14:paraId="42883037" w14:textId="77777777" w:rsidTr="00486EB3">
        <w:tc>
          <w:tcPr>
            <w:tcW w:w="4706" w:type="dxa"/>
          </w:tcPr>
          <w:p w14:paraId="6197A404" w14:textId="18F11B29" w:rsidR="007771E5" w:rsidRPr="00582EF5" w:rsidRDefault="007771E5" w:rsidP="00970E8D">
            <w:pPr>
              <w:pStyle w:val="TableText"/>
              <w:spacing w:before="40" w:after="40"/>
              <w:rPr>
                <w:rFonts w:eastAsiaTheme="minorHAnsi"/>
                <w:lang w:eastAsia="en-US"/>
              </w:rPr>
            </w:pPr>
            <w:r w:rsidRPr="00582EF5">
              <w:rPr>
                <w:rFonts w:eastAsiaTheme="minorHAnsi"/>
                <w:lang w:eastAsia="en-US"/>
              </w:rPr>
              <w:t>Hexachlorobutadiene</w:t>
            </w:r>
            <w:r w:rsidR="00FF4E6F" w:rsidRPr="00582EF5">
              <w:rPr>
                <w:rFonts w:eastAsiaTheme="minorHAnsi"/>
                <w:lang w:eastAsia="en-US"/>
              </w:rPr>
              <w:t xml:space="preserve"> (HCBD)</w:t>
            </w:r>
          </w:p>
        </w:tc>
        <w:tc>
          <w:tcPr>
            <w:tcW w:w="1871" w:type="dxa"/>
          </w:tcPr>
          <w:p w14:paraId="117C0C77" w14:textId="13CD9082" w:rsidR="007771E5" w:rsidRPr="00582EF5" w:rsidRDefault="007771E5" w:rsidP="00970E8D">
            <w:pPr>
              <w:pStyle w:val="TableText"/>
              <w:spacing w:before="40" w:after="40"/>
              <w:jc w:val="center"/>
              <w:rPr>
                <w:rFonts w:eastAsiaTheme="minorHAnsi"/>
                <w:lang w:eastAsia="en-US"/>
              </w:rPr>
            </w:pPr>
            <w:r w:rsidRPr="00582EF5">
              <w:rPr>
                <w:rFonts w:eastAsiaTheme="minorHAnsi"/>
                <w:lang w:eastAsia="en-US"/>
              </w:rPr>
              <w:t>201</w:t>
            </w:r>
            <w:r w:rsidR="00544756" w:rsidRPr="00582EF5">
              <w:rPr>
                <w:rFonts w:eastAsiaTheme="minorHAnsi"/>
                <w:lang w:eastAsia="en-US"/>
              </w:rPr>
              <w:t>7</w:t>
            </w:r>
          </w:p>
        </w:tc>
        <w:tc>
          <w:tcPr>
            <w:tcW w:w="1928" w:type="dxa"/>
          </w:tcPr>
          <w:p w14:paraId="5EF6F0FE" w14:textId="63A32237" w:rsidR="007771E5" w:rsidRPr="00582EF5" w:rsidRDefault="007771E5" w:rsidP="00970E8D">
            <w:pPr>
              <w:pStyle w:val="TableText"/>
              <w:spacing w:before="40" w:after="40"/>
              <w:jc w:val="center"/>
              <w:rPr>
                <w:rFonts w:eastAsiaTheme="minorHAnsi"/>
                <w:lang w:eastAsia="en-US"/>
              </w:rPr>
            </w:pPr>
            <w:r w:rsidRPr="00582EF5">
              <w:rPr>
                <w:rFonts w:eastAsiaTheme="minorHAnsi"/>
                <w:lang w:eastAsia="en-US"/>
              </w:rPr>
              <w:t>2018</w:t>
            </w:r>
          </w:p>
        </w:tc>
      </w:tr>
    </w:tbl>
    <w:p w14:paraId="4B6C9F21" w14:textId="77777777" w:rsidR="006A76A3" w:rsidRPr="00582EF5" w:rsidRDefault="006A76A3" w:rsidP="00970E8D">
      <w:pPr>
        <w:pStyle w:val="BodyText"/>
      </w:pPr>
    </w:p>
    <w:p w14:paraId="12C07317" w14:textId="58405F35" w:rsidR="00785CC0" w:rsidRPr="00582EF5" w:rsidRDefault="00785CC0" w:rsidP="00970E8D">
      <w:pPr>
        <w:pStyle w:val="BodyText"/>
      </w:pPr>
      <w:r w:rsidRPr="00582EF5">
        <w:br w:type="page"/>
      </w:r>
    </w:p>
    <w:p w14:paraId="1772C627" w14:textId="3CCC34C6" w:rsidR="00785CC0" w:rsidRPr="00582EF5" w:rsidRDefault="00785CC0" w:rsidP="00970E8D">
      <w:pPr>
        <w:pStyle w:val="Heading1"/>
        <w:rPr>
          <w:b w:val="0"/>
        </w:rPr>
      </w:pPr>
      <w:bookmarkStart w:id="24" w:name="_Toc531102778"/>
      <w:bookmarkStart w:id="25" w:name="_Toc120532232"/>
      <w:r w:rsidRPr="00582EF5">
        <w:lastRenderedPageBreak/>
        <w:t xml:space="preserve">Chapter 2: </w:t>
      </w:r>
      <w:r w:rsidR="00BC16F5" w:rsidRPr="00582EF5">
        <w:t>O</w:t>
      </w:r>
      <w:r w:rsidRPr="00582EF5">
        <w:t>verview of New Zealand and its regulat</w:t>
      </w:r>
      <w:r w:rsidR="000E1AB6" w:rsidRPr="00582EF5">
        <w:t xml:space="preserve">ory framework to implement the </w:t>
      </w:r>
      <w:r w:rsidR="00E60788" w:rsidRPr="00582EF5">
        <w:t xml:space="preserve">Stockholm </w:t>
      </w:r>
      <w:r w:rsidR="000E1AB6" w:rsidRPr="00582EF5">
        <w:t>C</w:t>
      </w:r>
      <w:r w:rsidRPr="00582EF5">
        <w:t>onvention</w:t>
      </w:r>
      <w:bookmarkEnd w:id="24"/>
      <w:bookmarkEnd w:id="25"/>
    </w:p>
    <w:p w14:paraId="29287A3F" w14:textId="3452D68C" w:rsidR="00785CC0" w:rsidRPr="00582EF5" w:rsidRDefault="00785CC0" w:rsidP="00970E8D">
      <w:pPr>
        <w:pStyle w:val="BodyText"/>
      </w:pPr>
      <w:r w:rsidRPr="00582EF5">
        <w:t xml:space="preserve">This chapter provides an overview of New Zealand and </w:t>
      </w:r>
      <w:r w:rsidR="004160C0" w:rsidRPr="00582EF5">
        <w:t xml:space="preserve">its </w:t>
      </w:r>
      <w:r w:rsidRPr="00582EF5">
        <w:t xml:space="preserve">historical use of </w:t>
      </w:r>
      <w:r w:rsidR="00BA0FA1" w:rsidRPr="00582EF5">
        <w:t>persistent organic pollutants (</w:t>
      </w:r>
      <w:r w:rsidRPr="00582EF5">
        <w:t>POPs</w:t>
      </w:r>
      <w:r w:rsidR="00BA0FA1" w:rsidRPr="00582EF5">
        <w:t>)</w:t>
      </w:r>
      <w:r w:rsidRPr="00582EF5">
        <w:t>. It outlines the regulatory framework to control POPs in New Zealand in the broader context of hazardous substances management.</w:t>
      </w:r>
    </w:p>
    <w:p w14:paraId="10E67F95" w14:textId="64FDCF2E" w:rsidR="00785CC0" w:rsidRPr="00582EF5" w:rsidRDefault="00785CC0" w:rsidP="00970E8D">
      <w:pPr>
        <w:pStyle w:val="Heading2"/>
      </w:pPr>
      <w:bookmarkStart w:id="26" w:name="_Toc531102779"/>
      <w:bookmarkStart w:id="27" w:name="_Toc120532233"/>
      <w:r w:rsidRPr="00582EF5">
        <w:t xml:space="preserve">2.1 </w:t>
      </w:r>
      <w:r w:rsidR="00A108C5" w:rsidRPr="00582EF5">
        <w:tab/>
      </w:r>
      <w:r w:rsidRPr="00582EF5">
        <w:t>Country profile</w:t>
      </w:r>
      <w:bookmarkEnd w:id="26"/>
      <w:r w:rsidR="003A3990" w:rsidRPr="00582EF5">
        <w:t xml:space="preserve"> and history of use in New Zealand</w:t>
      </w:r>
      <w:bookmarkEnd w:id="27"/>
    </w:p>
    <w:p w14:paraId="0781D604" w14:textId="6344AF80" w:rsidR="00785CC0" w:rsidRPr="00582EF5" w:rsidRDefault="00785CC0" w:rsidP="00970E8D">
      <w:pPr>
        <w:pStyle w:val="BodyText"/>
      </w:pPr>
      <w:r w:rsidRPr="00582EF5">
        <w:t>New Zealand’s low population density, strong agricultur</w:t>
      </w:r>
      <w:r w:rsidR="00756FCD" w:rsidRPr="00582EF5">
        <w:t>al</w:t>
      </w:r>
      <w:r w:rsidRPr="00582EF5">
        <w:t xml:space="preserve"> and natural resource-based economy means implementing the </w:t>
      </w:r>
      <w:r w:rsidR="00BA0FA1" w:rsidRPr="00582EF5">
        <w:t xml:space="preserve">Stockholm Convention on Persistent Organic Pollutants (the </w:t>
      </w:r>
      <w:r w:rsidRPr="00582EF5">
        <w:t>Convention</w:t>
      </w:r>
      <w:r w:rsidR="00BA0FA1" w:rsidRPr="00582EF5">
        <w:t>)</w:t>
      </w:r>
      <w:r w:rsidRPr="00582EF5">
        <w:t xml:space="preserve"> presents different challenges and opportunities</w:t>
      </w:r>
      <w:r w:rsidR="00DE58AE" w:rsidRPr="00582EF5">
        <w:t>,</w:t>
      </w:r>
      <w:r w:rsidRPr="00582EF5">
        <w:t xml:space="preserve"> compared </w:t>
      </w:r>
      <w:r w:rsidR="00756FCD" w:rsidRPr="00582EF5">
        <w:t xml:space="preserve">with </w:t>
      </w:r>
      <w:r w:rsidRPr="00582EF5">
        <w:t>other countries</w:t>
      </w:r>
      <w:r w:rsidR="00BE2885">
        <w:t xml:space="preserve"> </w:t>
      </w:r>
      <w:r w:rsidR="00271824">
        <w:t>Historically</w:t>
      </w:r>
      <w:r w:rsidRPr="00582EF5">
        <w:t xml:space="preserve">, the </w:t>
      </w:r>
      <w:r w:rsidR="00DE58AE" w:rsidRPr="00582EF5">
        <w:t>predominant</w:t>
      </w:r>
      <w:r w:rsidR="00756FCD" w:rsidRPr="00582EF5">
        <w:t xml:space="preserve"> </w:t>
      </w:r>
      <w:r w:rsidRPr="00582EF5">
        <w:t>use of POPs in New</w:t>
      </w:r>
      <w:r w:rsidR="004A36E7" w:rsidRPr="00582EF5">
        <w:t> </w:t>
      </w:r>
      <w:r w:rsidRPr="00582EF5">
        <w:t xml:space="preserve">Zealand has been as pesticides. In most cases, limited amounts of industrial POPs </w:t>
      </w:r>
      <w:r w:rsidR="00756FCD" w:rsidRPr="00582EF5">
        <w:t xml:space="preserve">were </w:t>
      </w:r>
      <w:r w:rsidRPr="00582EF5">
        <w:t>manufactured in New Zealand and</w:t>
      </w:r>
      <w:r w:rsidR="00BA0FA1" w:rsidRPr="00582EF5">
        <w:t>,</w:t>
      </w:r>
      <w:r w:rsidRPr="00582EF5">
        <w:t xml:space="preserve"> where </w:t>
      </w:r>
      <w:r w:rsidR="00DA589F" w:rsidRPr="00582EF5">
        <w:t xml:space="preserve">this </w:t>
      </w:r>
      <w:r w:rsidRPr="00582EF5">
        <w:t>occur</w:t>
      </w:r>
      <w:r w:rsidR="004A36E7" w:rsidRPr="00582EF5">
        <w:t>red</w:t>
      </w:r>
      <w:r w:rsidR="00BA0FA1" w:rsidRPr="00582EF5">
        <w:t>, it</w:t>
      </w:r>
      <w:r w:rsidRPr="00582EF5">
        <w:t xml:space="preserve"> was much smaller in scale compared </w:t>
      </w:r>
      <w:r w:rsidR="00756FCD" w:rsidRPr="00582EF5">
        <w:t xml:space="preserve">with </w:t>
      </w:r>
      <w:r w:rsidRPr="00582EF5">
        <w:t xml:space="preserve">elsewhere in the world. Most POPs were imported, often as part of consumer products. </w:t>
      </w:r>
      <w:r w:rsidR="00F67D7B" w:rsidRPr="00F67D7B">
        <w:t xml:space="preserve">In recent times, the predominant use has </w:t>
      </w:r>
      <w:r w:rsidR="00F67D7B">
        <w:t>shifted towards</w:t>
      </w:r>
      <w:r w:rsidR="00F67D7B" w:rsidRPr="00F67D7B">
        <w:t xml:space="preserve"> manufactured articles (</w:t>
      </w:r>
      <w:proofErr w:type="spellStart"/>
      <w:r w:rsidR="00622263">
        <w:t>eg</w:t>
      </w:r>
      <w:proofErr w:type="spellEnd"/>
      <w:r w:rsidR="00622263">
        <w:t xml:space="preserve">, </w:t>
      </w:r>
      <w:r w:rsidR="00F67D7B" w:rsidRPr="00F67D7B">
        <w:t xml:space="preserve">flame retardants) and products like fire-fighting foams. </w:t>
      </w:r>
      <w:r w:rsidR="00F67D7B">
        <w:t>New Zealand’s</w:t>
      </w:r>
      <w:r w:rsidR="00F67D7B" w:rsidRPr="00F67D7B">
        <w:t xml:space="preserve"> pesticide use had </w:t>
      </w:r>
      <w:r w:rsidR="00F67D7B">
        <w:t xml:space="preserve">already </w:t>
      </w:r>
      <w:r w:rsidR="00F67D7B" w:rsidRPr="00F67D7B">
        <w:t xml:space="preserve">substantially ceased before </w:t>
      </w:r>
      <w:r w:rsidR="008447CD">
        <w:t xml:space="preserve">the </w:t>
      </w:r>
      <w:r w:rsidR="00F67D7B" w:rsidRPr="00F67D7B">
        <w:t xml:space="preserve">Stockholm </w:t>
      </w:r>
      <w:r w:rsidR="008447CD">
        <w:t xml:space="preserve">Convention </w:t>
      </w:r>
      <w:r w:rsidR="00F67D7B" w:rsidRPr="00F67D7B">
        <w:t>commenced in 2004.</w:t>
      </w:r>
    </w:p>
    <w:p w14:paraId="1AFBFA99" w14:textId="46520ABF" w:rsidR="00785CC0" w:rsidRPr="00582EF5" w:rsidRDefault="00785CC0" w:rsidP="00970E8D">
      <w:pPr>
        <w:pStyle w:val="BodyText"/>
      </w:pPr>
      <w:r w:rsidRPr="00582EF5">
        <w:t xml:space="preserve">This means New Zealand faces challenges in the ongoing implementation of the Convention and </w:t>
      </w:r>
      <w:r w:rsidR="004160C0" w:rsidRPr="00582EF5">
        <w:t>protecting</w:t>
      </w:r>
      <w:r w:rsidRPr="00582EF5">
        <w:t xml:space="preserve"> the environment and human health from POPs. Generally</w:t>
      </w:r>
      <w:r w:rsidR="00DE58AE" w:rsidRPr="00582EF5">
        <w:t>,</w:t>
      </w:r>
      <w:r w:rsidRPr="00582EF5">
        <w:t xml:space="preserve"> POPs still present in New Zealand are </w:t>
      </w:r>
      <w:proofErr w:type="gramStart"/>
      <w:r w:rsidRPr="00582EF5">
        <w:t>as a result of</w:t>
      </w:r>
      <w:proofErr w:type="gramEnd"/>
      <w:r w:rsidRPr="00582EF5">
        <w:t xml:space="preserve"> </w:t>
      </w:r>
      <w:r w:rsidR="00903F28" w:rsidRPr="00903F28">
        <w:t xml:space="preserve">in 'articles in use' </w:t>
      </w:r>
      <w:r w:rsidR="00E37F08">
        <w:t>for example,</w:t>
      </w:r>
      <w:r w:rsidR="00903F28" w:rsidRPr="00903F28">
        <w:t xml:space="preserve"> flame retardants in electrical </w:t>
      </w:r>
      <w:r w:rsidR="009E25B9" w:rsidRPr="00903F28">
        <w:t>equipment</w:t>
      </w:r>
      <w:r w:rsidR="6D673D13">
        <w:t>,</w:t>
      </w:r>
      <w:r w:rsidR="00DD4AA3">
        <w:t xml:space="preserve"> a</w:t>
      </w:r>
      <w:r w:rsidR="009E25B9" w:rsidRPr="00903F28">
        <w:t>nd</w:t>
      </w:r>
      <w:r w:rsidR="001C70A5">
        <w:t xml:space="preserve"> there is</w:t>
      </w:r>
      <w:r w:rsidR="000A2B31">
        <w:t xml:space="preserve"> a growing challenge </w:t>
      </w:r>
      <w:r w:rsidR="001C70A5">
        <w:t>in</w:t>
      </w:r>
      <w:r w:rsidR="000A2B31">
        <w:t xml:space="preserve"> the </w:t>
      </w:r>
      <w:r w:rsidR="000027DD">
        <w:t xml:space="preserve">management of POPs in </w:t>
      </w:r>
      <w:r w:rsidR="002825FD">
        <w:t xml:space="preserve">products used and consumed </w:t>
      </w:r>
      <w:r w:rsidR="2C375AC7">
        <w:t>here</w:t>
      </w:r>
      <w:r w:rsidRPr="00582EF5">
        <w:t xml:space="preserve">. </w:t>
      </w:r>
    </w:p>
    <w:p w14:paraId="13D3D91C" w14:textId="516A5750" w:rsidR="00785CC0" w:rsidRPr="00251D3C" w:rsidRDefault="00785CC0" w:rsidP="00970E8D">
      <w:pPr>
        <w:pStyle w:val="BodyText"/>
      </w:pPr>
      <w:r w:rsidRPr="00582EF5">
        <w:t>Historical use of the 12 initial POPS i</w:t>
      </w:r>
      <w:r w:rsidR="006E015A" w:rsidRPr="00582EF5">
        <w:t xml:space="preserve">s presented in </w:t>
      </w:r>
      <w:hyperlink r:id="rId30">
        <w:r w:rsidR="10647008" w:rsidRPr="1A06031B">
          <w:rPr>
            <w:rStyle w:val="Hyperlink"/>
          </w:rPr>
          <w:t>New Zealand’s 200</w:t>
        </w:r>
        <w:r w:rsidR="18453BBF" w:rsidRPr="1A06031B">
          <w:rPr>
            <w:rStyle w:val="Hyperlink"/>
          </w:rPr>
          <w:t>6 National Implementation Plan</w:t>
        </w:r>
      </w:hyperlink>
      <w:r w:rsidR="0954C8C4">
        <w:t xml:space="preserve"> </w:t>
      </w:r>
      <w:r w:rsidR="00195BE1">
        <w:t>(</w:t>
      </w:r>
      <w:r w:rsidR="22FD02BF">
        <w:t>NIP1</w:t>
      </w:r>
      <w:r w:rsidR="00195BE1">
        <w:t>)</w:t>
      </w:r>
      <w:r w:rsidR="7430228F">
        <w:t>.</w:t>
      </w:r>
      <w:r w:rsidR="006E015A" w:rsidRPr="00582EF5">
        <w:t xml:space="preserve"> </w:t>
      </w:r>
      <w:r w:rsidRPr="00582EF5">
        <w:t xml:space="preserve">New Zealand’s use of POP pesticides from the mid-1940s to the 1960s was mainly in agriculture, horticulture and timber treatment. Smaller amounts were also used in public parks and by home gardeners. </w:t>
      </w:r>
      <w:r w:rsidR="2665081B">
        <w:t>O</w:t>
      </w:r>
      <w:r w:rsidR="1F2FD1EA">
        <w:t>nly</w:t>
      </w:r>
      <w:r w:rsidR="0F4DD406" w:rsidRPr="00582EF5">
        <w:t xml:space="preserve"> few </w:t>
      </w:r>
      <w:r w:rsidR="7E43A29F">
        <w:t xml:space="preserve">instances </w:t>
      </w:r>
      <w:r w:rsidR="0F4DD406" w:rsidRPr="00582EF5">
        <w:t xml:space="preserve">of POPs being produced </w:t>
      </w:r>
      <w:r w:rsidR="582A2779">
        <w:t xml:space="preserve">in New Zealand </w:t>
      </w:r>
      <w:r w:rsidR="0F4DD406" w:rsidRPr="00582EF5">
        <w:t>have been reported</w:t>
      </w:r>
      <w:r w:rsidR="7F10B457">
        <w:t xml:space="preserve">. Of note is </w:t>
      </w:r>
      <w:r w:rsidR="2F929653" w:rsidRPr="00582EF5">
        <w:t>t</w:t>
      </w:r>
      <w:r w:rsidR="0F4DD406">
        <w:t xml:space="preserve">he Dow AgroSciences site in New Plymouth (formerly Ivon Watkins Dow) which manufactured the herbicide 2,4,5-T from 1962 to 1988, and the key raw material trichlorophenol (TCP) from 1969 to 1987. A particular dioxin called 2,3,7,8-TCDD is a known contaminant of these products, although this dioxin also occurs from other sources. </w:t>
      </w:r>
      <w:r w:rsidR="25B39FEF">
        <w:t xml:space="preserve">The manufacture of dioxin and </w:t>
      </w:r>
      <w:r w:rsidR="00C5288B">
        <w:t>the</w:t>
      </w:r>
      <w:r w:rsidR="25B39FEF">
        <w:t xml:space="preserve"> impact on human health </w:t>
      </w:r>
      <w:proofErr w:type="gramStart"/>
      <w:r w:rsidR="25B39FEF">
        <w:t>has</w:t>
      </w:r>
      <w:proofErr w:type="gramEnd"/>
      <w:r w:rsidR="25B39FEF">
        <w:t xml:space="preserve"> been </w:t>
      </w:r>
      <w:r w:rsidR="115D5951">
        <w:t>investigated</w:t>
      </w:r>
      <w:r w:rsidR="25B39FEF">
        <w:t xml:space="preserve"> in 11 successive studies </w:t>
      </w:r>
      <w:r w:rsidR="00E70911">
        <w:t xml:space="preserve">by agencies such as the Ministry of Health, </w:t>
      </w:r>
      <w:r w:rsidR="00FE006B">
        <w:t>the Royal Society of New Zealand</w:t>
      </w:r>
      <w:r w:rsidR="006E1C36">
        <w:t xml:space="preserve"> </w:t>
      </w:r>
      <w:r w:rsidR="00251D3C">
        <w:t>and</w:t>
      </w:r>
      <w:r w:rsidR="006E1C36">
        <w:t xml:space="preserve"> the </w:t>
      </w:r>
      <w:r w:rsidR="00C872DD">
        <w:t xml:space="preserve">Ministry for the </w:t>
      </w:r>
      <w:r w:rsidR="00C872DD" w:rsidRPr="008304A2">
        <w:t xml:space="preserve">Environment </w:t>
      </w:r>
      <w:r w:rsidR="25B39FEF" w:rsidRPr="008304A2">
        <w:t>between 1972 a</w:t>
      </w:r>
      <w:r w:rsidR="3278FA9A" w:rsidRPr="008304A2">
        <w:t>nd 1989</w:t>
      </w:r>
      <w:r w:rsidR="3278FA9A">
        <w:t>.</w:t>
      </w:r>
      <w:r w:rsidR="008304A2">
        <w:t xml:space="preserve"> Find out more on </w:t>
      </w:r>
      <w:hyperlink r:id="rId31" w:history="1">
        <w:r w:rsidR="008304A2" w:rsidRPr="008304A2">
          <w:rPr>
            <w:rStyle w:val="Hyperlink"/>
          </w:rPr>
          <w:t>PCE’s website</w:t>
        </w:r>
      </w:hyperlink>
      <w:r w:rsidR="008304A2">
        <w:t>.</w:t>
      </w:r>
    </w:p>
    <w:p w14:paraId="33EF235F" w14:textId="3F7A172B" w:rsidR="00785CC0" w:rsidRPr="008376EC" w:rsidRDefault="377C935B" w:rsidP="00970E8D">
      <w:pPr>
        <w:pStyle w:val="BodyText"/>
        <w:rPr>
          <w:b/>
          <w:bCs/>
        </w:rPr>
      </w:pPr>
      <w:r>
        <w:t xml:space="preserve">Another example of historical production of POPs as active ingredients is </w:t>
      </w:r>
      <w:r w:rsidRPr="003173D0">
        <w:t xml:space="preserve">the </w:t>
      </w:r>
      <w:proofErr w:type="spellStart"/>
      <w:r w:rsidRPr="003173D0">
        <w:t>Fruitgrowers</w:t>
      </w:r>
      <w:proofErr w:type="spellEnd"/>
      <w:r w:rsidRPr="003173D0">
        <w:t xml:space="preserve"> </w:t>
      </w:r>
      <w:r w:rsidR="00590712" w:rsidRPr="003173D0">
        <w:t>C</w:t>
      </w:r>
      <w:r w:rsidRPr="003173D0">
        <w:t xml:space="preserve">hemical </w:t>
      </w:r>
      <w:r w:rsidR="00590712" w:rsidRPr="003173D0">
        <w:t>C</w:t>
      </w:r>
      <w:r w:rsidRPr="003173D0">
        <w:t xml:space="preserve">ompany in </w:t>
      </w:r>
      <w:proofErr w:type="spellStart"/>
      <w:r w:rsidRPr="003173D0">
        <w:t>M</w:t>
      </w:r>
      <w:r w:rsidR="00F97287" w:rsidRPr="003173D0">
        <w:t>ā</w:t>
      </w:r>
      <w:r w:rsidRPr="003173D0">
        <w:t>pua</w:t>
      </w:r>
      <w:proofErr w:type="spellEnd"/>
      <w:r w:rsidRPr="003173D0">
        <w:t>,</w:t>
      </w:r>
      <w:r>
        <w:t xml:space="preserve"> wher</w:t>
      </w:r>
      <w:r w:rsidR="16CF05F4">
        <w:t>e POP’s such as the organochloride insecticides DDT, dieldrin and aldrin were produced until the site closed in 1988 after 56 years of manufacturing.</w:t>
      </w:r>
      <w:r w:rsidR="7CF6D79A">
        <w:t xml:space="preserve"> After the closure of this factory, </w:t>
      </w:r>
      <w:r w:rsidR="7CF6D79A" w:rsidRPr="003173D0">
        <w:t xml:space="preserve">responsibility for the clean-up was taken on jointly by </w:t>
      </w:r>
      <w:r w:rsidR="00A379E9" w:rsidRPr="003173D0">
        <w:t xml:space="preserve">the Tasman District Council </w:t>
      </w:r>
      <w:r w:rsidR="7CF6D79A" w:rsidRPr="003173D0">
        <w:t>and the Ministry for the Environment</w:t>
      </w:r>
      <w:r w:rsidR="00F01594">
        <w:t xml:space="preserve"> but was later taken on as the sole responsibility of MfE in 2004</w:t>
      </w:r>
      <w:r w:rsidR="7CF6D79A">
        <w:t xml:space="preserve">. </w:t>
      </w:r>
      <w:r w:rsidR="000F5332">
        <w:t xml:space="preserve">For more information read </w:t>
      </w:r>
      <w:hyperlink r:id="rId32" w:history="1">
        <w:r w:rsidR="000F5332" w:rsidRPr="000F5332">
          <w:rPr>
            <w:rStyle w:val="Hyperlink"/>
          </w:rPr>
          <w:t xml:space="preserve">Cleaning up Mapua: The story of the </w:t>
        </w:r>
        <w:proofErr w:type="spellStart"/>
        <w:r w:rsidR="000F5332" w:rsidRPr="000F5332">
          <w:rPr>
            <w:rStyle w:val="Hyperlink"/>
          </w:rPr>
          <w:t>Fruitgrowers</w:t>
        </w:r>
        <w:proofErr w:type="spellEnd"/>
        <w:r w:rsidR="000F5332" w:rsidRPr="000F5332">
          <w:rPr>
            <w:rStyle w:val="Hyperlink"/>
          </w:rPr>
          <w:t>’ Chemical Company site</w:t>
        </w:r>
      </w:hyperlink>
      <w:r w:rsidR="000F5332">
        <w:rPr>
          <w:b/>
          <w:bCs/>
        </w:rPr>
        <w:t>.</w:t>
      </w:r>
    </w:p>
    <w:p w14:paraId="7F66AB93" w14:textId="7AE3DEF0" w:rsidR="00785CC0" w:rsidRPr="00582EF5" w:rsidRDefault="00785CC0" w:rsidP="00970E8D">
      <w:pPr>
        <w:pStyle w:val="BodyText"/>
      </w:pPr>
      <w:r w:rsidRPr="00582EF5">
        <w:lastRenderedPageBreak/>
        <w:t xml:space="preserve">The use of some well-known initial POPs, such as </w:t>
      </w:r>
      <w:r w:rsidR="00181FBB" w:rsidRPr="00582EF5">
        <w:t>1,1,1-trichloro-2, 2-bis (4-chlorophenyl) ethane (</w:t>
      </w:r>
      <w:r w:rsidRPr="00582EF5">
        <w:t>DDT</w:t>
      </w:r>
      <w:r w:rsidR="00181FBB" w:rsidRPr="00582EF5">
        <w:t>)</w:t>
      </w:r>
      <w:r w:rsidRPr="00582EF5">
        <w:t>, chlordane and dieldrin</w:t>
      </w:r>
      <w:r w:rsidR="004160C0" w:rsidRPr="00582EF5">
        <w:t>,</w:t>
      </w:r>
      <w:r w:rsidRPr="00582EF5">
        <w:t xml:space="preserve"> </w:t>
      </w:r>
      <w:r w:rsidR="00B36B9B">
        <w:t>ceas</w:t>
      </w:r>
      <w:r w:rsidR="00B36B9B" w:rsidRPr="00582EF5">
        <w:t xml:space="preserve">ed </w:t>
      </w:r>
      <w:r w:rsidRPr="00582EF5">
        <w:t xml:space="preserve">from </w:t>
      </w:r>
      <w:r w:rsidR="00592C52" w:rsidRPr="00582EF5">
        <w:t xml:space="preserve">the </w:t>
      </w:r>
      <w:r w:rsidRPr="00582EF5">
        <w:t>mid</w:t>
      </w:r>
      <w:r w:rsidR="00592C52" w:rsidRPr="00582EF5">
        <w:t>-</w:t>
      </w:r>
      <w:r w:rsidRPr="00582EF5">
        <w:t>1970s to late</w:t>
      </w:r>
      <w:r w:rsidR="00D258FC" w:rsidRPr="00582EF5">
        <w:t> </w:t>
      </w:r>
      <w:r w:rsidRPr="00582EF5">
        <w:t xml:space="preserve">1980s. </w:t>
      </w:r>
    </w:p>
    <w:p w14:paraId="20D1160C" w14:textId="2F516A06" w:rsidR="00785CC0" w:rsidRPr="00582EF5" w:rsidRDefault="00785CC0" w:rsidP="00970E8D">
      <w:pPr>
        <w:pStyle w:val="BodyText"/>
      </w:pPr>
      <w:r w:rsidRPr="00582EF5">
        <w:t xml:space="preserve">Under the </w:t>
      </w:r>
      <w:hyperlink r:id="rId33">
        <w:r w:rsidR="257A7E49" w:rsidRPr="1A06031B">
          <w:rPr>
            <w:rStyle w:val="Hyperlink"/>
          </w:rPr>
          <w:t xml:space="preserve">Hazardous Substances and New Organisms </w:t>
        </w:r>
        <w:r w:rsidR="3ADDA457" w:rsidRPr="1A06031B">
          <w:rPr>
            <w:rStyle w:val="Hyperlink"/>
          </w:rPr>
          <w:t xml:space="preserve">(HSNO) </w:t>
        </w:r>
        <w:r w:rsidR="7E124BBD" w:rsidRPr="1A06031B">
          <w:rPr>
            <w:rStyle w:val="Hyperlink"/>
          </w:rPr>
          <w:t xml:space="preserve">Act </w:t>
        </w:r>
        <w:r w:rsidR="257A7E49" w:rsidRPr="1A06031B">
          <w:rPr>
            <w:rStyle w:val="Hyperlink"/>
          </w:rPr>
          <w:t>1996</w:t>
        </w:r>
      </w:hyperlink>
      <w:r w:rsidR="00592C52" w:rsidRPr="00582EF5">
        <w:t>,</w:t>
      </w:r>
      <w:r w:rsidR="003F215C">
        <w:t xml:space="preserve"> </w:t>
      </w:r>
      <w:r w:rsidRPr="00582EF5">
        <w:t xml:space="preserve">all </w:t>
      </w:r>
      <w:r w:rsidR="00592C52" w:rsidRPr="00582EF5">
        <w:t>p</w:t>
      </w:r>
      <w:r w:rsidR="00592C52" w:rsidRPr="45D47978">
        <w:rPr>
          <w:lang w:eastAsia="en-US"/>
        </w:rPr>
        <w:t>olychlorinated biphenyls</w:t>
      </w:r>
      <w:r w:rsidR="00592C52" w:rsidRPr="00582EF5">
        <w:t xml:space="preserve"> (</w:t>
      </w:r>
      <w:r w:rsidRPr="00582EF5">
        <w:t>PCBs</w:t>
      </w:r>
      <w:r w:rsidR="00592C52" w:rsidRPr="00582EF5">
        <w:t>)</w:t>
      </w:r>
      <w:r w:rsidRPr="00582EF5">
        <w:t xml:space="preserve"> were required to be withdrawn from use and destroyed no later than 2016. It is likely small amounts remain, particularly on rural properties where the owners may not </w:t>
      </w:r>
      <w:bookmarkStart w:id="28" w:name="_Int_CAPhtZON"/>
      <w:r w:rsidRPr="00582EF5">
        <w:t>realise</w:t>
      </w:r>
      <w:bookmarkEnd w:id="28"/>
      <w:r w:rsidRPr="00582EF5">
        <w:t xml:space="preserve"> they have PCBs stored. </w:t>
      </w:r>
    </w:p>
    <w:p w14:paraId="1C7436E1" w14:textId="3D972E6B" w:rsidR="008A7369" w:rsidRPr="00582EF5" w:rsidRDefault="00785CC0" w:rsidP="00970E8D">
      <w:pPr>
        <w:pStyle w:val="BodyText"/>
      </w:pPr>
      <w:r w:rsidRPr="00582EF5">
        <w:t xml:space="preserve">Some POPs listed under </w:t>
      </w:r>
      <w:r w:rsidR="003B0994" w:rsidRPr="00582EF5">
        <w:t xml:space="preserve">the Convention </w:t>
      </w:r>
      <w:r w:rsidRPr="00582EF5">
        <w:t xml:space="preserve">since 2001 have never been manufactured </w:t>
      </w:r>
      <w:r w:rsidR="006E015A" w:rsidRPr="00582EF5">
        <w:t>(end</w:t>
      </w:r>
      <w:r w:rsidR="003B0994" w:rsidRPr="00582EF5">
        <w:t>-</w:t>
      </w:r>
      <w:r w:rsidR="006E015A" w:rsidRPr="00582EF5">
        <w:t>use</w:t>
      </w:r>
      <w:r w:rsidR="00EC65E2" w:rsidRPr="00582EF5">
        <w:t> </w:t>
      </w:r>
      <w:r w:rsidR="006E015A" w:rsidRPr="00582EF5">
        <w:t xml:space="preserve">formulation) </w:t>
      </w:r>
      <w:r w:rsidRPr="00582EF5">
        <w:t xml:space="preserve">or used in New Zealand. Others, such as lindane, </w:t>
      </w:r>
      <w:proofErr w:type="spellStart"/>
      <w:r w:rsidR="003B0994" w:rsidRPr="00582EF5">
        <w:t>bromodiphenyl</w:t>
      </w:r>
      <w:proofErr w:type="spellEnd"/>
      <w:r w:rsidR="003B0994" w:rsidRPr="00582EF5">
        <w:t xml:space="preserve"> ethers (</w:t>
      </w:r>
      <w:r w:rsidR="00DD4250" w:rsidRPr="00582EF5">
        <w:t>BDEs</w:t>
      </w:r>
      <w:r w:rsidR="003B0994" w:rsidRPr="00582EF5">
        <w:t>)</w:t>
      </w:r>
      <w:r w:rsidRPr="00582EF5">
        <w:t xml:space="preserve">, </w:t>
      </w:r>
      <w:r w:rsidR="009E1162" w:rsidRPr="00582EF5">
        <w:t>hexabromocyclododecane (</w:t>
      </w:r>
      <w:r w:rsidRPr="00582EF5">
        <w:t>HBCD</w:t>
      </w:r>
      <w:r w:rsidR="009E1162" w:rsidRPr="00582EF5">
        <w:t>)</w:t>
      </w:r>
      <w:r w:rsidRPr="00582EF5">
        <w:t xml:space="preserve"> and </w:t>
      </w:r>
      <w:r w:rsidR="009E1162" w:rsidRPr="00582EF5">
        <w:t>pentachlorophenol (</w:t>
      </w:r>
      <w:r w:rsidRPr="00582EF5">
        <w:t>PCP</w:t>
      </w:r>
      <w:r w:rsidR="009E1162" w:rsidRPr="00582EF5">
        <w:t>)</w:t>
      </w:r>
      <w:r w:rsidR="00164FC6" w:rsidRPr="00582EF5">
        <w:t>,</w:t>
      </w:r>
      <w:r w:rsidRPr="00582EF5">
        <w:t xml:space="preserve"> have</w:t>
      </w:r>
      <w:r w:rsidR="00323560">
        <w:t xml:space="preserve"> </w:t>
      </w:r>
      <w:r w:rsidRPr="00582EF5">
        <w:t>been prevalent, predominately through imported products rather</w:t>
      </w:r>
      <w:r w:rsidR="00EC65E2" w:rsidRPr="00582EF5">
        <w:t> </w:t>
      </w:r>
      <w:r w:rsidRPr="00582EF5">
        <w:t xml:space="preserve">than manufacture. </w:t>
      </w:r>
    </w:p>
    <w:p w14:paraId="104796B7" w14:textId="1DA55C57" w:rsidR="00785CC0" w:rsidRPr="00582EF5" w:rsidRDefault="00785CC0" w:rsidP="00970E8D">
      <w:pPr>
        <w:pStyle w:val="BodyText"/>
      </w:pPr>
      <w:r w:rsidRPr="00582EF5">
        <w:t xml:space="preserve">Use of </w:t>
      </w:r>
      <w:proofErr w:type="spellStart"/>
      <w:r w:rsidR="00164FC6" w:rsidRPr="00582EF5">
        <w:t>perfluorooctane</w:t>
      </w:r>
      <w:proofErr w:type="spellEnd"/>
      <w:r w:rsidR="00164FC6" w:rsidRPr="00582EF5">
        <w:t xml:space="preserve"> sulfonic acid (</w:t>
      </w:r>
      <w:r w:rsidRPr="00582EF5">
        <w:t>PFOS</w:t>
      </w:r>
      <w:r w:rsidR="00164FC6" w:rsidRPr="00582EF5">
        <w:t>)</w:t>
      </w:r>
      <w:r w:rsidRPr="00582EF5">
        <w:t xml:space="preserve"> firefighting foams was banned in 2006. </w:t>
      </w:r>
      <w:r w:rsidR="000718F3" w:rsidRPr="00582EF5">
        <w:t xml:space="preserve">The </w:t>
      </w:r>
      <w:r w:rsidR="007A391A" w:rsidRPr="00582EF5">
        <w:t xml:space="preserve">Government </w:t>
      </w:r>
      <w:r w:rsidR="008457CC">
        <w:t>investigated</w:t>
      </w:r>
      <w:r w:rsidRPr="00582EF5">
        <w:t xml:space="preserve"> cases of non-compliant use</w:t>
      </w:r>
      <w:r w:rsidR="008A7369" w:rsidRPr="00582EF5">
        <w:t xml:space="preserve"> of PFOS firefighting foams</w:t>
      </w:r>
      <w:r w:rsidRPr="00582EF5">
        <w:t xml:space="preserve"> and legacy</w:t>
      </w:r>
      <w:r w:rsidR="00EC65E2" w:rsidRPr="00582EF5">
        <w:t> </w:t>
      </w:r>
      <w:r w:rsidRPr="00582EF5">
        <w:t>contamination</w:t>
      </w:r>
      <w:r w:rsidR="005C3D95">
        <w:t xml:space="preserve"> and found no </w:t>
      </w:r>
      <w:r w:rsidR="00914BA9">
        <w:t>intentional non-compliance</w:t>
      </w:r>
      <w:r w:rsidR="00310DE4">
        <w:t xml:space="preserve">, but </w:t>
      </w:r>
      <w:r w:rsidR="00691082">
        <w:t xml:space="preserve">the investigation under the lead of the EPA found </w:t>
      </w:r>
      <w:r w:rsidR="39DDDA58">
        <w:t>supplies</w:t>
      </w:r>
      <w:r w:rsidR="00E26846" w:rsidRPr="00E26846">
        <w:t xml:space="preserve"> of PFOS across New Zealand.</w:t>
      </w:r>
      <w:r w:rsidR="00CF0043" w:rsidRPr="00CF0043">
        <w:t xml:space="preserve"> The EPA sought to ensure that any non-compliant foam was removed and disposed of </w:t>
      </w:r>
      <w:r w:rsidR="36EAAA5B">
        <w:t xml:space="preserve">safely. </w:t>
      </w:r>
      <w:r w:rsidR="00CF0043" w:rsidRPr="00CF0043">
        <w:t>It also required that any places or equipment in contact with the foam were decontaminated, and that clean-up materials were appropriately disposed of.</w:t>
      </w:r>
      <w:r w:rsidR="00F640C9" w:rsidRPr="00F640C9">
        <w:t xml:space="preserve"> Where PFOS-contaminated foam was unable to be replaced immediately (</w:t>
      </w:r>
      <w:proofErr w:type="spellStart"/>
      <w:r w:rsidR="00C918AB">
        <w:t>eg</w:t>
      </w:r>
      <w:proofErr w:type="spellEnd"/>
      <w:r w:rsidR="00F640C9" w:rsidRPr="00F640C9">
        <w:t xml:space="preserve">, for public safety in the event of an air crash), </w:t>
      </w:r>
      <w:r w:rsidR="00F640C9">
        <w:t>the EPA</w:t>
      </w:r>
      <w:r w:rsidR="00F640C9" w:rsidRPr="00F640C9">
        <w:t xml:space="preserve"> allowed organisations to store it (in compliance with applicable EPA hazardous substances requirements) </w:t>
      </w:r>
      <w:r w:rsidR="00F640C9" w:rsidRPr="005A592A">
        <w:t>until a replacement could be found</w:t>
      </w:r>
      <w:r w:rsidR="00F640C9" w:rsidRPr="00F640C9">
        <w:t>.</w:t>
      </w:r>
      <w:r w:rsidR="005A592A">
        <w:t xml:space="preserve"> </w:t>
      </w:r>
      <w:r w:rsidR="00343A43">
        <w:t xml:space="preserve">Read the </w:t>
      </w:r>
      <w:hyperlink r:id="rId34" w:history="1">
        <w:r w:rsidR="00343A43" w:rsidRPr="00343A43">
          <w:rPr>
            <w:rStyle w:val="Hyperlink"/>
          </w:rPr>
          <w:t>Findings of the EPA national investigation into firefighting foams containing PFOS report</w:t>
        </w:r>
      </w:hyperlink>
      <w:r w:rsidR="00343A43">
        <w:t>.</w:t>
      </w:r>
    </w:p>
    <w:p w14:paraId="256DA17B" w14:textId="1C6BD4C6" w:rsidR="00785CC0" w:rsidRPr="00582EF5" w:rsidRDefault="00785CC0" w:rsidP="00970E8D">
      <w:pPr>
        <w:pStyle w:val="BodyText"/>
      </w:pPr>
      <w:r w:rsidRPr="00582EF5">
        <w:t xml:space="preserve">This historical import, manufacture and use of POP chemicals has </w:t>
      </w:r>
      <w:r w:rsidR="00FC713D">
        <w:t>impacted</w:t>
      </w:r>
      <w:r w:rsidR="00FC713D" w:rsidRPr="00582EF5">
        <w:t xml:space="preserve"> </w:t>
      </w:r>
      <w:r w:rsidRPr="00582EF5">
        <w:t>New</w:t>
      </w:r>
      <w:r w:rsidR="00A108C5" w:rsidRPr="00582EF5">
        <w:t> </w:t>
      </w:r>
      <w:r w:rsidRPr="00582EF5">
        <w:t>Zealand’s environment and people.</w:t>
      </w:r>
    </w:p>
    <w:p w14:paraId="79D8AB98" w14:textId="58219351" w:rsidR="00785CC0" w:rsidRPr="00582EF5" w:rsidRDefault="00785CC0" w:rsidP="00970E8D">
      <w:pPr>
        <w:pStyle w:val="Heading2"/>
        <w:rPr>
          <w:szCs w:val="24"/>
        </w:rPr>
      </w:pPr>
      <w:bookmarkStart w:id="29" w:name="_Toc531102780"/>
      <w:bookmarkStart w:id="30" w:name="_Toc120532234"/>
      <w:r w:rsidRPr="00582EF5">
        <w:rPr>
          <w:szCs w:val="24"/>
        </w:rPr>
        <w:t xml:space="preserve">2.2 </w:t>
      </w:r>
      <w:r w:rsidR="00A108C5" w:rsidRPr="00582EF5">
        <w:rPr>
          <w:szCs w:val="24"/>
        </w:rPr>
        <w:tab/>
      </w:r>
      <w:r w:rsidRPr="00582EF5">
        <w:rPr>
          <w:szCs w:val="24"/>
        </w:rPr>
        <w:t>Domestic policy and regulatory controls</w:t>
      </w:r>
      <w:bookmarkEnd w:id="29"/>
      <w:bookmarkEnd w:id="30"/>
    </w:p>
    <w:p w14:paraId="083BE41A" w14:textId="62199D97" w:rsidR="00785CC0" w:rsidRPr="00582EF5" w:rsidRDefault="00785CC0" w:rsidP="00680062">
      <w:pPr>
        <w:rPr>
          <w:rFonts w:eastAsiaTheme="minorHAnsi"/>
        </w:rPr>
      </w:pPr>
      <w:r w:rsidRPr="00582EF5">
        <w:rPr>
          <w:rFonts w:eastAsiaTheme="minorHAnsi"/>
        </w:rPr>
        <w:t xml:space="preserve">Article 3 of the Convention </w:t>
      </w:r>
      <w:r w:rsidRPr="00582EF5">
        <w:t xml:space="preserve">requires parties to establish the legal and administrative framework for eliminating the intentional production and use of POPs. This section updates </w:t>
      </w:r>
      <w:r w:rsidR="00C33430" w:rsidRPr="00582EF5">
        <w:t xml:space="preserve">New Zealand’s </w:t>
      </w:r>
      <w:r w:rsidRPr="00582EF5">
        <w:t xml:space="preserve">policy and regulatory framework relating to the </w:t>
      </w:r>
      <w:r w:rsidR="00A93FB4" w:rsidRPr="00582EF5">
        <w:t xml:space="preserve">Convention’s </w:t>
      </w:r>
      <w:r w:rsidRPr="00582EF5">
        <w:t>implementation.</w:t>
      </w:r>
    </w:p>
    <w:p w14:paraId="7CAA72E9" w14:textId="64100143" w:rsidR="00785CC0" w:rsidRPr="00582EF5" w:rsidRDefault="00785CC0" w:rsidP="00352562">
      <w:pPr>
        <w:pStyle w:val="Heading3"/>
      </w:pPr>
      <w:r w:rsidRPr="00582EF5">
        <w:t xml:space="preserve">2.2.1 </w:t>
      </w:r>
      <w:r w:rsidR="00A108C5" w:rsidRPr="00582EF5">
        <w:tab/>
      </w:r>
      <w:r w:rsidRPr="00582EF5">
        <w:t xml:space="preserve">Policy framework across government </w:t>
      </w:r>
    </w:p>
    <w:p w14:paraId="32076110" w14:textId="2E6F626A" w:rsidR="00785CC0" w:rsidRPr="00582EF5" w:rsidRDefault="00785CC0" w:rsidP="00352562">
      <w:pPr>
        <w:pStyle w:val="BodyText"/>
      </w:pPr>
      <w:r w:rsidRPr="00582EF5">
        <w:t>The Convention and management of POPs require cross</w:t>
      </w:r>
      <w:r w:rsidR="004C54A9" w:rsidRPr="00582EF5">
        <w:t>-</w:t>
      </w:r>
      <w:r w:rsidRPr="00582EF5">
        <w:t xml:space="preserve">government coordination. </w:t>
      </w:r>
      <w:r w:rsidR="009F3F33" w:rsidRPr="00582EF5">
        <w:t>E</w:t>
      </w:r>
      <w:r w:rsidR="00A65A39" w:rsidRPr="00582EF5">
        <w:t>ach relevant agency</w:t>
      </w:r>
      <w:r w:rsidR="009F3F33" w:rsidRPr="00582EF5">
        <w:t>’s main functions</w:t>
      </w:r>
      <w:r w:rsidRPr="00582EF5">
        <w:t xml:space="preserve">, and their contribution to the </w:t>
      </w:r>
      <w:r w:rsidR="004C54A9" w:rsidRPr="00582EF5">
        <w:t xml:space="preserve">Convention’s </w:t>
      </w:r>
      <w:r w:rsidRPr="00582EF5">
        <w:t>implementation</w:t>
      </w:r>
      <w:r w:rsidR="000718F3" w:rsidRPr="00582EF5">
        <w:t>, are</w:t>
      </w:r>
      <w:r w:rsidRPr="00582EF5">
        <w:t xml:space="preserve"> summarised below.</w:t>
      </w:r>
    </w:p>
    <w:p w14:paraId="60236592" w14:textId="77777777" w:rsidR="00785CC0" w:rsidRPr="00582EF5" w:rsidRDefault="00785CC0" w:rsidP="00352562">
      <w:pPr>
        <w:pStyle w:val="Heading4"/>
        <w:rPr>
          <w:color w:val="0F7B7D" w:themeColor="accent2"/>
          <w:szCs w:val="24"/>
        </w:rPr>
      </w:pPr>
      <w:r w:rsidRPr="00352562">
        <w:rPr>
          <w:color w:val="0F7B7D" w:themeColor="accent2"/>
          <w:szCs w:val="24"/>
        </w:rPr>
        <w:t>Ministry for the Environment</w:t>
      </w:r>
    </w:p>
    <w:p w14:paraId="48FC8C2C" w14:textId="1CF77C3E" w:rsidR="00785CC0" w:rsidRPr="00582EF5" w:rsidRDefault="00C34299" w:rsidP="00352562">
      <w:pPr>
        <w:pStyle w:val="BodyText"/>
      </w:pPr>
      <w:r w:rsidRPr="00582EF5">
        <w:t>The Ministry for the Environment (</w:t>
      </w:r>
      <w:r w:rsidR="00785CC0" w:rsidRPr="00582EF5">
        <w:t>MfE</w:t>
      </w:r>
      <w:r w:rsidRPr="00582EF5">
        <w:t>)</w:t>
      </w:r>
      <w:r w:rsidR="00785CC0" w:rsidRPr="00582EF5">
        <w:t xml:space="preserve"> leads New Zealand’s participation in the Convention. </w:t>
      </w:r>
      <w:r w:rsidR="009F3F33" w:rsidRPr="00582EF5">
        <w:t xml:space="preserve">Its </w:t>
      </w:r>
      <w:r w:rsidR="00785CC0" w:rsidRPr="00582EF5">
        <w:t>role is to advise the New</w:t>
      </w:r>
      <w:r w:rsidR="004C54A9" w:rsidRPr="00582EF5">
        <w:t> </w:t>
      </w:r>
      <w:r w:rsidR="00785CC0" w:rsidRPr="00582EF5">
        <w:t xml:space="preserve">Zealand Government on environmental issues. </w:t>
      </w:r>
      <w:r w:rsidR="009F3F33" w:rsidRPr="00582EF5">
        <w:t xml:space="preserve">MfE </w:t>
      </w:r>
      <w:r w:rsidR="00785CC0" w:rsidRPr="00582EF5">
        <w:t>is responsible for environmental legislation relevant to POPs, in particular the Resource Management Act 1991 (RMA)</w:t>
      </w:r>
      <w:r w:rsidR="006C1C1F" w:rsidRPr="00582EF5">
        <w:t>,</w:t>
      </w:r>
      <w:r w:rsidR="00785CC0" w:rsidRPr="00582EF5">
        <w:t xml:space="preserve"> HSNO Act</w:t>
      </w:r>
      <w:r w:rsidR="00D3378F" w:rsidRPr="00582EF5">
        <w:t xml:space="preserve"> 1996</w:t>
      </w:r>
      <w:r w:rsidR="00785CC0" w:rsidRPr="00582EF5">
        <w:t xml:space="preserve"> and Waste Minimisation Act</w:t>
      </w:r>
      <w:r w:rsidR="00854061" w:rsidRPr="00582EF5">
        <w:t xml:space="preserve"> </w:t>
      </w:r>
      <w:r w:rsidR="00D3378F" w:rsidRPr="00582EF5">
        <w:t xml:space="preserve">2008 </w:t>
      </w:r>
      <w:r w:rsidR="00854061" w:rsidRPr="00582EF5">
        <w:t>(WMA)</w:t>
      </w:r>
      <w:r w:rsidR="00785CC0" w:rsidRPr="00582EF5">
        <w:t>. MfE also monitor</w:t>
      </w:r>
      <w:r w:rsidR="009F3F33" w:rsidRPr="00582EF5">
        <w:t>s</w:t>
      </w:r>
      <w:r w:rsidR="00785CC0" w:rsidRPr="00582EF5">
        <w:t xml:space="preserve"> the performance of the </w:t>
      </w:r>
      <w:r w:rsidR="006E4DE8" w:rsidRPr="00582EF5">
        <w:t>Environmental Protection Authority (</w:t>
      </w:r>
      <w:r w:rsidR="00785CC0" w:rsidRPr="00582EF5">
        <w:t>EPA</w:t>
      </w:r>
      <w:r w:rsidR="006E4DE8" w:rsidRPr="00582EF5">
        <w:t>)</w:t>
      </w:r>
      <w:r w:rsidR="006C1C1F" w:rsidRPr="00582EF5">
        <w:t xml:space="preserve"> on behalf of the Minister for the Environment</w:t>
      </w:r>
      <w:r w:rsidR="00785CC0" w:rsidRPr="00582EF5">
        <w:t xml:space="preserve">. As such, MfE is responsible for coordinating the implementation of the Convention across </w:t>
      </w:r>
      <w:r w:rsidR="009F3F33" w:rsidRPr="00582EF5">
        <w:t>g</w:t>
      </w:r>
      <w:r w:rsidR="00785CC0" w:rsidRPr="00582EF5">
        <w:t>overnment and leads parti</w:t>
      </w:r>
      <w:r w:rsidR="000E3F49">
        <w:t xml:space="preserve">cipation in the Convention’s Conference of </w:t>
      </w:r>
      <w:r w:rsidR="00E52207">
        <w:t xml:space="preserve">the </w:t>
      </w:r>
      <w:r w:rsidR="000E3F49">
        <w:t>Parties</w:t>
      </w:r>
      <w:r w:rsidR="00785CC0" w:rsidRPr="00582EF5">
        <w:t xml:space="preserve">. </w:t>
      </w:r>
    </w:p>
    <w:p w14:paraId="1B9A50AC" w14:textId="33A57D34" w:rsidR="00785CC0" w:rsidRPr="00582EF5" w:rsidRDefault="00A703F9" w:rsidP="00352562">
      <w:pPr>
        <w:pStyle w:val="Heading4"/>
        <w:rPr>
          <w:color w:val="0F7B7D" w:themeColor="accent2"/>
          <w:szCs w:val="24"/>
        </w:rPr>
      </w:pPr>
      <w:r w:rsidRPr="00352562">
        <w:rPr>
          <w:color w:val="0F7B7D" w:themeColor="accent2"/>
          <w:szCs w:val="24"/>
        </w:rPr>
        <w:lastRenderedPageBreak/>
        <w:t xml:space="preserve">New Zealand </w:t>
      </w:r>
      <w:r w:rsidR="00785CC0" w:rsidRPr="00352562">
        <w:rPr>
          <w:color w:val="0F7B7D" w:themeColor="accent2"/>
          <w:szCs w:val="24"/>
        </w:rPr>
        <w:t>Customs</w:t>
      </w:r>
      <w:r w:rsidRPr="00352562">
        <w:rPr>
          <w:color w:val="0F7B7D" w:themeColor="accent2"/>
          <w:szCs w:val="24"/>
        </w:rPr>
        <w:t xml:space="preserve"> Service</w:t>
      </w:r>
    </w:p>
    <w:p w14:paraId="318E7B8A" w14:textId="6BD443E7" w:rsidR="00621220" w:rsidRPr="00582EF5" w:rsidRDefault="00621220" w:rsidP="00352562">
      <w:pPr>
        <w:pStyle w:val="BodyText"/>
      </w:pPr>
      <w:r w:rsidRPr="00582EF5">
        <w:t xml:space="preserve">The New Zealand Customs Service (Customs) is the border enforcement agency. </w:t>
      </w:r>
      <w:r w:rsidR="000F5332">
        <w:t xml:space="preserve">Where </w:t>
      </w:r>
      <w:r>
        <w:t xml:space="preserve">practicable </w:t>
      </w:r>
      <w:r w:rsidR="000F5332">
        <w:t xml:space="preserve">it monitors </w:t>
      </w:r>
      <w:r w:rsidRPr="00582EF5">
        <w:t xml:space="preserve">the cross-border movement of goods for compliance with relevant legislative requirements. </w:t>
      </w:r>
      <w:r>
        <w:t>I</w:t>
      </w:r>
      <w:r w:rsidRPr="00582EF5">
        <w:t xml:space="preserve">mporters and exporters </w:t>
      </w:r>
      <w:r>
        <w:t xml:space="preserve">are required </w:t>
      </w:r>
      <w:r w:rsidRPr="00582EF5">
        <w:t>to lodge electronic entries with Customs for goods imported into and exported from New Zealand.</w:t>
      </w:r>
      <w:r>
        <w:t xml:space="preserve"> Such entries are lodged in accordance with global Customs </w:t>
      </w:r>
      <w:r w:rsidR="577ED1A0">
        <w:t>rule</w:t>
      </w:r>
      <w:r w:rsidR="7D7EB66E">
        <w:t>s</w:t>
      </w:r>
      <w:r>
        <w:t xml:space="preserve"> and are classified in accordance with the harmonised Customs’ nomenclature system. </w:t>
      </w:r>
      <w:r w:rsidRPr="00582EF5">
        <w:t>In practice, shipments identified</w:t>
      </w:r>
      <w:r>
        <w:t xml:space="preserve"> by their classification</w:t>
      </w:r>
      <w:r w:rsidRPr="00582EF5">
        <w:t xml:space="preserve"> as being covered by an import or export </w:t>
      </w:r>
      <w:r>
        <w:t>restriction</w:t>
      </w:r>
      <w:r w:rsidRPr="00582EF5">
        <w:t xml:space="preserve"> are held by Customs until the importer or exporter produces the required approval from the government agency administering the legislation.</w:t>
      </w:r>
      <w:r>
        <w:t xml:space="preserve"> </w:t>
      </w:r>
      <w:r w:rsidR="00566599">
        <w:t>If approval is not given</w:t>
      </w:r>
      <w:r>
        <w:t>, the goods, as unlawful imports/exports, are forfeit and may be seized by Customs.</w:t>
      </w:r>
    </w:p>
    <w:p w14:paraId="7B512662" w14:textId="77777777" w:rsidR="00785CC0" w:rsidRPr="00582EF5" w:rsidRDefault="00785CC0" w:rsidP="00352562">
      <w:pPr>
        <w:pStyle w:val="Heading4"/>
      </w:pPr>
      <w:r w:rsidRPr="00352562">
        <w:rPr>
          <w:color w:val="0F7B7D" w:themeColor="accent2"/>
          <w:szCs w:val="24"/>
        </w:rPr>
        <w:t>Environmental Protection Authority</w:t>
      </w:r>
    </w:p>
    <w:p w14:paraId="733A806C" w14:textId="72EA54FE" w:rsidR="00785CC0" w:rsidRPr="00582EF5" w:rsidRDefault="0D241B68" w:rsidP="00352562">
      <w:pPr>
        <w:pStyle w:val="BodyText"/>
      </w:pPr>
      <w:r>
        <w:t>EPA (previously the Environmental Risk Management Authority) has regulatory responsibilities for contributing to the efficient, effective and transparent management of New</w:t>
      </w:r>
      <w:r w:rsidR="0CCDA239">
        <w:t> </w:t>
      </w:r>
      <w:r>
        <w:t xml:space="preserve">Zealand’s environment and natural and physical resources. It also has the function of enabling New Zealand to meet its international obligations. </w:t>
      </w:r>
    </w:p>
    <w:p w14:paraId="265DB522" w14:textId="341792BD" w:rsidR="00785CC0" w:rsidRPr="00582EF5" w:rsidRDefault="00527E01" w:rsidP="00352562">
      <w:pPr>
        <w:pStyle w:val="BodyText"/>
      </w:pPr>
      <w:r w:rsidRPr="00582EF5">
        <w:t>In r</w:t>
      </w:r>
      <w:r w:rsidR="00785CC0" w:rsidRPr="00582EF5">
        <w:t>elati</w:t>
      </w:r>
      <w:r w:rsidRPr="00582EF5">
        <w:t>o</w:t>
      </w:r>
      <w:r w:rsidR="00785CC0" w:rsidRPr="00582EF5">
        <w:t xml:space="preserve">n to the </w:t>
      </w:r>
      <w:r w:rsidRPr="00582EF5">
        <w:t xml:space="preserve">Convention’s </w:t>
      </w:r>
      <w:r w:rsidR="00785CC0" w:rsidRPr="00582EF5">
        <w:t>implementation, EPA is responsible for regulating hazardous substances (including POPs) under the HSNO Act 1996. This includes pesticides,</w:t>
      </w:r>
      <w:r w:rsidR="00D13814">
        <w:t xml:space="preserve"> industrial chemicals,</w:t>
      </w:r>
      <w:r w:rsidR="00785CC0" w:rsidRPr="00582EF5">
        <w:t xml:space="preserve"> household chemicals, </w:t>
      </w:r>
      <w:r w:rsidR="00964445" w:rsidRPr="00582EF5">
        <w:t>cosmetics,</w:t>
      </w:r>
      <w:r w:rsidR="00785CC0" w:rsidRPr="00582EF5">
        <w:t xml:space="preserve"> and other dangerous goods. EPA is responsible for approv</w:t>
      </w:r>
      <w:r w:rsidR="00FB7B0A" w:rsidRPr="00582EF5">
        <w:t>ing</w:t>
      </w:r>
      <w:r w:rsidR="00785CC0" w:rsidRPr="00582EF5">
        <w:t xml:space="preserve"> new hazardous substances for use in New Zealand and </w:t>
      </w:r>
      <w:r w:rsidR="000D0097" w:rsidRPr="00582EF5">
        <w:t xml:space="preserve">implementing </w:t>
      </w:r>
      <w:r w:rsidR="00785CC0" w:rsidRPr="00582EF5">
        <w:t>rules to manage any risks to people and the environment associated with the use of hazardous substances.</w:t>
      </w:r>
    </w:p>
    <w:p w14:paraId="73FAA39A" w14:textId="54C95595" w:rsidR="00785CC0" w:rsidRDefault="00785CC0" w:rsidP="00352562">
      <w:pPr>
        <w:pStyle w:val="BodyText"/>
      </w:pPr>
      <w:r w:rsidRPr="00582EF5">
        <w:t xml:space="preserve">EPA is also responsible for regulating and enforcing any </w:t>
      </w:r>
      <w:r w:rsidR="00471C75">
        <w:t xml:space="preserve">domestic </w:t>
      </w:r>
      <w:r w:rsidRPr="00582EF5">
        <w:t>bans on POPs listed under the HSNO Act</w:t>
      </w:r>
      <w:r w:rsidR="00D3378F" w:rsidRPr="00582EF5">
        <w:t xml:space="preserve"> 1996</w:t>
      </w:r>
      <w:r w:rsidRPr="00582EF5">
        <w:t xml:space="preserve">. Regulation of storage, handling and disposal is done through the </w:t>
      </w:r>
      <w:hyperlink r:id="rId35" w:history="1">
        <w:r w:rsidR="005B7A4A" w:rsidRPr="0072371D">
          <w:rPr>
            <w:rStyle w:val="Hyperlink"/>
          </w:rPr>
          <w:t>Hazardous Substances (Disposal) notice 2017</w:t>
        </w:r>
      </w:hyperlink>
      <w:r w:rsidR="0072371D">
        <w:t xml:space="preserve"> </w:t>
      </w:r>
      <w:r w:rsidRPr="00582EF5">
        <w:t>.</w:t>
      </w:r>
      <w:r w:rsidR="00352562">
        <w:t xml:space="preserve"> </w:t>
      </w:r>
      <w:r w:rsidR="007A2200" w:rsidRPr="007A2200">
        <w:t xml:space="preserve">This Notice is currently </w:t>
      </w:r>
      <w:r w:rsidR="0072371D">
        <w:t>being revised</w:t>
      </w:r>
      <w:r w:rsidR="007A2200" w:rsidRPr="007A2200">
        <w:t xml:space="preserve"> and an updated version will be published in 2023.</w:t>
      </w:r>
    </w:p>
    <w:p w14:paraId="171E204B" w14:textId="4AE506CD" w:rsidR="00E0199B" w:rsidRPr="00582EF5" w:rsidRDefault="00E0199B" w:rsidP="00352562">
      <w:pPr>
        <w:pStyle w:val="BodyText"/>
      </w:pPr>
      <w:r w:rsidRPr="00E0199B">
        <w:t xml:space="preserve">Under the HSNO Act, the EPA issued the </w:t>
      </w:r>
      <w:hyperlink r:id="rId36" w:history="1">
        <w:r w:rsidRPr="00DE2788">
          <w:rPr>
            <w:rStyle w:val="Hyperlink"/>
          </w:rPr>
          <w:t>Fire Fighting Chemicals Group Standard 2021</w:t>
        </w:r>
      </w:hyperlink>
      <w:r w:rsidRPr="00E0199B">
        <w:t>. This implements the phase out of fire</w:t>
      </w:r>
      <w:r w:rsidR="00ED5AD2">
        <w:t>-</w:t>
      </w:r>
      <w:r w:rsidRPr="00E0199B">
        <w:t xml:space="preserve">fighting foam products containing PFOA, it salts and PFOA-related compounds </w:t>
      </w:r>
      <w:r w:rsidR="00DE2788" w:rsidRPr="009F3BAF">
        <w:t>in accordance with the specific exemption in the listing of that POP in Annex A of the Convention</w:t>
      </w:r>
      <w:r w:rsidRPr="00E0199B">
        <w:t>.</w:t>
      </w:r>
      <w:r w:rsidR="00A03B66">
        <w:t xml:space="preserve"> </w:t>
      </w:r>
    </w:p>
    <w:p w14:paraId="71634B5F" w14:textId="4FDA1E32" w:rsidR="00785CC0" w:rsidRPr="00582EF5" w:rsidRDefault="00785CC0" w:rsidP="00352562">
      <w:pPr>
        <w:pStyle w:val="BodyText"/>
      </w:pPr>
      <w:r w:rsidRPr="00582EF5">
        <w:t xml:space="preserve">Under the </w:t>
      </w:r>
      <w:hyperlink r:id="rId37" w:history="1">
        <w:r w:rsidRPr="001D37E5">
          <w:rPr>
            <w:rStyle w:val="Hyperlink"/>
          </w:rPr>
          <w:t>Imports and Exports (Restrictions) Prohibition Order (No 2) 2004</w:t>
        </w:r>
      </w:hyperlink>
      <w:r w:rsidRPr="001D37E5">
        <w:t xml:space="preserve"> (I&amp;E Order 2004)</w:t>
      </w:r>
      <w:r w:rsidRPr="00582EF5">
        <w:t xml:space="preserve">, EPA </w:t>
      </w:r>
      <w:r w:rsidR="00FF7069" w:rsidRPr="00582EF5">
        <w:t>is</w:t>
      </w:r>
      <w:r w:rsidR="000E60AF" w:rsidRPr="00582EF5">
        <w:t xml:space="preserve"> authori</w:t>
      </w:r>
      <w:r w:rsidR="00FF7069" w:rsidRPr="00582EF5">
        <w:t>sed</w:t>
      </w:r>
      <w:r w:rsidR="000E60AF" w:rsidRPr="00582EF5">
        <w:t xml:space="preserve"> to grant permits for</w:t>
      </w:r>
      <w:r w:rsidRPr="00582EF5">
        <w:t xml:space="preserve"> exportation of </w:t>
      </w:r>
      <w:r w:rsidR="00D13814">
        <w:t>POPs</w:t>
      </w:r>
      <w:r w:rsidR="00D13814" w:rsidRPr="00582EF5">
        <w:t xml:space="preserve"> </w:t>
      </w:r>
      <w:r w:rsidR="000E60AF" w:rsidRPr="00582EF5">
        <w:t xml:space="preserve">and hazardous waste </w:t>
      </w:r>
      <w:r w:rsidR="005B120E" w:rsidRPr="00582EF5">
        <w:t xml:space="preserve">(including POP wastes) </w:t>
      </w:r>
      <w:r w:rsidRPr="00582EF5">
        <w:t>in accordance with New Zealand’s obligations under the Convention and other international agreements.</w:t>
      </w:r>
    </w:p>
    <w:p w14:paraId="094F623E" w14:textId="77777777" w:rsidR="00785CC0" w:rsidRPr="00582EF5" w:rsidRDefault="00785CC0" w:rsidP="00352562">
      <w:pPr>
        <w:pStyle w:val="Heading4"/>
      </w:pPr>
      <w:r w:rsidRPr="00582EF5">
        <w:t>Ministry of Health</w:t>
      </w:r>
    </w:p>
    <w:p w14:paraId="45789933" w14:textId="136D0F21" w:rsidR="00785CC0" w:rsidRPr="00582EF5" w:rsidRDefault="00785CC0" w:rsidP="00352562">
      <w:pPr>
        <w:pStyle w:val="BodyText"/>
      </w:pPr>
      <w:r w:rsidRPr="00582EF5">
        <w:t xml:space="preserve">The </w:t>
      </w:r>
      <w:r w:rsidR="006E4DE8" w:rsidRPr="00582EF5">
        <w:t>Ministry of Health (</w:t>
      </w:r>
      <w:r w:rsidRPr="00582EF5">
        <w:t>MOH</w:t>
      </w:r>
      <w:r w:rsidR="006E4DE8" w:rsidRPr="00582EF5">
        <w:t>)</w:t>
      </w:r>
      <w:r w:rsidRPr="00582EF5">
        <w:t xml:space="preserve"> is responsible for advising on health policy, including environmental health, health protection criteria for POPs in drinking water and the impact </w:t>
      </w:r>
      <w:r w:rsidR="005773C3" w:rsidRPr="00582EF5">
        <w:t xml:space="preserve">on public health from </w:t>
      </w:r>
      <w:r w:rsidRPr="00582EF5">
        <w:t xml:space="preserve">exposure to POPs. MOH periodically commissions </w:t>
      </w:r>
      <w:r w:rsidR="00454909" w:rsidRPr="00582EF5">
        <w:t xml:space="preserve">biomonitoring </w:t>
      </w:r>
      <w:r w:rsidRPr="00582EF5">
        <w:t xml:space="preserve">studies of </w:t>
      </w:r>
      <w:r w:rsidR="00454909" w:rsidRPr="00582EF5">
        <w:t xml:space="preserve">the </w:t>
      </w:r>
      <w:r w:rsidRPr="00582EF5">
        <w:t xml:space="preserve">concentrations of POPs in </w:t>
      </w:r>
      <w:r w:rsidR="00454909" w:rsidRPr="00582EF5">
        <w:t xml:space="preserve">the </w:t>
      </w:r>
      <w:r w:rsidRPr="00582EF5">
        <w:t>New Zealand</w:t>
      </w:r>
      <w:r w:rsidR="00454909" w:rsidRPr="00582EF5">
        <w:t xml:space="preserve"> population</w:t>
      </w:r>
      <w:r w:rsidR="000E1AB6" w:rsidRPr="00582EF5">
        <w:t xml:space="preserve"> (see </w:t>
      </w:r>
      <w:r w:rsidR="005773C3" w:rsidRPr="00582EF5">
        <w:t>c</w:t>
      </w:r>
      <w:r w:rsidRPr="00582EF5">
        <w:t>hapter 7).</w:t>
      </w:r>
    </w:p>
    <w:p w14:paraId="0105F17F" w14:textId="525DFB3B" w:rsidR="4855A81F" w:rsidRPr="00352562" w:rsidRDefault="5814C211" w:rsidP="00352562">
      <w:pPr>
        <w:pStyle w:val="Heading4"/>
      </w:pPr>
      <w:proofErr w:type="spellStart"/>
      <w:r w:rsidRPr="00352562">
        <w:t>Taumata</w:t>
      </w:r>
      <w:proofErr w:type="spellEnd"/>
      <w:r w:rsidRPr="00352562">
        <w:t xml:space="preserve"> </w:t>
      </w:r>
      <w:proofErr w:type="spellStart"/>
      <w:r w:rsidRPr="00352562">
        <w:t>Arowai</w:t>
      </w:r>
      <w:proofErr w:type="spellEnd"/>
    </w:p>
    <w:p w14:paraId="12C75ECE" w14:textId="5355F3CB" w:rsidR="5E15E78E" w:rsidRDefault="00C935AD" w:rsidP="00352562">
      <w:pPr>
        <w:pStyle w:val="BodyText"/>
      </w:pPr>
      <w:hyperlink r:id="rId38" w:history="1">
        <w:proofErr w:type="spellStart"/>
        <w:r w:rsidRPr="00C935AD">
          <w:rPr>
            <w:rStyle w:val="Hyperlink"/>
          </w:rPr>
          <w:t>Taumata</w:t>
        </w:r>
        <w:proofErr w:type="spellEnd"/>
        <w:r w:rsidRPr="00C935AD">
          <w:rPr>
            <w:rStyle w:val="Hyperlink"/>
          </w:rPr>
          <w:t xml:space="preserve"> </w:t>
        </w:r>
        <w:proofErr w:type="spellStart"/>
        <w:r w:rsidRPr="00C935AD">
          <w:rPr>
            <w:rStyle w:val="Hyperlink"/>
          </w:rPr>
          <w:t>Arowai</w:t>
        </w:r>
        <w:proofErr w:type="spellEnd"/>
      </w:hyperlink>
      <w:r w:rsidRPr="00C24250">
        <w:t xml:space="preserve"> was formed in 2021</w:t>
      </w:r>
      <w:r w:rsidR="001163C9">
        <w:t xml:space="preserve"> and has the regulatory responsibility for drinking water in New Zealand, with the introduction of </w:t>
      </w:r>
      <w:hyperlink r:id="rId39" w:history="1">
        <w:r w:rsidR="001163C9" w:rsidRPr="009134F2">
          <w:rPr>
            <w:rStyle w:val="Hyperlink"/>
          </w:rPr>
          <w:t>the Water Services Act 2021</w:t>
        </w:r>
      </w:hyperlink>
      <w:r w:rsidR="001163C9">
        <w:t>.</w:t>
      </w:r>
      <w:r w:rsidR="00776A89">
        <w:t xml:space="preserve"> </w:t>
      </w:r>
      <w:r w:rsidR="001163C9">
        <w:t xml:space="preserve">This </w:t>
      </w:r>
      <w:r w:rsidRPr="00C24250">
        <w:t>new agency</w:t>
      </w:r>
      <w:r w:rsidR="001163C9">
        <w:t xml:space="preserve"> is </w:t>
      </w:r>
      <w:r w:rsidR="001163C9">
        <w:lastRenderedPageBreak/>
        <w:t xml:space="preserve">responsible for protecting people and communities from serious risk to their health due to the quality or quantity of drinking water being supplied and support the water services sector to improve its performance and environmental outcomes. </w:t>
      </w:r>
      <w:r w:rsidRPr="00C24250">
        <w:t>This also includes monitoring for several POPs in drinking water supply</w:t>
      </w:r>
      <w:r w:rsidR="00E86E8F" w:rsidDel="001163C9">
        <w:t>.</w:t>
      </w:r>
    </w:p>
    <w:p w14:paraId="3E9A079A" w14:textId="77777777" w:rsidR="00785CC0" w:rsidRPr="00582EF5" w:rsidRDefault="00785CC0" w:rsidP="00352562">
      <w:pPr>
        <w:pStyle w:val="Heading4"/>
      </w:pPr>
      <w:r w:rsidRPr="00582EF5">
        <w:t>Ministry of Foreign Affairs and Trade</w:t>
      </w:r>
    </w:p>
    <w:p w14:paraId="36228320" w14:textId="5D683E3A" w:rsidR="00785CC0" w:rsidRPr="00582EF5" w:rsidRDefault="00785CC0" w:rsidP="00352562">
      <w:pPr>
        <w:pStyle w:val="BodyText"/>
      </w:pPr>
      <w:r w:rsidRPr="00582EF5">
        <w:t xml:space="preserve">The </w:t>
      </w:r>
      <w:r w:rsidR="006E4DE8" w:rsidRPr="00582EF5">
        <w:t>Ministr</w:t>
      </w:r>
      <w:r w:rsidR="00CB3646">
        <w:t>y of Foreign Affairs and Trade</w:t>
      </w:r>
      <w:r w:rsidRPr="00582EF5">
        <w:t xml:space="preserve"> </w:t>
      </w:r>
      <w:r w:rsidR="009C51F4">
        <w:t>(MFAT)</w:t>
      </w:r>
      <w:r w:rsidR="004E1D97">
        <w:t xml:space="preserve"> </w:t>
      </w:r>
      <w:r w:rsidRPr="00582EF5">
        <w:t>advises on New Zealand’s international involvement on POP issues</w:t>
      </w:r>
      <w:r w:rsidR="005773C3" w:rsidRPr="00582EF5">
        <w:t>.</w:t>
      </w:r>
      <w:r w:rsidRPr="00582EF5">
        <w:t xml:space="preserve"> </w:t>
      </w:r>
      <w:r w:rsidR="005773C3" w:rsidRPr="00582EF5">
        <w:t xml:space="preserve">It </w:t>
      </w:r>
      <w:r w:rsidRPr="00582EF5">
        <w:t xml:space="preserve">coordinates the </w:t>
      </w:r>
      <w:r w:rsidR="00D12A2A" w:rsidRPr="00582EF5">
        <w:t xml:space="preserve">New Zealand </w:t>
      </w:r>
      <w:r w:rsidRPr="00582EF5">
        <w:t>Government’s financial support to the Convention (via the Global Environment</w:t>
      </w:r>
      <w:r w:rsidR="00EC65E2" w:rsidRPr="00582EF5">
        <w:t> </w:t>
      </w:r>
      <w:r w:rsidRPr="00582EF5">
        <w:t xml:space="preserve">Facility). </w:t>
      </w:r>
    </w:p>
    <w:p w14:paraId="650D36D8" w14:textId="2ACE1DF2" w:rsidR="00785CC0" w:rsidRPr="00582EF5" w:rsidRDefault="006E015A" w:rsidP="00352562">
      <w:pPr>
        <w:pStyle w:val="Heading4"/>
      </w:pPr>
      <w:r w:rsidRPr="00582EF5">
        <w:t>Ministry for</w:t>
      </w:r>
      <w:r w:rsidR="00785CC0" w:rsidRPr="00582EF5">
        <w:t xml:space="preserve"> Primary Industries</w:t>
      </w:r>
      <w:r w:rsidR="00276442" w:rsidRPr="00582EF5">
        <w:t xml:space="preserve"> </w:t>
      </w:r>
    </w:p>
    <w:p w14:paraId="7038A4D7" w14:textId="77EDAC55" w:rsidR="0D241B68" w:rsidRDefault="5CC3CFFC" w:rsidP="00352562">
      <w:pPr>
        <w:pStyle w:val="BodyText"/>
      </w:pPr>
      <w:r>
        <w:t xml:space="preserve">The Ministry for Primary Industries (MPI) is responsible for issues relating to POPs in foods, particularly dioxins. Agricultural </w:t>
      </w:r>
      <w:r w:rsidR="00854B65">
        <w:t>compound-based</w:t>
      </w:r>
      <w:r>
        <w:t xml:space="preserve"> POPs used in historic products need to comply with </w:t>
      </w:r>
      <w:r w:rsidRPr="00C24250">
        <w:t xml:space="preserve">the </w:t>
      </w:r>
      <w:hyperlink r:id="rId40" w:history="1">
        <w:r w:rsidRPr="00C24250">
          <w:rPr>
            <w:rStyle w:val="Hyperlink"/>
          </w:rPr>
          <w:t>Food Act 2014</w:t>
        </w:r>
      </w:hyperlink>
      <w:r w:rsidRPr="00C24250">
        <w:t xml:space="preserve"> and its regulations</w:t>
      </w:r>
      <w:r>
        <w:t xml:space="preserve"> relating to maximum residue levels for agricultural compounds. In addition, the </w:t>
      </w:r>
      <w:hyperlink r:id="rId41" w:history="1">
        <w:r w:rsidRPr="00807817">
          <w:rPr>
            <w:rStyle w:val="Hyperlink"/>
          </w:rPr>
          <w:t>Animal Products Act 1999</w:t>
        </w:r>
      </w:hyperlink>
      <w:r>
        <w:t xml:space="preserve"> sets requirements including limits for agricultural compounds and contaminants in animal produce for export and an associated monitoring and surveillance programme. MPI works closely with Food Standards Australia New Zealand to protect consumers from any risk posed by POPs not used as agricultural compounds in food by making sure appropriate food standards are included in the </w:t>
      </w:r>
      <w:hyperlink r:id="rId42" w:history="1">
        <w:r w:rsidRPr="00807817">
          <w:rPr>
            <w:rStyle w:val="Hyperlink"/>
          </w:rPr>
          <w:t>joint Australia New Zealand Food Standards Code</w:t>
        </w:r>
      </w:hyperlink>
      <w:r>
        <w:t>.</w:t>
      </w:r>
    </w:p>
    <w:p w14:paraId="0DF0FBC2" w14:textId="615D44DD" w:rsidR="5CC3CFFC" w:rsidRDefault="5CC3CFFC" w:rsidP="00352562">
      <w:pPr>
        <w:jc w:val="left"/>
      </w:pPr>
      <w:r>
        <w:t xml:space="preserve">MPI is also responsible for </w:t>
      </w:r>
      <w:r w:rsidR="00C24250" w:rsidRPr="00C24250">
        <w:t>policy and regulation</w:t>
      </w:r>
      <w:r>
        <w:t xml:space="preserve"> of agricultural compounds and veterinary medicines (</w:t>
      </w:r>
      <w:hyperlink r:id="rId43" w:history="1">
        <w:r w:rsidRPr="00CD69A7">
          <w:rPr>
            <w:rStyle w:val="Hyperlink"/>
          </w:rPr>
          <w:t>ACVMs</w:t>
        </w:r>
      </w:hyperlink>
      <w:r>
        <w:t xml:space="preserve">), including their </w:t>
      </w:r>
      <w:hyperlink r:id="rId44" w:history="1">
        <w:r w:rsidRPr="003122D3">
          <w:rPr>
            <w:rStyle w:val="Hyperlink"/>
          </w:rPr>
          <w:t xml:space="preserve">import, </w:t>
        </w:r>
        <w:r w:rsidR="00854B65" w:rsidRPr="003122D3">
          <w:rPr>
            <w:rStyle w:val="Hyperlink"/>
          </w:rPr>
          <w:t>manufacture,</w:t>
        </w:r>
        <w:r w:rsidRPr="003122D3">
          <w:rPr>
            <w:rStyle w:val="Hyperlink"/>
          </w:rPr>
          <w:t xml:space="preserve"> and sale</w:t>
        </w:r>
      </w:hyperlink>
      <w:r>
        <w:t>.</w:t>
      </w:r>
      <w:r w:rsidR="00352562">
        <w:t xml:space="preserve"> </w:t>
      </w:r>
      <w:r>
        <w:t xml:space="preserve">This includes prohibiting the use of POPs as agricultural compounds via </w:t>
      </w:r>
      <w:r w:rsidR="00A53FE3">
        <w:t>r</w:t>
      </w:r>
      <w:r>
        <w:t xml:space="preserve">egulations. MPI periodically releases studies relating to New Zealand's primary industry and POPs (see </w:t>
      </w:r>
      <w:hyperlink w:anchor="_Chapter_7:_Effectiveness" w:history="1">
        <w:r w:rsidRPr="00C24250">
          <w:rPr>
            <w:rStyle w:val="Hyperlink"/>
          </w:rPr>
          <w:t>chapter 7</w:t>
        </w:r>
      </w:hyperlink>
      <w:r>
        <w:t>).</w:t>
      </w:r>
    </w:p>
    <w:p w14:paraId="1965E2B8" w14:textId="0A040098" w:rsidR="00785CC0" w:rsidRPr="00582EF5" w:rsidRDefault="00785CC0" w:rsidP="00352562">
      <w:pPr>
        <w:pStyle w:val="Heading4"/>
      </w:pPr>
      <w:r w:rsidRPr="00582EF5">
        <w:t>Ministry of Business, Innovation and Employment</w:t>
      </w:r>
    </w:p>
    <w:p w14:paraId="74B7742C" w14:textId="3DB8681C" w:rsidR="00785CC0" w:rsidRPr="00582EF5" w:rsidRDefault="0D241B68" w:rsidP="00352562">
      <w:pPr>
        <w:pStyle w:val="BodyText"/>
      </w:pPr>
      <w:r w:rsidRPr="00582EF5">
        <w:t xml:space="preserve">The </w:t>
      </w:r>
      <w:r w:rsidR="60C11ADE" w:rsidRPr="00582EF5">
        <w:t>Ministry of Business, Innovation and Employment (</w:t>
      </w:r>
      <w:r w:rsidRPr="00582EF5">
        <w:t>MBIE</w:t>
      </w:r>
      <w:r w:rsidR="1950DF77" w:rsidRPr="00582EF5">
        <w:t>)</w:t>
      </w:r>
      <w:r w:rsidRPr="00582EF5">
        <w:t xml:space="preserve"> is responsible for policy relating to workplace safety, includ</w:t>
      </w:r>
      <w:r w:rsidR="1950DF77" w:rsidRPr="00582EF5">
        <w:t>ing</w:t>
      </w:r>
      <w:r w:rsidRPr="00582EF5">
        <w:t xml:space="preserve"> administration of the </w:t>
      </w:r>
      <w:hyperlink r:id="rId45" w:history="1">
        <w:r w:rsidRPr="003122D3">
          <w:rPr>
            <w:rStyle w:val="Hyperlink"/>
          </w:rPr>
          <w:t>Health and Safety</w:t>
        </w:r>
        <w:r w:rsidR="1950DF77" w:rsidRPr="003122D3">
          <w:rPr>
            <w:rStyle w:val="Hyperlink"/>
          </w:rPr>
          <w:t xml:space="preserve"> at</w:t>
        </w:r>
        <w:r w:rsidRPr="003122D3">
          <w:rPr>
            <w:rStyle w:val="Hyperlink"/>
          </w:rPr>
          <w:t xml:space="preserve"> Work Act 2015 (</w:t>
        </w:r>
        <w:bookmarkStart w:id="31" w:name="_Int_JfObwbyy"/>
        <w:r w:rsidRPr="003122D3">
          <w:rPr>
            <w:rStyle w:val="Hyperlink"/>
          </w:rPr>
          <w:t>HSWA</w:t>
        </w:r>
        <w:bookmarkEnd w:id="31"/>
        <w:r w:rsidRPr="003122D3">
          <w:rPr>
            <w:rStyle w:val="Hyperlink"/>
          </w:rPr>
          <w:t>)</w:t>
        </w:r>
      </w:hyperlink>
      <w:r w:rsidRPr="00582EF5">
        <w:t>.</w:t>
      </w:r>
    </w:p>
    <w:p w14:paraId="3CF0B931" w14:textId="153FEE6E" w:rsidR="00785CC0" w:rsidRPr="00582EF5" w:rsidRDefault="00785CC0" w:rsidP="00352562">
      <w:pPr>
        <w:pStyle w:val="BodyText"/>
      </w:pPr>
      <w:r w:rsidRPr="00582EF5">
        <w:t xml:space="preserve">MBIE also has policy oversight of the </w:t>
      </w:r>
      <w:r w:rsidR="00D3378F" w:rsidRPr="00582EF5">
        <w:t>Import</w:t>
      </w:r>
      <w:r w:rsidR="0065426D" w:rsidRPr="00582EF5">
        <w:t>s</w:t>
      </w:r>
      <w:r w:rsidR="00D3378F" w:rsidRPr="00582EF5">
        <w:t xml:space="preserve"> and Export</w:t>
      </w:r>
      <w:r w:rsidR="0065426D" w:rsidRPr="00582EF5">
        <w:t>s</w:t>
      </w:r>
      <w:r w:rsidRPr="00582EF5">
        <w:t xml:space="preserve"> </w:t>
      </w:r>
      <w:r w:rsidR="00C9352A" w:rsidRPr="00582EF5">
        <w:t>(</w:t>
      </w:r>
      <w:r w:rsidRPr="00582EF5">
        <w:t>Restrictions</w:t>
      </w:r>
      <w:r w:rsidR="00C9352A" w:rsidRPr="00582EF5">
        <w:t>)</w:t>
      </w:r>
      <w:r w:rsidRPr="00582EF5">
        <w:t xml:space="preserve"> Act 1988 (although MfE has oversight of the I&amp;E Order 2004</w:t>
      </w:r>
      <w:r w:rsidR="0065426D" w:rsidRPr="00582EF5">
        <w:t>)</w:t>
      </w:r>
      <w:r w:rsidRPr="00582EF5">
        <w:t>.</w:t>
      </w:r>
    </w:p>
    <w:p w14:paraId="79FD545B" w14:textId="1A7B7143" w:rsidR="00785CC0" w:rsidRPr="00582EF5" w:rsidRDefault="00785CC0" w:rsidP="00352562">
      <w:pPr>
        <w:pStyle w:val="Heading4"/>
      </w:pPr>
      <w:r w:rsidRPr="00582EF5">
        <w:t>Work</w:t>
      </w:r>
      <w:r w:rsidR="0076478D" w:rsidRPr="00582EF5">
        <w:t>S</w:t>
      </w:r>
      <w:r w:rsidRPr="00582EF5">
        <w:t>afe New Zealand</w:t>
      </w:r>
    </w:p>
    <w:p w14:paraId="069A12CF" w14:textId="0CB4CF8A" w:rsidR="00785CC0" w:rsidRPr="00582EF5" w:rsidRDefault="00785CC0" w:rsidP="00352562">
      <w:pPr>
        <w:pStyle w:val="BodyText"/>
      </w:pPr>
      <w:r w:rsidRPr="00582EF5">
        <w:t>WorkSafe is New Zealand’s primary workplace health and safety regulator. Work</w:t>
      </w:r>
      <w:r w:rsidR="0076478D" w:rsidRPr="00582EF5">
        <w:t>S</w:t>
      </w:r>
      <w:r w:rsidRPr="00582EF5">
        <w:t xml:space="preserve">afe is responsible for the use, storage and handling of hazardous substances in workplaces, which can include POPs. </w:t>
      </w:r>
    </w:p>
    <w:p w14:paraId="5FD04A77" w14:textId="550D43F3" w:rsidR="00785CC0" w:rsidRPr="00582EF5" w:rsidRDefault="00785CC0" w:rsidP="00352562">
      <w:pPr>
        <w:pStyle w:val="Heading3"/>
      </w:pPr>
      <w:r w:rsidRPr="00582EF5">
        <w:t xml:space="preserve">2.2.2 </w:t>
      </w:r>
      <w:r w:rsidR="00A108C5" w:rsidRPr="00582EF5">
        <w:tab/>
      </w:r>
      <w:r w:rsidRPr="00582EF5">
        <w:t>Regulatory framework</w:t>
      </w:r>
    </w:p>
    <w:p w14:paraId="7DC95EC2" w14:textId="4DA960F0" w:rsidR="00785CC0" w:rsidRPr="00582EF5" w:rsidRDefault="0D241B68" w:rsidP="00352562">
      <w:pPr>
        <w:pStyle w:val="BodyText"/>
      </w:pPr>
      <w:r>
        <w:t xml:space="preserve">New Zealand has a </w:t>
      </w:r>
      <w:bookmarkStart w:id="32" w:name="_Int_xhH7xz1K"/>
      <w:r>
        <w:t>largely decentralised</w:t>
      </w:r>
      <w:bookmarkEnd w:id="32"/>
      <w:r>
        <w:t xml:space="preserve"> system of environmental governance</w:t>
      </w:r>
      <w:r w:rsidR="5559A6C8">
        <w:t>.</w:t>
      </w:r>
      <w:r>
        <w:t xml:space="preserve"> </w:t>
      </w:r>
      <w:r w:rsidR="5559A6C8">
        <w:t>M</w:t>
      </w:r>
      <w:r>
        <w:t xml:space="preserve">any regulatory and compliance functions </w:t>
      </w:r>
      <w:r w:rsidR="5559A6C8">
        <w:t xml:space="preserve">are </w:t>
      </w:r>
      <w:r>
        <w:t xml:space="preserve">undertaken by local government within a policy framework set nationally by central government. </w:t>
      </w:r>
    </w:p>
    <w:p w14:paraId="3E40A456" w14:textId="77777777" w:rsidR="00785CC0" w:rsidRPr="00582EF5" w:rsidRDefault="00785CC0" w:rsidP="00352562">
      <w:pPr>
        <w:pStyle w:val="Heading4"/>
      </w:pPr>
      <w:r w:rsidRPr="00582EF5">
        <w:lastRenderedPageBreak/>
        <w:t xml:space="preserve">Hazardous Substances and New Organisms Act 1996 </w:t>
      </w:r>
    </w:p>
    <w:p w14:paraId="50ED4611" w14:textId="09B6DDB6" w:rsidR="00785CC0" w:rsidRPr="00582EF5" w:rsidRDefault="00785CC0" w:rsidP="00352562">
      <w:pPr>
        <w:pStyle w:val="BodyText"/>
      </w:pPr>
      <w:r w:rsidRPr="00582EF5">
        <w:t>The HSNO Act</w:t>
      </w:r>
      <w:r w:rsidR="008265AE" w:rsidRPr="00582EF5">
        <w:t xml:space="preserve"> </w:t>
      </w:r>
      <w:r w:rsidR="0079357C" w:rsidRPr="00582EF5">
        <w:t xml:space="preserve">1996 </w:t>
      </w:r>
      <w:r w:rsidRPr="00582EF5">
        <w:t xml:space="preserve">is the primary legislation that implements New Zealand’s principal obligations under the Convention. The </w:t>
      </w:r>
      <w:r w:rsidR="00CF6978" w:rsidRPr="00582EF5">
        <w:t xml:space="preserve">Act’s </w:t>
      </w:r>
      <w:r w:rsidRPr="00582EF5">
        <w:t>purpose is to protect the environment and health and safety of people and communities by preventing or managing the adverse</w:t>
      </w:r>
      <w:r w:rsidR="00A108C5" w:rsidRPr="00582EF5">
        <w:t> </w:t>
      </w:r>
      <w:r w:rsidRPr="00582EF5">
        <w:t xml:space="preserve">effects of </w:t>
      </w:r>
      <w:r w:rsidR="0065426D" w:rsidRPr="00582EF5">
        <w:t>hazardous substances and new organisms</w:t>
      </w:r>
      <w:r w:rsidRPr="00582EF5">
        <w:t>. The passing of the HSNO Act in</w:t>
      </w:r>
      <w:r w:rsidR="00A108C5" w:rsidRPr="00582EF5">
        <w:t> </w:t>
      </w:r>
      <w:r w:rsidRPr="00582EF5">
        <w:t>June 1996 represented one of the most significant reforms of environmental legislation since</w:t>
      </w:r>
      <w:r w:rsidR="00A108C5" w:rsidRPr="00582EF5">
        <w:t> </w:t>
      </w:r>
      <w:r w:rsidRPr="00582EF5">
        <w:t>the RMA in</w:t>
      </w:r>
      <w:r w:rsidR="0079357C" w:rsidRPr="00582EF5">
        <w:t> </w:t>
      </w:r>
      <w:r w:rsidRPr="00582EF5">
        <w:t>1991.</w:t>
      </w:r>
    </w:p>
    <w:p w14:paraId="39A5D750" w14:textId="3CC82576" w:rsidR="00785CC0" w:rsidRPr="00582EF5" w:rsidRDefault="00785CC0" w:rsidP="00352562">
      <w:pPr>
        <w:pStyle w:val="BodyText"/>
      </w:pPr>
      <w:r w:rsidRPr="00582EF5">
        <w:t xml:space="preserve">Schedule 1AA under the HSNO Act contains the </w:t>
      </w:r>
      <w:r w:rsidR="00FD2981">
        <w:t>verbatim</w:t>
      </w:r>
      <w:r w:rsidR="00FD2981" w:rsidRPr="00582EF5">
        <w:t xml:space="preserve"> </w:t>
      </w:r>
      <w:r w:rsidRPr="00582EF5">
        <w:t xml:space="preserve">of the Convention and </w:t>
      </w:r>
      <w:r w:rsidR="003B6EE4" w:rsidRPr="00582EF5">
        <w:t>its a</w:t>
      </w:r>
      <w:r w:rsidRPr="00582EF5">
        <w:t xml:space="preserve">nnexes. When the Convention is amended, this </w:t>
      </w:r>
      <w:r w:rsidR="00140169" w:rsidRPr="00582EF5">
        <w:t>s</w:t>
      </w:r>
      <w:r w:rsidRPr="00582EF5">
        <w:t>chedule also needs to be updated.</w:t>
      </w:r>
    </w:p>
    <w:p w14:paraId="2A41E970" w14:textId="48FE572A" w:rsidR="00785CC0" w:rsidRPr="00582EF5" w:rsidRDefault="00A52097" w:rsidP="00352562">
      <w:pPr>
        <w:pStyle w:val="BodyText"/>
      </w:pPr>
      <w:r>
        <w:t>P</w:t>
      </w:r>
      <w:r w:rsidRPr="00A52097">
        <w:t xml:space="preserve">rohibitions on </w:t>
      </w:r>
      <w:r>
        <w:t xml:space="preserve">the </w:t>
      </w:r>
      <w:r w:rsidRPr="00A52097">
        <w:t>import, manufacture, use</w:t>
      </w:r>
      <w:r w:rsidR="00CF3494">
        <w:t xml:space="preserve"> and </w:t>
      </w:r>
      <w:r w:rsidRPr="00A52097">
        <w:t xml:space="preserve">storage </w:t>
      </w:r>
      <w:r>
        <w:t xml:space="preserve">of POPs </w:t>
      </w:r>
      <w:r w:rsidRPr="00A52097">
        <w:t xml:space="preserve">are in </w:t>
      </w:r>
      <w:r w:rsidR="005C64C0">
        <w:t xml:space="preserve">listed in </w:t>
      </w:r>
      <w:r w:rsidRPr="00A52097">
        <w:t>sections 25A and 25B of th</w:t>
      </w:r>
      <w:r w:rsidR="005C64C0">
        <w:t>is</w:t>
      </w:r>
      <w:r w:rsidRPr="00A52097">
        <w:t xml:space="preserve"> Act and the exceptions are provided for by sections 29B and 30.</w:t>
      </w:r>
      <w:r w:rsidR="2CAE67C0">
        <w:t xml:space="preserve"> </w:t>
      </w:r>
      <w:r w:rsidR="00785CC0" w:rsidRPr="00582EF5">
        <w:t xml:space="preserve">Schedule 2A </w:t>
      </w:r>
      <w:r w:rsidR="00F824C3">
        <w:t xml:space="preserve">of </w:t>
      </w:r>
      <w:r w:rsidR="004757D8">
        <w:t>t</w:t>
      </w:r>
      <w:r w:rsidR="004757D8" w:rsidRPr="004757D8">
        <w:t xml:space="preserve">he HSNO Act </w:t>
      </w:r>
      <w:r w:rsidR="0042039D" w:rsidRPr="004757D8">
        <w:t xml:space="preserve">1996 </w:t>
      </w:r>
      <w:r w:rsidR="0042039D">
        <w:t>lists</w:t>
      </w:r>
      <w:r w:rsidR="00785CC0" w:rsidRPr="00582EF5">
        <w:t xml:space="preserve"> all POPs added to the Convention between 2001 and</w:t>
      </w:r>
      <w:r w:rsidR="00EC65E2" w:rsidRPr="00582EF5">
        <w:t> </w:t>
      </w:r>
      <w:r w:rsidR="00785CC0" w:rsidRPr="00582EF5">
        <w:t>20</w:t>
      </w:r>
      <w:r w:rsidR="00880AE0">
        <w:t>20</w:t>
      </w:r>
      <w:r w:rsidR="00785CC0" w:rsidRPr="00582EF5">
        <w:t xml:space="preserve">. Schedule 2A will be updated as New Zealand implements </w:t>
      </w:r>
      <w:r w:rsidR="005B120E" w:rsidRPr="00582EF5">
        <w:t xml:space="preserve">future </w:t>
      </w:r>
      <w:r w:rsidR="00785CC0" w:rsidRPr="00582EF5">
        <w:t xml:space="preserve">amendments to the Convention. </w:t>
      </w:r>
    </w:p>
    <w:p w14:paraId="3DA52B34" w14:textId="6EA9D25F" w:rsidR="00785CC0" w:rsidRPr="00582EF5" w:rsidRDefault="00785CC0" w:rsidP="00352562">
      <w:pPr>
        <w:pStyle w:val="BodyText"/>
      </w:pPr>
      <w:r w:rsidRPr="00582EF5">
        <w:t>Schedule 2A</w:t>
      </w:r>
      <w:r w:rsidR="009601DB" w:rsidRPr="00582EF5">
        <w:t>-</w:t>
      </w:r>
      <w:r w:rsidRPr="00582EF5">
        <w:t xml:space="preserve">listed POPs, including wastes and unused stocks of POPs, are subject to rules relating to collection, storage and disposal, </w:t>
      </w:r>
      <w:r w:rsidR="007E5DC6" w:rsidRPr="00582EF5">
        <w:t xml:space="preserve">as </w:t>
      </w:r>
      <w:r w:rsidRPr="00582EF5">
        <w:t xml:space="preserve">specified in the </w:t>
      </w:r>
      <w:hyperlink r:id="rId46" w:history="1">
        <w:r w:rsidRPr="00280BCF">
          <w:rPr>
            <w:rStyle w:val="Hyperlink"/>
          </w:rPr>
          <w:t>Hazardous Substances (Storage and</w:t>
        </w:r>
        <w:r w:rsidR="00A108C5" w:rsidRPr="00280BCF">
          <w:rPr>
            <w:rStyle w:val="Hyperlink"/>
          </w:rPr>
          <w:t> </w:t>
        </w:r>
        <w:r w:rsidRPr="00280BCF">
          <w:rPr>
            <w:rStyle w:val="Hyperlink"/>
          </w:rPr>
          <w:t xml:space="preserve">Disposal of </w:t>
        </w:r>
        <w:r w:rsidR="00580B2B" w:rsidRPr="00280BCF">
          <w:rPr>
            <w:rStyle w:val="Hyperlink"/>
          </w:rPr>
          <w:t>POPs</w:t>
        </w:r>
        <w:r w:rsidRPr="00280BCF">
          <w:rPr>
            <w:rStyle w:val="Hyperlink"/>
          </w:rPr>
          <w:t xml:space="preserve">) Notice </w:t>
        </w:r>
        <w:r w:rsidR="008265AE" w:rsidRPr="00280BCF">
          <w:rPr>
            <w:rStyle w:val="Hyperlink"/>
          </w:rPr>
          <w:t>2004</w:t>
        </w:r>
      </w:hyperlink>
      <w:r w:rsidR="009601DB" w:rsidRPr="00582EF5">
        <w:t>,</w:t>
      </w:r>
      <w:r w:rsidR="008265AE" w:rsidRPr="00582EF5">
        <w:t xml:space="preserve"> </w:t>
      </w:r>
      <w:r w:rsidR="007E5DC6" w:rsidRPr="00582EF5">
        <w:t xml:space="preserve">which is </w:t>
      </w:r>
      <w:r w:rsidRPr="00582EF5">
        <w:t>administered by EPA.</w:t>
      </w:r>
    </w:p>
    <w:p w14:paraId="58A5A610" w14:textId="4A89E657" w:rsidR="00352562" w:rsidRDefault="0D241B68" w:rsidP="00352562">
      <w:pPr>
        <w:pStyle w:val="BodyText"/>
      </w:pPr>
      <w:r>
        <w:t xml:space="preserve">EPA is the decision-making body for hazardous substances (including POPs) under the HSNO Act. </w:t>
      </w:r>
      <w:r w:rsidR="22D3E02A">
        <w:t>Several</w:t>
      </w:r>
      <w:r>
        <w:t xml:space="preserve"> agencies</w:t>
      </w:r>
      <w:r w:rsidR="1DB8DC64">
        <w:t xml:space="preserve"> undertake enforcement</w:t>
      </w:r>
      <w:r>
        <w:t>, depending on where the hazardous substance is being used</w:t>
      </w:r>
      <w:r w:rsidR="2EDEAE36">
        <w:t xml:space="preserve">. </w:t>
      </w:r>
      <w:r w:rsidR="2060E596">
        <w:t>EPA has an explicit enforcement role in respect of POPs</w:t>
      </w:r>
      <w:r>
        <w:t xml:space="preserve">. </w:t>
      </w:r>
      <w:r w:rsidR="2EDEAE36">
        <w:t xml:space="preserve">HSNO </w:t>
      </w:r>
      <w:r w:rsidR="15D810FC">
        <w:t xml:space="preserve">Act </w:t>
      </w:r>
      <w:r w:rsidR="2EDEAE36">
        <w:t xml:space="preserve">enforcement agencies </w:t>
      </w:r>
      <w:r>
        <w:t xml:space="preserve">include </w:t>
      </w:r>
      <w:r w:rsidR="3C09EA96">
        <w:t>EPA, WorkSafe, MOH</w:t>
      </w:r>
      <w:r w:rsidR="1E3A8933">
        <w:t>,</w:t>
      </w:r>
      <w:r w:rsidR="3C09EA96">
        <w:t xml:space="preserve"> </w:t>
      </w:r>
      <w:r>
        <w:t>New Zealand Transport Agency, New Zealand Police, Civil Aviation Authority</w:t>
      </w:r>
      <w:r w:rsidR="22D3E02A">
        <w:t xml:space="preserve"> of New Zealand</w:t>
      </w:r>
      <w:r>
        <w:t xml:space="preserve">, Maritime New Zealand, regional </w:t>
      </w:r>
      <w:r w:rsidR="000F253E">
        <w:t xml:space="preserve">government </w:t>
      </w:r>
      <w:r>
        <w:t xml:space="preserve">and territorial authorities. </w:t>
      </w:r>
      <w:r w:rsidR="25F9B6BD">
        <w:t xml:space="preserve">A report from the Parliamentary Commissioner for the Environment in 2022, </w:t>
      </w:r>
      <w:hyperlink r:id="rId47" w:history="1">
        <w:r w:rsidR="0DDB4395" w:rsidRPr="00223E9E">
          <w:rPr>
            <w:rStyle w:val="Hyperlink"/>
          </w:rPr>
          <w:t>Knowing what's out there: Regulating the environmental fate of chemicals</w:t>
        </w:r>
      </w:hyperlink>
      <w:r w:rsidR="0DDB4395">
        <w:t>, made recommendations to</w:t>
      </w:r>
      <w:r w:rsidRPr="001725AD">
        <w:t xml:space="preserve"> </w:t>
      </w:r>
      <w:r>
        <w:t xml:space="preserve">MfE and EPA </w:t>
      </w:r>
      <w:r w:rsidR="7143BEF4">
        <w:t xml:space="preserve">to improve and </w:t>
      </w:r>
      <w:r w:rsidR="66C2E8FD">
        <w:t xml:space="preserve">strengthen </w:t>
      </w:r>
      <w:r>
        <w:t>the hazardous substance</w:t>
      </w:r>
      <w:r w:rsidR="65FA90C6">
        <w:t>s</w:t>
      </w:r>
      <w:r>
        <w:t xml:space="preserve"> compliance system</w:t>
      </w:r>
      <w:r w:rsidR="22D3E02A">
        <w:t>,</w:t>
      </w:r>
      <w:r>
        <w:t xml:space="preserve"> to better manage chemicals (including POPs) in New Zealand.</w:t>
      </w:r>
      <w:r w:rsidR="548DE7F3">
        <w:t xml:space="preserve"> MfE and the EPA have initiated a joint work programme to implement those recommendations.</w:t>
      </w:r>
    </w:p>
    <w:p w14:paraId="118AC1D9" w14:textId="08B915C8" w:rsidR="00A239D5" w:rsidRPr="00352562" w:rsidRDefault="00A239D5" w:rsidP="00352562">
      <w:pPr>
        <w:pStyle w:val="BodyText"/>
        <w:rPr>
          <w:rStyle w:val="Heading4Char"/>
        </w:rPr>
      </w:pPr>
      <w:r w:rsidRPr="00352562">
        <w:rPr>
          <w:rStyle w:val="Heading4Char"/>
        </w:rPr>
        <w:t>Food Act 2014</w:t>
      </w:r>
    </w:p>
    <w:p w14:paraId="133B5AEE" w14:textId="3BDFF81E" w:rsidR="00A239D5" w:rsidRPr="00352562" w:rsidRDefault="00A239D5" w:rsidP="00352562">
      <w:pPr>
        <w:pStyle w:val="CommentText"/>
        <w:rPr>
          <w:rFonts w:ascii="Calibri" w:eastAsiaTheme="minorEastAsia" w:hAnsi="Calibri"/>
          <w:sz w:val="22"/>
          <w:szCs w:val="22"/>
          <w:lang w:eastAsia="en-NZ"/>
        </w:rPr>
      </w:pPr>
      <w:r w:rsidRPr="00352562">
        <w:rPr>
          <w:rFonts w:ascii="Calibri" w:eastAsiaTheme="minorEastAsia" w:hAnsi="Calibri"/>
          <w:sz w:val="22"/>
          <w:szCs w:val="22"/>
          <w:lang w:eastAsia="en-NZ"/>
        </w:rPr>
        <w:t xml:space="preserve">The purpose of </w:t>
      </w:r>
      <w:r w:rsidRPr="000271CD">
        <w:rPr>
          <w:rFonts w:ascii="Calibri" w:eastAsiaTheme="minorEastAsia" w:hAnsi="Calibri"/>
          <w:sz w:val="22"/>
          <w:szCs w:val="22"/>
          <w:lang w:eastAsia="en-NZ"/>
        </w:rPr>
        <w:t xml:space="preserve">the </w:t>
      </w:r>
      <w:hyperlink r:id="rId48" w:history="1">
        <w:r w:rsidRPr="007664A4">
          <w:rPr>
            <w:rStyle w:val="Hyperlink"/>
            <w:rFonts w:ascii="Calibri" w:eastAsiaTheme="minorEastAsia" w:hAnsi="Calibri"/>
            <w:sz w:val="22"/>
            <w:szCs w:val="22"/>
            <w:lang w:eastAsia="en-NZ"/>
          </w:rPr>
          <w:t xml:space="preserve">Food Act </w:t>
        </w:r>
        <w:r w:rsidR="000271CD" w:rsidRPr="007664A4">
          <w:rPr>
            <w:rStyle w:val="Hyperlink"/>
            <w:rFonts w:ascii="Calibri" w:eastAsiaTheme="minorEastAsia" w:hAnsi="Calibri"/>
            <w:sz w:val="22"/>
            <w:szCs w:val="22"/>
            <w:lang w:eastAsia="en-NZ"/>
          </w:rPr>
          <w:t>2014</w:t>
        </w:r>
      </w:hyperlink>
      <w:r w:rsidR="000271CD">
        <w:rPr>
          <w:rFonts w:ascii="Calibri" w:eastAsiaTheme="minorEastAsia" w:hAnsi="Calibri"/>
          <w:sz w:val="22"/>
          <w:szCs w:val="22"/>
          <w:lang w:eastAsia="en-NZ"/>
        </w:rPr>
        <w:t xml:space="preserve"> </w:t>
      </w:r>
      <w:r w:rsidRPr="00352562">
        <w:rPr>
          <w:rFonts w:ascii="Calibri" w:eastAsiaTheme="minorEastAsia" w:hAnsi="Calibri"/>
          <w:sz w:val="22"/>
          <w:szCs w:val="22"/>
          <w:lang w:eastAsia="en-NZ"/>
        </w:rPr>
        <w:t xml:space="preserve">is to achieve safety and suitability of food for sale and provide </w:t>
      </w:r>
      <w:r w:rsidR="3F098027" w:rsidRPr="00352562">
        <w:rPr>
          <w:rFonts w:ascii="Calibri" w:eastAsiaTheme="minorEastAsia" w:hAnsi="Calibri"/>
          <w:sz w:val="22"/>
          <w:szCs w:val="22"/>
          <w:lang w:eastAsia="en-NZ"/>
        </w:rPr>
        <w:t>conf</w:t>
      </w:r>
      <w:r w:rsidR="2493AED6" w:rsidRPr="6E7DDF4C">
        <w:rPr>
          <w:rFonts w:ascii="Calibri" w:eastAsiaTheme="minorEastAsia" w:hAnsi="Calibri"/>
          <w:sz w:val="22"/>
          <w:szCs w:val="22"/>
          <w:lang w:eastAsia="en-NZ"/>
        </w:rPr>
        <w:t>id</w:t>
      </w:r>
      <w:r w:rsidR="3F098027" w:rsidRPr="00352562">
        <w:rPr>
          <w:rFonts w:ascii="Calibri" w:eastAsiaTheme="minorEastAsia" w:hAnsi="Calibri"/>
          <w:sz w:val="22"/>
          <w:szCs w:val="22"/>
          <w:lang w:eastAsia="en-NZ"/>
        </w:rPr>
        <w:t>ence</w:t>
      </w:r>
      <w:r w:rsidRPr="00352562">
        <w:rPr>
          <w:rFonts w:ascii="Calibri" w:eastAsiaTheme="minorEastAsia" w:hAnsi="Calibri"/>
          <w:sz w:val="22"/>
          <w:szCs w:val="22"/>
          <w:lang w:eastAsia="en-NZ"/>
        </w:rPr>
        <w:t xml:space="preserve"> </w:t>
      </w:r>
      <w:r w:rsidRPr="00A239D5">
        <w:rPr>
          <w:rFonts w:ascii="Calibri" w:eastAsiaTheme="minorEastAsia" w:hAnsi="Calibri"/>
          <w:sz w:val="22"/>
          <w:szCs w:val="22"/>
          <w:lang w:eastAsia="en-NZ"/>
        </w:rPr>
        <w:t>in New</w:t>
      </w:r>
      <w:r w:rsidRPr="00352562">
        <w:rPr>
          <w:rFonts w:ascii="Calibri" w:eastAsiaTheme="minorEastAsia" w:hAnsi="Calibri"/>
          <w:sz w:val="22"/>
          <w:szCs w:val="22"/>
          <w:lang w:eastAsia="en-NZ"/>
        </w:rPr>
        <w:t xml:space="preserve"> Zealand’s food safety regime.</w:t>
      </w:r>
    </w:p>
    <w:p w14:paraId="3CF7E0B4" w14:textId="3FED8ED1" w:rsidR="00A239D5" w:rsidRPr="00352562" w:rsidRDefault="00A239D5" w:rsidP="00177168">
      <w:pPr>
        <w:pStyle w:val="BodyText"/>
      </w:pPr>
      <w:r w:rsidRPr="00352562">
        <w:t xml:space="preserve">The Food Act sets out maximum residue limits of agricultural compounds. All foods sold in </w:t>
      </w:r>
      <w:r w:rsidR="00A836BD">
        <w:t>New Zealand</w:t>
      </w:r>
      <w:r w:rsidRPr="00352562">
        <w:t xml:space="preserve"> or intended for export must comply with this notice. It ‘captures’ the presence of POPs in food only at the end of production. </w:t>
      </w:r>
    </w:p>
    <w:p w14:paraId="4D1AE10B" w14:textId="77777777" w:rsidR="006832E6" w:rsidRPr="007664A4" w:rsidRDefault="006832E6" w:rsidP="007664A4">
      <w:pPr>
        <w:pStyle w:val="BodyText"/>
        <w:rPr>
          <w:rStyle w:val="Heading4Char"/>
        </w:rPr>
      </w:pPr>
      <w:r w:rsidRPr="007664A4">
        <w:rPr>
          <w:rStyle w:val="Heading4Char"/>
        </w:rPr>
        <w:t>Animal Products Act 1999</w:t>
      </w:r>
    </w:p>
    <w:p w14:paraId="170DD88C" w14:textId="5732EF28" w:rsidR="00A239D5" w:rsidRPr="00352562" w:rsidRDefault="00A239D5" w:rsidP="00352562">
      <w:pPr>
        <w:pStyle w:val="CommentText"/>
        <w:rPr>
          <w:rFonts w:ascii="Calibri" w:eastAsiaTheme="minorEastAsia" w:hAnsi="Calibri"/>
          <w:sz w:val="22"/>
          <w:szCs w:val="22"/>
          <w:lang w:eastAsia="en-NZ"/>
        </w:rPr>
      </w:pPr>
      <w:r w:rsidRPr="00805BFA">
        <w:rPr>
          <w:rFonts w:ascii="Calibri" w:eastAsiaTheme="minorEastAsia" w:hAnsi="Calibri"/>
          <w:sz w:val="22"/>
          <w:szCs w:val="22"/>
          <w:lang w:eastAsia="en-NZ"/>
        </w:rPr>
        <w:t xml:space="preserve">The objective of </w:t>
      </w:r>
      <w:r w:rsidR="00805BFA">
        <w:rPr>
          <w:rFonts w:ascii="Calibri" w:eastAsiaTheme="minorEastAsia" w:hAnsi="Calibri"/>
          <w:sz w:val="22"/>
          <w:szCs w:val="22"/>
          <w:lang w:eastAsia="en-NZ"/>
        </w:rPr>
        <w:t xml:space="preserve">the </w:t>
      </w:r>
      <w:hyperlink r:id="rId49" w:anchor="whole" w:history="1">
        <w:r w:rsidR="00805BFA" w:rsidRPr="00BC32BC">
          <w:rPr>
            <w:rStyle w:val="Hyperlink"/>
            <w:rFonts w:ascii="Calibri" w:eastAsiaTheme="minorEastAsia" w:hAnsi="Calibri"/>
            <w:sz w:val="22"/>
            <w:szCs w:val="22"/>
            <w:lang w:eastAsia="en-NZ"/>
          </w:rPr>
          <w:t>Ani</w:t>
        </w:r>
        <w:r w:rsidR="00BC32BC" w:rsidRPr="00BC32BC">
          <w:rPr>
            <w:rStyle w:val="Hyperlink"/>
            <w:rFonts w:ascii="Calibri" w:eastAsiaTheme="minorEastAsia" w:hAnsi="Calibri"/>
            <w:sz w:val="22"/>
            <w:szCs w:val="22"/>
            <w:lang w:eastAsia="en-NZ"/>
          </w:rPr>
          <w:t>mal Products</w:t>
        </w:r>
        <w:r w:rsidRPr="00BC32BC">
          <w:rPr>
            <w:rStyle w:val="Hyperlink"/>
            <w:rFonts w:ascii="Calibri" w:eastAsiaTheme="minorEastAsia" w:hAnsi="Calibri"/>
            <w:sz w:val="22"/>
            <w:szCs w:val="22"/>
            <w:lang w:eastAsia="en-NZ"/>
          </w:rPr>
          <w:t xml:space="preserve"> Act</w:t>
        </w:r>
        <w:r w:rsidR="00BC32BC" w:rsidRPr="00BC32BC">
          <w:rPr>
            <w:rStyle w:val="Hyperlink"/>
            <w:rFonts w:ascii="Calibri" w:eastAsiaTheme="minorEastAsia" w:hAnsi="Calibri"/>
            <w:sz w:val="22"/>
            <w:szCs w:val="22"/>
            <w:lang w:eastAsia="en-NZ"/>
          </w:rPr>
          <w:t xml:space="preserve"> 1999</w:t>
        </w:r>
      </w:hyperlink>
      <w:r w:rsidRPr="00352562">
        <w:rPr>
          <w:rFonts w:ascii="Calibri" w:eastAsiaTheme="minorEastAsia" w:hAnsi="Calibri"/>
          <w:sz w:val="22"/>
          <w:szCs w:val="22"/>
          <w:lang w:eastAsia="en-NZ"/>
        </w:rPr>
        <w:t xml:space="preserve"> is to minimise and manage risks to human or animal health arising from the production and processing of animal material and products by instituting measures that ensure</w:t>
      </w:r>
      <w:r w:rsidR="00BC32BC">
        <w:rPr>
          <w:rFonts w:ascii="Calibri" w:eastAsiaTheme="minorEastAsia" w:hAnsi="Calibri"/>
          <w:sz w:val="22"/>
          <w:szCs w:val="22"/>
          <w:lang w:eastAsia="en-NZ"/>
        </w:rPr>
        <w:t>,</w:t>
      </w:r>
      <w:r w:rsidRPr="00352562">
        <w:rPr>
          <w:rFonts w:ascii="Calibri" w:eastAsiaTheme="minorEastAsia" w:hAnsi="Calibri"/>
          <w:sz w:val="22"/>
          <w:szCs w:val="22"/>
          <w:lang w:eastAsia="en-NZ"/>
        </w:rPr>
        <w:t xml:space="preserve"> </w:t>
      </w:r>
      <w:r w:rsidR="65B7FC09" w:rsidRPr="6E7DDF4C">
        <w:rPr>
          <w:rFonts w:ascii="Calibri" w:eastAsiaTheme="minorEastAsia" w:hAnsi="Calibri"/>
          <w:sz w:val="22"/>
          <w:szCs w:val="22"/>
          <w:lang w:eastAsia="en-NZ"/>
        </w:rPr>
        <w:t>as</w:t>
      </w:r>
      <w:r w:rsidRPr="6E7DDF4C">
        <w:rPr>
          <w:rFonts w:ascii="Calibri" w:eastAsiaTheme="minorEastAsia" w:hAnsi="Calibri"/>
          <w:sz w:val="22"/>
          <w:szCs w:val="22"/>
          <w:lang w:eastAsia="en-NZ"/>
        </w:rPr>
        <w:t xml:space="preserve"> far as</w:t>
      </w:r>
      <w:r w:rsidRPr="00352562">
        <w:rPr>
          <w:rFonts w:ascii="Calibri" w:eastAsiaTheme="minorEastAsia" w:hAnsi="Calibri"/>
          <w:sz w:val="22"/>
          <w:szCs w:val="22"/>
          <w:lang w:eastAsia="en-NZ"/>
        </w:rPr>
        <w:t xml:space="preserve"> is practicable</w:t>
      </w:r>
      <w:r w:rsidR="00BC32BC">
        <w:rPr>
          <w:rFonts w:ascii="Calibri" w:eastAsiaTheme="minorEastAsia" w:hAnsi="Calibri"/>
          <w:sz w:val="22"/>
          <w:szCs w:val="22"/>
          <w:lang w:eastAsia="en-NZ"/>
        </w:rPr>
        <w:t>,</w:t>
      </w:r>
      <w:r w:rsidRPr="00352562">
        <w:rPr>
          <w:rFonts w:ascii="Calibri" w:eastAsiaTheme="minorEastAsia" w:hAnsi="Calibri"/>
          <w:sz w:val="22"/>
          <w:szCs w:val="22"/>
          <w:lang w:eastAsia="en-NZ"/>
        </w:rPr>
        <w:t xml:space="preserve"> that all traded animal products are fit for their intended purpose. It also is to facilitate the entry of animal material and products into overseas markets by providing the controls and mechanisms needed to give and to safeguard official assurances for entry into those markets.</w:t>
      </w:r>
    </w:p>
    <w:p w14:paraId="730465F1" w14:textId="498A3867" w:rsidR="00A239D5" w:rsidRDefault="00A239D5" w:rsidP="00352562">
      <w:pPr>
        <w:pStyle w:val="BodyText"/>
      </w:pPr>
      <w:r>
        <w:t>The Animal Products Act sets out a contaminant monitoring and surveillance plan</w:t>
      </w:r>
      <w:r w:rsidR="00480B94">
        <w:t xml:space="preserve"> and</w:t>
      </w:r>
      <w:r>
        <w:t xml:space="preserve"> specifies sampling requirements for monitoring regimes of animal material.</w:t>
      </w:r>
    </w:p>
    <w:p w14:paraId="6F290632" w14:textId="77777777" w:rsidR="00785CC0" w:rsidRPr="00582EF5" w:rsidRDefault="00785CC0" w:rsidP="00352562">
      <w:pPr>
        <w:pStyle w:val="Heading4"/>
      </w:pPr>
      <w:r w:rsidRPr="00582EF5">
        <w:lastRenderedPageBreak/>
        <w:t>Resource Management Act 1991</w:t>
      </w:r>
    </w:p>
    <w:p w14:paraId="2558E9FB" w14:textId="04E552FF" w:rsidR="0078710D" w:rsidRPr="0078710D" w:rsidRDefault="00785CC0" w:rsidP="00352562">
      <w:pPr>
        <w:pStyle w:val="BodyText"/>
      </w:pPr>
      <w:hyperlink r:id="rId50" w:history="1">
        <w:r w:rsidRPr="00521836">
          <w:rPr>
            <w:rStyle w:val="Hyperlink"/>
          </w:rPr>
          <w:t>The RMA</w:t>
        </w:r>
      </w:hyperlink>
      <w:r w:rsidRPr="00582EF5">
        <w:t xml:space="preserve"> is New Zealand’s primary legislation that out</w:t>
      </w:r>
      <w:r w:rsidR="00181314" w:rsidRPr="00582EF5">
        <w:t>lines</w:t>
      </w:r>
      <w:r w:rsidRPr="00582EF5">
        <w:t xml:space="preserve"> how the environment should be managed. The </w:t>
      </w:r>
      <w:r w:rsidR="001725F8" w:rsidRPr="00582EF5">
        <w:t xml:space="preserve">Act </w:t>
      </w:r>
      <w:r w:rsidRPr="00582EF5">
        <w:t xml:space="preserve">provides an overarching guide for environmental management, with national direction on significant issues, including </w:t>
      </w:r>
      <w:r w:rsidR="00967F3C" w:rsidRPr="00582EF5">
        <w:t xml:space="preserve">the </w:t>
      </w:r>
      <w:r w:rsidR="008843AE">
        <w:t>Resource Management (</w:t>
      </w:r>
      <w:r w:rsidRPr="00582EF5">
        <w:t>National Environmental Standards for Air Quality</w:t>
      </w:r>
      <w:r w:rsidR="008843AE">
        <w:t>) Regulations</w:t>
      </w:r>
      <w:r w:rsidRPr="00582EF5">
        <w:t xml:space="preserve"> 2004 and </w:t>
      </w:r>
      <w:r w:rsidR="008843AE">
        <w:t>Resource Management (</w:t>
      </w:r>
      <w:r w:rsidRPr="00582EF5">
        <w:t>National Environmental Standard for Assessing and Managing Contaminants in Soil to Protect Human Health</w:t>
      </w:r>
      <w:r w:rsidR="008843AE">
        <w:t>) Regulations</w:t>
      </w:r>
      <w:r w:rsidR="000718F3" w:rsidRPr="00582EF5">
        <w:t xml:space="preserve"> </w:t>
      </w:r>
      <w:r w:rsidRPr="00582EF5">
        <w:t xml:space="preserve">2011, which are </w:t>
      </w:r>
      <w:r w:rsidR="00D46776">
        <w:t>important</w:t>
      </w:r>
      <w:r w:rsidR="001725F8" w:rsidRPr="00582EF5">
        <w:t xml:space="preserve"> </w:t>
      </w:r>
      <w:r w:rsidRPr="00582EF5">
        <w:t xml:space="preserve">mechanisms in New Zealand’s implementation of the Convention. </w:t>
      </w:r>
      <w:r w:rsidR="002A108E" w:rsidRPr="002A108E">
        <w:t xml:space="preserve">In February 2021, </w:t>
      </w:r>
      <w:r w:rsidR="004D4D5B" w:rsidRPr="001C7176">
        <w:t>the Government announced it would repeal the RMA and enact new legislation based on the recommendations of an expert review panel</w:t>
      </w:r>
      <w:r w:rsidR="002A108E">
        <w:t xml:space="preserve">. </w:t>
      </w:r>
      <w:r w:rsidR="0078710D" w:rsidRPr="0078710D">
        <w:t>The three proposed Acts are</w:t>
      </w:r>
      <w:r w:rsidR="00BC32BC">
        <w:t xml:space="preserve"> the</w:t>
      </w:r>
      <w:r w:rsidR="0078710D" w:rsidRPr="0078710D">
        <w:t>:</w:t>
      </w:r>
    </w:p>
    <w:p w14:paraId="5F14FE33" w14:textId="6CADB6CF" w:rsidR="0078710D" w:rsidRPr="0078710D" w:rsidRDefault="0078710D" w:rsidP="00352562">
      <w:pPr>
        <w:pStyle w:val="Bullet"/>
      </w:pPr>
      <w:r w:rsidRPr="0078710D">
        <w:t>Natural and Built Environments Act (NBA), as the main replacement for the RMA, to protect and restore the environment while better enabling development</w:t>
      </w:r>
    </w:p>
    <w:p w14:paraId="4368D753" w14:textId="7661C33E" w:rsidR="0078710D" w:rsidRPr="0078710D" w:rsidRDefault="0078710D" w:rsidP="00352562">
      <w:pPr>
        <w:pStyle w:val="Bullet"/>
      </w:pPr>
      <w:r w:rsidRPr="0078710D">
        <w:t xml:space="preserve">Spatial Planning Act (SPA), requiring the development of long-term </w:t>
      </w:r>
      <w:r w:rsidR="00BE46E3">
        <w:t>r</w:t>
      </w:r>
      <w:r w:rsidRPr="0078710D">
        <w:t xml:space="preserve">egional </w:t>
      </w:r>
      <w:r w:rsidR="00BE46E3">
        <w:t>s</w:t>
      </w:r>
      <w:r w:rsidRPr="0078710D">
        <w:t xml:space="preserve">patial </w:t>
      </w:r>
      <w:r w:rsidR="00BE46E3">
        <w:t>s</w:t>
      </w:r>
      <w:r w:rsidRPr="0078710D">
        <w:t>trategies (RSSs) to help coordinate and integrate decisions made under relevant legislation</w:t>
      </w:r>
    </w:p>
    <w:p w14:paraId="28195B1A" w14:textId="5EDCA3F8" w:rsidR="0078710D" w:rsidRDefault="00E250B6" w:rsidP="00352562">
      <w:pPr>
        <w:pStyle w:val="Bullet"/>
      </w:pPr>
      <w:r w:rsidRPr="001C7176">
        <w:t>Climate Adaptation Act (CAA),</w:t>
      </w:r>
      <w:r w:rsidR="0078710D" w:rsidRPr="0078710D">
        <w:t xml:space="preserve"> to address complex issues associated with managed retreat.</w:t>
      </w:r>
    </w:p>
    <w:p w14:paraId="434CE98F" w14:textId="4C438E69" w:rsidR="004D4D5B" w:rsidRPr="0078710D" w:rsidRDefault="003E7890" w:rsidP="004D4D5B">
      <w:pPr>
        <w:pStyle w:val="BodyText"/>
      </w:pPr>
      <w:r w:rsidRPr="00EA51FE">
        <w:t xml:space="preserve">Find out more about the </w:t>
      </w:r>
      <w:hyperlink r:id="rId51" w:history="1">
        <w:r w:rsidRPr="00EA51FE">
          <w:rPr>
            <w:rStyle w:val="Hyperlink"/>
          </w:rPr>
          <w:t>resource management reform</w:t>
        </w:r>
      </w:hyperlink>
      <w:r w:rsidRPr="00EA51FE">
        <w:t xml:space="preserve"> on our website</w:t>
      </w:r>
      <w:r>
        <w:t xml:space="preserve">. </w:t>
      </w:r>
    </w:p>
    <w:p w14:paraId="06ED0396" w14:textId="622CA4FB" w:rsidR="00785CC0" w:rsidRPr="00582EF5" w:rsidRDefault="00785CC0" w:rsidP="00352562">
      <w:pPr>
        <w:pStyle w:val="BodyText"/>
      </w:pPr>
      <w:r w:rsidRPr="00582EF5">
        <w:t>The</w:t>
      </w:r>
      <w:r w:rsidRPr="00A87588">
        <w:t xml:space="preserve"> Resource Management (National Environmental Standards for Air Quality) Regulations 2004</w:t>
      </w:r>
      <w:r w:rsidRPr="00582EF5">
        <w:t xml:space="preserve"> set seven standards banning activities that discharge significant quantities of dioxin</w:t>
      </w:r>
      <w:r w:rsidR="00264A7A" w:rsidRPr="00582EF5">
        <w:t>s</w:t>
      </w:r>
      <w:r w:rsidRPr="00582EF5">
        <w:t xml:space="preserve"> and other </w:t>
      </w:r>
      <w:r w:rsidR="00264A7A" w:rsidRPr="00582EF5">
        <w:t xml:space="preserve">toxins </w:t>
      </w:r>
      <w:r w:rsidRPr="00582EF5">
        <w:t xml:space="preserve">into the air. This includes banning </w:t>
      </w:r>
      <w:r w:rsidR="00347940" w:rsidRPr="00582EF5">
        <w:t xml:space="preserve">the </w:t>
      </w:r>
      <w:r w:rsidRPr="00582EF5">
        <w:t>burning of insulated copper wire, oil or tyres in the open, burning road seal, and high-temperature incineration of hazardous wastes.</w:t>
      </w:r>
    </w:p>
    <w:p w14:paraId="4A3C8502" w14:textId="77777777" w:rsidR="00352562" w:rsidRDefault="000D4BE0" w:rsidP="003254A6">
      <w:pPr>
        <w:pStyle w:val="BodyText"/>
        <w:spacing w:after="0"/>
        <w:rPr>
          <w:rStyle w:val="Heading5Char"/>
        </w:rPr>
      </w:pPr>
      <w:r w:rsidRPr="00352562">
        <w:rPr>
          <w:rStyle w:val="Heading5Char"/>
        </w:rPr>
        <w:t>Changes to the RMA relating to hazardous substances</w:t>
      </w:r>
    </w:p>
    <w:p w14:paraId="348741C8" w14:textId="1D330B12" w:rsidR="00CC61D3" w:rsidRPr="00352562" w:rsidRDefault="00CC61D3" w:rsidP="00352562">
      <w:pPr>
        <w:pStyle w:val="BodyText"/>
      </w:pPr>
      <w:r w:rsidRPr="00CC61D3">
        <w:t>The RMA was amended in 2017 to remove the control of hazardous substances as an explicit function of councils under sections 30 and 31 of this Act. This means councils no longer have an explicit obligation to regulate hazardous substances in RMA plans, policy statements or resource consents.</w:t>
      </w:r>
    </w:p>
    <w:p w14:paraId="43F364EE" w14:textId="77777777" w:rsidR="00CC61D3" w:rsidRPr="00CC61D3" w:rsidRDefault="00CC61D3" w:rsidP="00352562">
      <w:pPr>
        <w:pStyle w:val="BodyText"/>
      </w:pPr>
      <w:r w:rsidRPr="00CC61D3">
        <w:t>The changes, however, still allow councils to set planning controls or conditions on resource consents in relation to hazardous substances. Councils still have a responsibility to achieve integrated management of the natural and physical resources of the region or district. This includes safeguarding the life-supporting capacity of air, water, soil and ecosystems and avoiding, remedying or mitigating any adverse effects of activities on the environment.</w:t>
      </w:r>
    </w:p>
    <w:p w14:paraId="6B73DF0B" w14:textId="529D8F0F" w:rsidR="00CC61D3" w:rsidRPr="00CC61D3" w:rsidRDefault="00CC61D3" w:rsidP="00352562">
      <w:pPr>
        <w:pStyle w:val="BodyText"/>
      </w:pPr>
      <w:r w:rsidRPr="00CC61D3">
        <w:t xml:space="preserve">Councils can use this function to place additional controls on hazardous substance use or any discharge of hazardous substances to the environment under the RMA. Councils do this if existing HSNO Act or HSWA regulations are not adequate to address specific environmental effects of hazardous substances in any </w:t>
      </w:r>
      <w:proofErr w:type="gramStart"/>
      <w:r w:rsidRPr="00CC61D3">
        <w:t>particular case</w:t>
      </w:r>
      <w:proofErr w:type="gramEnd"/>
      <w:r w:rsidRPr="00CC61D3">
        <w:t xml:space="preserve"> (including managing the risk of potential effects on the local environment). The areas not specifically addressed by the HSNO Act and HSWA are, in general, location or area-specific issues,</w:t>
      </w:r>
      <w:r w:rsidR="003254A6">
        <w:t xml:space="preserve"> </w:t>
      </w:r>
      <w:r w:rsidRPr="00CC61D3">
        <w:t>such as sensitive environments</w:t>
      </w:r>
      <w:r w:rsidR="003254A6">
        <w:t xml:space="preserve">, </w:t>
      </w:r>
      <w:r w:rsidRPr="00CC61D3">
        <w:t>or unique ecological areas or issues, such as discharge to air of hazardous waste by-products (</w:t>
      </w:r>
      <w:proofErr w:type="spellStart"/>
      <w:r w:rsidRPr="00CC61D3">
        <w:t>ie</w:t>
      </w:r>
      <w:proofErr w:type="spellEnd"/>
      <w:r w:rsidRPr="00CC61D3">
        <w:t>, dioxins).</w:t>
      </w:r>
    </w:p>
    <w:p w14:paraId="669CB7CA" w14:textId="4627E9EC" w:rsidR="001C39C4" w:rsidRDefault="000D4BE0" w:rsidP="15B24FB3">
      <w:pPr>
        <w:pStyle w:val="BodyText"/>
      </w:pPr>
      <w:r w:rsidRPr="00582EF5">
        <w:t>The</w:t>
      </w:r>
      <w:r w:rsidRPr="00A87588">
        <w:t xml:space="preserve"> </w:t>
      </w:r>
      <w:hyperlink r:id="rId52">
        <w:r w:rsidR="013B2642" w:rsidRPr="15B24FB3">
          <w:rPr>
            <w:rStyle w:val="Hyperlink"/>
          </w:rPr>
          <w:t>Resource Management (National Environmental Standard for Assessing and Managing Contaminants in Soil to Protect Human Health) Regulations 2011</w:t>
        </w:r>
      </w:hyperlink>
      <w:r w:rsidRPr="00582EF5">
        <w:t xml:space="preserve"> set planning controls and soil contaminant values. The </w:t>
      </w:r>
      <w:r>
        <w:t>regulations</w:t>
      </w:r>
      <w:r w:rsidRPr="00582EF5">
        <w:t xml:space="preserve"> ensure that land affected by contaminants (including POPs) in the soil is appropriately identified and assessed before it is developed and, if necessary, that the land is remediated or the contaminants contained to make the land safe </w:t>
      </w:r>
      <w:r w:rsidRPr="00582EF5">
        <w:lastRenderedPageBreak/>
        <w:t>for human use. More information about the contaminated land regulatory framework is given in</w:t>
      </w:r>
      <w:hyperlink w:anchor="_Chapter_6:_Stockpiles," w:history="1">
        <w:r w:rsidRPr="001C7176">
          <w:rPr>
            <w:rStyle w:val="Hyperlink"/>
          </w:rPr>
          <w:t xml:space="preserve"> chapter 6</w:t>
        </w:r>
      </w:hyperlink>
      <w:r w:rsidRPr="00582EF5">
        <w:t>.</w:t>
      </w:r>
    </w:p>
    <w:p w14:paraId="5820CDD3" w14:textId="68D6310E" w:rsidR="00785CC0" w:rsidRPr="00582EF5" w:rsidRDefault="00785CC0" w:rsidP="00F744DE">
      <w:pPr>
        <w:pStyle w:val="Heading4"/>
      </w:pPr>
      <w:r w:rsidRPr="00582EF5">
        <w:t>Health and Safety at Work Act 2015</w:t>
      </w:r>
    </w:p>
    <w:p w14:paraId="7D84FFF3" w14:textId="6AF13BF1" w:rsidR="00785CC0" w:rsidRDefault="001C7176" w:rsidP="00680062">
      <w:pPr>
        <w:pStyle w:val="BodyText"/>
        <w:jc w:val="both"/>
      </w:pPr>
      <w:r>
        <w:t xml:space="preserve">The </w:t>
      </w:r>
      <w:hyperlink r:id="rId53" w:history="1">
        <w:r w:rsidRPr="001C7176">
          <w:rPr>
            <w:rStyle w:val="Hyperlink"/>
          </w:rPr>
          <w:t>Health and Safety at Work Act 2015</w:t>
        </w:r>
      </w:hyperlink>
      <w:r>
        <w:t xml:space="preserve"> </w:t>
      </w:r>
      <w:r w:rsidR="00785CC0" w:rsidRPr="00582EF5">
        <w:t>is New Zealand</w:t>
      </w:r>
      <w:r w:rsidR="00695956" w:rsidRPr="00582EF5">
        <w:t>’</w:t>
      </w:r>
      <w:r w:rsidR="00785CC0" w:rsidRPr="00582EF5">
        <w:t>s workplace health and safety law. It came into effect on 4</w:t>
      </w:r>
      <w:r w:rsidR="00695956" w:rsidRPr="00582EF5">
        <w:t> </w:t>
      </w:r>
      <w:r w:rsidR="00785CC0" w:rsidRPr="00582EF5">
        <w:t xml:space="preserve">April 2016. The </w:t>
      </w:r>
      <w:r w:rsidR="00695956" w:rsidRPr="00582EF5">
        <w:t xml:space="preserve">Act </w:t>
      </w:r>
      <w:r w:rsidR="00785CC0" w:rsidRPr="00582EF5">
        <w:t>governs how hazardous substances are used in the workplace, which can include controls relevant to POPs and their handling by workers.</w:t>
      </w:r>
      <w:r w:rsidR="006D7E9D" w:rsidRPr="00582EF5">
        <w:t xml:space="preserve"> </w:t>
      </w:r>
    </w:p>
    <w:p w14:paraId="56F8995F" w14:textId="77777777" w:rsidR="0090389B" w:rsidRPr="00582EF5" w:rsidRDefault="0090389B" w:rsidP="001F4438">
      <w:pPr>
        <w:pStyle w:val="Heading5"/>
        <w:spacing w:before="120"/>
        <w:jc w:val="both"/>
      </w:pPr>
      <w:r w:rsidRPr="00582EF5">
        <w:t>Working Safer reforms</w:t>
      </w:r>
    </w:p>
    <w:p w14:paraId="1A20BED6" w14:textId="77777777" w:rsidR="0090389B" w:rsidRPr="00582EF5" w:rsidRDefault="0090389B" w:rsidP="00F744DE">
      <w:pPr>
        <w:pStyle w:val="BodyText"/>
      </w:pPr>
      <w:r w:rsidRPr="00582EF5">
        <w:t>The system for managing hazardous substances in workplaces changed in December 2017, following the passage of the HSWA. The reforms resulted in changes to the management of hazardous substances in the workplace, which is now covered by both the HSWA administered by WorkSafe and the HSNO Act 1996 administered by EPA.</w:t>
      </w:r>
    </w:p>
    <w:p w14:paraId="7545CBBD" w14:textId="195FCFA4" w:rsidR="0090389B" w:rsidRPr="00582EF5" w:rsidRDefault="0090389B" w:rsidP="00F744DE">
      <w:pPr>
        <w:pStyle w:val="BodyText"/>
      </w:pPr>
      <w:r w:rsidRPr="00582EF5">
        <w:t xml:space="preserve">WorkSafe has taken over the setting of rules for use of hazardous substances in the workplace. This includes controls such as handling, signage, storage and tracking of hazardous substances. These rules have been moved to the </w:t>
      </w:r>
      <w:hyperlink r:id="rId54" w:history="1">
        <w:r w:rsidRPr="0012760C">
          <w:rPr>
            <w:rStyle w:val="Hyperlink"/>
          </w:rPr>
          <w:t>Health and Safety at Work Act (Hazardous Substances) Regulations 2017</w:t>
        </w:r>
      </w:hyperlink>
      <w:r w:rsidRPr="00582EF5">
        <w:t xml:space="preserve"> and are overseen by WorkSafe.</w:t>
      </w:r>
    </w:p>
    <w:p w14:paraId="0F573E77" w14:textId="0381070A" w:rsidR="0072659A" w:rsidRPr="00582EF5" w:rsidRDefault="0072659A" w:rsidP="00F744DE">
      <w:pPr>
        <w:pStyle w:val="BodyText"/>
      </w:pPr>
      <w:r>
        <w:t xml:space="preserve">Since December 2017, EPA became the main enforcement agency for checking whether chemicals are approved and for setting environmental controls (including rules relating to disposal of POPs). WorkSafe is still the primary enforcement agency </w:t>
      </w:r>
      <w:r w:rsidR="00BB1723">
        <w:t>of HSNO</w:t>
      </w:r>
      <w:r>
        <w:t xml:space="preserve"> rules for disposal and environmental protection in workplaces.</w:t>
      </w:r>
    </w:p>
    <w:p w14:paraId="725C077C" w14:textId="6C73FBFF" w:rsidR="00785CC0" w:rsidRPr="00582EF5" w:rsidRDefault="00785CC0" w:rsidP="001F4438">
      <w:pPr>
        <w:pStyle w:val="Heading4"/>
        <w:spacing w:before="240"/>
      </w:pPr>
      <w:r w:rsidRPr="00582EF5">
        <w:t>Agricultural Compounds and Veterinary Medicines Act 1997</w:t>
      </w:r>
    </w:p>
    <w:p w14:paraId="4F9803C7" w14:textId="29968667" w:rsidR="00785CC0" w:rsidRPr="00582EF5" w:rsidRDefault="00785CC0" w:rsidP="00F744DE">
      <w:pPr>
        <w:pStyle w:val="BodyText"/>
      </w:pPr>
      <w:hyperlink r:id="rId55" w:history="1">
        <w:r w:rsidRPr="00EB6F92">
          <w:rPr>
            <w:rStyle w:val="Hyperlink"/>
          </w:rPr>
          <w:t xml:space="preserve">The ACVM </w:t>
        </w:r>
        <w:r w:rsidR="001E5BC3" w:rsidRPr="00EB6F92">
          <w:rPr>
            <w:rStyle w:val="Hyperlink"/>
          </w:rPr>
          <w:t>Act</w:t>
        </w:r>
        <w:r w:rsidR="00CD4410" w:rsidRPr="00EB6F92">
          <w:rPr>
            <w:rStyle w:val="Hyperlink"/>
          </w:rPr>
          <w:t>’s</w:t>
        </w:r>
      </w:hyperlink>
      <w:r w:rsidR="001E5BC3" w:rsidRPr="00582EF5">
        <w:t xml:space="preserve"> </w:t>
      </w:r>
      <w:r w:rsidR="00CD4410" w:rsidRPr="00582EF5">
        <w:t xml:space="preserve">purpose </w:t>
      </w:r>
      <w:r w:rsidRPr="00582EF5">
        <w:t xml:space="preserve">is to prevent or manage risks associated with the use of agricultural compounds. </w:t>
      </w:r>
      <w:r w:rsidR="00EB6D0A" w:rsidRPr="00582EF5">
        <w:t>The Act</w:t>
      </w:r>
      <w:r w:rsidRPr="00582EF5">
        <w:t xml:space="preserve"> ensures </w:t>
      </w:r>
      <w:r w:rsidR="00444BA4" w:rsidRPr="00582EF5">
        <w:t xml:space="preserve">the </w:t>
      </w:r>
      <w:r w:rsidRPr="00582EF5">
        <w:t>provision of sufficient consumer information about agricultural compounds</w:t>
      </w:r>
      <w:r w:rsidR="00151431" w:rsidRPr="00582EF5">
        <w:t>,</w:t>
      </w:r>
      <w:r w:rsidR="00444BA4" w:rsidRPr="00582EF5">
        <w:t xml:space="preserve"> and that their use does not result in breaches of domestic food residue standards</w:t>
      </w:r>
      <w:r w:rsidRPr="00582EF5">
        <w:t>.</w:t>
      </w:r>
    </w:p>
    <w:p w14:paraId="15D5BA25" w14:textId="34BB082F" w:rsidR="00785CC0" w:rsidRPr="00582EF5" w:rsidRDefault="00785CC0" w:rsidP="00F744DE">
      <w:pPr>
        <w:pStyle w:val="BodyText"/>
      </w:pPr>
      <w:r w:rsidRPr="00582EF5">
        <w:t xml:space="preserve">Many products under </w:t>
      </w:r>
      <w:r w:rsidR="00F6356C" w:rsidRPr="00582EF5">
        <w:t xml:space="preserve">the </w:t>
      </w:r>
      <w:r w:rsidRPr="00582EF5">
        <w:t xml:space="preserve">ACVM </w:t>
      </w:r>
      <w:r w:rsidR="001E5BC3" w:rsidRPr="00582EF5">
        <w:t xml:space="preserve">Act </w:t>
      </w:r>
      <w:r w:rsidRPr="00582EF5">
        <w:t xml:space="preserve">have hazardous substance components. As such, an approval under the HSNO Act </w:t>
      </w:r>
      <w:r w:rsidR="008334DF" w:rsidRPr="00582EF5">
        <w:t xml:space="preserve">1996 </w:t>
      </w:r>
      <w:r w:rsidRPr="00582EF5">
        <w:t xml:space="preserve">is required first before an approval can be given under </w:t>
      </w:r>
      <w:r w:rsidR="00F6356C" w:rsidRPr="00582EF5">
        <w:t xml:space="preserve">the </w:t>
      </w:r>
      <w:r w:rsidRPr="00582EF5">
        <w:t>ACVM</w:t>
      </w:r>
      <w:r w:rsidR="001E5BC3" w:rsidRPr="00582EF5">
        <w:t xml:space="preserve"> Act</w:t>
      </w:r>
      <w:r w:rsidRPr="00582EF5">
        <w:t xml:space="preserve">. This means no products approved under </w:t>
      </w:r>
      <w:r w:rsidR="00F6356C" w:rsidRPr="00582EF5">
        <w:t xml:space="preserve">the </w:t>
      </w:r>
      <w:r w:rsidRPr="00582EF5">
        <w:t xml:space="preserve">ACVM </w:t>
      </w:r>
      <w:r w:rsidR="001E5BC3" w:rsidRPr="00582EF5">
        <w:t xml:space="preserve">Act </w:t>
      </w:r>
      <w:r w:rsidRPr="00582EF5">
        <w:t xml:space="preserve">should contain POPs, </w:t>
      </w:r>
      <w:r w:rsidR="00151431" w:rsidRPr="00582EF5">
        <w:t>because</w:t>
      </w:r>
      <w:r w:rsidRPr="00582EF5">
        <w:t xml:space="preserve"> a HSNO approval will not be given to a POP or POP</w:t>
      </w:r>
      <w:r w:rsidR="00151431" w:rsidRPr="00582EF5">
        <w:t>-</w:t>
      </w:r>
      <w:r w:rsidRPr="00582EF5">
        <w:t>containing product (except in limited circumstances).</w:t>
      </w:r>
      <w:r w:rsidR="0077378B" w:rsidRPr="00582EF5">
        <w:t xml:space="preserve"> In addition, the </w:t>
      </w:r>
      <w:hyperlink r:id="rId56" w:history="1">
        <w:r w:rsidR="0077378B" w:rsidRPr="000D10A1">
          <w:rPr>
            <w:rStyle w:val="Hyperlink"/>
          </w:rPr>
          <w:t xml:space="preserve">ACVM (Exemptions and Prohibited Substances) Regulations </w:t>
        </w:r>
        <w:r w:rsidR="008265AE" w:rsidRPr="000D10A1">
          <w:rPr>
            <w:rStyle w:val="Hyperlink"/>
          </w:rPr>
          <w:t>2011</w:t>
        </w:r>
      </w:hyperlink>
      <w:r w:rsidR="00F6356C" w:rsidRPr="00582EF5">
        <w:t xml:space="preserve"> </w:t>
      </w:r>
      <w:r w:rsidR="0077378B" w:rsidRPr="00582EF5">
        <w:t>prohibit the use of POPs as agricultural compounds.</w:t>
      </w:r>
    </w:p>
    <w:p w14:paraId="4352D08B" w14:textId="77777777" w:rsidR="00785CC0" w:rsidRPr="00582EF5" w:rsidRDefault="00785CC0" w:rsidP="001F4438">
      <w:pPr>
        <w:pStyle w:val="Heading4"/>
        <w:spacing w:before="240"/>
      </w:pPr>
      <w:r w:rsidRPr="00582EF5">
        <w:t>Imports and Exports (Restrictions) Prohibition Order (No 2) 2004</w:t>
      </w:r>
    </w:p>
    <w:p w14:paraId="5B1739B0" w14:textId="48D368E6" w:rsidR="00785CC0" w:rsidRPr="00582EF5" w:rsidRDefault="00785CC0" w:rsidP="00F744DE">
      <w:pPr>
        <w:pStyle w:val="BodyText"/>
      </w:pPr>
      <w:r w:rsidRPr="00582EF5">
        <w:t xml:space="preserve">New Zealand is party to several multilateral agreements relating to the management, import and export of </w:t>
      </w:r>
      <w:r w:rsidR="00687ED1" w:rsidRPr="00582EF5">
        <w:t xml:space="preserve">certain chemicals and </w:t>
      </w:r>
      <w:r w:rsidRPr="00582EF5">
        <w:t>hazardous waste</w:t>
      </w:r>
      <w:r w:rsidR="00DD22B4" w:rsidRPr="00582EF5">
        <w:t>,</w:t>
      </w:r>
      <w:r w:rsidRPr="00582EF5">
        <w:t xml:space="preserve"> such as the Basel, Rotterdam and Stockholm </w:t>
      </w:r>
      <w:r w:rsidR="00DD22B4" w:rsidRPr="00582EF5">
        <w:t>c</w:t>
      </w:r>
      <w:r w:rsidRPr="00582EF5">
        <w:t>onventions</w:t>
      </w:r>
      <w:r w:rsidR="00F6356C" w:rsidRPr="00582EF5">
        <w:t xml:space="preserve"> (see below)</w:t>
      </w:r>
      <w:r w:rsidRPr="00582EF5">
        <w:t xml:space="preserve">. </w:t>
      </w:r>
    </w:p>
    <w:p w14:paraId="7CCA5AD7" w14:textId="7902BD32" w:rsidR="00D9283E" w:rsidRDefault="00D9283E" w:rsidP="00EF6014">
      <w:pPr>
        <w:pStyle w:val="BodyText"/>
      </w:pPr>
      <w:r w:rsidRPr="00582EF5">
        <w:t xml:space="preserve">The </w:t>
      </w:r>
      <w:hyperlink r:id="rId57" w:history="1">
        <w:r w:rsidR="00217F8A" w:rsidRPr="003C2A56">
          <w:rPr>
            <w:rStyle w:val="Hyperlink"/>
          </w:rPr>
          <w:t>Imports and Exports (Restrictions Prohibition Order (No 2) 2004</w:t>
        </w:r>
      </w:hyperlink>
      <w:r w:rsidR="00217F8A">
        <w:t xml:space="preserve"> </w:t>
      </w:r>
      <w:r>
        <w:t xml:space="preserve">controls the export </w:t>
      </w:r>
      <w:r w:rsidRPr="00582EF5">
        <w:t xml:space="preserve">of </w:t>
      </w:r>
      <w:r>
        <w:t xml:space="preserve">the POPs </w:t>
      </w:r>
      <w:r w:rsidRPr="00582EF5">
        <w:t>covered by the Stockholm Convention (</w:t>
      </w:r>
      <w:hyperlink r:id="rId58" w:anchor="DLM271763" w:history="1">
        <w:r w:rsidRPr="00A1377D">
          <w:rPr>
            <w:rStyle w:val="Hyperlink"/>
          </w:rPr>
          <w:t>Schedule 1</w:t>
        </w:r>
      </w:hyperlink>
      <w:r w:rsidRPr="00582EF5">
        <w:t xml:space="preserve">). </w:t>
      </w:r>
      <w:r w:rsidR="00F334C0" w:rsidRPr="001C7176">
        <w:t>The Schedule includes</w:t>
      </w:r>
      <w:r>
        <w:t xml:space="preserve"> </w:t>
      </w:r>
      <w:proofErr w:type="gramStart"/>
      <w:r>
        <w:t>all</w:t>
      </w:r>
      <w:r w:rsidR="008B302B">
        <w:t xml:space="preserve"> of</w:t>
      </w:r>
      <w:proofErr w:type="gramEnd"/>
      <w:r>
        <w:t xml:space="preserve"> the</w:t>
      </w:r>
      <w:r w:rsidR="00A1377D" w:rsidRPr="001C7176">
        <w:t xml:space="preserve"> Stockholm Convention POPs up to and including 2019</w:t>
      </w:r>
      <w:r w:rsidRPr="00582EF5">
        <w:t>.</w:t>
      </w:r>
    </w:p>
    <w:p w14:paraId="641F74EC" w14:textId="3E64AC58" w:rsidR="00FC015C" w:rsidRPr="00582EF5" w:rsidRDefault="00FC015C" w:rsidP="00F744DE">
      <w:pPr>
        <w:pStyle w:val="BodyText"/>
      </w:pPr>
      <w:r w:rsidRPr="00FC015C">
        <w:t xml:space="preserve">The I&amp;E Order 2004 legislates restrictions on the </w:t>
      </w:r>
      <w:r w:rsidR="5438D0EC">
        <w:t>export</w:t>
      </w:r>
      <w:r w:rsidRPr="00FC015C">
        <w:t xml:space="preserve"> of goods covered by the Rotterdam, Stockholm and Basel Conventions. It requires that a permit issued by the EPA is in place prior to the export. It also prescribes that EPA must issue such a permit providing the legislated conditions are met.</w:t>
      </w:r>
    </w:p>
    <w:p w14:paraId="62BB36B5" w14:textId="481D8E4E" w:rsidR="00785CC0" w:rsidRPr="00582EF5" w:rsidRDefault="00854061" w:rsidP="00F744DE">
      <w:pPr>
        <w:pStyle w:val="Heading4"/>
        <w:spacing w:before="240"/>
      </w:pPr>
      <w:r w:rsidRPr="00582EF5">
        <w:lastRenderedPageBreak/>
        <w:t>Waste Minimisation Act</w:t>
      </w:r>
      <w:r w:rsidR="00785CC0" w:rsidRPr="00582EF5">
        <w:t xml:space="preserve"> 2008</w:t>
      </w:r>
    </w:p>
    <w:p w14:paraId="4266F039" w14:textId="77777777" w:rsidR="001C7176" w:rsidRDefault="00BC1504" w:rsidP="00F744DE">
      <w:pPr>
        <w:pStyle w:val="BodyText"/>
      </w:pPr>
      <w:r w:rsidRPr="001C7176">
        <w:t xml:space="preserve">MfE administers the </w:t>
      </w:r>
      <w:hyperlink r:id="rId59" w:history="1">
        <w:r w:rsidRPr="00BC1504">
          <w:rPr>
            <w:rStyle w:val="Hyperlink"/>
          </w:rPr>
          <w:t>Waste Minimisation Act 2008</w:t>
        </w:r>
      </w:hyperlink>
      <w:r w:rsidR="3272CB8B">
        <w:t>.</w:t>
      </w:r>
      <w:r w:rsidR="00785CC0" w:rsidRPr="00582EF5">
        <w:t xml:space="preserve"> This Act encourages a reduction in the amount of waste generate</w:t>
      </w:r>
      <w:r w:rsidR="000867A7" w:rsidRPr="00582EF5">
        <w:t>d</w:t>
      </w:r>
      <w:r w:rsidR="00785CC0" w:rsidRPr="00582EF5">
        <w:t xml:space="preserve"> and dispose</w:t>
      </w:r>
      <w:r w:rsidR="000867A7" w:rsidRPr="00582EF5">
        <w:t>d</w:t>
      </w:r>
      <w:r w:rsidR="00785CC0" w:rsidRPr="00582EF5">
        <w:t xml:space="preserve"> of in New Zealand. </w:t>
      </w:r>
      <w:r w:rsidR="000867A7" w:rsidRPr="00582EF5">
        <w:t>It</w:t>
      </w:r>
      <w:r w:rsidR="00785CC0" w:rsidRPr="00582EF5">
        <w:t xml:space="preserve"> aims to protect the environment from harm and provide environmental, social, economic and cultural benefit</w:t>
      </w:r>
      <w:r w:rsidR="00B9685B" w:rsidRPr="00582EF5">
        <w:t>s.</w:t>
      </w:r>
      <w:r w:rsidR="00B203E0">
        <w:t xml:space="preserve"> </w:t>
      </w:r>
    </w:p>
    <w:p w14:paraId="432EA42E" w14:textId="78ADE324" w:rsidR="00785CC0" w:rsidRPr="00582EF5" w:rsidRDefault="00471657" w:rsidP="00F744DE">
      <w:pPr>
        <w:pStyle w:val="BodyText"/>
      </w:pPr>
      <w:r>
        <w:t>MfE</w:t>
      </w:r>
      <w:r w:rsidR="00B203E0" w:rsidRPr="00B203E0">
        <w:t xml:space="preserve"> is proposing new and more comprehensive legislation on waste to replace the Waste Minimisation Act 2008</w:t>
      </w:r>
      <w:r>
        <w:t xml:space="preserve"> to </w:t>
      </w:r>
      <w:r w:rsidRPr="00471657">
        <w:t xml:space="preserve">create the tools to deliver the waste strategy and ensure </w:t>
      </w:r>
      <w:r>
        <w:t xml:space="preserve">MfE </w:t>
      </w:r>
      <w:r w:rsidR="00D859D0">
        <w:t>uses</w:t>
      </w:r>
      <w:r w:rsidRPr="00471657">
        <w:t xml:space="preserve"> funds generated</w:t>
      </w:r>
      <w:r w:rsidR="00D859D0">
        <w:t xml:space="preserve"> </w:t>
      </w:r>
      <w:r w:rsidRPr="00471657">
        <w:t>by the expanded waste disposal levy</w:t>
      </w:r>
      <w:r w:rsidR="01730A5F">
        <w:t xml:space="preserve"> efficiently</w:t>
      </w:r>
      <w:r w:rsidR="7CFAC333">
        <w:t>.</w:t>
      </w:r>
      <w:r w:rsidR="00A5122B">
        <w:t xml:space="preserve"> The update also aims to </w:t>
      </w:r>
      <w:r w:rsidR="00A5122B" w:rsidRPr="00A5122B">
        <w:t xml:space="preserve">reset the </w:t>
      </w:r>
      <w:r w:rsidR="15C4749D">
        <w:t>purpose</w:t>
      </w:r>
      <w:r w:rsidR="00A5122B" w:rsidRPr="00A5122B">
        <w:t>, governance arrangements, and roles and responsibilities in legislation</w:t>
      </w:r>
      <w:r w:rsidR="00A5122B">
        <w:t xml:space="preserve"> </w:t>
      </w:r>
      <w:r w:rsidR="00A5122B" w:rsidRPr="00A5122B">
        <w:t>and strengthen and clarify regulatory and enforcement powers.</w:t>
      </w:r>
      <w:r w:rsidR="003408BE">
        <w:t xml:space="preserve"> </w:t>
      </w:r>
      <w:r w:rsidR="00057A51" w:rsidRPr="001C7176">
        <w:t>MfE aims to present a final waste strategy</w:t>
      </w:r>
      <w:r w:rsidR="45D6D97E">
        <w:t xml:space="preserve"> to Cabinet </w:t>
      </w:r>
      <w:r w:rsidR="423FB1EB">
        <w:t xml:space="preserve">later this year </w:t>
      </w:r>
      <w:r w:rsidR="45D6D97E">
        <w:t xml:space="preserve">and release it by </w:t>
      </w:r>
      <w:r w:rsidR="10AFC592">
        <w:t>early 2023</w:t>
      </w:r>
      <w:r w:rsidR="32332FF6">
        <w:t xml:space="preserve">. </w:t>
      </w:r>
      <w:r w:rsidR="001E282D" w:rsidRPr="001C7176">
        <w:t xml:space="preserve">More specific actions will be set out in </w:t>
      </w:r>
      <w:hyperlink r:id="rId60" w:history="1">
        <w:r w:rsidR="001E282D" w:rsidRPr="006F7CB1">
          <w:rPr>
            <w:rStyle w:val="Hyperlink"/>
          </w:rPr>
          <w:t>action and investment plans</w:t>
        </w:r>
      </w:hyperlink>
      <w:r w:rsidR="001E282D" w:rsidRPr="001C7176">
        <w:t xml:space="preserve"> every three years</w:t>
      </w:r>
      <w:r w:rsidR="32332FF6">
        <w:t>.</w:t>
      </w:r>
      <w:r w:rsidR="001E282D">
        <w:t xml:space="preserve"> </w:t>
      </w:r>
      <w:r w:rsidR="001C7176">
        <w:t xml:space="preserve">Find out more about </w:t>
      </w:r>
      <w:hyperlink r:id="rId61" w:history="1">
        <w:r w:rsidR="001C7176" w:rsidRPr="00516ADC">
          <w:rPr>
            <w:rStyle w:val="Hyperlink"/>
          </w:rPr>
          <w:t>waste legislation and strategy under development</w:t>
        </w:r>
      </w:hyperlink>
      <w:r w:rsidR="001C7176">
        <w:t xml:space="preserve"> on our website.</w:t>
      </w:r>
    </w:p>
    <w:p w14:paraId="30F92275" w14:textId="4016634B" w:rsidR="000344F5" w:rsidRDefault="000344F5" w:rsidP="00F744DE">
      <w:pPr>
        <w:pStyle w:val="BodyText"/>
      </w:pPr>
      <w:r>
        <w:t>In July 2020, the Government announced six products to be declared ‘priority products’ for the establishment of regulated product stewardship schemes under the Waste Minimisation Act 2008 (WMA).</w:t>
      </w:r>
      <w:r w:rsidR="6B872E71">
        <w:t xml:space="preserve"> </w:t>
      </w:r>
      <w:r>
        <w:t>The products are:</w:t>
      </w:r>
    </w:p>
    <w:p w14:paraId="60ABB54C" w14:textId="77777777" w:rsidR="000344F5" w:rsidRDefault="000344F5" w:rsidP="00F744DE">
      <w:pPr>
        <w:pStyle w:val="Bullet"/>
      </w:pPr>
      <w:r>
        <w:t>plastic packaging</w:t>
      </w:r>
    </w:p>
    <w:p w14:paraId="365719CC" w14:textId="77777777" w:rsidR="000344F5" w:rsidRDefault="000344F5" w:rsidP="00F744DE">
      <w:pPr>
        <w:pStyle w:val="Bullet"/>
      </w:pPr>
      <w:r>
        <w:t>tyres</w:t>
      </w:r>
    </w:p>
    <w:p w14:paraId="4685843F" w14:textId="77777777" w:rsidR="000344F5" w:rsidRDefault="000344F5" w:rsidP="00F744DE">
      <w:pPr>
        <w:pStyle w:val="Bullet"/>
      </w:pPr>
      <w:r>
        <w:t>electrical and electronic products (e-waste including large batteries)</w:t>
      </w:r>
    </w:p>
    <w:p w14:paraId="0B2F3643" w14:textId="77777777" w:rsidR="000344F5" w:rsidRDefault="000344F5" w:rsidP="00F744DE">
      <w:pPr>
        <w:pStyle w:val="Bullet"/>
      </w:pPr>
      <w:r>
        <w:t>agrichemicals and their containers</w:t>
      </w:r>
    </w:p>
    <w:p w14:paraId="2D4165DC" w14:textId="77777777" w:rsidR="000344F5" w:rsidRDefault="000344F5" w:rsidP="00F744DE">
      <w:pPr>
        <w:pStyle w:val="Bullet"/>
      </w:pPr>
      <w:r>
        <w:t xml:space="preserve">refrigerants </w:t>
      </w:r>
    </w:p>
    <w:p w14:paraId="40ED6145" w14:textId="77777777" w:rsidR="000344F5" w:rsidRDefault="000344F5" w:rsidP="00F744DE">
      <w:pPr>
        <w:pStyle w:val="Bullet"/>
      </w:pPr>
      <w:r>
        <w:t>farm plastics.</w:t>
      </w:r>
    </w:p>
    <w:p w14:paraId="6F5D5E29" w14:textId="691A9D21" w:rsidR="00785CC0" w:rsidRPr="00582EF5" w:rsidRDefault="000344F5" w:rsidP="00F744DE">
      <w:pPr>
        <w:pStyle w:val="BodyText"/>
      </w:pPr>
      <w:r>
        <w:t>MfE is working with stakeholders to co-design product stewardship schemes for each priority product group. We will consult on any regulations under the WMA that may be required to implement those schemes.</w:t>
      </w:r>
      <w:r w:rsidR="00392E48" w:rsidRPr="00392E48">
        <w:t xml:space="preserve"> </w:t>
      </w:r>
      <w:r w:rsidR="00392E48" w:rsidRPr="00582EF5">
        <w:t xml:space="preserve">Under the WMA, the Minister for the Environment can </w:t>
      </w:r>
      <w:r w:rsidR="00392E48">
        <w:t xml:space="preserve">also </w:t>
      </w:r>
      <w:r w:rsidR="00392E48" w:rsidRPr="00582EF5">
        <w:t>grant accreditation to recognised product stewardship schemes.</w:t>
      </w:r>
      <w:r w:rsidR="00EE6004">
        <w:t xml:space="preserve"> </w:t>
      </w:r>
      <w:r w:rsidR="00392E48" w:rsidRPr="00582EF5">
        <w:t xml:space="preserve">One initiative is the </w:t>
      </w:r>
      <w:hyperlink r:id="rId62" w:history="1">
        <w:proofErr w:type="spellStart"/>
        <w:r w:rsidR="00392E48" w:rsidRPr="00CE58A6">
          <w:rPr>
            <w:rStyle w:val="Hyperlink"/>
          </w:rPr>
          <w:t>Agrecovery</w:t>
        </w:r>
        <w:proofErr w:type="spellEnd"/>
      </w:hyperlink>
      <w:r w:rsidR="00392E48" w:rsidRPr="00582EF5">
        <w:t xml:space="preserve"> rural recycling programme</w:t>
      </w:r>
      <w:r w:rsidR="00EE6004">
        <w:t xml:space="preserve"> to manage</w:t>
      </w:r>
      <w:r w:rsidR="00392E48" w:rsidRPr="00582EF5">
        <w:t xml:space="preserve"> hazardous chemicals in rural New Zealand. </w:t>
      </w:r>
      <w:proofErr w:type="spellStart"/>
      <w:r w:rsidR="00392E48" w:rsidRPr="00582EF5">
        <w:t>Agrecovery</w:t>
      </w:r>
      <w:proofErr w:type="spellEnd"/>
      <w:r w:rsidR="00392E48" w:rsidRPr="00582EF5">
        <w:t xml:space="preserve"> has been funded to enable POPs and other hazardous substances to be collected and disposed of safely (</w:t>
      </w:r>
      <w:hyperlink w:anchor="_Agrichemicals_that_are" w:history="1">
        <w:r w:rsidR="00392E48" w:rsidRPr="00A421AE">
          <w:rPr>
            <w:rStyle w:val="Hyperlink"/>
          </w:rPr>
          <w:t>see more in chapter 6</w:t>
        </w:r>
      </w:hyperlink>
      <w:r w:rsidR="00392E48" w:rsidRPr="00582EF5">
        <w:t>).</w:t>
      </w:r>
    </w:p>
    <w:p w14:paraId="6BF248D9" w14:textId="76B9A6DE" w:rsidR="00785CC0" w:rsidRPr="00582EF5" w:rsidRDefault="008969B8" w:rsidP="00F744DE">
      <w:pPr>
        <w:pStyle w:val="Heading4"/>
        <w:spacing w:before="240"/>
      </w:pPr>
      <w:r w:rsidRPr="00582EF5">
        <w:t>Local Government Act 2002</w:t>
      </w:r>
    </w:p>
    <w:p w14:paraId="48E193B5" w14:textId="49F5095E" w:rsidR="00785CC0" w:rsidRPr="00582EF5" w:rsidRDefault="00785CC0" w:rsidP="00F744DE">
      <w:pPr>
        <w:pStyle w:val="BodyText"/>
      </w:pPr>
      <w:hyperlink r:id="rId63" w:history="1">
        <w:r w:rsidRPr="00443C65">
          <w:rPr>
            <w:rStyle w:val="Hyperlink"/>
          </w:rPr>
          <w:t xml:space="preserve">The </w:t>
        </w:r>
        <w:r w:rsidR="00F34FC2" w:rsidRPr="00443C65">
          <w:rPr>
            <w:rStyle w:val="Hyperlink"/>
          </w:rPr>
          <w:t>L</w:t>
        </w:r>
        <w:r w:rsidR="00F34FC2">
          <w:rPr>
            <w:rStyle w:val="Hyperlink"/>
          </w:rPr>
          <w:t>ocal Government Act</w:t>
        </w:r>
        <w:r w:rsidR="00F34FC2" w:rsidRPr="00443C65">
          <w:rPr>
            <w:rStyle w:val="Hyperlink"/>
          </w:rPr>
          <w:t xml:space="preserve"> </w:t>
        </w:r>
        <w:r w:rsidR="008969B8" w:rsidRPr="00443C65">
          <w:rPr>
            <w:rStyle w:val="Hyperlink"/>
          </w:rPr>
          <w:t>2002</w:t>
        </w:r>
      </w:hyperlink>
      <w:r w:rsidRPr="00582EF5">
        <w:t xml:space="preserve"> empowers councils to promote the well-being of communities. The purpose of local government is to:</w:t>
      </w:r>
    </w:p>
    <w:p w14:paraId="10EC6FBB" w14:textId="77777777" w:rsidR="00785CC0" w:rsidRPr="00582EF5" w:rsidRDefault="00785CC0" w:rsidP="00F744DE">
      <w:pPr>
        <w:pStyle w:val="Bullet"/>
      </w:pPr>
      <w:r w:rsidRPr="00582EF5">
        <w:t>enable democratic local decision-making and action by, and on behalf of, communities</w:t>
      </w:r>
    </w:p>
    <w:p w14:paraId="59871EC4" w14:textId="59B715F9" w:rsidR="00785CC0" w:rsidRPr="00582EF5" w:rsidRDefault="00785CC0" w:rsidP="00F744DE">
      <w:pPr>
        <w:pStyle w:val="Bullet"/>
      </w:pPr>
      <w:r w:rsidRPr="00582EF5">
        <w:t>promote the social, economic, environmental and cultural well-being of communities in the present and for the future.</w:t>
      </w:r>
    </w:p>
    <w:p w14:paraId="2FB42A22" w14:textId="606AA940" w:rsidR="00785CC0" w:rsidRPr="00582EF5" w:rsidRDefault="00785CC0" w:rsidP="00F744DE">
      <w:pPr>
        <w:pStyle w:val="BodyText"/>
      </w:pPr>
      <w:r w:rsidRPr="00582EF5">
        <w:t>Local authorities have regulatory responsibilities under the HSNO Act, RMA</w:t>
      </w:r>
      <w:r w:rsidR="00D81F97">
        <w:t>, WSA</w:t>
      </w:r>
      <w:r w:rsidRPr="00582EF5">
        <w:t xml:space="preserve"> and WMA.</w:t>
      </w:r>
    </w:p>
    <w:p w14:paraId="5E00D6EB" w14:textId="4D4DF7F8" w:rsidR="13B3961F" w:rsidRPr="00F744DE" w:rsidRDefault="5A814483" w:rsidP="00F744DE">
      <w:pPr>
        <w:pStyle w:val="Heading4"/>
        <w:spacing w:before="240"/>
        <w:jc w:val="both"/>
      </w:pPr>
      <w:r w:rsidRPr="00E76949">
        <w:t>Water Services Act</w:t>
      </w:r>
      <w:r w:rsidRPr="00F744DE">
        <w:t xml:space="preserve"> 2021</w:t>
      </w:r>
    </w:p>
    <w:p w14:paraId="169C43B3" w14:textId="06D5A102" w:rsidR="003F6996" w:rsidRPr="00F744DE" w:rsidRDefault="00A33AE1" w:rsidP="00F744DE">
      <w:pPr>
        <w:pStyle w:val="BodyText"/>
        <w:rPr>
          <w:rFonts w:eastAsiaTheme="majorEastAsia" w:cstheme="majorBidi"/>
        </w:rPr>
      </w:pPr>
      <w:r w:rsidRPr="001C7176">
        <w:t xml:space="preserve">The </w:t>
      </w:r>
      <w:hyperlink r:id="rId64" w:history="1">
        <w:r w:rsidRPr="009B36CF">
          <w:rPr>
            <w:rStyle w:val="Hyperlink"/>
            <w:rFonts w:eastAsiaTheme="majorEastAsia" w:cstheme="majorBidi"/>
          </w:rPr>
          <w:t>Water Services Act 2021</w:t>
        </w:r>
      </w:hyperlink>
      <w:r w:rsidR="00BE10C5" w:rsidRPr="00F744DE">
        <w:rPr>
          <w:rFonts w:eastAsiaTheme="majorEastAsia" w:cstheme="majorBidi"/>
        </w:rPr>
        <w:t xml:space="preserve"> establishes</w:t>
      </w:r>
      <w:r w:rsidR="003F6996" w:rsidRPr="00F744DE">
        <w:rPr>
          <w:rFonts w:eastAsiaTheme="majorEastAsia" w:cstheme="majorBidi"/>
        </w:rPr>
        <w:t xml:space="preserve"> drinking water standards and regulates all persons and organisations that supply drinking water.</w:t>
      </w:r>
      <w:r w:rsidR="00921E38" w:rsidRPr="00F744DE">
        <w:rPr>
          <w:rFonts w:eastAsiaTheme="majorEastAsia" w:cstheme="majorBidi"/>
        </w:rPr>
        <w:t xml:space="preserve"> </w:t>
      </w:r>
    </w:p>
    <w:p w14:paraId="03DDD869" w14:textId="38638511" w:rsidR="003F6996" w:rsidRPr="00F744DE" w:rsidRDefault="003F6996" w:rsidP="00F744DE">
      <w:pPr>
        <w:pStyle w:val="BodyText"/>
        <w:rPr>
          <w:rFonts w:eastAsiaTheme="majorEastAsia" w:cstheme="majorBidi"/>
        </w:rPr>
      </w:pPr>
      <w:r w:rsidRPr="00F744DE">
        <w:rPr>
          <w:rFonts w:eastAsiaTheme="majorEastAsia" w:cstheme="majorBidi"/>
        </w:rPr>
        <w:t xml:space="preserve">The Act commenced on 15 November 2021 but will fully come into force over the next seven years. </w:t>
      </w:r>
      <w:r w:rsidR="00A96FDD" w:rsidRPr="001C7176">
        <w:t xml:space="preserve">It is administered by </w:t>
      </w:r>
      <w:proofErr w:type="spellStart"/>
      <w:r w:rsidR="00A96FDD" w:rsidRPr="001C7176">
        <w:t>Taumata</w:t>
      </w:r>
      <w:proofErr w:type="spellEnd"/>
      <w:r w:rsidR="00A96FDD" w:rsidRPr="001C7176">
        <w:t xml:space="preserve"> </w:t>
      </w:r>
      <w:proofErr w:type="spellStart"/>
      <w:r w:rsidR="00A96FDD" w:rsidRPr="001C7176">
        <w:t>Arowai</w:t>
      </w:r>
      <w:proofErr w:type="spellEnd"/>
      <w:r w:rsidRPr="00F744DE">
        <w:rPr>
          <w:rFonts w:eastAsiaTheme="majorEastAsia" w:cstheme="majorBidi"/>
        </w:rPr>
        <w:t xml:space="preserve"> which is required to undertake engagement and </w:t>
      </w:r>
      <w:r w:rsidRPr="00F744DE">
        <w:rPr>
          <w:rFonts w:eastAsiaTheme="majorEastAsia" w:cstheme="majorBidi"/>
        </w:rPr>
        <w:lastRenderedPageBreak/>
        <w:t xml:space="preserve">consultation on significant regulations under the Act, including on the water standards themselves. </w:t>
      </w:r>
      <w:r w:rsidR="001C7176">
        <w:rPr>
          <w:rFonts w:eastAsiaTheme="majorEastAsia" w:cstheme="majorBidi"/>
        </w:rPr>
        <w:t xml:space="preserve">Read more about the </w:t>
      </w:r>
      <w:hyperlink r:id="rId65" w:history="1">
        <w:r w:rsidR="001C7176" w:rsidRPr="00F017F9">
          <w:rPr>
            <w:rStyle w:val="Hyperlink"/>
            <w:rFonts w:eastAsiaTheme="majorEastAsia" w:cstheme="majorBidi"/>
          </w:rPr>
          <w:t xml:space="preserve">legislation regarding </w:t>
        </w:r>
        <w:proofErr w:type="spellStart"/>
        <w:r w:rsidR="001C7176" w:rsidRPr="00F017F9">
          <w:rPr>
            <w:rStyle w:val="Hyperlink"/>
            <w:rFonts w:eastAsiaTheme="majorEastAsia" w:cstheme="majorBidi"/>
          </w:rPr>
          <w:t>Taumata</w:t>
        </w:r>
        <w:proofErr w:type="spellEnd"/>
        <w:r w:rsidR="001C7176" w:rsidRPr="00F017F9">
          <w:rPr>
            <w:rStyle w:val="Hyperlink"/>
            <w:rFonts w:eastAsiaTheme="majorEastAsia" w:cstheme="majorBidi"/>
          </w:rPr>
          <w:t xml:space="preserve"> </w:t>
        </w:r>
        <w:proofErr w:type="spellStart"/>
        <w:r w:rsidR="001C7176" w:rsidRPr="00F017F9">
          <w:rPr>
            <w:rStyle w:val="Hyperlink"/>
            <w:rFonts w:eastAsiaTheme="majorEastAsia" w:cstheme="majorBidi"/>
          </w:rPr>
          <w:t>Arowai</w:t>
        </w:r>
        <w:proofErr w:type="spellEnd"/>
      </w:hyperlink>
      <w:r w:rsidR="001C7176">
        <w:rPr>
          <w:rFonts w:eastAsiaTheme="majorEastAsia" w:cstheme="majorBidi"/>
        </w:rPr>
        <w:t xml:space="preserve"> on their website.</w:t>
      </w:r>
    </w:p>
    <w:p w14:paraId="70C3F854" w14:textId="005389D8" w:rsidR="003F6996" w:rsidRPr="00F744DE" w:rsidRDefault="003F6996" w:rsidP="00F744DE">
      <w:pPr>
        <w:pStyle w:val="BodyText"/>
        <w:rPr>
          <w:rFonts w:eastAsiaTheme="majorEastAsia" w:cstheme="majorBidi"/>
        </w:rPr>
      </w:pPr>
      <w:r w:rsidRPr="00F744DE">
        <w:rPr>
          <w:rFonts w:eastAsiaTheme="majorEastAsia" w:cstheme="majorBidi"/>
        </w:rPr>
        <w:t xml:space="preserve">In early 2022, </w:t>
      </w:r>
      <w:proofErr w:type="spellStart"/>
      <w:r w:rsidRPr="00F744DE">
        <w:rPr>
          <w:rFonts w:eastAsiaTheme="majorEastAsia" w:cstheme="majorBidi"/>
        </w:rPr>
        <w:t>Taumata</w:t>
      </w:r>
      <w:proofErr w:type="spellEnd"/>
      <w:r w:rsidRPr="00F744DE">
        <w:rPr>
          <w:rFonts w:eastAsiaTheme="majorEastAsia" w:cstheme="majorBidi"/>
        </w:rPr>
        <w:t xml:space="preserve"> </w:t>
      </w:r>
      <w:proofErr w:type="spellStart"/>
      <w:r w:rsidRPr="00F744DE">
        <w:rPr>
          <w:rFonts w:eastAsiaTheme="majorEastAsia" w:cstheme="majorBidi"/>
        </w:rPr>
        <w:t>Arowai</w:t>
      </w:r>
      <w:proofErr w:type="spellEnd"/>
      <w:r w:rsidRPr="00F744DE">
        <w:rPr>
          <w:rFonts w:eastAsiaTheme="majorEastAsia" w:cstheme="majorBidi"/>
        </w:rPr>
        <w:t xml:space="preserve"> </w:t>
      </w:r>
      <w:r w:rsidR="006A41DA" w:rsidRPr="00F744DE">
        <w:rPr>
          <w:rFonts w:eastAsiaTheme="majorEastAsia" w:cstheme="majorBidi"/>
        </w:rPr>
        <w:t>released</w:t>
      </w:r>
      <w:r w:rsidRPr="00F744DE">
        <w:rPr>
          <w:rFonts w:eastAsiaTheme="majorEastAsia" w:cstheme="majorBidi"/>
        </w:rPr>
        <w:t xml:space="preserve"> draft water standards and rules. The new rules provide the minimum requirements drinking water suppliers must comply with to demonstrate they are supplying safe drinking water. The new drinking water standards will set </w:t>
      </w:r>
      <w:r w:rsidR="008B5C14">
        <w:rPr>
          <w:rFonts w:eastAsiaTheme="majorEastAsia" w:cstheme="majorBidi"/>
        </w:rPr>
        <w:t>m</w:t>
      </w:r>
      <w:r w:rsidRPr="00F744DE">
        <w:rPr>
          <w:rFonts w:eastAsiaTheme="majorEastAsia" w:cstheme="majorBidi"/>
        </w:rPr>
        <w:t xml:space="preserve">aximum </w:t>
      </w:r>
      <w:r w:rsidR="008B5C14">
        <w:rPr>
          <w:rFonts w:eastAsiaTheme="majorEastAsia" w:cstheme="majorBidi"/>
        </w:rPr>
        <w:t>a</w:t>
      </w:r>
      <w:r w:rsidRPr="00F744DE">
        <w:rPr>
          <w:rFonts w:eastAsiaTheme="majorEastAsia" w:cstheme="majorBidi"/>
        </w:rPr>
        <w:t xml:space="preserve">cceptable </w:t>
      </w:r>
      <w:r w:rsidR="008B5C14">
        <w:rPr>
          <w:rFonts w:eastAsiaTheme="majorEastAsia" w:cstheme="majorBidi"/>
        </w:rPr>
        <w:t>v</w:t>
      </w:r>
      <w:r w:rsidRPr="00F744DE">
        <w:rPr>
          <w:rFonts w:eastAsiaTheme="majorEastAsia" w:cstheme="majorBidi"/>
        </w:rPr>
        <w:t xml:space="preserve">alues for contaminants in drinking water. </w:t>
      </w:r>
      <w:r w:rsidR="006416A4" w:rsidRPr="001C7176">
        <w:t>These proposed values won’t be allowed to be exceeded at any time and apply to all suppliers regardless of how many people they supply</w:t>
      </w:r>
      <w:r w:rsidRPr="00F744DE">
        <w:rPr>
          <w:rFonts w:eastAsiaTheme="majorEastAsia" w:cstheme="majorBidi"/>
        </w:rPr>
        <w:t>.</w:t>
      </w:r>
      <w:r w:rsidR="005429C0">
        <w:rPr>
          <w:rFonts w:eastAsiaTheme="majorEastAsia" w:cstheme="majorBidi"/>
        </w:rPr>
        <w:t xml:space="preserve"> See the </w:t>
      </w:r>
      <w:hyperlink r:id="rId66" w:history="1">
        <w:r w:rsidR="005429C0" w:rsidRPr="006416A4">
          <w:rPr>
            <w:rStyle w:val="Hyperlink"/>
            <w:rFonts w:eastAsiaTheme="majorEastAsia" w:cstheme="majorBidi"/>
          </w:rPr>
          <w:t>Water Services (Drinking Water Standards for New Zealand) Regulations 2022</w:t>
        </w:r>
      </w:hyperlink>
      <w:r w:rsidR="005429C0">
        <w:rPr>
          <w:rFonts w:eastAsiaTheme="majorEastAsia" w:cstheme="majorBidi"/>
        </w:rPr>
        <w:t>.</w:t>
      </w:r>
    </w:p>
    <w:p w14:paraId="24992F2A" w14:textId="77777777" w:rsidR="00785CC0" w:rsidRPr="00582EF5" w:rsidRDefault="00785CC0" w:rsidP="00F744DE">
      <w:pPr>
        <w:pStyle w:val="Heading4"/>
        <w:spacing w:before="240"/>
      </w:pPr>
      <w:r w:rsidRPr="00582EF5">
        <w:t>Wider multilateral agreements</w:t>
      </w:r>
    </w:p>
    <w:p w14:paraId="23B3340E" w14:textId="364A09AD" w:rsidR="00785CC0" w:rsidRPr="00582EF5" w:rsidRDefault="00785CC0" w:rsidP="00F744DE">
      <w:pPr>
        <w:pStyle w:val="BodyText"/>
      </w:pPr>
      <w:r w:rsidRPr="00582EF5">
        <w:t xml:space="preserve">New Zealand also implements other international conventions relevant to POPs. These </w:t>
      </w:r>
      <w:r w:rsidR="00F822D5" w:rsidRPr="00582EF5">
        <w:t>are discussed below.</w:t>
      </w:r>
    </w:p>
    <w:p w14:paraId="33F6B47C" w14:textId="51620757" w:rsidR="003037D0" w:rsidRPr="005400FE" w:rsidRDefault="00785CC0" w:rsidP="005400FE">
      <w:pPr>
        <w:pStyle w:val="Heading5"/>
      </w:pPr>
      <w:r w:rsidRPr="005400FE">
        <w:t xml:space="preserve">Basel Convention on the </w:t>
      </w:r>
      <w:r w:rsidR="00F822D5" w:rsidRPr="005400FE">
        <w:t xml:space="preserve">Control of </w:t>
      </w:r>
      <w:r w:rsidRPr="005400FE">
        <w:t>Transboundary Movement of Hazardous Wastes</w:t>
      </w:r>
      <w:r w:rsidR="00F822D5" w:rsidRPr="005400FE">
        <w:t xml:space="preserve"> and</w:t>
      </w:r>
      <w:r w:rsidR="007809CF" w:rsidRPr="005400FE">
        <w:t> </w:t>
      </w:r>
      <w:r w:rsidR="00F822D5" w:rsidRPr="005400FE">
        <w:t>their Disposal</w:t>
      </w:r>
      <w:r w:rsidR="007809CF" w:rsidRPr="005400FE">
        <w:t xml:space="preserve"> (Basel Convention)</w:t>
      </w:r>
    </w:p>
    <w:p w14:paraId="3BE52334" w14:textId="5CFD19FC" w:rsidR="00785CC0" w:rsidRPr="00582EF5" w:rsidRDefault="00785CC0" w:rsidP="00F744DE">
      <w:pPr>
        <w:pStyle w:val="BodyText"/>
        <w:rPr>
          <w:rFonts w:eastAsiaTheme="minorHAnsi"/>
          <w:lang w:eastAsia="en-US"/>
        </w:rPr>
      </w:pPr>
      <w:r w:rsidRPr="00582EF5">
        <w:t xml:space="preserve">New Zealand ratified the Basel </w:t>
      </w:r>
      <w:r w:rsidR="00F822D5" w:rsidRPr="00582EF5">
        <w:t>C</w:t>
      </w:r>
      <w:r w:rsidRPr="00582EF5">
        <w:t xml:space="preserve">onvention in December 1994. The </w:t>
      </w:r>
      <w:r w:rsidR="00CE58EF" w:rsidRPr="00CE58EF">
        <w:t>Imports and Exports (Restrictions) Prohibition Order (No 2) 2004</w:t>
      </w:r>
      <w:r w:rsidR="002700E6" w:rsidRPr="00582EF5">
        <w:t>,</w:t>
      </w:r>
      <w:r w:rsidRPr="00582EF5">
        <w:t xml:space="preserve"> established</w:t>
      </w:r>
      <w:r w:rsidR="001C7176">
        <w:t xml:space="preserve"> </w:t>
      </w:r>
      <w:r w:rsidRPr="00582EF5">
        <w:t xml:space="preserve">under the Imports and Exports </w:t>
      </w:r>
      <w:r w:rsidR="002700E6" w:rsidRPr="00582EF5">
        <w:t>(</w:t>
      </w:r>
      <w:r w:rsidRPr="00582EF5">
        <w:t>Restrictions</w:t>
      </w:r>
      <w:r w:rsidR="002700E6" w:rsidRPr="00582EF5">
        <w:t>)</w:t>
      </w:r>
      <w:r w:rsidRPr="00582EF5">
        <w:t xml:space="preserve"> Act 1988</w:t>
      </w:r>
      <w:r w:rsidR="002700E6" w:rsidRPr="00582EF5">
        <w:t>,</w:t>
      </w:r>
      <w:r w:rsidRPr="00582EF5">
        <w:t xml:space="preserve"> allows imports and exports</w:t>
      </w:r>
      <w:r w:rsidR="001C7176">
        <w:t xml:space="preserve"> </w:t>
      </w:r>
      <w:r w:rsidRPr="00582EF5">
        <w:t xml:space="preserve">of hazardous wastes only when permitted in circumstances </w:t>
      </w:r>
      <w:r w:rsidR="002700E6" w:rsidRPr="00582EF5">
        <w:t xml:space="preserve">that </w:t>
      </w:r>
      <w:r w:rsidRPr="00582EF5">
        <w:t>comply with the Basel</w:t>
      </w:r>
      <w:r w:rsidR="001C7176">
        <w:t xml:space="preserve"> </w:t>
      </w:r>
      <w:r w:rsidRPr="00582EF5">
        <w:t>Convention.</w:t>
      </w:r>
      <w:r w:rsidR="007318C0">
        <w:t xml:space="preserve"> </w:t>
      </w:r>
      <w:r w:rsidR="007318C0" w:rsidRPr="007318C0">
        <w:t>Improper treatment or disposal of a waste consisting of, containing or contaminated with POPs can lead to releases of POPs. Some disposal technologies can also lead to the unintentional formation and release of POPs.</w:t>
      </w:r>
      <w:r w:rsidR="00896E10">
        <w:t xml:space="preserve"> Therefore</w:t>
      </w:r>
      <w:r w:rsidR="00AA676D" w:rsidRPr="001C7176">
        <w:t>, wastes consisting of, containing or contaminated with POPs are listed as wastes in Annexes I and VIII of the Basel Convention</w:t>
      </w:r>
      <w:r w:rsidR="00896E10" w:rsidRPr="00896E10">
        <w:t>.</w:t>
      </w:r>
      <w:r w:rsidR="00896E10">
        <w:t xml:space="preserve"> </w:t>
      </w:r>
      <w:r w:rsidR="00AA676D">
        <w:t xml:space="preserve">See the </w:t>
      </w:r>
      <w:hyperlink r:id="rId67" w:history="1">
        <w:r w:rsidR="00AA676D" w:rsidRPr="005400FE">
          <w:rPr>
            <w:rStyle w:val="Hyperlink"/>
          </w:rPr>
          <w:t>Updated general technical guidelines for the environmentally sound management of wastes</w:t>
        </w:r>
        <w:r w:rsidR="00EE0230" w:rsidRPr="005400FE">
          <w:rPr>
            <w:rStyle w:val="Hyperlink"/>
          </w:rPr>
          <w:t xml:space="preserve"> consisting of, containing or contaminated with persistent organic pollutants (POPs)</w:t>
        </w:r>
      </w:hyperlink>
      <w:r w:rsidR="00EE0230">
        <w:t>.</w:t>
      </w:r>
    </w:p>
    <w:p w14:paraId="4AA5E136" w14:textId="2E1F3B0C" w:rsidR="003037D0" w:rsidRPr="005400FE" w:rsidRDefault="00785CC0" w:rsidP="005400FE">
      <w:pPr>
        <w:pStyle w:val="Heading5"/>
      </w:pPr>
      <w:r w:rsidRPr="005400FE">
        <w:t xml:space="preserve">Rotterdam Convention on the Prior Informed Consent Procedure for Certain Hazardous Chemicals and Pesticides in International Trade </w:t>
      </w:r>
      <w:r w:rsidR="00186F8E" w:rsidRPr="005400FE">
        <w:t>(Rotterdam Convention)</w:t>
      </w:r>
    </w:p>
    <w:p w14:paraId="4DC3A259" w14:textId="672ADCA0" w:rsidR="00A456C6" w:rsidRPr="00F744DE" w:rsidRDefault="00785CC0" w:rsidP="00F744DE">
      <w:pPr>
        <w:pStyle w:val="BodyText"/>
        <w:rPr>
          <w:u w:val="single"/>
        </w:rPr>
      </w:pPr>
      <w:r w:rsidRPr="00582EF5">
        <w:t>New Zealand ratified the Rotterdam Convention in 2003</w:t>
      </w:r>
      <w:r w:rsidR="00330307">
        <w:t>. The</w:t>
      </w:r>
      <w:r w:rsidR="00330307" w:rsidRPr="00330307">
        <w:t xml:space="preserve"> Imports and Exports (Restrictions) Prohibition Order (No 2) </w:t>
      </w:r>
      <w:r w:rsidR="0032728A" w:rsidRPr="00330307">
        <w:t>2004</w:t>
      </w:r>
      <w:r w:rsidR="0032728A">
        <w:t xml:space="preserve"> </w:t>
      </w:r>
      <w:r w:rsidR="0032728A" w:rsidRPr="00582EF5">
        <w:t>contro</w:t>
      </w:r>
      <w:r w:rsidR="0032728A" w:rsidRPr="005400FE">
        <w:t xml:space="preserve">ls the </w:t>
      </w:r>
      <w:r w:rsidR="00A456C6" w:rsidRPr="005400FE">
        <w:t>e</w:t>
      </w:r>
      <w:r w:rsidR="00A456C6" w:rsidRPr="00F744DE">
        <w:t>xport</w:t>
      </w:r>
      <w:r w:rsidR="00A456C6" w:rsidRPr="00A456C6">
        <w:t xml:space="preserve"> of chemicals listed under the Rotterdam Convention. </w:t>
      </w:r>
    </w:p>
    <w:p w14:paraId="65381FD3" w14:textId="77777777" w:rsidR="00A456C6" w:rsidRPr="00A456C6" w:rsidRDefault="00A456C6" w:rsidP="00680062">
      <w:pPr>
        <w:pStyle w:val="BodyText"/>
        <w:jc w:val="both"/>
      </w:pPr>
      <w:r w:rsidRPr="00A456C6">
        <w:t xml:space="preserve">New Zealand’s decisions on the </w:t>
      </w:r>
      <w:r w:rsidRPr="00F744DE">
        <w:t>import</w:t>
      </w:r>
      <w:r w:rsidRPr="00A456C6">
        <w:t xml:space="preserve"> of hazardous substances, including Rotterdam chemicals, are made under the HSNO Act. </w:t>
      </w:r>
    </w:p>
    <w:p w14:paraId="4E25049C" w14:textId="63401A6E" w:rsidR="00785CC0" w:rsidRPr="00582EF5" w:rsidRDefault="00785CC0" w:rsidP="00C75E4E">
      <w:pPr>
        <w:pStyle w:val="Heading3"/>
      </w:pPr>
      <w:r w:rsidRPr="00582EF5">
        <w:t xml:space="preserve">2.2.3 </w:t>
      </w:r>
      <w:r w:rsidR="00EC65E2" w:rsidRPr="00582EF5">
        <w:tab/>
      </w:r>
      <w:proofErr w:type="gramStart"/>
      <w:r w:rsidRPr="00582EF5">
        <w:t>Non-regulatory</w:t>
      </w:r>
      <w:proofErr w:type="gramEnd"/>
      <w:r w:rsidRPr="00582EF5">
        <w:t xml:space="preserve"> initiatives</w:t>
      </w:r>
    </w:p>
    <w:p w14:paraId="53C6B528" w14:textId="51BC8EEA" w:rsidR="00C75E4E" w:rsidRDefault="0D241B68" w:rsidP="00F744DE">
      <w:pPr>
        <w:pStyle w:val="BodyText"/>
      </w:pPr>
      <w:r w:rsidRPr="00582EF5">
        <w:t>In addition to a comprehensive regulatory framework, New Zealand ha</w:t>
      </w:r>
      <w:r w:rsidR="2164EA4A" w:rsidRPr="00582EF5">
        <w:t>s</w:t>
      </w:r>
      <w:r w:rsidRPr="00582EF5">
        <w:t xml:space="preserve"> developed non</w:t>
      </w:r>
      <w:r w:rsidR="002700E6" w:rsidRPr="00582EF5">
        <w:noBreakHyphen/>
      </w:r>
      <w:r w:rsidRPr="00582EF5">
        <w:t xml:space="preserve">regulatory initiatives </w:t>
      </w:r>
      <w:r w:rsidR="01C3E8D3" w:rsidRPr="00582EF5">
        <w:t xml:space="preserve">that </w:t>
      </w:r>
      <w:r w:rsidRPr="00582EF5">
        <w:t xml:space="preserve">have contributed to the implementation of the Stockholm Convention. These include the </w:t>
      </w:r>
      <w:hyperlink r:id="rId68" w:history="1">
        <w:r w:rsidRPr="00194630">
          <w:rPr>
            <w:rStyle w:val="Hyperlink"/>
          </w:rPr>
          <w:t>Contaminated Sites Remediation Fund</w:t>
        </w:r>
      </w:hyperlink>
      <w:r w:rsidR="3D19F04B" w:rsidRPr="00582EF5">
        <w:t>,</w:t>
      </w:r>
      <w:r w:rsidRPr="00582EF5">
        <w:t xml:space="preserve"> </w:t>
      </w:r>
      <w:hyperlink r:id="rId69" w:history="1">
        <w:r w:rsidRPr="00955701">
          <w:rPr>
            <w:rStyle w:val="Hyperlink"/>
          </w:rPr>
          <w:t>Waste Minimisation Fund</w:t>
        </w:r>
      </w:hyperlink>
      <w:r w:rsidRPr="00582EF5">
        <w:t xml:space="preserve"> and </w:t>
      </w:r>
      <w:hyperlink r:id="rId70" w:history="1">
        <w:r w:rsidR="278827F2" w:rsidRPr="00955701">
          <w:rPr>
            <w:rStyle w:val="Hyperlink"/>
          </w:rPr>
          <w:t>p</w:t>
        </w:r>
        <w:r w:rsidRPr="00955701">
          <w:rPr>
            <w:rStyle w:val="Hyperlink"/>
          </w:rPr>
          <w:t xml:space="preserve">roduct </w:t>
        </w:r>
        <w:r w:rsidR="278827F2" w:rsidRPr="00955701">
          <w:rPr>
            <w:rStyle w:val="Hyperlink"/>
          </w:rPr>
          <w:t>s</w:t>
        </w:r>
        <w:r w:rsidRPr="00955701">
          <w:rPr>
            <w:rStyle w:val="Hyperlink"/>
          </w:rPr>
          <w:t>tewardship initiatives</w:t>
        </w:r>
      </w:hyperlink>
      <w:r w:rsidRPr="00582EF5">
        <w:t xml:space="preserve"> (see more in </w:t>
      </w:r>
      <w:hyperlink w:anchor="_Chapter_6:_Stockpiles," w:history="1">
        <w:r w:rsidR="3D19F04B" w:rsidRPr="008907F8">
          <w:rPr>
            <w:rStyle w:val="Hyperlink"/>
          </w:rPr>
          <w:t>c</w:t>
        </w:r>
        <w:r w:rsidRPr="008907F8">
          <w:rPr>
            <w:rStyle w:val="Hyperlink"/>
          </w:rPr>
          <w:t>hapter 6</w:t>
        </w:r>
      </w:hyperlink>
      <w:r w:rsidRPr="00582EF5">
        <w:t>).</w:t>
      </w:r>
    </w:p>
    <w:p w14:paraId="62D15D80" w14:textId="128558BF" w:rsidR="00DA3E60" w:rsidRPr="00582EF5" w:rsidRDefault="00DA3E60" w:rsidP="00F744DE">
      <w:pPr>
        <w:pStyle w:val="Heading1"/>
        <w:spacing w:after="240"/>
      </w:pPr>
      <w:bookmarkStart w:id="33" w:name="_Toc120532235"/>
      <w:bookmarkStart w:id="34" w:name="_Toc531102781"/>
      <w:r w:rsidRPr="00582EF5">
        <w:lastRenderedPageBreak/>
        <w:t xml:space="preserve">Chapter 3: Initial Annex A and </w:t>
      </w:r>
      <w:r w:rsidR="007B0673" w:rsidRPr="00582EF5">
        <w:t>A</w:t>
      </w:r>
      <w:r w:rsidR="00517E1B" w:rsidRPr="00582EF5">
        <w:t xml:space="preserve">nnex </w:t>
      </w:r>
      <w:r w:rsidRPr="00582EF5">
        <w:t xml:space="preserve">B </w:t>
      </w:r>
      <w:r w:rsidR="00517E1B" w:rsidRPr="00582EF5">
        <w:t>persistent organic pollutants</w:t>
      </w:r>
      <w:bookmarkEnd w:id="33"/>
      <w:bookmarkEnd w:id="34"/>
    </w:p>
    <w:p w14:paraId="119E083B" w14:textId="357D06BA" w:rsidR="00891042" w:rsidRPr="00582EF5" w:rsidRDefault="00891042" w:rsidP="00F744DE">
      <w:pPr>
        <w:pStyle w:val="BodyText"/>
        <w:spacing w:before="100" w:after="100"/>
      </w:pPr>
      <w:bookmarkStart w:id="35" w:name="_Toc531102782"/>
      <w:r w:rsidRPr="00582EF5">
        <w:t xml:space="preserve">This chapter summarises the measures </w:t>
      </w:r>
      <w:r w:rsidR="00C20072" w:rsidRPr="00582EF5">
        <w:t>in annexes A and B of</w:t>
      </w:r>
      <w:r w:rsidR="007B3EC9" w:rsidRPr="00582EF5">
        <w:t xml:space="preserve"> </w:t>
      </w:r>
      <w:r w:rsidRPr="00582EF5">
        <w:t xml:space="preserve">the </w:t>
      </w:r>
      <w:r w:rsidR="00B20763" w:rsidRPr="00582EF5">
        <w:t xml:space="preserve">Stockholm Convention on Persistent Organic Pollutants (the </w:t>
      </w:r>
      <w:r w:rsidRPr="00582EF5">
        <w:t>Convention</w:t>
      </w:r>
      <w:r w:rsidR="00B20763" w:rsidRPr="00582EF5">
        <w:t>)</w:t>
      </w:r>
      <w:r w:rsidRPr="00582EF5">
        <w:t xml:space="preserve"> </w:t>
      </w:r>
      <w:r w:rsidR="007B3EC9" w:rsidRPr="00582EF5">
        <w:t xml:space="preserve">for </w:t>
      </w:r>
      <w:r w:rsidR="00B20763" w:rsidRPr="00582EF5">
        <w:t>persistent organic pollutants (</w:t>
      </w:r>
      <w:r w:rsidRPr="00582EF5">
        <w:t>POPs</w:t>
      </w:r>
      <w:r w:rsidR="00B20763" w:rsidRPr="00582EF5">
        <w:t>)</w:t>
      </w:r>
      <w:r w:rsidR="00E10D4E">
        <w:t xml:space="preserve"> since </w:t>
      </w:r>
      <w:r w:rsidR="28394CBE">
        <w:t>the</w:t>
      </w:r>
      <w:r w:rsidR="00E10D4E">
        <w:t xml:space="preserve"> NIP2</w:t>
      </w:r>
      <w:r w:rsidR="006064DF">
        <w:t xml:space="preserve"> was published</w:t>
      </w:r>
      <w:r w:rsidR="007B3EC9" w:rsidRPr="00582EF5">
        <w:t>.</w:t>
      </w:r>
      <w:r w:rsidRPr="00582EF5">
        <w:t xml:space="preserve"> </w:t>
      </w:r>
      <w:r w:rsidR="007B3EC9" w:rsidRPr="00582EF5">
        <w:t xml:space="preserve">It also </w:t>
      </w:r>
      <w:r w:rsidRPr="00582EF5">
        <w:t xml:space="preserve">provides an update on New Zealand’s efforts to eliminate </w:t>
      </w:r>
      <w:r w:rsidR="007B3EC9" w:rsidRPr="00582EF5">
        <w:t>polychlorinated biphenyls (</w:t>
      </w:r>
      <w:r w:rsidRPr="00582EF5">
        <w:t>PCBs</w:t>
      </w:r>
      <w:r w:rsidR="007B3EC9" w:rsidRPr="00582EF5">
        <w:t>)</w:t>
      </w:r>
      <w:r w:rsidRPr="00582EF5">
        <w:t xml:space="preserve"> and </w:t>
      </w:r>
      <w:r w:rsidR="008E2E35" w:rsidRPr="00582EF5">
        <w:t xml:space="preserve">legacy pesticides, such as </w:t>
      </w:r>
      <w:r w:rsidR="007B3EC9" w:rsidRPr="00582EF5">
        <w:t>1,1,1-trichloro-2, 2-bis (4-chlorophenyl) ethane (</w:t>
      </w:r>
      <w:r w:rsidRPr="00582EF5">
        <w:t>DDT</w:t>
      </w:r>
      <w:r w:rsidR="007B3EC9" w:rsidRPr="00582EF5">
        <w:t>)</w:t>
      </w:r>
      <w:r w:rsidR="007B0673" w:rsidRPr="00582EF5">
        <w:t>,</w:t>
      </w:r>
      <w:r w:rsidRPr="00582EF5">
        <w:t xml:space="preserve"> since </w:t>
      </w:r>
      <w:r w:rsidR="007B3EC9" w:rsidRPr="00582EF5">
        <w:t>the 2006 National Implementation Plan (</w:t>
      </w:r>
      <w:r w:rsidRPr="00582EF5">
        <w:t>NIP1</w:t>
      </w:r>
      <w:r w:rsidR="007B3EC9" w:rsidRPr="00582EF5">
        <w:t>)</w:t>
      </w:r>
      <w:r w:rsidRPr="00582EF5">
        <w:t xml:space="preserve">. </w:t>
      </w:r>
    </w:p>
    <w:p w14:paraId="14FCEB1E" w14:textId="7447E186" w:rsidR="00DA3E60" w:rsidRPr="00582EF5" w:rsidRDefault="00DA3E60" w:rsidP="00680062">
      <w:pPr>
        <w:pStyle w:val="Heading2"/>
        <w:spacing w:before="280"/>
        <w:jc w:val="both"/>
        <w:rPr>
          <w:szCs w:val="28"/>
        </w:rPr>
      </w:pPr>
      <w:bookmarkStart w:id="36" w:name="_Toc120532236"/>
      <w:r w:rsidRPr="00582EF5">
        <w:rPr>
          <w:szCs w:val="28"/>
        </w:rPr>
        <w:t xml:space="preserve">3.1 </w:t>
      </w:r>
      <w:r w:rsidR="001437DF" w:rsidRPr="00582EF5">
        <w:rPr>
          <w:szCs w:val="28"/>
        </w:rPr>
        <w:tab/>
      </w:r>
      <w:r w:rsidRPr="00582EF5">
        <w:rPr>
          <w:szCs w:val="28"/>
        </w:rPr>
        <w:t>Convention obligations</w:t>
      </w:r>
      <w:bookmarkEnd w:id="35"/>
      <w:bookmarkEnd w:id="36"/>
    </w:p>
    <w:p w14:paraId="45D49BCA" w14:textId="77632AF0" w:rsidR="00DA3E60" w:rsidRPr="00582EF5" w:rsidRDefault="00DA3E60" w:rsidP="00EF1935">
      <w:pPr>
        <w:pStyle w:val="BodyText"/>
        <w:spacing w:before="100" w:after="100"/>
      </w:pPr>
      <w:r w:rsidRPr="00582EF5">
        <w:t>Article 3 of the Convention requires that parties eliminate releases from the intentional production and use of POPs. When New Zealand ratified the Convention in 2004</w:t>
      </w:r>
      <w:r w:rsidR="005D0802" w:rsidRPr="00582EF5">
        <w:t>,</w:t>
      </w:r>
      <w:r w:rsidRPr="00582EF5">
        <w:t xml:space="preserve"> 12</w:t>
      </w:r>
      <w:r w:rsidR="001437DF" w:rsidRPr="00582EF5">
        <w:t> </w:t>
      </w:r>
      <w:r w:rsidRPr="00582EF5">
        <w:t>initial POPs</w:t>
      </w:r>
      <w:r w:rsidR="005D0802" w:rsidRPr="00582EF5">
        <w:t xml:space="preserve"> were listed</w:t>
      </w:r>
      <w:r w:rsidRPr="00582EF5">
        <w:t xml:space="preserve">. </w:t>
      </w:r>
      <w:r w:rsidR="00720CEB" w:rsidRPr="00582EF5">
        <w:t>F</w:t>
      </w:r>
      <w:r w:rsidRPr="00582EF5">
        <w:t xml:space="preserve">ull details of </w:t>
      </w:r>
      <w:r w:rsidR="005D0802" w:rsidRPr="00582EF5">
        <w:t xml:space="preserve">New Zealand’s </w:t>
      </w:r>
      <w:r w:rsidRPr="00582EF5">
        <w:t xml:space="preserve">approach to these POPs </w:t>
      </w:r>
      <w:hyperlink r:id="rId71" w:history="1">
        <w:r w:rsidR="00AB4C67" w:rsidRPr="00B66854">
          <w:rPr>
            <w:rStyle w:val="Hyperlink"/>
          </w:rPr>
          <w:t xml:space="preserve">are </w:t>
        </w:r>
        <w:r w:rsidRPr="00B66854">
          <w:rPr>
            <w:rStyle w:val="Hyperlink"/>
          </w:rPr>
          <w:t>found in NIP1</w:t>
        </w:r>
      </w:hyperlink>
      <w:r w:rsidRPr="00582EF5">
        <w:t>.</w:t>
      </w:r>
    </w:p>
    <w:p w14:paraId="4FEA100D" w14:textId="323028A5" w:rsidR="00DA3E60" w:rsidRPr="00582EF5" w:rsidRDefault="00DA3E60" w:rsidP="00EF1935">
      <w:pPr>
        <w:pStyle w:val="Heading2"/>
        <w:spacing w:before="280"/>
        <w:rPr>
          <w:b w:val="0"/>
        </w:rPr>
      </w:pPr>
      <w:bookmarkStart w:id="37" w:name="_Toc531102783"/>
      <w:bookmarkStart w:id="38" w:name="_Toc120532237"/>
      <w:r w:rsidRPr="00582EF5">
        <w:t xml:space="preserve">3.2 </w:t>
      </w:r>
      <w:r w:rsidR="001437DF" w:rsidRPr="00582EF5">
        <w:tab/>
      </w:r>
      <w:r w:rsidRPr="00582EF5">
        <w:t xml:space="preserve">Initial </w:t>
      </w:r>
      <w:r w:rsidR="005D0802" w:rsidRPr="00582EF5">
        <w:t>persistent organic pollutants</w:t>
      </w:r>
      <w:bookmarkEnd w:id="37"/>
      <w:bookmarkEnd w:id="38"/>
    </w:p>
    <w:p w14:paraId="61769EA8" w14:textId="5BB22678" w:rsidR="00DA3E60" w:rsidRPr="00582EF5" w:rsidRDefault="00246141" w:rsidP="00EF1935">
      <w:pPr>
        <w:pStyle w:val="BodyText"/>
        <w:spacing w:before="100" w:after="100"/>
      </w:pPr>
      <w:r>
        <w:t xml:space="preserve">For reference, </w:t>
      </w:r>
      <w:r w:rsidR="00832FD4">
        <w:t>t</w:t>
      </w:r>
      <w:r w:rsidR="00DA3E60" w:rsidRPr="00582EF5">
        <w:t xml:space="preserve">able 5 shows the measures New Zealand needs to comply with for the initial POPs listed in </w:t>
      </w:r>
      <w:r w:rsidR="00720CEB" w:rsidRPr="00582EF5">
        <w:t>a</w:t>
      </w:r>
      <w:r w:rsidR="00DA3E60" w:rsidRPr="00582EF5">
        <w:t>nnex</w:t>
      </w:r>
      <w:r w:rsidR="00720CEB" w:rsidRPr="00582EF5">
        <w:t>es</w:t>
      </w:r>
      <w:r w:rsidR="00DA3E60" w:rsidRPr="00582EF5">
        <w:t xml:space="preserve"> A and B.</w:t>
      </w:r>
    </w:p>
    <w:p w14:paraId="17CF08BA" w14:textId="573F38AE" w:rsidR="00DA3E60" w:rsidRPr="00582EF5" w:rsidRDefault="00DA3E60" w:rsidP="00EF1935">
      <w:pPr>
        <w:pStyle w:val="Tableheading"/>
      </w:pPr>
      <w:bookmarkStart w:id="39" w:name="_Toc120532270"/>
      <w:r w:rsidRPr="00582EF5">
        <w:t xml:space="preserve">Table 5: </w:t>
      </w:r>
      <w:r w:rsidR="001437DF" w:rsidRPr="00582EF5">
        <w:tab/>
      </w:r>
      <w:r w:rsidRPr="00582EF5">
        <w:t xml:space="preserve">Initial </w:t>
      </w:r>
      <w:r w:rsidR="00B863F3" w:rsidRPr="00582EF5">
        <w:t>persistent organic pollutants</w:t>
      </w:r>
      <w:r w:rsidRPr="00582EF5">
        <w:t xml:space="preserve"> and their historical use in New Zealand</w:t>
      </w:r>
      <w:bookmarkEnd w:id="39"/>
    </w:p>
    <w:tbl>
      <w:tblPr>
        <w:tblW w:w="8505" w:type="dxa"/>
        <w:tblBorders>
          <w:top w:val="single" w:sz="4" w:space="0" w:color="1C556C"/>
          <w:bottom w:val="single" w:sz="4" w:space="0" w:color="1C556C"/>
          <w:insideH w:val="single" w:sz="4" w:space="0" w:color="1C556C"/>
          <w:insideV w:val="single" w:sz="4" w:space="0" w:color="1C556C"/>
        </w:tblBorders>
        <w:tblLook w:val="04A0" w:firstRow="1" w:lastRow="0" w:firstColumn="1" w:lastColumn="0" w:noHBand="0" w:noVBand="1"/>
      </w:tblPr>
      <w:tblGrid>
        <w:gridCol w:w="1811"/>
        <w:gridCol w:w="3260"/>
        <w:gridCol w:w="741"/>
        <w:gridCol w:w="2693"/>
      </w:tblGrid>
      <w:tr w:rsidR="001437DF" w:rsidRPr="00582EF5" w14:paraId="1CB256C9" w14:textId="77777777" w:rsidTr="45D47978">
        <w:trPr>
          <w:tblHeader/>
        </w:trPr>
        <w:tc>
          <w:tcPr>
            <w:tcW w:w="1811" w:type="dxa"/>
            <w:shd w:val="clear" w:color="auto" w:fill="1C556C" w:themeFill="accent1"/>
          </w:tcPr>
          <w:p w14:paraId="1CAF5EE1" w14:textId="2F6E5396" w:rsidR="00DA3E60" w:rsidRPr="00582EF5" w:rsidRDefault="00DA3E60" w:rsidP="00EF1935">
            <w:pPr>
              <w:pStyle w:val="TableTextbold"/>
              <w:rPr>
                <w:color w:val="FFFFFF" w:themeColor="background1"/>
              </w:rPr>
            </w:pPr>
            <w:r w:rsidRPr="00582EF5">
              <w:rPr>
                <w:color w:val="FFFFFF" w:themeColor="background1"/>
              </w:rPr>
              <w:t xml:space="preserve">Annex A </w:t>
            </w:r>
            <w:r w:rsidR="00B863F3" w:rsidRPr="00582EF5">
              <w:rPr>
                <w:color w:val="FFFFFF" w:themeColor="background1"/>
              </w:rPr>
              <w:t>c</w:t>
            </w:r>
            <w:r w:rsidRPr="00582EF5">
              <w:rPr>
                <w:color w:val="FFFFFF" w:themeColor="background1"/>
              </w:rPr>
              <w:t>hemical</w:t>
            </w:r>
            <w:r w:rsidR="00B863F3" w:rsidRPr="00582EF5">
              <w:rPr>
                <w:color w:val="FFFFFF" w:themeColor="background1"/>
              </w:rPr>
              <w:t>s</w:t>
            </w:r>
          </w:p>
        </w:tc>
        <w:tc>
          <w:tcPr>
            <w:tcW w:w="3260" w:type="dxa"/>
            <w:shd w:val="clear" w:color="auto" w:fill="1C556C" w:themeFill="accent1"/>
          </w:tcPr>
          <w:p w14:paraId="0ED79018" w14:textId="77777777" w:rsidR="00DA3E60" w:rsidRPr="00582EF5" w:rsidRDefault="00DA3E60" w:rsidP="00EF1935">
            <w:pPr>
              <w:pStyle w:val="TableTextbold"/>
              <w:rPr>
                <w:color w:val="FFFFFF" w:themeColor="background1"/>
              </w:rPr>
            </w:pPr>
            <w:r w:rsidRPr="00582EF5">
              <w:rPr>
                <w:color w:val="FFFFFF" w:themeColor="background1"/>
              </w:rPr>
              <w:t>Measure</w:t>
            </w:r>
          </w:p>
        </w:tc>
        <w:tc>
          <w:tcPr>
            <w:tcW w:w="741" w:type="dxa"/>
            <w:shd w:val="clear" w:color="auto" w:fill="1C556C" w:themeFill="accent1"/>
          </w:tcPr>
          <w:p w14:paraId="7EBF9E97" w14:textId="77777777" w:rsidR="00DA3E60" w:rsidRPr="00582EF5" w:rsidRDefault="00DA3E60" w:rsidP="00EF1935">
            <w:pPr>
              <w:pStyle w:val="TableTextbold"/>
              <w:rPr>
                <w:color w:val="FFFFFF" w:themeColor="background1"/>
              </w:rPr>
            </w:pPr>
            <w:r w:rsidRPr="00582EF5">
              <w:rPr>
                <w:color w:val="FFFFFF" w:themeColor="background1"/>
              </w:rPr>
              <w:t>Year</w:t>
            </w:r>
          </w:p>
        </w:tc>
        <w:tc>
          <w:tcPr>
            <w:tcW w:w="2693" w:type="dxa"/>
            <w:shd w:val="clear" w:color="auto" w:fill="1C556C" w:themeFill="accent1"/>
          </w:tcPr>
          <w:p w14:paraId="1833F7B3" w14:textId="77777777" w:rsidR="00DA3E60" w:rsidRPr="00582EF5" w:rsidRDefault="00DA3E60" w:rsidP="00EF1935">
            <w:pPr>
              <w:pStyle w:val="TableTextbold"/>
              <w:rPr>
                <w:color w:val="FFFFFF" w:themeColor="background1"/>
              </w:rPr>
            </w:pPr>
            <w:r w:rsidRPr="00582EF5">
              <w:rPr>
                <w:color w:val="FFFFFF" w:themeColor="background1"/>
              </w:rPr>
              <w:t>Description</w:t>
            </w:r>
          </w:p>
        </w:tc>
      </w:tr>
      <w:tr w:rsidR="00DA3E60" w:rsidRPr="00582EF5" w14:paraId="49C41F36" w14:textId="77777777" w:rsidTr="00EC4F79">
        <w:tc>
          <w:tcPr>
            <w:tcW w:w="1811" w:type="dxa"/>
          </w:tcPr>
          <w:p w14:paraId="00B81ED0" w14:textId="77777777" w:rsidR="00DA3E60" w:rsidRPr="00582EF5" w:rsidRDefault="00DA3E60" w:rsidP="00EF1935">
            <w:pPr>
              <w:pStyle w:val="TableText"/>
            </w:pPr>
            <w:r w:rsidRPr="00582EF5">
              <w:t>Aldrin</w:t>
            </w:r>
          </w:p>
        </w:tc>
        <w:tc>
          <w:tcPr>
            <w:tcW w:w="3260" w:type="dxa"/>
          </w:tcPr>
          <w:p w14:paraId="3282B11C" w14:textId="77777777" w:rsidR="00DA3E60" w:rsidRPr="00582EF5" w:rsidRDefault="00DA3E60" w:rsidP="00EF1935">
            <w:pPr>
              <w:pStyle w:val="TableText"/>
              <w:spacing w:after="40"/>
            </w:pPr>
            <w:r w:rsidRPr="00582EF5">
              <w:t>Restriction in accordance with Annex A</w:t>
            </w:r>
          </w:p>
          <w:p w14:paraId="5AD144B5" w14:textId="77777777" w:rsidR="00DA3E60" w:rsidRPr="00582EF5" w:rsidRDefault="00DA3E60" w:rsidP="00EF1935">
            <w:pPr>
              <w:pStyle w:val="TableText"/>
              <w:spacing w:before="20" w:after="40"/>
            </w:pPr>
            <w:r w:rsidRPr="00582EF5">
              <w:t>Prohibition on production</w:t>
            </w:r>
          </w:p>
          <w:p w14:paraId="2945A850" w14:textId="77777777" w:rsidR="00DA3E60" w:rsidRPr="00582EF5" w:rsidRDefault="00DA3E60" w:rsidP="00EF1935">
            <w:pPr>
              <w:pStyle w:val="TableText"/>
              <w:spacing w:before="20" w:after="40"/>
            </w:pPr>
            <w:r w:rsidRPr="00582EF5">
              <w:t>Prohibition on all uses</w:t>
            </w:r>
          </w:p>
          <w:p w14:paraId="7056CB0B" w14:textId="77777777" w:rsidR="00DA3E60" w:rsidRPr="00582EF5" w:rsidRDefault="00DA3E60" w:rsidP="00EF1935">
            <w:pPr>
              <w:pStyle w:val="TableText"/>
              <w:spacing w:before="20" w:after="40"/>
            </w:pPr>
            <w:r w:rsidRPr="00582EF5">
              <w:t>Prohibition on import</w:t>
            </w:r>
          </w:p>
          <w:p w14:paraId="086CE841" w14:textId="0902289D" w:rsidR="00DA3E60" w:rsidRPr="00582EF5" w:rsidRDefault="00DA3E60" w:rsidP="00EF1935">
            <w:pPr>
              <w:pStyle w:val="TableText"/>
              <w:spacing w:before="20"/>
            </w:pPr>
            <w:r w:rsidRPr="00582EF5">
              <w:t>Prohibition on export</w:t>
            </w:r>
          </w:p>
        </w:tc>
        <w:tc>
          <w:tcPr>
            <w:tcW w:w="741" w:type="dxa"/>
          </w:tcPr>
          <w:p w14:paraId="5516B365" w14:textId="757F8986" w:rsidR="00DA3E60" w:rsidRPr="00582EF5" w:rsidRDefault="00DA3E60" w:rsidP="00EF1935">
            <w:pPr>
              <w:pStyle w:val="TableText"/>
              <w:spacing w:after="40"/>
            </w:pPr>
            <w:r w:rsidRPr="00582EF5">
              <w:t>200</w:t>
            </w:r>
            <w:r w:rsidR="003D6A73" w:rsidRPr="00582EF5">
              <w:t>4</w:t>
            </w:r>
          </w:p>
          <w:p w14:paraId="62ED02DB" w14:textId="5DD9B1C3" w:rsidR="00DA3E60" w:rsidRPr="00582EF5" w:rsidRDefault="00DA3E60" w:rsidP="00EF1935">
            <w:pPr>
              <w:pStyle w:val="TableText"/>
              <w:spacing w:before="20" w:after="40"/>
            </w:pPr>
            <w:r w:rsidRPr="00582EF5">
              <w:t>200</w:t>
            </w:r>
            <w:r w:rsidR="003D6A73" w:rsidRPr="00582EF5">
              <w:t>4</w:t>
            </w:r>
          </w:p>
          <w:p w14:paraId="39936B3E" w14:textId="4D40FF35" w:rsidR="00DA3E60" w:rsidRPr="00582EF5" w:rsidRDefault="00DA3E60" w:rsidP="00EF1935">
            <w:pPr>
              <w:pStyle w:val="TableText"/>
              <w:spacing w:before="20" w:after="40"/>
            </w:pPr>
            <w:r w:rsidRPr="00582EF5">
              <w:t>200</w:t>
            </w:r>
            <w:r w:rsidR="003D6A73" w:rsidRPr="00582EF5">
              <w:t>4</w:t>
            </w:r>
          </w:p>
          <w:p w14:paraId="678601A3" w14:textId="2A030F75" w:rsidR="00DA3E60" w:rsidRPr="00582EF5" w:rsidRDefault="00DA3E60" w:rsidP="00EF1935">
            <w:pPr>
              <w:pStyle w:val="TableText"/>
              <w:spacing w:before="20" w:after="40"/>
            </w:pPr>
            <w:r w:rsidRPr="00582EF5">
              <w:t>200</w:t>
            </w:r>
            <w:r w:rsidR="003D6A73" w:rsidRPr="00582EF5">
              <w:t>4</w:t>
            </w:r>
          </w:p>
          <w:p w14:paraId="79985668" w14:textId="32DCC1B0" w:rsidR="00DA3E60" w:rsidRPr="00582EF5" w:rsidRDefault="00DA3E60" w:rsidP="00EF1935">
            <w:pPr>
              <w:pStyle w:val="TableText"/>
              <w:spacing w:before="20"/>
            </w:pPr>
            <w:r w:rsidRPr="00582EF5">
              <w:t>200</w:t>
            </w:r>
            <w:r w:rsidR="003D6A73" w:rsidRPr="00582EF5">
              <w:t>4</w:t>
            </w:r>
          </w:p>
        </w:tc>
        <w:tc>
          <w:tcPr>
            <w:tcW w:w="2693" w:type="dxa"/>
          </w:tcPr>
          <w:p w14:paraId="6437BFC0" w14:textId="2067EA87" w:rsidR="00DA3E60" w:rsidRPr="00582EF5" w:rsidRDefault="00DA3E60" w:rsidP="00EF1935">
            <w:pPr>
              <w:pStyle w:val="TableText"/>
              <w:spacing w:after="40"/>
            </w:pPr>
            <w:r w:rsidRPr="00582EF5">
              <w:t xml:space="preserve">Introduced </w:t>
            </w:r>
            <w:r w:rsidR="006974A2" w:rsidRPr="00582EF5">
              <w:t xml:space="preserve">in New Zealand </w:t>
            </w:r>
            <w:r w:rsidRPr="00582EF5">
              <w:t>in 1954 as stock remedy in sheep sprays or dips for controlling sheep e</w:t>
            </w:r>
            <w:r w:rsidR="006974A2" w:rsidRPr="00582EF5">
              <w:t>c</w:t>
            </w:r>
            <w:r w:rsidRPr="00582EF5">
              <w:t>toparasites. Used to control horticultural pests and in limited quantities to control household spiders.</w:t>
            </w:r>
          </w:p>
        </w:tc>
      </w:tr>
      <w:tr w:rsidR="00DA3E60" w:rsidRPr="00582EF5" w14:paraId="317997F8" w14:textId="77777777" w:rsidTr="00EC4F79">
        <w:tc>
          <w:tcPr>
            <w:tcW w:w="1811" w:type="dxa"/>
          </w:tcPr>
          <w:p w14:paraId="03EE3B21" w14:textId="77777777" w:rsidR="00DA3E60" w:rsidRPr="00582EF5" w:rsidRDefault="00DA3E60" w:rsidP="00EF1935">
            <w:pPr>
              <w:pStyle w:val="TableText"/>
            </w:pPr>
            <w:r w:rsidRPr="00582EF5">
              <w:t>Chlordane</w:t>
            </w:r>
          </w:p>
        </w:tc>
        <w:tc>
          <w:tcPr>
            <w:tcW w:w="3260" w:type="dxa"/>
          </w:tcPr>
          <w:p w14:paraId="655F12AA" w14:textId="77777777" w:rsidR="00DA3E60" w:rsidRPr="00582EF5" w:rsidRDefault="00DA3E60" w:rsidP="00EF1935">
            <w:pPr>
              <w:pStyle w:val="TableText"/>
              <w:spacing w:after="40"/>
            </w:pPr>
            <w:r w:rsidRPr="00582EF5">
              <w:t>Restriction in accordance with Annex A</w:t>
            </w:r>
          </w:p>
          <w:p w14:paraId="0B5BEE02" w14:textId="77777777" w:rsidR="00DA3E60" w:rsidRPr="00582EF5" w:rsidRDefault="00DA3E60" w:rsidP="00EF1935">
            <w:pPr>
              <w:pStyle w:val="TableText"/>
              <w:spacing w:before="20" w:after="40"/>
            </w:pPr>
            <w:r w:rsidRPr="00582EF5">
              <w:t>Prohibition on production</w:t>
            </w:r>
          </w:p>
          <w:p w14:paraId="60C68BEE" w14:textId="77777777" w:rsidR="00DA3E60" w:rsidRPr="00582EF5" w:rsidRDefault="00DA3E60" w:rsidP="00EF1935">
            <w:pPr>
              <w:pStyle w:val="TableText"/>
              <w:spacing w:before="20" w:after="40"/>
            </w:pPr>
            <w:r w:rsidRPr="00582EF5">
              <w:t>Prohibition on all uses</w:t>
            </w:r>
          </w:p>
          <w:p w14:paraId="3BF3150F" w14:textId="77777777" w:rsidR="00DA3E60" w:rsidRPr="00582EF5" w:rsidRDefault="00DA3E60" w:rsidP="00EF1935">
            <w:pPr>
              <w:pStyle w:val="TableText"/>
              <w:spacing w:before="20" w:after="40"/>
            </w:pPr>
            <w:r w:rsidRPr="00582EF5">
              <w:t>Prohibition on import</w:t>
            </w:r>
          </w:p>
          <w:p w14:paraId="3E9DB44F" w14:textId="59FF4EAF" w:rsidR="00DA3E60" w:rsidRPr="00582EF5" w:rsidRDefault="00DA3E60" w:rsidP="00EF1935">
            <w:pPr>
              <w:pStyle w:val="TableText"/>
              <w:spacing w:before="20"/>
            </w:pPr>
            <w:r w:rsidRPr="00582EF5">
              <w:t>Prohibition on export</w:t>
            </w:r>
          </w:p>
        </w:tc>
        <w:tc>
          <w:tcPr>
            <w:tcW w:w="741" w:type="dxa"/>
          </w:tcPr>
          <w:p w14:paraId="431B1DC1" w14:textId="0AEFAE7E" w:rsidR="00DA3E60" w:rsidRPr="00582EF5" w:rsidRDefault="00DA3E60" w:rsidP="00EF1935">
            <w:pPr>
              <w:pStyle w:val="TableText"/>
              <w:spacing w:after="40"/>
            </w:pPr>
            <w:r w:rsidRPr="00582EF5">
              <w:t>200</w:t>
            </w:r>
            <w:r w:rsidR="003D6A73" w:rsidRPr="00582EF5">
              <w:t>4</w:t>
            </w:r>
          </w:p>
          <w:p w14:paraId="025153E7" w14:textId="413F7794" w:rsidR="00DA3E60" w:rsidRPr="00582EF5" w:rsidRDefault="00DA3E60" w:rsidP="00EF1935">
            <w:pPr>
              <w:pStyle w:val="TableText"/>
              <w:spacing w:before="20" w:after="40"/>
            </w:pPr>
            <w:r w:rsidRPr="00582EF5">
              <w:t>200</w:t>
            </w:r>
            <w:r w:rsidR="003D6A73" w:rsidRPr="00582EF5">
              <w:t>4</w:t>
            </w:r>
          </w:p>
          <w:p w14:paraId="050C6FC8" w14:textId="333B3B3B" w:rsidR="00DA3E60" w:rsidRPr="00582EF5" w:rsidRDefault="00DA3E60" w:rsidP="00EF1935">
            <w:pPr>
              <w:pStyle w:val="TableText"/>
              <w:spacing w:before="20" w:after="40"/>
            </w:pPr>
            <w:r w:rsidRPr="00582EF5">
              <w:t>200</w:t>
            </w:r>
            <w:r w:rsidR="003D6A73" w:rsidRPr="00582EF5">
              <w:t>4</w:t>
            </w:r>
          </w:p>
          <w:p w14:paraId="4928FB3D" w14:textId="7C525085" w:rsidR="00DA3E60" w:rsidRPr="00582EF5" w:rsidRDefault="00DA3E60" w:rsidP="00EF1935">
            <w:pPr>
              <w:pStyle w:val="TableText"/>
              <w:spacing w:before="20" w:after="40"/>
            </w:pPr>
            <w:r w:rsidRPr="00582EF5">
              <w:t>200</w:t>
            </w:r>
            <w:r w:rsidR="003D6A73" w:rsidRPr="00582EF5">
              <w:t>4</w:t>
            </w:r>
          </w:p>
          <w:p w14:paraId="443B2ABE" w14:textId="1DDBBEDA" w:rsidR="00DA3E60" w:rsidRPr="00582EF5" w:rsidRDefault="00DA3E60" w:rsidP="00EF1935">
            <w:pPr>
              <w:pStyle w:val="TableText"/>
              <w:spacing w:before="20"/>
            </w:pPr>
            <w:r w:rsidRPr="00582EF5">
              <w:t>200</w:t>
            </w:r>
            <w:r w:rsidR="003D6A73" w:rsidRPr="00582EF5">
              <w:t>4</w:t>
            </w:r>
          </w:p>
        </w:tc>
        <w:tc>
          <w:tcPr>
            <w:tcW w:w="2693" w:type="dxa"/>
          </w:tcPr>
          <w:p w14:paraId="2CE3928B" w14:textId="77777777" w:rsidR="00DA3E60" w:rsidRPr="00582EF5" w:rsidRDefault="00DA3E60" w:rsidP="00EF1935">
            <w:pPr>
              <w:pStyle w:val="TableText"/>
              <w:spacing w:after="40"/>
            </w:pPr>
            <w:r w:rsidRPr="00582EF5">
              <w:t>A broad-spectrum agricultural insecticide. Also used in the timber industry as a treatment against termites and borer, and as an insecticide in glues used for the manufacture of plywood, finger jointed and laminated timber.</w:t>
            </w:r>
          </w:p>
        </w:tc>
      </w:tr>
      <w:tr w:rsidR="00DA3E60" w:rsidRPr="00582EF5" w14:paraId="5DBE45CA" w14:textId="77777777" w:rsidTr="00EC4F79">
        <w:tc>
          <w:tcPr>
            <w:tcW w:w="1811" w:type="dxa"/>
          </w:tcPr>
          <w:p w14:paraId="20C7C4C9" w14:textId="77777777" w:rsidR="00DA3E60" w:rsidRPr="00582EF5" w:rsidRDefault="00DA3E60" w:rsidP="00EF1935">
            <w:pPr>
              <w:pStyle w:val="TableText"/>
            </w:pPr>
            <w:r w:rsidRPr="00582EF5">
              <w:t>Dieldrin</w:t>
            </w:r>
          </w:p>
        </w:tc>
        <w:tc>
          <w:tcPr>
            <w:tcW w:w="3260" w:type="dxa"/>
          </w:tcPr>
          <w:p w14:paraId="2AD515A2" w14:textId="77777777" w:rsidR="00DA3E60" w:rsidRPr="00582EF5" w:rsidRDefault="00DA3E60" w:rsidP="00EF1935">
            <w:pPr>
              <w:pStyle w:val="TableText"/>
              <w:spacing w:after="40"/>
            </w:pPr>
            <w:r w:rsidRPr="00582EF5">
              <w:t>Restriction in accordance with Annex A</w:t>
            </w:r>
          </w:p>
          <w:p w14:paraId="4BABADAF" w14:textId="77777777" w:rsidR="00DA3E60" w:rsidRPr="00582EF5" w:rsidRDefault="00DA3E60" w:rsidP="00EF1935">
            <w:pPr>
              <w:pStyle w:val="TableText"/>
              <w:spacing w:before="20" w:after="40"/>
            </w:pPr>
            <w:r w:rsidRPr="00582EF5">
              <w:t>Prohibition on production</w:t>
            </w:r>
          </w:p>
          <w:p w14:paraId="1432F781" w14:textId="77777777" w:rsidR="00DA3E60" w:rsidRPr="00582EF5" w:rsidRDefault="00DA3E60" w:rsidP="00EF1935">
            <w:pPr>
              <w:pStyle w:val="TableText"/>
              <w:spacing w:before="20" w:after="40"/>
            </w:pPr>
            <w:r w:rsidRPr="00582EF5">
              <w:t>Prohibition on all uses</w:t>
            </w:r>
          </w:p>
          <w:p w14:paraId="024DDD0B" w14:textId="77777777" w:rsidR="00DA3E60" w:rsidRPr="00582EF5" w:rsidRDefault="00DA3E60" w:rsidP="00EF1935">
            <w:pPr>
              <w:pStyle w:val="TableText"/>
              <w:spacing w:before="20" w:after="40"/>
            </w:pPr>
            <w:r w:rsidRPr="00582EF5">
              <w:t>Prohibition on import</w:t>
            </w:r>
          </w:p>
          <w:p w14:paraId="224290D9" w14:textId="327A6FEF" w:rsidR="00DA3E60" w:rsidRPr="00582EF5" w:rsidRDefault="00DA3E60" w:rsidP="00EF1935">
            <w:pPr>
              <w:pStyle w:val="TableText"/>
              <w:spacing w:before="20"/>
            </w:pPr>
            <w:r w:rsidRPr="00582EF5">
              <w:t>Prohibition on export</w:t>
            </w:r>
          </w:p>
        </w:tc>
        <w:tc>
          <w:tcPr>
            <w:tcW w:w="741" w:type="dxa"/>
          </w:tcPr>
          <w:p w14:paraId="6EBB9AF6" w14:textId="51DDD26F" w:rsidR="00DA3E60" w:rsidRPr="00582EF5" w:rsidRDefault="00DA3E60" w:rsidP="00EF1935">
            <w:pPr>
              <w:pStyle w:val="TableText"/>
              <w:spacing w:after="40"/>
            </w:pPr>
            <w:r w:rsidRPr="00582EF5">
              <w:t>200</w:t>
            </w:r>
            <w:r w:rsidR="003D6A73" w:rsidRPr="00582EF5">
              <w:t>4</w:t>
            </w:r>
          </w:p>
          <w:p w14:paraId="2E34D02C" w14:textId="0E486966" w:rsidR="00DA3E60" w:rsidRPr="00582EF5" w:rsidRDefault="00DA3E60" w:rsidP="00EF1935">
            <w:pPr>
              <w:pStyle w:val="TableText"/>
              <w:spacing w:before="20" w:after="40"/>
            </w:pPr>
            <w:r w:rsidRPr="00582EF5">
              <w:t>200</w:t>
            </w:r>
            <w:r w:rsidR="003D6A73" w:rsidRPr="00582EF5">
              <w:t>4</w:t>
            </w:r>
          </w:p>
          <w:p w14:paraId="3B22E4C0" w14:textId="6C6DB5D2" w:rsidR="00DA3E60" w:rsidRPr="00582EF5" w:rsidRDefault="00DA3E60" w:rsidP="00EF1935">
            <w:pPr>
              <w:pStyle w:val="TableText"/>
              <w:spacing w:before="20" w:after="40"/>
            </w:pPr>
            <w:r w:rsidRPr="00582EF5">
              <w:t>200</w:t>
            </w:r>
            <w:r w:rsidR="003D6A73" w:rsidRPr="00582EF5">
              <w:t>4</w:t>
            </w:r>
          </w:p>
          <w:p w14:paraId="44AE7F81" w14:textId="1CBB5C00" w:rsidR="00DA3E60" w:rsidRPr="00582EF5" w:rsidRDefault="00DA3E60" w:rsidP="00EF1935">
            <w:pPr>
              <w:pStyle w:val="TableText"/>
              <w:spacing w:before="20" w:after="40"/>
            </w:pPr>
            <w:r w:rsidRPr="00582EF5">
              <w:t>200</w:t>
            </w:r>
            <w:r w:rsidR="003D6A73" w:rsidRPr="00582EF5">
              <w:t>4</w:t>
            </w:r>
          </w:p>
          <w:p w14:paraId="755E44F6" w14:textId="24E8F4D2" w:rsidR="00DA3E60" w:rsidRPr="00582EF5" w:rsidRDefault="00DA3E60" w:rsidP="00EF1935">
            <w:pPr>
              <w:pStyle w:val="TableText"/>
              <w:spacing w:before="20"/>
            </w:pPr>
            <w:r w:rsidRPr="00582EF5">
              <w:t>200</w:t>
            </w:r>
            <w:r w:rsidR="003D6A73" w:rsidRPr="00582EF5">
              <w:t>4</w:t>
            </w:r>
          </w:p>
        </w:tc>
        <w:tc>
          <w:tcPr>
            <w:tcW w:w="2693" w:type="dxa"/>
          </w:tcPr>
          <w:p w14:paraId="3C888E0C" w14:textId="18A29269" w:rsidR="00DA3E60" w:rsidRPr="00582EF5" w:rsidRDefault="00DA3E60" w:rsidP="00EF1935">
            <w:pPr>
              <w:pStyle w:val="TableText"/>
              <w:spacing w:after="40"/>
            </w:pPr>
            <w:r w:rsidRPr="00582EF5">
              <w:t xml:space="preserve">Introduced in </w:t>
            </w:r>
            <w:r w:rsidR="006974A2" w:rsidRPr="00582EF5">
              <w:t xml:space="preserve">New Zealand in </w:t>
            </w:r>
            <w:r w:rsidRPr="00582EF5">
              <w:t>1954 as stock remedy in sheep sprays or dips for controlling sheep e</w:t>
            </w:r>
            <w:r w:rsidR="006974A2" w:rsidRPr="00582EF5">
              <w:t>c</w:t>
            </w:r>
            <w:r w:rsidRPr="00582EF5">
              <w:t xml:space="preserve">toparasites. Used </w:t>
            </w:r>
            <w:r w:rsidR="006974A2" w:rsidRPr="00582EF5">
              <w:t xml:space="preserve">to control agricultural pests </w:t>
            </w:r>
            <w:r w:rsidRPr="00582EF5">
              <w:t>and used for timber preservation (mostly in plywood glues) and to mothproof carpets.</w:t>
            </w:r>
          </w:p>
        </w:tc>
      </w:tr>
      <w:tr w:rsidR="00DA3E60" w:rsidRPr="00582EF5" w14:paraId="6EAC9E75" w14:textId="77777777" w:rsidTr="00EC4F79">
        <w:tc>
          <w:tcPr>
            <w:tcW w:w="1811" w:type="dxa"/>
          </w:tcPr>
          <w:p w14:paraId="678831A5" w14:textId="77777777" w:rsidR="00DA3E60" w:rsidRPr="00582EF5" w:rsidRDefault="00DA3E60" w:rsidP="00EF1935">
            <w:pPr>
              <w:pStyle w:val="TableText"/>
            </w:pPr>
            <w:r w:rsidRPr="00582EF5">
              <w:t>Endrin</w:t>
            </w:r>
          </w:p>
        </w:tc>
        <w:tc>
          <w:tcPr>
            <w:tcW w:w="3260" w:type="dxa"/>
          </w:tcPr>
          <w:p w14:paraId="6EE569EB" w14:textId="77777777" w:rsidR="00DA3E60" w:rsidRPr="00582EF5" w:rsidRDefault="00DA3E60" w:rsidP="00EF1935">
            <w:pPr>
              <w:pStyle w:val="TableText"/>
              <w:spacing w:after="20"/>
            </w:pPr>
            <w:r w:rsidRPr="00582EF5">
              <w:t>Restriction in accordance with Annex A</w:t>
            </w:r>
          </w:p>
          <w:p w14:paraId="721D5A8C" w14:textId="77777777" w:rsidR="00DA3E60" w:rsidRPr="00582EF5" w:rsidRDefault="00DA3E60" w:rsidP="00EF1935">
            <w:pPr>
              <w:pStyle w:val="TableText"/>
              <w:spacing w:before="20" w:after="40"/>
            </w:pPr>
            <w:r w:rsidRPr="00582EF5">
              <w:t>Prohibition on production</w:t>
            </w:r>
          </w:p>
          <w:p w14:paraId="6B27A890" w14:textId="77777777" w:rsidR="00DA3E60" w:rsidRPr="00582EF5" w:rsidRDefault="00DA3E60" w:rsidP="00EF1935">
            <w:pPr>
              <w:pStyle w:val="TableText"/>
              <w:spacing w:before="20" w:after="40"/>
            </w:pPr>
            <w:r w:rsidRPr="00582EF5">
              <w:t>Prohibition on all uses</w:t>
            </w:r>
          </w:p>
          <w:p w14:paraId="6B7A9851" w14:textId="77777777" w:rsidR="00DA3E60" w:rsidRPr="00582EF5" w:rsidRDefault="00DA3E60" w:rsidP="00EF1935">
            <w:pPr>
              <w:pStyle w:val="TableText"/>
              <w:spacing w:before="20" w:after="40"/>
            </w:pPr>
            <w:r w:rsidRPr="00582EF5">
              <w:t>Prohibition on import</w:t>
            </w:r>
          </w:p>
          <w:p w14:paraId="203D2896" w14:textId="1E24EDEE" w:rsidR="00DA3E60" w:rsidRPr="00582EF5" w:rsidRDefault="00DA3E60" w:rsidP="00EF1935">
            <w:pPr>
              <w:pStyle w:val="TableText"/>
              <w:spacing w:before="20"/>
            </w:pPr>
            <w:r w:rsidRPr="00582EF5">
              <w:t>Prohibition on export</w:t>
            </w:r>
          </w:p>
        </w:tc>
        <w:tc>
          <w:tcPr>
            <w:tcW w:w="741" w:type="dxa"/>
          </w:tcPr>
          <w:p w14:paraId="654AD00B" w14:textId="099BC413" w:rsidR="00DA3E60" w:rsidRPr="00582EF5" w:rsidRDefault="00DA3E60" w:rsidP="00EF1935">
            <w:pPr>
              <w:pStyle w:val="TableText"/>
              <w:spacing w:after="40"/>
            </w:pPr>
            <w:r w:rsidRPr="00582EF5">
              <w:t>200</w:t>
            </w:r>
            <w:r w:rsidR="003D6A73" w:rsidRPr="00582EF5">
              <w:t>4</w:t>
            </w:r>
          </w:p>
          <w:p w14:paraId="021C0FC4" w14:textId="44C86524" w:rsidR="00DA3E60" w:rsidRPr="00582EF5" w:rsidRDefault="00DA3E60" w:rsidP="00EF1935">
            <w:pPr>
              <w:pStyle w:val="TableText"/>
              <w:spacing w:before="20" w:after="40"/>
            </w:pPr>
            <w:r w:rsidRPr="00582EF5">
              <w:t>200</w:t>
            </w:r>
            <w:r w:rsidR="003D6A73" w:rsidRPr="00582EF5">
              <w:t>4</w:t>
            </w:r>
          </w:p>
          <w:p w14:paraId="0995768C" w14:textId="16F69DA2" w:rsidR="00DA3E60" w:rsidRPr="00582EF5" w:rsidRDefault="00DA3E60" w:rsidP="00EF1935">
            <w:pPr>
              <w:pStyle w:val="TableText"/>
              <w:spacing w:before="20" w:after="40"/>
            </w:pPr>
            <w:r w:rsidRPr="00582EF5">
              <w:t>200</w:t>
            </w:r>
            <w:r w:rsidR="003D6A73" w:rsidRPr="00582EF5">
              <w:t>4</w:t>
            </w:r>
          </w:p>
          <w:p w14:paraId="45F19002" w14:textId="7D6D7E93" w:rsidR="00DA3E60" w:rsidRPr="00582EF5" w:rsidRDefault="00DA3E60" w:rsidP="00EF1935">
            <w:pPr>
              <w:pStyle w:val="TableText"/>
              <w:spacing w:before="20" w:after="40"/>
            </w:pPr>
            <w:r w:rsidRPr="00582EF5">
              <w:t>200</w:t>
            </w:r>
            <w:r w:rsidR="003D6A73" w:rsidRPr="00582EF5">
              <w:t>4</w:t>
            </w:r>
          </w:p>
          <w:p w14:paraId="5F2E8192" w14:textId="0FA0E04F" w:rsidR="00DA3E60" w:rsidRPr="00582EF5" w:rsidRDefault="00DA3E60" w:rsidP="00EF1935">
            <w:pPr>
              <w:pStyle w:val="TableText"/>
              <w:spacing w:before="20"/>
            </w:pPr>
            <w:r w:rsidRPr="00582EF5">
              <w:t>200</w:t>
            </w:r>
            <w:r w:rsidR="003D6A73" w:rsidRPr="00582EF5">
              <w:t>4</w:t>
            </w:r>
          </w:p>
        </w:tc>
        <w:tc>
          <w:tcPr>
            <w:tcW w:w="2693" w:type="dxa"/>
          </w:tcPr>
          <w:p w14:paraId="162D9B54" w14:textId="77777777" w:rsidR="00DA3E60" w:rsidRPr="00582EF5" w:rsidRDefault="00DA3E60" w:rsidP="00EF1935">
            <w:pPr>
              <w:pStyle w:val="TableText"/>
            </w:pPr>
            <w:r w:rsidRPr="00582EF5">
              <w:t>Only small amounts were ever used in New Zealand.</w:t>
            </w:r>
          </w:p>
        </w:tc>
      </w:tr>
      <w:tr w:rsidR="00DA3E60" w:rsidRPr="00582EF5" w14:paraId="6918203F" w14:textId="77777777" w:rsidTr="00EC4F79">
        <w:tc>
          <w:tcPr>
            <w:tcW w:w="1811" w:type="dxa"/>
          </w:tcPr>
          <w:p w14:paraId="6F47F080" w14:textId="77777777" w:rsidR="00DA3E60" w:rsidRPr="00582EF5" w:rsidRDefault="00DA3E60" w:rsidP="00EF1935">
            <w:pPr>
              <w:pStyle w:val="TableText"/>
            </w:pPr>
            <w:r w:rsidRPr="00582EF5">
              <w:lastRenderedPageBreak/>
              <w:t>Heptachlor</w:t>
            </w:r>
          </w:p>
        </w:tc>
        <w:tc>
          <w:tcPr>
            <w:tcW w:w="3260" w:type="dxa"/>
          </w:tcPr>
          <w:p w14:paraId="35E26466" w14:textId="77777777" w:rsidR="00DA3E60" w:rsidRPr="00582EF5" w:rsidRDefault="00DA3E60" w:rsidP="00EF1935">
            <w:pPr>
              <w:pStyle w:val="TableText"/>
              <w:spacing w:after="40"/>
            </w:pPr>
            <w:r w:rsidRPr="00582EF5">
              <w:t>Restriction in accordance with Annex A</w:t>
            </w:r>
          </w:p>
          <w:p w14:paraId="4932674F" w14:textId="77777777" w:rsidR="00DA3E60" w:rsidRPr="00582EF5" w:rsidRDefault="00DA3E60" w:rsidP="00EF1935">
            <w:pPr>
              <w:pStyle w:val="TableText"/>
              <w:spacing w:before="20" w:after="40"/>
            </w:pPr>
            <w:r w:rsidRPr="00582EF5">
              <w:t>Prohibition on production</w:t>
            </w:r>
          </w:p>
          <w:p w14:paraId="2DB21BC4" w14:textId="77777777" w:rsidR="00DA3E60" w:rsidRPr="00582EF5" w:rsidRDefault="00DA3E60" w:rsidP="00EF1935">
            <w:pPr>
              <w:pStyle w:val="TableText"/>
              <w:spacing w:before="20" w:after="40"/>
            </w:pPr>
            <w:r w:rsidRPr="00582EF5">
              <w:t>Prohibition on all uses</w:t>
            </w:r>
          </w:p>
          <w:p w14:paraId="24DFEE6B" w14:textId="77777777" w:rsidR="00DA3E60" w:rsidRPr="00582EF5" w:rsidRDefault="00DA3E60" w:rsidP="00EF1935">
            <w:pPr>
              <w:pStyle w:val="TableText"/>
              <w:spacing w:before="20" w:after="40"/>
            </w:pPr>
            <w:r w:rsidRPr="00582EF5">
              <w:t>Prohibition on import</w:t>
            </w:r>
          </w:p>
          <w:p w14:paraId="51F3D678" w14:textId="09C88F97" w:rsidR="00DA3E60" w:rsidRPr="00582EF5" w:rsidRDefault="00DA3E60" w:rsidP="00EF1935">
            <w:pPr>
              <w:pStyle w:val="TableText"/>
              <w:spacing w:before="20"/>
            </w:pPr>
            <w:r w:rsidRPr="00582EF5">
              <w:t>Prohibition on export</w:t>
            </w:r>
          </w:p>
        </w:tc>
        <w:tc>
          <w:tcPr>
            <w:tcW w:w="741" w:type="dxa"/>
          </w:tcPr>
          <w:p w14:paraId="1277947C" w14:textId="1DDE1DED" w:rsidR="00DA3E60" w:rsidRPr="00582EF5" w:rsidRDefault="00DA3E60" w:rsidP="00EF1935">
            <w:pPr>
              <w:pStyle w:val="TableText"/>
              <w:spacing w:after="40"/>
            </w:pPr>
            <w:r w:rsidRPr="00582EF5">
              <w:t>200</w:t>
            </w:r>
            <w:r w:rsidR="003D6A73" w:rsidRPr="00582EF5">
              <w:t>4</w:t>
            </w:r>
          </w:p>
          <w:p w14:paraId="10881930" w14:textId="548AB5B8" w:rsidR="00DA3E60" w:rsidRPr="00582EF5" w:rsidRDefault="00DA3E60" w:rsidP="00EF1935">
            <w:pPr>
              <w:pStyle w:val="TableText"/>
              <w:spacing w:before="20" w:after="40"/>
            </w:pPr>
            <w:r w:rsidRPr="00582EF5">
              <w:t>200</w:t>
            </w:r>
            <w:r w:rsidR="003D6A73" w:rsidRPr="00582EF5">
              <w:t>4</w:t>
            </w:r>
          </w:p>
          <w:p w14:paraId="503B0C7F" w14:textId="57210985" w:rsidR="00DA3E60" w:rsidRPr="00582EF5" w:rsidRDefault="00DA3E60" w:rsidP="00EF1935">
            <w:pPr>
              <w:pStyle w:val="TableText"/>
              <w:spacing w:before="20" w:after="40"/>
            </w:pPr>
            <w:r w:rsidRPr="00582EF5">
              <w:t>200</w:t>
            </w:r>
            <w:r w:rsidR="003D6A73" w:rsidRPr="00582EF5">
              <w:t>4</w:t>
            </w:r>
          </w:p>
          <w:p w14:paraId="045B379C" w14:textId="45FD7996" w:rsidR="00DA3E60" w:rsidRPr="00582EF5" w:rsidRDefault="00DA3E60" w:rsidP="00EF1935">
            <w:pPr>
              <w:pStyle w:val="TableText"/>
              <w:spacing w:before="20" w:after="40"/>
            </w:pPr>
            <w:r w:rsidRPr="00582EF5">
              <w:t>200</w:t>
            </w:r>
            <w:r w:rsidR="003D6A73" w:rsidRPr="00582EF5">
              <w:t>4</w:t>
            </w:r>
          </w:p>
          <w:p w14:paraId="3A711C7C" w14:textId="7B54EEAF" w:rsidR="00DA3E60" w:rsidRPr="00582EF5" w:rsidRDefault="00DA3E60" w:rsidP="00EF1935">
            <w:pPr>
              <w:pStyle w:val="TableText"/>
              <w:spacing w:before="20"/>
            </w:pPr>
            <w:r w:rsidRPr="00582EF5">
              <w:t>200</w:t>
            </w:r>
            <w:r w:rsidR="003D6A73" w:rsidRPr="00582EF5">
              <w:t>4</w:t>
            </w:r>
          </w:p>
        </w:tc>
        <w:tc>
          <w:tcPr>
            <w:tcW w:w="2693" w:type="dxa"/>
          </w:tcPr>
          <w:p w14:paraId="205E9F75" w14:textId="77777777" w:rsidR="00DA3E60" w:rsidRPr="00582EF5" w:rsidRDefault="00DA3E60" w:rsidP="00EF1935">
            <w:pPr>
              <w:pStyle w:val="TableText"/>
            </w:pPr>
            <w:r w:rsidRPr="00582EF5">
              <w:t>Only small amounts were ever used in New Zealand.</w:t>
            </w:r>
          </w:p>
        </w:tc>
      </w:tr>
      <w:tr w:rsidR="00DA3E60" w:rsidRPr="00582EF5" w14:paraId="585E58B7" w14:textId="77777777" w:rsidTr="00EC4F79">
        <w:tc>
          <w:tcPr>
            <w:tcW w:w="1811" w:type="dxa"/>
          </w:tcPr>
          <w:p w14:paraId="5D99FB6F" w14:textId="01CF7362" w:rsidR="00DA3E60" w:rsidRPr="00582EF5" w:rsidRDefault="00FF4E6F" w:rsidP="00EF1935">
            <w:pPr>
              <w:pStyle w:val="TableText"/>
            </w:pPr>
            <w:r w:rsidRPr="00582EF5">
              <w:t>Hexachlorobenzene (H</w:t>
            </w:r>
            <w:r w:rsidR="00DA3E60" w:rsidRPr="00582EF5">
              <w:t>CB)</w:t>
            </w:r>
          </w:p>
        </w:tc>
        <w:tc>
          <w:tcPr>
            <w:tcW w:w="3260" w:type="dxa"/>
          </w:tcPr>
          <w:p w14:paraId="774FB666" w14:textId="77777777" w:rsidR="00DA3E60" w:rsidRPr="00582EF5" w:rsidRDefault="00DA3E60" w:rsidP="00EF1935">
            <w:pPr>
              <w:pStyle w:val="TableText"/>
              <w:spacing w:after="40"/>
            </w:pPr>
            <w:r w:rsidRPr="00582EF5">
              <w:t>Restriction in accordance with Annex A</w:t>
            </w:r>
          </w:p>
          <w:p w14:paraId="48156888" w14:textId="77777777" w:rsidR="00DA3E60" w:rsidRPr="00582EF5" w:rsidRDefault="00DA3E60" w:rsidP="00EF1935">
            <w:pPr>
              <w:pStyle w:val="TableText"/>
              <w:spacing w:before="20" w:after="40"/>
            </w:pPr>
            <w:r w:rsidRPr="00582EF5">
              <w:t>Prohibition on production</w:t>
            </w:r>
          </w:p>
          <w:p w14:paraId="7857FE72" w14:textId="77777777" w:rsidR="00DA3E60" w:rsidRPr="00582EF5" w:rsidRDefault="00DA3E60" w:rsidP="00EF1935">
            <w:pPr>
              <w:pStyle w:val="TableText"/>
              <w:spacing w:before="20" w:after="40"/>
            </w:pPr>
            <w:r w:rsidRPr="00582EF5">
              <w:t>Prohibition on all uses</w:t>
            </w:r>
          </w:p>
          <w:p w14:paraId="62C961D5" w14:textId="77777777" w:rsidR="00DA3E60" w:rsidRPr="00582EF5" w:rsidRDefault="00DA3E60" w:rsidP="00EF1935">
            <w:pPr>
              <w:pStyle w:val="TableText"/>
              <w:spacing w:before="20" w:after="40"/>
            </w:pPr>
            <w:r w:rsidRPr="00582EF5">
              <w:t>Prohibition on import</w:t>
            </w:r>
          </w:p>
          <w:p w14:paraId="6D344A4B" w14:textId="6E395C4F" w:rsidR="00DA3E60" w:rsidRPr="00582EF5" w:rsidRDefault="00DA3E60" w:rsidP="00EF1935">
            <w:pPr>
              <w:pStyle w:val="TableText"/>
              <w:spacing w:before="20"/>
            </w:pPr>
            <w:r w:rsidRPr="00582EF5">
              <w:t>Prohibition on export</w:t>
            </w:r>
          </w:p>
        </w:tc>
        <w:tc>
          <w:tcPr>
            <w:tcW w:w="741" w:type="dxa"/>
          </w:tcPr>
          <w:p w14:paraId="0A1320BA" w14:textId="5F2AEDE4" w:rsidR="00DA3E60" w:rsidRPr="00582EF5" w:rsidRDefault="00DA3E60" w:rsidP="00EF1935">
            <w:pPr>
              <w:pStyle w:val="TableText"/>
              <w:spacing w:after="40"/>
            </w:pPr>
            <w:r w:rsidRPr="00582EF5">
              <w:t>200</w:t>
            </w:r>
            <w:r w:rsidR="003D6A73" w:rsidRPr="00582EF5">
              <w:t>4</w:t>
            </w:r>
          </w:p>
          <w:p w14:paraId="1ADB2E41" w14:textId="638B4C2F" w:rsidR="00DA3E60" w:rsidRPr="00582EF5" w:rsidRDefault="00DA3E60" w:rsidP="00EF1935">
            <w:pPr>
              <w:pStyle w:val="TableText"/>
              <w:spacing w:before="20" w:after="40"/>
            </w:pPr>
            <w:r w:rsidRPr="00582EF5">
              <w:t>200</w:t>
            </w:r>
            <w:r w:rsidR="003D6A73" w:rsidRPr="00582EF5">
              <w:t>4</w:t>
            </w:r>
          </w:p>
          <w:p w14:paraId="658A2D4E" w14:textId="28093966" w:rsidR="00DA3E60" w:rsidRPr="00582EF5" w:rsidRDefault="00DA3E60" w:rsidP="00EF1935">
            <w:pPr>
              <w:pStyle w:val="TableText"/>
              <w:spacing w:before="20" w:after="40"/>
            </w:pPr>
            <w:r w:rsidRPr="00582EF5">
              <w:t>200</w:t>
            </w:r>
            <w:r w:rsidR="003D6A73" w:rsidRPr="00582EF5">
              <w:t>4</w:t>
            </w:r>
          </w:p>
          <w:p w14:paraId="00F9044C" w14:textId="3AF53E1C" w:rsidR="00DA3E60" w:rsidRPr="00582EF5" w:rsidRDefault="00DA3E60" w:rsidP="00EF1935">
            <w:pPr>
              <w:pStyle w:val="TableText"/>
              <w:spacing w:before="20" w:after="40"/>
            </w:pPr>
            <w:r w:rsidRPr="00582EF5">
              <w:t>200</w:t>
            </w:r>
            <w:r w:rsidR="003D6A73" w:rsidRPr="00582EF5">
              <w:t>4</w:t>
            </w:r>
          </w:p>
          <w:p w14:paraId="6C268DDB" w14:textId="0AB021C6" w:rsidR="00DA3E60" w:rsidRPr="00582EF5" w:rsidRDefault="00DA3E60" w:rsidP="00EF1935">
            <w:pPr>
              <w:pStyle w:val="TableText"/>
              <w:spacing w:before="20"/>
              <w:rPr>
                <w:u w:val="single"/>
              </w:rPr>
            </w:pPr>
            <w:r w:rsidRPr="00582EF5">
              <w:t>200</w:t>
            </w:r>
            <w:r w:rsidR="003D6A73" w:rsidRPr="00582EF5">
              <w:t>4</w:t>
            </w:r>
          </w:p>
        </w:tc>
        <w:tc>
          <w:tcPr>
            <w:tcW w:w="2693" w:type="dxa"/>
          </w:tcPr>
          <w:p w14:paraId="1E1CF7E2" w14:textId="77777777" w:rsidR="00DA3E60" w:rsidRPr="00582EF5" w:rsidRDefault="00DA3E60" w:rsidP="00EF1935">
            <w:pPr>
              <w:pStyle w:val="TableText"/>
            </w:pPr>
            <w:r w:rsidRPr="00582EF5">
              <w:t>Used experimentally between 1970 and 1972 as a seed-dressing fungicide for cereal grain.</w:t>
            </w:r>
          </w:p>
        </w:tc>
      </w:tr>
      <w:tr w:rsidR="00DA3E60" w:rsidRPr="00582EF5" w14:paraId="3A60B332" w14:textId="77777777" w:rsidTr="00EC4F79">
        <w:tc>
          <w:tcPr>
            <w:tcW w:w="1811" w:type="dxa"/>
          </w:tcPr>
          <w:p w14:paraId="367E467D" w14:textId="77777777" w:rsidR="00DA3E60" w:rsidRPr="00582EF5" w:rsidRDefault="00DA3E60" w:rsidP="00EF1935">
            <w:pPr>
              <w:pStyle w:val="TableText"/>
            </w:pPr>
            <w:proofErr w:type="spellStart"/>
            <w:r w:rsidRPr="00582EF5">
              <w:t>Mirex</w:t>
            </w:r>
            <w:proofErr w:type="spellEnd"/>
          </w:p>
        </w:tc>
        <w:tc>
          <w:tcPr>
            <w:tcW w:w="3260" w:type="dxa"/>
          </w:tcPr>
          <w:p w14:paraId="2562F35E" w14:textId="77777777" w:rsidR="00DA3E60" w:rsidRPr="00582EF5" w:rsidRDefault="00DA3E60" w:rsidP="00EF1935">
            <w:pPr>
              <w:pStyle w:val="TableText"/>
              <w:spacing w:after="40"/>
            </w:pPr>
            <w:r w:rsidRPr="00582EF5">
              <w:t>Restriction in accordance with Annex A</w:t>
            </w:r>
          </w:p>
          <w:p w14:paraId="601F1B56" w14:textId="77777777" w:rsidR="00DA3E60" w:rsidRPr="00582EF5" w:rsidRDefault="00DA3E60" w:rsidP="00EF1935">
            <w:pPr>
              <w:pStyle w:val="TableText"/>
              <w:spacing w:before="20" w:after="40"/>
            </w:pPr>
            <w:r w:rsidRPr="00582EF5">
              <w:t>Prohibition on production</w:t>
            </w:r>
          </w:p>
          <w:p w14:paraId="2468A94E" w14:textId="77777777" w:rsidR="00DA3E60" w:rsidRPr="00582EF5" w:rsidRDefault="00DA3E60" w:rsidP="00EF1935">
            <w:pPr>
              <w:pStyle w:val="TableText"/>
              <w:spacing w:before="20" w:after="40"/>
            </w:pPr>
            <w:r w:rsidRPr="00582EF5">
              <w:t>Prohibition on all uses</w:t>
            </w:r>
          </w:p>
          <w:p w14:paraId="5E33E0DD" w14:textId="77777777" w:rsidR="00DA3E60" w:rsidRPr="00582EF5" w:rsidRDefault="00DA3E60" w:rsidP="00EF1935">
            <w:pPr>
              <w:pStyle w:val="TableText"/>
              <w:spacing w:before="20" w:after="40"/>
            </w:pPr>
            <w:r w:rsidRPr="00582EF5">
              <w:t>Prohibition on import</w:t>
            </w:r>
          </w:p>
          <w:p w14:paraId="083338C1" w14:textId="29973557" w:rsidR="00DA3E60" w:rsidRPr="00582EF5" w:rsidRDefault="00DA3E60" w:rsidP="00EF1935">
            <w:pPr>
              <w:pStyle w:val="TableText"/>
              <w:spacing w:before="20"/>
            </w:pPr>
            <w:r w:rsidRPr="00582EF5">
              <w:t>Prohibition on export</w:t>
            </w:r>
          </w:p>
        </w:tc>
        <w:tc>
          <w:tcPr>
            <w:tcW w:w="741" w:type="dxa"/>
          </w:tcPr>
          <w:p w14:paraId="3014FDF6" w14:textId="07740FA4" w:rsidR="00DA3E60" w:rsidRPr="00582EF5" w:rsidRDefault="00DA3E60" w:rsidP="00EF1935">
            <w:pPr>
              <w:pStyle w:val="TableText"/>
              <w:spacing w:after="40"/>
            </w:pPr>
            <w:r w:rsidRPr="00582EF5">
              <w:t>200</w:t>
            </w:r>
            <w:r w:rsidR="003D6A73" w:rsidRPr="00582EF5">
              <w:t>4</w:t>
            </w:r>
          </w:p>
          <w:p w14:paraId="305F8289" w14:textId="70F8AD48" w:rsidR="00DA3E60" w:rsidRPr="00582EF5" w:rsidRDefault="00DA3E60" w:rsidP="00EF1935">
            <w:pPr>
              <w:pStyle w:val="TableText"/>
              <w:spacing w:before="20" w:after="40"/>
            </w:pPr>
            <w:r w:rsidRPr="00582EF5">
              <w:t>200</w:t>
            </w:r>
            <w:r w:rsidR="003D6A73" w:rsidRPr="00582EF5">
              <w:t>4</w:t>
            </w:r>
          </w:p>
          <w:p w14:paraId="5B1F9623" w14:textId="79FD3E2A" w:rsidR="00DA3E60" w:rsidRPr="00582EF5" w:rsidRDefault="00DA3E60" w:rsidP="00EF1935">
            <w:pPr>
              <w:pStyle w:val="TableText"/>
              <w:spacing w:before="20" w:after="40"/>
            </w:pPr>
            <w:r w:rsidRPr="00582EF5">
              <w:t>200</w:t>
            </w:r>
            <w:r w:rsidR="003D6A73" w:rsidRPr="00582EF5">
              <w:t>4</w:t>
            </w:r>
          </w:p>
          <w:p w14:paraId="65CFAAC8" w14:textId="2C852052" w:rsidR="00DA3E60" w:rsidRPr="00582EF5" w:rsidRDefault="00DA3E60" w:rsidP="00EF1935">
            <w:pPr>
              <w:pStyle w:val="TableText"/>
              <w:spacing w:before="20" w:after="40"/>
            </w:pPr>
            <w:r w:rsidRPr="00582EF5">
              <w:t>200</w:t>
            </w:r>
            <w:r w:rsidR="003D6A73" w:rsidRPr="00582EF5">
              <w:t>4</w:t>
            </w:r>
          </w:p>
          <w:p w14:paraId="6AD7B456" w14:textId="4318451B" w:rsidR="00DA3E60" w:rsidRPr="00582EF5" w:rsidRDefault="00DA3E60" w:rsidP="00EF1935">
            <w:pPr>
              <w:pStyle w:val="TableText"/>
              <w:spacing w:before="20"/>
              <w:rPr>
                <w:u w:val="single"/>
              </w:rPr>
            </w:pPr>
            <w:r w:rsidRPr="00582EF5">
              <w:t>200</w:t>
            </w:r>
            <w:r w:rsidR="003D6A73" w:rsidRPr="00582EF5">
              <w:t>4</w:t>
            </w:r>
          </w:p>
        </w:tc>
        <w:tc>
          <w:tcPr>
            <w:tcW w:w="2693" w:type="dxa"/>
          </w:tcPr>
          <w:p w14:paraId="702E46D8" w14:textId="289DBF3D" w:rsidR="00DA3E60" w:rsidRPr="00582EF5" w:rsidRDefault="001C18DF" w:rsidP="00EF1935">
            <w:pPr>
              <w:pStyle w:val="TableText"/>
            </w:pPr>
            <w:r w:rsidRPr="00582EF5">
              <w:t>Only limited quantities were used for control of public health pests.</w:t>
            </w:r>
          </w:p>
        </w:tc>
      </w:tr>
      <w:tr w:rsidR="00DA3E60" w:rsidRPr="00582EF5" w14:paraId="03996E41" w14:textId="77777777" w:rsidTr="00EC4F79">
        <w:tc>
          <w:tcPr>
            <w:tcW w:w="1811" w:type="dxa"/>
          </w:tcPr>
          <w:p w14:paraId="2AC76034" w14:textId="77777777" w:rsidR="00DA3E60" w:rsidRPr="00582EF5" w:rsidRDefault="00DA3E60" w:rsidP="00EF1935">
            <w:pPr>
              <w:pStyle w:val="TableText"/>
            </w:pPr>
            <w:r w:rsidRPr="00582EF5">
              <w:t>Polychlorinated biphenyls (PCBs)</w:t>
            </w:r>
          </w:p>
        </w:tc>
        <w:tc>
          <w:tcPr>
            <w:tcW w:w="3260" w:type="dxa"/>
          </w:tcPr>
          <w:p w14:paraId="3DC278F7" w14:textId="77777777" w:rsidR="00DA3E60" w:rsidRPr="00582EF5" w:rsidRDefault="00DA3E60" w:rsidP="00EF1935">
            <w:pPr>
              <w:pStyle w:val="TableText"/>
              <w:spacing w:after="40"/>
            </w:pPr>
            <w:r w:rsidRPr="00582EF5">
              <w:t>Restriction in accordance with Annex A</w:t>
            </w:r>
          </w:p>
          <w:p w14:paraId="68A77FE8" w14:textId="77777777" w:rsidR="00DA3E60" w:rsidRPr="00582EF5" w:rsidRDefault="00DA3E60" w:rsidP="00EF1935">
            <w:pPr>
              <w:pStyle w:val="TableText"/>
              <w:spacing w:before="20" w:after="40"/>
            </w:pPr>
            <w:r w:rsidRPr="00582EF5">
              <w:t>Prohibition on production</w:t>
            </w:r>
          </w:p>
          <w:p w14:paraId="7CE2E1DC" w14:textId="77777777" w:rsidR="00DA3E60" w:rsidRPr="00582EF5" w:rsidRDefault="00DA3E60" w:rsidP="00EF1935">
            <w:pPr>
              <w:pStyle w:val="TableText"/>
              <w:spacing w:before="20" w:after="40"/>
            </w:pPr>
            <w:r w:rsidRPr="00582EF5">
              <w:t>Prohibition on all uses</w:t>
            </w:r>
          </w:p>
          <w:p w14:paraId="26FFBB6C" w14:textId="77777777" w:rsidR="00DA3E60" w:rsidRPr="00582EF5" w:rsidRDefault="00DA3E60" w:rsidP="00EF1935">
            <w:pPr>
              <w:pStyle w:val="TableText"/>
              <w:spacing w:before="20" w:after="40"/>
            </w:pPr>
            <w:r w:rsidRPr="00582EF5">
              <w:t>Prohibition on import</w:t>
            </w:r>
          </w:p>
          <w:p w14:paraId="2B5D8026" w14:textId="28E62126" w:rsidR="00DA3E60" w:rsidRPr="00582EF5" w:rsidRDefault="00DA3E60" w:rsidP="00EF1935">
            <w:pPr>
              <w:pStyle w:val="TableText"/>
              <w:spacing w:before="20"/>
            </w:pPr>
            <w:r w:rsidRPr="00582EF5">
              <w:t>Prohibition on export</w:t>
            </w:r>
          </w:p>
        </w:tc>
        <w:tc>
          <w:tcPr>
            <w:tcW w:w="741" w:type="dxa"/>
          </w:tcPr>
          <w:p w14:paraId="3D0A0906" w14:textId="5FCADD49" w:rsidR="00DA3E60" w:rsidRPr="00582EF5" w:rsidRDefault="00DA3E60" w:rsidP="00EF1935">
            <w:pPr>
              <w:pStyle w:val="TableText"/>
              <w:spacing w:after="40"/>
            </w:pPr>
            <w:r w:rsidRPr="00582EF5">
              <w:t>200</w:t>
            </w:r>
            <w:r w:rsidR="003D6A73" w:rsidRPr="00582EF5">
              <w:t>4</w:t>
            </w:r>
          </w:p>
          <w:p w14:paraId="4508EF24" w14:textId="7B6DE477" w:rsidR="00DA3E60" w:rsidRPr="00582EF5" w:rsidRDefault="00DA3E60" w:rsidP="00EF1935">
            <w:pPr>
              <w:pStyle w:val="TableText"/>
              <w:spacing w:before="20" w:after="40"/>
            </w:pPr>
            <w:r w:rsidRPr="00582EF5">
              <w:t>200</w:t>
            </w:r>
            <w:r w:rsidR="003D6A73" w:rsidRPr="00582EF5">
              <w:t>4</w:t>
            </w:r>
          </w:p>
          <w:p w14:paraId="02CB0841" w14:textId="352BFED6" w:rsidR="00DA3E60" w:rsidRPr="00582EF5" w:rsidRDefault="00DA3E60" w:rsidP="00EF1935">
            <w:pPr>
              <w:pStyle w:val="TableText"/>
              <w:spacing w:before="20" w:after="40"/>
            </w:pPr>
            <w:r w:rsidRPr="00582EF5">
              <w:t>20</w:t>
            </w:r>
            <w:r w:rsidR="00990A8C" w:rsidRPr="00582EF5">
              <w:t>16</w:t>
            </w:r>
          </w:p>
          <w:p w14:paraId="420866BA" w14:textId="2216AF3B" w:rsidR="00DA3E60" w:rsidRPr="00582EF5" w:rsidRDefault="00DA3E60" w:rsidP="00EF1935">
            <w:pPr>
              <w:pStyle w:val="TableText"/>
              <w:spacing w:before="20" w:after="40"/>
            </w:pPr>
            <w:r w:rsidRPr="00582EF5">
              <w:t>200</w:t>
            </w:r>
            <w:r w:rsidR="003D6A73" w:rsidRPr="00582EF5">
              <w:t>4</w:t>
            </w:r>
          </w:p>
          <w:p w14:paraId="5759C17E" w14:textId="587762AD" w:rsidR="00DA3E60" w:rsidRPr="00582EF5" w:rsidRDefault="00DA3E60" w:rsidP="00EF1935">
            <w:pPr>
              <w:pStyle w:val="TableText"/>
              <w:spacing w:before="20"/>
            </w:pPr>
            <w:r w:rsidRPr="00582EF5">
              <w:t>200</w:t>
            </w:r>
            <w:r w:rsidR="003D6A73" w:rsidRPr="00582EF5">
              <w:t>4</w:t>
            </w:r>
          </w:p>
        </w:tc>
        <w:tc>
          <w:tcPr>
            <w:tcW w:w="2693" w:type="dxa"/>
          </w:tcPr>
          <w:p w14:paraId="2960DA0A" w14:textId="77777777" w:rsidR="00DA3E60" w:rsidRPr="00582EF5" w:rsidRDefault="00DA3E60" w:rsidP="00EF1935">
            <w:pPr>
              <w:pStyle w:val="TableText"/>
            </w:pPr>
            <w:r w:rsidRPr="00582EF5">
              <w:t>Manufactured from 1930 to late 1970s. Used widely in industry throughout the world. Imported and used (but not manufactured) in New Zealand. Uses were many and varied, including as electrical transformer oils, dielectric fluids, electrical capacitors, heat transfer fluids, hydraulic fluids, solvent extenders, flame retardants, plasticisers, some paints and printing inks, immersion oils and sealants.</w:t>
            </w:r>
          </w:p>
        </w:tc>
      </w:tr>
      <w:tr w:rsidR="00DA3E60" w:rsidRPr="00582EF5" w14:paraId="400C0976" w14:textId="77777777" w:rsidTr="00EC4F79">
        <w:tc>
          <w:tcPr>
            <w:tcW w:w="1811" w:type="dxa"/>
          </w:tcPr>
          <w:p w14:paraId="30276511" w14:textId="77777777" w:rsidR="00DA3E60" w:rsidRPr="00582EF5" w:rsidRDefault="00DA3E60" w:rsidP="00EF1935">
            <w:pPr>
              <w:pStyle w:val="TableText"/>
              <w:rPr>
                <w:u w:val="single"/>
              </w:rPr>
            </w:pPr>
            <w:r w:rsidRPr="00582EF5">
              <w:t>Toxaphene</w:t>
            </w:r>
          </w:p>
        </w:tc>
        <w:tc>
          <w:tcPr>
            <w:tcW w:w="3260" w:type="dxa"/>
          </w:tcPr>
          <w:p w14:paraId="725D1284" w14:textId="77777777" w:rsidR="00DA3E60" w:rsidRPr="00582EF5" w:rsidRDefault="00DA3E60" w:rsidP="00EF1935">
            <w:pPr>
              <w:pStyle w:val="TableText"/>
              <w:spacing w:after="40"/>
            </w:pPr>
            <w:r w:rsidRPr="00582EF5">
              <w:t>Restriction in accordance with Annex A</w:t>
            </w:r>
          </w:p>
          <w:p w14:paraId="779C4DE2" w14:textId="77777777" w:rsidR="00DA3E60" w:rsidRPr="00582EF5" w:rsidRDefault="00DA3E60" w:rsidP="00EF1935">
            <w:pPr>
              <w:pStyle w:val="TableText"/>
              <w:spacing w:before="20" w:after="40"/>
            </w:pPr>
            <w:r w:rsidRPr="00582EF5">
              <w:t>Prohibition on production</w:t>
            </w:r>
          </w:p>
          <w:p w14:paraId="4264C1BA" w14:textId="77777777" w:rsidR="00DA3E60" w:rsidRPr="00582EF5" w:rsidRDefault="00DA3E60" w:rsidP="00EF1935">
            <w:pPr>
              <w:pStyle w:val="TableText"/>
              <w:spacing w:before="20" w:after="40"/>
            </w:pPr>
            <w:r w:rsidRPr="00582EF5">
              <w:t>Prohibition on all uses</w:t>
            </w:r>
          </w:p>
          <w:p w14:paraId="2E68C254" w14:textId="77777777" w:rsidR="00DA3E60" w:rsidRPr="00582EF5" w:rsidRDefault="00DA3E60" w:rsidP="00EF1935">
            <w:pPr>
              <w:pStyle w:val="TableText"/>
              <w:spacing w:before="20" w:after="40"/>
            </w:pPr>
            <w:r w:rsidRPr="00582EF5">
              <w:t>Prohibition on import</w:t>
            </w:r>
          </w:p>
          <w:p w14:paraId="56627D4F" w14:textId="1F9280C7" w:rsidR="00DA3E60" w:rsidRPr="00582EF5" w:rsidRDefault="00DA3E60" w:rsidP="00EF1935">
            <w:pPr>
              <w:pStyle w:val="TableText"/>
              <w:spacing w:before="20"/>
            </w:pPr>
            <w:r w:rsidRPr="00582EF5">
              <w:t>Prohibition on export</w:t>
            </w:r>
          </w:p>
        </w:tc>
        <w:tc>
          <w:tcPr>
            <w:tcW w:w="741" w:type="dxa"/>
          </w:tcPr>
          <w:p w14:paraId="1B6E2288" w14:textId="5D1B18AC" w:rsidR="00DA3E60" w:rsidRPr="00582EF5" w:rsidRDefault="00DA3E60" w:rsidP="00EF1935">
            <w:pPr>
              <w:pStyle w:val="TableText"/>
              <w:spacing w:after="40"/>
            </w:pPr>
            <w:r w:rsidRPr="00582EF5">
              <w:t>200</w:t>
            </w:r>
            <w:r w:rsidR="003D6A73" w:rsidRPr="00582EF5">
              <w:t>4</w:t>
            </w:r>
          </w:p>
          <w:p w14:paraId="6B2F8549" w14:textId="759BF3CE" w:rsidR="00DA3E60" w:rsidRPr="00582EF5" w:rsidRDefault="00DA3E60" w:rsidP="00EF1935">
            <w:pPr>
              <w:pStyle w:val="TableText"/>
              <w:spacing w:before="20" w:after="40"/>
            </w:pPr>
            <w:r w:rsidRPr="00582EF5">
              <w:t>200</w:t>
            </w:r>
            <w:r w:rsidR="003D6A73" w:rsidRPr="00582EF5">
              <w:t>4</w:t>
            </w:r>
          </w:p>
          <w:p w14:paraId="19191F1C" w14:textId="0AB929AD" w:rsidR="00DA3E60" w:rsidRPr="00582EF5" w:rsidRDefault="00DA3E60" w:rsidP="00EF1935">
            <w:pPr>
              <w:pStyle w:val="TableText"/>
              <w:spacing w:before="20" w:after="40"/>
            </w:pPr>
            <w:r w:rsidRPr="00582EF5">
              <w:t>200</w:t>
            </w:r>
            <w:r w:rsidR="003D6A73" w:rsidRPr="00582EF5">
              <w:t>4</w:t>
            </w:r>
          </w:p>
          <w:p w14:paraId="73CB23B3" w14:textId="7BBEB561" w:rsidR="00DA3E60" w:rsidRPr="00582EF5" w:rsidRDefault="00DA3E60" w:rsidP="00EF1935">
            <w:pPr>
              <w:pStyle w:val="TableText"/>
              <w:spacing w:before="20" w:after="40"/>
            </w:pPr>
            <w:r w:rsidRPr="00582EF5">
              <w:t>200</w:t>
            </w:r>
            <w:r w:rsidR="003D6A73" w:rsidRPr="00582EF5">
              <w:t>4</w:t>
            </w:r>
          </w:p>
          <w:p w14:paraId="53258283" w14:textId="79ED0087" w:rsidR="00DA3E60" w:rsidRPr="00582EF5" w:rsidRDefault="00DA3E60" w:rsidP="00EF1935">
            <w:pPr>
              <w:pStyle w:val="TableText"/>
              <w:spacing w:before="20"/>
            </w:pPr>
            <w:r w:rsidRPr="00582EF5">
              <w:t>200</w:t>
            </w:r>
            <w:r w:rsidR="003D6A73" w:rsidRPr="00582EF5">
              <w:t>4</w:t>
            </w:r>
          </w:p>
        </w:tc>
        <w:tc>
          <w:tcPr>
            <w:tcW w:w="2693" w:type="dxa"/>
          </w:tcPr>
          <w:p w14:paraId="610CB86D" w14:textId="77777777" w:rsidR="00DA3E60" w:rsidRPr="00582EF5" w:rsidRDefault="00DA3E60" w:rsidP="00EF1935">
            <w:pPr>
              <w:pStyle w:val="TableText"/>
            </w:pPr>
            <w:r w:rsidRPr="00582EF5">
              <w:t>Only small amounts were ever used in New Zealand.</w:t>
            </w:r>
          </w:p>
        </w:tc>
      </w:tr>
      <w:tr w:rsidR="00D66241" w:rsidRPr="00582EF5" w14:paraId="1EDE262B" w14:textId="77777777" w:rsidTr="45D47978">
        <w:tc>
          <w:tcPr>
            <w:tcW w:w="1811" w:type="dxa"/>
            <w:shd w:val="clear" w:color="auto" w:fill="1C556C" w:themeFill="accent1"/>
          </w:tcPr>
          <w:p w14:paraId="28D3C1DF" w14:textId="53729BDE" w:rsidR="00DA3E60" w:rsidRPr="00582EF5" w:rsidRDefault="00DA3E60" w:rsidP="0076397C">
            <w:pPr>
              <w:pStyle w:val="TableTextbold"/>
              <w:rPr>
                <w:color w:val="FFFFFF" w:themeColor="background1"/>
              </w:rPr>
            </w:pPr>
            <w:r w:rsidRPr="00582EF5">
              <w:rPr>
                <w:color w:val="FFFFFF" w:themeColor="background1"/>
              </w:rPr>
              <w:t>Annex B</w:t>
            </w:r>
            <w:r w:rsidR="002D32E6" w:rsidRPr="00582EF5">
              <w:rPr>
                <w:color w:val="FFFFFF" w:themeColor="background1"/>
              </w:rPr>
              <w:t xml:space="preserve"> c</w:t>
            </w:r>
            <w:r w:rsidR="00B863F3" w:rsidRPr="00582EF5">
              <w:rPr>
                <w:color w:val="FFFFFF" w:themeColor="background1"/>
              </w:rPr>
              <w:t>hemical</w:t>
            </w:r>
            <w:r w:rsidR="002D32E6" w:rsidRPr="00582EF5">
              <w:rPr>
                <w:color w:val="FFFFFF" w:themeColor="background1"/>
              </w:rPr>
              <w:t>s</w:t>
            </w:r>
          </w:p>
        </w:tc>
        <w:tc>
          <w:tcPr>
            <w:tcW w:w="3260" w:type="dxa"/>
            <w:shd w:val="clear" w:color="auto" w:fill="1C556C" w:themeFill="accent1"/>
          </w:tcPr>
          <w:p w14:paraId="5EC13EDC" w14:textId="77777777" w:rsidR="00DA3E60" w:rsidRPr="00582EF5" w:rsidRDefault="00DA3E60" w:rsidP="0076397C">
            <w:pPr>
              <w:pStyle w:val="TableTextbold"/>
              <w:rPr>
                <w:color w:val="FFFFFF" w:themeColor="background1"/>
              </w:rPr>
            </w:pPr>
            <w:r w:rsidRPr="00582EF5">
              <w:rPr>
                <w:color w:val="FFFFFF" w:themeColor="background1"/>
              </w:rPr>
              <w:t>Measure</w:t>
            </w:r>
          </w:p>
        </w:tc>
        <w:tc>
          <w:tcPr>
            <w:tcW w:w="741" w:type="dxa"/>
            <w:shd w:val="clear" w:color="auto" w:fill="1C556C" w:themeFill="accent1"/>
          </w:tcPr>
          <w:p w14:paraId="36955643" w14:textId="77777777" w:rsidR="00DA3E60" w:rsidRPr="00582EF5" w:rsidRDefault="00DA3E60" w:rsidP="0076397C">
            <w:pPr>
              <w:pStyle w:val="TableTextbold"/>
              <w:rPr>
                <w:color w:val="FFFFFF" w:themeColor="background1"/>
              </w:rPr>
            </w:pPr>
            <w:r w:rsidRPr="00582EF5">
              <w:rPr>
                <w:color w:val="FFFFFF" w:themeColor="background1"/>
              </w:rPr>
              <w:t>Year</w:t>
            </w:r>
          </w:p>
        </w:tc>
        <w:tc>
          <w:tcPr>
            <w:tcW w:w="2693" w:type="dxa"/>
            <w:shd w:val="clear" w:color="auto" w:fill="1C556C" w:themeFill="accent1"/>
          </w:tcPr>
          <w:p w14:paraId="1A1B281A" w14:textId="77777777" w:rsidR="00DA3E60" w:rsidRPr="00582EF5" w:rsidRDefault="00DA3E60" w:rsidP="0076397C">
            <w:pPr>
              <w:pStyle w:val="TableTextbold"/>
              <w:rPr>
                <w:color w:val="FFFFFF" w:themeColor="background1"/>
              </w:rPr>
            </w:pPr>
          </w:p>
        </w:tc>
      </w:tr>
      <w:tr w:rsidR="00DA3E60" w:rsidRPr="00582EF5" w14:paraId="73E98940" w14:textId="77777777" w:rsidTr="00EC4F79">
        <w:tc>
          <w:tcPr>
            <w:tcW w:w="1811" w:type="dxa"/>
          </w:tcPr>
          <w:p w14:paraId="4B6B065A" w14:textId="68406FEC" w:rsidR="00DA3E60" w:rsidRPr="00582EF5" w:rsidRDefault="00D46776" w:rsidP="0076397C">
            <w:pPr>
              <w:pStyle w:val="TableText"/>
              <w:rPr>
                <w:b/>
                <w:u w:val="single"/>
              </w:rPr>
            </w:pPr>
            <w:r w:rsidRPr="00E27CE6">
              <w:t>1,1,1-trichloro-2, 2-bis (4-chlorophenyl) ethane</w:t>
            </w:r>
            <w:r>
              <w:rPr>
                <w:b/>
                <w:u w:val="single"/>
              </w:rPr>
              <w:t xml:space="preserve"> </w:t>
            </w:r>
            <w:r w:rsidR="00DA3E60" w:rsidRPr="00A87588">
              <w:t>(DDT)</w:t>
            </w:r>
          </w:p>
        </w:tc>
        <w:tc>
          <w:tcPr>
            <w:tcW w:w="3260" w:type="dxa"/>
          </w:tcPr>
          <w:p w14:paraId="63DF9684" w14:textId="77777777" w:rsidR="00DA3E60" w:rsidRPr="00582EF5" w:rsidRDefault="00DA3E60" w:rsidP="0076397C">
            <w:pPr>
              <w:pStyle w:val="TableText"/>
              <w:spacing w:after="40"/>
            </w:pPr>
            <w:r w:rsidRPr="00582EF5">
              <w:t>Restriction in accordance with Annex B</w:t>
            </w:r>
          </w:p>
          <w:p w14:paraId="139E2E68" w14:textId="77777777" w:rsidR="00DA3E60" w:rsidRPr="00582EF5" w:rsidRDefault="00DA3E60" w:rsidP="0076397C">
            <w:pPr>
              <w:pStyle w:val="TableText"/>
              <w:spacing w:before="20" w:after="40"/>
            </w:pPr>
            <w:r w:rsidRPr="00582EF5">
              <w:t>Prohibition on production</w:t>
            </w:r>
          </w:p>
          <w:p w14:paraId="36670733" w14:textId="77777777" w:rsidR="00DA3E60" w:rsidRPr="00582EF5" w:rsidRDefault="00DA3E60" w:rsidP="0076397C">
            <w:pPr>
              <w:pStyle w:val="TableText"/>
              <w:spacing w:before="20" w:after="40"/>
            </w:pPr>
            <w:r w:rsidRPr="00582EF5">
              <w:t>Prohibition on all uses</w:t>
            </w:r>
          </w:p>
          <w:p w14:paraId="298C0AF1" w14:textId="77777777" w:rsidR="00DA3E60" w:rsidRPr="00582EF5" w:rsidRDefault="00DA3E60" w:rsidP="0076397C">
            <w:pPr>
              <w:pStyle w:val="TableText"/>
              <w:spacing w:before="20" w:after="40"/>
            </w:pPr>
            <w:r w:rsidRPr="00582EF5">
              <w:t>Prohibition on import</w:t>
            </w:r>
          </w:p>
          <w:p w14:paraId="72F76ED7" w14:textId="52632131" w:rsidR="00DA3E60" w:rsidRPr="00582EF5" w:rsidRDefault="00DA3E60" w:rsidP="0076397C">
            <w:pPr>
              <w:pStyle w:val="TableText"/>
              <w:spacing w:before="20"/>
            </w:pPr>
            <w:r w:rsidRPr="00582EF5">
              <w:t>Prohibition on export</w:t>
            </w:r>
          </w:p>
        </w:tc>
        <w:tc>
          <w:tcPr>
            <w:tcW w:w="741" w:type="dxa"/>
          </w:tcPr>
          <w:p w14:paraId="196430EF" w14:textId="79E0AA68" w:rsidR="00DA3E60" w:rsidRPr="00582EF5" w:rsidRDefault="00DA3E60" w:rsidP="0076397C">
            <w:pPr>
              <w:pStyle w:val="TableText"/>
              <w:spacing w:after="40"/>
            </w:pPr>
            <w:r w:rsidRPr="00582EF5">
              <w:t>200</w:t>
            </w:r>
            <w:r w:rsidR="00CB0CEA" w:rsidRPr="00582EF5">
              <w:t>4</w:t>
            </w:r>
          </w:p>
          <w:p w14:paraId="33B5F9FF" w14:textId="41D2F2E6" w:rsidR="00DA3E60" w:rsidRPr="00582EF5" w:rsidRDefault="00DA3E60" w:rsidP="0076397C">
            <w:pPr>
              <w:pStyle w:val="TableText"/>
              <w:spacing w:before="20" w:after="40"/>
            </w:pPr>
            <w:r w:rsidRPr="00582EF5">
              <w:t>200</w:t>
            </w:r>
            <w:r w:rsidR="00CB0CEA" w:rsidRPr="00582EF5">
              <w:t>4</w:t>
            </w:r>
          </w:p>
          <w:p w14:paraId="674475D0" w14:textId="5D3B7D0E" w:rsidR="00DA3E60" w:rsidRPr="00582EF5" w:rsidRDefault="00DA3E60" w:rsidP="0076397C">
            <w:pPr>
              <w:pStyle w:val="TableText"/>
              <w:spacing w:before="20" w:after="40"/>
            </w:pPr>
            <w:r w:rsidRPr="00582EF5">
              <w:t>200</w:t>
            </w:r>
            <w:r w:rsidR="00CB0CEA" w:rsidRPr="00582EF5">
              <w:t>4</w:t>
            </w:r>
          </w:p>
          <w:p w14:paraId="4868A605" w14:textId="40187491" w:rsidR="00DA3E60" w:rsidRPr="00582EF5" w:rsidRDefault="00DA3E60" w:rsidP="0076397C">
            <w:pPr>
              <w:pStyle w:val="TableText"/>
              <w:spacing w:before="20" w:after="40"/>
            </w:pPr>
            <w:r w:rsidRPr="00582EF5">
              <w:t>200</w:t>
            </w:r>
            <w:r w:rsidR="00CB0CEA" w:rsidRPr="00582EF5">
              <w:t>4</w:t>
            </w:r>
          </w:p>
          <w:p w14:paraId="71B5F883" w14:textId="6257094F" w:rsidR="00DA3E60" w:rsidRPr="00582EF5" w:rsidRDefault="00DA3E60" w:rsidP="0076397C">
            <w:pPr>
              <w:pStyle w:val="TableText"/>
              <w:spacing w:before="20"/>
            </w:pPr>
            <w:r w:rsidRPr="00582EF5">
              <w:t>200</w:t>
            </w:r>
            <w:r w:rsidR="00CB0CEA" w:rsidRPr="00582EF5">
              <w:t>4</w:t>
            </w:r>
          </w:p>
        </w:tc>
        <w:tc>
          <w:tcPr>
            <w:tcW w:w="2693" w:type="dxa"/>
          </w:tcPr>
          <w:p w14:paraId="6D0BAC9A" w14:textId="3BA553A9" w:rsidR="00DA3E60" w:rsidRPr="00582EF5" w:rsidRDefault="00DA3E60" w:rsidP="0076397C">
            <w:pPr>
              <w:pStyle w:val="TableText"/>
            </w:pPr>
            <w:r w:rsidRPr="00582EF5">
              <w:t xml:space="preserve">Used </w:t>
            </w:r>
            <w:bookmarkStart w:id="40" w:name="_Int_rHJfn82H"/>
            <w:r w:rsidR="001C18DF" w:rsidRPr="00582EF5">
              <w:t xml:space="preserve">mainly </w:t>
            </w:r>
            <w:r w:rsidRPr="00582EF5">
              <w:t>as</w:t>
            </w:r>
            <w:bookmarkEnd w:id="40"/>
            <w:r w:rsidRPr="00582EF5">
              <w:t xml:space="preserve"> a pasture insecticide to control grass grub (</w:t>
            </w:r>
            <w:proofErr w:type="spellStart"/>
            <w:r w:rsidRPr="00582EF5">
              <w:rPr>
                <w:i/>
                <w:iCs/>
              </w:rPr>
              <w:t>Costelytra</w:t>
            </w:r>
            <w:proofErr w:type="spellEnd"/>
            <w:r w:rsidRPr="00582EF5">
              <w:rPr>
                <w:i/>
                <w:iCs/>
              </w:rPr>
              <w:t xml:space="preserve"> </w:t>
            </w:r>
            <w:proofErr w:type="spellStart"/>
            <w:r w:rsidRPr="00582EF5">
              <w:rPr>
                <w:i/>
                <w:iCs/>
              </w:rPr>
              <w:t>zealandi</w:t>
            </w:r>
            <w:r w:rsidR="00374D46" w:rsidRPr="00582EF5">
              <w:rPr>
                <w:i/>
                <w:iCs/>
              </w:rPr>
              <w:t>c</w:t>
            </w:r>
            <w:r w:rsidRPr="00582EF5">
              <w:rPr>
                <w:i/>
                <w:iCs/>
              </w:rPr>
              <w:t>a</w:t>
            </w:r>
            <w:proofErr w:type="spellEnd"/>
            <w:r w:rsidRPr="00582EF5">
              <w:t>) and porina (</w:t>
            </w:r>
            <w:proofErr w:type="spellStart"/>
            <w:r w:rsidRPr="00582EF5">
              <w:rPr>
                <w:i/>
                <w:iCs/>
              </w:rPr>
              <w:t>Wiseana</w:t>
            </w:r>
            <w:proofErr w:type="spellEnd"/>
            <w:r w:rsidRPr="00582EF5">
              <w:rPr>
                <w:i/>
                <w:iCs/>
              </w:rPr>
              <w:t xml:space="preserve"> sp.) </w:t>
            </w:r>
            <w:r w:rsidRPr="00582EF5">
              <w:t>caterpillars. It was frequently mixed with fertiliser or lime and applied to agriculture pastures, as well as to lawns, market gardens and parks.</w:t>
            </w:r>
          </w:p>
        </w:tc>
      </w:tr>
    </w:tbl>
    <w:p w14:paraId="72879C04" w14:textId="7AF7CA76" w:rsidR="00DA3E60" w:rsidRPr="00582EF5" w:rsidRDefault="3AC016DF" w:rsidP="003F642D">
      <w:pPr>
        <w:pStyle w:val="Heading2"/>
      </w:pPr>
      <w:bookmarkStart w:id="41" w:name="_Toc531102785"/>
      <w:bookmarkStart w:id="42" w:name="_Toc120532238"/>
      <w:r>
        <w:lastRenderedPageBreak/>
        <w:t>3.</w:t>
      </w:r>
      <w:r w:rsidR="397DFC28">
        <w:t xml:space="preserve">3 </w:t>
      </w:r>
      <w:r w:rsidR="00DA3E60">
        <w:tab/>
      </w:r>
      <w:r>
        <w:t xml:space="preserve">Progress since </w:t>
      </w:r>
      <w:r w:rsidR="6FFC2608">
        <w:t xml:space="preserve">previous </w:t>
      </w:r>
      <w:r>
        <w:t>N</w:t>
      </w:r>
      <w:r w:rsidR="1BFA9AB3">
        <w:t xml:space="preserve">ational </w:t>
      </w:r>
      <w:r>
        <w:t>I</w:t>
      </w:r>
      <w:r w:rsidR="1BFA9AB3">
        <w:t xml:space="preserve">mplementation </w:t>
      </w:r>
      <w:r>
        <w:t>P</w:t>
      </w:r>
      <w:r w:rsidR="1BFA9AB3">
        <w:t>lan</w:t>
      </w:r>
      <w:r w:rsidR="1113562D">
        <w:t>s</w:t>
      </w:r>
      <w:bookmarkEnd w:id="41"/>
      <w:bookmarkEnd w:id="42"/>
    </w:p>
    <w:p w14:paraId="57792C1B" w14:textId="5A314599" w:rsidR="00DA3E60" w:rsidRPr="00582EF5" w:rsidRDefault="3AC016DF" w:rsidP="003F642D">
      <w:pPr>
        <w:pStyle w:val="BodyText"/>
        <w:keepNext/>
      </w:pPr>
      <w:r>
        <w:t xml:space="preserve">New Zealand has not produced chemicals listed in </w:t>
      </w:r>
      <w:r w:rsidR="6479D91E">
        <w:t>a</w:t>
      </w:r>
      <w:r>
        <w:t>nnex</w:t>
      </w:r>
      <w:r w:rsidR="6479D91E">
        <w:t>es</w:t>
      </w:r>
      <w:r>
        <w:t xml:space="preserve"> A or</w:t>
      </w:r>
      <w:r w:rsidR="1BFA9AB3">
        <w:t xml:space="preserve"> </w:t>
      </w:r>
      <w:r>
        <w:t xml:space="preserve">B since their phase out in the late 1980s. </w:t>
      </w:r>
      <w:r w:rsidR="6479D91E">
        <w:t>See c</w:t>
      </w:r>
      <w:r>
        <w:t xml:space="preserve">hapter 6 </w:t>
      </w:r>
      <w:r w:rsidR="6479D91E">
        <w:t xml:space="preserve">for </w:t>
      </w:r>
      <w:r>
        <w:t>information about the waste management of</w:t>
      </w:r>
      <w:r w:rsidR="4CD95AFA">
        <w:t> </w:t>
      </w:r>
      <w:r>
        <w:t>POPs.</w:t>
      </w:r>
    </w:p>
    <w:p w14:paraId="5E9DDBF4" w14:textId="5ADE9E95" w:rsidR="00DA3E60" w:rsidRPr="00582EF5" w:rsidRDefault="00A93FB4" w:rsidP="003F642D">
      <w:pPr>
        <w:pStyle w:val="Heading3"/>
        <w:spacing w:before="280"/>
      </w:pPr>
      <w:r w:rsidRPr="00582EF5">
        <w:t>3.3.1</w:t>
      </w:r>
      <w:r w:rsidRPr="00582EF5">
        <w:tab/>
      </w:r>
      <w:r w:rsidR="00DA3E60" w:rsidRPr="00582EF5">
        <w:t xml:space="preserve">Phasing out </w:t>
      </w:r>
      <w:r w:rsidR="008002BA" w:rsidRPr="00582EF5">
        <w:t>polychlorinated biphenyls</w:t>
      </w:r>
    </w:p>
    <w:p w14:paraId="0B54D686" w14:textId="0CC13F77" w:rsidR="00DA3E60" w:rsidRPr="00582EF5" w:rsidRDefault="00DA3E60" w:rsidP="003F642D">
      <w:pPr>
        <w:pStyle w:val="BodyText"/>
      </w:pPr>
      <w:r w:rsidRPr="00582EF5">
        <w:t xml:space="preserve">New Zealand’s PCB inventory and disposal programme pre-dates the Convention </w:t>
      </w:r>
      <w:hyperlink r:id="rId72" w:history="1">
        <w:r w:rsidRPr="00B66854">
          <w:rPr>
            <w:rStyle w:val="Hyperlink"/>
          </w:rPr>
          <w:t>(refer to New</w:t>
        </w:r>
        <w:r w:rsidR="000F33F7" w:rsidRPr="00B66854">
          <w:rPr>
            <w:rStyle w:val="Hyperlink"/>
          </w:rPr>
          <w:t> </w:t>
        </w:r>
        <w:r w:rsidRPr="00B66854">
          <w:rPr>
            <w:rStyle w:val="Hyperlink"/>
          </w:rPr>
          <w:t>Zealand’s NIP1)</w:t>
        </w:r>
      </w:hyperlink>
      <w:r w:rsidRPr="00582EF5">
        <w:t>. All uses of PCBs were initially banned under the Toxic Substances Act 1979</w:t>
      </w:r>
      <w:r w:rsidR="00A707DC" w:rsidRPr="00582EF5">
        <w:t>, with some registered exemptions,</w:t>
      </w:r>
      <w:r w:rsidRPr="00582EF5">
        <w:t xml:space="preserve"> until this </w:t>
      </w:r>
      <w:r w:rsidR="0030013B" w:rsidRPr="00582EF5">
        <w:t xml:space="preserve">Act </w:t>
      </w:r>
      <w:r w:rsidRPr="00582EF5">
        <w:t xml:space="preserve">was repealed. The </w:t>
      </w:r>
      <w:r w:rsidR="007216E8" w:rsidRPr="00582EF5">
        <w:t>Hazardous Substances and New Organisms (</w:t>
      </w:r>
      <w:r w:rsidRPr="00582EF5">
        <w:t>HSNO</w:t>
      </w:r>
      <w:r w:rsidR="007216E8" w:rsidRPr="00582EF5">
        <w:t>)</w:t>
      </w:r>
      <w:r w:rsidRPr="00582EF5">
        <w:t xml:space="preserve"> Act</w:t>
      </w:r>
      <w:r w:rsidR="007216E8" w:rsidRPr="00582EF5">
        <w:t xml:space="preserve"> 1996</w:t>
      </w:r>
      <w:r w:rsidRPr="00582EF5">
        <w:t xml:space="preserve">, which followed, banned the </w:t>
      </w:r>
      <w:r w:rsidR="0030013B" w:rsidRPr="00582EF5">
        <w:t xml:space="preserve">importation, manufacture, </w:t>
      </w:r>
      <w:r w:rsidRPr="00582EF5">
        <w:t xml:space="preserve">use and storage of PCBs in New Zealand while allowing for </w:t>
      </w:r>
      <w:r w:rsidR="00A707DC" w:rsidRPr="00582EF5">
        <w:t xml:space="preserve">the continuation of </w:t>
      </w:r>
      <w:r w:rsidRPr="00582EF5">
        <w:t xml:space="preserve">exemptions to facilitate a programmed phase-out. All PCBs in New Zealand had to be withdrawn from use and destroyed no later than </w:t>
      </w:r>
      <w:r w:rsidR="0030013B" w:rsidRPr="00582EF5">
        <w:t xml:space="preserve">31 December </w:t>
      </w:r>
      <w:r w:rsidRPr="00582EF5">
        <w:t xml:space="preserve">2016. </w:t>
      </w:r>
      <w:r w:rsidR="00423FB9" w:rsidRPr="00582EF5">
        <w:t>Before</w:t>
      </w:r>
      <w:r w:rsidR="0030013B" w:rsidRPr="00582EF5">
        <w:t xml:space="preserve"> that date, management and disposal of PCBs w</w:t>
      </w:r>
      <w:r w:rsidR="00423FB9" w:rsidRPr="00582EF5">
        <w:t>ere</w:t>
      </w:r>
      <w:r w:rsidR="0030013B" w:rsidRPr="00582EF5">
        <w:t xml:space="preserve"> covered by the Hazardous Substances (Storage and Disposal of Polychlorinated Biphenyls) Notice 2007 (PCBs Notice).</w:t>
      </w:r>
    </w:p>
    <w:p w14:paraId="50B6846E" w14:textId="08187549" w:rsidR="00DA3E60" w:rsidRPr="00582EF5" w:rsidRDefault="00DA3E60" w:rsidP="003F642D">
      <w:pPr>
        <w:pStyle w:val="BodyText"/>
      </w:pPr>
      <w:r w:rsidRPr="00582EF5">
        <w:t xml:space="preserve">The New Zealand PCB phase-out is now complete, ahead of the Convention’s deadline of 2025. Between 2010 and 2016, </w:t>
      </w:r>
      <w:bookmarkStart w:id="43" w:name="_Int_SPB12bbL"/>
      <w:r w:rsidRPr="00582EF5">
        <w:t>almost NZ</w:t>
      </w:r>
      <w:bookmarkEnd w:id="43"/>
      <w:r w:rsidRPr="00582EF5">
        <w:t>$2</w:t>
      </w:r>
      <w:r w:rsidR="003E52A4">
        <w:t> million</w:t>
      </w:r>
      <w:r w:rsidRPr="00582EF5">
        <w:t xml:space="preserve"> was allocated by</w:t>
      </w:r>
      <w:r w:rsidR="001768BD">
        <w:t xml:space="preserve"> </w:t>
      </w:r>
      <w:r w:rsidR="00C32EDA">
        <w:t>the Ministry for the Environment (MfE)</w:t>
      </w:r>
      <w:r w:rsidRPr="00582EF5">
        <w:t xml:space="preserve"> the Waste Minimisation Fund for the collection and environmentally sound disposal of PCBs</w:t>
      </w:r>
      <w:r w:rsidR="008A4600" w:rsidRPr="00582EF5">
        <w:t>,</w:t>
      </w:r>
      <w:r w:rsidRPr="00582EF5">
        <w:t xml:space="preserve"> and 174.188</w:t>
      </w:r>
      <w:r w:rsidR="008A4600" w:rsidRPr="00582EF5">
        <w:t> </w:t>
      </w:r>
      <w:r w:rsidRPr="00582EF5">
        <w:t xml:space="preserve">tonnes of PCBs </w:t>
      </w:r>
      <w:r w:rsidR="008A4600" w:rsidRPr="00582EF5">
        <w:t xml:space="preserve">were disposed of </w:t>
      </w:r>
      <w:r w:rsidRPr="00582EF5">
        <w:t>(</w:t>
      </w:r>
      <w:r w:rsidR="008A4600" w:rsidRPr="00582EF5">
        <w:t>t</w:t>
      </w:r>
      <w:r w:rsidRPr="00582EF5">
        <w:t xml:space="preserve">able </w:t>
      </w:r>
      <w:r w:rsidR="00F823E1" w:rsidRPr="00582EF5">
        <w:t>6</w:t>
      </w:r>
      <w:r w:rsidRPr="00582EF5">
        <w:t xml:space="preserve">). </w:t>
      </w:r>
      <w:r w:rsidR="008A4600" w:rsidRPr="00582EF5">
        <w:t xml:space="preserve">New Zealand’s </w:t>
      </w:r>
      <w:r w:rsidR="00FB48B4">
        <w:t>n</w:t>
      </w:r>
      <w:r w:rsidRPr="00582EF5">
        <w:t xml:space="preserve">ational </w:t>
      </w:r>
      <w:r w:rsidR="00FB48B4">
        <w:t>r</w:t>
      </w:r>
      <w:r w:rsidRPr="00582EF5">
        <w:t>eports (</w:t>
      </w:r>
      <w:hyperlink r:id="rId73" w:history="1">
        <w:r w:rsidRPr="007077A0">
          <w:rPr>
            <w:rStyle w:val="Hyperlink"/>
          </w:rPr>
          <w:t>available on the Convention website</w:t>
        </w:r>
      </w:hyperlink>
      <w:r w:rsidRPr="00582EF5">
        <w:t>) include four-yearly reporting on PCBs.</w:t>
      </w:r>
      <w:r w:rsidR="001A0294" w:rsidRPr="001A0294">
        <w:t xml:space="preserve"> </w:t>
      </w:r>
      <w:r w:rsidR="00DE11E2" w:rsidRPr="00832FD4">
        <w:t xml:space="preserve">(New Zealand’s </w:t>
      </w:r>
      <w:hyperlink r:id="rId74" w:history="1">
        <w:r w:rsidR="00DE11E2" w:rsidRPr="00DE11E2">
          <w:rPr>
            <w:rStyle w:val="Hyperlink"/>
          </w:rPr>
          <w:t>most recent report</w:t>
        </w:r>
      </w:hyperlink>
      <w:r w:rsidR="00DE11E2" w:rsidRPr="00832FD4">
        <w:t xml:space="preserve"> was submitted in September 2020)</w:t>
      </w:r>
      <w:r w:rsidR="001A0294" w:rsidRPr="00582EF5">
        <w:t>.</w:t>
      </w:r>
    </w:p>
    <w:p w14:paraId="0503612E" w14:textId="1038202B" w:rsidR="00DA3E60" w:rsidRPr="00582EF5" w:rsidRDefault="00F823E1" w:rsidP="003F642D">
      <w:pPr>
        <w:pStyle w:val="Tableheading"/>
      </w:pPr>
      <w:bookmarkStart w:id="44" w:name="_Toc120532271"/>
      <w:r w:rsidRPr="00582EF5">
        <w:t>Table 6:</w:t>
      </w:r>
      <w:r w:rsidR="00DA3E60" w:rsidRPr="00582EF5">
        <w:t xml:space="preserve"> </w:t>
      </w:r>
      <w:r w:rsidR="00E656E1" w:rsidRPr="00582EF5">
        <w:tab/>
      </w:r>
      <w:r w:rsidR="00DA3E60" w:rsidRPr="00582EF5">
        <w:t>P</w:t>
      </w:r>
      <w:r w:rsidR="00EC7C32" w:rsidRPr="00582EF5">
        <w:t>olychlorinated biphenyls</w:t>
      </w:r>
      <w:r w:rsidR="00DA3E60" w:rsidRPr="00582EF5">
        <w:t xml:space="preserve"> waste disposal (in tonnes)</w:t>
      </w:r>
      <w:bookmarkEnd w:id="44"/>
    </w:p>
    <w:tbl>
      <w:tblPr>
        <w:tblW w:w="0" w:type="auto"/>
        <w:tblBorders>
          <w:top w:val="single" w:sz="4" w:space="0" w:color="1C556C"/>
          <w:bottom w:val="single" w:sz="4" w:space="0" w:color="1C556C"/>
          <w:insideH w:val="single" w:sz="4" w:space="0" w:color="1C556C"/>
          <w:insideV w:val="single" w:sz="4" w:space="0" w:color="1C556C"/>
        </w:tblBorders>
        <w:tblLook w:val="04A0" w:firstRow="1" w:lastRow="0" w:firstColumn="1" w:lastColumn="0" w:noHBand="0" w:noVBand="1"/>
      </w:tblPr>
      <w:tblGrid>
        <w:gridCol w:w="4238"/>
        <w:gridCol w:w="4256"/>
      </w:tblGrid>
      <w:tr w:rsidR="00D66241" w:rsidRPr="00582EF5" w14:paraId="75DE93F0" w14:textId="77777777" w:rsidTr="00EC65E2">
        <w:tc>
          <w:tcPr>
            <w:tcW w:w="4238" w:type="dxa"/>
            <w:shd w:val="clear" w:color="auto" w:fill="1C556C"/>
          </w:tcPr>
          <w:p w14:paraId="6DB3E6CB" w14:textId="77777777" w:rsidR="00DA3E60" w:rsidRPr="00582EF5" w:rsidRDefault="00DA3E60" w:rsidP="003F642D">
            <w:pPr>
              <w:pStyle w:val="TableTextbold"/>
              <w:rPr>
                <w:color w:val="FFFFFF" w:themeColor="background1"/>
              </w:rPr>
            </w:pPr>
            <w:r w:rsidRPr="00582EF5">
              <w:rPr>
                <w:color w:val="FFFFFF" w:themeColor="background1"/>
              </w:rPr>
              <w:t xml:space="preserve">Year </w:t>
            </w:r>
          </w:p>
        </w:tc>
        <w:tc>
          <w:tcPr>
            <w:tcW w:w="4256" w:type="dxa"/>
            <w:shd w:val="clear" w:color="auto" w:fill="1C556C"/>
          </w:tcPr>
          <w:p w14:paraId="29A9E5B8" w14:textId="77777777" w:rsidR="00DA3E60" w:rsidRPr="00582EF5" w:rsidRDefault="00DA3E60" w:rsidP="003F642D">
            <w:pPr>
              <w:pStyle w:val="TableTextbold"/>
              <w:rPr>
                <w:color w:val="FFFFFF" w:themeColor="background1"/>
              </w:rPr>
            </w:pPr>
            <w:r w:rsidRPr="00582EF5">
              <w:rPr>
                <w:color w:val="FFFFFF" w:themeColor="background1"/>
              </w:rPr>
              <w:t>Total quantity of disposal (t)</w:t>
            </w:r>
          </w:p>
        </w:tc>
      </w:tr>
      <w:tr w:rsidR="00DA3E60" w:rsidRPr="00582EF5" w14:paraId="0D334DBD" w14:textId="77777777" w:rsidTr="00EC65E2">
        <w:tc>
          <w:tcPr>
            <w:tcW w:w="4238" w:type="dxa"/>
          </w:tcPr>
          <w:p w14:paraId="76DE650E" w14:textId="77777777" w:rsidR="00DA3E60" w:rsidRPr="00582EF5" w:rsidRDefault="00DA3E60" w:rsidP="00D42708">
            <w:pPr>
              <w:pStyle w:val="TableText"/>
              <w:spacing w:before="40" w:after="40"/>
            </w:pPr>
            <w:r w:rsidRPr="00582EF5">
              <w:t>2010</w:t>
            </w:r>
          </w:p>
        </w:tc>
        <w:tc>
          <w:tcPr>
            <w:tcW w:w="4256" w:type="dxa"/>
          </w:tcPr>
          <w:p w14:paraId="4CD7C87D" w14:textId="4A487585" w:rsidR="00DA3E60" w:rsidRPr="00582EF5" w:rsidRDefault="00DA3E60" w:rsidP="00D42708">
            <w:pPr>
              <w:pStyle w:val="TableText"/>
              <w:spacing w:before="40" w:after="40"/>
            </w:pPr>
            <w:r w:rsidRPr="00582EF5">
              <w:t>109.4</w:t>
            </w:r>
            <w:r w:rsidR="00544756" w:rsidRPr="00582EF5">
              <w:t>00</w:t>
            </w:r>
          </w:p>
        </w:tc>
      </w:tr>
      <w:tr w:rsidR="00DA3E60" w:rsidRPr="00582EF5" w14:paraId="715C5A75" w14:textId="77777777" w:rsidTr="00EC65E2">
        <w:tc>
          <w:tcPr>
            <w:tcW w:w="4238" w:type="dxa"/>
          </w:tcPr>
          <w:p w14:paraId="0439F579" w14:textId="77777777" w:rsidR="00DA3E60" w:rsidRPr="00582EF5" w:rsidRDefault="00DA3E60" w:rsidP="0070440E">
            <w:pPr>
              <w:pStyle w:val="TableText"/>
              <w:spacing w:before="40" w:after="40"/>
            </w:pPr>
            <w:r w:rsidRPr="00582EF5">
              <w:t>2012</w:t>
            </w:r>
          </w:p>
        </w:tc>
        <w:tc>
          <w:tcPr>
            <w:tcW w:w="4256" w:type="dxa"/>
          </w:tcPr>
          <w:p w14:paraId="3E8AE412" w14:textId="77777777" w:rsidR="00DA3E60" w:rsidRPr="00582EF5" w:rsidRDefault="00DA3E60" w:rsidP="0070440E">
            <w:pPr>
              <w:pStyle w:val="TableText"/>
              <w:spacing w:before="40" w:after="40"/>
            </w:pPr>
            <w:r w:rsidRPr="00582EF5">
              <w:t>12.556</w:t>
            </w:r>
          </w:p>
        </w:tc>
      </w:tr>
      <w:tr w:rsidR="00DA3E60" w:rsidRPr="00582EF5" w14:paraId="2FB0056C" w14:textId="77777777" w:rsidTr="00EC65E2">
        <w:tc>
          <w:tcPr>
            <w:tcW w:w="4238" w:type="dxa"/>
          </w:tcPr>
          <w:p w14:paraId="7F072520" w14:textId="77777777" w:rsidR="00DA3E60" w:rsidRPr="00582EF5" w:rsidRDefault="00DA3E60" w:rsidP="0070440E">
            <w:pPr>
              <w:pStyle w:val="TableText"/>
              <w:spacing w:before="40" w:after="40"/>
            </w:pPr>
            <w:r w:rsidRPr="00582EF5">
              <w:t>2014</w:t>
            </w:r>
          </w:p>
        </w:tc>
        <w:tc>
          <w:tcPr>
            <w:tcW w:w="4256" w:type="dxa"/>
          </w:tcPr>
          <w:p w14:paraId="502828BF" w14:textId="77777777" w:rsidR="00DA3E60" w:rsidRPr="00582EF5" w:rsidRDefault="00DA3E60" w:rsidP="0070440E">
            <w:pPr>
              <w:pStyle w:val="TableText"/>
              <w:spacing w:before="40" w:after="40"/>
            </w:pPr>
            <w:r w:rsidRPr="00582EF5">
              <w:t>48.664</w:t>
            </w:r>
          </w:p>
        </w:tc>
      </w:tr>
      <w:tr w:rsidR="00DA3E60" w:rsidRPr="00582EF5" w14:paraId="39121D17" w14:textId="77777777" w:rsidTr="00EC65E2">
        <w:tc>
          <w:tcPr>
            <w:tcW w:w="4238" w:type="dxa"/>
          </w:tcPr>
          <w:p w14:paraId="0ECCD881" w14:textId="77777777" w:rsidR="00DA3E60" w:rsidRPr="00582EF5" w:rsidRDefault="00DA3E60" w:rsidP="0070440E">
            <w:pPr>
              <w:pStyle w:val="TableText"/>
              <w:spacing w:before="40" w:after="40"/>
            </w:pPr>
            <w:r w:rsidRPr="00582EF5">
              <w:t>2016</w:t>
            </w:r>
          </w:p>
        </w:tc>
        <w:tc>
          <w:tcPr>
            <w:tcW w:w="4256" w:type="dxa"/>
          </w:tcPr>
          <w:p w14:paraId="639A7F4A" w14:textId="77777777" w:rsidR="00DA3E60" w:rsidRPr="00582EF5" w:rsidRDefault="00DA3E60" w:rsidP="0070440E">
            <w:pPr>
              <w:pStyle w:val="TableText"/>
              <w:spacing w:before="40" w:after="40"/>
            </w:pPr>
            <w:r w:rsidRPr="00582EF5">
              <w:t>3.568</w:t>
            </w:r>
          </w:p>
        </w:tc>
      </w:tr>
    </w:tbl>
    <w:p w14:paraId="2AE669C2" w14:textId="70A722E4" w:rsidR="00787166" w:rsidRPr="00582EF5" w:rsidRDefault="00787166" w:rsidP="0070440E">
      <w:pPr>
        <w:pStyle w:val="BodyText"/>
        <w:spacing w:before="240"/>
      </w:pPr>
      <w:r w:rsidRPr="00582EF5">
        <w:t>It is possible that small amounts of PCBs (as with other POPs) will continue to be found. PCBs must now be managed similar</w:t>
      </w:r>
      <w:r w:rsidR="00671698" w:rsidRPr="00582EF5">
        <w:t>ly</w:t>
      </w:r>
      <w:r w:rsidRPr="00582EF5">
        <w:t xml:space="preserve"> to other POPs</w:t>
      </w:r>
      <w:r w:rsidR="00671698" w:rsidRPr="00582EF5">
        <w:t>,</w:t>
      </w:r>
      <w:r w:rsidRPr="00582EF5">
        <w:t xml:space="preserve"> and a framework </w:t>
      </w:r>
      <w:r w:rsidR="00671698" w:rsidRPr="00582EF5">
        <w:t xml:space="preserve">is in place </w:t>
      </w:r>
      <w:r w:rsidRPr="00582EF5">
        <w:t xml:space="preserve">to manage their storage and disposal. </w:t>
      </w:r>
      <w:r w:rsidR="0075271E" w:rsidRPr="00554326">
        <w:t xml:space="preserve">The </w:t>
      </w:r>
      <w:hyperlink r:id="rId75" w:history="1">
        <w:r w:rsidR="00087AA4" w:rsidRPr="00554326">
          <w:rPr>
            <w:rStyle w:val="Hyperlink"/>
          </w:rPr>
          <w:t>Hazardous Substances (Disposal) Notice 201</w:t>
        </w:r>
        <w:r w:rsidR="00D36ADD" w:rsidRPr="00554326">
          <w:rPr>
            <w:rStyle w:val="Hyperlink"/>
          </w:rPr>
          <w:t>7</w:t>
        </w:r>
      </w:hyperlink>
      <w:r w:rsidR="0030013B" w:rsidRPr="00582EF5">
        <w:t xml:space="preserve"> </w:t>
      </w:r>
      <w:r w:rsidRPr="00582EF5">
        <w:t>sets requirements for:</w:t>
      </w:r>
    </w:p>
    <w:p w14:paraId="6473F3A4" w14:textId="5F0DF359" w:rsidR="00787166" w:rsidRPr="00582EF5" w:rsidRDefault="00787166" w:rsidP="0070440E">
      <w:pPr>
        <w:pStyle w:val="Bullet"/>
      </w:pPr>
      <w:r w:rsidRPr="00582EF5">
        <w:t>the storage of PCBs</w:t>
      </w:r>
    </w:p>
    <w:p w14:paraId="4F56D54F" w14:textId="353D91C6" w:rsidR="00787166" w:rsidRPr="00582EF5" w:rsidRDefault="00787166" w:rsidP="0070440E">
      <w:pPr>
        <w:pStyle w:val="Bullet"/>
      </w:pPr>
      <w:r w:rsidRPr="00582EF5">
        <w:t xml:space="preserve">notification by collectors of PCBs to the </w:t>
      </w:r>
      <w:r w:rsidR="00E33B36" w:rsidRPr="00582EF5">
        <w:t>Environmental Protection Authority (</w:t>
      </w:r>
      <w:r w:rsidRPr="00582EF5">
        <w:t>EPA</w:t>
      </w:r>
      <w:r w:rsidR="00E33B36" w:rsidRPr="00582EF5">
        <w:t>)</w:t>
      </w:r>
    </w:p>
    <w:p w14:paraId="514225C5" w14:textId="77777777" w:rsidR="00787166" w:rsidRPr="00582EF5" w:rsidRDefault="00787166" w:rsidP="0070440E">
      <w:pPr>
        <w:pStyle w:val="Bullet"/>
      </w:pPr>
      <w:r w:rsidRPr="00582EF5">
        <w:t>specific controls to be met in relation to packaging, emergency management, and identification duties of collectors.</w:t>
      </w:r>
    </w:p>
    <w:p w14:paraId="71AFC9E2" w14:textId="2D581E54" w:rsidR="00787166" w:rsidRPr="00582EF5" w:rsidRDefault="002A172F" w:rsidP="0070440E">
      <w:pPr>
        <w:pStyle w:val="BodyText"/>
      </w:pPr>
      <w:r w:rsidRPr="00832FD4">
        <w:t xml:space="preserve">A </w:t>
      </w:r>
      <w:hyperlink r:id="rId76" w:history="1">
        <w:r w:rsidRPr="002A172F">
          <w:rPr>
            <w:rStyle w:val="Hyperlink"/>
          </w:rPr>
          <w:t>practical guide</w:t>
        </w:r>
      </w:hyperlink>
      <w:r w:rsidRPr="00832FD4">
        <w:t xml:space="preserve"> is available for anyone involved in the handling, storage, transport and disposal of PCBs</w:t>
      </w:r>
      <w:r w:rsidR="00787166" w:rsidRPr="00582EF5">
        <w:t>.</w:t>
      </w:r>
    </w:p>
    <w:p w14:paraId="29FE5276" w14:textId="1B9576FC" w:rsidR="00DA3E60" w:rsidRPr="00582EF5" w:rsidRDefault="00DA3E60" w:rsidP="0070440E">
      <w:pPr>
        <w:pStyle w:val="BodyText"/>
      </w:pPr>
      <w:r w:rsidRPr="00582EF5">
        <w:t xml:space="preserve">New Zealand has taken </w:t>
      </w:r>
      <w:r w:rsidR="00D65EC3" w:rsidRPr="00582EF5">
        <w:t>serious</w:t>
      </w:r>
      <w:r w:rsidR="00AE2C38" w:rsidRPr="00582EF5">
        <w:t>ly its</w:t>
      </w:r>
      <w:r w:rsidR="00D65EC3" w:rsidRPr="00582EF5">
        <w:t xml:space="preserve"> </w:t>
      </w:r>
      <w:r w:rsidRPr="00582EF5">
        <w:t xml:space="preserve">efforts to reduce the levels of PCBs. In addition to facilitating the collection and disposal of PCBs, prosecution mechanisms </w:t>
      </w:r>
      <w:r w:rsidR="008F7DE6" w:rsidRPr="00582EF5">
        <w:t xml:space="preserve">have also been used, </w:t>
      </w:r>
      <w:r w:rsidRPr="00582EF5">
        <w:t>when necessary. For example, in July 2014</w:t>
      </w:r>
      <w:r w:rsidR="008F7DE6" w:rsidRPr="00582EF5">
        <w:t>,</w:t>
      </w:r>
      <w:r w:rsidRPr="00582EF5">
        <w:t xml:space="preserve"> a company was fined </w:t>
      </w:r>
      <w:r w:rsidR="008F7DE6" w:rsidRPr="00582EF5">
        <w:t>NZ</w:t>
      </w:r>
      <w:r w:rsidRPr="00582EF5">
        <w:t>$10,000 for storing 36</w:t>
      </w:r>
      <w:r w:rsidR="008F7DE6" w:rsidRPr="00582EF5">
        <w:t> </w:t>
      </w:r>
      <w:r w:rsidRPr="00582EF5">
        <w:t xml:space="preserve">tonnes of PCBs and failing to provide a management plan to EPA </w:t>
      </w:r>
      <w:r w:rsidR="0083463F" w:rsidRPr="00582EF5">
        <w:t>that</w:t>
      </w:r>
      <w:r w:rsidRPr="00582EF5">
        <w:t xml:space="preserve"> </w:t>
      </w:r>
      <w:bookmarkStart w:id="45" w:name="_Int_4iB3dtHf"/>
      <w:r w:rsidRPr="00582EF5">
        <w:t>adequately provided</w:t>
      </w:r>
      <w:bookmarkEnd w:id="45"/>
      <w:r w:rsidRPr="00582EF5">
        <w:t xml:space="preserve"> for the</w:t>
      </w:r>
      <w:r w:rsidR="0083463F" w:rsidRPr="00582EF5">
        <w:t xml:space="preserve"> PCB’s</w:t>
      </w:r>
      <w:r w:rsidRPr="00582EF5">
        <w:t xml:space="preserve"> ultimate disposal</w:t>
      </w:r>
      <w:r w:rsidR="00C03E89" w:rsidRPr="00582EF5">
        <w:t>,</w:t>
      </w:r>
      <w:r w:rsidRPr="00582EF5">
        <w:t xml:space="preserve"> </w:t>
      </w:r>
      <w:hyperlink r:id="rId77" w:history="1">
        <w:r w:rsidRPr="000B7547">
          <w:rPr>
            <w:rStyle w:val="Hyperlink"/>
          </w:rPr>
          <w:t>as required by a compliance notice served in 2013</w:t>
        </w:r>
      </w:hyperlink>
      <w:r w:rsidRPr="00582EF5">
        <w:t xml:space="preserve">. </w:t>
      </w:r>
    </w:p>
    <w:p w14:paraId="3ABA7880" w14:textId="79FAC404" w:rsidR="00DA3E60" w:rsidRPr="00582EF5" w:rsidRDefault="00DA3E60" w:rsidP="0070440E">
      <w:pPr>
        <w:pStyle w:val="BodyText"/>
      </w:pPr>
      <w:r w:rsidRPr="00582EF5">
        <w:lastRenderedPageBreak/>
        <w:t xml:space="preserve">Because New Zealand </w:t>
      </w:r>
      <w:r w:rsidR="00EF7BC0" w:rsidRPr="00582EF5">
        <w:t xml:space="preserve">has no suitable facilities </w:t>
      </w:r>
      <w:r w:rsidRPr="00582EF5">
        <w:t xml:space="preserve">for the destruction of </w:t>
      </w:r>
      <w:r w:rsidR="004304D9" w:rsidRPr="00582EF5">
        <w:t xml:space="preserve">PCBs and </w:t>
      </w:r>
      <w:r w:rsidRPr="00582EF5">
        <w:t>PCB</w:t>
      </w:r>
      <w:r w:rsidR="00A22951" w:rsidRPr="00582EF5">
        <w:noBreakHyphen/>
      </w:r>
      <w:r w:rsidRPr="00582EF5">
        <w:t>containing equipment, such material must be sent to an approved overseas facility for destruction. This requires a permit from EPA for the export of hazardous waste</w:t>
      </w:r>
      <w:r w:rsidR="00697A09" w:rsidRPr="00582EF5">
        <w:t>,</w:t>
      </w:r>
      <w:r w:rsidR="004304D9" w:rsidRPr="00582EF5">
        <w:t xml:space="preserve"> in accordance with the </w:t>
      </w:r>
      <w:r w:rsidR="00D90840" w:rsidRPr="00582EF5">
        <w:t>Basel Convention on the Control of Transboundary Movements of Hazardous Wastes and their Disposal</w:t>
      </w:r>
      <w:r w:rsidRPr="00582EF5">
        <w:t xml:space="preserve">. </w:t>
      </w:r>
    </w:p>
    <w:p w14:paraId="1EADA570" w14:textId="54317EA6" w:rsidR="00DA3E60" w:rsidRPr="00582EF5" w:rsidRDefault="00697A09" w:rsidP="0070440E">
      <w:pPr>
        <w:pStyle w:val="BodyText"/>
      </w:pPr>
      <w:r w:rsidRPr="00582EF5">
        <w:t xml:space="preserve">See </w:t>
      </w:r>
      <w:hyperlink r:id="rId78" w:history="1">
        <w:r w:rsidRPr="00582EF5">
          <w:rPr>
            <w:rStyle w:val="Hyperlink"/>
          </w:rPr>
          <w:t>www.epa.govt.nz/industry-areas/hazardous-substances/rules-for-hazardous-substances/polychlorinated-biphenyls-pcbs</w:t>
        </w:r>
      </w:hyperlink>
      <w:r w:rsidR="00422CC6" w:rsidRPr="00582EF5">
        <w:rPr>
          <w:rStyle w:val="Hyperlink"/>
        </w:rPr>
        <w:t xml:space="preserve"> </w:t>
      </w:r>
      <w:r w:rsidRPr="00FB48B4">
        <w:rPr>
          <w:rStyle w:val="Hyperlink"/>
          <w:color w:val="auto"/>
        </w:rPr>
        <w:t>f</w:t>
      </w:r>
      <w:r w:rsidRPr="00FB48B4">
        <w:t>o</w:t>
      </w:r>
      <w:r w:rsidRPr="00582EF5">
        <w:t>r more information.</w:t>
      </w:r>
    </w:p>
    <w:p w14:paraId="06B0727D" w14:textId="09D4883D" w:rsidR="00DA3E60" w:rsidRPr="00582EF5" w:rsidRDefault="00A93FB4" w:rsidP="0070440E">
      <w:pPr>
        <w:pStyle w:val="Heading3"/>
        <w:spacing w:before="240"/>
      </w:pPr>
      <w:r w:rsidRPr="00582EF5">
        <w:t>3.3.2</w:t>
      </w:r>
      <w:r w:rsidRPr="00582EF5">
        <w:tab/>
      </w:r>
      <w:r w:rsidR="000718F3" w:rsidRPr="00582EF5">
        <w:t>‘</w:t>
      </w:r>
      <w:r w:rsidR="00D61D37" w:rsidRPr="00582EF5">
        <w:t xml:space="preserve">DDT </w:t>
      </w:r>
      <w:r w:rsidR="007E7E7B" w:rsidRPr="00582EF5">
        <w:t>M</w:t>
      </w:r>
      <w:r w:rsidR="00DA3E60" w:rsidRPr="00582EF5">
        <w:t>uster</w:t>
      </w:r>
      <w:r w:rsidR="000718F3" w:rsidRPr="00582EF5">
        <w:t>’</w:t>
      </w:r>
    </w:p>
    <w:p w14:paraId="30CFA317" w14:textId="35E2E46B" w:rsidR="00DA3E60" w:rsidRPr="00582EF5" w:rsidRDefault="002312A5" w:rsidP="0070440E">
      <w:pPr>
        <w:pStyle w:val="BodyText"/>
      </w:pPr>
      <w:r w:rsidRPr="00582EF5">
        <w:t xml:space="preserve">NIP1 refers to a range of recovery programmes of POPs. In 2014, MfE funded </w:t>
      </w:r>
      <w:r w:rsidR="00864B70" w:rsidRPr="00582EF5">
        <w:t xml:space="preserve">the </w:t>
      </w:r>
      <w:r w:rsidR="00F722EA" w:rsidRPr="00582EF5">
        <w:t>‘</w:t>
      </w:r>
      <w:hyperlink r:id="rId79" w:history="1">
        <w:r w:rsidR="00F722EA" w:rsidRPr="00BC1658">
          <w:rPr>
            <w:rStyle w:val="Hyperlink"/>
          </w:rPr>
          <w:t>Identification, Collection and Offshore Disposal of POPs and Unknown Agrichemicals’ project,</w:t>
        </w:r>
        <w:r w:rsidR="00864B70" w:rsidRPr="00BC1658">
          <w:rPr>
            <w:rStyle w:val="Hyperlink"/>
          </w:rPr>
          <w:t> </w:t>
        </w:r>
        <w:r w:rsidR="00F722EA" w:rsidRPr="00BC1658">
          <w:rPr>
            <w:rStyle w:val="Hyperlink"/>
          </w:rPr>
          <w:t xml:space="preserve">commonly known as the </w:t>
        </w:r>
        <w:r w:rsidR="00DA3E60" w:rsidRPr="00BC1658">
          <w:rPr>
            <w:rStyle w:val="Hyperlink"/>
          </w:rPr>
          <w:t>‘DDT Muster</w:t>
        </w:r>
      </w:hyperlink>
      <w:r w:rsidR="00DA3E60" w:rsidRPr="00582EF5">
        <w:t>’.</w:t>
      </w:r>
      <w:r w:rsidR="00F722EA" w:rsidRPr="00582EF5">
        <w:t xml:space="preserve"> The </w:t>
      </w:r>
      <w:r w:rsidR="00864B70" w:rsidRPr="00582EF5">
        <w:t>project</w:t>
      </w:r>
      <w:r w:rsidR="00F722EA" w:rsidRPr="00582EF5">
        <w:t xml:space="preserve"> was initiated </w:t>
      </w:r>
      <w:r w:rsidR="00DA3E60" w:rsidRPr="00582EF5">
        <w:t xml:space="preserve">because of a concern that at least </w:t>
      </w:r>
      <w:r w:rsidR="00864B70" w:rsidRPr="00582EF5">
        <w:t>5 </w:t>
      </w:r>
      <w:r w:rsidR="00DA3E60" w:rsidRPr="00582EF5">
        <w:t>tonnes of DDT</w:t>
      </w:r>
      <w:r w:rsidR="00F722EA" w:rsidRPr="00582EF5">
        <w:t xml:space="preserve"> </w:t>
      </w:r>
      <w:r w:rsidR="00C03E89" w:rsidRPr="00582EF5">
        <w:t>along with</w:t>
      </w:r>
      <w:r w:rsidR="00F722EA" w:rsidRPr="00582EF5">
        <w:t xml:space="preserve"> other legacy POP</w:t>
      </w:r>
      <w:r w:rsidR="00FC5778" w:rsidRPr="00582EF5">
        <w:t xml:space="preserve"> pesticides</w:t>
      </w:r>
      <w:r w:rsidR="00DA3E60" w:rsidRPr="00582EF5">
        <w:t xml:space="preserve"> remained on rural properties </w:t>
      </w:r>
      <w:r w:rsidR="0052056B" w:rsidRPr="00582EF5">
        <w:t>because</w:t>
      </w:r>
      <w:r w:rsidR="00DA3E60" w:rsidRPr="00582EF5">
        <w:t xml:space="preserve"> people </w:t>
      </w:r>
      <w:r w:rsidR="0052056B" w:rsidRPr="00582EF5">
        <w:t xml:space="preserve">were </w:t>
      </w:r>
      <w:r w:rsidR="00DA3E60" w:rsidRPr="00582EF5">
        <w:t xml:space="preserve">unsure of how to dispose of them. </w:t>
      </w:r>
      <w:hyperlink r:id="rId80" w:history="1">
        <w:r w:rsidR="00DA3E60" w:rsidRPr="00BC1658">
          <w:rPr>
            <w:rStyle w:val="Hyperlink"/>
          </w:rPr>
          <w:t xml:space="preserve">The </w:t>
        </w:r>
        <w:r w:rsidR="00864B70" w:rsidRPr="00BC1658">
          <w:rPr>
            <w:rStyle w:val="Hyperlink"/>
          </w:rPr>
          <w:t>m</w:t>
        </w:r>
        <w:r w:rsidR="00DA3E60" w:rsidRPr="00BC1658">
          <w:rPr>
            <w:rStyle w:val="Hyperlink"/>
          </w:rPr>
          <w:t xml:space="preserve">uster provided </w:t>
        </w:r>
        <w:r w:rsidR="00FC5778" w:rsidRPr="00BC1658">
          <w:rPr>
            <w:rStyle w:val="Hyperlink"/>
          </w:rPr>
          <w:t xml:space="preserve">the opportunity for </w:t>
        </w:r>
        <w:r w:rsidR="00DA3E60" w:rsidRPr="00BC1658">
          <w:rPr>
            <w:rStyle w:val="Hyperlink"/>
          </w:rPr>
          <w:t xml:space="preserve">individuals and businesses still holding any amount of DDT </w:t>
        </w:r>
        <w:r w:rsidR="0030013B" w:rsidRPr="00BC1658">
          <w:rPr>
            <w:rStyle w:val="Hyperlink"/>
          </w:rPr>
          <w:t>and other legacy POP</w:t>
        </w:r>
        <w:r w:rsidR="004C1AF2" w:rsidRPr="00BC1658">
          <w:rPr>
            <w:rStyle w:val="Hyperlink"/>
          </w:rPr>
          <w:t xml:space="preserve"> pesticides </w:t>
        </w:r>
        <w:r w:rsidR="004E42D3" w:rsidRPr="00BC1658">
          <w:rPr>
            <w:rStyle w:val="Hyperlink"/>
          </w:rPr>
          <w:t>on their property</w:t>
        </w:r>
      </w:hyperlink>
      <w:r w:rsidR="004E42D3" w:rsidRPr="00582EF5">
        <w:t xml:space="preserve"> </w:t>
      </w:r>
      <w:r w:rsidR="00DA3E60" w:rsidRPr="00582EF5">
        <w:t xml:space="preserve">to make a confidential booking for </w:t>
      </w:r>
      <w:r w:rsidR="00647E55" w:rsidRPr="00582EF5">
        <w:t>the</w:t>
      </w:r>
      <w:r w:rsidR="00AC0405" w:rsidRPr="00582EF5">
        <w:t>m</w:t>
      </w:r>
      <w:r w:rsidR="00647E55" w:rsidRPr="00582EF5">
        <w:t xml:space="preserve"> </w:t>
      </w:r>
      <w:r w:rsidR="00DA3E60" w:rsidRPr="00582EF5">
        <w:t xml:space="preserve">to be collected and sent </w:t>
      </w:r>
      <w:proofErr w:type="gramStart"/>
      <w:r w:rsidR="00DA3E60" w:rsidRPr="00582EF5">
        <w:t>off-shore</w:t>
      </w:r>
      <w:proofErr w:type="gramEnd"/>
      <w:r w:rsidR="00DA3E60" w:rsidRPr="00582EF5">
        <w:t xml:space="preserve"> for disposal. </w:t>
      </w:r>
    </w:p>
    <w:p w14:paraId="28B06BD2" w14:textId="42200BD2" w:rsidR="00DA3E60" w:rsidRPr="00582EF5" w:rsidRDefault="004E2CE0" w:rsidP="0070440E">
      <w:pPr>
        <w:pStyle w:val="BodyText"/>
      </w:pPr>
      <w:r w:rsidRPr="00832FD4">
        <w:t>Table 7 shows the volumes of DDT and other legacy POP pesticides transported overseas for destruction from 2013 to 2019</w:t>
      </w:r>
      <w:r w:rsidR="00AC0148" w:rsidRPr="00582EF5">
        <w:t>.</w:t>
      </w:r>
    </w:p>
    <w:p w14:paraId="13250F30" w14:textId="633D52A3" w:rsidR="00DA3E60" w:rsidRPr="00582EF5" w:rsidRDefault="00DA3E60" w:rsidP="0070440E">
      <w:pPr>
        <w:pStyle w:val="Tableheading"/>
      </w:pPr>
      <w:bookmarkStart w:id="46" w:name="_Toc120532272"/>
      <w:r w:rsidRPr="00582EF5">
        <w:t xml:space="preserve">Table </w:t>
      </w:r>
      <w:r w:rsidR="000F520E" w:rsidRPr="00582EF5">
        <w:t xml:space="preserve">7: </w:t>
      </w:r>
      <w:r w:rsidR="00A22951" w:rsidRPr="00582EF5">
        <w:tab/>
      </w:r>
      <w:r w:rsidRPr="00582EF5">
        <w:t xml:space="preserve">Volume of </w:t>
      </w:r>
      <w:r w:rsidR="0030013B" w:rsidRPr="00582EF5">
        <w:t xml:space="preserve">legacy </w:t>
      </w:r>
      <w:r w:rsidR="00FC5778" w:rsidRPr="00582EF5">
        <w:t>persistent organic pollutant</w:t>
      </w:r>
      <w:r w:rsidR="0030013B" w:rsidRPr="00582EF5">
        <w:t xml:space="preserve"> pesticides</w:t>
      </w:r>
      <w:r w:rsidRPr="00582EF5">
        <w:t xml:space="preserve"> exported for destruction (k</w:t>
      </w:r>
      <w:r w:rsidR="00FC5778" w:rsidRPr="00582EF5">
        <w:t>ilo</w:t>
      </w:r>
      <w:r w:rsidRPr="00582EF5">
        <w:t>g</w:t>
      </w:r>
      <w:r w:rsidR="00FC5778" w:rsidRPr="00582EF5">
        <w:t xml:space="preserve">rams per </w:t>
      </w:r>
      <w:r w:rsidRPr="00582EF5">
        <w:t>year)</w:t>
      </w:r>
      <w:bookmarkEnd w:id="46"/>
      <w:r w:rsidRPr="00582EF5">
        <w:t xml:space="preserve"> </w:t>
      </w:r>
    </w:p>
    <w:tbl>
      <w:tblPr>
        <w:tblW w:w="0" w:type="auto"/>
        <w:tblBorders>
          <w:top w:val="single" w:sz="4" w:space="0" w:color="1C556C"/>
          <w:bottom w:val="single" w:sz="4" w:space="0" w:color="1C556C"/>
          <w:insideH w:val="single" w:sz="4" w:space="0" w:color="1C556C"/>
          <w:insideV w:val="single" w:sz="4" w:space="0" w:color="1C556C"/>
        </w:tblBorders>
        <w:tblLook w:val="04A0" w:firstRow="1" w:lastRow="0" w:firstColumn="1" w:lastColumn="0" w:noHBand="0" w:noVBand="1"/>
      </w:tblPr>
      <w:tblGrid>
        <w:gridCol w:w="4238"/>
        <w:gridCol w:w="4256"/>
      </w:tblGrid>
      <w:tr w:rsidR="009F43A9" w:rsidRPr="00582EF5" w14:paraId="78720D63" w14:textId="77777777" w:rsidTr="00EC65E2">
        <w:tc>
          <w:tcPr>
            <w:tcW w:w="4238" w:type="dxa"/>
            <w:shd w:val="clear" w:color="auto" w:fill="1C556C"/>
          </w:tcPr>
          <w:p w14:paraId="0FC46B3F" w14:textId="77777777" w:rsidR="00DA3E60" w:rsidRPr="00582EF5" w:rsidRDefault="00DA3E60" w:rsidP="0070440E">
            <w:pPr>
              <w:pStyle w:val="TableTextbold"/>
              <w:rPr>
                <w:color w:val="FFFFFF" w:themeColor="background1"/>
              </w:rPr>
            </w:pPr>
            <w:r w:rsidRPr="00582EF5">
              <w:rPr>
                <w:color w:val="FFFFFF" w:themeColor="background1"/>
              </w:rPr>
              <w:t>Year</w:t>
            </w:r>
          </w:p>
        </w:tc>
        <w:tc>
          <w:tcPr>
            <w:tcW w:w="4256" w:type="dxa"/>
            <w:shd w:val="clear" w:color="auto" w:fill="1C556C"/>
          </w:tcPr>
          <w:p w14:paraId="7D531C4F" w14:textId="77777777" w:rsidR="00DA3E60" w:rsidRPr="00582EF5" w:rsidRDefault="00DA3E60" w:rsidP="0070440E">
            <w:pPr>
              <w:pStyle w:val="TableTextbold"/>
              <w:rPr>
                <w:color w:val="FFFFFF" w:themeColor="background1"/>
              </w:rPr>
            </w:pPr>
            <w:r w:rsidRPr="00582EF5">
              <w:rPr>
                <w:color w:val="FFFFFF" w:themeColor="background1"/>
              </w:rPr>
              <w:t>Total quantity of disposal (kg)</w:t>
            </w:r>
          </w:p>
        </w:tc>
      </w:tr>
      <w:tr w:rsidR="0030013B" w:rsidRPr="00582EF5" w14:paraId="28C89933" w14:textId="77777777" w:rsidTr="00EC65E2">
        <w:tc>
          <w:tcPr>
            <w:tcW w:w="4238" w:type="dxa"/>
          </w:tcPr>
          <w:p w14:paraId="197A232F" w14:textId="2E2A565A" w:rsidR="0030013B" w:rsidRPr="00582EF5" w:rsidRDefault="0030013B" w:rsidP="00C21DE3">
            <w:pPr>
              <w:pStyle w:val="TableText"/>
              <w:spacing w:before="40" w:after="40"/>
            </w:pPr>
            <w:r w:rsidRPr="00582EF5">
              <w:t>2013</w:t>
            </w:r>
          </w:p>
        </w:tc>
        <w:tc>
          <w:tcPr>
            <w:tcW w:w="4256" w:type="dxa"/>
          </w:tcPr>
          <w:p w14:paraId="7DA47279" w14:textId="1CC69A1D" w:rsidR="0030013B" w:rsidRPr="00582EF5" w:rsidRDefault="0030013B" w:rsidP="00C21DE3">
            <w:pPr>
              <w:pStyle w:val="TableText"/>
              <w:spacing w:before="40" w:after="40"/>
            </w:pPr>
            <w:r w:rsidRPr="00582EF5">
              <w:t>8,337</w:t>
            </w:r>
          </w:p>
        </w:tc>
      </w:tr>
      <w:tr w:rsidR="00DA3E60" w:rsidRPr="00582EF5" w14:paraId="3715E843" w14:textId="77777777" w:rsidTr="00EC65E2">
        <w:tc>
          <w:tcPr>
            <w:tcW w:w="4238" w:type="dxa"/>
          </w:tcPr>
          <w:p w14:paraId="4A78978F" w14:textId="77777777" w:rsidR="00DA3E60" w:rsidRPr="00582EF5" w:rsidRDefault="00DA3E60" w:rsidP="00C21DE3">
            <w:pPr>
              <w:pStyle w:val="TableText"/>
              <w:spacing w:before="40" w:after="40"/>
            </w:pPr>
            <w:r w:rsidRPr="00582EF5">
              <w:t>2014</w:t>
            </w:r>
          </w:p>
        </w:tc>
        <w:tc>
          <w:tcPr>
            <w:tcW w:w="4256" w:type="dxa"/>
          </w:tcPr>
          <w:p w14:paraId="0F5B27E3" w14:textId="30C80205" w:rsidR="00DA3E60" w:rsidRPr="00582EF5" w:rsidRDefault="00DA3E60" w:rsidP="00C21DE3">
            <w:pPr>
              <w:pStyle w:val="TableText"/>
              <w:spacing w:before="40" w:after="40"/>
            </w:pPr>
            <w:r w:rsidRPr="00582EF5">
              <w:t>8,</w:t>
            </w:r>
            <w:r w:rsidR="0030013B" w:rsidRPr="00582EF5">
              <w:t>128</w:t>
            </w:r>
          </w:p>
        </w:tc>
      </w:tr>
      <w:tr w:rsidR="0030013B" w:rsidRPr="00582EF5" w14:paraId="790F443C" w14:textId="77777777" w:rsidTr="00EC65E2">
        <w:tc>
          <w:tcPr>
            <w:tcW w:w="4238" w:type="dxa"/>
          </w:tcPr>
          <w:p w14:paraId="5E9F502E" w14:textId="58E19CA6" w:rsidR="0030013B" w:rsidRPr="00582EF5" w:rsidRDefault="000718F3" w:rsidP="00C21DE3">
            <w:pPr>
              <w:pStyle w:val="TableText"/>
              <w:spacing w:before="40" w:after="40"/>
            </w:pPr>
            <w:r w:rsidRPr="00582EF5">
              <w:t>2015</w:t>
            </w:r>
          </w:p>
        </w:tc>
        <w:tc>
          <w:tcPr>
            <w:tcW w:w="4256" w:type="dxa"/>
          </w:tcPr>
          <w:p w14:paraId="20D3D140" w14:textId="44AB3E3D" w:rsidR="0030013B" w:rsidRPr="00582EF5" w:rsidRDefault="0030013B" w:rsidP="00C21DE3">
            <w:pPr>
              <w:pStyle w:val="TableText"/>
              <w:spacing w:before="40" w:after="40"/>
            </w:pPr>
            <w:r w:rsidRPr="00582EF5">
              <w:t>15,876</w:t>
            </w:r>
          </w:p>
        </w:tc>
      </w:tr>
      <w:tr w:rsidR="00DA3E60" w:rsidRPr="00582EF5" w14:paraId="45B430B4" w14:textId="77777777" w:rsidTr="00EC65E2">
        <w:tc>
          <w:tcPr>
            <w:tcW w:w="4238" w:type="dxa"/>
          </w:tcPr>
          <w:p w14:paraId="5E7C200A" w14:textId="77777777" w:rsidR="00DA3E60" w:rsidRPr="00582EF5" w:rsidRDefault="00DA3E60" w:rsidP="00C21DE3">
            <w:pPr>
              <w:pStyle w:val="TableText"/>
              <w:spacing w:before="40" w:after="40"/>
            </w:pPr>
            <w:r w:rsidRPr="00582EF5">
              <w:t>2016</w:t>
            </w:r>
          </w:p>
        </w:tc>
        <w:tc>
          <w:tcPr>
            <w:tcW w:w="4256" w:type="dxa"/>
          </w:tcPr>
          <w:p w14:paraId="5AE60755" w14:textId="3273F1AD" w:rsidR="00DA3E60" w:rsidRPr="00582EF5" w:rsidRDefault="0030013B" w:rsidP="00C21DE3">
            <w:pPr>
              <w:pStyle w:val="TableText"/>
              <w:spacing w:before="40" w:after="40"/>
            </w:pPr>
            <w:r w:rsidRPr="00582EF5">
              <w:t>17,418</w:t>
            </w:r>
          </w:p>
        </w:tc>
      </w:tr>
      <w:tr w:rsidR="0030013B" w:rsidRPr="00582EF5" w14:paraId="0ABEC29C" w14:textId="77777777" w:rsidTr="00EC65E2">
        <w:tc>
          <w:tcPr>
            <w:tcW w:w="4238" w:type="dxa"/>
          </w:tcPr>
          <w:p w14:paraId="72D60AB4" w14:textId="68C6493F" w:rsidR="0030013B" w:rsidRPr="00582EF5" w:rsidRDefault="0030013B" w:rsidP="00C21DE3">
            <w:pPr>
              <w:pStyle w:val="TableText"/>
              <w:spacing w:before="40" w:after="40"/>
            </w:pPr>
            <w:r w:rsidRPr="00582EF5">
              <w:t>2017</w:t>
            </w:r>
          </w:p>
        </w:tc>
        <w:tc>
          <w:tcPr>
            <w:tcW w:w="4256" w:type="dxa"/>
          </w:tcPr>
          <w:p w14:paraId="18658C29" w14:textId="7175111B" w:rsidR="0030013B" w:rsidRPr="00582EF5" w:rsidRDefault="0030013B" w:rsidP="00C21DE3">
            <w:pPr>
              <w:pStyle w:val="TableText"/>
              <w:spacing w:before="40" w:after="40"/>
            </w:pPr>
            <w:r w:rsidRPr="00582EF5">
              <w:t>17,766</w:t>
            </w:r>
          </w:p>
        </w:tc>
      </w:tr>
    </w:tbl>
    <w:p w14:paraId="6B504CBF" w14:textId="3D7DDA46" w:rsidR="00DA3E60" w:rsidRPr="00582EF5" w:rsidRDefault="002312A5" w:rsidP="00C21DE3">
      <w:pPr>
        <w:pStyle w:val="BodyText"/>
      </w:pPr>
      <w:r w:rsidRPr="00582EF5">
        <w:t xml:space="preserve">MfE </w:t>
      </w:r>
      <w:r w:rsidR="00AC0148" w:rsidRPr="00582EF5">
        <w:t xml:space="preserve">funding </w:t>
      </w:r>
      <w:r w:rsidRPr="00582EF5">
        <w:t xml:space="preserve">for the DDT Muster </w:t>
      </w:r>
      <w:r w:rsidR="00AC0148" w:rsidRPr="00582EF5">
        <w:t>is now concluded.</w:t>
      </w:r>
    </w:p>
    <w:p w14:paraId="6984EA14" w14:textId="77777777" w:rsidR="006934D3" w:rsidRPr="005D48F2" w:rsidRDefault="006934D3" w:rsidP="007B3A22">
      <w:pPr>
        <w:pStyle w:val="BodyText"/>
      </w:pPr>
      <w:bookmarkStart w:id="47" w:name="_Toc531102786"/>
      <w:r>
        <w:br w:type="page"/>
      </w:r>
    </w:p>
    <w:p w14:paraId="0CF7D740" w14:textId="67110EFE" w:rsidR="00E72470" w:rsidRPr="00582EF5" w:rsidRDefault="005D76B4" w:rsidP="00C21DE3">
      <w:pPr>
        <w:pStyle w:val="Heading1"/>
      </w:pPr>
      <w:bookmarkStart w:id="48" w:name="_Toc120532239"/>
      <w:r w:rsidRPr="00582EF5">
        <w:lastRenderedPageBreak/>
        <w:t xml:space="preserve">Chapter 4: New Annex A and </w:t>
      </w:r>
      <w:r w:rsidR="005E0FDF" w:rsidRPr="00582EF5">
        <w:t xml:space="preserve">Annex </w:t>
      </w:r>
      <w:r w:rsidRPr="00582EF5">
        <w:t xml:space="preserve">B </w:t>
      </w:r>
      <w:r w:rsidR="005E0FDF" w:rsidRPr="00582EF5">
        <w:t>persistent organic pollutants</w:t>
      </w:r>
      <w:bookmarkEnd w:id="47"/>
      <w:bookmarkEnd w:id="48"/>
    </w:p>
    <w:p w14:paraId="4D6C0C04" w14:textId="494E6216" w:rsidR="20791FDC" w:rsidRDefault="4009E9BA" w:rsidP="00C21DE3">
      <w:pPr>
        <w:pStyle w:val="BodyText"/>
        <w:spacing w:before="100" w:after="100"/>
      </w:pPr>
      <w:bookmarkStart w:id="49" w:name="_Toc531102787"/>
      <w:r>
        <w:t xml:space="preserve">This chapter addresses the new chemicals added to annexes A and B of the Stockholm Convention on Persistent Organic Pollutants (the Convention) </w:t>
      </w:r>
      <w:r w:rsidR="1F7B8B9F">
        <w:t>since</w:t>
      </w:r>
      <w:r>
        <w:t xml:space="preserve"> 2009</w:t>
      </w:r>
      <w:r w:rsidR="0BF80D43">
        <w:t>.</w:t>
      </w:r>
    </w:p>
    <w:p w14:paraId="1B095CF6" w14:textId="5DAE2A50" w:rsidR="00E72470" w:rsidRPr="00582EF5" w:rsidRDefault="00E72470" w:rsidP="00C21DE3">
      <w:pPr>
        <w:pStyle w:val="Heading2"/>
        <w:spacing w:before="280"/>
      </w:pPr>
      <w:bookmarkStart w:id="50" w:name="_Toc120532240"/>
      <w:r w:rsidRPr="00582EF5">
        <w:t xml:space="preserve">4.1 </w:t>
      </w:r>
      <w:r w:rsidR="00CF2624" w:rsidRPr="00582EF5">
        <w:tab/>
      </w:r>
      <w:r w:rsidRPr="00582EF5">
        <w:t>Convention obligations</w:t>
      </w:r>
      <w:bookmarkEnd w:id="49"/>
      <w:bookmarkEnd w:id="50"/>
    </w:p>
    <w:p w14:paraId="5140115F" w14:textId="563578DC" w:rsidR="00E72470" w:rsidRPr="00582EF5" w:rsidRDefault="00E72470" w:rsidP="00C21DE3">
      <w:pPr>
        <w:pStyle w:val="BodyText"/>
        <w:spacing w:before="100" w:after="100"/>
      </w:pPr>
      <w:r w:rsidRPr="00582EF5">
        <w:t xml:space="preserve">Article 3 of the Convention requires that parties eliminate releases from the intentional production and use of </w:t>
      </w:r>
      <w:r w:rsidR="00C361F1" w:rsidRPr="00582EF5">
        <w:t>persistent organic pollutants (</w:t>
      </w:r>
      <w:r w:rsidRPr="00582EF5">
        <w:t>PO</w:t>
      </w:r>
      <w:r w:rsidR="00592043" w:rsidRPr="00582EF5">
        <w:t>Ps</w:t>
      </w:r>
      <w:r w:rsidR="00C361F1" w:rsidRPr="00582EF5">
        <w:t>)</w:t>
      </w:r>
      <w:r w:rsidR="00592043" w:rsidRPr="00582EF5">
        <w:t xml:space="preserve">. Since </w:t>
      </w:r>
      <w:r w:rsidR="00C361F1" w:rsidRPr="00582EF5">
        <w:t xml:space="preserve">the </w:t>
      </w:r>
      <w:r w:rsidR="00A73986" w:rsidRPr="00582EF5">
        <w:t>first</w:t>
      </w:r>
      <w:r w:rsidR="00C361F1" w:rsidRPr="00582EF5">
        <w:t xml:space="preserve"> National Implement</w:t>
      </w:r>
      <w:r w:rsidR="008843AE">
        <w:t>ation</w:t>
      </w:r>
      <w:r w:rsidR="00C361F1" w:rsidRPr="00582EF5">
        <w:t xml:space="preserve"> Plan (</w:t>
      </w:r>
      <w:r w:rsidR="00592043" w:rsidRPr="00582EF5">
        <w:t>NIP1</w:t>
      </w:r>
      <w:r w:rsidR="00C361F1" w:rsidRPr="00582EF5">
        <w:t>)</w:t>
      </w:r>
      <w:r w:rsidR="00592043" w:rsidRPr="00582EF5">
        <w:t>, 16</w:t>
      </w:r>
      <w:r w:rsidRPr="00582EF5">
        <w:t xml:space="preserve"> chemicals have been added to the Convention by</w:t>
      </w:r>
      <w:r w:rsidR="00FD1FA0" w:rsidRPr="00582EF5">
        <w:t> </w:t>
      </w:r>
      <w:r w:rsidRPr="00582EF5">
        <w:t xml:space="preserve">the </w:t>
      </w:r>
      <w:r w:rsidR="00C361F1" w:rsidRPr="00582EF5">
        <w:t>Conference of the Parties</w:t>
      </w:r>
      <w:r w:rsidRPr="00582EF5">
        <w:t>.</w:t>
      </w:r>
    </w:p>
    <w:p w14:paraId="4342E082" w14:textId="5CA41DBC" w:rsidR="00E72470" w:rsidRPr="00582EF5" w:rsidRDefault="00E72470" w:rsidP="00C21DE3">
      <w:pPr>
        <w:pStyle w:val="Heading2"/>
        <w:spacing w:before="280"/>
      </w:pPr>
      <w:bookmarkStart w:id="51" w:name="_Toc531102788"/>
      <w:bookmarkStart w:id="52" w:name="_Toc120532241"/>
      <w:r w:rsidRPr="00582EF5">
        <w:t xml:space="preserve">4.2 </w:t>
      </w:r>
      <w:r w:rsidR="00CF2624" w:rsidRPr="00582EF5">
        <w:tab/>
      </w:r>
      <w:r w:rsidRPr="00582EF5">
        <w:t xml:space="preserve">New </w:t>
      </w:r>
      <w:r w:rsidR="00FD1FA0" w:rsidRPr="00582EF5">
        <w:t>persistent organic pollutants</w:t>
      </w:r>
      <w:bookmarkEnd w:id="51"/>
      <w:bookmarkEnd w:id="52"/>
    </w:p>
    <w:p w14:paraId="77ABC360" w14:textId="1B8267F9" w:rsidR="00E72470" w:rsidRPr="00582EF5" w:rsidRDefault="00E72470" w:rsidP="00C21DE3">
      <w:pPr>
        <w:pStyle w:val="BodyText"/>
        <w:spacing w:before="100" w:after="100"/>
      </w:pPr>
      <w:r w:rsidRPr="00582EF5">
        <w:t xml:space="preserve">Table </w:t>
      </w:r>
      <w:r w:rsidR="005D76B4" w:rsidRPr="00582EF5">
        <w:t>8</w:t>
      </w:r>
      <w:r w:rsidRPr="00582EF5">
        <w:t xml:space="preserve"> shows the measures New Zealand needs to comply with for the POPs added to </w:t>
      </w:r>
      <w:r w:rsidR="00FD1FA0" w:rsidRPr="00582EF5">
        <w:t>a</w:t>
      </w:r>
      <w:r w:rsidRPr="00582EF5">
        <w:t>nnex</w:t>
      </w:r>
      <w:r w:rsidR="00FD1FA0" w:rsidRPr="00582EF5">
        <w:t>es</w:t>
      </w:r>
      <w:r w:rsidRPr="00582EF5">
        <w:t xml:space="preserve"> A and B of the Convention since NIP1. These POPs were used </w:t>
      </w:r>
      <w:r w:rsidR="002D32E6" w:rsidRPr="00582EF5">
        <w:t xml:space="preserve">in New Zealand </w:t>
      </w:r>
      <w:r w:rsidRPr="00582EF5">
        <w:t>as pesticides and/or industrial chemicals.</w:t>
      </w:r>
    </w:p>
    <w:p w14:paraId="13732626" w14:textId="0A078907" w:rsidR="00E72470" w:rsidRPr="00582EF5" w:rsidRDefault="72C89534" w:rsidP="00C21DE3">
      <w:pPr>
        <w:pStyle w:val="Tableheading"/>
      </w:pPr>
      <w:bookmarkStart w:id="53" w:name="_Toc120532273"/>
      <w:r>
        <w:t xml:space="preserve">Table </w:t>
      </w:r>
      <w:r w:rsidR="06FD668D">
        <w:t>8:</w:t>
      </w:r>
      <w:r>
        <w:t xml:space="preserve"> </w:t>
      </w:r>
      <w:r w:rsidR="00E72470">
        <w:tab/>
      </w:r>
      <w:r w:rsidR="26FCBA16">
        <w:t>Persistent organic pollutants</w:t>
      </w:r>
      <w:r>
        <w:t xml:space="preserve"> listed 2009</w:t>
      </w:r>
      <w:r w:rsidR="26FCBA16">
        <w:t>–</w:t>
      </w:r>
      <w:r>
        <w:t>1</w:t>
      </w:r>
      <w:r w:rsidR="32B8DB6C">
        <w:t>9</w:t>
      </w:r>
      <w:r w:rsidR="26FCBA16">
        <w:t>,</w:t>
      </w:r>
      <w:r>
        <w:t xml:space="preserve"> and New Zealand’s </w:t>
      </w:r>
      <w:r w:rsidR="1843314F">
        <w:t xml:space="preserve">implementation </w:t>
      </w:r>
      <w:r>
        <w:t>measures</w:t>
      </w:r>
      <w:bookmarkEnd w:id="53"/>
    </w:p>
    <w:tbl>
      <w:tblPr>
        <w:tblStyle w:val="TableGrid"/>
        <w:tblW w:w="0" w:type="auto"/>
        <w:tblBorders>
          <w:top w:val="single" w:sz="4" w:space="0" w:color="1C556C" w:themeColor="accent1"/>
          <w:left w:val="none" w:sz="0" w:space="0" w:color="auto"/>
          <w:bottom w:val="single" w:sz="4" w:space="0" w:color="1C556C" w:themeColor="accent1"/>
          <w:right w:val="none" w:sz="0" w:space="0" w:color="auto"/>
          <w:insideH w:val="single" w:sz="4" w:space="0" w:color="1C556C" w:themeColor="accent1"/>
          <w:insideV w:val="single" w:sz="4" w:space="0" w:color="1C556C" w:themeColor="accent1"/>
        </w:tblBorders>
        <w:tblCellMar>
          <w:left w:w="85" w:type="dxa"/>
          <w:right w:w="85" w:type="dxa"/>
        </w:tblCellMar>
        <w:tblLook w:val="04A0" w:firstRow="1" w:lastRow="0" w:firstColumn="1" w:lastColumn="0" w:noHBand="0" w:noVBand="1"/>
      </w:tblPr>
      <w:tblGrid>
        <w:gridCol w:w="2410"/>
        <w:gridCol w:w="3119"/>
        <w:gridCol w:w="708"/>
        <w:gridCol w:w="2257"/>
      </w:tblGrid>
      <w:tr w:rsidR="009F43A9" w:rsidRPr="00582EF5" w14:paraId="57A6BBC6" w14:textId="77777777" w:rsidTr="703AEB20">
        <w:trPr>
          <w:tblHeader/>
        </w:trPr>
        <w:tc>
          <w:tcPr>
            <w:tcW w:w="2410" w:type="dxa"/>
            <w:shd w:val="clear" w:color="auto" w:fill="1C556C" w:themeFill="accent1"/>
            <w:vAlign w:val="bottom"/>
          </w:tcPr>
          <w:p w14:paraId="438B456A" w14:textId="6897997F" w:rsidR="00E72470" w:rsidRPr="00582EF5" w:rsidRDefault="00E72470" w:rsidP="00C21DE3">
            <w:pPr>
              <w:pStyle w:val="TableTextbold"/>
              <w:rPr>
                <w:color w:val="FFFFFF" w:themeColor="background1"/>
              </w:rPr>
            </w:pPr>
            <w:r w:rsidRPr="00582EF5">
              <w:rPr>
                <w:color w:val="FFFFFF" w:themeColor="background1"/>
              </w:rPr>
              <w:t xml:space="preserve">Annex A </w:t>
            </w:r>
            <w:r w:rsidR="002D32E6" w:rsidRPr="00582EF5">
              <w:rPr>
                <w:color w:val="FFFFFF" w:themeColor="background1"/>
              </w:rPr>
              <w:t>c</w:t>
            </w:r>
            <w:r w:rsidRPr="00582EF5">
              <w:rPr>
                <w:color w:val="FFFFFF" w:themeColor="background1"/>
              </w:rPr>
              <w:t>hemical</w:t>
            </w:r>
            <w:r w:rsidR="00FD1FA0" w:rsidRPr="00582EF5">
              <w:rPr>
                <w:color w:val="FFFFFF" w:themeColor="background1"/>
              </w:rPr>
              <w:t>s</w:t>
            </w:r>
          </w:p>
        </w:tc>
        <w:tc>
          <w:tcPr>
            <w:tcW w:w="3119" w:type="dxa"/>
            <w:shd w:val="clear" w:color="auto" w:fill="1C556C" w:themeFill="accent1"/>
            <w:vAlign w:val="bottom"/>
          </w:tcPr>
          <w:p w14:paraId="50F2C388" w14:textId="77777777" w:rsidR="00E72470" w:rsidRPr="00582EF5" w:rsidRDefault="00E72470" w:rsidP="00C21DE3">
            <w:pPr>
              <w:pStyle w:val="TableTextbold"/>
              <w:rPr>
                <w:color w:val="FFFFFF" w:themeColor="background1"/>
              </w:rPr>
            </w:pPr>
            <w:r w:rsidRPr="00582EF5">
              <w:rPr>
                <w:color w:val="FFFFFF" w:themeColor="background1"/>
              </w:rPr>
              <w:t>Measure</w:t>
            </w:r>
          </w:p>
        </w:tc>
        <w:tc>
          <w:tcPr>
            <w:tcW w:w="708" w:type="dxa"/>
            <w:shd w:val="clear" w:color="auto" w:fill="1C556C" w:themeFill="accent1"/>
            <w:vAlign w:val="bottom"/>
          </w:tcPr>
          <w:p w14:paraId="0C4411F3" w14:textId="77777777" w:rsidR="00E72470" w:rsidRPr="00582EF5" w:rsidRDefault="00E72470" w:rsidP="00C21DE3">
            <w:pPr>
              <w:pStyle w:val="TableTextbold"/>
              <w:jc w:val="center"/>
              <w:rPr>
                <w:color w:val="FFFFFF" w:themeColor="background1"/>
              </w:rPr>
            </w:pPr>
            <w:r w:rsidRPr="00582EF5">
              <w:rPr>
                <w:color w:val="FFFFFF" w:themeColor="background1"/>
              </w:rPr>
              <w:t>Year</w:t>
            </w:r>
          </w:p>
        </w:tc>
        <w:tc>
          <w:tcPr>
            <w:tcW w:w="2257" w:type="dxa"/>
            <w:shd w:val="clear" w:color="auto" w:fill="1C556C" w:themeFill="accent1"/>
            <w:tcMar>
              <w:right w:w="57" w:type="dxa"/>
            </w:tcMar>
            <w:vAlign w:val="bottom"/>
          </w:tcPr>
          <w:p w14:paraId="2A714D14" w14:textId="635BEBF9" w:rsidR="00E72470" w:rsidRPr="00582EF5" w:rsidRDefault="00E72470" w:rsidP="00C21DE3">
            <w:pPr>
              <w:pStyle w:val="TableTextbold"/>
              <w:rPr>
                <w:color w:val="FFFFFF" w:themeColor="background1"/>
              </w:rPr>
            </w:pPr>
            <w:r w:rsidRPr="00582EF5">
              <w:rPr>
                <w:color w:val="FFFFFF" w:themeColor="background1"/>
              </w:rPr>
              <w:t>Exemption/</w:t>
            </w:r>
            <w:r w:rsidR="00827493" w:rsidRPr="00582EF5">
              <w:rPr>
                <w:color w:val="FFFFFF" w:themeColor="background1"/>
              </w:rPr>
              <w:t>a</w:t>
            </w:r>
            <w:r w:rsidRPr="00582EF5">
              <w:rPr>
                <w:color w:val="FFFFFF" w:themeColor="background1"/>
              </w:rPr>
              <w:t>rticle</w:t>
            </w:r>
            <w:r w:rsidR="000F5BD5" w:rsidRPr="00582EF5">
              <w:rPr>
                <w:color w:val="FFFFFF" w:themeColor="background1"/>
              </w:rPr>
              <w:t>s</w:t>
            </w:r>
            <w:r w:rsidRPr="00582EF5">
              <w:rPr>
                <w:color w:val="FFFFFF" w:themeColor="background1"/>
              </w:rPr>
              <w:t xml:space="preserve"> in use</w:t>
            </w:r>
          </w:p>
        </w:tc>
      </w:tr>
      <w:tr w:rsidR="009B484D" w:rsidRPr="00582EF5" w14:paraId="0B4ED67C" w14:textId="77777777" w:rsidTr="703AEB20">
        <w:tc>
          <w:tcPr>
            <w:tcW w:w="2410" w:type="dxa"/>
          </w:tcPr>
          <w:p w14:paraId="3C1B2FA8" w14:textId="2668558E" w:rsidR="00E72470" w:rsidRPr="00582EF5" w:rsidRDefault="00E72470" w:rsidP="00C21DE3">
            <w:pPr>
              <w:pStyle w:val="TableText"/>
            </w:pPr>
            <w:r w:rsidRPr="00582EF5">
              <w:t>Alpha hexachlorocyclohexane (</w:t>
            </w:r>
            <w:r w:rsidR="00E72720" w:rsidRPr="00582EF5">
              <w:t>a</w:t>
            </w:r>
            <w:r w:rsidRPr="00582EF5">
              <w:t>lpha</w:t>
            </w:r>
            <w:r w:rsidR="003E52A4">
              <w:t>-</w:t>
            </w:r>
            <w:r w:rsidRPr="00582EF5">
              <w:t>HCH)</w:t>
            </w:r>
          </w:p>
        </w:tc>
        <w:tc>
          <w:tcPr>
            <w:tcW w:w="3119" w:type="dxa"/>
          </w:tcPr>
          <w:p w14:paraId="7A0011B3" w14:textId="77777777" w:rsidR="00E72470" w:rsidRPr="00582EF5" w:rsidRDefault="00E72470" w:rsidP="00C21DE3">
            <w:pPr>
              <w:pStyle w:val="TableText"/>
              <w:spacing w:after="40"/>
            </w:pPr>
            <w:r w:rsidRPr="00582EF5">
              <w:t>Restriction in accordance with Annex A</w:t>
            </w:r>
          </w:p>
          <w:p w14:paraId="6FB3FFC7" w14:textId="77777777" w:rsidR="00E72470" w:rsidRPr="00582EF5" w:rsidRDefault="00E72470" w:rsidP="00C21DE3">
            <w:pPr>
              <w:pStyle w:val="TableText"/>
              <w:spacing w:before="0" w:after="40"/>
            </w:pPr>
            <w:r w:rsidRPr="00582EF5">
              <w:t>Prohibition on production</w:t>
            </w:r>
          </w:p>
          <w:p w14:paraId="676869F4" w14:textId="77777777" w:rsidR="00E72470" w:rsidRPr="00582EF5" w:rsidRDefault="00E72470" w:rsidP="00C21DE3">
            <w:pPr>
              <w:pStyle w:val="TableText"/>
              <w:spacing w:before="0" w:after="40"/>
            </w:pPr>
            <w:r w:rsidRPr="00582EF5">
              <w:t>Prohibition on all uses</w:t>
            </w:r>
          </w:p>
          <w:p w14:paraId="2BB5AECD" w14:textId="77777777" w:rsidR="00E72470" w:rsidRPr="00582EF5" w:rsidRDefault="00E72470" w:rsidP="00C21DE3">
            <w:pPr>
              <w:pStyle w:val="TableText"/>
              <w:spacing w:before="0" w:after="40"/>
            </w:pPr>
            <w:r w:rsidRPr="00582EF5">
              <w:t>Prohibition on import</w:t>
            </w:r>
          </w:p>
          <w:p w14:paraId="71CD15D5" w14:textId="0BA6EE7F" w:rsidR="00E72470" w:rsidRPr="00582EF5" w:rsidRDefault="00E72470" w:rsidP="00C21DE3">
            <w:pPr>
              <w:pStyle w:val="TableText"/>
              <w:spacing w:before="20" w:after="40"/>
            </w:pPr>
            <w:r w:rsidRPr="00582EF5">
              <w:t xml:space="preserve">Prohibition </w:t>
            </w:r>
            <w:r w:rsidR="00557A08" w:rsidRPr="00582EF5">
              <w:t>o</w:t>
            </w:r>
            <w:r w:rsidRPr="00582EF5">
              <w:t>n export</w:t>
            </w:r>
          </w:p>
        </w:tc>
        <w:tc>
          <w:tcPr>
            <w:tcW w:w="708" w:type="dxa"/>
          </w:tcPr>
          <w:p w14:paraId="63CB773A" w14:textId="77777777" w:rsidR="00E72470" w:rsidRPr="00582EF5" w:rsidRDefault="00E72470" w:rsidP="00C21DE3">
            <w:pPr>
              <w:pStyle w:val="TableText"/>
              <w:spacing w:after="40"/>
              <w:jc w:val="center"/>
            </w:pPr>
            <w:r w:rsidRPr="00582EF5">
              <w:t>2016</w:t>
            </w:r>
          </w:p>
          <w:p w14:paraId="0FA9C6D0" w14:textId="77777777" w:rsidR="00E72470" w:rsidRPr="00582EF5" w:rsidRDefault="00E72470" w:rsidP="00C21DE3">
            <w:pPr>
              <w:pStyle w:val="TableText"/>
              <w:spacing w:before="0" w:after="40"/>
              <w:jc w:val="center"/>
            </w:pPr>
            <w:r w:rsidRPr="00582EF5">
              <w:t>2011</w:t>
            </w:r>
          </w:p>
          <w:p w14:paraId="7F3CCBC3" w14:textId="77777777" w:rsidR="00E72470" w:rsidRPr="00582EF5" w:rsidRDefault="00E72470" w:rsidP="00C21DE3">
            <w:pPr>
              <w:pStyle w:val="TableText"/>
              <w:spacing w:before="0" w:after="40"/>
              <w:jc w:val="center"/>
            </w:pPr>
            <w:r w:rsidRPr="00582EF5">
              <w:t>2011</w:t>
            </w:r>
          </w:p>
          <w:p w14:paraId="5A61EC80" w14:textId="77777777" w:rsidR="00E72470" w:rsidRPr="00582EF5" w:rsidRDefault="00E72470" w:rsidP="00C21DE3">
            <w:pPr>
              <w:pStyle w:val="TableText"/>
              <w:spacing w:before="0" w:after="40"/>
              <w:jc w:val="center"/>
            </w:pPr>
            <w:r w:rsidRPr="00582EF5">
              <w:t>2011</w:t>
            </w:r>
          </w:p>
          <w:p w14:paraId="79BAE3A8" w14:textId="77777777" w:rsidR="00E72470" w:rsidRPr="00582EF5" w:rsidRDefault="00E72470" w:rsidP="00C21DE3">
            <w:pPr>
              <w:pStyle w:val="TableText"/>
              <w:spacing w:before="0" w:after="40"/>
              <w:jc w:val="center"/>
            </w:pPr>
            <w:r w:rsidRPr="00582EF5">
              <w:t>2011</w:t>
            </w:r>
          </w:p>
        </w:tc>
        <w:tc>
          <w:tcPr>
            <w:tcW w:w="2257" w:type="dxa"/>
          </w:tcPr>
          <w:p w14:paraId="11BC9939" w14:textId="6F767A92" w:rsidR="00E72470" w:rsidRPr="00582EF5" w:rsidRDefault="00D66320" w:rsidP="00C21DE3">
            <w:pPr>
              <w:pStyle w:val="TableText"/>
            </w:pPr>
            <w:r w:rsidRPr="00582EF5">
              <w:t>N/A</w:t>
            </w:r>
          </w:p>
        </w:tc>
      </w:tr>
      <w:tr w:rsidR="009B484D" w:rsidRPr="00582EF5" w14:paraId="67936D1F" w14:textId="77777777" w:rsidTr="703AEB20">
        <w:tc>
          <w:tcPr>
            <w:tcW w:w="2410" w:type="dxa"/>
          </w:tcPr>
          <w:p w14:paraId="57CD42F7" w14:textId="23E8E68B" w:rsidR="00D66320" w:rsidRPr="00582EF5" w:rsidRDefault="00D66320" w:rsidP="00C21DE3">
            <w:pPr>
              <w:pStyle w:val="TableText"/>
            </w:pPr>
            <w:r w:rsidRPr="00582EF5">
              <w:t>Beta hexachlorocyclohexane (</w:t>
            </w:r>
            <w:r w:rsidR="00E72720" w:rsidRPr="00582EF5">
              <w:t>b</w:t>
            </w:r>
            <w:r w:rsidRPr="00582EF5">
              <w:t>eta</w:t>
            </w:r>
            <w:r w:rsidR="003E52A4">
              <w:t>-</w:t>
            </w:r>
            <w:r w:rsidRPr="00582EF5">
              <w:t>HCH)</w:t>
            </w:r>
          </w:p>
        </w:tc>
        <w:tc>
          <w:tcPr>
            <w:tcW w:w="3119" w:type="dxa"/>
          </w:tcPr>
          <w:p w14:paraId="788EDC70" w14:textId="77777777" w:rsidR="00D66320" w:rsidRPr="00582EF5" w:rsidRDefault="00D66320" w:rsidP="00C21DE3">
            <w:pPr>
              <w:pStyle w:val="TableText"/>
              <w:spacing w:after="40"/>
            </w:pPr>
            <w:r w:rsidRPr="00582EF5">
              <w:t>Restriction in accordance with Annex A</w:t>
            </w:r>
          </w:p>
          <w:p w14:paraId="1BABA54F" w14:textId="77777777" w:rsidR="00D66320" w:rsidRPr="00582EF5" w:rsidRDefault="00D66320" w:rsidP="00C21DE3">
            <w:pPr>
              <w:pStyle w:val="TableText"/>
              <w:spacing w:before="0" w:after="40"/>
            </w:pPr>
            <w:r w:rsidRPr="00582EF5">
              <w:t>Prohibition on production</w:t>
            </w:r>
          </w:p>
          <w:p w14:paraId="22F17B7A" w14:textId="77777777" w:rsidR="00D66320" w:rsidRPr="00582EF5" w:rsidRDefault="00D66320" w:rsidP="00C21DE3">
            <w:pPr>
              <w:pStyle w:val="TableText"/>
              <w:spacing w:before="0" w:after="40"/>
            </w:pPr>
            <w:r w:rsidRPr="00582EF5">
              <w:t>Prohibition on all uses</w:t>
            </w:r>
          </w:p>
          <w:p w14:paraId="251ABE81" w14:textId="77777777" w:rsidR="00D66320" w:rsidRPr="00582EF5" w:rsidRDefault="00D66320" w:rsidP="00C21DE3">
            <w:pPr>
              <w:pStyle w:val="TableText"/>
              <w:spacing w:before="0" w:after="40"/>
            </w:pPr>
            <w:r w:rsidRPr="00582EF5">
              <w:t>Prohibition on import</w:t>
            </w:r>
          </w:p>
          <w:p w14:paraId="1EAC56EA" w14:textId="38E119CB" w:rsidR="00D66320" w:rsidRPr="00582EF5" w:rsidRDefault="00D66320" w:rsidP="00C21DE3">
            <w:pPr>
              <w:pStyle w:val="TableText"/>
              <w:spacing w:before="0" w:after="40"/>
            </w:pPr>
            <w:r w:rsidRPr="00582EF5">
              <w:t xml:space="preserve">Prohibition </w:t>
            </w:r>
            <w:r w:rsidR="00557A08" w:rsidRPr="00582EF5">
              <w:t>o</w:t>
            </w:r>
            <w:r w:rsidRPr="00582EF5">
              <w:t>n export</w:t>
            </w:r>
          </w:p>
        </w:tc>
        <w:tc>
          <w:tcPr>
            <w:tcW w:w="708" w:type="dxa"/>
          </w:tcPr>
          <w:p w14:paraId="548F154A" w14:textId="77777777" w:rsidR="00D66320" w:rsidRPr="00582EF5" w:rsidRDefault="00D66320" w:rsidP="00C21DE3">
            <w:pPr>
              <w:pStyle w:val="TableText"/>
              <w:spacing w:after="40"/>
              <w:jc w:val="center"/>
            </w:pPr>
            <w:r w:rsidRPr="00582EF5">
              <w:t>2016</w:t>
            </w:r>
          </w:p>
          <w:p w14:paraId="1030A043" w14:textId="77777777" w:rsidR="00D66320" w:rsidRPr="00582EF5" w:rsidRDefault="00D66320" w:rsidP="00C21DE3">
            <w:pPr>
              <w:pStyle w:val="TableText"/>
              <w:spacing w:before="0" w:after="40"/>
              <w:jc w:val="center"/>
            </w:pPr>
            <w:r w:rsidRPr="00582EF5">
              <w:t>2011</w:t>
            </w:r>
          </w:p>
          <w:p w14:paraId="3480DECA" w14:textId="77777777" w:rsidR="00D66320" w:rsidRPr="00582EF5" w:rsidRDefault="00D66320" w:rsidP="00C21DE3">
            <w:pPr>
              <w:pStyle w:val="TableText"/>
              <w:spacing w:before="0" w:after="40"/>
              <w:jc w:val="center"/>
            </w:pPr>
            <w:r w:rsidRPr="00582EF5">
              <w:t>2011</w:t>
            </w:r>
          </w:p>
          <w:p w14:paraId="4EEFCAEA" w14:textId="77777777" w:rsidR="00D66320" w:rsidRPr="00582EF5" w:rsidRDefault="00D66320" w:rsidP="00C21DE3">
            <w:pPr>
              <w:pStyle w:val="TableText"/>
              <w:spacing w:before="0" w:after="40"/>
              <w:jc w:val="center"/>
            </w:pPr>
            <w:r w:rsidRPr="00582EF5">
              <w:t>2011</w:t>
            </w:r>
          </w:p>
          <w:p w14:paraId="6048638C" w14:textId="77777777" w:rsidR="00D66320" w:rsidRPr="00582EF5" w:rsidRDefault="00D66320" w:rsidP="00C21DE3">
            <w:pPr>
              <w:pStyle w:val="TableText"/>
              <w:spacing w:before="0" w:after="40"/>
              <w:jc w:val="center"/>
            </w:pPr>
            <w:r w:rsidRPr="00582EF5">
              <w:t>2011</w:t>
            </w:r>
          </w:p>
        </w:tc>
        <w:tc>
          <w:tcPr>
            <w:tcW w:w="2257" w:type="dxa"/>
          </w:tcPr>
          <w:p w14:paraId="541FEB51" w14:textId="4B846CF8" w:rsidR="00D66320" w:rsidRPr="00582EF5" w:rsidRDefault="00D66320" w:rsidP="00C21DE3">
            <w:pPr>
              <w:pStyle w:val="TableText"/>
            </w:pPr>
            <w:r w:rsidRPr="00582EF5">
              <w:t>N/A</w:t>
            </w:r>
          </w:p>
        </w:tc>
      </w:tr>
      <w:tr w:rsidR="009B484D" w:rsidRPr="00582EF5" w14:paraId="230DC2D4" w14:textId="77777777" w:rsidTr="703AEB20">
        <w:tc>
          <w:tcPr>
            <w:tcW w:w="2410" w:type="dxa"/>
          </w:tcPr>
          <w:p w14:paraId="0A4543AB" w14:textId="787079FF" w:rsidR="00D66320" w:rsidRPr="00582EF5" w:rsidRDefault="00D66320" w:rsidP="00C21DE3">
            <w:pPr>
              <w:pStyle w:val="TableText"/>
            </w:pPr>
            <w:r w:rsidRPr="00582EF5">
              <w:t>Chlordecone</w:t>
            </w:r>
          </w:p>
        </w:tc>
        <w:tc>
          <w:tcPr>
            <w:tcW w:w="3119" w:type="dxa"/>
          </w:tcPr>
          <w:p w14:paraId="1E41A68E" w14:textId="77777777" w:rsidR="00D66320" w:rsidRPr="00582EF5" w:rsidRDefault="00D66320" w:rsidP="00C21DE3">
            <w:pPr>
              <w:pStyle w:val="TableText"/>
              <w:spacing w:after="40"/>
            </w:pPr>
            <w:r w:rsidRPr="00582EF5">
              <w:t>Restriction in accordance with Annex A</w:t>
            </w:r>
          </w:p>
          <w:p w14:paraId="579F483D" w14:textId="77777777" w:rsidR="00D66320" w:rsidRPr="00582EF5" w:rsidRDefault="00D66320" w:rsidP="00C21DE3">
            <w:pPr>
              <w:pStyle w:val="TableText"/>
              <w:spacing w:before="0" w:after="40"/>
            </w:pPr>
            <w:r w:rsidRPr="00582EF5">
              <w:t>Prohibition on production</w:t>
            </w:r>
          </w:p>
          <w:p w14:paraId="14A31DE9" w14:textId="77777777" w:rsidR="00D66320" w:rsidRPr="00582EF5" w:rsidRDefault="00D66320" w:rsidP="00C21DE3">
            <w:pPr>
              <w:pStyle w:val="TableText"/>
              <w:spacing w:before="0" w:after="40"/>
            </w:pPr>
            <w:r w:rsidRPr="00582EF5">
              <w:t>Prohibition on all uses</w:t>
            </w:r>
          </w:p>
          <w:p w14:paraId="50BF2DA3" w14:textId="77777777" w:rsidR="00D66320" w:rsidRPr="00582EF5" w:rsidRDefault="00D66320" w:rsidP="00C21DE3">
            <w:pPr>
              <w:pStyle w:val="TableText"/>
              <w:spacing w:before="0" w:after="40"/>
            </w:pPr>
            <w:r w:rsidRPr="00582EF5">
              <w:t>Prohibition on import</w:t>
            </w:r>
          </w:p>
          <w:p w14:paraId="11F578D9" w14:textId="2EA75C89" w:rsidR="00D66320" w:rsidRPr="00582EF5" w:rsidRDefault="00D66320" w:rsidP="00C21DE3">
            <w:pPr>
              <w:pStyle w:val="TableText"/>
              <w:spacing w:before="0" w:after="40"/>
            </w:pPr>
            <w:r w:rsidRPr="00582EF5">
              <w:t xml:space="preserve">Prohibition </w:t>
            </w:r>
            <w:r w:rsidR="00557A08" w:rsidRPr="00582EF5">
              <w:t>o</w:t>
            </w:r>
            <w:r w:rsidRPr="00582EF5">
              <w:t>n export</w:t>
            </w:r>
          </w:p>
        </w:tc>
        <w:tc>
          <w:tcPr>
            <w:tcW w:w="708" w:type="dxa"/>
          </w:tcPr>
          <w:p w14:paraId="1129E91D" w14:textId="77777777" w:rsidR="00D66320" w:rsidRPr="00582EF5" w:rsidRDefault="00D66320" w:rsidP="00C21DE3">
            <w:pPr>
              <w:pStyle w:val="TableText"/>
              <w:spacing w:after="40"/>
              <w:jc w:val="center"/>
            </w:pPr>
            <w:r w:rsidRPr="00582EF5">
              <w:t>2016</w:t>
            </w:r>
          </w:p>
          <w:p w14:paraId="0FE0AD91" w14:textId="77777777" w:rsidR="00D66320" w:rsidRPr="00582EF5" w:rsidRDefault="00D66320" w:rsidP="00C21DE3">
            <w:pPr>
              <w:pStyle w:val="TableText"/>
              <w:spacing w:before="0" w:after="40"/>
              <w:jc w:val="center"/>
            </w:pPr>
            <w:r w:rsidRPr="00582EF5">
              <w:t>2011</w:t>
            </w:r>
          </w:p>
          <w:p w14:paraId="396F57B6" w14:textId="77777777" w:rsidR="00D66320" w:rsidRPr="00582EF5" w:rsidRDefault="00D66320" w:rsidP="00C21DE3">
            <w:pPr>
              <w:pStyle w:val="TableText"/>
              <w:spacing w:before="0" w:after="40"/>
              <w:jc w:val="center"/>
            </w:pPr>
            <w:r w:rsidRPr="00582EF5">
              <w:t>2011</w:t>
            </w:r>
          </w:p>
          <w:p w14:paraId="7F84B841" w14:textId="77777777" w:rsidR="00D66320" w:rsidRPr="00582EF5" w:rsidRDefault="00D66320" w:rsidP="00C21DE3">
            <w:pPr>
              <w:pStyle w:val="TableText"/>
              <w:spacing w:before="0" w:after="40"/>
              <w:jc w:val="center"/>
            </w:pPr>
            <w:r w:rsidRPr="00582EF5">
              <w:t>2011</w:t>
            </w:r>
          </w:p>
          <w:p w14:paraId="219D9F55" w14:textId="77777777" w:rsidR="00D66320" w:rsidRPr="00582EF5" w:rsidRDefault="00D66320" w:rsidP="00C21DE3">
            <w:pPr>
              <w:pStyle w:val="TableText"/>
              <w:spacing w:before="0" w:after="40"/>
              <w:jc w:val="center"/>
            </w:pPr>
            <w:r w:rsidRPr="00582EF5">
              <w:t>2011</w:t>
            </w:r>
          </w:p>
        </w:tc>
        <w:tc>
          <w:tcPr>
            <w:tcW w:w="2257" w:type="dxa"/>
          </w:tcPr>
          <w:p w14:paraId="36F65453" w14:textId="4B7D944F" w:rsidR="00D66320" w:rsidRPr="00582EF5" w:rsidRDefault="00D66320" w:rsidP="00C21DE3">
            <w:pPr>
              <w:pStyle w:val="TableText"/>
            </w:pPr>
            <w:r w:rsidRPr="00582EF5">
              <w:t>N/A</w:t>
            </w:r>
          </w:p>
        </w:tc>
      </w:tr>
      <w:tr w:rsidR="009B484D" w:rsidRPr="00582EF5" w14:paraId="5236AB96" w14:textId="77777777" w:rsidTr="703AEB20">
        <w:tc>
          <w:tcPr>
            <w:tcW w:w="2410" w:type="dxa"/>
          </w:tcPr>
          <w:p w14:paraId="61F80E37" w14:textId="5657B5C3" w:rsidR="00D66320" w:rsidRPr="00582EF5" w:rsidRDefault="00D66320" w:rsidP="00C21DE3">
            <w:pPr>
              <w:pStyle w:val="TableText"/>
            </w:pPr>
            <w:proofErr w:type="spellStart"/>
            <w:r w:rsidRPr="00582EF5">
              <w:t>Decabromodiphenyl</w:t>
            </w:r>
            <w:proofErr w:type="spellEnd"/>
            <w:r w:rsidRPr="00582EF5">
              <w:t xml:space="preserve"> ether (commercial mixture, c</w:t>
            </w:r>
            <w:r w:rsidR="00EA7683" w:rsidRPr="00582EF5">
              <w:noBreakHyphen/>
            </w:r>
            <w:proofErr w:type="spellStart"/>
            <w:r w:rsidRPr="00582EF5">
              <w:t>decaBDE</w:t>
            </w:r>
            <w:proofErr w:type="spellEnd"/>
            <w:r w:rsidRPr="00582EF5">
              <w:t>)</w:t>
            </w:r>
          </w:p>
        </w:tc>
        <w:tc>
          <w:tcPr>
            <w:tcW w:w="3119" w:type="dxa"/>
          </w:tcPr>
          <w:p w14:paraId="04462D99" w14:textId="77777777" w:rsidR="00D66320" w:rsidRPr="00582EF5" w:rsidRDefault="00D66320" w:rsidP="00C21DE3">
            <w:pPr>
              <w:pStyle w:val="TableText"/>
              <w:spacing w:after="40"/>
            </w:pPr>
            <w:r w:rsidRPr="00582EF5">
              <w:t>Restriction in accordance with Annex A</w:t>
            </w:r>
          </w:p>
          <w:p w14:paraId="1350035A" w14:textId="77777777" w:rsidR="00D66320" w:rsidRPr="00582EF5" w:rsidRDefault="00D66320" w:rsidP="00C21DE3">
            <w:pPr>
              <w:pStyle w:val="TableText"/>
              <w:spacing w:before="0" w:after="40"/>
            </w:pPr>
            <w:r w:rsidRPr="00582EF5">
              <w:t>Prohibition on production</w:t>
            </w:r>
          </w:p>
          <w:p w14:paraId="7F9D5315" w14:textId="77777777" w:rsidR="00D66320" w:rsidRPr="00582EF5" w:rsidRDefault="00D66320" w:rsidP="00C21DE3">
            <w:pPr>
              <w:pStyle w:val="TableText"/>
              <w:spacing w:before="0" w:after="40"/>
            </w:pPr>
            <w:r w:rsidRPr="00582EF5">
              <w:t>Prohibition on all uses</w:t>
            </w:r>
          </w:p>
          <w:p w14:paraId="51894018" w14:textId="77777777" w:rsidR="00D66320" w:rsidRPr="00582EF5" w:rsidRDefault="00D66320" w:rsidP="00C21DE3">
            <w:pPr>
              <w:pStyle w:val="TableText"/>
              <w:spacing w:before="0" w:after="40"/>
            </w:pPr>
            <w:r w:rsidRPr="00582EF5">
              <w:t>Prohibition on import</w:t>
            </w:r>
          </w:p>
          <w:p w14:paraId="3F0A4B2E" w14:textId="6595BACD" w:rsidR="00D66320" w:rsidRPr="00582EF5" w:rsidRDefault="00D66320" w:rsidP="00C21DE3">
            <w:pPr>
              <w:pStyle w:val="TableText"/>
              <w:spacing w:before="0"/>
            </w:pPr>
            <w:r w:rsidRPr="00582EF5">
              <w:t xml:space="preserve">Prohibition </w:t>
            </w:r>
            <w:r w:rsidR="00557A08" w:rsidRPr="00582EF5">
              <w:t>o</w:t>
            </w:r>
            <w:r w:rsidRPr="00582EF5">
              <w:t>n export</w:t>
            </w:r>
          </w:p>
        </w:tc>
        <w:tc>
          <w:tcPr>
            <w:tcW w:w="708" w:type="dxa"/>
          </w:tcPr>
          <w:p w14:paraId="4521CDAE" w14:textId="77777777" w:rsidR="00D66320" w:rsidRPr="00582EF5" w:rsidRDefault="00D66320" w:rsidP="00C21DE3">
            <w:pPr>
              <w:pStyle w:val="TableText"/>
              <w:spacing w:after="40"/>
              <w:jc w:val="center"/>
            </w:pPr>
            <w:r w:rsidRPr="00582EF5">
              <w:t>2018</w:t>
            </w:r>
          </w:p>
          <w:p w14:paraId="3D0D9FCB" w14:textId="77777777" w:rsidR="00D66320" w:rsidRPr="00582EF5" w:rsidRDefault="00D66320" w:rsidP="00C21DE3">
            <w:pPr>
              <w:pStyle w:val="TableText"/>
              <w:spacing w:before="0" w:after="40"/>
              <w:jc w:val="center"/>
            </w:pPr>
            <w:r w:rsidRPr="00582EF5">
              <w:t>2018</w:t>
            </w:r>
          </w:p>
          <w:p w14:paraId="6925F7B2" w14:textId="77777777" w:rsidR="00D66320" w:rsidRPr="00582EF5" w:rsidRDefault="00D66320" w:rsidP="00C21DE3">
            <w:pPr>
              <w:pStyle w:val="TableText"/>
              <w:spacing w:before="0" w:after="40"/>
              <w:jc w:val="center"/>
            </w:pPr>
            <w:r w:rsidRPr="00582EF5">
              <w:t>2018</w:t>
            </w:r>
          </w:p>
          <w:p w14:paraId="39AA48D0" w14:textId="77777777" w:rsidR="00D66320" w:rsidRPr="00582EF5" w:rsidRDefault="00D66320" w:rsidP="00C21DE3">
            <w:pPr>
              <w:pStyle w:val="TableText"/>
              <w:spacing w:before="0" w:after="40"/>
              <w:jc w:val="center"/>
            </w:pPr>
            <w:r w:rsidRPr="00582EF5">
              <w:t>2018</w:t>
            </w:r>
          </w:p>
          <w:p w14:paraId="08F30725" w14:textId="6C45783A" w:rsidR="00D66320" w:rsidRPr="00582EF5" w:rsidRDefault="00D66320" w:rsidP="00C21DE3">
            <w:pPr>
              <w:pStyle w:val="TableText"/>
              <w:spacing w:before="0"/>
              <w:jc w:val="center"/>
            </w:pPr>
            <w:r w:rsidRPr="00582EF5">
              <w:t>2018</w:t>
            </w:r>
          </w:p>
        </w:tc>
        <w:tc>
          <w:tcPr>
            <w:tcW w:w="2257" w:type="dxa"/>
          </w:tcPr>
          <w:p w14:paraId="1DC25CF2" w14:textId="77777777" w:rsidR="007F1DFD" w:rsidRPr="00582EF5" w:rsidRDefault="007F1DFD" w:rsidP="00C21DE3">
            <w:pPr>
              <w:pStyle w:val="TableText"/>
            </w:pPr>
            <w:r w:rsidRPr="00582EF5">
              <w:t xml:space="preserve">Specific exemptions for: </w:t>
            </w:r>
          </w:p>
          <w:p w14:paraId="447474EC" w14:textId="21830CFE" w:rsidR="007F1DFD" w:rsidRPr="00582EF5" w:rsidRDefault="007F1DFD" w:rsidP="00C21DE3">
            <w:pPr>
              <w:pStyle w:val="TableBullet"/>
            </w:pPr>
            <w:r w:rsidRPr="00582EF5">
              <w:t>parts for use in vehicles</w:t>
            </w:r>
            <w:r w:rsidR="00650414" w:rsidRPr="00582EF5">
              <w:t>,</w:t>
            </w:r>
            <w:r w:rsidRPr="00582EF5">
              <w:t xml:space="preserve"> specified in paragraph 2 of Part IX of Annex A of the Convention</w:t>
            </w:r>
            <w:r w:rsidR="00E22245">
              <w:t>.</w:t>
            </w:r>
            <w:r w:rsidR="005A7B69">
              <w:t xml:space="preserve"> (</w:t>
            </w:r>
            <w:r w:rsidR="00E22245">
              <w:t>E</w:t>
            </w:r>
            <w:r w:rsidR="005A7B69" w:rsidRPr="005A7B69">
              <w:t>xpires end of the service life of vehicles or in 2036, whichever comes earlier</w:t>
            </w:r>
            <w:r w:rsidR="005A7B69">
              <w:t>)</w:t>
            </w:r>
          </w:p>
          <w:p w14:paraId="42B666BD" w14:textId="51F2CF4B" w:rsidR="007F1DFD" w:rsidRPr="00582EF5" w:rsidRDefault="00650414" w:rsidP="00C21DE3">
            <w:pPr>
              <w:pStyle w:val="TableBullet"/>
            </w:pPr>
            <w:r w:rsidRPr="00582EF5">
              <w:t>a</w:t>
            </w:r>
            <w:r w:rsidR="007F1DFD" w:rsidRPr="00582EF5">
              <w:t xml:space="preserve">ircraft for which </w:t>
            </w:r>
            <w:bookmarkStart w:id="54" w:name="_Int_KcJ8v5Ao"/>
            <w:r w:rsidR="007F1DFD" w:rsidRPr="00582EF5">
              <w:t>type</w:t>
            </w:r>
            <w:bookmarkEnd w:id="54"/>
            <w:r w:rsidR="007F1DFD" w:rsidRPr="00582EF5">
              <w:t xml:space="preserve"> approval has been </w:t>
            </w:r>
            <w:r w:rsidR="007F1DFD" w:rsidRPr="00582EF5">
              <w:lastRenderedPageBreak/>
              <w:t>applied for before December 2018 and has been received before December 2022 and spare parts for those aircraft</w:t>
            </w:r>
            <w:r w:rsidR="006876E1">
              <w:t xml:space="preserve"> (</w:t>
            </w:r>
            <w:r w:rsidR="00E22245">
              <w:t>E</w:t>
            </w:r>
            <w:r w:rsidR="006876E1" w:rsidRPr="006876E1">
              <w:t>xpires end of the service life of those aircraft</w:t>
            </w:r>
            <w:r w:rsidR="006876E1">
              <w:t>)</w:t>
            </w:r>
            <w:r w:rsidR="003A15BE">
              <w:t>.</w:t>
            </w:r>
          </w:p>
          <w:p w14:paraId="6E65CB57" w14:textId="36CDE280" w:rsidR="00D66320" w:rsidRPr="00582EF5" w:rsidRDefault="007F1DFD" w:rsidP="00C21DE3">
            <w:pPr>
              <w:pStyle w:val="TableText"/>
              <w:spacing w:before="0" w:after="40"/>
            </w:pPr>
            <w:r w:rsidRPr="00582EF5">
              <w:t>Articles in use no</w:t>
            </w:r>
            <w:r w:rsidR="00650414" w:rsidRPr="00582EF5">
              <w:t xml:space="preserve">tifications for articles where </w:t>
            </w:r>
            <w:r w:rsidR="00B212D7">
              <w:t>c-</w:t>
            </w:r>
            <w:proofErr w:type="spellStart"/>
            <w:r w:rsidR="00650414" w:rsidRPr="00582EF5">
              <w:t>d</w:t>
            </w:r>
            <w:r w:rsidRPr="00582EF5">
              <w:t>ecaBDE</w:t>
            </w:r>
            <w:proofErr w:type="spellEnd"/>
            <w:r w:rsidRPr="00582EF5">
              <w:t xml:space="preserve"> has been used as an additive in plastics (such as in electrical and electronic equipment, wires, cables and pipes), in textiles (such as in carpets, upholstery, window blind</w:t>
            </w:r>
            <w:r w:rsidR="00650414" w:rsidRPr="00582EF5">
              <w:t>s and curtains, and mattresses)</w:t>
            </w:r>
            <w:r w:rsidRPr="00582EF5">
              <w:t xml:space="preserve"> and in adhesives, sealants</w:t>
            </w:r>
            <w:r w:rsidR="00650414" w:rsidRPr="00582EF5">
              <w:t xml:space="preserve"> and coatings – </w:t>
            </w:r>
            <w:r w:rsidRPr="00582EF5">
              <w:t>present in New</w:t>
            </w:r>
            <w:r w:rsidR="00650414" w:rsidRPr="00582EF5">
              <w:t> </w:t>
            </w:r>
            <w:r w:rsidRPr="00582EF5">
              <w:t>Zealand before 18</w:t>
            </w:r>
            <w:r w:rsidR="00650414" w:rsidRPr="00582EF5">
              <w:t> </w:t>
            </w:r>
            <w:r w:rsidRPr="00582EF5">
              <w:t>December 2018.</w:t>
            </w:r>
            <w:r w:rsidR="00E22245">
              <w:t xml:space="preserve"> (</w:t>
            </w:r>
            <w:r w:rsidR="004F51A5">
              <w:t>No expiry date</w:t>
            </w:r>
            <w:r w:rsidR="00E22245">
              <w:t>)</w:t>
            </w:r>
            <w:r w:rsidR="003A15BE">
              <w:t>.</w:t>
            </w:r>
          </w:p>
        </w:tc>
      </w:tr>
      <w:tr w:rsidR="00FA1A9A" w:rsidRPr="00582EF5" w14:paraId="2CE8899B" w14:textId="77777777" w:rsidTr="703AEB20">
        <w:tc>
          <w:tcPr>
            <w:tcW w:w="2410" w:type="dxa"/>
          </w:tcPr>
          <w:p w14:paraId="1AC41B33" w14:textId="3A65F800" w:rsidR="00FA1A9A" w:rsidRPr="00582EF5" w:rsidRDefault="00FA1A9A" w:rsidP="003A15BE">
            <w:pPr>
              <w:pStyle w:val="TableText"/>
            </w:pPr>
            <w:r>
              <w:lastRenderedPageBreak/>
              <w:t>Endosulfan</w:t>
            </w:r>
          </w:p>
        </w:tc>
        <w:tc>
          <w:tcPr>
            <w:tcW w:w="3119" w:type="dxa"/>
          </w:tcPr>
          <w:p w14:paraId="1A66A095" w14:textId="77777777" w:rsidR="00FA1A9A" w:rsidRPr="00582EF5" w:rsidRDefault="00FA1A9A" w:rsidP="003A15BE">
            <w:pPr>
              <w:pStyle w:val="TableText"/>
              <w:spacing w:after="40"/>
            </w:pPr>
            <w:r w:rsidRPr="00582EF5">
              <w:t>Restriction in accordance with Annex A</w:t>
            </w:r>
          </w:p>
          <w:p w14:paraId="6E2B33BE" w14:textId="77777777" w:rsidR="00FA1A9A" w:rsidRPr="00582EF5" w:rsidRDefault="00FA1A9A" w:rsidP="003A15BE">
            <w:pPr>
              <w:pStyle w:val="TableText"/>
              <w:spacing w:before="0" w:after="40"/>
            </w:pPr>
            <w:r w:rsidRPr="00582EF5">
              <w:t>Prohibition on production</w:t>
            </w:r>
          </w:p>
          <w:p w14:paraId="0A6CE209" w14:textId="77777777" w:rsidR="00FA1A9A" w:rsidRPr="00582EF5" w:rsidRDefault="00FA1A9A" w:rsidP="003A15BE">
            <w:pPr>
              <w:pStyle w:val="TableText"/>
              <w:spacing w:before="0" w:after="40"/>
            </w:pPr>
            <w:r w:rsidRPr="00582EF5">
              <w:t>Prohibition on all uses</w:t>
            </w:r>
          </w:p>
          <w:p w14:paraId="0E2816DD" w14:textId="77777777" w:rsidR="00FA1A9A" w:rsidRPr="00582EF5" w:rsidRDefault="00FA1A9A" w:rsidP="003A15BE">
            <w:pPr>
              <w:pStyle w:val="TableText"/>
              <w:spacing w:before="0" w:after="40"/>
            </w:pPr>
            <w:r w:rsidRPr="00582EF5">
              <w:t>Prohibition on import</w:t>
            </w:r>
          </w:p>
          <w:p w14:paraId="70542833" w14:textId="3301DA7A" w:rsidR="00FA1A9A" w:rsidRPr="00582EF5" w:rsidRDefault="00FA1A9A" w:rsidP="003A15BE">
            <w:pPr>
              <w:pStyle w:val="TableText"/>
              <w:spacing w:after="40"/>
            </w:pPr>
            <w:r w:rsidRPr="00582EF5">
              <w:t>Prohibition on export</w:t>
            </w:r>
          </w:p>
        </w:tc>
        <w:tc>
          <w:tcPr>
            <w:tcW w:w="708" w:type="dxa"/>
          </w:tcPr>
          <w:p w14:paraId="10A8B2EB" w14:textId="7C5748E3" w:rsidR="00E21D39" w:rsidRPr="00582EF5" w:rsidRDefault="73F36387" w:rsidP="003A15BE">
            <w:pPr>
              <w:pStyle w:val="TableText"/>
              <w:spacing w:before="0" w:after="40"/>
              <w:jc w:val="center"/>
            </w:pPr>
            <w:r>
              <w:t>20</w:t>
            </w:r>
            <w:r w:rsidR="265C745E">
              <w:t>11</w:t>
            </w:r>
          </w:p>
          <w:p w14:paraId="72417CD8" w14:textId="255276CA" w:rsidR="00E21D39" w:rsidRPr="00582EF5" w:rsidRDefault="73F36387" w:rsidP="003A15BE">
            <w:pPr>
              <w:pStyle w:val="TableText"/>
              <w:spacing w:before="0" w:after="40"/>
              <w:jc w:val="center"/>
            </w:pPr>
            <w:r>
              <w:t>20</w:t>
            </w:r>
            <w:r w:rsidR="02C14601">
              <w:t>11</w:t>
            </w:r>
          </w:p>
          <w:p w14:paraId="56718924" w14:textId="2EE0AECF" w:rsidR="00E21D39" w:rsidRPr="00582EF5" w:rsidRDefault="73F36387" w:rsidP="003A15BE">
            <w:pPr>
              <w:pStyle w:val="TableText"/>
              <w:spacing w:before="0" w:after="40"/>
              <w:jc w:val="center"/>
            </w:pPr>
            <w:r>
              <w:t>20</w:t>
            </w:r>
            <w:r w:rsidR="63CDD7FD">
              <w:t>11</w:t>
            </w:r>
          </w:p>
          <w:p w14:paraId="1EE918DD" w14:textId="573332AB" w:rsidR="00FA1A9A" w:rsidRPr="00582EF5" w:rsidRDefault="73F36387" w:rsidP="003A15BE">
            <w:pPr>
              <w:spacing w:before="0" w:after="40"/>
              <w:jc w:val="center"/>
            </w:pPr>
            <w:r>
              <w:t>20</w:t>
            </w:r>
            <w:r w:rsidR="57EAA3C1">
              <w:t>11</w:t>
            </w:r>
          </w:p>
          <w:p w14:paraId="679720F7" w14:textId="1C0C6D3A" w:rsidR="00FA1A9A" w:rsidRPr="00582EF5" w:rsidRDefault="73F36387" w:rsidP="003A15BE">
            <w:pPr>
              <w:pStyle w:val="TableText"/>
              <w:spacing w:before="0" w:after="40"/>
              <w:jc w:val="center"/>
            </w:pPr>
            <w:r>
              <w:t>20</w:t>
            </w:r>
            <w:r w:rsidR="59BEA051">
              <w:t>11</w:t>
            </w:r>
          </w:p>
        </w:tc>
        <w:tc>
          <w:tcPr>
            <w:tcW w:w="2257" w:type="dxa"/>
          </w:tcPr>
          <w:p w14:paraId="2BD88810" w14:textId="77777777" w:rsidR="00FA1A9A" w:rsidRPr="00582EF5" w:rsidRDefault="00FA1A9A" w:rsidP="00C21DE3">
            <w:pPr>
              <w:pStyle w:val="TableText"/>
            </w:pPr>
          </w:p>
        </w:tc>
      </w:tr>
      <w:tr w:rsidR="009B484D" w:rsidRPr="00582EF5" w14:paraId="0EACD01E" w14:textId="77777777" w:rsidTr="703AEB20">
        <w:tc>
          <w:tcPr>
            <w:tcW w:w="2410" w:type="dxa"/>
          </w:tcPr>
          <w:p w14:paraId="16617163" w14:textId="77777777" w:rsidR="00D66320" w:rsidRPr="00582EF5" w:rsidRDefault="00D66320" w:rsidP="00C21DE3">
            <w:pPr>
              <w:pStyle w:val="TableText"/>
            </w:pPr>
            <w:r w:rsidRPr="00582EF5">
              <w:t>Hexabromobiphenyl</w:t>
            </w:r>
          </w:p>
        </w:tc>
        <w:tc>
          <w:tcPr>
            <w:tcW w:w="3119" w:type="dxa"/>
          </w:tcPr>
          <w:p w14:paraId="334798EA" w14:textId="77777777" w:rsidR="00D66320" w:rsidRPr="00582EF5" w:rsidRDefault="00D66320" w:rsidP="00C21DE3">
            <w:pPr>
              <w:pStyle w:val="TableText"/>
              <w:spacing w:after="40"/>
            </w:pPr>
            <w:r w:rsidRPr="00582EF5">
              <w:t>Restriction in accordance with Annex A</w:t>
            </w:r>
          </w:p>
          <w:p w14:paraId="5CC21A74" w14:textId="77777777" w:rsidR="00D66320" w:rsidRPr="00582EF5" w:rsidRDefault="00D66320" w:rsidP="00C21DE3">
            <w:pPr>
              <w:pStyle w:val="TableText"/>
              <w:spacing w:before="0" w:after="40"/>
            </w:pPr>
            <w:r w:rsidRPr="00582EF5">
              <w:t>Prohibition on production</w:t>
            </w:r>
          </w:p>
          <w:p w14:paraId="1D7DBEFE" w14:textId="77777777" w:rsidR="00D66320" w:rsidRPr="00582EF5" w:rsidRDefault="00D66320" w:rsidP="00C21DE3">
            <w:pPr>
              <w:pStyle w:val="TableText"/>
              <w:spacing w:before="0" w:after="40"/>
            </w:pPr>
            <w:r w:rsidRPr="00582EF5">
              <w:t>Prohibition on all uses</w:t>
            </w:r>
          </w:p>
          <w:p w14:paraId="7C14CA7F" w14:textId="77777777" w:rsidR="00D66320" w:rsidRPr="00582EF5" w:rsidRDefault="00D66320" w:rsidP="00C21DE3">
            <w:pPr>
              <w:pStyle w:val="TableText"/>
              <w:spacing w:before="0" w:after="40"/>
            </w:pPr>
            <w:r w:rsidRPr="00582EF5">
              <w:t>Prohibition on import</w:t>
            </w:r>
          </w:p>
          <w:p w14:paraId="6A6E4E60" w14:textId="1B518361" w:rsidR="00D66320" w:rsidRPr="00582EF5" w:rsidRDefault="00D66320" w:rsidP="00C21DE3">
            <w:pPr>
              <w:pStyle w:val="TableText"/>
              <w:spacing w:before="0" w:after="40"/>
            </w:pPr>
            <w:r w:rsidRPr="00582EF5">
              <w:t xml:space="preserve">Prohibition </w:t>
            </w:r>
            <w:r w:rsidR="00557A08" w:rsidRPr="00582EF5">
              <w:t>o</w:t>
            </w:r>
            <w:r w:rsidRPr="00582EF5">
              <w:t>n export</w:t>
            </w:r>
          </w:p>
        </w:tc>
        <w:tc>
          <w:tcPr>
            <w:tcW w:w="708" w:type="dxa"/>
          </w:tcPr>
          <w:p w14:paraId="24C1AE24" w14:textId="77777777" w:rsidR="00D66320" w:rsidRPr="00582EF5" w:rsidRDefault="00D66320" w:rsidP="00C21DE3">
            <w:pPr>
              <w:pStyle w:val="TableText"/>
              <w:spacing w:after="40"/>
              <w:jc w:val="center"/>
            </w:pPr>
            <w:r w:rsidRPr="00582EF5">
              <w:t>2016</w:t>
            </w:r>
          </w:p>
          <w:p w14:paraId="354258D2" w14:textId="77777777" w:rsidR="00D66320" w:rsidRPr="00582EF5" w:rsidRDefault="00D66320" w:rsidP="00C21DE3">
            <w:pPr>
              <w:pStyle w:val="TableText"/>
              <w:spacing w:before="0" w:after="40"/>
              <w:jc w:val="center"/>
            </w:pPr>
            <w:r w:rsidRPr="00582EF5">
              <w:t>2011</w:t>
            </w:r>
          </w:p>
          <w:p w14:paraId="4D563D8A" w14:textId="77777777" w:rsidR="00D66320" w:rsidRPr="00582EF5" w:rsidRDefault="00D66320" w:rsidP="00C21DE3">
            <w:pPr>
              <w:pStyle w:val="TableText"/>
              <w:spacing w:before="0" w:after="40"/>
              <w:jc w:val="center"/>
            </w:pPr>
            <w:r w:rsidRPr="00582EF5">
              <w:t>2011</w:t>
            </w:r>
          </w:p>
          <w:p w14:paraId="0083BB64" w14:textId="77777777" w:rsidR="00D66320" w:rsidRPr="00582EF5" w:rsidRDefault="00D66320" w:rsidP="00C21DE3">
            <w:pPr>
              <w:pStyle w:val="TableText"/>
              <w:spacing w:before="0" w:after="40"/>
              <w:jc w:val="center"/>
            </w:pPr>
            <w:r w:rsidRPr="00582EF5">
              <w:t>2011</w:t>
            </w:r>
          </w:p>
          <w:p w14:paraId="58B8A027" w14:textId="77777777" w:rsidR="00D66320" w:rsidRPr="00582EF5" w:rsidRDefault="00D66320" w:rsidP="00C21DE3">
            <w:pPr>
              <w:pStyle w:val="TableText"/>
              <w:spacing w:before="0" w:after="40"/>
              <w:jc w:val="center"/>
            </w:pPr>
            <w:r w:rsidRPr="00582EF5">
              <w:t>2011</w:t>
            </w:r>
          </w:p>
        </w:tc>
        <w:tc>
          <w:tcPr>
            <w:tcW w:w="2257" w:type="dxa"/>
          </w:tcPr>
          <w:p w14:paraId="3DE4D42E" w14:textId="4C49DDD6" w:rsidR="00D66320" w:rsidRPr="00582EF5" w:rsidRDefault="00D66320" w:rsidP="00C21DE3">
            <w:pPr>
              <w:pStyle w:val="TableText"/>
            </w:pPr>
            <w:r w:rsidRPr="00582EF5">
              <w:t>N/A</w:t>
            </w:r>
          </w:p>
        </w:tc>
      </w:tr>
      <w:tr w:rsidR="009B484D" w:rsidRPr="00582EF5" w14:paraId="3B694BA0" w14:textId="77777777" w:rsidTr="703AEB20">
        <w:tc>
          <w:tcPr>
            <w:tcW w:w="2410" w:type="dxa"/>
          </w:tcPr>
          <w:p w14:paraId="16B8B57D" w14:textId="5093E4E7" w:rsidR="00D66320" w:rsidRPr="00582EF5" w:rsidRDefault="00D66320" w:rsidP="00C21DE3">
            <w:pPr>
              <w:pStyle w:val="TableText"/>
            </w:pPr>
            <w:r w:rsidRPr="00582EF5">
              <w:t>Hexabromocyclododecane</w:t>
            </w:r>
            <w:r w:rsidR="006D7E9D" w:rsidRPr="00582EF5">
              <w:t xml:space="preserve"> </w:t>
            </w:r>
            <w:r w:rsidRPr="00582EF5">
              <w:t>(HBCD)</w:t>
            </w:r>
          </w:p>
        </w:tc>
        <w:tc>
          <w:tcPr>
            <w:tcW w:w="3119" w:type="dxa"/>
          </w:tcPr>
          <w:p w14:paraId="471744CA" w14:textId="77777777" w:rsidR="00D66320" w:rsidRPr="00582EF5" w:rsidRDefault="00D66320" w:rsidP="00C21DE3">
            <w:pPr>
              <w:pStyle w:val="TableText"/>
              <w:spacing w:after="40"/>
            </w:pPr>
            <w:r w:rsidRPr="00582EF5">
              <w:t>Restriction in accordance with Annex A</w:t>
            </w:r>
          </w:p>
          <w:p w14:paraId="62B6E50E" w14:textId="77777777" w:rsidR="00D66320" w:rsidRPr="00582EF5" w:rsidRDefault="00D66320" w:rsidP="00C21DE3">
            <w:pPr>
              <w:pStyle w:val="TableText"/>
              <w:spacing w:before="0" w:after="40"/>
            </w:pPr>
            <w:r w:rsidRPr="00582EF5">
              <w:t>Prohibition on production</w:t>
            </w:r>
          </w:p>
          <w:p w14:paraId="1D7E249A" w14:textId="77777777" w:rsidR="00D66320" w:rsidRPr="00582EF5" w:rsidRDefault="00D66320" w:rsidP="00C21DE3">
            <w:pPr>
              <w:pStyle w:val="TableText"/>
              <w:spacing w:before="0" w:after="40"/>
            </w:pPr>
            <w:r w:rsidRPr="00582EF5">
              <w:t>Prohibition on all uses</w:t>
            </w:r>
          </w:p>
          <w:p w14:paraId="0B4EEB9C" w14:textId="77777777" w:rsidR="00D66320" w:rsidRPr="00582EF5" w:rsidRDefault="00D66320" w:rsidP="00C21DE3">
            <w:pPr>
              <w:pStyle w:val="TableText"/>
              <w:spacing w:before="0" w:after="40"/>
            </w:pPr>
            <w:r w:rsidRPr="00582EF5">
              <w:t>Prohibition on import</w:t>
            </w:r>
          </w:p>
          <w:p w14:paraId="5C8B9095" w14:textId="2129CE2C" w:rsidR="00D66320" w:rsidRPr="00582EF5" w:rsidRDefault="00D66320" w:rsidP="00C21DE3">
            <w:pPr>
              <w:pStyle w:val="TableText"/>
              <w:spacing w:before="0" w:after="40"/>
            </w:pPr>
            <w:r w:rsidRPr="00582EF5">
              <w:t xml:space="preserve">Prohibition </w:t>
            </w:r>
            <w:r w:rsidR="00557A08" w:rsidRPr="00582EF5">
              <w:t>o</w:t>
            </w:r>
            <w:r w:rsidRPr="00582EF5">
              <w:t>n export</w:t>
            </w:r>
          </w:p>
        </w:tc>
        <w:tc>
          <w:tcPr>
            <w:tcW w:w="708" w:type="dxa"/>
          </w:tcPr>
          <w:p w14:paraId="71367D71" w14:textId="77777777" w:rsidR="00D66320" w:rsidRPr="00582EF5" w:rsidRDefault="00D66320" w:rsidP="00C21DE3">
            <w:pPr>
              <w:pStyle w:val="TableText"/>
              <w:spacing w:after="40"/>
              <w:jc w:val="center"/>
            </w:pPr>
            <w:r w:rsidRPr="00582EF5">
              <w:t>2016</w:t>
            </w:r>
          </w:p>
          <w:p w14:paraId="527745AC" w14:textId="77777777" w:rsidR="00D66320" w:rsidRPr="00582EF5" w:rsidRDefault="00D66320" w:rsidP="00C21DE3">
            <w:pPr>
              <w:pStyle w:val="TableText"/>
              <w:spacing w:before="0" w:after="40"/>
              <w:jc w:val="center"/>
            </w:pPr>
            <w:r w:rsidRPr="00582EF5">
              <w:t>2016</w:t>
            </w:r>
          </w:p>
          <w:p w14:paraId="44B8A76F" w14:textId="77777777" w:rsidR="00D66320" w:rsidRPr="00582EF5" w:rsidRDefault="00D66320" w:rsidP="00C21DE3">
            <w:pPr>
              <w:pStyle w:val="TableText"/>
              <w:spacing w:before="0" w:after="40"/>
              <w:jc w:val="center"/>
            </w:pPr>
            <w:r w:rsidRPr="00582EF5">
              <w:t>2016</w:t>
            </w:r>
          </w:p>
          <w:p w14:paraId="7AFC1FE4" w14:textId="77777777" w:rsidR="00D66320" w:rsidRPr="00582EF5" w:rsidRDefault="00D66320" w:rsidP="00C21DE3">
            <w:pPr>
              <w:pStyle w:val="TableText"/>
              <w:spacing w:before="0" w:after="40"/>
              <w:jc w:val="center"/>
            </w:pPr>
            <w:r w:rsidRPr="00582EF5">
              <w:t>2016</w:t>
            </w:r>
          </w:p>
          <w:p w14:paraId="3560747A" w14:textId="77777777" w:rsidR="00D66320" w:rsidRPr="00582EF5" w:rsidRDefault="00D66320" w:rsidP="00C21DE3">
            <w:pPr>
              <w:pStyle w:val="TableText"/>
              <w:spacing w:before="0"/>
              <w:jc w:val="center"/>
            </w:pPr>
            <w:r w:rsidRPr="00582EF5">
              <w:t>2016</w:t>
            </w:r>
          </w:p>
        </w:tc>
        <w:tc>
          <w:tcPr>
            <w:tcW w:w="2257" w:type="dxa"/>
          </w:tcPr>
          <w:p w14:paraId="50612F88" w14:textId="55AF8D6F" w:rsidR="00D66320" w:rsidRPr="00582EF5" w:rsidRDefault="00D66320" w:rsidP="00C21DE3">
            <w:pPr>
              <w:pStyle w:val="TableText"/>
            </w:pPr>
            <w:r w:rsidRPr="00582EF5">
              <w:t>Articles in use notification for expanded polystyrene and extruded polystyrene, which were manufactured before 1 January 2017</w:t>
            </w:r>
            <w:r w:rsidR="000C09A5">
              <w:t>. (No expiry</w:t>
            </w:r>
            <w:r w:rsidR="004F51A5">
              <w:t xml:space="preserve"> date)</w:t>
            </w:r>
            <w:r w:rsidR="003A15BE">
              <w:t>.</w:t>
            </w:r>
          </w:p>
        </w:tc>
      </w:tr>
      <w:tr w:rsidR="009B484D" w:rsidRPr="00582EF5" w14:paraId="26BD65F1" w14:textId="77777777" w:rsidTr="703AEB20">
        <w:tc>
          <w:tcPr>
            <w:tcW w:w="2410" w:type="dxa"/>
          </w:tcPr>
          <w:p w14:paraId="5186FD16" w14:textId="55317441" w:rsidR="00D66320" w:rsidRPr="00582EF5" w:rsidRDefault="00D66320" w:rsidP="00C21DE3">
            <w:pPr>
              <w:pStyle w:val="TableText"/>
            </w:pPr>
            <w:proofErr w:type="spellStart"/>
            <w:r w:rsidRPr="00582EF5">
              <w:t>Hexabromodiphenyl</w:t>
            </w:r>
            <w:proofErr w:type="spellEnd"/>
            <w:r w:rsidRPr="00582EF5">
              <w:t xml:space="preserve"> ether </w:t>
            </w:r>
            <w:r w:rsidR="003D7E67" w:rsidRPr="00582EF5">
              <w:t>(</w:t>
            </w:r>
            <w:proofErr w:type="spellStart"/>
            <w:r w:rsidR="006B554C">
              <w:rPr>
                <w:rFonts w:eastAsiaTheme="minorHAnsi"/>
                <w:lang w:eastAsia="en-US"/>
              </w:rPr>
              <w:t>h</w:t>
            </w:r>
            <w:r w:rsidR="006B554C" w:rsidRPr="00582EF5">
              <w:rPr>
                <w:rFonts w:eastAsiaTheme="minorHAnsi"/>
                <w:lang w:eastAsia="en-US"/>
              </w:rPr>
              <w:t>exaBDE</w:t>
            </w:r>
            <w:proofErr w:type="spellEnd"/>
            <w:r w:rsidR="003D7E67" w:rsidRPr="00582EF5">
              <w:rPr>
                <w:rFonts w:eastAsiaTheme="minorHAnsi"/>
                <w:lang w:eastAsia="en-US"/>
              </w:rPr>
              <w:t>)</w:t>
            </w:r>
            <w:r w:rsidR="003D7E67" w:rsidRPr="00582EF5">
              <w:t xml:space="preserve"> </w:t>
            </w:r>
            <w:r w:rsidRPr="00582EF5">
              <w:t xml:space="preserve">and </w:t>
            </w:r>
            <w:proofErr w:type="spellStart"/>
            <w:r w:rsidRPr="00582EF5">
              <w:t>heptabromodiphenyl</w:t>
            </w:r>
            <w:proofErr w:type="spellEnd"/>
            <w:r w:rsidRPr="00582EF5">
              <w:t xml:space="preserve"> ether </w:t>
            </w:r>
            <w:r w:rsidR="003D7E67" w:rsidRPr="00582EF5">
              <w:t>(</w:t>
            </w:r>
            <w:proofErr w:type="spellStart"/>
            <w:r w:rsidR="006B554C">
              <w:rPr>
                <w:rFonts w:eastAsiaTheme="minorHAnsi"/>
                <w:lang w:eastAsia="en-US"/>
              </w:rPr>
              <w:t>h</w:t>
            </w:r>
            <w:r w:rsidR="006B554C" w:rsidRPr="00582EF5">
              <w:rPr>
                <w:rFonts w:eastAsiaTheme="minorHAnsi"/>
                <w:lang w:eastAsia="en-US"/>
              </w:rPr>
              <w:t>eptaBDE</w:t>
            </w:r>
            <w:proofErr w:type="spellEnd"/>
            <w:r w:rsidR="003D7E67" w:rsidRPr="00582EF5">
              <w:rPr>
                <w:rFonts w:eastAsiaTheme="minorHAnsi"/>
                <w:lang w:eastAsia="en-US"/>
              </w:rPr>
              <w:t>)</w:t>
            </w:r>
            <w:r w:rsidR="003D7E67" w:rsidRPr="00582EF5">
              <w:t xml:space="preserve"> </w:t>
            </w:r>
            <w:r w:rsidRPr="00582EF5">
              <w:t xml:space="preserve">(commercial </w:t>
            </w:r>
            <w:proofErr w:type="spellStart"/>
            <w:r w:rsidRPr="00582EF5">
              <w:t>octabromodiphenyl</w:t>
            </w:r>
            <w:proofErr w:type="spellEnd"/>
            <w:r w:rsidRPr="00582EF5">
              <w:t xml:space="preserve"> ether</w:t>
            </w:r>
            <w:r w:rsidR="003D7E67" w:rsidRPr="00582EF5">
              <w:t xml:space="preserve"> (</w:t>
            </w:r>
            <w:r w:rsidR="003D7E67" w:rsidRPr="00582EF5">
              <w:rPr>
                <w:rFonts w:eastAsiaTheme="minorHAnsi"/>
              </w:rPr>
              <w:t>c</w:t>
            </w:r>
            <w:r w:rsidR="003D7E67" w:rsidRPr="00582EF5">
              <w:rPr>
                <w:rFonts w:eastAsiaTheme="minorHAnsi"/>
              </w:rPr>
              <w:noBreakHyphen/>
            </w:r>
            <w:proofErr w:type="spellStart"/>
            <w:r w:rsidR="00E65A06" w:rsidRPr="00582EF5">
              <w:rPr>
                <w:rFonts w:eastAsiaTheme="minorHAnsi"/>
              </w:rPr>
              <w:t>o</w:t>
            </w:r>
            <w:r w:rsidR="003D7E67" w:rsidRPr="00582EF5">
              <w:rPr>
                <w:rFonts w:eastAsiaTheme="minorHAnsi"/>
              </w:rPr>
              <w:t>ctaBDE</w:t>
            </w:r>
            <w:proofErr w:type="spellEnd"/>
            <w:r w:rsidR="003D7E67" w:rsidRPr="00582EF5">
              <w:rPr>
                <w:rFonts w:eastAsiaTheme="minorHAnsi"/>
              </w:rPr>
              <w:t>)</w:t>
            </w:r>
            <w:r w:rsidRPr="00582EF5">
              <w:t xml:space="preserve">) </w:t>
            </w:r>
          </w:p>
        </w:tc>
        <w:tc>
          <w:tcPr>
            <w:tcW w:w="3119" w:type="dxa"/>
          </w:tcPr>
          <w:p w14:paraId="42A8052A" w14:textId="77777777" w:rsidR="00D66320" w:rsidRPr="00582EF5" w:rsidRDefault="00D66320" w:rsidP="00C21DE3">
            <w:pPr>
              <w:pStyle w:val="TableText"/>
              <w:spacing w:after="40"/>
            </w:pPr>
            <w:r w:rsidRPr="00582EF5">
              <w:t>Restriction in accordance with Annex A</w:t>
            </w:r>
          </w:p>
          <w:p w14:paraId="42DB03BC" w14:textId="77777777" w:rsidR="00D66320" w:rsidRPr="00582EF5" w:rsidRDefault="00D66320" w:rsidP="00C21DE3">
            <w:pPr>
              <w:pStyle w:val="TableText"/>
              <w:spacing w:before="0" w:after="40"/>
            </w:pPr>
            <w:r w:rsidRPr="00582EF5">
              <w:t>Prohibition on production</w:t>
            </w:r>
          </w:p>
          <w:p w14:paraId="672B1737" w14:textId="77777777" w:rsidR="00D66320" w:rsidRPr="00582EF5" w:rsidRDefault="00D66320" w:rsidP="00C21DE3">
            <w:pPr>
              <w:pStyle w:val="TableText"/>
              <w:spacing w:before="0" w:after="40"/>
            </w:pPr>
            <w:r w:rsidRPr="00582EF5">
              <w:t>Prohibition on all uses</w:t>
            </w:r>
          </w:p>
          <w:p w14:paraId="7B26839A" w14:textId="77777777" w:rsidR="00D66320" w:rsidRPr="00582EF5" w:rsidRDefault="00D66320" w:rsidP="00C21DE3">
            <w:pPr>
              <w:pStyle w:val="TableText"/>
              <w:spacing w:before="0" w:after="40"/>
            </w:pPr>
            <w:r w:rsidRPr="00582EF5">
              <w:t>Prohibition on import</w:t>
            </w:r>
          </w:p>
          <w:p w14:paraId="258376DD" w14:textId="5BD72EB9" w:rsidR="00D66320" w:rsidRPr="00582EF5" w:rsidRDefault="00D66320" w:rsidP="00C21DE3">
            <w:pPr>
              <w:pStyle w:val="TableText"/>
              <w:spacing w:before="0"/>
            </w:pPr>
            <w:r w:rsidRPr="00582EF5">
              <w:t xml:space="preserve">Prohibition </w:t>
            </w:r>
            <w:r w:rsidR="00557A08" w:rsidRPr="00582EF5">
              <w:t>o</w:t>
            </w:r>
            <w:r w:rsidRPr="00582EF5">
              <w:t>n export</w:t>
            </w:r>
          </w:p>
        </w:tc>
        <w:tc>
          <w:tcPr>
            <w:tcW w:w="708" w:type="dxa"/>
          </w:tcPr>
          <w:p w14:paraId="3F73D094" w14:textId="77777777" w:rsidR="00D66320" w:rsidRPr="00582EF5" w:rsidRDefault="00D66320" w:rsidP="00C21DE3">
            <w:pPr>
              <w:pStyle w:val="TableText"/>
              <w:spacing w:after="40"/>
              <w:jc w:val="center"/>
            </w:pPr>
            <w:r w:rsidRPr="00582EF5">
              <w:t>2016</w:t>
            </w:r>
          </w:p>
          <w:p w14:paraId="5915A4DE" w14:textId="77777777" w:rsidR="00D66320" w:rsidRPr="00582EF5" w:rsidRDefault="00D66320" w:rsidP="00C21DE3">
            <w:pPr>
              <w:pStyle w:val="TableText"/>
              <w:spacing w:before="0" w:after="40"/>
              <w:jc w:val="center"/>
            </w:pPr>
            <w:r w:rsidRPr="00582EF5">
              <w:t>2011</w:t>
            </w:r>
          </w:p>
          <w:p w14:paraId="2E62B017" w14:textId="77777777" w:rsidR="00D66320" w:rsidRPr="00582EF5" w:rsidRDefault="00D66320" w:rsidP="00C21DE3">
            <w:pPr>
              <w:pStyle w:val="TableText"/>
              <w:spacing w:before="0" w:after="40"/>
              <w:jc w:val="center"/>
            </w:pPr>
            <w:r w:rsidRPr="00582EF5">
              <w:t>2011</w:t>
            </w:r>
          </w:p>
          <w:p w14:paraId="1B0A3B39" w14:textId="77777777" w:rsidR="00D66320" w:rsidRPr="00582EF5" w:rsidRDefault="00D66320" w:rsidP="00C21DE3">
            <w:pPr>
              <w:pStyle w:val="TableText"/>
              <w:spacing w:before="0" w:after="40"/>
              <w:jc w:val="center"/>
            </w:pPr>
            <w:r w:rsidRPr="00582EF5">
              <w:t>2011</w:t>
            </w:r>
          </w:p>
          <w:p w14:paraId="728EBD84" w14:textId="77777777" w:rsidR="00D66320" w:rsidRPr="00582EF5" w:rsidRDefault="00D66320" w:rsidP="00C21DE3">
            <w:pPr>
              <w:pStyle w:val="TableText"/>
              <w:spacing w:before="0"/>
              <w:jc w:val="center"/>
            </w:pPr>
            <w:r w:rsidRPr="00582EF5">
              <w:t>2011</w:t>
            </w:r>
          </w:p>
        </w:tc>
        <w:tc>
          <w:tcPr>
            <w:tcW w:w="2257" w:type="dxa"/>
          </w:tcPr>
          <w:p w14:paraId="6909598D" w14:textId="63768D74" w:rsidR="00D66320" w:rsidRPr="00582EF5" w:rsidRDefault="00D66320" w:rsidP="00C21DE3">
            <w:pPr>
              <w:pStyle w:val="TableText"/>
            </w:pPr>
            <w:r w:rsidRPr="00582EF5">
              <w:t>N/A</w:t>
            </w:r>
          </w:p>
        </w:tc>
      </w:tr>
      <w:tr w:rsidR="009B484D" w:rsidRPr="00582EF5" w14:paraId="6A2D6F88" w14:textId="77777777" w:rsidTr="703AEB20">
        <w:tc>
          <w:tcPr>
            <w:tcW w:w="2410" w:type="dxa"/>
          </w:tcPr>
          <w:p w14:paraId="4AFCA1B9" w14:textId="77777777" w:rsidR="00D66320" w:rsidRPr="00582EF5" w:rsidRDefault="00D66320" w:rsidP="00C21DE3">
            <w:pPr>
              <w:pStyle w:val="TableText"/>
            </w:pPr>
            <w:r w:rsidRPr="00582EF5">
              <w:t>Hexachlorobutadiene (HCBD)</w:t>
            </w:r>
          </w:p>
        </w:tc>
        <w:tc>
          <w:tcPr>
            <w:tcW w:w="3119" w:type="dxa"/>
          </w:tcPr>
          <w:p w14:paraId="58D50182" w14:textId="77777777" w:rsidR="00D66320" w:rsidRPr="00582EF5" w:rsidRDefault="00D66320" w:rsidP="00C21DE3">
            <w:pPr>
              <w:pStyle w:val="TableText"/>
              <w:spacing w:after="40"/>
            </w:pPr>
            <w:r w:rsidRPr="00582EF5">
              <w:t>Restriction in accordance with Annex A</w:t>
            </w:r>
          </w:p>
          <w:p w14:paraId="7EA7C71E" w14:textId="77777777" w:rsidR="00D66320" w:rsidRPr="00582EF5" w:rsidRDefault="00D66320" w:rsidP="00C21DE3">
            <w:pPr>
              <w:pStyle w:val="TableText"/>
              <w:spacing w:before="0" w:after="40"/>
            </w:pPr>
            <w:r w:rsidRPr="00582EF5">
              <w:t>Prohibition on production</w:t>
            </w:r>
          </w:p>
          <w:p w14:paraId="058EC383" w14:textId="77777777" w:rsidR="00D66320" w:rsidRPr="00582EF5" w:rsidRDefault="00D66320" w:rsidP="00C21DE3">
            <w:pPr>
              <w:pStyle w:val="TableText"/>
              <w:spacing w:before="0" w:after="40"/>
            </w:pPr>
            <w:r w:rsidRPr="00582EF5">
              <w:t>Prohibition on all uses</w:t>
            </w:r>
          </w:p>
          <w:p w14:paraId="50EF2492" w14:textId="77777777" w:rsidR="00D66320" w:rsidRPr="00582EF5" w:rsidRDefault="00D66320" w:rsidP="00C21DE3">
            <w:pPr>
              <w:pStyle w:val="TableText"/>
              <w:spacing w:before="0" w:after="40"/>
            </w:pPr>
            <w:r w:rsidRPr="00582EF5">
              <w:t>Prohibition on import</w:t>
            </w:r>
          </w:p>
          <w:p w14:paraId="197A0BA9" w14:textId="692846A5" w:rsidR="00D66320" w:rsidRPr="00582EF5" w:rsidRDefault="00D66320" w:rsidP="00C21DE3">
            <w:pPr>
              <w:pStyle w:val="TableText"/>
              <w:spacing w:before="0"/>
            </w:pPr>
            <w:r w:rsidRPr="00582EF5">
              <w:t xml:space="preserve">Prohibition </w:t>
            </w:r>
            <w:r w:rsidR="00557A08" w:rsidRPr="00582EF5">
              <w:t>o</w:t>
            </w:r>
            <w:r w:rsidRPr="00582EF5">
              <w:t>n export</w:t>
            </w:r>
          </w:p>
        </w:tc>
        <w:tc>
          <w:tcPr>
            <w:tcW w:w="708" w:type="dxa"/>
          </w:tcPr>
          <w:p w14:paraId="7A1E0A2D" w14:textId="77777777" w:rsidR="00D66320" w:rsidRPr="00582EF5" w:rsidRDefault="00D66320" w:rsidP="00C21DE3">
            <w:pPr>
              <w:pStyle w:val="TableText"/>
              <w:spacing w:after="40"/>
              <w:jc w:val="center"/>
            </w:pPr>
            <w:r w:rsidRPr="00582EF5">
              <w:t>2016</w:t>
            </w:r>
          </w:p>
          <w:p w14:paraId="6D79563F" w14:textId="77777777" w:rsidR="00D66320" w:rsidRPr="00582EF5" w:rsidRDefault="00D66320" w:rsidP="00C21DE3">
            <w:pPr>
              <w:pStyle w:val="TableText"/>
              <w:spacing w:before="0" w:after="40"/>
              <w:jc w:val="center"/>
            </w:pPr>
            <w:r w:rsidRPr="00582EF5">
              <w:t>2016</w:t>
            </w:r>
          </w:p>
          <w:p w14:paraId="62EE94B6" w14:textId="77777777" w:rsidR="00D66320" w:rsidRPr="00582EF5" w:rsidRDefault="00D66320" w:rsidP="00C21DE3">
            <w:pPr>
              <w:pStyle w:val="TableText"/>
              <w:spacing w:before="0" w:after="40"/>
              <w:jc w:val="center"/>
            </w:pPr>
            <w:r w:rsidRPr="00582EF5">
              <w:t>2016</w:t>
            </w:r>
          </w:p>
          <w:p w14:paraId="75CC049F" w14:textId="77777777" w:rsidR="00D66320" w:rsidRPr="00582EF5" w:rsidRDefault="00D66320" w:rsidP="00C21DE3">
            <w:pPr>
              <w:pStyle w:val="TableText"/>
              <w:spacing w:before="0" w:after="40"/>
              <w:jc w:val="center"/>
            </w:pPr>
            <w:r w:rsidRPr="00582EF5">
              <w:t>2016</w:t>
            </w:r>
          </w:p>
          <w:p w14:paraId="2EDA474B" w14:textId="77777777" w:rsidR="00D66320" w:rsidRPr="00582EF5" w:rsidRDefault="00D66320" w:rsidP="00C21DE3">
            <w:pPr>
              <w:pStyle w:val="TableText"/>
              <w:spacing w:before="0"/>
              <w:jc w:val="center"/>
            </w:pPr>
            <w:r w:rsidRPr="00582EF5">
              <w:t>2016</w:t>
            </w:r>
          </w:p>
        </w:tc>
        <w:tc>
          <w:tcPr>
            <w:tcW w:w="2257" w:type="dxa"/>
          </w:tcPr>
          <w:p w14:paraId="06EDC1B8" w14:textId="77777777" w:rsidR="00D66320" w:rsidRPr="00582EF5" w:rsidRDefault="00D66320" w:rsidP="00C21DE3">
            <w:pPr>
              <w:pStyle w:val="TableText"/>
            </w:pPr>
          </w:p>
        </w:tc>
      </w:tr>
      <w:tr w:rsidR="009B484D" w:rsidRPr="00582EF5" w14:paraId="2D2F6468" w14:textId="77777777" w:rsidTr="703AEB20">
        <w:tc>
          <w:tcPr>
            <w:tcW w:w="2410" w:type="dxa"/>
          </w:tcPr>
          <w:p w14:paraId="6C1C9D61" w14:textId="77777777" w:rsidR="00D66320" w:rsidRPr="00582EF5" w:rsidRDefault="00D66320" w:rsidP="00C21DE3">
            <w:pPr>
              <w:pStyle w:val="TableText"/>
            </w:pPr>
            <w:r w:rsidRPr="00582EF5">
              <w:t>Lindane</w:t>
            </w:r>
          </w:p>
        </w:tc>
        <w:tc>
          <w:tcPr>
            <w:tcW w:w="3119" w:type="dxa"/>
          </w:tcPr>
          <w:p w14:paraId="20CE7E70" w14:textId="77777777" w:rsidR="00D66320" w:rsidRPr="00582EF5" w:rsidRDefault="00D66320" w:rsidP="00C21DE3">
            <w:pPr>
              <w:pStyle w:val="TableText"/>
              <w:spacing w:after="40"/>
            </w:pPr>
            <w:r w:rsidRPr="00582EF5">
              <w:t>Restriction in accordance with Annex A</w:t>
            </w:r>
          </w:p>
          <w:p w14:paraId="2CD54D41" w14:textId="77777777" w:rsidR="00D66320" w:rsidRPr="00582EF5" w:rsidRDefault="00D66320" w:rsidP="00C21DE3">
            <w:pPr>
              <w:pStyle w:val="TableText"/>
              <w:spacing w:before="0" w:after="40"/>
            </w:pPr>
            <w:r w:rsidRPr="00582EF5">
              <w:t>Prohibition on production</w:t>
            </w:r>
          </w:p>
          <w:p w14:paraId="0E0183CB" w14:textId="77777777" w:rsidR="00D66320" w:rsidRPr="00582EF5" w:rsidRDefault="00D66320" w:rsidP="00C21DE3">
            <w:pPr>
              <w:pStyle w:val="TableText"/>
              <w:spacing w:before="0" w:after="40"/>
            </w:pPr>
            <w:r w:rsidRPr="00582EF5">
              <w:lastRenderedPageBreak/>
              <w:t>Prohibition on all uses</w:t>
            </w:r>
          </w:p>
          <w:p w14:paraId="6B29B9AB" w14:textId="77777777" w:rsidR="00D66320" w:rsidRPr="00582EF5" w:rsidRDefault="00D66320" w:rsidP="00C21DE3">
            <w:pPr>
              <w:pStyle w:val="TableText"/>
              <w:spacing w:before="0" w:after="40"/>
            </w:pPr>
            <w:r w:rsidRPr="00582EF5">
              <w:t>Prohibition on import</w:t>
            </w:r>
          </w:p>
          <w:p w14:paraId="790BBC0A" w14:textId="492B272B" w:rsidR="00D66320" w:rsidRPr="00582EF5" w:rsidRDefault="00D66320" w:rsidP="00C21DE3">
            <w:pPr>
              <w:pStyle w:val="TableText"/>
              <w:spacing w:before="0"/>
            </w:pPr>
            <w:r w:rsidRPr="00582EF5">
              <w:t xml:space="preserve">Prohibition </w:t>
            </w:r>
            <w:r w:rsidR="00557A08" w:rsidRPr="00582EF5">
              <w:t>o</w:t>
            </w:r>
            <w:r w:rsidRPr="00582EF5">
              <w:t>n export</w:t>
            </w:r>
          </w:p>
        </w:tc>
        <w:tc>
          <w:tcPr>
            <w:tcW w:w="708" w:type="dxa"/>
          </w:tcPr>
          <w:p w14:paraId="5239B535" w14:textId="77777777" w:rsidR="00D66320" w:rsidRPr="00582EF5" w:rsidRDefault="00D66320" w:rsidP="00C21DE3">
            <w:pPr>
              <w:pStyle w:val="TableText"/>
              <w:spacing w:after="40"/>
              <w:jc w:val="center"/>
            </w:pPr>
            <w:r w:rsidRPr="00582EF5">
              <w:lastRenderedPageBreak/>
              <w:t>2016</w:t>
            </w:r>
          </w:p>
          <w:p w14:paraId="0AE9898D" w14:textId="77777777" w:rsidR="00D66320" w:rsidRPr="00582EF5" w:rsidRDefault="00D66320" w:rsidP="00C21DE3">
            <w:pPr>
              <w:pStyle w:val="TableText"/>
              <w:spacing w:before="0" w:after="40"/>
              <w:jc w:val="center"/>
            </w:pPr>
            <w:r w:rsidRPr="00582EF5">
              <w:t>2011</w:t>
            </w:r>
          </w:p>
          <w:p w14:paraId="3C4E8ACA" w14:textId="77777777" w:rsidR="00D66320" w:rsidRPr="00582EF5" w:rsidRDefault="00D66320" w:rsidP="00C21DE3">
            <w:pPr>
              <w:pStyle w:val="TableText"/>
              <w:spacing w:before="0" w:after="40"/>
              <w:jc w:val="center"/>
            </w:pPr>
            <w:r w:rsidRPr="00582EF5">
              <w:lastRenderedPageBreak/>
              <w:t>2015</w:t>
            </w:r>
          </w:p>
          <w:p w14:paraId="2C2F3370" w14:textId="77777777" w:rsidR="00D66320" w:rsidRPr="00582EF5" w:rsidRDefault="00D66320" w:rsidP="00C21DE3">
            <w:pPr>
              <w:pStyle w:val="TableText"/>
              <w:spacing w:before="0" w:after="40"/>
              <w:jc w:val="center"/>
            </w:pPr>
            <w:r w:rsidRPr="00582EF5">
              <w:t>2011</w:t>
            </w:r>
          </w:p>
          <w:p w14:paraId="29D5112D" w14:textId="77777777" w:rsidR="00D66320" w:rsidRPr="00582EF5" w:rsidRDefault="00D66320" w:rsidP="00C21DE3">
            <w:pPr>
              <w:pStyle w:val="TableText"/>
              <w:spacing w:before="0"/>
              <w:jc w:val="center"/>
            </w:pPr>
            <w:r w:rsidRPr="00582EF5">
              <w:t>2011</w:t>
            </w:r>
          </w:p>
        </w:tc>
        <w:tc>
          <w:tcPr>
            <w:tcW w:w="2257" w:type="dxa"/>
          </w:tcPr>
          <w:p w14:paraId="6E00BBBE" w14:textId="663A2B63" w:rsidR="00D66320" w:rsidRPr="00582EF5" w:rsidRDefault="00D66320" w:rsidP="00C21DE3">
            <w:pPr>
              <w:pStyle w:val="TableText"/>
            </w:pPr>
            <w:r w:rsidRPr="00582EF5">
              <w:lastRenderedPageBreak/>
              <w:t xml:space="preserve">Exemption for human health pharmaceutical for </w:t>
            </w:r>
            <w:r w:rsidRPr="00582EF5">
              <w:lastRenderedPageBreak/>
              <w:t>control of head lice and scabies second</w:t>
            </w:r>
            <w:r w:rsidR="00557A08" w:rsidRPr="00582EF5">
              <w:t>-</w:t>
            </w:r>
            <w:r w:rsidRPr="00582EF5">
              <w:t>line treatment, which ended 25</w:t>
            </w:r>
            <w:r w:rsidR="009E0475" w:rsidRPr="00582EF5">
              <w:t> </w:t>
            </w:r>
            <w:r w:rsidRPr="00582EF5">
              <w:t>August 2015</w:t>
            </w:r>
            <w:r w:rsidR="003A15BE">
              <w:t>.</w:t>
            </w:r>
          </w:p>
        </w:tc>
      </w:tr>
      <w:tr w:rsidR="009B484D" w:rsidRPr="00582EF5" w14:paraId="6B9A53A4" w14:textId="77777777" w:rsidTr="703AEB20">
        <w:tc>
          <w:tcPr>
            <w:tcW w:w="2410" w:type="dxa"/>
          </w:tcPr>
          <w:p w14:paraId="0E2BB157" w14:textId="77777777" w:rsidR="00D66320" w:rsidRPr="00582EF5" w:rsidRDefault="00D66320" w:rsidP="00C21DE3">
            <w:pPr>
              <w:pStyle w:val="TableText"/>
            </w:pPr>
            <w:proofErr w:type="spellStart"/>
            <w:r w:rsidRPr="00582EF5">
              <w:lastRenderedPageBreak/>
              <w:t>Pentachlorobenzene</w:t>
            </w:r>
            <w:proofErr w:type="spellEnd"/>
            <w:r w:rsidRPr="00582EF5">
              <w:t xml:space="preserve"> (</w:t>
            </w:r>
            <w:proofErr w:type="spellStart"/>
            <w:r w:rsidRPr="00582EF5">
              <w:t>PeCB</w:t>
            </w:r>
            <w:proofErr w:type="spellEnd"/>
            <w:r w:rsidRPr="00582EF5">
              <w:t>)</w:t>
            </w:r>
          </w:p>
        </w:tc>
        <w:tc>
          <w:tcPr>
            <w:tcW w:w="3119" w:type="dxa"/>
          </w:tcPr>
          <w:p w14:paraId="3D3F1BFD" w14:textId="77777777" w:rsidR="00D66320" w:rsidRPr="00582EF5" w:rsidRDefault="00D66320" w:rsidP="00C21DE3">
            <w:pPr>
              <w:pStyle w:val="TableText"/>
              <w:spacing w:after="40"/>
            </w:pPr>
            <w:r w:rsidRPr="00582EF5">
              <w:t>Restriction in accordance with Annex A</w:t>
            </w:r>
          </w:p>
          <w:p w14:paraId="39219A65" w14:textId="77777777" w:rsidR="00D66320" w:rsidRPr="00582EF5" w:rsidRDefault="00D66320" w:rsidP="00C21DE3">
            <w:pPr>
              <w:pStyle w:val="TableText"/>
              <w:spacing w:before="0" w:after="40"/>
            </w:pPr>
            <w:r w:rsidRPr="00582EF5">
              <w:t>Prohibition on production</w:t>
            </w:r>
          </w:p>
          <w:p w14:paraId="592CD43B" w14:textId="77777777" w:rsidR="00D66320" w:rsidRPr="00582EF5" w:rsidRDefault="00D66320" w:rsidP="00C21DE3">
            <w:pPr>
              <w:pStyle w:val="TableText"/>
              <w:spacing w:before="0" w:after="40"/>
            </w:pPr>
            <w:r w:rsidRPr="00582EF5">
              <w:t>Prohibition on all uses</w:t>
            </w:r>
          </w:p>
          <w:p w14:paraId="27D6B679" w14:textId="77777777" w:rsidR="00D66320" w:rsidRPr="00582EF5" w:rsidRDefault="00D66320" w:rsidP="00C21DE3">
            <w:pPr>
              <w:pStyle w:val="TableText"/>
              <w:spacing w:before="0" w:after="40"/>
            </w:pPr>
            <w:r w:rsidRPr="00582EF5">
              <w:t>Prohibition on import</w:t>
            </w:r>
          </w:p>
          <w:p w14:paraId="40747949" w14:textId="38620259" w:rsidR="00D66320" w:rsidRPr="00582EF5" w:rsidRDefault="00D66320" w:rsidP="00C21DE3">
            <w:pPr>
              <w:pStyle w:val="TableText"/>
              <w:spacing w:before="0"/>
            </w:pPr>
            <w:r w:rsidRPr="00582EF5">
              <w:t xml:space="preserve">Prohibition </w:t>
            </w:r>
            <w:r w:rsidR="00557A08" w:rsidRPr="00582EF5">
              <w:t>o</w:t>
            </w:r>
            <w:r w:rsidRPr="00582EF5">
              <w:t>n export</w:t>
            </w:r>
          </w:p>
        </w:tc>
        <w:tc>
          <w:tcPr>
            <w:tcW w:w="708" w:type="dxa"/>
          </w:tcPr>
          <w:p w14:paraId="4F5DCC9F" w14:textId="77777777" w:rsidR="00D66320" w:rsidRPr="00582EF5" w:rsidRDefault="00D66320" w:rsidP="00C21DE3">
            <w:pPr>
              <w:pStyle w:val="TableText"/>
              <w:spacing w:after="40"/>
              <w:jc w:val="center"/>
            </w:pPr>
            <w:r w:rsidRPr="00582EF5">
              <w:t>2016</w:t>
            </w:r>
          </w:p>
          <w:p w14:paraId="5C7FC734" w14:textId="77777777" w:rsidR="00D66320" w:rsidRPr="00582EF5" w:rsidRDefault="00D66320" w:rsidP="00C21DE3">
            <w:pPr>
              <w:pStyle w:val="TableText"/>
              <w:spacing w:before="0" w:after="40"/>
              <w:jc w:val="center"/>
            </w:pPr>
            <w:r w:rsidRPr="00582EF5">
              <w:t>2011</w:t>
            </w:r>
          </w:p>
          <w:p w14:paraId="2D09EEC2" w14:textId="77777777" w:rsidR="00D66320" w:rsidRPr="00582EF5" w:rsidRDefault="00D66320" w:rsidP="00C21DE3">
            <w:pPr>
              <w:pStyle w:val="TableText"/>
              <w:spacing w:before="0" w:after="40"/>
              <w:jc w:val="center"/>
            </w:pPr>
            <w:r w:rsidRPr="00582EF5">
              <w:t>2011</w:t>
            </w:r>
          </w:p>
          <w:p w14:paraId="71194C49" w14:textId="77777777" w:rsidR="00D66320" w:rsidRPr="00582EF5" w:rsidRDefault="00D66320" w:rsidP="00C21DE3">
            <w:pPr>
              <w:pStyle w:val="TableText"/>
              <w:spacing w:before="0" w:after="40"/>
              <w:jc w:val="center"/>
            </w:pPr>
            <w:r w:rsidRPr="00582EF5">
              <w:t>2011</w:t>
            </w:r>
          </w:p>
          <w:p w14:paraId="7290751E" w14:textId="77777777" w:rsidR="00D66320" w:rsidRPr="00582EF5" w:rsidRDefault="00D66320" w:rsidP="00C21DE3">
            <w:pPr>
              <w:pStyle w:val="TableText"/>
              <w:spacing w:before="0"/>
              <w:jc w:val="center"/>
            </w:pPr>
            <w:r w:rsidRPr="00582EF5">
              <w:t>2011</w:t>
            </w:r>
          </w:p>
        </w:tc>
        <w:tc>
          <w:tcPr>
            <w:tcW w:w="2257" w:type="dxa"/>
          </w:tcPr>
          <w:p w14:paraId="2AE9EF9E" w14:textId="3A00C071" w:rsidR="00D66320" w:rsidRPr="00582EF5" w:rsidRDefault="00D66320" w:rsidP="00C21DE3">
            <w:pPr>
              <w:pStyle w:val="TableText"/>
            </w:pPr>
            <w:r w:rsidRPr="00582EF5">
              <w:t>N/A</w:t>
            </w:r>
          </w:p>
        </w:tc>
      </w:tr>
      <w:tr w:rsidR="009B484D" w:rsidRPr="00582EF5" w14:paraId="3CD304DB" w14:textId="77777777" w:rsidTr="703AEB20">
        <w:tc>
          <w:tcPr>
            <w:tcW w:w="2410" w:type="dxa"/>
          </w:tcPr>
          <w:p w14:paraId="1A87B337" w14:textId="77777777" w:rsidR="00D66320" w:rsidRPr="00582EF5" w:rsidRDefault="00D66320" w:rsidP="00C21DE3">
            <w:pPr>
              <w:pStyle w:val="TableText"/>
            </w:pPr>
            <w:r w:rsidRPr="00582EF5">
              <w:t xml:space="preserve">Pentachlorophenol (PCP) and its salts and esters </w:t>
            </w:r>
          </w:p>
        </w:tc>
        <w:tc>
          <w:tcPr>
            <w:tcW w:w="3119" w:type="dxa"/>
          </w:tcPr>
          <w:p w14:paraId="62F3098A" w14:textId="77777777" w:rsidR="00D66320" w:rsidRPr="00582EF5" w:rsidRDefault="00D66320" w:rsidP="00C21DE3">
            <w:pPr>
              <w:pStyle w:val="TableText"/>
              <w:spacing w:after="40"/>
            </w:pPr>
            <w:r w:rsidRPr="00582EF5">
              <w:t>Restriction in accordance with Annex A</w:t>
            </w:r>
          </w:p>
          <w:p w14:paraId="20C1D4B1" w14:textId="77777777" w:rsidR="00D66320" w:rsidRPr="00582EF5" w:rsidRDefault="00D66320" w:rsidP="00C21DE3">
            <w:pPr>
              <w:pStyle w:val="TableText"/>
              <w:spacing w:before="0" w:after="40"/>
            </w:pPr>
            <w:r w:rsidRPr="00582EF5">
              <w:t>Prohibition on production</w:t>
            </w:r>
          </w:p>
          <w:p w14:paraId="470950CF" w14:textId="77777777" w:rsidR="00D66320" w:rsidRPr="00582EF5" w:rsidRDefault="00D66320" w:rsidP="00C21DE3">
            <w:pPr>
              <w:pStyle w:val="TableText"/>
              <w:spacing w:before="0" w:after="40"/>
            </w:pPr>
            <w:r w:rsidRPr="00582EF5">
              <w:t>Prohibition on all uses</w:t>
            </w:r>
          </w:p>
          <w:p w14:paraId="4B6DEC1E" w14:textId="77777777" w:rsidR="00D66320" w:rsidRPr="00582EF5" w:rsidRDefault="00D66320" w:rsidP="00C21DE3">
            <w:pPr>
              <w:pStyle w:val="TableText"/>
              <w:spacing w:before="0" w:after="40"/>
            </w:pPr>
            <w:r w:rsidRPr="00582EF5">
              <w:t>Prohibition on import</w:t>
            </w:r>
          </w:p>
          <w:p w14:paraId="2EB07EE4" w14:textId="2300D9B0" w:rsidR="00D66320" w:rsidRPr="00582EF5" w:rsidRDefault="00D66320" w:rsidP="00C21DE3">
            <w:pPr>
              <w:pStyle w:val="TableText"/>
              <w:spacing w:before="0"/>
            </w:pPr>
            <w:r w:rsidRPr="00582EF5">
              <w:t xml:space="preserve">Prohibition </w:t>
            </w:r>
            <w:r w:rsidR="00557A08" w:rsidRPr="00582EF5">
              <w:t>o</w:t>
            </w:r>
            <w:r w:rsidRPr="00582EF5">
              <w:t>n export</w:t>
            </w:r>
          </w:p>
        </w:tc>
        <w:tc>
          <w:tcPr>
            <w:tcW w:w="708" w:type="dxa"/>
          </w:tcPr>
          <w:p w14:paraId="4400AC8C" w14:textId="77777777" w:rsidR="00D66320" w:rsidRPr="00582EF5" w:rsidRDefault="00D66320" w:rsidP="00C21DE3">
            <w:pPr>
              <w:pStyle w:val="TableText"/>
              <w:spacing w:after="40"/>
              <w:jc w:val="center"/>
            </w:pPr>
            <w:r w:rsidRPr="00582EF5">
              <w:t>2016</w:t>
            </w:r>
          </w:p>
          <w:p w14:paraId="68E847C8" w14:textId="77777777" w:rsidR="00D66320" w:rsidRPr="00582EF5" w:rsidRDefault="00D66320" w:rsidP="00C21DE3">
            <w:pPr>
              <w:pStyle w:val="TableText"/>
              <w:spacing w:before="0" w:after="40"/>
              <w:jc w:val="center"/>
            </w:pPr>
            <w:r w:rsidRPr="00582EF5">
              <w:t>2008</w:t>
            </w:r>
          </w:p>
          <w:p w14:paraId="3216A417" w14:textId="77777777" w:rsidR="00D66320" w:rsidRPr="00582EF5" w:rsidRDefault="00D66320" w:rsidP="00C21DE3">
            <w:pPr>
              <w:pStyle w:val="TableText"/>
              <w:spacing w:before="0" w:after="40"/>
              <w:jc w:val="center"/>
            </w:pPr>
            <w:r w:rsidRPr="00582EF5">
              <w:t>2008</w:t>
            </w:r>
          </w:p>
          <w:p w14:paraId="29A1D76E" w14:textId="77777777" w:rsidR="00D66320" w:rsidRPr="00582EF5" w:rsidRDefault="00D66320" w:rsidP="00C21DE3">
            <w:pPr>
              <w:pStyle w:val="TableText"/>
              <w:spacing w:before="0" w:after="40"/>
              <w:jc w:val="center"/>
            </w:pPr>
            <w:r w:rsidRPr="00582EF5">
              <w:t>2008</w:t>
            </w:r>
          </w:p>
          <w:p w14:paraId="40D25EF8" w14:textId="77777777" w:rsidR="00D66320" w:rsidRPr="00582EF5" w:rsidRDefault="00D66320" w:rsidP="00C21DE3">
            <w:pPr>
              <w:pStyle w:val="TableText"/>
              <w:spacing w:before="0"/>
              <w:jc w:val="center"/>
            </w:pPr>
            <w:r w:rsidRPr="00582EF5">
              <w:t>2016</w:t>
            </w:r>
          </w:p>
        </w:tc>
        <w:tc>
          <w:tcPr>
            <w:tcW w:w="2257" w:type="dxa"/>
          </w:tcPr>
          <w:p w14:paraId="619218EC" w14:textId="4A7D3E99" w:rsidR="00D66320" w:rsidRPr="00582EF5" w:rsidRDefault="00D66320" w:rsidP="00C21DE3">
            <w:pPr>
              <w:pStyle w:val="TableText"/>
            </w:pPr>
            <w:r w:rsidRPr="00582EF5">
              <w:t>N/A</w:t>
            </w:r>
          </w:p>
        </w:tc>
      </w:tr>
      <w:tr w:rsidR="009B484D" w:rsidRPr="00582EF5" w14:paraId="644126DE" w14:textId="77777777" w:rsidTr="703AEB20">
        <w:tc>
          <w:tcPr>
            <w:tcW w:w="2410" w:type="dxa"/>
          </w:tcPr>
          <w:p w14:paraId="066E0759" w14:textId="77777777" w:rsidR="00D66320" w:rsidRPr="00582EF5" w:rsidRDefault="00D66320" w:rsidP="00C21DE3">
            <w:pPr>
              <w:pStyle w:val="TableText"/>
            </w:pPr>
            <w:r w:rsidRPr="00582EF5">
              <w:t xml:space="preserve">Polychlorinated </w:t>
            </w:r>
            <w:proofErr w:type="spellStart"/>
            <w:r w:rsidRPr="00582EF5">
              <w:t>naphthalenes</w:t>
            </w:r>
            <w:proofErr w:type="spellEnd"/>
            <w:r w:rsidRPr="00582EF5">
              <w:t xml:space="preserve"> (PCNs)</w:t>
            </w:r>
          </w:p>
        </w:tc>
        <w:tc>
          <w:tcPr>
            <w:tcW w:w="3119" w:type="dxa"/>
          </w:tcPr>
          <w:p w14:paraId="461CA73D" w14:textId="77777777" w:rsidR="00D66320" w:rsidRPr="00582EF5" w:rsidRDefault="00D66320" w:rsidP="00C21DE3">
            <w:pPr>
              <w:pStyle w:val="TableText"/>
              <w:spacing w:after="40"/>
            </w:pPr>
            <w:r w:rsidRPr="00582EF5">
              <w:t>Restriction in accordance with Annex A</w:t>
            </w:r>
          </w:p>
          <w:p w14:paraId="5448BB0E" w14:textId="77777777" w:rsidR="00D66320" w:rsidRPr="00582EF5" w:rsidRDefault="00D66320" w:rsidP="00C21DE3">
            <w:pPr>
              <w:pStyle w:val="TableText"/>
              <w:spacing w:before="0" w:after="40"/>
            </w:pPr>
            <w:r w:rsidRPr="00582EF5">
              <w:t>Prohibition on production</w:t>
            </w:r>
          </w:p>
          <w:p w14:paraId="053CF782" w14:textId="77777777" w:rsidR="00D66320" w:rsidRPr="00582EF5" w:rsidRDefault="00D66320" w:rsidP="00C21DE3">
            <w:pPr>
              <w:pStyle w:val="TableText"/>
              <w:spacing w:before="0" w:after="40"/>
            </w:pPr>
            <w:r w:rsidRPr="00582EF5">
              <w:t>Prohibition on all uses</w:t>
            </w:r>
          </w:p>
          <w:p w14:paraId="0EEFED87" w14:textId="77777777" w:rsidR="00D66320" w:rsidRPr="00582EF5" w:rsidRDefault="00D66320" w:rsidP="00C21DE3">
            <w:pPr>
              <w:pStyle w:val="TableText"/>
              <w:spacing w:before="0" w:after="40"/>
            </w:pPr>
            <w:r w:rsidRPr="00582EF5">
              <w:t>Prohibition on import</w:t>
            </w:r>
          </w:p>
          <w:p w14:paraId="47016675" w14:textId="72AC081B" w:rsidR="00D66320" w:rsidRPr="00582EF5" w:rsidRDefault="00D66320" w:rsidP="00C21DE3">
            <w:pPr>
              <w:pStyle w:val="TableText"/>
              <w:spacing w:before="0"/>
            </w:pPr>
            <w:r w:rsidRPr="00582EF5">
              <w:t xml:space="preserve">Prohibition </w:t>
            </w:r>
            <w:r w:rsidR="002E6A74" w:rsidRPr="00582EF5">
              <w:t>o</w:t>
            </w:r>
            <w:r w:rsidRPr="00582EF5">
              <w:t>n export</w:t>
            </w:r>
          </w:p>
        </w:tc>
        <w:tc>
          <w:tcPr>
            <w:tcW w:w="708" w:type="dxa"/>
          </w:tcPr>
          <w:p w14:paraId="1BC46E79" w14:textId="77777777" w:rsidR="00D66320" w:rsidRPr="00582EF5" w:rsidRDefault="00D66320" w:rsidP="00C21DE3">
            <w:pPr>
              <w:pStyle w:val="TableText"/>
              <w:spacing w:after="40"/>
              <w:jc w:val="center"/>
            </w:pPr>
            <w:r w:rsidRPr="00582EF5">
              <w:t>2016</w:t>
            </w:r>
          </w:p>
          <w:p w14:paraId="59CED4DF" w14:textId="77777777" w:rsidR="00D66320" w:rsidRPr="00582EF5" w:rsidRDefault="00D66320" w:rsidP="00C21DE3">
            <w:pPr>
              <w:pStyle w:val="TableText"/>
              <w:spacing w:before="0" w:after="40"/>
              <w:jc w:val="center"/>
            </w:pPr>
            <w:r w:rsidRPr="00582EF5">
              <w:t>2016</w:t>
            </w:r>
          </w:p>
          <w:p w14:paraId="6EC962B3" w14:textId="77777777" w:rsidR="00D66320" w:rsidRPr="00582EF5" w:rsidRDefault="00D66320" w:rsidP="00C21DE3">
            <w:pPr>
              <w:pStyle w:val="TableText"/>
              <w:spacing w:before="0" w:after="40"/>
              <w:jc w:val="center"/>
            </w:pPr>
            <w:r w:rsidRPr="00582EF5">
              <w:t>2016</w:t>
            </w:r>
          </w:p>
          <w:p w14:paraId="3EDC5840" w14:textId="77777777" w:rsidR="00D66320" w:rsidRPr="00582EF5" w:rsidRDefault="00D66320" w:rsidP="00C21DE3">
            <w:pPr>
              <w:pStyle w:val="TableText"/>
              <w:spacing w:before="0" w:after="40"/>
              <w:jc w:val="center"/>
            </w:pPr>
            <w:r w:rsidRPr="00582EF5">
              <w:t>2016</w:t>
            </w:r>
          </w:p>
          <w:p w14:paraId="26326665" w14:textId="77777777" w:rsidR="00D66320" w:rsidRPr="00582EF5" w:rsidRDefault="00D66320" w:rsidP="00C21DE3">
            <w:pPr>
              <w:pStyle w:val="TableText"/>
              <w:spacing w:before="0"/>
              <w:jc w:val="center"/>
            </w:pPr>
            <w:r w:rsidRPr="00582EF5">
              <w:t>2016</w:t>
            </w:r>
          </w:p>
        </w:tc>
        <w:tc>
          <w:tcPr>
            <w:tcW w:w="2257" w:type="dxa"/>
          </w:tcPr>
          <w:p w14:paraId="768EEDAE" w14:textId="5D8E27E6" w:rsidR="00D66320" w:rsidRPr="00582EF5" w:rsidRDefault="00D66320" w:rsidP="00C21DE3">
            <w:pPr>
              <w:pStyle w:val="TableText"/>
            </w:pPr>
            <w:r w:rsidRPr="00582EF5">
              <w:t>N/A</w:t>
            </w:r>
          </w:p>
        </w:tc>
      </w:tr>
      <w:tr w:rsidR="009B484D" w:rsidRPr="00582EF5" w14:paraId="092306F0" w14:textId="77777777" w:rsidTr="703AEB20">
        <w:tc>
          <w:tcPr>
            <w:tcW w:w="2410" w:type="dxa"/>
          </w:tcPr>
          <w:p w14:paraId="327CF9D3" w14:textId="77777777" w:rsidR="00D66320" w:rsidRPr="00582EF5" w:rsidRDefault="00D66320" w:rsidP="00C21DE3">
            <w:pPr>
              <w:pStyle w:val="TableText"/>
            </w:pPr>
            <w:r w:rsidRPr="00582EF5">
              <w:t>Short-chain chlorinated paraffins (SCCPs)</w:t>
            </w:r>
          </w:p>
        </w:tc>
        <w:tc>
          <w:tcPr>
            <w:tcW w:w="3119" w:type="dxa"/>
          </w:tcPr>
          <w:p w14:paraId="7F88F20F" w14:textId="77777777" w:rsidR="00D66320" w:rsidRPr="00582EF5" w:rsidRDefault="00D66320" w:rsidP="00C21DE3">
            <w:pPr>
              <w:pStyle w:val="TableText"/>
              <w:spacing w:after="40"/>
            </w:pPr>
            <w:r w:rsidRPr="00582EF5">
              <w:t>Restriction in accordance with Annex A</w:t>
            </w:r>
          </w:p>
          <w:p w14:paraId="43BB248E" w14:textId="77777777" w:rsidR="00D66320" w:rsidRPr="00582EF5" w:rsidRDefault="00D66320" w:rsidP="00C21DE3">
            <w:pPr>
              <w:pStyle w:val="TableText"/>
              <w:spacing w:before="0" w:after="40"/>
            </w:pPr>
            <w:r w:rsidRPr="00582EF5">
              <w:t>Prohibition on production</w:t>
            </w:r>
          </w:p>
          <w:p w14:paraId="7D764635" w14:textId="77777777" w:rsidR="00D66320" w:rsidRPr="00582EF5" w:rsidRDefault="00D66320" w:rsidP="00C21DE3">
            <w:pPr>
              <w:pStyle w:val="TableText"/>
              <w:spacing w:before="0" w:after="40"/>
            </w:pPr>
            <w:r w:rsidRPr="00582EF5">
              <w:t>Prohibition on all uses</w:t>
            </w:r>
          </w:p>
          <w:p w14:paraId="3D704B4D" w14:textId="77777777" w:rsidR="00D66320" w:rsidRPr="00582EF5" w:rsidRDefault="00D66320" w:rsidP="00C21DE3">
            <w:pPr>
              <w:pStyle w:val="TableText"/>
              <w:spacing w:before="0" w:after="40"/>
            </w:pPr>
            <w:r w:rsidRPr="00582EF5">
              <w:t>Prohibition on import</w:t>
            </w:r>
          </w:p>
          <w:p w14:paraId="62BE0E1F" w14:textId="4CBFE579" w:rsidR="00D66320" w:rsidRPr="00582EF5" w:rsidRDefault="00D66320" w:rsidP="00C21DE3">
            <w:pPr>
              <w:pStyle w:val="TableText"/>
              <w:spacing w:before="0"/>
            </w:pPr>
            <w:r w:rsidRPr="00582EF5">
              <w:t xml:space="preserve">Prohibition </w:t>
            </w:r>
            <w:r w:rsidR="002E6A74" w:rsidRPr="00582EF5">
              <w:t>o</w:t>
            </w:r>
            <w:r w:rsidRPr="00582EF5">
              <w:t>n export</w:t>
            </w:r>
          </w:p>
        </w:tc>
        <w:tc>
          <w:tcPr>
            <w:tcW w:w="708" w:type="dxa"/>
          </w:tcPr>
          <w:p w14:paraId="38A524CF" w14:textId="77777777" w:rsidR="00D66320" w:rsidRPr="00582EF5" w:rsidRDefault="00D66320" w:rsidP="00C21DE3">
            <w:pPr>
              <w:pStyle w:val="TableText"/>
              <w:spacing w:after="40"/>
              <w:jc w:val="center"/>
            </w:pPr>
            <w:r w:rsidRPr="00582EF5">
              <w:t>2018</w:t>
            </w:r>
          </w:p>
          <w:p w14:paraId="78588893" w14:textId="77777777" w:rsidR="00D66320" w:rsidRPr="00582EF5" w:rsidRDefault="00D66320" w:rsidP="00C21DE3">
            <w:pPr>
              <w:pStyle w:val="TableText"/>
              <w:spacing w:before="0" w:after="40"/>
              <w:jc w:val="center"/>
            </w:pPr>
            <w:r w:rsidRPr="00582EF5">
              <w:t>2018</w:t>
            </w:r>
          </w:p>
          <w:p w14:paraId="62D01FF9" w14:textId="77777777" w:rsidR="00D66320" w:rsidRPr="00582EF5" w:rsidRDefault="00D66320" w:rsidP="00C21DE3">
            <w:pPr>
              <w:pStyle w:val="TableText"/>
              <w:spacing w:before="0" w:after="40"/>
              <w:jc w:val="center"/>
            </w:pPr>
            <w:r w:rsidRPr="00582EF5">
              <w:t>2018</w:t>
            </w:r>
          </w:p>
          <w:p w14:paraId="1D5A34D4" w14:textId="77777777" w:rsidR="00D66320" w:rsidRPr="00582EF5" w:rsidRDefault="00D66320" w:rsidP="00C21DE3">
            <w:pPr>
              <w:pStyle w:val="TableText"/>
              <w:spacing w:before="0" w:after="40"/>
              <w:jc w:val="center"/>
            </w:pPr>
            <w:r w:rsidRPr="00582EF5">
              <w:t>2018</w:t>
            </w:r>
          </w:p>
          <w:p w14:paraId="3030A25D" w14:textId="7A806B55" w:rsidR="00D66320" w:rsidRPr="00582EF5" w:rsidRDefault="00D66320" w:rsidP="00C21DE3">
            <w:pPr>
              <w:pStyle w:val="TableText"/>
              <w:spacing w:before="0"/>
              <w:jc w:val="center"/>
            </w:pPr>
            <w:r w:rsidRPr="00582EF5">
              <w:t>2018</w:t>
            </w:r>
          </w:p>
        </w:tc>
        <w:tc>
          <w:tcPr>
            <w:tcW w:w="2257" w:type="dxa"/>
          </w:tcPr>
          <w:p w14:paraId="54D1A13A" w14:textId="1B7FE182" w:rsidR="00D66320" w:rsidRPr="00582EF5" w:rsidRDefault="00D66320" w:rsidP="00C21DE3">
            <w:pPr>
              <w:pStyle w:val="TableText"/>
            </w:pPr>
            <w:r w:rsidRPr="00582EF5">
              <w:t xml:space="preserve">Articles in use notification for </w:t>
            </w:r>
            <w:r w:rsidR="007F1DFD" w:rsidRPr="00582EF5">
              <w:t>articles where SCCPs have been used as additives in rubber and plastic goods, in adhesives and sealants, and as water-proofing and flam</w:t>
            </w:r>
            <w:r w:rsidR="00937BF1" w:rsidRPr="00582EF5">
              <w:t xml:space="preserve">e-retardant agents for textiles – </w:t>
            </w:r>
            <w:r w:rsidR="007F1DFD" w:rsidRPr="00582EF5">
              <w:t>present in New</w:t>
            </w:r>
            <w:r w:rsidR="00937BF1" w:rsidRPr="00582EF5">
              <w:t> </w:t>
            </w:r>
            <w:r w:rsidR="007F1DFD" w:rsidRPr="00582EF5">
              <w:t>Zealand before 18</w:t>
            </w:r>
            <w:r w:rsidR="00937BF1" w:rsidRPr="00582EF5">
              <w:t> </w:t>
            </w:r>
            <w:r w:rsidR="007F1DFD" w:rsidRPr="00582EF5">
              <w:t>December 2018.</w:t>
            </w:r>
            <w:r w:rsidR="00B26EC9">
              <w:t xml:space="preserve"> (No expiry date).</w:t>
            </w:r>
          </w:p>
        </w:tc>
      </w:tr>
      <w:tr w:rsidR="009B484D" w:rsidRPr="00582EF5" w14:paraId="5ED82C5C" w14:textId="77777777" w:rsidTr="703AEB20">
        <w:tc>
          <w:tcPr>
            <w:tcW w:w="2410" w:type="dxa"/>
          </w:tcPr>
          <w:p w14:paraId="1FCDE900" w14:textId="77777777" w:rsidR="00D66320" w:rsidRPr="00582EF5" w:rsidRDefault="00D66320" w:rsidP="00C21DE3">
            <w:pPr>
              <w:pStyle w:val="TableText"/>
            </w:pPr>
            <w:proofErr w:type="spellStart"/>
            <w:r w:rsidRPr="00582EF5">
              <w:t>Tetrabromodiphenyl</w:t>
            </w:r>
            <w:proofErr w:type="spellEnd"/>
            <w:r w:rsidRPr="00582EF5">
              <w:t xml:space="preserve"> ether and </w:t>
            </w:r>
            <w:proofErr w:type="spellStart"/>
            <w:r w:rsidRPr="00582EF5">
              <w:t>pentabromodiphenyl</w:t>
            </w:r>
            <w:proofErr w:type="spellEnd"/>
            <w:r w:rsidRPr="00582EF5">
              <w:t xml:space="preserve"> ether (commercial </w:t>
            </w:r>
            <w:proofErr w:type="spellStart"/>
            <w:r w:rsidRPr="00582EF5">
              <w:t>pentabromodiphenyl</w:t>
            </w:r>
            <w:proofErr w:type="spellEnd"/>
            <w:r w:rsidRPr="00582EF5">
              <w:t xml:space="preserve"> ether)</w:t>
            </w:r>
          </w:p>
        </w:tc>
        <w:tc>
          <w:tcPr>
            <w:tcW w:w="3119" w:type="dxa"/>
          </w:tcPr>
          <w:p w14:paraId="3970673D" w14:textId="77777777" w:rsidR="00D66320" w:rsidRPr="00582EF5" w:rsidRDefault="00D66320" w:rsidP="00C21DE3">
            <w:pPr>
              <w:pStyle w:val="TableText"/>
              <w:spacing w:after="40"/>
            </w:pPr>
            <w:r w:rsidRPr="00582EF5">
              <w:t>Restriction in accordance with Annex A</w:t>
            </w:r>
          </w:p>
          <w:p w14:paraId="28355884" w14:textId="77777777" w:rsidR="00D66320" w:rsidRPr="00582EF5" w:rsidRDefault="00D66320" w:rsidP="00C21DE3">
            <w:pPr>
              <w:pStyle w:val="TableText"/>
              <w:spacing w:before="0" w:after="40"/>
            </w:pPr>
            <w:r w:rsidRPr="00582EF5">
              <w:t>Prohibition on production</w:t>
            </w:r>
          </w:p>
          <w:p w14:paraId="21919320" w14:textId="77777777" w:rsidR="00D66320" w:rsidRPr="00582EF5" w:rsidRDefault="00D66320" w:rsidP="00C21DE3">
            <w:pPr>
              <w:pStyle w:val="TableText"/>
              <w:spacing w:before="0" w:after="40"/>
            </w:pPr>
            <w:r w:rsidRPr="00582EF5">
              <w:t>Prohibition on all uses</w:t>
            </w:r>
          </w:p>
          <w:p w14:paraId="68C5FDED" w14:textId="77777777" w:rsidR="00D66320" w:rsidRPr="00582EF5" w:rsidRDefault="00D66320" w:rsidP="00C21DE3">
            <w:pPr>
              <w:pStyle w:val="TableText"/>
              <w:spacing w:before="0" w:after="40"/>
            </w:pPr>
            <w:r w:rsidRPr="00582EF5">
              <w:t>Prohibition on import</w:t>
            </w:r>
          </w:p>
          <w:p w14:paraId="7608AA96" w14:textId="5B94FB4F" w:rsidR="00D66320" w:rsidRPr="00582EF5" w:rsidRDefault="00D66320" w:rsidP="00C21DE3">
            <w:pPr>
              <w:pStyle w:val="TableText"/>
              <w:spacing w:before="0" w:after="40"/>
            </w:pPr>
            <w:r w:rsidRPr="00582EF5">
              <w:t xml:space="preserve">Prohibition </w:t>
            </w:r>
            <w:r w:rsidR="002E6A74" w:rsidRPr="00582EF5">
              <w:t>o</w:t>
            </w:r>
            <w:r w:rsidRPr="00582EF5">
              <w:t>n export</w:t>
            </w:r>
          </w:p>
        </w:tc>
        <w:tc>
          <w:tcPr>
            <w:tcW w:w="708" w:type="dxa"/>
          </w:tcPr>
          <w:p w14:paraId="45852744" w14:textId="77777777" w:rsidR="00D66320" w:rsidRPr="00582EF5" w:rsidRDefault="00D66320" w:rsidP="00C21DE3">
            <w:pPr>
              <w:pStyle w:val="TableText"/>
              <w:spacing w:after="40"/>
              <w:jc w:val="center"/>
            </w:pPr>
            <w:r w:rsidRPr="00582EF5">
              <w:t>2016</w:t>
            </w:r>
          </w:p>
          <w:p w14:paraId="20402F66" w14:textId="77777777" w:rsidR="00D66320" w:rsidRPr="00582EF5" w:rsidRDefault="00D66320" w:rsidP="00C21DE3">
            <w:pPr>
              <w:pStyle w:val="TableText"/>
              <w:spacing w:before="0" w:after="40"/>
              <w:jc w:val="center"/>
            </w:pPr>
            <w:r w:rsidRPr="00582EF5">
              <w:t>2011</w:t>
            </w:r>
          </w:p>
          <w:p w14:paraId="596731C5" w14:textId="77777777" w:rsidR="00D66320" w:rsidRPr="00582EF5" w:rsidRDefault="00D66320" w:rsidP="00C21DE3">
            <w:pPr>
              <w:pStyle w:val="TableText"/>
              <w:spacing w:before="0" w:after="40"/>
              <w:jc w:val="center"/>
            </w:pPr>
            <w:r w:rsidRPr="00582EF5">
              <w:t>2011</w:t>
            </w:r>
          </w:p>
          <w:p w14:paraId="66ED4AF9" w14:textId="77777777" w:rsidR="00D66320" w:rsidRPr="00582EF5" w:rsidRDefault="00D66320" w:rsidP="00C21DE3">
            <w:pPr>
              <w:pStyle w:val="TableText"/>
              <w:spacing w:before="0" w:after="40"/>
              <w:jc w:val="center"/>
            </w:pPr>
            <w:r w:rsidRPr="00582EF5">
              <w:t>2011</w:t>
            </w:r>
          </w:p>
          <w:p w14:paraId="38622EB0" w14:textId="77777777" w:rsidR="00D66320" w:rsidRPr="00582EF5" w:rsidRDefault="00D66320" w:rsidP="00C21DE3">
            <w:pPr>
              <w:pStyle w:val="TableText"/>
              <w:spacing w:before="0" w:after="40"/>
              <w:jc w:val="center"/>
            </w:pPr>
            <w:r w:rsidRPr="00582EF5">
              <w:t>2011</w:t>
            </w:r>
          </w:p>
        </w:tc>
        <w:tc>
          <w:tcPr>
            <w:tcW w:w="2257" w:type="dxa"/>
          </w:tcPr>
          <w:p w14:paraId="29A5F5EC" w14:textId="4E384935" w:rsidR="00D66320" w:rsidRPr="00582EF5" w:rsidRDefault="00D66320" w:rsidP="00C21DE3">
            <w:pPr>
              <w:pStyle w:val="TableText"/>
            </w:pPr>
            <w:r w:rsidRPr="00582EF5">
              <w:t>N/A</w:t>
            </w:r>
          </w:p>
        </w:tc>
      </w:tr>
      <w:tr w:rsidR="703AEB20" w14:paraId="143C8A1B" w14:textId="77777777" w:rsidTr="703AEB20">
        <w:tc>
          <w:tcPr>
            <w:tcW w:w="2410" w:type="dxa"/>
          </w:tcPr>
          <w:p w14:paraId="510D1E20" w14:textId="00C650A1" w:rsidR="4219A80F" w:rsidRDefault="4219A80F" w:rsidP="00C21DE3">
            <w:pPr>
              <w:pStyle w:val="TableText"/>
              <w:jc w:val="both"/>
            </w:pPr>
            <w:r>
              <w:t xml:space="preserve">Dicofol  </w:t>
            </w:r>
          </w:p>
        </w:tc>
        <w:tc>
          <w:tcPr>
            <w:tcW w:w="3119" w:type="dxa"/>
          </w:tcPr>
          <w:p w14:paraId="271A2E1A" w14:textId="1E1A79DE" w:rsidR="4219A80F" w:rsidRDefault="4219A80F" w:rsidP="003A15BE">
            <w:pPr>
              <w:pStyle w:val="TableText"/>
              <w:spacing w:before="0" w:after="40"/>
            </w:pPr>
            <w:r>
              <w:t xml:space="preserve">Restriction in accordance with Annex A </w:t>
            </w:r>
          </w:p>
          <w:p w14:paraId="319CBDF6" w14:textId="6C40E746" w:rsidR="4219A80F" w:rsidRDefault="4219A80F" w:rsidP="003A15BE">
            <w:pPr>
              <w:pStyle w:val="TableText"/>
              <w:spacing w:before="0" w:after="40"/>
            </w:pPr>
            <w:r>
              <w:t xml:space="preserve">Prohibition on production </w:t>
            </w:r>
          </w:p>
          <w:p w14:paraId="12C8EC68" w14:textId="245FA69D" w:rsidR="4219A80F" w:rsidRDefault="4219A80F" w:rsidP="003A15BE">
            <w:pPr>
              <w:pStyle w:val="TableText"/>
              <w:spacing w:before="0" w:after="40"/>
            </w:pPr>
            <w:r>
              <w:t xml:space="preserve">Prohibition on all uses </w:t>
            </w:r>
          </w:p>
          <w:p w14:paraId="075298A9" w14:textId="64AD6AD8" w:rsidR="4219A80F" w:rsidRDefault="4219A80F" w:rsidP="003A15BE">
            <w:pPr>
              <w:pStyle w:val="TableText"/>
              <w:spacing w:before="0" w:after="40"/>
            </w:pPr>
            <w:r>
              <w:t xml:space="preserve">Prohibition on import </w:t>
            </w:r>
          </w:p>
          <w:p w14:paraId="6EA1D836" w14:textId="16B5DDE7" w:rsidR="4219A80F" w:rsidRDefault="4219A80F" w:rsidP="003A15BE">
            <w:pPr>
              <w:pStyle w:val="TableText"/>
              <w:spacing w:before="0" w:after="40"/>
            </w:pPr>
            <w:r>
              <w:t>Prohibition on export</w:t>
            </w:r>
          </w:p>
        </w:tc>
        <w:tc>
          <w:tcPr>
            <w:tcW w:w="708" w:type="dxa"/>
          </w:tcPr>
          <w:p w14:paraId="3ABB4DC2" w14:textId="19A9B96A" w:rsidR="4219A80F" w:rsidRDefault="4219A80F" w:rsidP="003A15BE">
            <w:pPr>
              <w:pStyle w:val="TableText"/>
              <w:spacing w:before="0" w:after="40"/>
              <w:jc w:val="center"/>
            </w:pPr>
            <w:r>
              <w:t xml:space="preserve">2020 </w:t>
            </w:r>
          </w:p>
          <w:p w14:paraId="4C9341C1" w14:textId="331A2786" w:rsidR="4219A80F" w:rsidRDefault="4219A80F" w:rsidP="003A15BE">
            <w:pPr>
              <w:pStyle w:val="TableText"/>
              <w:spacing w:before="0" w:after="40"/>
              <w:jc w:val="center"/>
            </w:pPr>
            <w:r>
              <w:t xml:space="preserve">2020 </w:t>
            </w:r>
          </w:p>
          <w:p w14:paraId="06664A07" w14:textId="5195DFBC" w:rsidR="4219A80F" w:rsidRDefault="4219A80F" w:rsidP="003A15BE">
            <w:pPr>
              <w:pStyle w:val="TableText"/>
              <w:spacing w:before="0" w:after="40"/>
              <w:jc w:val="center"/>
            </w:pPr>
            <w:r>
              <w:t xml:space="preserve">2020 </w:t>
            </w:r>
          </w:p>
          <w:p w14:paraId="3F667584" w14:textId="04C80C30" w:rsidR="4219A80F" w:rsidRDefault="4219A80F" w:rsidP="003A15BE">
            <w:pPr>
              <w:pStyle w:val="TableText"/>
              <w:spacing w:before="0" w:after="40"/>
              <w:jc w:val="center"/>
            </w:pPr>
            <w:r>
              <w:t xml:space="preserve">2020 </w:t>
            </w:r>
          </w:p>
          <w:p w14:paraId="311849BB" w14:textId="7242E4C1" w:rsidR="4219A80F" w:rsidRDefault="4219A80F" w:rsidP="003A15BE">
            <w:pPr>
              <w:pStyle w:val="TableText"/>
              <w:spacing w:before="0" w:after="40"/>
              <w:jc w:val="center"/>
            </w:pPr>
            <w:r>
              <w:t>2020</w:t>
            </w:r>
          </w:p>
        </w:tc>
        <w:tc>
          <w:tcPr>
            <w:tcW w:w="2257" w:type="dxa"/>
          </w:tcPr>
          <w:p w14:paraId="6F7677E6" w14:textId="265CDC4F" w:rsidR="4219A80F" w:rsidRDefault="4219A80F" w:rsidP="00C21DE3">
            <w:pPr>
              <w:pStyle w:val="TableText"/>
              <w:jc w:val="both"/>
            </w:pPr>
            <w:r>
              <w:t>N/A</w:t>
            </w:r>
          </w:p>
        </w:tc>
      </w:tr>
      <w:tr w:rsidR="703AEB20" w14:paraId="5577DB16" w14:textId="77777777" w:rsidTr="703AEB20">
        <w:tc>
          <w:tcPr>
            <w:tcW w:w="2410" w:type="dxa"/>
          </w:tcPr>
          <w:p w14:paraId="0AF2EFE3" w14:textId="2B327840" w:rsidR="4219A80F" w:rsidRDefault="4219A80F" w:rsidP="005D5C7B">
            <w:pPr>
              <w:pStyle w:val="TableText"/>
            </w:pPr>
            <w:r>
              <w:t xml:space="preserve">Perfluorooctanoic acid (PFOA), its salts and PFOA-related compounds  </w:t>
            </w:r>
          </w:p>
        </w:tc>
        <w:tc>
          <w:tcPr>
            <w:tcW w:w="3119" w:type="dxa"/>
          </w:tcPr>
          <w:p w14:paraId="01658DB6" w14:textId="05DD18D7" w:rsidR="4219A80F" w:rsidRDefault="4219A80F" w:rsidP="003A15BE">
            <w:pPr>
              <w:pStyle w:val="TableText"/>
              <w:spacing w:before="0" w:after="40"/>
            </w:pPr>
            <w:r>
              <w:t xml:space="preserve">Restriction in accordance with Annex A </w:t>
            </w:r>
          </w:p>
          <w:p w14:paraId="2D03C46B" w14:textId="71897465" w:rsidR="4219A80F" w:rsidRDefault="4219A80F" w:rsidP="003A15BE">
            <w:pPr>
              <w:pStyle w:val="TableText"/>
              <w:spacing w:before="0" w:after="40"/>
            </w:pPr>
            <w:r>
              <w:t xml:space="preserve">Prohibition on production </w:t>
            </w:r>
          </w:p>
          <w:p w14:paraId="680C8EAF" w14:textId="61C04892" w:rsidR="4219A80F" w:rsidRDefault="4219A80F" w:rsidP="003A15BE">
            <w:pPr>
              <w:pStyle w:val="TableText"/>
              <w:spacing w:before="0" w:after="40"/>
            </w:pPr>
            <w:r>
              <w:t xml:space="preserve">Prohibition on all uses </w:t>
            </w:r>
          </w:p>
          <w:p w14:paraId="06313C8C" w14:textId="131397C2" w:rsidR="4219A80F" w:rsidRDefault="4219A80F" w:rsidP="003A15BE">
            <w:pPr>
              <w:pStyle w:val="TableText"/>
              <w:spacing w:before="0" w:after="40"/>
            </w:pPr>
            <w:r>
              <w:t xml:space="preserve">Prohibition on import </w:t>
            </w:r>
          </w:p>
          <w:p w14:paraId="7AB55C4F" w14:textId="213027C8" w:rsidR="4219A80F" w:rsidRDefault="4219A80F" w:rsidP="003A15BE">
            <w:pPr>
              <w:pStyle w:val="TableText"/>
              <w:spacing w:before="0" w:after="40"/>
            </w:pPr>
            <w:r>
              <w:t>Prohibition on export</w:t>
            </w:r>
          </w:p>
        </w:tc>
        <w:tc>
          <w:tcPr>
            <w:tcW w:w="708" w:type="dxa"/>
          </w:tcPr>
          <w:p w14:paraId="4CD9F044" w14:textId="0822C0CA" w:rsidR="4219A80F" w:rsidRDefault="4219A80F" w:rsidP="003A15BE">
            <w:pPr>
              <w:pStyle w:val="TableText"/>
              <w:spacing w:before="0" w:after="40"/>
              <w:jc w:val="center"/>
            </w:pPr>
            <w:r>
              <w:t xml:space="preserve">2020 </w:t>
            </w:r>
          </w:p>
          <w:p w14:paraId="6DBBC27E" w14:textId="7CF2E921" w:rsidR="4219A80F" w:rsidRDefault="4219A80F" w:rsidP="003A15BE">
            <w:pPr>
              <w:pStyle w:val="TableText"/>
              <w:spacing w:before="0" w:after="40"/>
              <w:jc w:val="center"/>
            </w:pPr>
            <w:r>
              <w:t xml:space="preserve">2020 </w:t>
            </w:r>
          </w:p>
          <w:p w14:paraId="5E4851B9" w14:textId="6F319DE8" w:rsidR="4219A80F" w:rsidRDefault="4219A80F" w:rsidP="003A15BE">
            <w:pPr>
              <w:pStyle w:val="TableText"/>
              <w:spacing w:before="0" w:after="40"/>
              <w:jc w:val="center"/>
            </w:pPr>
            <w:r>
              <w:t xml:space="preserve">2020 </w:t>
            </w:r>
          </w:p>
          <w:p w14:paraId="2F07EFED" w14:textId="48A6948D" w:rsidR="4219A80F" w:rsidRDefault="4219A80F" w:rsidP="003A15BE">
            <w:pPr>
              <w:pStyle w:val="TableText"/>
              <w:spacing w:before="0" w:after="40"/>
              <w:jc w:val="center"/>
            </w:pPr>
            <w:r>
              <w:t xml:space="preserve">2020 </w:t>
            </w:r>
          </w:p>
          <w:p w14:paraId="69A9B1F6" w14:textId="63D62F4C" w:rsidR="4219A80F" w:rsidRDefault="4219A80F" w:rsidP="003A15BE">
            <w:pPr>
              <w:pStyle w:val="TableText"/>
              <w:spacing w:before="0" w:after="40"/>
              <w:jc w:val="center"/>
            </w:pPr>
            <w:r>
              <w:t>2020</w:t>
            </w:r>
          </w:p>
        </w:tc>
        <w:tc>
          <w:tcPr>
            <w:tcW w:w="2257" w:type="dxa"/>
          </w:tcPr>
          <w:p w14:paraId="5E28AA66" w14:textId="53168A65" w:rsidR="0006548B" w:rsidRDefault="0006548B" w:rsidP="00C21DE3">
            <w:pPr>
              <w:pStyle w:val="TableText"/>
            </w:pPr>
            <w:r>
              <w:t xml:space="preserve">New Zealand has adopted the specific exemptions for PFOA, its salts, and PFOA-related compounds for the following: </w:t>
            </w:r>
          </w:p>
          <w:p w14:paraId="5327CAAE" w14:textId="170C4CCB" w:rsidR="00045357" w:rsidRDefault="00045357" w:rsidP="005D5C7B">
            <w:pPr>
              <w:pStyle w:val="TableBullet"/>
            </w:pPr>
            <w:r>
              <w:t xml:space="preserve">photographic coatings applied to films. (Expires </w:t>
            </w:r>
            <w:r w:rsidR="00584201">
              <w:t xml:space="preserve">3 December </w:t>
            </w:r>
            <w:r w:rsidR="004B7700">
              <w:t>2025)</w:t>
            </w:r>
          </w:p>
          <w:p w14:paraId="0BEDCD24" w14:textId="4DEAB6E0" w:rsidR="00045357" w:rsidRDefault="00045357" w:rsidP="005D5C7B">
            <w:pPr>
              <w:pStyle w:val="TableBullet"/>
            </w:pPr>
            <w:r>
              <w:t xml:space="preserve">fire-fighting foam for liquid fuel vapour suppression and liquid </w:t>
            </w:r>
            <w:r>
              <w:lastRenderedPageBreak/>
              <w:t>fuel fires (Class B fires) in installed systems, including both mobile and fixed systems, in accordance with paragraph 2 of Part X of Annex A of the Stockholm Convention</w:t>
            </w:r>
            <w:r w:rsidR="004B7700">
              <w:t>. (Expires 3 December 2025)</w:t>
            </w:r>
          </w:p>
          <w:p w14:paraId="69391356" w14:textId="03A2C92C" w:rsidR="4219A80F" w:rsidRDefault="00045357" w:rsidP="005D5C7B">
            <w:pPr>
              <w:pStyle w:val="TableBullet"/>
            </w:pPr>
            <w:r>
              <w:t>articles where PFOA, its salts and PFOA-related compounds have been in use, such as in coated textiles, papers, fluoropolymer membranes, or medical devices, in New Zealand on or before 3 December 2020.</w:t>
            </w:r>
            <w:r w:rsidR="0096721B">
              <w:t xml:space="preserve"> (No expiry date)</w:t>
            </w:r>
            <w:r w:rsidR="00832FD4">
              <w:t>.</w:t>
            </w:r>
          </w:p>
        </w:tc>
      </w:tr>
      <w:tr w:rsidR="00503BCE" w:rsidRPr="00582EF5" w14:paraId="22E1AF59" w14:textId="77777777" w:rsidTr="703AEB20">
        <w:tc>
          <w:tcPr>
            <w:tcW w:w="2410" w:type="dxa"/>
            <w:shd w:val="clear" w:color="auto" w:fill="1C556C" w:themeFill="accent1"/>
            <w:vAlign w:val="bottom"/>
          </w:tcPr>
          <w:p w14:paraId="262AA628" w14:textId="7D79FA36" w:rsidR="00D66320" w:rsidRPr="00582EF5" w:rsidRDefault="00D66320" w:rsidP="005D5C7B">
            <w:pPr>
              <w:pStyle w:val="TableText"/>
              <w:keepNext/>
              <w:rPr>
                <w:b/>
                <w:color w:val="FFFFFF" w:themeColor="background1"/>
              </w:rPr>
            </w:pPr>
            <w:r w:rsidRPr="00582EF5">
              <w:rPr>
                <w:b/>
                <w:color w:val="FFFFFF" w:themeColor="background1"/>
              </w:rPr>
              <w:lastRenderedPageBreak/>
              <w:t xml:space="preserve">Annex B </w:t>
            </w:r>
            <w:r w:rsidR="00B42B43" w:rsidRPr="00582EF5">
              <w:rPr>
                <w:b/>
                <w:color w:val="FFFFFF" w:themeColor="background1"/>
              </w:rPr>
              <w:t>c</w:t>
            </w:r>
            <w:r w:rsidRPr="00582EF5">
              <w:rPr>
                <w:b/>
                <w:color w:val="FFFFFF" w:themeColor="background1"/>
              </w:rPr>
              <w:t>hemical</w:t>
            </w:r>
            <w:r w:rsidR="00FD1FA0" w:rsidRPr="00582EF5">
              <w:rPr>
                <w:b/>
                <w:color w:val="FFFFFF" w:themeColor="background1"/>
              </w:rPr>
              <w:t>s</w:t>
            </w:r>
          </w:p>
        </w:tc>
        <w:tc>
          <w:tcPr>
            <w:tcW w:w="3119" w:type="dxa"/>
            <w:shd w:val="clear" w:color="auto" w:fill="1C556C" w:themeFill="accent1"/>
            <w:vAlign w:val="bottom"/>
          </w:tcPr>
          <w:p w14:paraId="4D35131D" w14:textId="77777777" w:rsidR="00D66320" w:rsidRPr="00582EF5" w:rsidRDefault="00D66320" w:rsidP="005D5C7B">
            <w:pPr>
              <w:pStyle w:val="TableText"/>
              <w:rPr>
                <w:b/>
                <w:color w:val="FFFFFF" w:themeColor="background1"/>
              </w:rPr>
            </w:pPr>
            <w:r w:rsidRPr="00582EF5">
              <w:rPr>
                <w:b/>
                <w:color w:val="FFFFFF" w:themeColor="background1"/>
              </w:rPr>
              <w:t>Measure</w:t>
            </w:r>
          </w:p>
        </w:tc>
        <w:tc>
          <w:tcPr>
            <w:tcW w:w="708" w:type="dxa"/>
            <w:shd w:val="clear" w:color="auto" w:fill="1C556C" w:themeFill="accent1"/>
            <w:vAlign w:val="bottom"/>
          </w:tcPr>
          <w:p w14:paraId="082B1D6D" w14:textId="77777777" w:rsidR="00D66320" w:rsidRPr="00582EF5" w:rsidRDefault="00D66320" w:rsidP="005D5C7B">
            <w:pPr>
              <w:pStyle w:val="TableText"/>
              <w:rPr>
                <w:b/>
                <w:color w:val="FFFFFF" w:themeColor="background1"/>
              </w:rPr>
            </w:pPr>
            <w:r w:rsidRPr="00582EF5">
              <w:rPr>
                <w:b/>
                <w:color w:val="FFFFFF" w:themeColor="background1"/>
              </w:rPr>
              <w:t>Year</w:t>
            </w:r>
          </w:p>
        </w:tc>
        <w:tc>
          <w:tcPr>
            <w:tcW w:w="2257" w:type="dxa"/>
            <w:shd w:val="clear" w:color="auto" w:fill="1C556C" w:themeFill="accent1"/>
            <w:vAlign w:val="bottom"/>
          </w:tcPr>
          <w:p w14:paraId="7914828F" w14:textId="4B80D4C4" w:rsidR="00D66320" w:rsidRPr="00582EF5" w:rsidRDefault="000A0A9C" w:rsidP="005D5C7B">
            <w:pPr>
              <w:pStyle w:val="TableText"/>
              <w:rPr>
                <w:b/>
                <w:color w:val="FFFFFF" w:themeColor="background1"/>
              </w:rPr>
            </w:pPr>
            <w:r w:rsidRPr="00582EF5">
              <w:rPr>
                <w:b/>
                <w:color w:val="FFFFFF" w:themeColor="background1"/>
              </w:rPr>
              <w:t>Exemption/</w:t>
            </w:r>
            <w:r w:rsidR="00827493" w:rsidRPr="00582EF5">
              <w:rPr>
                <w:b/>
                <w:color w:val="FFFFFF" w:themeColor="background1"/>
              </w:rPr>
              <w:t>a</w:t>
            </w:r>
            <w:r w:rsidR="00D66320" w:rsidRPr="00582EF5">
              <w:rPr>
                <w:b/>
                <w:color w:val="FFFFFF" w:themeColor="background1"/>
              </w:rPr>
              <w:t>rticles in use</w:t>
            </w:r>
          </w:p>
        </w:tc>
      </w:tr>
      <w:tr w:rsidR="009B484D" w:rsidRPr="00582EF5" w14:paraId="192AA2F9" w14:textId="77777777" w:rsidTr="703AEB20">
        <w:tc>
          <w:tcPr>
            <w:tcW w:w="2410" w:type="dxa"/>
          </w:tcPr>
          <w:p w14:paraId="25335B2A" w14:textId="2640901D" w:rsidR="00D66320" w:rsidRPr="00582EF5" w:rsidRDefault="00D66320" w:rsidP="005D5C7B">
            <w:pPr>
              <w:pStyle w:val="TableText"/>
            </w:pPr>
            <w:proofErr w:type="spellStart"/>
            <w:r w:rsidRPr="00582EF5">
              <w:t>Perfluorooctane</w:t>
            </w:r>
            <w:proofErr w:type="spellEnd"/>
            <w:r w:rsidRPr="00582EF5">
              <w:t xml:space="preserve"> sulfonic acid</w:t>
            </w:r>
            <w:r w:rsidR="00B42B43" w:rsidRPr="00582EF5">
              <w:t xml:space="preserve"> (PFOS)</w:t>
            </w:r>
            <w:r w:rsidRPr="00582EF5">
              <w:t xml:space="preserve">, its salts and </w:t>
            </w:r>
            <w:proofErr w:type="spellStart"/>
            <w:r w:rsidRPr="00582EF5">
              <w:t>perfluorooctane</w:t>
            </w:r>
            <w:proofErr w:type="spellEnd"/>
            <w:r w:rsidRPr="00582EF5">
              <w:t xml:space="preserve"> sulfonyl fluoride</w:t>
            </w:r>
            <w:r w:rsidR="001F5784" w:rsidRPr="00582EF5">
              <w:t xml:space="preserve"> (PFOS-F)</w:t>
            </w:r>
            <w:r w:rsidRPr="00582EF5">
              <w:rPr>
                <w:vertAlign w:val="superscript"/>
              </w:rPr>
              <w:footnoteReference w:id="2"/>
            </w:r>
          </w:p>
        </w:tc>
        <w:tc>
          <w:tcPr>
            <w:tcW w:w="3119" w:type="dxa"/>
          </w:tcPr>
          <w:p w14:paraId="3E3D337F" w14:textId="77777777" w:rsidR="00D66320" w:rsidRPr="00582EF5" w:rsidRDefault="00D66320" w:rsidP="005D5C7B">
            <w:pPr>
              <w:pStyle w:val="TableText"/>
              <w:spacing w:after="40"/>
            </w:pPr>
            <w:r w:rsidRPr="00582EF5">
              <w:t>Restriction in accordance with Annex A</w:t>
            </w:r>
          </w:p>
          <w:p w14:paraId="4CED75CA" w14:textId="77777777" w:rsidR="00D66320" w:rsidRPr="00582EF5" w:rsidRDefault="00D66320" w:rsidP="005D5C7B">
            <w:pPr>
              <w:pStyle w:val="TableText"/>
              <w:spacing w:before="0" w:after="40"/>
            </w:pPr>
            <w:r w:rsidRPr="00582EF5">
              <w:t>Prohibition on production</w:t>
            </w:r>
          </w:p>
          <w:p w14:paraId="4CCC9A61" w14:textId="77777777" w:rsidR="00D66320" w:rsidRPr="00582EF5" w:rsidRDefault="00D66320" w:rsidP="005D5C7B">
            <w:pPr>
              <w:pStyle w:val="TableText"/>
              <w:spacing w:before="0" w:after="40"/>
            </w:pPr>
            <w:r w:rsidRPr="00582EF5">
              <w:t>Prohibition on all uses</w:t>
            </w:r>
          </w:p>
          <w:p w14:paraId="604B4677" w14:textId="77777777" w:rsidR="00D66320" w:rsidRPr="00582EF5" w:rsidRDefault="00D66320" w:rsidP="005D5C7B">
            <w:pPr>
              <w:pStyle w:val="TableText"/>
              <w:spacing w:before="0" w:after="40"/>
            </w:pPr>
            <w:r w:rsidRPr="00582EF5">
              <w:t>Prohibition on import</w:t>
            </w:r>
          </w:p>
          <w:p w14:paraId="1E786D74" w14:textId="286F3374" w:rsidR="00D66320" w:rsidRPr="00582EF5" w:rsidRDefault="00D66320" w:rsidP="005D5C7B">
            <w:pPr>
              <w:pStyle w:val="TableText"/>
              <w:spacing w:before="0"/>
            </w:pPr>
            <w:r w:rsidRPr="00582EF5">
              <w:t xml:space="preserve">Prohibition </w:t>
            </w:r>
            <w:r w:rsidR="002E6A74" w:rsidRPr="00582EF5">
              <w:t>o</w:t>
            </w:r>
            <w:r w:rsidRPr="00582EF5">
              <w:t>n export</w:t>
            </w:r>
          </w:p>
        </w:tc>
        <w:tc>
          <w:tcPr>
            <w:tcW w:w="708" w:type="dxa"/>
          </w:tcPr>
          <w:p w14:paraId="460EABD0" w14:textId="77777777" w:rsidR="00D66320" w:rsidRPr="00582EF5" w:rsidRDefault="00D66320" w:rsidP="005D5C7B">
            <w:pPr>
              <w:pStyle w:val="TableText"/>
              <w:spacing w:after="40"/>
              <w:jc w:val="center"/>
            </w:pPr>
            <w:r w:rsidRPr="00582EF5">
              <w:t>2016</w:t>
            </w:r>
          </w:p>
          <w:p w14:paraId="30BE2F7B" w14:textId="77777777" w:rsidR="00D66320" w:rsidRPr="00582EF5" w:rsidRDefault="00D66320" w:rsidP="005D5C7B">
            <w:pPr>
              <w:pStyle w:val="TableText"/>
              <w:spacing w:before="0" w:after="40"/>
              <w:jc w:val="center"/>
            </w:pPr>
            <w:r w:rsidRPr="00582EF5">
              <w:t>2011</w:t>
            </w:r>
          </w:p>
          <w:p w14:paraId="38CE04C3" w14:textId="77777777" w:rsidR="00D66320" w:rsidRPr="00582EF5" w:rsidRDefault="00D66320" w:rsidP="005D5C7B">
            <w:pPr>
              <w:pStyle w:val="TableText"/>
              <w:spacing w:before="0" w:after="40"/>
              <w:jc w:val="center"/>
            </w:pPr>
            <w:r w:rsidRPr="00582EF5">
              <w:t>2011</w:t>
            </w:r>
          </w:p>
          <w:p w14:paraId="23509A6C" w14:textId="77777777" w:rsidR="00D66320" w:rsidRPr="00582EF5" w:rsidRDefault="00D66320" w:rsidP="005D5C7B">
            <w:pPr>
              <w:pStyle w:val="TableText"/>
              <w:spacing w:before="0" w:after="40"/>
              <w:jc w:val="center"/>
            </w:pPr>
            <w:r w:rsidRPr="00582EF5">
              <w:t>2011</w:t>
            </w:r>
          </w:p>
          <w:p w14:paraId="0D0BC326" w14:textId="351AA8E5" w:rsidR="00D66320" w:rsidRPr="00582EF5" w:rsidRDefault="00D66320" w:rsidP="005D5C7B">
            <w:pPr>
              <w:pStyle w:val="TableText"/>
              <w:spacing w:before="0"/>
              <w:jc w:val="center"/>
            </w:pPr>
            <w:r w:rsidRPr="00582EF5">
              <w:t>2011</w:t>
            </w:r>
          </w:p>
        </w:tc>
        <w:tc>
          <w:tcPr>
            <w:tcW w:w="2257" w:type="dxa"/>
          </w:tcPr>
          <w:p w14:paraId="174A51A3" w14:textId="180726B9" w:rsidR="00D66320" w:rsidRPr="00582EF5" w:rsidRDefault="00D66320" w:rsidP="005D5C7B">
            <w:pPr>
              <w:pStyle w:val="TableText"/>
            </w:pPr>
            <w:r w:rsidRPr="00582EF5">
              <w:t>N/A</w:t>
            </w:r>
          </w:p>
        </w:tc>
      </w:tr>
    </w:tbl>
    <w:p w14:paraId="13BAEC3F" w14:textId="714E2D40" w:rsidR="00E72470" w:rsidRPr="00582EF5" w:rsidRDefault="00E72470" w:rsidP="005D5C7B">
      <w:pPr>
        <w:pStyle w:val="Heading2"/>
      </w:pPr>
      <w:bookmarkStart w:id="55" w:name="_Toc531102789"/>
      <w:bookmarkStart w:id="56" w:name="_Toc120532242"/>
      <w:r w:rsidRPr="00582EF5">
        <w:t xml:space="preserve">4.3 </w:t>
      </w:r>
      <w:r w:rsidR="00AF7579" w:rsidRPr="00582EF5">
        <w:tab/>
      </w:r>
      <w:r w:rsidRPr="00582EF5">
        <w:t>Overview of regulatory controls</w:t>
      </w:r>
      <w:bookmarkEnd w:id="55"/>
      <w:bookmarkEnd w:id="56"/>
    </w:p>
    <w:p w14:paraId="0505F2CC" w14:textId="59F0CFBF" w:rsidR="00E72470" w:rsidRPr="00582EF5" w:rsidRDefault="00E72470" w:rsidP="005D5C7B">
      <w:pPr>
        <w:pStyle w:val="BodyText"/>
      </w:pPr>
      <w:r w:rsidRPr="00582EF5">
        <w:t xml:space="preserve">Section 2.2.1 </w:t>
      </w:r>
      <w:r w:rsidR="000E4A60" w:rsidRPr="00582EF5">
        <w:t>outlines</w:t>
      </w:r>
      <w:r w:rsidRPr="00582EF5">
        <w:t xml:space="preserve"> the regulatory controls that apply to the elimination of POPs. Once the chemicals have been added to Schedule 2A of the HSNO Act</w:t>
      </w:r>
      <w:r w:rsidR="00556E08" w:rsidRPr="00582EF5">
        <w:t xml:space="preserve"> 1996</w:t>
      </w:r>
      <w:r w:rsidRPr="00582EF5">
        <w:t xml:space="preserve">, </w:t>
      </w:r>
      <w:r w:rsidR="00392D44" w:rsidRPr="00582EF5">
        <w:t xml:space="preserve">their </w:t>
      </w:r>
      <w:r w:rsidRPr="00582EF5">
        <w:t>produc</w:t>
      </w:r>
      <w:r w:rsidR="00392D44" w:rsidRPr="00582EF5">
        <w:t>tion</w:t>
      </w:r>
      <w:r w:rsidRPr="00582EF5">
        <w:t xml:space="preserve">, import and use </w:t>
      </w:r>
      <w:r w:rsidR="00392D44" w:rsidRPr="00582EF5">
        <w:t>is prohibited</w:t>
      </w:r>
      <w:r w:rsidRPr="00582EF5">
        <w:t xml:space="preserve"> in New Zealand. However, the manufacture or import of POPs in containment </w:t>
      </w:r>
      <w:r w:rsidR="009624CD">
        <w:t>in</w:t>
      </w:r>
      <w:r w:rsidR="009624CD" w:rsidRPr="00582EF5">
        <w:t xml:space="preserve"> </w:t>
      </w:r>
      <w:r w:rsidRPr="00582EF5">
        <w:t xml:space="preserve">small amounts for use as laboratory analytical standards or research and development may be allowed under section 30 of the HSNO Act. </w:t>
      </w:r>
      <w:r w:rsidR="0028197D" w:rsidRPr="0028197D">
        <w:t>Hazardous Substances (Disposal) Notice 2017</w:t>
      </w:r>
      <w:r w:rsidRPr="00582EF5">
        <w:t xml:space="preserve"> applies to </w:t>
      </w:r>
      <w:r w:rsidR="2CA874C1">
        <w:t>all</w:t>
      </w:r>
      <w:r w:rsidRPr="00582EF5">
        <w:t xml:space="preserve"> these chemicals. Controls on the export of POPs as chemicals, and the import</w:t>
      </w:r>
      <w:r w:rsidR="00556E08" w:rsidRPr="00582EF5">
        <w:t xml:space="preserve"> and </w:t>
      </w:r>
      <w:r w:rsidRPr="00582EF5">
        <w:t>export of POP hazardous wastes are set under Schedule</w:t>
      </w:r>
      <w:r w:rsidR="009624CD">
        <w:t>s</w:t>
      </w:r>
      <w:r w:rsidRPr="00582EF5">
        <w:t xml:space="preserve"> 1</w:t>
      </w:r>
      <w:r w:rsidR="009624CD">
        <w:t xml:space="preserve"> and 3</w:t>
      </w:r>
      <w:r w:rsidRPr="00582EF5">
        <w:t xml:space="preserve"> of the </w:t>
      </w:r>
      <w:r w:rsidR="3ED183A8">
        <w:t>I&amp;E Order 2004</w:t>
      </w:r>
      <w:r w:rsidRPr="00582EF5">
        <w:t xml:space="preserve">. </w:t>
      </w:r>
    </w:p>
    <w:p w14:paraId="504041A4" w14:textId="644F8C5F" w:rsidR="00E72470" w:rsidRPr="00582EF5" w:rsidRDefault="00E72470" w:rsidP="005D5C7B">
      <w:pPr>
        <w:pStyle w:val="Heading2"/>
        <w:spacing w:before="320"/>
        <w:rPr>
          <w:rFonts w:cs="Arial"/>
        </w:rPr>
      </w:pPr>
      <w:bookmarkStart w:id="57" w:name="_Toc531102790"/>
      <w:bookmarkStart w:id="58" w:name="_Toc120532243"/>
      <w:r w:rsidRPr="00582EF5">
        <w:rPr>
          <w:rFonts w:cs="Arial"/>
        </w:rPr>
        <w:t xml:space="preserve">4.4 </w:t>
      </w:r>
      <w:r w:rsidR="009F43A9" w:rsidRPr="00582EF5">
        <w:rPr>
          <w:rFonts w:cs="Arial"/>
        </w:rPr>
        <w:tab/>
      </w:r>
      <w:r w:rsidRPr="00582EF5">
        <w:rPr>
          <w:rFonts w:cs="Arial"/>
        </w:rPr>
        <w:t>Eliminating releases from intentional production</w:t>
      </w:r>
      <w:r w:rsidR="009F43A9" w:rsidRPr="00582EF5">
        <w:rPr>
          <w:rFonts w:cs="Arial"/>
        </w:rPr>
        <w:t> </w:t>
      </w:r>
      <w:r w:rsidRPr="00582EF5">
        <w:rPr>
          <w:rFonts w:cs="Arial"/>
        </w:rPr>
        <w:t>and use</w:t>
      </w:r>
      <w:bookmarkEnd w:id="57"/>
      <w:bookmarkEnd w:id="58"/>
    </w:p>
    <w:p w14:paraId="4C231FFF" w14:textId="3F901E27" w:rsidR="00E72470" w:rsidRPr="00582EF5" w:rsidRDefault="00785447" w:rsidP="005D5C7B">
      <w:pPr>
        <w:pStyle w:val="BodyText"/>
      </w:pPr>
      <w:r w:rsidRPr="00582EF5">
        <w:t>T</w:t>
      </w:r>
      <w:r w:rsidR="00E72470" w:rsidRPr="00582EF5">
        <w:t xml:space="preserve">he </w:t>
      </w:r>
      <w:r w:rsidR="00E72720" w:rsidRPr="00582EF5">
        <w:t xml:space="preserve">main </w:t>
      </w:r>
      <w:r w:rsidR="00E72470" w:rsidRPr="00582EF5">
        <w:t>information relevant to Article 3 is summarised for each chemical. The information is organised by the year in which the chemical was added to the Convention.</w:t>
      </w:r>
    </w:p>
    <w:p w14:paraId="7A8F574B" w14:textId="16E18A39" w:rsidR="00E72470" w:rsidRPr="00582EF5" w:rsidRDefault="00A93FB4" w:rsidP="005D5C7B">
      <w:pPr>
        <w:pStyle w:val="Heading3"/>
        <w:spacing w:before="280"/>
      </w:pPr>
      <w:r w:rsidRPr="00582EF5">
        <w:lastRenderedPageBreak/>
        <w:t>4.4.1</w:t>
      </w:r>
      <w:r w:rsidRPr="00582EF5">
        <w:tab/>
      </w:r>
      <w:r w:rsidR="00E72720" w:rsidRPr="00582EF5">
        <w:t>Persistent organic pollutants</w:t>
      </w:r>
      <w:r w:rsidR="005C22FF" w:rsidRPr="00582EF5">
        <w:t xml:space="preserve"> added to the Convention in 2009</w:t>
      </w:r>
    </w:p>
    <w:p w14:paraId="6814DA65" w14:textId="4D7C6406" w:rsidR="00E72470" w:rsidRPr="00582EF5" w:rsidRDefault="00E72470" w:rsidP="005D5C7B">
      <w:pPr>
        <w:pStyle w:val="Heading4"/>
        <w:spacing w:before="240"/>
      </w:pPr>
      <w:r w:rsidRPr="00582EF5">
        <w:t xml:space="preserve">Alpha hexachlorocyclohexane </w:t>
      </w:r>
      <w:r w:rsidR="0053294B" w:rsidRPr="00582EF5">
        <w:t xml:space="preserve">and </w:t>
      </w:r>
      <w:r w:rsidR="003C3902" w:rsidRPr="00582EF5">
        <w:t>b</w:t>
      </w:r>
      <w:r w:rsidR="0053294B" w:rsidRPr="00582EF5">
        <w:t>eta hexachlorocyclohexane</w:t>
      </w:r>
    </w:p>
    <w:p w14:paraId="6649419C" w14:textId="5429C197" w:rsidR="0053294B" w:rsidRPr="00582EF5" w:rsidRDefault="00E72470" w:rsidP="005D5C7B">
      <w:pPr>
        <w:pStyle w:val="BodyText"/>
      </w:pPr>
      <w:r w:rsidRPr="00582EF5">
        <w:t xml:space="preserve">The intentional use </w:t>
      </w:r>
      <w:r w:rsidR="003C3902" w:rsidRPr="00582EF5">
        <w:t xml:space="preserve">of </w:t>
      </w:r>
      <w:r w:rsidR="00B8745B" w:rsidRPr="00582EF5">
        <w:t>alpha hexachlorocyclohexane (</w:t>
      </w:r>
      <w:r w:rsidR="003C3902" w:rsidRPr="00582EF5">
        <w:t>alpha-HCH</w:t>
      </w:r>
      <w:r w:rsidR="00B8745B" w:rsidRPr="00582EF5">
        <w:t>)</w:t>
      </w:r>
      <w:r w:rsidR="003C3902" w:rsidRPr="00582EF5">
        <w:t xml:space="preserve"> and </w:t>
      </w:r>
      <w:r w:rsidR="00B8745B" w:rsidRPr="00582EF5">
        <w:t>beta hexachlorocyclohexane (</w:t>
      </w:r>
      <w:r w:rsidR="003C3902" w:rsidRPr="00582EF5">
        <w:t>beta</w:t>
      </w:r>
      <w:r w:rsidR="003C3902" w:rsidRPr="00582EF5">
        <w:noBreakHyphen/>
        <w:t>HCH</w:t>
      </w:r>
      <w:r w:rsidR="00B8745B" w:rsidRPr="00582EF5">
        <w:t>)</w:t>
      </w:r>
      <w:r w:rsidR="003C3902" w:rsidRPr="00582EF5">
        <w:t xml:space="preserve"> </w:t>
      </w:r>
      <w:r w:rsidRPr="00582EF5">
        <w:t xml:space="preserve">as an insecticide was phased out many years ago. </w:t>
      </w:r>
      <w:r w:rsidR="00B8745B" w:rsidRPr="00582EF5">
        <w:t>T</w:t>
      </w:r>
      <w:r w:rsidRPr="00582EF5">
        <w:t>h</w:t>
      </w:r>
      <w:r w:rsidR="0053294B" w:rsidRPr="00582EF5">
        <w:t>ese</w:t>
      </w:r>
      <w:r w:rsidRPr="00582EF5">
        <w:t xml:space="preserve"> chemical</w:t>
      </w:r>
      <w:r w:rsidR="0053294B" w:rsidRPr="00582EF5">
        <w:t>s</w:t>
      </w:r>
      <w:r w:rsidRPr="00582EF5">
        <w:t xml:space="preserve"> </w:t>
      </w:r>
      <w:r w:rsidR="0053294B" w:rsidRPr="00582EF5">
        <w:t>are</w:t>
      </w:r>
      <w:r w:rsidR="00553C13">
        <w:t xml:space="preserve"> </w:t>
      </w:r>
      <w:r w:rsidRPr="00582EF5">
        <w:t xml:space="preserve">produced as an unintentional by-product of lindane. </w:t>
      </w:r>
    </w:p>
    <w:p w14:paraId="030B422A" w14:textId="40415709" w:rsidR="00E72470" w:rsidRPr="00582EF5" w:rsidRDefault="00E72470" w:rsidP="005D5C7B">
      <w:pPr>
        <w:pStyle w:val="BodyText"/>
      </w:pPr>
      <w:r w:rsidRPr="00582EF5">
        <w:t>The manufacture of alpha-HCH</w:t>
      </w:r>
      <w:r w:rsidR="0053294B" w:rsidRPr="00582EF5">
        <w:t>, beta-HCH</w:t>
      </w:r>
      <w:r w:rsidRPr="00582EF5">
        <w:t xml:space="preserve"> and lindane has not occurred in New Zealand</w:t>
      </w:r>
      <w:r w:rsidR="00F9381D" w:rsidRPr="00582EF5">
        <w:t xml:space="preserve"> (</w:t>
      </w:r>
      <w:r w:rsidR="003C3902" w:rsidRPr="00582EF5">
        <w:t>t</w:t>
      </w:r>
      <w:r w:rsidR="00F9381D" w:rsidRPr="00582EF5">
        <w:t>able</w:t>
      </w:r>
      <w:r w:rsidR="009F43A9" w:rsidRPr="00582EF5">
        <w:t> </w:t>
      </w:r>
      <w:r w:rsidR="00F9381D" w:rsidRPr="00582EF5">
        <w:t>9)</w:t>
      </w:r>
      <w:r w:rsidRPr="00582EF5">
        <w:t>.</w:t>
      </w:r>
    </w:p>
    <w:p w14:paraId="4F804A22" w14:textId="630A6302" w:rsidR="00675276" w:rsidRPr="00582EF5" w:rsidRDefault="00675276" w:rsidP="005D5C7B">
      <w:pPr>
        <w:pStyle w:val="Tableheading"/>
      </w:pPr>
      <w:bookmarkStart w:id="59" w:name="_Toc120532274"/>
      <w:r w:rsidRPr="00582EF5">
        <w:t xml:space="preserve">Table </w:t>
      </w:r>
      <w:r w:rsidR="00F9381D" w:rsidRPr="00582EF5">
        <w:t xml:space="preserve">9: </w:t>
      </w:r>
      <w:r w:rsidR="00AA28D0" w:rsidRPr="00582EF5">
        <w:tab/>
      </w:r>
      <w:r w:rsidR="00F9381D" w:rsidRPr="00582EF5">
        <w:t>History of use and controls of alpha</w:t>
      </w:r>
      <w:r w:rsidR="008843AE">
        <w:t xml:space="preserve"> </w:t>
      </w:r>
      <w:r w:rsidR="00F5100B" w:rsidRPr="00582EF5">
        <w:t>hexachlorocyclohexane</w:t>
      </w:r>
      <w:r w:rsidR="0053294B" w:rsidRPr="00582EF5">
        <w:t xml:space="preserve"> and beta</w:t>
      </w:r>
      <w:r w:rsidR="008843AE">
        <w:t xml:space="preserve"> </w:t>
      </w:r>
      <w:r w:rsidR="00F5100B" w:rsidRPr="00582EF5">
        <w:t>hexachlorocyclohexane</w:t>
      </w:r>
      <w:bookmarkEnd w:id="59"/>
    </w:p>
    <w:tbl>
      <w:tblPr>
        <w:tblStyle w:val="TableGrid"/>
        <w:tblW w:w="0" w:type="auto"/>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1868"/>
        <w:gridCol w:w="2693"/>
        <w:gridCol w:w="2410"/>
        <w:gridCol w:w="1534"/>
      </w:tblGrid>
      <w:tr w:rsidR="00C26012" w:rsidRPr="00582EF5" w14:paraId="646B5ED4" w14:textId="77777777" w:rsidTr="001C34A5">
        <w:tc>
          <w:tcPr>
            <w:tcW w:w="1868" w:type="dxa"/>
            <w:shd w:val="clear" w:color="auto" w:fill="1C556C"/>
            <w:vAlign w:val="bottom"/>
          </w:tcPr>
          <w:p w14:paraId="61F60731" w14:textId="23C1D668" w:rsidR="00E72470" w:rsidRPr="00582EF5" w:rsidRDefault="00E72470" w:rsidP="005D5C7B">
            <w:pPr>
              <w:pStyle w:val="TableTextbold"/>
              <w:keepNext/>
              <w:rPr>
                <w:color w:val="FFFFFF" w:themeColor="background1"/>
              </w:rPr>
            </w:pPr>
            <w:r w:rsidRPr="00582EF5">
              <w:rPr>
                <w:color w:val="FFFFFF" w:themeColor="background1"/>
              </w:rPr>
              <w:t>History of use in N</w:t>
            </w:r>
            <w:r w:rsidR="00F5100B" w:rsidRPr="00582EF5">
              <w:rPr>
                <w:color w:val="FFFFFF" w:themeColor="background1"/>
              </w:rPr>
              <w:t>ew </w:t>
            </w:r>
            <w:r w:rsidRPr="00582EF5">
              <w:rPr>
                <w:color w:val="FFFFFF" w:themeColor="background1"/>
              </w:rPr>
              <w:t>Z</w:t>
            </w:r>
            <w:r w:rsidR="00F5100B" w:rsidRPr="00582EF5">
              <w:rPr>
                <w:color w:val="FFFFFF" w:themeColor="background1"/>
              </w:rPr>
              <w:t>ealand</w:t>
            </w:r>
          </w:p>
        </w:tc>
        <w:tc>
          <w:tcPr>
            <w:tcW w:w="2693" w:type="dxa"/>
            <w:shd w:val="clear" w:color="auto" w:fill="1C556C"/>
            <w:vAlign w:val="bottom"/>
          </w:tcPr>
          <w:p w14:paraId="367EDD03" w14:textId="630DFEDC" w:rsidR="00E72470" w:rsidRPr="00582EF5" w:rsidRDefault="00E72470" w:rsidP="005D5C7B">
            <w:pPr>
              <w:pStyle w:val="TableTextbold"/>
              <w:keepNext/>
              <w:rPr>
                <w:color w:val="FFFFFF" w:themeColor="background1"/>
              </w:rPr>
            </w:pPr>
            <w:r w:rsidRPr="00582EF5">
              <w:rPr>
                <w:color w:val="FFFFFF" w:themeColor="background1"/>
              </w:rPr>
              <w:t xml:space="preserve">Relevant controls under </w:t>
            </w:r>
            <w:r w:rsidR="00B309D9" w:rsidRPr="00582EF5">
              <w:rPr>
                <w:color w:val="FFFFFF" w:themeColor="background1"/>
              </w:rPr>
              <w:t xml:space="preserve">Hazardous Substances and New Organisms </w:t>
            </w:r>
            <w:r w:rsidR="001C34A5" w:rsidRPr="00582EF5">
              <w:rPr>
                <w:color w:val="FFFFFF" w:themeColor="background1"/>
              </w:rPr>
              <w:t xml:space="preserve">(HSNO) </w:t>
            </w:r>
            <w:r w:rsidR="00B309D9" w:rsidRPr="00582EF5">
              <w:rPr>
                <w:color w:val="FFFFFF" w:themeColor="background1"/>
              </w:rPr>
              <w:t>Act 1996</w:t>
            </w:r>
            <w:r w:rsidRPr="00582EF5">
              <w:rPr>
                <w:color w:val="FFFFFF" w:themeColor="background1"/>
              </w:rPr>
              <w:t xml:space="preserve"> </w:t>
            </w:r>
          </w:p>
        </w:tc>
        <w:tc>
          <w:tcPr>
            <w:tcW w:w="2410" w:type="dxa"/>
            <w:shd w:val="clear" w:color="auto" w:fill="1C556C"/>
            <w:vAlign w:val="bottom"/>
          </w:tcPr>
          <w:p w14:paraId="3BF19062" w14:textId="77777777" w:rsidR="00E72470" w:rsidRPr="00582EF5" w:rsidRDefault="00E72470" w:rsidP="005D5C7B">
            <w:pPr>
              <w:pStyle w:val="TableTextbold"/>
              <w:keepNext/>
              <w:rPr>
                <w:color w:val="FFFFFF" w:themeColor="background1"/>
              </w:rPr>
            </w:pPr>
            <w:r w:rsidRPr="00582EF5">
              <w:rPr>
                <w:color w:val="FFFFFF" w:themeColor="background1"/>
              </w:rPr>
              <w:t>Other controls</w:t>
            </w:r>
          </w:p>
        </w:tc>
        <w:tc>
          <w:tcPr>
            <w:tcW w:w="1534" w:type="dxa"/>
            <w:shd w:val="clear" w:color="auto" w:fill="1C556C"/>
            <w:vAlign w:val="bottom"/>
          </w:tcPr>
          <w:p w14:paraId="3D3CE6B4" w14:textId="77777777" w:rsidR="00E72470" w:rsidRPr="00582EF5" w:rsidRDefault="00E72470" w:rsidP="005D5C7B">
            <w:pPr>
              <w:pStyle w:val="TableTextbold"/>
              <w:keepNext/>
              <w:rPr>
                <w:color w:val="FFFFFF" w:themeColor="background1"/>
              </w:rPr>
            </w:pPr>
            <w:r w:rsidRPr="00582EF5">
              <w:rPr>
                <w:color w:val="FFFFFF" w:themeColor="background1"/>
              </w:rPr>
              <w:t xml:space="preserve">Ongoing implementation issues </w:t>
            </w:r>
          </w:p>
        </w:tc>
      </w:tr>
      <w:tr w:rsidR="00E72470" w:rsidRPr="00582EF5" w14:paraId="5E5E7210" w14:textId="77777777" w:rsidTr="001C34A5">
        <w:tc>
          <w:tcPr>
            <w:tcW w:w="1868" w:type="dxa"/>
          </w:tcPr>
          <w:p w14:paraId="0621EA3F" w14:textId="6DACAB7D" w:rsidR="00E72470" w:rsidRPr="00582EF5" w:rsidRDefault="00E72470" w:rsidP="005D5C7B">
            <w:pPr>
              <w:pStyle w:val="TableText"/>
              <w:spacing w:before="40" w:after="40"/>
            </w:pPr>
            <w:r w:rsidRPr="00582EF5">
              <w:t>Major by-product of lindane manu</w:t>
            </w:r>
            <w:r w:rsidR="005D76B4" w:rsidRPr="00582EF5">
              <w:t>facture in other countries, but</w:t>
            </w:r>
            <w:r w:rsidR="00720374" w:rsidRPr="00582EF5">
              <w:t> </w:t>
            </w:r>
            <w:r w:rsidRPr="00582EF5">
              <w:t>not used in N</w:t>
            </w:r>
            <w:r w:rsidR="00B309D9" w:rsidRPr="00582EF5">
              <w:t>ew </w:t>
            </w:r>
            <w:r w:rsidRPr="00582EF5">
              <w:t>Z</w:t>
            </w:r>
            <w:r w:rsidR="00B309D9" w:rsidRPr="00582EF5">
              <w:t>ealand</w:t>
            </w:r>
            <w:r w:rsidRPr="00582EF5">
              <w:t>.</w:t>
            </w:r>
          </w:p>
        </w:tc>
        <w:tc>
          <w:tcPr>
            <w:tcW w:w="2693" w:type="dxa"/>
          </w:tcPr>
          <w:p w14:paraId="2E533344" w14:textId="62C9DCDC" w:rsidR="00E72470" w:rsidRPr="00582EF5" w:rsidRDefault="00E72470" w:rsidP="005D5C7B">
            <w:pPr>
              <w:pStyle w:val="TableText"/>
              <w:spacing w:before="40" w:after="40"/>
            </w:pPr>
            <w:r w:rsidRPr="00582EF5">
              <w:t>Prohibited</w:t>
            </w:r>
            <w:r w:rsidR="00902F53" w:rsidRPr="00582EF5">
              <w:t>,</w:t>
            </w:r>
            <w:r w:rsidRPr="00582EF5">
              <w:t xml:space="preserve"> as listed in Schedule 2A of </w:t>
            </w:r>
            <w:r w:rsidR="00707F0F" w:rsidRPr="00582EF5">
              <w:t xml:space="preserve">the </w:t>
            </w:r>
            <w:r w:rsidRPr="00582EF5">
              <w:t xml:space="preserve">HSNO </w:t>
            </w:r>
            <w:r w:rsidR="00B309D9" w:rsidRPr="00582EF5">
              <w:t>Act</w:t>
            </w:r>
            <w:r w:rsidR="0077456A">
              <w:t xml:space="preserve"> </w:t>
            </w:r>
            <w:r w:rsidRPr="00582EF5">
              <w:t>in 2011.</w:t>
            </w:r>
          </w:p>
        </w:tc>
        <w:tc>
          <w:tcPr>
            <w:tcW w:w="2410" w:type="dxa"/>
          </w:tcPr>
          <w:p w14:paraId="48E2810F" w14:textId="2AF73C1A" w:rsidR="00E72470" w:rsidRPr="00582EF5" w:rsidRDefault="00E72470" w:rsidP="005D5C7B">
            <w:pPr>
              <w:pStyle w:val="TableText"/>
              <w:spacing w:before="40" w:after="40"/>
            </w:pPr>
            <w:r w:rsidRPr="00582EF5">
              <w:t xml:space="preserve">Registration of </w:t>
            </w:r>
            <w:proofErr w:type="spellStart"/>
            <w:r w:rsidRPr="00582EF5">
              <w:t>hexachloro</w:t>
            </w:r>
            <w:proofErr w:type="spellEnd"/>
            <w:r w:rsidRPr="00582EF5">
              <w:t xml:space="preserve">-cyclohexane as agricultural compounds or as ingredients in agricultural compounds </w:t>
            </w:r>
            <w:r w:rsidR="00B309D9" w:rsidRPr="00582EF5">
              <w:t>has been</w:t>
            </w:r>
            <w:r w:rsidRPr="00582EF5">
              <w:t xml:space="preserve"> prohibited</w:t>
            </w:r>
            <w:r w:rsidR="005D76B4" w:rsidRPr="00582EF5">
              <w:t xml:space="preserve"> </w:t>
            </w:r>
            <w:r w:rsidR="00960421" w:rsidRPr="00582EF5">
              <w:t>since September 2004</w:t>
            </w:r>
            <w:r w:rsidR="00720374" w:rsidRPr="00582EF5">
              <w:t>.</w:t>
            </w:r>
            <w:r w:rsidRPr="00582EF5">
              <w:t xml:space="preserve"> </w:t>
            </w:r>
          </w:p>
        </w:tc>
        <w:tc>
          <w:tcPr>
            <w:tcW w:w="1534" w:type="dxa"/>
          </w:tcPr>
          <w:p w14:paraId="347DEF9F" w14:textId="77777777" w:rsidR="00E72470" w:rsidRPr="00582EF5" w:rsidRDefault="00E72470" w:rsidP="005D5C7B">
            <w:pPr>
              <w:pStyle w:val="TableText"/>
              <w:spacing w:before="40" w:after="40"/>
            </w:pPr>
            <w:r w:rsidRPr="00582EF5">
              <w:t xml:space="preserve">n/a </w:t>
            </w:r>
          </w:p>
        </w:tc>
      </w:tr>
    </w:tbl>
    <w:p w14:paraId="3EDBE863" w14:textId="77777777" w:rsidR="00E72470" w:rsidRPr="00582EF5" w:rsidRDefault="00E72470" w:rsidP="005D5C7B">
      <w:pPr>
        <w:pStyle w:val="Heading4"/>
        <w:spacing w:before="440"/>
      </w:pPr>
      <w:r w:rsidRPr="00582EF5">
        <w:t>Chlordecone</w:t>
      </w:r>
    </w:p>
    <w:p w14:paraId="156EF7E2" w14:textId="4F362FEF" w:rsidR="00E72470" w:rsidRPr="00582EF5" w:rsidRDefault="004A1A8A" w:rsidP="005D5C7B">
      <w:pPr>
        <w:pStyle w:val="BodyText"/>
      </w:pPr>
      <w:r w:rsidRPr="6E7DDF4C">
        <w:t xml:space="preserve">Internationally, </w:t>
      </w:r>
      <w:r w:rsidR="00D63C9B" w:rsidRPr="6E7DDF4C">
        <w:t>c</w:t>
      </w:r>
      <w:r w:rsidR="00D63C9B" w:rsidRPr="00582EF5">
        <w:t>hlordecone,</w:t>
      </w:r>
      <w:r w:rsidR="00D63C9B" w:rsidRPr="6E7DDF4C">
        <w:t xml:space="preserve"> </w:t>
      </w:r>
      <w:r w:rsidRPr="6E7DDF4C">
        <w:t>a</w:t>
      </w:r>
      <w:r w:rsidR="00E72470" w:rsidRPr="6E7DDF4C">
        <w:t xml:space="preserve"> synthetic chlorinated organic compound</w:t>
      </w:r>
      <w:r w:rsidR="00D63C9B" w:rsidRPr="6E7DDF4C">
        <w:t>,</w:t>
      </w:r>
      <w:r w:rsidR="00E72470" w:rsidRPr="6E7DDF4C">
        <w:t xml:space="preserve"> was used</w:t>
      </w:r>
      <w:r w:rsidR="00F051BE" w:rsidRPr="6E7DDF4C">
        <w:t xml:space="preserve"> </w:t>
      </w:r>
      <w:bookmarkStart w:id="60" w:name="_Int_0E05sOcE"/>
      <w:r w:rsidR="00F051BE" w:rsidRPr="6E7DDF4C">
        <w:t>mainly</w:t>
      </w:r>
      <w:r w:rsidR="00E72470" w:rsidRPr="6E7DDF4C">
        <w:t xml:space="preserve"> as</w:t>
      </w:r>
      <w:bookmarkEnd w:id="60"/>
      <w:r w:rsidR="00E72470" w:rsidRPr="6E7DDF4C">
        <w:t xml:space="preserve"> an agricultural pesticide. It was first produced in 1951 and introduced commercially in 1958. No use or production of </w:t>
      </w:r>
      <w:r w:rsidR="00124726" w:rsidRPr="6E7DDF4C">
        <w:t>chlordecone</w:t>
      </w:r>
      <w:r w:rsidR="00E72470" w:rsidRPr="6E7DDF4C">
        <w:t xml:space="preserve"> in New Zealand has been reported</w:t>
      </w:r>
      <w:r w:rsidR="009061BE" w:rsidRPr="6E7DDF4C">
        <w:t xml:space="preserve"> (</w:t>
      </w:r>
      <w:r w:rsidR="00124726" w:rsidRPr="6E7DDF4C">
        <w:t>t</w:t>
      </w:r>
      <w:r w:rsidR="009061BE" w:rsidRPr="6E7DDF4C">
        <w:t xml:space="preserve">able </w:t>
      </w:r>
      <w:r w:rsidR="00A32687" w:rsidRPr="6E7DDF4C">
        <w:t>10</w:t>
      </w:r>
      <w:r w:rsidR="009061BE" w:rsidRPr="6E7DDF4C">
        <w:t>)</w:t>
      </w:r>
      <w:r w:rsidR="00E72470" w:rsidRPr="6E7DDF4C">
        <w:t>.</w:t>
      </w:r>
      <w:r w:rsidR="00E72470" w:rsidRPr="00582EF5">
        <w:t xml:space="preserve"> </w:t>
      </w:r>
      <w:r w:rsidR="00E72470" w:rsidRPr="6E7DDF4C">
        <w:t xml:space="preserve">Trade names for </w:t>
      </w:r>
      <w:r w:rsidR="00124726" w:rsidRPr="6E7DDF4C">
        <w:t>c</w:t>
      </w:r>
      <w:r w:rsidR="00E72470" w:rsidRPr="6E7DDF4C">
        <w:t xml:space="preserve">hlordecone include Kepone® and GC-1189. </w:t>
      </w:r>
    </w:p>
    <w:p w14:paraId="32A7397D" w14:textId="6CD9CA06" w:rsidR="009061BE" w:rsidRPr="00582EF5" w:rsidRDefault="009061BE" w:rsidP="005D5C7B">
      <w:pPr>
        <w:pStyle w:val="Tableheading"/>
      </w:pPr>
      <w:bookmarkStart w:id="61" w:name="_Toc120532275"/>
      <w:r w:rsidRPr="00582EF5">
        <w:t xml:space="preserve">Table </w:t>
      </w:r>
      <w:r w:rsidR="00A32687" w:rsidRPr="00582EF5">
        <w:t>10</w:t>
      </w:r>
      <w:r w:rsidRPr="00582EF5">
        <w:t xml:space="preserve">: </w:t>
      </w:r>
      <w:r w:rsidR="000A53F2" w:rsidRPr="00582EF5">
        <w:tab/>
      </w:r>
      <w:r w:rsidRPr="00582EF5">
        <w:t xml:space="preserve">History of use and controls of </w:t>
      </w:r>
      <w:r w:rsidR="00124726" w:rsidRPr="00582EF5">
        <w:t>c</w:t>
      </w:r>
      <w:r w:rsidRPr="00582EF5">
        <w:t>hlordecone</w:t>
      </w:r>
      <w:bookmarkEnd w:id="61"/>
    </w:p>
    <w:tbl>
      <w:tblPr>
        <w:tblStyle w:val="TableGrid"/>
        <w:tblW w:w="0" w:type="auto"/>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1868"/>
        <w:gridCol w:w="2693"/>
        <w:gridCol w:w="2410"/>
        <w:gridCol w:w="1533"/>
      </w:tblGrid>
      <w:tr w:rsidR="00DC36D3" w:rsidRPr="00582EF5" w14:paraId="377FC97E" w14:textId="77777777" w:rsidTr="001C34A5">
        <w:tc>
          <w:tcPr>
            <w:tcW w:w="1868" w:type="dxa"/>
            <w:shd w:val="clear" w:color="auto" w:fill="1C556C"/>
            <w:vAlign w:val="bottom"/>
          </w:tcPr>
          <w:p w14:paraId="5D284B61" w14:textId="4EC671F3" w:rsidR="00E72470" w:rsidRPr="00582EF5" w:rsidRDefault="00E72470" w:rsidP="005D5C7B">
            <w:pPr>
              <w:pStyle w:val="TableTextbold"/>
              <w:rPr>
                <w:color w:val="FFFFFF" w:themeColor="background1"/>
              </w:rPr>
            </w:pPr>
            <w:r w:rsidRPr="00582EF5">
              <w:rPr>
                <w:color w:val="FFFFFF" w:themeColor="background1"/>
              </w:rPr>
              <w:t>History of use in N</w:t>
            </w:r>
            <w:r w:rsidR="00124726" w:rsidRPr="00582EF5">
              <w:rPr>
                <w:color w:val="FFFFFF" w:themeColor="background1"/>
              </w:rPr>
              <w:t>ew</w:t>
            </w:r>
            <w:r w:rsidR="001C34A5" w:rsidRPr="00582EF5">
              <w:rPr>
                <w:color w:val="FFFFFF" w:themeColor="background1"/>
              </w:rPr>
              <w:t> </w:t>
            </w:r>
            <w:r w:rsidRPr="00582EF5">
              <w:rPr>
                <w:color w:val="FFFFFF" w:themeColor="background1"/>
              </w:rPr>
              <w:t>Z</w:t>
            </w:r>
            <w:r w:rsidR="00124726" w:rsidRPr="00582EF5">
              <w:rPr>
                <w:color w:val="FFFFFF" w:themeColor="background1"/>
              </w:rPr>
              <w:t>ealand</w:t>
            </w:r>
          </w:p>
        </w:tc>
        <w:tc>
          <w:tcPr>
            <w:tcW w:w="2693" w:type="dxa"/>
            <w:shd w:val="clear" w:color="auto" w:fill="1C556C"/>
            <w:vAlign w:val="bottom"/>
          </w:tcPr>
          <w:p w14:paraId="6DE09D81" w14:textId="7A283F16" w:rsidR="00E72470" w:rsidRPr="00582EF5" w:rsidRDefault="00E72470" w:rsidP="005D5C7B">
            <w:pPr>
              <w:pStyle w:val="TableTextbold"/>
              <w:rPr>
                <w:color w:val="FFFFFF" w:themeColor="background1"/>
              </w:rPr>
            </w:pPr>
            <w:r w:rsidRPr="00582EF5">
              <w:rPr>
                <w:color w:val="FFFFFF" w:themeColor="background1"/>
              </w:rPr>
              <w:t xml:space="preserve">Relevant controls under </w:t>
            </w:r>
            <w:r w:rsidR="00124726" w:rsidRPr="00582EF5">
              <w:rPr>
                <w:color w:val="FFFFFF" w:themeColor="background1"/>
              </w:rPr>
              <w:t xml:space="preserve">Hazardous Substances and New Organisms </w:t>
            </w:r>
            <w:r w:rsidR="008E0009" w:rsidRPr="00582EF5">
              <w:rPr>
                <w:color w:val="FFFFFF" w:themeColor="background1"/>
              </w:rPr>
              <w:t xml:space="preserve">(HSNO) </w:t>
            </w:r>
            <w:r w:rsidR="00124726" w:rsidRPr="00582EF5">
              <w:rPr>
                <w:color w:val="FFFFFF" w:themeColor="background1"/>
              </w:rPr>
              <w:t>Act 1996</w:t>
            </w:r>
            <w:r w:rsidRPr="00582EF5">
              <w:rPr>
                <w:color w:val="FFFFFF" w:themeColor="background1"/>
              </w:rPr>
              <w:t xml:space="preserve"> </w:t>
            </w:r>
          </w:p>
        </w:tc>
        <w:tc>
          <w:tcPr>
            <w:tcW w:w="2410" w:type="dxa"/>
            <w:shd w:val="clear" w:color="auto" w:fill="1C556C"/>
            <w:vAlign w:val="bottom"/>
          </w:tcPr>
          <w:p w14:paraId="5D0752D3" w14:textId="77777777" w:rsidR="00E72470" w:rsidRPr="00582EF5" w:rsidRDefault="00E72470" w:rsidP="005D5C7B">
            <w:pPr>
              <w:pStyle w:val="TableTextbold"/>
              <w:rPr>
                <w:color w:val="FFFFFF" w:themeColor="background1"/>
              </w:rPr>
            </w:pPr>
            <w:r w:rsidRPr="00582EF5">
              <w:rPr>
                <w:color w:val="FFFFFF" w:themeColor="background1"/>
              </w:rPr>
              <w:t>Other controls</w:t>
            </w:r>
          </w:p>
        </w:tc>
        <w:tc>
          <w:tcPr>
            <w:tcW w:w="1533" w:type="dxa"/>
            <w:shd w:val="clear" w:color="auto" w:fill="1C556C"/>
            <w:vAlign w:val="bottom"/>
          </w:tcPr>
          <w:p w14:paraId="7D015751" w14:textId="77777777" w:rsidR="00E72470" w:rsidRPr="00582EF5" w:rsidRDefault="00E72470" w:rsidP="005D5C7B">
            <w:pPr>
              <w:pStyle w:val="TableTextbold"/>
              <w:rPr>
                <w:color w:val="FFFFFF" w:themeColor="background1"/>
              </w:rPr>
            </w:pPr>
            <w:r w:rsidRPr="00582EF5">
              <w:rPr>
                <w:color w:val="FFFFFF" w:themeColor="background1"/>
              </w:rPr>
              <w:t xml:space="preserve">Ongoing implementation issues </w:t>
            </w:r>
          </w:p>
        </w:tc>
      </w:tr>
      <w:tr w:rsidR="00E72470" w:rsidRPr="00582EF5" w14:paraId="6E954C5D" w14:textId="77777777" w:rsidTr="001C34A5">
        <w:tc>
          <w:tcPr>
            <w:tcW w:w="1868" w:type="dxa"/>
          </w:tcPr>
          <w:p w14:paraId="3C61C569" w14:textId="1FB8E227" w:rsidR="004A1A8A" w:rsidRPr="00582EF5" w:rsidRDefault="00E72470" w:rsidP="005D5C7B">
            <w:pPr>
              <w:pStyle w:val="TableText"/>
            </w:pPr>
            <w:r w:rsidRPr="00582EF5">
              <w:t>No reported use in N</w:t>
            </w:r>
            <w:r w:rsidR="00124726" w:rsidRPr="00582EF5">
              <w:t xml:space="preserve">ew </w:t>
            </w:r>
            <w:r w:rsidRPr="00582EF5">
              <w:t>Z</w:t>
            </w:r>
            <w:r w:rsidR="00124726" w:rsidRPr="00582EF5">
              <w:t>ealand</w:t>
            </w:r>
            <w:r w:rsidRPr="00582EF5">
              <w:t>.</w:t>
            </w:r>
          </w:p>
        </w:tc>
        <w:tc>
          <w:tcPr>
            <w:tcW w:w="2693" w:type="dxa"/>
          </w:tcPr>
          <w:p w14:paraId="41862A25" w14:textId="5AA6E987" w:rsidR="00E72470" w:rsidRPr="00582EF5" w:rsidRDefault="00E72470" w:rsidP="005D5C7B">
            <w:pPr>
              <w:pStyle w:val="TableText"/>
            </w:pPr>
            <w:r w:rsidRPr="00582EF5">
              <w:t>Prohibited</w:t>
            </w:r>
            <w:r w:rsidR="00F051BE" w:rsidRPr="00582EF5">
              <w:t>,</w:t>
            </w:r>
            <w:r w:rsidRPr="00582EF5">
              <w:t xml:space="preserve"> as listed in Schedule 2A of </w:t>
            </w:r>
            <w:r w:rsidR="00707F0F" w:rsidRPr="00582EF5">
              <w:t xml:space="preserve">the </w:t>
            </w:r>
            <w:r w:rsidRPr="00582EF5">
              <w:t xml:space="preserve">HSNO </w:t>
            </w:r>
            <w:r w:rsidR="00124726" w:rsidRPr="00582EF5">
              <w:t xml:space="preserve">Act </w:t>
            </w:r>
            <w:r w:rsidRPr="00582EF5">
              <w:t>in 2011.</w:t>
            </w:r>
          </w:p>
        </w:tc>
        <w:tc>
          <w:tcPr>
            <w:tcW w:w="2410" w:type="dxa"/>
          </w:tcPr>
          <w:p w14:paraId="530BB3A5" w14:textId="7DEB5152" w:rsidR="00E72470" w:rsidRPr="00582EF5" w:rsidRDefault="00E72470" w:rsidP="005D5C7B">
            <w:pPr>
              <w:pStyle w:val="TableText"/>
            </w:pPr>
            <w:r w:rsidRPr="00582EF5">
              <w:t xml:space="preserve">Registration of </w:t>
            </w:r>
            <w:r w:rsidR="00124726" w:rsidRPr="00582EF5">
              <w:t>c</w:t>
            </w:r>
            <w:r w:rsidRPr="00582EF5">
              <w:t xml:space="preserve">hlordecone as agricultural compounds or as ingredients in agricultural compounds is prohibited under </w:t>
            </w:r>
            <w:r w:rsidR="005D76B4" w:rsidRPr="00582EF5">
              <w:t xml:space="preserve">the </w:t>
            </w:r>
            <w:r w:rsidR="00124726" w:rsidRPr="00582EF5">
              <w:t>Agricultural Compounds and Veterinary Medicines</w:t>
            </w:r>
            <w:r w:rsidR="005D76B4" w:rsidRPr="00582EF5">
              <w:t xml:space="preserve"> Act 1997</w:t>
            </w:r>
            <w:r w:rsidRPr="00582EF5">
              <w:t>.</w:t>
            </w:r>
          </w:p>
        </w:tc>
        <w:tc>
          <w:tcPr>
            <w:tcW w:w="1533" w:type="dxa"/>
          </w:tcPr>
          <w:p w14:paraId="02F7917E" w14:textId="77777777" w:rsidR="00E72470" w:rsidRPr="00582EF5" w:rsidRDefault="00E72470" w:rsidP="005D5C7B">
            <w:pPr>
              <w:pStyle w:val="TableText"/>
            </w:pPr>
            <w:r w:rsidRPr="00582EF5">
              <w:t xml:space="preserve">n/a </w:t>
            </w:r>
          </w:p>
        </w:tc>
      </w:tr>
    </w:tbl>
    <w:p w14:paraId="70E37022" w14:textId="2E1C50E0" w:rsidR="00960421" w:rsidRPr="00582EF5" w:rsidRDefault="00960421" w:rsidP="005D5C7B">
      <w:pPr>
        <w:pStyle w:val="Heading4"/>
        <w:spacing w:before="360"/>
      </w:pPr>
      <w:r w:rsidRPr="00582EF5">
        <w:t>Hexabromobiphenyl</w:t>
      </w:r>
    </w:p>
    <w:p w14:paraId="4FB72EF2" w14:textId="21C59294" w:rsidR="004A1A8A" w:rsidRPr="00582EF5" w:rsidRDefault="004A1A8A" w:rsidP="005D5C7B">
      <w:pPr>
        <w:pStyle w:val="BodyText"/>
      </w:pPr>
      <w:r w:rsidRPr="00582EF5">
        <w:t xml:space="preserve">Hexabromobiphenyl belongs to the group of polybrominated biphenyls. </w:t>
      </w:r>
      <w:r w:rsidR="00F051BE" w:rsidRPr="00582EF5">
        <w:t>This</w:t>
      </w:r>
      <w:r w:rsidRPr="00582EF5">
        <w:t xml:space="preserve"> industrial chemical has been used as a flame retardant in synthetic fibres and plastics, </w:t>
      </w:r>
      <w:bookmarkStart w:id="62" w:name="_Int_DIcA1Wgq"/>
      <w:r w:rsidRPr="00582EF5">
        <w:t>mainly in</w:t>
      </w:r>
      <w:bookmarkEnd w:id="62"/>
      <w:r w:rsidRPr="00582EF5">
        <w:t xml:space="preserve"> the 1970s. According to available information, hexabromobiphenyl is no longer produced or used in most countries</w:t>
      </w:r>
      <w:r w:rsidR="008843AE">
        <w:t>, including New Zealand (table 11)</w:t>
      </w:r>
      <w:r w:rsidRPr="00582EF5">
        <w:t xml:space="preserve">. Alternatives are available for all uses. Trade names include </w:t>
      </w:r>
      <w:proofErr w:type="spellStart"/>
      <w:r w:rsidRPr="00582EF5">
        <w:t>FireMaster</w:t>
      </w:r>
      <w:proofErr w:type="spellEnd"/>
      <w:r w:rsidRPr="00582EF5">
        <w:t xml:space="preserve"> BP-6 and </w:t>
      </w:r>
      <w:proofErr w:type="spellStart"/>
      <w:r w:rsidRPr="00582EF5">
        <w:t>FireMaster</w:t>
      </w:r>
      <w:proofErr w:type="spellEnd"/>
      <w:r w:rsidRPr="00582EF5">
        <w:t xml:space="preserve"> FF-1. </w:t>
      </w:r>
    </w:p>
    <w:p w14:paraId="4190E8E2" w14:textId="29694918" w:rsidR="004A1A8A" w:rsidRPr="00582EF5" w:rsidRDefault="004A1A8A" w:rsidP="005D5C7B">
      <w:pPr>
        <w:pStyle w:val="Tableheading"/>
      </w:pPr>
      <w:bookmarkStart w:id="63" w:name="_Toc120532276"/>
      <w:r w:rsidRPr="00582EF5">
        <w:lastRenderedPageBreak/>
        <w:t xml:space="preserve">Table 11: </w:t>
      </w:r>
      <w:r w:rsidR="00DC36D3" w:rsidRPr="00582EF5">
        <w:tab/>
      </w:r>
      <w:r w:rsidRPr="00582EF5">
        <w:t>History of use and controls of hexabromobiphenyl</w:t>
      </w:r>
      <w:bookmarkEnd w:id="63"/>
    </w:p>
    <w:tbl>
      <w:tblPr>
        <w:tblStyle w:val="TableGrid"/>
        <w:tblW w:w="0" w:type="auto"/>
        <w:tblInd w:w="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1863"/>
        <w:gridCol w:w="2693"/>
        <w:gridCol w:w="2410"/>
        <w:gridCol w:w="1534"/>
      </w:tblGrid>
      <w:tr w:rsidR="009A5CA0" w:rsidRPr="00582EF5" w14:paraId="090EB823" w14:textId="77777777" w:rsidTr="1A06031B">
        <w:tc>
          <w:tcPr>
            <w:tcW w:w="1863" w:type="dxa"/>
            <w:shd w:val="clear" w:color="auto" w:fill="1C556C" w:themeFill="accent1"/>
            <w:vAlign w:val="bottom"/>
          </w:tcPr>
          <w:p w14:paraId="6F430050" w14:textId="780B2964" w:rsidR="004A1A8A" w:rsidRPr="00582EF5" w:rsidRDefault="004A1A8A" w:rsidP="005D5C7B">
            <w:pPr>
              <w:pStyle w:val="TableTextbold"/>
              <w:rPr>
                <w:color w:val="FFFFFF" w:themeColor="background1"/>
              </w:rPr>
            </w:pPr>
            <w:r w:rsidRPr="00582EF5">
              <w:rPr>
                <w:color w:val="FFFFFF" w:themeColor="background1"/>
              </w:rPr>
              <w:t>History of use in N</w:t>
            </w:r>
            <w:r w:rsidR="001C34A5" w:rsidRPr="00582EF5">
              <w:rPr>
                <w:color w:val="FFFFFF" w:themeColor="background1"/>
              </w:rPr>
              <w:t>ew </w:t>
            </w:r>
            <w:r w:rsidRPr="00582EF5">
              <w:rPr>
                <w:color w:val="FFFFFF" w:themeColor="background1"/>
              </w:rPr>
              <w:t>Z</w:t>
            </w:r>
            <w:r w:rsidR="001C34A5" w:rsidRPr="00582EF5">
              <w:rPr>
                <w:color w:val="FFFFFF" w:themeColor="background1"/>
              </w:rPr>
              <w:t>ealand</w:t>
            </w:r>
          </w:p>
        </w:tc>
        <w:tc>
          <w:tcPr>
            <w:tcW w:w="2693" w:type="dxa"/>
            <w:shd w:val="clear" w:color="auto" w:fill="1C556C" w:themeFill="accent1"/>
            <w:vAlign w:val="bottom"/>
          </w:tcPr>
          <w:p w14:paraId="786FF193" w14:textId="0518F8AB" w:rsidR="004A1A8A" w:rsidRPr="00582EF5" w:rsidRDefault="004A1A8A" w:rsidP="005D5C7B">
            <w:pPr>
              <w:pStyle w:val="TableTextbold"/>
              <w:rPr>
                <w:color w:val="FFFFFF" w:themeColor="background1"/>
              </w:rPr>
            </w:pPr>
            <w:r w:rsidRPr="00582EF5">
              <w:rPr>
                <w:color w:val="FFFFFF" w:themeColor="background1"/>
              </w:rPr>
              <w:t xml:space="preserve">Relevant controls under </w:t>
            </w:r>
            <w:r w:rsidR="001C34A5" w:rsidRPr="00582EF5">
              <w:rPr>
                <w:color w:val="FFFFFF" w:themeColor="background1"/>
              </w:rPr>
              <w:t xml:space="preserve">Hazardous Substances and New Organisms </w:t>
            </w:r>
            <w:r w:rsidR="008E0009" w:rsidRPr="00582EF5">
              <w:rPr>
                <w:color w:val="FFFFFF" w:themeColor="background1"/>
              </w:rPr>
              <w:t xml:space="preserve">(HSNO) </w:t>
            </w:r>
            <w:r w:rsidR="001C34A5" w:rsidRPr="00582EF5">
              <w:rPr>
                <w:color w:val="FFFFFF" w:themeColor="background1"/>
              </w:rPr>
              <w:t>Act 1996</w:t>
            </w:r>
            <w:r w:rsidRPr="00582EF5">
              <w:rPr>
                <w:color w:val="FFFFFF" w:themeColor="background1"/>
              </w:rPr>
              <w:t xml:space="preserve"> </w:t>
            </w:r>
          </w:p>
        </w:tc>
        <w:tc>
          <w:tcPr>
            <w:tcW w:w="2410" w:type="dxa"/>
            <w:shd w:val="clear" w:color="auto" w:fill="1C556C" w:themeFill="accent1"/>
            <w:vAlign w:val="bottom"/>
          </w:tcPr>
          <w:p w14:paraId="79937F9F" w14:textId="77777777" w:rsidR="004A1A8A" w:rsidRPr="00582EF5" w:rsidRDefault="004A1A8A" w:rsidP="005D5C7B">
            <w:pPr>
              <w:pStyle w:val="TableTextbold"/>
              <w:rPr>
                <w:color w:val="FFFFFF" w:themeColor="background1"/>
              </w:rPr>
            </w:pPr>
            <w:r w:rsidRPr="00582EF5">
              <w:rPr>
                <w:color w:val="FFFFFF" w:themeColor="background1"/>
              </w:rPr>
              <w:t>Other controls</w:t>
            </w:r>
          </w:p>
        </w:tc>
        <w:tc>
          <w:tcPr>
            <w:tcW w:w="1534" w:type="dxa"/>
            <w:shd w:val="clear" w:color="auto" w:fill="1C556C" w:themeFill="accent1"/>
            <w:vAlign w:val="bottom"/>
          </w:tcPr>
          <w:p w14:paraId="2A93F445" w14:textId="77777777" w:rsidR="004A1A8A" w:rsidRPr="00582EF5" w:rsidRDefault="004A1A8A" w:rsidP="005D5C7B">
            <w:pPr>
              <w:pStyle w:val="TableTextbold"/>
              <w:rPr>
                <w:color w:val="FFFFFF" w:themeColor="background1"/>
              </w:rPr>
            </w:pPr>
            <w:r w:rsidRPr="00582EF5">
              <w:rPr>
                <w:color w:val="FFFFFF" w:themeColor="background1"/>
              </w:rPr>
              <w:t xml:space="preserve">Ongoing implementation issues </w:t>
            </w:r>
          </w:p>
        </w:tc>
      </w:tr>
      <w:tr w:rsidR="004A1A8A" w:rsidRPr="00582EF5" w14:paraId="78AA2E97" w14:textId="77777777" w:rsidTr="008E0009">
        <w:tc>
          <w:tcPr>
            <w:tcW w:w="1863" w:type="dxa"/>
          </w:tcPr>
          <w:p w14:paraId="14BACB9E" w14:textId="55782C36" w:rsidR="004A1A8A" w:rsidRPr="00582EF5" w:rsidRDefault="004A1A8A" w:rsidP="005D5C7B">
            <w:pPr>
              <w:pStyle w:val="TableText"/>
            </w:pPr>
            <w:r w:rsidRPr="00582EF5">
              <w:t>No significant use in N</w:t>
            </w:r>
            <w:r w:rsidR="001C34A5" w:rsidRPr="00582EF5">
              <w:t xml:space="preserve">ew </w:t>
            </w:r>
            <w:r w:rsidRPr="00582EF5">
              <w:t>Z</w:t>
            </w:r>
            <w:r w:rsidR="001C34A5" w:rsidRPr="00582EF5">
              <w:t>ealand.</w:t>
            </w:r>
            <w:r w:rsidRPr="00582EF5">
              <w:t xml:space="preserve"> </w:t>
            </w:r>
          </w:p>
        </w:tc>
        <w:tc>
          <w:tcPr>
            <w:tcW w:w="2693" w:type="dxa"/>
          </w:tcPr>
          <w:p w14:paraId="028C5646" w14:textId="5BBFF031" w:rsidR="004A1A8A" w:rsidRPr="00582EF5" w:rsidRDefault="004A1A8A" w:rsidP="005D5C7B">
            <w:pPr>
              <w:pStyle w:val="TableText"/>
            </w:pPr>
            <w:r w:rsidRPr="00582EF5">
              <w:t>Prohibited</w:t>
            </w:r>
            <w:r w:rsidR="00A607F1" w:rsidRPr="00582EF5">
              <w:t>,</w:t>
            </w:r>
            <w:r w:rsidRPr="00582EF5">
              <w:t xml:space="preserve"> as listed in Schedule 2A of </w:t>
            </w:r>
            <w:r w:rsidR="00707F0F" w:rsidRPr="00582EF5">
              <w:t xml:space="preserve">the </w:t>
            </w:r>
            <w:r w:rsidRPr="00582EF5">
              <w:t xml:space="preserve">HSNO </w:t>
            </w:r>
            <w:r w:rsidR="001C34A5" w:rsidRPr="00582EF5">
              <w:t xml:space="preserve">Act </w:t>
            </w:r>
            <w:r w:rsidRPr="00582EF5">
              <w:t>in 2011.</w:t>
            </w:r>
          </w:p>
        </w:tc>
        <w:tc>
          <w:tcPr>
            <w:tcW w:w="2410" w:type="dxa"/>
          </w:tcPr>
          <w:p w14:paraId="5CD66A69" w14:textId="77777777" w:rsidR="004A1A8A" w:rsidRPr="00582EF5" w:rsidRDefault="004A1A8A" w:rsidP="005D5C7B">
            <w:pPr>
              <w:pStyle w:val="TableText"/>
            </w:pPr>
            <w:r w:rsidRPr="00582EF5">
              <w:t xml:space="preserve">n/a </w:t>
            </w:r>
          </w:p>
        </w:tc>
        <w:tc>
          <w:tcPr>
            <w:tcW w:w="1534" w:type="dxa"/>
          </w:tcPr>
          <w:p w14:paraId="28BD13B7" w14:textId="77777777" w:rsidR="004A1A8A" w:rsidRPr="00582EF5" w:rsidRDefault="004A1A8A" w:rsidP="005D5C7B">
            <w:pPr>
              <w:pStyle w:val="TableText"/>
            </w:pPr>
            <w:r w:rsidRPr="00582EF5">
              <w:t xml:space="preserve">n/a </w:t>
            </w:r>
          </w:p>
        </w:tc>
      </w:tr>
    </w:tbl>
    <w:p w14:paraId="04494625" w14:textId="79494D85" w:rsidR="157EE582" w:rsidRDefault="157EE582" w:rsidP="00517416">
      <w:pPr>
        <w:pStyle w:val="Heading4"/>
        <w:spacing w:before="360"/>
      </w:pPr>
      <w:r>
        <w:t>Endosulfan</w:t>
      </w:r>
    </w:p>
    <w:p w14:paraId="14D7B534" w14:textId="6E8026D3" w:rsidR="32AFF8AD" w:rsidRDefault="32AFF8AD" w:rsidP="00517416">
      <w:pPr>
        <w:pStyle w:val="BodyText"/>
      </w:pPr>
      <w:r>
        <w:t xml:space="preserve">Endosulfan, a synthetic organochlorine compound, </w:t>
      </w:r>
      <w:r w:rsidR="35A924E4">
        <w:t>was</w:t>
      </w:r>
      <w:r>
        <w:t xml:space="preserve"> widely used as an agricultural insecticide. It was introduced into the market in the mid</w:t>
      </w:r>
      <w:r w:rsidR="00C37C8D">
        <w:t>-</w:t>
      </w:r>
      <w:r>
        <w:t xml:space="preserve">1950s but plant production products containing endosulfan are still used in </w:t>
      </w:r>
      <w:r w:rsidR="6FAB64B3">
        <w:t>several</w:t>
      </w:r>
      <w:r>
        <w:t xml:space="preserve"> countries</w:t>
      </w:r>
      <w:r w:rsidR="6A7C567A">
        <w:t xml:space="preserve">. </w:t>
      </w:r>
      <w:r w:rsidR="00B85733">
        <w:t xml:space="preserve">There is a large amount of </w:t>
      </w:r>
      <w:r>
        <w:t>scientific literature available dealing with (eco)toxicity, environmental fate, residues in food and feedst</w:t>
      </w:r>
      <w:r w:rsidR="27E50FC4">
        <w:t>ock</w:t>
      </w:r>
      <w:r>
        <w:t xml:space="preserve">, </w:t>
      </w:r>
      <w:r w:rsidR="2D59B9D4">
        <w:t>and</w:t>
      </w:r>
      <w:r w:rsidR="6D89D8B5">
        <w:t xml:space="preserve"> </w:t>
      </w:r>
      <w:r>
        <w:t>environmental concentrations</w:t>
      </w:r>
      <w:r w:rsidR="4803B6DC">
        <w:t xml:space="preserve"> </w:t>
      </w:r>
      <w:r>
        <w:t xml:space="preserve">of </w:t>
      </w:r>
      <w:r w:rsidR="3D57880D">
        <w:t>e</w:t>
      </w:r>
      <w:r>
        <w:t xml:space="preserve">ndosulfan. In </w:t>
      </w:r>
      <w:proofErr w:type="gramStart"/>
      <w:r>
        <w:t>addition</w:t>
      </w:r>
      <w:proofErr w:type="gramEnd"/>
      <w:r>
        <w:t xml:space="preserve"> </w:t>
      </w:r>
      <w:r w:rsidR="0E53AFE8">
        <w:t>several</w:t>
      </w:r>
      <w:r>
        <w:t xml:space="preserve"> reviews </w:t>
      </w:r>
      <w:r w:rsidR="35AA058A">
        <w:t>hav</w:t>
      </w:r>
      <w:r>
        <w:t>e</w:t>
      </w:r>
      <w:r w:rsidR="35AA058A">
        <w:t xml:space="preserve"> been</w:t>
      </w:r>
      <w:r>
        <w:t xml:space="preserve"> published </w:t>
      </w:r>
      <w:r w:rsidR="77EDFEDC">
        <w:t>in the recent past</w:t>
      </w:r>
      <w:r>
        <w:t>.</w:t>
      </w:r>
    </w:p>
    <w:p w14:paraId="56392ECF" w14:textId="70D40285" w:rsidR="7B702D37" w:rsidRDefault="7B702D37" w:rsidP="00517416">
      <w:pPr>
        <w:pStyle w:val="BodyText"/>
      </w:pPr>
      <w:r>
        <w:t>In New Zealand, the use, import and manufacture of endosulfan and products containing endosulfan is controlled by a reassessment decision of the EPA under the Hazardous Substances and New Organisms Act 1996 (HSNO Act</w:t>
      </w:r>
      <w:r w:rsidR="56800A96">
        <w:t>)</w:t>
      </w:r>
      <w:r>
        <w:t xml:space="preserve">. </w:t>
      </w:r>
      <w:r w:rsidR="350B9BBE">
        <w:t>In line</w:t>
      </w:r>
      <w:r>
        <w:t xml:space="preserve"> with Article 3(4) of the Stockholm Convention</w:t>
      </w:r>
      <w:r w:rsidR="36AF1D7E">
        <w:t>, the reassessment p</w:t>
      </w:r>
      <w:r>
        <w:t>rohibited any further use, importation or manufacture of endosulfan and revoked all existing approvals.</w:t>
      </w:r>
    </w:p>
    <w:p w14:paraId="51CAD232" w14:textId="77777777" w:rsidR="00517416" w:rsidRDefault="7B702D37" w:rsidP="00517416">
      <w:pPr>
        <w:pStyle w:val="BodyText"/>
      </w:pPr>
      <w:r>
        <w:t xml:space="preserve">The Authority’s decision came into effect on 16 January 2009 (28 days after publication of Hazardous Substances (Endosulfan Direction Prohibiting Use and Storage Disposal Control) Notice 2008 (Notice) in the New Zealand Gazette. </w:t>
      </w:r>
    </w:p>
    <w:p w14:paraId="760D3545" w14:textId="794DDA20" w:rsidR="00517416" w:rsidRDefault="7B702D37" w:rsidP="00517416">
      <w:pPr>
        <w:pStyle w:val="BodyText"/>
      </w:pPr>
      <w:r>
        <w:t>The Notice imposed controls on the disposal of endosulfan stocks and required total disposal by 16 January 2010. The reassessment decision was entrenched in New Zealand legislation in 2011</w:t>
      </w:r>
      <w:r w:rsidR="15368D32">
        <w:t xml:space="preserve"> through its listing as a persistent organic pollutant under the HSNO Act</w:t>
      </w:r>
      <w:r>
        <w:t>,</w:t>
      </w:r>
      <w:r w:rsidR="001608BF">
        <w:t xml:space="preserve"> </w:t>
      </w:r>
      <w:r>
        <w:t>and regulations were amended to prohibit the import and export of endosulfan except as permitted in the Stockholm Convention and in compliance with the Basel Convention on the Control of Transboundary Movements of Hazardous Wastes and their Disposal (Basel Convention).</w:t>
      </w:r>
    </w:p>
    <w:p w14:paraId="0C52FCE6" w14:textId="535B710F" w:rsidR="7B702D37" w:rsidRDefault="7B702D37" w:rsidP="00517416">
      <w:pPr>
        <w:pStyle w:val="BodyText"/>
      </w:pPr>
      <w:r>
        <w:t>Registrations for endosulfan-based products under the Agricultural Compounds and Veterinary Medicines Act 1997 were also revoked in January 2009 and prohibited in 2011.</w:t>
      </w:r>
    </w:p>
    <w:p w14:paraId="5F14CC44" w14:textId="1FB46F41" w:rsidR="32AFF8AD" w:rsidRDefault="32AFF8AD" w:rsidP="1A06031B">
      <w:pPr>
        <w:pStyle w:val="Tableheading"/>
      </w:pPr>
      <w:bookmarkStart w:id="64" w:name="_Toc120532277"/>
      <w:r>
        <w:t>Table 1</w:t>
      </w:r>
      <w:r w:rsidR="0D40642B">
        <w:t>2</w:t>
      </w:r>
      <w:r>
        <w:t xml:space="preserve">: </w:t>
      </w:r>
      <w:r>
        <w:tab/>
        <w:t>History of use and controls of Endosulfan</w:t>
      </w:r>
      <w:bookmarkEnd w:id="64"/>
    </w:p>
    <w:tbl>
      <w:tblPr>
        <w:tblStyle w:val="TableGrid"/>
        <w:tblW w:w="0" w:type="auto"/>
        <w:tblInd w:w="5" w:type="dxa"/>
        <w:tblBorders>
          <w:top w:val="single" w:sz="4" w:space="0" w:color="1C556C" w:themeColor="accent1"/>
          <w:left w:val="none" w:sz="0" w:space="0" w:color="auto"/>
          <w:bottom w:val="single" w:sz="4" w:space="0" w:color="1C556C" w:themeColor="accent1"/>
          <w:right w:val="none" w:sz="0" w:space="0" w:color="auto"/>
          <w:insideH w:val="single" w:sz="4" w:space="0" w:color="1C556C" w:themeColor="accent1"/>
          <w:insideV w:val="single" w:sz="4" w:space="0" w:color="1C556C" w:themeColor="accent1"/>
        </w:tblBorders>
        <w:tblLook w:val="04A0" w:firstRow="1" w:lastRow="0" w:firstColumn="1" w:lastColumn="0" w:noHBand="0" w:noVBand="1"/>
      </w:tblPr>
      <w:tblGrid>
        <w:gridCol w:w="1863"/>
        <w:gridCol w:w="2693"/>
        <w:gridCol w:w="2410"/>
        <w:gridCol w:w="1534"/>
      </w:tblGrid>
      <w:tr w:rsidR="1A06031B" w14:paraId="7B212169" w14:textId="77777777" w:rsidTr="001F4438">
        <w:trPr>
          <w:tblHeader/>
        </w:trPr>
        <w:tc>
          <w:tcPr>
            <w:tcW w:w="1863" w:type="dxa"/>
            <w:shd w:val="clear" w:color="auto" w:fill="1C556C" w:themeFill="accent1"/>
            <w:vAlign w:val="bottom"/>
          </w:tcPr>
          <w:p w14:paraId="5BAE10AA" w14:textId="780B2964" w:rsidR="1A06031B" w:rsidRDefault="1A06031B" w:rsidP="1A06031B">
            <w:pPr>
              <w:pStyle w:val="TableTextbold"/>
              <w:rPr>
                <w:color w:val="FFFFFF" w:themeColor="background1"/>
              </w:rPr>
            </w:pPr>
            <w:r w:rsidRPr="1A06031B">
              <w:rPr>
                <w:color w:val="FFFFFF" w:themeColor="background1"/>
              </w:rPr>
              <w:t>History of use in New Zealand</w:t>
            </w:r>
          </w:p>
        </w:tc>
        <w:tc>
          <w:tcPr>
            <w:tcW w:w="2693" w:type="dxa"/>
            <w:shd w:val="clear" w:color="auto" w:fill="1C556C" w:themeFill="accent1"/>
            <w:vAlign w:val="bottom"/>
          </w:tcPr>
          <w:p w14:paraId="7A559A2B" w14:textId="0518F8AB" w:rsidR="1A06031B" w:rsidRDefault="1A06031B" w:rsidP="1A06031B">
            <w:pPr>
              <w:pStyle w:val="TableTextbold"/>
              <w:rPr>
                <w:color w:val="FFFFFF" w:themeColor="background1"/>
              </w:rPr>
            </w:pPr>
            <w:r w:rsidRPr="1A06031B">
              <w:rPr>
                <w:color w:val="FFFFFF" w:themeColor="background1"/>
              </w:rPr>
              <w:t xml:space="preserve">Relevant controls under Hazardous Substances and New Organisms (HSNO) Act 1996 </w:t>
            </w:r>
          </w:p>
        </w:tc>
        <w:tc>
          <w:tcPr>
            <w:tcW w:w="2410" w:type="dxa"/>
            <w:shd w:val="clear" w:color="auto" w:fill="1C556C" w:themeFill="accent1"/>
            <w:vAlign w:val="bottom"/>
          </w:tcPr>
          <w:p w14:paraId="0139BD09" w14:textId="77777777" w:rsidR="1A06031B" w:rsidRDefault="1A06031B" w:rsidP="1A06031B">
            <w:pPr>
              <w:pStyle w:val="TableTextbold"/>
              <w:rPr>
                <w:color w:val="FFFFFF" w:themeColor="background1"/>
              </w:rPr>
            </w:pPr>
            <w:r w:rsidRPr="1A06031B">
              <w:rPr>
                <w:color w:val="FFFFFF" w:themeColor="background1"/>
              </w:rPr>
              <w:t>Other controls</w:t>
            </w:r>
          </w:p>
        </w:tc>
        <w:tc>
          <w:tcPr>
            <w:tcW w:w="1534" w:type="dxa"/>
            <w:shd w:val="clear" w:color="auto" w:fill="1C556C" w:themeFill="accent1"/>
            <w:vAlign w:val="bottom"/>
          </w:tcPr>
          <w:p w14:paraId="391ABC78" w14:textId="77777777" w:rsidR="1A06031B" w:rsidRDefault="1A06031B" w:rsidP="1A06031B">
            <w:pPr>
              <w:pStyle w:val="TableTextbold"/>
              <w:rPr>
                <w:color w:val="FFFFFF" w:themeColor="background1"/>
              </w:rPr>
            </w:pPr>
            <w:r w:rsidRPr="1A06031B">
              <w:rPr>
                <w:color w:val="FFFFFF" w:themeColor="background1"/>
              </w:rPr>
              <w:t xml:space="preserve">Ongoing implementation issues </w:t>
            </w:r>
          </w:p>
        </w:tc>
      </w:tr>
      <w:tr w:rsidR="1A06031B" w14:paraId="5C3F0505" w14:textId="77777777" w:rsidTr="0C1732D2">
        <w:tc>
          <w:tcPr>
            <w:tcW w:w="1863" w:type="dxa"/>
          </w:tcPr>
          <w:p w14:paraId="02EE88E8" w14:textId="03C74DFC" w:rsidR="2E36FE95" w:rsidRDefault="2E36FE95" w:rsidP="1A06031B">
            <w:pPr>
              <w:pStyle w:val="TableText"/>
            </w:pPr>
            <w:r>
              <w:t>Endosulfan was imported into New Zealand and used from 1963 to 2009 as an insecticide</w:t>
            </w:r>
            <w:r w:rsidR="05191421">
              <w:t>.</w:t>
            </w:r>
            <w:r>
              <w:t xml:space="preserve"> </w:t>
            </w:r>
          </w:p>
          <w:p w14:paraId="7BED5827" w14:textId="77777777" w:rsidR="001F4438" w:rsidRDefault="2E36FE95" w:rsidP="1A06031B">
            <w:pPr>
              <w:pStyle w:val="TableText"/>
            </w:pPr>
            <w:r>
              <w:t xml:space="preserve">Endosulfan has never been manufactured in New Zealand. </w:t>
            </w:r>
          </w:p>
          <w:p w14:paraId="7DC2A639" w14:textId="2FE193BC" w:rsidR="001F4438" w:rsidRDefault="2CAA5174" w:rsidP="1A06031B">
            <w:pPr>
              <w:pStyle w:val="TableText"/>
            </w:pPr>
            <w:r>
              <w:t>F</w:t>
            </w:r>
            <w:r w:rsidR="2E36FE95">
              <w:t xml:space="preserve">our products using emulsifiable concentrate formulations </w:t>
            </w:r>
            <w:r w:rsidR="2E36FE95">
              <w:lastRenderedPageBreak/>
              <w:t xml:space="preserve">containing 350 g/l endosulfan were approved and available in New Zealand in 2009. </w:t>
            </w:r>
          </w:p>
          <w:p w14:paraId="1E556A9E" w14:textId="3784D3EB" w:rsidR="2E36FE95" w:rsidRDefault="2E36FE95" w:rsidP="1A06031B">
            <w:pPr>
              <w:pStyle w:val="TableText"/>
            </w:pPr>
            <w:r>
              <w:t>No endosulfan formulations were marketed for domestic use and aerial application of endosulfan did not take place in New Zealand.</w:t>
            </w:r>
          </w:p>
        </w:tc>
        <w:tc>
          <w:tcPr>
            <w:tcW w:w="2693" w:type="dxa"/>
          </w:tcPr>
          <w:p w14:paraId="3C5D8F46" w14:textId="5BBFF031" w:rsidR="1A06031B" w:rsidRDefault="1A06031B" w:rsidP="1A06031B">
            <w:pPr>
              <w:pStyle w:val="TableText"/>
            </w:pPr>
            <w:r>
              <w:lastRenderedPageBreak/>
              <w:t>Prohibited, as listed in Schedule 2A of the HSNO Act in 2011.</w:t>
            </w:r>
          </w:p>
        </w:tc>
        <w:tc>
          <w:tcPr>
            <w:tcW w:w="2410" w:type="dxa"/>
          </w:tcPr>
          <w:p w14:paraId="4FEF3C20" w14:textId="6AA8C32C" w:rsidR="1A06031B" w:rsidRDefault="09EEA8D9" w:rsidP="1A06031B">
            <w:pPr>
              <w:pStyle w:val="TableText"/>
            </w:pPr>
            <w:r>
              <w:t xml:space="preserve">Registration of endosulfan as an </w:t>
            </w:r>
            <w:r w:rsidR="655BF014">
              <w:t>agricultural compound</w:t>
            </w:r>
            <w:r>
              <w:t xml:space="preserve"> or as an ingredient in agricultural compounds is prohibited under the Agricultural Compounds and Veterinary Medicines </w:t>
            </w:r>
            <w:r w:rsidR="4324CB78">
              <w:t xml:space="preserve">(ACVM) </w:t>
            </w:r>
            <w:r>
              <w:t>Act 1997.</w:t>
            </w:r>
          </w:p>
        </w:tc>
        <w:tc>
          <w:tcPr>
            <w:tcW w:w="1534" w:type="dxa"/>
          </w:tcPr>
          <w:p w14:paraId="202FBEFB" w14:textId="5657D069" w:rsidR="1A06031B" w:rsidRDefault="3DE23DB1" w:rsidP="1A06031B">
            <w:pPr>
              <w:pStyle w:val="TableText"/>
            </w:pPr>
            <w:r>
              <w:t xml:space="preserve"> Residues in some sites resulting from historic use</w:t>
            </w:r>
            <w:r w:rsidR="30BD06AC">
              <w:t>.</w:t>
            </w:r>
          </w:p>
        </w:tc>
      </w:tr>
    </w:tbl>
    <w:p w14:paraId="2FD0BF5E" w14:textId="613A2FEC" w:rsidR="00E72470" w:rsidRPr="00582EF5" w:rsidRDefault="00E72470" w:rsidP="005D5C7B">
      <w:pPr>
        <w:pStyle w:val="Heading4"/>
        <w:spacing w:before="360"/>
      </w:pPr>
      <w:proofErr w:type="spellStart"/>
      <w:r w:rsidRPr="00582EF5">
        <w:t>Hexabromodiphenyl</w:t>
      </w:r>
      <w:proofErr w:type="spellEnd"/>
      <w:r w:rsidRPr="00582EF5">
        <w:t xml:space="preserve"> ether and </w:t>
      </w:r>
      <w:proofErr w:type="spellStart"/>
      <w:r w:rsidRPr="00582EF5">
        <w:t>heptabromodiphenyl</w:t>
      </w:r>
      <w:proofErr w:type="spellEnd"/>
      <w:r w:rsidRPr="00582EF5">
        <w:t xml:space="preserve"> ether (commercial</w:t>
      </w:r>
      <w:r w:rsidR="00FA5081" w:rsidRPr="00582EF5">
        <w:t> </w:t>
      </w:r>
      <w:proofErr w:type="spellStart"/>
      <w:r w:rsidRPr="00582EF5">
        <w:t>octabromodiphenyl</w:t>
      </w:r>
      <w:proofErr w:type="spellEnd"/>
      <w:r w:rsidRPr="00582EF5">
        <w:t xml:space="preserve"> ether) </w:t>
      </w:r>
    </w:p>
    <w:p w14:paraId="764A4A98" w14:textId="7B417A00" w:rsidR="00E72470" w:rsidRPr="00582EF5" w:rsidRDefault="0049612A" w:rsidP="005D5C7B">
      <w:pPr>
        <w:pStyle w:val="BodyText"/>
        <w:rPr>
          <w:rFonts w:eastAsiaTheme="minorHAnsi"/>
          <w:lang w:eastAsia="en-US"/>
        </w:rPr>
      </w:pPr>
      <w:proofErr w:type="spellStart"/>
      <w:r w:rsidRPr="00582EF5">
        <w:rPr>
          <w:rFonts w:eastAsiaTheme="minorHAnsi"/>
        </w:rPr>
        <w:t>Hexabromodiphenyl</w:t>
      </w:r>
      <w:proofErr w:type="spellEnd"/>
      <w:r w:rsidRPr="00582EF5">
        <w:rPr>
          <w:rFonts w:eastAsiaTheme="minorHAnsi"/>
        </w:rPr>
        <w:t xml:space="preserve"> ether</w:t>
      </w:r>
      <w:r w:rsidR="000F16D5" w:rsidRPr="00582EF5">
        <w:rPr>
          <w:rFonts w:eastAsiaTheme="minorHAnsi"/>
        </w:rPr>
        <w:t xml:space="preserve"> (</w:t>
      </w:r>
      <w:proofErr w:type="spellStart"/>
      <w:r w:rsidR="000F16D5" w:rsidRPr="00582EF5">
        <w:rPr>
          <w:rFonts w:eastAsiaTheme="minorHAnsi"/>
        </w:rPr>
        <w:t>h</w:t>
      </w:r>
      <w:r w:rsidR="00E72470" w:rsidRPr="00582EF5">
        <w:rPr>
          <w:rFonts w:eastAsiaTheme="minorHAnsi"/>
        </w:rPr>
        <w:t>exa</w:t>
      </w:r>
      <w:r w:rsidR="00DD4250" w:rsidRPr="00582EF5">
        <w:rPr>
          <w:rFonts w:eastAsiaTheme="minorHAnsi"/>
        </w:rPr>
        <w:t>BDE</w:t>
      </w:r>
      <w:proofErr w:type="spellEnd"/>
      <w:r w:rsidR="000F16D5" w:rsidRPr="00582EF5">
        <w:rPr>
          <w:rFonts w:eastAsiaTheme="minorHAnsi"/>
        </w:rPr>
        <w:t>)</w:t>
      </w:r>
      <w:r w:rsidR="00E72470" w:rsidRPr="00582EF5">
        <w:rPr>
          <w:rFonts w:eastAsiaTheme="minorHAnsi"/>
        </w:rPr>
        <w:t xml:space="preserve"> and </w:t>
      </w:r>
      <w:proofErr w:type="spellStart"/>
      <w:r w:rsidRPr="00582EF5">
        <w:rPr>
          <w:rFonts w:eastAsiaTheme="minorHAnsi"/>
        </w:rPr>
        <w:t>heptabromodiphenyl</w:t>
      </w:r>
      <w:proofErr w:type="spellEnd"/>
      <w:r w:rsidRPr="00582EF5">
        <w:rPr>
          <w:rFonts w:eastAsiaTheme="minorHAnsi"/>
        </w:rPr>
        <w:t xml:space="preserve"> ether</w:t>
      </w:r>
      <w:r w:rsidR="000F16D5" w:rsidRPr="00582EF5">
        <w:rPr>
          <w:rFonts w:eastAsiaTheme="minorHAnsi"/>
        </w:rPr>
        <w:t xml:space="preserve"> (</w:t>
      </w:r>
      <w:proofErr w:type="spellStart"/>
      <w:r w:rsidR="00E72470" w:rsidRPr="00582EF5">
        <w:rPr>
          <w:rFonts w:eastAsiaTheme="minorHAnsi"/>
        </w:rPr>
        <w:t>hepta</w:t>
      </w:r>
      <w:r w:rsidR="00DD4250" w:rsidRPr="00582EF5">
        <w:rPr>
          <w:rFonts w:eastAsiaTheme="minorHAnsi"/>
        </w:rPr>
        <w:t>BDE</w:t>
      </w:r>
      <w:proofErr w:type="spellEnd"/>
      <w:r w:rsidR="000F16D5" w:rsidRPr="00582EF5">
        <w:rPr>
          <w:rFonts w:eastAsiaTheme="minorHAnsi"/>
        </w:rPr>
        <w:t>)</w:t>
      </w:r>
      <w:r w:rsidR="00E72470" w:rsidRPr="00582EF5">
        <w:rPr>
          <w:rFonts w:eastAsiaTheme="minorHAnsi"/>
        </w:rPr>
        <w:t xml:space="preserve"> are the main</w:t>
      </w:r>
      <w:r w:rsidR="000F16D5" w:rsidRPr="00582EF5">
        <w:rPr>
          <w:rFonts w:eastAsiaTheme="minorHAnsi"/>
        </w:rPr>
        <w:t> </w:t>
      </w:r>
      <w:r w:rsidR="00E72470" w:rsidRPr="00582EF5">
        <w:rPr>
          <w:rFonts w:eastAsiaTheme="minorHAnsi"/>
        </w:rPr>
        <w:t xml:space="preserve">components of commercial </w:t>
      </w:r>
      <w:proofErr w:type="spellStart"/>
      <w:r w:rsidR="00A607F1" w:rsidRPr="00582EF5">
        <w:rPr>
          <w:rFonts w:eastAsiaTheme="minorHAnsi"/>
        </w:rPr>
        <w:t>octabromodiphenyl</w:t>
      </w:r>
      <w:proofErr w:type="spellEnd"/>
      <w:r w:rsidR="00A607F1" w:rsidRPr="00582EF5">
        <w:rPr>
          <w:rFonts w:eastAsiaTheme="minorHAnsi"/>
        </w:rPr>
        <w:t xml:space="preserve"> ether</w:t>
      </w:r>
      <w:r w:rsidR="00E72470" w:rsidRPr="00582EF5">
        <w:rPr>
          <w:rFonts w:eastAsiaTheme="minorHAnsi"/>
        </w:rPr>
        <w:t xml:space="preserve"> (c-</w:t>
      </w:r>
      <w:proofErr w:type="spellStart"/>
      <w:r w:rsidR="00E65A06" w:rsidRPr="00582EF5">
        <w:rPr>
          <w:rFonts w:eastAsiaTheme="minorHAnsi"/>
        </w:rPr>
        <w:t>o</w:t>
      </w:r>
      <w:r w:rsidR="00E72470" w:rsidRPr="00582EF5">
        <w:rPr>
          <w:rFonts w:eastAsiaTheme="minorHAnsi"/>
        </w:rPr>
        <w:t>ctaBDE</w:t>
      </w:r>
      <w:proofErr w:type="spellEnd"/>
      <w:r w:rsidR="00E72470" w:rsidRPr="00582EF5">
        <w:rPr>
          <w:rFonts w:eastAsiaTheme="minorHAnsi"/>
        </w:rPr>
        <w:t>).</w:t>
      </w:r>
      <w:r w:rsidR="00E72470" w:rsidRPr="00582EF5">
        <w:t xml:space="preserve"> </w:t>
      </w:r>
      <w:r w:rsidR="00785447" w:rsidRPr="00582EF5">
        <w:t>The</w:t>
      </w:r>
      <w:r w:rsidRPr="00582EF5">
        <w:t>se</w:t>
      </w:r>
      <w:r w:rsidR="00785447" w:rsidRPr="00582EF5">
        <w:t xml:space="preserve"> chemicals belong to the </w:t>
      </w:r>
      <w:proofErr w:type="spellStart"/>
      <w:r w:rsidR="00785447" w:rsidRPr="00582EF5">
        <w:t>bromodiphenyl</w:t>
      </w:r>
      <w:proofErr w:type="spellEnd"/>
      <w:r w:rsidR="00785447" w:rsidRPr="00582EF5">
        <w:t xml:space="preserve"> ether (BDE)</w:t>
      </w:r>
      <w:r w:rsidR="000F16D5" w:rsidRPr="00582EF5">
        <w:t xml:space="preserve"> </w:t>
      </w:r>
      <w:r w:rsidR="00785447" w:rsidRPr="00582EF5">
        <w:t>family.</w:t>
      </w:r>
    </w:p>
    <w:p w14:paraId="1B1C9412" w14:textId="19F25E1E" w:rsidR="00E72470" w:rsidRPr="00582EF5" w:rsidRDefault="00E72470" w:rsidP="005D5C7B">
      <w:pPr>
        <w:pStyle w:val="BodyText"/>
      </w:pPr>
      <w:proofErr w:type="spellStart"/>
      <w:r w:rsidRPr="00582EF5">
        <w:rPr>
          <w:rFonts w:eastAsiaTheme="minorHAnsi"/>
        </w:rPr>
        <w:t>Polybromodiphenyl</w:t>
      </w:r>
      <w:proofErr w:type="spellEnd"/>
      <w:r w:rsidRPr="00582EF5">
        <w:rPr>
          <w:rFonts w:eastAsiaTheme="minorHAnsi"/>
        </w:rPr>
        <w:t xml:space="preserve"> ether congeners </w:t>
      </w:r>
      <w:r w:rsidR="00785447" w:rsidRPr="00582EF5">
        <w:rPr>
          <w:rFonts w:eastAsiaTheme="minorHAnsi"/>
        </w:rPr>
        <w:t>(</w:t>
      </w:r>
      <w:r w:rsidRPr="00582EF5">
        <w:rPr>
          <w:rFonts w:eastAsiaTheme="minorHAnsi"/>
        </w:rPr>
        <w:t xml:space="preserve">including </w:t>
      </w:r>
      <w:proofErr w:type="spellStart"/>
      <w:r w:rsidR="005E102D" w:rsidRPr="00582EF5">
        <w:rPr>
          <w:rFonts w:eastAsiaTheme="minorHAnsi"/>
        </w:rPr>
        <w:t>tetrabromodiphenyl</w:t>
      </w:r>
      <w:proofErr w:type="spellEnd"/>
      <w:r w:rsidR="005E102D" w:rsidRPr="00582EF5">
        <w:rPr>
          <w:rFonts w:eastAsiaTheme="minorHAnsi"/>
        </w:rPr>
        <w:t xml:space="preserve"> ether (</w:t>
      </w:r>
      <w:proofErr w:type="spellStart"/>
      <w:r w:rsidRPr="00582EF5">
        <w:rPr>
          <w:rFonts w:eastAsiaTheme="minorHAnsi"/>
        </w:rPr>
        <w:t>tetraBDE</w:t>
      </w:r>
      <w:proofErr w:type="spellEnd"/>
      <w:r w:rsidR="005E102D" w:rsidRPr="00582EF5">
        <w:rPr>
          <w:rFonts w:eastAsiaTheme="minorHAnsi"/>
        </w:rPr>
        <w:t>)</w:t>
      </w:r>
      <w:r w:rsidRPr="00582EF5">
        <w:rPr>
          <w:rFonts w:eastAsiaTheme="minorHAnsi"/>
        </w:rPr>
        <w:t xml:space="preserve">, </w:t>
      </w:r>
      <w:proofErr w:type="spellStart"/>
      <w:r w:rsidR="005E102D" w:rsidRPr="00582EF5">
        <w:rPr>
          <w:rFonts w:eastAsiaTheme="minorHAnsi"/>
        </w:rPr>
        <w:t>pentabromodiphenyl</w:t>
      </w:r>
      <w:proofErr w:type="spellEnd"/>
      <w:r w:rsidR="005E102D" w:rsidRPr="00582EF5">
        <w:rPr>
          <w:rFonts w:eastAsiaTheme="minorHAnsi"/>
        </w:rPr>
        <w:t xml:space="preserve"> ether (</w:t>
      </w:r>
      <w:proofErr w:type="spellStart"/>
      <w:r w:rsidRPr="00582EF5">
        <w:rPr>
          <w:rFonts w:eastAsiaTheme="minorHAnsi"/>
        </w:rPr>
        <w:t>pentaBDE</w:t>
      </w:r>
      <w:proofErr w:type="spellEnd"/>
      <w:r w:rsidR="005E102D" w:rsidRPr="00582EF5">
        <w:rPr>
          <w:rFonts w:eastAsiaTheme="minorHAnsi"/>
        </w:rPr>
        <w:t>)</w:t>
      </w:r>
      <w:r w:rsidRPr="00582EF5">
        <w:rPr>
          <w:rFonts w:eastAsiaTheme="minorHAnsi"/>
        </w:rPr>
        <w:t xml:space="preserve">, </w:t>
      </w:r>
      <w:proofErr w:type="spellStart"/>
      <w:r w:rsidRPr="00582EF5">
        <w:rPr>
          <w:rFonts w:eastAsiaTheme="minorHAnsi"/>
        </w:rPr>
        <w:t>hexaBDE</w:t>
      </w:r>
      <w:proofErr w:type="spellEnd"/>
      <w:r w:rsidRPr="00582EF5">
        <w:rPr>
          <w:rFonts w:eastAsiaTheme="minorHAnsi"/>
        </w:rPr>
        <w:t xml:space="preserve"> and </w:t>
      </w:r>
      <w:proofErr w:type="spellStart"/>
      <w:r w:rsidRPr="00582EF5">
        <w:rPr>
          <w:rFonts w:eastAsiaTheme="minorHAnsi"/>
        </w:rPr>
        <w:t>heptaBDE</w:t>
      </w:r>
      <w:proofErr w:type="spellEnd"/>
      <w:r w:rsidR="00785447" w:rsidRPr="00582EF5">
        <w:rPr>
          <w:rFonts w:eastAsiaTheme="minorHAnsi"/>
        </w:rPr>
        <w:t>)</w:t>
      </w:r>
      <w:r w:rsidRPr="00582EF5">
        <w:rPr>
          <w:rFonts w:eastAsiaTheme="minorHAnsi"/>
        </w:rPr>
        <w:t xml:space="preserve"> inhibit or suppress combu</w:t>
      </w:r>
      <w:r w:rsidRPr="00582EF5">
        <w:t>stion in organic materials and</w:t>
      </w:r>
      <w:r w:rsidR="000F16D5" w:rsidRPr="00582EF5">
        <w:t>,</w:t>
      </w:r>
      <w:r w:rsidRPr="00582EF5">
        <w:t xml:space="preserve"> therefore</w:t>
      </w:r>
      <w:r w:rsidR="000F16D5" w:rsidRPr="00582EF5">
        <w:t>,</w:t>
      </w:r>
      <w:r w:rsidRPr="00582EF5">
        <w:t xml:space="preserve"> were</w:t>
      </w:r>
      <w:r w:rsidR="00DD4250" w:rsidRPr="00582EF5">
        <w:t xml:space="preserve"> </w:t>
      </w:r>
      <w:r w:rsidRPr="00582EF5">
        <w:t>used as additive flame</w:t>
      </w:r>
      <w:r w:rsidR="009A5CA0" w:rsidRPr="00582EF5">
        <w:t> </w:t>
      </w:r>
      <w:r w:rsidRPr="00582EF5">
        <w:t xml:space="preserve">retardants. </w:t>
      </w:r>
    </w:p>
    <w:p w14:paraId="32692AEA" w14:textId="41F01AA4" w:rsidR="00E72470" w:rsidRPr="00582EF5" w:rsidRDefault="00E72470" w:rsidP="005D5C7B">
      <w:pPr>
        <w:pStyle w:val="BodyText"/>
      </w:pPr>
      <w:r w:rsidRPr="00582EF5">
        <w:t>The main former use of c‐</w:t>
      </w:r>
      <w:proofErr w:type="spellStart"/>
      <w:r w:rsidR="00E65A06" w:rsidRPr="00582EF5">
        <w:t>o</w:t>
      </w:r>
      <w:r w:rsidRPr="00582EF5">
        <w:t>ctaBDE</w:t>
      </w:r>
      <w:proofErr w:type="spellEnd"/>
      <w:r w:rsidRPr="00582EF5">
        <w:t xml:space="preserve"> was in acrylonitrile‐butadiene‐</w:t>
      </w:r>
      <w:r w:rsidR="00171F6C" w:rsidRPr="00582EF5">
        <w:t>styrene</w:t>
      </w:r>
      <w:r w:rsidRPr="00582EF5">
        <w:t xml:space="preserve"> thermoplastics, particularly those used for electronic goods</w:t>
      </w:r>
      <w:r w:rsidR="00EA6E9F" w:rsidRPr="00582EF5">
        <w:t>,</w:t>
      </w:r>
      <w:r w:rsidRPr="00582EF5">
        <w:t xml:space="preserve"> such as computer monitor and television casings, photocopiers, microwave ovens, laptops and printers. </w:t>
      </w:r>
      <w:r w:rsidR="00FC1728" w:rsidRPr="00582EF5">
        <w:t>It was a</w:t>
      </w:r>
      <w:r w:rsidRPr="00582EF5">
        <w:t>lso used in coatings and</w:t>
      </w:r>
      <w:r w:rsidR="009A5CA0" w:rsidRPr="00582EF5">
        <w:t> </w:t>
      </w:r>
      <w:r w:rsidRPr="00582EF5">
        <w:t xml:space="preserve">lacquers, and in polyurethane foam for auto upholstery. </w:t>
      </w:r>
    </w:p>
    <w:p w14:paraId="07A02B94" w14:textId="096CADC6" w:rsidR="00E72470" w:rsidRPr="00582EF5" w:rsidRDefault="00E72470" w:rsidP="005D5C7B">
      <w:pPr>
        <w:pStyle w:val="BodyText"/>
      </w:pPr>
      <w:r w:rsidRPr="00582EF5">
        <w:t>Production of c‐</w:t>
      </w:r>
      <w:proofErr w:type="spellStart"/>
      <w:r w:rsidR="00E65A06" w:rsidRPr="00582EF5">
        <w:t>o</w:t>
      </w:r>
      <w:r w:rsidRPr="00582EF5">
        <w:t>ctaBDE</w:t>
      </w:r>
      <w:proofErr w:type="spellEnd"/>
      <w:r w:rsidRPr="00582EF5">
        <w:t xml:space="preserve"> stopped in the</w:t>
      </w:r>
      <w:r w:rsidR="008E2C5C" w:rsidRPr="00582EF5">
        <w:t xml:space="preserve"> European Union</w:t>
      </w:r>
      <w:r w:rsidRPr="00582EF5">
        <w:t xml:space="preserve"> </w:t>
      </w:r>
      <w:r w:rsidR="008E2C5C" w:rsidRPr="00582EF5">
        <w:t>(</w:t>
      </w:r>
      <w:r w:rsidRPr="00582EF5">
        <w:t>EU</w:t>
      </w:r>
      <w:r w:rsidR="008E2C5C" w:rsidRPr="00582EF5">
        <w:t>)</w:t>
      </w:r>
      <w:r w:rsidRPr="00582EF5">
        <w:t xml:space="preserve">, United States </w:t>
      </w:r>
      <w:r w:rsidR="008E2C5C" w:rsidRPr="00582EF5">
        <w:t xml:space="preserve">of America </w:t>
      </w:r>
      <w:r w:rsidRPr="00582EF5">
        <w:t xml:space="preserve">and Pacific Rim in 2004, and no information </w:t>
      </w:r>
      <w:r w:rsidR="00A607F1" w:rsidRPr="00582EF5">
        <w:t xml:space="preserve">is available </w:t>
      </w:r>
      <w:r w:rsidRPr="00582EF5">
        <w:t xml:space="preserve">indicating it is being produced in developing countries. </w:t>
      </w:r>
    </w:p>
    <w:p w14:paraId="26B474B4" w14:textId="669233C5" w:rsidR="00E72470" w:rsidRPr="00582EF5" w:rsidRDefault="00E72470" w:rsidP="005D5C7B">
      <w:pPr>
        <w:pStyle w:val="BodyText"/>
        <w:rPr>
          <w:rFonts w:eastAsiaTheme="minorHAnsi"/>
        </w:rPr>
      </w:pPr>
      <w:r w:rsidRPr="00582EF5">
        <w:t>New Zealand is likely to have had a lower level of BDEs in imported and exported products than the EU and North Ame</w:t>
      </w:r>
      <w:r w:rsidRPr="00582EF5">
        <w:rPr>
          <w:rFonts w:eastAsiaTheme="minorHAnsi"/>
        </w:rPr>
        <w:t>rica.</w:t>
      </w:r>
      <w:r w:rsidR="006D7E9D" w:rsidRPr="00582EF5">
        <w:rPr>
          <w:rFonts w:eastAsiaTheme="minorHAnsi"/>
        </w:rPr>
        <w:t xml:space="preserve"> </w:t>
      </w:r>
      <w:r w:rsidRPr="00582EF5">
        <w:rPr>
          <w:rFonts w:eastAsiaTheme="minorHAnsi"/>
        </w:rPr>
        <w:t>This is due to the absence of a regulation that required household goods to contain flame retardants in New Zealand (compared with EU countries and</w:t>
      </w:r>
      <w:r w:rsidR="00F76DB3" w:rsidRPr="00582EF5">
        <w:rPr>
          <w:rFonts w:eastAsiaTheme="minorHAnsi"/>
        </w:rPr>
        <w:t> </w:t>
      </w:r>
      <w:r w:rsidRPr="00582EF5">
        <w:rPr>
          <w:rFonts w:eastAsiaTheme="minorHAnsi"/>
        </w:rPr>
        <w:t>the</w:t>
      </w:r>
      <w:r w:rsidR="008E2C5C" w:rsidRPr="00582EF5">
        <w:rPr>
          <w:rFonts w:eastAsiaTheme="minorHAnsi"/>
        </w:rPr>
        <w:t xml:space="preserve"> United Kingdom of Great Britain and Northern Ireland</w:t>
      </w:r>
      <w:r w:rsidR="00EA6E9F" w:rsidRPr="00582EF5">
        <w:rPr>
          <w:rFonts w:eastAsiaTheme="minorHAnsi"/>
        </w:rPr>
        <w:t>,</w:t>
      </w:r>
      <w:r w:rsidRPr="00582EF5">
        <w:rPr>
          <w:rFonts w:eastAsiaTheme="minorHAnsi"/>
        </w:rPr>
        <w:t xml:space="preserve"> which had this requirement introduced in the late 1980s).</w:t>
      </w:r>
      <w:r w:rsidR="006D7E9D" w:rsidRPr="00582EF5">
        <w:rPr>
          <w:rFonts w:eastAsiaTheme="minorHAnsi"/>
        </w:rPr>
        <w:t xml:space="preserve"> </w:t>
      </w:r>
    </w:p>
    <w:p w14:paraId="73EDF01C" w14:textId="3FBC6350" w:rsidR="00E72470" w:rsidRPr="00582EF5" w:rsidRDefault="00E72470" w:rsidP="005D5C7B">
      <w:pPr>
        <w:pStyle w:val="BodyText"/>
      </w:pPr>
      <w:r w:rsidRPr="6E7DDF4C">
        <w:t xml:space="preserve">The main source of BDEs in New Zealand has come from imports of finished consumer products imported within the </w:t>
      </w:r>
      <w:r w:rsidR="00892407" w:rsidRPr="6E7DDF4C">
        <w:t>p</w:t>
      </w:r>
      <w:r w:rsidRPr="6E7DDF4C">
        <w:t>ast decades (</w:t>
      </w:r>
      <w:bookmarkStart w:id="65" w:name="_Int_IbJB3UI8"/>
      <w:r w:rsidRPr="6E7DDF4C">
        <w:t>mainly from</w:t>
      </w:r>
      <w:bookmarkEnd w:id="65"/>
      <w:r w:rsidRPr="6E7DDF4C">
        <w:t xml:space="preserve"> developing countries), polymer resin used in the manufacture of New Zealand products, and in chemical compound form for production of polymer products for specific applications. </w:t>
      </w:r>
      <w:r w:rsidR="007B29B4" w:rsidRPr="6E7DDF4C">
        <w:t xml:space="preserve">Such </w:t>
      </w:r>
      <w:r w:rsidRPr="6E7DDF4C">
        <w:t>applications include drapes, furnishings and furniture in hospital</w:t>
      </w:r>
      <w:r w:rsidR="00493197" w:rsidRPr="6E7DDF4C">
        <w:t>s</w:t>
      </w:r>
      <w:r w:rsidRPr="6E7DDF4C">
        <w:t xml:space="preserve">, schools, cinemas and other public places. BDEs were never manufactured in New Zealand. </w:t>
      </w:r>
    </w:p>
    <w:p w14:paraId="0A215065" w14:textId="257206A2" w:rsidR="00E72470" w:rsidRPr="00582EF5" w:rsidRDefault="00493197" w:rsidP="005D5C7B">
      <w:pPr>
        <w:pStyle w:val="BodyText"/>
        <w:rPr>
          <w:rFonts w:eastAsiaTheme="minorHAnsi"/>
        </w:rPr>
      </w:pPr>
      <w:r w:rsidRPr="00582EF5">
        <w:rPr>
          <w:rFonts w:eastAsiaTheme="minorHAnsi"/>
        </w:rPr>
        <w:t>C</w:t>
      </w:r>
      <w:r w:rsidR="00E72470" w:rsidRPr="00582EF5">
        <w:rPr>
          <w:rFonts w:eastAsiaTheme="minorHAnsi"/>
        </w:rPr>
        <w:t>onsumer products that may contain BDEs include electrical and electronic equipment (</w:t>
      </w:r>
      <w:r w:rsidRPr="00582EF5">
        <w:rPr>
          <w:rFonts w:eastAsiaTheme="minorHAnsi"/>
        </w:rPr>
        <w:t>televisions</w:t>
      </w:r>
      <w:r w:rsidR="00E72470" w:rsidRPr="00582EF5">
        <w:rPr>
          <w:rFonts w:eastAsiaTheme="minorHAnsi"/>
        </w:rPr>
        <w:t>,</w:t>
      </w:r>
      <w:r w:rsidR="009A5CA0" w:rsidRPr="00582EF5">
        <w:rPr>
          <w:rFonts w:eastAsiaTheme="minorHAnsi"/>
        </w:rPr>
        <w:t> </w:t>
      </w:r>
      <w:r w:rsidR="0031327D" w:rsidRPr="00582EF5">
        <w:rPr>
          <w:rFonts w:eastAsiaTheme="minorHAnsi"/>
        </w:rPr>
        <w:t>s</w:t>
      </w:r>
      <w:r w:rsidR="00E72470" w:rsidRPr="00582EF5">
        <w:rPr>
          <w:rFonts w:eastAsiaTheme="minorHAnsi"/>
        </w:rPr>
        <w:t xml:space="preserve">tereos, </w:t>
      </w:r>
      <w:r w:rsidR="0031327D" w:rsidRPr="00582EF5">
        <w:rPr>
          <w:rFonts w:eastAsiaTheme="minorHAnsi"/>
        </w:rPr>
        <w:t>c</w:t>
      </w:r>
      <w:r w:rsidR="00E72470" w:rsidRPr="00582EF5">
        <w:rPr>
          <w:rFonts w:eastAsiaTheme="minorHAnsi"/>
        </w:rPr>
        <w:t>omputers, printers, faxes, switches, plugs), household appliances (electrical heaters, hairdryers, hair tongs, dishwashers, fridges, kettles, toasters) and furniture and upholstery (curtains, drapes, car interiors)</w:t>
      </w:r>
      <w:r w:rsidR="00F23A41" w:rsidRPr="00582EF5">
        <w:rPr>
          <w:rFonts w:eastAsiaTheme="minorHAnsi"/>
        </w:rPr>
        <w:t xml:space="preserve"> (</w:t>
      </w:r>
      <w:r w:rsidRPr="00582EF5">
        <w:rPr>
          <w:rFonts w:eastAsiaTheme="minorHAnsi"/>
        </w:rPr>
        <w:t>t</w:t>
      </w:r>
      <w:r w:rsidR="00F23A41" w:rsidRPr="00582EF5">
        <w:rPr>
          <w:rFonts w:eastAsiaTheme="minorHAnsi"/>
        </w:rPr>
        <w:t>able 1</w:t>
      </w:r>
      <w:r w:rsidR="00223E9E">
        <w:rPr>
          <w:rFonts w:eastAsiaTheme="minorHAnsi"/>
        </w:rPr>
        <w:t>3</w:t>
      </w:r>
      <w:r w:rsidR="00F23A41" w:rsidRPr="00582EF5">
        <w:rPr>
          <w:rFonts w:eastAsiaTheme="minorHAnsi"/>
        </w:rPr>
        <w:t>)</w:t>
      </w:r>
      <w:r w:rsidR="00E72470" w:rsidRPr="00582EF5">
        <w:rPr>
          <w:rFonts w:eastAsiaTheme="minorHAnsi"/>
        </w:rPr>
        <w:t xml:space="preserve">. </w:t>
      </w:r>
    </w:p>
    <w:p w14:paraId="3B15EDA9" w14:textId="5E78D20E" w:rsidR="00E72470" w:rsidRPr="00582EF5" w:rsidRDefault="00493197" w:rsidP="005D5C7B">
      <w:pPr>
        <w:pStyle w:val="BodyText"/>
      </w:pPr>
      <w:r w:rsidRPr="00582EF5">
        <w:lastRenderedPageBreak/>
        <w:t xml:space="preserve">Figure </w:t>
      </w:r>
      <w:r w:rsidR="00E72470" w:rsidRPr="00582EF5">
        <w:t xml:space="preserve">1 </w:t>
      </w:r>
      <w:r w:rsidR="007B29B4" w:rsidRPr="00582EF5">
        <w:t>lists</w:t>
      </w:r>
      <w:r w:rsidR="00E72470" w:rsidRPr="00582EF5">
        <w:t xml:space="preserve"> estimated quantit</w:t>
      </w:r>
      <w:r w:rsidR="00CF1CDB" w:rsidRPr="00582EF5">
        <w:t>ies of BDE</w:t>
      </w:r>
      <w:r w:rsidR="00DA3F9E" w:rsidRPr="00582EF5">
        <w:t>s</w:t>
      </w:r>
      <w:r w:rsidR="00CF1CDB" w:rsidRPr="00582EF5">
        <w:t xml:space="preserve"> in various sources in</w:t>
      </w:r>
      <w:r w:rsidR="00E72470" w:rsidRPr="00582EF5">
        <w:t xml:space="preserve"> the New Zealand environment between 1978 and 2010.</w:t>
      </w:r>
      <w:r w:rsidR="006D7E9D" w:rsidRPr="00582EF5">
        <w:t xml:space="preserve"> </w:t>
      </w:r>
    </w:p>
    <w:p w14:paraId="34F87C55" w14:textId="40378CCE" w:rsidR="006D1A93" w:rsidRPr="00582EF5" w:rsidRDefault="00DA3F9E" w:rsidP="005D5C7B">
      <w:pPr>
        <w:pStyle w:val="Figureheading"/>
        <w:spacing w:after="0"/>
      </w:pPr>
      <w:bookmarkStart w:id="66" w:name="_Toc120532296"/>
      <w:r w:rsidRPr="00582EF5">
        <w:t xml:space="preserve">Figure </w:t>
      </w:r>
      <w:r w:rsidR="006D1A93" w:rsidRPr="00582EF5">
        <w:t xml:space="preserve">1: </w:t>
      </w:r>
      <w:r w:rsidR="009A5CA0" w:rsidRPr="00582EF5">
        <w:tab/>
      </w:r>
      <w:r w:rsidR="006D1A93" w:rsidRPr="00582EF5">
        <w:t xml:space="preserve">New Zealand </w:t>
      </w:r>
      <w:proofErr w:type="spellStart"/>
      <w:r w:rsidR="002870F7" w:rsidRPr="00582EF5">
        <w:t>bromodiphenyl</w:t>
      </w:r>
      <w:proofErr w:type="spellEnd"/>
      <w:r w:rsidR="002870F7" w:rsidRPr="00582EF5">
        <w:t xml:space="preserve"> ether</w:t>
      </w:r>
      <w:r w:rsidR="006D1A93" w:rsidRPr="00582EF5">
        <w:t xml:space="preserve"> profile</w:t>
      </w:r>
      <w:r w:rsidR="007B29B4" w:rsidRPr="00582EF5">
        <w:t>, 1978–2010</w:t>
      </w:r>
      <w:bookmarkEnd w:id="66"/>
    </w:p>
    <w:p w14:paraId="3BC69A1A" w14:textId="77777777" w:rsidR="006D1A93" w:rsidRPr="00582EF5" w:rsidRDefault="006D1A93" w:rsidP="005D5C7B">
      <w:pPr>
        <w:pStyle w:val="BodyText"/>
      </w:pPr>
      <w:r w:rsidRPr="00582EF5">
        <w:rPr>
          <w:noProof/>
          <w:color w:val="2B579A"/>
          <w:shd w:val="clear" w:color="auto" w:fill="E6E6E6"/>
        </w:rPr>
        <w:drawing>
          <wp:inline distT="0" distB="0" distL="0" distR="0" wp14:anchorId="609295EA" wp14:editId="1EB5A324">
            <wp:extent cx="5355116" cy="273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355116" cy="2731135"/>
                    </a:xfrm>
                    <a:prstGeom prst="rect">
                      <a:avLst/>
                    </a:prstGeom>
                    <a:noFill/>
                    <a:ln>
                      <a:noFill/>
                    </a:ln>
                  </pic:spPr>
                </pic:pic>
              </a:graphicData>
            </a:graphic>
          </wp:inline>
        </w:drawing>
      </w:r>
    </w:p>
    <w:p w14:paraId="4D12AD63" w14:textId="2E2188EA" w:rsidR="006D1A93" w:rsidRPr="00582EF5" w:rsidRDefault="006D1A93" w:rsidP="005D5C7B">
      <w:pPr>
        <w:pStyle w:val="Source"/>
        <w:spacing w:before="0"/>
      </w:pPr>
      <w:r w:rsidRPr="00582EF5">
        <w:t>Source: Keet et al, 2010</w:t>
      </w:r>
    </w:p>
    <w:p w14:paraId="76499A8F" w14:textId="600C3601" w:rsidR="00CF1CDB" w:rsidRPr="00582EF5" w:rsidRDefault="00CF1CDB" w:rsidP="005D5C7B">
      <w:pPr>
        <w:pStyle w:val="Note"/>
        <w:spacing w:before="0"/>
      </w:pPr>
      <w:r w:rsidRPr="00582EF5">
        <w:t xml:space="preserve">Note: </w:t>
      </w:r>
      <w:r w:rsidR="002A0A83" w:rsidRPr="00582EF5">
        <w:t>A</w:t>
      </w:r>
      <w:r w:rsidRPr="00582EF5">
        <w:t xml:space="preserve">ll figures in the </w:t>
      </w:r>
      <w:r w:rsidR="002A0A83" w:rsidRPr="00582EF5">
        <w:t xml:space="preserve">graph </w:t>
      </w:r>
      <w:r w:rsidRPr="00582EF5">
        <w:t>are annual tonnages, except for the landfill figures</w:t>
      </w:r>
      <w:r w:rsidR="002A0A83" w:rsidRPr="00582EF5">
        <w:t>,</w:t>
      </w:r>
      <w:r w:rsidRPr="00582EF5">
        <w:t xml:space="preserve"> which represent</w:t>
      </w:r>
      <w:r w:rsidR="009952EF" w:rsidRPr="00582EF5">
        <w:t xml:space="preserve"> </w:t>
      </w:r>
      <w:r w:rsidRPr="00582EF5">
        <w:t xml:space="preserve">the cumulative tonnages of </w:t>
      </w:r>
      <w:proofErr w:type="spellStart"/>
      <w:r w:rsidR="00B03A91" w:rsidRPr="00582EF5">
        <w:t>bromodiphenyl</w:t>
      </w:r>
      <w:proofErr w:type="spellEnd"/>
      <w:r w:rsidR="00B03A91" w:rsidRPr="00582EF5">
        <w:t xml:space="preserve"> ether</w:t>
      </w:r>
      <w:r w:rsidRPr="00582EF5">
        <w:t>s present in landfills.</w:t>
      </w:r>
    </w:p>
    <w:p w14:paraId="00BB5CDC" w14:textId="4F809CDA" w:rsidR="00CF1CDB" w:rsidRPr="00582EF5" w:rsidRDefault="00B03A91" w:rsidP="005D5C7B">
      <w:pPr>
        <w:pStyle w:val="Note"/>
        <w:spacing w:before="0"/>
      </w:pPr>
      <w:r w:rsidRPr="00582EF5">
        <w:t>A</w:t>
      </w:r>
      <w:r w:rsidR="00CF1CDB" w:rsidRPr="00582EF5">
        <w:t>nnual ‘in-use’ tonnages comprise the net amount in any one year made up from (</w:t>
      </w:r>
      <w:proofErr w:type="spellStart"/>
      <w:r w:rsidR="00CF1CDB" w:rsidRPr="00582EF5">
        <w:t>i</w:t>
      </w:r>
      <w:proofErr w:type="spellEnd"/>
      <w:r w:rsidR="00CF1CDB" w:rsidRPr="00582EF5">
        <w:t xml:space="preserve">) the imported goods still in use </w:t>
      </w:r>
      <w:r w:rsidR="00FC1728" w:rsidRPr="00582EF5">
        <w:rPr>
          <w:i/>
        </w:rPr>
        <w:t>plus</w:t>
      </w:r>
      <w:r w:rsidR="00FC1728" w:rsidRPr="00582EF5">
        <w:t xml:space="preserve"> </w:t>
      </w:r>
      <w:r w:rsidR="00CF1CDB" w:rsidRPr="00582EF5">
        <w:t>(ii) the products made in N</w:t>
      </w:r>
      <w:r w:rsidR="00785447" w:rsidRPr="00582EF5">
        <w:t xml:space="preserve">ew </w:t>
      </w:r>
      <w:r w:rsidR="00CF1CDB" w:rsidRPr="00582EF5">
        <w:t>Z</w:t>
      </w:r>
      <w:r w:rsidR="00785447" w:rsidRPr="00582EF5">
        <w:t>ealand</w:t>
      </w:r>
      <w:r w:rsidR="00CF1CDB" w:rsidRPr="00582EF5">
        <w:t xml:space="preserve"> and still in use in N</w:t>
      </w:r>
      <w:r w:rsidR="00785447" w:rsidRPr="00582EF5">
        <w:t xml:space="preserve">ew </w:t>
      </w:r>
      <w:r w:rsidR="00CF1CDB" w:rsidRPr="00582EF5">
        <w:t>Z</w:t>
      </w:r>
      <w:r w:rsidR="00785447" w:rsidRPr="00582EF5">
        <w:t>ealand</w:t>
      </w:r>
      <w:r w:rsidR="008B0770" w:rsidRPr="00582EF5">
        <w:t xml:space="preserve"> (</w:t>
      </w:r>
      <w:proofErr w:type="spellStart"/>
      <w:r w:rsidR="008B0770" w:rsidRPr="00582EF5">
        <w:t>i</w:t>
      </w:r>
      <w:r w:rsidR="00CF1CDB" w:rsidRPr="00582EF5">
        <w:t>e</w:t>
      </w:r>
      <w:proofErr w:type="spellEnd"/>
      <w:r w:rsidR="008B0770" w:rsidRPr="00582EF5">
        <w:t>,</w:t>
      </w:r>
      <w:r w:rsidR="00CF1CDB" w:rsidRPr="00582EF5">
        <w:t xml:space="preserve"> both (</w:t>
      </w:r>
      <w:proofErr w:type="spellStart"/>
      <w:r w:rsidR="00CF1CDB" w:rsidRPr="00582EF5">
        <w:t>i</w:t>
      </w:r>
      <w:proofErr w:type="spellEnd"/>
      <w:r w:rsidR="00CF1CDB" w:rsidRPr="00582EF5">
        <w:t xml:space="preserve">) and (ii) are accumulated over the product lifetimes) </w:t>
      </w:r>
      <w:r w:rsidR="00FC1728" w:rsidRPr="00582EF5">
        <w:rPr>
          <w:i/>
        </w:rPr>
        <w:t>minus</w:t>
      </w:r>
      <w:r w:rsidR="00FC1728" w:rsidRPr="00582EF5">
        <w:t xml:space="preserve"> </w:t>
      </w:r>
      <w:r w:rsidR="00CF1CDB" w:rsidRPr="00582EF5">
        <w:t>(iii) any exports and (iv) articles disposed to land.</w:t>
      </w:r>
    </w:p>
    <w:p w14:paraId="1CACA6B8" w14:textId="06F74965" w:rsidR="00E72470" w:rsidRPr="00582EF5" w:rsidRDefault="00A73FA3" w:rsidP="005D5C7B">
      <w:pPr>
        <w:pStyle w:val="BodyText"/>
      </w:pPr>
      <w:r w:rsidRPr="00582EF5">
        <w:t>V</w:t>
      </w:r>
      <w:r w:rsidR="00E72470" w:rsidRPr="00582EF5">
        <w:t xml:space="preserve">ery few articles containing commercial </w:t>
      </w:r>
      <w:proofErr w:type="spellStart"/>
      <w:r w:rsidR="00E72470" w:rsidRPr="00582EF5">
        <w:t>pentaBDE</w:t>
      </w:r>
      <w:proofErr w:type="spellEnd"/>
      <w:r w:rsidR="00E72470" w:rsidRPr="00582EF5">
        <w:t xml:space="preserve"> and </w:t>
      </w:r>
      <w:proofErr w:type="spellStart"/>
      <w:r w:rsidR="00E72470" w:rsidRPr="00582EF5">
        <w:t>octaBDE</w:t>
      </w:r>
      <w:proofErr w:type="spellEnd"/>
      <w:r w:rsidR="00E72470" w:rsidRPr="00582EF5">
        <w:t xml:space="preserve"> are recycled in New Zealand</w:t>
      </w:r>
      <w:r w:rsidR="00A32687" w:rsidRPr="00582EF5">
        <w:t xml:space="preserve"> (</w:t>
      </w:r>
      <w:r w:rsidRPr="00582EF5">
        <w:t>t</w:t>
      </w:r>
      <w:r w:rsidR="00A32687" w:rsidRPr="00582EF5">
        <w:t>able 1</w:t>
      </w:r>
      <w:r w:rsidR="00223E9E">
        <w:t>3</w:t>
      </w:r>
      <w:r w:rsidR="00A32687" w:rsidRPr="00582EF5">
        <w:t>)</w:t>
      </w:r>
      <w:r w:rsidR="00E72470" w:rsidRPr="00582EF5">
        <w:t xml:space="preserve">. </w:t>
      </w:r>
    </w:p>
    <w:p w14:paraId="2684A5B4" w14:textId="2634CB48" w:rsidR="00E72470" w:rsidRPr="00582EF5" w:rsidRDefault="009061BE" w:rsidP="005D5C7B">
      <w:pPr>
        <w:pStyle w:val="Tableheading"/>
      </w:pPr>
      <w:bookmarkStart w:id="67" w:name="_Toc120532278"/>
      <w:r w:rsidRPr="00582EF5">
        <w:t xml:space="preserve">Table </w:t>
      </w:r>
      <w:r w:rsidR="40699405">
        <w:t>1</w:t>
      </w:r>
      <w:r w:rsidR="3C49DF12">
        <w:t>3</w:t>
      </w:r>
      <w:r w:rsidRPr="00582EF5">
        <w:t xml:space="preserve">: </w:t>
      </w:r>
      <w:r w:rsidR="00314A51" w:rsidRPr="00582EF5">
        <w:tab/>
      </w:r>
      <w:r w:rsidRPr="00582EF5">
        <w:t xml:space="preserve">History of use and controls of </w:t>
      </w:r>
      <w:proofErr w:type="spellStart"/>
      <w:r w:rsidR="00BB45D4" w:rsidRPr="00582EF5">
        <w:t>hexabromodiphenyl</w:t>
      </w:r>
      <w:proofErr w:type="spellEnd"/>
      <w:r w:rsidR="00BB45D4" w:rsidRPr="00582EF5">
        <w:t xml:space="preserve"> ether and </w:t>
      </w:r>
      <w:proofErr w:type="spellStart"/>
      <w:r w:rsidR="00BB45D4" w:rsidRPr="00582EF5">
        <w:t>heptabromodiphenyl</w:t>
      </w:r>
      <w:proofErr w:type="spellEnd"/>
      <w:r w:rsidR="00BB45D4" w:rsidRPr="00582EF5">
        <w:t xml:space="preserve"> ether</w:t>
      </w:r>
      <w:bookmarkEnd w:id="67"/>
      <w:r w:rsidR="00BB45D4" w:rsidRPr="00582EF5">
        <w:t xml:space="preserve"> </w:t>
      </w:r>
    </w:p>
    <w:tbl>
      <w:tblPr>
        <w:tblStyle w:val="TableGrid"/>
        <w:tblW w:w="0" w:type="auto"/>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CellMar>
          <w:left w:w="85" w:type="dxa"/>
          <w:right w:w="85" w:type="dxa"/>
        </w:tblCellMar>
        <w:tblLook w:val="04A0" w:firstRow="1" w:lastRow="0" w:firstColumn="1" w:lastColumn="0" w:noHBand="0" w:noVBand="1"/>
      </w:tblPr>
      <w:tblGrid>
        <w:gridCol w:w="2576"/>
        <w:gridCol w:w="2694"/>
        <w:gridCol w:w="1417"/>
        <w:gridCol w:w="1817"/>
      </w:tblGrid>
      <w:tr w:rsidR="00314A51" w:rsidRPr="00582EF5" w14:paraId="216E1F37" w14:textId="77777777" w:rsidTr="0084265A">
        <w:tc>
          <w:tcPr>
            <w:tcW w:w="2576" w:type="dxa"/>
            <w:shd w:val="clear" w:color="auto" w:fill="1C556C"/>
            <w:vAlign w:val="bottom"/>
          </w:tcPr>
          <w:p w14:paraId="49D5C175" w14:textId="0AB419EC" w:rsidR="00E72470" w:rsidRPr="00582EF5" w:rsidRDefault="00E72470" w:rsidP="005D5C7B">
            <w:pPr>
              <w:pStyle w:val="TableTextbold"/>
              <w:keepNext/>
              <w:rPr>
                <w:color w:val="FFFFFF" w:themeColor="background1"/>
              </w:rPr>
            </w:pPr>
            <w:r w:rsidRPr="00582EF5">
              <w:rPr>
                <w:color w:val="FFFFFF" w:themeColor="background1"/>
              </w:rPr>
              <w:t>History of use in N</w:t>
            </w:r>
            <w:r w:rsidR="00BB45D4" w:rsidRPr="00582EF5">
              <w:rPr>
                <w:color w:val="FFFFFF" w:themeColor="background1"/>
              </w:rPr>
              <w:t xml:space="preserve">ew </w:t>
            </w:r>
            <w:r w:rsidRPr="00582EF5">
              <w:rPr>
                <w:color w:val="FFFFFF" w:themeColor="background1"/>
              </w:rPr>
              <w:t>Z</w:t>
            </w:r>
            <w:r w:rsidR="00BB45D4" w:rsidRPr="00582EF5">
              <w:rPr>
                <w:color w:val="FFFFFF" w:themeColor="background1"/>
              </w:rPr>
              <w:t>ealand</w:t>
            </w:r>
          </w:p>
        </w:tc>
        <w:tc>
          <w:tcPr>
            <w:tcW w:w="2694" w:type="dxa"/>
            <w:shd w:val="clear" w:color="auto" w:fill="1C556C"/>
            <w:vAlign w:val="bottom"/>
          </w:tcPr>
          <w:p w14:paraId="286B81E4" w14:textId="0FC3FDD6" w:rsidR="00E72470" w:rsidRPr="00582EF5" w:rsidRDefault="00E72470" w:rsidP="005D5C7B">
            <w:pPr>
              <w:pStyle w:val="TableTextbold"/>
              <w:keepNext/>
              <w:rPr>
                <w:color w:val="FFFFFF" w:themeColor="background1"/>
              </w:rPr>
            </w:pPr>
            <w:r w:rsidRPr="00582EF5">
              <w:rPr>
                <w:color w:val="FFFFFF" w:themeColor="background1"/>
              </w:rPr>
              <w:t xml:space="preserve">Relevant controls under </w:t>
            </w:r>
            <w:r w:rsidR="00BB45D4" w:rsidRPr="00582EF5">
              <w:rPr>
                <w:color w:val="FFFFFF" w:themeColor="background1"/>
              </w:rPr>
              <w:t>Hazardous Substances and New Organisms (HSNO) Act 1996</w:t>
            </w:r>
          </w:p>
        </w:tc>
        <w:tc>
          <w:tcPr>
            <w:tcW w:w="1417" w:type="dxa"/>
            <w:shd w:val="clear" w:color="auto" w:fill="1C556C"/>
            <w:vAlign w:val="bottom"/>
          </w:tcPr>
          <w:p w14:paraId="3F62E03E" w14:textId="77777777" w:rsidR="00E72470" w:rsidRPr="00582EF5" w:rsidRDefault="00E72470" w:rsidP="005D5C7B">
            <w:pPr>
              <w:pStyle w:val="TableTextbold"/>
              <w:keepNext/>
              <w:rPr>
                <w:color w:val="FFFFFF" w:themeColor="background1"/>
              </w:rPr>
            </w:pPr>
            <w:r w:rsidRPr="00582EF5">
              <w:rPr>
                <w:color w:val="FFFFFF" w:themeColor="background1"/>
              </w:rPr>
              <w:t>Other controls</w:t>
            </w:r>
          </w:p>
        </w:tc>
        <w:tc>
          <w:tcPr>
            <w:tcW w:w="1817" w:type="dxa"/>
            <w:shd w:val="clear" w:color="auto" w:fill="1C556C"/>
            <w:vAlign w:val="bottom"/>
          </w:tcPr>
          <w:p w14:paraId="4F419140" w14:textId="77777777" w:rsidR="00E72470" w:rsidRPr="00582EF5" w:rsidRDefault="00E72470" w:rsidP="005D5C7B">
            <w:pPr>
              <w:pStyle w:val="TableTextbold"/>
              <w:keepNext/>
              <w:rPr>
                <w:color w:val="FFFFFF" w:themeColor="background1"/>
              </w:rPr>
            </w:pPr>
            <w:r w:rsidRPr="00582EF5">
              <w:rPr>
                <w:color w:val="FFFFFF" w:themeColor="background1"/>
              </w:rPr>
              <w:t xml:space="preserve">Ongoing implementation issues </w:t>
            </w:r>
          </w:p>
        </w:tc>
      </w:tr>
      <w:tr w:rsidR="00E72470" w:rsidRPr="00582EF5" w14:paraId="1430EAD0" w14:textId="77777777" w:rsidTr="0084265A">
        <w:tc>
          <w:tcPr>
            <w:tcW w:w="2576" w:type="dxa"/>
          </w:tcPr>
          <w:p w14:paraId="18B04817" w14:textId="6CEDB0D7" w:rsidR="00E72470" w:rsidRPr="00582EF5" w:rsidRDefault="00E72470" w:rsidP="005D5C7B">
            <w:pPr>
              <w:pStyle w:val="TableText"/>
            </w:pPr>
            <w:r w:rsidRPr="00582EF5">
              <w:t>Not manufactured in N</w:t>
            </w:r>
            <w:r w:rsidR="00BB45D4" w:rsidRPr="00582EF5">
              <w:t xml:space="preserve">ew </w:t>
            </w:r>
            <w:r w:rsidRPr="00582EF5">
              <w:t>Z</w:t>
            </w:r>
            <w:r w:rsidR="00BB45D4" w:rsidRPr="00582EF5">
              <w:t>ealand</w:t>
            </w:r>
            <w:r w:rsidRPr="00582EF5">
              <w:t xml:space="preserve"> but used in articles imported and manufactured </w:t>
            </w:r>
            <w:r w:rsidR="00BB45D4" w:rsidRPr="00582EF5">
              <w:t xml:space="preserve">because </w:t>
            </w:r>
            <w:r w:rsidRPr="00582EF5">
              <w:t>was present as flame retardants in plastics (for example, casings of electronic</w:t>
            </w:r>
            <w:r w:rsidR="00015496" w:rsidRPr="00582EF5">
              <w:t> </w:t>
            </w:r>
            <w:r w:rsidRPr="00582EF5">
              <w:t>equipment).</w:t>
            </w:r>
          </w:p>
        </w:tc>
        <w:tc>
          <w:tcPr>
            <w:tcW w:w="2694" w:type="dxa"/>
          </w:tcPr>
          <w:p w14:paraId="17437D18" w14:textId="288CF1B3" w:rsidR="00E72470" w:rsidRPr="00582EF5" w:rsidRDefault="00E72470" w:rsidP="005D5C7B">
            <w:pPr>
              <w:pStyle w:val="TableText"/>
            </w:pPr>
            <w:r w:rsidRPr="00582EF5">
              <w:t>Prohibited</w:t>
            </w:r>
            <w:r w:rsidR="0084265A" w:rsidRPr="00582EF5">
              <w:t>,</w:t>
            </w:r>
            <w:r w:rsidRPr="00582EF5">
              <w:t xml:space="preserve"> as listed in Schedule 2A of </w:t>
            </w:r>
            <w:r w:rsidR="00707F0F" w:rsidRPr="00582EF5">
              <w:t xml:space="preserve">the </w:t>
            </w:r>
            <w:r w:rsidRPr="00582EF5">
              <w:t>HSNO</w:t>
            </w:r>
            <w:r w:rsidR="00BB45D4" w:rsidRPr="00582EF5">
              <w:t xml:space="preserve"> Act</w:t>
            </w:r>
            <w:r w:rsidR="0077456A">
              <w:t xml:space="preserve"> </w:t>
            </w:r>
            <w:r w:rsidRPr="00582EF5">
              <w:t>in 2011.</w:t>
            </w:r>
          </w:p>
        </w:tc>
        <w:tc>
          <w:tcPr>
            <w:tcW w:w="1417" w:type="dxa"/>
          </w:tcPr>
          <w:p w14:paraId="1322BF03" w14:textId="77777777" w:rsidR="00E72470" w:rsidRPr="00582EF5" w:rsidRDefault="00E72470" w:rsidP="005D5C7B">
            <w:pPr>
              <w:pStyle w:val="TableText"/>
            </w:pPr>
            <w:r w:rsidRPr="00582EF5">
              <w:t>n/a</w:t>
            </w:r>
          </w:p>
        </w:tc>
        <w:tc>
          <w:tcPr>
            <w:tcW w:w="1817" w:type="dxa"/>
          </w:tcPr>
          <w:p w14:paraId="37069FE5" w14:textId="75A6077C" w:rsidR="00E72470" w:rsidRPr="00582EF5" w:rsidRDefault="00E72470" w:rsidP="005D5C7B">
            <w:pPr>
              <w:pStyle w:val="TableText"/>
            </w:pPr>
            <w:r w:rsidRPr="00582EF5">
              <w:t>Management of existing articles, and waste</w:t>
            </w:r>
            <w:r w:rsidR="00BB45D4" w:rsidRPr="00582EF5">
              <w:t>-</w:t>
            </w:r>
            <w:r w:rsidRPr="00582EF5">
              <w:t xml:space="preserve">stream management when they become waste. </w:t>
            </w:r>
          </w:p>
        </w:tc>
      </w:tr>
    </w:tbl>
    <w:p w14:paraId="0A1F8FDC" w14:textId="77777777" w:rsidR="00E72470" w:rsidRPr="00582EF5" w:rsidRDefault="00E72470" w:rsidP="005D5C7B">
      <w:pPr>
        <w:pStyle w:val="Heading4"/>
        <w:spacing w:before="360"/>
      </w:pPr>
      <w:r w:rsidRPr="00582EF5">
        <w:t>Lindane</w:t>
      </w:r>
    </w:p>
    <w:p w14:paraId="77DEA909" w14:textId="2754E00E" w:rsidR="00E72470" w:rsidRPr="00582EF5" w:rsidRDefault="00E72470" w:rsidP="005D5C7B">
      <w:pPr>
        <w:pStyle w:val="BodyText"/>
      </w:pPr>
      <w:r w:rsidRPr="00582EF5">
        <w:t xml:space="preserve">Lindane is the common name for the gamma isomer of </w:t>
      </w:r>
      <w:r w:rsidR="006B554C">
        <w:t>h</w:t>
      </w:r>
      <w:r w:rsidR="006B554C" w:rsidRPr="00672F0B">
        <w:t>exachlorocyclohexane</w:t>
      </w:r>
      <w:r w:rsidRPr="00582EF5">
        <w:t xml:space="preserve">. It has been used as a broad-spectrum insecticide for seed and soil treatment, foliar applications, tree and wood treatment, and against ectoparasites in both veterinary and human applications. Its household use included fly spray, flea control and carpet moth. </w:t>
      </w:r>
    </w:p>
    <w:p w14:paraId="3407AE5D" w14:textId="12EBD41A" w:rsidR="00E72470" w:rsidRPr="00582EF5" w:rsidRDefault="00A32687" w:rsidP="005D5C7B">
      <w:pPr>
        <w:pStyle w:val="BodyText"/>
      </w:pPr>
      <w:r w:rsidRPr="00582EF5">
        <w:t xml:space="preserve">The Pesticides Act </w:t>
      </w:r>
      <w:r w:rsidR="00AA6974" w:rsidRPr="00582EF5">
        <w:t xml:space="preserve">1979 </w:t>
      </w:r>
      <w:r w:rsidRPr="00582EF5">
        <w:t xml:space="preserve">banned lindane’s </w:t>
      </w:r>
      <w:r w:rsidR="00E72470" w:rsidRPr="00582EF5">
        <w:t xml:space="preserve">use as an agricultural pesticide </w:t>
      </w:r>
      <w:r w:rsidR="00F56DE5" w:rsidRPr="00582EF5">
        <w:t>in 1989</w:t>
      </w:r>
      <w:r w:rsidR="000E1C52" w:rsidRPr="00582EF5">
        <w:t>.</w:t>
      </w:r>
      <w:r w:rsidR="00F56DE5" w:rsidRPr="00582EF5">
        <w:t xml:space="preserve"> </w:t>
      </w:r>
      <w:r w:rsidRPr="00582EF5">
        <w:t xml:space="preserve">The </w:t>
      </w:r>
      <w:r w:rsidR="001F3C24" w:rsidRPr="00582EF5">
        <w:t>Agricultural Compounds and Veterinary Medicines (</w:t>
      </w:r>
      <w:r w:rsidRPr="00582EF5">
        <w:t>ACVM</w:t>
      </w:r>
      <w:r w:rsidR="001F3C24" w:rsidRPr="00582EF5">
        <w:t>)</w:t>
      </w:r>
      <w:r w:rsidRPr="00582EF5">
        <w:t xml:space="preserve"> Regulations 2001 w</w:t>
      </w:r>
      <w:r w:rsidR="000E1C52" w:rsidRPr="00582EF5">
        <w:t>ere</w:t>
      </w:r>
      <w:r w:rsidRPr="00582EF5">
        <w:t xml:space="preserve"> amended in 2004 to prohibit </w:t>
      </w:r>
      <w:r w:rsidR="00670113" w:rsidRPr="00582EF5">
        <w:t>l</w:t>
      </w:r>
      <w:r w:rsidRPr="00582EF5">
        <w:t xml:space="preserve">indane as an agricultural compound or ingredient in agricultural compounds. </w:t>
      </w:r>
      <w:r w:rsidRPr="00582EF5">
        <w:lastRenderedPageBreak/>
        <w:t>The ACVM (Exemptions and Prohibited Substances) Regulations 2011 revoked and replaced the ACV</w:t>
      </w:r>
      <w:r w:rsidR="00670113" w:rsidRPr="00582EF5">
        <w:t>M</w:t>
      </w:r>
      <w:r w:rsidRPr="00582EF5">
        <w:t xml:space="preserve"> Regulations 2001. </w:t>
      </w:r>
      <w:r w:rsidR="00E03D17" w:rsidRPr="00582EF5">
        <w:t xml:space="preserve">All uses were prohibited when </w:t>
      </w:r>
      <w:r w:rsidR="00C1573C">
        <w:t>lindane</w:t>
      </w:r>
      <w:r w:rsidR="00E03D17" w:rsidRPr="00582EF5">
        <w:t xml:space="preserve"> was added to Schedule 2A of the HSNO Act in 2011, except for a specific exemption </w:t>
      </w:r>
      <w:r w:rsidR="00E72470" w:rsidRPr="00582EF5">
        <w:t xml:space="preserve">as a treatment </w:t>
      </w:r>
      <w:r w:rsidR="00E03D17" w:rsidRPr="00582EF5">
        <w:t xml:space="preserve">for </w:t>
      </w:r>
      <w:r w:rsidR="00E72470" w:rsidRPr="00582EF5">
        <w:t>human head lice and scabies. Pharmaceutical products were formulated in New</w:t>
      </w:r>
      <w:r w:rsidR="00314A51" w:rsidRPr="00582EF5">
        <w:t> </w:t>
      </w:r>
      <w:r w:rsidR="00E72470" w:rsidRPr="00582EF5">
        <w:t xml:space="preserve">Zealand with </w:t>
      </w:r>
      <w:r w:rsidR="00E03D17" w:rsidRPr="00582EF5">
        <w:t xml:space="preserve">imported </w:t>
      </w:r>
      <w:r w:rsidR="00E72470" w:rsidRPr="00582EF5">
        <w:t xml:space="preserve">lindane </w:t>
      </w:r>
      <w:r w:rsidR="003940DE" w:rsidRPr="00582EF5">
        <w:t>active ingredients</w:t>
      </w:r>
      <w:r w:rsidR="00E72470" w:rsidRPr="00582EF5">
        <w:t xml:space="preserve">, but this manufacture </w:t>
      </w:r>
      <w:r w:rsidR="00B36B9B">
        <w:t>ceas</w:t>
      </w:r>
      <w:r w:rsidR="00B36B9B" w:rsidRPr="00582EF5">
        <w:t xml:space="preserve">ed </w:t>
      </w:r>
      <w:r w:rsidR="00670113" w:rsidRPr="00582EF5">
        <w:t>before</w:t>
      </w:r>
      <w:r w:rsidR="00E72470" w:rsidRPr="00582EF5">
        <w:t xml:space="preserve"> the expiry of the exemption</w:t>
      </w:r>
      <w:r w:rsidR="00F23A41" w:rsidRPr="00582EF5">
        <w:t xml:space="preserve"> </w:t>
      </w:r>
      <w:r w:rsidR="00E03D17" w:rsidRPr="00582EF5">
        <w:t>on 25</w:t>
      </w:r>
      <w:r w:rsidR="001F3C24" w:rsidRPr="00582EF5">
        <w:t> </w:t>
      </w:r>
      <w:r w:rsidR="00E03D17" w:rsidRPr="00582EF5">
        <w:t xml:space="preserve">August 2015 </w:t>
      </w:r>
      <w:r w:rsidR="00F23A41" w:rsidRPr="00582EF5">
        <w:t>(</w:t>
      </w:r>
      <w:r w:rsidR="00670113" w:rsidRPr="00582EF5">
        <w:t>t</w:t>
      </w:r>
      <w:r w:rsidR="00F23A41" w:rsidRPr="00582EF5">
        <w:t xml:space="preserve">able </w:t>
      </w:r>
      <w:r w:rsidR="00BC43DD" w:rsidRPr="00582EF5">
        <w:t>1</w:t>
      </w:r>
      <w:r w:rsidR="00BC43DD">
        <w:t>4</w:t>
      </w:r>
      <w:r w:rsidR="00F23A41" w:rsidRPr="00582EF5">
        <w:t>)</w:t>
      </w:r>
      <w:r w:rsidR="00E72470" w:rsidRPr="00582EF5">
        <w:t xml:space="preserve">. </w:t>
      </w:r>
    </w:p>
    <w:p w14:paraId="6A127B42" w14:textId="320FA4AD" w:rsidR="009061BE" w:rsidRPr="00582EF5" w:rsidRDefault="009061BE" w:rsidP="005D5C7B">
      <w:pPr>
        <w:pStyle w:val="Tableheading"/>
      </w:pPr>
      <w:bookmarkStart w:id="68" w:name="_Toc120532279"/>
      <w:r w:rsidRPr="00582EF5">
        <w:t xml:space="preserve">Table </w:t>
      </w:r>
      <w:r w:rsidR="40699405">
        <w:t>1</w:t>
      </w:r>
      <w:r w:rsidR="075DFFE9">
        <w:t>4</w:t>
      </w:r>
      <w:r w:rsidRPr="00582EF5">
        <w:t xml:space="preserve">: </w:t>
      </w:r>
      <w:r w:rsidR="00314A51" w:rsidRPr="00582EF5">
        <w:tab/>
      </w:r>
      <w:r w:rsidRPr="00582EF5">
        <w:t>History of use and controls of lindane</w:t>
      </w:r>
      <w:bookmarkEnd w:id="68"/>
    </w:p>
    <w:tbl>
      <w:tblPr>
        <w:tblStyle w:val="TableGrid"/>
        <w:tblW w:w="0" w:type="auto"/>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2268"/>
        <w:gridCol w:w="2694"/>
        <w:gridCol w:w="1984"/>
        <w:gridCol w:w="1558"/>
      </w:tblGrid>
      <w:tr w:rsidR="00314A51" w:rsidRPr="00582EF5" w14:paraId="19C3F624" w14:textId="77777777" w:rsidTr="00707F0F">
        <w:tc>
          <w:tcPr>
            <w:tcW w:w="2268" w:type="dxa"/>
            <w:shd w:val="clear" w:color="auto" w:fill="1C556C"/>
            <w:tcMar>
              <w:right w:w="85" w:type="dxa"/>
            </w:tcMar>
            <w:vAlign w:val="bottom"/>
          </w:tcPr>
          <w:p w14:paraId="25B8F570" w14:textId="0816BAD8" w:rsidR="00E72470" w:rsidRPr="00582EF5" w:rsidRDefault="00E72470" w:rsidP="005D5C7B">
            <w:pPr>
              <w:pStyle w:val="TableTextbold"/>
              <w:rPr>
                <w:color w:val="FFFFFF" w:themeColor="background1"/>
              </w:rPr>
            </w:pPr>
            <w:r w:rsidRPr="00582EF5">
              <w:rPr>
                <w:color w:val="FFFFFF" w:themeColor="background1"/>
              </w:rPr>
              <w:t>History of use in N</w:t>
            </w:r>
            <w:r w:rsidR="00670113" w:rsidRPr="00582EF5">
              <w:rPr>
                <w:color w:val="FFFFFF" w:themeColor="background1"/>
              </w:rPr>
              <w:t>ew </w:t>
            </w:r>
            <w:r w:rsidRPr="00582EF5">
              <w:rPr>
                <w:color w:val="FFFFFF" w:themeColor="background1"/>
              </w:rPr>
              <w:t>Z</w:t>
            </w:r>
            <w:r w:rsidR="00670113" w:rsidRPr="00582EF5">
              <w:rPr>
                <w:color w:val="FFFFFF" w:themeColor="background1"/>
              </w:rPr>
              <w:t>ealand</w:t>
            </w:r>
          </w:p>
        </w:tc>
        <w:tc>
          <w:tcPr>
            <w:tcW w:w="2694" w:type="dxa"/>
            <w:shd w:val="clear" w:color="auto" w:fill="1C556C"/>
            <w:vAlign w:val="bottom"/>
          </w:tcPr>
          <w:p w14:paraId="43AC8063" w14:textId="5A4565E5" w:rsidR="00E72470" w:rsidRPr="00582EF5" w:rsidRDefault="00E72470" w:rsidP="005D5C7B">
            <w:pPr>
              <w:pStyle w:val="TableTextbold"/>
              <w:rPr>
                <w:color w:val="FFFFFF" w:themeColor="background1"/>
              </w:rPr>
            </w:pPr>
            <w:r w:rsidRPr="00582EF5">
              <w:rPr>
                <w:color w:val="FFFFFF" w:themeColor="background1"/>
              </w:rPr>
              <w:t xml:space="preserve">Relevant controls under </w:t>
            </w:r>
            <w:r w:rsidR="00670113" w:rsidRPr="00582EF5">
              <w:rPr>
                <w:color w:val="FFFFFF" w:themeColor="background1"/>
              </w:rPr>
              <w:t>Hazardous Substances and New Organisms (HSNO) Act 1996</w:t>
            </w:r>
          </w:p>
        </w:tc>
        <w:tc>
          <w:tcPr>
            <w:tcW w:w="1984" w:type="dxa"/>
            <w:shd w:val="clear" w:color="auto" w:fill="1C556C"/>
            <w:vAlign w:val="bottom"/>
          </w:tcPr>
          <w:p w14:paraId="4BC6205E" w14:textId="77777777" w:rsidR="00E72470" w:rsidRPr="00582EF5" w:rsidRDefault="00E72470" w:rsidP="005D5C7B">
            <w:pPr>
              <w:pStyle w:val="TableTextbold"/>
              <w:rPr>
                <w:color w:val="FFFFFF" w:themeColor="background1"/>
              </w:rPr>
            </w:pPr>
            <w:r w:rsidRPr="00582EF5">
              <w:rPr>
                <w:color w:val="FFFFFF" w:themeColor="background1"/>
              </w:rPr>
              <w:t>Other controls</w:t>
            </w:r>
          </w:p>
        </w:tc>
        <w:tc>
          <w:tcPr>
            <w:tcW w:w="1558" w:type="dxa"/>
            <w:shd w:val="clear" w:color="auto" w:fill="1C556C"/>
            <w:vAlign w:val="bottom"/>
          </w:tcPr>
          <w:p w14:paraId="0AD49E27" w14:textId="77777777" w:rsidR="00E72470" w:rsidRPr="00582EF5" w:rsidRDefault="00E72470" w:rsidP="005D5C7B">
            <w:pPr>
              <w:pStyle w:val="TableTextbold"/>
              <w:rPr>
                <w:color w:val="FFFFFF" w:themeColor="background1"/>
              </w:rPr>
            </w:pPr>
            <w:r w:rsidRPr="00582EF5">
              <w:rPr>
                <w:color w:val="FFFFFF" w:themeColor="background1"/>
              </w:rPr>
              <w:t xml:space="preserve">Ongoing implementation issues </w:t>
            </w:r>
          </w:p>
        </w:tc>
      </w:tr>
      <w:tr w:rsidR="00E72470" w:rsidRPr="00582EF5" w14:paraId="0B49BE3D" w14:textId="77777777" w:rsidTr="00707F0F">
        <w:tc>
          <w:tcPr>
            <w:tcW w:w="2268" w:type="dxa"/>
            <w:tcMar>
              <w:right w:w="85" w:type="dxa"/>
            </w:tcMar>
          </w:tcPr>
          <w:p w14:paraId="15AFE9DE" w14:textId="743AFE15" w:rsidR="00E72470" w:rsidRPr="00582EF5" w:rsidRDefault="00707F0F" w:rsidP="005D5C7B">
            <w:pPr>
              <w:pStyle w:val="TableText"/>
            </w:pPr>
            <w:r w:rsidRPr="00582EF5">
              <w:t>Before</w:t>
            </w:r>
            <w:r w:rsidR="003940DE" w:rsidRPr="00582EF5">
              <w:t xml:space="preserve"> </w:t>
            </w:r>
            <w:r w:rsidR="000E1C52" w:rsidRPr="00582EF5">
              <w:t>1989</w:t>
            </w:r>
            <w:r w:rsidR="00E72470" w:rsidRPr="00582EF5">
              <w:t xml:space="preserve">, used as a broad-spectrum insecticide. </w:t>
            </w:r>
          </w:p>
          <w:p w14:paraId="18ABA7FE" w14:textId="657A8AA7" w:rsidR="00E72470" w:rsidRPr="00582EF5" w:rsidRDefault="00E72470" w:rsidP="005D5C7B">
            <w:pPr>
              <w:pStyle w:val="TableText"/>
              <w:spacing w:before="0"/>
            </w:pPr>
            <w:r w:rsidRPr="00582EF5">
              <w:t xml:space="preserve">Its use was </w:t>
            </w:r>
            <w:r w:rsidR="003940DE" w:rsidRPr="00582EF5">
              <w:t xml:space="preserve">more generally </w:t>
            </w:r>
            <w:r w:rsidRPr="00582EF5">
              <w:t>prohibited in New Zealand in 2011, but</w:t>
            </w:r>
            <w:r w:rsidR="00707F0F" w:rsidRPr="00582EF5">
              <w:t>,</w:t>
            </w:r>
            <w:r w:rsidRPr="00582EF5">
              <w:t xml:space="preserve"> until 25</w:t>
            </w:r>
            <w:r w:rsidR="00707F0F" w:rsidRPr="00582EF5">
              <w:t> </w:t>
            </w:r>
            <w:r w:rsidRPr="00582EF5">
              <w:t>August 2015, it was used in human health pharmaceuticals (medicated shampoo under prescription) to control scabies and lice under a</w:t>
            </w:r>
            <w:r w:rsidR="005D26A3" w:rsidRPr="00582EF5">
              <w:t>n</w:t>
            </w:r>
            <w:r w:rsidRPr="00582EF5">
              <w:t xml:space="preserve"> exemption. </w:t>
            </w:r>
          </w:p>
        </w:tc>
        <w:tc>
          <w:tcPr>
            <w:tcW w:w="2694" w:type="dxa"/>
          </w:tcPr>
          <w:p w14:paraId="0C58738C" w14:textId="66FFF906" w:rsidR="00E72470" w:rsidRPr="00582EF5" w:rsidRDefault="00E72470" w:rsidP="005D5C7B">
            <w:pPr>
              <w:pStyle w:val="TableText"/>
            </w:pPr>
            <w:r w:rsidRPr="00582EF5">
              <w:t>Prohibited</w:t>
            </w:r>
            <w:r w:rsidR="001F3C24" w:rsidRPr="00582EF5">
              <w:t>,</w:t>
            </w:r>
            <w:r w:rsidRPr="00582EF5">
              <w:t xml:space="preserve"> as listed in Schedule 2A of </w:t>
            </w:r>
            <w:r w:rsidR="00707F0F" w:rsidRPr="00582EF5">
              <w:t xml:space="preserve">the </w:t>
            </w:r>
            <w:r w:rsidRPr="00582EF5">
              <w:t xml:space="preserve">HSNO </w:t>
            </w:r>
            <w:r w:rsidR="00707F0F" w:rsidRPr="00582EF5">
              <w:t xml:space="preserve">Act </w:t>
            </w:r>
            <w:r w:rsidRPr="00582EF5">
              <w:t>in 2011. The listing had an exemption for use on human head lice and scabies, but this expired on 25</w:t>
            </w:r>
            <w:r w:rsidR="00A51F88" w:rsidRPr="00582EF5">
              <w:t> </w:t>
            </w:r>
            <w:r w:rsidRPr="00582EF5">
              <w:t>August 2015.</w:t>
            </w:r>
          </w:p>
        </w:tc>
        <w:tc>
          <w:tcPr>
            <w:tcW w:w="1984" w:type="dxa"/>
          </w:tcPr>
          <w:p w14:paraId="38558525" w14:textId="5B2A434C" w:rsidR="00E72470" w:rsidRPr="00582EF5" w:rsidRDefault="00E72470" w:rsidP="005D5C7B">
            <w:pPr>
              <w:pStyle w:val="TableText"/>
            </w:pPr>
            <w:r w:rsidRPr="00582EF5">
              <w:t>Registration as agricultural compounds or ingredients in agricultural compounds prohibited</w:t>
            </w:r>
            <w:r w:rsidR="003940DE" w:rsidRPr="00582EF5">
              <w:t xml:space="preserve"> since September 2004</w:t>
            </w:r>
            <w:r w:rsidRPr="00582EF5">
              <w:t xml:space="preserve"> under </w:t>
            </w:r>
            <w:r w:rsidR="001E5BC3" w:rsidRPr="00582EF5">
              <w:t xml:space="preserve">the </w:t>
            </w:r>
            <w:r w:rsidR="001F3C24" w:rsidRPr="00582EF5">
              <w:t>Agricultural Compounds and Veterinary Medicines (</w:t>
            </w:r>
            <w:r w:rsidRPr="00582EF5">
              <w:t>ACVM</w:t>
            </w:r>
            <w:r w:rsidR="001F3C24" w:rsidRPr="00582EF5">
              <w:t>)</w:t>
            </w:r>
            <w:r w:rsidR="001E5BC3" w:rsidRPr="00582EF5">
              <w:t xml:space="preserve"> Act 1997</w:t>
            </w:r>
            <w:r w:rsidRPr="00582EF5">
              <w:t>.</w:t>
            </w:r>
          </w:p>
        </w:tc>
        <w:tc>
          <w:tcPr>
            <w:tcW w:w="1558" w:type="dxa"/>
          </w:tcPr>
          <w:p w14:paraId="0961E2E2" w14:textId="3DC029A8" w:rsidR="00E72470" w:rsidRPr="00582EF5" w:rsidRDefault="00E72470" w:rsidP="005D5C7B">
            <w:pPr>
              <w:pStyle w:val="TableText"/>
            </w:pPr>
            <w:r w:rsidRPr="00582EF5">
              <w:t>Residues in some sites resulting from historic use.</w:t>
            </w:r>
          </w:p>
        </w:tc>
      </w:tr>
    </w:tbl>
    <w:p w14:paraId="404186DA" w14:textId="77777777" w:rsidR="00E72470" w:rsidRPr="00582EF5" w:rsidRDefault="00E72470" w:rsidP="005D5C7B">
      <w:pPr>
        <w:pStyle w:val="Heading4"/>
        <w:spacing w:before="360"/>
      </w:pPr>
      <w:proofErr w:type="spellStart"/>
      <w:r w:rsidRPr="00582EF5">
        <w:t>Pentachlorobenzene</w:t>
      </w:r>
      <w:proofErr w:type="spellEnd"/>
      <w:r w:rsidRPr="00582EF5">
        <w:t xml:space="preserve"> </w:t>
      </w:r>
    </w:p>
    <w:p w14:paraId="2CDF37FB" w14:textId="411C4705" w:rsidR="00E72470" w:rsidRPr="00582EF5" w:rsidRDefault="00D170CC" w:rsidP="005D5C7B">
      <w:pPr>
        <w:pStyle w:val="BodyText"/>
      </w:pPr>
      <w:proofErr w:type="spellStart"/>
      <w:r w:rsidRPr="00582EF5">
        <w:t>Pentachlorobenzene</w:t>
      </w:r>
      <w:proofErr w:type="spellEnd"/>
      <w:r w:rsidRPr="00582EF5">
        <w:t xml:space="preserve"> (</w:t>
      </w:r>
      <w:proofErr w:type="spellStart"/>
      <w:r w:rsidR="00E72470" w:rsidRPr="00582EF5">
        <w:t>PeCB</w:t>
      </w:r>
      <w:proofErr w:type="spellEnd"/>
      <w:r w:rsidRPr="00582EF5">
        <w:t>)</w:t>
      </w:r>
      <w:r w:rsidR="00E72470" w:rsidRPr="00582EF5">
        <w:t xml:space="preserve"> belongs to a group of chlorobenzenes. It was used in </w:t>
      </w:r>
      <w:r w:rsidR="002015DB" w:rsidRPr="00582EF5">
        <w:t>polychlorinated biphenyl (</w:t>
      </w:r>
      <w:r w:rsidR="00E72470" w:rsidRPr="00582EF5">
        <w:t>PCB</w:t>
      </w:r>
      <w:r w:rsidR="002015DB" w:rsidRPr="00582EF5">
        <w:t>)</w:t>
      </w:r>
      <w:r w:rsidR="00E72470" w:rsidRPr="00582EF5">
        <w:t xml:space="preserve"> products, in dyestuff carriers, as a fungicide, a flame retardant and as a chemical intermediate, </w:t>
      </w:r>
      <w:r w:rsidR="00044BE0">
        <w:t>particularly</w:t>
      </w:r>
      <w:r w:rsidR="00E72470" w:rsidRPr="00582EF5">
        <w:t xml:space="preserve"> </w:t>
      </w:r>
      <w:r w:rsidR="32AC9BEE">
        <w:t>to produce</w:t>
      </w:r>
      <w:r w:rsidR="00E72470" w:rsidRPr="00582EF5">
        <w:t xml:space="preserve"> quintozene. </w:t>
      </w:r>
    </w:p>
    <w:p w14:paraId="0A736969" w14:textId="2F16754C" w:rsidR="00E72470" w:rsidRPr="00582EF5" w:rsidRDefault="00E72470" w:rsidP="005D5C7B">
      <w:pPr>
        <w:pStyle w:val="BodyText"/>
      </w:pPr>
      <w:proofErr w:type="spellStart"/>
      <w:r w:rsidRPr="00582EF5">
        <w:t>PeCB</w:t>
      </w:r>
      <w:proofErr w:type="spellEnd"/>
      <w:r w:rsidRPr="00582EF5">
        <w:t xml:space="preserve"> might still be produced unintentionally during combustion, thermal and industrial processes. It may also be present as impurities in products such as solvents or pesticides.</w:t>
      </w:r>
    </w:p>
    <w:p w14:paraId="089F90BA" w14:textId="77C043E2" w:rsidR="00E72470" w:rsidRPr="00582EF5" w:rsidRDefault="00E72470" w:rsidP="005D5C7B">
      <w:pPr>
        <w:pStyle w:val="BodyText"/>
      </w:pPr>
      <w:r w:rsidRPr="00582EF5">
        <w:t xml:space="preserve">In 2011, the Environmental Risk Management Authority (the </w:t>
      </w:r>
      <w:r w:rsidR="002015DB" w:rsidRPr="00582EF5">
        <w:t>Environmental Protection Authority’s (</w:t>
      </w:r>
      <w:r w:rsidRPr="00582EF5">
        <w:t>EPA’s</w:t>
      </w:r>
      <w:r w:rsidR="002015DB" w:rsidRPr="00582EF5">
        <w:t>)</w:t>
      </w:r>
      <w:r w:rsidRPr="00582EF5">
        <w:t xml:space="preserve"> predecessor) reassessed </w:t>
      </w:r>
      <w:r w:rsidR="006371B7" w:rsidRPr="00582EF5">
        <w:t xml:space="preserve">and </w:t>
      </w:r>
      <w:r w:rsidRPr="00582EF5">
        <w:t>the</w:t>
      </w:r>
      <w:r w:rsidR="006371B7" w:rsidRPr="00582EF5">
        <w:t>n</w:t>
      </w:r>
      <w:r w:rsidRPr="00582EF5">
        <w:t xml:space="preserve"> </w:t>
      </w:r>
      <w:r w:rsidR="006371B7" w:rsidRPr="00582EF5">
        <w:t xml:space="preserve">revoked the </w:t>
      </w:r>
      <w:r w:rsidRPr="00582EF5">
        <w:t xml:space="preserve">approval for quintozene. </w:t>
      </w:r>
      <w:r w:rsidR="006371B7" w:rsidRPr="00582EF5">
        <w:t>R</w:t>
      </w:r>
      <w:r w:rsidRPr="00582EF5">
        <w:t xml:space="preserve">easons for the decision included that the revocation would remove an avoidable source of POPs and be consistent with New Zealand’s commitment under the Convention. </w:t>
      </w:r>
    </w:p>
    <w:p w14:paraId="6C7FF028" w14:textId="0C68D966" w:rsidR="00E72470" w:rsidRPr="00582EF5" w:rsidRDefault="00DD7859" w:rsidP="005D5C7B">
      <w:pPr>
        <w:pStyle w:val="BodyText"/>
      </w:pPr>
      <w:r w:rsidRPr="00582EF5">
        <w:t>N</w:t>
      </w:r>
      <w:r w:rsidR="00E72470" w:rsidRPr="00582EF5">
        <w:t xml:space="preserve">o </w:t>
      </w:r>
      <w:r w:rsidRPr="00582EF5">
        <w:t xml:space="preserve">use is </w:t>
      </w:r>
      <w:r w:rsidR="00E72470" w:rsidRPr="00582EF5">
        <w:t>reported in New Zealand</w:t>
      </w:r>
      <w:r w:rsidR="00F23A41" w:rsidRPr="00582EF5">
        <w:t xml:space="preserve"> (</w:t>
      </w:r>
      <w:r w:rsidR="000846D2" w:rsidRPr="00582EF5">
        <w:t>t</w:t>
      </w:r>
      <w:r w:rsidR="00F23A41" w:rsidRPr="00582EF5">
        <w:t xml:space="preserve">able </w:t>
      </w:r>
      <w:r w:rsidR="00BC43DD" w:rsidRPr="00582EF5">
        <w:t>1</w:t>
      </w:r>
      <w:r w:rsidR="00BC43DD">
        <w:t>5</w:t>
      </w:r>
      <w:r w:rsidR="00F23A41" w:rsidRPr="00582EF5">
        <w:t>)</w:t>
      </w:r>
      <w:r w:rsidR="00E72470" w:rsidRPr="00582EF5">
        <w:t xml:space="preserve">. </w:t>
      </w:r>
    </w:p>
    <w:p w14:paraId="2802993A" w14:textId="6474142D" w:rsidR="00F23A41" w:rsidRPr="00582EF5" w:rsidRDefault="00F23A41" w:rsidP="005D5C7B">
      <w:pPr>
        <w:pStyle w:val="Tableheading"/>
      </w:pPr>
      <w:bookmarkStart w:id="69" w:name="_Toc120532280"/>
      <w:r w:rsidRPr="00582EF5">
        <w:t xml:space="preserve">Table </w:t>
      </w:r>
      <w:r w:rsidR="5B43058E">
        <w:t>1</w:t>
      </w:r>
      <w:r w:rsidR="27B087A6">
        <w:t>5</w:t>
      </w:r>
      <w:r w:rsidRPr="00582EF5">
        <w:t xml:space="preserve">: </w:t>
      </w:r>
      <w:r w:rsidR="00314A51" w:rsidRPr="00582EF5">
        <w:tab/>
      </w:r>
      <w:r w:rsidRPr="00582EF5">
        <w:t xml:space="preserve">History of use and controls of </w:t>
      </w:r>
      <w:proofErr w:type="spellStart"/>
      <w:r w:rsidR="000846D2" w:rsidRPr="00582EF5">
        <w:t>pentachlorobenzene</w:t>
      </w:r>
      <w:bookmarkEnd w:id="69"/>
      <w:proofErr w:type="spellEnd"/>
    </w:p>
    <w:tbl>
      <w:tblPr>
        <w:tblStyle w:val="TableGrid"/>
        <w:tblW w:w="0" w:type="auto"/>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CellMar>
          <w:left w:w="85" w:type="dxa"/>
          <w:right w:w="85" w:type="dxa"/>
        </w:tblCellMar>
        <w:tblLook w:val="04A0" w:firstRow="1" w:lastRow="0" w:firstColumn="1" w:lastColumn="0" w:noHBand="0" w:noVBand="1"/>
      </w:tblPr>
      <w:tblGrid>
        <w:gridCol w:w="1985"/>
        <w:gridCol w:w="2551"/>
        <w:gridCol w:w="2268"/>
        <w:gridCol w:w="1690"/>
      </w:tblGrid>
      <w:tr w:rsidR="008F57C2" w:rsidRPr="00582EF5" w14:paraId="1D4F5C1D" w14:textId="77777777" w:rsidTr="00257C36">
        <w:tc>
          <w:tcPr>
            <w:tcW w:w="1985" w:type="dxa"/>
            <w:shd w:val="clear" w:color="auto" w:fill="1C556C"/>
            <w:vAlign w:val="bottom"/>
          </w:tcPr>
          <w:p w14:paraId="032D1E67" w14:textId="5D27A046" w:rsidR="00E72470" w:rsidRPr="00582EF5" w:rsidRDefault="00E72470" w:rsidP="005D5C7B">
            <w:pPr>
              <w:pStyle w:val="TableTextbold"/>
              <w:rPr>
                <w:color w:val="FFFFFF" w:themeColor="background1"/>
              </w:rPr>
            </w:pPr>
            <w:r w:rsidRPr="00582EF5">
              <w:rPr>
                <w:color w:val="FFFFFF" w:themeColor="background1"/>
              </w:rPr>
              <w:t>History of use in N</w:t>
            </w:r>
            <w:r w:rsidR="000846D2" w:rsidRPr="00582EF5">
              <w:rPr>
                <w:color w:val="FFFFFF" w:themeColor="background1"/>
              </w:rPr>
              <w:t>ew </w:t>
            </w:r>
            <w:r w:rsidRPr="00582EF5">
              <w:rPr>
                <w:color w:val="FFFFFF" w:themeColor="background1"/>
              </w:rPr>
              <w:t>Z</w:t>
            </w:r>
            <w:r w:rsidR="000846D2" w:rsidRPr="00582EF5">
              <w:rPr>
                <w:color w:val="FFFFFF" w:themeColor="background1"/>
              </w:rPr>
              <w:t>ealand</w:t>
            </w:r>
          </w:p>
        </w:tc>
        <w:tc>
          <w:tcPr>
            <w:tcW w:w="2551" w:type="dxa"/>
            <w:shd w:val="clear" w:color="auto" w:fill="1C556C"/>
            <w:vAlign w:val="bottom"/>
          </w:tcPr>
          <w:p w14:paraId="74F4103C" w14:textId="3808CD7F" w:rsidR="00E72470" w:rsidRPr="00582EF5" w:rsidRDefault="00E72470" w:rsidP="005D5C7B">
            <w:pPr>
              <w:pStyle w:val="TableTextbold"/>
              <w:rPr>
                <w:color w:val="FFFFFF" w:themeColor="background1"/>
              </w:rPr>
            </w:pPr>
            <w:r w:rsidRPr="00582EF5">
              <w:rPr>
                <w:color w:val="FFFFFF" w:themeColor="background1"/>
              </w:rPr>
              <w:t xml:space="preserve">Relevant controls under </w:t>
            </w:r>
            <w:r w:rsidR="004E2E75" w:rsidRPr="00582EF5">
              <w:rPr>
                <w:color w:val="FFFFFF" w:themeColor="background1"/>
              </w:rPr>
              <w:t>Hazardous Substances and New Organisms (HSNO) Act 1996</w:t>
            </w:r>
          </w:p>
        </w:tc>
        <w:tc>
          <w:tcPr>
            <w:tcW w:w="2268" w:type="dxa"/>
            <w:shd w:val="clear" w:color="auto" w:fill="1C556C"/>
            <w:vAlign w:val="bottom"/>
          </w:tcPr>
          <w:p w14:paraId="521FBE31" w14:textId="77777777" w:rsidR="00E72470" w:rsidRPr="00582EF5" w:rsidRDefault="00E72470" w:rsidP="005D5C7B">
            <w:pPr>
              <w:pStyle w:val="TableTextbold"/>
              <w:rPr>
                <w:color w:val="FFFFFF" w:themeColor="background1"/>
              </w:rPr>
            </w:pPr>
            <w:r w:rsidRPr="00582EF5">
              <w:rPr>
                <w:color w:val="FFFFFF" w:themeColor="background1"/>
              </w:rPr>
              <w:t>Other controls</w:t>
            </w:r>
          </w:p>
        </w:tc>
        <w:tc>
          <w:tcPr>
            <w:tcW w:w="1690" w:type="dxa"/>
            <w:shd w:val="clear" w:color="auto" w:fill="1C556C"/>
            <w:vAlign w:val="bottom"/>
          </w:tcPr>
          <w:p w14:paraId="26D03A0A" w14:textId="77777777" w:rsidR="00E72470" w:rsidRPr="00582EF5" w:rsidRDefault="00E72470" w:rsidP="005D5C7B">
            <w:pPr>
              <w:pStyle w:val="TableTextbold"/>
              <w:rPr>
                <w:color w:val="FFFFFF" w:themeColor="background1"/>
              </w:rPr>
            </w:pPr>
            <w:r w:rsidRPr="00582EF5">
              <w:rPr>
                <w:color w:val="FFFFFF" w:themeColor="background1"/>
              </w:rPr>
              <w:t xml:space="preserve">Ongoing implementation issues </w:t>
            </w:r>
          </w:p>
        </w:tc>
      </w:tr>
      <w:tr w:rsidR="008F57C2" w:rsidRPr="00582EF5" w14:paraId="4225F766" w14:textId="77777777" w:rsidTr="00257C36">
        <w:tc>
          <w:tcPr>
            <w:tcW w:w="1985" w:type="dxa"/>
          </w:tcPr>
          <w:p w14:paraId="088D8D25" w14:textId="5BCF83B9" w:rsidR="00E72470" w:rsidRPr="00582EF5" w:rsidRDefault="00E72470" w:rsidP="005D5C7B">
            <w:pPr>
              <w:pStyle w:val="TableText"/>
            </w:pPr>
            <w:r w:rsidRPr="00582EF5">
              <w:t>No significant use in N</w:t>
            </w:r>
            <w:r w:rsidR="00573D61" w:rsidRPr="00582EF5">
              <w:t xml:space="preserve">ew </w:t>
            </w:r>
            <w:r w:rsidRPr="00582EF5">
              <w:t>Z</w:t>
            </w:r>
            <w:r w:rsidR="00573D61" w:rsidRPr="00582EF5">
              <w:t>ealand</w:t>
            </w:r>
            <w:r w:rsidRPr="00582EF5">
              <w:t xml:space="preserve">. </w:t>
            </w:r>
          </w:p>
        </w:tc>
        <w:tc>
          <w:tcPr>
            <w:tcW w:w="2551" w:type="dxa"/>
          </w:tcPr>
          <w:p w14:paraId="114FA366" w14:textId="5322A0CD" w:rsidR="00E72470" w:rsidRPr="00582EF5" w:rsidRDefault="00E72470" w:rsidP="005D5C7B">
            <w:pPr>
              <w:pStyle w:val="TableText"/>
            </w:pPr>
            <w:r w:rsidRPr="00582EF5">
              <w:t>Prohibited</w:t>
            </w:r>
            <w:r w:rsidR="00481C6E" w:rsidRPr="00582EF5">
              <w:t>,</w:t>
            </w:r>
            <w:r w:rsidRPr="00582EF5">
              <w:t xml:space="preserve"> as listed in Schedule 2A of </w:t>
            </w:r>
            <w:r w:rsidR="009D00A9" w:rsidRPr="00582EF5">
              <w:t xml:space="preserve">the </w:t>
            </w:r>
            <w:r w:rsidRPr="00582EF5">
              <w:t xml:space="preserve">HSNO </w:t>
            </w:r>
            <w:r w:rsidR="009D00A9" w:rsidRPr="00582EF5">
              <w:t xml:space="preserve">Act </w:t>
            </w:r>
            <w:r w:rsidRPr="00582EF5">
              <w:t>in 2011.</w:t>
            </w:r>
          </w:p>
        </w:tc>
        <w:tc>
          <w:tcPr>
            <w:tcW w:w="2268" w:type="dxa"/>
          </w:tcPr>
          <w:p w14:paraId="373C44D7" w14:textId="216050B4" w:rsidR="00E72470" w:rsidRPr="00582EF5" w:rsidRDefault="00E72470" w:rsidP="005D5C7B">
            <w:pPr>
              <w:pStyle w:val="TableText"/>
            </w:pPr>
            <w:r w:rsidRPr="00582EF5">
              <w:t>Registration as agricultural compounds or ingredients in agricultural compounds prohibited</w:t>
            </w:r>
            <w:r w:rsidR="005D26A3" w:rsidRPr="00582EF5">
              <w:t xml:space="preserve"> from September 2004.</w:t>
            </w:r>
          </w:p>
        </w:tc>
        <w:tc>
          <w:tcPr>
            <w:tcW w:w="1690" w:type="dxa"/>
          </w:tcPr>
          <w:p w14:paraId="1E29BC35" w14:textId="77777777" w:rsidR="00E72470" w:rsidRPr="00582EF5" w:rsidRDefault="00E72470" w:rsidP="005D5C7B">
            <w:pPr>
              <w:pStyle w:val="TableText"/>
            </w:pPr>
            <w:r w:rsidRPr="00582EF5">
              <w:t>n/a</w:t>
            </w:r>
          </w:p>
        </w:tc>
      </w:tr>
    </w:tbl>
    <w:p w14:paraId="40774656" w14:textId="77777777" w:rsidR="001F4438" w:rsidRDefault="001F4438" w:rsidP="005D5C7B">
      <w:pPr>
        <w:pStyle w:val="Heading4"/>
        <w:spacing w:before="360"/>
      </w:pPr>
    </w:p>
    <w:p w14:paraId="28BAD99C" w14:textId="77777777" w:rsidR="001F4438" w:rsidRDefault="001F4438">
      <w:pPr>
        <w:spacing w:before="0" w:after="200" w:line="276" w:lineRule="auto"/>
        <w:jc w:val="left"/>
        <w:rPr>
          <w:rFonts w:eastAsiaTheme="majorEastAsia" w:cstheme="majorBidi"/>
          <w:b/>
          <w:bCs/>
          <w:color w:val="0F7B7D"/>
          <w:sz w:val="24"/>
        </w:rPr>
      </w:pPr>
      <w:r>
        <w:br w:type="page"/>
      </w:r>
    </w:p>
    <w:p w14:paraId="61586EF7" w14:textId="3AD216A0" w:rsidR="00E72470" w:rsidRPr="00582EF5" w:rsidRDefault="00E72470" w:rsidP="005D5C7B">
      <w:pPr>
        <w:pStyle w:val="Heading4"/>
        <w:spacing w:before="360"/>
      </w:pPr>
      <w:proofErr w:type="spellStart"/>
      <w:r w:rsidRPr="00582EF5">
        <w:lastRenderedPageBreak/>
        <w:t>Perfluorooctane</w:t>
      </w:r>
      <w:proofErr w:type="spellEnd"/>
      <w:r w:rsidRPr="00582EF5">
        <w:t xml:space="preserve"> sulfonic acid, its salts and </w:t>
      </w:r>
      <w:proofErr w:type="spellStart"/>
      <w:r w:rsidRPr="00582EF5">
        <w:t>perfluorooctane</w:t>
      </w:r>
      <w:proofErr w:type="spellEnd"/>
      <w:r w:rsidRPr="00582EF5">
        <w:t xml:space="preserve"> sulfonyl fluoride</w:t>
      </w:r>
    </w:p>
    <w:p w14:paraId="18A5E94D" w14:textId="4EFF2138" w:rsidR="00E72470" w:rsidRPr="00582EF5" w:rsidRDefault="00573D61" w:rsidP="005D5C7B">
      <w:pPr>
        <w:pStyle w:val="BodyText"/>
        <w:rPr>
          <w:rFonts w:eastAsiaTheme="minorHAnsi"/>
        </w:rPr>
      </w:pPr>
      <w:proofErr w:type="spellStart"/>
      <w:r w:rsidRPr="00582EF5">
        <w:rPr>
          <w:rFonts w:eastAsiaTheme="minorHAnsi"/>
        </w:rPr>
        <w:t>Perfluorooctane</w:t>
      </w:r>
      <w:proofErr w:type="spellEnd"/>
      <w:r w:rsidRPr="00582EF5">
        <w:rPr>
          <w:rFonts w:eastAsiaTheme="minorHAnsi"/>
        </w:rPr>
        <w:t xml:space="preserve"> sulfonic acid (</w:t>
      </w:r>
      <w:r w:rsidR="00E72470" w:rsidRPr="00582EF5">
        <w:rPr>
          <w:rFonts w:eastAsiaTheme="minorHAnsi"/>
        </w:rPr>
        <w:t>PFOS</w:t>
      </w:r>
      <w:r w:rsidRPr="00582EF5">
        <w:rPr>
          <w:rFonts w:eastAsiaTheme="minorHAnsi"/>
        </w:rPr>
        <w:t>)</w:t>
      </w:r>
      <w:r w:rsidR="00E72470" w:rsidRPr="00582EF5">
        <w:rPr>
          <w:rFonts w:eastAsiaTheme="minorHAnsi"/>
        </w:rPr>
        <w:t xml:space="preserve"> and its closely related compounds are members of the large family of perfluoroalkyl sulfonate substances.</w:t>
      </w:r>
      <w:r w:rsidR="00E72470" w:rsidRPr="00582EF5">
        <w:t xml:space="preserve"> </w:t>
      </w:r>
      <w:r w:rsidR="00E72470" w:rsidRPr="00582EF5">
        <w:rPr>
          <w:rFonts w:eastAsiaTheme="minorHAnsi"/>
        </w:rPr>
        <w:t xml:space="preserve">PFOS is both intentionally produced and an unintended degradation product of related chemicals. Intentional use of PFOS was widespread </w:t>
      </w:r>
      <w:r w:rsidR="00785447" w:rsidRPr="00582EF5">
        <w:rPr>
          <w:rFonts w:eastAsiaTheme="minorHAnsi"/>
        </w:rPr>
        <w:t xml:space="preserve">globally </w:t>
      </w:r>
      <w:r w:rsidR="00E72470" w:rsidRPr="00582EF5">
        <w:rPr>
          <w:rFonts w:eastAsiaTheme="minorHAnsi"/>
        </w:rPr>
        <w:t xml:space="preserve">and included: </w:t>
      </w:r>
      <w:r w:rsidR="003E19BB" w:rsidRPr="00582EF5">
        <w:rPr>
          <w:rFonts w:eastAsiaTheme="minorHAnsi"/>
        </w:rPr>
        <w:t xml:space="preserve">the </w:t>
      </w:r>
      <w:r w:rsidR="00E72470" w:rsidRPr="00582EF5">
        <w:rPr>
          <w:rFonts w:eastAsiaTheme="minorHAnsi"/>
        </w:rPr>
        <w:t xml:space="preserve">electronic and semi-conductor industry, electroplating industry, certain medical devices, firefighting foams, photo imaging, aviation hydraulic fluids, and coatings for textiles, carpets, leather, upholstery, paper and packaging, rubber, and plastics, and insect baits for control of ants and termites. </w:t>
      </w:r>
    </w:p>
    <w:p w14:paraId="2FF3F435" w14:textId="554AB0ED" w:rsidR="00E72470" w:rsidRPr="00582EF5" w:rsidRDefault="00E72470" w:rsidP="005D5C7B">
      <w:pPr>
        <w:pStyle w:val="BodyText"/>
      </w:pPr>
      <w:r w:rsidRPr="6E7DDF4C">
        <w:t xml:space="preserve">In New Zealand, PFOS was used in </w:t>
      </w:r>
      <w:r w:rsidR="003E19BB" w:rsidRPr="6E7DDF4C">
        <w:t>several</w:t>
      </w:r>
      <w:r w:rsidRPr="6E7DDF4C">
        <w:t xml:space="preserve"> of the </w:t>
      </w:r>
      <w:r w:rsidR="00481C6E" w:rsidRPr="6E7DDF4C">
        <w:t xml:space="preserve">above </w:t>
      </w:r>
      <w:bookmarkStart w:id="70" w:name="_Int_3CMTAaBB"/>
      <w:proofErr w:type="gramStart"/>
      <w:r w:rsidRPr="6E7DDF4C">
        <w:t>applications</w:t>
      </w:r>
      <w:bookmarkEnd w:id="70"/>
      <w:proofErr w:type="gramEnd"/>
      <w:r w:rsidRPr="6E7DDF4C">
        <w:t xml:space="preserve"> but the most dispersive use was in firefighting foams. </w:t>
      </w:r>
      <w:r w:rsidR="00354F52" w:rsidRPr="6E7DDF4C">
        <w:t>Globally, t</w:t>
      </w:r>
      <w:r w:rsidRPr="6E7DDF4C">
        <w:t>he firefighting foams based on PFOS chemistry were only ever produced by one manufacturer (3M)</w:t>
      </w:r>
      <w:r w:rsidR="00481C6E" w:rsidRPr="6E7DDF4C">
        <w:t>,</w:t>
      </w:r>
      <w:r w:rsidRPr="6E7DDF4C">
        <w:t xml:space="preserve"> and </w:t>
      </w:r>
      <w:r w:rsidR="003E19BB" w:rsidRPr="6E7DDF4C">
        <w:t xml:space="preserve">it </w:t>
      </w:r>
      <w:r w:rsidR="00B36B9B" w:rsidRPr="6E7DDF4C">
        <w:t xml:space="preserve">ceased </w:t>
      </w:r>
      <w:r w:rsidRPr="6E7DDF4C">
        <w:t>this manufacture by 200</w:t>
      </w:r>
      <w:r w:rsidR="00354F52" w:rsidRPr="6E7DDF4C">
        <w:t>3</w:t>
      </w:r>
      <w:r w:rsidRPr="6E7DDF4C">
        <w:t>. PFOS</w:t>
      </w:r>
      <w:r w:rsidR="00785447" w:rsidRPr="6E7DDF4C">
        <w:t>-</w:t>
      </w:r>
      <w:r w:rsidRPr="6E7DDF4C">
        <w:t>based foams were prohibited in New Zealand by the</w:t>
      </w:r>
      <w:r w:rsidR="00C7619A" w:rsidRPr="6E7DDF4C">
        <w:t xml:space="preserve"> </w:t>
      </w:r>
      <w:r w:rsidR="00C05FB0" w:rsidRPr="6E7DDF4C">
        <w:t>HSNO</w:t>
      </w:r>
      <w:r w:rsidR="00FC1728" w:rsidRPr="6E7DDF4C">
        <w:t xml:space="preserve"> </w:t>
      </w:r>
      <w:r w:rsidR="00C7619A" w:rsidRPr="6E7DDF4C">
        <w:t>Act</w:t>
      </w:r>
      <w:r w:rsidR="003E19BB" w:rsidRPr="6E7DDF4C">
        <w:t xml:space="preserve"> 1996</w:t>
      </w:r>
      <w:r w:rsidRPr="6E7DDF4C">
        <w:t xml:space="preserve"> Fire Fighting Chemicals Group Standard 2006. A submission to a public consultation</w:t>
      </w:r>
      <w:r w:rsidR="008B0C2E" w:rsidRPr="6E7DDF4C">
        <w:t xml:space="preserve"> process</w:t>
      </w:r>
      <w:r w:rsidRPr="6E7DDF4C">
        <w:t xml:space="preserve"> led by the</w:t>
      </w:r>
      <w:r w:rsidR="00C05FB0" w:rsidRPr="6E7DDF4C">
        <w:t xml:space="preserve"> </w:t>
      </w:r>
      <w:r w:rsidR="00BF40E1" w:rsidRPr="00582EF5">
        <w:t>Environmental Risk Management Authority</w:t>
      </w:r>
      <w:r w:rsidR="00BF40E1" w:rsidRPr="6E7DDF4C">
        <w:t xml:space="preserve"> </w:t>
      </w:r>
      <w:r w:rsidRPr="6E7DDF4C">
        <w:t xml:space="preserve">in 2006 indicated that 3M had already by then </w:t>
      </w:r>
      <w:r w:rsidR="00B36B9B" w:rsidRPr="6E7DDF4C">
        <w:t xml:space="preserve">ceased </w:t>
      </w:r>
      <w:r w:rsidRPr="6E7DDF4C">
        <w:t>importing PFOS</w:t>
      </w:r>
      <w:r w:rsidR="00410815" w:rsidRPr="6E7DDF4C">
        <w:t>-</w:t>
      </w:r>
      <w:r w:rsidRPr="6E7DDF4C">
        <w:t>based firefighting foams into New Zealand.</w:t>
      </w:r>
      <w:r w:rsidRPr="00582EF5">
        <w:t xml:space="preserve"> </w:t>
      </w:r>
    </w:p>
    <w:p w14:paraId="3CEC68CD" w14:textId="27B9F169" w:rsidR="00E72470" w:rsidRPr="00582EF5" w:rsidRDefault="00E72470" w:rsidP="005D5C7B">
      <w:pPr>
        <w:pStyle w:val="BodyText"/>
      </w:pPr>
      <w:r w:rsidRPr="00582EF5">
        <w:t xml:space="preserve">In 2017, PFOS was found in soil and groundwater at some </w:t>
      </w:r>
      <w:r w:rsidR="00E50089" w:rsidRPr="00582EF5">
        <w:t xml:space="preserve">New Zealand </w:t>
      </w:r>
      <w:r w:rsidRPr="00582EF5">
        <w:t xml:space="preserve">air force bases and airports, </w:t>
      </w:r>
      <w:bookmarkStart w:id="71" w:name="_Int_HmfAvmKi"/>
      <w:r w:rsidRPr="00582EF5">
        <w:t>likely originating</w:t>
      </w:r>
      <w:bookmarkEnd w:id="71"/>
      <w:r w:rsidRPr="00582EF5">
        <w:t xml:space="preserve"> from the historic use of firefighting foams</w:t>
      </w:r>
      <w:r w:rsidR="00F23A41" w:rsidRPr="00582EF5">
        <w:t xml:space="preserve"> (</w:t>
      </w:r>
      <w:r w:rsidR="00BF40E1" w:rsidRPr="00582EF5">
        <w:t>t</w:t>
      </w:r>
      <w:r w:rsidR="00F23A41" w:rsidRPr="00582EF5">
        <w:t xml:space="preserve">able </w:t>
      </w:r>
      <w:r w:rsidR="00BC43DD" w:rsidRPr="00582EF5">
        <w:t>1</w:t>
      </w:r>
      <w:r w:rsidR="00BC43DD">
        <w:t>6</w:t>
      </w:r>
      <w:r w:rsidR="00F23A41" w:rsidRPr="00582EF5">
        <w:t>)</w:t>
      </w:r>
      <w:r w:rsidRPr="00582EF5">
        <w:t xml:space="preserve">. </w:t>
      </w:r>
    </w:p>
    <w:p w14:paraId="547D4841" w14:textId="21F4E496" w:rsidR="00E72470" w:rsidRPr="00582EF5" w:rsidRDefault="00E72470" w:rsidP="005D5C7B">
      <w:pPr>
        <w:pStyle w:val="BodyText"/>
      </w:pPr>
      <w:r w:rsidRPr="00582EF5">
        <w:t>An investigation was subsequently undertaken by EPA</w:t>
      </w:r>
      <w:r w:rsidR="00BF40E1" w:rsidRPr="00582EF5">
        <w:t>,</w:t>
      </w:r>
      <w:r w:rsidRPr="00582EF5">
        <w:t xml:space="preserve"> to determine whether stocks of non-compliant PFOS firefighting foams were still present in </w:t>
      </w:r>
      <w:r w:rsidR="002306EB" w:rsidRPr="00582EF5">
        <w:t>New Zealand</w:t>
      </w:r>
      <w:r w:rsidRPr="00582EF5">
        <w:t xml:space="preserve">. This investigation covered all commercial airports, petroleum production and storage facilities, chemical plants, ports and local shipping. In a small number of cases, </w:t>
      </w:r>
      <w:r w:rsidR="008B0C2E" w:rsidRPr="00582EF5">
        <w:t xml:space="preserve">EPA identified </w:t>
      </w:r>
      <w:r w:rsidRPr="00582EF5">
        <w:t xml:space="preserve">legacy stocks of PFOS foams as still being in use. </w:t>
      </w:r>
      <w:r w:rsidR="00D27523" w:rsidRPr="00582EF5">
        <w:t>A</w:t>
      </w:r>
      <w:r w:rsidRPr="00582EF5">
        <w:t xml:space="preserve"> small number of cases </w:t>
      </w:r>
      <w:r w:rsidR="00D27523" w:rsidRPr="00582EF5">
        <w:t xml:space="preserve">were also identified </w:t>
      </w:r>
      <w:r w:rsidR="00E8722F" w:rsidRPr="00582EF5">
        <w:t xml:space="preserve">of </w:t>
      </w:r>
      <w:r w:rsidRPr="00582EF5">
        <w:t xml:space="preserve">contamination of equipment and foam product with residues </w:t>
      </w:r>
      <w:r w:rsidR="00D80A02" w:rsidRPr="00582EF5">
        <w:t xml:space="preserve">from </w:t>
      </w:r>
      <w:r w:rsidRPr="00582EF5">
        <w:t xml:space="preserve">past use of PFOS foams. </w:t>
      </w:r>
    </w:p>
    <w:p w14:paraId="6549BFE6" w14:textId="55C69EEA" w:rsidR="00E72470" w:rsidRPr="00582EF5" w:rsidRDefault="00E72470" w:rsidP="005D5C7B">
      <w:pPr>
        <w:pStyle w:val="BodyText"/>
      </w:pPr>
      <w:r w:rsidRPr="00582EF5">
        <w:t>Where PFOS foams, or high</w:t>
      </w:r>
      <w:r>
        <w:t xml:space="preserve"> levels</w:t>
      </w:r>
      <w:r w:rsidRPr="00582EF5">
        <w:t xml:space="preserve"> of PFOS contamination of foams, ha</w:t>
      </w:r>
      <w:r w:rsidR="00410815" w:rsidRPr="00582EF5">
        <w:t>ve</w:t>
      </w:r>
      <w:r w:rsidRPr="00582EF5">
        <w:t xml:space="preserve"> been identified, operators have been required to remove this product and to decontaminate their equipment. PFOS wastes, above the low POPs content level of 50 m</w:t>
      </w:r>
      <w:r w:rsidR="00D80A02" w:rsidRPr="00582EF5">
        <w:t>illi</w:t>
      </w:r>
      <w:r w:rsidRPr="00582EF5">
        <w:t>g</w:t>
      </w:r>
      <w:r w:rsidR="00D80A02" w:rsidRPr="00582EF5">
        <w:t>rams per kilogram</w:t>
      </w:r>
      <w:r w:rsidRPr="00582EF5">
        <w:t xml:space="preserve">, are being exported for </w:t>
      </w:r>
      <w:bookmarkStart w:id="72" w:name="_Int_8YrLYVtg"/>
      <w:r w:rsidRPr="00582EF5">
        <w:t>high temperature</w:t>
      </w:r>
      <w:bookmarkEnd w:id="72"/>
      <w:r w:rsidRPr="00582EF5">
        <w:t xml:space="preserve"> incineration overseas, </w:t>
      </w:r>
      <w:r w:rsidR="00D80A02" w:rsidRPr="00582EF5">
        <w:t xml:space="preserve">because </w:t>
      </w:r>
      <w:r w:rsidRPr="00582EF5">
        <w:t xml:space="preserve">New Zealand has no domestic facilities capable of treating these wastes. These shipments are permitted under the provisions of the </w:t>
      </w:r>
      <w:r w:rsidR="00D90840" w:rsidRPr="00582EF5">
        <w:t>Basel Convention on the Control of Transboundary Movements of Hazardous Wastes and their Disposal</w:t>
      </w:r>
      <w:r w:rsidRPr="00582EF5">
        <w:t>.</w:t>
      </w:r>
    </w:p>
    <w:p w14:paraId="0046FE4D" w14:textId="013A980E" w:rsidR="00E72470" w:rsidRPr="00582EF5" w:rsidRDefault="00F23A41" w:rsidP="005D5C7B">
      <w:pPr>
        <w:pStyle w:val="Tableheading"/>
      </w:pPr>
      <w:bookmarkStart w:id="73" w:name="_Toc120532281"/>
      <w:r w:rsidRPr="00582EF5">
        <w:t xml:space="preserve">Table </w:t>
      </w:r>
      <w:r w:rsidR="5B43058E">
        <w:t>1</w:t>
      </w:r>
      <w:r w:rsidR="66CF6C7C">
        <w:t>6</w:t>
      </w:r>
      <w:r w:rsidRPr="00582EF5">
        <w:t>:</w:t>
      </w:r>
      <w:r w:rsidR="008F57C2" w:rsidRPr="00582EF5">
        <w:tab/>
      </w:r>
      <w:r w:rsidRPr="00582EF5">
        <w:t xml:space="preserve">History of use and controls of </w:t>
      </w:r>
      <w:proofErr w:type="spellStart"/>
      <w:r w:rsidR="00D25D9E" w:rsidRPr="00582EF5">
        <w:t>perfluorooctane</w:t>
      </w:r>
      <w:proofErr w:type="spellEnd"/>
      <w:r w:rsidR="00D25D9E" w:rsidRPr="00582EF5">
        <w:t xml:space="preserve"> sulfonic acid</w:t>
      </w:r>
      <w:r w:rsidR="006709E0" w:rsidRPr="00582EF5">
        <w:t xml:space="preserve"> (</w:t>
      </w:r>
      <w:r w:rsidRPr="00582EF5">
        <w:t>PFOS</w:t>
      </w:r>
      <w:r w:rsidR="006709E0" w:rsidRPr="00582EF5">
        <w:t>)</w:t>
      </w:r>
      <w:bookmarkEnd w:id="73"/>
    </w:p>
    <w:tbl>
      <w:tblPr>
        <w:tblStyle w:val="TableGrid"/>
        <w:tblW w:w="0" w:type="auto"/>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CellMar>
          <w:left w:w="85" w:type="dxa"/>
          <w:right w:w="85" w:type="dxa"/>
        </w:tblCellMar>
        <w:tblLook w:val="04A0" w:firstRow="1" w:lastRow="0" w:firstColumn="1" w:lastColumn="0" w:noHBand="0" w:noVBand="1"/>
      </w:tblPr>
      <w:tblGrid>
        <w:gridCol w:w="2268"/>
        <w:gridCol w:w="2552"/>
        <w:gridCol w:w="1442"/>
        <w:gridCol w:w="2242"/>
      </w:tblGrid>
      <w:tr w:rsidR="008F57C2" w:rsidRPr="00582EF5" w14:paraId="303F2678" w14:textId="77777777" w:rsidTr="45D47978">
        <w:trPr>
          <w:tblHeader/>
        </w:trPr>
        <w:tc>
          <w:tcPr>
            <w:tcW w:w="2268" w:type="dxa"/>
            <w:shd w:val="clear" w:color="auto" w:fill="1C556C" w:themeFill="accent1"/>
            <w:tcMar>
              <w:right w:w="85" w:type="dxa"/>
            </w:tcMar>
            <w:vAlign w:val="bottom"/>
          </w:tcPr>
          <w:p w14:paraId="3E967A15" w14:textId="14F0A347" w:rsidR="00E72470" w:rsidRPr="00582EF5" w:rsidRDefault="00E72470" w:rsidP="005D5C7B">
            <w:pPr>
              <w:pStyle w:val="TableTextbold"/>
              <w:rPr>
                <w:color w:val="FFFFFF" w:themeColor="background1"/>
              </w:rPr>
            </w:pPr>
            <w:r w:rsidRPr="00582EF5">
              <w:rPr>
                <w:color w:val="FFFFFF" w:themeColor="background1"/>
              </w:rPr>
              <w:t>History of use in N</w:t>
            </w:r>
            <w:r w:rsidR="00D25D9E" w:rsidRPr="00582EF5">
              <w:rPr>
                <w:color w:val="FFFFFF" w:themeColor="background1"/>
              </w:rPr>
              <w:t>ew </w:t>
            </w:r>
            <w:r w:rsidRPr="00582EF5">
              <w:rPr>
                <w:color w:val="FFFFFF" w:themeColor="background1"/>
              </w:rPr>
              <w:t>Z</w:t>
            </w:r>
            <w:r w:rsidR="00D25D9E" w:rsidRPr="00582EF5">
              <w:rPr>
                <w:color w:val="FFFFFF" w:themeColor="background1"/>
              </w:rPr>
              <w:t>ealand</w:t>
            </w:r>
          </w:p>
        </w:tc>
        <w:tc>
          <w:tcPr>
            <w:tcW w:w="2552" w:type="dxa"/>
            <w:shd w:val="clear" w:color="auto" w:fill="1C556C" w:themeFill="accent1"/>
            <w:tcMar>
              <w:right w:w="85" w:type="dxa"/>
            </w:tcMar>
            <w:vAlign w:val="bottom"/>
          </w:tcPr>
          <w:p w14:paraId="2DD6549E" w14:textId="5BD18F0D" w:rsidR="00E72470" w:rsidRPr="00582EF5" w:rsidRDefault="00E72470" w:rsidP="005D5C7B">
            <w:pPr>
              <w:pStyle w:val="TableTextbold"/>
              <w:rPr>
                <w:color w:val="FFFFFF" w:themeColor="background1"/>
              </w:rPr>
            </w:pPr>
            <w:r w:rsidRPr="00582EF5">
              <w:rPr>
                <w:color w:val="FFFFFF" w:themeColor="background1"/>
              </w:rPr>
              <w:t xml:space="preserve">Relevant controls under </w:t>
            </w:r>
            <w:r w:rsidR="00D25D9E" w:rsidRPr="00582EF5">
              <w:rPr>
                <w:color w:val="FFFFFF" w:themeColor="background1"/>
              </w:rPr>
              <w:t>Hazardous Substances and New Organisms (HSNO) Act 1996</w:t>
            </w:r>
          </w:p>
        </w:tc>
        <w:tc>
          <w:tcPr>
            <w:tcW w:w="1442" w:type="dxa"/>
            <w:shd w:val="clear" w:color="auto" w:fill="1C556C" w:themeFill="accent1"/>
            <w:tcMar>
              <w:right w:w="85" w:type="dxa"/>
            </w:tcMar>
            <w:vAlign w:val="bottom"/>
          </w:tcPr>
          <w:p w14:paraId="12790339" w14:textId="77777777" w:rsidR="00E72470" w:rsidRPr="00582EF5" w:rsidRDefault="00E72470" w:rsidP="005D5C7B">
            <w:pPr>
              <w:pStyle w:val="TableTextbold"/>
              <w:rPr>
                <w:color w:val="FFFFFF" w:themeColor="background1"/>
              </w:rPr>
            </w:pPr>
            <w:r w:rsidRPr="00582EF5">
              <w:rPr>
                <w:color w:val="FFFFFF" w:themeColor="background1"/>
              </w:rPr>
              <w:t>Other controls</w:t>
            </w:r>
          </w:p>
        </w:tc>
        <w:tc>
          <w:tcPr>
            <w:tcW w:w="2242" w:type="dxa"/>
            <w:shd w:val="clear" w:color="auto" w:fill="1C556C" w:themeFill="accent1"/>
            <w:tcMar>
              <w:right w:w="85" w:type="dxa"/>
            </w:tcMar>
            <w:vAlign w:val="bottom"/>
          </w:tcPr>
          <w:p w14:paraId="477D62AB" w14:textId="77777777" w:rsidR="00E72470" w:rsidRPr="00582EF5" w:rsidRDefault="00E72470" w:rsidP="005D5C7B">
            <w:pPr>
              <w:pStyle w:val="TableTextbold"/>
              <w:rPr>
                <w:color w:val="FFFFFF" w:themeColor="background1"/>
              </w:rPr>
            </w:pPr>
            <w:r w:rsidRPr="00582EF5">
              <w:rPr>
                <w:color w:val="FFFFFF" w:themeColor="background1"/>
              </w:rPr>
              <w:t xml:space="preserve">Ongoing implementation issues </w:t>
            </w:r>
          </w:p>
        </w:tc>
      </w:tr>
      <w:tr w:rsidR="00E72470" w:rsidRPr="00582EF5" w14:paraId="26F24CAC" w14:textId="77777777" w:rsidTr="0080114E">
        <w:trPr>
          <w:trHeight w:val="983"/>
        </w:trPr>
        <w:tc>
          <w:tcPr>
            <w:tcW w:w="2268" w:type="dxa"/>
            <w:tcMar>
              <w:right w:w="85" w:type="dxa"/>
            </w:tcMar>
          </w:tcPr>
          <w:p w14:paraId="01B3961A" w14:textId="1169C57C" w:rsidR="00E72470" w:rsidRPr="00582EF5" w:rsidRDefault="006709E0" w:rsidP="005D5C7B">
            <w:pPr>
              <w:pStyle w:val="TableText"/>
              <w:rPr>
                <w:rFonts w:eastAsiaTheme="minorHAnsi"/>
                <w:lang w:eastAsia="en-GB"/>
              </w:rPr>
            </w:pPr>
            <w:r w:rsidRPr="00582EF5">
              <w:rPr>
                <w:rFonts w:eastAsiaTheme="minorHAnsi"/>
                <w:lang w:eastAsia="en-GB"/>
              </w:rPr>
              <w:t xml:space="preserve">Many </w:t>
            </w:r>
            <w:r w:rsidR="00E72470" w:rsidRPr="00582EF5">
              <w:rPr>
                <w:rFonts w:eastAsiaTheme="minorHAnsi"/>
                <w:lang w:eastAsia="en-GB"/>
              </w:rPr>
              <w:t>of the known applications of PFOS products were used in New Zealand, including in firefighting foams. Firefighting foam manufactured with PFOS was the standard since the 1970s until the early 2000s in international aviation</w:t>
            </w:r>
            <w:r w:rsidR="004423D1" w:rsidRPr="00582EF5">
              <w:rPr>
                <w:rFonts w:eastAsiaTheme="minorHAnsi"/>
                <w:lang w:eastAsia="en-GB"/>
              </w:rPr>
              <w:t>,</w:t>
            </w:r>
            <w:r w:rsidR="00E72470" w:rsidRPr="00582EF5">
              <w:rPr>
                <w:rFonts w:eastAsiaTheme="minorHAnsi"/>
                <w:lang w:eastAsia="en-GB"/>
              </w:rPr>
              <w:t xml:space="preserve"> because these foams put out liquid fuel fires quickly, thus improving safety for </w:t>
            </w:r>
            <w:r w:rsidR="00E72470" w:rsidRPr="00582EF5">
              <w:rPr>
                <w:rFonts w:eastAsiaTheme="minorHAnsi"/>
                <w:lang w:eastAsia="en-GB"/>
              </w:rPr>
              <w:lastRenderedPageBreak/>
              <w:t>passengers, air crew and fire fighters.</w:t>
            </w:r>
          </w:p>
          <w:p w14:paraId="61920204" w14:textId="21199E25" w:rsidR="00E72470" w:rsidRPr="00582EF5" w:rsidRDefault="00E72470" w:rsidP="005D5C7B">
            <w:pPr>
              <w:pStyle w:val="TableText"/>
              <w:rPr>
                <w:rFonts w:eastAsiaTheme="minorHAnsi"/>
                <w:lang w:eastAsia="en-GB"/>
              </w:rPr>
            </w:pPr>
            <w:r w:rsidRPr="00582EF5">
              <w:rPr>
                <w:rFonts w:eastAsiaTheme="minorHAnsi"/>
                <w:lang w:eastAsia="en-GB"/>
              </w:rPr>
              <w:t>All known PFOS</w:t>
            </w:r>
            <w:r w:rsidR="005830FA" w:rsidRPr="00582EF5">
              <w:rPr>
                <w:rFonts w:eastAsiaTheme="minorHAnsi"/>
                <w:lang w:eastAsia="en-GB"/>
              </w:rPr>
              <w:t>-</w:t>
            </w:r>
            <w:r w:rsidRPr="00582EF5">
              <w:rPr>
                <w:rFonts w:eastAsiaTheme="minorHAnsi"/>
                <w:lang w:eastAsia="en-GB"/>
              </w:rPr>
              <w:t xml:space="preserve">based firefighting foams were prohibited in 2006 by the HSNO </w:t>
            </w:r>
            <w:r w:rsidR="00C05FB0" w:rsidRPr="00582EF5">
              <w:rPr>
                <w:rFonts w:eastAsiaTheme="minorHAnsi"/>
                <w:lang w:eastAsia="en-GB"/>
              </w:rPr>
              <w:t xml:space="preserve">Act </w:t>
            </w:r>
            <w:r w:rsidRPr="00582EF5">
              <w:rPr>
                <w:rFonts w:eastAsiaTheme="minorHAnsi"/>
                <w:lang w:eastAsia="en-GB"/>
              </w:rPr>
              <w:t xml:space="preserve">Fire Fighting Chemicals Group Standard, by when all relevant importation had already </w:t>
            </w:r>
            <w:r w:rsidR="00B36B9B">
              <w:rPr>
                <w:rFonts w:eastAsiaTheme="minorHAnsi"/>
                <w:lang w:eastAsia="en-GB"/>
              </w:rPr>
              <w:t>ceas</w:t>
            </w:r>
            <w:r w:rsidR="00B36B9B" w:rsidRPr="00582EF5">
              <w:rPr>
                <w:rFonts w:eastAsiaTheme="minorHAnsi"/>
                <w:lang w:eastAsia="en-GB"/>
              </w:rPr>
              <w:t>ed</w:t>
            </w:r>
            <w:r w:rsidRPr="00582EF5">
              <w:rPr>
                <w:rFonts w:eastAsiaTheme="minorHAnsi"/>
                <w:lang w:eastAsia="en-GB"/>
              </w:rPr>
              <w:t xml:space="preserve">. </w:t>
            </w:r>
          </w:p>
        </w:tc>
        <w:tc>
          <w:tcPr>
            <w:tcW w:w="2552" w:type="dxa"/>
            <w:tcMar>
              <w:right w:w="85" w:type="dxa"/>
            </w:tcMar>
          </w:tcPr>
          <w:p w14:paraId="3964317E" w14:textId="4E344F8D" w:rsidR="00E72470" w:rsidRPr="00582EF5" w:rsidRDefault="00E72470" w:rsidP="005D5C7B">
            <w:pPr>
              <w:pStyle w:val="TableText"/>
              <w:rPr>
                <w:rFonts w:asciiTheme="minorHAnsi" w:hAnsiTheme="minorHAnsi" w:cstheme="minorHAnsi"/>
                <w:szCs w:val="18"/>
                <w:lang w:eastAsia="en-GB"/>
              </w:rPr>
            </w:pPr>
            <w:r w:rsidRPr="00582EF5">
              <w:rPr>
                <w:rFonts w:asciiTheme="minorHAnsi" w:hAnsiTheme="minorHAnsi" w:cstheme="minorHAnsi"/>
                <w:szCs w:val="18"/>
                <w:lang w:eastAsia="en-GB"/>
              </w:rPr>
              <w:lastRenderedPageBreak/>
              <w:t>All uses prohibited</w:t>
            </w:r>
            <w:r w:rsidR="004D7ABC" w:rsidRPr="00582EF5">
              <w:rPr>
                <w:rFonts w:asciiTheme="minorHAnsi" w:hAnsiTheme="minorHAnsi" w:cstheme="minorHAnsi"/>
                <w:szCs w:val="18"/>
                <w:lang w:eastAsia="en-GB"/>
              </w:rPr>
              <w:t>,</w:t>
            </w:r>
            <w:r w:rsidRPr="00582EF5">
              <w:rPr>
                <w:rFonts w:asciiTheme="minorHAnsi" w:hAnsiTheme="minorHAnsi" w:cstheme="minorHAnsi"/>
                <w:szCs w:val="18"/>
                <w:lang w:eastAsia="en-GB"/>
              </w:rPr>
              <w:t xml:space="preserve"> as listed in Schedule 2A of </w:t>
            </w:r>
            <w:r w:rsidR="006709E0" w:rsidRPr="00582EF5">
              <w:rPr>
                <w:rFonts w:asciiTheme="minorHAnsi" w:hAnsiTheme="minorHAnsi" w:cstheme="minorHAnsi"/>
                <w:szCs w:val="18"/>
                <w:lang w:eastAsia="en-GB"/>
              </w:rPr>
              <w:t xml:space="preserve">the </w:t>
            </w:r>
            <w:r w:rsidRPr="00582EF5">
              <w:rPr>
                <w:rFonts w:asciiTheme="minorHAnsi" w:hAnsiTheme="minorHAnsi" w:cstheme="minorHAnsi"/>
                <w:szCs w:val="18"/>
                <w:lang w:eastAsia="en-GB"/>
              </w:rPr>
              <w:t xml:space="preserve">HSNO </w:t>
            </w:r>
            <w:r w:rsidR="006709E0" w:rsidRPr="00582EF5">
              <w:rPr>
                <w:rFonts w:asciiTheme="minorHAnsi" w:hAnsiTheme="minorHAnsi" w:cstheme="minorHAnsi"/>
                <w:szCs w:val="18"/>
                <w:lang w:eastAsia="en-GB"/>
              </w:rPr>
              <w:t xml:space="preserve">Act </w:t>
            </w:r>
            <w:r w:rsidRPr="00582EF5">
              <w:rPr>
                <w:rFonts w:asciiTheme="minorHAnsi" w:hAnsiTheme="minorHAnsi" w:cstheme="minorHAnsi"/>
                <w:szCs w:val="18"/>
                <w:lang w:eastAsia="en-GB"/>
              </w:rPr>
              <w:t>in 2011, and no exemptions were provided.</w:t>
            </w:r>
          </w:p>
          <w:p w14:paraId="386BE604" w14:textId="7323396E" w:rsidR="00E72470" w:rsidRPr="00582EF5" w:rsidRDefault="004423D1" w:rsidP="005D5C7B">
            <w:pPr>
              <w:pStyle w:val="TableText"/>
              <w:rPr>
                <w:rFonts w:asciiTheme="minorHAnsi" w:hAnsiTheme="minorHAnsi" w:cstheme="minorHAnsi"/>
                <w:szCs w:val="18"/>
                <w:lang w:eastAsia="en-GB"/>
              </w:rPr>
            </w:pPr>
            <w:r w:rsidRPr="00582EF5">
              <w:rPr>
                <w:rFonts w:asciiTheme="minorHAnsi" w:hAnsiTheme="minorHAnsi" w:cstheme="minorHAnsi"/>
                <w:szCs w:val="18"/>
                <w:lang w:eastAsia="en-GB"/>
              </w:rPr>
              <w:t>Before</w:t>
            </w:r>
            <w:r w:rsidR="00E72470" w:rsidRPr="00582EF5">
              <w:rPr>
                <w:rFonts w:asciiTheme="minorHAnsi" w:hAnsiTheme="minorHAnsi" w:cstheme="minorHAnsi"/>
                <w:szCs w:val="18"/>
                <w:lang w:eastAsia="en-GB"/>
              </w:rPr>
              <w:t xml:space="preserve"> listing in Schedule 2A, the HSNO </w:t>
            </w:r>
            <w:r w:rsidR="002764FE" w:rsidRPr="00582EF5">
              <w:rPr>
                <w:rFonts w:asciiTheme="minorHAnsi" w:hAnsiTheme="minorHAnsi" w:cstheme="minorHAnsi"/>
                <w:szCs w:val="18"/>
                <w:lang w:eastAsia="en-GB"/>
              </w:rPr>
              <w:t xml:space="preserve">Act </w:t>
            </w:r>
            <w:r w:rsidR="00E72470" w:rsidRPr="00582EF5">
              <w:rPr>
                <w:rFonts w:asciiTheme="minorHAnsi" w:hAnsiTheme="minorHAnsi" w:cstheme="minorHAnsi"/>
                <w:szCs w:val="18"/>
                <w:lang w:eastAsia="en-GB"/>
              </w:rPr>
              <w:t xml:space="preserve">Fire Fighting Chemicals Group Standard of 2006 prohibited all known PFOS containing foams. </w:t>
            </w:r>
          </w:p>
          <w:p w14:paraId="3FBB1DEF" w14:textId="75A75A67" w:rsidR="00CF6E69" w:rsidRPr="00582EF5" w:rsidRDefault="00CF6E69" w:rsidP="005D5C7B">
            <w:pPr>
              <w:pStyle w:val="TableText"/>
              <w:rPr>
                <w:rFonts w:asciiTheme="minorHAnsi" w:hAnsiTheme="minorHAnsi" w:cstheme="minorBidi"/>
                <w:lang w:eastAsia="en-GB"/>
              </w:rPr>
            </w:pPr>
            <w:r w:rsidRPr="45D47978">
              <w:rPr>
                <w:rFonts w:asciiTheme="minorHAnsi" w:hAnsiTheme="minorHAnsi" w:cstheme="minorBidi"/>
                <w:lang w:eastAsia="en-GB"/>
              </w:rPr>
              <w:t xml:space="preserve">The wording of the listing under the </w:t>
            </w:r>
            <w:r w:rsidR="006B554C" w:rsidRPr="00582EF5">
              <w:t>Imports and Exports (Restrictions) Prohibition Order (No 2) 2004</w:t>
            </w:r>
            <w:r w:rsidRPr="45D47978">
              <w:rPr>
                <w:rFonts w:asciiTheme="minorHAnsi" w:hAnsiTheme="minorHAnsi" w:cstheme="minorBidi"/>
                <w:lang w:eastAsia="en-GB"/>
              </w:rPr>
              <w:t xml:space="preserve"> was updated in </w:t>
            </w:r>
            <w:r w:rsidRPr="45D47978">
              <w:rPr>
                <w:rFonts w:asciiTheme="minorHAnsi" w:hAnsiTheme="minorHAnsi" w:cstheme="minorBidi"/>
                <w:lang w:eastAsia="en-GB"/>
              </w:rPr>
              <w:lastRenderedPageBreak/>
              <w:t>December 2018</w:t>
            </w:r>
            <w:r w:rsidR="002764FE" w:rsidRPr="45D47978">
              <w:rPr>
                <w:rFonts w:asciiTheme="minorHAnsi" w:hAnsiTheme="minorHAnsi" w:cstheme="minorBidi"/>
                <w:lang w:eastAsia="en-GB"/>
              </w:rPr>
              <w:t>,</w:t>
            </w:r>
            <w:r w:rsidRPr="45D47978">
              <w:rPr>
                <w:rFonts w:asciiTheme="minorHAnsi" w:hAnsiTheme="minorHAnsi" w:cstheme="minorBidi"/>
                <w:lang w:eastAsia="en-GB"/>
              </w:rPr>
              <w:t xml:space="preserve"> to reflect the intention of the Convention</w:t>
            </w:r>
            <w:r w:rsidR="25D1FEA5" w:rsidRPr="45D47978">
              <w:rPr>
                <w:rFonts w:asciiTheme="minorHAnsi" w:hAnsiTheme="minorHAnsi" w:cstheme="minorBidi"/>
                <w:lang w:eastAsia="en-GB"/>
              </w:rPr>
              <w:t xml:space="preserve"> more accurately</w:t>
            </w:r>
            <w:r w:rsidR="0C547AD8" w:rsidRPr="45D47978">
              <w:rPr>
                <w:rFonts w:asciiTheme="minorHAnsi" w:hAnsiTheme="minorHAnsi" w:cstheme="minorBidi"/>
                <w:lang w:eastAsia="en-GB"/>
              </w:rPr>
              <w:t>.</w:t>
            </w:r>
            <w:r w:rsidRPr="45D47978">
              <w:rPr>
                <w:rFonts w:asciiTheme="minorHAnsi" w:hAnsiTheme="minorHAnsi" w:cstheme="minorBidi"/>
                <w:lang w:eastAsia="en-GB"/>
              </w:rPr>
              <w:t xml:space="preserve"> This</w:t>
            </w:r>
            <w:r w:rsidR="001F4438">
              <w:rPr>
                <w:rFonts w:asciiTheme="minorHAnsi" w:hAnsiTheme="minorHAnsi" w:cstheme="minorBidi"/>
                <w:lang w:eastAsia="en-GB"/>
              </w:rPr>
              <w:t xml:space="preserve"> </w:t>
            </w:r>
            <w:r w:rsidRPr="45D47978">
              <w:rPr>
                <w:rFonts w:asciiTheme="minorHAnsi" w:hAnsiTheme="minorHAnsi" w:cstheme="minorBidi"/>
                <w:lang w:eastAsia="en-GB"/>
              </w:rPr>
              <w:t>amendment does not affect its listing status.</w:t>
            </w:r>
          </w:p>
        </w:tc>
        <w:tc>
          <w:tcPr>
            <w:tcW w:w="1442" w:type="dxa"/>
            <w:tcMar>
              <w:right w:w="85" w:type="dxa"/>
            </w:tcMar>
          </w:tcPr>
          <w:p w14:paraId="08783DDB" w14:textId="77777777" w:rsidR="00E72470" w:rsidRPr="00582EF5" w:rsidRDefault="00E72470" w:rsidP="005D5C7B">
            <w:pPr>
              <w:pStyle w:val="TableText"/>
              <w:rPr>
                <w:rFonts w:asciiTheme="minorHAnsi" w:hAnsiTheme="minorHAnsi" w:cstheme="minorHAnsi"/>
                <w:szCs w:val="18"/>
                <w:lang w:eastAsia="en-GB"/>
              </w:rPr>
            </w:pPr>
            <w:r w:rsidRPr="00582EF5">
              <w:rPr>
                <w:rFonts w:asciiTheme="minorHAnsi" w:hAnsiTheme="minorHAnsi" w:cstheme="minorHAnsi"/>
                <w:szCs w:val="18"/>
                <w:lang w:eastAsia="en-GB"/>
              </w:rPr>
              <w:lastRenderedPageBreak/>
              <w:t xml:space="preserve">n/a </w:t>
            </w:r>
          </w:p>
        </w:tc>
        <w:tc>
          <w:tcPr>
            <w:tcW w:w="2242" w:type="dxa"/>
            <w:tcMar>
              <w:right w:w="85" w:type="dxa"/>
            </w:tcMar>
          </w:tcPr>
          <w:p w14:paraId="368BA97F" w14:textId="4A6161E7" w:rsidR="00E72470" w:rsidRPr="00A402CA" w:rsidRDefault="007E5AE8" w:rsidP="005D5C7B">
            <w:pPr>
              <w:pStyle w:val="TableText"/>
              <w:rPr>
                <w:rFonts w:asciiTheme="minorHAnsi" w:hAnsiTheme="minorHAnsi" w:cstheme="minorHAnsi"/>
                <w:szCs w:val="18"/>
                <w:lang w:eastAsia="en-GB"/>
              </w:rPr>
            </w:pPr>
            <w:r w:rsidRPr="007E5AE8">
              <w:rPr>
                <w:rFonts w:asciiTheme="minorHAnsi" w:hAnsiTheme="minorHAnsi" w:cstheme="minorHAnsi"/>
                <w:szCs w:val="18"/>
                <w:lang w:eastAsia="en-GB"/>
              </w:rPr>
              <w:t xml:space="preserve">Investigation of non-compliant use of PFOS-containing firefighting foam was conducted in 2018-2019. Operators possessing such foams, or products contaminated with PFOS, were subject to compliance and enforcement action by EPA under the provisions of the HSNO Act. This involved requirements to prepare a compliance plan that details how the PFOS foam will be </w:t>
            </w:r>
            <w:r w:rsidRPr="007E5AE8">
              <w:rPr>
                <w:rFonts w:asciiTheme="minorHAnsi" w:hAnsiTheme="minorHAnsi" w:cstheme="minorHAnsi"/>
                <w:szCs w:val="18"/>
                <w:lang w:eastAsia="en-GB"/>
              </w:rPr>
              <w:lastRenderedPageBreak/>
              <w:t>removed and disposed of, and how equipment will be cleaned to remove residues of PFOS contamination. All wastes containing PFOS above the Stockholm Convention low POPs content level of 50 milligrams per kilogram are required to be exported from New Zealand for high-temperature incineration, in accordance with provisions of the Basel Convention</w:t>
            </w:r>
            <w:r w:rsidR="00A402CA">
              <w:rPr>
                <w:rFonts w:asciiTheme="minorHAnsi" w:hAnsiTheme="minorHAnsi" w:cstheme="minorHAnsi"/>
                <w:szCs w:val="18"/>
                <w:lang w:eastAsia="en-GB"/>
              </w:rPr>
              <w:t>.</w:t>
            </w:r>
          </w:p>
        </w:tc>
      </w:tr>
    </w:tbl>
    <w:p w14:paraId="5BE248DA" w14:textId="4595F779" w:rsidR="00E72470" w:rsidRPr="00582EF5" w:rsidRDefault="00E72470" w:rsidP="005D5C7B">
      <w:pPr>
        <w:pStyle w:val="Heading4"/>
        <w:spacing w:before="440"/>
      </w:pPr>
      <w:proofErr w:type="spellStart"/>
      <w:r w:rsidRPr="00582EF5">
        <w:lastRenderedPageBreak/>
        <w:t>Tetrabromodiphenyl</w:t>
      </w:r>
      <w:proofErr w:type="spellEnd"/>
      <w:r w:rsidRPr="00582EF5">
        <w:t xml:space="preserve"> ether and </w:t>
      </w:r>
      <w:proofErr w:type="spellStart"/>
      <w:r w:rsidRPr="00582EF5">
        <w:t>pentabromodiphenyl</w:t>
      </w:r>
      <w:proofErr w:type="spellEnd"/>
      <w:r w:rsidRPr="00582EF5">
        <w:t xml:space="preserve"> ether (commercial</w:t>
      </w:r>
      <w:r w:rsidR="008F57C2" w:rsidRPr="00582EF5">
        <w:t> </w:t>
      </w:r>
      <w:proofErr w:type="spellStart"/>
      <w:r w:rsidRPr="00582EF5">
        <w:t>pentabromodiphenyl</w:t>
      </w:r>
      <w:proofErr w:type="spellEnd"/>
      <w:r w:rsidRPr="00582EF5">
        <w:t xml:space="preserve"> ether)</w:t>
      </w:r>
    </w:p>
    <w:p w14:paraId="1311BDE5" w14:textId="06A5DF14" w:rsidR="00E72470" w:rsidRPr="00582EF5" w:rsidRDefault="00517C87" w:rsidP="005D5C7B">
      <w:pPr>
        <w:pStyle w:val="BodyText"/>
      </w:pPr>
      <w:proofErr w:type="spellStart"/>
      <w:r w:rsidRPr="00582EF5">
        <w:t>Tetrabromodiphenyl</w:t>
      </w:r>
      <w:proofErr w:type="spellEnd"/>
      <w:r w:rsidRPr="00582EF5">
        <w:t xml:space="preserve"> ether</w:t>
      </w:r>
      <w:r w:rsidRPr="00582EF5">
        <w:rPr>
          <w:rFonts w:eastAsia="Times New Roman"/>
        </w:rPr>
        <w:t xml:space="preserve"> (</w:t>
      </w:r>
      <w:proofErr w:type="spellStart"/>
      <w:r w:rsidRPr="00582EF5">
        <w:rPr>
          <w:rFonts w:eastAsia="Times New Roman"/>
        </w:rPr>
        <w:t>t</w:t>
      </w:r>
      <w:r w:rsidR="00E72470" w:rsidRPr="00582EF5">
        <w:rPr>
          <w:rFonts w:eastAsia="Times New Roman"/>
        </w:rPr>
        <w:t>etra</w:t>
      </w:r>
      <w:r w:rsidR="00DD4250" w:rsidRPr="00582EF5">
        <w:rPr>
          <w:rFonts w:eastAsia="Times New Roman"/>
        </w:rPr>
        <w:t>BDE</w:t>
      </w:r>
      <w:proofErr w:type="spellEnd"/>
      <w:r w:rsidRPr="00582EF5">
        <w:rPr>
          <w:rFonts w:eastAsia="Times New Roman"/>
        </w:rPr>
        <w:t>)</w:t>
      </w:r>
      <w:r w:rsidR="00E72470" w:rsidRPr="00582EF5">
        <w:rPr>
          <w:rFonts w:eastAsia="Times New Roman"/>
        </w:rPr>
        <w:t xml:space="preserve"> and </w:t>
      </w:r>
      <w:proofErr w:type="spellStart"/>
      <w:r w:rsidR="00925B31" w:rsidRPr="00582EF5">
        <w:t>pentabromodiphenyl</w:t>
      </w:r>
      <w:proofErr w:type="spellEnd"/>
      <w:r w:rsidR="00925B31" w:rsidRPr="00582EF5">
        <w:t xml:space="preserve"> ether</w:t>
      </w:r>
      <w:r w:rsidR="00925B31" w:rsidRPr="00582EF5">
        <w:rPr>
          <w:rFonts w:eastAsia="Times New Roman"/>
        </w:rPr>
        <w:t xml:space="preserve"> (</w:t>
      </w:r>
      <w:proofErr w:type="spellStart"/>
      <w:r w:rsidR="00E72470" w:rsidRPr="00582EF5">
        <w:rPr>
          <w:rFonts w:eastAsia="Times New Roman"/>
        </w:rPr>
        <w:t>penta</w:t>
      </w:r>
      <w:r w:rsidR="00DD4250" w:rsidRPr="00582EF5">
        <w:rPr>
          <w:rFonts w:eastAsia="Times New Roman"/>
        </w:rPr>
        <w:t>BDE</w:t>
      </w:r>
      <w:proofErr w:type="spellEnd"/>
      <w:r w:rsidR="00925B31" w:rsidRPr="00582EF5">
        <w:rPr>
          <w:rFonts w:eastAsia="Times New Roman"/>
        </w:rPr>
        <w:t>)</w:t>
      </w:r>
      <w:r w:rsidR="00E72470" w:rsidRPr="00582EF5">
        <w:rPr>
          <w:rFonts w:eastAsia="Times New Roman"/>
        </w:rPr>
        <w:t xml:space="preserve"> are the main components of commercial </w:t>
      </w:r>
      <w:proofErr w:type="spellStart"/>
      <w:r w:rsidR="00E72470" w:rsidRPr="00582EF5">
        <w:rPr>
          <w:rFonts w:eastAsia="Times New Roman"/>
        </w:rPr>
        <w:t>pentabromodiphenyl</w:t>
      </w:r>
      <w:proofErr w:type="spellEnd"/>
      <w:r w:rsidR="00E72470" w:rsidRPr="00582EF5">
        <w:rPr>
          <w:rFonts w:eastAsia="Times New Roman"/>
        </w:rPr>
        <w:t xml:space="preserve"> ether (c-</w:t>
      </w:r>
      <w:proofErr w:type="spellStart"/>
      <w:r w:rsidR="00E72470" w:rsidRPr="00582EF5">
        <w:rPr>
          <w:rFonts w:eastAsia="Times New Roman"/>
        </w:rPr>
        <w:t>pentaBDE</w:t>
      </w:r>
      <w:proofErr w:type="spellEnd"/>
      <w:r w:rsidR="00E72470" w:rsidRPr="00582EF5">
        <w:rPr>
          <w:rFonts w:eastAsia="Times New Roman"/>
        </w:rPr>
        <w:t>).</w:t>
      </w:r>
      <w:r w:rsidR="00E72470" w:rsidRPr="00582EF5">
        <w:t xml:space="preserve"> They </w:t>
      </w:r>
      <w:r w:rsidR="00E72470" w:rsidRPr="00582EF5">
        <w:rPr>
          <w:rFonts w:eastAsia="Times New Roman"/>
        </w:rPr>
        <w:t>inhibit or suppress combustion in organic materials and</w:t>
      </w:r>
      <w:r w:rsidR="00303C9B" w:rsidRPr="00582EF5">
        <w:rPr>
          <w:rFonts w:eastAsia="Times New Roman"/>
        </w:rPr>
        <w:t>,</w:t>
      </w:r>
      <w:r w:rsidR="00E72470" w:rsidRPr="00582EF5">
        <w:rPr>
          <w:rFonts w:eastAsia="Times New Roman"/>
        </w:rPr>
        <w:t xml:space="preserve"> therefore</w:t>
      </w:r>
      <w:r w:rsidR="00303C9B" w:rsidRPr="00582EF5">
        <w:rPr>
          <w:rFonts w:eastAsia="Times New Roman"/>
        </w:rPr>
        <w:t>,</w:t>
      </w:r>
      <w:r w:rsidR="00E72470" w:rsidRPr="00582EF5">
        <w:rPr>
          <w:rFonts w:eastAsia="Times New Roman"/>
        </w:rPr>
        <w:t xml:space="preserve"> were used as additive flame retardants.</w:t>
      </w:r>
      <w:r w:rsidR="00E72470" w:rsidRPr="00582EF5">
        <w:t xml:space="preserve"> </w:t>
      </w:r>
    </w:p>
    <w:p w14:paraId="3C74397D" w14:textId="236F0B4F" w:rsidR="00716447" w:rsidRPr="00582EF5" w:rsidRDefault="008B0C2E" w:rsidP="005D5C7B">
      <w:pPr>
        <w:pStyle w:val="BodyText"/>
        <w:rPr>
          <w:rFonts w:eastAsia="Times New Roman"/>
        </w:rPr>
      </w:pPr>
      <w:hyperlink r:id="rId82" w:history="1">
        <w:r w:rsidRPr="007B7DD8">
          <w:rPr>
            <w:rStyle w:val="Hyperlink"/>
            <w:rFonts w:eastAsia="Times New Roman"/>
          </w:rPr>
          <w:t>Be</w:t>
        </w:r>
        <w:r w:rsidR="00E72470" w:rsidRPr="007B7DD8">
          <w:rPr>
            <w:rStyle w:val="Hyperlink"/>
            <w:rFonts w:eastAsia="Times New Roman"/>
          </w:rPr>
          <w:t>tween 90</w:t>
        </w:r>
        <w:r w:rsidR="00303C9B" w:rsidRPr="007B7DD8">
          <w:rPr>
            <w:rStyle w:val="Hyperlink"/>
            <w:rFonts w:eastAsia="Times New Roman"/>
          </w:rPr>
          <w:t> per cent</w:t>
        </w:r>
        <w:r w:rsidR="00E72470" w:rsidRPr="007B7DD8">
          <w:rPr>
            <w:rStyle w:val="Hyperlink"/>
            <w:rFonts w:eastAsia="Times New Roman"/>
          </w:rPr>
          <w:t xml:space="preserve"> and 95</w:t>
        </w:r>
        <w:r w:rsidR="00303C9B" w:rsidRPr="007B7DD8">
          <w:rPr>
            <w:rStyle w:val="Hyperlink"/>
            <w:rFonts w:eastAsia="Times New Roman"/>
          </w:rPr>
          <w:t> per cent</w:t>
        </w:r>
        <w:r w:rsidR="00E72470" w:rsidRPr="007B7DD8">
          <w:rPr>
            <w:rStyle w:val="Hyperlink"/>
            <w:rFonts w:eastAsia="Times New Roman"/>
          </w:rPr>
          <w:t xml:space="preserve"> of the use of c</w:t>
        </w:r>
        <w:r w:rsidR="00E72470" w:rsidRPr="007B7DD8">
          <w:rPr>
            <w:rStyle w:val="Hyperlink"/>
            <w:rFonts w:ascii="Cambria Math" w:eastAsia="Times New Roman" w:hAnsi="Cambria Math" w:cs="Cambria Math"/>
          </w:rPr>
          <w:t>‐</w:t>
        </w:r>
        <w:proofErr w:type="spellStart"/>
        <w:r w:rsidR="00E72470" w:rsidRPr="007B7DD8">
          <w:rPr>
            <w:rStyle w:val="Hyperlink"/>
            <w:rFonts w:eastAsia="Times New Roman"/>
          </w:rPr>
          <w:t>pentaBDE</w:t>
        </w:r>
        <w:proofErr w:type="spellEnd"/>
        <w:r w:rsidR="00E72470" w:rsidRPr="007B7DD8">
          <w:rPr>
            <w:rStyle w:val="Hyperlink"/>
            <w:rFonts w:eastAsia="Times New Roman"/>
          </w:rPr>
          <w:t xml:space="preserve"> was for the treatment of polyurethane foam</w:t>
        </w:r>
      </w:hyperlink>
      <w:r w:rsidR="00E72470" w:rsidRPr="00582EF5">
        <w:rPr>
          <w:rFonts w:eastAsia="Times New Roman"/>
        </w:rPr>
        <w:t xml:space="preserve">. These foams were used </w:t>
      </w:r>
      <w:r w:rsidR="004F0B24" w:rsidRPr="00582EF5">
        <w:rPr>
          <w:rFonts w:eastAsia="Times New Roman"/>
        </w:rPr>
        <w:t xml:space="preserve">mainly </w:t>
      </w:r>
      <w:r w:rsidR="00E72470" w:rsidRPr="00582EF5">
        <w:rPr>
          <w:rFonts w:eastAsia="Times New Roman"/>
        </w:rPr>
        <w:t>in automotive and upholstery applications, such as vehicle seats and fittings and foams used for furniture, mattresses, carpet underlay, and electronic equipment. Production of c-</w:t>
      </w:r>
      <w:proofErr w:type="spellStart"/>
      <w:r w:rsidR="00E72470" w:rsidRPr="00582EF5">
        <w:rPr>
          <w:rFonts w:eastAsia="Times New Roman"/>
        </w:rPr>
        <w:t>pentaBDE</w:t>
      </w:r>
      <w:proofErr w:type="spellEnd"/>
      <w:r w:rsidR="00E72470" w:rsidRPr="00582EF5">
        <w:rPr>
          <w:rFonts w:eastAsia="Times New Roman"/>
        </w:rPr>
        <w:t xml:space="preserve"> stopped around 2004. In that year, Europe and North America banned the use of c-</w:t>
      </w:r>
      <w:proofErr w:type="spellStart"/>
      <w:r w:rsidR="00E72470" w:rsidRPr="00582EF5">
        <w:rPr>
          <w:rFonts w:eastAsia="Times New Roman"/>
        </w:rPr>
        <w:t>pentaBDE</w:t>
      </w:r>
      <w:proofErr w:type="spellEnd"/>
      <w:r w:rsidR="00E72470" w:rsidRPr="00582EF5">
        <w:rPr>
          <w:rFonts w:eastAsia="Times New Roman"/>
        </w:rPr>
        <w:t xml:space="preserve"> and c-</w:t>
      </w:r>
      <w:proofErr w:type="spellStart"/>
      <w:r w:rsidR="00E72470" w:rsidRPr="00582EF5">
        <w:rPr>
          <w:rFonts w:eastAsia="Times New Roman"/>
        </w:rPr>
        <w:t>octaBDE</w:t>
      </w:r>
      <w:proofErr w:type="spellEnd"/>
      <w:r w:rsidR="00E72470" w:rsidRPr="00582EF5">
        <w:rPr>
          <w:rFonts w:eastAsia="Times New Roman"/>
        </w:rPr>
        <w:t xml:space="preserve">. </w:t>
      </w:r>
      <w:proofErr w:type="spellStart"/>
      <w:r w:rsidR="00716447">
        <w:rPr>
          <w:rFonts w:eastAsia="Times New Roman"/>
        </w:rPr>
        <w:t>TetraBDE</w:t>
      </w:r>
      <w:proofErr w:type="spellEnd"/>
      <w:r w:rsidR="00FA206F">
        <w:rPr>
          <w:rFonts w:eastAsia="Times New Roman"/>
        </w:rPr>
        <w:t xml:space="preserve"> and </w:t>
      </w:r>
      <w:proofErr w:type="spellStart"/>
      <w:r w:rsidR="00FA206F">
        <w:rPr>
          <w:rFonts w:eastAsia="Times New Roman"/>
        </w:rPr>
        <w:t>pentaBDE</w:t>
      </w:r>
      <w:proofErr w:type="spellEnd"/>
      <w:r w:rsidR="00716447">
        <w:rPr>
          <w:rFonts w:eastAsia="Times New Roman"/>
        </w:rPr>
        <w:t xml:space="preserve"> were not manufactured in New Zealand </w:t>
      </w:r>
      <w:r w:rsidR="00716447" w:rsidRPr="00582EF5">
        <w:rPr>
          <w:rFonts w:eastAsia="Times New Roman"/>
        </w:rPr>
        <w:t xml:space="preserve">(table </w:t>
      </w:r>
      <w:r w:rsidR="00BC43DD" w:rsidRPr="00582EF5">
        <w:rPr>
          <w:rFonts w:eastAsia="Times New Roman"/>
        </w:rPr>
        <w:t>1</w:t>
      </w:r>
      <w:r w:rsidR="00BC43DD">
        <w:rPr>
          <w:rFonts w:eastAsia="Times New Roman"/>
        </w:rPr>
        <w:t>7</w:t>
      </w:r>
      <w:r w:rsidR="00716447" w:rsidRPr="00582EF5">
        <w:rPr>
          <w:rFonts w:eastAsia="Times New Roman"/>
        </w:rPr>
        <w:t>)</w:t>
      </w:r>
      <w:r w:rsidR="00716447">
        <w:rPr>
          <w:rFonts w:eastAsia="Times New Roman"/>
        </w:rPr>
        <w:t>.</w:t>
      </w:r>
    </w:p>
    <w:p w14:paraId="651B7674" w14:textId="69CD3990" w:rsidR="00920E8A" w:rsidRPr="00582EF5" w:rsidRDefault="00920E8A" w:rsidP="005D5C7B">
      <w:pPr>
        <w:pStyle w:val="Tableheading"/>
      </w:pPr>
      <w:bookmarkStart w:id="74" w:name="_Toc120532282"/>
      <w:r w:rsidRPr="00582EF5">
        <w:t xml:space="preserve">Table </w:t>
      </w:r>
      <w:r w:rsidR="683A12E5">
        <w:t>1</w:t>
      </w:r>
      <w:r w:rsidR="723202F8">
        <w:t>7</w:t>
      </w:r>
      <w:r w:rsidRPr="00582EF5">
        <w:t xml:space="preserve">: </w:t>
      </w:r>
      <w:r w:rsidR="008F57C2" w:rsidRPr="00582EF5">
        <w:tab/>
      </w:r>
      <w:r w:rsidRPr="00582EF5">
        <w:t xml:space="preserve">History of use and controls of </w:t>
      </w:r>
      <w:proofErr w:type="spellStart"/>
      <w:r w:rsidR="0080114E" w:rsidRPr="00582EF5">
        <w:t>tetrabromodiphenyl</w:t>
      </w:r>
      <w:proofErr w:type="spellEnd"/>
      <w:r w:rsidR="0080114E" w:rsidRPr="00582EF5">
        <w:t xml:space="preserve"> ether and </w:t>
      </w:r>
      <w:proofErr w:type="spellStart"/>
      <w:r w:rsidR="0080114E" w:rsidRPr="00582EF5">
        <w:t>pentabromodiphenyl</w:t>
      </w:r>
      <w:proofErr w:type="spellEnd"/>
      <w:r w:rsidR="0080114E" w:rsidRPr="00582EF5">
        <w:t xml:space="preserve"> ether</w:t>
      </w:r>
      <w:bookmarkEnd w:id="74"/>
    </w:p>
    <w:tbl>
      <w:tblPr>
        <w:tblStyle w:val="TableGrid"/>
        <w:tblW w:w="0" w:type="auto"/>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CellMar>
          <w:left w:w="85" w:type="dxa"/>
          <w:right w:w="85" w:type="dxa"/>
        </w:tblCellMar>
        <w:tblLook w:val="04A0" w:firstRow="1" w:lastRow="0" w:firstColumn="1" w:lastColumn="0" w:noHBand="0" w:noVBand="1"/>
      </w:tblPr>
      <w:tblGrid>
        <w:gridCol w:w="2268"/>
        <w:gridCol w:w="2552"/>
        <w:gridCol w:w="1527"/>
        <w:gridCol w:w="2147"/>
      </w:tblGrid>
      <w:tr w:rsidR="008F57C2" w:rsidRPr="00582EF5" w14:paraId="4D1021D8" w14:textId="77777777" w:rsidTr="0080114E">
        <w:tc>
          <w:tcPr>
            <w:tcW w:w="2268" w:type="dxa"/>
            <w:shd w:val="clear" w:color="auto" w:fill="1C556C"/>
            <w:vAlign w:val="bottom"/>
          </w:tcPr>
          <w:p w14:paraId="75322265" w14:textId="130AE64D" w:rsidR="00E72470" w:rsidRPr="00582EF5" w:rsidRDefault="00E72470" w:rsidP="005D5C7B">
            <w:pPr>
              <w:pStyle w:val="TableTextbold"/>
              <w:rPr>
                <w:color w:val="FFFFFF" w:themeColor="background1"/>
              </w:rPr>
            </w:pPr>
            <w:r w:rsidRPr="00582EF5">
              <w:rPr>
                <w:color w:val="FFFFFF" w:themeColor="background1"/>
              </w:rPr>
              <w:t>History of use in N</w:t>
            </w:r>
            <w:r w:rsidR="0080114E" w:rsidRPr="00582EF5">
              <w:rPr>
                <w:color w:val="FFFFFF" w:themeColor="background1"/>
              </w:rPr>
              <w:t>ew </w:t>
            </w:r>
            <w:r w:rsidRPr="00582EF5">
              <w:rPr>
                <w:color w:val="FFFFFF" w:themeColor="background1"/>
              </w:rPr>
              <w:t>Z</w:t>
            </w:r>
            <w:r w:rsidR="0080114E" w:rsidRPr="00582EF5">
              <w:rPr>
                <w:color w:val="FFFFFF" w:themeColor="background1"/>
              </w:rPr>
              <w:t>ealand</w:t>
            </w:r>
          </w:p>
        </w:tc>
        <w:tc>
          <w:tcPr>
            <w:tcW w:w="2552" w:type="dxa"/>
            <w:shd w:val="clear" w:color="auto" w:fill="1C556C"/>
            <w:vAlign w:val="bottom"/>
          </w:tcPr>
          <w:p w14:paraId="1F5E7C12" w14:textId="3DFD6669" w:rsidR="00E72470" w:rsidRPr="00582EF5" w:rsidRDefault="00E72470" w:rsidP="005D5C7B">
            <w:pPr>
              <w:pStyle w:val="TableTextbold"/>
              <w:rPr>
                <w:color w:val="FFFFFF" w:themeColor="background1"/>
              </w:rPr>
            </w:pPr>
            <w:r w:rsidRPr="00582EF5">
              <w:rPr>
                <w:color w:val="FFFFFF" w:themeColor="background1"/>
              </w:rPr>
              <w:t xml:space="preserve">Relevant controls under </w:t>
            </w:r>
            <w:r w:rsidR="0080114E" w:rsidRPr="00582EF5">
              <w:rPr>
                <w:color w:val="FFFFFF" w:themeColor="background1"/>
              </w:rPr>
              <w:t>Hazardous Substances and New Organisms (HSNO) Act 1996</w:t>
            </w:r>
          </w:p>
        </w:tc>
        <w:tc>
          <w:tcPr>
            <w:tcW w:w="1527" w:type="dxa"/>
            <w:shd w:val="clear" w:color="auto" w:fill="1C556C"/>
            <w:vAlign w:val="bottom"/>
          </w:tcPr>
          <w:p w14:paraId="06CA904A" w14:textId="77777777" w:rsidR="00E72470" w:rsidRPr="00582EF5" w:rsidRDefault="00E72470" w:rsidP="005D5C7B">
            <w:pPr>
              <w:pStyle w:val="TableTextbold"/>
              <w:rPr>
                <w:color w:val="FFFFFF" w:themeColor="background1"/>
              </w:rPr>
            </w:pPr>
            <w:r w:rsidRPr="00582EF5">
              <w:rPr>
                <w:color w:val="FFFFFF" w:themeColor="background1"/>
              </w:rPr>
              <w:t>Other controls</w:t>
            </w:r>
          </w:p>
        </w:tc>
        <w:tc>
          <w:tcPr>
            <w:tcW w:w="2147" w:type="dxa"/>
            <w:shd w:val="clear" w:color="auto" w:fill="1C556C"/>
            <w:vAlign w:val="bottom"/>
          </w:tcPr>
          <w:p w14:paraId="240E20E1" w14:textId="77777777" w:rsidR="00E72470" w:rsidRPr="00582EF5" w:rsidRDefault="00E72470" w:rsidP="005D5C7B">
            <w:pPr>
              <w:pStyle w:val="TableTextbold"/>
              <w:rPr>
                <w:color w:val="FFFFFF" w:themeColor="background1"/>
              </w:rPr>
            </w:pPr>
            <w:r w:rsidRPr="00582EF5">
              <w:rPr>
                <w:color w:val="FFFFFF" w:themeColor="background1"/>
              </w:rPr>
              <w:t xml:space="preserve">Ongoing implementation issues </w:t>
            </w:r>
          </w:p>
        </w:tc>
      </w:tr>
      <w:tr w:rsidR="00E72470" w:rsidRPr="00582EF5" w14:paraId="18DACF8B" w14:textId="77777777" w:rsidTr="0080114E">
        <w:tc>
          <w:tcPr>
            <w:tcW w:w="2268" w:type="dxa"/>
          </w:tcPr>
          <w:p w14:paraId="7EEF2798" w14:textId="3FED5880" w:rsidR="00E72470" w:rsidRPr="00582EF5" w:rsidRDefault="00E72470" w:rsidP="005D5C7B">
            <w:pPr>
              <w:pStyle w:val="TableText"/>
              <w:rPr>
                <w:lang w:eastAsia="en-GB"/>
              </w:rPr>
            </w:pPr>
            <w:r w:rsidRPr="00582EF5">
              <w:rPr>
                <w:lang w:eastAsia="en-GB"/>
              </w:rPr>
              <w:t>Not manufactured in N</w:t>
            </w:r>
            <w:r w:rsidR="00F70E2C" w:rsidRPr="00582EF5">
              <w:rPr>
                <w:lang w:eastAsia="en-GB"/>
              </w:rPr>
              <w:t>ew </w:t>
            </w:r>
            <w:r w:rsidRPr="00582EF5">
              <w:rPr>
                <w:lang w:eastAsia="en-GB"/>
              </w:rPr>
              <w:t>Z</w:t>
            </w:r>
            <w:r w:rsidR="00F70E2C" w:rsidRPr="00582EF5">
              <w:rPr>
                <w:lang w:eastAsia="en-GB"/>
              </w:rPr>
              <w:t>ealand</w:t>
            </w:r>
            <w:r w:rsidRPr="00582EF5">
              <w:rPr>
                <w:lang w:eastAsia="en-GB"/>
              </w:rPr>
              <w:t xml:space="preserve">. Imported as flame retardants in, and for the manufacture of, flexible polyurethane foam (furniture, upholstery and packaging) and non-foam polyurethane in casings, building materials, furniture, textiles and packaging. </w:t>
            </w:r>
          </w:p>
        </w:tc>
        <w:tc>
          <w:tcPr>
            <w:tcW w:w="2552" w:type="dxa"/>
          </w:tcPr>
          <w:p w14:paraId="169C08FD" w14:textId="47DCAE49" w:rsidR="00E72470" w:rsidRPr="00582EF5" w:rsidRDefault="00E72470" w:rsidP="005D5C7B">
            <w:pPr>
              <w:pStyle w:val="TableText"/>
              <w:rPr>
                <w:lang w:eastAsia="en-GB"/>
              </w:rPr>
            </w:pPr>
            <w:r w:rsidRPr="00582EF5">
              <w:rPr>
                <w:lang w:eastAsia="en-GB"/>
              </w:rPr>
              <w:t>Prohibited</w:t>
            </w:r>
            <w:r w:rsidR="004D7ABC" w:rsidRPr="00582EF5">
              <w:rPr>
                <w:lang w:eastAsia="en-GB"/>
              </w:rPr>
              <w:t>,</w:t>
            </w:r>
            <w:r w:rsidRPr="00582EF5">
              <w:rPr>
                <w:lang w:eastAsia="en-GB"/>
              </w:rPr>
              <w:t xml:space="preserve"> as listed in Schedule 2A of </w:t>
            </w:r>
            <w:r w:rsidR="00F70E2C" w:rsidRPr="00582EF5">
              <w:rPr>
                <w:lang w:eastAsia="en-GB"/>
              </w:rPr>
              <w:t xml:space="preserve">the </w:t>
            </w:r>
            <w:r w:rsidRPr="00582EF5">
              <w:rPr>
                <w:lang w:eastAsia="en-GB"/>
              </w:rPr>
              <w:t xml:space="preserve">HSNO </w:t>
            </w:r>
            <w:r w:rsidR="00F70E2C" w:rsidRPr="00582EF5">
              <w:rPr>
                <w:lang w:eastAsia="en-GB"/>
              </w:rPr>
              <w:t xml:space="preserve">Act </w:t>
            </w:r>
            <w:r w:rsidRPr="00582EF5">
              <w:rPr>
                <w:lang w:eastAsia="en-GB"/>
              </w:rPr>
              <w:t>in 2011.</w:t>
            </w:r>
          </w:p>
        </w:tc>
        <w:tc>
          <w:tcPr>
            <w:tcW w:w="1527" w:type="dxa"/>
          </w:tcPr>
          <w:p w14:paraId="7B1188E7" w14:textId="77777777" w:rsidR="00E72470" w:rsidRPr="00582EF5" w:rsidRDefault="00E72470" w:rsidP="005D5C7B">
            <w:pPr>
              <w:pStyle w:val="TableText"/>
              <w:rPr>
                <w:lang w:eastAsia="en-GB"/>
              </w:rPr>
            </w:pPr>
            <w:r w:rsidRPr="00582EF5">
              <w:rPr>
                <w:lang w:eastAsia="en-GB"/>
              </w:rPr>
              <w:t>n/a</w:t>
            </w:r>
          </w:p>
        </w:tc>
        <w:tc>
          <w:tcPr>
            <w:tcW w:w="2147" w:type="dxa"/>
          </w:tcPr>
          <w:p w14:paraId="6ABE128E" w14:textId="3D4EA3AF" w:rsidR="00E72470" w:rsidRPr="00582EF5" w:rsidRDefault="00E72470" w:rsidP="005D5C7B">
            <w:pPr>
              <w:pStyle w:val="TableText"/>
              <w:rPr>
                <w:lang w:eastAsia="en-GB"/>
              </w:rPr>
            </w:pPr>
            <w:r w:rsidRPr="00582EF5">
              <w:rPr>
                <w:lang w:eastAsia="en-GB"/>
              </w:rPr>
              <w:t>Management of existing articles and waste</w:t>
            </w:r>
            <w:r w:rsidR="00220C2F" w:rsidRPr="00582EF5">
              <w:rPr>
                <w:lang w:eastAsia="en-GB"/>
              </w:rPr>
              <w:t>-</w:t>
            </w:r>
            <w:r w:rsidRPr="00582EF5">
              <w:rPr>
                <w:lang w:eastAsia="en-GB"/>
              </w:rPr>
              <w:t>stream management when they become waste.</w:t>
            </w:r>
            <w:r w:rsidR="006D7E9D" w:rsidRPr="00582EF5">
              <w:rPr>
                <w:lang w:eastAsia="en-GB"/>
              </w:rPr>
              <w:t xml:space="preserve"> </w:t>
            </w:r>
          </w:p>
        </w:tc>
      </w:tr>
    </w:tbl>
    <w:p w14:paraId="71FAFDC1" w14:textId="0CEA4CBD" w:rsidR="00E72470" w:rsidRPr="00582EF5" w:rsidRDefault="00A93FB4" w:rsidP="005D5C7B">
      <w:pPr>
        <w:pStyle w:val="Heading3"/>
        <w:spacing w:before="440"/>
      </w:pPr>
      <w:r w:rsidRPr="00582EF5">
        <w:t>4.4.2</w:t>
      </w:r>
      <w:r w:rsidRPr="00582EF5">
        <w:tab/>
      </w:r>
      <w:r w:rsidR="00220C2F" w:rsidRPr="00582EF5">
        <w:t>Persistent organic pollutants</w:t>
      </w:r>
      <w:r w:rsidR="005C22FF" w:rsidRPr="00582EF5">
        <w:t xml:space="preserve"> added to the Convention in 2013</w:t>
      </w:r>
    </w:p>
    <w:p w14:paraId="44E5BE76" w14:textId="3980A2E2" w:rsidR="00E72470" w:rsidRPr="00582EF5" w:rsidRDefault="00E72470" w:rsidP="005D5C7B">
      <w:pPr>
        <w:pStyle w:val="Heading4"/>
        <w:spacing w:before="240"/>
      </w:pPr>
      <w:r w:rsidRPr="00582EF5">
        <w:t xml:space="preserve">Hexabromocyclododecane </w:t>
      </w:r>
    </w:p>
    <w:p w14:paraId="3CC89DB1" w14:textId="3B61DCA0" w:rsidR="00E72470" w:rsidRPr="00582EF5" w:rsidRDefault="00E72470" w:rsidP="005D5C7B">
      <w:pPr>
        <w:pStyle w:val="BodyText"/>
      </w:pPr>
      <w:r w:rsidRPr="00582EF5">
        <w:rPr>
          <w:rFonts w:eastAsia="Times New Roman"/>
        </w:rPr>
        <w:t>The main u</w:t>
      </w:r>
      <w:r w:rsidRPr="00582EF5">
        <w:t xml:space="preserve">ses </w:t>
      </w:r>
      <w:r w:rsidR="0031327D" w:rsidRPr="00582EF5">
        <w:t xml:space="preserve">of </w:t>
      </w:r>
      <w:r w:rsidR="003A67FC" w:rsidRPr="00582EF5">
        <w:t>hexabromocyclododecane (</w:t>
      </w:r>
      <w:r w:rsidR="0031327D" w:rsidRPr="00582EF5">
        <w:t>HBCD</w:t>
      </w:r>
      <w:r w:rsidR="003A67FC" w:rsidRPr="00582EF5">
        <w:t>)</w:t>
      </w:r>
      <w:r w:rsidR="0031327D" w:rsidRPr="00582EF5">
        <w:t xml:space="preserve"> </w:t>
      </w:r>
      <w:r w:rsidRPr="00582EF5">
        <w:t>globally are as a flame</w:t>
      </w:r>
      <w:r w:rsidR="28BD2EEA">
        <w:t>-</w:t>
      </w:r>
      <w:r w:rsidRPr="00582EF5">
        <w:t xml:space="preserve">retardant additive in </w:t>
      </w:r>
      <w:r w:rsidR="00404DEB" w:rsidRPr="00582EF5">
        <w:t>expanded polystyrene (</w:t>
      </w:r>
      <w:r w:rsidRPr="00582EF5">
        <w:t>EPS</w:t>
      </w:r>
      <w:r w:rsidR="00404DEB" w:rsidRPr="00582EF5">
        <w:t>)</w:t>
      </w:r>
      <w:r w:rsidRPr="00582EF5">
        <w:t xml:space="preserve"> and </w:t>
      </w:r>
      <w:r w:rsidR="00404DEB" w:rsidRPr="00582EF5">
        <w:t>extruded polystyrene (</w:t>
      </w:r>
      <w:r w:rsidRPr="00582EF5">
        <w:t>XPS</w:t>
      </w:r>
      <w:r w:rsidR="00404DEB" w:rsidRPr="00582EF5">
        <w:t>)</w:t>
      </w:r>
      <w:r w:rsidR="00B136DB" w:rsidRPr="00582EF5">
        <w:t>,</w:t>
      </w:r>
      <w:r w:rsidRPr="00582EF5">
        <w:t xml:space="preserve"> while</w:t>
      </w:r>
      <w:r w:rsidR="003A67FC" w:rsidRPr="00582EF5">
        <w:t xml:space="preserve"> its</w:t>
      </w:r>
      <w:r w:rsidRPr="00582EF5">
        <w:t xml:space="preserve"> use in textile back-</w:t>
      </w:r>
      <w:r w:rsidRPr="00582EF5">
        <w:lastRenderedPageBreak/>
        <w:t xml:space="preserve">coating applications and electric and electronic appliances is smaller. EPS and XPS are used in insulation for buildings and refrigerated trucks and containers. HBCD provides fire protection to EPS and XPS during the service life of these products in buildings, </w:t>
      </w:r>
      <w:r w:rsidR="668A0BDF">
        <w:t>vehicles,</w:t>
      </w:r>
      <w:r w:rsidRPr="00582EF5">
        <w:t xml:space="preserve"> and other materials, as well as protection while stored. </w:t>
      </w:r>
      <w:r w:rsidR="00C52460" w:rsidRPr="00582EF5">
        <w:t>Its</w:t>
      </w:r>
      <w:r w:rsidRPr="00582EF5">
        <w:t xml:space="preserve"> production has decreased in recent years</w:t>
      </w:r>
      <w:r w:rsidR="00B136DB" w:rsidRPr="00582EF5">
        <w:t>,</w:t>
      </w:r>
      <w:r w:rsidRPr="00582EF5">
        <w:t xml:space="preserve"> and raw material suppliers have transitioned to non-HBCD</w:t>
      </w:r>
      <w:r w:rsidR="00B136DB" w:rsidRPr="00582EF5">
        <w:t>-</w:t>
      </w:r>
      <w:r w:rsidRPr="00582EF5">
        <w:t xml:space="preserve">containing alternative flame retardants in EPS and XPS, as well as in other applications. </w:t>
      </w:r>
    </w:p>
    <w:p w14:paraId="77566D8F" w14:textId="0A0A5073" w:rsidR="00E72470" w:rsidRPr="00582EF5" w:rsidRDefault="00E72470" w:rsidP="005D5C7B">
      <w:pPr>
        <w:pStyle w:val="BodyText"/>
      </w:pPr>
      <w:r w:rsidRPr="00582EF5">
        <w:t xml:space="preserve">New Zealand made a notification of non-acceptance in 2014, under Article 22(4) of the Convention, relating to the listing of HBCD </w:t>
      </w:r>
      <w:r w:rsidR="00391299" w:rsidRPr="00582EF5">
        <w:t>because of</w:t>
      </w:r>
      <w:r w:rsidRPr="00582EF5">
        <w:t xml:space="preserve"> its continued use as a flame retardant in polystyrene products, principally EPS. Th</w:t>
      </w:r>
      <w:r w:rsidR="00C52460" w:rsidRPr="00582EF5">
        <w:t>e</w:t>
      </w:r>
      <w:r w:rsidRPr="00582EF5">
        <w:t xml:space="preserve"> continued use was </w:t>
      </w:r>
      <w:r w:rsidR="00391299" w:rsidRPr="00582EF5">
        <w:t>because of</w:t>
      </w:r>
      <w:r w:rsidRPr="00582EF5">
        <w:t xml:space="preserve"> the unavailability in New Zealand of sufficient and reliable supplies of EPS containing an alternative flame retardant at that time. </w:t>
      </w:r>
      <w:r w:rsidR="00391299" w:rsidRPr="00582EF5">
        <w:t>Because of</w:t>
      </w:r>
      <w:r w:rsidRPr="00582EF5">
        <w:t xml:space="preserve"> the small size of most EPS product producers in New Zealand, and the range of products they produce, accepting the listing and registering for the specific exemption provided for EPS and XPS used in buildings was </w:t>
      </w:r>
      <w:r w:rsidR="00391299" w:rsidRPr="00582EF5">
        <w:t>im</w:t>
      </w:r>
      <w:r w:rsidRPr="00582EF5">
        <w:t>practical.</w:t>
      </w:r>
    </w:p>
    <w:p w14:paraId="49B5F41F" w14:textId="5F06C9B8" w:rsidR="00E72470" w:rsidRPr="00582EF5" w:rsidRDefault="00E72470" w:rsidP="005D5C7B">
      <w:pPr>
        <w:pStyle w:val="BodyText"/>
        <w:rPr>
          <w:rFonts w:eastAsia="Times New Roman"/>
        </w:rPr>
      </w:pPr>
      <w:r w:rsidRPr="00582EF5">
        <w:t>MfE and EPA worked with Plastics New Zealand, which represented the EPS product manufacturers, to esta</w:t>
      </w:r>
      <w:r w:rsidRPr="00582EF5">
        <w:rPr>
          <w:rFonts w:eastAsia="Times New Roman"/>
        </w:rPr>
        <w:t xml:space="preserve">blish a voluntary </w:t>
      </w:r>
      <w:r w:rsidR="005362DF" w:rsidRPr="00582EF5">
        <w:rPr>
          <w:rFonts w:eastAsia="Times New Roman"/>
        </w:rPr>
        <w:t>i</w:t>
      </w:r>
      <w:r w:rsidRPr="00582EF5">
        <w:rPr>
          <w:rFonts w:eastAsia="Times New Roman"/>
        </w:rPr>
        <w:t xml:space="preserve">ndustry </w:t>
      </w:r>
      <w:r w:rsidR="005362DF" w:rsidRPr="00582EF5">
        <w:rPr>
          <w:rFonts w:eastAsia="Times New Roman"/>
        </w:rPr>
        <w:t>a</w:t>
      </w:r>
      <w:r w:rsidRPr="00582EF5">
        <w:rPr>
          <w:rFonts w:eastAsia="Times New Roman"/>
        </w:rPr>
        <w:t>ccord</w:t>
      </w:r>
      <w:r w:rsidR="008B0C2E" w:rsidRPr="00582EF5">
        <w:rPr>
          <w:rFonts w:eastAsia="Times New Roman"/>
        </w:rPr>
        <w:t xml:space="preserve"> (the Accord)</w:t>
      </w:r>
      <w:r w:rsidRPr="00582EF5">
        <w:rPr>
          <w:rFonts w:eastAsia="Times New Roman"/>
        </w:rPr>
        <w:t xml:space="preserve"> whereby industry undertook to phase out all use of HBCD-flame</w:t>
      </w:r>
      <w:r w:rsidR="00686CF4" w:rsidRPr="00582EF5">
        <w:rPr>
          <w:rFonts w:eastAsia="Times New Roman"/>
        </w:rPr>
        <w:t>-</w:t>
      </w:r>
      <w:r w:rsidRPr="00582EF5">
        <w:rPr>
          <w:rFonts w:eastAsia="Times New Roman"/>
        </w:rPr>
        <w:t>retarded EPS by 1 January 2017, in place of an immediate acceptance of the listing. From this date, it was intended that all obligations of the listing would be met, but without the need to register for the specific exemption. In this way, all use of HBCD</w:t>
      </w:r>
      <w:r w:rsidR="00686CF4" w:rsidRPr="00582EF5">
        <w:rPr>
          <w:rFonts w:eastAsia="Times New Roman"/>
        </w:rPr>
        <w:t>-</w:t>
      </w:r>
      <w:r w:rsidRPr="00582EF5">
        <w:rPr>
          <w:rFonts w:eastAsia="Times New Roman"/>
        </w:rPr>
        <w:t xml:space="preserve">containing EPS could </w:t>
      </w:r>
      <w:r w:rsidR="006E540A">
        <w:rPr>
          <w:rFonts w:eastAsia="Times New Roman"/>
        </w:rPr>
        <w:t>c</w:t>
      </w:r>
      <w:r w:rsidR="009C68B0">
        <w:rPr>
          <w:rFonts w:eastAsia="Times New Roman"/>
        </w:rPr>
        <w:t>ease</w:t>
      </w:r>
      <w:r w:rsidR="009C68B0" w:rsidRPr="00582EF5">
        <w:rPr>
          <w:rFonts w:eastAsia="Times New Roman"/>
        </w:rPr>
        <w:t xml:space="preserve"> </w:t>
      </w:r>
      <w:r w:rsidRPr="00582EF5">
        <w:rPr>
          <w:rFonts w:eastAsia="Times New Roman"/>
        </w:rPr>
        <w:t xml:space="preserve">in New Zealand almost three years earlier than would be required if the listing </w:t>
      </w:r>
      <w:r w:rsidR="2DFAD66C" w:rsidRPr="6E7DDF4C">
        <w:rPr>
          <w:rFonts w:eastAsia="Times New Roman"/>
        </w:rPr>
        <w:t>was</w:t>
      </w:r>
      <w:r w:rsidRPr="00582EF5">
        <w:rPr>
          <w:rFonts w:eastAsia="Times New Roman"/>
        </w:rPr>
        <w:t xml:space="preserve"> initially accepted with the five-year exemption period.</w:t>
      </w:r>
    </w:p>
    <w:p w14:paraId="646315C3" w14:textId="4A61BE0E" w:rsidR="00E72470" w:rsidRPr="00582EF5" w:rsidRDefault="00E72470" w:rsidP="005D5C7B">
      <w:pPr>
        <w:pStyle w:val="BodyText"/>
        <w:rPr>
          <w:rFonts w:eastAsia="Times New Roman"/>
        </w:rPr>
      </w:pPr>
      <w:r w:rsidRPr="00582EF5">
        <w:rPr>
          <w:rFonts w:eastAsia="Times New Roman"/>
        </w:rPr>
        <w:t>Industry was able to meet the terms of the Accord</w:t>
      </w:r>
      <w:r w:rsidR="005362DF" w:rsidRPr="00582EF5">
        <w:rPr>
          <w:rFonts w:eastAsia="Times New Roman"/>
        </w:rPr>
        <w:t>,</w:t>
      </w:r>
      <w:r w:rsidRPr="00582EF5">
        <w:rPr>
          <w:rFonts w:eastAsia="Times New Roman"/>
        </w:rPr>
        <w:t xml:space="preserve"> and all imports of HBCD</w:t>
      </w:r>
      <w:r w:rsidR="00950E62" w:rsidRPr="00582EF5">
        <w:rPr>
          <w:rFonts w:eastAsia="Times New Roman"/>
        </w:rPr>
        <w:t>-</w:t>
      </w:r>
      <w:r w:rsidRPr="00582EF5">
        <w:rPr>
          <w:rFonts w:eastAsia="Times New Roman"/>
        </w:rPr>
        <w:t xml:space="preserve">containing EPS </w:t>
      </w:r>
      <w:r w:rsidR="00C1573C">
        <w:rPr>
          <w:rFonts w:eastAsia="Times New Roman"/>
        </w:rPr>
        <w:t>c</w:t>
      </w:r>
      <w:r w:rsidR="009C68B0">
        <w:rPr>
          <w:rFonts w:eastAsia="Times New Roman"/>
        </w:rPr>
        <w:t>eas</w:t>
      </w:r>
      <w:r w:rsidR="009C68B0" w:rsidRPr="00582EF5">
        <w:rPr>
          <w:rFonts w:eastAsia="Times New Roman"/>
        </w:rPr>
        <w:t xml:space="preserve">ed </w:t>
      </w:r>
      <w:r w:rsidRPr="00582EF5">
        <w:rPr>
          <w:rFonts w:eastAsia="Times New Roman"/>
        </w:rPr>
        <w:t xml:space="preserve">before the end of 2016. Consequently, the notification of non-acceptance was withdrawn in December 2016, when this chemical was listed in Schedule 2A of </w:t>
      </w:r>
      <w:r w:rsidR="005362DF" w:rsidRPr="00582EF5">
        <w:rPr>
          <w:rFonts w:eastAsia="Times New Roman"/>
        </w:rPr>
        <w:t xml:space="preserve">the </w:t>
      </w:r>
      <w:r w:rsidRPr="00582EF5">
        <w:rPr>
          <w:rFonts w:eastAsia="Times New Roman"/>
        </w:rPr>
        <w:t>HSNO</w:t>
      </w:r>
      <w:r w:rsidR="005362DF" w:rsidRPr="00582EF5">
        <w:rPr>
          <w:rFonts w:eastAsia="Times New Roman"/>
        </w:rPr>
        <w:t xml:space="preserve"> Act 1996</w:t>
      </w:r>
      <w:r w:rsidRPr="00582EF5">
        <w:rPr>
          <w:rFonts w:eastAsia="Times New Roman"/>
        </w:rPr>
        <w:t xml:space="preserve">. An </w:t>
      </w:r>
      <w:bookmarkStart w:id="75" w:name="_Int_0oAexPaF"/>
      <w:proofErr w:type="gramStart"/>
      <w:r w:rsidRPr="00582EF5">
        <w:rPr>
          <w:rFonts w:eastAsia="Times New Roman"/>
        </w:rPr>
        <w:t>articles</w:t>
      </w:r>
      <w:bookmarkEnd w:id="75"/>
      <w:proofErr w:type="gramEnd"/>
      <w:r w:rsidRPr="00582EF5">
        <w:rPr>
          <w:rFonts w:eastAsia="Times New Roman"/>
        </w:rPr>
        <w:t xml:space="preserve"> in use notification was sent to the </w:t>
      </w:r>
      <w:r w:rsidR="00410815" w:rsidRPr="00582EF5">
        <w:rPr>
          <w:rFonts w:eastAsia="Times New Roman"/>
        </w:rPr>
        <w:t xml:space="preserve">Convention </w:t>
      </w:r>
      <w:r w:rsidRPr="00582EF5">
        <w:rPr>
          <w:rFonts w:eastAsia="Times New Roman"/>
        </w:rPr>
        <w:t>Secretariat</w:t>
      </w:r>
      <w:r w:rsidR="00D72FE3" w:rsidRPr="00582EF5">
        <w:rPr>
          <w:rFonts w:eastAsia="Times New Roman"/>
        </w:rPr>
        <w:t>,</w:t>
      </w:r>
      <w:r w:rsidRPr="00582EF5">
        <w:rPr>
          <w:rFonts w:eastAsia="Times New Roman"/>
        </w:rPr>
        <w:t xml:space="preserve"> to allow the continued use of existing articles containing HBCD manufactured before 1 January 2017</w:t>
      </w:r>
      <w:r w:rsidR="006B554C" w:rsidRPr="00582EF5">
        <w:t xml:space="preserve"> </w:t>
      </w:r>
      <w:r w:rsidR="003254A6">
        <w:br/>
      </w:r>
      <w:r w:rsidR="006B554C" w:rsidRPr="00582EF5">
        <w:t xml:space="preserve">(table </w:t>
      </w:r>
      <w:r w:rsidR="00BC43DD" w:rsidRPr="00582EF5">
        <w:t>1</w:t>
      </w:r>
      <w:r w:rsidR="00BC43DD">
        <w:t>8</w:t>
      </w:r>
      <w:r w:rsidR="006B554C" w:rsidRPr="00582EF5">
        <w:t>)</w:t>
      </w:r>
      <w:r w:rsidRPr="00582EF5">
        <w:rPr>
          <w:rFonts w:eastAsia="Times New Roman"/>
        </w:rPr>
        <w:t>.</w:t>
      </w:r>
      <w:r w:rsidR="006D7E9D" w:rsidRPr="00582EF5">
        <w:rPr>
          <w:rFonts w:eastAsia="Times New Roman"/>
        </w:rPr>
        <w:t xml:space="preserve"> </w:t>
      </w:r>
    </w:p>
    <w:p w14:paraId="414F6B22" w14:textId="68E60FB4" w:rsidR="00E4076C" w:rsidRPr="00582EF5" w:rsidRDefault="00E4076C" w:rsidP="005D5C7B">
      <w:pPr>
        <w:pStyle w:val="Tableheading"/>
      </w:pPr>
      <w:bookmarkStart w:id="76" w:name="_Toc120532283"/>
      <w:r w:rsidRPr="00582EF5">
        <w:t xml:space="preserve">Table </w:t>
      </w:r>
      <w:r w:rsidR="0DADF1BD">
        <w:t>1</w:t>
      </w:r>
      <w:r w:rsidR="55D3CB19">
        <w:t>8</w:t>
      </w:r>
      <w:r w:rsidRPr="00582EF5">
        <w:t xml:space="preserve">: </w:t>
      </w:r>
      <w:r w:rsidR="008F57C2" w:rsidRPr="00582EF5">
        <w:tab/>
      </w:r>
      <w:r w:rsidRPr="00582EF5">
        <w:t xml:space="preserve">History of use and controls of </w:t>
      </w:r>
      <w:r w:rsidR="0004427C" w:rsidRPr="00582EF5">
        <w:t>hexabromocyclododecane (</w:t>
      </w:r>
      <w:r w:rsidR="00714357" w:rsidRPr="00582EF5">
        <w:t>HBCD</w:t>
      </w:r>
      <w:r w:rsidR="0004427C" w:rsidRPr="00582EF5">
        <w:t>)</w:t>
      </w:r>
      <w:bookmarkEnd w:id="76"/>
    </w:p>
    <w:tbl>
      <w:tblPr>
        <w:tblStyle w:val="TableGrid"/>
        <w:tblW w:w="0" w:type="auto"/>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CellMar>
          <w:left w:w="85" w:type="dxa"/>
          <w:right w:w="85" w:type="dxa"/>
        </w:tblCellMar>
        <w:tblLook w:val="04A0" w:firstRow="1" w:lastRow="0" w:firstColumn="1" w:lastColumn="0" w:noHBand="0" w:noVBand="1"/>
      </w:tblPr>
      <w:tblGrid>
        <w:gridCol w:w="2435"/>
        <w:gridCol w:w="2693"/>
        <w:gridCol w:w="1417"/>
        <w:gridCol w:w="1949"/>
      </w:tblGrid>
      <w:tr w:rsidR="008F57C2" w:rsidRPr="00582EF5" w14:paraId="3400D83A" w14:textId="77777777" w:rsidTr="00073D84">
        <w:tc>
          <w:tcPr>
            <w:tcW w:w="2435" w:type="dxa"/>
            <w:shd w:val="clear" w:color="auto" w:fill="1C556C"/>
            <w:vAlign w:val="bottom"/>
          </w:tcPr>
          <w:p w14:paraId="1AE77705" w14:textId="278CFCC6" w:rsidR="00E72470" w:rsidRPr="00582EF5" w:rsidRDefault="00E72470" w:rsidP="005D5C7B">
            <w:pPr>
              <w:pStyle w:val="TableTextbold"/>
              <w:rPr>
                <w:color w:val="FFFFFF" w:themeColor="background1"/>
              </w:rPr>
            </w:pPr>
            <w:r w:rsidRPr="00582EF5">
              <w:rPr>
                <w:color w:val="FFFFFF" w:themeColor="background1"/>
              </w:rPr>
              <w:t>History of use in N</w:t>
            </w:r>
            <w:r w:rsidR="0004427C" w:rsidRPr="00582EF5">
              <w:rPr>
                <w:color w:val="FFFFFF" w:themeColor="background1"/>
              </w:rPr>
              <w:t>ew </w:t>
            </w:r>
            <w:r w:rsidRPr="00582EF5">
              <w:rPr>
                <w:color w:val="FFFFFF" w:themeColor="background1"/>
              </w:rPr>
              <w:t>Z</w:t>
            </w:r>
            <w:r w:rsidR="0004427C" w:rsidRPr="00582EF5">
              <w:rPr>
                <w:color w:val="FFFFFF" w:themeColor="background1"/>
              </w:rPr>
              <w:t>ealand</w:t>
            </w:r>
          </w:p>
        </w:tc>
        <w:tc>
          <w:tcPr>
            <w:tcW w:w="2693" w:type="dxa"/>
            <w:shd w:val="clear" w:color="auto" w:fill="1C556C"/>
            <w:vAlign w:val="bottom"/>
          </w:tcPr>
          <w:p w14:paraId="3CCDAD3E" w14:textId="52119B5D" w:rsidR="00E72470" w:rsidRPr="00582EF5" w:rsidRDefault="00E72470" w:rsidP="005D5C7B">
            <w:pPr>
              <w:pStyle w:val="TableTextbold"/>
              <w:rPr>
                <w:color w:val="FFFFFF" w:themeColor="background1"/>
              </w:rPr>
            </w:pPr>
            <w:r w:rsidRPr="00582EF5">
              <w:rPr>
                <w:color w:val="FFFFFF" w:themeColor="background1"/>
              </w:rPr>
              <w:t xml:space="preserve">Relevant controls under </w:t>
            </w:r>
            <w:r w:rsidR="0004427C" w:rsidRPr="00582EF5">
              <w:rPr>
                <w:color w:val="FFFFFF" w:themeColor="background1"/>
              </w:rPr>
              <w:t>Hazardous Substances and New Organisms (HSNO) Act 1996</w:t>
            </w:r>
          </w:p>
        </w:tc>
        <w:tc>
          <w:tcPr>
            <w:tcW w:w="1417" w:type="dxa"/>
            <w:shd w:val="clear" w:color="auto" w:fill="1C556C"/>
            <w:vAlign w:val="bottom"/>
          </w:tcPr>
          <w:p w14:paraId="397C06BB" w14:textId="77777777" w:rsidR="00E72470" w:rsidRPr="00582EF5" w:rsidRDefault="00E72470" w:rsidP="005D5C7B">
            <w:pPr>
              <w:pStyle w:val="TableTextbold"/>
              <w:rPr>
                <w:color w:val="FFFFFF" w:themeColor="background1"/>
              </w:rPr>
            </w:pPr>
            <w:r w:rsidRPr="00582EF5">
              <w:rPr>
                <w:color w:val="FFFFFF" w:themeColor="background1"/>
              </w:rPr>
              <w:t>Other controls</w:t>
            </w:r>
          </w:p>
        </w:tc>
        <w:tc>
          <w:tcPr>
            <w:tcW w:w="1949" w:type="dxa"/>
            <w:shd w:val="clear" w:color="auto" w:fill="1C556C"/>
            <w:vAlign w:val="bottom"/>
          </w:tcPr>
          <w:p w14:paraId="661AFA4A" w14:textId="77777777" w:rsidR="00E72470" w:rsidRPr="00582EF5" w:rsidRDefault="00E72470" w:rsidP="005D5C7B">
            <w:pPr>
              <w:pStyle w:val="TableTextbold"/>
              <w:rPr>
                <w:color w:val="FFFFFF" w:themeColor="background1"/>
              </w:rPr>
            </w:pPr>
            <w:r w:rsidRPr="00582EF5">
              <w:rPr>
                <w:color w:val="FFFFFF" w:themeColor="background1"/>
              </w:rPr>
              <w:t xml:space="preserve">Ongoing implementation issues </w:t>
            </w:r>
          </w:p>
        </w:tc>
      </w:tr>
      <w:tr w:rsidR="00E72470" w:rsidRPr="00582EF5" w14:paraId="7E2A1A82" w14:textId="77777777" w:rsidTr="00073D84">
        <w:tc>
          <w:tcPr>
            <w:tcW w:w="2435" w:type="dxa"/>
          </w:tcPr>
          <w:p w14:paraId="1F73FFC4" w14:textId="4827F407" w:rsidR="00E72470" w:rsidRPr="00582EF5" w:rsidRDefault="00E72470" w:rsidP="005D5C7B">
            <w:pPr>
              <w:pStyle w:val="TableText"/>
            </w:pPr>
            <w:r w:rsidRPr="00582EF5">
              <w:rPr>
                <w:lang w:eastAsia="en-GB"/>
              </w:rPr>
              <w:t xml:space="preserve">HBCD was never manufactured in New Zealand and no records </w:t>
            </w:r>
            <w:r w:rsidR="00950E62" w:rsidRPr="00582EF5">
              <w:rPr>
                <w:lang w:eastAsia="en-GB"/>
              </w:rPr>
              <w:t xml:space="preserve">exist </w:t>
            </w:r>
            <w:r w:rsidRPr="00582EF5">
              <w:rPr>
                <w:lang w:eastAsia="en-GB"/>
              </w:rPr>
              <w:t xml:space="preserve">of it being imported as a chemical. It was imported incorporated in polystyrene resin for manufacture into </w:t>
            </w:r>
            <w:r w:rsidR="00950E62" w:rsidRPr="00582EF5">
              <w:t>e</w:t>
            </w:r>
            <w:r w:rsidR="00950E62" w:rsidRPr="00582EF5">
              <w:rPr>
                <w:rFonts w:eastAsiaTheme="minorHAnsi"/>
              </w:rPr>
              <w:t>xpanded</w:t>
            </w:r>
            <w:r w:rsidR="00950E62" w:rsidRPr="00582EF5">
              <w:t xml:space="preserve"> </w:t>
            </w:r>
            <w:r w:rsidR="00950E62" w:rsidRPr="00582EF5">
              <w:rPr>
                <w:rFonts w:eastAsiaTheme="minorHAnsi"/>
              </w:rPr>
              <w:t>polystyrene</w:t>
            </w:r>
            <w:r w:rsidR="00950E62" w:rsidRPr="00582EF5">
              <w:rPr>
                <w:lang w:eastAsia="en-GB"/>
              </w:rPr>
              <w:t xml:space="preserve"> (</w:t>
            </w:r>
            <w:r w:rsidRPr="00582EF5">
              <w:rPr>
                <w:lang w:eastAsia="en-GB"/>
              </w:rPr>
              <w:t>EPS</w:t>
            </w:r>
            <w:r w:rsidR="00950E62" w:rsidRPr="00582EF5">
              <w:rPr>
                <w:lang w:eastAsia="en-GB"/>
              </w:rPr>
              <w:t>)</w:t>
            </w:r>
            <w:r w:rsidRPr="00582EF5">
              <w:rPr>
                <w:lang w:eastAsia="en-GB"/>
              </w:rPr>
              <w:t xml:space="preserve"> foam packaging and </w:t>
            </w:r>
            <w:r w:rsidR="0027320F" w:rsidRPr="00582EF5">
              <w:rPr>
                <w:lang w:eastAsia="en-GB"/>
              </w:rPr>
              <w:t xml:space="preserve">in </w:t>
            </w:r>
            <w:r w:rsidR="00950E62" w:rsidRPr="00582EF5">
              <w:rPr>
                <w:lang w:eastAsia="en-GB"/>
              </w:rPr>
              <w:t>various</w:t>
            </w:r>
            <w:r w:rsidRPr="00582EF5">
              <w:rPr>
                <w:lang w:eastAsia="en-GB"/>
              </w:rPr>
              <w:t xml:space="preserve"> EPS construction products, and in manufactured EPS and </w:t>
            </w:r>
            <w:r w:rsidR="00950E62" w:rsidRPr="00582EF5">
              <w:t>e</w:t>
            </w:r>
            <w:r w:rsidR="00950E62" w:rsidRPr="00582EF5">
              <w:rPr>
                <w:rFonts w:eastAsiaTheme="minorHAnsi"/>
              </w:rPr>
              <w:t>xtruded polystyrene</w:t>
            </w:r>
            <w:r w:rsidRPr="00582EF5">
              <w:rPr>
                <w:lang w:eastAsia="en-GB"/>
              </w:rPr>
              <w:t xml:space="preserve"> products from </w:t>
            </w:r>
            <w:r w:rsidR="0027320F" w:rsidRPr="00582EF5">
              <w:rPr>
                <w:lang w:eastAsia="en-GB"/>
              </w:rPr>
              <w:t xml:space="preserve">the </w:t>
            </w:r>
            <w:r w:rsidRPr="00582EF5">
              <w:rPr>
                <w:lang w:eastAsia="en-GB"/>
              </w:rPr>
              <w:t>1990s until</w:t>
            </w:r>
            <w:r w:rsidRPr="00582EF5">
              <w:rPr>
                <w:color w:val="333333"/>
              </w:rPr>
              <w:t xml:space="preserve"> 2016.</w:t>
            </w:r>
          </w:p>
        </w:tc>
        <w:tc>
          <w:tcPr>
            <w:tcW w:w="2693" w:type="dxa"/>
          </w:tcPr>
          <w:p w14:paraId="4027BBC0" w14:textId="3FC986F0" w:rsidR="00E72470" w:rsidRPr="00582EF5" w:rsidRDefault="00E72470" w:rsidP="005D5C7B">
            <w:pPr>
              <w:pStyle w:val="TableText"/>
              <w:rPr>
                <w:lang w:eastAsia="en-GB"/>
              </w:rPr>
            </w:pPr>
            <w:r w:rsidRPr="00582EF5">
              <w:rPr>
                <w:lang w:eastAsia="en-GB"/>
              </w:rPr>
              <w:t>Prohibited</w:t>
            </w:r>
            <w:r w:rsidR="00950E62" w:rsidRPr="00582EF5">
              <w:rPr>
                <w:lang w:eastAsia="en-GB"/>
              </w:rPr>
              <w:t>,</w:t>
            </w:r>
            <w:r w:rsidRPr="00582EF5">
              <w:rPr>
                <w:lang w:eastAsia="en-GB"/>
              </w:rPr>
              <w:t xml:space="preserve"> as listed in Schedule 2A of </w:t>
            </w:r>
            <w:r w:rsidR="0027320F" w:rsidRPr="00582EF5">
              <w:rPr>
                <w:lang w:eastAsia="en-GB"/>
              </w:rPr>
              <w:t xml:space="preserve">the </w:t>
            </w:r>
            <w:r w:rsidRPr="00582EF5">
              <w:rPr>
                <w:lang w:eastAsia="en-GB"/>
              </w:rPr>
              <w:t xml:space="preserve">HSNO </w:t>
            </w:r>
            <w:r w:rsidR="0027320F" w:rsidRPr="00582EF5">
              <w:rPr>
                <w:lang w:eastAsia="en-GB"/>
              </w:rPr>
              <w:t xml:space="preserve">Act </w:t>
            </w:r>
            <w:r w:rsidRPr="00582EF5">
              <w:rPr>
                <w:lang w:eastAsia="en-GB"/>
              </w:rPr>
              <w:t xml:space="preserve">in 2016 with allowance for continued use of articles in use manufactured </w:t>
            </w:r>
            <w:r w:rsidR="0027320F" w:rsidRPr="00582EF5">
              <w:rPr>
                <w:lang w:eastAsia="en-GB"/>
              </w:rPr>
              <w:t>before</w:t>
            </w:r>
            <w:r w:rsidRPr="00582EF5">
              <w:rPr>
                <w:lang w:eastAsia="en-GB"/>
              </w:rPr>
              <w:t xml:space="preserve"> 1 January 2017.</w:t>
            </w:r>
          </w:p>
          <w:p w14:paraId="5D3D29A2" w14:textId="77777777" w:rsidR="00E72470" w:rsidRPr="00582EF5" w:rsidRDefault="00E72470" w:rsidP="005D5C7B">
            <w:pPr>
              <w:pStyle w:val="TableText"/>
              <w:rPr>
                <w:lang w:eastAsia="en-GB"/>
              </w:rPr>
            </w:pPr>
            <w:r w:rsidRPr="00582EF5">
              <w:rPr>
                <w:lang w:eastAsia="en-GB"/>
              </w:rPr>
              <w:t>Previously was approved provided it was used in accordance with relevant group standard.</w:t>
            </w:r>
          </w:p>
        </w:tc>
        <w:tc>
          <w:tcPr>
            <w:tcW w:w="1417" w:type="dxa"/>
          </w:tcPr>
          <w:p w14:paraId="0E73186D" w14:textId="77777777" w:rsidR="00E72470" w:rsidRPr="00582EF5" w:rsidRDefault="00E72470" w:rsidP="005D5C7B">
            <w:pPr>
              <w:pStyle w:val="TableText"/>
              <w:rPr>
                <w:lang w:eastAsia="en-GB"/>
              </w:rPr>
            </w:pPr>
            <w:r w:rsidRPr="00582EF5">
              <w:rPr>
                <w:lang w:eastAsia="en-GB"/>
              </w:rPr>
              <w:t xml:space="preserve">n/a </w:t>
            </w:r>
          </w:p>
        </w:tc>
        <w:tc>
          <w:tcPr>
            <w:tcW w:w="1949" w:type="dxa"/>
          </w:tcPr>
          <w:p w14:paraId="707CC8A3" w14:textId="314A6939" w:rsidR="00E72470" w:rsidRPr="00582EF5" w:rsidRDefault="00E72470" w:rsidP="005D5C7B">
            <w:pPr>
              <w:pStyle w:val="TableText"/>
              <w:rPr>
                <w:lang w:eastAsia="en-GB"/>
              </w:rPr>
            </w:pPr>
            <w:r w:rsidRPr="00582EF5">
              <w:rPr>
                <w:lang w:eastAsia="en-GB"/>
              </w:rPr>
              <w:t xml:space="preserve">Management of existing articles and waste disposal, when those articles become waste. </w:t>
            </w:r>
          </w:p>
        </w:tc>
      </w:tr>
    </w:tbl>
    <w:p w14:paraId="7832F2AD" w14:textId="0A52D7D4" w:rsidR="006D1A93" w:rsidRPr="00582EF5" w:rsidRDefault="006D1A93" w:rsidP="005D5C7B">
      <w:pPr>
        <w:pStyle w:val="BodyText"/>
        <w:keepLines/>
        <w:spacing w:before="240"/>
      </w:pPr>
      <w:r w:rsidRPr="00582EF5">
        <w:lastRenderedPageBreak/>
        <w:t xml:space="preserve">It was estimated </w:t>
      </w:r>
      <w:r w:rsidR="00076C36" w:rsidRPr="00582EF5">
        <w:t xml:space="preserve">in a 2013 study </w:t>
      </w:r>
      <w:r w:rsidRPr="00582EF5">
        <w:t>that an average of 4800 tonnes per year of HBCD</w:t>
      </w:r>
      <w:r w:rsidR="00CE13F3" w:rsidRPr="00582EF5">
        <w:t>-</w:t>
      </w:r>
      <w:r w:rsidRPr="00582EF5">
        <w:t xml:space="preserve">containing EPS was used in New Zealand </w:t>
      </w:r>
      <w:r w:rsidR="00C1573C">
        <w:t>during</w:t>
      </w:r>
      <w:r w:rsidRPr="00582EF5">
        <w:t xml:space="preserve"> 2004</w:t>
      </w:r>
      <w:r w:rsidR="00CE13F3" w:rsidRPr="00582EF5">
        <w:t>–</w:t>
      </w:r>
      <w:r w:rsidRPr="00582EF5">
        <w:t>10. This represented an annual usage of between 24</w:t>
      </w:r>
      <w:r w:rsidR="00BE5CB3" w:rsidRPr="00582EF5">
        <w:t> tonnes</w:t>
      </w:r>
      <w:r w:rsidRPr="00582EF5">
        <w:t xml:space="preserve"> and 48</w:t>
      </w:r>
      <w:r w:rsidR="00BE5CB3" w:rsidRPr="00582EF5">
        <w:t> </w:t>
      </w:r>
      <w:r w:rsidRPr="00582EF5">
        <w:t>tonnes of HBCD (based on a content in EPS of between 0.5</w:t>
      </w:r>
      <w:r w:rsidR="00BE5CB3" w:rsidRPr="00582EF5">
        <w:t xml:space="preserve"> per cent </w:t>
      </w:r>
      <w:r w:rsidR="00540CA6">
        <w:t>and</w:t>
      </w:r>
      <w:r w:rsidR="00BE5CB3" w:rsidRPr="00582EF5">
        <w:t xml:space="preserve"> </w:t>
      </w:r>
      <w:r w:rsidRPr="00582EF5">
        <w:t>1</w:t>
      </w:r>
      <w:r w:rsidR="00BE5CB3" w:rsidRPr="00582EF5">
        <w:t> per cent)</w:t>
      </w:r>
      <w:r w:rsidRPr="00582EF5">
        <w:t>. An additional 5</w:t>
      </w:r>
      <w:r w:rsidR="00BE5CB3" w:rsidRPr="00582EF5">
        <w:t xml:space="preserve"> tonnes to </w:t>
      </w:r>
      <w:r w:rsidRPr="00582EF5">
        <w:t>10 tonnes per year of HBCD was estimated to be imported in sheets of XPS</w:t>
      </w:r>
      <w:r w:rsidR="007061CF" w:rsidRPr="00582EF5">
        <w:t xml:space="preserve"> over the same period</w:t>
      </w:r>
      <w:r w:rsidRPr="00582EF5">
        <w:t>.</w:t>
      </w:r>
      <w:r w:rsidR="00505B66" w:rsidRPr="00582EF5">
        <w:rPr>
          <w:rStyle w:val="FootnoteReference"/>
        </w:rPr>
        <w:footnoteReference w:id="3"/>
      </w:r>
    </w:p>
    <w:p w14:paraId="277AD63E" w14:textId="0BBE150B" w:rsidR="00E72470" w:rsidRPr="00582EF5" w:rsidRDefault="00E72470" w:rsidP="005D5C7B">
      <w:pPr>
        <w:pStyle w:val="BodyText"/>
      </w:pPr>
      <w:r w:rsidRPr="00582EF5">
        <w:t xml:space="preserve">No evidence was found that any HBCD </w:t>
      </w:r>
      <w:r w:rsidR="008924D2" w:rsidRPr="00582EF5">
        <w:t xml:space="preserve">was </w:t>
      </w:r>
      <w:r w:rsidRPr="00582EF5">
        <w:t>being used in coating of textiles made in New Zealand, although it may have been present in imported textiles.</w:t>
      </w:r>
    </w:p>
    <w:p w14:paraId="6964E710" w14:textId="717550FF" w:rsidR="009661F0" w:rsidRPr="00582EF5" w:rsidRDefault="008924D2" w:rsidP="005D5C7B">
      <w:pPr>
        <w:pStyle w:val="BodyText"/>
      </w:pPr>
      <w:r w:rsidRPr="00582EF5">
        <w:t xml:space="preserve">The </w:t>
      </w:r>
      <w:r w:rsidR="00076C36" w:rsidRPr="00582EF5">
        <w:t xml:space="preserve">2013 </w:t>
      </w:r>
      <w:r w:rsidRPr="00582EF5">
        <w:t xml:space="preserve">study </w:t>
      </w:r>
      <w:r w:rsidR="009661F0" w:rsidRPr="00582EF5">
        <w:t xml:space="preserve">also presented a simple ‘model’ of annual EPS production rates and annual HBCD-containing wastes arising over time </w:t>
      </w:r>
      <w:r w:rsidRPr="00582EF5">
        <w:t xml:space="preserve">(see figure </w:t>
      </w:r>
      <w:r w:rsidR="009661F0" w:rsidRPr="00582EF5">
        <w:t>2</w:t>
      </w:r>
      <w:r w:rsidRPr="00582EF5">
        <w:t>)</w:t>
      </w:r>
      <w:r w:rsidR="009661F0" w:rsidRPr="00582EF5">
        <w:t>.</w:t>
      </w:r>
      <w:r w:rsidR="00076C36" w:rsidRPr="00582EF5">
        <w:rPr>
          <w:rStyle w:val="FootnoteReference"/>
        </w:rPr>
        <w:footnoteReference w:id="4"/>
      </w:r>
      <w:r w:rsidR="009661F0" w:rsidRPr="00582EF5">
        <w:t xml:space="preserve"> Th</w:t>
      </w:r>
      <w:r w:rsidR="00E71548" w:rsidRPr="00582EF5">
        <w:t>e model</w:t>
      </w:r>
      <w:r w:rsidR="009661F0" w:rsidRPr="00582EF5">
        <w:t xml:space="preserve"> was based on </w:t>
      </w:r>
      <w:r w:rsidRPr="00582EF5">
        <w:t>several</w:t>
      </w:r>
      <w:r w:rsidR="009661F0" w:rsidRPr="00582EF5">
        <w:t xml:space="preserve"> assumptions</w:t>
      </w:r>
      <w:r w:rsidR="00E71548" w:rsidRPr="00582EF5">
        <w:t>.</w:t>
      </w:r>
    </w:p>
    <w:p w14:paraId="4A4415EE" w14:textId="484A9A56" w:rsidR="009661F0" w:rsidRPr="00582EF5" w:rsidRDefault="00E71548" w:rsidP="005D5C7B">
      <w:pPr>
        <w:pStyle w:val="Bullet"/>
      </w:pPr>
      <w:r w:rsidRPr="00582EF5">
        <w:t>W</w:t>
      </w:r>
      <w:r w:rsidR="009661F0" w:rsidRPr="00582EF5">
        <w:t>idespread use of EPS construction products started in the mid-1990s, and the production rate had doubled by 2010</w:t>
      </w:r>
      <w:r w:rsidRPr="00582EF5">
        <w:t>.</w:t>
      </w:r>
    </w:p>
    <w:p w14:paraId="310A3AA8" w14:textId="78BF7A23" w:rsidR="009661F0" w:rsidRPr="00582EF5" w:rsidRDefault="00E71548" w:rsidP="005D5C7B">
      <w:pPr>
        <w:pStyle w:val="Bullet"/>
      </w:pPr>
      <w:r w:rsidRPr="00582EF5">
        <w:t>A</w:t>
      </w:r>
      <w:r w:rsidR="006D1A93" w:rsidRPr="00582EF5">
        <w:t xml:space="preserve">ll </w:t>
      </w:r>
      <w:r w:rsidR="009661F0" w:rsidRPr="00582EF5">
        <w:t xml:space="preserve">production of EPS construction materials containing HBCD would </w:t>
      </w:r>
      <w:r w:rsidR="006E540A">
        <w:t>c</w:t>
      </w:r>
      <w:r w:rsidR="009C68B0">
        <w:t>ease</w:t>
      </w:r>
      <w:r w:rsidR="009C68B0" w:rsidRPr="00582EF5">
        <w:t xml:space="preserve"> </w:t>
      </w:r>
      <w:r w:rsidR="009661F0" w:rsidRPr="00582EF5">
        <w:t>in 2018 (this was taken to be the end of the Convention</w:t>
      </w:r>
      <w:r w:rsidR="00FE7D90" w:rsidRPr="00582EF5">
        <w:t>-</w:t>
      </w:r>
      <w:r w:rsidR="009661F0" w:rsidRPr="00582EF5">
        <w:t xml:space="preserve">specific exemption period, </w:t>
      </w:r>
      <w:bookmarkStart w:id="77" w:name="_Int_JitfptDX"/>
      <w:proofErr w:type="gramStart"/>
      <w:r w:rsidR="009661F0" w:rsidRPr="00582EF5">
        <w:t>but</w:t>
      </w:r>
      <w:r w:rsidR="00176015" w:rsidRPr="00582EF5">
        <w:t>,</w:t>
      </w:r>
      <w:bookmarkEnd w:id="77"/>
      <w:proofErr w:type="gramEnd"/>
      <w:r w:rsidR="009661F0" w:rsidRPr="00582EF5">
        <w:t xml:space="preserve"> under the </w:t>
      </w:r>
      <w:r w:rsidR="0031327D" w:rsidRPr="00582EF5">
        <w:t>A</w:t>
      </w:r>
      <w:r w:rsidR="009661F0" w:rsidRPr="00582EF5">
        <w:t>ccord discussed above</w:t>
      </w:r>
      <w:r w:rsidR="00176015" w:rsidRPr="00582EF5">
        <w:t>,</w:t>
      </w:r>
      <w:r w:rsidR="009661F0" w:rsidRPr="00582EF5">
        <w:t xml:space="preserve"> was able to be brought back to </w:t>
      </w:r>
      <w:r w:rsidR="00FE7D90" w:rsidRPr="00582EF5">
        <w:t xml:space="preserve">the </w:t>
      </w:r>
      <w:r w:rsidR="009661F0" w:rsidRPr="00582EF5">
        <w:t xml:space="preserve">end </w:t>
      </w:r>
      <w:r w:rsidR="00FE7D90" w:rsidRPr="00582EF5">
        <w:t xml:space="preserve">of </w:t>
      </w:r>
      <w:r w:rsidR="009661F0" w:rsidRPr="00582EF5">
        <w:t>2016)</w:t>
      </w:r>
      <w:r w:rsidRPr="00582EF5">
        <w:t>.</w:t>
      </w:r>
    </w:p>
    <w:p w14:paraId="707907C9" w14:textId="6BFD6B24" w:rsidR="009661F0" w:rsidRPr="00582EF5" w:rsidRDefault="00E71548" w:rsidP="005D5C7B">
      <w:pPr>
        <w:pStyle w:val="Bullet"/>
      </w:pPr>
      <w:r w:rsidRPr="00582EF5">
        <w:t>M</w:t>
      </w:r>
      <w:r w:rsidR="006D1A93" w:rsidRPr="00582EF5">
        <w:t xml:space="preserve">ost </w:t>
      </w:r>
      <w:r w:rsidR="009661F0" w:rsidRPr="00582EF5">
        <w:t xml:space="preserve">of the construction products are expected to have a usable life of up to 50 years, although some will be taken out of service well before that time </w:t>
      </w:r>
      <w:r w:rsidR="6DFB7D7C">
        <w:t>because of</w:t>
      </w:r>
      <w:r w:rsidR="009661F0" w:rsidRPr="00582EF5">
        <w:t xml:space="preserve"> building modifications and demolition</w:t>
      </w:r>
      <w:r w:rsidR="00076C36" w:rsidRPr="00582EF5">
        <w:t>.</w:t>
      </w:r>
    </w:p>
    <w:p w14:paraId="6E2C922B" w14:textId="1250027C" w:rsidR="009661F0" w:rsidRPr="00582EF5" w:rsidRDefault="00E71548" w:rsidP="005D5C7B">
      <w:pPr>
        <w:pStyle w:val="Bullet"/>
      </w:pPr>
      <w:r w:rsidRPr="00582EF5">
        <w:t>T</w:t>
      </w:r>
      <w:r w:rsidR="006D1A93" w:rsidRPr="00582EF5">
        <w:t xml:space="preserve">he </w:t>
      </w:r>
      <w:r w:rsidR="009661F0" w:rsidRPr="00582EF5">
        <w:t>following waste generation rates were used to produce the waste plots: 10</w:t>
      </w:r>
      <w:r w:rsidR="009D4CE2" w:rsidRPr="00582EF5">
        <w:t> per cent</w:t>
      </w:r>
      <w:r w:rsidR="009661F0" w:rsidRPr="00582EF5">
        <w:t xml:space="preserve"> of the construction products were assumed to be taken out of service after 10 years, followed by a further 15</w:t>
      </w:r>
      <w:r w:rsidR="009D4CE2" w:rsidRPr="00582EF5">
        <w:t> per cent</w:t>
      </w:r>
      <w:r w:rsidR="009661F0" w:rsidRPr="00582EF5">
        <w:t xml:space="preserve"> at 20 years, 20</w:t>
      </w:r>
      <w:r w:rsidR="009D4CE2" w:rsidRPr="00582EF5">
        <w:t> per cent</w:t>
      </w:r>
      <w:r w:rsidR="009661F0" w:rsidRPr="00582EF5">
        <w:t xml:space="preserve"> at 30 years, 25</w:t>
      </w:r>
      <w:r w:rsidR="009D4CE2" w:rsidRPr="00582EF5">
        <w:t> per cent</w:t>
      </w:r>
      <w:r w:rsidR="009661F0" w:rsidRPr="00582EF5">
        <w:t xml:space="preserve"> at 40</w:t>
      </w:r>
      <w:r w:rsidR="009D4CE2" w:rsidRPr="00582EF5">
        <w:t> </w:t>
      </w:r>
      <w:r w:rsidR="009661F0" w:rsidRPr="00582EF5">
        <w:t>years and 25</w:t>
      </w:r>
      <w:r w:rsidR="009D4CE2" w:rsidRPr="00582EF5">
        <w:t> per cent</w:t>
      </w:r>
      <w:r w:rsidR="009661F0" w:rsidRPr="00582EF5">
        <w:t xml:space="preserve"> at 50 years</w:t>
      </w:r>
      <w:r w:rsidR="006D1A93" w:rsidRPr="00582EF5">
        <w:t>.</w:t>
      </w:r>
    </w:p>
    <w:p w14:paraId="4E7ED6CC" w14:textId="77777777" w:rsidR="00BF17CC" w:rsidRDefault="009661F0" w:rsidP="005D5C7B">
      <w:pPr>
        <w:pStyle w:val="BodyText"/>
      </w:pPr>
      <w:r w:rsidRPr="00582EF5">
        <w:t>The model was based on the annual manufacturing quantities for EPS construction products (average 4400 tonnes</w:t>
      </w:r>
      <w:r w:rsidR="002F45D7" w:rsidRPr="00582EF5">
        <w:t xml:space="preserve"> per </w:t>
      </w:r>
      <w:r w:rsidRPr="00582EF5">
        <w:t>year)</w:t>
      </w:r>
      <w:r w:rsidR="002F45D7" w:rsidRPr="00582EF5">
        <w:t>,</w:t>
      </w:r>
      <w:r w:rsidRPr="00582EF5">
        <w:t xml:space="preserve"> because this is the main category for HBCD use, but it could be considered there would be an additional 10</w:t>
      </w:r>
      <w:r w:rsidR="002F45D7" w:rsidRPr="00582EF5">
        <w:t> per cent</w:t>
      </w:r>
      <w:r w:rsidRPr="00582EF5">
        <w:t xml:space="preserve"> of HBCD-containing EPS used in packaging.</w:t>
      </w:r>
      <w:r w:rsidR="006D7E9D" w:rsidRPr="00582EF5">
        <w:t xml:space="preserve"> </w:t>
      </w:r>
      <w:r w:rsidRPr="00582EF5">
        <w:t>Also, the annual imports of XPS sheets may contribute an additional 15</w:t>
      </w:r>
      <w:r w:rsidR="00027424" w:rsidRPr="00582EF5">
        <w:t> per cent</w:t>
      </w:r>
      <w:r w:rsidRPr="00582EF5">
        <w:t xml:space="preserve"> to the total quantities of flame</w:t>
      </w:r>
      <w:r w:rsidR="00C1573C">
        <w:t xml:space="preserve"> </w:t>
      </w:r>
      <w:r w:rsidRPr="00582EF5">
        <w:t>retarded polystyrene.</w:t>
      </w:r>
    </w:p>
    <w:p w14:paraId="27D4418B" w14:textId="5562CAF1" w:rsidR="009661F0" w:rsidRPr="00582EF5" w:rsidRDefault="009661F0" w:rsidP="005D5C7B">
      <w:pPr>
        <w:pStyle w:val="BodyText"/>
      </w:pPr>
      <w:r w:rsidRPr="00582EF5">
        <w:t xml:space="preserve">Although the model is intended to be purely indicative, the </w:t>
      </w:r>
      <w:r w:rsidR="00027424" w:rsidRPr="00582EF5">
        <w:t xml:space="preserve">main </w:t>
      </w:r>
      <w:r w:rsidRPr="00582EF5">
        <w:t>points are:</w:t>
      </w:r>
    </w:p>
    <w:p w14:paraId="14E33948" w14:textId="6428FE47" w:rsidR="009661F0" w:rsidRPr="00582EF5" w:rsidRDefault="00027424" w:rsidP="005D5C7B">
      <w:pPr>
        <w:pStyle w:val="Bullet"/>
      </w:pPr>
      <w:r w:rsidRPr="00582EF5">
        <w:t>i</w:t>
      </w:r>
      <w:r w:rsidR="009661F0" w:rsidRPr="00582EF5">
        <w:t>n 2018</w:t>
      </w:r>
      <w:r w:rsidRPr="00582EF5">
        <w:t>,</w:t>
      </w:r>
      <w:r w:rsidR="009661F0" w:rsidRPr="00582EF5">
        <w:t xml:space="preserve"> the total quantities of wastes arising from the use of HBCD-containing EPS in construction products will be about 2000 tonnes per year, and the total quantities of HBCD-containing wastes will be about 2500 tonnes per year (assuming an additional 25</w:t>
      </w:r>
      <w:r w:rsidRPr="00582EF5">
        <w:t> per cent</w:t>
      </w:r>
      <w:r w:rsidR="009661F0" w:rsidRPr="00582EF5">
        <w:t xml:space="preserve"> contribution from flame</w:t>
      </w:r>
      <w:r w:rsidR="00C1573C">
        <w:t xml:space="preserve"> </w:t>
      </w:r>
      <w:r w:rsidR="009661F0" w:rsidRPr="00582EF5">
        <w:t>retardant packaging wastes and imported XPS products)</w:t>
      </w:r>
    </w:p>
    <w:p w14:paraId="42651661" w14:textId="77777777" w:rsidR="00832FD4" w:rsidRDefault="00027424" w:rsidP="005D5C7B">
      <w:pPr>
        <w:pStyle w:val="Bullet"/>
      </w:pPr>
      <w:r w:rsidRPr="00582EF5">
        <w:t>b</w:t>
      </w:r>
      <w:r w:rsidR="009661F0" w:rsidRPr="00582EF5">
        <w:t>y 2038</w:t>
      </w:r>
      <w:r w:rsidRPr="00582EF5">
        <w:t>,</w:t>
      </w:r>
      <w:r w:rsidR="009661F0" w:rsidRPr="00582EF5">
        <w:t xml:space="preserve"> the waste quantities will increase to about 3300 tonnes per year of EPS construction products, plus an additional 1125 tonnes per year of other HBCD-containing wastes</w:t>
      </w:r>
    </w:p>
    <w:p w14:paraId="1DC981C0" w14:textId="472133BF" w:rsidR="009661F0" w:rsidRPr="00582EF5" w:rsidDel="00AE3041" w:rsidRDefault="00223E9E" w:rsidP="005D5C7B">
      <w:pPr>
        <w:pStyle w:val="Bullet"/>
      </w:pPr>
      <w:r w:rsidRPr="00223E9E">
        <w:rPr>
          <w:rFonts w:eastAsiaTheme="majorEastAsia"/>
        </w:rPr>
        <w:t xml:space="preserve">by 2017, there is no significant production of HBC containing wastes due to a gradually decline of annual waste </w:t>
      </w:r>
      <w:proofErr w:type="gramStart"/>
      <w:r w:rsidRPr="00223E9E">
        <w:rPr>
          <w:rFonts w:eastAsiaTheme="majorEastAsia"/>
        </w:rPr>
        <w:t>quantities</w:t>
      </w:r>
      <w:r>
        <w:rPr>
          <w:rStyle w:val="cf01"/>
          <w:rFonts w:eastAsiaTheme="majorEastAsia"/>
        </w:rPr>
        <w:t>.</w:t>
      </w:r>
      <w:r w:rsidR="009661F0" w:rsidRPr="00582EF5">
        <w:t>.</w:t>
      </w:r>
      <w:proofErr w:type="gramEnd"/>
    </w:p>
    <w:p w14:paraId="510A9973" w14:textId="016BC8D7" w:rsidR="00645147" w:rsidRPr="00582EF5" w:rsidRDefault="00D27523" w:rsidP="005D5C7B">
      <w:pPr>
        <w:pStyle w:val="Figureheading"/>
      </w:pPr>
      <w:bookmarkStart w:id="78" w:name="_Toc120532297"/>
      <w:r w:rsidRPr="00582EF5">
        <w:lastRenderedPageBreak/>
        <w:t xml:space="preserve">Figure </w:t>
      </w:r>
      <w:r w:rsidR="00645147" w:rsidRPr="00582EF5">
        <w:t xml:space="preserve">2: </w:t>
      </w:r>
      <w:r w:rsidR="008F57C2" w:rsidRPr="00582EF5">
        <w:tab/>
      </w:r>
      <w:r w:rsidR="00645147" w:rsidRPr="00582EF5">
        <w:t xml:space="preserve">Simple </w:t>
      </w:r>
      <w:r w:rsidR="003F406F" w:rsidRPr="00582EF5">
        <w:t>m</w:t>
      </w:r>
      <w:r w:rsidR="00645147" w:rsidRPr="00582EF5">
        <w:t xml:space="preserve">odel of </w:t>
      </w:r>
      <w:r w:rsidR="0063496C" w:rsidRPr="00582EF5">
        <w:t>expanded polystyrene</w:t>
      </w:r>
      <w:r w:rsidR="00645147" w:rsidRPr="00582EF5">
        <w:t xml:space="preserve"> </w:t>
      </w:r>
      <w:r w:rsidR="003F406F" w:rsidRPr="00582EF5">
        <w:t>c</w:t>
      </w:r>
      <w:r w:rsidR="00645147" w:rsidRPr="00582EF5">
        <w:t xml:space="preserve">onstruction </w:t>
      </w:r>
      <w:r w:rsidR="003F406F" w:rsidRPr="00582EF5">
        <w:t>p</w:t>
      </w:r>
      <w:r w:rsidR="00645147" w:rsidRPr="00582EF5">
        <w:t xml:space="preserve">roduct </w:t>
      </w:r>
      <w:r w:rsidR="003F406F" w:rsidRPr="00582EF5">
        <w:t>m</w:t>
      </w:r>
      <w:r w:rsidR="00645147" w:rsidRPr="00582EF5">
        <w:t>anufacturing in New</w:t>
      </w:r>
      <w:r w:rsidR="0032450C" w:rsidRPr="00582EF5">
        <w:t> </w:t>
      </w:r>
      <w:r w:rsidR="00645147" w:rsidRPr="00582EF5">
        <w:t xml:space="preserve">Zealand, and the </w:t>
      </w:r>
      <w:r w:rsidR="003F406F" w:rsidRPr="00582EF5">
        <w:t>a</w:t>
      </w:r>
      <w:r w:rsidR="00645147" w:rsidRPr="00582EF5">
        <w:t xml:space="preserve">ssociated </w:t>
      </w:r>
      <w:r w:rsidR="0032450C" w:rsidRPr="00582EF5">
        <w:t>hexabromocyclododecane</w:t>
      </w:r>
      <w:r w:rsidR="00645147" w:rsidRPr="00582EF5">
        <w:t xml:space="preserve">-containing </w:t>
      </w:r>
      <w:r w:rsidR="003F406F" w:rsidRPr="00582EF5">
        <w:t>w</w:t>
      </w:r>
      <w:r w:rsidR="00645147" w:rsidRPr="00582EF5">
        <w:t xml:space="preserve">astes </w:t>
      </w:r>
      <w:r w:rsidR="003F406F" w:rsidRPr="00582EF5">
        <w:t>a</w:t>
      </w:r>
      <w:r w:rsidR="00645147" w:rsidRPr="00582EF5">
        <w:t>rising</w:t>
      </w:r>
      <w:r w:rsidR="0032450C" w:rsidRPr="00582EF5">
        <w:t> </w:t>
      </w:r>
      <w:r w:rsidR="00645147" w:rsidRPr="00582EF5">
        <w:t xml:space="preserve">over </w:t>
      </w:r>
      <w:r w:rsidR="003F406F" w:rsidRPr="00582EF5">
        <w:t>t</w:t>
      </w:r>
      <w:r w:rsidR="00645147" w:rsidRPr="00582EF5">
        <w:t>ime</w:t>
      </w:r>
      <w:bookmarkEnd w:id="78"/>
    </w:p>
    <w:p w14:paraId="7975213D" w14:textId="77777777" w:rsidR="008F57C2" w:rsidRPr="00582EF5" w:rsidRDefault="00E83C8B" w:rsidP="005D5C7B">
      <w:pPr>
        <w:pStyle w:val="BodyText"/>
      </w:pPr>
      <w:r w:rsidRPr="00582EF5">
        <w:rPr>
          <w:noProof/>
          <w:color w:val="2B579A"/>
          <w:shd w:val="clear" w:color="auto" w:fill="E6E6E6"/>
        </w:rPr>
        <w:drawing>
          <wp:inline distT="0" distB="0" distL="0" distR="0" wp14:anchorId="02E39309" wp14:editId="4B2540D4">
            <wp:extent cx="4781550" cy="245321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797464" cy="2461381"/>
                    </a:xfrm>
                    <a:prstGeom prst="rect">
                      <a:avLst/>
                    </a:prstGeom>
                    <a:noFill/>
                  </pic:spPr>
                </pic:pic>
              </a:graphicData>
            </a:graphic>
          </wp:inline>
        </w:drawing>
      </w:r>
      <w:r w:rsidR="000A5F0C" w:rsidRPr="00582EF5">
        <w:t xml:space="preserve"> </w:t>
      </w:r>
    </w:p>
    <w:p w14:paraId="73719548" w14:textId="1D89299B" w:rsidR="000A5F0C" w:rsidRPr="00582EF5" w:rsidRDefault="00645147" w:rsidP="005D5C7B">
      <w:pPr>
        <w:pStyle w:val="Source"/>
        <w:spacing w:before="0"/>
      </w:pPr>
      <w:r w:rsidRPr="00582EF5">
        <w:t>Source: Graham, 2013</w:t>
      </w:r>
    </w:p>
    <w:p w14:paraId="10DD4A47" w14:textId="240C62FF" w:rsidR="00E72470" w:rsidRPr="00582EF5" w:rsidRDefault="00A93FB4" w:rsidP="005D5C7B">
      <w:pPr>
        <w:pStyle w:val="Heading3"/>
      </w:pPr>
      <w:r w:rsidRPr="00582EF5">
        <w:t>4.4.3</w:t>
      </w:r>
      <w:r w:rsidRPr="00582EF5">
        <w:tab/>
      </w:r>
      <w:r w:rsidR="008B52D3" w:rsidRPr="00582EF5">
        <w:t>Persistent organic pollutants</w:t>
      </w:r>
      <w:r w:rsidR="002F5CA8" w:rsidRPr="00582EF5">
        <w:t xml:space="preserve"> added to the Convention in 2015</w:t>
      </w:r>
    </w:p>
    <w:p w14:paraId="1477347A" w14:textId="7992118A" w:rsidR="00E72470" w:rsidRPr="00582EF5" w:rsidRDefault="006D3D75" w:rsidP="005D5C7B">
      <w:pPr>
        <w:pStyle w:val="Heading4"/>
        <w:spacing w:before="200"/>
      </w:pPr>
      <w:r w:rsidRPr="00582EF5">
        <w:t>Pentachlorophenol</w:t>
      </w:r>
    </w:p>
    <w:p w14:paraId="3C24E604" w14:textId="209AA1F2" w:rsidR="00E72470" w:rsidRPr="00582EF5" w:rsidRDefault="006D3D75" w:rsidP="005D5C7B">
      <w:pPr>
        <w:pStyle w:val="BodyText"/>
        <w:spacing w:before="100" w:after="100"/>
      </w:pPr>
      <w:r w:rsidRPr="00582EF5">
        <w:t>Pentachlorophenol (</w:t>
      </w:r>
      <w:r w:rsidR="00E72470" w:rsidRPr="00582EF5">
        <w:t>PCP</w:t>
      </w:r>
      <w:r w:rsidRPr="00582EF5">
        <w:t>)</w:t>
      </w:r>
      <w:r w:rsidR="00E72470" w:rsidRPr="00582EF5">
        <w:t xml:space="preserve"> and its salts were used</w:t>
      </w:r>
      <w:r w:rsidR="00410815" w:rsidRPr="00582EF5">
        <w:t xml:space="preserve"> globally</w:t>
      </w:r>
      <w:r w:rsidR="00E72470" w:rsidRPr="00582EF5">
        <w:t xml:space="preserve"> as a biocide, pesticide, disinfectant, defoliant, anti-</w:t>
      </w:r>
      <w:proofErr w:type="spellStart"/>
      <w:r w:rsidR="00E72470" w:rsidRPr="00582EF5">
        <w:t>sapstain</w:t>
      </w:r>
      <w:proofErr w:type="spellEnd"/>
      <w:r w:rsidR="00E72470" w:rsidRPr="00582EF5">
        <w:t xml:space="preserve"> agent, anti-microbial agent, and wood preservative in the agriculture and forestry sectors (for wooden utility poles and railway sleepers and trays used in mushroom</w:t>
      </w:r>
      <w:r w:rsidR="009832B7" w:rsidRPr="00582EF5">
        <w:t> </w:t>
      </w:r>
      <w:r w:rsidR="00E72470" w:rsidRPr="00582EF5">
        <w:t>farming).</w:t>
      </w:r>
    </w:p>
    <w:p w14:paraId="6E98FC0B" w14:textId="5FCAFFB3" w:rsidR="00E72470" w:rsidRPr="00582EF5" w:rsidRDefault="00E72470" w:rsidP="005D5C7B">
      <w:pPr>
        <w:pStyle w:val="BodyText"/>
        <w:spacing w:before="100" w:after="100"/>
      </w:pPr>
      <w:r w:rsidRPr="00582EF5">
        <w:t>In New Zealand, PCP salts were widely used as an anti</w:t>
      </w:r>
      <w:r w:rsidR="009952EF" w:rsidRPr="00582EF5">
        <w:t>-</w:t>
      </w:r>
      <w:proofErr w:type="spellStart"/>
      <w:r w:rsidRPr="00582EF5">
        <w:t>sapstain</w:t>
      </w:r>
      <w:proofErr w:type="spellEnd"/>
      <w:r w:rsidRPr="00582EF5">
        <w:t xml:space="preserve"> fungicide on freshly sawn timber. Timber was either lightly sprayed or dipped in a PCP solution</w:t>
      </w:r>
      <w:r w:rsidR="00714357" w:rsidRPr="00582EF5">
        <w:t xml:space="preserve"> (</w:t>
      </w:r>
      <w:r w:rsidR="00B0393A" w:rsidRPr="00582EF5">
        <w:t>t</w:t>
      </w:r>
      <w:r w:rsidR="00714357" w:rsidRPr="00582EF5">
        <w:t xml:space="preserve">able </w:t>
      </w:r>
      <w:r w:rsidR="00BC43DD" w:rsidRPr="00582EF5">
        <w:t>1</w:t>
      </w:r>
      <w:r w:rsidR="00BC43DD">
        <w:t>9</w:t>
      </w:r>
      <w:r w:rsidR="00714357" w:rsidRPr="00582EF5">
        <w:t>)</w:t>
      </w:r>
      <w:r w:rsidRPr="00582EF5">
        <w:t xml:space="preserve">. </w:t>
      </w:r>
    </w:p>
    <w:p w14:paraId="7E0A34F8" w14:textId="4B2F4460" w:rsidR="00E72470" w:rsidRPr="00582EF5" w:rsidRDefault="00E72470" w:rsidP="005D5C7B">
      <w:pPr>
        <w:pStyle w:val="BodyText"/>
        <w:spacing w:before="100" w:after="100"/>
      </w:pPr>
      <w:r w:rsidRPr="00582EF5">
        <w:t xml:space="preserve">PCP was also used </w:t>
      </w:r>
      <w:r w:rsidR="009B67DF" w:rsidRPr="00582EF5">
        <w:t xml:space="preserve">at a limited number of sites </w:t>
      </w:r>
      <w:r w:rsidRPr="00582EF5">
        <w:t>in a mixture with diesel oil in the pressure treatment of poles and sleepers as a timber preservative.</w:t>
      </w:r>
      <w:r w:rsidR="006D7E9D" w:rsidRPr="00582EF5">
        <w:t xml:space="preserve"> </w:t>
      </w:r>
      <w:r w:rsidRPr="00582EF5">
        <w:t>In addition, limited</w:t>
      </w:r>
      <w:r w:rsidR="00AE7724" w:rsidRPr="00582EF5">
        <w:t> </w:t>
      </w:r>
      <w:r w:rsidRPr="00582EF5">
        <w:t xml:space="preserve">use of sodium PCP </w:t>
      </w:r>
      <w:r w:rsidR="009B67DF" w:rsidRPr="00582EF5">
        <w:t>was made</w:t>
      </w:r>
      <w:r w:rsidR="00ED5C89" w:rsidRPr="00582EF5">
        <w:t xml:space="preserve"> </w:t>
      </w:r>
      <w:r w:rsidRPr="00582EF5">
        <w:t xml:space="preserve">in the 1960s and 1970s for the preservation of building timbers. </w:t>
      </w:r>
      <w:r w:rsidR="000E1A22" w:rsidRPr="00582EF5">
        <w:t xml:space="preserve">New Zealand set up special support services </w:t>
      </w:r>
      <w:r w:rsidR="003A2F83" w:rsidRPr="00582EF5">
        <w:t xml:space="preserve">in 2010 </w:t>
      </w:r>
      <w:r w:rsidR="000E1A22" w:rsidRPr="00582EF5">
        <w:t xml:space="preserve">for former </w:t>
      </w:r>
      <w:r w:rsidR="00E81EA7" w:rsidRPr="00582EF5">
        <w:t xml:space="preserve">sawmill </w:t>
      </w:r>
      <w:r w:rsidR="000E1A22" w:rsidRPr="00582EF5">
        <w:t>workers exposed to PCP (see</w:t>
      </w:r>
      <w:r w:rsidR="006D7E9D" w:rsidRPr="00582EF5">
        <w:t xml:space="preserve"> </w:t>
      </w:r>
      <w:r w:rsidR="000E1A22" w:rsidRPr="00582EF5">
        <w:t xml:space="preserve">more in </w:t>
      </w:r>
      <w:r w:rsidR="00E81EA7" w:rsidRPr="00582EF5">
        <w:t>c</w:t>
      </w:r>
      <w:r w:rsidR="000E1A22" w:rsidRPr="00582EF5">
        <w:t>hapter 7).</w:t>
      </w:r>
    </w:p>
    <w:p w14:paraId="361FEBF2" w14:textId="7B8CA8C9" w:rsidR="00E72470" w:rsidRPr="00582EF5" w:rsidRDefault="00E72470" w:rsidP="005D5C7B">
      <w:pPr>
        <w:pStyle w:val="BodyText"/>
        <w:spacing w:before="100" w:after="100"/>
      </w:pPr>
      <w:r w:rsidRPr="00582EF5">
        <w:t>The use of PCP as an anti</w:t>
      </w:r>
      <w:r w:rsidR="009952EF" w:rsidRPr="00582EF5">
        <w:t>-</w:t>
      </w:r>
      <w:proofErr w:type="spellStart"/>
      <w:r w:rsidRPr="00582EF5">
        <w:t>sapstain</w:t>
      </w:r>
      <w:proofErr w:type="spellEnd"/>
      <w:r w:rsidRPr="00582EF5">
        <w:t xml:space="preserve"> chemical for timber and as a preservative ended in 1988. In 1991</w:t>
      </w:r>
      <w:r w:rsidR="006573AB" w:rsidRPr="00582EF5">
        <w:t>,</w:t>
      </w:r>
      <w:r w:rsidRPr="00582EF5">
        <w:t xml:space="preserve"> </w:t>
      </w:r>
      <w:r w:rsidR="00C1573C">
        <w:t>PCP</w:t>
      </w:r>
      <w:r w:rsidRPr="00582EF5">
        <w:t xml:space="preserve"> was deregistered as a pesticide by the </w:t>
      </w:r>
      <w:r w:rsidR="0016102B" w:rsidRPr="00582EF5">
        <w:t xml:space="preserve">New Zealand </w:t>
      </w:r>
      <w:r w:rsidRPr="00582EF5">
        <w:t xml:space="preserve">Pesticides Board. In 2008, it was reassessed under the HSNO Act </w:t>
      </w:r>
      <w:r w:rsidR="0016102B" w:rsidRPr="00582EF5">
        <w:t xml:space="preserve">1996, </w:t>
      </w:r>
      <w:r w:rsidRPr="00582EF5">
        <w:t>and approval for all uses was revoked.</w:t>
      </w:r>
    </w:p>
    <w:p w14:paraId="01AB85F9" w14:textId="3D01145D" w:rsidR="00E72470" w:rsidRPr="00582EF5" w:rsidRDefault="008D4CD6" w:rsidP="005D5C7B">
      <w:pPr>
        <w:pStyle w:val="BodyText"/>
        <w:spacing w:before="100" w:after="100"/>
      </w:pPr>
      <w:r w:rsidRPr="00582EF5">
        <w:t>R</w:t>
      </w:r>
      <w:r w:rsidR="00E72470" w:rsidRPr="00582EF5">
        <w:t>ecords of PCP use in New Zealand</w:t>
      </w:r>
      <w:r w:rsidRPr="00582EF5">
        <w:t xml:space="preserve"> are incomplete</w:t>
      </w:r>
      <w:r w:rsidR="00E72470" w:rsidRPr="00582EF5">
        <w:t>. However, for the 40</w:t>
      </w:r>
      <w:r w:rsidR="004C452B" w:rsidRPr="00582EF5">
        <w:t> </w:t>
      </w:r>
      <w:r w:rsidR="00E72470" w:rsidRPr="00582EF5">
        <w:t>years from 1950</w:t>
      </w:r>
      <w:r w:rsidR="0016102B" w:rsidRPr="00582EF5">
        <w:t>,</w:t>
      </w:r>
      <w:r w:rsidR="00E72470" w:rsidRPr="00582EF5">
        <w:t xml:space="preserve"> around 5500 </w:t>
      </w:r>
      <w:r w:rsidR="0016102B" w:rsidRPr="00582EF5">
        <w:t xml:space="preserve">tonnes to </w:t>
      </w:r>
      <w:r w:rsidR="00354F52" w:rsidRPr="00582EF5">
        <w:t xml:space="preserve">6000 </w:t>
      </w:r>
      <w:r w:rsidR="00E72470" w:rsidRPr="00582EF5">
        <w:t xml:space="preserve">tonnes of PCP </w:t>
      </w:r>
      <w:r w:rsidR="00A6236E" w:rsidRPr="00582EF5">
        <w:t>were</w:t>
      </w:r>
      <w:r w:rsidR="00E72470" w:rsidRPr="00582EF5">
        <w:t xml:space="preserve"> imported and used in the timber industry</w:t>
      </w:r>
      <w:r w:rsidR="00734603" w:rsidRPr="00582EF5">
        <w:t>.</w:t>
      </w:r>
      <w:r w:rsidR="00E72470" w:rsidRPr="00582EF5">
        <w:t xml:space="preserve"> At the height of its use during the 1970s</w:t>
      </w:r>
      <w:r w:rsidR="0016102B" w:rsidRPr="00582EF5">
        <w:t>,</w:t>
      </w:r>
      <w:r w:rsidR="00E72470" w:rsidRPr="00582EF5">
        <w:t xml:space="preserve"> </w:t>
      </w:r>
      <w:bookmarkStart w:id="79" w:name="_Int_4ZO8Vol0"/>
      <w:r w:rsidR="0016102B" w:rsidRPr="00582EF5">
        <w:t xml:space="preserve">nearly </w:t>
      </w:r>
      <w:r w:rsidR="00E72470" w:rsidRPr="00582EF5">
        <w:t>200</w:t>
      </w:r>
      <w:bookmarkEnd w:id="79"/>
      <w:r w:rsidR="004C452B" w:rsidRPr="00582EF5">
        <w:t> </w:t>
      </w:r>
      <w:r w:rsidR="00E72470" w:rsidRPr="00582EF5">
        <w:t>tonnes per year were used for anti</w:t>
      </w:r>
      <w:r w:rsidR="009952EF" w:rsidRPr="00582EF5">
        <w:t>-</w:t>
      </w:r>
      <w:proofErr w:type="spellStart"/>
      <w:r w:rsidR="00E72470" w:rsidRPr="00582EF5">
        <w:t>sapstain</w:t>
      </w:r>
      <w:proofErr w:type="spellEnd"/>
      <w:r w:rsidR="00E72470" w:rsidRPr="00582EF5">
        <w:t xml:space="preserve"> treatment of green timber and 100</w:t>
      </w:r>
      <w:r w:rsidR="004C452B" w:rsidRPr="00582EF5">
        <w:t> </w:t>
      </w:r>
      <w:r w:rsidR="00E72470" w:rsidRPr="00582EF5">
        <w:t>tonnes per year for preservative treatment.</w:t>
      </w:r>
      <w:r w:rsidR="00CD0320" w:rsidRPr="00CD0320">
        <w:rPr>
          <w:rStyle w:val="FootnoteReference"/>
        </w:rPr>
        <w:t xml:space="preserve"> </w:t>
      </w:r>
      <w:r w:rsidR="00CD0320" w:rsidRPr="00582EF5">
        <w:rPr>
          <w:rStyle w:val="FootnoteReference"/>
        </w:rPr>
        <w:footnoteReference w:id="5"/>
      </w:r>
      <w:r w:rsidR="00E72470" w:rsidRPr="00582EF5">
        <w:t xml:space="preserve"> </w:t>
      </w:r>
    </w:p>
    <w:p w14:paraId="2C3F59E1" w14:textId="0580D6F1" w:rsidR="00E72470" w:rsidRPr="00582EF5" w:rsidRDefault="00B93FD1" w:rsidP="005D5C7B">
      <w:pPr>
        <w:pStyle w:val="BodyText"/>
        <w:spacing w:before="100" w:after="100"/>
      </w:pPr>
      <w:r w:rsidRPr="00582EF5">
        <w:lastRenderedPageBreak/>
        <w:t>PCP-</w:t>
      </w:r>
      <w:r w:rsidR="00E72470" w:rsidRPr="00582EF5">
        <w:t xml:space="preserve">treated </w:t>
      </w:r>
      <w:r w:rsidRPr="00582EF5">
        <w:t xml:space="preserve">timber </w:t>
      </w:r>
      <w:r w:rsidR="00E72470" w:rsidRPr="00582EF5">
        <w:t xml:space="preserve">is still in use, notably in some poles used with power or telephone lines. </w:t>
      </w:r>
      <w:r w:rsidR="0035179C" w:rsidRPr="00582EF5">
        <w:t>T</w:t>
      </w:r>
      <w:r w:rsidR="00E72470" w:rsidRPr="00582EF5">
        <w:t>otal stock is not known</w:t>
      </w:r>
      <w:r w:rsidR="0035179C" w:rsidRPr="00582EF5">
        <w:t>,</w:t>
      </w:r>
      <w:r w:rsidR="00E72470" w:rsidRPr="00582EF5">
        <w:t xml:space="preserve"> and alternatives, such as concrete and </w:t>
      </w:r>
      <w:r w:rsidR="00714357" w:rsidRPr="00582EF5">
        <w:t>chromated-copper-arsenate</w:t>
      </w:r>
      <w:r w:rsidR="00E72470" w:rsidRPr="00582EF5">
        <w:t xml:space="preserve"> treated timber, are now used for poles and railway sleepers. </w:t>
      </w:r>
    </w:p>
    <w:p w14:paraId="1567DDF7" w14:textId="3C303170" w:rsidR="00E72470" w:rsidRPr="00582EF5" w:rsidRDefault="00E72470" w:rsidP="005D5C7B">
      <w:pPr>
        <w:pStyle w:val="BodyText"/>
        <w:spacing w:before="100" w:after="240"/>
      </w:pPr>
      <w:r w:rsidRPr="00582EF5">
        <w:t>In 2016, New Zealand notified the Convention Secretariat of existing PCP</w:t>
      </w:r>
      <w:r w:rsidR="00B93FD1" w:rsidRPr="00582EF5">
        <w:t>-</w:t>
      </w:r>
      <w:r w:rsidRPr="00582EF5">
        <w:t>treated timber utility poles</w:t>
      </w:r>
      <w:r w:rsidR="0035179C" w:rsidRPr="00582EF5">
        <w:t>,</w:t>
      </w:r>
      <w:r w:rsidRPr="00582EF5">
        <w:t xml:space="preserve"> cross-arms and rail</w:t>
      </w:r>
      <w:r w:rsidR="00B93FD1" w:rsidRPr="00582EF5">
        <w:t>way</w:t>
      </w:r>
      <w:r w:rsidRPr="00582EF5">
        <w:t xml:space="preserve"> sleepers as articles in use. </w:t>
      </w:r>
    </w:p>
    <w:p w14:paraId="4CBB1350" w14:textId="07BA5632" w:rsidR="00E72470" w:rsidRPr="00582EF5" w:rsidRDefault="00714357" w:rsidP="005D5C7B">
      <w:pPr>
        <w:pStyle w:val="Tableheading"/>
      </w:pPr>
      <w:bookmarkStart w:id="80" w:name="_Toc120532284"/>
      <w:r w:rsidRPr="00582EF5">
        <w:t xml:space="preserve">Table </w:t>
      </w:r>
      <w:r w:rsidR="0DADF1BD">
        <w:t>1</w:t>
      </w:r>
      <w:r w:rsidR="633B0861">
        <w:t>9</w:t>
      </w:r>
      <w:r w:rsidRPr="00582EF5">
        <w:t xml:space="preserve">: </w:t>
      </w:r>
      <w:r w:rsidR="008F57C2" w:rsidRPr="00582EF5">
        <w:tab/>
      </w:r>
      <w:r w:rsidRPr="00582EF5">
        <w:t xml:space="preserve">History of use and controls of </w:t>
      </w:r>
      <w:r w:rsidR="00FF30EA" w:rsidRPr="00582EF5">
        <w:t>pentachlorophenol</w:t>
      </w:r>
      <w:bookmarkEnd w:id="80"/>
    </w:p>
    <w:tbl>
      <w:tblPr>
        <w:tblStyle w:val="TableGrid"/>
        <w:tblW w:w="0" w:type="auto"/>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CellMar>
          <w:left w:w="85" w:type="dxa"/>
          <w:right w:w="85" w:type="dxa"/>
        </w:tblCellMar>
        <w:tblLook w:val="04A0" w:firstRow="1" w:lastRow="0" w:firstColumn="1" w:lastColumn="0" w:noHBand="0" w:noVBand="1"/>
      </w:tblPr>
      <w:tblGrid>
        <w:gridCol w:w="2694"/>
        <w:gridCol w:w="2150"/>
        <w:gridCol w:w="1701"/>
        <w:gridCol w:w="1959"/>
      </w:tblGrid>
      <w:tr w:rsidR="00EA2D21" w:rsidRPr="00582EF5" w14:paraId="7184B736" w14:textId="77777777" w:rsidTr="6E7DDF4C">
        <w:trPr>
          <w:tblHeader/>
        </w:trPr>
        <w:tc>
          <w:tcPr>
            <w:tcW w:w="2694" w:type="dxa"/>
            <w:shd w:val="clear" w:color="auto" w:fill="1C556C" w:themeFill="accent1"/>
            <w:vAlign w:val="bottom"/>
          </w:tcPr>
          <w:p w14:paraId="3FE0C1F3" w14:textId="3F9C897E" w:rsidR="00E72470" w:rsidRPr="00582EF5" w:rsidRDefault="00E72470" w:rsidP="005D5C7B">
            <w:pPr>
              <w:pStyle w:val="TableTextbold"/>
              <w:spacing w:before="40" w:after="40"/>
              <w:rPr>
                <w:color w:val="FFFFFF" w:themeColor="background1"/>
              </w:rPr>
            </w:pPr>
            <w:r w:rsidRPr="00582EF5">
              <w:rPr>
                <w:color w:val="FFFFFF" w:themeColor="background1"/>
              </w:rPr>
              <w:t>History of use in N</w:t>
            </w:r>
            <w:r w:rsidR="00FF30EA" w:rsidRPr="00582EF5">
              <w:rPr>
                <w:color w:val="FFFFFF" w:themeColor="background1"/>
              </w:rPr>
              <w:t>ew </w:t>
            </w:r>
            <w:r w:rsidRPr="00582EF5">
              <w:rPr>
                <w:color w:val="FFFFFF" w:themeColor="background1"/>
              </w:rPr>
              <w:t>Z</w:t>
            </w:r>
            <w:r w:rsidR="00FF30EA" w:rsidRPr="00582EF5">
              <w:rPr>
                <w:color w:val="FFFFFF" w:themeColor="background1"/>
              </w:rPr>
              <w:t>ealand</w:t>
            </w:r>
          </w:p>
        </w:tc>
        <w:tc>
          <w:tcPr>
            <w:tcW w:w="2150" w:type="dxa"/>
            <w:shd w:val="clear" w:color="auto" w:fill="1C556C" w:themeFill="accent1"/>
            <w:vAlign w:val="bottom"/>
          </w:tcPr>
          <w:p w14:paraId="2C7D519C" w14:textId="41F128D3" w:rsidR="00E72470" w:rsidRPr="00582EF5" w:rsidRDefault="00E72470" w:rsidP="005D5C7B">
            <w:pPr>
              <w:pStyle w:val="TableTextbold"/>
              <w:spacing w:before="40" w:after="40"/>
              <w:rPr>
                <w:color w:val="FFFFFF" w:themeColor="background1"/>
              </w:rPr>
            </w:pPr>
            <w:r w:rsidRPr="00582EF5">
              <w:rPr>
                <w:color w:val="FFFFFF" w:themeColor="background1"/>
              </w:rPr>
              <w:t xml:space="preserve">Relevant controls under </w:t>
            </w:r>
            <w:r w:rsidR="00FF30EA" w:rsidRPr="00582EF5">
              <w:rPr>
                <w:color w:val="FFFFFF" w:themeColor="background1"/>
              </w:rPr>
              <w:t>Hazardous Substances and New Organisms (HSNO) Act 1996</w:t>
            </w:r>
          </w:p>
        </w:tc>
        <w:tc>
          <w:tcPr>
            <w:tcW w:w="1701" w:type="dxa"/>
            <w:shd w:val="clear" w:color="auto" w:fill="1C556C" w:themeFill="accent1"/>
            <w:vAlign w:val="bottom"/>
          </w:tcPr>
          <w:p w14:paraId="5EB08857" w14:textId="77777777" w:rsidR="00E72470" w:rsidRPr="00582EF5" w:rsidRDefault="00E72470" w:rsidP="005D5C7B">
            <w:pPr>
              <w:pStyle w:val="TableTextbold"/>
              <w:spacing w:before="40" w:after="40"/>
              <w:rPr>
                <w:color w:val="FFFFFF" w:themeColor="background1"/>
              </w:rPr>
            </w:pPr>
            <w:r w:rsidRPr="00582EF5">
              <w:rPr>
                <w:color w:val="FFFFFF" w:themeColor="background1"/>
              </w:rPr>
              <w:t>Other controls</w:t>
            </w:r>
          </w:p>
        </w:tc>
        <w:tc>
          <w:tcPr>
            <w:tcW w:w="1959" w:type="dxa"/>
            <w:shd w:val="clear" w:color="auto" w:fill="1C556C" w:themeFill="accent1"/>
            <w:vAlign w:val="bottom"/>
          </w:tcPr>
          <w:p w14:paraId="356B5410" w14:textId="77777777" w:rsidR="00E72470" w:rsidRPr="00582EF5" w:rsidRDefault="00E72470" w:rsidP="005D5C7B">
            <w:pPr>
              <w:pStyle w:val="TableTextbold"/>
              <w:spacing w:before="40" w:after="40"/>
              <w:rPr>
                <w:color w:val="FFFFFF" w:themeColor="background1"/>
              </w:rPr>
            </w:pPr>
            <w:r w:rsidRPr="00582EF5">
              <w:rPr>
                <w:color w:val="FFFFFF" w:themeColor="background1"/>
              </w:rPr>
              <w:t xml:space="preserve">Ongoing implementation issues </w:t>
            </w:r>
          </w:p>
        </w:tc>
      </w:tr>
      <w:tr w:rsidR="00E72470" w:rsidRPr="00582EF5" w14:paraId="745C5B5F" w14:textId="77777777" w:rsidTr="00011BAD">
        <w:tc>
          <w:tcPr>
            <w:tcW w:w="2694" w:type="dxa"/>
          </w:tcPr>
          <w:p w14:paraId="0B7584D0" w14:textId="4A56330C" w:rsidR="00E72470" w:rsidRPr="00582EF5" w:rsidRDefault="00E72470" w:rsidP="005D5C7B">
            <w:pPr>
              <w:pStyle w:val="TableText"/>
              <w:spacing w:before="40" w:after="40"/>
            </w:pPr>
            <w:r w:rsidRPr="00582EF5">
              <w:t xml:space="preserve">Previously used as </w:t>
            </w:r>
            <w:r w:rsidR="3606F9E8">
              <w:t>an</w:t>
            </w:r>
            <w:r w:rsidRPr="00582EF5">
              <w:t xml:space="preserve"> herbicide, insecticide, fungicide, algaecide, disinfectant and in antifouling paint. </w:t>
            </w:r>
            <w:r w:rsidR="5E2E44FC">
              <w:t>It</w:t>
            </w:r>
            <w:r w:rsidRPr="00582EF5">
              <w:t xml:space="preserve"> was used as a timber treatment product from </w:t>
            </w:r>
            <w:r w:rsidR="004C2875" w:rsidRPr="00582EF5">
              <w:t xml:space="preserve">the </w:t>
            </w:r>
            <w:r w:rsidRPr="00582EF5">
              <w:t xml:space="preserve">1950s to 1980s. </w:t>
            </w:r>
          </w:p>
          <w:p w14:paraId="39C88434" w14:textId="6A59221D" w:rsidR="00E72470" w:rsidRPr="00582EF5" w:rsidRDefault="00E72470" w:rsidP="005D5C7B">
            <w:pPr>
              <w:pStyle w:val="TableText"/>
              <w:spacing w:before="40" w:after="40"/>
            </w:pPr>
            <w:r w:rsidRPr="00582EF5">
              <w:t>Use as a timber preservative and timber anti-</w:t>
            </w:r>
            <w:proofErr w:type="spellStart"/>
            <w:r w:rsidRPr="00582EF5">
              <w:t>sapstain</w:t>
            </w:r>
            <w:proofErr w:type="spellEnd"/>
            <w:r w:rsidRPr="00582EF5">
              <w:t xml:space="preserve"> treatment in N</w:t>
            </w:r>
            <w:r w:rsidR="004C2875" w:rsidRPr="00582EF5">
              <w:t xml:space="preserve">ew </w:t>
            </w:r>
            <w:r w:rsidRPr="00582EF5">
              <w:t>Z</w:t>
            </w:r>
            <w:r w:rsidR="004C2875" w:rsidRPr="00582EF5">
              <w:t>ealand</w:t>
            </w:r>
            <w:r w:rsidRPr="00582EF5">
              <w:t xml:space="preserve"> </w:t>
            </w:r>
            <w:r w:rsidR="006E540A">
              <w:t>c</w:t>
            </w:r>
            <w:r w:rsidR="009C68B0">
              <w:t>eas</w:t>
            </w:r>
            <w:r w:rsidR="009C68B0" w:rsidRPr="00582EF5">
              <w:t xml:space="preserve">ed </w:t>
            </w:r>
            <w:r w:rsidRPr="00582EF5">
              <w:t xml:space="preserve">in 1988. Its pesticide registration </w:t>
            </w:r>
            <w:r w:rsidR="006E540A">
              <w:t>c</w:t>
            </w:r>
            <w:r w:rsidR="009C68B0">
              <w:t>eas</w:t>
            </w:r>
            <w:r w:rsidR="009C68B0" w:rsidRPr="00582EF5">
              <w:t xml:space="preserve">ed </w:t>
            </w:r>
            <w:r w:rsidRPr="00582EF5">
              <w:t>in 1991</w:t>
            </w:r>
            <w:r w:rsidR="004C2875" w:rsidRPr="00582EF5">
              <w:t>,</w:t>
            </w:r>
            <w:r w:rsidRPr="00582EF5">
              <w:t xml:space="preserve"> and approval </w:t>
            </w:r>
            <w:r w:rsidR="00410815" w:rsidRPr="00582EF5">
              <w:t xml:space="preserve">of </w:t>
            </w:r>
            <w:r w:rsidRPr="00582EF5">
              <w:t xml:space="preserve">all other uses was revoked in 2008. </w:t>
            </w:r>
          </w:p>
        </w:tc>
        <w:tc>
          <w:tcPr>
            <w:tcW w:w="2150" w:type="dxa"/>
          </w:tcPr>
          <w:p w14:paraId="65265824" w14:textId="6EECA848" w:rsidR="00E72470" w:rsidRPr="00582EF5" w:rsidRDefault="00E72470" w:rsidP="005D5C7B">
            <w:pPr>
              <w:pStyle w:val="TableText"/>
              <w:spacing w:before="40"/>
              <w:rPr>
                <w:lang w:eastAsia="en-GB"/>
              </w:rPr>
            </w:pPr>
            <w:r w:rsidRPr="00582EF5">
              <w:rPr>
                <w:lang w:eastAsia="en-GB"/>
              </w:rPr>
              <w:t>Prohibited</w:t>
            </w:r>
            <w:r w:rsidR="0035179C" w:rsidRPr="00582EF5">
              <w:rPr>
                <w:lang w:eastAsia="en-GB"/>
              </w:rPr>
              <w:t>,</w:t>
            </w:r>
            <w:r w:rsidRPr="00582EF5">
              <w:rPr>
                <w:lang w:eastAsia="en-GB"/>
              </w:rPr>
              <w:t xml:space="preserve"> as listed in Schedule 2A of </w:t>
            </w:r>
            <w:r w:rsidR="004C2875" w:rsidRPr="00582EF5">
              <w:rPr>
                <w:lang w:eastAsia="en-GB"/>
              </w:rPr>
              <w:t xml:space="preserve">the </w:t>
            </w:r>
            <w:r w:rsidRPr="00582EF5">
              <w:rPr>
                <w:lang w:eastAsia="en-GB"/>
              </w:rPr>
              <w:t xml:space="preserve">HSNO </w:t>
            </w:r>
            <w:r w:rsidR="00AD1951" w:rsidRPr="00582EF5">
              <w:rPr>
                <w:lang w:eastAsia="en-GB"/>
              </w:rPr>
              <w:t>Act</w:t>
            </w:r>
            <w:r w:rsidR="004C2875" w:rsidRPr="00582EF5">
              <w:rPr>
                <w:lang w:eastAsia="en-GB"/>
              </w:rPr>
              <w:t xml:space="preserve"> </w:t>
            </w:r>
            <w:r w:rsidRPr="00582EF5">
              <w:rPr>
                <w:lang w:eastAsia="en-GB"/>
              </w:rPr>
              <w:t>in 2016.</w:t>
            </w:r>
          </w:p>
        </w:tc>
        <w:tc>
          <w:tcPr>
            <w:tcW w:w="1701" w:type="dxa"/>
          </w:tcPr>
          <w:p w14:paraId="0B1039EB" w14:textId="7C6F499A" w:rsidR="00E72470" w:rsidRPr="00582EF5" w:rsidRDefault="00E72470" w:rsidP="005D5C7B">
            <w:pPr>
              <w:pStyle w:val="TableText"/>
              <w:spacing w:before="40"/>
              <w:rPr>
                <w:lang w:eastAsia="en-GB"/>
              </w:rPr>
            </w:pPr>
            <w:r w:rsidRPr="00582EF5">
              <w:rPr>
                <w:lang w:eastAsia="en-GB"/>
              </w:rPr>
              <w:t xml:space="preserve">Deregistered </w:t>
            </w:r>
            <w:r w:rsidR="004C2875" w:rsidRPr="00582EF5">
              <w:rPr>
                <w:lang w:eastAsia="en-GB"/>
              </w:rPr>
              <w:t xml:space="preserve">in New Zealand </w:t>
            </w:r>
            <w:r w:rsidRPr="00582EF5">
              <w:rPr>
                <w:lang w:eastAsia="en-GB"/>
              </w:rPr>
              <w:t xml:space="preserve">by the </w:t>
            </w:r>
            <w:r w:rsidR="00C1573C">
              <w:rPr>
                <w:lang w:eastAsia="en-GB"/>
              </w:rPr>
              <w:t xml:space="preserve">(then) </w:t>
            </w:r>
            <w:r w:rsidRPr="00582EF5">
              <w:rPr>
                <w:lang w:eastAsia="en-GB"/>
              </w:rPr>
              <w:t>Pesticides Board in 1991.</w:t>
            </w:r>
          </w:p>
        </w:tc>
        <w:tc>
          <w:tcPr>
            <w:tcW w:w="1959" w:type="dxa"/>
          </w:tcPr>
          <w:p w14:paraId="5267D4D2" w14:textId="0D866BBE" w:rsidR="00E72470" w:rsidRPr="00582EF5" w:rsidRDefault="00E72470" w:rsidP="005D5C7B">
            <w:pPr>
              <w:pStyle w:val="TableText"/>
              <w:spacing w:before="40" w:after="40"/>
              <w:rPr>
                <w:lang w:eastAsia="en-GB"/>
              </w:rPr>
            </w:pPr>
            <w:r w:rsidRPr="00582EF5">
              <w:rPr>
                <w:lang w:eastAsia="en-GB"/>
              </w:rPr>
              <w:t>Management of existing articles in use, and environmentally sound management of these at end</w:t>
            </w:r>
            <w:r w:rsidR="001842A7" w:rsidRPr="00582EF5">
              <w:rPr>
                <w:lang w:eastAsia="en-GB"/>
              </w:rPr>
              <w:t xml:space="preserve"> </w:t>
            </w:r>
            <w:r w:rsidRPr="00582EF5">
              <w:rPr>
                <w:lang w:eastAsia="en-GB"/>
              </w:rPr>
              <w:t>of</w:t>
            </w:r>
            <w:r w:rsidR="001842A7" w:rsidRPr="00582EF5">
              <w:rPr>
                <w:lang w:eastAsia="en-GB"/>
              </w:rPr>
              <w:t xml:space="preserve"> </w:t>
            </w:r>
            <w:r w:rsidRPr="00582EF5">
              <w:rPr>
                <w:lang w:eastAsia="en-GB"/>
              </w:rPr>
              <w:t>their current use when they become waste. Example of known use includes existing railway sleepers (ties) and power poles.</w:t>
            </w:r>
            <w:r w:rsidR="00280521" w:rsidRPr="00582EF5">
              <w:rPr>
                <w:lang w:eastAsia="en-GB"/>
              </w:rPr>
              <w:t xml:space="preserve"> See case study in chapter 6.</w:t>
            </w:r>
          </w:p>
        </w:tc>
      </w:tr>
    </w:tbl>
    <w:p w14:paraId="6CCA7E21" w14:textId="1C89ED76" w:rsidR="00E72470" w:rsidRPr="00582EF5" w:rsidRDefault="00E72470" w:rsidP="005D5C7B">
      <w:pPr>
        <w:pStyle w:val="Heading4"/>
        <w:spacing w:before="440"/>
      </w:pPr>
      <w:r w:rsidRPr="00582EF5">
        <w:t>Hexachlorobutadiene</w:t>
      </w:r>
    </w:p>
    <w:p w14:paraId="2F55A071" w14:textId="1D32CE46" w:rsidR="00E72470" w:rsidRPr="00582EF5" w:rsidRDefault="00B5518B" w:rsidP="005D5C7B">
      <w:pPr>
        <w:pStyle w:val="BodyText"/>
        <w:rPr>
          <w:rFonts w:eastAsia="Times New Roman"/>
        </w:rPr>
      </w:pPr>
      <w:r w:rsidRPr="00582EF5">
        <w:t>Hexachlorobutadiene</w:t>
      </w:r>
      <w:r w:rsidRPr="00582EF5">
        <w:rPr>
          <w:rFonts w:eastAsia="Times New Roman"/>
        </w:rPr>
        <w:t xml:space="preserve"> (</w:t>
      </w:r>
      <w:r w:rsidR="00E72470" w:rsidRPr="00582EF5">
        <w:rPr>
          <w:rFonts w:eastAsia="Times New Roman"/>
        </w:rPr>
        <w:t>HCBD</w:t>
      </w:r>
      <w:r w:rsidRPr="00582EF5">
        <w:rPr>
          <w:rFonts w:eastAsia="Times New Roman"/>
        </w:rPr>
        <w:t>)</w:t>
      </w:r>
      <w:r w:rsidR="00E72470" w:rsidRPr="00582EF5">
        <w:rPr>
          <w:rFonts w:eastAsia="Times New Roman"/>
        </w:rPr>
        <w:t xml:space="preserve"> is a halogenated aliphatic compound, created </w:t>
      </w:r>
      <w:bookmarkStart w:id="81" w:name="_Int_Zk965VOG"/>
      <w:r w:rsidR="00F13627" w:rsidRPr="00582EF5">
        <w:rPr>
          <w:rFonts w:eastAsia="Times New Roman"/>
        </w:rPr>
        <w:t xml:space="preserve">mainly </w:t>
      </w:r>
      <w:r w:rsidR="00E72470" w:rsidRPr="00582EF5">
        <w:rPr>
          <w:rFonts w:eastAsia="Times New Roman"/>
        </w:rPr>
        <w:t>as</w:t>
      </w:r>
      <w:bookmarkEnd w:id="81"/>
      <w:r w:rsidR="00E72470" w:rsidRPr="00582EF5">
        <w:rPr>
          <w:rFonts w:eastAsia="Times New Roman"/>
        </w:rPr>
        <w:t xml:space="preserve"> a by</w:t>
      </w:r>
      <w:r w:rsidR="00162090" w:rsidRPr="00582EF5">
        <w:rPr>
          <w:rFonts w:eastAsia="Times New Roman"/>
        </w:rPr>
        <w:noBreakHyphen/>
      </w:r>
      <w:r w:rsidR="00E72470" w:rsidRPr="00582EF5">
        <w:rPr>
          <w:rFonts w:eastAsia="Times New Roman"/>
        </w:rPr>
        <w:t>product in the manufacture of chlorinated aliphatic compounds.</w:t>
      </w:r>
      <w:r w:rsidR="00E72470" w:rsidRPr="00582EF5">
        <w:t xml:space="preserve"> It is </w:t>
      </w:r>
      <w:proofErr w:type="gramStart"/>
      <w:r w:rsidR="00E72470" w:rsidRPr="00582EF5">
        <w:t>m</w:t>
      </w:r>
      <w:r w:rsidR="00E72470" w:rsidRPr="00582EF5">
        <w:rPr>
          <w:rFonts w:eastAsia="Times New Roman"/>
        </w:rPr>
        <w:t>ost commonly used</w:t>
      </w:r>
      <w:proofErr w:type="gramEnd"/>
      <w:r w:rsidR="00162090" w:rsidRPr="00582EF5">
        <w:rPr>
          <w:rFonts w:eastAsia="Times New Roman"/>
        </w:rPr>
        <w:t> </w:t>
      </w:r>
      <w:r w:rsidR="00E72470" w:rsidRPr="00582EF5">
        <w:rPr>
          <w:rFonts w:eastAsia="Times New Roman"/>
        </w:rPr>
        <w:t>as a solvent for other chlorine-containing compounds.</w:t>
      </w:r>
    </w:p>
    <w:p w14:paraId="02F8CA9F" w14:textId="09C06F1D" w:rsidR="00E72470" w:rsidRPr="00582EF5" w:rsidRDefault="00E72470" w:rsidP="005D5C7B">
      <w:pPr>
        <w:pStyle w:val="BodyText"/>
        <w:rPr>
          <w:rFonts w:eastAsia="Times New Roman"/>
        </w:rPr>
      </w:pPr>
      <w:r w:rsidRPr="00582EF5">
        <w:rPr>
          <w:rFonts w:eastAsia="Times New Roman"/>
        </w:rPr>
        <w:t>HCBD is no longer intentionally produced</w:t>
      </w:r>
      <w:r w:rsidRPr="00582EF5">
        <w:t>, and</w:t>
      </w:r>
      <w:r w:rsidRPr="00582EF5">
        <w:rPr>
          <w:rFonts w:eastAsia="Times New Roman"/>
        </w:rPr>
        <w:t xml:space="preserve"> alternatives are available.</w:t>
      </w:r>
      <w:r w:rsidR="002D66D0">
        <w:rPr>
          <w:rFonts w:eastAsia="Times New Roman"/>
        </w:rPr>
        <w:t xml:space="preserve"> HCBD was not produced or </w:t>
      </w:r>
      <w:r w:rsidR="006E540A">
        <w:rPr>
          <w:rFonts w:eastAsia="Times New Roman"/>
        </w:rPr>
        <w:t xml:space="preserve">significantly </w:t>
      </w:r>
      <w:r w:rsidR="002D66D0">
        <w:rPr>
          <w:rFonts w:eastAsia="Times New Roman"/>
        </w:rPr>
        <w:t xml:space="preserve">used in New Zealand (table </w:t>
      </w:r>
      <w:r w:rsidR="00BC43DD">
        <w:rPr>
          <w:rFonts w:eastAsia="Times New Roman"/>
        </w:rPr>
        <w:t>20</w:t>
      </w:r>
      <w:r w:rsidR="002D66D0">
        <w:rPr>
          <w:rFonts w:eastAsia="Times New Roman"/>
        </w:rPr>
        <w:t>).</w:t>
      </w:r>
    </w:p>
    <w:p w14:paraId="3FEA1C10" w14:textId="777158BC" w:rsidR="00714357" w:rsidRPr="00582EF5" w:rsidRDefault="00714357" w:rsidP="005D5C7B">
      <w:pPr>
        <w:pStyle w:val="Tableheading"/>
      </w:pPr>
      <w:bookmarkStart w:id="82" w:name="_Toc120532285"/>
      <w:r w:rsidRPr="00582EF5">
        <w:t xml:space="preserve">Table </w:t>
      </w:r>
      <w:r w:rsidR="716A047C">
        <w:t>20</w:t>
      </w:r>
      <w:r w:rsidRPr="00582EF5">
        <w:t xml:space="preserve">: </w:t>
      </w:r>
      <w:r w:rsidR="00B7221E" w:rsidRPr="00582EF5">
        <w:tab/>
      </w:r>
      <w:r w:rsidRPr="00582EF5">
        <w:t xml:space="preserve">History of use and controls of </w:t>
      </w:r>
      <w:r w:rsidR="00F13627" w:rsidRPr="00582EF5">
        <w:t>hexachlorobutadiene</w:t>
      </w:r>
      <w:bookmarkEnd w:id="82"/>
    </w:p>
    <w:tbl>
      <w:tblPr>
        <w:tblStyle w:val="TableGrid"/>
        <w:tblW w:w="0" w:type="auto"/>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CellMar>
          <w:left w:w="85" w:type="dxa"/>
          <w:right w:w="85" w:type="dxa"/>
        </w:tblCellMar>
        <w:tblLook w:val="04A0" w:firstRow="1" w:lastRow="0" w:firstColumn="1" w:lastColumn="0" w:noHBand="0" w:noVBand="1"/>
      </w:tblPr>
      <w:tblGrid>
        <w:gridCol w:w="1701"/>
        <w:gridCol w:w="2694"/>
        <w:gridCol w:w="2268"/>
        <w:gridCol w:w="1842"/>
      </w:tblGrid>
      <w:tr w:rsidR="00B7221E" w:rsidRPr="00582EF5" w14:paraId="1993F65D" w14:textId="77777777" w:rsidTr="004B659F">
        <w:tc>
          <w:tcPr>
            <w:tcW w:w="1701" w:type="dxa"/>
            <w:shd w:val="clear" w:color="auto" w:fill="1C556C"/>
            <w:vAlign w:val="bottom"/>
          </w:tcPr>
          <w:p w14:paraId="1E30A011" w14:textId="6CC22B5F" w:rsidR="00E72470" w:rsidRPr="00582EF5" w:rsidRDefault="00E72470" w:rsidP="005D5C7B">
            <w:pPr>
              <w:pStyle w:val="TableTextbold"/>
              <w:keepNext/>
              <w:rPr>
                <w:color w:val="FFFFFF" w:themeColor="background1"/>
              </w:rPr>
            </w:pPr>
            <w:r w:rsidRPr="00582EF5">
              <w:rPr>
                <w:color w:val="FFFFFF" w:themeColor="background1"/>
              </w:rPr>
              <w:t>History of use in N</w:t>
            </w:r>
            <w:r w:rsidR="00A903D2" w:rsidRPr="00582EF5">
              <w:rPr>
                <w:color w:val="FFFFFF" w:themeColor="background1"/>
              </w:rPr>
              <w:t>ew </w:t>
            </w:r>
            <w:r w:rsidRPr="00582EF5">
              <w:rPr>
                <w:color w:val="FFFFFF" w:themeColor="background1"/>
              </w:rPr>
              <w:t>Z</w:t>
            </w:r>
            <w:r w:rsidR="00A903D2" w:rsidRPr="00582EF5">
              <w:rPr>
                <w:color w:val="FFFFFF" w:themeColor="background1"/>
              </w:rPr>
              <w:t>ealand</w:t>
            </w:r>
          </w:p>
        </w:tc>
        <w:tc>
          <w:tcPr>
            <w:tcW w:w="2694" w:type="dxa"/>
            <w:shd w:val="clear" w:color="auto" w:fill="1C556C"/>
            <w:vAlign w:val="bottom"/>
          </w:tcPr>
          <w:p w14:paraId="4A796D23" w14:textId="14E48FAB" w:rsidR="00E72470" w:rsidRPr="00582EF5" w:rsidRDefault="00E72470" w:rsidP="005D5C7B">
            <w:pPr>
              <w:pStyle w:val="TableTextbold"/>
              <w:keepNext/>
              <w:rPr>
                <w:color w:val="FFFFFF" w:themeColor="background1"/>
              </w:rPr>
            </w:pPr>
            <w:r w:rsidRPr="00582EF5">
              <w:rPr>
                <w:color w:val="FFFFFF" w:themeColor="background1"/>
              </w:rPr>
              <w:t xml:space="preserve">Relevant controls under </w:t>
            </w:r>
            <w:r w:rsidR="00A903D2" w:rsidRPr="00582EF5">
              <w:rPr>
                <w:color w:val="FFFFFF" w:themeColor="background1"/>
              </w:rPr>
              <w:t>Hazardous Substances and New Organisms (HSNO) Act 1996</w:t>
            </w:r>
          </w:p>
        </w:tc>
        <w:tc>
          <w:tcPr>
            <w:tcW w:w="2268" w:type="dxa"/>
            <w:shd w:val="clear" w:color="auto" w:fill="1C556C"/>
            <w:vAlign w:val="bottom"/>
          </w:tcPr>
          <w:p w14:paraId="2F5CC410" w14:textId="77777777" w:rsidR="00E72470" w:rsidRPr="00582EF5" w:rsidRDefault="00E72470" w:rsidP="005D5C7B">
            <w:pPr>
              <w:pStyle w:val="TableTextbold"/>
              <w:keepNext/>
              <w:rPr>
                <w:color w:val="FFFFFF" w:themeColor="background1"/>
              </w:rPr>
            </w:pPr>
            <w:r w:rsidRPr="00582EF5">
              <w:rPr>
                <w:color w:val="FFFFFF" w:themeColor="background1"/>
              </w:rPr>
              <w:t>Other controls</w:t>
            </w:r>
          </w:p>
        </w:tc>
        <w:tc>
          <w:tcPr>
            <w:tcW w:w="1842" w:type="dxa"/>
            <w:shd w:val="clear" w:color="auto" w:fill="1C556C"/>
            <w:vAlign w:val="bottom"/>
          </w:tcPr>
          <w:p w14:paraId="14DA6651" w14:textId="77777777" w:rsidR="00E72470" w:rsidRPr="00582EF5" w:rsidRDefault="00E72470" w:rsidP="005D5C7B">
            <w:pPr>
              <w:pStyle w:val="TableTextbold"/>
              <w:keepNext/>
              <w:rPr>
                <w:color w:val="FFFFFF" w:themeColor="background1"/>
              </w:rPr>
            </w:pPr>
            <w:r w:rsidRPr="00582EF5">
              <w:rPr>
                <w:color w:val="FFFFFF" w:themeColor="background1"/>
              </w:rPr>
              <w:t xml:space="preserve">Ongoing implementation issues </w:t>
            </w:r>
          </w:p>
        </w:tc>
      </w:tr>
      <w:tr w:rsidR="00E72470" w:rsidRPr="00582EF5" w14:paraId="5A79A070" w14:textId="77777777" w:rsidTr="004B659F">
        <w:tc>
          <w:tcPr>
            <w:tcW w:w="1701" w:type="dxa"/>
          </w:tcPr>
          <w:p w14:paraId="5C5F0575" w14:textId="529AC80E" w:rsidR="00E72470" w:rsidRPr="00582EF5" w:rsidRDefault="00E72470" w:rsidP="005D5C7B">
            <w:pPr>
              <w:pStyle w:val="TableText"/>
            </w:pPr>
            <w:r w:rsidRPr="00582EF5">
              <w:t>Never produced or used significantly in N</w:t>
            </w:r>
            <w:r w:rsidR="00A903D2" w:rsidRPr="00582EF5">
              <w:t xml:space="preserve">ew </w:t>
            </w:r>
            <w:r w:rsidRPr="00582EF5">
              <w:t>Z</w:t>
            </w:r>
            <w:r w:rsidR="00A903D2" w:rsidRPr="00582EF5">
              <w:t>ealand</w:t>
            </w:r>
            <w:r w:rsidRPr="00582EF5">
              <w:t>.</w:t>
            </w:r>
          </w:p>
        </w:tc>
        <w:tc>
          <w:tcPr>
            <w:tcW w:w="2694" w:type="dxa"/>
          </w:tcPr>
          <w:p w14:paraId="446131C5" w14:textId="06AB6FF1" w:rsidR="00E72470" w:rsidRPr="00582EF5" w:rsidRDefault="00E72470" w:rsidP="005D5C7B">
            <w:pPr>
              <w:pStyle w:val="TableText"/>
              <w:rPr>
                <w:lang w:eastAsia="en-GB"/>
              </w:rPr>
            </w:pPr>
            <w:r w:rsidRPr="00582EF5">
              <w:rPr>
                <w:lang w:eastAsia="en-GB"/>
              </w:rPr>
              <w:t>Prohibited</w:t>
            </w:r>
            <w:r w:rsidR="00CB085A" w:rsidRPr="00582EF5">
              <w:rPr>
                <w:lang w:eastAsia="en-GB"/>
              </w:rPr>
              <w:t>,</w:t>
            </w:r>
            <w:r w:rsidRPr="00582EF5">
              <w:rPr>
                <w:lang w:eastAsia="en-GB"/>
              </w:rPr>
              <w:t xml:space="preserve"> as listed in Schedule 2A of </w:t>
            </w:r>
            <w:r w:rsidR="0019478B" w:rsidRPr="00582EF5">
              <w:rPr>
                <w:lang w:eastAsia="en-GB"/>
              </w:rPr>
              <w:t xml:space="preserve">the </w:t>
            </w:r>
            <w:r w:rsidRPr="00582EF5">
              <w:rPr>
                <w:lang w:eastAsia="en-GB"/>
              </w:rPr>
              <w:t xml:space="preserve">HSNO </w:t>
            </w:r>
            <w:r w:rsidR="0019478B" w:rsidRPr="00582EF5">
              <w:rPr>
                <w:lang w:eastAsia="en-GB"/>
              </w:rPr>
              <w:t xml:space="preserve">Act </w:t>
            </w:r>
            <w:r w:rsidRPr="00582EF5">
              <w:rPr>
                <w:lang w:eastAsia="en-GB"/>
              </w:rPr>
              <w:t>in 2016.</w:t>
            </w:r>
          </w:p>
          <w:p w14:paraId="43EF2544" w14:textId="1F6842ED" w:rsidR="00E72470" w:rsidRPr="00582EF5" w:rsidRDefault="00E72470" w:rsidP="005D5C7B">
            <w:pPr>
              <w:pStyle w:val="TableText"/>
              <w:rPr>
                <w:lang w:eastAsia="en-GB"/>
              </w:rPr>
            </w:pPr>
            <w:r w:rsidRPr="00582EF5">
              <w:rPr>
                <w:lang w:eastAsia="en-GB"/>
              </w:rPr>
              <w:t xml:space="preserve">No approval for use </w:t>
            </w:r>
            <w:r w:rsidR="0019478B" w:rsidRPr="00582EF5">
              <w:rPr>
                <w:lang w:eastAsia="en-GB"/>
              </w:rPr>
              <w:t>before</w:t>
            </w:r>
            <w:r w:rsidRPr="00582EF5">
              <w:rPr>
                <w:lang w:eastAsia="en-GB"/>
              </w:rPr>
              <w:t xml:space="preserve"> the listing in Schedule 2A.</w:t>
            </w:r>
          </w:p>
        </w:tc>
        <w:tc>
          <w:tcPr>
            <w:tcW w:w="2268" w:type="dxa"/>
          </w:tcPr>
          <w:p w14:paraId="48756810" w14:textId="7DDC5396" w:rsidR="00E72470" w:rsidRPr="00582EF5" w:rsidRDefault="00E72470" w:rsidP="005D5C7B">
            <w:pPr>
              <w:pStyle w:val="TableText"/>
              <w:rPr>
                <w:lang w:eastAsia="en-GB"/>
              </w:rPr>
            </w:pPr>
            <w:r w:rsidRPr="00582EF5">
              <w:rPr>
                <w:lang w:eastAsia="en-GB"/>
              </w:rPr>
              <w:t xml:space="preserve">No record in </w:t>
            </w:r>
            <w:r w:rsidR="00CB085A" w:rsidRPr="00582EF5">
              <w:t>Environmental Protection Authority</w:t>
            </w:r>
            <w:r w:rsidRPr="00582EF5">
              <w:rPr>
                <w:lang w:eastAsia="en-GB"/>
              </w:rPr>
              <w:t xml:space="preserve"> databases of it being present as a component in products in N</w:t>
            </w:r>
            <w:r w:rsidR="00AD1951" w:rsidRPr="00582EF5">
              <w:rPr>
                <w:lang w:eastAsia="en-GB"/>
              </w:rPr>
              <w:t>ew</w:t>
            </w:r>
            <w:r w:rsidR="00610114" w:rsidRPr="00582EF5">
              <w:rPr>
                <w:lang w:eastAsia="en-GB"/>
              </w:rPr>
              <w:t> </w:t>
            </w:r>
            <w:r w:rsidRPr="00582EF5">
              <w:rPr>
                <w:lang w:eastAsia="en-GB"/>
              </w:rPr>
              <w:t>Z</w:t>
            </w:r>
            <w:r w:rsidR="00AD1951" w:rsidRPr="00582EF5">
              <w:rPr>
                <w:lang w:eastAsia="en-GB"/>
              </w:rPr>
              <w:t>ealand</w:t>
            </w:r>
            <w:r w:rsidRPr="00582EF5">
              <w:rPr>
                <w:lang w:eastAsia="en-GB"/>
              </w:rPr>
              <w:t>.</w:t>
            </w:r>
          </w:p>
        </w:tc>
        <w:tc>
          <w:tcPr>
            <w:tcW w:w="1842" w:type="dxa"/>
          </w:tcPr>
          <w:p w14:paraId="5B25F6CB" w14:textId="3A31A2E3" w:rsidR="00E72470" w:rsidRPr="00582EF5" w:rsidRDefault="00E72470" w:rsidP="005D5C7B">
            <w:pPr>
              <w:pStyle w:val="TableText"/>
              <w:rPr>
                <w:lang w:eastAsia="en-GB"/>
              </w:rPr>
            </w:pPr>
            <w:r w:rsidRPr="00582EF5">
              <w:rPr>
                <w:lang w:eastAsia="en-GB"/>
              </w:rPr>
              <w:t>No known issue</w:t>
            </w:r>
            <w:r w:rsidR="00AD1951" w:rsidRPr="00582EF5">
              <w:rPr>
                <w:lang w:eastAsia="en-GB"/>
              </w:rPr>
              <w:t>s</w:t>
            </w:r>
            <w:r w:rsidRPr="00582EF5">
              <w:rPr>
                <w:lang w:eastAsia="en-GB"/>
              </w:rPr>
              <w:t xml:space="preserve">. </w:t>
            </w:r>
          </w:p>
        </w:tc>
      </w:tr>
    </w:tbl>
    <w:p w14:paraId="10785C3E" w14:textId="77777777" w:rsidR="00E72470" w:rsidRPr="00582EF5" w:rsidRDefault="00E72470" w:rsidP="000829AA">
      <w:pPr>
        <w:pStyle w:val="Heading4"/>
        <w:spacing w:before="240"/>
      </w:pPr>
      <w:r w:rsidRPr="00582EF5">
        <w:t xml:space="preserve">Polychlorinated </w:t>
      </w:r>
      <w:proofErr w:type="spellStart"/>
      <w:r w:rsidRPr="00582EF5">
        <w:t>naphthalenes</w:t>
      </w:r>
      <w:proofErr w:type="spellEnd"/>
    </w:p>
    <w:p w14:paraId="74777503" w14:textId="0AC9F5AC" w:rsidR="00E72470" w:rsidRPr="00582EF5" w:rsidRDefault="00E72470" w:rsidP="005D5C7B">
      <w:pPr>
        <w:pStyle w:val="BodyText"/>
        <w:keepLines/>
      </w:pPr>
      <w:r w:rsidRPr="00582EF5">
        <w:rPr>
          <w:rFonts w:eastAsia="Times New Roman"/>
        </w:rPr>
        <w:t xml:space="preserve">Commercial </w:t>
      </w:r>
      <w:r w:rsidR="00CB085A" w:rsidRPr="00582EF5">
        <w:rPr>
          <w:rFonts w:eastAsia="Times New Roman"/>
        </w:rPr>
        <w:t>p</w:t>
      </w:r>
      <w:r w:rsidR="00CB085A" w:rsidRPr="00582EF5">
        <w:t xml:space="preserve">olychlorinated </w:t>
      </w:r>
      <w:proofErr w:type="spellStart"/>
      <w:r w:rsidR="00CB085A" w:rsidRPr="00582EF5">
        <w:t>naphthalenes</w:t>
      </w:r>
      <w:proofErr w:type="spellEnd"/>
      <w:r w:rsidR="00CB085A" w:rsidRPr="00582EF5">
        <w:rPr>
          <w:rFonts w:eastAsia="Times New Roman"/>
        </w:rPr>
        <w:t xml:space="preserve"> (</w:t>
      </w:r>
      <w:r w:rsidRPr="00582EF5">
        <w:rPr>
          <w:rFonts w:eastAsia="Times New Roman"/>
        </w:rPr>
        <w:t>PCNs</w:t>
      </w:r>
      <w:r w:rsidR="00CB085A" w:rsidRPr="00582EF5">
        <w:rPr>
          <w:rFonts w:eastAsia="Times New Roman"/>
        </w:rPr>
        <w:t>)</w:t>
      </w:r>
      <w:r w:rsidRPr="00582EF5">
        <w:rPr>
          <w:rFonts w:eastAsia="Times New Roman"/>
        </w:rPr>
        <w:t xml:space="preserve"> are mixtures of up to 75 chlorinated naphthalene congeners plus by-products. </w:t>
      </w:r>
      <w:r w:rsidR="00815EC8" w:rsidRPr="00582EF5">
        <w:rPr>
          <w:rFonts w:eastAsia="Times New Roman"/>
        </w:rPr>
        <w:t>P</w:t>
      </w:r>
      <w:r w:rsidRPr="00582EF5">
        <w:rPr>
          <w:rFonts w:eastAsia="Times New Roman"/>
        </w:rPr>
        <w:t>roduc</w:t>
      </w:r>
      <w:r w:rsidR="00815EC8" w:rsidRPr="00582EF5">
        <w:rPr>
          <w:rFonts w:eastAsia="Times New Roman"/>
        </w:rPr>
        <w:t>tion of PCNs</w:t>
      </w:r>
      <w:r w:rsidRPr="00582EF5">
        <w:rPr>
          <w:rFonts w:eastAsia="Times New Roman"/>
        </w:rPr>
        <w:t xml:space="preserve"> for high-volume uses </w:t>
      </w:r>
      <w:r w:rsidR="00815EC8" w:rsidRPr="00582EF5">
        <w:rPr>
          <w:rFonts w:eastAsia="Times New Roman"/>
        </w:rPr>
        <w:t xml:space="preserve">started </w:t>
      </w:r>
      <w:r w:rsidRPr="00582EF5">
        <w:rPr>
          <w:rFonts w:eastAsia="Times New Roman"/>
        </w:rPr>
        <w:t>around 1910 in both Europe and the United States</w:t>
      </w:r>
      <w:r w:rsidR="00A048F5" w:rsidRPr="00582EF5">
        <w:rPr>
          <w:rFonts w:eastAsia="Times New Roman"/>
        </w:rPr>
        <w:t xml:space="preserve"> of America. </w:t>
      </w:r>
      <w:r w:rsidRPr="00582EF5">
        <w:rPr>
          <w:rFonts w:eastAsia="Times New Roman"/>
        </w:rPr>
        <w:t>PCNs make effective insulating coatings for electrical wires. Some were used as wood preservatives, as rubber and plastic additives, for capacitor dielectrics, and in lubricants.</w:t>
      </w:r>
      <w:r w:rsidRPr="00582EF5">
        <w:t xml:space="preserve"> </w:t>
      </w:r>
      <w:r w:rsidRPr="00582EF5">
        <w:rPr>
          <w:rFonts w:eastAsia="Times New Roman"/>
        </w:rPr>
        <w:t>They are also unintentionally generated during high-temperature industrial processes in the presence of chlorine, including release as by-products of waste incineration.</w:t>
      </w:r>
    </w:p>
    <w:p w14:paraId="25D0E0AA" w14:textId="36737364" w:rsidR="00E72470" w:rsidRPr="00582EF5" w:rsidRDefault="00A048F5" w:rsidP="005D5C7B">
      <w:pPr>
        <w:pStyle w:val="BodyText"/>
        <w:rPr>
          <w:rFonts w:eastAsia="Times New Roman"/>
        </w:rPr>
      </w:pPr>
      <w:r w:rsidRPr="00582EF5">
        <w:rPr>
          <w:rFonts w:eastAsia="Times New Roman"/>
        </w:rPr>
        <w:lastRenderedPageBreak/>
        <w:t>N</w:t>
      </w:r>
      <w:r w:rsidR="00E72470" w:rsidRPr="00582EF5">
        <w:rPr>
          <w:rFonts w:eastAsia="Times New Roman"/>
        </w:rPr>
        <w:t xml:space="preserve">o information </w:t>
      </w:r>
      <w:r w:rsidRPr="00582EF5">
        <w:rPr>
          <w:rFonts w:eastAsia="Times New Roman"/>
        </w:rPr>
        <w:t xml:space="preserve">is available </w:t>
      </w:r>
      <w:r w:rsidR="00E72470" w:rsidRPr="00582EF5">
        <w:rPr>
          <w:rFonts w:eastAsia="Times New Roman"/>
        </w:rPr>
        <w:t>on historic uses of PCNs in New Zealand</w:t>
      </w:r>
      <w:r w:rsidR="00714357" w:rsidRPr="00582EF5">
        <w:rPr>
          <w:rFonts w:eastAsia="Times New Roman"/>
        </w:rPr>
        <w:t xml:space="preserve"> (</w:t>
      </w:r>
      <w:r w:rsidRPr="00582EF5">
        <w:rPr>
          <w:rFonts w:eastAsia="Times New Roman"/>
        </w:rPr>
        <w:t>t</w:t>
      </w:r>
      <w:r w:rsidR="00714357" w:rsidRPr="00582EF5">
        <w:rPr>
          <w:rFonts w:eastAsia="Times New Roman"/>
        </w:rPr>
        <w:t xml:space="preserve">able </w:t>
      </w:r>
      <w:r w:rsidR="00BC43DD" w:rsidRPr="00582EF5">
        <w:rPr>
          <w:rFonts w:eastAsia="Times New Roman"/>
        </w:rPr>
        <w:t>2</w:t>
      </w:r>
      <w:r w:rsidR="00BC43DD">
        <w:rPr>
          <w:rFonts w:eastAsia="Times New Roman"/>
        </w:rPr>
        <w:t>1</w:t>
      </w:r>
      <w:r w:rsidR="00714357" w:rsidRPr="00582EF5">
        <w:rPr>
          <w:rFonts w:eastAsia="Times New Roman"/>
        </w:rPr>
        <w:t>)</w:t>
      </w:r>
      <w:r w:rsidR="00E72470" w:rsidRPr="00582EF5">
        <w:rPr>
          <w:rFonts w:eastAsia="Times New Roman"/>
        </w:rPr>
        <w:t xml:space="preserve">. However, based on </w:t>
      </w:r>
      <w:r w:rsidRPr="00582EF5">
        <w:rPr>
          <w:rFonts w:eastAsia="Times New Roman"/>
        </w:rPr>
        <w:t>overseas</w:t>
      </w:r>
      <w:r w:rsidR="00E72470" w:rsidRPr="00582EF5">
        <w:rPr>
          <w:rFonts w:eastAsia="Times New Roman"/>
        </w:rPr>
        <w:t xml:space="preserve"> information, the global production of PCNs stopped in the 1970s and 1980s, </w:t>
      </w:r>
      <w:r w:rsidR="001E07E2" w:rsidRPr="00582EF5">
        <w:rPr>
          <w:rFonts w:eastAsia="Times New Roman"/>
        </w:rPr>
        <w:t>which</w:t>
      </w:r>
      <w:r w:rsidR="00E72470" w:rsidRPr="00582EF5">
        <w:rPr>
          <w:rFonts w:eastAsia="Times New Roman"/>
        </w:rPr>
        <w:t xml:space="preserve"> indicates that PCNs are likely to have been substituted by other chemicals.</w:t>
      </w:r>
      <w:r w:rsidR="00E72470" w:rsidRPr="00582EF5" w:rsidDel="004718FF">
        <w:rPr>
          <w:rFonts w:eastAsia="Times New Roman"/>
        </w:rPr>
        <w:t xml:space="preserve"> </w:t>
      </w:r>
    </w:p>
    <w:p w14:paraId="16739536" w14:textId="7C44A391" w:rsidR="00714357" w:rsidRPr="00582EF5" w:rsidRDefault="00714357" w:rsidP="000829AA">
      <w:pPr>
        <w:pStyle w:val="Tableheading"/>
        <w:spacing w:before="0"/>
      </w:pPr>
      <w:bookmarkStart w:id="83" w:name="_Toc120532286"/>
      <w:r w:rsidRPr="00582EF5">
        <w:t xml:space="preserve">Table </w:t>
      </w:r>
      <w:r w:rsidR="213E24B6">
        <w:t>2</w:t>
      </w:r>
      <w:r w:rsidR="58ED9AFF">
        <w:t>1</w:t>
      </w:r>
      <w:r w:rsidRPr="00582EF5">
        <w:t xml:space="preserve">: </w:t>
      </w:r>
      <w:r w:rsidR="00306584" w:rsidRPr="00582EF5">
        <w:tab/>
      </w:r>
      <w:r w:rsidRPr="00582EF5">
        <w:t xml:space="preserve">History of use and controls of </w:t>
      </w:r>
      <w:r w:rsidR="001E07E2" w:rsidRPr="00582EF5">
        <w:rPr>
          <w:rFonts w:eastAsia="Times New Roman"/>
        </w:rPr>
        <w:t>p</w:t>
      </w:r>
      <w:r w:rsidR="001E07E2" w:rsidRPr="00582EF5">
        <w:t xml:space="preserve">olychlorinated </w:t>
      </w:r>
      <w:proofErr w:type="spellStart"/>
      <w:r w:rsidR="001E07E2" w:rsidRPr="00582EF5">
        <w:t>naphthalenes</w:t>
      </w:r>
      <w:bookmarkEnd w:id="83"/>
      <w:proofErr w:type="spellEnd"/>
    </w:p>
    <w:tbl>
      <w:tblPr>
        <w:tblStyle w:val="TableGrid"/>
        <w:tblW w:w="0" w:type="auto"/>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CellMar>
          <w:left w:w="85" w:type="dxa"/>
          <w:right w:w="85" w:type="dxa"/>
        </w:tblCellMar>
        <w:tblLook w:val="04A0" w:firstRow="1" w:lastRow="0" w:firstColumn="1" w:lastColumn="0" w:noHBand="0" w:noVBand="1"/>
      </w:tblPr>
      <w:tblGrid>
        <w:gridCol w:w="1701"/>
        <w:gridCol w:w="2694"/>
        <w:gridCol w:w="2434"/>
        <w:gridCol w:w="1676"/>
      </w:tblGrid>
      <w:tr w:rsidR="00306584" w:rsidRPr="00582EF5" w14:paraId="57279052" w14:textId="77777777" w:rsidTr="004B659F">
        <w:tc>
          <w:tcPr>
            <w:tcW w:w="1701" w:type="dxa"/>
            <w:shd w:val="clear" w:color="auto" w:fill="1C556C"/>
            <w:vAlign w:val="bottom"/>
          </w:tcPr>
          <w:p w14:paraId="594794E0" w14:textId="2F372737" w:rsidR="00E72470" w:rsidRPr="00582EF5" w:rsidRDefault="00E72470" w:rsidP="005D5C7B">
            <w:pPr>
              <w:pStyle w:val="TableTextbold"/>
              <w:rPr>
                <w:color w:val="FFFFFF" w:themeColor="background1"/>
              </w:rPr>
            </w:pPr>
            <w:r w:rsidRPr="00582EF5">
              <w:rPr>
                <w:color w:val="FFFFFF" w:themeColor="background1"/>
              </w:rPr>
              <w:t>History of use in N</w:t>
            </w:r>
            <w:r w:rsidR="001E07E2" w:rsidRPr="00582EF5">
              <w:rPr>
                <w:color w:val="FFFFFF" w:themeColor="background1"/>
              </w:rPr>
              <w:t>ew </w:t>
            </w:r>
            <w:r w:rsidRPr="00582EF5">
              <w:rPr>
                <w:color w:val="FFFFFF" w:themeColor="background1"/>
              </w:rPr>
              <w:t>Z</w:t>
            </w:r>
            <w:r w:rsidR="001E07E2" w:rsidRPr="00582EF5">
              <w:rPr>
                <w:color w:val="FFFFFF" w:themeColor="background1"/>
              </w:rPr>
              <w:t>ealand</w:t>
            </w:r>
          </w:p>
        </w:tc>
        <w:tc>
          <w:tcPr>
            <w:tcW w:w="2694" w:type="dxa"/>
            <w:shd w:val="clear" w:color="auto" w:fill="1C556C"/>
            <w:vAlign w:val="bottom"/>
          </w:tcPr>
          <w:p w14:paraId="2A273B47" w14:textId="5956EB7F" w:rsidR="00E72470" w:rsidRPr="00582EF5" w:rsidRDefault="00E72470" w:rsidP="005D5C7B">
            <w:pPr>
              <w:pStyle w:val="TableTextbold"/>
              <w:rPr>
                <w:color w:val="FFFFFF" w:themeColor="background1"/>
              </w:rPr>
            </w:pPr>
            <w:r w:rsidRPr="00582EF5">
              <w:rPr>
                <w:color w:val="FFFFFF" w:themeColor="background1"/>
              </w:rPr>
              <w:t xml:space="preserve">Relevant controls under </w:t>
            </w:r>
            <w:r w:rsidR="001E07E2" w:rsidRPr="00582EF5">
              <w:rPr>
                <w:color w:val="FFFFFF" w:themeColor="background1"/>
              </w:rPr>
              <w:t>Hazardous Substances and New Organisms (HSNO) Act 1996</w:t>
            </w:r>
          </w:p>
        </w:tc>
        <w:tc>
          <w:tcPr>
            <w:tcW w:w="2434" w:type="dxa"/>
            <w:shd w:val="clear" w:color="auto" w:fill="1C556C"/>
            <w:vAlign w:val="bottom"/>
          </w:tcPr>
          <w:p w14:paraId="3E19EDD5" w14:textId="77777777" w:rsidR="00E72470" w:rsidRPr="00582EF5" w:rsidRDefault="00E72470" w:rsidP="005D5C7B">
            <w:pPr>
              <w:pStyle w:val="TableTextbold"/>
              <w:rPr>
                <w:color w:val="FFFFFF" w:themeColor="background1"/>
              </w:rPr>
            </w:pPr>
            <w:r w:rsidRPr="00582EF5">
              <w:rPr>
                <w:color w:val="FFFFFF" w:themeColor="background1"/>
              </w:rPr>
              <w:t>Other controls</w:t>
            </w:r>
          </w:p>
        </w:tc>
        <w:tc>
          <w:tcPr>
            <w:tcW w:w="1676" w:type="dxa"/>
            <w:shd w:val="clear" w:color="auto" w:fill="1C556C"/>
            <w:vAlign w:val="bottom"/>
          </w:tcPr>
          <w:p w14:paraId="03C5D275" w14:textId="77777777" w:rsidR="00E72470" w:rsidRPr="00582EF5" w:rsidRDefault="00E72470" w:rsidP="005D5C7B">
            <w:pPr>
              <w:pStyle w:val="TableTextbold"/>
              <w:rPr>
                <w:color w:val="FFFFFF" w:themeColor="background1"/>
              </w:rPr>
            </w:pPr>
            <w:r w:rsidRPr="00582EF5">
              <w:rPr>
                <w:color w:val="FFFFFF" w:themeColor="background1"/>
              </w:rPr>
              <w:t xml:space="preserve">Ongoing implementation issues </w:t>
            </w:r>
          </w:p>
        </w:tc>
      </w:tr>
      <w:tr w:rsidR="00E72470" w:rsidRPr="00582EF5" w14:paraId="5979D762" w14:textId="77777777" w:rsidTr="004B659F">
        <w:tc>
          <w:tcPr>
            <w:tcW w:w="1701" w:type="dxa"/>
          </w:tcPr>
          <w:p w14:paraId="23D86E03" w14:textId="752D5168" w:rsidR="00E72470" w:rsidRPr="00582EF5" w:rsidRDefault="00E72470" w:rsidP="005D5C7B">
            <w:pPr>
              <w:pStyle w:val="TableText"/>
            </w:pPr>
            <w:r w:rsidRPr="00582EF5">
              <w:t>Never produced or used significantly in N</w:t>
            </w:r>
            <w:r w:rsidR="001E07E2" w:rsidRPr="00582EF5">
              <w:t xml:space="preserve">ew </w:t>
            </w:r>
            <w:r w:rsidRPr="00582EF5">
              <w:t>Z</w:t>
            </w:r>
            <w:r w:rsidR="001E07E2" w:rsidRPr="00582EF5">
              <w:t>ealand</w:t>
            </w:r>
            <w:r w:rsidRPr="00582EF5">
              <w:t>.</w:t>
            </w:r>
          </w:p>
        </w:tc>
        <w:tc>
          <w:tcPr>
            <w:tcW w:w="2694" w:type="dxa"/>
          </w:tcPr>
          <w:p w14:paraId="410122DC" w14:textId="11D727E1" w:rsidR="00E72470" w:rsidRPr="00582EF5" w:rsidRDefault="00E72470" w:rsidP="005D5C7B">
            <w:pPr>
              <w:pStyle w:val="TableText"/>
              <w:rPr>
                <w:lang w:eastAsia="en-GB"/>
              </w:rPr>
            </w:pPr>
            <w:r w:rsidRPr="00582EF5">
              <w:rPr>
                <w:lang w:eastAsia="en-GB"/>
              </w:rPr>
              <w:t>Prohibited</w:t>
            </w:r>
            <w:r w:rsidR="001E07E2" w:rsidRPr="00582EF5">
              <w:rPr>
                <w:lang w:eastAsia="en-GB"/>
              </w:rPr>
              <w:t>,</w:t>
            </w:r>
            <w:r w:rsidRPr="00582EF5">
              <w:rPr>
                <w:lang w:eastAsia="en-GB"/>
              </w:rPr>
              <w:t xml:space="preserve"> as listed in Schedule 2A of </w:t>
            </w:r>
            <w:r w:rsidR="00F4480F" w:rsidRPr="00582EF5">
              <w:rPr>
                <w:lang w:eastAsia="en-GB"/>
              </w:rPr>
              <w:t xml:space="preserve">the </w:t>
            </w:r>
            <w:r w:rsidRPr="00582EF5">
              <w:rPr>
                <w:lang w:eastAsia="en-GB"/>
              </w:rPr>
              <w:t xml:space="preserve">HSNO </w:t>
            </w:r>
            <w:r w:rsidR="00F4480F" w:rsidRPr="00582EF5">
              <w:rPr>
                <w:lang w:eastAsia="en-GB"/>
              </w:rPr>
              <w:t xml:space="preserve">Act </w:t>
            </w:r>
            <w:r w:rsidRPr="00582EF5">
              <w:rPr>
                <w:lang w:eastAsia="en-GB"/>
              </w:rPr>
              <w:t>in 2016.</w:t>
            </w:r>
          </w:p>
          <w:p w14:paraId="0614C68B" w14:textId="76955547" w:rsidR="00E72470" w:rsidRPr="00582EF5" w:rsidRDefault="00E72470" w:rsidP="005D5C7B">
            <w:pPr>
              <w:pStyle w:val="TableText"/>
              <w:rPr>
                <w:lang w:eastAsia="en-GB"/>
              </w:rPr>
            </w:pPr>
            <w:r w:rsidRPr="00582EF5">
              <w:rPr>
                <w:lang w:eastAsia="en-GB"/>
              </w:rPr>
              <w:t xml:space="preserve">No approval for use </w:t>
            </w:r>
            <w:r w:rsidR="00224C9D" w:rsidRPr="00582EF5">
              <w:rPr>
                <w:lang w:eastAsia="en-GB"/>
              </w:rPr>
              <w:t>before</w:t>
            </w:r>
            <w:r w:rsidRPr="00582EF5">
              <w:rPr>
                <w:lang w:eastAsia="en-GB"/>
              </w:rPr>
              <w:t xml:space="preserve"> the listing in Schedule 2A. </w:t>
            </w:r>
          </w:p>
        </w:tc>
        <w:tc>
          <w:tcPr>
            <w:tcW w:w="2434" w:type="dxa"/>
          </w:tcPr>
          <w:p w14:paraId="66116376" w14:textId="59F58572" w:rsidR="00E72470" w:rsidRPr="00582EF5" w:rsidRDefault="00E72470" w:rsidP="005D5C7B">
            <w:pPr>
              <w:pStyle w:val="TableText"/>
              <w:rPr>
                <w:lang w:eastAsia="en-GB"/>
              </w:rPr>
            </w:pPr>
            <w:r w:rsidRPr="00582EF5">
              <w:rPr>
                <w:lang w:eastAsia="en-GB"/>
              </w:rPr>
              <w:t xml:space="preserve">No record in </w:t>
            </w:r>
            <w:r w:rsidR="00F4480F" w:rsidRPr="00582EF5">
              <w:rPr>
                <w:lang w:eastAsia="en-GB"/>
              </w:rPr>
              <w:t>E</w:t>
            </w:r>
            <w:r w:rsidR="001E07E2" w:rsidRPr="00582EF5">
              <w:t>nvironmental Protection Authority</w:t>
            </w:r>
            <w:r w:rsidRPr="00582EF5">
              <w:rPr>
                <w:lang w:eastAsia="en-GB"/>
              </w:rPr>
              <w:t xml:space="preserve"> databases of it being present as a component in products in N</w:t>
            </w:r>
            <w:r w:rsidR="00224C9D" w:rsidRPr="00582EF5">
              <w:rPr>
                <w:lang w:eastAsia="en-GB"/>
              </w:rPr>
              <w:t xml:space="preserve">ew </w:t>
            </w:r>
            <w:r w:rsidRPr="00582EF5">
              <w:rPr>
                <w:lang w:eastAsia="en-GB"/>
              </w:rPr>
              <w:t>Z</w:t>
            </w:r>
            <w:r w:rsidR="00224C9D" w:rsidRPr="00582EF5">
              <w:rPr>
                <w:lang w:eastAsia="en-GB"/>
              </w:rPr>
              <w:t>ealand</w:t>
            </w:r>
            <w:r w:rsidRPr="00582EF5">
              <w:rPr>
                <w:lang w:eastAsia="en-GB"/>
              </w:rPr>
              <w:t>.</w:t>
            </w:r>
          </w:p>
        </w:tc>
        <w:tc>
          <w:tcPr>
            <w:tcW w:w="1676" w:type="dxa"/>
          </w:tcPr>
          <w:p w14:paraId="4421A313" w14:textId="77777777" w:rsidR="00E72470" w:rsidRPr="00582EF5" w:rsidRDefault="00E72470" w:rsidP="005D5C7B">
            <w:pPr>
              <w:pStyle w:val="TableText"/>
              <w:rPr>
                <w:lang w:eastAsia="en-GB"/>
              </w:rPr>
            </w:pPr>
            <w:r w:rsidRPr="00582EF5">
              <w:rPr>
                <w:lang w:eastAsia="en-GB"/>
              </w:rPr>
              <w:t xml:space="preserve">No known issue. </w:t>
            </w:r>
          </w:p>
        </w:tc>
      </w:tr>
    </w:tbl>
    <w:p w14:paraId="297D01D8" w14:textId="3B0D3B9C" w:rsidR="00E72470" w:rsidRPr="00582EF5" w:rsidRDefault="00A93FB4" w:rsidP="000829AA">
      <w:pPr>
        <w:pStyle w:val="Heading3"/>
        <w:spacing w:before="240"/>
        <w:rPr>
          <w:highlight w:val="yellow"/>
        </w:rPr>
      </w:pPr>
      <w:r w:rsidRPr="00582EF5">
        <w:t>4.4.4</w:t>
      </w:r>
      <w:r w:rsidRPr="00582EF5">
        <w:tab/>
      </w:r>
      <w:r w:rsidR="00B31D78" w:rsidRPr="00582EF5">
        <w:t>Persistent organic pollutants</w:t>
      </w:r>
      <w:r w:rsidR="00E72470" w:rsidRPr="00582EF5">
        <w:t xml:space="preserve"> </w:t>
      </w:r>
      <w:r w:rsidR="002F5CA8" w:rsidRPr="00582EF5">
        <w:t>added to the Convention in 2017</w:t>
      </w:r>
    </w:p>
    <w:p w14:paraId="3BBC7AA2" w14:textId="05B4974F" w:rsidR="00E72470" w:rsidRPr="00582EF5" w:rsidRDefault="00E72470" w:rsidP="000829AA">
      <w:pPr>
        <w:pStyle w:val="Heading4"/>
        <w:spacing w:before="120"/>
      </w:pPr>
      <w:proofErr w:type="spellStart"/>
      <w:r w:rsidRPr="00582EF5">
        <w:t>Decabromodiphenyl</w:t>
      </w:r>
      <w:proofErr w:type="spellEnd"/>
      <w:r w:rsidRPr="00582EF5">
        <w:t xml:space="preserve"> ether</w:t>
      </w:r>
    </w:p>
    <w:p w14:paraId="48B97769" w14:textId="3F928020" w:rsidR="00E72470" w:rsidRPr="00582EF5" w:rsidRDefault="00E72470" w:rsidP="005D5C7B">
      <w:pPr>
        <w:pStyle w:val="BodyText"/>
        <w:rPr>
          <w:rFonts w:eastAsia="Times New Roman"/>
        </w:rPr>
      </w:pPr>
      <w:r w:rsidRPr="00582EF5">
        <w:rPr>
          <w:rFonts w:eastAsia="Times New Roman"/>
        </w:rPr>
        <w:t xml:space="preserve">Like other BDEs, </w:t>
      </w:r>
      <w:r w:rsidR="00F25558" w:rsidRPr="20B5AE85">
        <w:rPr>
          <w:lang w:eastAsia="en-US"/>
        </w:rPr>
        <w:t xml:space="preserve">commercial mixture </w:t>
      </w:r>
      <w:proofErr w:type="spellStart"/>
      <w:r w:rsidR="00F25558" w:rsidRPr="20B5AE85">
        <w:rPr>
          <w:lang w:eastAsia="en-US"/>
        </w:rPr>
        <w:t>decabromodiphenyl</w:t>
      </w:r>
      <w:proofErr w:type="spellEnd"/>
      <w:r w:rsidR="00F25558" w:rsidRPr="20B5AE85">
        <w:rPr>
          <w:lang w:eastAsia="en-US"/>
        </w:rPr>
        <w:t xml:space="preserve"> ether (</w:t>
      </w:r>
      <w:r w:rsidRPr="00582EF5">
        <w:rPr>
          <w:rFonts w:eastAsia="Times New Roman"/>
        </w:rPr>
        <w:t>c-</w:t>
      </w:r>
      <w:proofErr w:type="spellStart"/>
      <w:r w:rsidRPr="00582EF5">
        <w:rPr>
          <w:rFonts w:eastAsia="Times New Roman"/>
        </w:rPr>
        <w:t>decaBDE</w:t>
      </w:r>
      <w:proofErr w:type="spellEnd"/>
      <w:r w:rsidR="00F25558" w:rsidRPr="00582EF5">
        <w:rPr>
          <w:rFonts w:eastAsia="Times New Roman"/>
        </w:rPr>
        <w:t>)</w:t>
      </w:r>
      <w:r w:rsidRPr="00582EF5">
        <w:rPr>
          <w:rFonts w:eastAsia="Times New Roman"/>
        </w:rPr>
        <w:t xml:space="preserve"> was used</w:t>
      </w:r>
      <w:r w:rsidR="004D3C5B" w:rsidRPr="00582EF5">
        <w:rPr>
          <w:rFonts w:eastAsia="Times New Roman"/>
        </w:rPr>
        <w:t xml:space="preserve"> </w:t>
      </w:r>
      <w:bookmarkStart w:id="84" w:name="_Int_K80fdlOS"/>
      <w:r w:rsidR="004D3C5B" w:rsidRPr="00582EF5">
        <w:rPr>
          <w:rFonts w:eastAsia="Times New Roman"/>
        </w:rPr>
        <w:t>mainly </w:t>
      </w:r>
      <w:r w:rsidRPr="00582EF5">
        <w:rPr>
          <w:rFonts w:eastAsia="Times New Roman"/>
        </w:rPr>
        <w:t>as</w:t>
      </w:r>
      <w:bookmarkEnd w:id="84"/>
      <w:r w:rsidRPr="00582EF5">
        <w:rPr>
          <w:rFonts w:eastAsia="Times New Roman"/>
        </w:rPr>
        <w:t xml:space="preserve"> an additive flame retardant. </w:t>
      </w:r>
      <w:r w:rsidR="000A7D76" w:rsidRPr="00582EF5">
        <w:rPr>
          <w:rFonts w:eastAsia="Times New Roman"/>
        </w:rPr>
        <w:t xml:space="preserve">Its </w:t>
      </w:r>
      <w:r w:rsidRPr="00582EF5">
        <w:rPr>
          <w:rFonts w:eastAsia="Times New Roman"/>
        </w:rPr>
        <w:t>consumption peaked in the early 2000s. Available production data indicates about 75</w:t>
      </w:r>
      <w:r w:rsidR="00F25558" w:rsidRPr="00582EF5">
        <w:rPr>
          <w:rFonts w:eastAsia="Times New Roman"/>
        </w:rPr>
        <w:t> per cent</w:t>
      </w:r>
      <w:r w:rsidRPr="00582EF5">
        <w:rPr>
          <w:rFonts w:eastAsia="Times New Roman"/>
        </w:rPr>
        <w:t xml:space="preserve"> of all world production of BDEs was c</w:t>
      </w:r>
      <w:r w:rsidR="004D3C5B" w:rsidRPr="00582EF5">
        <w:rPr>
          <w:rFonts w:eastAsia="Times New Roman"/>
        </w:rPr>
        <w:noBreakHyphen/>
      </w:r>
      <w:proofErr w:type="spellStart"/>
      <w:r w:rsidRPr="00582EF5">
        <w:rPr>
          <w:rFonts w:eastAsia="Times New Roman"/>
        </w:rPr>
        <w:t>decaBDE</w:t>
      </w:r>
      <w:proofErr w:type="spellEnd"/>
      <w:r w:rsidRPr="00582EF5">
        <w:rPr>
          <w:rFonts w:eastAsia="Times New Roman"/>
        </w:rPr>
        <w:t>. Today, c-</w:t>
      </w:r>
      <w:proofErr w:type="spellStart"/>
      <w:r w:rsidRPr="00582EF5">
        <w:rPr>
          <w:rFonts w:eastAsia="Times New Roman"/>
        </w:rPr>
        <w:t>decaBDE</w:t>
      </w:r>
      <w:proofErr w:type="spellEnd"/>
      <w:r w:rsidRPr="00582EF5">
        <w:rPr>
          <w:rFonts w:eastAsia="Times New Roman"/>
        </w:rPr>
        <w:t xml:space="preserve"> is manufactured in </w:t>
      </w:r>
      <w:r w:rsidR="00F25558" w:rsidRPr="00582EF5">
        <w:rPr>
          <w:rFonts w:eastAsia="Times New Roman"/>
        </w:rPr>
        <w:t xml:space="preserve">only </w:t>
      </w:r>
      <w:r w:rsidRPr="00582EF5">
        <w:rPr>
          <w:rFonts w:eastAsia="Times New Roman"/>
        </w:rPr>
        <w:t>a few countries. Many countries have already restricted or initiated voluntary program</w:t>
      </w:r>
      <w:r w:rsidR="00F25558" w:rsidRPr="00582EF5">
        <w:rPr>
          <w:rFonts w:eastAsia="Times New Roman"/>
        </w:rPr>
        <w:t>me</w:t>
      </w:r>
      <w:r w:rsidRPr="00582EF5">
        <w:rPr>
          <w:rFonts w:eastAsia="Times New Roman"/>
        </w:rPr>
        <w:t xml:space="preserve">s to phase out </w:t>
      </w:r>
      <w:r w:rsidR="004D3C5B" w:rsidRPr="00582EF5">
        <w:rPr>
          <w:rFonts w:eastAsia="Times New Roman"/>
        </w:rPr>
        <w:t>c-</w:t>
      </w:r>
      <w:proofErr w:type="spellStart"/>
      <w:r w:rsidR="004D3C5B" w:rsidRPr="00582EF5">
        <w:rPr>
          <w:rFonts w:eastAsia="Times New Roman"/>
        </w:rPr>
        <w:t>decaBDE</w:t>
      </w:r>
      <w:proofErr w:type="spellEnd"/>
      <w:r w:rsidR="004D3C5B" w:rsidRPr="00582EF5">
        <w:rPr>
          <w:rFonts w:eastAsia="Times New Roman"/>
        </w:rPr>
        <w:t xml:space="preserve"> </w:t>
      </w:r>
      <w:r w:rsidRPr="00582EF5">
        <w:rPr>
          <w:rFonts w:eastAsia="Times New Roman"/>
        </w:rPr>
        <w:t xml:space="preserve">production. </w:t>
      </w:r>
      <w:hyperlink r:id="rId84" w:history="1">
        <w:r w:rsidRPr="007B7DD8">
          <w:rPr>
            <w:rStyle w:val="Hyperlink"/>
            <w:rFonts w:eastAsia="Times New Roman"/>
          </w:rPr>
          <w:t>Total</w:t>
        </w:r>
        <w:r w:rsidR="000A7D76" w:rsidRPr="007B7DD8">
          <w:rPr>
            <w:rStyle w:val="Hyperlink"/>
            <w:rFonts w:eastAsia="Times New Roman"/>
          </w:rPr>
          <w:t xml:space="preserve"> </w:t>
        </w:r>
        <w:r w:rsidRPr="007B7DD8">
          <w:rPr>
            <w:rStyle w:val="Hyperlink"/>
            <w:rFonts w:eastAsia="Times New Roman"/>
          </w:rPr>
          <w:t>production of c-</w:t>
        </w:r>
        <w:proofErr w:type="spellStart"/>
        <w:r w:rsidRPr="007B7DD8">
          <w:rPr>
            <w:rStyle w:val="Hyperlink"/>
            <w:rFonts w:eastAsia="Times New Roman"/>
          </w:rPr>
          <w:t>decaBDE</w:t>
        </w:r>
        <w:proofErr w:type="spellEnd"/>
        <w:r w:rsidRPr="007B7DD8">
          <w:rPr>
            <w:rStyle w:val="Hyperlink"/>
            <w:rFonts w:eastAsia="Times New Roman"/>
          </w:rPr>
          <w:t xml:space="preserve"> </w:t>
        </w:r>
        <w:r w:rsidR="00F25558" w:rsidRPr="007B7DD8">
          <w:rPr>
            <w:rStyle w:val="Hyperlink"/>
            <w:rFonts w:eastAsia="Times New Roman"/>
          </w:rPr>
          <w:t>from</w:t>
        </w:r>
        <w:r w:rsidRPr="007B7DD8">
          <w:rPr>
            <w:rStyle w:val="Hyperlink"/>
            <w:rFonts w:eastAsia="Times New Roman"/>
          </w:rPr>
          <w:t xml:space="preserve"> 1970</w:t>
        </w:r>
        <w:r w:rsidR="00F25558" w:rsidRPr="007B7DD8">
          <w:rPr>
            <w:rStyle w:val="Hyperlink"/>
            <w:rFonts w:eastAsia="Times New Roman"/>
          </w:rPr>
          <w:t xml:space="preserve"> to </w:t>
        </w:r>
        <w:r w:rsidRPr="007B7DD8">
          <w:rPr>
            <w:rStyle w:val="Hyperlink"/>
            <w:rFonts w:eastAsia="Times New Roman"/>
          </w:rPr>
          <w:t>2005 was between 1.1</w:t>
        </w:r>
        <w:r w:rsidR="004D3C5B" w:rsidRPr="007B7DD8">
          <w:rPr>
            <w:rStyle w:val="Hyperlink"/>
            <w:rFonts w:eastAsia="Times New Roman"/>
          </w:rPr>
          <w:t> </w:t>
        </w:r>
        <w:r w:rsidR="00F25558" w:rsidRPr="007B7DD8">
          <w:rPr>
            <w:rStyle w:val="Hyperlink"/>
            <w:rFonts w:eastAsia="Times New Roman"/>
          </w:rPr>
          <w:t xml:space="preserve">million tonnes to </w:t>
        </w:r>
        <w:r w:rsidRPr="007B7DD8">
          <w:rPr>
            <w:rStyle w:val="Hyperlink"/>
            <w:rFonts w:eastAsia="Times New Roman"/>
          </w:rPr>
          <w:t>1.25</w:t>
        </w:r>
        <w:r w:rsidR="004D3C5B" w:rsidRPr="007B7DD8">
          <w:rPr>
            <w:rStyle w:val="Hyperlink"/>
            <w:rFonts w:eastAsia="Times New Roman"/>
          </w:rPr>
          <w:t> </w:t>
        </w:r>
        <w:r w:rsidRPr="007B7DD8">
          <w:rPr>
            <w:rStyle w:val="Hyperlink"/>
            <w:rFonts w:eastAsia="Times New Roman"/>
          </w:rPr>
          <w:t>million</w:t>
        </w:r>
        <w:r w:rsidR="000A7D76" w:rsidRPr="007B7DD8">
          <w:rPr>
            <w:rStyle w:val="Hyperlink"/>
            <w:rFonts w:eastAsia="Times New Roman"/>
          </w:rPr>
          <w:t> </w:t>
        </w:r>
        <w:r w:rsidRPr="007B7DD8">
          <w:rPr>
            <w:rStyle w:val="Hyperlink"/>
            <w:rFonts w:eastAsia="Times New Roman"/>
          </w:rPr>
          <w:t>tonnes</w:t>
        </w:r>
      </w:hyperlink>
      <w:r w:rsidRPr="00582EF5">
        <w:rPr>
          <w:rFonts w:eastAsia="Times New Roman"/>
        </w:rPr>
        <w:t>.</w:t>
      </w:r>
    </w:p>
    <w:p w14:paraId="0E26D9D4" w14:textId="55DCE7FC" w:rsidR="00E72470" w:rsidRPr="00582EF5" w:rsidRDefault="00E72470" w:rsidP="005D5C7B">
      <w:pPr>
        <w:pStyle w:val="BodyText"/>
      </w:pPr>
      <w:r w:rsidRPr="00582EF5">
        <w:rPr>
          <w:rFonts w:eastAsia="Times New Roman"/>
        </w:rPr>
        <w:t>C-</w:t>
      </w:r>
      <w:proofErr w:type="spellStart"/>
      <w:r w:rsidRPr="00582EF5">
        <w:rPr>
          <w:rFonts w:eastAsia="Times New Roman"/>
        </w:rPr>
        <w:t>decaBDE</w:t>
      </w:r>
      <w:proofErr w:type="spellEnd"/>
      <w:r w:rsidRPr="00582EF5">
        <w:rPr>
          <w:rFonts w:eastAsia="Times New Roman"/>
        </w:rPr>
        <w:t xml:space="preserve"> has a variety of applications</w:t>
      </w:r>
      <w:r w:rsidR="000A7D76" w:rsidRPr="00582EF5">
        <w:rPr>
          <w:rFonts w:eastAsia="Times New Roman"/>
        </w:rPr>
        <w:t>,</w:t>
      </w:r>
      <w:r w:rsidRPr="00582EF5">
        <w:rPr>
          <w:rFonts w:eastAsia="Times New Roman"/>
        </w:rPr>
        <w:t xml:space="preserve"> including in plastics, textiles, adhesives, sealants, coatings and inks. C-</w:t>
      </w:r>
      <w:proofErr w:type="spellStart"/>
      <w:r w:rsidRPr="00582EF5">
        <w:rPr>
          <w:rFonts w:eastAsia="Times New Roman"/>
        </w:rPr>
        <w:t>decaBDE</w:t>
      </w:r>
      <w:proofErr w:type="spellEnd"/>
      <w:r w:rsidR="003761B8" w:rsidRPr="00582EF5">
        <w:rPr>
          <w:rFonts w:eastAsia="Times New Roman"/>
        </w:rPr>
        <w:t>-</w:t>
      </w:r>
      <w:r w:rsidRPr="00582EF5">
        <w:rPr>
          <w:rFonts w:eastAsia="Times New Roman"/>
        </w:rPr>
        <w:t>containing plastics are used in electrical and electronic equipment, wires and cables, pipes, and carpets. In textiles, c-</w:t>
      </w:r>
      <w:proofErr w:type="spellStart"/>
      <w:r w:rsidRPr="00582EF5">
        <w:rPr>
          <w:rFonts w:eastAsia="Times New Roman"/>
        </w:rPr>
        <w:t>decaBDE</w:t>
      </w:r>
      <w:proofErr w:type="spellEnd"/>
      <w:r w:rsidRPr="00582EF5">
        <w:rPr>
          <w:rFonts w:eastAsia="Times New Roman"/>
        </w:rPr>
        <w:t xml:space="preserve"> was used</w:t>
      </w:r>
      <w:r w:rsidR="000A7D76" w:rsidRPr="00582EF5">
        <w:rPr>
          <w:rFonts w:eastAsia="Times New Roman"/>
        </w:rPr>
        <w:t xml:space="preserve"> mainly</w:t>
      </w:r>
      <w:r w:rsidRPr="00582EF5">
        <w:rPr>
          <w:rFonts w:eastAsia="Times New Roman"/>
        </w:rPr>
        <w:t xml:space="preserve"> in upholstery, window blinds, curtains and mattresses for public and domestic buildings, and in the transportation sector. The amount of c-</w:t>
      </w:r>
      <w:proofErr w:type="spellStart"/>
      <w:r w:rsidRPr="00582EF5">
        <w:rPr>
          <w:rFonts w:eastAsia="Times New Roman"/>
        </w:rPr>
        <w:t>decaBDE</w:t>
      </w:r>
      <w:proofErr w:type="spellEnd"/>
      <w:r w:rsidRPr="00582EF5">
        <w:rPr>
          <w:rFonts w:eastAsia="Times New Roman"/>
        </w:rPr>
        <w:t xml:space="preserve"> used in plastics and textiles globally varies, but up to about 90</w:t>
      </w:r>
      <w:r w:rsidR="000A7D76" w:rsidRPr="00582EF5">
        <w:rPr>
          <w:rFonts w:eastAsia="Times New Roman"/>
        </w:rPr>
        <w:t> per cent</w:t>
      </w:r>
      <w:r w:rsidRPr="00582EF5">
        <w:rPr>
          <w:rFonts w:eastAsia="Times New Roman"/>
        </w:rPr>
        <w:t xml:space="preserve"> of c-</w:t>
      </w:r>
      <w:proofErr w:type="spellStart"/>
      <w:r w:rsidRPr="00582EF5">
        <w:rPr>
          <w:rFonts w:eastAsia="Times New Roman"/>
        </w:rPr>
        <w:t>decaBDE</w:t>
      </w:r>
      <w:proofErr w:type="spellEnd"/>
      <w:r w:rsidRPr="00582EF5">
        <w:rPr>
          <w:rFonts w:eastAsia="Times New Roman"/>
        </w:rPr>
        <w:t xml:space="preserve"> ends up in plastic and plastics used in electronics, while the remainder is used in coated textiles, upholstered furniture and mattresses.</w:t>
      </w:r>
      <w:r w:rsidR="006D7E9D" w:rsidRPr="00582EF5">
        <w:rPr>
          <w:rFonts w:eastAsia="Times New Roman"/>
        </w:rPr>
        <w:t xml:space="preserve"> </w:t>
      </w:r>
    </w:p>
    <w:p w14:paraId="037F55F6" w14:textId="16BC99FF" w:rsidR="00E72470" w:rsidRPr="00582EF5" w:rsidRDefault="002474F3" w:rsidP="005D5C7B">
      <w:pPr>
        <w:pStyle w:val="BodyText"/>
        <w:rPr>
          <w:rFonts w:eastAsia="Times New Roman"/>
        </w:rPr>
      </w:pPr>
      <w:r w:rsidRPr="00582EF5">
        <w:t>Several</w:t>
      </w:r>
      <w:r w:rsidR="00E72470" w:rsidRPr="00582EF5">
        <w:t xml:space="preserve"> non-POP chemical alternatives are already on the market for the substitution of</w:t>
      </w:r>
      <w:r w:rsidR="003A3F3F" w:rsidRPr="00582EF5">
        <w:t> </w:t>
      </w:r>
      <w:r w:rsidR="00E72470" w:rsidRPr="00582EF5">
        <w:rPr>
          <w:rFonts w:eastAsia="Times New Roman"/>
        </w:rPr>
        <w:t>c</w:t>
      </w:r>
      <w:r w:rsidR="003A3F3F" w:rsidRPr="00582EF5">
        <w:rPr>
          <w:rFonts w:eastAsia="Times New Roman"/>
        </w:rPr>
        <w:noBreakHyphen/>
      </w:r>
      <w:proofErr w:type="spellStart"/>
      <w:r w:rsidR="00E72470" w:rsidRPr="00582EF5">
        <w:rPr>
          <w:rFonts w:eastAsia="Times New Roman"/>
        </w:rPr>
        <w:t>decaBDE</w:t>
      </w:r>
      <w:proofErr w:type="spellEnd"/>
      <w:r w:rsidR="00E72470" w:rsidRPr="00582EF5">
        <w:rPr>
          <w:rFonts w:eastAsia="Times New Roman"/>
        </w:rPr>
        <w:t xml:space="preserve"> in plastics and textiles. Furthermore, non-chemical alternatives and technical solutions</w:t>
      </w:r>
      <w:r w:rsidRPr="00582EF5">
        <w:rPr>
          <w:rFonts w:eastAsia="Times New Roman"/>
        </w:rPr>
        <w:t>,</w:t>
      </w:r>
      <w:r w:rsidR="00E72470" w:rsidRPr="00582EF5">
        <w:rPr>
          <w:rFonts w:eastAsia="Times New Roman"/>
        </w:rPr>
        <w:t xml:space="preserve"> such as non-flammable materials and physical barriers, respectively, are also available.</w:t>
      </w:r>
    </w:p>
    <w:p w14:paraId="47117DD5" w14:textId="5C6C913E" w:rsidR="00E72470" w:rsidRPr="00582EF5" w:rsidRDefault="00E72470" w:rsidP="005D5C7B">
      <w:pPr>
        <w:pStyle w:val="BodyText"/>
        <w:rPr>
          <w:rFonts w:eastAsia="Times New Roman"/>
        </w:rPr>
      </w:pPr>
      <w:r w:rsidRPr="00582EF5">
        <w:rPr>
          <w:rFonts w:eastAsia="Times New Roman"/>
        </w:rPr>
        <w:t xml:space="preserve">Trade names for </w:t>
      </w:r>
      <w:proofErr w:type="spellStart"/>
      <w:r w:rsidRPr="00582EF5">
        <w:rPr>
          <w:rFonts w:eastAsia="Times New Roman"/>
        </w:rPr>
        <w:t>decaBDE</w:t>
      </w:r>
      <w:proofErr w:type="spellEnd"/>
      <w:r w:rsidRPr="00582EF5">
        <w:rPr>
          <w:rFonts w:eastAsia="Times New Roman"/>
        </w:rPr>
        <w:t xml:space="preserve"> include DE-83R, DE-83, </w:t>
      </w:r>
      <w:proofErr w:type="spellStart"/>
      <w:r w:rsidRPr="00582EF5">
        <w:rPr>
          <w:rFonts w:eastAsia="Times New Roman"/>
        </w:rPr>
        <w:t>Bromkal</w:t>
      </w:r>
      <w:proofErr w:type="spellEnd"/>
      <w:r w:rsidRPr="00582EF5">
        <w:rPr>
          <w:rFonts w:eastAsia="Times New Roman"/>
        </w:rPr>
        <w:t xml:space="preserve"> 82-ODE, </w:t>
      </w:r>
      <w:proofErr w:type="spellStart"/>
      <w:r w:rsidRPr="00582EF5">
        <w:rPr>
          <w:rFonts w:eastAsia="Times New Roman"/>
        </w:rPr>
        <w:t>Bromkal</w:t>
      </w:r>
      <w:proofErr w:type="spellEnd"/>
      <w:r w:rsidRPr="00582EF5">
        <w:rPr>
          <w:rFonts w:eastAsia="Times New Roman"/>
        </w:rPr>
        <w:t xml:space="preserve"> 70-5, </w:t>
      </w:r>
      <w:proofErr w:type="spellStart"/>
      <w:r w:rsidRPr="00582EF5">
        <w:rPr>
          <w:rFonts w:eastAsia="Times New Roman"/>
        </w:rPr>
        <w:t>Saytex</w:t>
      </w:r>
      <w:proofErr w:type="spellEnd"/>
      <w:r w:rsidRPr="00582EF5">
        <w:rPr>
          <w:rFonts w:eastAsia="Times New Roman"/>
        </w:rPr>
        <w:t xml:space="preserve"> 102E, FR1210, </w:t>
      </w:r>
      <w:proofErr w:type="spellStart"/>
      <w:r w:rsidRPr="00582EF5">
        <w:rPr>
          <w:rFonts w:eastAsia="Times New Roman"/>
        </w:rPr>
        <w:t>Flamecut</w:t>
      </w:r>
      <w:proofErr w:type="spellEnd"/>
      <w:r w:rsidRPr="00582EF5">
        <w:rPr>
          <w:rFonts w:eastAsia="Times New Roman"/>
        </w:rPr>
        <w:t xml:space="preserve"> 110R and FR-300-BA.</w:t>
      </w:r>
    </w:p>
    <w:p w14:paraId="05152874" w14:textId="609CDF7D" w:rsidR="00E72470" w:rsidRPr="00582EF5" w:rsidRDefault="00E72470" w:rsidP="005D5C7B">
      <w:pPr>
        <w:pStyle w:val="BodyText"/>
        <w:rPr>
          <w:rFonts w:eastAsia="Times New Roman"/>
        </w:rPr>
      </w:pPr>
      <w:r w:rsidRPr="00582EF5">
        <w:rPr>
          <w:rFonts w:eastAsia="Times New Roman"/>
        </w:rPr>
        <w:t xml:space="preserve">While </w:t>
      </w:r>
      <w:proofErr w:type="spellStart"/>
      <w:r w:rsidRPr="00582EF5">
        <w:rPr>
          <w:rFonts w:eastAsia="Times New Roman"/>
        </w:rPr>
        <w:t>decaBDE</w:t>
      </w:r>
      <w:proofErr w:type="spellEnd"/>
      <w:r w:rsidRPr="00582EF5">
        <w:rPr>
          <w:rFonts w:eastAsia="Times New Roman"/>
        </w:rPr>
        <w:t xml:space="preserve"> has been phased out globally, it is possible </w:t>
      </w:r>
      <w:r w:rsidR="00085CFF" w:rsidRPr="00582EF5">
        <w:rPr>
          <w:rFonts w:eastAsia="Times New Roman"/>
        </w:rPr>
        <w:t>it</w:t>
      </w:r>
      <w:r w:rsidRPr="00582EF5">
        <w:rPr>
          <w:rFonts w:eastAsia="Times New Roman"/>
        </w:rPr>
        <w:t xml:space="preserve"> is present in New Zealand in some of the existing and currently imported products, including older cars and electronic equipment. Therefore, New Zealand notified the </w:t>
      </w:r>
      <w:r w:rsidR="004B2DD8" w:rsidRPr="00582EF5">
        <w:rPr>
          <w:rFonts w:eastAsia="Times New Roman"/>
        </w:rPr>
        <w:t xml:space="preserve">Convention </w:t>
      </w:r>
      <w:r w:rsidRPr="00582EF5">
        <w:rPr>
          <w:rFonts w:eastAsia="Times New Roman"/>
        </w:rPr>
        <w:t xml:space="preserve">Secretariat of existing articles in use containing </w:t>
      </w:r>
      <w:proofErr w:type="spellStart"/>
      <w:r w:rsidR="00085CFF" w:rsidRPr="00582EF5">
        <w:rPr>
          <w:rFonts w:eastAsia="Times New Roman"/>
        </w:rPr>
        <w:t>d</w:t>
      </w:r>
      <w:r w:rsidRPr="00582EF5">
        <w:rPr>
          <w:rFonts w:eastAsia="Times New Roman"/>
        </w:rPr>
        <w:t>ecaBDE</w:t>
      </w:r>
      <w:proofErr w:type="spellEnd"/>
      <w:r w:rsidRPr="00582EF5">
        <w:rPr>
          <w:rFonts w:eastAsia="Times New Roman"/>
        </w:rPr>
        <w:t xml:space="preserve"> and registered specific exemptions for parts</w:t>
      </w:r>
      <w:r w:rsidR="00841603" w:rsidRPr="00582EF5">
        <w:rPr>
          <w:rFonts w:eastAsia="Times New Roman"/>
        </w:rPr>
        <w:t xml:space="preserve"> for use in vehicles,</w:t>
      </w:r>
      <w:r w:rsidRPr="00582EF5">
        <w:rPr>
          <w:rFonts w:eastAsia="Times New Roman"/>
        </w:rPr>
        <w:t xml:space="preserve"> and aircraft</w:t>
      </w:r>
      <w:r w:rsidR="00841603" w:rsidRPr="00582EF5">
        <w:rPr>
          <w:rFonts w:eastAsia="Times New Roman"/>
        </w:rPr>
        <w:t xml:space="preserve"> and aircraft parts under Article 4 of the Convention. This means </w:t>
      </w:r>
      <w:r w:rsidR="00085CFF" w:rsidRPr="00582EF5">
        <w:rPr>
          <w:rFonts w:eastAsia="Times New Roman"/>
        </w:rPr>
        <w:t>New Zealand</w:t>
      </w:r>
      <w:r w:rsidR="00841603" w:rsidRPr="00582EF5">
        <w:rPr>
          <w:rFonts w:eastAsia="Times New Roman"/>
        </w:rPr>
        <w:t xml:space="preserve"> can continue to use </w:t>
      </w:r>
      <w:proofErr w:type="spellStart"/>
      <w:r w:rsidR="00841603" w:rsidRPr="00582EF5">
        <w:rPr>
          <w:rFonts w:eastAsia="Times New Roman"/>
        </w:rPr>
        <w:t>decaBDE</w:t>
      </w:r>
      <w:proofErr w:type="spellEnd"/>
      <w:r w:rsidR="00841603" w:rsidRPr="00582EF5">
        <w:rPr>
          <w:rFonts w:eastAsia="Times New Roman"/>
        </w:rPr>
        <w:t xml:space="preserve"> for a particular purpose</w:t>
      </w:r>
      <w:r w:rsidR="00487A2A" w:rsidRPr="00582EF5">
        <w:rPr>
          <w:rFonts w:eastAsia="Times New Roman"/>
        </w:rPr>
        <w:t xml:space="preserve"> (</w:t>
      </w:r>
      <w:r w:rsidR="00085CFF" w:rsidRPr="00582EF5">
        <w:rPr>
          <w:rFonts w:eastAsia="Times New Roman"/>
        </w:rPr>
        <w:t>t</w:t>
      </w:r>
      <w:r w:rsidR="00487A2A" w:rsidRPr="00582EF5">
        <w:rPr>
          <w:rFonts w:eastAsia="Times New Roman"/>
        </w:rPr>
        <w:t xml:space="preserve">able </w:t>
      </w:r>
      <w:r w:rsidR="00BC43DD" w:rsidRPr="00582EF5">
        <w:rPr>
          <w:rFonts w:eastAsia="Times New Roman"/>
        </w:rPr>
        <w:t>2</w:t>
      </w:r>
      <w:r w:rsidR="00BC43DD">
        <w:rPr>
          <w:rFonts w:eastAsia="Times New Roman"/>
        </w:rPr>
        <w:t>2</w:t>
      </w:r>
      <w:r w:rsidR="00487A2A" w:rsidRPr="00582EF5">
        <w:rPr>
          <w:rFonts w:eastAsia="Times New Roman"/>
        </w:rPr>
        <w:t>)</w:t>
      </w:r>
      <w:r w:rsidRPr="00582EF5">
        <w:rPr>
          <w:rFonts w:eastAsia="Times New Roman"/>
        </w:rPr>
        <w:t xml:space="preserve">. </w:t>
      </w:r>
    </w:p>
    <w:p w14:paraId="17BD95FA" w14:textId="0FF94EFC" w:rsidR="00E72470" w:rsidRPr="00582EF5" w:rsidRDefault="00085CFF" w:rsidP="005D5C7B">
      <w:pPr>
        <w:pStyle w:val="BodyText"/>
        <w:rPr>
          <w:rFonts w:eastAsia="Times New Roman"/>
        </w:rPr>
      </w:pPr>
      <w:r w:rsidRPr="00582EF5">
        <w:rPr>
          <w:rFonts w:eastAsia="Times New Roman"/>
        </w:rPr>
        <w:t xml:space="preserve">Figure </w:t>
      </w:r>
      <w:r w:rsidR="00E72470" w:rsidRPr="00582EF5">
        <w:rPr>
          <w:rFonts w:eastAsia="Times New Roman"/>
        </w:rPr>
        <w:t>1 contains estimated quantities of BDEs in various sources of the New</w:t>
      </w:r>
      <w:r w:rsidR="00D21D86" w:rsidRPr="00582EF5">
        <w:rPr>
          <w:rFonts w:eastAsia="Times New Roman"/>
        </w:rPr>
        <w:t> </w:t>
      </w:r>
      <w:r w:rsidR="00E72470" w:rsidRPr="00582EF5">
        <w:rPr>
          <w:rFonts w:eastAsia="Times New Roman"/>
        </w:rPr>
        <w:t xml:space="preserve">Zealand environment between 1978 and 2010. </w:t>
      </w:r>
    </w:p>
    <w:p w14:paraId="35E6C315" w14:textId="6251D1DA" w:rsidR="00E72470" w:rsidRPr="00582EF5" w:rsidRDefault="00714357" w:rsidP="005D5C7B">
      <w:pPr>
        <w:pStyle w:val="Tableheading"/>
      </w:pPr>
      <w:bookmarkStart w:id="85" w:name="_Toc120532287"/>
      <w:r w:rsidRPr="00582EF5">
        <w:lastRenderedPageBreak/>
        <w:t xml:space="preserve">Table </w:t>
      </w:r>
      <w:r w:rsidR="0DADF1BD" w:rsidRPr="00582EF5">
        <w:t>2</w:t>
      </w:r>
      <w:r w:rsidR="2EE0EC5E" w:rsidRPr="00582EF5">
        <w:t>2</w:t>
      </w:r>
      <w:r w:rsidRPr="00582EF5">
        <w:t xml:space="preserve">: </w:t>
      </w:r>
      <w:r w:rsidR="003A3F3F" w:rsidRPr="00582EF5">
        <w:tab/>
      </w:r>
      <w:r w:rsidRPr="00582EF5">
        <w:t xml:space="preserve">History of use and controls of </w:t>
      </w:r>
      <w:r w:rsidR="00A43B61" w:rsidRPr="00582EF5">
        <w:t>c</w:t>
      </w:r>
      <w:r w:rsidR="00A43B61" w:rsidRPr="1A06031B">
        <w:rPr>
          <w:lang w:eastAsia="en-US"/>
        </w:rPr>
        <w:t xml:space="preserve">ommercial mixture </w:t>
      </w:r>
      <w:proofErr w:type="spellStart"/>
      <w:r w:rsidR="00A43B61" w:rsidRPr="1A06031B">
        <w:rPr>
          <w:lang w:eastAsia="en-US"/>
        </w:rPr>
        <w:t>decabromodiphenyl</w:t>
      </w:r>
      <w:proofErr w:type="spellEnd"/>
      <w:r w:rsidR="00A43B61" w:rsidRPr="1A06031B">
        <w:rPr>
          <w:lang w:eastAsia="en-US"/>
        </w:rPr>
        <w:t xml:space="preserve"> ether</w:t>
      </w:r>
      <w:r w:rsidR="007614AF" w:rsidRPr="1A06031B">
        <w:rPr>
          <w:lang w:eastAsia="en-US"/>
        </w:rPr>
        <w:t xml:space="preserve"> (</w:t>
      </w:r>
      <w:r w:rsidRPr="00582EF5">
        <w:rPr>
          <w:rFonts w:eastAsia="Times New Roman"/>
        </w:rPr>
        <w:t>c</w:t>
      </w:r>
      <w:r w:rsidR="007614AF" w:rsidRPr="00582EF5">
        <w:rPr>
          <w:rFonts w:eastAsia="Times New Roman"/>
        </w:rPr>
        <w:noBreakHyphen/>
      </w:r>
      <w:proofErr w:type="spellStart"/>
      <w:r w:rsidRPr="00582EF5">
        <w:rPr>
          <w:rFonts w:eastAsia="Times New Roman"/>
        </w:rPr>
        <w:t>decaBDE</w:t>
      </w:r>
      <w:proofErr w:type="spellEnd"/>
      <w:r w:rsidR="007614AF" w:rsidRPr="00582EF5">
        <w:rPr>
          <w:rFonts w:eastAsia="Times New Roman"/>
        </w:rPr>
        <w:t>)</w:t>
      </w:r>
      <w:bookmarkEnd w:id="85"/>
      <w:r w:rsidRPr="00582EF5">
        <w:t xml:space="preserve"> </w:t>
      </w:r>
    </w:p>
    <w:tbl>
      <w:tblPr>
        <w:tblStyle w:val="TableGrid"/>
        <w:tblW w:w="0" w:type="auto"/>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CellMar>
          <w:left w:w="85" w:type="dxa"/>
          <w:right w:w="85" w:type="dxa"/>
        </w:tblCellMar>
        <w:tblLook w:val="04A0" w:firstRow="1" w:lastRow="0" w:firstColumn="1" w:lastColumn="0" w:noHBand="0" w:noVBand="1"/>
      </w:tblPr>
      <w:tblGrid>
        <w:gridCol w:w="2208"/>
        <w:gridCol w:w="2754"/>
        <w:gridCol w:w="1373"/>
        <w:gridCol w:w="2117"/>
        <w:gridCol w:w="53"/>
      </w:tblGrid>
      <w:tr w:rsidR="00D21D86" w:rsidRPr="00582EF5" w14:paraId="732C410B" w14:textId="77777777" w:rsidTr="00832FD4">
        <w:tc>
          <w:tcPr>
            <w:tcW w:w="2208" w:type="dxa"/>
            <w:shd w:val="clear" w:color="auto" w:fill="1C556C" w:themeFill="accent1"/>
            <w:vAlign w:val="bottom"/>
          </w:tcPr>
          <w:p w14:paraId="70D6CB00" w14:textId="18DBBA4E" w:rsidR="00E72470" w:rsidRPr="00582EF5" w:rsidRDefault="00E72470" w:rsidP="00327304">
            <w:pPr>
              <w:pStyle w:val="TableTextbold"/>
              <w:rPr>
                <w:color w:val="FFFFFF" w:themeColor="background1"/>
              </w:rPr>
            </w:pPr>
            <w:r w:rsidRPr="00582EF5">
              <w:rPr>
                <w:color w:val="FFFFFF" w:themeColor="background1"/>
              </w:rPr>
              <w:t>History of use in N</w:t>
            </w:r>
            <w:r w:rsidR="009B1473" w:rsidRPr="00582EF5">
              <w:rPr>
                <w:color w:val="FFFFFF" w:themeColor="background1"/>
              </w:rPr>
              <w:t>ew </w:t>
            </w:r>
            <w:r w:rsidRPr="00582EF5">
              <w:rPr>
                <w:color w:val="FFFFFF" w:themeColor="background1"/>
              </w:rPr>
              <w:t>Z</w:t>
            </w:r>
            <w:r w:rsidR="009B1473" w:rsidRPr="00582EF5">
              <w:rPr>
                <w:color w:val="FFFFFF" w:themeColor="background1"/>
              </w:rPr>
              <w:t>ealand</w:t>
            </w:r>
          </w:p>
        </w:tc>
        <w:tc>
          <w:tcPr>
            <w:tcW w:w="2754" w:type="dxa"/>
            <w:shd w:val="clear" w:color="auto" w:fill="1C556C" w:themeFill="accent1"/>
            <w:vAlign w:val="bottom"/>
          </w:tcPr>
          <w:p w14:paraId="7B36BF0D" w14:textId="49200501" w:rsidR="00E72470" w:rsidRPr="00582EF5" w:rsidRDefault="00E72470" w:rsidP="00327304">
            <w:pPr>
              <w:pStyle w:val="TableTextbold"/>
              <w:rPr>
                <w:color w:val="FFFFFF" w:themeColor="background1"/>
              </w:rPr>
            </w:pPr>
            <w:r w:rsidRPr="00582EF5">
              <w:rPr>
                <w:color w:val="FFFFFF" w:themeColor="background1"/>
              </w:rPr>
              <w:t xml:space="preserve">Relevant controls under </w:t>
            </w:r>
            <w:r w:rsidR="009B1473" w:rsidRPr="00582EF5">
              <w:rPr>
                <w:color w:val="FFFFFF" w:themeColor="background1"/>
              </w:rPr>
              <w:t>Hazardous Substances and New Organisms (HSNO) Act 1996</w:t>
            </w:r>
          </w:p>
        </w:tc>
        <w:tc>
          <w:tcPr>
            <w:tcW w:w="1373" w:type="dxa"/>
            <w:shd w:val="clear" w:color="auto" w:fill="1C556C" w:themeFill="accent1"/>
            <w:vAlign w:val="bottom"/>
          </w:tcPr>
          <w:p w14:paraId="7E4C3FE4" w14:textId="77777777" w:rsidR="00E72470" w:rsidRPr="00582EF5" w:rsidRDefault="00E72470" w:rsidP="00327304">
            <w:pPr>
              <w:pStyle w:val="TableTextbold"/>
              <w:rPr>
                <w:color w:val="FFFFFF" w:themeColor="background1"/>
              </w:rPr>
            </w:pPr>
            <w:r w:rsidRPr="00582EF5">
              <w:rPr>
                <w:color w:val="FFFFFF" w:themeColor="background1"/>
              </w:rPr>
              <w:t>Other controls</w:t>
            </w:r>
          </w:p>
        </w:tc>
        <w:tc>
          <w:tcPr>
            <w:tcW w:w="2170" w:type="dxa"/>
            <w:gridSpan w:val="2"/>
            <w:shd w:val="clear" w:color="auto" w:fill="1C556C" w:themeFill="accent1"/>
            <w:vAlign w:val="bottom"/>
          </w:tcPr>
          <w:p w14:paraId="4E3C1CDE" w14:textId="77777777" w:rsidR="00E72470" w:rsidRPr="00582EF5" w:rsidRDefault="00E72470" w:rsidP="00327304">
            <w:pPr>
              <w:pStyle w:val="TableTextbold"/>
              <w:rPr>
                <w:color w:val="FFFFFF" w:themeColor="background1"/>
              </w:rPr>
            </w:pPr>
            <w:r w:rsidRPr="00582EF5">
              <w:rPr>
                <w:color w:val="FFFFFF" w:themeColor="background1"/>
              </w:rPr>
              <w:t xml:space="preserve">Ongoing implementation issues </w:t>
            </w:r>
          </w:p>
        </w:tc>
      </w:tr>
      <w:tr w:rsidR="00E72470" w:rsidRPr="00582EF5" w14:paraId="5374FC89" w14:textId="77777777" w:rsidTr="00832FD4">
        <w:trPr>
          <w:gridAfter w:val="1"/>
          <w:wAfter w:w="53" w:type="dxa"/>
        </w:trPr>
        <w:tc>
          <w:tcPr>
            <w:tcW w:w="2208" w:type="dxa"/>
          </w:tcPr>
          <w:p w14:paraId="03C83F62" w14:textId="7E26C205" w:rsidR="00E72470" w:rsidRPr="00582EF5" w:rsidRDefault="00E72470" w:rsidP="004D5B90">
            <w:pPr>
              <w:pStyle w:val="TableText"/>
            </w:pPr>
            <w:r w:rsidRPr="00582EF5">
              <w:t>Never produced in N</w:t>
            </w:r>
            <w:r w:rsidR="009B1473" w:rsidRPr="00582EF5">
              <w:t>ew </w:t>
            </w:r>
            <w:r w:rsidRPr="00582EF5">
              <w:t>Z</w:t>
            </w:r>
            <w:r w:rsidR="009B1473" w:rsidRPr="00582EF5">
              <w:t>ealand</w:t>
            </w:r>
            <w:r w:rsidRPr="00582EF5">
              <w:t>.</w:t>
            </w:r>
          </w:p>
          <w:p w14:paraId="51B3DE7E" w14:textId="6C6CCD01" w:rsidR="00E72470" w:rsidRPr="00582EF5" w:rsidRDefault="00E72470" w:rsidP="004D5B90">
            <w:pPr>
              <w:pStyle w:val="TableText"/>
            </w:pPr>
            <w:r w:rsidRPr="00582EF5">
              <w:t>Included as a component in products imported from other countries. Products include plastics in vehicles, electrical equipment and textiles.</w:t>
            </w:r>
            <w:r w:rsidR="006D7E9D" w:rsidRPr="00582EF5">
              <w:t xml:space="preserve"> </w:t>
            </w:r>
          </w:p>
          <w:p w14:paraId="467AFA83" w14:textId="3984A434" w:rsidR="00E72470" w:rsidRPr="00582EF5" w:rsidRDefault="009B1473" w:rsidP="004D5B90">
            <w:pPr>
              <w:pStyle w:val="TableText"/>
            </w:pPr>
            <w:r w:rsidRPr="00582EF5">
              <w:t>L</w:t>
            </w:r>
            <w:r w:rsidR="00E72470" w:rsidRPr="00582EF5">
              <w:t>imited import of flame</w:t>
            </w:r>
            <w:r w:rsidR="00C1573C">
              <w:t xml:space="preserve"> </w:t>
            </w:r>
            <w:r w:rsidR="00E72470" w:rsidRPr="00582EF5">
              <w:t xml:space="preserve">retardant masterbatches containing </w:t>
            </w:r>
            <w:proofErr w:type="spellStart"/>
            <w:r w:rsidR="00E72470" w:rsidRPr="00582EF5">
              <w:t>decaBDE</w:t>
            </w:r>
            <w:proofErr w:type="spellEnd"/>
            <w:r w:rsidR="00E72470" w:rsidRPr="00582EF5">
              <w:t xml:space="preserve"> took place until 2017. </w:t>
            </w:r>
          </w:p>
        </w:tc>
        <w:tc>
          <w:tcPr>
            <w:tcW w:w="2754" w:type="dxa"/>
          </w:tcPr>
          <w:p w14:paraId="22344360" w14:textId="3157C978" w:rsidR="0086166A" w:rsidRPr="00582EF5" w:rsidRDefault="00E72470" w:rsidP="004D5B90">
            <w:pPr>
              <w:pStyle w:val="TableText"/>
            </w:pPr>
            <w:r w:rsidRPr="00582EF5">
              <w:t>Prohibited</w:t>
            </w:r>
            <w:r w:rsidR="009B1473" w:rsidRPr="00582EF5">
              <w:t>,</w:t>
            </w:r>
            <w:r w:rsidRPr="00582EF5">
              <w:t xml:space="preserve"> as listed in Schedule 2A of </w:t>
            </w:r>
            <w:r w:rsidR="009B1473" w:rsidRPr="00582EF5">
              <w:t xml:space="preserve">the </w:t>
            </w:r>
            <w:r w:rsidRPr="00582EF5">
              <w:t xml:space="preserve">HSNO </w:t>
            </w:r>
            <w:r w:rsidR="009B1473" w:rsidRPr="00582EF5">
              <w:t xml:space="preserve">Act </w:t>
            </w:r>
            <w:r w:rsidRPr="00582EF5">
              <w:t>from 18</w:t>
            </w:r>
            <w:r w:rsidR="00397036" w:rsidRPr="00582EF5">
              <w:t> </w:t>
            </w:r>
            <w:r w:rsidRPr="00582EF5">
              <w:t>December 2018, with</w:t>
            </w:r>
            <w:r w:rsidR="0086166A" w:rsidRPr="00582EF5">
              <w:t xml:space="preserve"> specific exemptions for: </w:t>
            </w:r>
          </w:p>
          <w:p w14:paraId="4A09864D" w14:textId="4EB15979" w:rsidR="0086166A" w:rsidRPr="00582EF5" w:rsidRDefault="0086166A" w:rsidP="004D5B90">
            <w:pPr>
              <w:pStyle w:val="TableBullet"/>
            </w:pPr>
            <w:r w:rsidRPr="00582EF5">
              <w:t>parts for use in vehicles specified in paragraph 2 of Part IX of Annex A</w:t>
            </w:r>
            <w:r w:rsidR="002D66D0">
              <w:t xml:space="preserve"> of the Convention</w:t>
            </w:r>
          </w:p>
          <w:p w14:paraId="6A721C4D" w14:textId="41F8CC85" w:rsidR="0086166A" w:rsidRPr="00582EF5" w:rsidRDefault="0086166A" w:rsidP="004D5B90">
            <w:pPr>
              <w:pStyle w:val="TableBullet"/>
            </w:pPr>
            <w:r w:rsidRPr="00582EF5">
              <w:t xml:space="preserve">aircraft for which </w:t>
            </w:r>
            <w:bookmarkStart w:id="86" w:name="_Int_sqHj2IEP"/>
            <w:r w:rsidRPr="00582EF5">
              <w:t>type</w:t>
            </w:r>
            <w:bookmarkEnd w:id="86"/>
            <w:r w:rsidRPr="00582EF5">
              <w:t xml:space="preserve"> approval has been applied for before December 2018 and has been received before December 2022, and spare parts for those aircraft</w:t>
            </w:r>
          </w:p>
          <w:p w14:paraId="44DDF897" w14:textId="7B920380" w:rsidR="00E72470" w:rsidRPr="00582EF5" w:rsidRDefault="0086166A" w:rsidP="007B3A22">
            <w:pPr>
              <w:pStyle w:val="TableBullet"/>
            </w:pPr>
            <w:r w:rsidRPr="00582EF5">
              <w:t xml:space="preserve">and articles in use notifications for articles where </w:t>
            </w:r>
            <w:proofErr w:type="spellStart"/>
            <w:r w:rsidR="007614AF" w:rsidRPr="00582EF5">
              <w:t>d</w:t>
            </w:r>
            <w:r w:rsidRPr="00582EF5">
              <w:t>ecaBDE</w:t>
            </w:r>
            <w:proofErr w:type="spellEnd"/>
            <w:r w:rsidRPr="00582EF5">
              <w:t xml:space="preserve"> has been used as an additive in plastics (such as in electrical and elec</w:t>
            </w:r>
            <w:r w:rsidR="007614AF" w:rsidRPr="00582EF5">
              <w:t>tronic equipment, wires, cables</w:t>
            </w:r>
            <w:r w:rsidRPr="00582EF5">
              <w:t xml:space="preserve"> and pipes), in textiles (such as in carpets, upholstery, window blinds and curtai</w:t>
            </w:r>
            <w:r w:rsidR="007614AF" w:rsidRPr="00582EF5">
              <w:t>ns, and mattresses) and in adhesives, sealants</w:t>
            </w:r>
            <w:r w:rsidRPr="00582EF5">
              <w:t xml:space="preserve"> and coatings </w:t>
            </w:r>
            <w:r w:rsidR="007614AF" w:rsidRPr="00582EF5">
              <w:t xml:space="preserve">– </w:t>
            </w:r>
            <w:r w:rsidRPr="00582EF5">
              <w:t>present in New Zealand before 18</w:t>
            </w:r>
            <w:r w:rsidR="007614AF" w:rsidRPr="00582EF5">
              <w:t> </w:t>
            </w:r>
            <w:r w:rsidRPr="00582EF5">
              <w:t>December 2018.</w:t>
            </w:r>
          </w:p>
          <w:p w14:paraId="348993B8" w14:textId="2B9D3033" w:rsidR="00E72470" w:rsidRPr="00582EF5" w:rsidRDefault="009B1473" w:rsidP="004D5B90">
            <w:pPr>
              <w:pStyle w:val="TableText"/>
            </w:pPr>
            <w:r w:rsidRPr="00582EF5">
              <w:t xml:space="preserve">Before </w:t>
            </w:r>
            <w:r w:rsidR="00E72470" w:rsidRPr="00582EF5">
              <w:t>listing, it was allowed to be used as a component chemical in products</w:t>
            </w:r>
            <w:r w:rsidRPr="00582EF5">
              <w:t>,</w:t>
            </w:r>
            <w:r w:rsidR="00E72470" w:rsidRPr="00582EF5">
              <w:t xml:space="preserve"> in accordance with relevant group standard.</w:t>
            </w:r>
          </w:p>
        </w:tc>
        <w:tc>
          <w:tcPr>
            <w:tcW w:w="1373" w:type="dxa"/>
          </w:tcPr>
          <w:p w14:paraId="7433973B" w14:textId="5177835F" w:rsidR="00E72470" w:rsidRPr="00582EF5" w:rsidRDefault="00E72470" w:rsidP="004D5B90">
            <w:pPr>
              <w:pStyle w:val="TableText"/>
            </w:pPr>
            <w:r w:rsidRPr="00582EF5">
              <w:t xml:space="preserve">n/a </w:t>
            </w:r>
          </w:p>
        </w:tc>
        <w:tc>
          <w:tcPr>
            <w:tcW w:w="2117" w:type="dxa"/>
          </w:tcPr>
          <w:p w14:paraId="1312CDFC" w14:textId="70F7B990" w:rsidR="00E72470" w:rsidRPr="00582EF5" w:rsidRDefault="00E72470" w:rsidP="004D5B90">
            <w:pPr>
              <w:pStyle w:val="TableText"/>
            </w:pPr>
            <w:r w:rsidRPr="00582EF5">
              <w:t xml:space="preserve">Management of legacy and imported products, and waste disposal when those products become waste. </w:t>
            </w:r>
          </w:p>
        </w:tc>
      </w:tr>
    </w:tbl>
    <w:p w14:paraId="54428353" w14:textId="1D379C58" w:rsidR="00E72470" w:rsidRPr="00582EF5" w:rsidRDefault="00E72470" w:rsidP="005D5C7B">
      <w:pPr>
        <w:pStyle w:val="Heading4"/>
        <w:spacing w:before="360"/>
      </w:pPr>
      <w:r w:rsidRPr="00582EF5">
        <w:t>Short-chain chlorinated paraffins</w:t>
      </w:r>
    </w:p>
    <w:p w14:paraId="16B4ED95" w14:textId="484EE12E" w:rsidR="00E72470" w:rsidRPr="00582EF5" w:rsidRDefault="00E72470" w:rsidP="005D5C7B">
      <w:pPr>
        <w:pStyle w:val="BodyText"/>
        <w:rPr>
          <w:rFonts w:eastAsia="Times New Roman"/>
        </w:rPr>
      </w:pPr>
      <w:r w:rsidRPr="00582EF5">
        <w:rPr>
          <w:rFonts w:eastAsia="Times New Roman"/>
        </w:rPr>
        <w:t xml:space="preserve">Chlorinated paraffins, including </w:t>
      </w:r>
      <w:r w:rsidR="005E7083" w:rsidRPr="00582EF5">
        <w:rPr>
          <w:rFonts w:eastAsia="Times New Roman"/>
        </w:rPr>
        <w:t>s</w:t>
      </w:r>
      <w:r w:rsidR="005E7083" w:rsidRPr="00582EF5">
        <w:t>hort-chain chlorinated paraffins</w:t>
      </w:r>
      <w:r w:rsidR="005E7083" w:rsidRPr="00582EF5">
        <w:rPr>
          <w:rFonts w:eastAsia="Times New Roman"/>
        </w:rPr>
        <w:t xml:space="preserve"> (</w:t>
      </w:r>
      <w:r w:rsidRPr="00582EF5">
        <w:rPr>
          <w:rFonts w:eastAsia="Times New Roman"/>
        </w:rPr>
        <w:t>SCCPs</w:t>
      </w:r>
      <w:r w:rsidR="005E7083" w:rsidRPr="00582EF5">
        <w:rPr>
          <w:rFonts w:eastAsia="Times New Roman"/>
        </w:rPr>
        <w:t>)</w:t>
      </w:r>
      <w:r w:rsidRPr="00582EF5">
        <w:rPr>
          <w:rFonts w:eastAsia="Times New Roman"/>
        </w:rPr>
        <w:t>, have been produced</w:t>
      </w:r>
      <w:r w:rsidR="00941A0B" w:rsidRPr="00582EF5">
        <w:rPr>
          <w:rFonts w:eastAsia="Times New Roman"/>
        </w:rPr>
        <w:t> </w:t>
      </w:r>
      <w:r w:rsidRPr="00582EF5">
        <w:rPr>
          <w:rFonts w:eastAsia="Times New Roman"/>
        </w:rPr>
        <w:t xml:space="preserve">commercially since the 1930s. </w:t>
      </w:r>
      <w:r w:rsidR="003E0882" w:rsidRPr="00582EF5">
        <w:rPr>
          <w:rFonts w:eastAsia="Times New Roman"/>
        </w:rPr>
        <w:t>At present</w:t>
      </w:r>
      <w:r w:rsidRPr="00582EF5">
        <w:rPr>
          <w:rFonts w:eastAsia="Times New Roman"/>
        </w:rPr>
        <w:t xml:space="preserve">, China is the largest producer of chlorinated paraffins. </w:t>
      </w:r>
    </w:p>
    <w:p w14:paraId="360B2C38" w14:textId="7D36A5CF" w:rsidR="00E72470" w:rsidRPr="00582EF5" w:rsidRDefault="007D4F2F" w:rsidP="005D5C7B">
      <w:pPr>
        <w:pStyle w:val="BodyText"/>
        <w:rPr>
          <w:rFonts w:eastAsia="Times New Roman"/>
        </w:rPr>
      </w:pPr>
      <w:r w:rsidRPr="00582EF5">
        <w:rPr>
          <w:rFonts w:eastAsia="Times New Roman"/>
        </w:rPr>
        <w:t>SCCP</w:t>
      </w:r>
      <w:r w:rsidR="00E72470" w:rsidRPr="00582EF5">
        <w:rPr>
          <w:rFonts w:eastAsia="Times New Roman"/>
        </w:rPr>
        <w:t xml:space="preserve"> production has decreased globally as </w:t>
      </w:r>
      <w:r w:rsidR="0EA8C416" w:rsidRPr="6E7DDF4C">
        <w:rPr>
          <w:rFonts w:eastAsia="Times New Roman"/>
        </w:rPr>
        <w:t>countries</w:t>
      </w:r>
      <w:r w:rsidR="00E72470" w:rsidRPr="00582EF5">
        <w:rPr>
          <w:rFonts w:eastAsia="Times New Roman"/>
        </w:rPr>
        <w:t xml:space="preserve"> have established control measures. Use of SCCPs in metalworking and for fat liquoring of leather was prohibited in the EU in 2003. From 13,000 tonnes per year in 1994 (</w:t>
      </w:r>
      <w:r w:rsidR="002F5CA8" w:rsidRPr="00582EF5">
        <w:rPr>
          <w:rFonts w:eastAsia="Times New Roman"/>
        </w:rPr>
        <w:t xml:space="preserve">in 15 </w:t>
      </w:r>
      <w:r w:rsidR="00E72470" w:rsidRPr="00582EF5">
        <w:rPr>
          <w:rFonts w:eastAsia="Times New Roman"/>
        </w:rPr>
        <w:t>EU</w:t>
      </w:r>
      <w:r w:rsidR="002F5CA8" w:rsidRPr="00582EF5">
        <w:rPr>
          <w:rFonts w:eastAsia="Times New Roman"/>
        </w:rPr>
        <w:t xml:space="preserve"> countries</w:t>
      </w:r>
      <w:r w:rsidR="00E72470" w:rsidRPr="00582EF5">
        <w:rPr>
          <w:rFonts w:eastAsia="Times New Roman"/>
        </w:rPr>
        <w:t>), use decreased to an estimated 530</w:t>
      </w:r>
      <w:r w:rsidR="00A67EFF" w:rsidRPr="00582EF5">
        <w:rPr>
          <w:rFonts w:eastAsia="Times New Roman"/>
        </w:rPr>
        <w:t> </w:t>
      </w:r>
      <w:r w:rsidR="00E72470" w:rsidRPr="00582EF5">
        <w:rPr>
          <w:rFonts w:eastAsia="Times New Roman"/>
        </w:rPr>
        <w:t>tonnes per year in 2010 (</w:t>
      </w:r>
      <w:r w:rsidR="002F5CA8" w:rsidRPr="00582EF5">
        <w:rPr>
          <w:rFonts w:eastAsia="Times New Roman"/>
        </w:rPr>
        <w:t xml:space="preserve">in 27 </w:t>
      </w:r>
      <w:r w:rsidR="00E72470" w:rsidRPr="00582EF5">
        <w:rPr>
          <w:rFonts w:eastAsia="Times New Roman"/>
        </w:rPr>
        <w:t>EU</w:t>
      </w:r>
      <w:r w:rsidR="002F5CA8" w:rsidRPr="00582EF5">
        <w:rPr>
          <w:rFonts w:eastAsia="Times New Roman"/>
        </w:rPr>
        <w:t xml:space="preserve"> countries</w:t>
      </w:r>
      <w:r w:rsidR="00E72470" w:rsidRPr="00582EF5">
        <w:rPr>
          <w:rFonts w:eastAsia="Times New Roman"/>
        </w:rPr>
        <w:t>). In 2012, use of SCCPs in the EU was further restricted to fire retardants in rubber used in conveyor belts in the mining industry and fire retardants in dam sealants. The U</w:t>
      </w:r>
      <w:r w:rsidRPr="00582EF5">
        <w:rPr>
          <w:rFonts w:eastAsia="Times New Roman"/>
        </w:rPr>
        <w:t xml:space="preserve">nited </w:t>
      </w:r>
      <w:r w:rsidR="00E72470" w:rsidRPr="00582EF5">
        <w:rPr>
          <w:rFonts w:eastAsia="Times New Roman"/>
        </w:rPr>
        <w:t>S</w:t>
      </w:r>
      <w:r w:rsidRPr="00582EF5">
        <w:rPr>
          <w:rFonts w:eastAsia="Times New Roman"/>
        </w:rPr>
        <w:t xml:space="preserve">tates of </w:t>
      </w:r>
      <w:r w:rsidR="008E2C5C" w:rsidRPr="00582EF5">
        <w:rPr>
          <w:rFonts w:eastAsia="Times New Roman"/>
        </w:rPr>
        <w:t>A</w:t>
      </w:r>
      <w:r w:rsidRPr="00582EF5">
        <w:rPr>
          <w:rFonts w:eastAsia="Times New Roman"/>
        </w:rPr>
        <w:t>merica</w:t>
      </w:r>
      <w:r w:rsidR="00E72470" w:rsidRPr="00582EF5">
        <w:rPr>
          <w:rFonts w:eastAsia="Times New Roman"/>
        </w:rPr>
        <w:t xml:space="preserve"> prohibited use of SCCPs in 2013. Japanese industry </w:t>
      </w:r>
      <w:r w:rsidR="009C38E9" w:rsidRPr="00582EF5">
        <w:rPr>
          <w:rFonts w:eastAsia="Times New Roman"/>
        </w:rPr>
        <w:t xml:space="preserve">voluntarily </w:t>
      </w:r>
      <w:r w:rsidR="00E72470" w:rsidRPr="00582EF5">
        <w:rPr>
          <w:rFonts w:eastAsia="Times New Roman"/>
        </w:rPr>
        <w:t xml:space="preserve">discontinued use in metalworking in 2007. </w:t>
      </w:r>
      <w:r w:rsidR="00223E9E" w:rsidRPr="009F3BAF">
        <w:t>In Canada, the production of chlorinated paraffins stopped in 2008, and the manufacture, use, sale, offer for sale and import of SCCPs were prohibited in 2013</w:t>
      </w:r>
      <w:r w:rsidR="00E72470" w:rsidRPr="00582EF5">
        <w:rPr>
          <w:rFonts w:eastAsia="Times New Roman"/>
        </w:rPr>
        <w:t>.</w:t>
      </w:r>
      <w:r w:rsidR="00223E9E">
        <w:rPr>
          <w:rFonts w:eastAsia="Times New Roman"/>
        </w:rPr>
        <w:t xml:space="preserve"> See the </w:t>
      </w:r>
      <w:hyperlink r:id="rId85" w:history="1">
        <w:r w:rsidR="00223E9E" w:rsidRPr="00223E9E">
          <w:rPr>
            <w:rStyle w:val="Hyperlink"/>
            <w:rFonts w:eastAsia="Times New Roman"/>
          </w:rPr>
          <w:t>revised draft guidelines</w:t>
        </w:r>
      </w:hyperlink>
      <w:r w:rsidR="00223E9E">
        <w:rPr>
          <w:rFonts w:eastAsia="Times New Roman"/>
        </w:rPr>
        <w:t>.</w:t>
      </w:r>
    </w:p>
    <w:p w14:paraId="65AC37EF" w14:textId="77D1A747" w:rsidR="00E72470" w:rsidRPr="00582EF5" w:rsidRDefault="00E72470" w:rsidP="005D5C7B">
      <w:pPr>
        <w:pStyle w:val="BodyText"/>
        <w:rPr>
          <w:rFonts w:eastAsia="Times New Roman"/>
        </w:rPr>
      </w:pPr>
      <w:r w:rsidRPr="00582EF5">
        <w:rPr>
          <w:rFonts w:eastAsia="Times New Roman"/>
        </w:rPr>
        <w:t>Main SCCP applications have been as a plasticizer in polyvinylchloride</w:t>
      </w:r>
      <w:r w:rsidR="00D623A0">
        <w:rPr>
          <w:rFonts w:eastAsia="Times New Roman"/>
        </w:rPr>
        <w:t xml:space="preserve"> (PVC)</w:t>
      </w:r>
      <w:r w:rsidRPr="00582EF5">
        <w:rPr>
          <w:rFonts w:eastAsia="Times New Roman"/>
        </w:rPr>
        <w:t>, in metal-working fluids, paints, coatings, sealants, rubber, as a fire</w:t>
      </w:r>
      <w:r w:rsidR="00EA7B68" w:rsidRPr="00582EF5">
        <w:rPr>
          <w:rFonts w:eastAsia="Times New Roman"/>
        </w:rPr>
        <w:t xml:space="preserve"> </w:t>
      </w:r>
      <w:r w:rsidRPr="00582EF5">
        <w:rPr>
          <w:rFonts w:eastAsia="Times New Roman"/>
        </w:rPr>
        <w:t>retardant or a water</w:t>
      </w:r>
      <w:r w:rsidR="00EA7B68" w:rsidRPr="00582EF5">
        <w:rPr>
          <w:rFonts w:eastAsia="Times New Roman"/>
        </w:rPr>
        <w:t xml:space="preserve"> </w:t>
      </w:r>
      <w:r w:rsidRPr="00582EF5">
        <w:rPr>
          <w:rFonts w:eastAsia="Times New Roman"/>
        </w:rPr>
        <w:t>repellent.</w:t>
      </w:r>
      <w:r w:rsidR="006D7E9D" w:rsidRPr="00582EF5">
        <w:rPr>
          <w:rFonts w:eastAsia="Times New Roman"/>
        </w:rPr>
        <w:t xml:space="preserve"> </w:t>
      </w:r>
      <w:r w:rsidRPr="00582EF5">
        <w:rPr>
          <w:rFonts w:eastAsia="Times New Roman"/>
        </w:rPr>
        <w:t xml:space="preserve">They have also </w:t>
      </w:r>
      <w:r w:rsidRPr="00582EF5">
        <w:rPr>
          <w:rFonts w:eastAsia="Times New Roman"/>
        </w:rPr>
        <w:lastRenderedPageBreak/>
        <w:t>been used in leather production. SCCPs have been used to replace PCBs, and many uses are similar.</w:t>
      </w:r>
      <w:r w:rsidR="006D7E9D" w:rsidRPr="00582EF5">
        <w:rPr>
          <w:rFonts w:eastAsia="Times New Roman"/>
        </w:rPr>
        <w:t xml:space="preserve"> </w:t>
      </w:r>
      <w:r w:rsidRPr="00582EF5">
        <w:rPr>
          <w:rFonts w:eastAsia="Times New Roman"/>
        </w:rPr>
        <w:t>SCCPs have</w:t>
      </w:r>
      <w:r w:rsidR="00EA7B68" w:rsidRPr="00582EF5">
        <w:rPr>
          <w:rFonts w:eastAsia="Times New Roman"/>
        </w:rPr>
        <w:t>, however,</w:t>
      </w:r>
      <w:r w:rsidRPr="00582EF5">
        <w:rPr>
          <w:rFonts w:eastAsia="Times New Roman"/>
        </w:rPr>
        <w:t xml:space="preserve"> been reported </w:t>
      </w:r>
      <w:r w:rsidR="00EA7B68" w:rsidRPr="00582EF5">
        <w:rPr>
          <w:rFonts w:eastAsia="Times New Roman"/>
        </w:rPr>
        <w:t>as un</w:t>
      </w:r>
      <w:r w:rsidRPr="00582EF5">
        <w:rPr>
          <w:rFonts w:eastAsia="Times New Roman"/>
        </w:rPr>
        <w:t>suitable for uses requiring high heat stability (</w:t>
      </w:r>
      <w:proofErr w:type="spellStart"/>
      <w:r w:rsidRPr="00582EF5">
        <w:rPr>
          <w:rFonts w:eastAsia="Times New Roman"/>
        </w:rPr>
        <w:t>eg</w:t>
      </w:r>
      <w:proofErr w:type="spellEnd"/>
      <w:r w:rsidR="00EA7B68" w:rsidRPr="00582EF5">
        <w:rPr>
          <w:rFonts w:eastAsia="Times New Roman"/>
        </w:rPr>
        <w:t>,</w:t>
      </w:r>
      <w:r w:rsidRPr="00582EF5">
        <w:rPr>
          <w:rFonts w:eastAsia="Times New Roman"/>
        </w:rPr>
        <w:t xml:space="preserve"> capacitors</w:t>
      </w:r>
      <w:r w:rsidR="00EA7B68" w:rsidRPr="00582EF5">
        <w:rPr>
          <w:rFonts w:eastAsia="Times New Roman"/>
        </w:rPr>
        <w:t xml:space="preserve"> and</w:t>
      </w:r>
      <w:r w:rsidRPr="00582EF5">
        <w:rPr>
          <w:rFonts w:eastAsia="Times New Roman"/>
        </w:rPr>
        <w:t xml:space="preserve"> transformers). </w:t>
      </w:r>
    </w:p>
    <w:p w14:paraId="1AEAB2A1" w14:textId="1E769627" w:rsidR="00E72470" w:rsidRPr="00582EF5" w:rsidRDefault="00E72470" w:rsidP="005D5C7B">
      <w:pPr>
        <w:pStyle w:val="BodyText"/>
        <w:rPr>
          <w:rFonts w:eastAsia="Times New Roman"/>
        </w:rPr>
      </w:pPr>
      <w:r w:rsidRPr="00582EF5">
        <w:rPr>
          <w:rFonts w:eastAsia="Times New Roman"/>
        </w:rPr>
        <w:t>SCCPs have been used in the production of flame-resistant, water</w:t>
      </w:r>
      <w:r w:rsidR="00D36E17" w:rsidRPr="00582EF5">
        <w:rPr>
          <w:rFonts w:eastAsia="Times New Roman"/>
        </w:rPr>
        <w:t>-</w:t>
      </w:r>
      <w:r w:rsidRPr="00582EF5">
        <w:rPr>
          <w:rFonts w:eastAsia="Times New Roman"/>
        </w:rPr>
        <w:t>repellent and rot-preventing textile finishes in sail cloths</w:t>
      </w:r>
      <w:r w:rsidR="00D36E17" w:rsidRPr="00582EF5">
        <w:rPr>
          <w:rFonts w:eastAsia="Times New Roman"/>
        </w:rPr>
        <w:t>,</w:t>
      </w:r>
      <w:r w:rsidRPr="00582EF5">
        <w:rPr>
          <w:rFonts w:eastAsia="Times New Roman"/>
        </w:rPr>
        <w:t xml:space="preserve"> industrial protective clothing and tarpaulins that could be </w:t>
      </w:r>
      <w:r w:rsidR="00D36E17" w:rsidRPr="00582EF5">
        <w:rPr>
          <w:rFonts w:eastAsia="Times New Roman"/>
        </w:rPr>
        <w:t xml:space="preserve">bought </w:t>
      </w:r>
      <w:r w:rsidRPr="00582EF5">
        <w:rPr>
          <w:rFonts w:eastAsia="Times New Roman"/>
        </w:rPr>
        <w:t xml:space="preserve">by the public. The major historical use of chlorinated paraffins was in military tenting and other textile applications where fire risk must be controlled. SCCPs were applied </w:t>
      </w:r>
      <w:r w:rsidR="00D36E17" w:rsidRPr="00582EF5">
        <w:rPr>
          <w:rFonts w:eastAsia="Times New Roman"/>
        </w:rPr>
        <w:t xml:space="preserve">mainly </w:t>
      </w:r>
      <w:r w:rsidRPr="00582EF5">
        <w:rPr>
          <w:rFonts w:eastAsia="Times New Roman"/>
        </w:rPr>
        <w:t xml:space="preserve">as a flame retardant for back-coating of textiles in the EU and less </w:t>
      </w:r>
      <w:r w:rsidR="00D36E17" w:rsidRPr="00582EF5">
        <w:rPr>
          <w:rFonts w:eastAsia="Times New Roman"/>
        </w:rPr>
        <w:t xml:space="preserve">so </w:t>
      </w:r>
      <w:r w:rsidRPr="00582EF5">
        <w:rPr>
          <w:rFonts w:eastAsia="Times New Roman"/>
        </w:rPr>
        <w:t>for waterproofing.</w:t>
      </w:r>
    </w:p>
    <w:p w14:paraId="38D3860F" w14:textId="43A23569" w:rsidR="00E72470" w:rsidRPr="00582EF5" w:rsidRDefault="00E72470" w:rsidP="005D5C7B">
      <w:pPr>
        <w:pStyle w:val="BodyText"/>
        <w:rPr>
          <w:rFonts w:eastAsia="Times New Roman"/>
        </w:rPr>
      </w:pPr>
      <w:r w:rsidRPr="00582EF5">
        <w:rPr>
          <w:rFonts w:eastAsia="Times New Roman"/>
        </w:rPr>
        <w:t>In New Zealand, it is possible that existing fire</w:t>
      </w:r>
      <w:r w:rsidR="00D36E17" w:rsidRPr="00582EF5">
        <w:rPr>
          <w:rFonts w:eastAsia="Times New Roman"/>
        </w:rPr>
        <w:t>-</w:t>
      </w:r>
      <w:r w:rsidRPr="00582EF5">
        <w:rPr>
          <w:rFonts w:eastAsia="Times New Roman"/>
        </w:rPr>
        <w:t xml:space="preserve">resistant clothing and equipment may contain SCCPs. Therefore, New Zealand notified the </w:t>
      </w:r>
      <w:r w:rsidR="0049021F" w:rsidRPr="00582EF5">
        <w:rPr>
          <w:rFonts w:eastAsia="Times New Roman"/>
        </w:rPr>
        <w:t xml:space="preserve">Convention </w:t>
      </w:r>
      <w:r w:rsidRPr="00582EF5">
        <w:rPr>
          <w:rFonts w:eastAsia="Times New Roman"/>
        </w:rPr>
        <w:t>Secretariat of existing articles in use containing SCCPs and reflected this in domestic law</w:t>
      </w:r>
      <w:r w:rsidR="00487A2A" w:rsidRPr="00582EF5">
        <w:rPr>
          <w:rFonts w:eastAsia="Times New Roman"/>
        </w:rPr>
        <w:t xml:space="preserve"> (</w:t>
      </w:r>
      <w:r w:rsidR="00D36E17" w:rsidRPr="00582EF5">
        <w:rPr>
          <w:rFonts w:eastAsia="Times New Roman"/>
        </w:rPr>
        <w:t>t</w:t>
      </w:r>
      <w:r w:rsidR="00487A2A" w:rsidRPr="00582EF5">
        <w:rPr>
          <w:rFonts w:eastAsia="Times New Roman"/>
        </w:rPr>
        <w:t xml:space="preserve">able </w:t>
      </w:r>
      <w:r w:rsidR="00BC43DD" w:rsidRPr="00582EF5">
        <w:rPr>
          <w:rFonts w:eastAsia="Times New Roman"/>
        </w:rPr>
        <w:t>2</w:t>
      </w:r>
      <w:r w:rsidR="00BC43DD">
        <w:rPr>
          <w:rFonts w:eastAsia="Times New Roman"/>
        </w:rPr>
        <w:t>3</w:t>
      </w:r>
      <w:r w:rsidR="00487A2A" w:rsidRPr="00582EF5">
        <w:rPr>
          <w:rFonts w:eastAsia="Times New Roman"/>
        </w:rPr>
        <w:t>)</w:t>
      </w:r>
      <w:r w:rsidRPr="00582EF5">
        <w:rPr>
          <w:rFonts w:eastAsia="Times New Roman"/>
        </w:rPr>
        <w:t xml:space="preserve">. </w:t>
      </w:r>
    </w:p>
    <w:p w14:paraId="089F6FD7" w14:textId="121C423E" w:rsidR="00487A2A" w:rsidRPr="00582EF5" w:rsidRDefault="00487A2A" w:rsidP="005D5C7B">
      <w:pPr>
        <w:pStyle w:val="Tableheading"/>
      </w:pPr>
      <w:bookmarkStart w:id="87" w:name="_Toc120532288"/>
      <w:r w:rsidRPr="00582EF5">
        <w:t xml:space="preserve">Table </w:t>
      </w:r>
      <w:r w:rsidR="0DADF1BD">
        <w:t>2</w:t>
      </w:r>
      <w:r w:rsidR="1F4F834C">
        <w:t>3</w:t>
      </w:r>
      <w:r w:rsidRPr="00582EF5">
        <w:t xml:space="preserve">: </w:t>
      </w:r>
      <w:r w:rsidR="00397036" w:rsidRPr="00582EF5">
        <w:tab/>
      </w:r>
      <w:r w:rsidRPr="00582EF5">
        <w:t xml:space="preserve">History of use and controls of </w:t>
      </w:r>
      <w:r w:rsidR="00D36E17" w:rsidRPr="00582EF5">
        <w:t>short-chain chlorinated paraffins</w:t>
      </w:r>
      <w:bookmarkEnd w:id="87"/>
      <w:r w:rsidRPr="00582EF5">
        <w:t xml:space="preserve"> </w:t>
      </w:r>
    </w:p>
    <w:tbl>
      <w:tblPr>
        <w:tblStyle w:val="TableGrid"/>
        <w:tblW w:w="0" w:type="auto"/>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CellMar>
          <w:left w:w="85" w:type="dxa"/>
          <w:right w:w="85" w:type="dxa"/>
        </w:tblCellMar>
        <w:tblLook w:val="04A0" w:firstRow="1" w:lastRow="0" w:firstColumn="1" w:lastColumn="0" w:noHBand="0" w:noVBand="1"/>
      </w:tblPr>
      <w:tblGrid>
        <w:gridCol w:w="2009"/>
        <w:gridCol w:w="3094"/>
        <w:gridCol w:w="1442"/>
        <w:gridCol w:w="1960"/>
      </w:tblGrid>
      <w:tr w:rsidR="00873A89" w:rsidRPr="00582EF5" w14:paraId="40E9F5EB" w14:textId="77777777" w:rsidTr="00664498">
        <w:tc>
          <w:tcPr>
            <w:tcW w:w="2009" w:type="dxa"/>
            <w:shd w:val="clear" w:color="auto" w:fill="1C556C" w:themeFill="accent1"/>
            <w:vAlign w:val="bottom"/>
          </w:tcPr>
          <w:p w14:paraId="6BDF7AFF" w14:textId="1559A7EA" w:rsidR="00E72470" w:rsidRPr="00582EF5" w:rsidRDefault="00E72470" w:rsidP="00327304">
            <w:pPr>
              <w:pStyle w:val="TableTextbold"/>
              <w:rPr>
                <w:color w:val="FFFFFF" w:themeColor="background1"/>
              </w:rPr>
            </w:pPr>
            <w:r w:rsidRPr="00582EF5">
              <w:rPr>
                <w:color w:val="FFFFFF" w:themeColor="background1"/>
              </w:rPr>
              <w:t>History of use in N</w:t>
            </w:r>
            <w:r w:rsidR="00D36E17" w:rsidRPr="00582EF5">
              <w:rPr>
                <w:color w:val="FFFFFF" w:themeColor="background1"/>
              </w:rPr>
              <w:t>ew </w:t>
            </w:r>
            <w:r w:rsidRPr="00582EF5">
              <w:rPr>
                <w:color w:val="FFFFFF" w:themeColor="background1"/>
              </w:rPr>
              <w:t>Z</w:t>
            </w:r>
            <w:r w:rsidR="00D36E17" w:rsidRPr="00582EF5">
              <w:rPr>
                <w:color w:val="FFFFFF" w:themeColor="background1"/>
              </w:rPr>
              <w:t>ealand</w:t>
            </w:r>
          </w:p>
        </w:tc>
        <w:tc>
          <w:tcPr>
            <w:tcW w:w="3094" w:type="dxa"/>
            <w:shd w:val="clear" w:color="auto" w:fill="1C556C" w:themeFill="accent1"/>
            <w:vAlign w:val="bottom"/>
          </w:tcPr>
          <w:p w14:paraId="777E7F52" w14:textId="216F1A27" w:rsidR="00E72470" w:rsidRPr="00582EF5" w:rsidRDefault="00E72470" w:rsidP="00327304">
            <w:pPr>
              <w:pStyle w:val="TableTextbold"/>
              <w:rPr>
                <w:color w:val="FFFFFF" w:themeColor="background1"/>
              </w:rPr>
            </w:pPr>
            <w:r w:rsidRPr="00582EF5">
              <w:rPr>
                <w:color w:val="FFFFFF" w:themeColor="background1"/>
              </w:rPr>
              <w:t xml:space="preserve">Relevant controls under </w:t>
            </w:r>
            <w:r w:rsidR="00D36E17" w:rsidRPr="00582EF5">
              <w:rPr>
                <w:color w:val="FFFFFF" w:themeColor="background1"/>
              </w:rPr>
              <w:t>Hazardous Substances and New Organisms (HSNO) Act 1996</w:t>
            </w:r>
          </w:p>
        </w:tc>
        <w:tc>
          <w:tcPr>
            <w:tcW w:w="1442" w:type="dxa"/>
            <w:shd w:val="clear" w:color="auto" w:fill="1C556C" w:themeFill="accent1"/>
            <w:vAlign w:val="bottom"/>
          </w:tcPr>
          <w:p w14:paraId="4AE76234" w14:textId="77777777" w:rsidR="00E72470" w:rsidRPr="00582EF5" w:rsidRDefault="00E72470" w:rsidP="00327304">
            <w:pPr>
              <w:pStyle w:val="TableTextbold"/>
              <w:rPr>
                <w:color w:val="FFFFFF" w:themeColor="background1"/>
              </w:rPr>
            </w:pPr>
            <w:r w:rsidRPr="00582EF5">
              <w:rPr>
                <w:color w:val="FFFFFF" w:themeColor="background1"/>
              </w:rPr>
              <w:t>Other controls</w:t>
            </w:r>
          </w:p>
        </w:tc>
        <w:tc>
          <w:tcPr>
            <w:tcW w:w="1960" w:type="dxa"/>
            <w:shd w:val="clear" w:color="auto" w:fill="1C556C" w:themeFill="accent1"/>
            <w:vAlign w:val="bottom"/>
          </w:tcPr>
          <w:p w14:paraId="29AF30A5" w14:textId="77777777" w:rsidR="00E72470" w:rsidRPr="00582EF5" w:rsidRDefault="00E72470" w:rsidP="00327304">
            <w:pPr>
              <w:pStyle w:val="TableTextbold"/>
              <w:rPr>
                <w:color w:val="FFFFFF" w:themeColor="background1"/>
              </w:rPr>
            </w:pPr>
            <w:r w:rsidRPr="00582EF5">
              <w:rPr>
                <w:color w:val="FFFFFF" w:themeColor="background1"/>
              </w:rPr>
              <w:t xml:space="preserve">Ongoing implementation issues </w:t>
            </w:r>
          </w:p>
        </w:tc>
      </w:tr>
      <w:tr w:rsidR="00E72470" w:rsidRPr="00582EF5" w14:paraId="50D772FB" w14:textId="77777777" w:rsidTr="00664498">
        <w:tc>
          <w:tcPr>
            <w:tcW w:w="2009" w:type="dxa"/>
          </w:tcPr>
          <w:p w14:paraId="22073369" w14:textId="1855376F" w:rsidR="006B17F3" w:rsidRPr="00582EF5" w:rsidRDefault="00E72470" w:rsidP="005D5C7B">
            <w:pPr>
              <w:pStyle w:val="TableText"/>
            </w:pPr>
            <w:r w:rsidRPr="00582EF5">
              <w:t>Never produced in N</w:t>
            </w:r>
            <w:r w:rsidR="006B17F3" w:rsidRPr="00582EF5">
              <w:t>ew</w:t>
            </w:r>
            <w:r w:rsidR="00D830F6" w:rsidRPr="00582EF5">
              <w:t> </w:t>
            </w:r>
            <w:r w:rsidRPr="00582EF5">
              <w:t>Z</w:t>
            </w:r>
            <w:r w:rsidR="006B17F3" w:rsidRPr="00582EF5">
              <w:t>ealand</w:t>
            </w:r>
            <w:r w:rsidRPr="00582EF5">
              <w:t>.</w:t>
            </w:r>
          </w:p>
          <w:p w14:paraId="19AB39B8" w14:textId="3E4B1792" w:rsidR="00E72470" w:rsidRPr="00582EF5" w:rsidRDefault="0039554B" w:rsidP="005D5C7B">
            <w:pPr>
              <w:pStyle w:val="TableText"/>
            </w:pPr>
            <w:r w:rsidRPr="00582EF5">
              <w:t>Many</w:t>
            </w:r>
            <w:r w:rsidR="00E72470" w:rsidRPr="00582EF5">
              <w:t xml:space="preserve"> of the applications listed above </w:t>
            </w:r>
            <w:r w:rsidRPr="00582EF5">
              <w:t xml:space="preserve">in the paragraph text </w:t>
            </w:r>
            <w:r w:rsidR="00E72470" w:rsidRPr="00582EF5">
              <w:t>have been used in New</w:t>
            </w:r>
            <w:r w:rsidR="006B17F3" w:rsidRPr="00582EF5">
              <w:t> </w:t>
            </w:r>
            <w:r w:rsidR="00E72470" w:rsidRPr="00582EF5">
              <w:t>Zealand.</w:t>
            </w:r>
          </w:p>
        </w:tc>
        <w:tc>
          <w:tcPr>
            <w:tcW w:w="3094" w:type="dxa"/>
          </w:tcPr>
          <w:p w14:paraId="254D45E0" w14:textId="2A45D725" w:rsidR="00143059" w:rsidRPr="00582EF5" w:rsidRDefault="00E72470" w:rsidP="005D5C7B">
            <w:pPr>
              <w:pStyle w:val="TableText"/>
            </w:pPr>
            <w:r w:rsidRPr="00582EF5">
              <w:t>Prohibited</w:t>
            </w:r>
            <w:r w:rsidR="00D830F6" w:rsidRPr="00582EF5">
              <w:t>,</w:t>
            </w:r>
            <w:r w:rsidRPr="00582EF5">
              <w:t xml:space="preserve"> as listed</w:t>
            </w:r>
            <w:r w:rsidR="006D7E9D" w:rsidRPr="00582EF5">
              <w:t xml:space="preserve"> </w:t>
            </w:r>
            <w:r w:rsidRPr="00582EF5">
              <w:t xml:space="preserve">in Schedule 2A of </w:t>
            </w:r>
            <w:r w:rsidR="00D830F6" w:rsidRPr="00582EF5">
              <w:t xml:space="preserve">the </w:t>
            </w:r>
            <w:r w:rsidRPr="00582EF5">
              <w:t>HSNO</w:t>
            </w:r>
            <w:r w:rsidR="006D7E9D" w:rsidRPr="00582EF5">
              <w:t xml:space="preserve"> </w:t>
            </w:r>
            <w:r w:rsidR="00D830F6" w:rsidRPr="00582EF5">
              <w:t xml:space="preserve">Act </w:t>
            </w:r>
            <w:r w:rsidRPr="00582EF5">
              <w:t>from 18 December 2018, with</w:t>
            </w:r>
            <w:r w:rsidR="00143059" w:rsidRPr="00582EF5">
              <w:t xml:space="preserve"> articles in use notifications for: </w:t>
            </w:r>
          </w:p>
          <w:p w14:paraId="207E59C0" w14:textId="1CD287D3" w:rsidR="00143059" w:rsidRPr="00582EF5" w:rsidRDefault="00143059" w:rsidP="005D5C7B">
            <w:pPr>
              <w:pStyle w:val="TableBullet"/>
            </w:pPr>
            <w:r w:rsidRPr="00582EF5">
              <w:t xml:space="preserve">articles where </w:t>
            </w:r>
            <w:r w:rsidR="005D4572" w:rsidRPr="00582EF5">
              <w:t>short-chain chlorinated paraffins (</w:t>
            </w:r>
            <w:r w:rsidRPr="00582EF5">
              <w:t>SCCPs</w:t>
            </w:r>
            <w:r w:rsidR="005D4572" w:rsidRPr="00582EF5">
              <w:t>)</w:t>
            </w:r>
            <w:r w:rsidRPr="00582EF5">
              <w:t xml:space="preserve"> have been used as additives in rubber and plastic goods, in adhesives and sealants, and as water-proofing and flame-retardant agents for textiles—present in New Zealand before 18 December 2018.</w:t>
            </w:r>
          </w:p>
          <w:p w14:paraId="70622961" w14:textId="7823173D" w:rsidR="00E72470" w:rsidRPr="00582EF5" w:rsidRDefault="00D830F6" w:rsidP="005D5C7B">
            <w:pPr>
              <w:pStyle w:val="TableText"/>
            </w:pPr>
            <w:r w:rsidRPr="00582EF5">
              <w:t>Before</w:t>
            </w:r>
            <w:r w:rsidR="00E72470" w:rsidRPr="00582EF5">
              <w:t xml:space="preserve"> listing, there was an approval for this chemical under CAS No: 85535-84-8 (trade name: </w:t>
            </w:r>
            <w:proofErr w:type="spellStart"/>
            <w:r w:rsidR="00E72470" w:rsidRPr="00582EF5">
              <w:t>Witaclor</w:t>
            </w:r>
            <w:proofErr w:type="spellEnd"/>
            <w:r w:rsidR="00E72470" w:rsidRPr="00582EF5">
              <w:t xml:space="preserve"> 149). In addition, some chemicals were allowed to be used as component</w:t>
            </w:r>
            <w:r w:rsidR="00C06F8E" w:rsidRPr="00582EF5">
              <w:t>s</w:t>
            </w:r>
            <w:r w:rsidR="00E72470" w:rsidRPr="00582EF5">
              <w:t xml:space="preserve"> in products under relevant group standards. </w:t>
            </w:r>
          </w:p>
        </w:tc>
        <w:tc>
          <w:tcPr>
            <w:tcW w:w="1442" w:type="dxa"/>
          </w:tcPr>
          <w:p w14:paraId="00DA5DBC" w14:textId="77777777" w:rsidR="00E72470" w:rsidRPr="00582EF5" w:rsidRDefault="00E72470" w:rsidP="005D5C7B">
            <w:pPr>
              <w:pStyle w:val="TableText"/>
            </w:pPr>
            <w:r w:rsidRPr="00582EF5">
              <w:t xml:space="preserve">n/a </w:t>
            </w:r>
          </w:p>
        </w:tc>
        <w:tc>
          <w:tcPr>
            <w:tcW w:w="1960" w:type="dxa"/>
          </w:tcPr>
          <w:p w14:paraId="544AB390" w14:textId="77777777" w:rsidR="00E72470" w:rsidRPr="00582EF5" w:rsidRDefault="00E72470" w:rsidP="005D5C7B">
            <w:pPr>
              <w:pStyle w:val="TableText"/>
            </w:pPr>
            <w:r w:rsidRPr="00582EF5">
              <w:t xml:space="preserve">Management of existing articles such as firefighting clothing and equipment, and waste disposal when they become waste. </w:t>
            </w:r>
          </w:p>
        </w:tc>
      </w:tr>
    </w:tbl>
    <w:p w14:paraId="1F1A3ECA" w14:textId="27D36A31" w:rsidR="035507E9" w:rsidRPr="00664498" w:rsidRDefault="035507E9" w:rsidP="00664498">
      <w:pPr>
        <w:pStyle w:val="Heading3"/>
      </w:pPr>
      <w:r w:rsidRPr="00664498">
        <w:t>4.4.5 Persistent organic pollutants added to the Convention in 2019</w:t>
      </w:r>
    </w:p>
    <w:p w14:paraId="026FDBD5" w14:textId="0D04A571" w:rsidR="2967F7CE" w:rsidRPr="00664498" w:rsidRDefault="2967F7CE" w:rsidP="00664498">
      <w:pPr>
        <w:pStyle w:val="Heading4"/>
      </w:pPr>
      <w:r w:rsidRPr="00664498">
        <w:t>Dicofol</w:t>
      </w:r>
    </w:p>
    <w:p w14:paraId="75E6511E" w14:textId="77777777" w:rsidR="00D845EC" w:rsidRDefault="2967F7CE" w:rsidP="005D5C7B">
      <w:pPr>
        <w:pStyle w:val="BodyText"/>
      </w:pPr>
      <w:hyperlink r:id="rId86" w:history="1">
        <w:r w:rsidRPr="00485371">
          <w:rPr>
            <w:rStyle w:val="Hyperlink"/>
          </w:rPr>
          <w:t>Dicofol</w:t>
        </w:r>
      </w:hyperlink>
      <w:r w:rsidRPr="00DC7656">
        <w:t xml:space="preserve"> is an organochlorine pesticide</w:t>
      </w:r>
      <w:r w:rsidRPr="005D5C7B">
        <w:t>, used to control mites on a variety of crops.</w:t>
      </w:r>
      <w:r w:rsidR="00EC3EFF" w:rsidRPr="005D5C7B">
        <w:t xml:space="preserve"> </w:t>
      </w:r>
      <w:r w:rsidRPr="005D5C7B">
        <w:t xml:space="preserve">It was introduced commercially in 1955. </w:t>
      </w:r>
      <w:r w:rsidR="00CB064A" w:rsidRPr="00832FD4">
        <w:t>Intended uses of dicofol cover fruits, vegetables, ornamentals, field crops, cotton, tea, and Christmas tree plantations</w:t>
      </w:r>
      <w:r w:rsidRPr="005D5C7B">
        <w:t xml:space="preserve">. </w:t>
      </w:r>
    </w:p>
    <w:p w14:paraId="07280F99" w14:textId="77777777" w:rsidR="00D845EC" w:rsidRDefault="2967F7CE" w:rsidP="005D5C7B">
      <w:pPr>
        <w:pStyle w:val="BodyText"/>
      </w:pPr>
      <w:r w:rsidRPr="005D5C7B">
        <w:t xml:space="preserve">Between 2000 and 2007, global production of dicofol was estimated to have been 2,700–5,500 tonnes annually. Production has declined sharply since then as countries have phased out production and usage. </w:t>
      </w:r>
    </w:p>
    <w:p w14:paraId="498701B9" w14:textId="7ED687E3" w:rsidR="001D09C5" w:rsidRPr="00D845EC" w:rsidRDefault="2967F7CE" w:rsidP="005D5C7B">
      <w:pPr>
        <w:pStyle w:val="BodyText"/>
      </w:pPr>
      <w:r w:rsidRPr="005D5C7B">
        <w:t xml:space="preserve">There are no specific examples of critical uses </w:t>
      </w:r>
      <w:r w:rsidR="00DD7A2B" w:rsidRPr="00DD7A2B">
        <w:rPr>
          <w:rFonts w:eastAsia="Times New Roman"/>
        </w:rPr>
        <w:t xml:space="preserve">given as specific exemptions </w:t>
      </w:r>
      <w:r w:rsidRPr="005D5C7B">
        <w:t>in the listing Decision SC-9/11 by the Conference of the Parties. A range of chemical and non-chemical alternatives to dicofol are available and accessible. Considered technically feasible, these include more than 25 chemical pesticides, biological controls (pathogens and predators), botanical preparations (plant extracts), and</w:t>
      </w:r>
      <w:r w:rsidRPr="005D5C7B">
        <w:rPr>
          <w:color w:val="2B579A"/>
        </w:rPr>
        <w:t xml:space="preserve"> </w:t>
      </w:r>
      <w:r w:rsidRPr="005D5C7B">
        <w:t xml:space="preserve">agroecological practices (such as used in </w:t>
      </w:r>
      <w:r w:rsidRPr="005D5C7B">
        <w:lastRenderedPageBreak/>
        <w:t xml:space="preserve">agroecology, organics and integrated pest management). </w:t>
      </w:r>
      <w:r w:rsidR="000D5DA3">
        <w:rPr>
          <w:rFonts w:eastAsia="Times New Roman"/>
        </w:rPr>
        <w:t xml:space="preserve">In New Zealand, </w:t>
      </w:r>
      <w:r w:rsidR="007162B4">
        <w:rPr>
          <w:rFonts w:eastAsia="Times New Roman"/>
        </w:rPr>
        <w:t>before</w:t>
      </w:r>
      <w:r w:rsidR="000D5DA3">
        <w:rPr>
          <w:rFonts w:eastAsia="Times New Roman"/>
        </w:rPr>
        <w:t xml:space="preserve"> its listing in Annex A of the Convention, there were approvals under the HSNO Act for </w:t>
      </w:r>
      <w:r w:rsidR="000D5DA3" w:rsidRPr="00A01A5B">
        <w:rPr>
          <w:rFonts w:eastAsia="Times New Roman"/>
        </w:rPr>
        <w:t xml:space="preserve">Dicofol </w:t>
      </w:r>
      <w:r w:rsidR="000D5DA3">
        <w:rPr>
          <w:rFonts w:eastAsia="Times New Roman"/>
        </w:rPr>
        <w:t xml:space="preserve">as an active ingredient and for a formulated product </w:t>
      </w:r>
      <w:r w:rsidR="001610D4">
        <w:rPr>
          <w:rFonts w:eastAsia="Times New Roman"/>
        </w:rPr>
        <w:t>–</w:t>
      </w:r>
      <w:r w:rsidR="000D5DA3" w:rsidRPr="00A01A5B">
        <w:rPr>
          <w:rFonts w:eastAsia="Times New Roman"/>
        </w:rPr>
        <w:t xml:space="preserve"> “wettable powder containing 350 g/kg dicofol”</w:t>
      </w:r>
      <w:r w:rsidR="000D5DA3">
        <w:rPr>
          <w:rFonts w:eastAsia="Times New Roman"/>
        </w:rPr>
        <w:t>. This product was</w:t>
      </w:r>
      <w:r w:rsidR="000D5DA3" w:rsidRPr="00A01A5B">
        <w:rPr>
          <w:rFonts w:eastAsia="Times New Roman"/>
        </w:rPr>
        <w:t xml:space="preserve"> subject to a control (rule) that </w:t>
      </w:r>
      <w:r w:rsidR="2E925427" w:rsidRPr="1A06031B">
        <w:rPr>
          <w:rFonts w:eastAsia="Times New Roman"/>
        </w:rPr>
        <w:t>i</w:t>
      </w:r>
      <w:r w:rsidR="1E70AB19" w:rsidRPr="1A06031B">
        <w:rPr>
          <w:rFonts w:eastAsia="Times New Roman"/>
        </w:rPr>
        <w:t>t</w:t>
      </w:r>
      <w:r w:rsidR="000D5DA3" w:rsidRPr="00A01A5B">
        <w:rPr>
          <w:rFonts w:eastAsia="Times New Roman"/>
        </w:rPr>
        <w:t xml:space="preserve"> must not be applied in or on water. </w:t>
      </w:r>
    </w:p>
    <w:p w14:paraId="428B5E58" w14:textId="6ABAA199" w:rsidR="000D5DA3" w:rsidRDefault="000D5DA3" w:rsidP="005D5C7B">
      <w:pPr>
        <w:pStyle w:val="BodyText"/>
        <w:rPr>
          <w:rFonts w:eastAsia="Times New Roman"/>
        </w:rPr>
      </w:pPr>
      <w:r>
        <w:rPr>
          <w:rFonts w:eastAsia="Times New Roman"/>
        </w:rPr>
        <w:t>At the time of the Annex A listing, n</w:t>
      </w:r>
      <w:r w:rsidRPr="00A01A5B">
        <w:rPr>
          <w:rFonts w:eastAsia="Times New Roman"/>
        </w:rPr>
        <w:t xml:space="preserve">o </w:t>
      </w:r>
      <w:r>
        <w:rPr>
          <w:rFonts w:eastAsia="Times New Roman"/>
        </w:rPr>
        <w:t xml:space="preserve">trade name </w:t>
      </w:r>
      <w:r w:rsidRPr="00A01A5B">
        <w:rPr>
          <w:rFonts w:eastAsia="Times New Roman"/>
        </w:rPr>
        <w:t xml:space="preserve">product containing dicofol </w:t>
      </w:r>
      <w:r>
        <w:rPr>
          <w:rFonts w:eastAsia="Times New Roman"/>
        </w:rPr>
        <w:t>was</w:t>
      </w:r>
      <w:r w:rsidRPr="00A01A5B">
        <w:rPr>
          <w:rFonts w:eastAsia="Times New Roman"/>
        </w:rPr>
        <w:t xml:space="preserve"> registered on the Agricultural Compounds and Veterinary Medicines Register under the ACVM Act</w:t>
      </w:r>
      <w:r>
        <w:rPr>
          <w:rFonts w:eastAsia="Times New Roman"/>
        </w:rPr>
        <w:t xml:space="preserve">. This meant </w:t>
      </w:r>
      <w:r w:rsidR="0C454C31" w:rsidRPr="1A06031B">
        <w:rPr>
          <w:rFonts w:eastAsia="Times New Roman"/>
        </w:rPr>
        <w:t>d</w:t>
      </w:r>
      <w:r>
        <w:rPr>
          <w:rFonts w:eastAsia="Times New Roman"/>
        </w:rPr>
        <w:t xml:space="preserve">icofol and its products were </w:t>
      </w:r>
      <w:r w:rsidR="1E70AB19" w:rsidRPr="1A06031B">
        <w:rPr>
          <w:rFonts w:eastAsia="Times New Roman"/>
        </w:rPr>
        <w:t>no</w:t>
      </w:r>
      <w:r w:rsidR="2E6301B6" w:rsidRPr="1A06031B">
        <w:rPr>
          <w:rFonts w:eastAsia="Times New Roman"/>
        </w:rPr>
        <w:t>t</w:t>
      </w:r>
      <w:r>
        <w:rPr>
          <w:rFonts w:eastAsia="Times New Roman"/>
        </w:rPr>
        <w:t xml:space="preserve"> being used in New Zealand at that time. The HSNO approvals were revoked once </w:t>
      </w:r>
      <w:r w:rsidR="0766147D" w:rsidRPr="1A06031B">
        <w:rPr>
          <w:rFonts w:eastAsia="Times New Roman"/>
        </w:rPr>
        <w:t>d</w:t>
      </w:r>
      <w:r>
        <w:rPr>
          <w:rFonts w:eastAsia="Times New Roman"/>
        </w:rPr>
        <w:t>icofol was listed as a POP on Schedule 2A of the HSNO Act.</w:t>
      </w:r>
    </w:p>
    <w:p w14:paraId="482C0B90" w14:textId="29FD049C" w:rsidR="1B69FB71" w:rsidRDefault="1B69FB71" w:rsidP="005D5C7B">
      <w:pPr>
        <w:pStyle w:val="Tableheading"/>
      </w:pPr>
      <w:bookmarkStart w:id="88" w:name="_Toc120532289"/>
      <w:r>
        <w:t xml:space="preserve">Table </w:t>
      </w:r>
      <w:r w:rsidR="70C9DF99">
        <w:t>2</w:t>
      </w:r>
      <w:r w:rsidR="28CA16CC">
        <w:t>4</w:t>
      </w:r>
      <w:r>
        <w:t xml:space="preserve">: </w:t>
      </w:r>
      <w:r>
        <w:tab/>
        <w:t>History of use and controls of dicofol</w:t>
      </w:r>
      <w:bookmarkEnd w:id="88"/>
    </w:p>
    <w:tbl>
      <w:tblPr>
        <w:tblStyle w:val="TableGrid"/>
        <w:tblW w:w="0" w:type="auto"/>
        <w:tblBorders>
          <w:top w:val="single" w:sz="4" w:space="0" w:color="1C556C" w:themeColor="accent1"/>
          <w:left w:val="none" w:sz="0" w:space="0" w:color="auto"/>
          <w:bottom w:val="single" w:sz="4" w:space="0" w:color="1C556C" w:themeColor="accent1"/>
          <w:right w:val="none" w:sz="0" w:space="0" w:color="auto"/>
          <w:insideH w:val="single" w:sz="4" w:space="0" w:color="1C556C" w:themeColor="accent1"/>
          <w:insideV w:val="single" w:sz="4" w:space="0" w:color="1C556C" w:themeColor="accent1"/>
        </w:tblBorders>
        <w:tblLook w:val="04A0" w:firstRow="1" w:lastRow="0" w:firstColumn="1" w:lastColumn="0" w:noHBand="0" w:noVBand="1"/>
      </w:tblPr>
      <w:tblGrid>
        <w:gridCol w:w="2009"/>
        <w:gridCol w:w="2835"/>
        <w:gridCol w:w="1701"/>
        <w:gridCol w:w="1960"/>
      </w:tblGrid>
      <w:tr w:rsidR="703AEB20" w14:paraId="281E987B" w14:textId="77777777" w:rsidTr="703AEB20">
        <w:tc>
          <w:tcPr>
            <w:tcW w:w="2009" w:type="dxa"/>
            <w:shd w:val="clear" w:color="auto" w:fill="1C556C" w:themeFill="accent1"/>
            <w:vAlign w:val="bottom"/>
          </w:tcPr>
          <w:p w14:paraId="7E0E630F" w14:textId="1559A7EA" w:rsidR="703AEB20" w:rsidRDefault="703AEB20" w:rsidP="00327304">
            <w:pPr>
              <w:pStyle w:val="TableTextbold"/>
              <w:rPr>
                <w:color w:val="FFFFFF" w:themeColor="background1"/>
              </w:rPr>
            </w:pPr>
            <w:r w:rsidRPr="703AEB20">
              <w:rPr>
                <w:color w:val="FFFFFF" w:themeColor="background1"/>
              </w:rPr>
              <w:t>History of use in New Zealand</w:t>
            </w:r>
          </w:p>
        </w:tc>
        <w:tc>
          <w:tcPr>
            <w:tcW w:w="2835" w:type="dxa"/>
            <w:shd w:val="clear" w:color="auto" w:fill="1C556C" w:themeFill="accent1"/>
            <w:vAlign w:val="bottom"/>
          </w:tcPr>
          <w:p w14:paraId="36A52C2B" w14:textId="216F1A27" w:rsidR="703AEB20" w:rsidRDefault="703AEB20" w:rsidP="00327304">
            <w:pPr>
              <w:pStyle w:val="TableTextbold"/>
              <w:rPr>
                <w:color w:val="FFFFFF" w:themeColor="background1"/>
              </w:rPr>
            </w:pPr>
            <w:r w:rsidRPr="703AEB20">
              <w:rPr>
                <w:color w:val="FFFFFF" w:themeColor="background1"/>
              </w:rPr>
              <w:t>Relevant controls under Hazardous Substances and New Organisms (HSNO) Act 1996</w:t>
            </w:r>
          </w:p>
        </w:tc>
        <w:tc>
          <w:tcPr>
            <w:tcW w:w="1701" w:type="dxa"/>
            <w:shd w:val="clear" w:color="auto" w:fill="1C556C" w:themeFill="accent1"/>
            <w:vAlign w:val="bottom"/>
          </w:tcPr>
          <w:p w14:paraId="2AB8F635" w14:textId="77777777" w:rsidR="703AEB20" w:rsidRDefault="703AEB20" w:rsidP="00327304">
            <w:pPr>
              <w:pStyle w:val="TableTextbold"/>
              <w:rPr>
                <w:color w:val="FFFFFF" w:themeColor="background1"/>
              </w:rPr>
            </w:pPr>
            <w:r w:rsidRPr="703AEB20">
              <w:rPr>
                <w:color w:val="FFFFFF" w:themeColor="background1"/>
              </w:rPr>
              <w:t>Other controls</w:t>
            </w:r>
          </w:p>
        </w:tc>
        <w:tc>
          <w:tcPr>
            <w:tcW w:w="1960" w:type="dxa"/>
            <w:shd w:val="clear" w:color="auto" w:fill="1C556C" w:themeFill="accent1"/>
            <w:vAlign w:val="bottom"/>
          </w:tcPr>
          <w:p w14:paraId="3BE0359E" w14:textId="65DE2B90" w:rsidR="703AEB20" w:rsidRDefault="703AEB20" w:rsidP="00327304">
            <w:pPr>
              <w:pStyle w:val="TableTextbold"/>
              <w:rPr>
                <w:color w:val="FFFFFF" w:themeColor="background1"/>
              </w:rPr>
            </w:pPr>
            <w:r w:rsidRPr="703AEB20">
              <w:rPr>
                <w:color w:val="FFFFFF" w:themeColor="background1"/>
              </w:rPr>
              <w:t xml:space="preserve">Ongoing implementation issues </w:t>
            </w:r>
          </w:p>
        </w:tc>
      </w:tr>
      <w:tr w:rsidR="00654FFA" w14:paraId="663F7F56" w14:textId="77777777" w:rsidTr="703AEB20">
        <w:tc>
          <w:tcPr>
            <w:tcW w:w="2009" w:type="dxa"/>
          </w:tcPr>
          <w:p w14:paraId="04F80CF3" w14:textId="77777777" w:rsidR="00654FFA" w:rsidRPr="00582EF5" w:rsidRDefault="00654FFA" w:rsidP="00327304">
            <w:pPr>
              <w:pStyle w:val="TableText"/>
            </w:pPr>
            <w:r>
              <w:t xml:space="preserve">Approvals for Dicofol as an active ingredient and for a formulated product, </w:t>
            </w:r>
            <w:r w:rsidRPr="00ED4801">
              <w:t>“wettable powder containing 350 g/kg dicofol”</w:t>
            </w:r>
            <w:r>
              <w:t>, were transferred to the HSNO Act in 2006 and 2004, respectively, from predecessor legislation</w:t>
            </w:r>
            <w:r w:rsidRPr="00582EF5">
              <w:t xml:space="preserve">. </w:t>
            </w:r>
          </w:p>
          <w:p w14:paraId="18AEB053" w14:textId="3B158777" w:rsidR="00654FFA" w:rsidRDefault="00654FFA" w:rsidP="00327304">
            <w:pPr>
              <w:pStyle w:val="TableText"/>
            </w:pPr>
            <w:r>
              <w:t xml:space="preserve">In 2020, there were no trade name products registered </w:t>
            </w:r>
            <w:r w:rsidRPr="00BE5888">
              <w:t>on the Agricultural Compounds and Veterinary Medicines Register under the</w:t>
            </w:r>
            <w:r>
              <w:t xml:space="preserve"> </w:t>
            </w:r>
            <w:r w:rsidRPr="00BE5888">
              <w:t>ACVM Act</w:t>
            </w:r>
            <w:r>
              <w:t xml:space="preserve"> meaning Dicofol was </w:t>
            </w:r>
            <w:r w:rsidRPr="00BE5888">
              <w:t>no longer being used in New Zealand at that time.</w:t>
            </w:r>
            <w:r w:rsidRPr="00582EF5">
              <w:t xml:space="preserve"> </w:t>
            </w:r>
          </w:p>
        </w:tc>
        <w:tc>
          <w:tcPr>
            <w:tcW w:w="2835" w:type="dxa"/>
          </w:tcPr>
          <w:p w14:paraId="5276AACB" w14:textId="43FABB1E" w:rsidR="00654FFA" w:rsidRDefault="00654FFA" w:rsidP="00327304">
            <w:pPr>
              <w:pStyle w:val="TableText"/>
            </w:pPr>
            <w:r w:rsidRPr="00582EF5">
              <w:t xml:space="preserve">Prohibited, as listed in Schedule 2A of the HSNO Act in </w:t>
            </w:r>
            <w:r>
              <w:t xml:space="preserve">December </w:t>
            </w:r>
            <w:r w:rsidRPr="00582EF5">
              <w:t>20</w:t>
            </w:r>
            <w:r>
              <w:t>20</w:t>
            </w:r>
            <w:r w:rsidRPr="00582EF5">
              <w:t xml:space="preserve">. </w:t>
            </w:r>
          </w:p>
        </w:tc>
        <w:tc>
          <w:tcPr>
            <w:tcW w:w="1701" w:type="dxa"/>
          </w:tcPr>
          <w:p w14:paraId="1FE00477" w14:textId="04E95467" w:rsidR="00654FFA" w:rsidRDefault="00654FFA" w:rsidP="00327304">
            <w:pPr>
              <w:pStyle w:val="TableText"/>
            </w:pPr>
            <w:r w:rsidRPr="00582EF5">
              <w:t xml:space="preserve">Registration as agricultural compounds or ingredients in agricultural compounds prohibited since </w:t>
            </w:r>
            <w:r>
              <w:t>December 2020</w:t>
            </w:r>
            <w:r w:rsidRPr="00582EF5">
              <w:t xml:space="preserve"> under the Agricultural Compounds and Veterinary Medicines (</w:t>
            </w:r>
            <w:r>
              <w:t>Exemptions and Prohibited Substances</w:t>
            </w:r>
            <w:r w:rsidRPr="00582EF5">
              <w:t>)</w:t>
            </w:r>
            <w:r>
              <w:t xml:space="preserve"> Regulations 2011</w:t>
            </w:r>
            <w:r w:rsidRPr="00582EF5">
              <w:t>.</w:t>
            </w:r>
          </w:p>
        </w:tc>
        <w:tc>
          <w:tcPr>
            <w:tcW w:w="1960" w:type="dxa"/>
          </w:tcPr>
          <w:p w14:paraId="486F7E92" w14:textId="0657B97B" w:rsidR="00654FFA" w:rsidRDefault="00654FFA" w:rsidP="00327304">
            <w:pPr>
              <w:pStyle w:val="TableText"/>
            </w:pPr>
            <w:r w:rsidRPr="00582EF5">
              <w:t>Residues in some sites resulting from historic use.</w:t>
            </w:r>
          </w:p>
        </w:tc>
      </w:tr>
    </w:tbl>
    <w:p w14:paraId="21E82ADE" w14:textId="3B3F0CCA" w:rsidR="182F93B2" w:rsidRPr="00470D62" w:rsidRDefault="182F93B2" w:rsidP="00470D62">
      <w:pPr>
        <w:pStyle w:val="Heading4"/>
      </w:pPr>
      <w:r w:rsidRPr="00470D62">
        <w:t>Perfluorooctanoic acid (PFOA), its salts and PFOA-related compounds</w:t>
      </w:r>
    </w:p>
    <w:p w14:paraId="72AC0927" w14:textId="676899D2" w:rsidR="182F93B2" w:rsidRPr="005D5C7B" w:rsidRDefault="00630075" w:rsidP="005D5C7B">
      <w:pPr>
        <w:pStyle w:val="BodyText"/>
      </w:pPr>
      <w:hyperlink r:id="rId87" w:history="1">
        <w:r w:rsidRPr="00AA13F8">
          <w:rPr>
            <w:rStyle w:val="Hyperlink"/>
          </w:rPr>
          <w:t>Perfluorooctanoic acid</w:t>
        </w:r>
      </w:hyperlink>
      <w:r w:rsidRPr="007B3A22">
        <w:t xml:space="preserve"> (PFOA), its salts and PFOA-related compounds</w:t>
      </w:r>
      <w:r w:rsidR="182F93B2" w:rsidRPr="005D5C7B">
        <w:t xml:space="preserve"> </w:t>
      </w:r>
      <w:r w:rsidR="00AA13F8" w:rsidRPr="009F3BAF">
        <w:t>means</w:t>
      </w:r>
      <w:r w:rsidR="004069AB">
        <w:rPr>
          <w:rFonts w:eastAsia="Times New Roman"/>
        </w:rPr>
        <w:t>:</w:t>
      </w:r>
    </w:p>
    <w:p w14:paraId="4D53B4C3" w14:textId="32E1F0A5" w:rsidR="182F93B2" w:rsidRPr="005D5C7B" w:rsidRDefault="00D845EC" w:rsidP="005D5C7B">
      <w:pPr>
        <w:pStyle w:val="Bullet"/>
      </w:pPr>
      <w:r>
        <w:t>p</w:t>
      </w:r>
      <w:r w:rsidR="182F93B2" w:rsidRPr="005D5C7B">
        <w:t xml:space="preserve">erfluorooctanoic acid (PFOA; CAS No: 335-67-1), including any of its branched isomers </w:t>
      </w:r>
    </w:p>
    <w:p w14:paraId="76D0C48E" w14:textId="3BBE31AB" w:rsidR="182F93B2" w:rsidRPr="005D5C7B" w:rsidRDefault="00FA02BC" w:rsidP="005D5C7B">
      <w:pPr>
        <w:pStyle w:val="Bullet"/>
      </w:pPr>
      <w:r>
        <w:t>i</w:t>
      </w:r>
      <w:r w:rsidRPr="005D5C7B">
        <w:t xml:space="preserve">ts </w:t>
      </w:r>
      <w:r w:rsidR="182F93B2" w:rsidRPr="005D5C7B">
        <w:t xml:space="preserve">salts </w:t>
      </w:r>
    </w:p>
    <w:p w14:paraId="7A44B1D2" w14:textId="38B517B1" w:rsidR="182F93B2" w:rsidRPr="005D5C7B" w:rsidRDefault="182F93B2" w:rsidP="005D5C7B">
      <w:pPr>
        <w:pStyle w:val="Bullet"/>
      </w:pPr>
      <w:r w:rsidRPr="005D5C7B">
        <w:t xml:space="preserve">PFOA-related compounds which, for the purposes of the Convention, are any substances that degrade to PFOA, including any substances (including salts and polymers) having a linear or branched </w:t>
      </w:r>
      <w:proofErr w:type="spellStart"/>
      <w:r w:rsidRPr="005D5C7B">
        <w:t>perfluoroheptyl</w:t>
      </w:r>
      <w:proofErr w:type="spellEnd"/>
      <w:r w:rsidRPr="005D5C7B">
        <w:t xml:space="preserve"> </w:t>
      </w:r>
      <w:r w:rsidR="00F12D98" w:rsidRPr="00F12D98">
        <w:t>group one</w:t>
      </w:r>
      <w:r w:rsidRPr="005D5C7B">
        <w:t xml:space="preserve"> of the structural </w:t>
      </w:r>
      <w:r w:rsidRPr="101DA2A9">
        <w:t>elements</w:t>
      </w:r>
      <w:r w:rsidR="4B90612B" w:rsidRPr="101DA2A9">
        <w:t>.</w:t>
      </w:r>
    </w:p>
    <w:p w14:paraId="007D30BA" w14:textId="7C721778" w:rsidR="182F93B2" w:rsidRPr="005D5C7B" w:rsidRDefault="182F93B2" w:rsidP="005D5C7B">
      <w:pPr>
        <w:pStyle w:val="BodyText"/>
      </w:pPr>
      <w:r w:rsidRPr="005D5C7B">
        <w:t xml:space="preserve">PFOA, its salts and PFOA-related compounds are used in a wide variety of applications and consumer products across many sectors </w:t>
      </w:r>
    </w:p>
    <w:p w14:paraId="7A6B9872" w14:textId="77777777" w:rsidR="00A537D9" w:rsidRPr="00A537D9" w:rsidRDefault="182F93B2" w:rsidP="00A537D9">
      <w:pPr>
        <w:pStyle w:val="BodyText"/>
      </w:pPr>
      <w:r w:rsidRPr="005D5C7B">
        <w:t xml:space="preserve">PFOA and its salts are, or were, most widely used as processing aids in the production of </w:t>
      </w:r>
      <w:proofErr w:type="spellStart"/>
      <w:r w:rsidRPr="005D5C7B">
        <w:t>fluoroelastomers</w:t>
      </w:r>
      <w:proofErr w:type="spellEnd"/>
      <w:r w:rsidRPr="005D5C7B">
        <w:t xml:space="preserve"> and fluoropolymers, with polytetrafluoroethylene (PTFE, Teflon), fluorinated ethylene propylene, PFA (</w:t>
      </w:r>
      <w:proofErr w:type="spellStart"/>
      <w:r w:rsidRPr="005D5C7B">
        <w:t>perfluoroalkoxy</w:t>
      </w:r>
      <w:proofErr w:type="spellEnd"/>
      <w:r w:rsidRPr="005D5C7B">
        <w:t xml:space="preserve"> alkane) and PVDF (polyvinylidene fluoride) being imp</w:t>
      </w:r>
      <w:r w:rsidRPr="00A537D9">
        <w:t>ortant fluoropolymers.</w:t>
      </w:r>
      <w:r w:rsidR="00922C9E" w:rsidRPr="00A537D9">
        <w:t xml:space="preserve"> </w:t>
      </w:r>
      <w:r w:rsidRPr="00A537D9">
        <w:t xml:space="preserve">Fluoropolymers are used to manufacture hoses, cables and gaskets; </w:t>
      </w:r>
      <w:r w:rsidRPr="00A537D9">
        <w:lastRenderedPageBreak/>
        <w:t xml:space="preserve">non-stick coatings on cookware and personal care products; medical devices and filter membranes. </w:t>
      </w:r>
    </w:p>
    <w:p w14:paraId="04CDF34C" w14:textId="6D4F6A4B" w:rsidR="00855DB5" w:rsidRPr="00EC3EFF" w:rsidRDefault="182F93B2" w:rsidP="00A537D9">
      <w:pPr>
        <w:pStyle w:val="BodyText"/>
      </w:pPr>
      <w:r w:rsidRPr="00A537D9">
        <w:t xml:space="preserve">PFOA is </w:t>
      </w:r>
      <w:r w:rsidR="00922C9E" w:rsidRPr="00A537D9">
        <w:t xml:space="preserve">also </w:t>
      </w:r>
      <w:r w:rsidRPr="00A537D9">
        <w:t xml:space="preserve">used as a surfactant and processing aid in the photolithographic and </w:t>
      </w:r>
      <w:r w:rsidR="424A6725" w:rsidRPr="00A537D9">
        <w:t>etch</w:t>
      </w:r>
      <w:r w:rsidR="3A4A4CF8" w:rsidRPr="00A537D9">
        <w:t>ing</w:t>
      </w:r>
      <w:r w:rsidRPr="00A537D9">
        <w:t xml:space="preserve"> processes in th</w:t>
      </w:r>
      <w:r w:rsidRPr="005D5C7B">
        <w:t>e manufacture of semi-conductors, in photographic film coatings, and in the textile coating industry. PFOA-related compounds, including side-chain fluorinated polymers, are used as surfactants and surface treatment agents (</w:t>
      </w:r>
      <w:proofErr w:type="spellStart"/>
      <w:r w:rsidR="00ED5AD2">
        <w:t>eg</w:t>
      </w:r>
      <w:proofErr w:type="spellEnd"/>
      <w:r w:rsidRPr="005D5C7B">
        <w:t xml:space="preserve">, in textiles, </w:t>
      </w:r>
      <w:r w:rsidRPr="6E7DDF4C">
        <w:rPr>
          <w:rFonts w:eastAsia="Times New Roman"/>
        </w:rPr>
        <w:t>paper</w:t>
      </w:r>
      <w:r w:rsidR="29B61FAD" w:rsidRPr="6E7DDF4C">
        <w:rPr>
          <w:rFonts w:eastAsia="Times New Roman"/>
        </w:rPr>
        <w:t>,</w:t>
      </w:r>
      <w:r w:rsidRPr="6E7DDF4C">
        <w:rPr>
          <w:rFonts w:eastAsia="Times New Roman"/>
        </w:rPr>
        <w:t xml:space="preserve"> paints</w:t>
      </w:r>
      <w:r w:rsidR="29B61FAD" w:rsidRPr="6E7DDF4C">
        <w:rPr>
          <w:rFonts w:eastAsia="Times New Roman"/>
        </w:rPr>
        <w:t>,</w:t>
      </w:r>
      <w:r w:rsidRPr="005D5C7B">
        <w:t xml:space="preserve"> and inks). </w:t>
      </w:r>
      <w:r w:rsidR="00D328BE">
        <w:rPr>
          <w:rFonts w:eastAsia="Times New Roman"/>
        </w:rPr>
        <w:t>PFOA-related compounds have also been used in the manufacture of fire-fighting foam for liquid fuel vapour suppression and liquid fuel fires.</w:t>
      </w:r>
      <w:r w:rsidR="00DE2BCC" w:rsidRPr="00DE2BCC">
        <w:t xml:space="preserve"> </w:t>
      </w:r>
      <w:r w:rsidR="00DE2BCC" w:rsidRPr="00DE2BCC">
        <w:rPr>
          <w:rFonts w:eastAsia="Times New Roman"/>
        </w:rPr>
        <w:t xml:space="preserve">PFOA-related compounds have also been used in the manufacture of fire-fighting foam for liquid fuel vapour suppression and </w:t>
      </w:r>
      <w:r w:rsidR="00DE2BCC">
        <w:t>liquid fuel fires.</w:t>
      </w:r>
      <w:r w:rsidR="00EE0202">
        <w:t xml:space="preserve"> </w:t>
      </w:r>
    </w:p>
    <w:p w14:paraId="672A42A5" w14:textId="5AC2BFD4" w:rsidR="182F93B2" w:rsidRPr="005D5C7B" w:rsidRDefault="182F93B2" w:rsidP="005D5C7B">
      <w:pPr>
        <w:pStyle w:val="BodyText"/>
      </w:pPr>
      <w:r w:rsidRPr="00EC3EFF">
        <w:t>PFOA-related products provide water, grease and soil protection for textiles and related products such as outdoor clothing and carpets, and for products such as the paper of microwave popcorn bags. Releases occur from past and ongoing production, use and disposal. The main emissions of PFOA and its salts are to wastewater and as particles or aerosols. Indirect releases of PFOA occur from the biotic and abiotic (photo-) degradation or transformation of precursor PFOA-related compounds.</w:t>
      </w:r>
    </w:p>
    <w:p w14:paraId="11A50D3C" w14:textId="137EFDEC" w:rsidR="182F93B2" w:rsidRPr="003E725F" w:rsidRDefault="182F93B2" w:rsidP="005D5C7B">
      <w:pPr>
        <w:pStyle w:val="BodyText"/>
        <w:rPr>
          <w:rFonts w:eastAsia="Times New Roman"/>
        </w:rPr>
      </w:pPr>
      <w:r w:rsidRPr="005D5C7B">
        <w:t>Steps to phase out PFOA and related substances have been widely implemented overseas. Regulatory action to prohibit manufacture or severely restrict use of PFOA, its salts and PFOA-related compounds are already implemented or under way in many jurisdictions, including Norway, the European Union, the United States, and Canada.</w:t>
      </w:r>
    </w:p>
    <w:p w14:paraId="3474F031" w14:textId="71807DC9" w:rsidR="003A154C" w:rsidRPr="00605B27" w:rsidRDefault="003A154C" w:rsidP="005D5C7B">
      <w:pPr>
        <w:pStyle w:val="BodyText"/>
        <w:rPr>
          <w:rFonts w:eastAsia="Times New Roman"/>
        </w:rPr>
      </w:pPr>
      <w:r w:rsidRPr="005D5C7B">
        <w:t>New Zealand has adopted the specific exemptions for PFOA, its salts, and PFOA-related compounds for the following:</w:t>
      </w:r>
    </w:p>
    <w:p w14:paraId="052F683D" w14:textId="4FDFBCB8" w:rsidR="003A154C" w:rsidRPr="00DD62E3" w:rsidRDefault="003A154C" w:rsidP="005D5C7B">
      <w:pPr>
        <w:pStyle w:val="Bullet"/>
      </w:pPr>
      <w:r w:rsidRPr="005D5C7B">
        <w:t>photographic co</w:t>
      </w:r>
      <w:r w:rsidRPr="009541FB">
        <w:t>atings applied to films (</w:t>
      </w:r>
      <w:r w:rsidR="00ED5AD2">
        <w:t>e</w:t>
      </w:r>
      <w:r w:rsidRPr="009541FB">
        <w:t>xpires 3 December 2025)</w:t>
      </w:r>
    </w:p>
    <w:p w14:paraId="06BE96E0" w14:textId="424923E0" w:rsidR="003A154C" w:rsidRDefault="003A154C" w:rsidP="005D5C7B">
      <w:pPr>
        <w:pStyle w:val="Bullet"/>
      </w:pPr>
      <w:r w:rsidRPr="005D5C7B">
        <w:t xml:space="preserve">fire-fighting foam for liquid fuel vapour suppression and liquid fuel fires (Class B fires) in installed systems, including both </w:t>
      </w:r>
      <w:r w:rsidRPr="009541FB">
        <w:t>mobile and fixed systems, in accordance with paragraph 2 of Part X of Annex A of the Stockholm Convention (</w:t>
      </w:r>
      <w:r w:rsidR="00ED5AD2">
        <w:t>e</w:t>
      </w:r>
      <w:r w:rsidRPr="009541FB">
        <w:t>xpires 3 December 2025)</w:t>
      </w:r>
    </w:p>
    <w:p w14:paraId="415D8180" w14:textId="177349B1" w:rsidR="006D03DE" w:rsidRPr="00DD62E3" w:rsidRDefault="006D03DE" w:rsidP="005D5C7B">
      <w:pPr>
        <w:pStyle w:val="Bullet"/>
      </w:pPr>
      <w:r w:rsidRPr="005D5C7B">
        <w:t>articles where PFOA, its salts and PFOA-related</w:t>
      </w:r>
      <w:r w:rsidRPr="009541FB">
        <w:t xml:space="preserve"> compounds have been in use, such as in coated textiles, papers, fluoropoly</w:t>
      </w:r>
      <w:r w:rsidRPr="00DD62E3">
        <w:t>mer membranes, or medical devices, in New Zealand on or before 3 December 2020 (</w:t>
      </w:r>
      <w:r w:rsidR="00ED5AD2">
        <w:t>n</w:t>
      </w:r>
      <w:r w:rsidRPr="00DD62E3">
        <w:t>o expiry date)</w:t>
      </w:r>
      <w:r w:rsidR="00ED5AD2">
        <w:t>.</w:t>
      </w:r>
    </w:p>
    <w:p w14:paraId="1279DD40" w14:textId="77777777" w:rsidR="00B5243E" w:rsidRDefault="00B5243E">
      <w:pPr>
        <w:spacing w:before="0" w:after="200" w:line="276" w:lineRule="auto"/>
        <w:jc w:val="left"/>
        <w:rPr>
          <w:b/>
          <w:sz w:val="20"/>
        </w:rPr>
      </w:pPr>
      <w:bookmarkStart w:id="89" w:name="_Toc120532290"/>
      <w:r>
        <w:br w:type="page"/>
      </w:r>
    </w:p>
    <w:p w14:paraId="389570AD" w14:textId="2FC0CCB4" w:rsidR="7A3F6C45" w:rsidRDefault="7A3F6C45" w:rsidP="005D5C7B">
      <w:pPr>
        <w:pStyle w:val="Tableheading"/>
      </w:pPr>
      <w:r>
        <w:lastRenderedPageBreak/>
        <w:t xml:space="preserve">Table </w:t>
      </w:r>
      <w:r w:rsidR="70453350">
        <w:t>2</w:t>
      </w:r>
      <w:r w:rsidR="3E5851DD">
        <w:t>5</w:t>
      </w:r>
      <w:r>
        <w:t xml:space="preserve">: </w:t>
      </w:r>
      <w:r>
        <w:tab/>
        <w:t xml:space="preserve">History of use and controls of </w:t>
      </w:r>
      <w:r w:rsidR="00E27C01">
        <w:t>p</w:t>
      </w:r>
      <w:r>
        <w:t>erfluorooctanoic acid (PFOA), its salts and PFOA-related compounds</w:t>
      </w:r>
      <w:bookmarkEnd w:id="89"/>
    </w:p>
    <w:tbl>
      <w:tblPr>
        <w:tblStyle w:val="TableGrid"/>
        <w:tblW w:w="0" w:type="auto"/>
        <w:tblBorders>
          <w:top w:val="single" w:sz="4" w:space="0" w:color="1C556C" w:themeColor="accent1"/>
          <w:left w:val="none" w:sz="0" w:space="0" w:color="auto"/>
          <w:bottom w:val="single" w:sz="4" w:space="0" w:color="1C556C" w:themeColor="accent1"/>
          <w:right w:val="none" w:sz="0" w:space="0" w:color="auto"/>
          <w:insideH w:val="single" w:sz="4" w:space="0" w:color="1C556C" w:themeColor="accent1"/>
          <w:insideV w:val="single" w:sz="4" w:space="0" w:color="1C556C" w:themeColor="accent1"/>
        </w:tblBorders>
        <w:tblLook w:val="04A0" w:firstRow="1" w:lastRow="0" w:firstColumn="1" w:lastColumn="0" w:noHBand="0" w:noVBand="1"/>
      </w:tblPr>
      <w:tblGrid>
        <w:gridCol w:w="2009"/>
        <w:gridCol w:w="2835"/>
        <w:gridCol w:w="1701"/>
        <w:gridCol w:w="1960"/>
      </w:tblGrid>
      <w:tr w:rsidR="703AEB20" w14:paraId="797C57FC" w14:textId="77777777" w:rsidTr="703AEB20">
        <w:tc>
          <w:tcPr>
            <w:tcW w:w="2009" w:type="dxa"/>
            <w:shd w:val="clear" w:color="auto" w:fill="1C556C" w:themeFill="accent1"/>
            <w:vAlign w:val="bottom"/>
          </w:tcPr>
          <w:p w14:paraId="357F545A" w14:textId="1559A7EA" w:rsidR="703AEB20" w:rsidRDefault="703AEB20" w:rsidP="008D1EAF">
            <w:pPr>
              <w:pStyle w:val="TableTextbold"/>
              <w:rPr>
                <w:color w:val="FFFFFF" w:themeColor="background1"/>
              </w:rPr>
            </w:pPr>
            <w:r w:rsidRPr="703AEB20">
              <w:rPr>
                <w:color w:val="FFFFFF" w:themeColor="background1"/>
              </w:rPr>
              <w:t>History of use in New Zealand</w:t>
            </w:r>
          </w:p>
        </w:tc>
        <w:tc>
          <w:tcPr>
            <w:tcW w:w="2835" w:type="dxa"/>
            <w:shd w:val="clear" w:color="auto" w:fill="1C556C" w:themeFill="accent1"/>
            <w:vAlign w:val="bottom"/>
          </w:tcPr>
          <w:p w14:paraId="309F6EC6" w14:textId="216F1A27" w:rsidR="703AEB20" w:rsidRDefault="703AEB20" w:rsidP="008D1EAF">
            <w:pPr>
              <w:pStyle w:val="TableTextbold"/>
              <w:rPr>
                <w:color w:val="FFFFFF" w:themeColor="background1"/>
              </w:rPr>
            </w:pPr>
            <w:r w:rsidRPr="703AEB20">
              <w:rPr>
                <w:color w:val="FFFFFF" w:themeColor="background1"/>
              </w:rPr>
              <w:t>Relevant controls under Hazardous Substances and New Organisms (HSNO) Act 1996</w:t>
            </w:r>
          </w:p>
        </w:tc>
        <w:tc>
          <w:tcPr>
            <w:tcW w:w="1701" w:type="dxa"/>
            <w:shd w:val="clear" w:color="auto" w:fill="1C556C" w:themeFill="accent1"/>
            <w:vAlign w:val="bottom"/>
          </w:tcPr>
          <w:p w14:paraId="79C55322" w14:textId="77777777" w:rsidR="703AEB20" w:rsidRDefault="703AEB20" w:rsidP="008D1EAF">
            <w:pPr>
              <w:pStyle w:val="TableTextbold"/>
              <w:rPr>
                <w:color w:val="FFFFFF" w:themeColor="background1"/>
              </w:rPr>
            </w:pPr>
            <w:r w:rsidRPr="703AEB20">
              <w:rPr>
                <w:color w:val="FFFFFF" w:themeColor="background1"/>
              </w:rPr>
              <w:t>Other controls</w:t>
            </w:r>
          </w:p>
        </w:tc>
        <w:tc>
          <w:tcPr>
            <w:tcW w:w="1960" w:type="dxa"/>
            <w:shd w:val="clear" w:color="auto" w:fill="1C556C" w:themeFill="accent1"/>
            <w:vAlign w:val="bottom"/>
          </w:tcPr>
          <w:p w14:paraId="5C6C1FC2" w14:textId="6BF717C5" w:rsidR="703AEB20" w:rsidRDefault="703AEB20" w:rsidP="008D1EAF">
            <w:pPr>
              <w:pStyle w:val="TableTextbold"/>
              <w:rPr>
                <w:color w:val="FFFFFF" w:themeColor="background1"/>
              </w:rPr>
            </w:pPr>
            <w:r w:rsidRPr="703AEB20">
              <w:rPr>
                <w:color w:val="FFFFFF" w:themeColor="background1"/>
              </w:rPr>
              <w:t xml:space="preserve">Ongoing implementation issues </w:t>
            </w:r>
          </w:p>
        </w:tc>
      </w:tr>
      <w:tr w:rsidR="00CF6846" w14:paraId="5312DFEE" w14:textId="77777777" w:rsidTr="703AEB20">
        <w:tc>
          <w:tcPr>
            <w:tcW w:w="2009" w:type="dxa"/>
          </w:tcPr>
          <w:p w14:paraId="325C63FD" w14:textId="77777777" w:rsidR="006D50CD" w:rsidRDefault="006D50CD" w:rsidP="006D50CD">
            <w:pPr>
              <w:pStyle w:val="TableText"/>
            </w:pPr>
            <w:r w:rsidRPr="006D50CD">
              <w:t>T</w:t>
            </w:r>
            <w:r w:rsidR="0028434D" w:rsidRPr="006D50CD">
              <w:t xml:space="preserve">he HSNO Act 1996 regulates the use of PFOA, its salts and PFOA-related compounds. </w:t>
            </w:r>
          </w:p>
          <w:p w14:paraId="05E4B07B" w14:textId="73878DEB" w:rsidR="008933A3" w:rsidRPr="006D50CD" w:rsidRDefault="0028434D" w:rsidP="006D50CD">
            <w:pPr>
              <w:pStyle w:val="TableText"/>
            </w:pPr>
            <w:r w:rsidRPr="006D50CD">
              <w:t xml:space="preserve">There are no approvals under the Act for </w:t>
            </w:r>
            <w:r w:rsidR="008D1EAF" w:rsidRPr="006D50CD">
              <w:t>any chemicals</w:t>
            </w:r>
            <w:r w:rsidRPr="006D50CD">
              <w:t xml:space="preserve"> </w:t>
            </w:r>
            <w:r w:rsidR="00F32BDD" w:rsidRPr="006D50CD">
              <w:t>containing (PFOA), its salts and PFOA-related compound</w:t>
            </w:r>
            <w:r w:rsidR="008933A3" w:rsidRPr="006D50CD">
              <w:t>s</w:t>
            </w:r>
            <w:r w:rsidRPr="006D50CD">
              <w:t xml:space="preserve">. However, they may be imported as component chemicals in products under an appropriate group standard (NZ Inventory of Chemicals). </w:t>
            </w:r>
          </w:p>
          <w:p w14:paraId="34836F57" w14:textId="2A4BAAF4" w:rsidR="008D1EAF" w:rsidRPr="006D50CD" w:rsidRDefault="0028434D" w:rsidP="006D50CD">
            <w:pPr>
              <w:pStyle w:val="TableText"/>
            </w:pPr>
            <w:r w:rsidRPr="006D50CD">
              <w:t>The Fire Fighting Chemicals Group Standard 2017 (clause 4(5)), originally issued in 2006, states that PFOA (but not its salts or PFOA-related compounds) is excluded from the group standard. This means that PFOA itself was not approved for use in fire-fighting foams from 2006, meaning they could no longer be imported into New Zealand.</w:t>
            </w:r>
          </w:p>
          <w:p w14:paraId="27FA61A7" w14:textId="7028C2C0" w:rsidR="00CF6846" w:rsidRPr="006D50CD" w:rsidRDefault="00CF6846" w:rsidP="006D50CD">
            <w:pPr>
              <w:pStyle w:val="TableText"/>
            </w:pPr>
          </w:p>
        </w:tc>
        <w:tc>
          <w:tcPr>
            <w:tcW w:w="2835" w:type="dxa"/>
          </w:tcPr>
          <w:p w14:paraId="49F319E4" w14:textId="77777777" w:rsidR="00CF6846" w:rsidRDefault="00CF6846" w:rsidP="008D1EAF">
            <w:pPr>
              <w:pStyle w:val="TableText"/>
            </w:pPr>
            <w:r w:rsidRPr="00883376">
              <w:t>Prohibited, as listed in Schedule 2A of the HSNO Act in December 2020</w:t>
            </w:r>
            <w:r>
              <w:t>, except for specific exemptions for:</w:t>
            </w:r>
          </w:p>
          <w:p w14:paraId="0E350CC9" w14:textId="1FADC5BF" w:rsidR="00CF6846" w:rsidRDefault="00CF6846" w:rsidP="00014420">
            <w:pPr>
              <w:pStyle w:val="TableBullet"/>
              <w:numPr>
                <w:ilvl w:val="0"/>
                <w:numId w:val="66"/>
              </w:numPr>
            </w:pPr>
            <w:r>
              <w:t>photographic coatings applied to films</w:t>
            </w:r>
          </w:p>
          <w:p w14:paraId="2438340B" w14:textId="77777777" w:rsidR="00CF6846" w:rsidRDefault="00CF6846" w:rsidP="00014420">
            <w:pPr>
              <w:pStyle w:val="TableBullet"/>
              <w:numPr>
                <w:ilvl w:val="0"/>
                <w:numId w:val="66"/>
              </w:numPr>
            </w:pPr>
            <w:r w:rsidRPr="001A7A03">
              <w:t>fire-fighting foam for liquid fuel vapour suppression and liquid fuel fires (Class B fires) in installed systems, including both mobile and fixed systems, in accordance with paragraph 2 of Part X of Annex A of the Stockholm Convention:</w:t>
            </w:r>
          </w:p>
          <w:p w14:paraId="1B31463E" w14:textId="6C93B95D" w:rsidR="00CF6846" w:rsidRDefault="00CF6846" w:rsidP="008D1EAF">
            <w:pPr>
              <w:pStyle w:val="TableText"/>
            </w:pPr>
            <w:r w:rsidRPr="00133063">
              <w:t>and articles in use notifications for</w:t>
            </w:r>
            <w:r>
              <w:t xml:space="preserve"> </w:t>
            </w:r>
            <w:r w:rsidRPr="00C206FE">
              <w:t>articles where PFOA, its salts and PFOA-related compounds have been in use, such as in coated textiles, papers, fluoropolymer membranes, or medical devices, in New Zealand on or before 3 December 2020</w:t>
            </w:r>
            <w:r>
              <w:t>.</w:t>
            </w:r>
          </w:p>
          <w:p w14:paraId="07DA28F6" w14:textId="4C606D7F" w:rsidR="00CF6846" w:rsidRDefault="00CF6846" w:rsidP="008D1EAF">
            <w:pPr>
              <w:pStyle w:val="TableText"/>
            </w:pPr>
            <w:r>
              <w:t xml:space="preserve">The phase-out of fire-fighting foam </w:t>
            </w:r>
            <w:r w:rsidRPr="00BD4AAA">
              <w:t>in accordance with paragraph 2 of Part X of Annex A of the Stockholm Convention</w:t>
            </w:r>
            <w:r>
              <w:t xml:space="preserve"> is managed under the Fire Fighting Chemicals Group Standard 2021.</w:t>
            </w:r>
          </w:p>
        </w:tc>
        <w:tc>
          <w:tcPr>
            <w:tcW w:w="1701" w:type="dxa"/>
          </w:tcPr>
          <w:p w14:paraId="54E2AEF8" w14:textId="2A558B16" w:rsidR="00CF6846" w:rsidRDefault="00CF6846" w:rsidP="008D1EAF">
            <w:pPr>
              <w:pStyle w:val="TableText"/>
            </w:pPr>
            <w:r>
              <w:t>n/a</w:t>
            </w:r>
          </w:p>
        </w:tc>
        <w:tc>
          <w:tcPr>
            <w:tcW w:w="1960" w:type="dxa"/>
          </w:tcPr>
          <w:p w14:paraId="6E659BA7" w14:textId="2ABDD906" w:rsidR="00CF6846" w:rsidRDefault="00CF6846" w:rsidP="008D1EAF">
            <w:pPr>
              <w:pStyle w:val="TableText"/>
            </w:pPr>
            <w:r>
              <w:t>Uses of fire</w:t>
            </w:r>
            <w:r w:rsidR="00ED5AD2">
              <w:t>-</w:t>
            </w:r>
            <w:r>
              <w:t xml:space="preserve">fighting foam in uncontained applications must cease by 31 December 2022 and all remaining contained uses must cease by 3 December 2025. Users are currently implementing these requirements which involve plans for how PFOA-containing foam will be removed from use and disposed of, and how equipment will be cleaned to remove residues of PFOA contamination. All wastes containing significant levels of PFOA contamination are required to be exported from New Zealand for high-temperature incineration, in accordance with provisions of the Basel Convention. </w:t>
            </w:r>
          </w:p>
          <w:p w14:paraId="4B114E14" w14:textId="77777777" w:rsidR="00CF6846" w:rsidRDefault="00CF6846" w:rsidP="008D1EAF">
            <w:pPr>
              <w:pStyle w:val="TableText"/>
            </w:pPr>
            <w:r w:rsidRPr="00132388">
              <w:t>Management of existing articles in use, and environmentally sound management of these at end of their current use when they become waste.</w:t>
            </w:r>
          </w:p>
          <w:p w14:paraId="4BC762D5" w14:textId="71ED2B35" w:rsidR="00CF6846" w:rsidRDefault="00CF6846" w:rsidP="008D1EAF">
            <w:pPr>
              <w:pStyle w:val="TableText"/>
            </w:pPr>
            <w:r>
              <w:t>MfE and EPA are undertaking research to identify the non-foam industries and activities in New Zealand that may have used PFOA. This research will help regional councils with the identification of potentially PFOA-contaminated sites in the region.</w:t>
            </w:r>
          </w:p>
        </w:tc>
      </w:tr>
    </w:tbl>
    <w:p w14:paraId="350FD886" w14:textId="1286DA53" w:rsidR="00E72470" w:rsidRPr="00582EF5" w:rsidRDefault="00E72470" w:rsidP="005D5C7B">
      <w:pPr>
        <w:pStyle w:val="BodyText"/>
      </w:pPr>
    </w:p>
    <w:p w14:paraId="71928754" w14:textId="77777777" w:rsidR="006934D3" w:rsidRPr="005D5C7B" w:rsidRDefault="006934D3" w:rsidP="007B3A22">
      <w:pPr>
        <w:pStyle w:val="BodyText"/>
      </w:pPr>
      <w:bookmarkStart w:id="90" w:name="_Toc531102791"/>
      <w:r>
        <w:rPr>
          <w:rFonts w:eastAsiaTheme="minorHAnsi"/>
        </w:rPr>
        <w:br w:type="page"/>
      </w:r>
    </w:p>
    <w:p w14:paraId="3BF26D30" w14:textId="5AE72C12" w:rsidR="00E72470" w:rsidRPr="00582EF5" w:rsidRDefault="00E72470" w:rsidP="005D5C7B">
      <w:pPr>
        <w:pStyle w:val="Heading1"/>
        <w:rPr>
          <w:rFonts w:eastAsiaTheme="minorHAnsi"/>
        </w:rPr>
      </w:pPr>
      <w:bookmarkStart w:id="91" w:name="_Toc120532244"/>
      <w:r w:rsidRPr="00582EF5">
        <w:rPr>
          <w:rFonts w:eastAsiaTheme="minorHAnsi"/>
        </w:rPr>
        <w:lastRenderedPageBreak/>
        <w:t>C</w:t>
      </w:r>
      <w:r w:rsidR="00A77336" w:rsidRPr="00582EF5">
        <w:rPr>
          <w:rFonts w:eastAsiaTheme="minorHAnsi"/>
        </w:rPr>
        <w:t xml:space="preserve">hapter 5: New Zealand implementation of </w:t>
      </w:r>
      <w:r w:rsidR="001B50B7">
        <w:rPr>
          <w:rFonts w:eastAsiaTheme="minorHAnsi"/>
        </w:rPr>
        <w:t xml:space="preserve">the </w:t>
      </w:r>
      <w:r w:rsidR="00A77336" w:rsidRPr="00582EF5">
        <w:rPr>
          <w:rFonts w:eastAsiaTheme="minorHAnsi"/>
        </w:rPr>
        <w:t xml:space="preserve">Stockholm </w:t>
      </w:r>
      <w:r w:rsidR="0039554B" w:rsidRPr="00582EF5">
        <w:rPr>
          <w:rFonts w:eastAsiaTheme="minorHAnsi"/>
        </w:rPr>
        <w:t>C</w:t>
      </w:r>
      <w:r w:rsidR="00A77336" w:rsidRPr="00582EF5">
        <w:rPr>
          <w:rFonts w:eastAsiaTheme="minorHAnsi"/>
        </w:rPr>
        <w:t xml:space="preserve">onvention: Part 3 Annex C </w:t>
      </w:r>
      <w:r w:rsidR="0039554B" w:rsidRPr="00582EF5">
        <w:t>persistent organic pollutants</w:t>
      </w:r>
      <w:bookmarkEnd w:id="90"/>
      <w:bookmarkEnd w:id="91"/>
    </w:p>
    <w:p w14:paraId="4C829994" w14:textId="0FA6BE8F" w:rsidR="00372852" w:rsidRPr="00582EF5" w:rsidRDefault="00372852" w:rsidP="005D5C7B">
      <w:pPr>
        <w:pStyle w:val="BodyText"/>
        <w:rPr>
          <w:rFonts w:eastAsiaTheme="minorHAnsi"/>
        </w:rPr>
      </w:pPr>
      <w:bookmarkStart w:id="92" w:name="_Toc531102792"/>
      <w:r w:rsidRPr="00582EF5">
        <w:rPr>
          <w:rFonts w:eastAsiaTheme="minorHAnsi"/>
        </w:rPr>
        <w:t xml:space="preserve">This chapter updates New Zealand’s activities to reduce or eliminate releases of unintentionally produced </w:t>
      </w:r>
      <w:r w:rsidR="0039554B" w:rsidRPr="00582EF5">
        <w:t>persistent organic pollutants</w:t>
      </w:r>
      <w:r w:rsidR="0039554B" w:rsidRPr="00582EF5">
        <w:rPr>
          <w:rFonts w:eastAsiaTheme="minorHAnsi"/>
        </w:rPr>
        <w:t xml:space="preserve"> (</w:t>
      </w:r>
      <w:r w:rsidRPr="00582EF5">
        <w:rPr>
          <w:rFonts w:eastAsiaTheme="minorHAnsi"/>
        </w:rPr>
        <w:t>POPs</w:t>
      </w:r>
      <w:r w:rsidR="00555731">
        <w:rPr>
          <w:rFonts w:eastAsiaTheme="minorHAnsi"/>
        </w:rPr>
        <w:t>)</w:t>
      </w:r>
      <w:r w:rsidRPr="00582EF5">
        <w:rPr>
          <w:rFonts w:eastAsiaTheme="minorHAnsi"/>
        </w:rPr>
        <w:t>.</w:t>
      </w:r>
    </w:p>
    <w:p w14:paraId="5E53A27A" w14:textId="6AB4EB4B" w:rsidR="00E72470" w:rsidRPr="00582EF5" w:rsidRDefault="00E72470" w:rsidP="005D5C7B">
      <w:pPr>
        <w:pStyle w:val="Heading2"/>
        <w:rPr>
          <w:rFonts w:eastAsiaTheme="minorHAnsi"/>
        </w:rPr>
      </w:pPr>
      <w:bookmarkStart w:id="93" w:name="_Toc120532245"/>
      <w:r w:rsidRPr="00582EF5">
        <w:rPr>
          <w:rFonts w:eastAsiaTheme="minorHAnsi"/>
        </w:rPr>
        <w:t xml:space="preserve">5.1 </w:t>
      </w:r>
      <w:r w:rsidR="00245098" w:rsidRPr="00582EF5">
        <w:rPr>
          <w:rFonts w:eastAsiaTheme="minorHAnsi"/>
        </w:rPr>
        <w:tab/>
      </w:r>
      <w:r w:rsidRPr="00582EF5">
        <w:rPr>
          <w:rFonts w:eastAsiaTheme="minorHAnsi"/>
        </w:rPr>
        <w:t>Convention obligations</w:t>
      </w:r>
      <w:bookmarkEnd w:id="92"/>
      <w:bookmarkEnd w:id="93"/>
    </w:p>
    <w:p w14:paraId="498D0C92" w14:textId="38FF7DFD" w:rsidR="00E72470" w:rsidRPr="00582EF5" w:rsidRDefault="00E72470" w:rsidP="005D5C7B">
      <w:pPr>
        <w:pStyle w:val="BodyText"/>
      </w:pPr>
      <w:r w:rsidRPr="00582EF5">
        <w:t xml:space="preserve">Article 5 of the </w:t>
      </w:r>
      <w:r w:rsidR="34C36A0F">
        <w:t>Convention</w:t>
      </w:r>
      <w:r w:rsidR="1BCE47DE">
        <w:t xml:space="preserve"> requires</w:t>
      </w:r>
      <w:r w:rsidRPr="00582EF5">
        <w:t xml:space="preserve"> parties to take measures to reduce or eliminate releases of unintentionally produced POPs. These are listed in Annex C </w:t>
      </w:r>
      <w:r w:rsidR="00AC66F3" w:rsidRPr="00582EF5">
        <w:t>o</w:t>
      </w:r>
      <w:r w:rsidR="00321C54" w:rsidRPr="00582EF5">
        <w:t>f</w:t>
      </w:r>
      <w:r w:rsidR="003C00D5" w:rsidRPr="00582EF5">
        <w:t xml:space="preserve"> the Convention </w:t>
      </w:r>
      <w:r w:rsidRPr="00582EF5">
        <w:t xml:space="preserve">and are chemicals produced and released as unintended by-products of specific processes. The goal is to continue to minimise, and where feasible, </w:t>
      </w:r>
      <w:r w:rsidR="221B89FE">
        <w:t>eliminate</w:t>
      </w:r>
      <w:r w:rsidRPr="00582EF5">
        <w:t xml:space="preserve"> these releases.</w:t>
      </w:r>
    </w:p>
    <w:p w14:paraId="68E78F6F" w14:textId="5015FA45" w:rsidR="00E72470" w:rsidRPr="00582EF5" w:rsidRDefault="00E72470" w:rsidP="005D5C7B">
      <w:pPr>
        <w:pStyle w:val="Heading2"/>
      </w:pPr>
      <w:bookmarkStart w:id="94" w:name="_Toc531102793"/>
      <w:bookmarkStart w:id="95" w:name="_Toc120532246"/>
      <w:r w:rsidRPr="00582EF5">
        <w:t xml:space="preserve">5.2 </w:t>
      </w:r>
      <w:r w:rsidR="00245098" w:rsidRPr="00582EF5">
        <w:tab/>
      </w:r>
      <w:r w:rsidRPr="00582EF5">
        <w:t xml:space="preserve">Annex C </w:t>
      </w:r>
      <w:r w:rsidR="001437B0" w:rsidRPr="00582EF5">
        <w:t>persistent organic pollutants</w:t>
      </w:r>
      <w:bookmarkEnd w:id="94"/>
      <w:bookmarkEnd w:id="95"/>
    </w:p>
    <w:p w14:paraId="16767BAE" w14:textId="00375100" w:rsidR="00E72470" w:rsidRPr="00582EF5" w:rsidRDefault="00E72470" w:rsidP="005D5C7B">
      <w:pPr>
        <w:pStyle w:val="BodyText"/>
      </w:pPr>
      <w:r w:rsidRPr="00582EF5">
        <w:t xml:space="preserve">Table </w:t>
      </w:r>
      <w:r w:rsidR="00BC43DD" w:rsidRPr="00582EF5">
        <w:t>2</w:t>
      </w:r>
      <w:r w:rsidR="00BC43DD">
        <w:t>6</w:t>
      </w:r>
      <w:r w:rsidR="00BC43DD" w:rsidRPr="00582EF5">
        <w:t xml:space="preserve"> </w:t>
      </w:r>
      <w:r w:rsidRPr="00582EF5">
        <w:t>shows the chemicals listed in Annex C o</w:t>
      </w:r>
      <w:r w:rsidR="00321C54" w:rsidRPr="00582EF5">
        <w:t>f</w:t>
      </w:r>
      <w:r w:rsidRPr="00582EF5">
        <w:t xml:space="preserve"> the Convention and when they entered into force in New Zealand. </w:t>
      </w:r>
      <w:r w:rsidR="001437B0" w:rsidRPr="00582EF5">
        <w:t>Hexachlorobutadiene (</w:t>
      </w:r>
      <w:r w:rsidR="00FF4E6F" w:rsidRPr="00582EF5">
        <w:t>HCBD</w:t>
      </w:r>
      <w:r w:rsidR="001437B0" w:rsidRPr="00582EF5">
        <w:t>)</w:t>
      </w:r>
      <w:r w:rsidRPr="00582EF5">
        <w:t xml:space="preserve"> was adopted as a new Annex C listing at the 2017 </w:t>
      </w:r>
      <w:r w:rsidR="001437B0" w:rsidRPr="00582EF5">
        <w:t>Conference of the Parties</w:t>
      </w:r>
      <w:r w:rsidRPr="00582EF5">
        <w:t xml:space="preserve"> and c</w:t>
      </w:r>
      <w:r w:rsidR="00280521" w:rsidRPr="00582EF5">
        <w:t>a</w:t>
      </w:r>
      <w:r w:rsidRPr="00582EF5">
        <w:t xml:space="preserve">me into force in New Zealand legislation </w:t>
      </w:r>
      <w:r w:rsidR="00280521" w:rsidRPr="00582EF5">
        <w:t>on</w:t>
      </w:r>
      <w:r w:rsidRPr="00582EF5">
        <w:t xml:space="preserve"> 18</w:t>
      </w:r>
      <w:r w:rsidR="00AC66F3" w:rsidRPr="00582EF5">
        <w:t> </w:t>
      </w:r>
      <w:r w:rsidRPr="00582EF5">
        <w:t>December 2018 (this chemical is already listed in Annex A).</w:t>
      </w:r>
    </w:p>
    <w:p w14:paraId="3E8B7C96" w14:textId="5347CBE5" w:rsidR="005F52D6" w:rsidRPr="00582EF5" w:rsidRDefault="005F52D6" w:rsidP="005D5C7B">
      <w:pPr>
        <w:pStyle w:val="Tableheading"/>
      </w:pPr>
      <w:bookmarkStart w:id="96" w:name="_Toc120532291"/>
      <w:r w:rsidRPr="00582EF5">
        <w:t xml:space="preserve">Table </w:t>
      </w:r>
      <w:r w:rsidR="27D2A773">
        <w:t>2</w:t>
      </w:r>
      <w:r w:rsidR="7862FCCB">
        <w:t>6</w:t>
      </w:r>
      <w:r w:rsidRPr="00582EF5">
        <w:t xml:space="preserve">: </w:t>
      </w:r>
      <w:r w:rsidR="00245098" w:rsidRPr="00582EF5">
        <w:tab/>
      </w:r>
      <w:r w:rsidR="005C3263" w:rsidRPr="00582EF5">
        <w:t>Chemicals listed in Annex C</w:t>
      </w:r>
      <w:r w:rsidRPr="00582EF5">
        <w:t xml:space="preserve"> </w:t>
      </w:r>
      <w:r w:rsidR="003C00D5" w:rsidRPr="00582EF5">
        <w:t>o</w:t>
      </w:r>
      <w:r w:rsidR="00321C54" w:rsidRPr="00582EF5">
        <w:t>f</w:t>
      </w:r>
      <w:r w:rsidR="003C00D5" w:rsidRPr="00582EF5">
        <w:t xml:space="preserve"> the Convention</w:t>
      </w:r>
      <w:bookmarkEnd w:id="96"/>
    </w:p>
    <w:tbl>
      <w:tblPr>
        <w:tblW w:w="0" w:type="auto"/>
        <w:tblBorders>
          <w:top w:val="single" w:sz="4" w:space="0" w:color="1C556C"/>
          <w:bottom w:val="single" w:sz="4" w:space="0" w:color="1C556C"/>
          <w:insideH w:val="single" w:sz="4" w:space="0" w:color="1C556C"/>
          <w:insideV w:val="single" w:sz="4" w:space="0" w:color="1C556C"/>
        </w:tblBorders>
        <w:tblLook w:val="04A0" w:firstRow="1" w:lastRow="0" w:firstColumn="1" w:lastColumn="0" w:noHBand="0" w:noVBand="1"/>
      </w:tblPr>
      <w:tblGrid>
        <w:gridCol w:w="4314"/>
        <w:gridCol w:w="1911"/>
        <w:gridCol w:w="2280"/>
      </w:tblGrid>
      <w:tr w:rsidR="00245098" w:rsidRPr="00582EF5" w14:paraId="15E55C44" w14:textId="77777777" w:rsidTr="00245098">
        <w:tc>
          <w:tcPr>
            <w:tcW w:w="4536" w:type="dxa"/>
            <w:shd w:val="clear" w:color="auto" w:fill="1C556C"/>
            <w:vAlign w:val="bottom"/>
          </w:tcPr>
          <w:p w14:paraId="1B28EA98" w14:textId="77777777" w:rsidR="00E72470" w:rsidRPr="00582EF5" w:rsidRDefault="00E72470" w:rsidP="005D5C7B">
            <w:pPr>
              <w:pStyle w:val="TableTextbold"/>
              <w:rPr>
                <w:rFonts w:eastAsiaTheme="minorHAnsi"/>
                <w:color w:val="FFFFFF" w:themeColor="background1"/>
                <w:lang w:eastAsia="en-US"/>
              </w:rPr>
            </w:pPr>
            <w:r w:rsidRPr="00582EF5">
              <w:rPr>
                <w:rFonts w:eastAsiaTheme="minorHAnsi"/>
                <w:color w:val="FFFFFF" w:themeColor="background1"/>
                <w:lang w:eastAsia="en-US"/>
              </w:rPr>
              <w:t>Chemical</w:t>
            </w:r>
          </w:p>
        </w:tc>
        <w:tc>
          <w:tcPr>
            <w:tcW w:w="1985" w:type="dxa"/>
            <w:shd w:val="clear" w:color="auto" w:fill="1C556C"/>
            <w:vAlign w:val="bottom"/>
          </w:tcPr>
          <w:p w14:paraId="0BBC8949" w14:textId="29283BE9" w:rsidR="00E72470" w:rsidRPr="00582EF5" w:rsidRDefault="00E72470" w:rsidP="005D5C7B">
            <w:pPr>
              <w:pStyle w:val="TableTextbold"/>
              <w:jc w:val="center"/>
              <w:rPr>
                <w:rFonts w:eastAsiaTheme="minorHAnsi"/>
                <w:color w:val="FFFFFF" w:themeColor="background1"/>
                <w:lang w:eastAsia="en-US"/>
              </w:rPr>
            </w:pPr>
            <w:r w:rsidRPr="00582EF5">
              <w:rPr>
                <w:rFonts w:eastAsiaTheme="minorHAnsi"/>
                <w:color w:val="FFFFFF" w:themeColor="background1"/>
                <w:lang w:eastAsia="en-US"/>
              </w:rPr>
              <w:t>Year listed under Stockholm</w:t>
            </w:r>
            <w:r w:rsidR="003C00D5" w:rsidRPr="00582EF5">
              <w:rPr>
                <w:rFonts w:eastAsiaTheme="minorHAnsi"/>
                <w:color w:val="FFFFFF" w:themeColor="background1"/>
                <w:lang w:eastAsia="en-US"/>
              </w:rPr>
              <w:t xml:space="preserve"> Convention</w:t>
            </w:r>
          </w:p>
        </w:tc>
        <w:tc>
          <w:tcPr>
            <w:tcW w:w="2410" w:type="dxa"/>
            <w:shd w:val="clear" w:color="auto" w:fill="1C556C"/>
            <w:vAlign w:val="bottom"/>
          </w:tcPr>
          <w:p w14:paraId="5AEB749C" w14:textId="77777777" w:rsidR="00E72470" w:rsidRPr="00582EF5" w:rsidRDefault="00E72470" w:rsidP="005D5C7B">
            <w:pPr>
              <w:pStyle w:val="TableTextbold"/>
              <w:jc w:val="center"/>
              <w:rPr>
                <w:rFonts w:eastAsiaTheme="minorHAnsi"/>
                <w:color w:val="FFFFFF" w:themeColor="background1"/>
                <w:lang w:eastAsia="en-US"/>
              </w:rPr>
            </w:pPr>
            <w:r w:rsidRPr="00582EF5">
              <w:rPr>
                <w:rFonts w:eastAsiaTheme="minorHAnsi"/>
                <w:color w:val="FFFFFF" w:themeColor="background1"/>
                <w:lang w:eastAsia="en-US"/>
              </w:rPr>
              <w:t>Date entered into force for New Zealand</w:t>
            </w:r>
          </w:p>
        </w:tc>
      </w:tr>
      <w:tr w:rsidR="00E72470" w:rsidRPr="00582EF5" w14:paraId="5CA3EF93" w14:textId="77777777" w:rsidTr="00245098">
        <w:tc>
          <w:tcPr>
            <w:tcW w:w="4536" w:type="dxa"/>
          </w:tcPr>
          <w:p w14:paraId="1B115D25" w14:textId="77777777" w:rsidR="00E72470" w:rsidRPr="00582EF5" w:rsidRDefault="00E72470" w:rsidP="005D5C7B">
            <w:pPr>
              <w:pStyle w:val="TableText"/>
            </w:pPr>
            <w:r w:rsidRPr="00582EF5">
              <w:t>Hexachlorobenzene (HCB)</w:t>
            </w:r>
          </w:p>
        </w:tc>
        <w:tc>
          <w:tcPr>
            <w:tcW w:w="1985" w:type="dxa"/>
          </w:tcPr>
          <w:p w14:paraId="042F1003" w14:textId="77777777" w:rsidR="00E72470" w:rsidRPr="00582EF5" w:rsidRDefault="00E72470" w:rsidP="005D5C7B">
            <w:pPr>
              <w:pStyle w:val="TableText"/>
              <w:jc w:val="center"/>
            </w:pPr>
            <w:r w:rsidRPr="00582EF5">
              <w:t>2001</w:t>
            </w:r>
          </w:p>
        </w:tc>
        <w:tc>
          <w:tcPr>
            <w:tcW w:w="2410" w:type="dxa"/>
          </w:tcPr>
          <w:p w14:paraId="1C860614" w14:textId="77777777" w:rsidR="00E72470" w:rsidRPr="00582EF5" w:rsidRDefault="00E72470" w:rsidP="005D5C7B">
            <w:pPr>
              <w:pStyle w:val="TableText"/>
              <w:jc w:val="center"/>
            </w:pPr>
            <w:r w:rsidRPr="00582EF5">
              <w:t>2004</w:t>
            </w:r>
          </w:p>
        </w:tc>
      </w:tr>
      <w:tr w:rsidR="00E72470" w:rsidRPr="00582EF5" w14:paraId="18B1CEE1" w14:textId="77777777" w:rsidTr="00245098">
        <w:tc>
          <w:tcPr>
            <w:tcW w:w="4536" w:type="dxa"/>
          </w:tcPr>
          <w:p w14:paraId="182AD117" w14:textId="2AE1F437" w:rsidR="00E72470" w:rsidRPr="00582EF5" w:rsidRDefault="00E72470" w:rsidP="005D5C7B">
            <w:pPr>
              <w:pStyle w:val="TableText"/>
            </w:pPr>
            <w:r w:rsidRPr="00582EF5">
              <w:t>Polychlorinated bip</w:t>
            </w:r>
            <w:r w:rsidR="00280521" w:rsidRPr="00582EF5">
              <w:t>h</w:t>
            </w:r>
            <w:r w:rsidRPr="00582EF5">
              <w:t>enyls (PCB)</w:t>
            </w:r>
          </w:p>
        </w:tc>
        <w:tc>
          <w:tcPr>
            <w:tcW w:w="1985" w:type="dxa"/>
          </w:tcPr>
          <w:p w14:paraId="3DA42E68" w14:textId="77777777" w:rsidR="00E72470" w:rsidRPr="00582EF5" w:rsidRDefault="00E72470" w:rsidP="005D5C7B">
            <w:pPr>
              <w:pStyle w:val="TableText"/>
              <w:jc w:val="center"/>
            </w:pPr>
            <w:r w:rsidRPr="00582EF5">
              <w:t>2001</w:t>
            </w:r>
          </w:p>
        </w:tc>
        <w:tc>
          <w:tcPr>
            <w:tcW w:w="2410" w:type="dxa"/>
          </w:tcPr>
          <w:p w14:paraId="5E951775" w14:textId="77777777" w:rsidR="00E72470" w:rsidRPr="00582EF5" w:rsidRDefault="00E72470" w:rsidP="005D5C7B">
            <w:pPr>
              <w:pStyle w:val="TableText"/>
              <w:jc w:val="center"/>
            </w:pPr>
            <w:r w:rsidRPr="00582EF5">
              <w:t>2004</w:t>
            </w:r>
          </w:p>
        </w:tc>
      </w:tr>
      <w:tr w:rsidR="00E72470" w:rsidRPr="00582EF5" w14:paraId="72A607C1" w14:textId="77777777" w:rsidTr="00245098">
        <w:tc>
          <w:tcPr>
            <w:tcW w:w="4536" w:type="dxa"/>
          </w:tcPr>
          <w:p w14:paraId="785A4C60" w14:textId="77777777" w:rsidR="00E72470" w:rsidRPr="00582EF5" w:rsidRDefault="00E72470" w:rsidP="005D5C7B">
            <w:pPr>
              <w:pStyle w:val="TableText"/>
            </w:pPr>
            <w:r w:rsidRPr="00582EF5">
              <w:t>Polychlorinated dibenzo-p-dioxins (PCDD)</w:t>
            </w:r>
          </w:p>
        </w:tc>
        <w:tc>
          <w:tcPr>
            <w:tcW w:w="1985" w:type="dxa"/>
          </w:tcPr>
          <w:p w14:paraId="3B30F962" w14:textId="77777777" w:rsidR="00E72470" w:rsidRPr="00582EF5" w:rsidRDefault="00E72470" w:rsidP="005D5C7B">
            <w:pPr>
              <w:pStyle w:val="TableText"/>
              <w:jc w:val="center"/>
            </w:pPr>
            <w:r w:rsidRPr="00582EF5">
              <w:t>2001</w:t>
            </w:r>
          </w:p>
        </w:tc>
        <w:tc>
          <w:tcPr>
            <w:tcW w:w="2410" w:type="dxa"/>
          </w:tcPr>
          <w:p w14:paraId="60DBFDD7" w14:textId="77777777" w:rsidR="00E72470" w:rsidRPr="00582EF5" w:rsidRDefault="00E72470" w:rsidP="005D5C7B">
            <w:pPr>
              <w:pStyle w:val="TableText"/>
              <w:jc w:val="center"/>
            </w:pPr>
            <w:r w:rsidRPr="00582EF5">
              <w:t>2004</w:t>
            </w:r>
          </w:p>
        </w:tc>
      </w:tr>
      <w:tr w:rsidR="00E72470" w:rsidRPr="00582EF5" w14:paraId="64C3D242" w14:textId="77777777" w:rsidTr="00245098">
        <w:tc>
          <w:tcPr>
            <w:tcW w:w="4536" w:type="dxa"/>
          </w:tcPr>
          <w:p w14:paraId="66847178" w14:textId="77777777" w:rsidR="00E72470" w:rsidRPr="00582EF5" w:rsidRDefault="00E72470" w:rsidP="005D5C7B">
            <w:pPr>
              <w:pStyle w:val="TableText"/>
            </w:pPr>
            <w:r w:rsidRPr="00582EF5">
              <w:t>Polychlorinated dibenzofurans (PCDF)</w:t>
            </w:r>
          </w:p>
        </w:tc>
        <w:tc>
          <w:tcPr>
            <w:tcW w:w="1985" w:type="dxa"/>
          </w:tcPr>
          <w:p w14:paraId="0201FA44" w14:textId="77777777" w:rsidR="00E72470" w:rsidRPr="00582EF5" w:rsidRDefault="00E72470" w:rsidP="005D5C7B">
            <w:pPr>
              <w:pStyle w:val="TableText"/>
              <w:jc w:val="center"/>
            </w:pPr>
            <w:r w:rsidRPr="00582EF5">
              <w:t>2001</w:t>
            </w:r>
          </w:p>
        </w:tc>
        <w:tc>
          <w:tcPr>
            <w:tcW w:w="2410" w:type="dxa"/>
          </w:tcPr>
          <w:p w14:paraId="20EAA4DF" w14:textId="77777777" w:rsidR="00E72470" w:rsidRPr="00582EF5" w:rsidRDefault="00E72470" w:rsidP="005D5C7B">
            <w:pPr>
              <w:pStyle w:val="TableText"/>
              <w:jc w:val="center"/>
            </w:pPr>
            <w:r w:rsidRPr="00582EF5">
              <w:t>2004</w:t>
            </w:r>
          </w:p>
        </w:tc>
      </w:tr>
      <w:tr w:rsidR="00E72470" w:rsidRPr="00582EF5" w14:paraId="55F23473" w14:textId="77777777" w:rsidTr="00245098">
        <w:tc>
          <w:tcPr>
            <w:tcW w:w="4536" w:type="dxa"/>
          </w:tcPr>
          <w:p w14:paraId="47661740" w14:textId="087BA3C3" w:rsidR="00E72470" w:rsidRPr="00582EF5" w:rsidRDefault="00E72470" w:rsidP="005D5C7B">
            <w:pPr>
              <w:pStyle w:val="TableText"/>
            </w:pPr>
            <w:proofErr w:type="spellStart"/>
            <w:r w:rsidRPr="00582EF5">
              <w:t>Pentachlorobenzene</w:t>
            </w:r>
            <w:proofErr w:type="spellEnd"/>
            <w:r w:rsidR="00580B2B" w:rsidRPr="00582EF5">
              <w:t xml:space="preserve"> (</w:t>
            </w:r>
            <w:proofErr w:type="spellStart"/>
            <w:r w:rsidR="00580B2B" w:rsidRPr="00582EF5">
              <w:t>PeCB</w:t>
            </w:r>
            <w:proofErr w:type="spellEnd"/>
            <w:r w:rsidR="00580B2B" w:rsidRPr="00582EF5">
              <w:t>)</w:t>
            </w:r>
          </w:p>
        </w:tc>
        <w:tc>
          <w:tcPr>
            <w:tcW w:w="1985" w:type="dxa"/>
          </w:tcPr>
          <w:p w14:paraId="3296D3F5" w14:textId="77777777" w:rsidR="00E72470" w:rsidRPr="00582EF5" w:rsidRDefault="00E72470" w:rsidP="005D5C7B">
            <w:pPr>
              <w:pStyle w:val="TableText"/>
              <w:jc w:val="center"/>
            </w:pPr>
            <w:r w:rsidRPr="00582EF5">
              <w:t>2009</w:t>
            </w:r>
          </w:p>
        </w:tc>
        <w:tc>
          <w:tcPr>
            <w:tcW w:w="2410" w:type="dxa"/>
          </w:tcPr>
          <w:p w14:paraId="5F4E3272" w14:textId="77777777" w:rsidR="00E72470" w:rsidRPr="00582EF5" w:rsidRDefault="00E72470" w:rsidP="005D5C7B">
            <w:pPr>
              <w:pStyle w:val="TableText"/>
              <w:jc w:val="center"/>
            </w:pPr>
            <w:r w:rsidRPr="00582EF5">
              <w:t>2016</w:t>
            </w:r>
          </w:p>
        </w:tc>
      </w:tr>
      <w:tr w:rsidR="00E72470" w:rsidRPr="00582EF5" w14:paraId="79D576B5" w14:textId="77777777" w:rsidTr="00245098">
        <w:tc>
          <w:tcPr>
            <w:tcW w:w="4536" w:type="dxa"/>
          </w:tcPr>
          <w:p w14:paraId="47D31557" w14:textId="08F412FD" w:rsidR="00E72470" w:rsidRPr="00582EF5" w:rsidRDefault="00E72470" w:rsidP="005D5C7B">
            <w:pPr>
              <w:pStyle w:val="TableText"/>
            </w:pPr>
            <w:r w:rsidRPr="00582EF5">
              <w:t xml:space="preserve">Polychlorinated </w:t>
            </w:r>
            <w:proofErr w:type="spellStart"/>
            <w:r w:rsidRPr="00582EF5">
              <w:t>naphthalenes</w:t>
            </w:r>
            <w:proofErr w:type="spellEnd"/>
            <w:r w:rsidR="00580B2B" w:rsidRPr="00582EF5">
              <w:t xml:space="preserve"> (PCNs)</w:t>
            </w:r>
          </w:p>
        </w:tc>
        <w:tc>
          <w:tcPr>
            <w:tcW w:w="1985" w:type="dxa"/>
          </w:tcPr>
          <w:p w14:paraId="07E68439" w14:textId="77777777" w:rsidR="00E72470" w:rsidRPr="00582EF5" w:rsidRDefault="00E72470" w:rsidP="005D5C7B">
            <w:pPr>
              <w:pStyle w:val="TableText"/>
              <w:jc w:val="center"/>
            </w:pPr>
            <w:r w:rsidRPr="00582EF5">
              <w:t>2015</w:t>
            </w:r>
          </w:p>
        </w:tc>
        <w:tc>
          <w:tcPr>
            <w:tcW w:w="2410" w:type="dxa"/>
          </w:tcPr>
          <w:p w14:paraId="316B3B7A" w14:textId="77777777" w:rsidR="00E72470" w:rsidRPr="00582EF5" w:rsidRDefault="00E72470" w:rsidP="005D5C7B">
            <w:pPr>
              <w:pStyle w:val="TableText"/>
              <w:jc w:val="center"/>
            </w:pPr>
            <w:r w:rsidRPr="00582EF5">
              <w:t>2016</w:t>
            </w:r>
          </w:p>
        </w:tc>
      </w:tr>
      <w:tr w:rsidR="00E72470" w:rsidRPr="00582EF5" w14:paraId="6134C0CE" w14:textId="77777777" w:rsidTr="00245098">
        <w:tc>
          <w:tcPr>
            <w:tcW w:w="4536" w:type="dxa"/>
          </w:tcPr>
          <w:p w14:paraId="0D37F139" w14:textId="52D552D0" w:rsidR="00E72470" w:rsidRPr="00582EF5" w:rsidRDefault="00E72470" w:rsidP="005D5C7B">
            <w:pPr>
              <w:pStyle w:val="TableText"/>
            </w:pPr>
            <w:r w:rsidRPr="00582EF5">
              <w:t>Hexachlorobutadiene</w:t>
            </w:r>
            <w:r w:rsidR="00FF4E6F" w:rsidRPr="00582EF5">
              <w:t xml:space="preserve"> (HCBD)</w:t>
            </w:r>
          </w:p>
        </w:tc>
        <w:tc>
          <w:tcPr>
            <w:tcW w:w="1985" w:type="dxa"/>
          </w:tcPr>
          <w:p w14:paraId="362DC7BD" w14:textId="77777777" w:rsidR="00E72470" w:rsidRPr="00582EF5" w:rsidRDefault="00E72470" w:rsidP="005D5C7B">
            <w:pPr>
              <w:pStyle w:val="TableText"/>
              <w:jc w:val="center"/>
            </w:pPr>
            <w:r w:rsidRPr="00582EF5">
              <w:t>2018</w:t>
            </w:r>
          </w:p>
        </w:tc>
        <w:tc>
          <w:tcPr>
            <w:tcW w:w="2410" w:type="dxa"/>
          </w:tcPr>
          <w:p w14:paraId="155461B3" w14:textId="4DC85FAB" w:rsidR="00E72470" w:rsidRPr="00582EF5" w:rsidRDefault="00280521" w:rsidP="005D5C7B">
            <w:pPr>
              <w:pStyle w:val="TableText"/>
              <w:jc w:val="center"/>
            </w:pPr>
            <w:r w:rsidRPr="00582EF5">
              <w:t>2018</w:t>
            </w:r>
          </w:p>
        </w:tc>
      </w:tr>
    </w:tbl>
    <w:p w14:paraId="111288BC" w14:textId="1D16A42F" w:rsidR="00E72470" w:rsidRPr="00582EF5" w:rsidRDefault="00E72470" w:rsidP="005D5C7B">
      <w:pPr>
        <w:pStyle w:val="Heading2"/>
        <w:spacing w:before="440"/>
      </w:pPr>
      <w:bookmarkStart w:id="97" w:name="_Toc531102795"/>
      <w:bookmarkStart w:id="98" w:name="_Toc120532247"/>
      <w:r w:rsidRPr="00582EF5">
        <w:t>5.</w:t>
      </w:r>
      <w:r w:rsidR="00A51E8B" w:rsidRPr="00582EF5">
        <w:t xml:space="preserve">3 </w:t>
      </w:r>
      <w:r w:rsidR="00C2325C" w:rsidRPr="00582EF5">
        <w:tab/>
      </w:r>
      <w:r w:rsidRPr="00582EF5">
        <w:t>Progress since N</w:t>
      </w:r>
      <w:r w:rsidR="00C95BAD" w:rsidRPr="00582EF5">
        <w:t xml:space="preserve">ational </w:t>
      </w:r>
      <w:r w:rsidRPr="00582EF5">
        <w:t>I</w:t>
      </w:r>
      <w:r w:rsidR="00C95BAD" w:rsidRPr="00582EF5">
        <w:t xml:space="preserve">mplementation </w:t>
      </w:r>
      <w:r w:rsidRPr="00582EF5">
        <w:t>P</w:t>
      </w:r>
      <w:r w:rsidR="00C95BAD" w:rsidRPr="00582EF5">
        <w:t xml:space="preserve">lan </w:t>
      </w:r>
      <w:r w:rsidRPr="00582EF5">
        <w:t>1</w:t>
      </w:r>
      <w:bookmarkEnd w:id="97"/>
      <w:bookmarkEnd w:id="98"/>
    </w:p>
    <w:p w14:paraId="51425535" w14:textId="50739FB4" w:rsidR="00F95277" w:rsidRPr="00582EF5" w:rsidRDefault="236288B2" w:rsidP="005D5C7B">
      <w:pPr>
        <w:pStyle w:val="BodyText"/>
        <w:spacing w:after="240"/>
      </w:pPr>
      <w:hyperlink r:id="rId88" w:history="1">
        <w:r w:rsidRPr="00D845EC">
          <w:rPr>
            <w:rStyle w:val="Hyperlink"/>
          </w:rPr>
          <w:t>NIP1</w:t>
        </w:r>
      </w:hyperlink>
      <w:r w:rsidRPr="00D845EC">
        <w:t xml:space="preserve"> outlines New Zealand’s Action Plan for Dioxins and Other Annex C </w:t>
      </w:r>
      <w:r w:rsidR="022253C6" w:rsidRPr="00D845EC">
        <w:t>C</w:t>
      </w:r>
      <w:r w:rsidRPr="00D845EC">
        <w:t>hemicals</w:t>
      </w:r>
      <w:r>
        <w:t xml:space="preserve">. </w:t>
      </w:r>
      <w:r w:rsidR="00593EA8" w:rsidRPr="00582EF5">
        <w:t xml:space="preserve">MfE is responsible for the </w:t>
      </w:r>
      <w:r w:rsidR="00542453" w:rsidRPr="00582EF5">
        <w:t>Action P</w:t>
      </w:r>
      <w:r w:rsidR="00080B7A" w:rsidRPr="00582EF5">
        <w:t xml:space="preserve">lan’s </w:t>
      </w:r>
      <w:r w:rsidR="00593EA8" w:rsidRPr="00582EF5">
        <w:t>i</w:t>
      </w:r>
      <w:r w:rsidR="00E72470" w:rsidRPr="00582EF5">
        <w:t xml:space="preserve">mplementation and oversight. In summary, the Action Plan to minimise and, where feasible, </w:t>
      </w:r>
      <w:r w:rsidR="33BFF294" w:rsidRPr="00582EF5">
        <w:t>eliminate</w:t>
      </w:r>
      <w:r w:rsidR="00E72470" w:rsidRPr="00582EF5">
        <w:t xml:space="preserve"> releases of unintentional POPs to air, has been compiled in accordance with the </w:t>
      </w:r>
      <w:r w:rsidR="00C147A2" w:rsidRPr="00582EF5">
        <w:t xml:space="preserve">measures set out in </w:t>
      </w:r>
      <w:r w:rsidR="00080B7A" w:rsidRPr="00582EF5">
        <w:t>b</w:t>
      </w:r>
      <w:r w:rsidR="00E72470" w:rsidRPr="00582EF5">
        <w:t xml:space="preserve">ox </w:t>
      </w:r>
      <w:r w:rsidR="00A51E8B" w:rsidRPr="00582EF5">
        <w:t>1</w:t>
      </w:r>
      <w:r w:rsidR="00E72470" w:rsidRPr="00582EF5">
        <w:t xml:space="preserve">. The main activities under the Action Plan are to undertake a five-yearly </w:t>
      </w:r>
      <w:r w:rsidR="00F95277">
        <w:t>New Zealand I</w:t>
      </w:r>
      <w:r w:rsidR="00F95277" w:rsidRPr="00F95277">
        <w:t>nventory of Dioxin Emissions to Air, Land and Water, and Reservoir Sources</w:t>
      </w:r>
      <w:r w:rsidR="00E72470" w:rsidRPr="00582EF5">
        <w:t xml:space="preserve"> (see section</w:t>
      </w:r>
      <w:r w:rsidR="00080B7A" w:rsidRPr="00582EF5">
        <w:t xml:space="preserve"> 5.3.1</w:t>
      </w:r>
      <w:r w:rsidR="00E72470" w:rsidRPr="00582EF5">
        <w:t>).</w:t>
      </w:r>
    </w:p>
    <w:tbl>
      <w:tblPr>
        <w:tblStyle w:val="TableGrid"/>
        <w:tblW w:w="850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C147A2" w:rsidRPr="00582EF5" w14:paraId="6927EB66" w14:textId="77777777" w:rsidTr="703AEB20">
        <w:tc>
          <w:tcPr>
            <w:tcW w:w="0" w:type="auto"/>
            <w:shd w:val="clear" w:color="auto" w:fill="D2DDE2" w:themeFill="accent3"/>
          </w:tcPr>
          <w:p w14:paraId="00E8F767" w14:textId="085324B3" w:rsidR="00C147A2" w:rsidRPr="00582EF5" w:rsidRDefault="00C147A2" w:rsidP="005D5C7B">
            <w:pPr>
              <w:pStyle w:val="Blueboxheading"/>
              <w:spacing w:after="120"/>
            </w:pPr>
            <w:bookmarkStart w:id="99" w:name="_Toc120523646"/>
            <w:r w:rsidRPr="00582EF5">
              <w:lastRenderedPageBreak/>
              <w:t xml:space="preserve">Box </w:t>
            </w:r>
            <w:r w:rsidR="00A51E8B" w:rsidRPr="00582EF5">
              <w:t>1</w:t>
            </w:r>
            <w:r w:rsidRPr="00582EF5">
              <w:t>: Updated action plan for dioxins and other Annex C chemicals</w:t>
            </w:r>
            <w:bookmarkEnd w:id="99"/>
            <w:r w:rsidRPr="00582EF5">
              <w:t xml:space="preserve"> </w:t>
            </w:r>
          </w:p>
          <w:p w14:paraId="3AC730AD" w14:textId="7ABAD950" w:rsidR="00C147A2" w:rsidRPr="00582EF5" w:rsidRDefault="00C147A2" w:rsidP="005D5C7B">
            <w:pPr>
              <w:pStyle w:val="Blue-boxbullet"/>
            </w:pPr>
            <w:r w:rsidRPr="00582EF5">
              <w:t xml:space="preserve">Review and update </w:t>
            </w:r>
            <w:r w:rsidR="00080B7A" w:rsidRPr="00582EF5">
              <w:t xml:space="preserve">every </w:t>
            </w:r>
            <w:r w:rsidRPr="00582EF5">
              <w:t>five year</w:t>
            </w:r>
            <w:r w:rsidR="00080B7A" w:rsidRPr="00582EF5">
              <w:t>s</w:t>
            </w:r>
            <w:r w:rsidRPr="00582EF5">
              <w:t xml:space="preserve"> </w:t>
            </w:r>
            <w:r w:rsidR="00C22A23" w:rsidRPr="00582EF5">
              <w:t>the</w:t>
            </w:r>
            <w:r w:rsidRPr="00582EF5">
              <w:t xml:space="preserve"> New Zealand </w:t>
            </w:r>
            <w:r w:rsidR="00F95277">
              <w:t>I</w:t>
            </w:r>
            <w:r w:rsidR="00F95277" w:rsidRPr="00F95277">
              <w:t>nventory of Dioxin Emissions to Air, Land and Water, and Reservoir Sources</w:t>
            </w:r>
            <w:r w:rsidR="00F95277">
              <w:t>.</w:t>
            </w:r>
          </w:p>
          <w:p w14:paraId="06A340E1" w14:textId="7E310129" w:rsidR="00C147A2" w:rsidRPr="00582EF5" w:rsidRDefault="00C147A2" w:rsidP="005D5C7B">
            <w:pPr>
              <w:pStyle w:val="Blue-boxbullet"/>
            </w:pPr>
            <w:r w:rsidRPr="00582EF5">
              <w:t>Monitor and periodically evaluate laws and policies to manage releases of dioxins and other Annex C chemicals</w:t>
            </w:r>
            <w:r w:rsidR="00080B7A" w:rsidRPr="00582EF5">
              <w:t>.</w:t>
            </w:r>
          </w:p>
          <w:p w14:paraId="3FFCBE05" w14:textId="39067163" w:rsidR="00C147A2" w:rsidRPr="00582EF5" w:rsidRDefault="00C147A2" w:rsidP="005D5C7B">
            <w:pPr>
              <w:pStyle w:val="Blue-boxbullet"/>
            </w:pPr>
            <w:r w:rsidRPr="00582EF5">
              <w:t>Identify strategies to minimise releases of dioxins and other Annex C chemicals</w:t>
            </w:r>
            <w:r w:rsidR="00080B7A" w:rsidRPr="00582EF5">
              <w:t>.</w:t>
            </w:r>
          </w:p>
          <w:p w14:paraId="5E12AE31" w14:textId="4738C798" w:rsidR="00C147A2" w:rsidRPr="00582EF5" w:rsidRDefault="00C147A2" w:rsidP="005D5C7B">
            <w:pPr>
              <w:pStyle w:val="Blue-boxbullet"/>
            </w:pPr>
            <w:r w:rsidRPr="00582EF5">
              <w:t>Promote information where appropriate to support the above programmes</w:t>
            </w:r>
            <w:r w:rsidR="00080B7A" w:rsidRPr="00582EF5">
              <w:t>.</w:t>
            </w:r>
          </w:p>
          <w:p w14:paraId="0DB1689E" w14:textId="684DE9E2" w:rsidR="00C147A2" w:rsidRPr="00582EF5" w:rsidRDefault="00C147A2" w:rsidP="005D5C7B">
            <w:pPr>
              <w:pStyle w:val="Blue-boxbullet"/>
            </w:pPr>
            <w:r w:rsidRPr="00582EF5">
              <w:t>Report progress under the Action Plan for Dioxins and Other Annex C Chemicals every five</w:t>
            </w:r>
            <w:r w:rsidR="00F6233A" w:rsidRPr="00582EF5">
              <w:t> </w:t>
            </w:r>
            <w:r w:rsidRPr="00582EF5">
              <w:t>years</w:t>
            </w:r>
            <w:r w:rsidR="00F6233A" w:rsidRPr="00582EF5">
              <w:t>.</w:t>
            </w:r>
          </w:p>
          <w:p w14:paraId="6A072E91" w14:textId="77777777" w:rsidR="00C147A2" w:rsidRPr="00582EF5" w:rsidRDefault="00C147A2" w:rsidP="005D5C7B">
            <w:pPr>
              <w:pStyle w:val="Blue-boxbullet"/>
            </w:pPr>
            <w:r w:rsidRPr="00582EF5">
              <w:t>Implement the Action Plan for Dioxins and Other Annex C Chemicals to:</w:t>
            </w:r>
          </w:p>
          <w:p w14:paraId="30926138" w14:textId="2E80F8D3" w:rsidR="00C147A2" w:rsidRPr="00582EF5" w:rsidRDefault="00F6233A" w:rsidP="005D5C7B">
            <w:pPr>
              <w:pStyle w:val="Blue-boxbullet"/>
            </w:pPr>
            <w:r w:rsidRPr="00582EF5">
              <w:t>m</w:t>
            </w:r>
            <w:r w:rsidR="00C147A2" w:rsidRPr="00582EF5">
              <w:t>aintain and promote the implementation schedule</w:t>
            </w:r>
          </w:p>
          <w:p w14:paraId="7AA87470" w14:textId="5313AA3E" w:rsidR="00C147A2" w:rsidRPr="00582EF5" w:rsidRDefault="00F6233A" w:rsidP="005D5C7B">
            <w:pPr>
              <w:pStyle w:val="Blue-boxbullet"/>
            </w:pPr>
            <w:r w:rsidRPr="00582EF5">
              <w:t>p</w:t>
            </w:r>
            <w:r w:rsidR="00C147A2" w:rsidRPr="00582EF5">
              <w:t>romote the measures of the action plan</w:t>
            </w:r>
          </w:p>
          <w:p w14:paraId="2B87D763" w14:textId="61E694DD" w:rsidR="00C147A2" w:rsidRPr="00582EF5" w:rsidRDefault="00F6233A" w:rsidP="005D5C7B">
            <w:pPr>
              <w:pStyle w:val="Blue-boxbullet"/>
            </w:pPr>
            <w:r w:rsidRPr="00582EF5">
              <w:t>t</w:t>
            </w:r>
            <w:r w:rsidR="00C147A2" w:rsidRPr="00582EF5">
              <w:t>ake account of guidance prepared by the C</w:t>
            </w:r>
            <w:r w:rsidRPr="00582EF5">
              <w:t xml:space="preserve">onference of the </w:t>
            </w:r>
            <w:r w:rsidR="00C147A2" w:rsidRPr="00582EF5">
              <w:t>P</w:t>
            </w:r>
            <w:r w:rsidRPr="00582EF5">
              <w:t>arties</w:t>
            </w:r>
          </w:p>
          <w:p w14:paraId="155EBD9F" w14:textId="0CC244D0" w:rsidR="00C147A2" w:rsidRPr="00582EF5" w:rsidRDefault="00F6233A" w:rsidP="005D5C7B">
            <w:pPr>
              <w:pStyle w:val="Blue-boxbullet"/>
            </w:pPr>
            <w:r w:rsidRPr="00582EF5">
              <w:t>p</w:t>
            </w:r>
            <w:r w:rsidR="00C147A2" w:rsidRPr="00582EF5">
              <w:t xml:space="preserve">rovide consideration of </w:t>
            </w:r>
            <w:r w:rsidRPr="00582EF5">
              <w:t>best available techniques/best environmental practices (</w:t>
            </w:r>
            <w:r w:rsidR="00C147A2" w:rsidRPr="00582EF5">
              <w:t>BAT/BEP</w:t>
            </w:r>
            <w:r w:rsidRPr="00582EF5">
              <w:t>)</w:t>
            </w:r>
            <w:r w:rsidR="00C147A2" w:rsidRPr="00582EF5">
              <w:t xml:space="preserve"> requirements for any new Annex C, </w:t>
            </w:r>
            <w:r w:rsidRPr="00582EF5">
              <w:t>P</w:t>
            </w:r>
            <w:r w:rsidR="00C147A2" w:rsidRPr="00582EF5">
              <w:t>art II installations</w:t>
            </w:r>
          </w:p>
          <w:p w14:paraId="6E9D2944" w14:textId="2D041394" w:rsidR="00C147A2" w:rsidRPr="00582EF5" w:rsidRDefault="00F6233A" w:rsidP="005D5C7B">
            <w:pPr>
              <w:pStyle w:val="Blue-boxbullet"/>
            </w:pPr>
            <w:r w:rsidRPr="00582EF5">
              <w:t>p</w:t>
            </w:r>
            <w:r w:rsidR="00C147A2" w:rsidRPr="00582EF5">
              <w:t xml:space="preserve">rovide consideration of BAT/BEP requirements for all existing installations (sources) in accordance with Part II and </w:t>
            </w:r>
            <w:r w:rsidRPr="00582EF5">
              <w:t xml:space="preserve">Part </w:t>
            </w:r>
            <w:r w:rsidR="00C147A2" w:rsidRPr="00582EF5">
              <w:t>III of Annex C.</w:t>
            </w:r>
          </w:p>
          <w:p w14:paraId="1E4511DD" w14:textId="647C4015" w:rsidR="00C147A2" w:rsidRPr="00582EF5" w:rsidRDefault="0002779E" w:rsidP="005D5C7B">
            <w:pPr>
              <w:pStyle w:val="Blueboxtext"/>
              <w:spacing w:before="0"/>
            </w:pPr>
            <w:r w:rsidRPr="00582EF5">
              <w:t xml:space="preserve">The </w:t>
            </w:r>
            <w:r w:rsidR="00C147A2" w:rsidRPr="00582EF5">
              <w:t>M</w:t>
            </w:r>
            <w:r w:rsidR="003A014D" w:rsidRPr="00582EF5">
              <w:t>inis</w:t>
            </w:r>
            <w:r w:rsidRPr="00582EF5">
              <w:t>t</w:t>
            </w:r>
            <w:r w:rsidR="003A014D" w:rsidRPr="00582EF5">
              <w:t>r</w:t>
            </w:r>
            <w:r w:rsidRPr="00582EF5">
              <w:t xml:space="preserve">y </w:t>
            </w:r>
            <w:r w:rsidR="00C147A2" w:rsidRPr="00582EF5">
              <w:t>f</w:t>
            </w:r>
            <w:r w:rsidRPr="00582EF5">
              <w:t xml:space="preserve">or the </w:t>
            </w:r>
            <w:r w:rsidR="00C147A2" w:rsidRPr="00582EF5">
              <w:t>E</w:t>
            </w:r>
            <w:r w:rsidRPr="00582EF5">
              <w:t>nvironment</w:t>
            </w:r>
            <w:r w:rsidR="00C147A2" w:rsidRPr="00582EF5">
              <w:t xml:space="preserve"> </w:t>
            </w:r>
            <w:r w:rsidR="00B35D61">
              <w:t>has</w:t>
            </w:r>
            <w:r w:rsidR="00C147A2" w:rsidRPr="00582EF5">
              <w:t>:</w:t>
            </w:r>
          </w:p>
          <w:p w14:paraId="0038895A" w14:textId="41F55579" w:rsidR="39779083" w:rsidRDefault="35B5A705" w:rsidP="005D5C7B">
            <w:pPr>
              <w:pStyle w:val="Blue-boxbullet"/>
              <w:ind w:left="681" w:hanging="397"/>
            </w:pPr>
            <w:r>
              <w:t xml:space="preserve">submitted the New Zealand Action Plan for Dioxins and Other Annex C Chemicals (as a component of the National Implementation Plan (NIP) to the Secretariat of the Stockholm Convention on Persistent Organic Pollutants (Convention Secretariat in December 2018 </w:t>
            </w:r>
          </w:p>
          <w:p w14:paraId="36DA20C5" w14:textId="7A943A67" w:rsidR="00C147A2" w:rsidRPr="00582EF5" w:rsidRDefault="005F6B1B" w:rsidP="005D5C7B">
            <w:pPr>
              <w:pStyle w:val="Blue-boxbullet"/>
              <w:ind w:left="681" w:hanging="397"/>
            </w:pPr>
            <w:r w:rsidRPr="005D5C7B">
              <w:t>report</w:t>
            </w:r>
            <w:r w:rsidR="00BA4EA0" w:rsidRPr="005D5C7B">
              <w:t>ed</w:t>
            </w:r>
            <w:r w:rsidRPr="005D5C7B">
              <w:t xml:space="preserve"> the New Zealand Inventory of Dioxin Emissions to Air, Land and Water, and Reservoir Sources</w:t>
            </w:r>
            <w:r w:rsidRPr="6EB7E89B">
              <w:t xml:space="preserve"> containing estimates of releases of dioxin from 49 </w:t>
            </w:r>
            <w:bookmarkStart w:id="100" w:name="_Int_EFXG9EUI"/>
            <w:bookmarkStart w:id="101" w:name="_Int_uknwrB5h"/>
            <w:r w:rsidRPr="6EB7E89B">
              <w:t>different sources</w:t>
            </w:r>
            <w:bookmarkEnd w:id="100"/>
            <w:bookmarkEnd w:id="101"/>
            <w:r w:rsidRPr="6EB7E89B">
              <w:t xml:space="preserve"> in New Zealand for the reference year of 2020 to provide an update for New Zealand’s Dioxin Inventory previously published for the reference years of 2008, 2012 and 2016 on 31 August 2022.</w:t>
            </w:r>
          </w:p>
        </w:tc>
      </w:tr>
    </w:tbl>
    <w:p w14:paraId="49BBD0C4" w14:textId="5281DAB9" w:rsidR="00E72470" w:rsidRPr="00582EF5" w:rsidRDefault="00A93FB4" w:rsidP="005D5C7B">
      <w:pPr>
        <w:pStyle w:val="Heading3"/>
        <w:spacing w:before="480"/>
      </w:pPr>
      <w:r w:rsidRPr="00582EF5">
        <w:t>5.3.1</w:t>
      </w:r>
      <w:r w:rsidRPr="00582EF5">
        <w:tab/>
      </w:r>
      <w:r w:rsidR="00F95277">
        <w:t>New Zealand I</w:t>
      </w:r>
      <w:r w:rsidR="00F95277" w:rsidRPr="00F95277">
        <w:t>nventory of Dioxin Emissions to Air, Land and Water, and Reservoir Sources</w:t>
      </w:r>
    </w:p>
    <w:p w14:paraId="4544D16F" w14:textId="62F86936" w:rsidR="00E72470" w:rsidRPr="00582EF5" w:rsidRDefault="004F1B34" w:rsidP="005D5C7B">
      <w:pPr>
        <w:pStyle w:val="BodyText"/>
      </w:pPr>
      <w:r>
        <w:t>NIP</w:t>
      </w:r>
      <w:r w:rsidR="002C1B94">
        <w:t>3</w:t>
      </w:r>
      <w:r w:rsidR="00BC5935">
        <w:t xml:space="preserve"> outlines</w:t>
      </w:r>
      <w:r w:rsidR="72C89534">
        <w:t xml:space="preserve"> the Action Plan for Dioxins and </w:t>
      </w:r>
      <w:r w:rsidR="000C409A">
        <w:t xml:space="preserve">other </w:t>
      </w:r>
      <w:r w:rsidR="72C89534">
        <w:t xml:space="preserve">Annex C Chemicals. This includes the requirement to update the </w:t>
      </w:r>
      <w:r w:rsidR="653CB962">
        <w:t>New Zealand Inventory of Dioxin Emissions to Air, Land and Water, and Reservoir Sources</w:t>
      </w:r>
      <w:r w:rsidR="72C89534">
        <w:t xml:space="preserve"> every five years.</w:t>
      </w:r>
    </w:p>
    <w:p w14:paraId="7C236E2E" w14:textId="558FFFCF" w:rsidR="00E72470" w:rsidRPr="00582EF5" w:rsidRDefault="00E72470" w:rsidP="005D5C7B">
      <w:pPr>
        <w:pStyle w:val="BodyText"/>
      </w:pPr>
      <w:r w:rsidRPr="00582EF5">
        <w:t xml:space="preserve">The New Zealand inventory measures </w:t>
      </w:r>
      <w:r w:rsidR="00EF7B04" w:rsidRPr="00582EF5">
        <w:t>polychlorinated dibenzo-p-dioxins (</w:t>
      </w:r>
      <w:r w:rsidRPr="00582EF5">
        <w:t>PCDDs</w:t>
      </w:r>
      <w:r w:rsidR="00EF7B04" w:rsidRPr="00582EF5">
        <w:t>)</w:t>
      </w:r>
      <w:r w:rsidRPr="00582EF5">
        <w:t xml:space="preserve"> and </w:t>
      </w:r>
      <w:r w:rsidR="00EF7B04" w:rsidRPr="00582EF5">
        <w:t>polychlorinated dibenzofurans (</w:t>
      </w:r>
      <w:r w:rsidRPr="00582EF5">
        <w:t>PCDFs</w:t>
      </w:r>
      <w:r w:rsidR="00EF7B04" w:rsidRPr="00582EF5">
        <w:t>)</w:t>
      </w:r>
      <w:r w:rsidRPr="00582EF5">
        <w:t xml:space="preserve"> </w:t>
      </w:r>
      <w:r w:rsidR="00EF7B04" w:rsidRPr="00582EF5">
        <w:t>because</w:t>
      </w:r>
      <w:r w:rsidRPr="00582EF5">
        <w:t xml:space="preserve"> they are considered to constitute a sufficient basis for identifying and prioritising sources of all such substances</w:t>
      </w:r>
      <w:r w:rsidR="00EF7B04" w:rsidRPr="00582EF5">
        <w:t>,</w:t>
      </w:r>
      <w:r w:rsidRPr="00582EF5">
        <w:t xml:space="preserve"> as well as for devising applicable control measures for all Annex C POPs and evaluating their efficacy. For ease of reference</w:t>
      </w:r>
      <w:r w:rsidR="00EF7B04" w:rsidRPr="00582EF5">
        <w:t>,</w:t>
      </w:r>
      <w:r w:rsidRPr="00582EF5">
        <w:t xml:space="preserve"> PCDDs and PCDFs are collectively referred to as ‘dioxins’ in this NIP. </w:t>
      </w:r>
    </w:p>
    <w:p w14:paraId="1709D79A" w14:textId="580F54B5" w:rsidR="00E72470" w:rsidRPr="00582EF5" w:rsidRDefault="00E72470" w:rsidP="005D5C7B">
      <w:pPr>
        <w:pStyle w:val="BodyText"/>
      </w:pPr>
      <w:r w:rsidRPr="00582EF5">
        <w:t xml:space="preserve">New Zealand has not developed an inventory of </w:t>
      </w:r>
      <w:r w:rsidR="00EF7B04" w:rsidRPr="00582EF5">
        <w:t>p</w:t>
      </w:r>
      <w:r w:rsidR="00175770" w:rsidRPr="00582EF5">
        <w:t>olychlorinated biphenyl</w:t>
      </w:r>
      <w:r w:rsidR="00EF7B04" w:rsidRPr="00582EF5">
        <w:t xml:space="preserve"> (</w:t>
      </w:r>
      <w:r w:rsidRPr="00582EF5">
        <w:t>PCB</w:t>
      </w:r>
      <w:r w:rsidR="00EF7B04" w:rsidRPr="00582EF5">
        <w:t>)</w:t>
      </w:r>
      <w:r w:rsidRPr="00582EF5">
        <w:t xml:space="preserve">, </w:t>
      </w:r>
      <w:proofErr w:type="spellStart"/>
      <w:r w:rsidR="00175770" w:rsidRPr="00582EF5">
        <w:t>pentachlorobenzene</w:t>
      </w:r>
      <w:proofErr w:type="spellEnd"/>
      <w:r w:rsidR="00175770" w:rsidRPr="00582EF5">
        <w:t xml:space="preserve"> (</w:t>
      </w:r>
      <w:proofErr w:type="spellStart"/>
      <w:r w:rsidRPr="00582EF5">
        <w:t>PeCB</w:t>
      </w:r>
      <w:proofErr w:type="spellEnd"/>
      <w:r w:rsidR="00175770" w:rsidRPr="00582EF5">
        <w:t>)</w:t>
      </w:r>
      <w:r w:rsidRPr="00582EF5">
        <w:t xml:space="preserve">, </w:t>
      </w:r>
      <w:r w:rsidR="00175770" w:rsidRPr="00582EF5">
        <w:t>hexachlorobenzene (</w:t>
      </w:r>
      <w:r w:rsidRPr="00582EF5">
        <w:t>HCB</w:t>
      </w:r>
      <w:r w:rsidR="00175770" w:rsidRPr="00582EF5">
        <w:t>)</w:t>
      </w:r>
      <w:r w:rsidRPr="00582EF5">
        <w:t xml:space="preserve"> or </w:t>
      </w:r>
      <w:r w:rsidR="00175770" w:rsidRPr="00582EF5">
        <w:t>polychlorinated naphthalene (</w:t>
      </w:r>
      <w:r w:rsidRPr="00582EF5">
        <w:t>PCN</w:t>
      </w:r>
      <w:r w:rsidR="00175770" w:rsidRPr="00582EF5">
        <w:t>)</w:t>
      </w:r>
      <w:r w:rsidRPr="00582EF5">
        <w:t xml:space="preserve"> </w:t>
      </w:r>
      <w:r w:rsidR="00175770" w:rsidRPr="00582EF5">
        <w:t>because of</w:t>
      </w:r>
      <w:r w:rsidRPr="00582EF5">
        <w:t xml:space="preserve"> the complexity and cost of testing and sampling. This is in line with the guidance provided by the Convention. The New Zealand </w:t>
      </w:r>
      <w:r w:rsidR="00F80933" w:rsidRPr="00582EF5">
        <w:t>G</w:t>
      </w:r>
      <w:r w:rsidRPr="00582EF5">
        <w:t xml:space="preserve">overnment managed a register of exemptions to keep PCB stocks until the end of 2016 (see chapter 3 for PCB phase-out). A separate </w:t>
      </w:r>
      <w:r w:rsidRPr="00582EF5">
        <w:lastRenderedPageBreak/>
        <w:t>inventory is not deemed necessary.</w:t>
      </w:r>
      <w:r w:rsidR="009E4D63">
        <w:t xml:space="preserve"> </w:t>
      </w:r>
      <w:r w:rsidR="00FF4E6F" w:rsidRPr="00582EF5">
        <w:t>HCB</w:t>
      </w:r>
      <w:r w:rsidRPr="00582EF5">
        <w:t xml:space="preserve"> was used experimentally in New Zealand between 1970 and 1972. A separate inventory for this substance is not deemed necessary.</w:t>
      </w:r>
    </w:p>
    <w:p w14:paraId="14DDEA1D" w14:textId="42645BAD" w:rsidR="00E72470" w:rsidRPr="00787556" w:rsidRDefault="3CAF4063" w:rsidP="00787556">
      <w:pPr>
        <w:pStyle w:val="BodyText"/>
        <w:rPr>
          <w:rFonts w:asciiTheme="minorHAnsi" w:hAnsiTheme="minorHAnsi"/>
        </w:rPr>
      </w:pPr>
      <w:r w:rsidRPr="00BB5152">
        <w:rPr>
          <w:rFonts w:asciiTheme="minorHAnsi" w:eastAsia="Arial" w:hAnsiTheme="minorHAnsi"/>
          <w:color w:val="000000" w:themeColor="text1"/>
        </w:rPr>
        <w:t xml:space="preserve">The </w:t>
      </w:r>
      <w:hyperlink r:id="rId89" w:history="1">
        <w:r w:rsidRPr="00EC4892">
          <w:rPr>
            <w:rStyle w:val="Hyperlink"/>
            <w:rFonts w:asciiTheme="minorHAnsi" w:eastAsia="Arial" w:hAnsiTheme="minorHAnsi"/>
          </w:rPr>
          <w:t>first inventory of dioxin emissions</w:t>
        </w:r>
      </w:hyperlink>
      <w:r w:rsidRPr="00787556">
        <w:rPr>
          <w:rFonts w:asciiTheme="minorHAnsi" w:eastAsia="Arial" w:hAnsiTheme="minorHAnsi"/>
          <w:color w:val="000000" w:themeColor="text1"/>
        </w:rPr>
        <w:t xml:space="preserve"> was published in 2000 from 1998 data</w:t>
      </w:r>
      <w:r w:rsidRPr="00B8711C">
        <w:rPr>
          <w:rFonts w:asciiTheme="minorHAnsi" w:eastAsia="Arial" w:hAnsiTheme="minorHAnsi"/>
          <w:color w:val="000000" w:themeColor="text1"/>
        </w:rPr>
        <w:t xml:space="preserve">). Since NIP1, New Zealand has completed further inventories measuring dioxins on a regular basis. </w:t>
      </w:r>
      <w:r w:rsidRPr="00EC4892">
        <w:rPr>
          <w:rFonts w:asciiTheme="minorHAnsi" w:hAnsiTheme="minorHAnsi"/>
          <w:color w:val="000000" w:themeColor="text1"/>
        </w:rPr>
        <w:t xml:space="preserve">The </w:t>
      </w:r>
      <w:hyperlink r:id="rId90" w:history="1">
        <w:r w:rsidRPr="00177227">
          <w:rPr>
            <w:rStyle w:val="Hyperlink"/>
            <w:rFonts w:asciiTheme="minorHAnsi" w:hAnsiTheme="minorHAnsi"/>
          </w:rPr>
          <w:t>second inventory update</w:t>
        </w:r>
      </w:hyperlink>
      <w:r w:rsidRPr="00B8711C">
        <w:rPr>
          <w:rFonts w:asciiTheme="minorHAnsi" w:eastAsia="Arial" w:hAnsiTheme="minorHAnsi"/>
          <w:color w:val="000000" w:themeColor="text1"/>
        </w:rPr>
        <w:t xml:space="preserve"> was published in 2011 using 2008 data, and </w:t>
      </w:r>
      <w:r w:rsidR="00C95BBC" w:rsidRPr="00C95BBC">
        <w:rPr>
          <w:rFonts w:asciiTheme="minorHAnsi" w:eastAsia="Arial" w:hAnsiTheme="minorHAnsi"/>
          <w:color w:val="000000" w:themeColor="text1"/>
        </w:rPr>
        <w:t xml:space="preserve">a </w:t>
      </w:r>
      <w:r w:rsidRPr="00177227">
        <w:rPr>
          <w:rFonts w:asciiTheme="minorHAnsi" w:eastAsia="Arial" w:hAnsiTheme="minorHAnsi"/>
          <w:color w:val="000000" w:themeColor="text1"/>
        </w:rPr>
        <w:t>third update was published in 2014</w:t>
      </w:r>
      <w:r w:rsidRPr="00787556">
        <w:rPr>
          <w:rFonts w:asciiTheme="minorHAnsi" w:eastAsia="Arial" w:hAnsiTheme="minorHAnsi"/>
          <w:color w:val="000000" w:themeColor="text1"/>
        </w:rPr>
        <w:t xml:space="preserve"> using 2012 data.</w:t>
      </w:r>
      <w:r w:rsidRPr="00B8711C">
        <w:rPr>
          <w:rFonts w:asciiTheme="minorHAnsi" w:eastAsia="Arial" w:hAnsiTheme="minorHAnsi"/>
          <w:color w:val="000000" w:themeColor="text1"/>
        </w:rPr>
        <w:t xml:space="preserve"> </w:t>
      </w:r>
      <w:r w:rsidRPr="00C95BBC">
        <w:rPr>
          <w:rFonts w:asciiTheme="minorHAnsi" w:eastAsia="Arial" w:hAnsiTheme="minorHAnsi"/>
          <w:color w:val="000000" w:themeColor="text1"/>
        </w:rPr>
        <w:t xml:space="preserve">This was </w:t>
      </w:r>
      <w:r w:rsidRPr="00954458">
        <w:rPr>
          <w:rFonts w:asciiTheme="minorHAnsi" w:eastAsia="Arial" w:hAnsiTheme="minorHAnsi"/>
          <w:color w:val="000000" w:themeColor="text1"/>
        </w:rPr>
        <w:t xml:space="preserve">followed by a </w:t>
      </w:r>
      <w:hyperlink r:id="rId91" w:history="1">
        <w:r w:rsidRPr="001E70E9">
          <w:rPr>
            <w:rStyle w:val="Hyperlink"/>
            <w:rFonts w:asciiTheme="minorHAnsi" w:eastAsia="Arial" w:hAnsiTheme="minorHAnsi"/>
          </w:rPr>
          <w:t>fourth update</w:t>
        </w:r>
      </w:hyperlink>
      <w:r w:rsidRPr="00C95BBC">
        <w:rPr>
          <w:rFonts w:asciiTheme="minorHAnsi" w:eastAsia="Arial" w:hAnsiTheme="minorHAnsi"/>
          <w:color w:val="000000" w:themeColor="text1"/>
        </w:rPr>
        <w:t xml:space="preserve">, referencing the years up to 2015. </w:t>
      </w:r>
      <w:r w:rsidRPr="00D845EC">
        <w:rPr>
          <w:rFonts w:asciiTheme="minorHAnsi" w:eastAsia="Arial" w:hAnsiTheme="minorHAnsi"/>
          <w:color w:val="000000" w:themeColor="text1"/>
        </w:rPr>
        <w:t>The</w:t>
      </w:r>
      <w:hyperlink r:id="rId92" w:history="1">
        <w:r w:rsidRPr="00D845EC">
          <w:rPr>
            <w:rStyle w:val="Hyperlink"/>
            <w:rFonts w:asciiTheme="minorHAnsi" w:eastAsia="Arial" w:hAnsiTheme="minorHAnsi"/>
          </w:rPr>
          <w:t xml:space="preserve"> most up</w:t>
        </w:r>
        <w:r w:rsidR="008B6646" w:rsidRPr="00D845EC">
          <w:rPr>
            <w:rStyle w:val="Hyperlink"/>
            <w:rFonts w:asciiTheme="minorHAnsi" w:eastAsia="Arial" w:hAnsiTheme="minorHAnsi"/>
          </w:rPr>
          <w:t>-</w:t>
        </w:r>
        <w:r w:rsidRPr="00D845EC">
          <w:rPr>
            <w:rStyle w:val="Hyperlink"/>
            <w:rFonts w:asciiTheme="minorHAnsi" w:eastAsia="Arial" w:hAnsiTheme="minorHAnsi"/>
          </w:rPr>
          <w:t>to</w:t>
        </w:r>
        <w:r w:rsidR="008B6646" w:rsidRPr="00D845EC">
          <w:rPr>
            <w:rStyle w:val="Hyperlink"/>
            <w:rFonts w:asciiTheme="minorHAnsi" w:eastAsia="Arial" w:hAnsiTheme="minorHAnsi"/>
          </w:rPr>
          <w:t>-</w:t>
        </w:r>
        <w:r w:rsidRPr="00D845EC">
          <w:rPr>
            <w:rStyle w:val="Hyperlink"/>
            <w:rFonts w:asciiTheme="minorHAnsi" w:eastAsia="Arial" w:hAnsiTheme="minorHAnsi"/>
          </w:rPr>
          <w:t>date report</w:t>
        </w:r>
      </w:hyperlink>
      <w:r w:rsidRPr="00D845EC">
        <w:rPr>
          <w:rFonts w:asciiTheme="minorHAnsi" w:eastAsia="Arial" w:hAnsiTheme="minorHAnsi"/>
          <w:color w:val="000000" w:themeColor="text1"/>
        </w:rPr>
        <w:t xml:space="preserve"> was published in 2022</w:t>
      </w:r>
      <w:r w:rsidRPr="00C95BBC">
        <w:rPr>
          <w:rFonts w:asciiTheme="minorHAnsi" w:eastAsia="Arial" w:hAnsiTheme="minorHAnsi"/>
          <w:color w:val="000000" w:themeColor="text1"/>
        </w:rPr>
        <w:t xml:space="preserve">, referencing the years from 2016 </w:t>
      </w:r>
      <w:r w:rsidR="00EA0D16">
        <w:rPr>
          <w:rFonts w:asciiTheme="minorHAnsi" w:eastAsia="Arial" w:hAnsiTheme="minorHAnsi"/>
          <w:color w:val="000000" w:themeColor="text1"/>
        </w:rPr>
        <w:t>–</w:t>
      </w:r>
      <w:r w:rsidRPr="00C95BBC">
        <w:rPr>
          <w:rFonts w:asciiTheme="minorHAnsi" w:eastAsia="Arial" w:hAnsiTheme="minorHAnsi"/>
          <w:color w:val="000000" w:themeColor="text1"/>
        </w:rPr>
        <w:t xml:space="preserve"> 2020. </w:t>
      </w:r>
      <w:r w:rsidRPr="00B8711C">
        <w:rPr>
          <w:rFonts w:asciiTheme="minorHAnsi" w:eastAsia="Arial" w:hAnsiTheme="minorHAnsi"/>
          <w:color w:val="000000" w:themeColor="text1"/>
        </w:rPr>
        <w:t>The methodology for New Zealand's inventories is based on the Standardised Toolkit for Identification and Quantification of Dioxin and Furan Releases (the United Nations Environment Programme (UNEP) Toolkit).</w:t>
      </w:r>
    </w:p>
    <w:p w14:paraId="544165B6" w14:textId="3BCEE2CC" w:rsidR="00E72470" w:rsidRPr="00582EF5" w:rsidRDefault="7E830C18" w:rsidP="00787556">
      <w:pPr>
        <w:pStyle w:val="Heading3"/>
      </w:pPr>
      <w:r>
        <w:t>5.3.2</w:t>
      </w:r>
      <w:r w:rsidR="00A93FB4">
        <w:tab/>
      </w:r>
      <w:r w:rsidR="70D9537E">
        <w:t xml:space="preserve"> Changes in the dioxin release estimates over time</w:t>
      </w:r>
    </w:p>
    <w:p w14:paraId="013FCA15" w14:textId="7777544B" w:rsidR="00820225" w:rsidRDefault="6A1E7957" w:rsidP="00680062">
      <w:pPr>
        <w:pStyle w:val="BodyText"/>
        <w:jc w:val="both"/>
      </w:pPr>
      <w:r>
        <w:t xml:space="preserve">The dioxin release estimates for 2012 and 2016 and 2020 are summarised in </w:t>
      </w:r>
      <w:r w:rsidR="008B6646">
        <w:t>t</w:t>
      </w:r>
      <w:r w:rsidR="008F0119">
        <w:t xml:space="preserve">able </w:t>
      </w:r>
      <w:r w:rsidR="008B6646">
        <w:t xml:space="preserve">27 </w:t>
      </w:r>
      <w:r>
        <w:t xml:space="preserve">below. This summary is based on nine of the </w:t>
      </w:r>
      <w:r w:rsidR="008B6646">
        <w:t>t</w:t>
      </w:r>
      <w:r>
        <w:t xml:space="preserve">oolkit major source categories, which is the summary level used for country reports under the Stockholm Convention. </w:t>
      </w:r>
    </w:p>
    <w:p w14:paraId="5E0341A2" w14:textId="37E9C02D" w:rsidR="4A01BC67" w:rsidRDefault="6A1E7957" w:rsidP="00787556">
      <w:pPr>
        <w:pStyle w:val="BodyText"/>
      </w:pPr>
      <w:r>
        <w:t xml:space="preserve">As shown in the </w:t>
      </w:r>
      <w:r w:rsidR="00E82152">
        <w:t>t</w:t>
      </w:r>
      <w:r>
        <w:t xml:space="preserve">able the total release of dioxin in New Zealand for </w:t>
      </w:r>
      <w:r w:rsidR="60FC3B88" w:rsidRPr="008B6646">
        <w:t>20</w:t>
      </w:r>
      <w:r w:rsidR="1AF0EA6E">
        <w:t xml:space="preserve">20 </w:t>
      </w:r>
      <w:r>
        <w:t>was 36.60 g TEQ</w:t>
      </w:r>
      <w:r w:rsidR="399235F5">
        <w:t xml:space="preserve"> (toxic equivalents)</w:t>
      </w:r>
      <w:r w:rsidR="60FC3B88">
        <w:t>.</w:t>
      </w:r>
      <w:r>
        <w:t xml:space="preserve"> This can be compared with releases of 36.99 g TEQ in 2012 and 37.10 g TEQ in 2016.</w:t>
      </w:r>
    </w:p>
    <w:p w14:paraId="07C8CE9A" w14:textId="3DC41D4D" w:rsidR="00C64BDF" w:rsidRDefault="6684669B" w:rsidP="00334262">
      <w:pPr>
        <w:pStyle w:val="BodyText"/>
      </w:pPr>
      <w:r>
        <w:t xml:space="preserve">Dioxins are generally found in mixtures containing several kinds of dioxins and dioxin-like compounds, each having its own degree of toxicity. </w:t>
      </w:r>
      <w:r w:rsidR="00C64BDF">
        <w:t>(</w:t>
      </w:r>
      <w:r>
        <w:t>To express the overall toxicity of such a mixture as a single number, the concept of “International Toxic Equivalents” (TEQ) has been established.</w:t>
      </w:r>
      <w:r w:rsidR="5758D823">
        <w:t xml:space="preserve"> This metric scheme weighs the toxicity of the less toxic compounds as fractions of the toxicity of the most toxic</w:t>
      </w:r>
      <w:r w:rsidR="7B32942F">
        <w:t xml:space="preserve"> </w:t>
      </w:r>
      <w:r w:rsidR="38C45FE3">
        <w:t>TCDD (</w:t>
      </w:r>
      <w:proofErr w:type="spellStart"/>
      <w:r w:rsidR="38C45FE3">
        <w:t>tetrachlorodibenzo</w:t>
      </w:r>
      <w:proofErr w:type="spellEnd"/>
      <w:r w:rsidR="38C45FE3">
        <w:t xml:space="preserve"> p dioxin)</w:t>
      </w:r>
      <w:r w:rsidR="7B32942F">
        <w:t>, one of the most potent toxic dioxins and used as a reference for all other dioxins</w:t>
      </w:r>
      <w:r w:rsidR="0FB2ECDC">
        <w:t>.)</w:t>
      </w:r>
    </w:p>
    <w:p w14:paraId="445B3D3F" w14:textId="203A93BF" w:rsidR="00014420" w:rsidRDefault="00223E9E" w:rsidP="00334262">
      <w:pPr>
        <w:pStyle w:val="BodyText"/>
      </w:pPr>
      <w:r w:rsidRPr="00223E9E">
        <w:t xml:space="preserve">The </w:t>
      </w:r>
      <w:hyperlink r:id="rId93" w:history="1">
        <w:r w:rsidRPr="00223E9E">
          <w:rPr>
            <w:rStyle w:val="Hyperlink"/>
          </w:rPr>
          <w:t>2020 report</w:t>
        </w:r>
      </w:hyperlink>
      <w:r w:rsidR="1A90CF57">
        <w:t xml:space="preserve"> shows that that about 60% of New Zealand’s estimated dioxin releases can be attributed to two </w:t>
      </w:r>
      <w:r w:rsidR="000F5FBF">
        <w:t xml:space="preserve">main </w:t>
      </w:r>
      <w:r w:rsidR="1A90CF57">
        <w:t xml:space="preserve">categories – </w:t>
      </w:r>
      <w:r w:rsidR="000F5FBF">
        <w:t xml:space="preserve">the </w:t>
      </w:r>
      <w:r w:rsidR="1A90CF57">
        <w:t xml:space="preserve">disposal of municipal waste in landfills and sewage treatment. </w:t>
      </w:r>
    </w:p>
    <w:p w14:paraId="32517DCD" w14:textId="1C1A664E" w:rsidR="00014420" w:rsidRDefault="1A90CF57" w:rsidP="00334262">
      <w:pPr>
        <w:pStyle w:val="BodyText"/>
      </w:pPr>
      <w:r>
        <w:t>Combined with seven other categories (secondary aluminium processing, industrial wood combustion, industrial coal combustion, structure fires, metal shredding, landfill fires, heating and cooking with wood</w:t>
      </w:r>
      <w:r w:rsidR="004CF7A2">
        <w:t>,</w:t>
      </w:r>
      <w:r>
        <w:t xml:space="preserve"> and structure fires), the nine sources comprise 87% of total dioxin releases of New Zealand. </w:t>
      </w:r>
    </w:p>
    <w:p w14:paraId="01B63E33" w14:textId="22B0C0A2" w:rsidR="00014420" w:rsidRDefault="00B32767" w:rsidP="00334262">
      <w:pPr>
        <w:pStyle w:val="BodyText"/>
      </w:pPr>
      <w:r>
        <w:t>We can see</w:t>
      </w:r>
      <w:r w:rsidR="1A90CF57">
        <w:t xml:space="preserve"> an increasing trend of dioxin release from </w:t>
      </w:r>
      <w:r w:rsidR="00B371E1">
        <w:t>New Ze</w:t>
      </w:r>
      <w:r w:rsidR="00B0481F">
        <w:t>a</w:t>
      </w:r>
      <w:r w:rsidR="00B371E1">
        <w:t xml:space="preserve">land’s </w:t>
      </w:r>
      <w:r w:rsidR="1A90CF57">
        <w:t>landfill deposition, although</w:t>
      </w:r>
      <w:r w:rsidR="00CF5C95">
        <w:t>, fortunately, at</w:t>
      </w:r>
      <w:r w:rsidR="00B371E1">
        <w:t xml:space="preserve"> a declining rate</w:t>
      </w:r>
      <w:r w:rsidR="1A90CF57">
        <w:t>.</w:t>
      </w:r>
      <w:r w:rsidR="00B0481F" w:rsidDel="00B0481F">
        <w:t xml:space="preserve"> </w:t>
      </w:r>
      <w:r w:rsidR="1A90CF57">
        <w:t xml:space="preserve">In contrast, a decreasing </w:t>
      </w:r>
      <w:r w:rsidR="00EA6A15">
        <w:t xml:space="preserve">national </w:t>
      </w:r>
      <w:r w:rsidR="1A90CF57">
        <w:t xml:space="preserve">trend is evident for secondary metal activities (such as secondary aluminium and steel production, iron foundries, and brass and bronze production) due to </w:t>
      </w:r>
      <w:r w:rsidR="003A19A9">
        <w:t xml:space="preserve">recent </w:t>
      </w:r>
      <w:r w:rsidR="1A90CF57">
        <w:t xml:space="preserve">plant closures. </w:t>
      </w:r>
    </w:p>
    <w:p w14:paraId="1735310E" w14:textId="553A0284" w:rsidR="008428A1" w:rsidRDefault="00B0481F" w:rsidP="00334262">
      <w:pPr>
        <w:pStyle w:val="BodyText"/>
      </w:pPr>
      <w:r>
        <w:t>S</w:t>
      </w:r>
      <w:r w:rsidR="1A90CF57">
        <w:t xml:space="preserve">ewage treatment and crematoria </w:t>
      </w:r>
      <w:r w:rsidR="008428A1">
        <w:t>have shown</w:t>
      </w:r>
      <w:r w:rsidR="1A90CF57">
        <w:t xml:space="preserve"> a trend of increasing dioxin releases as their activities are based on</w:t>
      </w:r>
      <w:r w:rsidR="008428A1">
        <w:t xml:space="preserve"> the </w:t>
      </w:r>
      <w:r w:rsidR="003A3A0C">
        <w:t xml:space="preserve">steadily </w:t>
      </w:r>
      <w:r w:rsidR="008428A1">
        <w:t>growing</w:t>
      </w:r>
      <w:r w:rsidR="1A90CF57">
        <w:t xml:space="preserve"> population numbers</w:t>
      </w:r>
      <w:r w:rsidR="008428A1">
        <w:t xml:space="preserve"> of New Zealand</w:t>
      </w:r>
      <w:r w:rsidR="1A90CF57">
        <w:t xml:space="preserve">. </w:t>
      </w:r>
    </w:p>
    <w:p w14:paraId="0DDC68AE" w14:textId="6133D4D7" w:rsidR="00DB1695" w:rsidRDefault="1A90CF57" w:rsidP="00334262">
      <w:pPr>
        <w:pStyle w:val="BodyText"/>
      </w:pPr>
      <w:r>
        <w:t xml:space="preserve">Asphalt production </w:t>
      </w:r>
      <w:r w:rsidR="003A3A0C">
        <w:t xml:space="preserve">in New Zealand </w:t>
      </w:r>
      <w:r>
        <w:t>also shows an increasing trend reflecting the fact that major new roads continue to be built while existing roads require maintenance</w:t>
      </w:r>
      <w:r w:rsidR="005936DF">
        <w:t xml:space="preserve">, hinting again at </w:t>
      </w:r>
      <w:r w:rsidR="00B83B3D">
        <w:t xml:space="preserve">issues based on </w:t>
      </w:r>
      <w:r w:rsidR="00DB1695">
        <w:t>continuous</w:t>
      </w:r>
      <w:r w:rsidR="00B83B3D">
        <w:t xml:space="preserve"> population growth</w:t>
      </w:r>
      <w:r>
        <w:t xml:space="preserve">. </w:t>
      </w:r>
    </w:p>
    <w:p w14:paraId="5C022245" w14:textId="77777777" w:rsidR="00014420" w:rsidRDefault="1A90CF57" w:rsidP="007B7C2A">
      <w:pPr>
        <w:pStyle w:val="BodyText"/>
      </w:pPr>
      <w:r>
        <w:lastRenderedPageBreak/>
        <w:t>Household heating and cooking with biomass (wood) and coal both show a gradual decline in dioxin releases as burners and stoves are slowly replaced with devices requiring alternative</w:t>
      </w:r>
      <w:r w:rsidR="00551174">
        <w:t xml:space="preserve">, more modern </w:t>
      </w:r>
      <w:r>
        <w:t xml:space="preserve">forms of energy such as electricity. </w:t>
      </w:r>
    </w:p>
    <w:p w14:paraId="4D50EBFC" w14:textId="77777777" w:rsidR="00014420" w:rsidRDefault="1A90CF57" w:rsidP="007B7C2A">
      <w:pPr>
        <w:pStyle w:val="BodyText"/>
      </w:pPr>
      <w:r>
        <w:t>There are no official recommendations for ‘acceptable’ levels of national dioxin releases, and it is also not possible to relate the release estimates to any potential health effects. Nevertheless, important work has been implemented to lower dioxin emissions in New Zealand</w:t>
      </w:r>
      <w:r w:rsidR="00557C59">
        <w:t>.</w:t>
      </w:r>
      <w:r>
        <w:t xml:space="preserve"> </w:t>
      </w:r>
    </w:p>
    <w:p w14:paraId="4A122DFB" w14:textId="645A3AB1" w:rsidR="00E72470" w:rsidRPr="00582EF5" w:rsidRDefault="1A90CF57" w:rsidP="00334262">
      <w:pPr>
        <w:pStyle w:val="BodyText"/>
      </w:pPr>
      <w:r>
        <w:t>As landfills are by far the greatest source of dioxins for New Zealand, the ongoing replacement of the current Waste Minimisation Act</w:t>
      </w:r>
      <w:r w:rsidR="008A796F">
        <w:t xml:space="preserve"> is </w:t>
      </w:r>
      <w:r>
        <w:t xml:space="preserve">expected to bring </w:t>
      </w:r>
      <w:r w:rsidR="000F1DB2">
        <w:t xml:space="preserve">well needed </w:t>
      </w:r>
      <w:r>
        <w:t>positive change as th</w:t>
      </w:r>
      <w:r w:rsidR="008A796F">
        <w:t>i</w:t>
      </w:r>
      <w:r w:rsidR="00AA41E6">
        <w:t>s proposed</w:t>
      </w:r>
      <w:r>
        <w:t xml:space="preserve"> legislation will </w:t>
      </w:r>
      <w:r w:rsidR="008A796F">
        <w:t>place much</w:t>
      </w:r>
      <w:r w:rsidR="006D48E1">
        <w:t xml:space="preserve"> </w:t>
      </w:r>
      <w:r>
        <w:t xml:space="preserve">greater emphasis on a circular economy where resources are kept at their highest value use for as long as possible, reducing the volume of landfills </w:t>
      </w:r>
      <w:r w:rsidR="09909DD5">
        <w:t>eventually</w:t>
      </w:r>
      <w:r w:rsidR="006D48E1">
        <w:t xml:space="preserve"> – leading to lowered </w:t>
      </w:r>
      <w:r w:rsidR="006B08B8">
        <w:t>dioxin releases in th</w:t>
      </w:r>
      <w:r w:rsidR="00047DDF">
        <w:t>e long run</w:t>
      </w:r>
      <w:r>
        <w:t xml:space="preserve">. </w:t>
      </w:r>
    </w:p>
    <w:p w14:paraId="7346B563" w14:textId="33916FA8" w:rsidR="72C89534" w:rsidRDefault="72C89534" w:rsidP="00787556">
      <w:pPr>
        <w:pStyle w:val="Tableheading"/>
      </w:pPr>
      <w:bookmarkStart w:id="102" w:name="_Toc120532292"/>
      <w:r w:rsidRPr="00F525EE">
        <w:t xml:space="preserve">Table </w:t>
      </w:r>
      <w:r w:rsidR="69528BED" w:rsidRPr="00F525EE">
        <w:t>2</w:t>
      </w:r>
      <w:r w:rsidR="13F37D10" w:rsidRPr="00F525EE">
        <w:t>7</w:t>
      </w:r>
      <w:r w:rsidR="0616E0DF" w:rsidRPr="00F525EE">
        <w:t>:</w:t>
      </w:r>
      <w:r w:rsidRPr="00F525EE">
        <w:t xml:space="preserve"> </w:t>
      </w:r>
      <w:r w:rsidRPr="00F525EE">
        <w:tab/>
      </w:r>
      <w:r w:rsidR="7F7606E4" w:rsidRPr="00F525EE">
        <w:t>Summary of previous and current annual dioxin release inventories 1998, 2008, 2012 by</w:t>
      </w:r>
      <w:r w:rsidR="7F7606E4">
        <w:t xml:space="preserve"> source category</w:t>
      </w:r>
      <w:bookmarkEnd w:id="102"/>
    </w:p>
    <w:tbl>
      <w:tblPr>
        <w:tblStyle w:val="TableGrid"/>
        <w:tblW w:w="8685" w:type="dxa"/>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1429"/>
        <w:gridCol w:w="581"/>
        <w:gridCol w:w="581"/>
        <w:gridCol w:w="627"/>
        <w:gridCol w:w="581"/>
        <w:gridCol w:w="581"/>
        <w:gridCol w:w="581"/>
        <w:gridCol w:w="629"/>
        <w:gridCol w:w="629"/>
        <w:gridCol w:w="629"/>
        <w:gridCol w:w="629"/>
        <w:gridCol w:w="581"/>
        <w:gridCol w:w="627"/>
      </w:tblGrid>
      <w:tr w:rsidR="008304A2" w14:paraId="4D3D77B0" w14:textId="77777777" w:rsidTr="00080886">
        <w:trPr>
          <w:tblHeader/>
        </w:trPr>
        <w:tc>
          <w:tcPr>
            <w:tcW w:w="1429" w:type="dxa"/>
            <w:tcBorders>
              <w:bottom w:val="single" w:sz="4" w:space="0" w:color="1B556B"/>
            </w:tcBorders>
          </w:tcPr>
          <w:p w14:paraId="4A67AF13" w14:textId="77777777" w:rsidR="008304A2" w:rsidRDefault="008304A2"/>
        </w:tc>
        <w:tc>
          <w:tcPr>
            <w:tcW w:w="7256" w:type="dxa"/>
            <w:gridSpan w:val="12"/>
            <w:tcBorders>
              <w:bottom w:val="single" w:sz="4" w:space="0" w:color="1B556B"/>
            </w:tcBorders>
            <w:shd w:val="clear" w:color="auto" w:fill="1B556B"/>
          </w:tcPr>
          <w:p w14:paraId="06B44811" w14:textId="77777777" w:rsidR="008304A2" w:rsidRPr="00B335B5" w:rsidRDefault="008304A2">
            <w:pPr>
              <w:jc w:val="center"/>
              <w:rPr>
                <w:color w:val="FFFFFF" w:themeColor="background1"/>
              </w:rPr>
            </w:pPr>
            <w:r w:rsidRPr="00B335B5">
              <w:rPr>
                <w:color w:val="FFFFFF" w:themeColor="background1"/>
                <w:lang w:val="en-US"/>
              </w:rPr>
              <w:t>Annual releases (g TEQ/a)</w:t>
            </w:r>
          </w:p>
        </w:tc>
      </w:tr>
      <w:tr w:rsidR="008304A2" w14:paraId="6C25789B" w14:textId="77777777" w:rsidTr="00080886">
        <w:tc>
          <w:tcPr>
            <w:tcW w:w="1429" w:type="dxa"/>
            <w:vMerge w:val="restart"/>
            <w:shd w:val="pct5" w:color="auto" w:fill="auto"/>
          </w:tcPr>
          <w:p w14:paraId="4A2567AA" w14:textId="77777777" w:rsidR="008304A2" w:rsidRDefault="008304A2">
            <w:pPr>
              <w:jc w:val="left"/>
            </w:pPr>
            <w:r w:rsidRPr="703AEB20">
              <w:rPr>
                <w:lang w:val="en-US"/>
              </w:rPr>
              <w:t xml:space="preserve">Major </w:t>
            </w:r>
            <w:r>
              <w:rPr>
                <w:lang w:val="en-US"/>
              </w:rPr>
              <w:t>s</w:t>
            </w:r>
            <w:r w:rsidRPr="703AEB20">
              <w:rPr>
                <w:lang w:val="en-US"/>
              </w:rPr>
              <w:t xml:space="preserve">ource </w:t>
            </w:r>
            <w:r>
              <w:rPr>
                <w:lang w:val="en-US"/>
              </w:rPr>
              <w:t>c</w:t>
            </w:r>
            <w:r w:rsidRPr="703AEB20">
              <w:rPr>
                <w:lang w:val="en-US"/>
              </w:rPr>
              <w:t>ategories</w:t>
            </w:r>
          </w:p>
        </w:tc>
        <w:tc>
          <w:tcPr>
            <w:tcW w:w="1789" w:type="dxa"/>
            <w:gridSpan w:val="3"/>
            <w:shd w:val="pct5" w:color="auto" w:fill="auto"/>
          </w:tcPr>
          <w:p w14:paraId="1806BE99" w14:textId="77777777" w:rsidR="008304A2" w:rsidRDefault="008304A2">
            <w:pPr>
              <w:jc w:val="center"/>
            </w:pPr>
            <w:r>
              <w:rPr>
                <w:lang w:val="en-US"/>
              </w:rPr>
              <w:t>Air</w:t>
            </w:r>
          </w:p>
        </w:tc>
        <w:tc>
          <w:tcPr>
            <w:tcW w:w="1743" w:type="dxa"/>
            <w:gridSpan w:val="3"/>
            <w:shd w:val="pct5" w:color="auto" w:fill="auto"/>
          </w:tcPr>
          <w:p w14:paraId="55CAC541" w14:textId="77777777" w:rsidR="008304A2" w:rsidRDefault="008304A2">
            <w:pPr>
              <w:jc w:val="center"/>
            </w:pPr>
            <w:r>
              <w:t>Water</w:t>
            </w:r>
          </w:p>
        </w:tc>
        <w:tc>
          <w:tcPr>
            <w:tcW w:w="1887" w:type="dxa"/>
            <w:gridSpan w:val="3"/>
            <w:shd w:val="pct5" w:color="auto" w:fill="auto"/>
          </w:tcPr>
          <w:p w14:paraId="5EFE2800" w14:textId="77777777" w:rsidR="008304A2" w:rsidRDefault="008304A2">
            <w:pPr>
              <w:jc w:val="center"/>
            </w:pPr>
            <w:r>
              <w:t>Land</w:t>
            </w:r>
          </w:p>
        </w:tc>
        <w:tc>
          <w:tcPr>
            <w:tcW w:w="1837" w:type="dxa"/>
            <w:gridSpan w:val="3"/>
            <w:shd w:val="pct5" w:color="auto" w:fill="auto"/>
          </w:tcPr>
          <w:p w14:paraId="57517C96" w14:textId="77777777" w:rsidR="008304A2" w:rsidRDefault="008304A2">
            <w:pPr>
              <w:jc w:val="center"/>
            </w:pPr>
            <w:r>
              <w:t>Residue</w:t>
            </w:r>
          </w:p>
        </w:tc>
      </w:tr>
      <w:tr w:rsidR="008304A2" w14:paraId="64A7BD31" w14:textId="77777777" w:rsidTr="00080886">
        <w:tc>
          <w:tcPr>
            <w:tcW w:w="1429" w:type="dxa"/>
            <w:vMerge/>
            <w:shd w:val="pct5" w:color="auto" w:fill="auto"/>
          </w:tcPr>
          <w:p w14:paraId="7490C4A5" w14:textId="77777777" w:rsidR="008304A2" w:rsidRDefault="008304A2">
            <w:pPr>
              <w:jc w:val="left"/>
            </w:pPr>
          </w:p>
        </w:tc>
        <w:tc>
          <w:tcPr>
            <w:tcW w:w="581" w:type="dxa"/>
            <w:shd w:val="pct5" w:color="auto" w:fill="auto"/>
          </w:tcPr>
          <w:p w14:paraId="70D4F556" w14:textId="77777777" w:rsidR="008304A2" w:rsidRPr="00B335B5" w:rsidRDefault="008304A2">
            <w:pPr>
              <w:rPr>
                <w:sz w:val="18"/>
                <w:szCs w:val="18"/>
              </w:rPr>
            </w:pPr>
            <w:r w:rsidRPr="00B335B5">
              <w:rPr>
                <w:sz w:val="18"/>
                <w:szCs w:val="18"/>
              </w:rPr>
              <w:t>2012</w:t>
            </w:r>
          </w:p>
        </w:tc>
        <w:tc>
          <w:tcPr>
            <w:tcW w:w="581" w:type="dxa"/>
            <w:shd w:val="pct5" w:color="auto" w:fill="auto"/>
          </w:tcPr>
          <w:p w14:paraId="34D4C6C6" w14:textId="77777777" w:rsidR="008304A2" w:rsidRPr="00B335B5" w:rsidRDefault="008304A2">
            <w:pPr>
              <w:rPr>
                <w:sz w:val="18"/>
                <w:szCs w:val="18"/>
              </w:rPr>
            </w:pPr>
            <w:r w:rsidRPr="00B335B5">
              <w:rPr>
                <w:sz w:val="18"/>
                <w:szCs w:val="18"/>
              </w:rPr>
              <w:t>2016</w:t>
            </w:r>
          </w:p>
        </w:tc>
        <w:tc>
          <w:tcPr>
            <w:tcW w:w="627" w:type="dxa"/>
            <w:shd w:val="pct5" w:color="auto" w:fill="auto"/>
          </w:tcPr>
          <w:p w14:paraId="61DA6E5F" w14:textId="77777777" w:rsidR="008304A2" w:rsidRPr="00B335B5" w:rsidRDefault="008304A2">
            <w:pPr>
              <w:rPr>
                <w:sz w:val="18"/>
                <w:szCs w:val="18"/>
              </w:rPr>
            </w:pPr>
            <w:r w:rsidRPr="00B335B5">
              <w:rPr>
                <w:sz w:val="18"/>
                <w:szCs w:val="18"/>
              </w:rPr>
              <w:t>2020</w:t>
            </w:r>
          </w:p>
        </w:tc>
        <w:tc>
          <w:tcPr>
            <w:tcW w:w="581" w:type="dxa"/>
            <w:shd w:val="pct5" w:color="auto" w:fill="auto"/>
          </w:tcPr>
          <w:p w14:paraId="13C9278D" w14:textId="77777777" w:rsidR="008304A2" w:rsidRPr="00B335B5" w:rsidRDefault="008304A2">
            <w:pPr>
              <w:rPr>
                <w:sz w:val="18"/>
                <w:szCs w:val="18"/>
              </w:rPr>
            </w:pPr>
            <w:r w:rsidRPr="00B335B5">
              <w:rPr>
                <w:sz w:val="18"/>
                <w:szCs w:val="18"/>
              </w:rPr>
              <w:t>2012</w:t>
            </w:r>
          </w:p>
        </w:tc>
        <w:tc>
          <w:tcPr>
            <w:tcW w:w="581" w:type="dxa"/>
            <w:shd w:val="pct5" w:color="auto" w:fill="auto"/>
          </w:tcPr>
          <w:p w14:paraId="26FF1B6C" w14:textId="77777777" w:rsidR="008304A2" w:rsidRPr="00B335B5" w:rsidRDefault="008304A2">
            <w:pPr>
              <w:rPr>
                <w:sz w:val="18"/>
                <w:szCs w:val="18"/>
              </w:rPr>
            </w:pPr>
            <w:r w:rsidRPr="00B335B5">
              <w:rPr>
                <w:sz w:val="18"/>
                <w:szCs w:val="18"/>
              </w:rPr>
              <w:t>2016</w:t>
            </w:r>
          </w:p>
        </w:tc>
        <w:tc>
          <w:tcPr>
            <w:tcW w:w="581" w:type="dxa"/>
            <w:shd w:val="pct5" w:color="auto" w:fill="auto"/>
          </w:tcPr>
          <w:p w14:paraId="23CBD7DA" w14:textId="77777777" w:rsidR="008304A2" w:rsidRPr="00B335B5" w:rsidRDefault="008304A2">
            <w:pPr>
              <w:rPr>
                <w:sz w:val="18"/>
                <w:szCs w:val="18"/>
              </w:rPr>
            </w:pPr>
            <w:r w:rsidRPr="00B335B5">
              <w:rPr>
                <w:sz w:val="18"/>
                <w:szCs w:val="18"/>
              </w:rPr>
              <w:t>2020</w:t>
            </w:r>
          </w:p>
        </w:tc>
        <w:tc>
          <w:tcPr>
            <w:tcW w:w="629" w:type="dxa"/>
            <w:shd w:val="pct5" w:color="auto" w:fill="auto"/>
          </w:tcPr>
          <w:p w14:paraId="5E2482F6" w14:textId="77777777" w:rsidR="008304A2" w:rsidRPr="00B335B5" w:rsidRDefault="008304A2">
            <w:pPr>
              <w:rPr>
                <w:sz w:val="18"/>
                <w:szCs w:val="18"/>
              </w:rPr>
            </w:pPr>
            <w:r w:rsidRPr="00B335B5">
              <w:rPr>
                <w:sz w:val="18"/>
                <w:szCs w:val="18"/>
              </w:rPr>
              <w:t>2012</w:t>
            </w:r>
          </w:p>
        </w:tc>
        <w:tc>
          <w:tcPr>
            <w:tcW w:w="629" w:type="dxa"/>
            <w:shd w:val="pct5" w:color="auto" w:fill="auto"/>
          </w:tcPr>
          <w:p w14:paraId="39C0FD1F" w14:textId="77777777" w:rsidR="008304A2" w:rsidRPr="00B335B5" w:rsidRDefault="008304A2">
            <w:pPr>
              <w:rPr>
                <w:sz w:val="18"/>
                <w:szCs w:val="18"/>
              </w:rPr>
            </w:pPr>
            <w:r w:rsidRPr="00B335B5">
              <w:rPr>
                <w:sz w:val="18"/>
                <w:szCs w:val="18"/>
              </w:rPr>
              <w:t>2016</w:t>
            </w:r>
          </w:p>
        </w:tc>
        <w:tc>
          <w:tcPr>
            <w:tcW w:w="629" w:type="dxa"/>
            <w:shd w:val="pct5" w:color="auto" w:fill="auto"/>
          </w:tcPr>
          <w:p w14:paraId="3BBB5B5D" w14:textId="77777777" w:rsidR="008304A2" w:rsidRPr="00B335B5" w:rsidRDefault="008304A2">
            <w:pPr>
              <w:rPr>
                <w:sz w:val="18"/>
                <w:szCs w:val="18"/>
              </w:rPr>
            </w:pPr>
            <w:r w:rsidRPr="00B335B5">
              <w:rPr>
                <w:sz w:val="18"/>
                <w:szCs w:val="18"/>
              </w:rPr>
              <w:t>2020</w:t>
            </w:r>
          </w:p>
        </w:tc>
        <w:tc>
          <w:tcPr>
            <w:tcW w:w="629" w:type="dxa"/>
            <w:shd w:val="pct5" w:color="auto" w:fill="auto"/>
          </w:tcPr>
          <w:p w14:paraId="1DACD51B" w14:textId="77777777" w:rsidR="008304A2" w:rsidRPr="00B335B5" w:rsidRDefault="008304A2">
            <w:pPr>
              <w:rPr>
                <w:sz w:val="18"/>
                <w:szCs w:val="18"/>
              </w:rPr>
            </w:pPr>
            <w:r w:rsidRPr="00B335B5">
              <w:rPr>
                <w:sz w:val="18"/>
                <w:szCs w:val="18"/>
              </w:rPr>
              <w:t>2012</w:t>
            </w:r>
          </w:p>
        </w:tc>
        <w:tc>
          <w:tcPr>
            <w:tcW w:w="581" w:type="dxa"/>
            <w:shd w:val="pct5" w:color="auto" w:fill="auto"/>
          </w:tcPr>
          <w:p w14:paraId="0A7829E1" w14:textId="77777777" w:rsidR="008304A2" w:rsidRPr="00B335B5" w:rsidRDefault="008304A2">
            <w:pPr>
              <w:rPr>
                <w:sz w:val="18"/>
                <w:szCs w:val="18"/>
              </w:rPr>
            </w:pPr>
            <w:r w:rsidRPr="00B335B5">
              <w:rPr>
                <w:sz w:val="18"/>
                <w:szCs w:val="18"/>
              </w:rPr>
              <w:t>2016</w:t>
            </w:r>
          </w:p>
        </w:tc>
        <w:tc>
          <w:tcPr>
            <w:tcW w:w="627" w:type="dxa"/>
            <w:shd w:val="pct5" w:color="auto" w:fill="auto"/>
          </w:tcPr>
          <w:p w14:paraId="3EEB51A3" w14:textId="77777777" w:rsidR="008304A2" w:rsidRPr="00B335B5" w:rsidRDefault="008304A2">
            <w:pPr>
              <w:rPr>
                <w:sz w:val="18"/>
                <w:szCs w:val="18"/>
              </w:rPr>
            </w:pPr>
            <w:r w:rsidRPr="00B335B5">
              <w:rPr>
                <w:sz w:val="18"/>
                <w:szCs w:val="18"/>
              </w:rPr>
              <w:t>2020</w:t>
            </w:r>
          </w:p>
        </w:tc>
      </w:tr>
      <w:tr w:rsidR="008304A2" w14:paraId="10EC2769" w14:textId="77777777" w:rsidTr="00080886">
        <w:tc>
          <w:tcPr>
            <w:tcW w:w="1429" w:type="dxa"/>
          </w:tcPr>
          <w:p w14:paraId="1211FEFC" w14:textId="77777777" w:rsidR="008304A2" w:rsidRDefault="008304A2">
            <w:pPr>
              <w:jc w:val="left"/>
            </w:pPr>
            <w:r>
              <w:t>Waste Incineration</w:t>
            </w:r>
          </w:p>
        </w:tc>
        <w:tc>
          <w:tcPr>
            <w:tcW w:w="581" w:type="dxa"/>
          </w:tcPr>
          <w:p w14:paraId="576FB887" w14:textId="77777777" w:rsidR="008304A2" w:rsidRPr="00B335B5" w:rsidRDefault="008304A2">
            <w:pPr>
              <w:rPr>
                <w:sz w:val="18"/>
                <w:szCs w:val="18"/>
              </w:rPr>
            </w:pPr>
            <w:r w:rsidRPr="00B335B5">
              <w:rPr>
                <w:sz w:val="18"/>
                <w:szCs w:val="18"/>
              </w:rPr>
              <w:t>0.79</w:t>
            </w:r>
          </w:p>
        </w:tc>
        <w:tc>
          <w:tcPr>
            <w:tcW w:w="581" w:type="dxa"/>
          </w:tcPr>
          <w:p w14:paraId="7406E89C" w14:textId="77777777" w:rsidR="008304A2" w:rsidRPr="00B335B5" w:rsidRDefault="008304A2">
            <w:pPr>
              <w:rPr>
                <w:sz w:val="18"/>
                <w:szCs w:val="18"/>
              </w:rPr>
            </w:pPr>
            <w:r w:rsidRPr="00B335B5">
              <w:rPr>
                <w:sz w:val="18"/>
                <w:szCs w:val="18"/>
              </w:rPr>
              <w:t>0.37</w:t>
            </w:r>
          </w:p>
        </w:tc>
        <w:tc>
          <w:tcPr>
            <w:tcW w:w="627" w:type="dxa"/>
          </w:tcPr>
          <w:p w14:paraId="48169325" w14:textId="77777777" w:rsidR="008304A2" w:rsidRPr="00B335B5" w:rsidRDefault="008304A2">
            <w:pPr>
              <w:rPr>
                <w:sz w:val="18"/>
                <w:szCs w:val="18"/>
              </w:rPr>
            </w:pPr>
            <w:r w:rsidRPr="00B335B5">
              <w:rPr>
                <w:sz w:val="18"/>
                <w:szCs w:val="18"/>
              </w:rPr>
              <w:t>0.49</w:t>
            </w:r>
          </w:p>
        </w:tc>
        <w:tc>
          <w:tcPr>
            <w:tcW w:w="581" w:type="dxa"/>
          </w:tcPr>
          <w:p w14:paraId="2517D0A1" w14:textId="77777777" w:rsidR="008304A2" w:rsidRPr="00B335B5" w:rsidRDefault="008304A2">
            <w:pPr>
              <w:rPr>
                <w:sz w:val="18"/>
                <w:szCs w:val="18"/>
              </w:rPr>
            </w:pPr>
            <w:r w:rsidRPr="00B335B5">
              <w:rPr>
                <w:sz w:val="18"/>
                <w:szCs w:val="18"/>
              </w:rPr>
              <w:t>0.00</w:t>
            </w:r>
          </w:p>
        </w:tc>
        <w:tc>
          <w:tcPr>
            <w:tcW w:w="581" w:type="dxa"/>
          </w:tcPr>
          <w:p w14:paraId="1DAB7054" w14:textId="77777777" w:rsidR="008304A2" w:rsidRPr="00B335B5" w:rsidRDefault="008304A2">
            <w:pPr>
              <w:rPr>
                <w:sz w:val="18"/>
                <w:szCs w:val="18"/>
              </w:rPr>
            </w:pPr>
            <w:r w:rsidRPr="00B335B5">
              <w:rPr>
                <w:sz w:val="18"/>
                <w:szCs w:val="18"/>
              </w:rPr>
              <w:t>0.00</w:t>
            </w:r>
          </w:p>
        </w:tc>
        <w:tc>
          <w:tcPr>
            <w:tcW w:w="581" w:type="dxa"/>
          </w:tcPr>
          <w:p w14:paraId="55011710" w14:textId="77777777" w:rsidR="008304A2" w:rsidRPr="00B335B5" w:rsidRDefault="008304A2">
            <w:pPr>
              <w:rPr>
                <w:sz w:val="18"/>
                <w:szCs w:val="18"/>
              </w:rPr>
            </w:pPr>
            <w:r w:rsidRPr="00B335B5">
              <w:rPr>
                <w:sz w:val="18"/>
                <w:szCs w:val="18"/>
              </w:rPr>
              <w:t>0.00</w:t>
            </w:r>
          </w:p>
        </w:tc>
        <w:tc>
          <w:tcPr>
            <w:tcW w:w="629" w:type="dxa"/>
          </w:tcPr>
          <w:p w14:paraId="25DEA4C5" w14:textId="77777777" w:rsidR="008304A2" w:rsidRPr="00B335B5" w:rsidRDefault="008304A2">
            <w:pPr>
              <w:rPr>
                <w:sz w:val="18"/>
                <w:szCs w:val="18"/>
              </w:rPr>
            </w:pPr>
            <w:r w:rsidRPr="00B335B5">
              <w:rPr>
                <w:sz w:val="18"/>
                <w:szCs w:val="18"/>
              </w:rPr>
              <w:t>0.00</w:t>
            </w:r>
          </w:p>
        </w:tc>
        <w:tc>
          <w:tcPr>
            <w:tcW w:w="629" w:type="dxa"/>
          </w:tcPr>
          <w:p w14:paraId="6963D8E1" w14:textId="77777777" w:rsidR="008304A2" w:rsidRPr="00B335B5" w:rsidRDefault="008304A2">
            <w:pPr>
              <w:rPr>
                <w:sz w:val="18"/>
                <w:szCs w:val="18"/>
              </w:rPr>
            </w:pPr>
            <w:r w:rsidRPr="00B335B5">
              <w:rPr>
                <w:sz w:val="18"/>
                <w:szCs w:val="18"/>
              </w:rPr>
              <w:t>0.00</w:t>
            </w:r>
          </w:p>
        </w:tc>
        <w:tc>
          <w:tcPr>
            <w:tcW w:w="629" w:type="dxa"/>
          </w:tcPr>
          <w:p w14:paraId="36841C3C" w14:textId="77777777" w:rsidR="008304A2" w:rsidRPr="00B335B5" w:rsidRDefault="008304A2">
            <w:pPr>
              <w:rPr>
                <w:sz w:val="18"/>
                <w:szCs w:val="18"/>
              </w:rPr>
            </w:pPr>
            <w:r w:rsidRPr="00B335B5">
              <w:rPr>
                <w:sz w:val="18"/>
                <w:szCs w:val="18"/>
              </w:rPr>
              <w:t>0.00</w:t>
            </w:r>
          </w:p>
        </w:tc>
        <w:tc>
          <w:tcPr>
            <w:tcW w:w="629" w:type="dxa"/>
          </w:tcPr>
          <w:p w14:paraId="053C043D" w14:textId="77777777" w:rsidR="008304A2" w:rsidRPr="00B335B5" w:rsidRDefault="008304A2">
            <w:pPr>
              <w:rPr>
                <w:sz w:val="18"/>
                <w:szCs w:val="18"/>
              </w:rPr>
            </w:pPr>
            <w:r w:rsidRPr="00B335B5">
              <w:rPr>
                <w:sz w:val="18"/>
                <w:szCs w:val="18"/>
              </w:rPr>
              <w:t>0.05</w:t>
            </w:r>
          </w:p>
        </w:tc>
        <w:tc>
          <w:tcPr>
            <w:tcW w:w="581" w:type="dxa"/>
          </w:tcPr>
          <w:p w14:paraId="6A7B54DA" w14:textId="77777777" w:rsidR="008304A2" w:rsidRPr="00B335B5" w:rsidRDefault="008304A2">
            <w:pPr>
              <w:rPr>
                <w:sz w:val="18"/>
                <w:szCs w:val="18"/>
              </w:rPr>
            </w:pPr>
            <w:r w:rsidRPr="00B335B5">
              <w:rPr>
                <w:sz w:val="18"/>
                <w:szCs w:val="18"/>
              </w:rPr>
              <w:t>0.03</w:t>
            </w:r>
          </w:p>
        </w:tc>
        <w:tc>
          <w:tcPr>
            <w:tcW w:w="627" w:type="dxa"/>
          </w:tcPr>
          <w:p w14:paraId="18730DFB" w14:textId="77777777" w:rsidR="008304A2" w:rsidRPr="00B335B5" w:rsidRDefault="008304A2">
            <w:pPr>
              <w:rPr>
                <w:sz w:val="18"/>
                <w:szCs w:val="18"/>
              </w:rPr>
            </w:pPr>
            <w:r w:rsidRPr="00B335B5">
              <w:rPr>
                <w:sz w:val="18"/>
                <w:szCs w:val="18"/>
              </w:rPr>
              <w:t>0.010</w:t>
            </w:r>
          </w:p>
        </w:tc>
      </w:tr>
      <w:tr w:rsidR="008304A2" w14:paraId="67C4F7D6" w14:textId="77777777" w:rsidTr="00080886">
        <w:tc>
          <w:tcPr>
            <w:tcW w:w="1429" w:type="dxa"/>
          </w:tcPr>
          <w:p w14:paraId="4EB096B9" w14:textId="77777777" w:rsidR="008304A2" w:rsidRDefault="008304A2">
            <w:pPr>
              <w:jc w:val="left"/>
            </w:pPr>
            <w:r w:rsidRPr="703AEB20">
              <w:rPr>
                <w:lang w:val="en-US"/>
              </w:rPr>
              <w:t>Ferrous and Non-Ferrous Metal Production</w:t>
            </w:r>
          </w:p>
        </w:tc>
        <w:tc>
          <w:tcPr>
            <w:tcW w:w="581" w:type="dxa"/>
          </w:tcPr>
          <w:p w14:paraId="67931E28" w14:textId="77777777" w:rsidR="008304A2" w:rsidRPr="00B335B5" w:rsidRDefault="008304A2">
            <w:pPr>
              <w:rPr>
                <w:sz w:val="18"/>
                <w:szCs w:val="18"/>
              </w:rPr>
            </w:pPr>
            <w:r w:rsidRPr="00B335B5">
              <w:rPr>
                <w:sz w:val="18"/>
                <w:szCs w:val="18"/>
              </w:rPr>
              <w:t>0</w:t>
            </w:r>
            <w:r>
              <w:rPr>
                <w:sz w:val="18"/>
                <w:szCs w:val="18"/>
              </w:rPr>
              <w:t>.40</w:t>
            </w:r>
          </w:p>
        </w:tc>
        <w:tc>
          <w:tcPr>
            <w:tcW w:w="581" w:type="dxa"/>
          </w:tcPr>
          <w:p w14:paraId="11F8D467" w14:textId="77777777" w:rsidR="008304A2" w:rsidRPr="00B335B5" w:rsidRDefault="008304A2">
            <w:pPr>
              <w:rPr>
                <w:sz w:val="18"/>
                <w:szCs w:val="18"/>
              </w:rPr>
            </w:pPr>
            <w:r w:rsidRPr="00B335B5">
              <w:rPr>
                <w:sz w:val="18"/>
                <w:szCs w:val="18"/>
              </w:rPr>
              <w:t>0.26</w:t>
            </w:r>
          </w:p>
        </w:tc>
        <w:tc>
          <w:tcPr>
            <w:tcW w:w="627" w:type="dxa"/>
          </w:tcPr>
          <w:p w14:paraId="11F92E2A" w14:textId="77777777" w:rsidR="008304A2" w:rsidRPr="00B335B5" w:rsidRDefault="008304A2">
            <w:pPr>
              <w:rPr>
                <w:sz w:val="18"/>
                <w:szCs w:val="18"/>
              </w:rPr>
            </w:pPr>
            <w:r w:rsidRPr="00B335B5">
              <w:rPr>
                <w:sz w:val="18"/>
                <w:szCs w:val="18"/>
              </w:rPr>
              <w:t>0.20</w:t>
            </w:r>
          </w:p>
        </w:tc>
        <w:tc>
          <w:tcPr>
            <w:tcW w:w="581" w:type="dxa"/>
          </w:tcPr>
          <w:p w14:paraId="1F6CC452" w14:textId="77777777" w:rsidR="008304A2" w:rsidRPr="00B335B5" w:rsidRDefault="008304A2">
            <w:pPr>
              <w:rPr>
                <w:sz w:val="18"/>
                <w:szCs w:val="18"/>
              </w:rPr>
            </w:pPr>
            <w:r w:rsidRPr="00B335B5">
              <w:rPr>
                <w:sz w:val="18"/>
                <w:szCs w:val="18"/>
              </w:rPr>
              <w:t>0.01</w:t>
            </w:r>
          </w:p>
        </w:tc>
        <w:tc>
          <w:tcPr>
            <w:tcW w:w="581" w:type="dxa"/>
          </w:tcPr>
          <w:p w14:paraId="2AB44712" w14:textId="77777777" w:rsidR="008304A2" w:rsidRPr="00B335B5" w:rsidRDefault="008304A2">
            <w:pPr>
              <w:rPr>
                <w:sz w:val="18"/>
                <w:szCs w:val="18"/>
              </w:rPr>
            </w:pPr>
            <w:r w:rsidRPr="00B335B5">
              <w:rPr>
                <w:sz w:val="18"/>
                <w:szCs w:val="18"/>
              </w:rPr>
              <w:t>0.02</w:t>
            </w:r>
          </w:p>
        </w:tc>
        <w:tc>
          <w:tcPr>
            <w:tcW w:w="581" w:type="dxa"/>
          </w:tcPr>
          <w:p w14:paraId="611749BD" w14:textId="77777777" w:rsidR="008304A2" w:rsidRPr="00B335B5" w:rsidRDefault="008304A2">
            <w:pPr>
              <w:rPr>
                <w:sz w:val="18"/>
                <w:szCs w:val="18"/>
              </w:rPr>
            </w:pPr>
            <w:r w:rsidRPr="00B335B5">
              <w:rPr>
                <w:sz w:val="18"/>
                <w:szCs w:val="18"/>
              </w:rPr>
              <w:t>0.02</w:t>
            </w:r>
          </w:p>
        </w:tc>
        <w:tc>
          <w:tcPr>
            <w:tcW w:w="629" w:type="dxa"/>
          </w:tcPr>
          <w:p w14:paraId="5574CD72" w14:textId="77777777" w:rsidR="008304A2" w:rsidRPr="00B335B5" w:rsidRDefault="008304A2">
            <w:pPr>
              <w:rPr>
                <w:sz w:val="18"/>
                <w:szCs w:val="18"/>
              </w:rPr>
            </w:pPr>
            <w:r w:rsidRPr="00B335B5">
              <w:rPr>
                <w:sz w:val="18"/>
                <w:szCs w:val="18"/>
              </w:rPr>
              <w:t>0.21</w:t>
            </w:r>
          </w:p>
        </w:tc>
        <w:tc>
          <w:tcPr>
            <w:tcW w:w="629" w:type="dxa"/>
          </w:tcPr>
          <w:p w14:paraId="7CFA7CEE" w14:textId="77777777" w:rsidR="008304A2" w:rsidRPr="00B335B5" w:rsidRDefault="008304A2">
            <w:pPr>
              <w:rPr>
                <w:sz w:val="18"/>
                <w:szCs w:val="18"/>
              </w:rPr>
            </w:pPr>
            <w:r w:rsidRPr="00B335B5">
              <w:rPr>
                <w:sz w:val="18"/>
                <w:szCs w:val="18"/>
              </w:rPr>
              <w:t>0.27</w:t>
            </w:r>
          </w:p>
        </w:tc>
        <w:tc>
          <w:tcPr>
            <w:tcW w:w="629" w:type="dxa"/>
          </w:tcPr>
          <w:p w14:paraId="3097B398" w14:textId="77777777" w:rsidR="008304A2" w:rsidRPr="00B335B5" w:rsidRDefault="008304A2">
            <w:pPr>
              <w:rPr>
                <w:sz w:val="18"/>
                <w:szCs w:val="18"/>
              </w:rPr>
            </w:pPr>
            <w:r w:rsidRPr="00B335B5">
              <w:rPr>
                <w:sz w:val="18"/>
                <w:szCs w:val="18"/>
              </w:rPr>
              <w:t>0.09</w:t>
            </w:r>
          </w:p>
        </w:tc>
        <w:tc>
          <w:tcPr>
            <w:tcW w:w="629" w:type="dxa"/>
          </w:tcPr>
          <w:p w14:paraId="46D18EE2" w14:textId="77777777" w:rsidR="008304A2" w:rsidRPr="00B335B5" w:rsidRDefault="008304A2">
            <w:pPr>
              <w:rPr>
                <w:sz w:val="18"/>
                <w:szCs w:val="18"/>
              </w:rPr>
            </w:pPr>
            <w:r w:rsidRPr="00B335B5">
              <w:rPr>
                <w:sz w:val="18"/>
                <w:szCs w:val="18"/>
              </w:rPr>
              <w:t>9.71</w:t>
            </w:r>
          </w:p>
        </w:tc>
        <w:tc>
          <w:tcPr>
            <w:tcW w:w="581" w:type="dxa"/>
          </w:tcPr>
          <w:p w14:paraId="70634492" w14:textId="77777777" w:rsidR="008304A2" w:rsidRPr="00B335B5" w:rsidRDefault="008304A2">
            <w:pPr>
              <w:rPr>
                <w:sz w:val="18"/>
                <w:szCs w:val="18"/>
              </w:rPr>
            </w:pPr>
            <w:r w:rsidRPr="00B335B5">
              <w:rPr>
                <w:sz w:val="18"/>
                <w:szCs w:val="18"/>
              </w:rPr>
              <w:t>5.54</w:t>
            </w:r>
          </w:p>
        </w:tc>
        <w:tc>
          <w:tcPr>
            <w:tcW w:w="627" w:type="dxa"/>
          </w:tcPr>
          <w:p w14:paraId="2B4A9864" w14:textId="77777777" w:rsidR="008304A2" w:rsidRPr="00B335B5" w:rsidRDefault="008304A2">
            <w:pPr>
              <w:rPr>
                <w:sz w:val="18"/>
                <w:szCs w:val="18"/>
              </w:rPr>
            </w:pPr>
            <w:r w:rsidRPr="00B335B5">
              <w:rPr>
                <w:sz w:val="18"/>
                <w:szCs w:val="18"/>
              </w:rPr>
              <w:t>4.37</w:t>
            </w:r>
          </w:p>
        </w:tc>
      </w:tr>
      <w:tr w:rsidR="008304A2" w14:paraId="34B2DFA8" w14:textId="77777777" w:rsidTr="00080886">
        <w:tc>
          <w:tcPr>
            <w:tcW w:w="1429" w:type="dxa"/>
          </w:tcPr>
          <w:p w14:paraId="0A64BFD6" w14:textId="77777777" w:rsidR="008304A2" w:rsidRDefault="008304A2">
            <w:pPr>
              <w:jc w:val="left"/>
            </w:pPr>
            <w:r w:rsidRPr="703AEB20">
              <w:rPr>
                <w:lang w:val="en-US"/>
              </w:rPr>
              <w:t>Heat and Power Generation</w:t>
            </w:r>
          </w:p>
        </w:tc>
        <w:tc>
          <w:tcPr>
            <w:tcW w:w="581" w:type="dxa"/>
          </w:tcPr>
          <w:p w14:paraId="56202838" w14:textId="77777777" w:rsidR="008304A2" w:rsidRPr="00B335B5" w:rsidRDefault="008304A2">
            <w:pPr>
              <w:rPr>
                <w:sz w:val="18"/>
                <w:szCs w:val="18"/>
              </w:rPr>
            </w:pPr>
            <w:r w:rsidRPr="00B335B5">
              <w:rPr>
                <w:sz w:val="18"/>
                <w:szCs w:val="18"/>
              </w:rPr>
              <w:t>3.33</w:t>
            </w:r>
          </w:p>
        </w:tc>
        <w:tc>
          <w:tcPr>
            <w:tcW w:w="581" w:type="dxa"/>
          </w:tcPr>
          <w:p w14:paraId="2AB3BE04" w14:textId="77777777" w:rsidR="008304A2" w:rsidRPr="00B335B5" w:rsidRDefault="008304A2">
            <w:pPr>
              <w:rPr>
                <w:sz w:val="18"/>
                <w:szCs w:val="18"/>
              </w:rPr>
            </w:pPr>
            <w:r w:rsidRPr="00B335B5">
              <w:rPr>
                <w:sz w:val="18"/>
                <w:szCs w:val="18"/>
              </w:rPr>
              <w:t>3.24</w:t>
            </w:r>
          </w:p>
        </w:tc>
        <w:tc>
          <w:tcPr>
            <w:tcW w:w="627" w:type="dxa"/>
          </w:tcPr>
          <w:p w14:paraId="4C8D78D8" w14:textId="77777777" w:rsidR="008304A2" w:rsidRPr="00B335B5" w:rsidRDefault="008304A2">
            <w:pPr>
              <w:rPr>
                <w:sz w:val="18"/>
                <w:szCs w:val="18"/>
              </w:rPr>
            </w:pPr>
            <w:r w:rsidRPr="00B335B5">
              <w:rPr>
                <w:sz w:val="18"/>
                <w:szCs w:val="18"/>
              </w:rPr>
              <w:t>3.72</w:t>
            </w:r>
          </w:p>
        </w:tc>
        <w:tc>
          <w:tcPr>
            <w:tcW w:w="581" w:type="dxa"/>
          </w:tcPr>
          <w:p w14:paraId="6A61C4B1" w14:textId="77777777" w:rsidR="008304A2" w:rsidRPr="00B335B5" w:rsidRDefault="008304A2">
            <w:pPr>
              <w:rPr>
                <w:sz w:val="18"/>
                <w:szCs w:val="18"/>
              </w:rPr>
            </w:pPr>
            <w:r w:rsidRPr="00B335B5">
              <w:rPr>
                <w:sz w:val="18"/>
                <w:szCs w:val="18"/>
              </w:rPr>
              <w:t>0.00</w:t>
            </w:r>
          </w:p>
        </w:tc>
        <w:tc>
          <w:tcPr>
            <w:tcW w:w="581" w:type="dxa"/>
          </w:tcPr>
          <w:p w14:paraId="43C3AC6B" w14:textId="77777777" w:rsidR="008304A2" w:rsidRPr="00B335B5" w:rsidRDefault="008304A2">
            <w:pPr>
              <w:rPr>
                <w:sz w:val="18"/>
                <w:szCs w:val="18"/>
              </w:rPr>
            </w:pPr>
            <w:r w:rsidRPr="00B335B5">
              <w:rPr>
                <w:sz w:val="18"/>
                <w:szCs w:val="18"/>
              </w:rPr>
              <w:t>0.00</w:t>
            </w:r>
          </w:p>
        </w:tc>
        <w:tc>
          <w:tcPr>
            <w:tcW w:w="581" w:type="dxa"/>
          </w:tcPr>
          <w:p w14:paraId="44BA50D9" w14:textId="77777777" w:rsidR="008304A2" w:rsidRPr="00B335B5" w:rsidRDefault="008304A2">
            <w:pPr>
              <w:rPr>
                <w:sz w:val="18"/>
                <w:szCs w:val="18"/>
              </w:rPr>
            </w:pPr>
            <w:r w:rsidRPr="00B335B5">
              <w:rPr>
                <w:sz w:val="18"/>
                <w:szCs w:val="18"/>
              </w:rPr>
              <w:t>0.00</w:t>
            </w:r>
          </w:p>
        </w:tc>
        <w:tc>
          <w:tcPr>
            <w:tcW w:w="629" w:type="dxa"/>
          </w:tcPr>
          <w:p w14:paraId="3ABC75B7" w14:textId="77777777" w:rsidR="008304A2" w:rsidRPr="00B335B5" w:rsidRDefault="008304A2">
            <w:pPr>
              <w:rPr>
                <w:sz w:val="18"/>
                <w:szCs w:val="18"/>
              </w:rPr>
            </w:pPr>
            <w:r w:rsidRPr="00B335B5">
              <w:rPr>
                <w:sz w:val="18"/>
                <w:szCs w:val="18"/>
              </w:rPr>
              <w:t>0.41</w:t>
            </w:r>
          </w:p>
        </w:tc>
        <w:tc>
          <w:tcPr>
            <w:tcW w:w="629" w:type="dxa"/>
          </w:tcPr>
          <w:p w14:paraId="6AFCC1FF" w14:textId="77777777" w:rsidR="008304A2" w:rsidRPr="00B335B5" w:rsidRDefault="008304A2">
            <w:pPr>
              <w:rPr>
                <w:sz w:val="18"/>
                <w:szCs w:val="18"/>
              </w:rPr>
            </w:pPr>
            <w:r w:rsidRPr="00B335B5">
              <w:rPr>
                <w:sz w:val="18"/>
                <w:szCs w:val="18"/>
              </w:rPr>
              <w:t>0.07</w:t>
            </w:r>
          </w:p>
        </w:tc>
        <w:tc>
          <w:tcPr>
            <w:tcW w:w="629" w:type="dxa"/>
          </w:tcPr>
          <w:p w14:paraId="7DAB4FA4" w14:textId="77777777" w:rsidR="008304A2" w:rsidRPr="00B335B5" w:rsidRDefault="008304A2">
            <w:pPr>
              <w:rPr>
                <w:sz w:val="18"/>
                <w:szCs w:val="18"/>
              </w:rPr>
            </w:pPr>
            <w:r w:rsidRPr="00B335B5">
              <w:rPr>
                <w:sz w:val="18"/>
                <w:szCs w:val="18"/>
              </w:rPr>
              <w:t>0.27</w:t>
            </w:r>
          </w:p>
        </w:tc>
        <w:tc>
          <w:tcPr>
            <w:tcW w:w="629" w:type="dxa"/>
          </w:tcPr>
          <w:p w14:paraId="301B3819" w14:textId="77777777" w:rsidR="008304A2" w:rsidRPr="00B335B5" w:rsidRDefault="008304A2">
            <w:pPr>
              <w:rPr>
                <w:sz w:val="18"/>
                <w:szCs w:val="18"/>
              </w:rPr>
            </w:pPr>
            <w:r w:rsidRPr="00B335B5">
              <w:rPr>
                <w:sz w:val="18"/>
                <w:szCs w:val="18"/>
              </w:rPr>
              <w:t>0.75</w:t>
            </w:r>
          </w:p>
        </w:tc>
        <w:tc>
          <w:tcPr>
            <w:tcW w:w="581" w:type="dxa"/>
          </w:tcPr>
          <w:p w14:paraId="1F43D1C1" w14:textId="77777777" w:rsidR="008304A2" w:rsidRPr="00B335B5" w:rsidRDefault="008304A2">
            <w:pPr>
              <w:rPr>
                <w:sz w:val="18"/>
                <w:szCs w:val="18"/>
              </w:rPr>
            </w:pPr>
            <w:r w:rsidRPr="00B335B5">
              <w:rPr>
                <w:sz w:val="18"/>
                <w:szCs w:val="18"/>
              </w:rPr>
              <w:t>0.79</w:t>
            </w:r>
          </w:p>
        </w:tc>
        <w:tc>
          <w:tcPr>
            <w:tcW w:w="627" w:type="dxa"/>
          </w:tcPr>
          <w:p w14:paraId="07D29536" w14:textId="77777777" w:rsidR="008304A2" w:rsidRPr="00B335B5" w:rsidRDefault="008304A2">
            <w:pPr>
              <w:rPr>
                <w:sz w:val="18"/>
                <w:szCs w:val="18"/>
              </w:rPr>
            </w:pPr>
            <w:r w:rsidRPr="00B335B5">
              <w:rPr>
                <w:sz w:val="18"/>
                <w:szCs w:val="18"/>
              </w:rPr>
              <w:t>0.91</w:t>
            </w:r>
          </w:p>
        </w:tc>
      </w:tr>
      <w:tr w:rsidR="008304A2" w14:paraId="7FAE70F3" w14:textId="77777777" w:rsidTr="00080886">
        <w:tc>
          <w:tcPr>
            <w:tcW w:w="1429" w:type="dxa"/>
          </w:tcPr>
          <w:p w14:paraId="4D3AFBDC" w14:textId="77777777" w:rsidR="008304A2" w:rsidRDefault="008304A2">
            <w:pPr>
              <w:jc w:val="left"/>
            </w:pPr>
            <w:r w:rsidRPr="703AEB20">
              <w:rPr>
                <w:lang w:val="en-US"/>
              </w:rPr>
              <w:t>Production of Mineral Products</w:t>
            </w:r>
          </w:p>
        </w:tc>
        <w:tc>
          <w:tcPr>
            <w:tcW w:w="581" w:type="dxa"/>
          </w:tcPr>
          <w:p w14:paraId="6ADCF9DD" w14:textId="77777777" w:rsidR="008304A2" w:rsidRPr="00B335B5" w:rsidRDefault="008304A2">
            <w:pPr>
              <w:rPr>
                <w:sz w:val="18"/>
                <w:szCs w:val="18"/>
              </w:rPr>
            </w:pPr>
            <w:r w:rsidRPr="00B335B5">
              <w:rPr>
                <w:sz w:val="18"/>
                <w:szCs w:val="18"/>
              </w:rPr>
              <w:t>0.07</w:t>
            </w:r>
          </w:p>
        </w:tc>
        <w:tc>
          <w:tcPr>
            <w:tcW w:w="581" w:type="dxa"/>
          </w:tcPr>
          <w:p w14:paraId="3A6A9669" w14:textId="77777777" w:rsidR="008304A2" w:rsidRPr="00B335B5" w:rsidRDefault="008304A2">
            <w:pPr>
              <w:rPr>
                <w:sz w:val="18"/>
                <w:szCs w:val="18"/>
              </w:rPr>
            </w:pPr>
            <w:r w:rsidRPr="00B335B5">
              <w:rPr>
                <w:sz w:val="18"/>
                <w:szCs w:val="18"/>
              </w:rPr>
              <w:t>0.08</w:t>
            </w:r>
          </w:p>
        </w:tc>
        <w:tc>
          <w:tcPr>
            <w:tcW w:w="627" w:type="dxa"/>
          </w:tcPr>
          <w:p w14:paraId="26190F31" w14:textId="77777777" w:rsidR="008304A2" w:rsidRPr="00B335B5" w:rsidRDefault="008304A2">
            <w:pPr>
              <w:rPr>
                <w:sz w:val="18"/>
                <w:szCs w:val="18"/>
              </w:rPr>
            </w:pPr>
            <w:r w:rsidRPr="00B335B5">
              <w:rPr>
                <w:sz w:val="18"/>
                <w:szCs w:val="18"/>
              </w:rPr>
              <w:t>0.07</w:t>
            </w:r>
          </w:p>
        </w:tc>
        <w:tc>
          <w:tcPr>
            <w:tcW w:w="581" w:type="dxa"/>
          </w:tcPr>
          <w:p w14:paraId="2A68847F" w14:textId="77777777" w:rsidR="008304A2" w:rsidRPr="00B335B5" w:rsidRDefault="008304A2">
            <w:pPr>
              <w:rPr>
                <w:sz w:val="18"/>
                <w:szCs w:val="18"/>
              </w:rPr>
            </w:pPr>
            <w:r w:rsidRPr="00B335B5">
              <w:rPr>
                <w:sz w:val="18"/>
                <w:szCs w:val="18"/>
              </w:rPr>
              <w:t>0.00</w:t>
            </w:r>
          </w:p>
        </w:tc>
        <w:tc>
          <w:tcPr>
            <w:tcW w:w="581" w:type="dxa"/>
          </w:tcPr>
          <w:p w14:paraId="06AFD0BC" w14:textId="77777777" w:rsidR="008304A2" w:rsidRPr="00B335B5" w:rsidRDefault="008304A2">
            <w:pPr>
              <w:rPr>
                <w:sz w:val="18"/>
                <w:szCs w:val="18"/>
              </w:rPr>
            </w:pPr>
            <w:r w:rsidRPr="00B335B5">
              <w:rPr>
                <w:sz w:val="18"/>
                <w:szCs w:val="18"/>
              </w:rPr>
              <w:t>0.00</w:t>
            </w:r>
          </w:p>
        </w:tc>
        <w:tc>
          <w:tcPr>
            <w:tcW w:w="581" w:type="dxa"/>
          </w:tcPr>
          <w:p w14:paraId="21E7728C" w14:textId="77777777" w:rsidR="008304A2" w:rsidRPr="00B335B5" w:rsidRDefault="008304A2">
            <w:pPr>
              <w:rPr>
                <w:sz w:val="18"/>
                <w:szCs w:val="18"/>
              </w:rPr>
            </w:pPr>
            <w:r w:rsidRPr="00B335B5">
              <w:rPr>
                <w:sz w:val="18"/>
                <w:szCs w:val="18"/>
              </w:rPr>
              <w:t>0.00</w:t>
            </w:r>
          </w:p>
        </w:tc>
        <w:tc>
          <w:tcPr>
            <w:tcW w:w="629" w:type="dxa"/>
          </w:tcPr>
          <w:p w14:paraId="47222BD1" w14:textId="77777777" w:rsidR="008304A2" w:rsidRPr="00B335B5" w:rsidRDefault="008304A2">
            <w:pPr>
              <w:rPr>
                <w:sz w:val="18"/>
                <w:szCs w:val="18"/>
              </w:rPr>
            </w:pPr>
            <w:r w:rsidRPr="00B335B5">
              <w:rPr>
                <w:sz w:val="18"/>
                <w:szCs w:val="18"/>
              </w:rPr>
              <w:t>0.18</w:t>
            </w:r>
          </w:p>
        </w:tc>
        <w:tc>
          <w:tcPr>
            <w:tcW w:w="629" w:type="dxa"/>
          </w:tcPr>
          <w:p w14:paraId="04F7CB4B" w14:textId="77777777" w:rsidR="008304A2" w:rsidRPr="00B335B5" w:rsidRDefault="008304A2">
            <w:pPr>
              <w:rPr>
                <w:sz w:val="18"/>
                <w:szCs w:val="18"/>
              </w:rPr>
            </w:pPr>
            <w:r w:rsidRPr="00B335B5">
              <w:rPr>
                <w:sz w:val="18"/>
                <w:szCs w:val="18"/>
              </w:rPr>
              <w:t>0.06</w:t>
            </w:r>
          </w:p>
        </w:tc>
        <w:tc>
          <w:tcPr>
            <w:tcW w:w="629" w:type="dxa"/>
          </w:tcPr>
          <w:p w14:paraId="313EB1F9" w14:textId="77777777" w:rsidR="008304A2" w:rsidRPr="00B335B5" w:rsidRDefault="008304A2">
            <w:pPr>
              <w:rPr>
                <w:sz w:val="18"/>
                <w:szCs w:val="18"/>
              </w:rPr>
            </w:pPr>
            <w:r w:rsidRPr="00B335B5">
              <w:rPr>
                <w:sz w:val="18"/>
                <w:szCs w:val="18"/>
              </w:rPr>
              <w:t>0.04</w:t>
            </w:r>
          </w:p>
        </w:tc>
        <w:tc>
          <w:tcPr>
            <w:tcW w:w="629" w:type="dxa"/>
          </w:tcPr>
          <w:p w14:paraId="4D3E5A00" w14:textId="77777777" w:rsidR="008304A2" w:rsidRPr="00B335B5" w:rsidRDefault="008304A2">
            <w:pPr>
              <w:rPr>
                <w:sz w:val="18"/>
                <w:szCs w:val="18"/>
              </w:rPr>
            </w:pPr>
            <w:r w:rsidRPr="00B335B5">
              <w:rPr>
                <w:sz w:val="18"/>
                <w:szCs w:val="18"/>
              </w:rPr>
              <w:t>0.03</w:t>
            </w:r>
          </w:p>
        </w:tc>
        <w:tc>
          <w:tcPr>
            <w:tcW w:w="581" w:type="dxa"/>
          </w:tcPr>
          <w:p w14:paraId="6C0F82D8" w14:textId="77777777" w:rsidR="008304A2" w:rsidRPr="00B335B5" w:rsidRDefault="008304A2">
            <w:pPr>
              <w:rPr>
                <w:sz w:val="18"/>
                <w:szCs w:val="18"/>
              </w:rPr>
            </w:pPr>
            <w:r w:rsidRPr="00B335B5">
              <w:rPr>
                <w:sz w:val="18"/>
                <w:szCs w:val="18"/>
              </w:rPr>
              <w:t>0.04</w:t>
            </w:r>
          </w:p>
        </w:tc>
        <w:tc>
          <w:tcPr>
            <w:tcW w:w="627" w:type="dxa"/>
          </w:tcPr>
          <w:p w14:paraId="2A1B984C" w14:textId="77777777" w:rsidR="008304A2" w:rsidRPr="00B335B5" w:rsidRDefault="008304A2">
            <w:pPr>
              <w:rPr>
                <w:sz w:val="18"/>
                <w:szCs w:val="18"/>
              </w:rPr>
            </w:pPr>
            <w:r w:rsidRPr="00B335B5">
              <w:rPr>
                <w:sz w:val="18"/>
                <w:szCs w:val="18"/>
              </w:rPr>
              <w:t>0.05</w:t>
            </w:r>
          </w:p>
        </w:tc>
      </w:tr>
      <w:tr w:rsidR="008304A2" w14:paraId="45859044" w14:textId="77777777" w:rsidTr="00080886">
        <w:tc>
          <w:tcPr>
            <w:tcW w:w="1429" w:type="dxa"/>
          </w:tcPr>
          <w:p w14:paraId="62301635" w14:textId="77777777" w:rsidR="008304A2" w:rsidRDefault="008304A2">
            <w:pPr>
              <w:jc w:val="left"/>
            </w:pPr>
            <w:r w:rsidRPr="703AEB20">
              <w:rPr>
                <w:lang w:val="en-US"/>
              </w:rPr>
              <w:t>Transportation</w:t>
            </w:r>
          </w:p>
        </w:tc>
        <w:tc>
          <w:tcPr>
            <w:tcW w:w="581" w:type="dxa"/>
          </w:tcPr>
          <w:p w14:paraId="69D0D9E0" w14:textId="77777777" w:rsidR="008304A2" w:rsidRPr="00B335B5" w:rsidRDefault="008304A2">
            <w:pPr>
              <w:rPr>
                <w:sz w:val="18"/>
                <w:szCs w:val="18"/>
              </w:rPr>
            </w:pPr>
            <w:r w:rsidRPr="00B335B5">
              <w:rPr>
                <w:sz w:val="18"/>
                <w:szCs w:val="18"/>
              </w:rPr>
              <w:t>0.66</w:t>
            </w:r>
          </w:p>
        </w:tc>
        <w:tc>
          <w:tcPr>
            <w:tcW w:w="581" w:type="dxa"/>
          </w:tcPr>
          <w:p w14:paraId="0C43526D" w14:textId="77777777" w:rsidR="008304A2" w:rsidRPr="00B335B5" w:rsidRDefault="008304A2">
            <w:pPr>
              <w:rPr>
                <w:sz w:val="18"/>
                <w:szCs w:val="18"/>
              </w:rPr>
            </w:pPr>
            <w:r w:rsidRPr="00B335B5">
              <w:rPr>
                <w:sz w:val="18"/>
                <w:szCs w:val="18"/>
              </w:rPr>
              <w:t>0.67</w:t>
            </w:r>
          </w:p>
        </w:tc>
        <w:tc>
          <w:tcPr>
            <w:tcW w:w="627" w:type="dxa"/>
          </w:tcPr>
          <w:p w14:paraId="0DBDD03B" w14:textId="77777777" w:rsidR="008304A2" w:rsidRPr="00B335B5" w:rsidRDefault="008304A2">
            <w:pPr>
              <w:rPr>
                <w:sz w:val="18"/>
                <w:szCs w:val="18"/>
              </w:rPr>
            </w:pPr>
            <w:r w:rsidRPr="00B335B5">
              <w:rPr>
                <w:sz w:val="18"/>
                <w:szCs w:val="18"/>
              </w:rPr>
              <w:t>0.83</w:t>
            </w:r>
          </w:p>
        </w:tc>
        <w:tc>
          <w:tcPr>
            <w:tcW w:w="581" w:type="dxa"/>
          </w:tcPr>
          <w:p w14:paraId="45EA167D" w14:textId="77777777" w:rsidR="008304A2" w:rsidRPr="00B335B5" w:rsidRDefault="008304A2">
            <w:pPr>
              <w:rPr>
                <w:sz w:val="18"/>
                <w:szCs w:val="18"/>
              </w:rPr>
            </w:pPr>
            <w:r w:rsidRPr="00B335B5">
              <w:rPr>
                <w:sz w:val="18"/>
                <w:szCs w:val="18"/>
              </w:rPr>
              <w:t>0.00</w:t>
            </w:r>
          </w:p>
        </w:tc>
        <w:tc>
          <w:tcPr>
            <w:tcW w:w="581" w:type="dxa"/>
          </w:tcPr>
          <w:p w14:paraId="406D95F2" w14:textId="77777777" w:rsidR="008304A2" w:rsidRPr="00B335B5" w:rsidRDefault="008304A2">
            <w:pPr>
              <w:rPr>
                <w:sz w:val="18"/>
                <w:szCs w:val="18"/>
              </w:rPr>
            </w:pPr>
            <w:r w:rsidRPr="00B335B5">
              <w:rPr>
                <w:sz w:val="18"/>
                <w:szCs w:val="18"/>
              </w:rPr>
              <w:t>0.00</w:t>
            </w:r>
          </w:p>
        </w:tc>
        <w:tc>
          <w:tcPr>
            <w:tcW w:w="581" w:type="dxa"/>
          </w:tcPr>
          <w:p w14:paraId="471E4B44" w14:textId="77777777" w:rsidR="008304A2" w:rsidRPr="00B335B5" w:rsidRDefault="008304A2">
            <w:pPr>
              <w:rPr>
                <w:sz w:val="18"/>
                <w:szCs w:val="18"/>
              </w:rPr>
            </w:pPr>
            <w:r w:rsidRPr="00B335B5">
              <w:rPr>
                <w:sz w:val="18"/>
                <w:szCs w:val="18"/>
              </w:rPr>
              <w:t>0.00</w:t>
            </w:r>
          </w:p>
        </w:tc>
        <w:tc>
          <w:tcPr>
            <w:tcW w:w="629" w:type="dxa"/>
          </w:tcPr>
          <w:p w14:paraId="703A4E2F" w14:textId="77777777" w:rsidR="008304A2" w:rsidRPr="00B335B5" w:rsidRDefault="008304A2">
            <w:pPr>
              <w:rPr>
                <w:sz w:val="18"/>
                <w:szCs w:val="18"/>
              </w:rPr>
            </w:pPr>
            <w:r w:rsidRPr="00B335B5">
              <w:rPr>
                <w:sz w:val="18"/>
                <w:szCs w:val="18"/>
              </w:rPr>
              <w:t>0.00</w:t>
            </w:r>
          </w:p>
        </w:tc>
        <w:tc>
          <w:tcPr>
            <w:tcW w:w="629" w:type="dxa"/>
          </w:tcPr>
          <w:p w14:paraId="07D66327" w14:textId="77777777" w:rsidR="008304A2" w:rsidRPr="00B335B5" w:rsidRDefault="008304A2">
            <w:pPr>
              <w:rPr>
                <w:sz w:val="18"/>
                <w:szCs w:val="18"/>
              </w:rPr>
            </w:pPr>
            <w:r w:rsidRPr="00B335B5">
              <w:rPr>
                <w:sz w:val="18"/>
                <w:szCs w:val="18"/>
              </w:rPr>
              <w:t>0.00</w:t>
            </w:r>
          </w:p>
        </w:tc>
        <w:tc>
          <w:tcPr>
            <w:tcW w:w="629" w:type="dxa"/>
          </w:tcPr>
          <w:p w14:paraId="46A68F3B" w14:textId="77777777" w:rsidR="008304A2" w:rsidRPr="00B335B5" w:rsidRDefault="008304A2">
            <w:pPr>
              <w:rPr>
                <w:sz w:val="18"/>
                <w:szCs w:val="18"/>
              </w:rPr>
            </w:pPr>
            <w:r w:rsidRPr="00B335B5">
              <w:rPr>
                <w:sz w:val="18"/>
                <w:szCs w:val="18"/>
              </w:rPr>
              <w:t>0.00</w:t>
            </w:r>
          </w:p>
        </w:tc>
        <w:tc>
          <w:tcPr>
            <w:tcW w:w="629" w:type="dxa"/>
          </w:tcPr>
          <w:p w14:paraId="7ED1AFE2" w14:textId="77777777" w:rsidR="008304A2" w:rsidRPr="00B335B5" w:rsidRDefault="008304A2">
            <w:pPr>
              <w:rPr>
                <w:sz w:val="18"/>
                <w:szCs w:val="18"/>
              </w:rPr>
            </w:pPr>
            <w:r w:rsidRPr="00B335B5">
              <w:rPr>
                <w:sz w:val="18"/>
                <w:szCs w:val="18"/>
              </w:rPr>
              <w:t>0.00</w:t>
            </w:r>
          </w:p>
        </w:tc>
        <w:tc>
          <w:tcPr>
            <w:tcW w:w="581" w:type="dxa"/>
          </w:tcPr>
          <w:p w14:paraId="4D556F0E" w14:textId="77777777" w:rsidR="008304A2" w:rsidRPr="00B335B5" w:rsidRDefault="008304A2">
            <w:pPr>
              <w:rPr>
                <w:sz w:val="18"/>
                <w:szCs w:val="18"/>
              </w:rPr>
            </w:pPr>
            <w:r w:rsidRPr="00B335B5">
              <w:rPr>
                <w:sz w:val="18"/>
                <w:szCs w:val="18"/>
              </w:rPr>
              <w:t>0.00</w:t>
            </w:r>
          </w:p>
        </w:tc>
        <w:tc>
          <w:tcPr>
            <w:tcW w:w="627" w:type="dxa"/>
          </w:tcPr>
          <w:p w14:paraId="619252F6" w14:textId="77777777" w:rsidR="008304A2" w:rsidRPr="00B335B5" w:rsidRDefault="008304A2">
            <w:pPr>
              <w:rPr>
                <w:sz w:val="18"/>
                <w:szCs w:val="18"/>
              </w:rPr>
            </w:pPr>
            <w:r w:rsidRPr="00B335B5">
              <w:rPr>
                <w:sz w:val="18"/>
                <w:szCs w:val="18"/>
              </w:rPr>
              <w:t>0.00</w:t>
            </w:r>
          </w:p>
        </w:tc>
      </w:tr>
      <w:tr w:rsidR="008304A2" w14:paraId="6850CF11" w14:textId="77777777" w:rsidTr="00080886">
        <w:tc>
          <w:tcPr>
            <w:tcW w:w="1429" w:type="dxa"/>
          </w:tcPr>
          <w:p w14:paraId="2FFC65EF" w14:textId="77777777" w:rsidR="008304A2" w:rsidRDefault="008304A2">
            <w:pPr>
              <w:jc w:val="left"/>
            </w:pPr>
            <w:r w:rsidRPr="703AEB20">
              <w:rPr>
                <w:lang w:val="en-US"/>
              </w:rPr>
              <w:t>Uncontrolled Combustion</w:t>
            </w:r>
          </w:p>
        </w:tc>
        <w:tc>
          <w:tcPr>
            <w:tcW w:w="581" w:type="dxa"/>
          </w:tcPr>
          <w:p w14:paraId="00DF4484" w14:textId="77777777" w:rsidR="008304A2" w:rsidRPr="00B335B5" w:rsidRDefault="008304A2">
            <w:pPr>
              <w:rPr>
                <w:sz w:val="18"/>
                <w:szCs w:val="18"/>
              </w:rPr>
            </w:pPr>
            <w:r w:rsidRPr="00B335B5">
              <w:rPr>
                <w:sz w:val="18"/>
                <w:szCs w:val="18"/>
              </w:rPr>
              <w:t>2.44</w:t>
            </w:r>
          </w:p>
        </w:tc>
        <w:tc>
          <w:tcPr>
            <w:tcW w:w="581" w:type="dxa"/>
          </w:tcPr>
          <w:p w14:paraId="10542265" w14:textId="77777777" w:rsidR="008304A2" w:rsidRPr="00B335B5" w:rsidRDefault="008304A2">
            <w:pPr>
              <w:rPr>
                <w:sz w:val="18"/>
                <w:szCs w:val="18"/>
              </w:rPr>
            </w:pPr>
            <w:r w:rsidRPr="00B335B5">
              <w:rPr>
                <w:sz w:val="18"/>
                <w:szCs w:val="18"/>
              </w:rPr>
              <w:t>2.60</w:t>
            </w:r>
          </w:p>
        </w:tc>
        <w:tc>
          <w:tcPr>
            <w:tcW w:w="627" w:type="dxa"/>
          </w:tcPr>
          <w:p w14:paraId="06B83724" w14:textId="77777777" w:rsidR="008304A2" w:rsidRPr="00B335B5" w:rsidRDefault="008304A2">
            <w:pPr>
              <w:rPr>
                <w:sz w:val="18"/>
                <w:szCs w:val="18"/>
              </w:rPr>
            </w:pPr>
            <w:r w:rsidRPr="00B335B5">
              <w:rPr>
                <w:sz w:val="18"/>
                <w:szCs w:val="18"/>
              </w:rPr>
              <w:t>2.75</w:t>
            </w:r>
          </w:p>
        </w:tc>
        <w:tc>
          <w:tcPr>
            <w:tcW w:w="581" w:type="dxa"/>
          </w:tcPr>
          <w:p w14:paraId="642812C4" w14:textId="77777777" w:rsidR="008304A2" w:rsidRPr="00B335B5" w:rsidRDefault="008304A2">
            <w:pPr>
              <w:rPr>
                <w:sz w:val="18"/>
                <w:szCs w:val="18"/>
              </w:rPr>
            </w:pPr>
            <w:r w:rsidRPr="00B335B5">
              <w:rPr>
                <w:sz w:val="18"/>
                <w:szCs w:val="18"/>
              </w:rPr>
              <w:t>0.00</w:t>
            </w:r>
          </w:p>
        </w:tc>
        <w:tc>
          <w:tcPr>
            <w:tcW w:w="581" w:type="dxa"/>
          </w:tcPr>
          <w:p w14:paraId="7064D19D" w14:textId="77777777" w:rsidR="008304A2" w:rsidRPr="00B335B5" w:rsidRDefault="008304A2">
            <w:pPr>
              <w:rPr>
                <w:sz w:val="18"/>
                <w:szCs w:val="18"/>
              </w:rPr>
            </w:pPr>
            <w:r w:rsidRPr="00B335B5">
              <w:rPr>
                <w:sz w:val="18"/>
                <w:szCs w:val="18"/>
              </w:rPr>
              <w:t>0.00</w:t>
            </w:r>
          </w:p>
        </w:tc>
        <w:tc>
          <w:tcPr>
            <w:tcW w:w="581" w:type="dxa"/>
          </w:tcPr>
          <w:p w14:paraId="66CA6579" w14:textId="77777777" w:rsidR="008304A2" w:rsidRPr="00B335B5" w:rsidRDefault="008304A2">
            <w:pPr>
              <w:rPr>
                <w:sz w:val="18"/>
                <w:szCs w:val="18"/>
              </w:rPr>
            </w:pPr>
            <w:r w:rsidRPr="00B335B5">
              <w:rPr>
                <w:sz w:val="18"/>
                <w:szCs w:val="18"/>
              </w:rPr>
              <w:t>0.00</w:t>
            </w:r>
          </w:p>
        </w:tc>
        <w:tc>
          <w:tcPr>
            <w:tcW w:w="629" w:type="dxa"/>
          </w:tcPr>
          <w:p w14:paraId="7DA3D375" w14:textId="77777777" w:rsidR="008304A2" w:rsidRPr="00B335B5" w:rsidRDefault="008304A2">
            <w:pPr>
              <w:rPr>
                <w:sz w:val="18"/>
                <w:szCs w:val="18"/>
              </w:rPr>
            </w:pPr>
            <w:r w:rsidRPr="00B335B5">
              <w:rPr>
                <w:sz w:val="18"/>
                <w:szCs w:val="18"/>
              </w:rPr>
              <w:t>0.78</w:t>
            </w:r>
          </w:p>
        </w:tc>
        <w:tc>
          <w:tcPr>
            <w:tcW w:w="629" w:type="dxa"/>
          </w:tcPr>
          <w:p w14:paraId="10F41D0D" w14:textId="77777777" w:rsidR="008304A2" w:rsidRPr="00B335B5" w:rsidRDefault="008304A2">
            <w:pPr>
              <w:rPr>
                <w:sz w:val="18"/>
                <w:szCs w:val="18"/>
              </w:rPr>
            </w:pPr>
            <w:r w:rsidRPr="00B335B5">
              <w:rPr>
                <w:sz w:val="18"/>
                <w:szCs w:val="18"/>
              </w:rPr>
              <w:t>0.86</w:t>
            </w:r>
          </w:p>
        </w:tc>
        <w:tc>
          <w:tcPr>
            <w:tcW w:w="629" w:type="dxa"/>
          </w:tcPr>
          <w:p w14:paraId="000B44C8" w14:textId="77777777" w:rsidR="008304A2" w:rsidRPr="00B335B5" w:rsidRDefault="008304A2">
            <w:pPr>
              <w:rPr>
                <w:sz w:val="18"/>
                <w:szCs w:val="18"/>
              </w:rPr>
            </w:pPr>
            <w:r w:rsidRPr="00B335B5">
              <w:rPr>
                <w:sz w:val="18"/>
                <w:szCs w:val="18"/>
              </w:rPr>
              <w:t>0.48</w:t>
            </w:r>
          </w:p>
        </w:tc>
        <w:tc>
          <w:tcPr>
            <w:tcW w:w="629" w:type="dxa"/>
          </w:tcPr>
          <w:p w14:paraId="4B5A63F4" w14:textId="77777777" w:rsidR="008304A2" w:rsidRPr="00B335B5" w:rsidRDefault="008304A2">
            <w:pPr>
              <w:rPr>
                <w:sz w:val="18"/>
                <w:szCs w:val="18"/>
              </w:rPr>
            </w:pPr>
            <w:r w:rsidRPr="00B335B5">
              <w:rPr>
                <w:sz w:val="18"/>
                <w:szCs w:val="18"/>
              </w:rPr>
              <w:t>0.00</w:t>
            </w:r>
          </w:p>
        </w:tc>
        <w:tc>
          <w:tcPr>
            <w:tcW w:w="581" w:type="dxa"/>
          </w:tcPr>
          <w:p w14:paraId="65B9636D" w14:textId="77777777" w:rsidR="008304A2" w:rsidRPr="00B335B5" w:rsidRDefault="008304A2">
            <w:pPr>
              <w:rPr>
                <w:sz w:val="18"/>
                <w:szCs w:val="18"/>
              </w:rPr>
            </w:pPr>
            <w:r w:rsidRPr="00B335B5">
              <w:rPr>
                <w:sz w:val="18"/>
                <w:szCs w:val="18"/>
              </w:rPr>
              <w:t>0.00</w:t>
            </w:r>
          </w:p>
        </w:tc>
        <w:tc>
          <w:tcPr>
            <w:tcW w:w="627" w:type="dxa"/>
          </w:tcPr>
          <w:p w14:paraId="142847A2" w14:textId="77777777" w:rsidR="008304A2" w:rsidRPr="00B335B5" w:rsidRDefault="008304A2">
            <w:pPr>
              <w:rPr>
                <w:sz w:val="18"/>
                <w:szCs w:val="18"/>
              </w:rPr>
            </w:pPr>
            <w:r w:rsidRPr="00B335B5">
              <w:rPr>
                <w:sz w:val="18"/>
                <w:szCs w:val="18"/>
              </w:rPr>
              <w:t>0.00</w:t>
            </w:r>
          </w:p>
        </w:tc>
      </w:tr>
      <w:tr w:rsidR="008304A2" w14:paraId="578BE401" w14:textId="77777777" w:rsidTr="00080886">
        <w:tc>
          <w:tcPr>
            <w:tcW w:w="1429" w:type="dxa"/>
          </w:tcPr>
          <w:p w14:paraId="7F24A85F" w14:textId="77777777" w:rsidR="008304A2" w:rsidRPr="703AEB20" w:rsidRDefault="008304A2">
            <w:pPr>
              <w:jc w:val="left"/>
              <w:rPr>
                <w:lang w:val="en-US"/>
              </w:rPr>
            </w:pPr>
            <w:r w:rsidRPr="703AEB20">
              <w:rPr>
                <w:lang w:val="en-US"/>
              </w:rPr>
              <w:t>Production of Chemicals and Consumer Goods</w:t>
            </w:r>
          </w:p>
        </w:tc>
        <w:tc>
          <w:tcPr>
            <w:tcW w:w="581" w:type="dxa"/>
          </w:tcPr>
          <w:p w14:paraId="3C5C459D" w14:textId="77777777" w:rsidR="008304A2" w:rsidRPr="00B335B5" w:rsidRDefault="008304A2">
            <w:pPr>
              <w:rPr>
                <w:sz w:val="18"/>
                <w:szCs w:val="18"/>
              </w:rPr>
            </w:pPr>
            <w:r w:rsidRPr="00B335B5">
              <w:rPr>
                <w:sz w:val="18"/>
                <w:szCs w:val="18"/>
              </w:rPr>
              <w:t>0.05</w:t>
            </w:r>
          </w:p>
        </w:tc>
        <w:tc>
          <w:tcPr>
            <w:tcW w:w="581" w:type="dxa"/>
          </w:tcPr>
          <w:p w14:paraId="3AE770AD" w14:textId="77777777" w:rsidR="008304A2" w:rsidRPr="00B335B5" w:rsidRDefault="008304A2">
            <w:pPr>
              <w:rPr>
                <w:sz w:val="18"/>
                <w:szCs w:val="18"/>
              </w:rPr>
            </w:pPr>
            <w:r w:rsidRPr="00B335B5">
              <w:rPr>
                <w:sz w:val="18"/>
                <w:szCs w:val="18"/>
              </w:rPr>
              <w:t>0.07</w:t>
            </w:r>
          </w:p>
        </w:tc>
        <w:tc>
          <w:tcPr>
            <w:tcW w:w="627" w:type="dxa"/>
          </w:tcPr>
          <w:p w14:paraId="5BDA721D" w14:textId="77777777" w:rsidR="008304A2" w:rsidRPr="00B335B5" w:rsidRDefault="008304A2">
            <w:pPr>
              <w:rPr>
                <w:sz w:val="18"/>
                <w:szCs w:val="18"/>
              </w:rPr>
            </w:pPr>
            <w:r w:rsidRPr="00B335B5">
              <w:rPr>
                <w:sz w:val="18"/>
                <w:szCs w:val="18"/>
              </w:rPr>
              <w:t>0.044</w:t>
            </w:r>
          </w:p>
        </w:tc>
        <w:tc>
          <w:tcPr>
            <w:tcW w:w="581" w:type="dxa"/>
          </w:tcPr>
          <w:p w14:paraId="6658B77F" w14:textId="77777777" w:rsidR="008304A2" w:rsidRPr="00B335B5" w:rsidRDefault="008304A2">
            <w:pPr>
              <w:rPr>
                <w:sz w:val="18"/>
                <w:szCs w:val="18"/>
              </w:rPr>
            </w:pPr>
            <w:r w:rsidRPr="00B335B5">
              <w:rPr>
                <w:sz w:val="18"/>
                <w:szCs w:val="18"/>
              </w:rPr>
              <w:t>0.01</w:t>
            </w:r>
          </w:p>
        </w:tc>
        <w:tc>
          <w:tcPr>
            <w:tcW w:w="581" w:type="dxa"/>
          </w:tcPr>
          <w:p w14:paraId="748471BA" w14:textId="77777777" w:rsidR="008304A2" w:rsidRPr="00B335B5" w:rsidRDefault="008304A2">
            <w:pPr>
              <w:rPr>
                <w:sz w:val="18"/>
                <w:szCs w:val="18"/>
              </w:rPr>
            </w:pPr>
            <w:r w:rsidRPr="00B335B5">
              <w:rPr>
                <w:sz w:val="18"/>
                <w:szCs w:val="18"/>
              </w:rPr>
              <w:t>0.01</w:t>
            </w:r>
          </w:p>
        </w:tc>
        <w:tc>
          <w:tcPr>
            <w:tcW w:w="581" w:type="dxa"/>
          </w:tcPr>
          <w:p w14:paraId="180BF0AC" w14:textId="77777777" w:rsidR="008304A2" w:rsidRPr="00B335B5" w:rsidRDefault="008304A2">
            <w:pPr>
              <w:rPr>
                <w:sz w:val="18"/>
                <w:szCs w:val="18"/>
              </w:rPr>
            </w:pPr>
            <w:r w:rsidRPr="00B335B5">
              <w:rPr>
                <w:sz w:val="18"/>
                <w:szCs w:val="18"/>
              </w:rPr>
              <w:t>0.00</w:t>
            </w:r>
          </w:p>
        </w:tc>
        <w:tc>
          <w:tcPr>
            <w:tcW w:w="629" w:type="dxa"/>
          </w:tcPr>
          <w:p w14:paraId="1D1CB2F4" w14:textId="77777777" w:rsidR="008304A2" w:rsidRPr="00B335B5" w:rsidRDefault="008304A2">
            <w:pPr>
              <w:rPr>
                <w:sz w:val="18"/>
                <w:szCs w:val="18"/>
              </w:rPr>
            </w:pPr>
            <w:r w:rsidRPr="00B335B5">
              <w:rPr>
                <w:sz w:val="18"/>
                <w:szCs w:val="18"/>
              </w:rPr>
              <w:t>0.09</w:t>
            </w:r>
          </w:p>
        </w:tc>
        <w:tc>
          <w:tcPr>
            <w:tcW w:w="629" w:type="dxa"/>
          </w:tcPr>
          <w:p w14:paraId="710A0484" w14:textId="77777777" w:rsidR="008304A2" w:rsidRPr="00B335B5" w:rsidRDefault="008304A2">
            <w:pPr>
              <w:rPr>
                <w:sz w:val="18"/>
                <w:szCs w:val="18"/>
              </w:rPr>
            </w:pPr>
            <w:r w:rsidRPr="00B335B5">
              <w:rPr>
                <w:sz w:val="18"/>
                <w:szCs w:val="18"/>
              </w:rPr>
              <w:t>0.15</w:t>
            </w:r>
          </w:p>
        </w:tc>
        <w:tc>
          <w:tcPr>
            <w:tcW w:w="629" w:type="dxa"/>
          </w:tcPr>
          <w:p w14:paraId="285C3FE7" w14:textId="77777777" w:rsidR="008304A2" w:rsidRPr="00B335B5" w:rsidRDefault="008304A2">
            <w:pPr>
              <w:rPr>
                <w:sz w:val="18"/>
                <w:szCs w:val="18"/>
              </w:rPr>
            </w:pPr>
            <w:r w:rsidRPr="00B335B5">
              <w:rPr>
                <w:sz w:val="18"/>
                <w:szCs w:val="18"/>
              </w:rPr>
              <w:t>0.048</w:t>
            </w:r>
          </w:p>
        </w:tc>
        <w:tc>
          <w:tcPr>
            <w:tcW w:w="629" w:type="dxa"/>
          </w:tcPr>
          <w:p w14:paraId="760C55CF" w14:textId="77777777" w:rsidR="008304A2" w:rsidRPr="00B335B5" w:rsidRDefault="008304A2">
            <w:pPr>
              <w:rPr>
                <w:sz w:val="18"/>
                <w:szCs w:val="18"/>
              </w:rPr>
            </w:pPr>
            <w:r w:rsidRPr="00B335B5">
              <w:rPr>
                <w:sz w:val="18"/>
                <w:szCs w:val="18"/>
              </w:rPr>
              <w:t>0.00</w:t>
            </w:r>
          </w:p>
        </w:tc>
        <w:tc>
          <w:tcPr>
            <w:tcW w:w="581" w:type="dxa"/>
          </w:tcPr>
          <w:p w14:paraId="5244DEAF" w14:textId="77777777" w:rsidR="008304A2" w:rsidRPr="00B335B5" w:rsidRDefault="008304A2">
            <w:pPr>
              <w:rPr>
                <w:sz w:val="18"/>
                <w:szCs w:val="18"/>
              </w:rPr>
            </w:pPr>
            <w:r w:rsidRPr="00B335B5">
              <w:rPr>
                <w:sz w:val="18"/>
                <w:szCs w:val="18"/>
              </w:rPr>
              <w:t>0.00</w:t>
            </w:r>
          </w:p>
        </w:tc>
        <w:tc>
          <w:tcPr>
            <w:tcW w:w="627" w:type="dxa"/>
          </w:tcPr>
          <w:p w14:paraId="371FBC69" w14:textId="77777777" w:rsidR="008304A2" w:rsidRPr="00B335B5" w:rsidRDefault="008304A2">
            <w:pPr>
              <w:rPr>
                <w:sz w:val="18"/>
                <w:szCs w:val="18"/>
              </w:rPr>
            </w:pPr>
            <w:r w:rsidRPr="00B335B5">
              <w:rPr>
                <w:sz w:val="18"/>
                <w:szCs w:val="18"/>
              </w:rPr>
              <w:t>0.00</w:t>
            </w:r>
          </w:p>
        </w:tc>
      </w:tr>
      <w:tr w:rsidR="008304A2" w14:paraId="715374B1" w14:textId="77777777" w:rsidTr="00080886">
        <w:tc>
          <w:tcPr>
            <w:tcW w:w="1429" w:type="dxa"/>
          </w:tcPr>
          <w:p w14:paraId="2CB6EEBA" w14:textId="77777777" w:rsidR="008304A2" w:rsidRPr="703AEB20" w:rsidRDefault="008304A2">
            <w:pPr>
              <w:jc w:val="left"/>
              <w:rPr>
                <w:lang w:val="en-US"/>
              </w:rPr>
            </w:pPr>
            <w:r w:rsidRPr="703AEB20">
              <w:rPr>
                <w:lang w:val="en-US"/>
              </w:rPr>
              <w:t>Miscellaneous</w:t>
            </w:r>
          </w:p>
        </w:tc>
        <w:tc>
          <w:tcPr>
            <w:tcW w:w="581" w:type="dxa"/>
          </w:tcPr>
          <w:p w14:paraId="00F132C9" w14:textId="77777777" w:rsidR="008304A2" w:rsidRPr="00B335B5" w:rsidRDefault="008304A2">
            <w:pPr>
              <w:rPr>
                <w:sz w:val="18"/>
                <w:szCs w:val="18"/>
              </w:rPr>
            </w:pPr>
            <w:r w:rsidRPr="00B335B5">
              <w:rPr>
                <w:sz w:val="18"/>
                <w:szCs w:val="18"/>
              </w:rPr>
              <w:t>0.19</w:t>
            </w:r>
          </w:p>
        </w:tc>
        <w:tc>
          <w:tcPr>
            <w:tcW w:w="581" w:type="dxa"/>
          </w:tcPr>
          <w:p w14:paraId="4035FAFF" w14:textId="77777777" w:rsidR="008304A2" w:rsidRPr="00B335B5" w:rsidRDefault="008304A2">
            <w:pPr>
              <w:rPr>
                <w:sz w:val="18"/>
                <w:szCs w:val="18"/>
              </w:rPr>
            </w:pPr>
            <w:r w:rsidRPr="00B335B5">
              <w:rPr>
                <w:sz w:val="18"/>
                <w:szCs w:val="18"/>
              </w:rPr>
              <w:t>0.20</w:t>
            </w:r>
          </w:p>
        </w:tc>
        <w:tc>
          <w:tcPr>
            <w:tcW w:w="627" w:type="dxa"/>
          </w:tcPr>
          <w:p w14:paraId="71EAE865" w14:textId="77777777" w:rsidR="008304A2" w:rsidRPr="00B335B5" w:rsidRDefault="008304A2">
            <w:pPr>
              <w:rPr>
                <w:sz w:val="18"/>
                <w:szCs w:val="18"/>
              </w:rPr>
            </w:pPr>
            <w:r w:rsidRPr="00B335B5">
              <w:rPr>
                <w:sz w:val="18"/>
                <w:szCs w:val="18"/>
              </w:rPr>
              <w:t>0.22</w:t>
            </w:r>
          </w:p>
        </w:tc>
        <w:tc>
          <w:tcPr>
            <w:tcW w:w="581" w:type="dxa"/>
          </w:tcPr>
          <w:p w14:paraId="5BE2553D" w14:textId="77777777" w:rsidR="008304A2" w:rsidRPr="00B335B5" w:rsidRDefault="008304A2">
            <w:pPr>
              <w:rPr>
                <w:sz w:val="18"/>
                <w:szCs w:val="18"/>
              </w:rPr>
            </w:pPr>
            <w:r w:rsidRPr="00B335B5">
              <w:rPr>
                <w:sz w:val="18"/>
                <w:szCs w:val="18"/>
              </w:rPr>
              <w:t>0.00</w:t>
            </w:r>
          </w:p>
        </w:tc>
        <w:tc>
          <w:tcPr>
            <w:tcW w:w="581" w:type="dxa"/>
          </w:tcPr>
          <w:p w14:paraId="14ECEA64" w14:textId="77777777" w:rsidR="008304A2" w:rsidRPr="00B335B5" w:rsidRDefault="008304A2">
            <w:pPr>
              <w:rPr>
                <w:sz w:val="18"/>
                <w:szCs w:val="18"/>
              </w:rPr>
            </w:pPr>
            <w:r w:rsidRPr="00B335B5">
              <w:rPr>
                <w:sz w:val="18"/>
                <w:szCs w:val="18"/>
              </w:rPr>
              <w:t>0.00</w:t>
            </w:r>
          </w:p>
        </w:tc>
        <w:tc>
          <w:tcPr>
            <w:tcW w:w="581" w:type="dxa"/>
          </w:tcPr>
          <w:p w14:paraId="5FE8C103" w14:textId="77777777" w:rsidR="008304A2" w:rsidRPr="00B335B5" w:rsidRDefault="008304A2">
            <w:pPr>
              <w:rPr>
                <w:sz w:val="18"/>
                <w:szCs w:val="18"/>
              </w:rPr>
            </w:pPr>
            <w:r w:rsidRPr="00B335B5">
              <w:rPr>
                <w:sz w:val="18"/>
                <w:szCs w:val="18"/>
              </w:rPr>
              <w:t>0.00</w:t>
            </w:r>
          </w:p>
        </w:tc>
        <w:tc>
          <w:tcPr>
            <w:tcW w:w="629" w:type="dxa"/>
          </w:tcPr>
          <w:p w14:paraId="7F418340" w14:textId="77777777" w:rsidR="008304A2" w:rsidRPr="00B335B5" w:rsidRDefault="008304A2">
            <w:pPr>
              <w:rPr>
                <w:sz w:val="18"/>
                <w:szCs w:val="18"/>
              </w:rPr>
            </w:pPr>
            <w:r w:rsidRPr="00B335B5">
              <w:rPr>
                <w:sz w:val="18"/>
                <w:szCs w:val="18"/>
              </w:rPr>
              <w:t>0.00</w:t>
            </w:r>
          </w:p>
        </w:tc>
        <w:tc>
          <w:tcPr>
            <w:tcW w:w="629" w:type="dxa"/>
          </w:tcPr>
          <w:p w14:paraId="0F55356D" w14:textId="77777777" w:rsidR="008304A2" w:rsidRPr="00B335B5" w:rsidRDefault="008304A2">
            <w:pPr>
              <w:rPr>
                <w:sz w:val="18"/>
                <w:szCs w:val="18"/>
              </w:rPr>
            </w:pPr>
            <w:r w:rsidRPr="00B335B5">
              <w:rPr>
                <w:sz w:val="18"/>
                <w:szCs w:val="18"/>
              </w:rPr>
              <w:t>0.00</w:t>
            </w:r>
          </w:p>
        </w:tc>
        <w:tc>
          <w:tcPr>
            <w:tcW w:w="629" w:type="dxa"/>
          </w:tcPr>
          <w:p w14:paraId="52EF3DC9" w14:textId="77777777" w:rsidR="008304A2" w:rsidRPr="00B335B5" w:rsidRDefault="008304A2">
            <w:pPr>
              <w:rPr>
                <w:sz w:val="18"/>
                <w:szCs w:val="18"/>
              </w:rPr>
            </w:pPr>
            <w:r w:rsidRPr="00B335B5">
              <w:rPr>
                <w:sz w:val="18"/>
                <w:szCs w:val="18"/>
              </w:rPr>
              <w:t>0.00</w:t>
            </w:r>
          </w:p>
        </w:tc>
        <w:tc>
          <w:tcPr>
            <w:tcW w:w="629" w:type="dxa"/>
          </w:tcPr>
          <w:p w14:paraId="3F2221C9" w14:textId="77777777" w:rsidR="008304A2" w:rsidRPr="00B335B5" w:rsidRDefault="008304A2">
            <w:pPr>
              <w:rPr>
                <w:sz w:val="18"/>
                <w:szCs w:val="18"/>
              </w:rPr>
            </w:pPr>
            <w:r w:rsidRPr="00B335B5">
              <w:rPr>
                <w:sz w:val="18"/>
                <w:szCs w:val="18"/>
              </w:rPr>
              <w:t>0.00</w:t>
            </w:r>
          </w:p>
        </w:tc>
        <w:tc>
          <w:tcPr>
            <w:tcW w:w="581" w:type="dxa"/>
          </w:tcPr>
          <w:p w14:paraId="1B76E6BA" w14:textId="77777777" w:rsidR="008304A2" w:rsidRPr="00B335B5" w:rsidRDefault="008304A2">
            <w:pPr>
              <w:rPr>
                <w:sz w:val="18"/>
                <w:szCs w:val="18"/>
              </w:rPr>
            </w:pPr>
            <w:r w:rsidRPr="00B335B5">
              <w:rPr>
                <w:sz w:val="18"/>
                <w:szCs w:val="18"/>
              </w:rPr>
              <w:t>0.00</w:t>
            </w:r>
          </w:p>
        </w:tc>
        <w:tc>
          <w:tcPr>
            <w:tcW w:w="627" w:type="dxa"/>
          </w:tcPr>
          <w:p w14:paraId="3B7E24B8" w14:textId="77777777" w:rsidR="008304A2" w:rsidRPr="00B335B5" w:rsidRDefault="008304A2">
            <w:pPr>
              <w:rPr>
                <w:sz w:val="18"/>
                <w:szCs w:val="18"/>
              </w:rPr>
            </w:pPr>
            <w:r w:rsidRPr="00B335B5">
              <w:rPr>
                <w:sz w:val="18"/>
                <w:szCs w:val="18"/>
              </w:rPr>
              <w:t>0.00</w:t>
            </w:r>
          </w:p>
        </w:tc>
      </w:tr>
      <w:tr w:rsidR="00080886" w14:paraId="3429976E" w14:textId="77777777" w:rsidTr="00080886">
        <w:tc>
          <w:tcPr>
            <w:tcW w:w="1429" w:type="dxa"/>
          </w:tcPr>
          <w:p w14:paraId="19D07464" w14:textId="77777777" w:rsidR="00080886" w:rsidRPr="703AEB20" w:rsidRDefault="00080886">
            <w:pPr>
              <w:jc w:val="left"/>
              <w:rPr>
                <w:lang w:val="en-US"/>
              </w:rPr>
            </w:pPr>
          </w:p>
        </w:tc>
        <w:tc>
          <w:tcPr>
            <w:tcW w:w="581" w:type="dxa"/>
          </w:tcPr>
          <w:p w14:paraId="6D0DE9E8" w14:textId="77777777" w:rsidR="00080886" w:rsidRPr="00B335B5" w:rsidRDefault="00080886">
            <w:pPr>
              <w:rPr>
                <w:sz w:val="18"/>
                <w:szCs w:val="18"/>
              </w:rPr>
            </w:pPr>
          </w:p>
        </w:tc>
        <w:tc>
          <w:tcPr>
            <w:tcW w:w="581" w:type="dxa"/>
          </w:tcPr>
          <w:p w14:paraId="49D3515B" w14:textId="77777777" w:rsidR="00080886" w:rsidRPr="00B335B5" w:rsidRDefault="00080886">
            <w:pPr>
              <w:rPr>
                <w:sz w:val="18"/>
                <w:szCs w:val="18"/>
              </w:rPr>
            </w:pPr>
          </w:p>
        </w:tc>
        <w:tc>
          <w:tcPr>
            <w:tcW w:w="627" w:type="dxa"/>
          </w:tcPr>
          <w:p w14:paraId="4AE4F570" w14:textId="77777777" w:rsidR="00080886" w:rsidRPr="00B335B5" w:rsidRDefault="00080886">
            <w:pPr>
              <w:rPr>
                <w:sz w:val="18"/>
                <w:szCs w:val="18"/>
              </w:rPr>
            </w:pPr>
          </w:p>
        </w:tc>
        <w:tc>
          <w:tcPr>
            <w:tcW w:w="581" w:type="dxa"/>
          </w:tcPr>
          <w:p w14:paraId="4CA89A4F" w14:textId="77777777" w:rsidR="00080886" w:rsidRPr="00B335B5" w:rsidRDefault="00080886">
            <w:pPr>
              <w:rPr>
                <w:sz w:val="18"/>
                <w:szCs w:val="18"/>
              </w:rPr>
            </w:pPr>
          </w:p>
        </w:tc>
        <w:tc>
          <w:tcPr>
            <w:tcW w:w="581" w:type="dxa"/>
          </w:tcPr>
          <w:p w14:paraId="7B34B39E" w14:textId="77777777" w:rsidR="00080886" w:rsidRPr="00B335B5" w:rsidRDefault="00080886">
            <w:pPr>
              <w:rPr>
                <w:sz w:val="18"/>
                <w:szCs w:val="18"/>
              </w:rPr>
            </w:pPr>
          </w:p>
        </w:tc>
        <w:tc>
          <w:tcPr>
            <w:tcW w:w="581" w:type="dxa"/>
          </w:tcPr>
          <w:p w14:paraId="2FDBBC52" w14:textId="77777777" w:rsidR="00080886" w:rsidRPr="00B335B5" w:rsidRDefault="00080886">
            <w:pPr>
              <w:rPr>
                <w:sz w:val="18"/>
                <w:szCs w:val="18"/>
              </w:rPr>
            </w:pPr>
          </w:p>
        </w:tc>
        <w:tc>
          <w:tcPr>
            <w:tcW w:w="629" w:type="dxa"/>
          </w:tcPr>
          <w:p w14:paraId="1BD45C73" w14:textId="77777777" w:rsidR="00080886" w:rsidRPr="00B335B5" w:rsidRDefault="00080886">
            <w:pPr>
              <w:rPr>
                <w:sz w:val="18"/>
                <w:szCs w:val="18"/>
              </w:rPr>
            </w:pPr>
          </w:p>
        </w:tc>
        <w:tc>
          <w:tcPr>
            <w:tcW w:w="629" w:type="dxa"/>
          </w:tcPr>
          <w:p w14:paraId="3CEB6645" w14:textId="77777777" w:rsidR="00080886" w:rsidRPr="00B335B5" w:rsidRDefault="00080886">
            <w:pPr>
              <w:rPr>
                <w:sz w:val="18"/>
                <w:szCs w:val="18"/>
              </w:rPr>
            </w:pPr>
          </w:p>
        </w:tc>
        <w:tc>
          <w:tcPr>
            <w:tcW w:w="629" w:type="dxa"/>
          </w:tcPr>
          <w:p w14:paraId="2DBF2B47" w14:textId="77777777" w:rsidR="00080886" w:rsidRPr="00B335B5" w:rsidRDefault="00080886">
            <w:pPr>
              <w:rPr>
                <w:sz w:val="18"/>
                <w:szCs w:val="18"/>
              </w:rPr>
            </w:pPr>
          </w:p>
        </w:tc>
        <w:tc>
          <w:tcPr>
            <w:tcW w:w="629" w:type="dxa"/>
          </w:tcPr>
          <w:p w14:paraId="19EBFDD7" w14:textId="77777777" w:rsidR="00080886" w:rsidRPr="00B335B5" w:rsidRDefault="00080886">
            <w:pPr>
              <w:rPr>
                <w:sz w:val="18"/>
                <w:szCs w:val="18"/>
              </w:rPr>
            </w:pPr>
          </w:p>
        </w:tc>
        <w:tc>
          <w:tcPr>
            <w:tcW w:w="581" w:type="dxa"/>
          </w:tcPr>
          <w:p w14:paraId="0D75D9AE" w14:textId="77777777" w:rsidR="00080886" w:rsidRPr="00B335B5" w:rsidRDefault="00080886">
            <w:pPr>
              <w:rPr>
                <w:sz w:val="18"/>
                <w:szCs w:val="18"/>
              </w:rPr>
            </w:pPr>
          </w:p>
        </w:tc>
        <w:tc>
          <w:tcPr>
            <w:tcW w:w="627" w:type="dxa"/>
          </w:tcPr>
          <w:p w14:paraId="7D2CA101" w14:textId="77777777" w:rsidR="00080886" w:rsidRPr="00B335B5" w:rsidRDefault="00080886">
            <w:pPr>
              <w:rPr>
                <w:sz w:val="18"/>
                <w:szCs w:val="18"/>
              </w:rPr>
            </w:pPr>
          </w:p>
        </w:tc>
      </w:tr>
      <w:tr w:rsidR="00080886" w14:paraId="6019ED0C" w14:textId="77777777" w:rsidTr="00080886">
        <w:tc>
          <w:tcPr>
            <w:tcW w:w="1429" w:type="dxa"/>
            <w:vMerge w:val="restart"/>
            <w:shd w:val="pct5" w:color="auto" w:fill="auto"/>
          </w:tcPr>
          <w:p w14:paraId="0CF75346" w14:textId="77777777" w:rsidR="00080886" w:rsidRDefault="00080886" w:rsidP="0030582E">
            <w:pPr>
              <w:jc w:val="left"/>
            </w:pPr>
            <w:r w:rsidRPr="703AEB20">
              <w:rPr>
                <w:lang w:val="en-US"/>
              </w:rPr>
              <w:lastRenderedPageBreak/>
              <w:t xml:space="preserve">Major </w:t>
            </w:r>
            <w:r>
              <w:rPr>
                <w:lang w:val="en-US"/>
              </w:rPr>
              <w:t>s</w:t>
            </w:r>
            <w:r w:rsidRPr="703AEB20">
              <w:rPr>
                <w:lang w:val="en-US"/>
              </w:rPr>
              <w:t xml:space="preserve">ource </w:t>
            </w:r>
            <w:r>
              <w:rPr>
                <w:lang w:val="en-US"/>
              </w:rPr>
              <w:t>c</w:t>
            </w:r>
            <w:r w:rsidRPr="703AEB20">
              <w:rPr>
                <w:lang w:val="en-US"/>
              </w:rPr>
              <w:t>ategories</w:t>
            </w:r>
          </w:p>
        </w:tc>
        <w:tc>
          <w:tcPr>
            <w:tcW w:w="1789" w:type="dxa"/>
            <w:gridSpan w:val="3"/>
            <w:shd w:val="pct5" w:color="auto" w:fill="auto"/>
          </w:tcPr>
          <w:p w14:paraId="074254D6" w14:textId="77777777" w:rsidR="00080886" w:rsidRDefault="00080886" w:rsidP="0030582E">
            <w:pPr>
              <w:jc w:val="center"/>
            </w:pPr>
            <w:r>
              <w:rPr>
                <w:lang w:val="en-US"/>
              </w:rPr>
              <w:t>Air</w:t>
            </w:r>
          </w:p>
        </w:tc>
        <w:tc>
          <w:tcPr>
            <w:tcW w:w="1743" w:type="dxa"/>
            <w:gridSpan w:val="3"/>
            <w:shd w:val="pct5" w:color="auto" w:fill="auto"/>
          </w:tcPr>
          <w:p w14:paraId="16BD5642" w14:textId="77777777" w:rsidR="00080886" w:rsidRDefault="00080886" w:rsidP="0030582E">
            <w:pPr>
              <w:jc w:val="center"/>
            </w:pPr>
            <w:r>
              <w:t>Water</w:t>
            </w:r>
          </w:p>
        </w:tc>
        <w:tc>
          <w:tcPr>
            <w:tcW w:w="1887" w:type="dxa"/>
            <w:gridSpan w:val="3"/>
            <w:shd w:val="pct5" w:color="auto" w:fill="auto"/>
          </w:tcPr>
          <w:p w14:paraId="78A2E482" w14:textId="77777777" w:rsidR="00080886" w:rsidRDefault="00080886" w:rsidP="0030582E">
            <w:pPr>
              <w:jc w:val="center"/>
            </w:pPr>
            <w:r>
              <w:t>Land</w:t>
            </w:r>
          </w:p>
        </w:tc>
        <w:tc>
          <w:tcPr>
            <w:tcW w:w="1837" w:type="dxa"/>
            <w:gridSpan w:val="3"/>
            <w:shd w:val="pct5" w:color="auto" w:fill="auto"/>
          </w:tcPr>
          <w:p w14:paraId="1C255AD2" w14:textId="77777777" w:rsidR="00080886" w:rsidRDefault="00080886" w:rsidP="0030582E">
            <w:pPr>
              <w:jc w:val="center"/>
            </w:pPr>
            <w:r>
              <w:t>Residue</w:t>
            </w:r>
          </w:p>
        </w:tc>
      </w:tr>
      <w:tr w:rsidR="00080886" w14:paraId="5BDC32BF" w14:textId="77777777" w:rsidTr="00080886">
        <w:tc>
          <w:tcPr>
            <w:tcW w:w="1429" w:type="dxa"/>
            <w:vMerge/>
            <w:shd w:val="pct5" w:color="auto" w:fill="auto"/>
          </w:tcPr>
          <w:p w14:paraId="5DA7DF7E" w14:textId="77777777" w:rsidR="00080886" w:rsidRDefault="00080886" w:rsidP="0030582E">
            <w:pPr>
              <w:jc w:val="left"/>
            </w:pPr>
          </w:p>
        </w:tc>
        <w:tc>
          <w:tcPr>
            <w:tcW w:w="581" w:type="dxa"/>
            <w:shd w:val="pct5" w:color="auto" w:fill="auto"/>
          </w:tcPr>
          <w:p w14:paraId="0C35C177" w14:textId="77777777" w:rsidR="00080886" w:rsidRPr="00B335B5" w:rsidRDefault="00080886" w:rsidP="0030582E">
            <w:pPr>
              <w:rPr>
                <w:sz w:val="18"/>
                <w:szCs w:val="18"/>
              </w:rPr>
            </w:pPr>
            <w:r w:rsidRPr="00B335B5">
              <w:rPr>
                <w:sz w:val="18"/>
                <w:szCs w:val="18"/>
              </w:rPr>
              <w:t>2012</w:t>
            </w:r>
          </w:p>
        </w:tc>
        <w:tc>
          <w:tcPr>
            <w:tcW w:w="581" w:type="dxa"/>
            <w:shd w:val="pct5" w:color="auto" w:fill="auto"/>
          </w:tcPr>
          <w:p w14:paraId="054B99CC" w14:textId="77777777" w:rsidR="00080886" w:rsidRPr="00B335B5" w:rsidRDefault="00080886" w:rsidP="0030582E">
            <w:pPr>
              <w:rPr>
                <w:sz w:val="18"/>
                <w:szCs w:val="18"/>
              </w:rPr>
            </w:pPr>
            <w:r w:rsidRPr="00B335B5">
              <w:rPr>
                <w:sz w:val="18"/>
                <w:szCs w:val="18"/>
              </w:rPr>
              <w:t>2016</w:t>
            </w:r>
          </w:p>
        </w:tc>
        <w:tc>
          <w:tcPr>
            <w:tcW w:w="627" w:type="dxa"/>
            <w:shd w:val="pct5" w:color="auto" w:fill="auto"/>
          </w:tcPr>
          <w:p w14:paraId="4057D6FD" w14:textId="77777777" w:rsidR="00080886" w:rsidRPr="00B335B5" w:rsidRDefault="00080886" w:rsidP="0030582E">
            <w:pPr>
              <w:rPr>
                <w:sz w:val="18"/>
                <w:szCs w:val="18"/>
              </w:rPr>
            </w:pPr>
            <w:r w:rsidRPr="00B335B5">
              <w:rPr>
                <w:sz w:val="18"/>
                <w:szCs w:val="18"/>
              </w:rPr>
              <w:t>2020</w:t>
            </w:r>
          </w:p>
        </w:tc>
        <w:tc>
          <w:tcPr>
            <w:tcW w:w="581" w:type="dxa"/>
            <w:shd w:val="pct5" w:color="auto" w:fill="auto"/>
          </w:tcPr>
          <w:p w14:paraId="04DF8460" w14:textId="77777777" w:rsidR="00080886" w:rsidRPr="00B335B5" w:rsidRDefault="00080886" w:rsidP="0030582E">
            <w:pPr>
              <w:rPr>
                <w:sz w:val="18"/>
                <w:szCs w:val="18"/>
              </w:rPr>
            </w:pPr>
            <w:r w:rsidRPr="00B335B5">
              <w:rPr>
                <w:sz w:val="18"/>
                <w:szCs w:val="18"/>
              </w:rPr>
              <w:t>2012</w:t>
            </w:r>
          </w:p>
        </w:tc>
        <w:tc>
          <w:tcPr>
            <w:tcW w:w="581" w:type="dxa"/>
            <w:shd w:val="pct5" w:color="auto" w:fill="auto"/>
          </w:tcPr>
          <w:p w14:paraId="0DE60FE6" w14:textId="77777777" w:rsidR="00080886" w:rsidRPr="00B335B5" w:rsidRDefault="00080886" w:rsidP="0030582E">
            <w:pPr>
              <w:rPr>
                <w:sz w:val="18"/>
                <w:szCs w:val="18"/>
              </w:rPr>
            </w:pPr>
            <w:r w:rsidRPr="00B335B5">
              <w:rPr>
                <w:sz w:val="18"/>
                <w:szCs w:val="18"/>
              </w:rPr>
              <w:t>2016</w:t>
            </w:r>
          </w:p>
        </w:tc>
        <w:tc>
          <w:tcPr>
            <w:tcW w:w="581" w:type="dxa"/>
            <w:shd w:val="pct5" w:color="auto" w:fill="auto"/>
          </w:tcPr>
          <w:p w14:paraId="4DFCA6CC" w14:textId="77777777" w:rsidR="00080886" w:rsidRPr="00B335B5" w:rsidRDefault="00080886" w:rsidP="0030582E">
            <w:pPr>
              <w:rPr>
                <w:sz w:val="18"/>
                <w:szCs w:val="18"/>
              </w:rPr>
            </w:pPr>
            <w:r w:rsidRPr="00B335B5">
              <w:rPr>
                <w:sz w:val="18"/>
                <w:szCs w:val="18"/>
              </w:rPr>
              <w:t>2020</w:t>
            </w:r>
          </w:p>
        </w:tc>
        <w:tc>
          <w:tcPr>
            <w:tcW w:w="629" w:type="dxa"/>
            <w:shd w:val="pct5" w:color="auto" w:fill="auto"/>
          </w:tcPr>
          <w:p w14:paraId="7097BB72" w14:textId="77777777" w:rsidR="00080886" w:rsidRPr="00B335B5" w:rsidRDefault="00080886" w:rsidP="0030582E">
            <w:pPr>
              <w:rPr>
                <w:sz w:val="18"/>
                <w:szCs w:val="18"/>
              </w:rPr>
            </w:pPr>
            <w:r w:rsidRPr="00B335B5">
              <w:rPr>
                <w:sz w:val="18"/>
                <w:szCs w:val="18"/>
              </w:rPr>
              <w:t>2012</w:t>
            </w:r>
          </w:p>
        </w:tc>
        <w:tc>
          <w:tcPr>
            <w:tcW w:w="629" w:type="dxa"/>
            <w:shd w:val="pct5" w:color="auto" w:fill="auto"/>
          </w:tcPr>
          <w:p w14:paraId="07FEEE5E" w14:textId="77777777" w:rsidR="00080886" w:rsidRPr="00B335B5" w:rsidRDefault="00080886" w:rsidP="0030582E">
            <w:pPr>
              <w:rPr>
                <w:sz w:val="18"/>
                <w:szCs w:val="18"/>
              </w:rPr>
            </w:pPr>
            <w:r w:rsidRPr="00B335B5">
              <w:rPr>
                <w:sz w:val="18"/>
                <w:szCs w:val="18"/>
              </w:rPr>
              <w:t>2016</w:t>
            </w:r>
          </w:p>
        </w:tc>
        <w:tc>
          <w:tcPr>
            <w:tcW w:w="629" w:type="dxa"/>
            <w:shd w:val="pct5" w:color="auto" w:fill="auto"/>
          </w:tcPr>
          <w:p w14:paraId="5A0B39A1" w14:textId="77777777" w:rsidR="00080886" w:rsidRPr="00B335B5" w:rsidRDefault="00080886" w:rsidP="0030582E">
            <w:pPr>
              <w:rPr>
                <w:sz w:val="18"/>
                <w:szCs w:val="18"/>
              </w:rPr>
            </w:pPr>
            <w:r w:rsidRPr="00B335B5">
              <w:rPr>
                <w:sz w:val="18"/>
                <w:szCs w:val="18"/>
              </w:rPr>
              <w:t>2020</w:t>
            </w:r>
          </w:p>
        </w:tc>
        <w:tc>
          <w:tcPr>
            <w:tcW w:w="629" w:type="dxa"/>
            <w:shd w:val="pct5" w:color="auto" w:fill="auto"/>
          </w:tcPr>
          <w:p w14:paraId="7BAEB924" w14:textId="77777777" w:rsidR="00080886" w:rsidRPr="00B335B5" w:rsidRDefault="00080886" w:rsidP="0030582E">
            <w:pPr>
              <w:rPr>
                <w:sz w:val="18"/>
                <w:szCs w:val="18"/>
              </w:rPr>
            </w:pPr>
            <w:r w:rsidRPr="00B335B5">
              <w:rPr>
                <w:sz w:val="18"/>
                <w:szCs w:val="18"/>
              </w:rPr>
              <w:t>2012</w:t>
            </w:r>
          </w:p>
        </w:tc>
        <w:tc>
          <w:tcPr>
            <w:tcW w:w="581" w:type="dxa"/>
            <w:shd w:val="pct5" w:color="auto" w:fill="auto"/>
          </w:tcPr>
          <w:p w14:paraId="79018A3E" w14:textId="77777777" w:rsidR="00080886" w:rsidRPr="00B335B5" w:rsidRDefault="00080886" w:rsidP="0030582E">
            <w:pPr>
              <w:rPr>
                <w:sz w:val="18"/>
                <w:szCs w:val="18"/>
              </w:rPr>
            </w:pPr>
            <w:r w:rsidRPr="00B335B5">
              <w:rPr>
                <w:sz w:val="18"/>
                <w:szCs w:val="18"/>
              </w:rPr>
              <w:t>2016</w:t>
            </w:r>
          </w:p>
        </w:tc>
        <w:tc>
          <w:tcPr>
            <w:tcW w:w="627" w:type="dxa"/>
            <w:shd w:val="pct5" w:color="auto" w:fill="auto"/>
          </w:tcPr>
          <w:p w14:paraId="4B216994" w14:textId="77777777" w:rsidR="00080886" w:rsidRPr="00B335B5" w:rsidRDefault="00080886" w:rsidP="0030582E">
            <w:pPr>
              <w:rPr>
                <w:sz w:val="18"/>
                <w:szCs w:val="18"/>
              </w:rPr>
            </w:pPr>
            <w:r w:rsidRPr="00B335B5">
              <w:rPr>
                <w:sz w:val="18"/>
                <w:szCs w:val="18"/>
              </w:rPr>
              <w:t>2020</w:t>
            </w:r>
          </w:p>
        </w:tc>
      </w:tr>
      <w:tr w:rsidR="008304A2" w14:paraId="1C8F2A8D" w14:textId="77777777" w:rsidTr="00080886">
        <w:tc>
          <w:tcPr>
            <w:tcW w:w="1429" w:type="dxa"/>
          </w:tcPr>
          <w:p w14:paraId="29B09FF1" w14:textId="77777777" w:rsidR="008304A2" w:rsidRPr="703AEB20" w:rsidRDefault="008304A2">
            <w:pPr>
              <w:jc w:val="left"/>
              <w:rPr>
                <w:lang w:val="en-US"/>
              </w:rPr>
            </w:pPr>
            <w:r w:rsidRPr="703AEB20">
              <w:rPr>
                <w:lang w:val="en-US"/>
              </w:rPr>
              <w:t>Waste Treatment</w:t>
            </w:r>
          </w:p>
        </w:tc>
        <w:tc>
          <w:tcPr>
            <w:tcW w:w="581" w:type="dxa"/>
          </w:tcPr>
          <w:p w14:paraId="77F49AEB" w14:textId="77777777" w:rsidR="008304A2" w:rsidRPr="00B335B5" w:rsidRDefault="008304A2">
            <w:pPr>
              <w:rPr>
                <w:sz w:val="18"/>
                <w:szCs w:val="18"/>
              </w:rPr>
            </w:pPr>
            <w:r w:rsidRPr="00B335B5">
              <w:rPr>
                <w:sz w:val="18"/>
                <w:szCs w:val="18"/>
              </w:rPr>
              <w:t>0.00</w:t>
            </w:r>
          </w:p>
        </w:tc>
        <w:tc>
          <w:tcPr>
            <w:tcW w:w="581" w:type="dxa"/>
          </w:tcPr>
          <w:p w14:paraId="7DE81650" w14:textId="77777777" w:rsidR="008304A2" w:rsidRPr="00B335B5" w:rsidRDefault="008304A2">
            <w:pPr>
              <w:rPr>
                <w:sz w:val="18"/>
                <w:szCs w:val="18"/>
              </w:rPr>
            </w:pPr>
            <w:r w:rsidRPr="00B335B5">
              <w:rPr>
                <w:sz w:val="18"/>
                <w:szCs w:val="18"/>
              </w:rPr>
              <w:t>0.00</w:t>
            </w:r>
          </w:p>
        </w:tc>
        <w:tc>
          <w:tcPr>
            <w:tcW w:w="627" w:type="dxa"/>
          </w:tcPr>
          <w:p w14:paraId="4BACFF76" w14:textId="77777777" w:rsidR="008304A2" w:rsidRPr="00B335B5" w:rsidRDefault="008304A2">
            <w:pPr>
              <w:rPr>
                <w:sz w:val="18"/>
                <w:szCs w:val="18"/>
              </w:rPr>
            </w:pPr>
            <w:r w:rsidRPr="00B335B5">
              <w:rPr>
                <w:sz w:val="18"/>
                <w:szCs w:val="18"/>
              </w:rPr>
              <w:t>0.00</w:t>
            </w:r>
          </w:p>
        </w:tc>
        <w:tc>
          <w:tcPr>
            <w:tcW w:w="581" w:type="dxa"/>
          </w:tcPr>
          <w:p w14:paraId="46D12A35" w14:textId="77777777" w:rsidR="008304A2" w:rsidRPr="00B335B5" w:rsidRDefault="008304A2">
            <w:pPr>
              <w:rPr>
                <w:sz w:val="18"/>
                <w:szCs w:val="18"/>
              </w:rPr>
            </w:pPr>
            <w:r w:rsidRPr="00B335B5">
              <w:rPr>
                <w:sz w:val="18"/>
                <w:szCs w:val="18"/>
              </w:rPr>
              <w:t>1.39</w:t>
            </w:r>
          </w:p>
        </w:tc>
        <w:tc>
          <w:tcPr>
            <w:tcW w:w="581" w:type="dxa"/>
          </w:tcPr>
          <w:p w14:paraId="614D1303" w14:textId="77777777" w:rsidR="008304A2" w:rsidRPr="00B335B5" w:rsidRDefault="008304A2">
            <w:pPr>
              <w:rPr>
                <w:sz w:val="18"/>
                <w:szCs w:val="18"/>
              </w:rPr>
            </w:pPr>
            <w:r w:rsidRPr="00B335B5">
              <w:rPr>
                <w:sz w:val="18"/>
                <w:szCs w:val="18"/>
              </w:rPr>
              <w:t>1.80</w:t>
            </w:r>
          </w:p>
        </w:tc>
        <w:tc>
          <w:tcPr>
            <w:tcW w:w="581" w:type="dxa"/>
          </w:tcPr>
          <w:p w14:paraId="64DF392C" w14:textId="77777777" w:rsidR="008304A2" w:rsidRPr="00B335B5" w:rsidRDefault="008304A2">
            <w:pPr>
              <w:rPr>
                <w:sz w:val="18"/>
                <w:szCs w:val="18"/>
              </w:rPr>
            </w:pPr>
            <w:r w:rsidRPr="00B335B5">
              <w:rPr>
                <w:sz w:val="18"/>
                <w:szCs w:val="18"/>
              </w:rPr>
              <w:t>1.83</w:t>
            </w:r>
          </w:p>
        </w:tc>
        <w:tc>
          <w:tcPr>
            <w:tcW w:w="629" w:type="dxa"/>
          </w:tcPr>
          <w:p w14:paraId="62A13A14" w14:textId="77777777" w:rsidR="008304A2" w:rsidRPr="00B335B5" w:rsidRDefault="008304A2">
            <w:pPr>
              <w:rPr>
                <w:sz w:val="18"/>
                <w:szCs w:val="18"/>
              </w:rPr>
            </w:pPr>
            <w:r w:rsidRPr="00B335B5">
              <w:rPr>
                <w:sz w:val="18"/>
                <w:szCs w:val="18"/>
              </w:rPr>
              <w:t>12.57</w:t>
            </w:r>
          </w:p>
        </w:tc>
        <w:tc>
          <w:tcPr>
            <w:tcW w:w="629" w:type="dxa"/>
          </w:tcPr>
          <w:p w14:paraId="5E3DFD16" w14:textId="77777777" w:rsidR="008304A2" w:rsidRPr="00B335B5" w:rsidRDefault="008304A2">
            <w:pPr>
              <w:rPr>
                <w:sz w:val="18"/>
                <w:szCs w:val="18"/>
              </w:rPr>
            </w:pPr>
            <w:r w:rsidRPr="00B335B5">
              <w:rPr>
                <w:sz w:val="18"/>
                <w:szCs w:val="18"/>
              </w:rPr>
              <w:t>17.03</w:t>
            </w:r>
          </w:p>
        </w:tc>
        <w:tc>
          <w:tcPr>
            <w:tcW w:w="629" w:type="dxa"/>
          </w:tcPr>
          <w:p w14:paraId="0B231D72" w14:textId="77777777" w:rsidR="008304A2" w:rsidRPr="00B335B5" w:rsidRDefault="008304A2">
            <w:pPr>
              <w:rPr>
                <w:sz w:val="18"/>
                <w:szCs w:val="18"/>
              </w:rPr>
            </w:pPr>
            <w:r w:rsidRPr="00B335B5">
              <w:rPr>
                <w:sz w:val="18"/>
                <w:szCs w:val="18"/>
              </w:rPr>
              <w:t>17.25</w:t>
            </w:r>
          </w:p>
        </w:tc>
        <w:tc>
          <w:tcPr>
            <w:tcW w:w="629" w:type="dxa"/>
          </w:tcPr>
          <w:p w14:paraId="5D2D59D5" w14:textId="77777777" w:rsidR="008304A2" w:rsidRPr="00B335B5" w:rsidRDefault="008304A2">
            <w:pPr>
              <w:rPr>
                <w:sz w:val="18"/>
                <w:szCs w:val="18"/>
              </w:rPr>
            </w:pPr>
            <w:r w:rsidRPr="00B335B5">
              <w:rPr>
                <w:sz w:val="18"/>
                <w:szCs w:val="18"/>
              </w:rPr>
              <w:t>2.43</w:t>
            </w:r>
          </w:p>
        </w:tc>
        <w:tc>
          <w:tcPr>
            <w:tcW w:w="581" w:type="dxa"/>
          </w:tcPr>
          <w:p w14:paraId="2FDC1BCB" w14:textId="77777777" w:rsidR="008304A2" w:rsidRPr="00B335B5" w:rsidRDefault="008304A2">
            <w:pPr>
              <w:rPr>
                <w:sz w:val="18"/>
                <w:szCs w:val="18"/>
              </w:rPr>
            </w:pPr>
            <w:r w:rsidRPr="00B335B5">
              <w:rPr>
                <w:sz w:val="18"/>
                <w:szCs w:val="18"/>
              </w:rPr>
              <w:t>2.60</w:t>
            </w:r>
          </w:p>
        </w:tc>
        <w:tc>
          <w:tcPr>
            <w:tcW w:w="627" w:type="dxa"/>
          </w:tcPr>
          <w:p w14:paraId="2A23054D" w14:textId="77777777" w:rsidR="008304A2" w:rsidRPr="00B335B5" w:rsidRDefault="008304A2">
            <w:pPr>
              <w:rPr>
                <w:sz w:val="18"/>
                <w:szCs w:val="18"/>
              </w:rPr>
            </w:pPr>
            <w:r w:rsidRPr="00B335B5">
              <w:rPr>
                <w:sz w:val="18"/>
                <w:szCs w:val="18"/>
              </w:rPr>
              <w:t>2.81</w:t>
            </w:r>
          </w:p>
        </w:tc>
      </w:tr>
      <w:tr w:rsidR="008304A2" w:rsidRPr="00A20D09" w14:paraId="567FCC45" w14:textId="77777777" w:rsidTr="00080886">
        <w:tc>
          <w:tcPr>
            <w:tcW w:w="1429" w:type="dxa"/>
          </w:tcPr>
          <w:p w14:paraId="3B6012F4" w14:textId="77777777" w:rsidR="008304A2" w:rsidRPr="00A20D09" w:rsidRDefault="008304A2">
            <w:pPr>
              <w:jc w:val="left"/>
              <w:rPr>
                <w:b/>
                <w:bCs/>
                <w:lang w:val="en-US"/>
              </w:rPr>
            </w:pPr>
            <w:r w:rsidRPr="00A20D09">
              <w:rPr>
                <w:b/>
                <w:bCs/>
                <w:lang w:val="en-US"/>
              </w:rPr>
              <w:t>Totals</w:t>
            </w:r>
          </w:p>
        </w:tc>
        <w:tc>
          <w:tcPr>
            <w:tcW w:w="581" w:type="dxa"/>
          </w:tcPr>
          <w:p w14:paraId="6FC3E92A" w14:textId="77777777" w:rsidR="008304A2" w:rsidRPr="00B335B5" w:rsidRDefault="008304A2">
            <w:pPr>
              <w:rPr>
                <w:b/>
                <w:bCs/>
                <w:sz w:val="18"/>
                <w:szCs w:val="18"/>
              </w:rPr>
            </w:pPr>
            <w:r w:rsidRPr="00B335B5">
              <w:rPr>
                <w:b/>
                <w:bCs/>
                <w:sz w:val="18"/>
                <w:szCs w:val="18"/>
              </w:rPr>
              <w:t>7.94</w:t>
            </w:r>
          </w:p>
        </w:tc>
        <w:tc>
          <w:tcPr>
            <w:tcW w:w="581" w:type="dxa"/>
          </w:tcPr>
          <w:p w14:paraId="49D4D7E2" w14:textId="77777777" w:rsidR="008304A2" w:rsidRPr="00B335B5" w:rsidRDefault="008304A2">
            <w:pPr>
              <w:rPr>
                <w:b/>
                <w:bCs/>
                <w:sz w:val="18"/>
                <w:szCs w:val="18"/>
              </w:rPr>
            </w:pPr>
            <w:r w:rsidRPr="00B335B5">
              <w:rPr>
                <w:b/>
                <w:bCs/>
                <w:sz w:val="18"/>
                <w:szCs w:val="18"/>
              </w:rPr>
              <w:t>7.47</w:t>
            </w:r>
          </w:p>
        </w:tc>
        <w:tc>
          <w:tcPr>
            <w:tcW w:w="627" w:type="dxa"/>
          </w:tcPr>
          <w:p w14:paraId="056ADB09" w14:textId="77777777" w:rsidR="008304A2" w:rsidRPr="00B335B5" w:rsidRDefault="008304A2">
            <w:pPr>
              <w:rPr>
                <w:b/>
                <w:bCs/>
                <w:sz w:val="18"/>
                <w:szCs w:val="18"/>
              </w:rPr>
            </w:pPr>
            <w:r w:rsidRPr="00B335B5">
              <w:rPr>
                <w:b/>
                <w:bCs/>
                <w:sz w:val="18"/>
                <w:szCs w:val="18"/>
              </w:rPr>
              <w:t>8.32</w:t>
            </w:r>
          </w:p>
        </w:tc>
        <w:tc>
          <w:tcPr>
            <w:tcW w:w="581" w:type="dxa"/>
          </w:tcPr>
          <w:p w14:paraId="6F61AB41" w14:textId="77777777" w:rsidR="008304A2" w:rsidRPr="00B335B5" w:rsidRDefault="008304A2">
            <w:pPr>
              <w:rPr>
                <w:b/>
                <w:bCs/>
                <w:sz w:val="18"/>
                <w:szCs w:val="18"/>
              </w:rPr>
            </w:pPr>
            <w:r w:rsidRPr="00B335B5">
              <w:rPr>
                <w:b/>
                <w:bCs/>
                <w:sz w:val="18"/>
                <w:szCs w:val="18"/>
              </w:rPr>
              <w:t>1.41</w:t>
            </w:r>
          </w:p>
        </w:tc>
        <w:tc>
          <w:tcPr>
            <w:tcW w:w="581" w:type="dxa"/>
          </w:tcPr>
          <w:p w14:paraId="10F3C54B" w14:textId="77777777" w:rsidR="008304A2" w:rsidRPr="00B335B5" w:rsidRDefault="008304A2">
            <w:pPr>
              <w:rPr>
                <w:b/>
                <w:bCs/>
                <w:sz w:val="18"/>
                <w:szCs w:val="18"/>
              </w:rPr>
            </w:pPr>
            <w:r w:rsidRPr="00B335B5">
              <w:rPr>
                <w:b/>
                <w:bCs/>
                <w:sz w:val="18"/>
                <w:szCs w:val="18"/>
              </w:rPr>
              <w:t>1.82</w:t>
            </w:r>
          </w:p>
        </w:tc>
        <w:tc>
          <w:tcPr>
            <w:tcW w:w="581" w:type="dxa"/>
          </w:tcPr>
          <w:p w14:paraId="72E47847" w14:textId="77777777" w:rsidR="008304A2" w:rsidRPr="00B335B5" w:rsidRDefault="008304A2">
            <w:pPr>
              <w:rPr>
                <w:b/>
                <w:bCs/>
                <w:sz w:val="18"/>
                <w:szCs w:val="18"/>
              </w:rPr>
            </w:pPr>
            <w:r w:rsidRPr="00B335B5">
              <w:rPr>
                <w:b/>
                <w:bCs/>
                <w:sz w:val="18"/>
                <w:szCs w:val="18"/>
              </w:rPr>
              <w:t>1.85</w:t>
            </w:r>
          </w:p>
        </w:tc>
        <w:tc>
          <w:tcPr>
            <w:tcW w:w="629" w:type="dxa"/>
          </w:tcPr>
          <w:p w14:paraId="41E7382D" w14:textId="77777777" w:rsidR="008304A2" w:rsidRPr="00B335B5" w:rsidRDefault="008304A2">
            <w:pPr>
              <w:rPr>
                <w:b/>
                <w:bCs/>
                <w:sz w:val="18"/>
                <w:szCs w:val="18"/>
              </w:rPr>
            </w:pPr>
            <w:r w:rsidRPr="00B335B5">
              <w:rPr>
                <w:b/>
                <w:bCs/>
                <w:sz w:val="18"/>
                <w:szCs w:val="18"/>
              </w:rPr>
              <w:t>14.24</w:t>
            </w:r>
          </w:p>
        </w:tc>
        <w:tc>
          <w:tcPr>
            <w:tcW w:w="629" w:type="dxa"/>
          </w:tcPr>
          <w:p w14:paraId="5E62DDE7" w14:textId="77777777" w:rsidR="008304A2" w:rsidRPr="00B335B5" w:rsidRDefault="008304A2">
            <w:pPr>
              <w:rPr>
                <w:b/>
                <w:bCs/>
                <w:sz w:val="18"/>
                <w:szCs w:val="18"/>
              </w:rPr>
            </w:pPr>
            <w:r w:rsidRPr="00B335B5">
              <w:rPr>
                <w:b/>
                <w:bCs/>
                <w:sz w:val="18"/>
                <w:szCs w:val="18"/>
              </w:rPr>
              <w:t>18.44</w:t>
            </w:r>
          </w:p>
        </w:tc>
        <w:tc>
          <w:tcPr>
            <w:tcW w:w="629" w:type="dxa"/>
          </w:tcPr>
          <w:p w14:paraId="11E7D2AB" w14:textId="77777777" w:rsidR="008304A2" w:rsidRPr="00B335B5" w:rsidRDefault="008304A2">
            <w:pPr>
              <w:rPr>
                <w:b/>
                <w:bCs/>
                <w:sz w:val="18"/>
                <w:szCs w:val="18"/>
              </w:rPr>
            </w:pPr>
            <w:r w:rsidRPr="00B335B5">
              <w:rPr>
                <w:b/>
                <w:bCs/>
                <w:sz w:val="18"/>
                <w:szCs w:val="18"/>
              </w:rPr>
              <w:t>18.17</w:t>
            </w:r>
          </w:p>
        </w:tc>
        <w:tc>
          <w:tcPr>
            <w:tcW w:w="629" w:type="dxa"/>
          </w:tcPr>
          <w:p w14:paraId="0589A53E" w14:textId="77777777" w:rsidR="008304A2" w:rsidRPr="00B335B5" w:rsidRDefault="008304A2">
            <w:pPr>
              <w:rPr>
                <w:b/>
                <w:bCs/>
                <w:sz w:val="18"/>
                <w:szCs w:val="18"/>
              </w:rPr>
            </w:pPr>
            <w:r w:rsidRPr="00B335B5">
              <w:rPr>
                <w:b/>
                <w:bCs/>
                <w:sz w:val="18"/>
                <w:szCs w:val="18"/>
              </w:rPr>
              <w:t>12.97</w:t>
            </w:r>
          </w:p>
        </w:tc>
        <w:tc>
          <w:tcPr>
            <w:tcW w:w="581" w:type="dxa"/>
          </w:tcPr>
          <w:p w14:paraId="0C94FB11" w14:textId="77777777" w:rsidR="008304A2" w:rsidRPr="00B335B5" w:rsidRDefault="008304A2">
            <w:pPr>
              <w:rPr>
                <w:b/>
                <w:bCs/>
                <w:sz w:val="18"/>
                <w:szCs w:val="18"/>
              </w:rPr>
            </w:pPr>
            <w:r w:rsidRPr="00B335B5">
              <w:rPr>
                <w:b/>
                <w:bCs/>
                <w:sz w:val="18"/>
                <w:szCs w:val="18"/>
              </w:rPr>
              <w:t>9.00</w:t>
            </w:r>
          </w:p>
        </w:tc>
        <w:tc>
          <w:tcPr>
            <w:tcW w:w="627" w:type="dxa"/>
          </w:tcPr>
          <w:p w14:paraId="4A706FDA" w14:textId="77777777" w:rsidR="008304A2" w:rsidRPr="00B335B5" w:rsidRDefault="008304A2">
            <w:pPr>
              <w:rPr>
                <w:b/>
                <w:bCs/>
                <w:sz w:val="18"/>
                <w:szCs w:val="18"/>
              </w:rPr>
            </w:pPr>
            <w:r w:rsidRPr="00B335B5">
              <w:rPr>
                <w:b/>
                <w:bCs/>
                <w:sz w:val="18"/>
                <w:szCs w:val="18"/>
              </w:rPr>
              <w:t>8.14</w:t>
            </w:r>
          </w:p>
        </w:tc>
      </w:tr>
      <w:tr w:rsidR="008304A2" w14:paraId="0CC48907" w14:textId="77777777" w:rsidTr="00080886">
        <w:tc>
          <w:tcPr>
            <w:tcW w:w="1429" w:type="dxa"/>
            <w:vMerge w:val="restart"/>
          </w:tcPr>
          <w:p w14:paraId="7FCC573E" w14:textId="77777777" w:rsidR="008304A2" w:rsidRPr="703AEB20" w:rsidRDefault="008304A2">
            <w:pPr>
              <w:jc w:val="left"/>
              <w:rPr>
                <w:lang w:val="en-US"/>
              </w:rPr>
            </w:pPr>
            <w:r w:rsidRPr="703AEB20">
              <w:rPr>
                <w:b/>
                <w:bCs/>
                <w:lang w:val="en-US"/>
              </w:rPr>
              <w:t>Totals for all release vectors</w:t>
            </w:r>
          </w:p>
        </w:tc>
        <w:tc>
          <w:tcPr>
            <w:tcW w:w="2370" w:type="dxa"/>
            <w:gridSpan w:val="4"/>
          </w:tcPr>
          <w:p w14:paraId="5D3BE01B" w14:textId="77777777" w:rsidR="008304A2" w:rsidRPr="00B335B5" w:rsidRDefault="008304A2">
            <w:pPr>
              <w:rPr>
                <w:b/>
                <w:bCs/>
                <w:sz w:val="18"/>
                <w:szCs w:val="18"/>
              </w:rPr>
            </w:pPr>
            <w:r w:rsidRPr="00B335B5">
              <w:rPr>
                <w:b/>
                <w:bCs/>
                <w:sz w:val="18"/>
                <w:szCs w:val="18"/>
              </w:rPr>
              <w:t>2012</w:t>
            </w:r>
          </w:p>
        </w:tc>
        <w:tc>
          <w:tcPr>
            <w:tcW w:w="2420" w:type="dxa"/>
            <w:gridSpan w:val="4"/>
          </w:tcPr>
          <w:p w14:paraId="5D114BF1" w14:textId="77777777" w:rsidR="008304A2" w:rsidRPr="00B335B5" w:rsidRDefault="008304A2">
            <w:pPr>
              <w:rPr>
                <w:b/>
                <w:bCs/>
                <w:sz w:val="18"/>
                <w:szCs w:val="18"/>
              </w:rPr>
            </w:pPr>
            <w:r w:rsidRPr="00B335B5">
              <w:rPr>
                <w:b/>
                <w:bCs/>
                <w:sz w:val="18"/>
                <w:szCs w:val="18"/>
              </w:rPr>
              <w:t>2016</w:t>
            </w:r>
          </w:p>
        </w:tc>
        <w:tc>
          <w:tcPr>
            <w:tcW w:w="2466" w:type="dxa"/>
            <w:gridSpan w:val="4"/>
          </w:tcPr>
          <w:p w14:paraId="7B9B381C" w14:textId="77777777" w:rsidR="008304A2" w:rsidRPr="00B335B5" w:rsidRDefault="008304A2">
            <w:pPr>
              <w:rPr>
                <w:b/>
                <w:bCs/>
                <w:sz w:val="18"/>
                <w:szCs w:val="18"/>
              </w:rPr>
            </w:pPr>
            <w:r w:rsidRPr="00B335B5">
              <w:rPr>
                <w:b/>
                <w:bCs/>
                <w:sz w:val="18"/>
                <w:szCs w:val="18"/>
              </w:rPr>
              <w:t>2020</w:t>
            </w:r>
          </w:p>
        </w:tc>
      </w:tr>
      <w:tr w:rsidR="008304A2" w14:paraId="619EB2EE" w14:textId="77777777" w:rsidTr="00080886">
        <w:tc>
          <w:tcPr>
            <w:tcW w:w="1429" w:type="dxa"/>
            <w:vMerge/>
          </w:tcPr>
          <w:p w14:paraId="6AC998F3" w14:textId="77777777" w:rsidR="008304A2" w:rsidRDefault="008304A2">
            <w:pPr>
              <w:jc w:val="left"/>
            </w:pPr>
          </w:p>
        </w:tc>
        <w:tc>
          <w:tcPr>
            <w:tcW w:w="2370" w:type="dxa"/>
            <w:gridSpan w:val="4"/>
          </w:tcPr>
          <w:p w14:paraId="52FD8016" w14:textId="77777777" w:rsidR="008304A2" w:rsidRPr="00B335B5" w:rsidRDefault="008304A2">
            <w:pPr>
              <w:rPr>
                <w:b/>
                <w:bCs/>
                <w:sz w:val="18"/>
                <w:szCs w:val="18"/>
              </w:rPr>
            </w:pPr>
            <w:r w:rsidRPr="00B335B5">
              <w:rPr>
                <w:b/>
                <w:bCs/>
                <w:sz w:val="18"/>
                <w:szCs w:val="18"/>
              </w:rPr>
              <w:t>36.99</w:t>
            </w:r>
          </w:p>
        </w:tc>
        <w:tc>
          <w:tcPr>
            <w:tcW w:w="2420" w:type="dxa"/>
            <w:gridSpan w:val="4"/>
          </w:tcPr>
          <w:p w14:paraId="6227B5B7" w14:textId="77777777" w:rsidR="008304A2" w:rsidRPr="00B335B5" w:rsidRDefault="008304A2">
            <w:pPr>
              <w:rPr>
                <w:b/>
                <w:bCs/>
                <w:sz w:val="18"/>
                <w:szCs w:val="18"/>
              </w:rPr>
            </w:pPr>
            <w:r w:rsidRPr="00B335B5">
              <w:rPr>
                <w:b/>
                <w:bCs/>
                <w:sz w:val="18"/>
                <w:szCs w:val="18"/>
              </w:rPr>
              <w:t>37.10</w:t>
            </w:r>
          </w:p>
        </w:tc>
        <w:tc>
          <w:tcPr>
            <w:tcW w:w="2466" w:type="dxa"/>
            <w:gridSpan w:val="4"/>
          </w:tcPr>
          <w:p w14:paraId="287312A3" w14:textId="77777777" w:rsidR="008304A2" w:rsidRPr="00B335B5" w:rsidRDefault="008304A2">
            <w:pPr>
              <w:rPr>
                <w:b/>
                <w:bCs/>
                <w:sz w:val="18"/>
                <w:szCs w:val="18"/>
              </w:rPr>
            </w:pPr>
            <w:r w:rsidRPr="00B335B5">
              <w:rPr>
                <w:b/>
                <w:bCs/>
                <w:sz w:val="18"/>
                <w:szCs w:val="18"/>
              </w:rPr>
              <w:t>36.60</w:t>
            </w:r>
          </w:p>
        </w:tc>
      </w:tr>
    </w:tbl>
    <w:p w14:paraId="02CFE16B" w14:textId="0D9BF759" w:rsidR="444FF986" w:rsidRPr="00405036" w:rsidRDefault="5CEE0520" w:rsidP="00405036">
      <w:pPr>
        <w:pStyle w:val="Source"/>
        <w:rPr>
          <w:rFonts w:asciiTheme="minorHAnsi" w:hAnsiTheme="minorHAnsi" w:cstheme="minorHAnsi"/>
          <w:szCs w:val="18"/>
        </w:rPr>
      </w:pPr>
      <w:hyperlink r:id="rId94" w:history="1">
        <w:r w:rsidRPr="00405036">
          <w:rPr>
            <w:rStyle w:val="Hyperlink"/>
            <w:rFonts w:asciiTheme="minorHAnsi" w:eastAsia="Verdana" w:hAnsiTheme="minorHAnsi" w:cstheme="minorHAnsi"/>
            <w:color w:val="auto"/>
            <w:szCs w:val="18"/>
            <w:lang w:val="en-US"/>
          </w:rPr>
          <w:t>Source: Ministry for the Environment, 2020</w:t>
        </w:r>
      </w:hyperlink>
    </w:p>
    <w:p w14:paraId="7FABC0C5" w14:textId="7BAD4260" w:rsidR="72C89534" w:rsidRPr="00405036" w:rsidRDefault="20E16AAB" w:rsidP="00405036">
      <w:pPr>
        <w:pStyle w:val="Heading4"/>
      </w:pPr>
      <w:r w:rsidRPr="00405036">
        <w:t xml:space="preserve">Notable changes and </w:t>
      </w:r>
      <w:r w:rsidR="6BFA674E" w:rsidRPr="00405036">
        <w:t>developments</w:t>
      </w:r>
    </w:p>
    <w:p w14:paraId="5B6D03F4" w14:textId="1DE270E7" w:rsidR="00E72470" w:rsidRPr="00014420" w:rsidRDefault="685823B9" w:rsidP="00405036">
      <w:pPr>
        <w:pStyle w:val="BodyText"/>
      </w:pPr>
      <w:r w:rsidRPr="00787556">
        <w:rPr>
          <w:lang w:val="en-US"/>
        </w:rPr>
        <w:t xml:space="preserve">The most notable changes </w:t>
      </w:r>
      <w:r w:rsidRPr="00405036">
        <w:rPr>
          <w:lang w:val="en-US"/>
        </w:rPr>
        <w:t xml:space="preserve">from the current Inventory </w:t>
      </w:r>
      <w:r w:rsidRPr="00787556">
        <w:rPr>
          <w:lang w:val="en-US"/>
        </w:rPr>
        <w:t>are outlined below.</w:t>
      </w:r>
    </w:p>
    <w:p w14:paraId="093352BE" w14:textId="3445664C" w:rsidR="00E72470" w:rsidRPr="00405036" w:rsidRDefault="685823B9" w:rsidP="00405036">
      <w:pPr>
        <w:pStyle w:val="Heading5"/>
      </w:pPr>
      <w:r w:rsidRPr="00405036">
        <w:t xml:space="preserve">Releases to air </w:t>
      </w:r>
      <w:r w:rsidR="005C4130">
        <w:t>c</w:t>
      </w:r>
      <w:r w:rsidRPr="00405036">
        <w:t>ategories which had</w:t>
      </w:r>
      <w:r w:rsidRPr="005C4130">
        <w:rPr>
          <w:b/>
          <w:bCs/>
        </w:rPr>
        <w:t xml:space="preserve"> increases</w:t>
      </w:r>
      <w:r w:rsidRPr="00405036">
        <w:t xml:space="preserve"> in release estimates for 2020 compared with 2016</w:t>
      </w:r>
    </w:p>
    <w:p w14:paraId="03000AA7" w14:textId="77777777" w:rsidR="00D1344E" w:rsidRDefault="685823B9" w:rsidP="00014420">
      <w:pPr>
        <w:pStyle w:val="BodyText"/>
      </w:pPr>
      <w:r w:rsidRPr="00014420">
        <w:t>Compared with 2016 levels, releases from combustion of wood waste in industrial boilers have increased due to improvements in consumption estimates.</w:t>
      </w:r>
      <w:r w:rsidR="00BD0AD4">
        <w:t xml:space="preserve"> There was also an increase of releases due to more unpredictable events, such as</w:t>
      </w:r>
      <w:r w:rsidR="007B427E">
        <w:t xml:space="preserve"> l</w:t>
      </w:r>
      <w:r w:rsidRPr="00014420">
        <w:t>andfill fires, forest fires and vehicle fires which will</w:t>
      </w:r>
      <w:r w:rsidR="007B427E">
        <w:t xml:space="preserve">, by nature, </w:t>
      </w:r>
      <w:r w:rsidRPr="00014420">
        <w:t>fluctuate from year to year.</w:t>
      </w:r>
      <w:r w:rsidR="007B427E">
        <w:t xml:space="preserve"> </w:t>
      </w:r>
    </w:p>
    <w:p w14:paraId="369A839A" w14:textId="77777777" w:rsidR="00D1344E" w:rsidRDefault="007B427E" w:rsidP="00014420">
      <w:pPr>
        <w:pStyle w:val="BodyText"/>
      </w:pPr>
      <w:r>
        <w:t xml:space="preserve">Dioxin </w:t>
      </w:r>
      <w:r w:rsidR="4CD29D86">
        <w:t>releases</w:t>
      </w:r>
      <w:r>
        <w:t xml:space="preserve"> from m</w:t>
      </w:r>
      <w:r w:rsidR="685823B9" w:rsidRPr="00014420">
        <w:t xml:space="preserve">etal shredding have </w:t>
      </w:r>
      <w:r>
        <w:t xml:space="preserve">also </w:t>
      </w:r>
      <w:r w:rsidR="685823B9" w:rsidRPr="00014420">
        <w:t>increased due to a</w:t>
      </w:r>
      <w:r w:rsidR="00AD4001">
        <w:t xml:space="preserve"> rising number of</w:t>
      </w:r>
      <w:r w:rsidR="685823B9" w:rsidRPr="00014420">
        <w:t xml:space="preserve"> shredder operators and material throughput.</w:t>
      </w:r>
      <w:r w:rsidR="00AD4001">
        <w:t xml:space="preserve"> </w:t>
      </w:r>
    </w:p>
    <w:p w14:paraId="62814ED1" w14:textId="77777777" w:rsidR="00D1344E" w:rsidRDefault="00AD4001" w:rsidP="00014420">
      <w:pPr>
        <w:pStyle w:val="BodyText"/>
      </w:pPr>
      <w:r>
        <w:t>In the energy sector, r</w:t>
      </w:r>
      <w:r w:rsidR="685823B9" w:rsidRPr="00014420">
        <w:t xml:space="preserve">eleases from coal-fired electricity generation have increased because more coal was burned to cover hydro electricity shortages and maintenance of the Cook Strait cable in 2020. </w:t>
      </w:r>
    </w:p>
    <w:p w14:paraId="3700F39C" w14:textId="77777777" w:rsidR="00D1344E" w:rsidRDefault="001278B4" w:rsidP="00014420">
      <w:pPr>
        <w:pStyle w:val="BodyText"/>
      </w:pPr>
      <w:r>
        <w:t>Already mentioned above were the i</w:t>
      </w:r>
      <w:r w:rsidR="685823B9" w:rsidRPr="00014420">
        <w:t>ncreased releases from landfill deposition, sewage treatment and crematoria</w:t>
      </w:r>
      <w:r>
        <w:t xml:space="preserve">, all to be </w:t>
      </w:r>
      <w:r w:rsidR="685823B9" w:rsidRPr="00014420">
        <w:t xml:space="preserve">attributed to population increase. </w:t>
      </w:r>
    </w:p>
    <w:p w14:paraId="6CEAC463" w14:textId="77777777" w:rsidR="00D1344E" w:rsidRDefault="00562607" w:rsidP="00014420">
      <w:pPr>
        <w:pStyle w:val="BodyText"/>
      </w:pPr>
      <w:r>
        <w:t xml:space="preserve">Other increases are due to general </w:t>
      </w:r>
      <w:r w:rsidR="00C54410">
        <w:t>improvements</w:t>
      </w:r>
      <w:r>
        <w:t xml:space="preserve"> throughout </w:t>
      </w:r>
      <w:r w:rsidR="00C54410">
        <w:t xml:space="preserve">estimates, such as dioxin releases from </w:t>
      </w:r>
      <w:r w:rsidR="001A0675">
        <w:t>p</w:t>
      </w:r>
      <w:r w:rsidR="685823B9" w:rsidRPr="00014420">
        <w:t>et cremator</w:t>
      </w:r>
      <w:r w:rsidR="001A0675">
        <w:t>s</w:t>
      </w:r>
      <w:r w:rsidR="685823B9" w:rsidRPr="00014420">
        <w:t xml:space="preserve"> </w:t>
      </w:r>
      <w:r w:rsidR="001A0675">
        <w:t>(</w:t>
      </w:r>
      <w:r w:rsidR="685823B9" w:rsidRPr="00014420">
        <w:t>improvements in throughput estimation following a regional council survey</w:t>
      </w:r>
      <w:r w:rsidR="001A0675">
        <w:t xml:space="preserve">) </w:t>
      </w:r>
      <w:r w:rsidR="0050133B">
        <w:t>and r</w:t>
      </w:r>
      <w:r w:rsidR="685823B9" w:rsidRPr="00014420">
        <w:t>eleases from 2-stroke engines</w:t>
      </w:r>
      <w:r w:rsidR="0050133B">
        <w:t>, which</w:t>
      </w:r>
      <w:r w:rsidR="685823B9" w:rsidRPr="00014420">
        <w:t xml:space="preserve"> are greater following increased fuel consumption estimates in the recreational marine sector. </w:t>
      </w:r>
    </w:p>
    <w:p w14:paraId="310AA86F" w14:textId="72EC439D" w:rsidR="00E72470" w:rsidRPr="00014420" w:rsidRDefault="00B845A7" w:rsidP="00014420">
      <w:pPr>
        <w:pStyle w:val="BodyText"/>
      </w:pPr>
      <w:r>
        <w:t>Lastly</w:t>
      </w:r>
      <w:r w:rsidR="0050133B">
        <w:t>, i</w:t>
      </w:r>
      <w:r w:rsidR="685823B9" w:rsidRPr="00014420">
        <w:t>ncreased releases from diesel engines result</w:t>
      </w:r>
      <w:r>
        <w:t>ing</w:t>
      </w:r>
      <w:r w:rsidR="685823B9" w:rsidRPr="00014420">
        <w:t xml:space="preserve"> from increased diesel consumption which may be related to heavy fuel oil replacement by diesel in the marine transport industry.</w:t>
      </w:r>
    </w:p>
    <w:p w14:paraId="7518DE0C" w14:textId="439D8724" w:rsidR="00E72470" w:rsidRPr="00D1344E" w:rsidRDefault="38722C11" w:rsidP="00D1344E">
      <w:pPr>
        <w:pStyle w:val="Heading5"/>
      </w:pPr>
      <w:r w:rsidRPr="00D1344E">
        <w:t xml:space="preserve">Categories which had </w:t>
      </w:r>
      <w:r w:rsidRPr="00D1344E">
        <w:rPr>
          <w:b/>
          <w:bCs/>
        </w:rPr>
        <w:t>decreases</w:t>
      </w:r>
      <w:r w:rsidRPr="00D1344E">
        <w:t xml:space="preserve"> in release estimates for 2020 compared to 2016</w:t>
      </w:r>
    </w:p>
    <w:p w14:paraId="1577F020" w14:textId="2D7F6383" w:rsidR="004B6A14" w:rsidRPr="0072134C" w:rsidRDefault="00DA2719" w:rsidP="00014420">
      <w:pPr>
        <w:spacing w:before="240"/>
      </w:pPr>
      <w:r>
        <w:t>Recent</w:t>
      </w:r>
      <w:r w:rsidRPr="00DA2719">
        <w:t xml:space="preserve"> plant</w:t>
      </w:r>
      <w:r w:rsidR="38722C11" w:rsidRPr="00014420">
        <w:t xml:space="preserve"> closures and decreases in production quantities were the cause of the release reductions for secondary aluminium, copper</w:t>
      </w:r>
      <w:r w:rsidR="003E6477">
        <w:t>,</w:t>
      </w:r>
      <w:r w:rsidR="38722C11" w:rsidRPr="00014420">
        <w:t xml:space="preserve"> brass</w:t>
      </w:r>
      <w:r w:rsidR="003E6477">
        <w:t>,</w:t>
      </w:r>
      <w:r w:rsidR="38722C11" w:rsidRPr="00014420">
        <w:t xml:space="preserve"> and bronze production and iron foundries.</w:t>
      </w:r>
      <w:r w:rsidR="00EE021B">
        <w:t xml:space="preserve"> </w:t>
      </w:r>
      <w:r w:rsidR="004B6A14" w:rsidRPr="00DF0264">
        <w:t xml:space="preserve">Releases from open burning of domestic wastes have reduced due to a decrease in the estimate </w:t>
      </w:r>
      <w:r w:rsidR="004B6A14" w:rsidRPr="00DF0264">
        <w:lastRenderedPageBreak/>
        <w:t>of the amount of waste burnt following a regional council survey.</w:t>
      </w:r>
      <w:r w:rsidR="004B6A14" w:rsidRPr="004B6A14">
        <w:t xml:space="preserve"> </w:t>
      </w:r>
      <w:r w:rsidR="004B6A14" w:rsidRPr="00C3157B">
        <w:t>Pulp and paper sludge disposal releases have decreased due to a reduction in bleached pulp production.</w:t>
      </w:r>
      <w:r w:rsidR="7821A0C8">
        <w:t xml:space="preserve"> </w:t>
      </w:r>
      <w:r w:rsidR="004B6A14" w:rsidRPr="0072134C">
        <w:t>Releases from primary iron and steel production have decreased because a greater proportion of waste materials are being recycled through the process.</w:t>
      </w:r>
      <w:r w:rsidR="5D1031DB">
        <w:t xml:space="preserve"> </w:t>
      </w:r>
      <w:r w:rsidR="0079515E">
        <w:t>The r</w:t>
      </w:r>
      <w:r w:rsidR="004B6A14" w:rsidRPr="0072134C">
        <w:t>eductions for household heating and cooking with biomass (wood) reflect a decrease in the number of wood burners.</w:t>
      </w:r>
    </w:p>
    <w:p w14:paraId="39DF4F76" w14:textId="40C8F034" w:rsidR="00E72470" w:rsidRPr="001B216C" w:rsidRDefault="004B6A14" w:rsidP="00014420">
      <w:pPr>
        <w:pStyle w:val="BodyText"/>
      </w:pPr>
      <w:r w:rsidRPr="0072134C">
        <w:t>Heavy oil-fired engine release reductions follow a drop in fuel consumption of this type by the marine transport industry which may be related to international controls on sulphur emission levels.</w:t>
      </w:r>
      <w:r w:rsidR="0079515E">
        <w:t xml:space="preserve"> </w:t>
      </w:r>
      <w:r w:rsidRPr="0072134C">
        <w:t>Fewer schools operating incinerators is the reason for the release drop in the wood and biomass incineration category.</w:t>
      </w:r>
      <w:r w:rsidR="0079515E">
        <w:t xml:space="preserve"> </w:t>
      </w:r>
      <w:r w:rsidRPr="0072134C">
        <w:t>Lime production release reductions reflect a downward trend in lime production.</w:t>
      </w:r>
      <w:r w:rsidR="000D50B2" w:rsidRPr="000D50B2">
        <w:t xml:space="preserve"> </w:t>
      </w:r>
      <w:r w:rsidR="000D50B2" w:rsidRPr="0072134C">
        <w:t>Petroleum production releases have reduced because throughput of crude oil at the Marsden Point refinery reduced as COVID</w:t>
      </w:r>
      <w:r w:rsidR="00D1344E">
        <w:t>-19</w:t>
      </w:r>
      <w:r w:rsidR="000D50B2" w:rsidRPr="0072134C">
        <w:t xml:space="preserve"> travel restrictions impacted fuel consumption, particularly in the aviation industry, in 2020.</w:t>
      </w:r>
      <w:r w:rsidR="000D50B2" w:rsidRPr="000D50B2">
        <w:t xml:space="preserve"> </w:t>
      </w:r>
      <w:r w:rsidR="000D50B2" w:rsidRPr="0072134C">
        <w:t>Black liquor combustion release reductions are due to reduced kraft pulp production in 2020.</w:t>
      </w:r>
      <w:r w:rsidR="000D50B2" w:rsidRPr="000D50B2">
        <w:t xml:space="preserve"> </w:t>
      </w:r>
      <w:r w:rsidR="000D50B2">
        <w:t>Other d</w:t>
      </w:r>
      <w:r w:rsidR="000D50B2" w:rsidRPr="00020EF1">
        <w:t xml:space="preserve">ecreases in releases </w:t>
      </w:r>
      <w:r w:rsidR="000D50B2">
        <w:t>are due to unforeseeable events, such as the decrease</w:t>
      </w:r>
      <w:r w:rsidR="000D50B2" w:rsidRPr="00020EF1">
        <w:t xml:space="preserve"> </w:t>
      </w:r>
      <w:r w:rsidR="000D50B2">
        <w:t xml:space="preserve">of </w:t>
      </w:r>
      <w:r w:rsidR="000D50B2" w:rsidRPr="00020EF1">
        <w:t>industrial and commercial coal use due to drops in coal consumption caused by COVID</w:t>
      </w:r>
      <w:r w:rsidR="008A7C96">
        <w:t>-19</w:t>
      </w:r>
      <w:r w:rsidR="000D50B2" w:rsidRPr="00020EF1">
        <w:t xml:space="preserve"> lock downs in 2020.</w:t>
      </w:r>
      <w:r w:rsidR="000D50B2">
        <w:t xml:space="preserve"> </w:t>
      </w:r>
      <w:r w:rsidR="000D50B2" w:rsidRPr="0013241B">
        <w:t xml:space="preserve">Structure fires are </w:t>
      </w:r>
      <w:r w:rsidR="000D50B2">
        <w:t xml:space="preserve">equally </w:t>
      </w:r>
      <w:r w:rsidR="000D50B2" w:rsidRPr="0013241B">
        <w:t xml:space="preserve">unpredictable events which will </w:t>
      </w:r>
      <w:r w:rsidR="001B216C">
        <w:t>vary</w:t>
      </w:r>
      <w:r w:rsidR="000D50B2" w:rsidRPr="0013241B">
        <w:t xml:space="preserve"> from year to year</w:t>
      </w:r>
      <w:r w:rsidR="000D50B2">
        <w:t xml:space="preserve">, </w:t>
      </w:r>
      <w:proofErr w:type="gramStart"/>
      <w:r w:rsidR="001B216C">
        <w:t>similar to</w:t>
      </w:r>
      <w:proofErr w:type="gramEnd"/>
      <w:r w:rsidR="001B216C">
        <w:t xml:space="preserve"> the </w:t>
      </w:r>
      <w:r w:rsidRPr="0072134C">
        <w:t>extent of agricultural residue burning fluctuates from year to year.</w:t>
      </w:r>
    </w:p>
    <w:p w14:paraId="6FB93D1A" w14:textId="7178F068" w:rsidR="00E72470" w:rsidRPr="00F525EE" w:rsidRDefault="13D33AD3" w:rsidP="00F525EE">
      <w:pPr>
        <w:pStyle w:val="Heading3"/>
      </w:pPr>
      <w:r w:rsidRPr="00F525EE">
        <w:t xml:space="preserve">5.3.3 New Zealand </w:t>
      </w:r>
      <w:r w:rsidR="00F525EE">
        <w:t>i</w:t>
      </w:r>
      <w:r w:rsidRPr="00F525EE">
        <w:t xml:space="preserve">nitiatives </w:t>
      </w:r>
      <w:r w:rsidR="00F525EE">
        <w:t>l</w:t>
      </w:r>
      <w:r w:rsidRPr="00F525EE">
        <w:t xml:space="preserve">eading to </w:t>
      </w:r>
      <w:r w:rsidR="00F525EE">
        <w:t>r</w:t>
      </w:r>
      <w:r w:rsidRPr="00F525EE">
        <w:t xml:space="preserve">eductions in </w:t>
      </w:r>
      <w:r w:rsidR="00F525EE">
        <w:t>d</w:t>
      </w:r>
      <w:r w:rsidRPr="00F525EE">
        <w:t xml:space="preserve">ioxin </w:t>
      </w:r>
      <w:r w:rsidR="00F525EE">
        <w:t>r</w:t>
      </w:r>
      <w:r w:rsidRPr="00F525EE">
        <w:t>eleases</w:t>
      </w:r>
    </w:p>
    <w:p w14:paraId="1E0611B4" w14:textId="23A0D128" w:rsidR="00E72470" w:rsidRPr="00014420" w:rsidRDefault="381BBF89" w:rsidP="00014420">
      <w:pPr>
        <w:pStyle w:val="Heading4"/>
        <w:rPr>
          <w:lang w:val="en-US"/>
        </w:rPr>
      </w:pPr>
      <w:r w:rsidRPr="00014420">
        <w:rPr>
          <w:lang w:val="en-US"/>
        </w:rPr>
        <w:t xml:space="preserve">Waste </w:t>
      </w:r>
      <w:r w:rsidR="00BE1903">
        <w:rPr>
          <w:lang w:val="en-US"/>
        </w:rPr>
        <w:t>r</w:t>
      </w:r>
      <w:r w:rsidRPr="00014420">
        <w:rPr>
          <w:lang w:val="en-US"/>
        </w:rPr>
        <w:t xml:space="preserve">eduction </w:t>
      </w:r>
      <w:r w:rsidR="00BE1903">
        <w:rPr>
          <w:lang w:val="en-US"/>
        </w:rPr>
        <w:t>s</w:t>
      </w:r>
      <w:r w:rsidRPr="00014420">
        <w:rPr>
          <w:lang w:val="en-US"/>
        </w:rPr>
        <w:t>trategies</w:t>
      </w:r>
    </w:p>
    <w:p w14:paraId="224B669F" w14:textId="7320CB3D" w:rsidR="00014420" w:rsidRDefault="4805403D" w:rsidP="000717D0">
      <w:pPr>
        <w:spacing w:before="115" w:line="240" w:lineRule="auto"/>
        <w:ind w:right="72"/>
        <w:jc w:val="left"/>
      </w:pPr>
      <w:r w:rsidRPr="00014420">
        <w:t xml:space="preserve">Landfills are by far the greatest source of dioxins for New Zealand. </w:t>
      </w:r>
      <w:r w:rsidR="002C4968">
        <w:rPr>
          <w:iCs/>
        </w:rPr>
        <w:t>As</w:t>
      </w:r>
      <w:r w:rsidRPr="00014420">
        <w:t xml:space="preserve"> the types of waste deposited in municipal landfills are so diverse only a very general emission factor can be applied to estimate dioxin releases from this source. Where the waste total is comprised of significant volumes of inert materials such as food wastes, clean fill, and garden waste it is probable that the dioxin release is being over-estimated and reducing their volume will result in a reduction in the dioxin estimation for landfills. </w:t>
      </w:r>
      <w:r w:rsidRPr="00223E9E">
        <w:t xml:space="preserve">There are currently </w:t>
      </w:r>
      <w:r w:rsidR="200F8E88" w:rsidRPr="00223E9E">
        <w:t>several</w:t>
      </w:r>
      <w:r w:rsidRPr="00223E9E">
        <w:t xml:space="preserve"> government initiatives which are aimed at reducing waste volumes</w:t>
      </w:r>
      <w:r w:rsidRPr="00014420">
        <w:t>.</w:t>
      </w:r>
      <w:r w:rsidR="00223E9E">
        <w:t xml:space="preserve"> See </w:t>
      </w:r>
      <w:hyperlink r:id="rId95" w:history="1">
        <w:r w:rsidR="00223E9E" w:rsidRPr="00223E9E">
          <w:rPr>
            <w:rStyle w:val="Hyperlink"/>
          </w:rPr>
          <w:t>Waste reduction work programme</w:t>
        </w:r>
      </w:hyperlink>
      <w:r w:rsidR="00223E9E">
        <w:t xml:space="preserve"> on our website. </w:t>
      </w:r>
    </w:p>
    <w:p w14:paraId="03A547EA" w14:textId="13C4DBB0" w:rsidR="00014420" w:rsidRDefault="381BBF89" w:rsidP="00014420">
      <w:pPr>
        <w:pStyle w:val="Heading4"/>
      </w:pPr>
      <w:r w:rsidRPr="00014420">
        <w:rPr>
          <w:lang w:val="en-US"/>
        </w:rPr>
        <w:t xml:space="preserve">Changes in </w:t>
      </w:r>
      <w:r w:rsidR="00BE1903">
        <w:rPr>
          <w:lang w:val="en-US"/>
        </w:rPr>
        <w:t>p</w:t>
      </w:r>
      <w:r w:rsidRPr="00014420">
        <w:rPr>
          <w:lang w:val="en-US"/>
        </w:rPr>
        <w:t xml:space="preserve">roduction </w:t>
      </w:r>
      <w:r w:rsidR="00BE1903">
        <w:rPr>
          <w:lang w:val="en-US"/>
        </w:rPr>
        <w:t>f</w:t>
      </w:r>
      <w:r w:rsidRPr="00014420">
        <w:rPr>
          <w:lang w:val="en-US"/>
        </w:rPr>
        <w:t>ocus</w:t>
      </w:r>
    </w:p>
    <w:p w14:paraId="16455AAE" w14:textId="3D97B354" w:rsidR="00014420" w:rsidRDefault="73507A05" w:rsidP="000717D0">
      <w:pPr>
        <w:spacing w:before="115" w:line="240" w:lineRule="auto"/>
        <w:ind w:right="72"/>
        <w:jc w:val="left"/>
      </w:pPr>
      <w:hyperlink r:id="rId96" w:history="1">
        <w:r w:rsidRPr="1A06031B">
          <w:rPr>
            <w:rStyle w:val="Hyperlink"/>
          </w:rPr>
          <w:t>Oji Fibre Solutions closed its bleaching operations at its Tasman Mill</w:t>
        </w:r>
      </w:hyperlink>
      <w:r w:rsidR="1A832E39">
        <w:t>,</w:t>
      </w:r>
      <w:r w:rsidR="00450B89">
        <w:t xml:space="preserve"> located in </w:t>
      </w:r>
      <w:r w:rsidR="00450B89" w:rsidRPr="00450B89">
        <w:t xml:space="preserve">Kawerau, Bay of </w:t>
      </w:r>
      <w:r w:rsidR="00C52487" w:rsidRPr="00450B89">
        <w:t>Plenty</w:t>
      </w:r>
      <w:r w:rsidR="00C52487">
        <w:t xml:space="preserve">, </w:t>
      </w:r>
      <w:r w:rsidR="00C52487" w:rsidRPr="00C52487">
        <w:t>in</w:t>
      </w:r>
      <w:r w:rsidR="47967793" w:rsidRPr="00014420">
        <w:t xml:space="preserve"> March 2019 to allow the company to produce more fibre cement pulp and other unbleached kraft pulp products (Climate Leaders Coalition, 2022). Pulp bleaching is a source of dioxins, and this contribution is now </w:t>
      </w:r>
      <w:r>
        <w:t>be</w:t>
      </w:r>
      <w:r w:rsidR="0F4ABCDC">
        <w:t>ing</w:t>
      </w:r>
      <w:r w:rsidR="47967793" w:rsidRPr="00014420">
        <w:t xml:space="preserve"> removed from the plant’s output.</w:t>
      </w:r>
    </w:p>
    <w:p w14:paraId="28DAE099" w14:textId="1C313CEF" w:rsidR="00014420" w:rsidRDefault="47967793" w:rsidP="000717D0">
      <w:pPr>
        <w:spacing w:before="115" w:line="240" w:lineRule="auto"/>
        <w:ind w:right="72"/>
        <w:jc w:val="left"/>
      </w:pPr>
      <w:r w:rsidRPr="00014420">
        <w:t>On 1 April 2022</w:t>
      </w:r>
      <w:r w:rsidR="005E31C4">
        <w:t>,</w:t>
      </w:r>
      <w:r w:rsidRPr="00014420">
        <w:t xml:space="preserve"> </w:t>
      </w:r>
      <w:r w:rsidR="73507A05" w:rsidRPr="00F33E64">
        <w:t>Refining New Zealand ceased refining operations at</w:t>
      </w:r>
      <w:hyperlink r:id="rId97" w:history="1">
        <w:r w:rsidR="73507A05" w:rsidRPr="00F33E64">
          <w:rPr>
            <w:rStyle w:val="Hyperlink"/>
          </w:rPr>
          <w:t xml:space="preserve"> </w:t>
        </w:r>
        <w:r w:rsidR="1B4A29D2" w:rsidRPr="00F33E64">
          <w:rPr>
            <w:rStyle w:val="Hyperlink"/>
          </w:rPr>
          <w:t>Marsden Point Oil Refinery</w:t>
        </w:r>
      </w:hyperlink>
      <w:r w:rsidR="1B4A29D2" w:rsidRPr="00F33E64">
        <w:t xml:space="preserve"> in Northland, </w:t>
      </w:r>
      <w:r w:rsidR="73507A05" w:rsidRPr="00F33E64">
        <w:t>the country’s only oil refinery</w:t>
      </w:r>
      <w:r w:rsidR="1B4A29D2" w:rsidRPr="00F33E64">
        <w:t xml:space="preserve">, </w:t>
      </w:r>
      <w:r w:rsidR="73507A05" w:rsidRPr="00F33E64">
        <w:t>and became an import only terminal for refined fuels</w:t>
      </w:r>
      <w:r w:rsidR="73507A05">
        <w:t>.</w:t>
      </w:r>
      <w:r w:rsidRPr="00014420">
        <w:t xml:space="preserve"> This move will remove sources of dioxin </w:t>
      </w:r>
      <w:r w:rsidR="005816F7">
        <w:t xml:space="preserve">emissions </w:t>
      </w:r>
      <w:r w:rsidRPr="00014420">
        <w:t>such as the combustion of volatile process gases in flares, wastewater, and solid wastes.</w:t>
      </w:r>
    </w:p>
    <w:p w14:paraId="38F46DC2" w14:textId="77777777" w:rsidR="00014420" w:rsidRDefault="72C89534" w:rsidP="00014420">
      <w:pPr>
        <w:pStyle w:val="Heading4"/>
        <w:rPr>
          <w:lang w:val="en-US"/>
        </w:rPr>
      </w:pPr>
      <w:r w:rsidRPr="00014420">
        <w:rPr>
          <w:lang w:val="en-US"/>
        </w:rPr>
        <w:t>Global and national perspectives</w:t>
      </w:r>
    </w:p>
    <w:p w14:paraId="536084CD" w14:textId="06C882CF" w:rsidR="000717D0" w:rsidRDefault="30747ED7" w:rsidP="00014420">
      <w:pPr>
        <w:pStyle w:val="BodyText"/>
      </w:pPr>
      <w:hyperlink r:id="rId98" w:history="1">
        <w:r w:rsidRPr="00062058">
          <w:rPr>
            <w:rStyle w:val="Hyperlink"/>
          </w:rPr>
          <w:t>A review of the current state and main sources of dioxins around the world</w:t>
        </w:r>
      </w:hyperlink>
      <w:r w:rsidRPr="00014420">
        <w:t xml:space="preserve"> was conducted in </w:t>
      </w:r>
      <w:r w:rsidRPr="20B5AE85">
        <w:t>2015.</w:t>
      </w:r>
      <w:r w:rsidR="00062058" w:rsidRPr="00014420">
        <w:t xml:space="preserve"> </w:t>
      </w:r>
      <w:r w:rsidRPr="00014420">
        <w:t xml:space="preserve">Industrialised countries in North America, Europe and South and East Asia </w:t>
      </w:r>
      <w:r w:rsidR="00A54E07">
        <w:t>are generally</w:t>
      </w:r>
      <w:r w:rsidRPr="00014420">
        <w:t xml:space="preserve"> considered the biggest producers of dioxins. </w:t>
      </w:r>
    </w:p>
    <w:p w14:paraId="1951EDDB" w14:textId="2AB16B8D" w:rsidR="00014420" w:rsidRDefault="00A54E07" w:rsidP="00014420">
      <w:pPr>
        <w:pStyle w:val="BodyText"/>
      </w:pPr>
      <w:r>
        <w:t>For</w:t>
      </w:r>
      <w:r w:rsidR="30747ED7" w:rsidRPr="00014420">
        <w:t xml:space="preserve"> many industrialised countries, following peak dioxin emissions in the 1970s and 80s, emissions decreased after the implementation of policies of flue gas treatment, social </w:t>
      </w:r>
      <w:r w:rsidR="30747ED7" w:rsidRPr="00014420">
        <w:lastRenderedPageBreak/>
        <w:t xml:space="preserve">awareness campaigns and application of strict legislative emission controls. On the other hand, in countries where non-industrial sources have been traditionally high contributors, emissions have remained </w:t>
      </w:r>
      <w:bookmarkStart w:id="103" w:name="_Int_jxcisnKn"/>
      <w:r w:rsidR="30747ED7">
        <w:t>constant</w:t>
      </w:r>
      <w:bookmarkEnd w:id="103"/>
      <w:r w:rsidR="30747ED7" w:rsidRPr="00014420">
        <w:t xml:space="preserve"> because it is more difficult to control this type of process.</w:t>
      </w:r>
    </w:p>
    <w:p w14:paraId="29D4B798" w14:textId="5111ABF6" w:rsidR="00014420" w:rsidRDefault="30747ED7" w:rsidP="00014420">
      <w:pPr>
        <w:pStyle w:val="BodyText"/>
      </w:pPr>
      <w:r w:rsidRPr="00014420">
        <w:t>It is possible to estimate a global per capita release of 38.7 g TEQ per million people per year based on the world’s dioxin release of</w:t>
      </w:r>
      <w:bookmarkStart w:id="104" w:name="_Int_Vc9sGQ9D"/>
      <w:r w:rsidRPr="00014420">
        <w:t xml:space="preserve"> 287 k</w:t>
      </w:r>
      <w:bookmarkEnd w:id="104"/>
      <w:r w:rsidRPr="00014420">
        <w:t>g TEQ and its 2016 population of 7.42 billion.</w:t>
      </w:r>
      <w:r w:rsidR="006F58BB" w:rsidRPr="00B37AA4">
        <w:rPr>
          <w:rStyle w:val="FootnoteReference"/>
          <w:rFonts w:eastAsia="Arial" w:cs="Arial"/>
        </w:rPr>
        <w:footnoteReference w:id="6"/>
      </w:r>
    </w:p>
    <w:p w14:paraId="31683F3E" w14:textId="547017DC" w:rsidR="00014420" w:rsidRDefault="30747ED7" w:rsidP="00014420">
      <w:pPr>
        <w:pStyle w:val="BodyText"/>
      </w:pPr>
      <w:r w:rsidRPr="00014420">
        <w:t xml:space="preserve">A predictive global dioxin release model </w:t>
      </w:r>
      <w:r w:rsidR="00B777CD">
        <w:t>has also been</w:t>
      </w:r>
      <w:r w:rsidRPr="00014420">
        <w:t xml:space="preserve"> developed</w:t>
      </w:r>
      <w:r w:rsidR="14694C19">
        <w:t>.</w:t>
      </w:r>
      <w:r w:rsidR="00BB4020">
        <w:rPr>
          <w:rStyle w:val="FootnoteReference"/>
        </w:rPr>
        <w:footnoteReference w:id="7"/>
      </w:r>
      <w:r w:rsidR="66963403" w:rsidRPr="1A06031B">
        <w:rPr>
          <w:rStyle w:val="FootnoteReference"/>
        </w:rPr>
        <w:t xml:space="preserve">  </w:t>
      </w:r>
      <w:r w:rsidRPr="00014420">
        <w:t xml:space="preserve">This used markers of human social economic activities including gross national income and per capita national income, carbon dioxide emissions per </w:t>
      </w:r>
      <w:r w:rsidR="7755CEC3">
        <w:t xml:space="preserve">GDP (Gross Domestic </w:t>
      </w:r>
      <w:r w:rsidR="144C2E45">
        <w:t>Product)</w:t>
      </w:r>
      <w:r>
        <w:t xml:space="preserve"> </w:t>
      </w:r>
      <w:r w:rsidRPr="00014420">
        <w:t>combined with land area to estimate releases for individual nations</w:t>
      </w:r>
      <w:r w:rsidR="26325C2A" w:rsidRPr="00014420">
        <w:t xml:space="preserve">. </w:t>
      </w:r>
      <w:r w:rsidRPr="00014420">
        <w:t xml:space="preserve">The total dioxin release for 189 countries was estimated </w:t>
      </w:r>
      <w:r w:rsidR="00FA46AF">
        <w:t>based on this formula</w:t>
      </w:r>
      <w:r w:rsidR="00223E9E">
        <w:t xml:space="preserve"> to TEQ per year,</w:t>
      </w:r>
      <w:r w:rsidR="00FA46AF">
        <w:t xml:space="preserve"> </w:t>
      </w:r>
      <w:r w:rsidRPr="00014420">
        <w:t>giving a global per capita average release of 15.4 g TEQ per million people per year.</w:t>
      </w:r>
      <w:r w:rsidR="00054B91">
        <w:t xml:space="preserve"> </w:t>
      </w:r>
    </w:p>
    <w:p w14:paraId="4DD161FB" w14:textId="53AC25C9" w:rsidR="00F33E64" w:rsidRDefault="30747ED7" w:rsidP="00F33E64">
      <w:pPr>
        <w:pStyle w:val="BodyText"/>
      </w:pPr>
      <w:r w:rsidRPr="00014420">
        <w:t>In comparison</w:t>
      </w:r>
      <w:r w:rsidR="000C490E">
        <w:t>, we can see</w:t>
      </w:r>
      <w:r w:rsidRPr="00014420">
        <w:t xml:space="preserve"> New Zealand’s</w:t>
      </w:r>
      <w:r w:rsidR="00E85BA0">
        <w:t xml:space="preserve"> comparatively low </w:t>
      </w:r>
      <w:r w:rsidRPr="00014420">
        <w:t xml:space="preserve">2020 release of 36.6 g TEQ combined with a </w:t>
      </w:r>
      <w:bookmarkStart w:id="105" w:name="_Int_74JGvELY"/>
      <w:r w:rsidRPr="00014420">
        <w:t>population of 5.025 million</w:t>
      </w:r>
      <w:bookmarkEnd w:id="105"/>
      <w:r w:rsidRPr="00014420">
        <w:t xml:space="preserve"> gives a per capita value of 7.3 g TEQ per million people</w:t>
      </w:r>
      <w:r w:rsidR="00C74082">
        <w:t>, which places it in line with o</w:t>
      </w:r>
      <w:r w:rsidR="00E31036" w:rsidRPr="00014420">
        <w:t>ther countries of similar population size and economic status</w:t>
      </w:r>
      <w:r w:rsidR="00C74082">
        <w:t xml:space="preserve">, such as </w:t>
      </w:r>
      <w:r w:rsidR="00E31036" w:rsidRPr="00014420">
        <w:t>Cyprus 7.6</w:t>
      </w:r>
      <w:r w:rsidR="00C74082" w:rsidRPr="00C74082">
        <w:t xml:space="preserve"> </w:t>
      </w:r>
      <w:r w:rsidR="00C74082" w:rsidRPr="00A01A5B">
        <w:t>TEQ per million</w:t>
      </w:r>
      <w:r w:rsidR="006A40F5">
        <w:t xml:space="preserve"> </w:t>
      </w:r>
      <w:r w:rsidR="00C74082">
        <w:t xml:space="preserve">or </w:t>
      </w:r>
      <w:r w:rsidR="00E31036" w:rsidRPr="00014420">
        <w:t xml:space="preserve">Portugal </w:t>
      </w:r>
      <w:r w:rsidR="00C74082">
        <w:t xml:space="preserve">with </w:t>
      </w:r>
      <w:r w:rsidR="00E31036" w:rsidRPr="00014420">
        <w:t>6.7</w:t>
      </w:r>
      <w:r w:rsidR="00C74082" w:rsidRPr="00C74082">
        <w:t xml:space="preserve"> TEQ per million</w:t>
      </w:r>
      <w:r w:rsidR="00E31036" w:rsidRPr="00014420">
        <w:t>.</w:t>
      </w:r>
      <w:r w:rsidR="7DFC5184" w:rsidRPr="2E59BAEC">
        <w:rPr>
          <w:rStyle w:val="FootnoteReference"/>
          <w:rFonts w:eastAsia="Arial" w:cs="Arial"/>
        </w:rPr>
        <w:footnoteReference w:id="8"/>
      </w:r>
    </w:p>
    <w:p w14:paraId="7DF5290C" w14:textId="14B7F455" w:rsidR="00E72470" w:rsidRPr="00582EF5" w:rsidRDefault="00E72470" w:rsidP="00F33E64">
      <w:pPr>
        <w:pStyle w:val="BodyText"/>
        <w:rPr>
          <w:rFonts w:eastAsia="Times New Roman" w:cs="Times New Roman"/>
        </w:rPr>
      </w:pPr>
    </w:p>
    <w:p w14:paraId="4889D6FB" w14:textId="77777777" w:rsidR="00F33E64" w:rsidRPr="00F33E64" w:rsidRDefault="00F33E64" w:rsidP="00F33E64">
      <w:pPr>
        <w:pStyle w:val="BodyText"/>
      </w:pPr>
      <w:bookmarkStart w:id="106" w:name="_Chapter_6:_Stockpiles,"/>
      <w:bookmarkStart w:id="107" w:name="_Toc531102796"/>
      <w:bookmarkEnd w:id="106"/>
      <w:r w:rsidRPr="00F33E64">
        <w:br w:type="page"/>
      </w:r>
    </w:p>
    <w:p w14:paraId="4134AC9E" w14:textId="3511A62E" w:rsidR="00E72470" w:rsidRPr="00582EF5" w:rsidRDefault="00116116" w:rsidP="00D04244">
      <w:pPr>
        <w:pStyle w:val="Heading1"/>
        <w:rPr>
          <w:b w:val="0"/>
        </w:rPr>
      </w:pPr>
      <w:bookmarkStart w:id="108" w:name="_Toc120532248"/>
      <w:r w:rsidRPr="00582EF5">
        <w:lastRenderedPageBreak/>
        <w:t>Chapter 6: Stockpiles, waste disposal and contaminated sites</w:t>
      </w:r>
      <w:bookmarkEnd w:id="107"/>
      <w:bookmarkEnd w:id="108"/>
    </w:p>
    <w:p w14:paraId="3050C7F9" w14:textId="34DB4B18" w:rsidR="008315FA" w:rsidRPr="00582EF5" w:rsidRDefault="008315FA" w:rsidP="00D04244">
      <w:pPr>
        <w:pStyle w:val="BodyText"/>
      </w:pPr>
      <w:bookmarkStart w:id="109" w:name="_Toc531102797"/>
      <w:r w:rsidRPr="00582EF5">
        <w:t>This chapter out</w:t>
      </w:r>
      <w:r w:rsidR="00865A62" w:rsidRPr="00582EF5">
        <w:t>lines</w:t>
      </w:r>
      <w:r w:rsidRPr="00582EF5">
        <w:t xml:space="preserve"> measures on stockpiles and wastes relating to POPs. In the New Zealand </w:t>
      </w:r>
      <w:r w:rsidR="5A7550F0">
        <w:t>context</w:t>
      </w:r>
      <w:r w:rsidR="00865A62" w:rsidRPr="00582EF5">
        <w:t>,</w:t>
      </w:r>
      <w:r w:rsidRPr="00582EF5">
        <w:t xml:space="preserve"> these measures are addressed under three categories: stockpiles, waste disposal, and contaminated sites.</w:t>
      </w:r>
    </w:p>
    <w:p w14:paraId="1CCEFB99" w14:textId="67E64AE4" w:rsidR="00E72470" w:rsidRPr="00582EF5" w:rsidRDefault="00E72470" w:rsidP="00D04244">
      <w:pPr>
        <w:pStyle w:val="Heading2"/>
        <w:spacing w:before="280"/>
      </w:pPr>
      <w:bookmarkStart w:id="110" w:name="_Toc120532249"/>
      <w:r w:rsidRPr="00582EF5">
        <w:t xml:space="preserve">6.1 </w:t>
      </w:r>
      <w:r w:rsidR="00F512D8" w:rsidRPr="00582EF5">
        <w:tab/>
      </w:r>
      <w:r w:rsidRPr="00582EF5">
        <w:t>Convention obligations</w:t>
      </w:r>
      <w:bookmarkEnd w:id="109"/>
      <w:bookmarkEnd w:id="110"/>
    </w:p>
    <w:p w14:paraId="4B96DA06" w14:textId="13CBEF4E" w:rsidR="00E72470" w:rsidRPr="00582EF5" w:rsidRDefault="00E72470" w:rsidP="00D04244">
      <w:pPr>
        <w:pStyle w:val="BodyText"/>
      </w:pPr>
      <w:r w:rsidRPr="00582EF5">
        <w:t xml:space="preserve">Article 6 of the </w:t>
      </w:r>
      <w:r w:rsidR="00865A62" w:rsidRPr="00582EF5">
        <w:t xml:space="preserve">Stockholm Convention on Persistent Organic Pollutants (the </w:t>
      </w:r>
      <w:r w:rsidRPr="00582EF5">
        <w:t>Convention has measures to reduce or eliminate releases from stockpiles and</w:t>
      </w:r>
      <w:r w:rsidR="00F512D8" w:rsidRPr="00582EF5">
        <w:t> </w:t>
      </w:r>
      <w:r w:rsidRPr="00582EF5">
        <w:t>wastes.</w:t>
      </w:r>
    </w:p>
    <w:p w14:paraId="1AC4FEA9" w14:textId="71730176" w:rsidR="00E72470" w:rsidRPr="00582EF5" w:rsidRDefault="0357BF78" w:rsidP="00D04244">
      <w:pPr>
        <w:pStyle w:val="BodyText"/>
      </w:pPr>
      <w:r w:rsidRPr="00582EF5">
        <w:t>C</w:t>
      </w:r>
      <w:r w:rsidR="72C89534" w:rsidRPr="00582EF5">
        <w:t xml:space="preserve">lear regulations and guidelines </w:t>
      </w:r>
      <w:r w:rsidRPr="00582EF5">
        <w:t xml:space="preserve">are </w:t>
      </w:r>
      <w:r w:rsidR="72C89534" w:rsidRPr="00582EF5">
        <w:t xml:space="preserve">in place for how to store, handle and dispose of POPs safely in the </w:t>
      </w:r>
      <w:r w:rsidR="71F1732F" w:rsidRPr="00582EF5">
        <w:t>few</w:t>
      </w:r>
      <w:r w:rsidR="72C89534" w:rsidRPr="00582EF5">
        <w:t xml:space="preserve"> situations where they are still present in New Zealand. The</w:t>
      </w:r>
      <w:r w:rsidR="1CDD1D0A" w:rsidRPr="00582EF5">
        <w:t xml:space="preserve"> regulations and guidelines</w:t>
      </w:r>
      <w:r w:rsidR="72C89534" w:rsidRPr="00582EF5">
        <w:t xml:space="preserve"> are set out in the Hazardous Substances (Storage and Disposal of </w:t>
      </w:r>
      <w:r w:rsidR="71069C6E" w:rsidRPr="00582EF5">
        <w:t>POPs</w:t>
      </w:r>
      <w:r w:rsidR="72C89534" w:rsidRPr="00582EF5">
        <w:t>) Notice 2004. In February 2018</w:t>
      </w:r>
      <w:r w:rsidR="1CDD1D0A" w:rsidRPr="00582EF5">
        <w:t>,</w:t>
      </w:r>
      <w:r w:rsidR="72C89534" w:rsidRPr="00582EF5">
        <w:t xml:space="preserve"> </w:t>
      </w:r>
      <w:hyperlink r:id="rId99" w:history="1">
        <w:r w:rsidR="72C89534" w:rsidRPr="00C20233">
          <w:rPr>
            <w:rStyle w:val="Hyperlink"/>
          </w:rPr>
          <w:t xml:space="preserve">the </w:t>
        </w:r>
        <w:r w:rsidR="1CDD1D0A" w:rsidRPr="00C20233">
          <w:rPr>
            <w:rStyle w:val="Hyperlink"/>
          </w:rPr>
          <w:t>Environmental Protection Authority (</w:t>
        </w:r>
        <w:r w:rsidR="72C89534" w:rsidRPr="00C20233">
          <w:rPr>
            <w:rStyle w:val="Hyperlink"/>
          </w:rPr>
          <w:t>EPA</w:t>
        </w:r>
        <w:r w:rsidR="1CDD1D0A" w:rsidRPr="00C20233">
          <w:rPr>
            <w:rStyle w:val="Hyperlink"/>
          </w:rPr>
          <w:t>)</w:t>
        </w:r>
        <w:r w:rsidR="72C89534" w:rsidRPr="00C20233">
          <w:rPr>
            <w:rStyle w:val="Hyperlink"/>
          </w:rPr>
          <w:t xml:space="preserve"> published a consolidated version of this Notice</w:t>
        </w:r>
      </w:hyperlink>
      <w:r w:rsidR="71F1732F" w:rsidRPr="00582EF5">
        <w:t>,</w:t>
      </w:r>
      <w:r w:rsidR="72C89534" w:rsidRPr="00582EF5">
        <w:t xml:space="preserve"> to provide easy access to all obligations and responsibilities for affected persons</w:t>
      </w:r>
      <w:r w:rsidR="00513DFA">
        <w:t xml:space="preserve">, which </w:t>
      </w:r>
      <w:r w:rsidR="002E4C75">
        <w:t xml:space="preserve">is </w:t>
      </w:r>
      <w:r w:rsidR="002E4C75" w:rsidRPr="002E4C75">
        <w:t>currently</w:t>
      </w:r>
      <w:r w:rsidR="00513DFA" w:rsidRPr="00D04244">
        <w:t xml:space="preserve"> </w:t>
      </w:r>
      <w:r w:rsidR="00CA17D9" w:rsidRPr="00D04244">
        <w:t xml:space="preserve">being </w:t>
      </w:r>
      <w:r w:rsidR="00513DFA" w:rsidRPr="00D04244">
        <w:t>revis</w:t>
      </w:r>
      <w:r w:rsidR="00C517A0">
        <w:t>ed</w:t>
      </w:r>
      <w:r w:rsidR="00513DFA" w:rsidRPr="00602184">
        <w:t xml:space="preserve"> with a view to having an updated version in place in 2023</w:t>
      </w:r>
      <w:r w:rsidR="002E4C75">
        <w:t>.</w:t>
      </w:r>
    </w:p>
    <w:p w14:paraId="16B72EC9" w14:textId="7F412D30" w:rsidR="00E72470" w:rsidRPr="00582EF5" w:rsidRDefault="00E72470" w:rsidP="00D04244">
      <w:pPr>
        <w:pStyle w:val="Heading2"/>
        <w:spacing w:before="300"/>
      </w:pPr>
      <w:bookmarkStart w:id="111" w:name="_Toc531102798"/>
      <w:bookmarkStart w:id="112" w:name="_Toc120532250"/>
      <w:r w:rsidRPr="00582EF5">
        <w:t xml:space="preserve">6.2 </w:t>
      </w:r>
      <w:r w:rsidR="00F512D8" w:rsidRPr="00582EF5">
        <w:tab/>
      </w:r>
      <w:r w:rsidRPr="00582EF5">
        <w:t>Stockpiles</w:t>
      </w:r>
      <w:bookmarkEnd w:id="111"/>
      <w:bookmarkEnd w:id="112"/>
    </w:p>
    <w:p w14:paraId="0C8A8F8B" w14:textId="795E5F2E" w:rsidR="00E72470" w:rsidRPr="00582EF5" w:rsidRDefault="00A93FB4" w:rsidP="00D04244">
      <w:pPr>
        <w:pStyle w:val="Heading3"/>
        <w:spacing w:before="240"/>
      </w:pPr>
      <w:r w:rsidRPr="00582EF5">
        <w:t>6.2.1</w:t>
      </w:r>
      <w:r w:rsidRPr="00582EF5">
        <w:tab/>
      </w:r>
      <w:r w:rsidR="00E72470" w:rsidRPr="00582EF5">
        <w:t>Legacy chemicals</w:t>
      </w:r>
    </w:p>
    <w:p w14:paraId="3AB175A7" w14:textId="7E84A467" w:rsidR="00E72470" w:rsidRPr="00582EF5" w:rsidRDefault="00E72470" w:rsidP="00D04244">
      <w:pPr>
        <w:pStyle w:val="BodyText"/>
      </w:pPr>
      <w:r w:rsidRPr="00582EF5">
        <w:t>Once POPs are banned (or restricted) under the HSNO Act</w:t>
      </w:r>
      <w:r w:rsidR="00F67AA6" w:rsidRPr="00582EF5">
        <w:t xml:space="preserve"> 1996</w:t>
      </w:r>
      <w:r w:rsidRPr="00582EF5">
        <w:t xml:space="preserve">, it can take time to reduce or eliminate releases from stockpiles. These POPs become known as ‘legacy </w:t>
      </w:r>
      <w:bookmarkStart w:id="113" w:name="_Int_ybc8DRrw"/>
      <w:proofErr w:type="gramStart"/>
      <w:r w:rsidRPr="00582EF5">
        <w:t>chemicals’</w:t>
      </w:r>
      <w:bookmarkEnd w:id="113"/>
      <w:proofErr w:type="gramEnd"/>
      <w:r w:rsidRPr="00582EF5">
        <w:t xml:space="preserve">. </w:t>
      </w:r>
      <w:r w:rsidR="00F67AA6" w:rsidRPr="00582EF5">
        <w:t>S</w:t>
      </w:r>
      <w:r w:rsidRPr="00582EF5">
        <w:t xml:space="preserve">ignificant efforts </w:t>
      </w:r>
      <w:r w:rsidR="00F67AA6" w:rsidRPr="00582EF5">
        <w:t xml:space="preserve">have been made </w:t>
      </w:r>
      <w:r w:rsidRPr="00582EF5">
        <w:t>to ensure all remaining POPs and POP-containing products are identified and disposed</w:t>
      </w:r>
      <w:r w:rsidR="00F67AA6" w:rsidRPr="00582EF5">
        <w:t xml:space="preserve"> of</w:t>
      </w:r>
      <w:r w:rsidRPr="00582EF5">
        <w:t xml:space="preserve"> appropriately. </w:t>
      </w:r>
    </w:p>
    <w:p w14:paraId="44FB5D50" w14:textId="1816D085" w:rsidR="00E72470" w:rsidRPr="00582EF5" w:rsidRDefault="00E72470" w:rsidP="00D04244">
      <w:pPr>
        <w:pStyle w:val="BodyText"/>
      </w:pPr>
      <w:r w:rsidRPr="00582EF5">
        <w:t xml:space="preserve">Successful activities to remove legacy </w:t>
      </w:r>
      <w:r w:rsidR="00DD640A">
        <w:t>POPs</w:t>
      </w:r>
      <w:r w:rsidR="00DD640A" w:rsidRPr="00582EF5">
        <w:t xml:space="preserve"> </w:t>
      </w:r>
      <w:r w:rsidRPr="00582EF5">
        <w:t xml:space="preserve">from New Zealand have included a phase-out programme and destruction of </w:t>
      </w:r>
      <w:r w:rsidR="00F67AA6" w:rsidRPr="00582EF5">
        <w:t>polychlorinated biphenyls (</w:t>
      </w:r>
      <w:r w:rsidRPr="00582EF5">
        <w:t>PCBs</w:t>
      </w:r>
      <w:r w:rsidR="00F67AA6" w:rsidRPr="00582EF5">
        <w:t>)</w:t>
      </w:r>
      <w:r w:rsidRPr="00582EF5">
        <w:t xml:space="preserve"> (see chapter 3), and government-funded national collection programmes for POPs used in the past (especially in agriculture).</w:t>
      </w:r>
    </w:p>
    <w:p w14:paraId="7A379123" w14:textId="6F0CBD6A" w:rsidR="00E72470" w:rsidRPr="00582EF5" w:rsidRDefault="00E72470" w:rsidP="00D04244">
      <w:pPr>
        <w:pStyle w:val="BodyText"/>
      </w:pPr>
      <w:r w:rsidRPr="00582EF5">
        <w:t>Removal and disposal of remaining stockpiles relies largely on individuals identifying POPs on their properties and taking the necessary action to dispose of these chemicals</w:t>
      </w:r>
      <w:r w:rsidR="00D3773C" w:rsidRPr="00582EF5">
        <w:t xml:space="preserve"> safely</w:t>
      </w:r>
      <w:r w:rsidRPr="00582EF5">
        <w:t xml:space="preserve">. This makes it difficult to accurately ascertain the levels of POPs still likely to be present in New Zealand. New Zealand’s large farming industry means that POPs are often found on farming properties where the landowners have not </w:t>
      </w:r>
      <w:bookmarkStart w:id="114" w:name="_Int_KO4WwRhT"/>
      <w:r w:rsidRPr="00582EF5">
        <w:t>realised</w:t>
      </w:r>
      <w:bookmarkEnd w:id="114"/>
      <w:r w:rsidRPr="00582EF5">
        <w:t xml:space="preserve"> they are present, do not know what to do with them or have been unwilling to pay for collection to ensure correct disposal. However, the high uptake of free collection services</w:t>
      </w:r>
      <w:r w:rsidR="00F0351F" w:rsidRPr="00582EF5">
        <w:t>,</w:t>
      </w:r>
      <w:r w:rsidRPr="00582EF5">
        <w:t xml:space="preserve"> such as the ‘DDT Muster’ described in </w:t>
      </w:r>
      <w:r w:rsidR="00731679" w:rsidRPr="00582EF5">
        <w:t>c</w:t>
      </w:r>
      <w:r w:rsidRPr="00582EF5">
        <w:t>hapter 3</w:t>
      </w:r>
      <w:r w:rsidR="00F0351F" w:rsidRPr="00582EF5">
        <w:t>,</w:t>
      </w:r>
      <w:r w:rsidRPr="00582EF5">
        <w:t xml:space="preserve"> indicate</w:t>
      </w:r>
      <w:r w:rsidR="00F0351F" w:rsidRPr="00582EF5">
        <w:t>s</w:t>
      </w:r>
      <w:r w:rsidRPr="00582EF5">
        <w:t xml:space="preserve"> that individuals are willing to remove POPs from their property provided removal services are readily offered.</w:t>
      </w:r>
    </w:p>
    <w:p w14:paraId="27DDF3A8" w14:textId="77777777" w:rsidR="001F4438" w:rsidRDefault="001F4438">
      <w:pPr>
        <w:spacing w:before="0" w:after="200" w:line="276" w:lineRule="auto"/>
        <w:jc w:val="left"/>
        <w:rPr>
          <w:rFonts w:eastAsiaTheme="majorEastAsia" w:cstheme="majorBidi"/>
          <w:b/>
          <w:bCs/>
          <w:color w:val="0F7B7D"/>
          <w:sz w:val="24"/>
        </w:rPr>
      </w:pPr>
      <w:bookmarkStart w:id="115" w:name="_Agrichemicals_that_are"/>
      <w:bookmarkEnd w:id="115"/>
      <w:r>
        <w:br w:type="page"/>
      </w:r>
    </w:p>
    <w:p w14:paraId="40C7EC11" w14:textId="233AF537" w:rsidR="00E72470" w:rsidRPr="00582EF5" w:rsidRDefault="00E72470" w:rsidP="00D04244">
      <w:pPr>
        <w:pStyle w:val="Heading4"/>
      </w:pPr>
      <w:r w:rsidRPr="00582EF5">
        <w:lastRenderedPageBreak/>
        <w:t xml:space="preserve">Agrichemicals that are </w:t>
      </w:r>
      <w:r w:rsidR="00EF23B5" w:rsidRPr="00582EF5">
        <w:t>persistent organic pollutants</w:t>
      </w:r>
    </w:p>
    <w:p w14:paraId="50B827DC" w14:textId="22B16C50" w:rsidR="00E72470" w:rsidRPr="00582EF5" w:rsidRDefault="72C89534" w:rsidP="00D04244">
      <w:pPr>
        <w:pStyle w:val="BodyText"/>
      </w:pPr>
      <w:r w:rsidRPr="00582EF5">
        <w:t xml:space="preserve">Storage, handling and disposal of </w:t>
      </w:r>
      <w:r w:rsidR="653CB962" w:rsidRPr="00582EF5">
        <w:t xml:space="preserve">agrichemicals </w:t>
      </w:r>
      <w:r w:rsidRPr="00582EF5">
        <w:t xml:space="preserve">that are considered </w:t>
      </w:r>
      <w:r w:rsidR="653CB962" w:rsidRPr="00582EF5">
        <w:t xml:space="preserve">POPs </w:t>
      </w:r>
      <w:r w:rsidRPr="00582EF5">
        <w:t xml:space="preserve">must comply with </w:t>
      </w:r>
      <w:r w:rsidRPr="00602184">
        <w:t xml:space="preserve">the </w:t>
      </w:r>
      <w:hyperlink r:id="rId100" w:history="1">
        <w:r w:rsidR="00130120" w:rsidRPr="00602184">
          <w:rPr>
            <w:rStyle w:val="Hyperlink"/>
          </w:rPr>
          <w:t>Hazardous Substances (Disposal) Notice 2017</w:t>
        </w:r>
      </w:hyperlink>
      <w:r w:rsidRPr="00582EF5">
        <w:t>.</w:t>
      </w:r>
      <w:r w:rsidRPr="00582EF5">
        <w:rPr>
          <w:vertAlign w:val="superscript"/>
        </w:rPr>
        <w:t xml:space="preserve"> </w:t>
      </w:r>
    </w:p>
    <w:p w14:paraId="684EB642" w14:textId="66B36768" w:rsidR="000C1DBC" w:rsidRPr="00582EF5" w:rsidRDefault="72C89534" w:rsidP="00D04244">
      <w:pPr>
        <w:pStyle w:val="BodyText"/>
      </w:pPr>
      <w:r w:rsidRPr="00582EF5">
        <w:t>MfE</w:t>
      </w:r>
      <w:r w:rsidR="4A043705" w:rsidRPr="00582EF5">
        <w:t>,</w:t>
      </w:r>
      <w:r w:rsidRPr="00582EF5">
        <w:t xml:space="preserve"> together with local government</w:t>
      </w:r>
      <w:r w:rsidR="4A043705" w:rsidRPr="00582EF5">
        <w:t>,</w:t>
      </w:r>
      <w:r w:rsidRPr="00582EF5">
        <w:t xml:space="preserve"> </w:t>
      </w:r>
      <w:r w:rsidR="254DD0E3" w:rsidRPr="00582EF5">
        <w:t>has undertaken</w:t>
      </w:r>
      <w:r w:rsidRPr="00582EF5">
        <w:t xml:space="preserve"> national collection of agricultural chemicals in rural New Zealand. The </w:t>
      </w:r>
      <w:r w:rsidR="254DD0E3" w:rsidRPr="00582EF5">
        <w:t xml:space="preserve">first stage </w:t>
      </w:r>
      <w:r w:rsidR="39C1F08A" w:rsidRPr="00582EF5">
        <w:t>involved</w:t>
      </w:r>
      <w:r w:rsidRPr="00582EF5">
        <w:t xml:space="preserve"> remov</w:t>
      </w:r>
      <w:r w:rsidR="39C1F08A" w:rsidRPr="00582EF5">
        <w:t>ing</w:t>
      </w:r>
      <w:r w:rsidRPr="00582EF5">
        <w:t xml:space="preserve"> as much as possible </w:t>
      </w:r>
      <w:r w:rsidR="4F4B428C" w:rsidRPr="00582EF5">
        <w:t xml:space="preserve">of </w:t>
      </w:r>
      <w:r w:rsidRPr="00582EF5">
        <w:t>the historical legacy of agrichemicals stored in rural sheds across the country</w:t>
      </w:r>
      <w:r w:rsidR="254DD0E3" w:rsidRPr="00582EF5">
        <w:t>, particularly POP pesticides (</w:t>
      </w:r>
      <w:r w:rsidR="254DD0E3" w:rsidRPr="00602184">
        <w:t xml:space="preserve">see </w:t>
      </w:r>
      <w:r w:rsidR="4F4B428C" w:rsidRPr="00602184">
        <w:t xml:space="preserve">the </w:t>
      </w:r>
      <w:hyperlink r:id="rId101" w:history="1">
        <w:r w:rsidR="4F4B428C" w:rsidRPr="00223E9E">
          <w:rPr>
            <w:rStyle w:val="Hyperlink"/>
          </w:rPr>
          <w:t>2006 National Implementation Plan</w:t>
        </w:r>
      </w:hyperlink>
      <w:r w:rsidR="254DD0E3" w:rsidRPr="00582EF5">
        <w:t>)</w:t>
      </w:r>
      <w:r w:rsidRPr="00582EF5">
        <w:t xml:space="preserve">. </w:t>
      </w:r>
      <w:r w:rsidR="254DD0E3" w:rsidRPr="00582EF5">
        <w:t>Between 2003 and 2006</w:t>
      </w:r>
      <w:r w:rsidR="4F4B428C" w:rsidRPr="00582EF5">
        <w:t>,</w:t>
      </w:r>
      <w:r w:rsidR="254DD0E3" w:rsidRPr="00582EF5">
        <w:t xml:space="preserve"> MfE and 13 regional councils (out of 16) worked together to collect over 290</w:t>
      </w:r>
      <w:r w:rsidR="4F4B428C" w:rsidRPr="00582EF5">
        <w:t> </w:t>
      </w:r>
      <w:r w:rsidR="254DD0E3" w:rsidRPr="00582EF5">
        <w:t>tonnes of unwanted agricultural chemicals, mainly from rural properties. Most chemicals collected were POPs. During this period, New Zealand safely disposed of 225</w:t>
      </w:r>
      <w:r w:rsidR="4F4B428C" w:rsidRPr="00582EF5">
        <w:t> </w:t>
      </w:r>
      <w:r w:rsidR="254DD0E3" w:rsidRPr="00582EF5">
        <w:t>tonnes of old and unwanted agricultural chemicals. Councils (to varying degrees) continue to clear their regions of any further agrichemical stockpile</w:t>
      </w:r>
      <w:r w:rsidR="4F4B428C" w:rsidRPr="00582EF5">
        <w:t>s</w:t>
      </w:r>
      <w:r w:rsidR="254DD0E3" w:rsidRPr="00582EF5">
        <w:t>.</w:t>
      </w:r>
    </w:p>
    <w:p w14:paraId="29ABDE3D" w14:textId="507B2637" w:rsidR="00FD12B5" w:rsidRPr="00582EF5" w:rsidRDefault="72C89534" w:rsidP="00D04244">
      <w:pPr>
        <w:pStyle w:val="BodyText"/>
      </w:pPr>
      <w:r w:rsidRPr="00582EF5">
        <w:t xml:space="preserve">The second stage </w:t>
      </w:r>
      <w:r w:rsidR="379C854D" w:rsidRPr="00582EF5">
        <w:t>involves</w:t>
      </w:r>
      <w:r w:rsidRPr="00582EF5">
        <w:t xml:space="preserve"> </w:t>
      </w:r>
      <w:r w:rsidR="4F4B428C" w:rsidRPr="00582EF5">
        <w:t>implement</w:t>
      </w:r>
      <w:r w:rsidR="379C854D" w:rsidRPr="00582EF5">
        <w:t>ing</w:t>
      </w:r>
      <w:r w:rsidRPr="00582EF5">
        <w:t xml:space="preserve"> a longer-term industry-led extended producer responsibility</w:t>
      </w:r>
      <w:r w:rsidR="434BCBBE" w:rsidRPr="00582EF5">
        <w:t> </w:t>
      </w:r>
      <w:r w:rsidRPr="00582EF5">
        <w:t xml:space="preserve">solution </w:t>
      </w:r>
      <w:r w:rsidR="254DD0E3" w:rsidRPr="00582EF5">
        <w:t>to manage and dispose</w:t>
      </w:r>
      <w:r w:rsidRPr="00582EF5">
        <w:t xml:space="preserve"> of future unwanted chemicals. </w:t>
      </w:r>
      <w:r w:rsidR="3FDB1B1F" w:rsidRPr="00582EF5">
        <w:t>For example</w:t>
      </w:r>
      <w:r w:rsidR="4F4B428C" w:rsidRPr="00582EF5">
        <w:t>,</w:t>
      </w:r>
      <w:r w:rsidR="3FDB1B1F" w:rsidRPr="00582EF5">
        <w:t xml:space="preserve"> funding of </w:t>
      </w:r>
      <w:hyperlink r:id="rId102" w:history="1">
        <w:proofErr w:type="spellStart"/>
        <w:r w:rsidR="3FDB1B1F" w:rsidRPr="005A0BD4">
          <w:rPr>
            <w:rStyle w:val="Hyperlink"/>
          </w:rPr>
          <w:t>Agrecovery</w:t>
        </w:r>
        <w:proofErr w:type="spellEnd"/>
      </w:hyperlink>
      <w:r w:rsidR="3FDB1B1F" w:rsidRPr="00582EF5">
        <w:t xml:space="preserve"> schemes, a nationwide rural recycling programme for the recovery of agrichemicals, are partially contributed </w:t>
      </w:r>
      <w:r w:rsidR="4F4B428C" w:rsidRPr="00582EF5">
        <w:t xml:space="preserve">to </w:t>
      </w:r>
      <w:r w:rsidR="3FDB1B1F" w:rsidRPr="00582EF5">
        <w:t xml:space="preserve">by chemical producers. </w:t>
      </w:r>
      <w:proofErr w:type="spellStart"/>
      <w:r w:rsidR="3FDB1B1F" w:rsidRPr="00582EF5">
        <w:t>Agrecovery</w:t>
      </w:r>
      <w:proofErr w:type="spellEnd"/>
      <w:r w:rsidR="3FDB1B1F" w:rsidRPr="00582EF5">
        <w:t xml:space="preserve"> is a not-for-profit charitable trust, established in 2006 to address persistent ‘on farm’ waste issues. </w:t>
      </w:r>
      <w:proofErr w:type="spellStart"/>
      <w:r w:rsidR="3FDB1B1F" w:rsidRPr="00582EF5">
        <w:t>Agrecovery</w:t>
      </w:r>
      <w:proofErr w:type="spellEnd"/>
      <w:r w:rsidR="3FDB1B1F" w:rsidRPr="00582EF5">
        <w:t xml:space="preserve"> provides New Zealand farmers and growers with nationwide programmes for container recycling, drum recovery and the collection of unwanted or expired chemicals. </w:t>
      </w:r>
      <w:proofErr w:type="spellStart"/>
      <w:r w:rsidR="4C73548F" w:rsidRPr="00582EF5">
        <w:t>Agrecovery</w:t>
      </w:r>
      <w:proofErr w:type="spellEnd"/>
      <w:r w:rsidR="4C73548F" w:rsidRPr="00582EF5">
        <w:t xml:space="preserve"> Containers and Chemicals are </w:t>
      </w:r>
      <w:hyperlink r:id="rId103" w:tgtFrame="_blank" w:history="1">
        <w:r w:rsidR="4C73548F" w:rsidRPr="005A0BD4">
          <w:rPr>
            <w:rStyle w:val="Hyperlink"/>
          </w:rPr>
          <w:t>accredited Product Stewardship Schemes un</w:t>
        </w:r>
        <w:r w:rsidR="002F7D11">
          <w:rPr>
            <w:rStyle w:val="Hyperlink"/>
          </w:rPr>
          <w:t>der</w:t>
        </w:r>
      </w:hyperlink>
      <w:r w:rsidR="4C73548F" w:rsidRPr="00582EF5">
        <w:t xml:space="preserve"> the </w:t>
      </w:r>
      <w:r w:rsidR="70B77610" w:rsidRPr="00582EF5">
        <w:t xml:space="preserve">Waste Minimisation Act </w:t>
      </w:r>
      <w:r w:rsidR="4C73548F" w:rsidRPr="00582EF5">
        <w:t>2008</w:t>
      </w:r>
      <w:r w:rsidR="40D01ED4" w:rsidRPr="00582EF5">
        <w:t xml:space="preserve"> </w:t>
      </w:r>
    </w:p>
    <w:p w14:paraId="7EE5757E" w14:textId="65DEB12C" w:rsidR="00E72470" w:rsidRPr="00582EF5" w:rsidRDefault="72C89534" w:rsidP="00D04244">
      <w:pPr>
        <w:pStyle w:val="BodyText"/>
      </w:pPr>
      <w:r w:rsidRPr="00582EF5">
        <w:t xml:space="preserve">EPA and MfE are </w:t>
      </w:r>
      <w:r w:rsidR="50D1CC46" w:rsidRPr="00582EF5">
        <w:t xml:space="preserve">also </w:t>
      </w:r>
      <w:r w:rsidRPr="00582EF5">
        <w:t xml:space="preserve">focusing </w:t>
      </w:r>
      <w:r w:rsidR="254DD0E3" w:rsidRPr="00582EF5">
        <w:t xml:space="preserve">on strengthening the </w:t>
      </w:r>
      <w:r w:rsidR="50D1CC46" w:rsidRPr="00582EF5">
        <w:t xml:space="preserve">broader </w:t>
      </w:r>
      <w:r w:rsidRPr="00582EF5">
        <w:t xml:space="preserve">hazardous substances compliance system. </w:t>
      </w:r>
      <w:r w:rsidRPr="00602184">
        <w:t>This partially aims to better manage chemical stockpiles and clean</w:t>
      </w:r>
      <w:r w:rsidR="6FEA4108" w:rsidRPr="00602184">
        <w:t xml:space="preserve"> </w:t>
      </w:r>
      <w:r w:rsidRPr="00602184">
        <w:t>up</w:t>
      </w:r>
      <w:r w:rsidR="03EC0A44" w:rsidRPr="00582EF5">
        <w:t>.</w:t>
      </w:r>
      <w:r w:rsidRPr="00582EF5">
        <w:t xml:space="preserve"> </w:t>
      </w:r>
      <w:hyperlink r:id="rId104" w:history="1">
        <w:r w:rsidR="6FEA4108" w:rsidRPr="00F85468">
          <w:rPr>
            <w:rStyle w:val="Hyperlink"/>
          </w:rPr>
          <w:t>EPA and MfE</w:t>
        </w:r>
        <w:r w:rsidRPr="00F85468">
          <w:rPr>
            <w:rStyle w:val="Hyperlink"/>
          </w:rPr>
          <w:t xml:space="preserve"> are also undertaking work</w:t>
        </w:r>
      </w:hyperlink>
      <w:r w:rsidRPr="00582EF5">
        <w:t xml:space="preserve"> to </w:t>
      </w:r>
      <w:hyperlink r:id="rId105" w:history="1">
        <w:r w:rsidRPr="00F85468">
          <w:rPr>
            <w:rStyle w:val="Hyperlink"/>
          </w:rPr>
          <w:t>modernise New Zealand’s chemical management system</w:t>
        </w:r>
      </w:hyperlink>
      <w:r w:rsidR="00FB18D6">
        <w:t xml:space="preserve">, </w:t>
      </w:r>
      <w:r w:rsidR="00A267DD">
        <w:t xml:space="preserve">also </w:t>
      </w:r>
      <w:r w:rsidR="00FB18D6">
        <w:t xml:space="preserve">resulting in </w:t>
      </w:r>
      <w:r w:rsidR="00505412" w:rsidRPr="00D04244">
        <w:t xml:space="preserve">HSNO Act amendments which have </w:t>
      </w:r>
      <w:r w:rsidR="00A267DD" w:rsidRPr="00D04244">
        <w:t>recently</w:t>
      </w:r>
      <w:r w:rsidR="00505412" w:rsidRPr="00D04244">
        <w:t xml:space="preserve"> been passed</w:t>
      </w:r>
      <w:r w:rsidRPr="00582EF5">
        <w:t>.</w:t>
      </w:r>
    </w:p>
    <w:p w14:paraId="43D94EBF" w14:textId="32D34CBD" w:rsidR="00E72470" w:rsidRPr="00582EF5" w:rsidRDefault="00E72470" w:rsidP="00D04244">
      <w:pPr>
        <w:pStyle w:val="Heading2"/>
      </w:pPr>
      <w:bookmarkStart w:id="116" w:name="_Toc531102799"/>
      <w:bookmarkStart w:id="117" w:name="_Toc120532251"/>
      <w:r w:rsidRPr="00582EF5">
        <w:t xml:space="preserve">6.3 </w:t>
      </w:r>
      <w:r w:rsidR="000F7B59" w:rsidRPr="00582EF5">
        <w:tab/>
      </w:r>
      <w:r w:rsidRPr="00582EF5">
        <w:t>Waste</w:t>
      </w:r>
      <w:bookmarkEnd w:id="116"/>
      <w:bookmarkEnd w:id="117"/>
    </w:p>
    <w:p w14:paraId="02AEC57D" w14:textId="012114F2" w:rsidR="00E72470" w:rsidRPr="00582EF5" w:rsidRDefault="00A93FB4" w:rsidP="00D04244">
      <w:pPr>
        <w:pStyle w:val="Heading3"/>
        <w:spacing w:before="240"/>
      </w:pPr>
      <w:r w:rsidRPr="00582EF5">
        <w:t>6.3.1</w:t>
      </w:r>
      <w:r w:rsidRPr="00582EF5">
        <w:tab/>
      </w:r>
      <w:r w:rsidR="00E72470" w:rsidRPr="00582EF5">
        <w:t xml:space="preserve">How </w:t>
      </w:r>
      <w:r w:rsidR="00CF7497" w:rsidRPr="00582EF5">
        <w:t>persistent organic pollutant</w:t>
      </w:r>
      <w:r w:rsidR="00E72470" w:rsidRPr="00582EF5">
        <w:t xml:space="preserve"> wastes are handled in New</w:t>
      </w:r>
      <w:r w:rsidR="00CF7497" w:rsidRPr="00582EF5">
        <w:t> </w:t>
      </w:r>
      <w:r w:rsidR="00E72470" w:rsidRPr="00582EF5">
        <w:t>Zealand</w:t>
      </w:r>
    </w:p>
    <w:p w14:paraId="05DB068F" w14:textId="706EB909" w:rsidR="00E72470" w:rsidRPr="00582EF5" w:rsidRDefault="72912BA5" w:rsidP="00D04244">
      <w:pPr>
        <w:pStyle w:val="BodyText"/>
      </w:pPr>
      <w:r w:rsidRPr="00582EF5">
        <w:t xml:space="preserve">POP wastes must be exported for destruction. </w:t>
      </w:r>
      <w:r w:rsidR="72C89534" w:rsidRPr="00582EF5">
        <w:t xml:space="preserve">The disposal of POPs must comply with the </w:t>
      </w:r>
      <w:hyperlink r:id="rId106" w:history="1">
        <w:r w:rsidR="009B778E" w:rsidRPr="00C63AAF">
          <w:rPr>
            <w:rStyle w:val="Hyperlink"/>
          </w:rPr>
          <w:t>Hazardous Substances (Disposal) Notice 2017</w:t>
        </w:r>
      </w:hyperlink>
      <w:r w:rsidR="009B778E">
        <w:t xml:space="preserve"> </w:t>
      </w:r>
      <w:r w:rsidR="009B778E" w:rsidRPr="00582EF5">
        <w:rPr>
          <w:vertAlign w:val="superscript"/>
        </w:rPr>
        <w:t xml:space="preserve"> </w:t>
      </w:r>
      <w:r w:rsidR="72C89534" w:rsidRPr="00582EF5">
        <w:t>under the HSNO Act</w:t>
      </w:r>
      <w:r w:rsidR="5FCC630C" w:rsidRPr="00582EF5">
        <w:t xml:space="preserve"> 1996</w:t>
      </w:r>
      <w:r w:rsidR="72C89534" w:rsidRPr="00582EF5">
        <w:t xml:space="preserve">. </w:t>
      </w:r>
    </w:p>
    <w:p w14:paraId="3E974DA1" w14:textId="7E84ED22" w:rsidR="00E72470" w:rsidRPr="00582EF5" w:rsidRDefault="00E72470" w:rsidP="00D04244">
      <w:pPr>
        <w:pStyle w:val="BodyText"/>
      </w:pPr>
      <w:r w:rsidRPr="00582EF5">
        <w:t xml:space="preserve">New Zealand must also comply with the requirements for the environmentally sound management of POP wastes set out in </w:t>
      </w:r>
      <w:r w:rsidR="000276B1" w:rsidRPr="00582EF5">
        <w:t xml:space="preserve">the </w:t>
      </w:r>
      <w:r w:rsidRPr="00582EF5">
        <w:t>Basel Convention on the Control of Transboundary Movements of Hazardous Wastes and their Disposal. The Basel Convention has been implemented into domestic legislation primarily through I&amp;E Order 2004. This Order requires permits from the EPA to import or export waste containing POPs.</w:t>
      </w:r>
      <w:r w:rsidR="006D7E9D" w:rsidRPr="00582EF5">
        <w:t xml:space="preserve"> </w:t>
      </w:r>
    </w:p>
    <w:p w14:paraId="4D89F45E" w14:textId="06C07EC2" w:rsidR="00E72470" w:rsidRPr="00582EF5" w:rsidRDefault="72C89534" w:rsidP="00D04244">
      <w:pPr>
        <w:pStyle w:val="BodyText"/>
      </w:pPr>
      <w:r w:rsidRPr="00582EF5">
        <w:t xml:space="preserve">New Zealand </w:t>
      </w:r>
      <w:r w:rsidR="7E84B73F" w:rsidRPr="00582EF5">
        <w:t>also implements its obligations under</w:t>
      </w:r>
      <w:r w:rsidRPr="00582EF5">
        <w:t xml:space="preserve"> the </w:t>
      </w:r>
      <w:hyperlink r:id="rId107" w:history="1">
        <w:proofErr w:type="spellStart"/>
        <w:r w:rsidRPr="006F2E8D">
          <w:rPr>
            <w:rStyle w:val="Hyperlink"/>
          </w:rPr>
          <w:t>Waigani</w:t>
        </w:r>
        <w:proofErr w:type="spellEnd"/>
        <w:r w:rsidRPr="006F2E8D">
          <w:rPr>
            <w:rStyle w:val="Hyperlink"/>
          </w:rPr>
          <w:t xml:space="preserve"> Convention</w:t>
        </w:r>
      </w:hyperlink>
      <w:r w:rsidRPr="00582EF5">
        <w:t xml:space="preserve"> (a regional agreement under the Basel Convention </w:t>
      </w:r>
      <w:r w:rsidR="3AD41BEC" w:rsidRPr="00582EF5">
        <w:t xml:space="preserve">that </w:t>
      </w:r>
      <w:r w:rsidRPr="00582EF5">
        <w:t>ensur</w:t>
      </w:r>
      <w:r w:rsidR="3AD41BEC" w:rsidRPr="00582EF5">
        <w:t>es</w:t>
      </w:r>
      <w:r w:rsidRPr="00582EF5">
        <w:t xml:space="preserve"> hazardous waste cannot travel from New</w:t>
      </w:r>
      <w:r w:rsidR="434BCBBE" w:rsidRPr="00582EF5">
        <w:t> </w:t>
      </w:r>
      <w:r w:rsidRPr="00582EF5">
        <w:t xml:space="preserve">Zealand and Australia to another Pacific country or Antarctica) and the </w:t>
      </w:r>
      <w:hyperlink r:id="rId108" w:history="1">
        <w:r w:rsidR="3AD41BEC" w:rsidRPr="006F2E8D">
          <w:rPr>
            <w:rStyle w:val="Hyperlink"/>
          </w:rPr>
          <w:t xml:space="preserve">Organisation for Economic Co-operation and Development </w:t>
        </w:r>
        <w:r w:rsidRPr="006F2E8D">
          <w:rPr>
            <w:rStyle w:val="Hyperlink"/>
          </w:rPr>
          <w:t>Hazardous Waste Decision</w:t>
        </w:r>
      </w:hyperlink>
      <w:r w:rsidRPr="00582EF5">
        <w:t>.</w:t>
      </w:r>
    </w:p>
    <w:p w14:paraId="58FEA25F" w14:textId="77777777" w:rsidR="00DD7AF7" w:rsidRDefault="00581508" w:rsidP="00DD7AF7">
      <w:pPr>
        <w:pStyle w:val="BodyText"/>
      </w:pPr>
      <w:r>
        <w:t xml:space="preserve">The </w:t>
      </w:r>
      <w:r w:rsidRPr="00581508">
        <w:t>Hazardous Substances (Disposal) Notice 2017</w:t>
      </w:r>
      <w:r w:rsidRPr="00582EF5" w:rsidDel="00581508">
        <w:t xml:space="preserve"> </w:t>
      </w:r>
      <w:r w:rsidR="00531714" w:rsidRPr="00582EF5">
        <w:t>states that POP wastes cannot be disposed of to a landfill. Increasingly</w:t>
      </w:r>
      <w:r w:rsidR="00183C70" w:rsidRPr="00582EF5">
        <w:t>,</w:t>
      </w:r>
      <w:r w:rsidR="00531714" w:rsidRPr="00582EF5">
        <w:t xml:space="preserve"> with waste containing POPs such as flame retarded plastic waste </w:t>
      </w:r>
      <w:r w:rsidR="00531714" w:rsidRPr="00582EF5">
        <w:lastRenderedPageBreak/>
        <w:t xml:space="preserve">and </w:t>
      </w:r>
      <w:r w:rsidR="00183C70" w:rsidRPr="00582EF5">
        <w:t>hexabromocyclododecane</w:t>
      </w:r>
      <w:r w:rsidR="001A09E9" w:rsidRPr="00582EF5">
        <w:t>-</w:t>
      </w:r>
      <w:r w:rsidR="00183C70" w:rsidRPr="00582EF5">
        <w:t xml:space="preserve"> (</w:t>
      </w:r>
      <w:r w:rsidR="00531714" w:rsidRPr="00582EF5">
        <w:t>HBCD</w:t>
      </w:r>
      <w:r w:rsidR="001A09E9" w:rsidRPr="00582EF5">
        <w:t>-</w:t>
      </w:r>
      <w:r w:rsidR="00183C70" w:rsidRPr="00582EF5">
        <w:t>)</w:t>
      </w:r>
      <w:r w:rsidR="00531714" w:rsidRPr="00582EF5">
        <w:t xml:space="preserve"> containing polystyrene, the management of POP disposal is much more problematic (see </w:t>
      </w:r>
      <w:r w:rsidR="00183C70" w:rsidRPr="00582EF5">
        <w:t>6.3.3 E</w:t>
      </w:r>
      <w:r w:rsidR="00531714" w:rsidRPr="00582EF5">
        <w:t>lectronic waste).</w:t>
      </w:r>
      <w:r w:rsidR="00DD7AF7" w:rsidRPr="00DD7AF7">
        <w:t xml:space="preserve"> </w:t>
      </w:r>
    </w:p>
    <w:p w14:paraId="1C048DCD" w14:textId="30C2A957" w:rsidR="78DD2442" w:rsidRDefault="78DD2442" w:rsidP="00602184">
      <w:pPr>
        <w:pStyle w:val="BodyText"/>
      </w:pPr>
      <w:r w:rsidRPr="1A06031B">
        <w:t>In 2022, Channel Infrastructure NZ (formerly the New Zealand Refining Company) was fined $169,000 after firefighting foam banned from use in training exercises was used multiple times at Marsden Point Oil Refinery, with foam ending up polluting the Whangārei Harbour.</w:t>
      </w:r>
    </w:p>
    <w:p w14:paraId="015365C2" w14:textId="7D5A6B22" w:rsidR="78DD2442" w:rsidRDefault="78DD2442" w:rsidP="00602184">
      <w:pPr>
        <w:pStyle w:val="BodyText"/>
      </w:pPr>
      <w:r w:rsidRPr="00602184">
        <w:t xml:space="preserve">This was in direct breach of the provision in the New Zealand Fire Fighting Chemicals Group Standard which implements in para 2(b) of Part X of Annex A of the Stockholm Convention relating to the listing of PFOA, its salts and PFOA-related compounds. </w:t>
      </w:r>
    </w:p>
    <w:p w14:paraId="41EC0367" w14:textId="610C7501" w:rsidR="78DD2442" w:rsidRDefault="78DD2442" w:rsidP="00602184">
      <w:pPr>
        <w:pStyle w:val="BodyText"/>
      </w:pPr>
      <w:r w:rsidRPr="1A06031B">
        <w:t>The Environmental Protection Authority (EPA) laid seven charges against the company (formerly the New Zealand Refining Company Limited) under the Hazardous Substances and New Organisms Act (HSNO Act) and a further seven charges under the Resource Management Act.</w:t>
      </w:r>
    </w:p>
    <w:p w14:paraId="5EB2B201" w14:textId="7F4A9BD2" w:rsidR="78DD2442" w:rsidRDefault="78DD2442" w:rsidP="00602184">
      <w:pPr>
        <w:pStyle w:val="BodyText"/>
      </w:pPr>
      <w:r w:rsidRPr="1A06031B">
        <w:t xml:space="preserve">The efficient </w:t>
      </w:r>
      <w:r w:rsidRPr="00602184">
        <w:t>prosecution</w:t>
      </w:r>
      <w:r w:rsidRPr="1A06031B">
        <w:t xml:space="preserve"> of the responsible company serves a good example on how well the relevant legislation is enforced under New Zealand law</w:t>
      </w:r>
      <w:r w:rsidR="00602184">
        <w:t>.</w:t>
      </w:r>
    </w:p>
    <w:p w14:paraId="3985871C" w14:textId="697CA885" w:rsidR="00E72470" w:rsidRPr="00582EF5" w:rsidRDefault="7E830C18" w:rsidP="00D04244">
      <w:pPr>
        <w:pStyle w:val="Heading3"/>
      </w:pPr>
      <w:r>
        <w:t>6.3.2</w:t>
      </w:r>
      <w:r w:rsidR="00A93FB4">
        <w:tab/>
      </w:r>
      <w:r w:rsidR="5CB16111">
        <w:t>Per- and poly-fluoroalkyl substances</w:t>
      </w:r>
      <w:r w:rsidR="72C89534">
        <w:t xml:space="preserve"> waste </w:t>
      </w:r>
    </w:p>
    <w:p w14:paraId="529D0D58" w14:textId="330A43DB" w:rsidR="00E72470" w:rsidRDefault="00061B30" w:rsidP="00D04244">
      <w:pPr>
        <w:pStyle w:val="BodyText"/>
      </w:pPr>
      <w:r w:rsidRPr="00582EF5">
        <w:t xml:space="preserve">Firefighting foams contaminated with </w:t>
      </w:r>
      <w:r w:rsidR="001A09E9" w:rsidRPr="00582EF5">
        <w:t>p</w:t>
      </w:r>
      <w:r w:rsidR="00183C70" w:rsidRPr="00582EF5">
        <w:t>er- and poly-fluoroalkyl substances (</w:t>
      </w:r>
      <w:r w:rsidR="00E72470" w:rsidRPr="00582EF5">
        <w:t>PFAS</w:t>
      </w:r>
      <w:r w:rsidR="00183C70" w:rsidRPr="00582EF5">
        <w:t>)</w:t>
      </w:r>
      <w:r w:rsidR="00E72470" w:rsidRPr="00582EF5">
        <w:t xml:space="preserve"> identified </w:t>
      </w:r>
      <w:r w:rsidR="00A829F7">
        <w:t xml:space="preserve">through </w:t>
      </w:r>
      <w:r w:rsidRPr="00582EF5">
        <w:t xml:space="preserve">the </w:t>
      </w:r>
      <w:r w:rsidR="00E72470" w:rsidRPr="00582EF5">
        <w:t xml:space="preserve">All of Government National PFAS Programme’s investigations </w:t>
      </w:r>
      <w:r w:rsidR="00D54432" w:rsidRPr="00582EF5">
        <w:t>are being</w:t>
      </w:r>
      <w:r w:rsidR="00E72470" w:rsidRPr="00582EF5">
        <w:t xml:space="preserve"> exported for destruction by high temperature incineration in accordance with the Basel Convention.</w:t>
      </w:r>
    </w:p>
    <w:p w14:paraId="6E15D071" w14:textId="44EDCC61" w:rsidR="00E72470" w:rsidRPr="00582EF5" w:rsidRDefault="00A93FB4" w:rsidP="00D04244">
      <w:pPr>
        <w:pStyle w:val="Heading3"/>
      </w:pPr>
      <w:r w:rsidRPr="00582EF5">
        <w:t>6.3.3</w:t>
      </w:r>
      <w:r w:rsidRPr="00582EF5">
        <w:tab/>
      </w:r>
      <w:r w:rsidR="00E72470" w:rsidRPr="00582EF5">
        <w:t xml:space="preserve">Electronic </w:t>
      </w:r>
      <w:r w:rsidR="007E0A2E" w:rsidRPr="00582EF5">
        <w:t>w</w:t>
      </w:r>
      <w:r w:rsidR="00E72470" w:rsidRPr="00582EF5">
        <w:t>aste</w:t>
      </w:r>
    </w:p>
    <w:p w14:paraId="55EA7955" w14:textId="5006D7D2" w:rsidR="00E72470" w:rsidRPr="00582EF5" w:rsidRDefault="0038019B" w:rsidP="00D04244">
      <w:pPr>
        <w:pStyle w:val="BodyText"/>
      </w:pPr>
      <w:bookmarkStart w:id="118" w:name="_Hlk120527970"/>
      <w:r w:rsidRPr="009C2878">
        <w:t xml:space="preserve">The </w:t>
      </w:r>
      <w:hyperlink r:id="rId109" w:history="1">
        <w:r w:rsidRPr="009C2878">
          <w:rPr>
            <w:rStyle w:val="Hyperlink"/>
          </w:rPr>
          <w:t xml:space="preserve">Global E-waste monitor </w:t>
        </w:r>
        <w:r w:rsidR="009C2878" w:rsidRPr="009C2878">
          <w:rPr>
            <w:rStyle w:val="Hyperlink"/>
          </w:rPr>
          <w:t xml:space="preserve">2020 </w:t>
        </w:r>
        <w:r w:rsidRPr="009C2878">
          <w:rPr>
            <w:rStyle w:val="Hyperlink"/>
          </w:rPr>
          <w:t>report</w:t>
        </w:r>
      </w:hyperlink>
      <w:r w:rsidRPr="009C2878">
        <w:t xml:space="preserve"> commissioned by United Nations University (UNU) and United Nations Institute for Training and Research (UNITAR)</w:t>
      </w:r>
      <w:bookmarkEnd w:id="118"/>
      <w:r w:rsidRPr="0038019B">
        <w:t xml:space="preserve"> estimates that New Zealand disposes of more than 97,000 tonnes of e-waste per year.</w:t>
      </w:r>
      <w:r w:rsidR="00E72470" w:rsidRPr="00582EF5">
        <w:t xml:space="preserve"> E-waste is likely to contain brominated flame retardants (BFR). While many </w:t>
      </w:r>
      <w:r w:rsidR="486FB8F7">
        <w:t>distinct types</w:t>
      </w:r>
      <w:r w:rsidR="00E72470" w:rsidRPr="00582EF5">
        <w:t xml:space="preserve"> of BFRs</w:t>
      </w:r>
      <w:r w:rsidR="00FD697C" w:rsidRPr="00582EF5">
        <w:t xml:space="preserve"> exist</w:t>
      </w:r>
      <w:r w:rsidR="00E72470" w:rsidRPr="00582EF5">
        <w:t xml:space="preserve">, several are specifically named under the Convention. These are HBCD and </w:t>
      </w:r>
      <w:r w:rsidR="00FD697C" w:rsidRPr="00582EF5">
        <w:t xml:space="preserve">the </w:t>
      </w:r>
      <w:r w:rsidR="00E72470" w:rsidRPr="00582EF5">
        <w:t xml:space="preserve">BDEs: </w:t>
      </w:r>
      <w:proofErr w:type="spellStart"/>
      <w:r w:rsidR="00FD697C" w:rsidRPr="00582EF5">
        <w:t>tetrabromodiphenyl</w:t>
      </w:r>
      <w:proofErr w:type="spellEnd"/>
      <w:r w:rsidR="00FD697C" w:rsidRPr="00582EF5">
        <w:t xml:space="preserve"> ether (</w:t>
      </w:r>
      <w:proofErr w:type="spellStart"/>
      <w:r w:rsidR="00274DF3" w:rsidRPr="00582EF5">
        <w:t>tetraBDE</w:t>
      </w:r>
      <w:proofErr w:type="spellEnd"/>
      <w:r w:rsidR="00FD697C" w:rsidRPr="00582EF5">
        <w:t>)</w:t>
      </w:r>
      <w:r w:rsidR="006904A4" w:rsidRPr="00582EF5">
        <w:t>,</w:t>
      </w:r>
      <w:r w:rsidR="00FD697C" w:rsidRPr="00582EF5">
        <w:t xml:space="preserve"> </w:t>
      </w:r>
      <w:proofErr w:type="spellStart"/>
      <w:r w:rsidR="00FD697C" w:rsidRPr="00582EF5">
        <w:t>pentabromodiphenyl</w:t>
      </w:r>
      <w:proofErr w:type="spellEnd"/>
      <w:r w:rsidR="00FD697C" w:rsidRPr="00582EF5">
        <w:t xml:space="preserve"> ether (</w:t>
      </w:r>
      <w:proofErr w:type="spellStart"/>
      <w:r w:rsidR="00274DF3" w:rsidRPr="00582EF5">
        <w:t>pentaBDE</w:t>
      </w:r>
      <w:proofErr w:type="spellEnd"/>
      <w:r w:rsidR="00FD697C" w:rsidRPr="00582EF5">
        <w:t>)</w:t>
      </w:r>
      <w:r w:rsidR="00274DF3" w:rsidRPr="00582EF5">
        <w:t xml:space="preserve">, </w:t>
      </w:r>
      <w:proofErr w:type="spellStart"/>
      <w:r w:rsidR="00FD697C" w:rsidRPr="00582EF5">
        <w:t>hexabromodiphenyl</w:t>
      </w:r>
      <w:proofErr w:type="spellEnd"/>
      <w:r w:rsidR="00FD697C" w:rsidRPr="00582EF5">
        <w:t xml:space="preserve"> ether (</w:t>
      </w:r>
      <w:proofErr w:type="spellStart"/>
      <w:r w:rsidR="00274DF3" w:rsidRPr="00582EF5">
        <w:t>hexaBDE</w:t>
      </w:r>
      <w:proofErr w:type="spellEnd"/>
      <w:r w:rsidR="00FD697C" w:rsidRPr="00582EF5">
        <w:t>)</w:t>
      </w:r>
      <w:r w:rsidR="006904A4" w:rsidRPr="00582EF5">
        <w:t xml:space="preserve">, </w:t>
      </w:r>
      <w:proofErr w:type="spellStart"/>
      <w:r w:rsidR="006904A4" w:rsidRPr="45D47978">
        <w:rPr>
          <w:lang w:eastAsia="en-US"/>
        </w:rPr>
        <w:t>heptabromdiphenyl</w:t>
      </w:r>
      <w:proofErr w:type="spellEnd"/>
      <w:r w:rsidR="006904A4" w:rsidRPr="45D47978">
        <w:rPr>
          <w:lang w:eastAsia="en-US"/>
        </w:rPr>
        <w:t xml:space="preserve"> ether</w:t>
      </w:r>
      <w:r w:rsidR="006904A4" w:rsidRPr="00582EF5" w:rsidDel="006904A4">
        <w:t xml:space="preserve"> </w:t>
      </w:r>
      <w:r w:rsidR="006904A4" w:rsidRPr="00582EF5">
        <w:t>(</w:t>
      </w:r>
      <w:proofErr w:type="spellStart"/>
      <w:r w:rsidR="00274DF3" w:rsidRPr="00582EF5">
        <w:t>heptaBDE</w:t>
      </w:r>
      <w:proofErr w:type="spellEnd"/>
      <w:r w:rsidR="006904A4" w:rsidRPr="00582EF5">
        <w:t>)</w:t>
      </w:r>
      <w:r w:rsidR="00274DF3" w:rsidRPr="00582EF5">
        <w:t xml:space="preserve"> and </w:t>
      </w:r>
      <w:proofErr w:type="spellStart"/>
      <w:r w:rsidR="006904A4" w:rsidRPr="00582EF5">
        <w:t>decabromodiphenyl</w:t>
      </w:r>
      <w:proofErr w:type="spellEnd"/>
      <w:r w:rsidR="006904A4" w:rsidRPr="00582EF5">
        <w:t xml:space="preserve"> ether (</w:t>
      </w:r>
      <w:proofErr w:type="spellStart"/>
      <w:r w:rsidR="00274DF3" w:rsidRPr="00582EF5">
        <w:t>decaBDE</w:t>
      </w:r>
      <w:proofErr w:type="spellEnd"/>
      <w:r w:rsidR="006904A4" w:rsidRPr="00582EF5">
        <w:t>)</w:t>
      </w:r>
      <w:r w:rsidR="00E72470" w:rsidRPr="00582EF5">
        <w:t xml:space="preserve">. </w:t>
      </w:r>
    </w:p>
    <w:p w14:paraId="5C9CC17B" w14:textId="0C4472D4" w:rsidR="00E72470" w:rsidRPr="00582EF5" w:rsidRDefault="0033538A" w:rsidP="00D04244">
      <w:pPr>
        <w:pStyle w:val="BodyText"/>
      </w:pPr>
      <w:r w:rsidRPr="00582EF5">
        <w:t xml:space="preserve">On 20 December 2016, </w:t>
      </w:r>
      <w:r w:rsidR="00E72470" w:rsidRPr="00582EF5">
        <w:t xml:space="preserve">New Zealand issued notification of articles in use under the Convention for </w:t>
      </w:r>
      <w:proofErr w:type="spellStart"/>
      <w:r w:rsidR="00274DF3" w:rsidRPr="00582EF5">
        <w:t>tetraBDE</w:t>
      </w:r>
      <w:proofErr w:type="spellEnd"/>
      <w:r w:rsidR="00DE0B9C" w:rsidRPr="00582EF5">
        <w:t xml:space="preserve">, </w:t>
      </w:r>
      <w:proofErr w:type="spellStart"/>
      <w:r w:rsidR="00274DF3" w:rsidRPr="00582EF5">
        <w:t>pentaBDE</w:t>
      </w:r>
      <w:proofErr w:type="spellEnd"/>
      <w:r w:rsidR="00274DF3" w:rsidRPr="00582EF5">
        <w:t xml:space="preserve">, </w:t>
      </w:r>
      <w:proofErr w:type="spellStart"/>
      <w:r w:rsidR="00274DF3" w:rsidRPr="00582EF5">
        <w:t>hexaBDE</w:t>
      </w:r>
      <w:proofErr w:type="spellEnd"/>
      <w:r w:rsidR="00DE0B9C" w:rsidRPr="00582EF5">
        <w:t xml:space="preserve">, </w:t>
      </w:r>
      <w:proofErr w:type="spellStart"/>
      <w:r w:rsidR="00274DF3" w:rsidRPr="00582EF5">
        <w:t>heptaBDE</w:t>
      </w:r>
      <w:proofErr w:type="spellEnd"/>
      <w:r w:rsidR="00274DF3" w:rsidRPr="00582EF5">
        <w:t xml:space="preserve"> and HBCD</w:t>
      </w:r>
      <w:r w:rsidR="00E72470" w:rsidRPr="00582EF5">
        <w:t>. The notification of articles in use states that</w:t>
      </w:r>
      <w:r w:rsidR="00F334DF" w:rsidRPr="00582EF5">
        <w:t>,</w:t>
      </w:r>
      <w:r w:rsidR="00E72470" w:rsidRPr="00582EF5">
        <w:t xml:space="preserve"> while manufacture, import and use of these POPs have been prohibited since August 2011, it is likely some articles containing the POPs remain in use. </w:t>
      </w:r>
      <w:r w:rsidR="00F334DF" w:rsidRPr="00582EF5">
        <w:t xml:space="preserve">New Zealand </w:t>
      </w:r>
      <w:r w:rsidR="009809F1" w:rsidRPr="00582EF5">
        <w:t xml:space="preserve">made a </w:t>
      </w:r>
      <w:bookmarkStart w:id="119" w:name="_Int_WuT1e3f6"/>
      <w:proofErr w:type="gramStart"/>
      <w:r w:rsidR="009809F1" w:rsidRPr="00582EF5">
        <w:t>similar articles</w:t>
      </w:r>
      <w:bookmarkEnd w:id="119"/>
      <w:proofErr w:type="gramEnd"/>
      <w:r w:rsidR="009809F1" w:rsidRPr="00582EF5">
        <w:t xml:space="preserve"> in use notification for </w:t>
      </w:r>
      <w:proofErr w:type="spellStart"/>
      <w:r w:rsidR="009809F1" w:rsidRPr="00582EF5">
        <w:t>decaBDE</w:t>
      </w:r>
      <w:proofErr w:type="spellEnd"/>
      <w:r w:rsidR="009809F1" w:rsidRPr="00582EF5">
        <w:t xml:space="preserve"> in December 2018.</w:t>
      </w:r>
      <w:r w:rsidR="001B287E" w:rsidRPr="001B287E">
        <w:t xml:space="preserve"> </w:t>
      </w:r>
    </w:p>
    <w:p w14:paraId="1F3D9C81" w14:textId="4C8A3C45" w:rsidR="00E72470" w:rsidRPr="00582EF5" w:rsidRDefault="001B287E" w:rsidP="00D04244">
      <w:pPr>
        <w:pStyle w:val="BodyText"/>
      </w:pPr>
      <w:r w:rsidRPr="001B287E">
        <w:t xml:space="preserve">In July 2020, Government declared six product types, including electrical and electronic waste (e-waste), to be 'priority products' under the Waste Minimisation Act 2008. This declaration means that a product stewardship scheme for these products must be developed and implemented as soon as practicable. The first e-waste scheme will address large batteries (which includes electric vehicle batteries). </w:t>
      </w:r>
      <w:r w:rsidR="009C2878" w:rsidRPr="009F3BAF">
        <w:t>The second e-waste scheme will address the other e-waste products</w:t>
      </w:r>
      <w:r w:rsidR="73B954F3">
        <w:t>.</w:t>
      </w:r>
      <w:r w:rsidR="009C2878">
        <w:t xml:space="preserve"> Find out more about </w:t>
      </w:r>
      <w:hyperlink r:id="rId110" w:history="1">
        <w:r w:rsidR="009C2878" w:rsidRPr="009C2878">
          <w:rPr>
            <w:rStyle w:val="Hyperlink"/>
          </w:rPr>
          <w:t>regulated product stewardship</w:t>
        </w:r>
      </w:hyperlink>
      <w:r w:rsidR="009C2878">
        <w:t xml:space="preserve"> on our website.</w:t>
      </w:r>
    </w:p>
    <w:p w14:paraId="362FD28F" w14:textId="3B09C297" w:rsidR="00C858EF" w:rsidRDefault="7A933CDE" w:rsidP="009C2878">
      <w:pPr>
        <w:pStyle w:val="BodyText"/>
      </w:pPr>
      <w:r w:rsidRPr="00582EF5">
        <w:lastRenderedPageBreak/>
        <w:t xml:space="preserve">While not a </w:t>
      </w:r>
      <w:r w:rsidR="00F50807">
        <w:t xml:space="preserve">Basel </w:t>
      </w:r>
      <w:r w:rsidRPr="00582EF5">
        <w:t>Convention requirement,</w:t>
      </w:r>
      <w:r w:rsidR="001E4E25" w:rsidRPr="009C2878">
        <w:rPr>
          <w:vertAlign w:val="superscript"/>
        </w:rPr>
        <w:footnoteReference w:id="9"/>
      </w:r>
      <w:r w:rsidRPr="00582EF5">
        <w:t xml:space="preserve"> </w:t>
      </w:r>
      <w:r w:rsidR="003F419D">
        <w:t xml:space="preserve">New Zealand </w:t>
      </w:r>
      <w:r w:rsidR="00A02636">
        <w:t>considers</w:t>
      </w:r>
      <w:r w:rsidR="003F419D">
        <w:t xml:space="preserve"> </w:t>
      </w:r>
      <w:r w:rsidR="00A02636">
        <w:t xml:space="preserve">that </w:t>
      </w:r>
      <w:r w:rsidRPr="00582EF5">
        <w:t>a</w:t>
      </w:r>
      <w:r w:rsidR="72C89534" w:rsidRPr="00582EF5">
        <w:t xml:space="preserve">ll e-waste is considered hazardous waste and therefore subject to the Basel Convention, unless it is verified otherwise. </w:t>
      </w:r>
    </w:p>
    <w:p w14:paraId="19A9C68D" w14:textId="5FBEA5E6" w:rsidR="00E72470" w:rsidRPr="00582EF5" w:rsidRDefault="72C89534" w:rsidP="002C5D5C">
      <w:pPr>
        <w:pStyle w:val="BodyText"/>
      </w:pPr>
      <w:r w:rsidRPr="00B340C5">
        <w:t xml:space="preserve">EPA produced </w:t>
      </w:r>
      <w:hyperlink r:id="rId111" w:history="1">
        <w:r w:rsidRPr="00B340C5">
          <w:rPr>
            <w:rStyle w:val="Hyperlink"/>
          </w:rPr>
          <w:t>guidance on exporting e-waste in 2014</w:t>
        </w:r>
      </w:hyperlink>
      <w:r w:rsidRPr="00582EF5">
        <w:t>. The guidance outlines an expectation that exporters of e-waste must obtain an export permit for hazardous waste</w:t>
      </w:r>
      <w:r w:rsidR="330A6FB1" w:rsidRPr="00582EF5">
        <w:t>,</w:t>
      </w:r>
      <w:r w:rsidRPr="00582EF5">
        <w:t xml:space="preserve"> unless evidence </w:t>
      </w:r>
      <w:r w:rsidR="255299BC" w:rsidRPr="00582EF5">
        <w:t xml:space="preserve">shows </w:t>
      </w:r>
      <w:r w:rsidRPr="00582EF5">
        <w:t>it is not hazardous waste. This guidance includes advice on e-waste items containing BFR. Plastic e</w:t>
      </w:r>
      <w:r w:rsidR="000F7B59" w:rsidRPr="00582EF5">
        <w:noBreakHyphen/>
      </w:r>
      <w:r w:rsidRPr="00582EF5">
        <w:t>waste containing BFRs is classed as hazardous waste under the Basel Convention.</w:t>
      </w:r>
      <w:r w:rsidR="56B530A0" w:rsidRPr="00582EF5">
        <w:t xml:space="preserve"> </w:t>
      </w:r>
    </w:p>
    <w:p w14:paraId="2132BFDA" w14:textId="6E36F3E9" w:rsidR="00E72470" w:rsidRPr="00582EF5" w:rsidRDefault="009C2878" w:rsidP="002C5D5C">
      <w:pPr>
        <w:pStyle w:val="BodyText"/>
      </w:pPr>
      <w:r w:rsidRPr="009C2878">
        <w:t xml:space="preserve">We set out </w:t>
      </w:r>
      <w:hyperlink r:id="rId112" w:history="1">
        <w:r w:rsidRPr="009C2878">
          <w:rPr>
            <w:rStyle w:val="Hyperlink"/>
          </w:rPr>
          <w:t>guidance</w:t>
        </w:r>
      </w:hyperlink>
      <w:r w:rsidRPr="009C2878">
        <w:t xml:space="preserve"> on our website for managing waste and end-of-life products that may contain BFR</w:t>
      </w:r>
      <w:r w:rsidR="72C89534" w:rsidRPr="00582EF5">
        <w:t>. This guidance is intended to be read in conjunction with the I&amp;E Order 2004.</w:t>
      </w:r>
      <w:r w:rsidR="56B530A0" w:rsidRPr="00582EF5">
        <w:t xml:space="preserve"> </w:t>
      </w:r>
      <w:r w:rsidR="72C89534" w:rsidRPr="00582EF5">
        <w:t xml:space="preserve">The guidance sets out that if a product contains a BFR likely to be </w:t>
      </w:r>
      <w:r w:rsidR="50D1CC46" w:rsidRPr="00582EF5">
        <w:t xml:space="preserve">a </w:t>
      </w:r>
      <w:r w:rsidR="72C89534" w:rsidRPr="00582EF5">
        <w:t xml:space="preserve">POP listed under </w:t>
      </w:r>
      <w:r w:rsidR="50D1CC46" w:rsidRPr="00582EF5">
        <w:t xml:space="preserve">the Convention </w:t>
      </w:r>
      <w:r w:rsidR="72C89534" w:rsidRPr="00582EF5">
        <w:t>then it cannot be recycled or exported for recycling.</w:t>
      </w:r>
      <w:r w:rsidR="56B530A0" w:rsidRPr="00582EF5">
        <w:t xml:space="preserve"> </w:t>
      </w:r>
      <w:r w:rsidR="72C89534" w:rsidRPr="00582EF5">
        <w:t xml:space="preserve">Any export for disposal must have a Basel </w:t>
      </w:r>
      <w:r w:rsidR="63414A9A" w:rsidRPr="00582EF5">
        <w:t xml:space="preserve">Convention </w:t>
      </w:r>
      <w:r w:rsidR="72C89534" w:rsidRPr="00582EF5">
        <w:t>export permit from the EPA. Any end</w:t>
      </w:r>
      <w:r w:rsidR="63414A9A" w:rsidRPr="00582EF5">
        <w:t>-</w:t>
      </w:r>
      <w:r w:rsidR="72C89534" w:rsidRPr="00582EF5">
        <w:t>of</w:t>
      </w:r>
      <w:r w:rsidR="63414A9A" w:rsidRPr="00582EF5">
        <w:t>-</w:t>
      </w:r>
      <w:r w:rsidR="72C89534" w:rsidRPr="00582EF5">
        <w:t xml:space="preserve">life product or waste stream from products containing BFRs must be managed in a way that minimises the potential impact on human health and the environment. A permit will only be issued if the waste material will be processed in an environmentally sound manner at the destination facility. </w:t>
      </w:r>
    </w:p>
    <w:p w14:paraId="4486DA92" w14:textId="77777777" w:rsidR="00E72470" w:rsidRPr="00582EF5" w:rsidRDefault="00E72470" w:rsidP="002C5D5C">
      <w:pPr>
        <w:pStyle w:val="BodyText"/>
        <w:spacing w:after="100"/>
      </w:pPr>
      <w:r w:rsidRPr="00582EF5">
        <w:t>MfE commissioned the following studies on BFRs in New Zealand:</w:t>
      </w:r>
    </w:p>
    <w:p w14:paraId="047BF965" w14:textId="19B951D8" w:rsidR="00E72470" w:rsidRPr="00582EF5" w:rsidRDefault="72AFFD59" w:rsidP="002C5D5C">
      <w:pPr>
        <w:pStyle w:val="Bullet"/>
        <w:spacing w:after="100"/>
      </w:pPr>
      <w:hyperlink r:id="rId113" w:history="1">
        <w:r w:rsidRPr="1A06031B">
          <w:rPr>
            <w:rStyle w:val="Hyperlink"/>
            <w:i/>
            <w:iCs/>
          </w:rPr>
          <w:t>Brominated flame</w:t>
        </w:r>
        <w:r w:rsidR="492AA40C" w:rsidRPr="1A06031B">
          <w:rPr>
            <w:rStyle w:val="Hyperlink"/>
            <w:i/>
            <w:iCs/>
          </w:rPr>
          <w:t>-</w:t>
        </w:r>
        <w:r w:rsidRPr="1A06031B">
          <w:rPr>
            <w:rStyle w:val="Hyperlink"/>
            <w:i/>
            <w:iCs/>
          </w:rPr>
          <w:t xml:space="preserve">retardant research: A </w:t>
        </w:r>
        <w:r w:rsidR="69322432" w:rsidRPr="1A06031B">
          <w:rPr>
            <w:rStyle w:val="Hyperlink"/>
            <w:i/>
            <w:iCs/>
          </w:rPr>
          <w:t>c</w:t>
        </w:r>
        <w:r w:rsidRPr="1A06031B">
          <w:rPr>
            <w:rStyle w:val="Hyperlink"/>
            <w:i/>
            <w:iCs/>
          </w:rPr>
          <w:t>ost-</w:t>
        </w:r>
        <w:r w:rsidR="69322432" w:rsidRPr="1A06031B">
          <w:rPr>
            <w:rStyle w:val="Hyperlink"/>
            <w:i/>
            <w:iCs/>
          </w:rPr>
          <w:t>b</w:t>
        </w:r>
        <w:r w:rsidRPr="1A06031B">
          <w:rPr>
            <w:rStyle w:val="Hyperlink"/>
            <w:i/>
            <w:iCs/>
          </w:rPr>
          <w:t xml:space="preserve">enefit </w:t>
        </w:r>
        <w:r w:rsidR="69322432" w:rsidRPr="1A06031B">
          <w:rPr>
            <w:rStyle w:val="Hyperlink"/>
            <w:i/>
            <w:iCs/>
          </w:rPr>
          <w:t>a</w:t>
        </w:r>
        <w:r w:rsidRPr="1A06031B">
          <w:rPr>
            <w:rStyle w:val="Hyperlink"/>
            <w:i/>
            <w:iCs/>
          </w:rPr>
          <w:t xml:space="preserve">nalysis of sorting options for </w:t>
        </w:r>
        <w:r w:rsidR="000F7B59" w:rsidRPr="00DB2425">
          <w:rPr>
            <w:rStyle w:val="Hyperlink"/>
            <w:i/>
          </w:rPr>
          <w:noBreakHyphen/>
        </w:r>
        <w:r w:rsidR="7D2ADA6E" w:rsidRPr="1A06031B">
          <w:rPr>
            <w:rStyle w:val="Hyperlink"/>
            <w:i/>
            <w:iCs/>
          </w:rPr>
          <w:t>e-waste</w:t>
        </w:r>
        <w:r w:rsidRPr="1A06031B">
          <w:rPr>
            <w:rStyle w:val="Hyperlink"/>
            <w:i/>
            <w:iCs/>
          </w:rPr>
          <w:t xml:space="preserve"> plastics</w:t>
        </w:r>
        <w:r w:rsidRPr="00DB2425">
          <w:rPr>
            <w:rStyle w:val="Hyperlink"/>
          </w:rPr>
          <w:t xml:space="preserve"> (2013)</w:t>
        </w:r>
      </w:hyperlink>
      <w:r w:rsidRPr="00582EF5">
        <w:t xml:space="preserve"> (a summar</w:t>
      </w:r>
      <w:r w:rsidR="3CADE6DA" w:rsidRPr="00582EF5">
        <w:t xml:space="preserve">y of this study </w:t>
      </w:r>
      <w:r w:rsidR="5DB985D8" w:rsidRPr="00582EF5">
        <w:t xml:space="preserve">is given </w:t>
      </w:r>
      <w:r w:rsidR="3CADE6DA" w:rsidRPr="00582EF5">
        <w:t xml:space="preserve">in Box </w:t>
      </w:r>
      <w:r w:rsidR="0B16231F" w:rsidRPr="00582EF5">
        <w:t>2</w:t>
      </w:r>
      <w:r w:rsidRPr="00582EF5">
        <w:t>)</w:t>
      </w:r>
    </w:p>
    <w:p w14:paraId="231B4FD1" w14:textId="4B69390B" w:rsidR="00E72470" w:rsidRPr="00582EF5" w:rsidRDefault="668F1035" w:rsidP="002C5D5C">
      <w:pPr>
        <w:pStyle w:val="Bullet"/>
        <w:spacing w:after="100"/>
      </w:pPr>
      <w:hyperlink r:id="rId114">
        <w:r w:rsidRPr="1A06031B">
          <w:rPr>
            <w:rStyle w:val="Hyperlink"/>
            <w:i/>
            <w:iCs/>
          </w:rPr>
          <w:t xml:space="preserve">Brominated </w:t>
        </w:r>
        <w:proofErr w:type="gramStart"/>
        <w:r w:rsidRPr="1A06031B">
          <w:rPr>
            <w:rStyle w:val="Hyperlink"/>
            <w:i/>
            <w:iCs/>
          </w:rPr>
          <w:t>flame retardant</w:t>
        </w:r>
        <w:proofErr w:type="gramEnd"/>
        <w:r w:rsidRPr="1A06031B">
          <w:rPr>
            <w:rStyle w:val="Hyperlink"/>
            <w:i/>
            <w:iCs/>
          </w:rPr>
          <w:t xml:space="preserve"> research: A pilot study of e-waste plastic sorting in New</w:t>
        </w:r>
        <w:r w:rsidR="4E490FDA" w:rsidRPr="1A06031B">
          <w:rPr>
            <w:rStyle w:val="Hyperlink"/>
            <w:i/>
            <w:iCs/>
          </w:rPr>
          <w:t> </w:t>
        </w:r>
        <w:r w:rsidRPr="1A06031B">
          <w:rPr>
            <w:rStyle w:val="Hyperlink"/>
            <w:i/>
            <w:iCs/>
          </w:rPr>
          <w:t>Zealand</w:t>
        </w:r>
        <w:r w:rsidRPr="1A06031B">
          <w:rPr>
            <w:rStyle w:val="Hyperlink"/>
          </w:rPr>
          <w:t xml:space="preserve"> (2013)</w:t>
        </w:r>
      </w:hyperlink>
    </w:p>
    <w:p w14:paraId="4C975EE5" w14:textId="10643C9F" w:rsidR="003047F1" w:rsidRPr="00582EF5" w:rsidRDefault="42C1B002" w:rsidP="002C5D5C">
      <w:pPr>
        <w:pStyle w:val="Bullet"/>
        <w:spacing w:after="100"/>
      </w:pPr>
      <w:hyperlink r:id="rId115">
        <w:r w:rsidRPr="1A06031B">
          <w:rPr>
            <w:rStyle w:val="Hyperlink"/>
            <w:i/>
            <w:iCs/>
          </w:rPr>
          <w:t>Pilot study of brominated flame retardants in waste electrical and electronic equipment</w:t>
        </w:r>
        <w:r w:rsidRPr="1A06031B">
          <w:rPr>
            <w:rStyle w:val="Hyperlink"/>
          </w:rPr>
          <w:t xml:space="preserve"> (201</w:t>
        </w:r>
        <w:r w:rsidR="539A0338" w:rsidRPr="1A06031B">
          <w:rPr>
            <w:rStyle w:val="Hyperlink"/>
          </w:rPr>
          <w:t>2)</w:t>
        </w:r>
      </w:hyperlink>
    </w:p>
    <w:p w14:paraId="69D1BA46" w14:textId="77FC39AF" w:rsidR="00E72470" w:rsidRDefault="668F1035" w:rsidP="00BE1BE4">
      <w:pPr>
        <w:pStyle w:val="Bullet"/>
      </w:pPr>
      <w:hyperlink r:id="rId116">
        <w:r w:rsidRPr="1A06031B">
          <w:rPr>
            <w:rStyle w:val="Hyperlink"/>
            <w:i/>
            <w:iCs/>
          </w:rPr>
          <w:t xml:space="preserve">Investigation of brominated flame retardants present in articles being used, </w:t>
        </w:r>
      </w:hyperlink>
      <w:bookmarkStart w:id="120" w:name="_Int_Jn68md5k"/>
      <w:r w:rsidRPr="1A06031B">
        <w:rPr>
          <w:rStyle w:val="Hyperlink"/>
          <w:i/>
          <w:iCs/>
        </w:rPr>
        <w:t>recycled</w:t>
      </w:r>
      <w:bookmarkEnd w:id="120"/>
      <w:r w:rsidRPr="1A06031B">
        <w:rPr>
          <w:rStyle w:val="Hyperlink"/>
          <w:i/>
          <w:iCs/>
        </w:rPr>
        <w:t xml:space="preserve"> and disposed of in New Zealand</w:t>
      </w:r>
      <w:r w:rsidRPr="1A06031B">
        <w:rPr>
          <w:rStyle w:val="Hyperlink"/>
        </w:rPr>
        <w:t xml:space="preserve"> (2010)</w:t>
      </w:r>
      <w:r>
        <w:t xml:space="preserve"> (a summary of this study </w:t>
      </w:r>
      <w:r w:rsidR="3F1700F9">
        <w:t xml:space="preserve">is given </w:t>
      </w:r>
      <w:r>
        <w:t xml:space="preserve">in Box </w:t>
      </w:r>
      <w:r w:rsidR="6BEA3123">
        <w:t>3</w:t>
      </w:r>
      <w:r>
        <w:t>)</w:t>
      </w:r>
    </w:p>
    <w:p w14:paraId="6969909A" w14:textId="60C1FD26" w:rsidR="00A235A3" w:rsidRPr="00BE1BE4" w:rsidRDefault="00A235A3" w:rsidP="00BE1BE4">
      <w:pPr>
        <w:pStyle w:val="Bullet"/>
      </w:pPr>
      <w:hyperlink r:id="rId117" w:history="1">
        <w:r w:rsidRPr="00667711">
          <w:rPr>
            <w:rStyle w:val="Hyperlink"/>
            <w:i/>
          </w:rPr>
          <w:t>Pilot study of brominated flame retardants in waste electrical and electronic equipment (WEEE)</w:t>
        </w:r>
        <w:r w:rsidRPr="00667711">
          <w:rPr>
            <w:rStyle w:val="Hyperlink"/>
            <w:i/>
            <w:iCs/>
          </w:rPr>
          <w:t xml:space="preserve"> </w:t>
        </w:r>
        <w:r w:rsidRPr="00667711">
          <w:rPr>
            <w:rStyle w:val="Hyperlink"/>
          </w:rPr>
          <w:t>2021</w:t>
        </w:r>
      </w:hyperlink>
    </w:p>
    <w:p w14:paraId="07F77DF3" w14:textId="5F21F465" w:rsidR="00244B85" w:rsidRPr="009C2878" w:rsidRDefault="3D9A3EAA" w:rsidP="00A70400">
      <w:pPr>
        <w:pStyle w:val="Bullet"/>
        <w:spacing w:after="280"/>
        <w:rPr>
          <w:iCs/>
        </w:rPr>
      </w:pPr>
      <w:hyperlink r:id="rId118" w:history="1">
        <w:r w:rsidRPr="1A06031B">
          <w:rPr>
            <w:rStyle w:val="Hyperlink"/>
            <w:i/>
            <w:iCs/>
          </w:rPr>
          <w:t>Investigation of brominated flame retardants present in articles being used, recycled and disposed of in New Zealand</w:t>
        </w:r>
        <w:r w:rsidRPr="1A06031B">
          <w:rPr>
            <w:rStyle w:val="Hyperlink"/>
          </w:rPr>
          <w:t xml:space="preserve"> 2021</w:t>
        </w:r>
      </w:hyperlink>
      <w:r w:rsidR="009C2878">
        <w:rPr>
          <w:i/>
          <w:iCs/>
        </w:rPr>
        <w:t>.</w:t>
      </w:r>
    </w:p>
    <w:tbl>
      <w:tblPr>
        <w:tblStyle w:val="TableGrid"/>
        <w:tblW w:w="850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295D2A" w:rsidRPr="00582EF5" w14:paraId="13480E08" w14:textId="77777777" w:rsidTr="45D47978">
        <w:trPr>
          <w:cantSplit/>
        </w:trPr>
        <w:tc>
          <w:tcPr>
            <w:tcW w:w="0" w:type="auto"/>
            <w:shd w:val="clear" w:color="auto" w:fill="D2DDE2" w:themeFill="accent3"/>
          </w:tcPr>
          <w:p w14:paraId="02190612" w14:textId="766F6B66" w:rsidR="00295D2A" w:rsidRPr="00582EF5" w:rsidRDefault="00295D2A" w:rsidP="00A70400">
            <w:pPr>
              <w:pStyle w:val="Blueboxheading"/>
            </w:pPr>
            <w:bookmarkStart w:id="121" w:name="_Toc120523647"/>
            <w:r w:rsidRPr="00582EF5">
              <w:lastRenderedPageBreak/>
              <w:t xml:space="preserve">Box </w:t>
            </w:r>
            <w:r w:rsidR="00A51E8B" w:rsidRPr="00582EF5">
              <w:t>2</w:t>
            </w:r>
            <w:r w:rsidRPr="00582EF5">
              <w:t xml:space="preserve">: Investigation of </w:t>
            </w:r>
            <w:r w:rsidR="00883230" w:rsidRPr="00582EF5">
              <w:t>brominated flame retardants</w:t>
            </w:r>
            <w:r w:rsidRPr="00582EF5">
              <w:t xml:space="preserve"> present in articles being used, recycled and disposed of in</w:t>
            </w:r>
            <w:r w:rsidR="00883230" w:rsidRPr="00582EF5">
              <w:t> </w:t>
            </w:r>
            <w:r w:rsidRPr="00582EF5">
              <w:t>New</w:t>
            </w:r>
            <w:r w:rsidR="000F7B59" w:rsidRPr="00582EF5">
              <w:t> </w:t>
            </w:r>
            <w:r w:rsidRPr="00582EF5">
              <w:t>Zealand</w:t>
            </w:r>
            <w:bookmarkEnd w:id="121"/>
            <w:r w:rsidRPr="00582EF5">
              <w:t xml:space="preserve"> </w:t>
            </w:r>
          </w:p>
          <w:p w14:paraId="50A98123" w14:textId="1827E999" w:rsidR="00F07C18" w:rsidRPr="00582EF5" w:rsidRDefault="00F07C18" w:rsidP="00A70400">
            <w:pPr>
              <w:pStyle w:val="Blueboxtext"/>
              <w:spacing w:before="80" w:after="80"/>
            </w:pPr>
            <w:r w:rsidRPr="00582EF5">
              <w:t xml:space="preserve">The </w:t>
            </w:r>
            <w:r w:rsidR="00DE79A8" w:rsidRPr="00582EF5">
              <w:t xml:space="preserve">study’s </w:t>
            </w:r>
            <w:r w:rsidRPr="00582EF5">
              <w:t xml:space="preserve">purpose was to help </w:t>
            </w:r>
            <w:r w:rsidR="00DE79A8" w:rsidRPr="00582EF5">
              <w:t>the Ministry for the Environment</w:t>
            </w:r>
            <w:r w:rsidRPr="00582EF5">
              <w:t xml:space="preserve"> determine whether it was feasible and practicable to meet Article 6 obligations under the Stockholm Convention in respect of the disposal of </w:t>
            </w:r>
            <w:r w:rsidR="00DE79A8" w:rsidRPr="00582EF5">
              <w:t xml:space="preserve">waste containing </w:t>
            </w:r>
            <w:proofErr w:type="spellStart"/>
            <w:r w:rsidRPr="00582EF5">
              <w:t>penta</w:t>
            </w:r>
            <w:r w:rsidR="00DE79A8" w:rsidRPr="00582EF5">
              <w:t>bromodiphenyl</w:t>
            </w:r>
            <w:proofErr w:type="spellEnd"/>
            <w:r w:rsidR="00DE79A8" w:rsidRPr="00582EF5">
              <w:t xml:space="preserve"> ether</w:t>
            </w:r>
            <w:r w:rsidR="00A01612" w:rsidRPr="00582EF5">
              <w:t xml:space="preserve"> (</w:t>
            </w:r>
            <w:proofErr w:type="spellStart"/>
            <w:r w:rsidR="00A01612" w:rsidRPr="00582EF5">
              <w:t>pentaBDE</w:t>
            </w:r>
            <w:proofErr w:type="spellEnd"/>
            <w:r w:rsidR="00A01612" w:rsidRPr="00582EF5">
              <w:t>)</w:t>
            </w:r>
            <w:r w:rsidRPr="00582EF5">
              <w:t xml:space="preserve"> and </w:t>
            </w:r>
            <w:proofErr w:type="spellStart"/>
            <w:r w:rsidRPr="00582EF5">
              <w:t>octa</w:t>
            </w:r>
            <w:r w:rsidR="00A01612" w:rsidRPr="00582EF5">
              <w:t>bromodiphenyl</w:t>
            </w:r>
            <w:proofErr w:type="spellEnd"/>
            <w:r w:rsidR="00A01612" w:rsidRPr="00582EF5">
              <w:t xml:space="preserve"> ether (</w:t>
            </w:r>
            <w:proofErr w:type="spellStart"/>
            <w:r w:rsidR="00A01612" w:rsidRPr="00582EF5">
              <w:t>octaBDE</w:t>
            </w:r>
            <w:proofErr w:type="spellEnd"/>
            <w:r w:rsidR="00A01612" w:rsidRPr="00582EF5">
              <w:t>)</w:t>
            </w:r>
            <w:r w:rsidRPr="00582EF5">
              <w:t>.</w:t>
            </w:r>
            <w:r w:rsidR="006D7E9D" w:rsidRPr="00582EF5">
              <w:t xml:space="preserve"> </w:t>
            </w:r>
          </w:p>
          <w:p w14:paraId="11CC0824" w14:textId="09C81684" w:rsidR="00F07C18" w:rsidRPr="00582EF5" w:rsidRDefault="00F07C18" w:rsidP="00A70400">
            <w:pPr>
              <w:pStyle w:val="Blueboxtext"/>
              <w:spacing w:before="80" w:after="80"/>
            </w:pPr>
            <w:r w:rsidRPr="00582EF5">
              <w:t xml:space="preserve">Interviews with industry indicated that New Zealand was likely to have significantly lower levels of </w:t>
            </w:r>
            <w:proofErr w:type="spellStart"/>
            <w:r w:rsidRPr="00582EF5">
              <w:t>penta</w:t>
            </w:r>
            <w:r w:rsidR="00A01612" w:rsidRPr="00582EF5">
              <w:t>BDE</w:t>
            </w:r>
            <w:proofErr w:type="spellEnd"/>
            <w:r w:rsidRPr="00582EF5">
              <w:t xml:space="preserve"> and </w:t>
            </w:r>
            <w:proofErr w:type="spellStart"/>
            <w:r w:rsidRPr="00582EF5">
              <w:t>octaBDE</w:t>
            </w:r>
            <w:proofErr w:type="spellEnd"/>
            <w:r w:rsidRPr="00582EF5">
              <w:t xml:space="preserve"> in existing, imported and exported products than the </w:t>
            </w:r>
            <w:r w:rsidR="00A01612" w:rsidRPr="00582EF5">
              <w:t>European Union</w:t>
            </w:r>
            <w:r w:rsidRPr="00582EF5">
              <w:t xml:space="preserve"> and North America. This is due to the historical absence of regulations requiring household goods to contain flame retardants in New Zealand manufactured goods.</w:t>
            </w:r>
          </w:p>
          <w:p w14:paraId="5B60FA2F" w14:textId="5AEEB3CF" w:rsidR="00F07C18" w:rsidRPr="00582EF5" w:rsidRDefault="00F07C18" w:rsidP="00A70400">
            <w:pPr>
              <w:pStyle w:val="Blueboxtext"/>
              <w:spacing w:before="80" w:after="80"/>
            </w:pPr>
            <w:r w:rsidRPr="00582EF5">
              <w:t xml:space="preserve">Discussions with industry suggested the main source of </w:t>
            </w:r>
            <w:proofErr w:type="spellStart"/>
            <w:r w:rsidRPr="00582EF5">
              <w:t>penta</w:t>
            </w:r>
            <w:r w:rsidR="00A01612" w:rsidRPr="00582EF5">
              <w:t>BDE</w:t>
            </w:r>
            <w:proofErr w:type="spellEnd"/>
            <w:r w:rsidRPr="00582EF5">
              <w:t xml:space="preserve"> and </w:t>
            </w:r>
            <w:proofErr w:type="spellStart"/>
            <w:r w:rsidRPr="00582EF5">
              <w:t>octaBDE</w:t>
            </w:r>
            <w:proofErr w:type="spellEnd"/>
            <w:r w:rsidRPr="00582EF5">
              <w:t xml:space="preserve"> in existing products has come from </w:t>
            </w:r>
            <w:r w:rsidR="00C31B78" w:rsidRPr="00582EF5">
              <w:t xml:space="preserve">imported </w:t>
            </w:r>
            <w:r w:rsidRPr="00582EF5">
              <w:t>finished consumer products, from polymer resin used in the manufacture of New Zealand products, and in chemical compound</w:t>
            </w:r>
            <w:r w:rsidR="00ED46ED" w:rsidRPr="00582EF5">
              <w:t>s</w:t>
            </w:r>
            <w:r w:rsidRPr="00582EF5">
              <w:t xml:space="preserve"> from production of polymer products for specific applications.</w:t>
            </w:r>
          </w:p>
          <w:p w14:paraId="278E25AC" w14:textId="1274E584" w:rsidR="00295D2A" w:rsidRPr="00582EF5" w:rsidRDefault="00F07C18" w:rsidP="00A70400">
            <w:pPr>
              <w:pStyle w:val="Blueboxtext"/>
              <w:spacing w:before="80" w:after="240"/>
            </w:pPr>
            <w:r w:rsidRPr="00582EF5">
              <w:t>Testing showed that only very low levels of BDEs were present in the leachate of three landfills tested.</w:t>
            </w:r>
            <w:r w:rsidR="006D7E9D" w:rsidRPr="00582EF5">
              <w:t xml:space="preserve"> </w:t>
            </w:r>
            <w:r w:rsidRPr="00582EF5">
              <w:t>Landfilling in secure landfills is therefore considered as a potential option to dispose of BDE-containing polymers</w:t>
            </w:r>
            <w:r w:rsidR="00C31B78" w:rsidRPr="00582EF5">
              <w:t xml:space="preserve"> and </w:t>
            </w:r>
            <w:r w:rsidRPr="00582EF5">
              <w:t xml:space="preserve">plastics in an environmentally sound way. However, this will be subject to further research and investigation. </w:t>
            </w:r>
          </w:p>
        </w:tc>
      </w:tr>
    </w:tbl>
    <w:p w14:paraId="5680E155" w14:textId="77777777" w:rsidR="00E44BF9" w:rsidRPr="00582EF5" w:rsidRDefault="00E44BF9" w:rsidP="00BE1BE4">
      <w:pPr>
        <w:pStyle w:val="BodyText"/>
      </w:pPr>
    </w:p>
    <w:tbl>
      <w:tblPr>
        <w:tblStyle w:val="TableGrid"/>
        <w:tblW w:w="850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295D2A" w:rsidRPr="00582EF5" w14:paraId="7D29E7E3" w14:textId="77777777" w:rsidTr="703AEB20">
        <w:tc>
          <w:tcPr>
            <w:tcW w:w="0" w:type="auto"/>
            <w:shd w:val="clear" w:color="auto" w:fill="D2DDE2" w:themeFill="accent3"/>
          </w:tcPr>
          <w:p w14:paraId="0F59FA00" w14:textId="61C7EFF7" w:rsidR="00295D2A" w:rsidRPr="00582EF5" w:rsidRDefault="00295D2A" w:rsidP="00BE1BE4">
            <w:pPr>
              <w:pStyle w:val="Blueboxheading"/>
            </w:pPr>
            <w:bookmarkStart w:id="122" w:name="_Toc120523648"/>
            <w:r w:rsidRPr="00582EF5">
              <w:t xml:space="preserve">Box </w:t>
            </w:r>
            <w:r w:rsidR="00A51E8B" w:rsidRPr="00582EF5">
              <w:t>3</w:t>
            </w:r>
            <w:r w:rsidRPr="00582EF5">
              <w:t xml:space="preserve">: Brominated </w:t>
            </w:r>
            <w:r w:rsidRPr="00582EF5" w:rsidDel="00D455A3">
              <w:t>flame</w:t>
            </w:r>
            <w:r w:rsidR="00D455A3" w:rsidRPr="00582EF5">
              <w:t>-retardant</w:t>
            </w:r>
            <w:r w:rsidRPr="00582EF5">
              <w:t xml:space="preserve"> research: A </w:t>
            </w:r>
            <w:r w:rsidR="005B0831" w:rsidRPr="00582EF5">
              <w:t>c</w:t>
            </w:r>
            <w:r w:rsidRPr="00582EF5">
              <w:t>ost-benefit analysis of sorting options for e</w:t>
            </w:r>
            <w:r w:rsidR="000F7B59" w:rsidRPr="00582EF5">
              <w:noBreakHyphen/>
            </w:r>
            <w:r w:rsidRPr="00582EF5">
              <w:t>waste plastics</w:t>
            </w:r>
            <w:bookmarkEnd w:id="122"/>
            <w:r w:rsidRPr="00582EF5">
              <w:t xml:space="preserve"> </w:t>
            </w:r>
          </w:p>
          <w:p w14:paraId="69FA1604" w14:textId="70FBA77D" w:rsidR="00295D2A" w:rsidRPr="00582EF5" w:rsidRDefault="00295D2A" w:rsidP="00BE1BE4">
            <w:pPr>
              <w:pStyle w:val="Blueboxtext"/>
              <w:spacing w:before="80" w:after="80"/>
            </w:pPr>
            <w:r w:rsidRPr="00582EF5">
              <w:t xml:space="preserve">This report provides validation for </w:t>
            </w:r>
            <w:r w:rsidR="00ED46ED" w:rsidRPr="00582EF5">
              <w:t>the Ministry for the Environment’s (</w:t>
            </w:r>
            <w:proofErr w:type="spellStart"/>
            <w:r w:rsidRPr="00582EF5">
              <w:t>MfE’s</w:t>
            </w:r>
            <w:proofErr w:type="spellEnd"/>
            <w:r w:rsidR="00ED46ED" w:rsidRPr="00582EF5">
              <w:t>)</w:t>
            </w:r>
            <w:r w:rsidRPr="00582EF5">
              <w:t xml:space="preserve"> guidance on managing waste that may contain</w:t>
            </w:r>
            <w:r w:rsidR="000F7B59" w:rsidRPr="00582EF5">
              <w:t> </w:t>
            </w:r>
            <w:r w:rsidR="00ED46ED" w:rsidRPr="00582EF5">
              <w:t>brominated flame retardant (</w:t>
            </w:r>
            <w:r w:rsidRPr="00582EF5">
              <w:t>BFR</w:t>
            </w:r>
            <w:r w:rsidR="00ED46ED" w:rsidRPr="00582EF5">
              <w:t>)</w:t>
            </w:r>
            <w:r w:rsidRPr="00582EF5">
              <w:t>.</w:t>
            </w:r>
          </w:p>
          <w:p w14:paraId="3A2B87FF" w14:textId="1F4DB8C6" w:rsidR="00295D2A" w:rsidRPr="00582EF5" w:rsidRDefault="00295D2A" w:rsidP="00BE1BE4">
            <w:pPr>
              <w:pStyle w:val="Blueboxtext"/>
              <w:spacing w:before="80" w:after="80"/>
            </w:pPr>
            <w:r w:rsidRPr="00582EF5">
              <w:t>The analysis concluded that handheld scanning options to sort BFR</w:t>
            </w:r>
            <w:r w:rsidR="00711EED" w:rsidRPr="00582EF5">
              <w:t>-</w:t>
            </w:r>
            <w:r w:rsidRPr="00582EF5">
              <w:t>containing products from other recycling is expensive</w:t>
            </w:r>
            <w:r w:rsidR="00711EED" w:rsidRPr="00582EF5">
              <w:t>,</w:t>
            </w:r>
            <w:r w:rsidRPr="00582EF5">
              <w:t xml:space="preserve"> lacks sufficiently compelling benefits </w:t>
            </w:r>
            <w:r w:rsidR="00711EED" w:rsidRPr="00582EF5">
              <w:t>and has</w:t>
            </w:r>
            <w:r w:rsidRPr="00582EF5">
              <w:t xml:space="preserve"> operational and practical complexities that </w:t>
            </w:r>
            <w:r w:rsidR="00EC169D" w:rsidRPr="00582EF5">
              <w:t>cast doubt on its</w:t>
            </w:r>
            <w:r w:rsidRPr="00582EF5">
              <w:t xml:space="preserve"> feasibility.</w:t>
            </w:r>
          </w:p>
          <w:p w14:paraId="330D14BC" w14:textId="01BB0BEC" w:rsidR="00295D2A" w:rsidRPr="00582EF5" w:rsidRDefault="00295D2A" w:rsidP="00BE1BE4">
            <w:pPr>
              <w:pStyle w:val="Blueboxtext"/>
              <w:spacing w:before="80" w:after="80"/>
            </w:pPr>
            <w:r w:rsidRPr="00582EF5">
              <w:t xml:space="preserve">A visual </w:t>
            </w:r>
            <w:r w:rsidR="00EC169D" w:rsidRPr="00582EF5">
              <w:t>persistent organic pollutant (</w:t>
            </w:r>
            <w:r w:rsidRPr="00582EF5">
              <w:t>POP</w:t>
            </w:r>
            <w:r w:rsidR="00EC169D" w:rsidRPr="00582EF5">
              <w:t>)–</w:t>
            </w:r>
            <w:proofErr w:type="spellStart"/>
            <w:r w:rsidR="00EC169D" w:rsidRPr="00582EF5">
              <w:t>Bromodiphenyl</w:t>
            </w:r>
            <w:proofErr w:type="spellEnd"/>
            <w:r w:rsidR="00EC169D" w:rsidRPr="00582EF5">
              <w:t xml:space="preserve"> ether (</w:t>
            </w:r>
            <w:r w:rsidRPr="00582EF5">
              <w:t>BDE</w:t>
            </w:r>
            <w:r w:rsidR="00EC169D" w:rsidRPr="00582EF5">
              <w:t>)</w:t>
            </w:r>
            <w:r w:rsidRPr="00582EF5">
              <w:t xml:space="preserve"> detection and visual BFR option w</w:t>
            </w:r>
            <w:r w:rsidR="00F07C18" w:rsidRPr="00582EF5">
              <w:t>ere</w:t>
            </w:r>
            <w:r w:rsidRPr="00582EF5">
              <w:t xml:space="preserve"> also considered. The POP</w:t>
            </w:r>
            <w:r w:rsidR="00EC169D" w:rsidRPr="00582EF5">
              <w:t>–</w:t>
            </w:r>
            <w:r w:rsidRPr="00582EF5">
              <w:t>BDE option was considered likely to recover more items for recycling</w:t>
            </w:r>
            <w:r w:rsidR="00EC169D" w:rsidRPr="00582EF5">
              <w:t>;</w:t>
            </w:r>
            <w:r w:rsidRPr="00582EF5">
              <w:t xml:space="preserve"> however</w:t>
            </w:r>
            <w:r w:rsidR="00EC169D" w:rsidRPr="00582EF5">
              <w:t>,</w:t>
            </w:r>
            <w:r w:rsidRPr="00582EF5">
              <w:t xml:space="preserve"> the BFR option would give MfE more certainty that current and future domestic and international obligations would be met for ensuring safe disposal of BFRs.</w:t>
            </w:r>
            <w:r w:rsidR="006D7E9D" w:rsidRPr="00582EF5">
              <w:t xml:space="preserve"> </w:t>
            </w:r>
          </w:p>
          <w:p w14:paraId="56079D49" w14:textId="0BD55257" w:rsidR="00295D2A" w:rsidRPr="00582EF5" w:rsidRDefault="4E4C3277" w:rsidP="00BE1BE4">
            <w:pPr>
              <w:pStyle w:val="Blueboxtext"/>
              <w:spacing w:before="80" w:after="240"/>
            </w:pPr>
            <w:r>
              <w:t>The MfE</w:t>
            </w:r>
            <w:r w:rsidR="5D423694">
              <w:t xml:space="preserve">-issued guidance </w:t>
            </w:r>
            <w:r>
              <w:t>reflect</w:t>
            </w:r>
            <w:r w:rsidR="5D423694">
              <w:t>s</w:t>
            </w:r>
            <w:r>
              <w:t xml:space="preserve"> the need for certainty and ensures no item can be sent for recycling unless there is certainty it does not contain BFR.</w:t>
            </w:r>
          </w:p>
        </w:tc>
      </w:tr>
    </w:tbl>
    <w:p w14:paraId="62AF22AE" w14:textId="2FC19DD5" w:rsidR="00E72470" w:rsidRPr="00582EF5" w:rsidRDefault="72C89534" w:rsidP="00BE1BE4">
      <w:pPr>
        <w:pStyle w:val="Heading2"/>
        <w:spacing w:before="440"/>
      </w:pPr>
      <w:bookmarkStart w:id="123" w:name="_Toc531102800"/>
      <w:bookmarkStart w:id="124" w:name="_Toc120532252"/>
      <w:r>
        <w:t xml:space="preserve">6.4 </w:t>
      </w:r>
      <w:r w:rsidR="00E72470">
        <w:tab/>
      </w:r>
      <w:r>
        <w:t>Contaminated land management</w:t>
      </w:r>
      <w:bookmarkEnd w:id="123"/>
      <w:bookmarkEnd w:id="124"/>
    </w:p>
    <w:p w14:paraId="73D25402" w14:textId="6E0C7ABC" w:rsidR="00E72470" w:rsidRPr="00582EF5" w:rsidRDefault="00E72470" w:rsidP="00BE1BE4">
      <w:pPr>
        <w:pStyle w:val="BodyText"/>
      </w:pPr>
      <w:r w:rsidRPr="00582EF5">
        <w:t xml:space="preserve">Managing land contaminated by POPs is part of the general issue of managing land contaminated </w:t>
      </w:r>
      <w:r w:rsidR="7C38F204">
        <w:t>because of</w:t>
      </w:r>
      <w:r w:rsidRPr="00582EF5">
        <w:t xml:space="preserve"> chemicals use. </w:t>
      </w:r>
      <w:r w:rsidR="00B41152" w:rsidRPr="00582EF5">
        <w:t>P</w:t>
      </w:r>
      <w:r w:rsidRPr="00582EF5">
        <w:t>ast use of hazardous substances in industry, agriculture and horticulture has left a legacy of soil contamination in New Zealand. Contaminated sites are commonly associated with past activities such as:</w:t>
      </w:r>
    </w:p>
    <w:p w14:paraId="66EDD905" w14:textId="3A8E65C2" w:rsidR="00E72470" w:rsidRPr="00582EF5" w:rsidRDefault="26C9E298" w:rsidP="00BE1BE4">
      <w:pPr>
        <w:pStyle w:val="Bullet"/>
      </w:pPr>
      <w:r>
        <w:t>m</w:t>
      </w:r>
      <w:r w:rsidR="72C89534">
        <w:t xml:space="preserve">anufacture and use of pesticides – </w:t>
      </w:r>
      <w:r w:rsidR="78CAA136">
        <w:t>this</w:t>
      </w:r>
      <w:r w:rsidR="72C89534">
        <w:t xml:space="preserve"> ha</w:t>
      </w:r>
      <w:r w:rsidR="78CAA136">
        <w:t>s</w:t>
      </w:r>
      <w:r w:rsidR="72C89534">
        <w:t xml:space="preserve"> resulted in contamination at locations where pesticides were manufactured as well as the wider contamination associated with use of the chemicals (</w:t>
      </w:r>
      <w:proofErr w:type="spellStart"/>
      <w:r w:rsidR="72C89534">
        <w:t>eg</w:t>
      </w:r>
      <w:proofErr w:type="spellEnd"/>
      <w:r w:rsidR="72C89534">
        <w:t>, agrichemical sprays)</w:t>
      </w:r>
    </w:p>
    <w:p w14:paraId="4DAB7E3D" w14:textId="2CE0402E" w:rsidR="00E72470" w:rsidRPr="00582EF5" w:rsidRDefault="26C9E298" w:rsidP="00BE1BE4">
      <w:pPr>
        <w:pStyle w:val="Bullet"/>
      </w:pPr>
      <w:r>
        <w:lastRenderedPageBreak/>
        <w:t>t</w:t>
      </w:r>
      <w:r w:rsidR="72C89534">
        <w:t>imber treatment –</w:t>
      </w:r>
      <w:r w:rsidR="78CAA136">
        <w:t xml:space="preserve"> pentachlorophenol (</w:t>
      </w:r>
      <w:r w:rsidR="72C89534">
        <w:t>PCP</w:t>
      </w:r>
      <w:r w:rsidR="78CAA136">
        <w:t>)</w:t>
      </w:r>
      <w:r w:rsidR="72C89534">
        <w:t xml:space="preserve"> is a POP listed under the Convention that was used routinely at most sawmills and timber treatment plants from the 1950s until 1988</w:t>
      </w:r>
      <w:r w:rsidR="78CAA136">
        <w:t>,</w:t>
      </w:r>
      <w:r w:rsidR="72C89534">
        <w:t xml:space="preserve"> when its use </w:t>
      </w:r>
      <w:r w:rsidR="1265371A">
        <w:t>c</w:t>
      </w:r>
      <w:r w:rsidR="26423A28">
        <w:t>eas</w:t>
      </w:r>
      <w:r w:rsidR="78CAA136">
        <w:t>ed</w:t>
      </w:r>
    </w:p>
    <w:p w14:paraId="4716D9CE" w14:textId="1DE75EAE" w:rsidR="00E72470" w:rsidRPr="00582EF5" w:rsidRDefault="26C9E298" w:rsidP="00BE1BE4">
      <w:pPr>
        <w:pStyle w:val="Bullet"/>
      </w:pPr>
      <w:r>
        <w:t>s</w:t>
      </w:r>
      <w:r w:rsidR="72C89534">
        <w:t xml:space="preserve">heep dipping – from use of </w:t>
      </w:r>
      <w:r w:rsidR="78CAA136">
        <w:t>1,1,1-trichloro-2, 2-bis (4-chlorophenyl) ethane (</w:t>
      </w:r>
      <w:r w:rsidR="72C89534">
        <w:t>DDT</w:t>
      </w:r>
      <w:r w:rsidR="78CAA136">
        <w:t>)</w:t>
      </w:r>
      <w:r w:rsidR="72C89534">
        <w:t>, dieldrin, arsenic and other chemicals to treat parasites on sheep</w:t>
      </w:r>
    </w:p>
    <w:p w14:paraId="1B50F84E" w14:textId="7983A085" w:rsidR="00EB3630" w:rsidRPr="00EB3630" w:rsidRDefault="26C9E298" w:rsidP="00BE1BE4">
      <w:pPr>
        <w:pStyle w:val="Bullet"/>
      </w:pPr>
      <w:r>
        <w:t>l</w:t>
      </w:r>
      <w:r w:rsidR="72C89534">
        <w:t xml:space="preserve">imited use of </w:t>
      </w:r>
      <w:r w:rsidR="45727F80">
        <w:t xml:space="preserve">firefighting foams containing </w:t>
      </w:r>
      <w:proofErr w:type="spellStart"/>
      <w:r w:rsidR="78CAA136">
        <w:t>perfluorooctane</w:t>
      </w:r>
      <w:proofErr w:type="spellEnd"/>
      <w:r w:rsidR="78CAA136">
        <w:t xml:space="preserve"> sulfonic acid (</w:t>
      </w:r>
      <w:r w:rsidR="72C89534">
        <w:t>PF</w:t>
      </w:r>
      <w:r w:rsidR="49DFFC0C">
        <w:t>O</w:t>
      </w:r>
      <w:r w:rsidR="72C89534">
        <w:t>S</w:t>
      </w:r>
      <w:r w:rsidR="78CAA136">
        <w:t>)</w:t>
      </w:r>
      <w:r w:rsidR="72C89534">
        <w:t xml:space="preserve"> </w:t>
      </w:r>
      <w:r w:rsidR="00EB3630" w:rsidRPr="00EB3630">
        <w:t>and PFOA-related compounds</w:t>
      </w:r>
    </w:p>
    <w:p w14:paraId="409BC822" w14:textId="79FB3B82" w:rsidR="00F07C18" w:rsidRPr="00582EF5" w:rsidRDefault="26C9E298" w:rsidP="00BE1BE4">
      <w:pPr>
        <w:pStyle w:val="Bullet"/>
      </w:pPr>
      <w:r>
        <w:t>l</w:t>
      </w:r>
      <w:r w:rsidR="49DFFC0C">
        <w:t>andfills.</w:t>
      </w:r>
    </w:p>
    <w:p w14:paraId="0B72CF0F" w14:textId="462942BD" w:rsidR="00E72470" w:rsidRPr="00582EF5" w:rsidRDefault="7E830C18" w:rsidP="00BE1BE4">
      <w:pPr>
        <w:pStyle w:val="Heading3"/>
      </w:pPr>
      <w:r>
        <w:t>6.4.1</w:t>
      </w:r>
      <w:r w:rsidR="00A93FB4">
        <w:tab/>
      </w:r>
      <w:r w:rsidR="72C89534">
        <w:t xml:space="preserve">Responsibility for managing contaminated land </w:t>
      </w:r>
    </w:p>
    <w:p w14:paraId="4E7E3A9B" w14:textId="110E4F8B" w:rsidR="00E72470" w:rsidRPr="00582EF5" w:rsidRDefault="00E72470" w:rsidP="00BE1BE4">
      <w:pPr>
        <w:pStyle w:val="BodyText"/>
      </w:pPr>
      <w:r w:rsidRPr="00582EF5">
        <w:t>MfE provides national direction on land contamination across central and local government. This leadership include</w:t>
      </w:r>
      <w:r w:rsidR="00395E17" w:rsidRPr="00582EF5">
        <w:t>s</w:t>
      </w:r>
      <w:r w:rsidRPr="00582EF5">
        <w:t xml:space="preserve"> developing the </w:t>
      </w:r>
      <w:r w:rsidR="00DD640A" w:rsidRPr="00582EF5">
        <w:t>Resource Management (National Environmental Standard for Assessing and Managing Contaminants in Soil to Protect Human Health) Regulations 2011 (NESCS 2011)</w:t>
      </w:r>
      <w:r w:rsidR="00FD12B5" w:rsidRPr="00582EF5">
        <w:t xml:space="preserve"> </w:t>
      </w:r>
      <w:r w:rsidRPr="00582EF5">
        <w:t xml:space="preserve">and guidelines to </w:t>
      </w:r>
      <w:r w:rsidR="00395E17" w:rsidRPr="00582EF5">
        <w:t xml:space="preserve">help </w:t>
      </w:r>
      <w:r w:rsidR="00052CBC">
        <w:t xml:space="preserve">investigate, assess and </w:t>
      </w:r>
      <w:r w:rsidRPr="00582EF5">
        <w:t xml:space="preserve">manage contaminated land. </w:t>
      </w:r>
    </w:p>
    <w:p w14:paraId="5B9B2313" w14:textId="4D383179" w:rsidR="00E72470" w:rsidRPr="00582EF5" w:rsidRDefault="72C89534" w:rsidP="00BE1BE4">
      <w:pPr>
        <w:pStyle w:val="BodyText"/>
      </w:pPr>
      <w:r w:rsidRPr="00582EF5">
        <w:t xml:space="preserve">Regional councils and territorial authorities have functions under the RMA (sections 30 and 31) for the day-to-day management of contaminated land. Regional councils are responsible for investigating land for the purposes of identifying and monitoring contamination. </w:t>
      </w:r>
      <w:r w:rsidR="009C2878" w:rsidRPr="009F3BAF">
        <w:t>They are the first point of contact for anyone who suspects their land may be contaminated</w:t>
      </w:r>
      <w:r w:rsidRPr="00582EF5">
        <w:t xml:space="preserve">. Territorial authorities are responsible for preventing or mitigating any adverse effects of the development, subdivision or use of contaminated land. </w:t>
      </w:r>
      <w:r w:rsidR="104E2B68">
        <w:t>T</w:t>
      </w:r>
      <w:r w:rsidR="502DC070" w:rsidRPr="00582EF5">
        <w:t>he</w:t>
      </w:r>
      <w:r w:rsidRPr="00582EF5">
        <w:t xml:space="preserve"> </w:t>
      </w:r>
      <w:r w:rsidR="19A0A0D3">
        <w:t>NESCS 2011</w:t>
      </w:r>
      <w:r w:rsidRPr="00582EF5">
        <w:t xml:space="preserve"> </w:t>
      </w:r>
      <w:r w:rsidR="47F645C0">
        <w:t xml:space="preserve">assists the territorial authorities </w:t>
      </w:r>
      <w:r w:rsidR="3CEBB20F">
        <w:t xml:space="preserve">with their </w:t>
      </w:r>
      <w:r w:rsidR="45E878CA">
        <w:t>contaminated land planning functions</w:t>
      </w:r>
      <w:r w:rsidRPr="00582EF5">
        <w:t>.</w:t>
      </w:r>
      <w:r w:rsidR="009C2878">
        <w:t xml:space="preserve"> Find out more about </w:t>
      </w:r>
      <w:hyperlink r:id="rId119" w:history="1">
        <w:r w:rsidR="009C2878" w:rsidRPr="009C2878">
          <w:rPr>
            <w:rStyle w:val="Hyperlink"/>
          </w:rPr>
          <w:t>contaminated land</w:t>
        </w:r>
      </w:hyperlink>
      <w:r w:rsidR="009C2878">
        <w:t xml:space="preserve"> on our website. </w:t>
      </w:r>
    </w:p>
    <w:p w14:paraId="699D76C7" w14:textId="37F22946" w:rsidR="00E72470" w:rsidRPr="00582EF5" w:rsidRDefault="00A93FB4" w:rsidP="00BE1BE4">
      <w:pPr>
        <w:pStyle w:val="Heading3"/>
      </w:pPr>
      <w:r w:rsidRPr="00582EF5">
        <w:t>6.4.2</w:t>
      </w:r>
      <w:r w:rsidRPr="00582EF5">
        <w:tab/>
      </w:r>
      <w:r w:rsidR="00E72470" w:rsidRPr="00582EF5">
        <w:t>Contaminated land regulatory framework</w:t>
      </w:r>
    </w:p>
    <w:p w14:paraId="58E29931" w14:textId="270BC6EC" w:rsidR="00E72470" w:rsidRPr="00582EF5" w:rsidRDefault="72C89534" w:rsidP="00BE1BE4">
      <w:pPr>
        <w:pStyle w:val="BodyText"/>
      </w:pPr>
      <w:r>
        <w:t xml:space="preserve">To help local government fulfil </w:t>
      </w:r>
      <w:r w:rsidR="691CB143">
        <w:t xml:space="preserve">its </w:t>
      </w:r>
      <w:r>
        <w:t>functions</w:t>
      </w:r>
      <w:r w:rsidR="56CEFCCF">
        <w:t>,</w:t>
      </w:r>
      <w:r>
        <w:t xml:space="preserve"> a broad framework </w:t>
      </w:r>
      <w:r w:rsidR="691CB143">
        <w:t xml:space="preserve">is in place </w:t>
      </w:r>
      <w:r>
        <w:t>for managing land contamination that includes a mix of legislation, regulation, guidelines and funding arrangements. These include:</w:t>
      </w:r>
    </w:p>
    <w:p w14:paraId="081BD208" w14:textId="09DB1B3D" w:rsidR="00E72470" w:rsidRPr="00582EF5" w:rsidRDefault="0B419281" w:rsidP="00BE1BE4">
      <w:pPr>
        <w:pStyle w:val="Bullet"/>
      </w:pPr>
      <w:r>
        <w:t>RMA</w:t>
      </w:r>
      <w:r w:rsidR="72C89534">
        <w:t xml:space="preserve"> </w:t>
      </w:r>
    </w:p>
    <w:p w14:paraId="2E553F98" w14:textId="227A29F5" w:rsidR="00E72470" w:rsidRPr="00582EF5" w:rsidRDefault="5FB41EBA" w:rsidP="00BE1BE4">
      <w:pPr>
        <w:pStyle w:val="Bullet"/>
      </w:pPr>
      <w:r>
        <w:t xml:space="preserve">HSWA </w:t>
      </w:r>
      <w:r w:rsidR="691CB143">
        <w:t xml:space="preserve">2015 </w:t>
      </w:r>
    </w:p>
    <w:p w14:paraId="17757706" w14:textId="103BF8B7" w:rsidR="00E72470" w:rsidRPr="00582EF5" w:rsidRDefault="668F1035" w:rsidP="00BE1BE4">
      <w:pPr>
        <w:pStyle w:val="Bullet"/>
      </w:pPr>
      <w:hyperlink r:id="rId120">
        <w:r w:rsidRPr="1A06031B">
          <w:rPr>
            <w:rStyle w:val="Hyperlink"/>
          </w:rPr>
          <w:t>NESCS</w:t>
        </w:r>
        <w:r w:rsidR="49E4E11B" w:rsidRPr="1A06031B">
          <w:rPr>
            <w:rStyle w:val="Hyperlink"/>
          </w:rPr>
          <w:t xml:space="preserve"> 2011</w:t>
        </w:r>
      </w:hyperlink>
    </w:p>
    <w:p w14:paraId="1063DBA1" w14:textId="0C9EF3F3" w:rsidR="00E72470" w:rsidRPr="00582EF5" w:rsidRDefault="66ADE326" w:rsidP="00BE1BE4">
      <w:pPr>
        <w:pStyle w:val="Bullet"/>
      </w:pPr>
      <w:hyperlink r:id="rId121">
        <w:r w:rsidRPr="1A06031B">
          <w:rPr>
            <w:rStyle w:val="Hyperlink"/>
          </w:rPr>
          <w:t>c</w:t>
        </w:r>
        <w:r w:rsidR="668F1035" w:rsidRPr="1A06031B">
          <w:rPr>
            <w:rStyle w:val="Hyperlink"/>
          </w:rPr>
          <w:t>ontaminated land management guidelines</w:t>
        </w:r>
      </w:hyperlink>
      <w:r w:rsidR="668F1035">
        <w:t xml:space="preserve"> </w:t>
      </w:r>
    </w:p>
    <w:p w14:paraId="6923049C" w14:textId="548A06E8" w:rsidR="00E72470" w:rsidRPr="00582EF5" w:rsidRDefault="66ADE326" w:rsidP="00BE1BE4">
      <w:pPr>
        <w:pStyle w:val="Bullet"/>
      </w:pPr>
      <w:hyperlink r:id="rId122">
        <w:r w:rsidRPr="1A06031B">
          <w:rPr>
            <w:rStyle w:val="Hyperlink"/>
          </w:rPr>
          <w:t xml:space="preserve">Contaminated Sites Remediation Fund </w:t>
        </w:r>
        <w:r w:rsidR="0EB3EF64" w:rsidRPr="1A06031B">
          <w:rPr>
            <w:rStyle w:val="Hyperlink"/>
          </w:rPr>
          <w:t>(</w:t>
        </w:r>
        <w:r w:rsidR="49E4E11B" w:rsidRPr="1A06031B">
          <w:rPr>
            <w:rStyle w:val="Hyperlink"/>
          </w:rPr>
          <w:t>CSRF</w:t>
        </w:r>
        <w:r w:rsidR="0EB3EF64" w:rsidRPr="1A06031B">
          <w:rPr>
            <w:rStyle w:val="Hyperlink"/>
          </w:rPr>
          <w:t>)</w:t>
        </w:r>
      </w:hyperlink>
      <w:r w:rsidR="668F1035">
        <w:t xml:space="preserve"> </w:t>
      </w:r>
    </w:p>
    <w:p w14:paraId="7F74C5BC" w14:textId="677999FC" w:rsidR="00E72470" w:rsidRPr="00582EF5" w:rsidRDefault="29DEF326" w:rsidP="00BE1BE4">
      <w:pPr>
        <w:pStyle w:val="Bullet"/>
      </w:pPr>
      <w:r w:rsidRPr="00582EF5">
        <w:t>g</w:t>
      </w:r>
      <w:r w:rsidR="72C89534" w:rsidRPr="00582EF5">
        <w:t>uidance for councils to identify, assess and investigate land where PFAS was manufactured, used or disposed</w:t>
      </w:r>
      <w:r w:rsidR="000224BB">
        <w:t xml:space="preserve"> of</w:t>
      </w:r>
      <w:r w:rsidRPr="00582EF5">
        <w:t>.</w:t>
      </w:r>
      <w:r w:rsidR="00E72470" w:rsidRPr="00582EF5">
        <w:rPr>
          <w:vertAlign w:val="superscript"/>
        </w:rPr>
        <w:footnoteReference w:id="10"/>
      </w:r>
    </w:p>
    <w:p w14:paraId="3DD2C12C" w14:textId="6B8982D4" w:rsidR="00E72470" w:rsidRPr="00582EF5" w:rsidRDefault="72C89534" w:rsidP="00BE1BE4">
      <w:pPr>
        <w:pStyle w:val="BodyText"/>
      </w:pPr>
      <w:r w:rsidRPr="0024368D">
        <w:t>MfE has also compiled a list of activities and industries</w:t>
      </w:r>
      <w:r w:rsidR="7DE2CA5C" w:rsidRPr="0024368D">
        <w:t>,</w:t>
      </w:r>
      <w:r w:rsidRPr="0024368D">
        <w:t xml:space="preserve"> </w:t>
      </w:r>
      <w:r w:rsidR="7DE2CA5C" w:rsidRPr="0024368D">
        <w:t xml:space="preserve">the </w:t>
      </w:r>
      <w:hyperlink r:id="rId123" w:history="1">
        <w:r w:rsidR="7DE2CA5C" w:rsidRPr="0024368D">
          <w:rPr>
            <w:rStyle w:val="Hyperlink"/>
          </w:rPr>
          <w:t>Hazardous Activities and Industries List</w:t>
        </w:r>
      </w:hyperlink>
      <w:r w:rsidR="7DE2CA5C" w:rsidRPr="0024368D">
        <w:t xml:space="preserve"> (HAIL)</w:t>
      </w:r>
      <w:r w:rsidR="7DE2CA5C" w:rsidRPr="00582EF5">
        <w:t xml:space="preserve">, </w:t>
      </w:r>
      <w:r w:rsidRPr="00582EF5">
        <w:t>commonly associated with contaminated land</w:t>
      </w:r>
      <w:r w:rsidR="19112B39" w:rsidRPr="00582EF5">
        <w:t>,</w:t>
      </w:r>
      <w:r w:rsidRPr="00582EF5">
        <w:t xml:space="preserve"> to help identify potentially contaminated land.</w:t>
      </w:r>
    </w:p>
    <w:p w14:paraId="594982D5" w14:textId="77777777" w:rsidR="00E72470" w:rsidRPr="00582EF5" w:rsidRDefault="00E72470" w:rsidP="00BE1BE4">
      <w:pPr>
        <w:pStyle w:val="Heading4"/>
        <w:spacing w:before="240"/>
      </w:pPr>
      <w:r w:rsidRPr="00582EF5">
        <w:lastRenderedPageBreak/>
        <w:t>Resource Management Act 1991</w:t>
      </w:r>
    </w:p>
    <w:p w14:paraId="742D1B03" w14:textId="4B675898" w:rsidR="00E72470" w:rsidRPr="00582EF5" w:rsidRDefault="72C89534" w:rsidP="00BE1BE4">
      <w:pPr>
        <w:pStyle w:val="BodyText"/>
      </w:pPr>
      <w:r w:rsidRPr="00582EF5">
        <w:t xml:space="preserve">The RMA is the core legislation for controlling the effects of contaminated land on the environment and people. </w:t>
      </w:r>
      <w:r w:rsidR="7DE2CA5C" w:rsidRPr="00582EF5">
        <w:t>It</w:t>
      </w:r>
      <w:r w:rsidRPr="00582EF5">
        <w:t xml:space="preserve"> defines contaminated land as land that has a hazardous substance in or on it that has significant adverse effects on the environment or is </w:t>
      </w:r>
      <w:r w:rsidR="357B8CE1" w:rsidRPr="00582EF5">
        <w:t>likely</w:t>
      </w:r>
      <w:r w:rsidRPr="00582EF5">
        <w:t xml:space="preserve"> to have significant adverse effects on the environment. Environmental Guideline Values apply to a range of contaminants in soil</w:t>
      </w:r>
      <w:r w:rsidR="0E9C771C" w:rsidRPr="00582EF5">
        <w:t>,</w:t>
      </w:r>
      <w:r w:rsidRPr="00582EF5">
        <w:t xml:space="preserve"> based on the intended land use. These contaminant guideline values are selected in </w:t>
      </w:r>
      <w:r w:rsidR="0E9C771C" w:rsidRPr="00582EF5">
        <w:t xml:space="preserve">line </w:t>
      </w:r>
      <w:r w:rsidRPr="00582EF5">
        <w:t xml:space="preserve">with a hierarchy, which </w:t>
      </w:r>
      <w:r w:rsidRPr="0024368D">
        <w:t xml:space="preserve">can be found in </w:t>
      </w:r>
      <w:proofErr w:type="spellStart"/>
      <w:r w:rsidRPr="0024368D">
        <w:t>MfE’s</w:t>
      </w:r>
      <w:proofErr w:type="spellEnd"/>
      <w:r w:rsidRPr="0024368D">
        <w:t xml:space="preserve"> </w:t>
      </w:r>
      <w:hyperlink r:id="rId124" w:history="1">
        <w:r w:rsidR="0024368D" w:rsidRPr="0024368D">
          <w:rPr>
            <w:rStyle w:val="Hyperlink"/>
          </w:rPr>
          <w:t>C</w:t>
        </w:r>
        <w:r w:rsidR="397DFC28" w:rsidRPr="0024368D">
          <w:rPr>
            <w:rStyle w:val="Hyperlink"/>
          </w:rPr>
          <w:t xml:space="preserve">ontaminated </w:t>
        </w:r>
        <w:r w:rsidRPr="0024368D">
          <w:rPr>
            <w:rStyle w:val="Hyperlink"/>
          </w:rPr>
          <w:t>land management guidance No 2: Hierarchy and application in New Zealand of environmental guideline values (revised 2011)</w:t>
        </w:r>
      </w:hyperlink>
      <w:r w:rsidRPr="00582EF5">
        <w:t>.</w:t>
      </w:r>
      <w:r w:rsidR="397DFC28" w:rsidRPr="703AEB20">
        <w:rPr>
          <w:rFonts w:asciiTheme="minorHAnsi" w:hAnsiTheme="minorHAnsi" w:cs="Arial"/>
          <w:sz w:val="18"/>
          <w:szCs w:val="18"/>
        </w:rPr>
        <w:t xml:space="preserve"> </w:t>
      </w:r>
    </w:p>
    <w:p w14:paraId="0172490A" w14:textId="77777777" w:rsidR="00E72470" w:rsidRPr="00582EF5" w:rsidRDefault="00E72470" w:rsidP="00BE1BE4">
      <w:pPr>
        <w:pStyle w:val="BodyText"/>
      </w:pPr>
      <w:r w:rsidRPr="00582EF5">
        <w:t>Under the RMA, regional councils and territorial authorities have overlapping functions for controlling land use (</w:t>
      </w:r>
      <w:proofErr w:type="spellStart"/>
      <w:r w:rsidRPr="00582EF5">
        <w:t>eg</w:t>
      </w:r>
      <w:proofErr w:type="spellEnd"/>
      <w:r w:rsidRPr="00582EF5">
        <w:t xml:space="preserve">, preventing or mitigating any adverse effects of the storage, use, disposal or transportation of hazardous substances). The regional councils are required to allocate these functions under their regional policy statements. In most cases, the function is allocated to the territorial authority, along with their other land-use control functions. </w:t>
      </w:r>
    </w:p>
    <w:p w14:paraId="1868BD5B" w14:textId="3BE5F3B7" w:rsidR="00E72470" w:rsidRPr="00582EF5" w:rsidRDefault="00CD0320" w:rsidP="00BE1BE4">
      <w:pPr>
        <w:pStyle w:val="Heading4"/>
        <w:spacing w:before="240"/>
      </w:pPr>
      <w:r>
        <w:t>Resource Management (</w:t>
      </w:r>
      <w:r w:rsidR="00E72470" w:rsidRPr="00582EF5">
        <w:t>National Environmental Standard for Assessing and Managing Contaminants in</w:t>
      </w:r>
      <w:r w:rsidR="009E05D3" w:rsidRPr="00582EF5">
        <w:t> </w:t>
      </w:r>
      <w:r w:rsidR="00E72470" w:rsidRPr="00582EF5">
        <w:t>Soil</w:t>
      </w:r>
      <w:r w:rsidR="009E05D3" w:rsidRPr="00582EF5">
        <w:t> </w:t>
      </w:r>
      <w:r w:rsidR="00E72470" w:rsidRPr="00582EF5">
        <w:t>to Protect Human Health</w:t>
      </w:r>
      <w:r>
        <w:t>) Regulations</w:t>
      </w:r>
      <w:r w:rsidR="00E72470" w:rsidRPr="00582EF5">
        <w:t xml:space="preserve"> 2011</w:t>
      </w:r>
    </w:p>
    <w:p w14:paraId="053512CC" w14:textId="65527C17" w:rsidR="00E72470" w:rsidRPr="00582EF5" w:rsidRDefault="72C89534" w:rsidP="00BE1BE4">
      <w:pPr>
        <w:pStyle w:val="BodyText"/>
        <w:keepNext/>
      </w:pPr>
      <w:r w:rsidRPr="00B340C5">
        <w:t>The NESCS</w:t>
      </w:r>
      <w:r w:rsidR="0B419281" w:rsidRPr="00B340C5">
        <w:t xml:space="preserve"> 2011</w:t>
      </w:r>
      <w:r w:rsidRPr="00B340C5">
        <w:t xml:space="preserve"> is a </w:t>
      </w:r>
      <w:r w:rsidR="6A1E66D5" w:rsidRPr="00B340C5">
        <w:t xml:space="preserve">set of </w:t>
      </w:r>
      <w:r w:rsidRPr="00B340C5">
        <w:t xml:space="preserve">nationally consistent planning controls and soil contaminant values. </w:t>
      </w:r>
      <w:hyperlink r:id="rId125" w:history="1">
        <w:r w:rsidRPr="00B340C5">
          <w:rPr>
            <w:rStyle w:val="Hyperlink"/>
          </w:rPr>
          <w:t xml:space="preserve">Guidance </w:t>
        </w:r>
        <w:r w:rsidR="6A1E66D5" w:rsidRPr="00B340C5">
          <w:rPr>
            <w:rStyle w:val="Hyperlink"/>
          </w:rPr>
          <w:t>for users of</w:t>
        </w:r>
        <w:r w:rsidRPr="00B340C5">
          <w:rPr>
            <w:rStyle w:val="Hyperlink"/>
          </w:rPr>
          <w:t xml:space="preserve"> the NESCS</w:t>
        </w:r>
      </w:hyperlink>
      <w:r w:rsidRPr="00B340C5">
        <w:t xml:space="preserve"> is available on the MfE website</w:t>
      </w:r>
      <w:r w:rsidRPr="00582EF5">
        <w:t>.</w:t>
      </w:r>
    </w:p>
    <w:p w14:paraId="601EC6B4" w14:textId="47CFE117" w:rsidR="00E72470" w:rsidRPr="00582EF5" w:rsidRDefault="00E72470" w:rsidP="00BE1BE4">
      <w:pPr>
        <w:pStyle w:val="BodyText"/>
      </w:pPr>
      <w:r w:rsidRPr="00582EF5">
        <w:t xml:space="preserve">The NESCS </w:t>
      </w:r>
      <w:r w:rsidR="00D10B45" w:rsidRPr="00582EF5">
        <w:t xml:space="preserve">2011 </w:t>
      </w:r>
      <w:r w:rsidRPr="00582EF5">
        <w:t>ensures that land affected by contaminants in soil is appropriately identified and assessed before it is developed and</w:t>
      </w:r>
      <w:r w:rsidR="000D65ED" w:rsidRPr="00582EF5">
        <w:t>,</w:t>
      </w:r>
      <w:r w:rsidRPr="00582EF5">
        <w:t xml:space="preserve"> if necessary</w:t>
      </w:r>
      <w:r w:rsidR="000D65ED" w:rsidRPr="00582EF5">
        <w:t>,</w:t>
      </w:r>
      <w:r w:rsidRPr="00582EF5">
        <w:t xml:space="preserve"> is remediated or the contaminants contained to make the land safe for human use. The NESCS came into effect on 1</w:t>
      </w:r>
      <w:r w:rsidR="009E05D3" w:rsidRPr="00582EF5">
        <w:t> </w:t>
      </w:r>
      <w:r w:rsidRPr="00582EF5">
        <w:t xml:space="preserve">January 2012. The standard ensures all councils follow the same planning and decision-making framework for consistency purposes. </w:t>
      </w:r>
    </w:p>
    <w:p w14:paraId="17B9DE7E" w14:textId="1F423A72" w:rsidR="00E72470" w:rsidRPr="00582EF5" w:rsidRDefault="00E72470" w:rsidP="00BE1BE4">
      <w:pPr>
        <w:pStyle w:val="BodyText"/>
      </w:pPr>
      <w:r w:rsidRPr="00582EF5">
        <w:t>The NESCS</w:t>
      </w:r>
      <w:r w:rsidR="00D10B45" w:rsidRPr="00582EF5">
        <w:t xml:space="preserve"> 2011</w:t>
      </w:r>
      <w:r w:rsidRPr="00582EF5">
        <w:t xml:space="preserve"> provides:</w:t>
      </w:r>
    </w:p>
    <w:p w14:paraId="50994391" w14:textId="0CFB17CF" w:rsidR="00E72470" w:rsidRPr="00582EF5" w:rsidRDefault="72C89534" w:rsidP="00BE1BE4">
      <w:pPr>
        <w:pStyle w:val="Bullet"/>
      </w:pPr>
      <w:r>
        <w:t>a nationwide set of planning controls that direct the requirement for consent or otherwise for activities on contaminated or potentially contaminated land</w:t>
      </w:r>
    </w:p>
    <w:p w14:paraId="22C1E992" w14:textId="17CD1B9F" w:rsidR="00E72470" w:rsidRPr="00582EF5" w:rsidRDefault="72C89534" w:rsidP="00BE1BE4">
      <w:pPr>
        <w:pStyle w:val="Bullet"/>
      </w:pPr>
      <w:r>
        <w:t>a mandated method for determining applicable standards for contaminants in soil, including a national set of soil contaminant standards for 12 priority contaminants and five common land uses</w:t>
      </w:r>
    </w:p>
    <w:p w14:paraId="042A3BFE" w14:textId="69E391C6" w:rsidR="00E72470" w:rsidRPr="00582EF5" w:rsidRDefault="72C89534" w:rsidP="00BE1BE4">
      <w:pPr>
        <w:pStyle w:val="Bullet"/>
      </w:pPr>
      <w:r>
        <w:t>a nationwide approach to site investigations and reporting</w:t>
      </w:r>
      <w:r w:rsidR="3627B860">
        <w:t>,</w:t>
      </w:r>
      <w:r>
        <w:t xml:space="preserve"> by mandating the use of best practice guidelines for investigating and reporting on contaminated or potentially contaminated land.</w:t>
      </w:r>
    </w:p>
    <w:p w14:paraId="634C2A5B" w14:textId="11C9E9FE" w:rsidR="00E72470" w:rsidRPr="00582EF5" w:rsidRDefault="000B324D" w:rsidP="00BE1BE4">
      <w:pPr>
        <w:pStyle w:val="Heading4"/>
      </w:pPr>
      <w:r w:rsidRPr="00582EF5">
        <w:t>Hazardous Activities and Industries List</w:t>
      </w:r>
    </w:p>
    <w:p w14:paraId="7C01CFE7" w14:textId="6E270640" w:rsidR="00E72470" w:rsidRPr="00582EF5" w:rsidRDefault="00E72470" w:rsidP="00BE1BE4">
      <w:pPr>
        <w:pStyle w:val="BodyText"/>
      </w:pPr>
      <w:r w:rsidRPr="00582EF5">
        <w:t>Under the NESCS</w:t>
      </w:r>
      <w:r w:rsidR="00D10B45" w:rsidRPr="00582EF5">
        <w:t xml:space="preserve"> 2011</w:t>
      </w:r>
      <w:r w:rsidRPr="00582EF5">
        <w:t xml:space="preserve">, land </w:t>
      </w:r>
      <w:proofErr w:type="gramStart"/>
      <w:r w:rsidRPr="00582EF5">
        <w:t>is considered to be</w:t>
      </w:r>
      <w:proofErr w:type="gramEnd"/>
      <w:r w:rsidRPr="00582EF5">
        <w:t xml:space="preserve"> actually or potentially contaminated if an activity or industry on the HAIL has been, is or is more likely tha</w:t>
      </w:r>
      <w:r w:rsidR="001045BC">
        <w:t>n</w:t>
      </w:r>
      <w:r w:rsidRPr="00582EF5">
        <w:t xml:space="preserve"> not to have been</w:t>
      </w:r>
      <w:r w:rsidR="000B324D" w:rsidRPr="00582EF5">
        <w:t>,</w:t>
      </w:r>
      <w:r w:rsidRPr="00582EF5">
        <w:t xml:space="preserve"> undertaken on the land. The HAIL is a compilation of activities and industries known to have caused land contamination resulting from hazardous substance use, storage or disposal. The </w:t>
      </w:r>
      <w:r w:rsidR="000B324D" w:rsidRPr="00582EF5">
        <w:t xml:space="preserve">HAIL’s </w:t>
      </w:r>
      <w:r w:rsidRPr="00582EF5">
        <w:t xml:space="preserve">purpose is to </w:t>
      </w:r>
      <w:r w:rsidR="000B324D" w:rsidRPr="00582EF5">
        <w:t xml:space="preserve">help </w:t>
      </w:r>
      <w:r w:rsidRPr="00582EF5">
        <w:t xml:space="preserve">regional councils identify contaminated or potentially contaminated sites for inclusion on local government land-use registers. </w:t>
      </w:r>
    </w:p>
    <w:p w14:paraId="6441C91F" w14:textId="77777777" w:rsidR="001F4438" w:rsidRDefault="001F4438">
      <w:pPr>
        <w:spacing w:before="0" w:after="200" w:line="276" w:lineRule="auto"/>
        <w:jc w:val="left"/>
        <w:rPr>
          <w:rFonts w:eastAsiaTheme="majorEastAsia" w:cstheme="majorBidi"/>
          <w:b/>
          <w:bCs/>
          <w:color w:val="0F7B7D"/>
          <w:sz w:val="24"/>
        </w:rPr>
      </w:pPr>
      <w:r>
        <w:br w:type="page"/>
      </w:r>
    </w:p>
    <w:p w14:paraId="6C91D1DE" w14:textId="0A226322" w:rsidR="00E72470" w:rsidRPr="00582EF5" w:rsidRDefault="00E72470" w:rsidP="00BE1BE4">
      <w:pPr>
        <w:pStyle w:val="Heading4"/>
      </w:pPr>
      <w:r w:rsidRPr="00582EF5">
        <w:lastRenderedPageBreak/>
        <w:t xml:space="preserve">Contaminated </w:t>
      </w:r>
      <w:r w:rsidR="000B324D" w:rsidRPr="00582EF5">
        <w:t>l</w:t>
      </w:r>
      <w:r w:rsidRPr="00582EF5">
        <w:t xml:space="preserve">and </w:t>
      </w:r>
      <w:r w:rsidR="000B324D" w:rsidRPr="00582EF5">
        <w:t>m</w:t>
      </w:r>
      <w:r w:rsidRPr="00582EF5">
        <w:t xml:space="preserve">anagement </w:t>
      </w:r>
      <w:r w:rsidR="000B324D" w:rsidRPr="00582EF5">
        <w:t>g</w:t>
      </w:r>
      <w:r w:rsidRPr="00582EF5">
        <w:t>uidelines</w:t>
      </w:r>
    </w:p>
    <w:p w14:paraId="312D22B7" w14:textId="3A4D938B" w:rsidR="00E72470" w:rsidRPr="00582EF5" w:rsidRDefault="00E72470" w:rsidP="00BE1BE4">
      <w:pPr>
        <w:pStyle w:val="BodyText"/>
      </w:pPr>
      <w:r w:rsidRPr="00582EF5">
        <w:t>Guidelines are available to enable contaminated land to be assessed and managed consistently throughout New Zealand. They have been developed in partnership with regional councils.</w:t>
      </w:r>
      <w:r w:rsidR="006D7E9D" w:rsidRPr="00582EF5">
        <w:t xml:space="preserve"> </w:t>
      </w:r>
      <w:r w:rsidR="00BF208E" w:rsidRPr="00582EF5">
        <w:t>F</w:t>
      </w:r>
      <w:r w:rsidRPr="00582EF5">
        <w:t>ive guidelines</w:t>
      </w:r>
      <w:r w:rsidR="00BF208E" w:rsidRPr="00582EF5">
        <w:t xml:space="preserve"> have been published</w:t>
      </w:r>
      <w:r w:rsidRPr="00582EF5">
        <w:t>, each covering a different aspect of contaminated land management</w:t>
      </w:r>
      <w:r w:rsidR="00861FF0" w:rsidRPr="00582EF5">
        <w:t xml:space="preserve"> (</w:t>
      </w:r>
      <w:r w:rsidR="00BF208E" w:rsidRPr="00582EF5">
        <w:t>t</w:t>
      </w:r>
      <w:r w:rsidR="00861FF0" w:rsidRPr="00582EF5">
        <w:t xml:space="preserve">able </w:t>
      </w:r>
      <w:r w:rsidR="0024368D" w:rsidRPr="00582EF5">
        <w:t>2</w:t>
      </w:r>
      <w:r w:rsidR="0024368D">
        <w:t>8</w:t>
      </w:r>
      <w:r w:rsidR="00861FF0" w:rsidRPr="00582EF5">
        <w:t>)</w:t>
      </w:r>
      <w:r w:rsidRPr="00582EF5">
        <w:t xml:space="preserve">. </w:t>
      </w:r>
    </w:p>
    <w:p w14:paraId="2B99A411" w14:textId="3C696752" w:rsidR="00E72470" w:rsidRPr="00582EF5" w:rsidRDefault="00E72470" w:rsidP="00BE1BE4">
      <w:pPr>
        <w:pStyle w:val="Tableheading"/>
      </w:pPr>
      <w:bookmarkStart w:id="125" w:name="_Toc120532293"/>
      <w:r w:rsidRPr="00582EF5">
        <w:t xml:space="preserve">Table </w:t>
      </w:r>
      <w:r w:rsidR="01EA6451">
        <w:t>2</w:t>
      </w:r>
      <w:r w:rsidR="258E7096">
        <w:t>8</w:t>
      </w:r>
      <w:r w:rsidRPr="00582EF5">
        <w:t xml:space="preserve">: </w:t>
      </w:r>
      <w:r w:rsidR="009E05D3" w:rsidRPr="00582EF5">
        <w:tab/>
      </w:r>
      <w:r w:rsidRPr="00582EF5">
        <w:t xml:space="preserve">Contaminated </w:t>
      </w:r>
      <w:r w:rsidR="00BF208E" w:rsidRPr="00582EF5">
        <w:t>l</w:t>
      </w:r>
      <w:r w:rsidRPr="00582EF5">
        <w:t xml:space="preserve">and </w:t>
      </w:r>
      <w:r w:rsidR="00BF208E" w:rsidRPr="00582EF5">
        <w:t>m</w:t>
      </w:r>
      <w:r w:rsidRPr="00582EF5">
        <w:t xml:space="preserve">anagement </w:t>
      </w:r>
      <w:r w:rsidR="00BF208E" w:rsidRPr="00582EF5">
        <w:t>g</w:t>
      </w:r>
      <w:r w:rsidRPr="00582EF5">
        <w:t>uidelines and description</w:t>
      </w:r>
      <w:bookmarkEnd w:id="125"/>
    </w:p>
    <w:tbl>
      <w:tblPr>
        <w:tblW w:w="0" w:type="auto"/>
        <w:tblBorders>
          <w:top w:val="single" w:sz="4" w:space="0" w:color="1C556C"/>
          <w:bottom w:val="single" w:sz="4" w:space="0" w:color="1C556C"/>
          <w:insideH w:val="single" w:sz="4" w:space="0" w:color="1C556C"/>
          <w:insideV w:val="single" w:sz="4" w:space="0" w:color="1C556C"/>
        </w:tblBorders>
        <w:tblLook w:val="04A0" w:firstRow="1" w:lastRow="0" w:firstColumn="1" w:lastColumn="0" w:noHBand="0" w:noVBand="1"/>
      </w:tblPr>
      <w:tblGrid>
        <w:gridCol w:w="4136"/>
        <w:gridCol w:w="4369"/>
      </w:tblGrid>
      <w:tr w:rsidR="009E05D3" w:rsidRPr="00582EF5" w14:paraId="55EB1757" w14:textId="77777777" w:rsidTr="703AEB20">
        <w:tc>
          <w:tcPr>
            <w:tcW w:w="4136" w:type="dxa"/>
            <w:shd w:val="clear" w:color="auto" w:fill="1C556C" w:themeFill="accent1"/>
          </w:tcPr>
          <w:p w14:paraId="4037F4FF" w14:textId="77777777" w:rsidR="00E72470" w:rsidRPr="00582EF5" w:rsidRDefault="00E72470" w:rsidP="00BE1BE4">
            <w:pPr>
              <w:pStyle w:val="TableTextbold"/>
              <w:keepNext/>
              <w:rPr>
                <w:color w:val="FFFFFF" w:themeColor="background1"/>
              </w:rPr>
            </w:pPr>
            <w:r w:rsidRPr="00582EF5">
              <w:rPr>
                <w:color w:val="FFFFFF" w:themeColor="background1"/>
              </w:rPr>
              <w:t>Guidance title</w:t>
            </w:r>
          </w:p>
        </w:tc>
        <w:tc>
          <w:tcPr>
            <w:tcW w:w="4369" w:type="dxa"/>
            <w:shd w:val="clear" w:color="auto" w:fill="1C556C" w:themeFill="accent1"/>
          </w:tcPr>
          <w:p w14:paraId="3DBEA5CA" w14:textId="77777777" w:rsidR="00E72470" w:rsidRPr="00582EF5" w:rsidRDefault="00E72470" w:rsidP="00BE1BE4">
            <w:pPr>
              <w:pStyle w:val="TableTextbold"/>
              <w:keepNext/>
              <w:rPr>
                <w:color w:val="FFFFFF" w:themeColor="background1"/>
              </w:rPr>
            </w:pPr>
            <w:r w:rsidRPr="00582EF5">
              <w:rPr>
                <w:color w:val="FFFFFF" w:themeColor="background1"/>
              </w:rPr>
              <w:t>Description</w:t>
            </w:r>
          </w:p>
        </w:tc>
      </w:tr>
      <w:tr w:rsidR="00E72470" w:rsidRPr="00582EF5" w14:paraId="6CBDD7F9" w14:textId="77777777" w:rsidTr="703AEB20">
        <w:tc>
          <w:tcPr>
            <w:tcW w:w="4136" w:type="dxa"/>
          </w:tcPr>
          <w:p w14:paraId="36EB4018" w14:textId="7D2BDC78" w:rsidR="00E72470" w:rsidRPr="00582EF5" w:rsidRDefault="72C89534" w:rsidP="00BE1BE4">
            <w:pPr>
              <w:pStyle w:val="TableText"/>
              <w:keepNext/>
            </w:pPr>
            <w:hyperlink r:id="rId126" w:history="1">
              <w:r w:rsidRPr="002F48CD">
                <w:rPr>
                  <w:rStyle w:val="Hyperlink"/>
                </w:rPr>
                <w:t>No.</w:t>
              </w:r>
              <w:r w:rsidR="786DD1BC" w:rsidRPr="002F48CD">
                <w:rPr>
                  <w:rStyle w:val="Hyperlink"/>
                </w:rPr>
                <w:t xml:space="preserve"> </w:t>
              </w:r>
              <w:r w:rsidRPr="002F48CD">
                <w:rPr>
                  <w:rStyle w:val="Hyperlink"/>
                </w:rPr>
                <w:t xml:space="preserve">1 – Reporting on contaminated sites in </w:t>
              </w:r>
              <w:r w:rsidR="5F3DD113" w:rsidRPr="002F48CD">
                <w:rPr>
                  <w:rStyle w:val="Hyperlink"/>
                </w:rPr>
                <w:t>New </w:t>
              </w:r>
              <w:r w:rsidRPr="002F48CD">
                <w:rPr>
                  <w:rStyle w:val="Hyperlink"/>
                </w:rPr>
                <w:t>Zealand</w:t>
              </w:r>
            </w:hyperlink>
          </w:p>
        </w:tc>
        <w:tc>
          <w:tcPr>
            <w:tcW w:w="4369" w:type="dxa"/>
          </w:tcPr>
          <w:p w14:paraId="7A06AA3D" w14:textId="77777777" w:rsidR="00E72470" w:rsidRPr="00582EF5" w:rsidRDefault="00E72470" w:rsidP="00BE1BE4">
            <w:pPr>
              <w:pStyle w:val="TableText"/>
            </w:pPr>
            <w:r w:rsidRPr="00582EF5">
              <w:t xml:space="preserve">Details the type and amount of information required in a contaminated site report </w:t>
            </w:r>
          </w:p>
        </w:tc>
      </w:tr>
      <w:tr w:rsidR="00E72470" w:rsidRPr="00582EF5" w14:paraId="018F8640" w14:textId="77777777" w:rsidTr="703AEB20">
        <w:tc>
          <w:tcPr>
            <w:tcW w:w="4136" w:type="dxa"/>
          </w:tcPr>
          <w:p w14:paraId="4A13685D" w14:textId="3E547312" w:rsidR="00E72470" w:rsidRPr="00582EF5" w:rsidRDefault="72C89534" w:rsidP="00BE1BE4">
            <w:pPr>
              <w:pStyle w:val="TableText"/>
            </w:pPr>
            <w:hyperlink r:id="rId127" w:history="1">
              <w:r w:rsidRPr="002F48CD">
                <w:rPr>
                  <w:rStyle w:val="Hyperlink"/>
                </w:rPr>
                <w:t>No.</w:t>
              </w:r>
              <w:r w:rsidR="5F3DD113" w:rsidRPr="002F48CD">
                <w:rPr>
                  <w:rStyle w:val="Hyperlink"/>
                </w:rPr>
                <w:t xml:space="preserve"> </w:t>
              </w:r>
              <w:r w:rsidRPr="002F48CD">
                <w:rPr>
                  <w:rStyle w:val="Hyperlink"/>
                </w:rPr>
                <w:t>2 – Hierarchy and application in New Zealand of environmental guideline values</w:t>
              </w:r>
            </w:hyperlink>
            <w:r w:rsidRPr="00582EF5">
              <w:t xml:space="preserve"> </w:t>
            </w:r>
          </w:p>
        </w:tc>
        <w:tc>
          <w:tcPr>
            <w:tcW w:w="4369" w:type="dxa"/>
          </w:tcPr>
          <w:p w14:paraId="659789D4" w14:textId="77777777" w:rsidR="00E72470" w:rsidRPr="00582EF5" w:rsidRDefault="00E72470" w:rsidP="00BE1BE4">
            <w:pPr>
              <w:pStyle w:val="TableText"/>
            </w:pPr>
            <w:r w:rsidRPr="00582EF5">
              <w:t xml:space="preserve">Ensures the consistent selection and application of environmental guideline values </w:t>
            </w:r>
          </w:p>
        </w:tc>
      </w:tr>
      <w:tr w:rsidR="00E72470" w:rsidRPr="00582EF5" w14:paraId="5F521F7C" w14:textId="77777777" w:rsidTr="703AEB20">
        <w:tc>
          <w:tcPr>
            <w:tcW w:w="4136" w:type="dxa"/>
          </w:tcPr>
          <w:p w14:paraId="7A1DFEDE" w14:textId="2471F013" w:rsidR="00E72470" w:rsidRPr="00582EF5" w:rsidRDefault="72C89534" w:rsidP="00BE1BE4">
            <w:pPr>
              <w:pStyle w:val="TableText"/>
            </w:pPr>
            <w:hyperlink r:id="rId128" w:history="1">
              <w:r w:rsidRPr="002F48CD">
                <w:rPr>
                  <w:rStyle w:val="Hyperlink"/>
                </w:rPr>
                <w:t>Env</w:t>
              </w:r>
              <w:r w:rsidR="69EFB1AF" w:rsidRPr="002F48CD">
                <w:rPr>
                  <w:rStyle w:val="Hyperlink"/>
                </w:rPr>
                <w:t>ironmental guideline value</w:t>
              </w:r>
              <w:r w:rsidRPr="002F48CD">
                <w:rPr>
                  <w:rStyle w:val="Hyperlink"/>
                </w:rPr>
                <w:t xml:space="preserve"> database</w:t>
              </w:r>
            </w:hyperlink>
          </w:p>
        </w:tc>
        <w:tc>
          <w:tcPr>
            <w:tcW w:w="4369" w:type="dxa"/>
          </w:tcPr>
          <w:p w14:paraId="6BC77EA3" w14:textId="39888BDF" w:rsidR="00E72470" w:rsidRPr="00582EF5" w:rsidRDefault="00E72470" w:rsidP="00BE1BE4">
            <w:pPr>
              <w:pStyle w:val="TableText"/>
            </w:pPr>
            <w:r w:rsidRPr="00582EF5">
              <w:t>Contains the guideline values discuss</w:t>
            </w:r>
            <w:r w:rsidR="006F5447" w:rsidRPr="00582EF5">
              <w:t>ed</w:t>
            </w:r>
            <w:r w:rsidRPr="00582EF5">
              <w:t xml:space="preserve"> in the guidelines No.</w:t>
            </w:r>
            <w:r w:rsidR="006F5447" w:rsidRPr="00582EF5">
              <w:t xml:space="preserve"> </w:t>
            </w:r>
            <w:r w:rsidRPr="00582EF5">
              <w:t>2 document</w:t>
            </w:r>
          </w:p>
        </w:tc>
      </w:tr>
      <w:tr w:rsidR="00E72470" w:rsidRPr="00582EF5" w14:paraId="511FE8A5" w14:textId="77777777" w:rsidTr="703AEB20">
        <w:tc>
          <w:tcPr>
            <w:tcW w:w="4136" w:type="dxa"/>
          </w:tcPr>
          <w:p w14:paraId="6C8EC404" w14:textId="31782794" w:rsidR="00E72470" w:rsidRPr="00582EF5" w:rsidRDefault="72C89534" w:rsidP="00BE1BE4">
            <w:pPr>
              <w:pStyle w:val="TableText"/>
            </w:pPr>
            <w:hyperlink r:id="rId129" w:history="1">
              <w:r w:rsidRPr="002F48CD">
                <w:rPr>
                  <w:rStyle w:val="Hyperlink"/>
                </w:rPr>
                <w:t>No.</w:t>
              </w:r>
              <w:r w:rsidR="5F3DD113" w:rsidRPr="002F48CD">
                <w:rPr>
                  <w:rStyle w:val="Hyperlink"/>
                </w:rPr>
                <w:t xml:space="preserve"> </w:t>
              </w:r>
              <w:r w:rsidRPr="002F48CD">
                <w:rPr>
                  <w:rStyle w:val="Hyperlink"/>
                </w:rPr>
                <w:t>3 – Risk screening system</w:t>
              </w:r>
            </w:hyperlink>
          </w:p>
        </w:tc>
        <w:tc>
          <w:tcPr>
            <w:tcW w:w="4369" w:type="dxa"/>
          </w:tcPr>
          <w:p w14:paraId="3C02C3D7" w14:textId="23468533" w:rsidR="00E72470" w:rsidRPr="00582EF5" w:rsidRDefault="00E72470" w:rsidP="00BE1BE4">
            <w:pPr>
              <w:pStyle w:val="TableText"/>
            </w:pPr>
            <w:r w:rsidRPr="00582EF5">
              <w:t xml:space="preserve">Describes the </w:t>
            </w:r>
            <w:r w:rsidR="00A51E8B" w:rsidRPr="00582EF5">
              <w:t>r</w:t>
            </w:r>
            <w:r w:rsidRPr="00582EF5">
              <w:t>isk</w:t>
            </w:r>
            <w:r w:rsidR="006F5447" w:rsidRPr="00582EF5">
              <w:t>-</w:t>
            </w:r>
            <w:r w:rsidR="00A51E8B" w:rsidRPr="00582EF5">
              <w:t xml:space="preserve">screening system </w:t>
            </w:r>
            <w:r w:rsidR="006F5447" w:rsidRPr="00582EF5">
              <w:t xml:space="preserve">that </w:t>
            </w:r>
            <w:r w:rsidRPr="00582EF5">
              <w:t xml:space="preserve">provides a nationally consistent way to rank sites that are, or are suspected of being, contaminated. The purpose of ranking a site is usually so </w:t>
            </w:r>
            <w:r w:rsidR="006F5447" w:rsidRPr="00582EF5">
              <w:t>i</w:t>
            </w:r>
            <w:r w:rsidRPr="00582EF5">
              <w:t>t may be prioriti</w:t>
            </w:r>
            <w:r w:rsidR="006F5447" w:rsidRPr="00582EF5">
              <w:t>s</w:t>
            </w:r>
            <w:r w:rsidRPr="00582EF5">
              <w:t>ed for further investigation</w:t>
            </w:r>
          </w:p>
        </w:tc>
      </w:tr>
      <w:tr w:rsidR="00E72470" w:rsidRPr="00582EF5" w14:paraId="240E9785" w14:textId="77777777" w:rsidTr="703AEB20">
        <w:tc>
          <w:tcPr>
            <w:tcW w:w="4136" w:type="dxa"/>
          </w:tcPr>
          <w:p w14:paraId="502CDE1A" w14:textId="21459E80" w:rsidR="00E72470" w:rsidRPr="00582EF5" w:rsidRDefault="72C89534" w:rsidP="00BE1BE4">
            <w:pPr>
              <w:pStyle w:val="TableText"/>
            </w:pPr>
            <w:hyperlink r:id="rId130" w:history="1">
              <w:r w:rsidRPr="002F48CD">
                <w:rPr>
                  <w:rStyle w:val="Hyperlink"/>
                </w:rPr>
                <w:t>No.</w:t>
              </w:r>
              <w:r w:rsidR="5F3DD113" w:rsidRPr="002F48CD">
                <w:rPr>
                  <w:rStyle w:val="Hyperlink"/>
                </w:rPr>
                <w:t xml:space="preserve"> </w:t>
              </w:r>
              <w:r w:rsidRPr="002F48CD">
                <w:rPr>
                  <w:rStyle w:val="Hyperlink"/>
                </w:rPr>
                <w:t>4 – Classification and information management protocols</w:t>
              </w:r>
            </w:hyperlink>
          </w:p>
        </w:tc>
        <w:tc>
          <w:tcPr>
            <w:tcW w:w="4369" w:type="dxa"/>
          </w:tcPr>
          <w:p w14:paraId="64517551" w14:textId="77777777" w:rsidR="00E72470" w:rsidRPr="00582EF5" w:rsidRDefault="00E72470" w:rsidP="00BE1BE4">
            <w:pPr>
              <w:pStyle w:val="TableText"/>
            </w:pPr>
            <w:r w:rsidRPr="00582EF5">
              <w:t>Suggests a nationally consistent way to classify, manage and release contaminated site information held on council registers or databases</w:t>
            </w:r>
          </w:p>
        </w:tc>
      </w:tr>
      <w:tr w:rsidR="00E72470" w:rsidRPr="00582EF5" w14:paraId="769C6742" w14:textId="77777777" w:rsidTr="703AEB20">
        <w:tc>
          <w:tcPr>
            <w:tcW w:w="4136" w:type="dxa"/>
          </w:tcPr>
          <w:p w14:paraId="5ED77CCA" w14:textId="318DE16B" w:rsidR="00E72470" w:rsidRPr="00582EF5" w:rsidRDefault="72C89534" w:rsidP="00BE1BE4">
            <w:pPr>
              <w:pStyle w:val="TableText"/>
            </w:pPr>
            <w:hyperlink r:id="rId131" w:history="1">
              <w:r w:rsidRPr="004B1F9E">
                <w:rPr>
                  <w:rStyle w:val="Hyperlink"/>
                </w:rPr>
                <w:t>No.</w:t>
              </w:r>
              <w:r w:rsidR="5F3DD113" w:rsidRPr="004B1F9E">
                <w:rPr>
                  <w:rStyle w:val="Hyperlink"/>
                </w:rPr>
                <w:t xml:space="preserve"> </w:t>
              </w:r>
              <w:r w:rsidRPr="004B1F9E">
                <w:rPr>
                  <w:rStyle w:val="Hyperlink"/>
                </w:rPr>
                <w:t>5 – Site investigation and analysis of soils</w:t>
              </w:r>
            </w:hyperlink>
            <w:r w:rsidRPr="00582EF5">
              <w:t xml:space="preserve"> </w:t>
            </w:r>
          </w:p>
        </w:tc>
        <w:tc>
          <w:tcPr>
            <w:tcW w:w="4369" w:type="dxa"/>
          </w:tcPr>
          <w:p w14:paraId="0BDB496C" w14:textId="3766CBB3" w:rsidR="00E72470" w:rsidRPr="00582EF5" w:rsidRDefault="00E72470" w:rsidP="00BE1BE4">
            <w:pPr>
              <w:pStyle w:val="TableText"/>
            </w:pPr>
            <w:r w:rsidRPr="00582EF5">
              <w:t>Provides best practice for sampling and analysing soils on sites where hazardous substances are present or suspected</w:t>
            </w:r>
            <w:r w:rsidR="006F5447" w:rsidRPr="00582EF5">
              <w:t>,</w:t>
            </w:r>
            <w:r w:rsidR="00C92025">
              <w:t xml:space="preserve"> </w:t>
            </w:r>
            <w:r w:rsidRPr="00582EF5">
              <w:t>and guidance on the principles for interpreting the data obtained.</w:t>
            </w:r>
          </w:p>
        </w:tc>
      </w:tr>
    </w:tbl>
    <w:p w14:paraId="4856DD6E" w14:textId="47531B64" w:rsidR="00E72470" w:rsidRPr="00582EF5" w:rsidRDefault="72C89534" w:rsidP="003B112B">
      <w:pPr>
        <w:pStyle w:val="BodyText"/>
        <w:rPr>
          <w:rFonts w:cstheme="minorHAnsi"/>
        </w:rPr>
      </w:pPr>
      <w:r w:rsidRPr="00582EF5">
        <w:t>As well as the specific contaminated land management guidelines</w:t>
      </w:r>
      <w:r w:rsidR="35A0DD4A" w:rsidRPr="00582EF5">
        <w:t>,</w:t>
      </w:r>
      <w:r w:rsidRPr="00582EF5">
        <w:t xml:space="preserve"> industry specific guidance </w:t>
      </w:r>
      <w:r w:rsidR="36CB9E52" w:rsidRPr="00582EF5">
        <w:t xml:space="preserve">is also </w:t>
      </w:r>
      <w:r w:rsidRPr="00582EF5">
        <w:t xml:space="preserve">available on </w:t>
      </w:r>
      <w:r w:rsidR="63FBD78E">
        <w:t xml:space="preserve">the investigation assessment and </w:t>
      </w:r>
      <w:r w:rsidR="2D7A9DFB">
        <w:t xml:space="preserve">management of </w:t>
      </w:r>
      <w:r w:rsidRPr="00582EF5">
        <w:t>timber treatment, petroleum, gasworks</w:t>
      </w:r>
      <w:r w:rsidR="2D7A9DFB">
        <w:t>,</w:t>
      </w:r>
      <w:r w:rsidRPr="00582EF5">
        <w:t xml:space="preserve"> and sheep</w:t>
      </w:r>
      <w:r w:rsidR="36CB9E52" w:rsidRPr="00582EF5">
        <w:t xml:space="preserve"> </w:t>
      </w:r>
      <w:r w:rsidR="502DC070" w:rsidRPr="00582EF5">
        <w:t>dip</w:t>
      </w:r>
      <w:r w:rsidR="1AF5D913">
        <w:t xml:space="preserve"> </w:t>
      </w:r>
      <w:r w:rsidR="502DC070" w:rsidRPr="00582EF5">
        <w:t>s</w:t>
      </w:r>
      <w:r w:rsidR="1AF5D913">
        <w:t>ites</w:t>
      </w:r>
      <w:r w:rsidRPr="00582EF5">
        <w:t>.</w:t>
      </w:r>
    </w:p>
    <w:p w14:paraId="477990F0" w14:textId="671E8AB2" w:rsidR="00E72470" w:rsidRPr="00582EF5" w:rsidRDefault="72C89534" w:rsidP="003B112B">
      <w:pPr>
        <w:pStyle w:val="BodyText"/>
        <w:rPr>
          <w:rFonts w:cs="Calibri"/>
        </w:rPr>
      </w:pPr>
      <w:r w:rsidRPr="00582EF5">
        <w:rPr>
          <w:rFonts w:cs="Calibri"/>
        </w:rPr>
        <w:t>In addition to contaminated land management guideline</w:t>
      </w:r>
      <w:r w:rsidR="21C6F21F" w:rsidRPr="00582EF5">
        <w:rPr>
          <w:rFonts w:cs="Calibri"/>
        </w:rPr>
        <w:t>s</w:t>
      </w:r>
      <w:r w:rsidRPr="00582EF5">
        <w:rPr>
          <w:rFonts w:cs="Calibri"/>
        </w:rPr>
        <w:t xml:space="preserve"> No</w:t>
      </w:r>
      <w:r w:rsidR="36CB9E52" w:rsidRPr="00582EF5">
        <w:rPr>
          <w:rFonts w:cs="Calibri"/>
        </w:rPr>
        <w:t>.</w:t>
      </w:r>
      <w:r w:rsidRPr="00582EF5">
        <w:rPr>
          <w:rFonts w:cs="Calibri"/>
        </w:rPr>
        <w:t xml:space="preserve"> 1 and </w:t>
      </w:r>
      <w:r w:rsidR="36CB9E52" w:rsidRPr="00582EF5">
        <w:rPr>
          <w:rFonts w:cs="Calibri"/>
        </w:rPr>
        <w:t xml:space="preserve">No. </w:t>
      </w:r>
      <w:r w:rsidRPr="00582EF5">
        <w:rPr>
          <w:rFonts w:cs="Calibri"/>
        </w:rPr>
        <w:t xml:space="preserve">5, </w:t>
      </w:r>
      <w:r w:rsidRPr="0024368D">
        <w:t>the All of Government National PFAS Programme develop</w:t>
      </w:r>
      <w:r w:rsidR="1265371A" w:rsidRPr="0024368D">
        <w:t>ed</w:t>
      </w:r>
      <w:r w:rsidRPr="0024368D">
        <w:t xml:space="preserve"> guidance on communication, engagement and information sharing</w:t>
      </w:r>
      <w:r w:rsidR="35A0DD4A" w:rsidRPr="00582EF5">
        <w:rPr>
          <w:rFonts w:cs="Calibri"/>
        </w:rPr>
        <w:t>,</w:t>
      </w:r>
      <w:r w:rsidRPr="00582EF5">
        <w:rPr>
          <w:rFonts w:cs="Calibri"/>
        </w:rPr>
        <w:t xml:space="preserve"> and </w:t>
      </w:r>
      <w:r w:rsidRPr="0024368D">
        <w:rPr>
          <w:rFonts w:cs="Calibri"/>
        </w:rPr>
        <w:t>disposal of PFAS</w:t>
      </w:r>
      <w:r w:rsidR="35A0DD4A" w:rsidRPr="0024368D">
        <w:rPr>
          <w:rFonts w:cs="Calibri"/>
        </w:rPr>
        <w:t>-</w:t>
      </w:r>
      <w:r w:rsidRPr="0024368D">
        <w:rPr>
          <w:rFonts w:cs="Calibri"/>
        </w:rPr>
        <w:t>containing wastewater to trade waste</w:t>
      </w:r>
      <w:r w:rsidRPr="00582EF5">
        <w:rPr>
          <w:rFonts w:cs="Calibri"/>
        </w:rPr>
        <w:t xml:space="preserve"> for</w:t>
      </w:r>
      <w:r w:rsidR="52A54DD8" w:rsidRPr="00582EF5">
        <w:rPr>
          <w:rFonts w:cs="Calibri"/>
        </w:rPr>
        <w:t> </w:t>
      </w:r>
      <w:r w:rsidRPr="00582EF5">
        <w:rPr>
          <w:rFonts w:cs="Calibri"/>
        </w:rPr>
        <w:t>councils to identify, assess and investigate land where PFAS was manufactured, used or</w:t>
      </w:r>
      <w:r w:rsidR="52A54DD8" w:rsidRPr="00582EF5">
        <w:rPr>
          <w:rFonts w:cs="Calibri"/>
        </w:rPr>
        <w:t> </w:t>
      </w:r>
      <w:r w:rsidRPr="00582EF5">
        <w:rPr>
          <w:rFonts w:cs="Calibri"/>
        </w:rPr>
        <w:t>disposed.</w:t>
      </w:r>
      <w:r w:rsidR="0024368D">
        <w:rPr>
          <w:rFonts w:cs="Calibri"/>
        </w:rPr>
        <w:t xml:space="preserve"> Find out more on our website: </w:t>
      </w:r>
      <w:hyperlink r:id="rId132" w:history="1">
        <w:r w:rsidR="0024368D" w:rsidRPr="0024368D">
          <w:rPr>
            <w:rStyle w:val="Hyperlink"/>
            <w:rFonts w:cs="Calibri"/>
          </w:rPr>
          <w:t>Per- and poly-fluoroalkyl substances (PFAS)</w:t>
        </w:r>
      </w:hyperlink>
      <w:r w:rsidR="0024368D">
        <w:rPr>
          <w:rFonts w:cs="Calibri"/>
        </w:rPr>
        <w:t xml:space="preserve"> and </w:t>
      </w:r>
      <w:hyperlink r:id="rId133" w:history="1">
        <w:r w:rsidR="0024368D" w:rsidRPr="0024368D">
          <w:rPr>
            <w:rStyle w:val="Hyperlink"/>
            <w:rFonts w:cs="Calibri"/>
          </w:rPr>
          <w:t>PFAS contamination: update on response and planned next steps Cabinet paper</w:t>
        </w:r>
      </w:hyperlink>
      <w:r w:rsidR="0024368D">
        <w:rPr>
          <w:rFonts w:cs="Calibri"/>
        </w:rPr>
        <w:t>.</w:t>
      </w:r>
    </w:p>
    <w:p w14:paraId="1DBA2812" w14:textId="77777777" w:rsidR="00E72470" w:rsidRPr="00582EF5" w:rsidRDefault="00E72470" w:rsidP="005A2381">
      <w:pPr>
        <w:pStyle w:val="Heading4"/>
        <w:jc w:val="both"/>
      </w:pPr>
      <w:r w:rsidRPr="00582EF5">
        <w:t>Health and Safety at Work Act 2015</w:t>
      </w:r>
    </w:p>
    <w:p w14:paraId="09A00F10" w14:textId="19CCA8AC" w:rsidR="00E72470" w:rsidRPr="00582EF5" w:rsidRDefault="72C89534" w:rsidP="005A2381">
      <w:pPr>
        <w:pStyle w:val="BodyText"/>
        <w:jc w:val="both"/>
      </w:pPr>
      <w:r w:rsidRPr="00582EF5">
        <w:t xml:space="preserve">WorkSafe New Zealand is the agency responsible for the enforcement of hazardous substances rules in workplaces. </w:t>
      </w:r>
      <w:hyperlink r:id="rId134" w:history="1">
        <w:r w:rsidRPr="00847846">
          <w:rPr>
            <w:rStyle w:val="Hyperlink"/>
          </w:rPr>
          <w:t>The Health and Safety at Work (Hazardous Substances) Regulations 2017</w:t>
        </w:r>
      </w:hyperlink>
      <w:r w:rsidRPr="00582EF5">
        <w:t xml:space="preserve"> (HSWA HS</w:t>
      </w:r>
      <w:r w:rsidR="4A043705" w:rsidRPr="00582EF5">
        <w:t xml:space="preserve"> Regulations</w:t>
      </w:r>
      <w:r w:rsidRPr="00582EF5">
        <w:t xml:space="preserve">) under the HSWA apply when workers are on a contaminated site or are handling soil contaminated with hazardous substances. </w:t>
      </w:r>
    </w:p>
    <w:p w14:paraId="5C6E8817" w14:textId="7446077B" w:rsidR="00E72470" w:rsidRPr="00582EF5" w:rsidRDefault="72C89534" w:rsidP="005A2381">
      <w:pPr>
        <w:pStyle w:val="BodyText"/>
        <w:jc w:val="both"/>
        <w:rPr>
          <w:rFonts w:cstheme="minorHAnsi"/>
        </w:rPr>
      </w:pPr>
      <w:r w:rsidRPr="00582EF5">
        <w:t xml:space="preserve">WorkSafe has clarified the relationship between the HSWA HS Regulations and other pieces of legislation for the governing of contaminated land. This clarification sets out that the HSWA HS </w:t>
      </w:r>
      <w:r w:rsidR="4A043705" w:rsidRPr="00582EF5">
        <w:t>R</w:t>
      </w:r>
      <w:r w:rsidRPr="00582EF5">
        <w:t xml:space="preserve">egulations do apply to hazardous waste, however, soil contaminated with hazardous substances by past work activities does not need to be managed as hazardous substance waste under the HSWA HS </w:t>
      </w:r>
      <w:r w:rsidR="4A043705" w:rsidRPr="00582EF5">
        <w:t>R</w:t>
      </w:r>
      <w:r w:rsidRPr="00582EF5">
        <w:t xml:space="preserve">egulations </w:t>
      </w:r>
      <w:r w:rsidR="721779B7" w:rsidRPr="00582EF5">
        <w:t>because</w:t>
      </w:r>
      <w:r w:rsidRPr="00582EF5">
        <w:t xml:space="preserve"> </w:t>
      </w:r>
      <w:hyperlink r:id="rId135" w:history="1">
        <w:r w:rsidRPr="00D670E9">
          <w:rPr>
            <w:rStyle w:val="Hyperlink"/>
          </w:rPr>
          <w:t xml:space="preserve">an established framework </w:t>
        </w:r>
        <w:r w:rsidR="721779B7" w:rsidRPr="00D670E9">
          <w:rPr>
            <w:rStyle w:val="Hyperlink"/>
          </w:rPr>
          <w:t xml:space="preserve">is already in place </w:t>
        </w:r>
        <w:r w:rsidRPr="00D670E9">
          <w:rPr>
            <w:rStyle w:val="Hyperlink"/>
          </w:rPr>
          <w:t>for the management of contaminated land under the RMA</w:t>
        </w:r>
      </w:hyperlink>
      <w:r w:rsidRPr="00582EF5">
        <w:t>.</w:t>
      </w:r>
      <w:r w:rsidRPr="703AEB20">
        <w:t xml:space="preserve"> </w:t>
      </w:r>
    </w:p>
    <w:p w14:paraId="1767CBCD" w14:textId="77777777" w:rsidR="00E72470" w:rsidRPr="00582EF5" w:rsidRDefault="00E72470" w:rsidP="005A2381">
      <w:pPr>
        <w:pStyle w:val="Heading4"/>
        <w:jc w:val="both"/>
      </w:pPr>
      <w:r w:rsidRPr="00582EF5">
        <w:lastRenderedPageBreak/>
        <w:t xml:space="preserve">Contaminated Sites Remediation Fund </w:t>
      </w:r>
    </w:p>
    <w:p w14:paraId="740C993B" w14:textId="4D21FFC1" w:rsidR="00012F41" w:rsidRPr="003B4FAC" w:rsidRDefault="00012F41" w:rsidP="003B4FAC">
      <w:pPr>
        <w:pStyle w:val="BodyText"/>
      </w:pPr>
      <w:r w:rsidRPr="003B4FAC">
        <w:t xml:space="preserve">The CSRF provides NZ$2.63 million in annual funding for the investigation and remediation of contaminated sites that pose a risk to human health and the environment. The fund is available to landowners of contaminated </w:t>
      </w:r>
      <w:r w:rsidR="08447F9A">
        <w:t>sites</w:t>
      </w:r>
      <w:r w:rsidRPr="003B4FAC">
        <w:t xml:space="preserve"> through local government. The CSRF helps </w:t>
      </w:r>
      <w:r w:rsidR="009D7C44">
        <w:t>local government</w:t>
      </w:r>
      <w:r w:rsidRPr="003B4FAC">
        <w:t xml:space="preserve"> to fulfil their obligations for contaminated land management under the RMA. </w:t>
      </w:r>
      <w:r w:rsidR="54A95193">
        <w:t>The</w:t>
      </w:r>
      <w:r w:rsidRPr="003B4FAC">
        <w:t xml:space="preserve"> fund recognises the importance of</w:t>
      </w:r>
      <w:r>
        <w:t xml:space="preserve"> </w:t>
      </w:r>
      <w:r w:rsidRPr="003B4FAC">
        <w:t xml:space="preserve">cleaning up historic contaminated sites across New Zealand, </w:t>
      </w:r>
      <w:r w:rsidR="0024368D">
        <w:t>including</w:t>
      </w:r>
      <w:r w:rsidRPr="003B4FAC">
        <w:t xml:space="preserve"> sites potentially contaminated by POPs.</w:t>
      </w:r>
    </w:p>
    <w:p w14:paraId="225F5782" w14:textId="66FF9F99" w:rsidR="00012F41" w:rsidRPr="003B4FAC" w:rsidRDefault="00012F41" w:rsidP="003B4FAC">
      <w:pPr>
        <w:pStyle w:val="BodyText"/>
      </w:pPr>
      <w:r w:rsidRPr="003B4FAC">
        <w:t xml:space="preserve">MfE administers the CSRF and assesses each application </w:t>
      </w:r>
      <w:r w:rsidR="00FB195E">
        <w:t>on</w:t>
      </w:r>
      <w:r w:rsidRPr="003B4FAC">
        <w:t xml:space="preserve"> the risks they pose to human health and the environment using a prioritisation tool. The sites determined as posing the greatest risks are placed on a CSRF priority list. This list provides transparency on which sites are priorities for government funding. One of the priority sites</w:t>
      </w:r>
      <w:r w:rsidRPr="003B4FAC">
        <w:rPr>
          <w:color w:val="000000" w:themeColor="text1"/>
        </w:rPr>
        <w:t xml:space="preserve"> which received funding from the CSRF</w:t>
      </w:r>
      <w:r w:rsidRPr="003B4FAC">
        <w:t xml:space="preserve"> </w:t>
      </w:r>
      <w:r w:rsidRPr="003B4FAC">
        <w:rPr>
          <w:color w:val="000000" w:themeColor="text1"/>
        </w:rPr>
        <w:t>was the</w:t>
      </w:r>
      <w:r w:rsidRPr="003B4FAC">
        <w:t xml:space="preserve"> </w:t>
      </w:r>
      <w:proofErr w:type="spellStart"/>
      <w:r w:rsidRPr="003B4FAC">
        <w:t>Kopeopeo</w:t>
      </w:r>
      <w:proofErr w:type="spellEnd"/>
      <w:r w:rsidRPr="003B4FAC">
        <w:t xml:space="preserve"> Canal, after elevated levels of PCP and dioxins were found in the sediment</w:t>
      </w:r>
      <w:r w:rsidRPr="003B4FAC">
        <w:rPr>
          <w:color w:val="000000" w:themeColor="text1"/>
        </w:rPr>
        <w:t>s and in eels residing in the eastern section</w:t>
      </w:r>
      <w:r w:rsidRPr="003B4FAC">
        <w:t xml:space="preserve"> of the canal.</w:t>
      </w:r>
    </w:p>
    <w:p w14:paraId="14A75DDD" w14:textId="1F821422" w:rsidR="001F4EE3" w:rsidRDefault="001F4EE3" w:rsidP="003B4FAC">
      <w:pPr>
        <w:pStyle w:val="BodyText"/>
      </w:pPr>
      <w:r>
        <w:t xml:space="preserve">The </w:t>
      </w:r>
      <w:proofErr w:type="spellStart"/>
      <w:r>
        <w:t>Kopeopeo</w:t>
      </w:r>
      <w:proofErr w:type="spellEnd"/>
      <w:r>
        <w:t xml:space="preserve"> Canal was contaminated by stormwater discharges between the 1950s and 1980s from a former sawmill which treated timber using PCP. While unknown at the time, PCP imported into New Zealand for use in the timber processing industry also included a percentage of impurities that contained dioxins.</w:t>
      </w:r>
    </w:p>
    <w:p w14:paraId="5C4B2C26" w14:textId="153EE188" w:rsidR="001F4EE3" w:rsidRPr="00276C72" w:rsidRDefault="32467C63" w:rsidP="003B4FAC">
      <w:pPr>
        <w:pStyle w:val="BodyText"/>
      </w:pPr>
      <w:r>
        <w:t>This case study recognises the efforts of the late Joe Harawira</w:t>
      </w:r>
      <w:r w:rsidR="51C42430">
        <w:t>,</w:t>
      </w:r>
      <w:r w:rsidR="00D221CE" w:rsidRPr="00276C72">
        <w:rPr>
          <w:vertAlign w:val="superscript"/>
        </w:rPr>
        <w:footnoteReference w:id="11"/>
      </w:r>
      <w:r>
        <w:t xml:space="preserve"> advocating on behalf of Sawmill Workers Against Poisons (SWAP), and Te </w:t>
      </w:r>
      <w:proofErr w:type="spellStart"/>
      <w:r>
        <w:t>R</w:t>
      </w:r>
      <w:r w:rsidRPr="00CD0320">
        <w:t>ū</w:t>
      </w:r>
      <w:r>
        <w:t>nanga</w:t>
      </w:r>
      <w:proofErr w:type="spellEnd"/>
      <w:r>
        <w:t xml:space="preserve"> o Ng</w:t>
      </w:r>
      <w:r w:rsidRPr="00CD0320">
        <w:t>ā</w:t>
      </w:r>
      <w:r w:rsidR="62568D5C" w:rsidRPr="00CD0320">
        <w:t>ti Awa tribal authority, who brought the contaminati</w:t>
      </w:r>
      <w:r w:rsidR="62568D5C" w:rsidRPr="003F73ED">
        <w:t xml:space="preserve">on of </w:t>
      </w:r>
      <w:proofErr w:type="spellStart"/>
      <w:r w:rsidR="62568D5C" w:rsidRPr="003F73ED">
        <w:t>Kopeopeo</w:t>
      </w:r>
      <w:proofErr w:type="spellEnd"/>
      <w:r w:rsidR="62568D5C" w:rsidRPr="003F73ED">
        <w:t xml:space="preserve"> Canal to public attention and highlighted the effects on human health and the community resulting from dioxin contamination. As kaitiaki (environmental guardians), Mr Harawira a</w:t>
      </w:r>
      <w:r w:rsidR="62568D5C" w:rsidRPr="00276C72">
        <w:t xml:space="preserve">nd Te </w:t>
      </w:r>
      <w:proofErr w:type="spellStart"/>
      <w:r w:rsidR="62568D5C" w:rsidRPr="00276C72">
        <w:t>Rūnanga</w:t>
      </w:r>
      <w:proofErr w:type="spellEnd"/>
      <w:r w:rsidR="62568D5C" w:rsidRPr="00276C72">
        <w:t xml:space="preserve"> o Ngāti Awa were instrumental in achieving central and local government support to remediate the dioxin contamination and restore the ecological health of the canal.</w:t>
      </w:r>
    </w:p>
    <w:p w14:paraId="6DF3A42B" w14:textId="1B1C3FD5" w:rsidR="00A16D76" w:rsidRDefault="00355696" w:rsidP="003B4FAC">
      <w:pPr>
        <w:pStyle w:val="BodyText"/>
      </w:pPr>
      <w:r w:rsidRPr="00276C72">
        <w:t xml:space="preserve">The </w:t>
      </w:r>
      <w:proofErr w:type="spellStart"/>
      <w:r w:rsidRPr="00276C72">
        <w:t>Kopeopeo</w:t>
      </w:r>
      <w:proofErr w:type="spellEnd"/>
      <w:r w:rsidRPr="00276C72">
        <w:t xml:space="preserve"> Canal Remediation Project was established as a collaborative initiative and project partners include</w:t>
      </w:r>
      <w:r w:rsidR="00FB195E">
        <w:t>d</w:t>
      </w:r>
      <w:r w:rsidRPr="00276C72">
        <w:t xml:space="preserve"> MfE, the Bay of Plenty Regional Council, Ngāti Awa, SWAP, and the community.</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F8F9" w:themeFill="accent3" w:themeFillTint="33"/>
        <w:tblLook w:val="04A0" w:firstRow="1" w:lastRow="0" w:firstColumn="1" w:lastColumn="0" w:noHBand="0" w:noVBand="1"/>
      </w:tblPr>
      <w:tblGrid>
        <w:gridCol w:w="8505"/>
      </w:tblGrid>
      <w:tr w:rsidR="00904891" w:rsidRPr="00582EF5" w14:paraId="774E1900" w14:textId="77777777" w:rsidTr="00E92180">
        <w:trPr>
          <w:trHeight w:val="1572"/>
        </w:trPr>
        <w:tc>
          <w:tcPr>
            <w:tcW w:w="8505" w:type="dxa"/>
            <w:tcBorders>
              <w:top w:val="nil"/>
              <w:left w:val="single" w:sz="4" w:space="0" w:color="CFE5E5"/>
              <w:bottom w:val="single" w:sz="4" w:space="0" w:color="CFE5E5"/>
              <w:right w:val="single" w:sz="4" w:space="0" w:color="CFE5E5"/>
            </w:tcBorders>
            <w:shd w:val="clear" w:color="auto" w:fill="CFE5E5"/>
          </w:tcPr>
          <w:p w14:paraId="42245E80" w14:textId="67F7C2E0" w:rsidR="00904891" w:rsidRPr="00582EF5" w:rsidRDefault="000B0C8A" w:rsidP="003B4FAC">
            <w:pPr>
              <w:pStyle w:val="Greenheading-casestudytables"/>
            </w:pPr>
            <w:r>
              <w:lastRenderedPageBreak/>
              <w:t>CASE STUDY: KOPEOPEO CANAL, BAY OF PLENTY, NORTH ISLAND</w:t>
            </w:r>
          </w:p>
          <w:p w14:paraId="13C18402" w14:textId="194AAAE4" w:rsidR="009402AA" w:rsidRPr="0024368D" w:rsidRDefault="009402AA" w:rsidP="003B4FAC">
            <w:pPr>
              <w:pStyle w:val="Greentext-casestudytables"/>
              <w:rPr>
                <w:lang w:val="en-US"/>
              </w:rPr>
            </w:pPr>
            <w:r w:rsidRPr="0024368D">
              <w:rPr>
                <w:lang w:val="en-US"/>
              </w:rPr>
              <w:t xml:space="preserve">The </w:t>
            </w:r>
            <w:proofErr w:type="spellStart"/>
            <w:r w:rsidRPr="0024368D">
              <w:rPr>
                <w:lang w:val="en-US"/>
              </w:rPr>
              <w:t>Kopeopeo</w:t>
            </w:r>
            <w:proofErr w:type="spellEnd"/>
            <w:r w:rsidRPr="0024368D">
              <w:rPr>
                <w:lang w:val="en-US"/>
              </w:rPr>
              <w:t xml:space="preserve"> Canal site was contaminated by persistent organic pollutants</w:t>
            </w:r>
            <w:r w:rsidR="000B0C8A">
              <w:rPr>
                <w:lang w:val="en-US"/>
              </w:rPr>
              <w:t>,</w:t>
            </w:r>
            <w:r w:rsidRPr="0024368D">
              <w:rPr>
                <w:lang w:val="en-US"/>
              </w:rPr>
              <w:t xml:space="preserve"> PCP and dioxins. The canal underwent remediation with partial funding from the Contaminated Sites Remediation Fund. It is an example of a contaminated site going through a remediation process using the mechanisms outlined above to help </w:t>
            </w:r>
            <w:r w:rsidR="008D5B8B" w:rsidRPr="0024368D">
              <w:rPr>
                <w:lang w:val="en-US"/>
              </w:rPr>
              <w:t>with</w:t>
            </w:r>
            <w:r w:rsidRPr="0024368D">
              <w:rPr>
                <w:lang w:val="en-US"/>
              </w:rPr>
              <w:t xml:space="preserve"> the </w:t>
            </w:r>
            <w:proofErr w:type="spellStart"/>
            <w:r w:rsidRPr="0024368D">
              <w:rPr>
                <w:lang w:val="en-US"/>
              </w:rPr>
              <w:t>clean</w:t>
            </w:r>
            <w:r w:rsidR="000B0C8A">
              <w:rPr>
                <w:lang w:val="en-US"/>
              </w:rPr>
              <w:t xml:space="preserve"> </w:t>
            </w:r>
            <w:r w:rsidRPr="0024368D">
              <w:rPr>
                <w:lang w:val="en-US"/>
              </w:rPr>
              <w:t>up</w:t>
            </w:r>
            <w:proofErr w:type="spellEnd"/>
            <w:r w:rsidRPr="0024368D">
              <w:rPr>
                <w:lang w:val="en-US"/>
              </w:rPr>
              <w:t>.</w:t>
            </w:r>
          </w:p>
          <w:p w14:paraId="232831F4" w14:textId="05596AF9" w:rsidR="00904891" w:rsidRPr="000B0C8A" w:rsidRDefault="70514704" w:rsidP="003B4FAC">
            <w:pPr>
              <w:pStyle w:val="Greentext-casestudytables"/>
              <w:rPr>
                <w:lang w:val="en-US"/>
              </w:rPr>
            </w:pPr>
            <w:r w:rsidRPr="1A06031B">
              <w:rPr>
                <w:lang w:val="en-US"/>
              </w:rPr>
              <w:t xml:space="preserve">The </w:t>
            </w:r>
            <w:proofErr w:type="spellStart"/>
            <w:r w:rsidRPr="1A06031B">
              <w:rPr>
                <w:lang w:val="en-US"/>
              </w:rPr>
              <w:t>Kopeopeo</w:t>
            </w:r>
            <w:proofErr w:type="spellEnd"/>
            <w:r w:rsidRPr="1A06031B">
              <w:rPr>
                <w:lang w:val="en-US"/>
              </w:rPr>
              <w:t xml:space="preserve"> Canal extends from the Rangitaiki Plains to the west of state highway 30. It runs east and joins the </w:t>
            </w:r>
            <w:proofErr w:type="spellStart"/>
            <w:r w:rsidRPr="1A06031B">
              <w:rPr>
                <w:lang w:val="en-US"/>
              </w:rPr>
              <w:t>Orini</w:t>
            </w:r>
            <w:proofErr w:type="spellEnd"/>
            <w:r w:rsidRPr="1A06031B">
              <w:rPr>
                <w:lang w:val="en-US"/>
              </w:rPr>
              <w:t xml:space="preserve"> Stream and then discharges into the Whakatane River. It was built during the 1920s to convey drainage and floodwaters from low-lying farmlands in the Rangitaiki Plains into the Whakatane Estuary.</w:t>
            </w:r>
          </w:p>
          <w:p w14:paraId="2EA2A586" w14:textId="52698D20" w:rsidR="00904891" w:rsidRPr="000B0C8A" w:rsidRDefault="70514704" w:rsidP="003B4FAC">
            <w:pPr>
              <w:pStyle w:val="Greentext-casestudytables"/>
              <w:rPr>
                <w:lang w:val="en-US"/>
              </w:rPr>
            </w:pPr>
            <w:r w:rsidRPr="6E7DDF4C">
              <w:rPr>
                <w:lang w:val="en-US"/>
              </w:rPr>
              <w:t xml:space="preserve">Between the 1950s and late 1980s, the canal was contaminated </w:t>
            </w:r>
            <w:r w:rsidR="24DA08DC" w:rsidRPr="6E7DDF4C">
              <w:rPr>
                <w:lang w:val="en-US"/>
              </w:rPr>
              <w:t>by</w:t>
            </w:r>
            <w:r w:rsidRPr="6E7DDF4C">
              <w:rPr>
                <w:lang w:val="en-US"/>
              </w:rPr>
              <w:t xml:space="preserve"> stormwater discharges from a sawmill.</w:t>
            </w:r>
            <w:r w:rsidRPr="003B4FAC">
              <w:rPr>
                <w:lang w:val="en-US"/>
              </w:rPr>
              <w:t xml:space="preserve"> This sawmill treated timber using pentachlorophenol (PCP) resulting in </w:t>
            </w:r>
            <w:r w:rsidR="43A55114" w:rsidRPr="1A06031B">
              <w:rPr>
                <w:lang w:val="en-US"/>
              </w:rPr>
              <w:t>contamination</w:t>
            </w:r>
            <w:r w:rsidRPr="003B4FAC">
              <w:rPr>
                <w:lang w:val="en-US"/>
              </w:rPr>
              <w:t>.</w:t>
            </w:r>
          </w:p>
          <w:p w14:paraId="70FB5FB6" w14:textId="68DA2659" w:rsidR="00E84705" w:rsidRDefault="00DC08FF" w:rsidP="00980230">
            <w:pPr>
              <w:pStyle w:val="Greentext-casestudytables"/>
            </w:pPr>
            <w:r w:rsidRPr="003B4FAC">
              <w:rPr>
                <w:lang w:val="en-US"/>
              </w:rPr>
              <w:t xml:space="preserve">The remediation project intended to safely remove and treat a legacy of industrial dioxin pollution. Investigations dating back to 2005 concluded that dioxin levels in the sediment at </w:t>
            </w:r>
            <w:proofErr w:type="spellStart"/>
            <w:r w:rsidRPr="003B4FAC">
              <w:rPr>
                <w:lang w:val="en-US"/>
              </w:rPr>
              <w:t>Kopeopeo</w:t>
            </w:r>
            <w:proofErr w:type="spellEnd"/>
            <w:r w:rsidRPr="003B4FAC">
              <w:rPr>
                <w:lang w:val="en-US"/>
              </w:rPr>
              <w:t xml:space="preserve"> Canal were elevated resulting in eel tissue concentrations of dioxin posing a risk to human health if consumed. A human health risk assessment concluded that a </w:t>
            </w:r>
            <w:proofErr w:type="gramStart"/>
            <w:r w:rsidRPr="003B4FAC">
              <w:rPr>
                <w:lang w:val="en-US"/>
              </w:rPr>
              <w:t xml:space="preserve">5.1 </w:t>
            </w:r>
            <w:proofErr w:type="spellStart"/>
            <w:r w:rsidR="000B0C8A" w:rsidRPr="1A06031B">
              <w:rPr>
                <w:lang w:val="en-US"/>
              </w:rPr>
              <w:t>kilomet</w:t>
            </w:r>
            <w:r w:rsidR="000B0C8A">
              <w:rPr>
                <w:lang w:val="en-US"/>
              </w:rPr>
              <w:t>re</w:t>
            </w:r>
            <w:proofErr w:type="spellEnd"/>
            <w:proofErr w:type="gramEnd"/>
            <w:r w:rsidR="000B0C8A" w:rsidRPr="003B4FAC">
              <w:rPr>
                <w:lang w:val="en-US"/>
              </w:rPr>
              <w:t xml:space="preserve"> </w:t>
            </w:r>
            <w:r w:rsidRPr="003B4FAC">
              <w:rPr>
                <w:lang w:val="en-US"/>
              </w:rPr>
              <w:t xml:space="preserve">section of the canal contained sediment that required remediation to ensure risks to human health could be eliminated. The sediment </w:t>
            </w:r>
            <w:r w:rsidR="4AD927F7" w:rsidRPr="003B4FAC">
              <w:rPr>
                <w:lang w:val="en-US"/>
              </w:rPr>
              <w:t>had</w:t>
            </w:r>
            <w:r w:rsidRPr="003B4FAC">
              <w:rPr>
                <w:lang w:val="en-US"/>
              </w:rPr>
              <w:t xml:space="preserve"> built up to the point where it was affecting the canal's ability to convey floodwater. Removal of the sediment was necessary, to ensure a flood would not result in the flood banks breaking and water flowing onto surrounding land.</w:t>
            </w:r>
            <w:r w:rsidR="00E84705">
              <w:t xml:space="preserve"> </w:t>
            </w:r>
          </w:p>
          <w:p w14:paraId="645B27CA" w14:textId="3CEC1DA1" w:rsidR="00DC08FF" w:rsidRDefault="00E84705" w:rsidP="00980230">
            <w:pPr>
              <w:pStyle w:val="Greentext-casestudytables"/>
              <w:rPr>
                <w:lang w:val="en-US"/>
              </w:rPr>
            </w:pPr>
            <w:r w:rsidRPr="00E84705">
              <w:rPr>
                <w:lang w:val="en-US"/>
              </w:rPr>
              <w:t>Investigations between December 2014 and February 2015 also showed elevated concentrations of dioxins in surface soils on stop banks located around the canal. This is likely a result of previous dredging activities.</w:t>
            </w:r>
          </w:p>
          <w:p w14:paraId="1B9C5650" w14:textId="77777777" w:rsidR="00014420" w:rsidRPr="00596895" w:rsidRDefault="00014420" w:rsidP="00DB2F39">
            <w:pPr>
              <w:pStyle w:val="Greenheading-casestudytables"/>
              <w:spacing w:before="120"/>
              <w:ind w:left="312"/>
              <w:rPr>
                <w:b w:val="0"/>
              </w:rPr>
            </w:pPr>
            <w:r w:rsidRPr="00582EF5">
              <w:t>Exposure</w:t>
            </w:r>
          </w:p>
          <w:p w14:paraId="57A7FB46" w14:textId="1C81D165" w:rsidR="00014420" w:rsidRPr="00582EF5" w:rsidRDefault="00014420" w:rsidP="00014420">
            <w:pPr>
              <w:pStyle w:val="Greentext-casestudytables"/>
            </w:pPr>
            <w:r w:rsidRPr="003B4FAC">
              <w:rPr>
                <w:lang w:val="en-US"/>
              </w:rPr>
              <w:t xml:space="preserve">While the contaminated sediment remained in the </w:t>
            </w:r>
            <w:proofErr w:type="spellStart"/>
            <w:r w:rsidRPr="003B4FAC">
              <w:rPr>
                <w:lang w:val="en-US"/>
              </w:rPr>
              <w:t>Kopeopeo</w:t>
            </w:r>
            <w:proofErr w:type="spellEnd"/>
            <w:r w:rsidRPr="003B4FAC">
              <w:rPr>
                <w:lang w:val="en-US"/>
              </w:rPr>
              <w:t xml:space="preserve"> Canal, the main exposure route was through the food chain. Accumulation increases with every step in the food chain. This means eels within the canal may have been unsafe to eat.</w:t>
            </w:r>
            <w:r w:rsidRPr="000B0C8A">
              <w:rPr>
                <w:lang w:val="en-US"/>
              </w:rPr>
              <w:t xml:space="preserve"> </w:t>
            </w:r>
            <w:r w:rsidRPr="003B4FAC">
              <w:rPr>
                <w:lang w:val="en-US"/>
              </w:rPr>
              <w:t xml:space="preserve">Further details on the level of dioxin exposure </w:t>
            </w:r>
            <w:r w:rsidRPr="000B0C8A">
              <w:rPr>
                <w:lang w:val="en-US"/>
              </w:rPr>
              <w:t xml:space="preserve">can be found on the </w:t>
            </w:r>
            <w:hyperlink r:id="rId136" w:history="1">
              <w:r w:rsidRPr="000B0C8A">
                <w:rPr>
                  <w:rStyle w:val="Hyperlink"/>
                  <w:lang w:val="en-US"/>
                </w:rPr>
                <w:t>Bay of Plenty Regional Council website</w:t>
              </w:r>
            </w:hyperlink>
            <w:r w:rsidRPr="003B4FAC">
              <w:rPr>
                <w:lang w:val="en-US"/>
              </w:rPr>
              <w:t>.</w:t>
            </w:r>
            <w:r w:rsidR="007A0376" w:rsidRPr="007A0376">
              <w:rPr>
                <w:lang w:val="en-US"/>
              </w:rPr>
              <w:t xml:space="preserve"> </w:t>
            </w:r>
            <w:r w:rsidRPr="000B0C8A">
              <w:rPr>
                <w:lang w:val="en-US"/>
              </w:rPr>
              <w:t>PCP and its contaminant dioxin no longer flow into the canal, because PCP has not been used for timber treatment in decades and the old sawmill site that the contamination originated from was closed and decommissioned in the mid-1980s. The site has been redeveloped to commercial buildings with associated parking, and the stormwater generated on it no longer contains dioxins.</w:t>
            </w:r>
          </w:p>
          <w:p w14:paraId="171856D6" w14:textId="77777777" w:rsidR="00014420" w:rsidRPr="00596895" w:rsidRDefault="00014420" w:rsidP="00DB2F39">
            <w:pPr>
              <w:pStyle w:val="Greenheading-casestudytables"/>
              <w:spacing w:before="120"/>
              <w:ind w:left="312"/>
              <w:rPr>
                <w:b w:val="0"/>
              </w:rPr>
            </w:pPr>
            <w:r w:rsidRPr="00582EF5">
              <w:t xml:space="preserve">Remediation </w:t>
            </w:r>
            <w:r w:rsidRPr="000B0C8A">
              <w:rPr>
                <w:bCs/>
              </w:rPr>
              <w:t>project</w:t>
            </w:r>
          </w:p>
          <w:p w14:paraId="0EA6255F" w14:textId="3AFBD014" w:rsidR="00014420" w:rsidRPr="003B4FAC" w:rsidRDefault="00014420" w:rsidP="00014420">
            <w:pPr>
              <w:pStyle w:val="Greentext-casestudytables"/>
              <w:rPr>
                <w:shd w:val="clear" w:color="auto" w:fill="E6E6E6"/>
                <w:lang w:val="en-US"/>
              </w:rPr>
            </w:pPr>
            <w:r w:rsidRPr="003B4FAC">
              <w:rPr>
                <w:lang w:val="en-US"/>
              </w:rPr>
              <w:t xml:space="preserve">The </w:t>
            </w:r>
            <w:proofErr w:type="spellStart"/>
            <w:r w:rsidRPr="003B4FAC">
              <w:rPr>
                <w:lang w:val="en-US"/>
              </w:rPr>
              <w:t>Kopeopeo</w:t>
            </w:r>
            <w:proofErr w:type="spellEnd"/>
            <w:r w:rsidRPr="003B4FAC">
              <w:rPr>
                <w:lang w:val="en-US"/>
              </w:rPr>
              <w:t xml:space="preserve"> Canal Remediation Project </w:t>
            </w:r>
            <w:r w:rsidRPr="6E7DDF4C">
              <w:rPr>
                <w:lang w:val="en-US"/>
              </w:rPr>
              <w:t>was</w:t>
            </w:r>
            <w:r w:rsidRPr="003B4FAC">
              <w:rPr>
                <w:lang w:val="en-US"/>
              </w:rPr>
              <w:t xml:space="preserve"> designed to be implemented in a staged approach to remove, safely store and bioremediate up to 40,000 cubic </w:t>
            </w:r>
            <w:proofErr w:type="spellStart"/>
            <w:r w:rsidRPr="003B4FAC">
              <w:rPr>
                <w:lang w:val="en-US"/>
              </w:rPr>
              <w:t>metres</w:t>
            </w:r>
            <w:proofErr w:type="spellEnd"/>
            <w:r w:rsidRPr="003B4FAC">
              <w:rPr>
                <w:lang w:val="en-US"/>
              </w:rPr>
              <w:t xml:space="preserve"> of sediment. </w:t>
            </w:r>
            <w:r w:rsidRPr="6E7DDF4C" w:rsidDel="168A13B1">
              <w:rPr>
                <w:lang w:val="en-US"/>
              </w:rPr>
              <w:t>The bioremediation</w:t>
            </w:r>
            <w:r w:rsidRPr="6E7DDF4C">
              <w:rPr>
                <w:lang w:val="en-US"/>
              </w:rPr>
              <w:t xml:space="preserve"> was estimated to take 12 years, with regular monitoring indicating how the remediation was progressing.</w:t>
            </w:r>
          </w:p>
          <w:p w14:paraId="417DAE19" w14:textId="0EA0C855" w:rsidR="00014420" w:rsidRPr="00582EF5" w:rsidRDefault="00014420" w:rsidP="00014420">
            <w:pPr>
              <w:pStyle w:val="Greentext-casestudytables"/>
            </w:pPr>
            <w:r w:rsidRPr="00582EF5">
              <w:t xml:space="preserve">The project’s vision </w:t>
            </w:r>
            <w:proofErr w:type="gramStart"/>
            <w:r>
              <w:t>was</w:t>
            </w:r>
            <w:r w:rsidRPr="00582EF5">
              <w:t>:</w:t>
            </w:r>
            <w:proofErr w:type="gramEnd"/>
            <w:r w:rsidRPr="00582EF5">
              <w:t xml:space="preserve"> </w:t>
            </w:r>
            <w:r w:rsidRPr="703AEB20">
              <w:rPr>
                <w:lang w:val="en-US"/>
              </w:rPr>
              <w:t>to safely remove and treat</w:t>
            </w:r>
            <w:r w:rsidRPr="000B0C8A">
              <w:rPr>
                <w:lang w:val="en-US"/>
              </w:rPr>
              <w:t xml:space="preserve"> a</w:t>
            </w:r>
            <w:r w:rsidRPr="703AEB20">
              <w:rPr>
                <w:lang w:val="en-US"/>
              </w:rPr>
              <w:t xml:space="preserve"> legacy of industrial dioxin pollution, thereby restoring the mauri (life force, vital essence) of the </w:t>
            </w:r>
            <w:proofErr w:type="spellStart"/>
            <w:r w:rsidRPr="703AEB20">
              <w:rPr>
                <w:lang w:val="en-US"/>
              </w:rPr>
              <w:t>Kopeopeo</w:t>
            </w:r>
            <w:proofErr w:type="spellEnd"/>
            <w:r w:rsidRPr="703AEB20">
              <w:rPr>
                <w:lang w:val="en-US"/>
              </w:rPr>
              <w:t xml:space="preserve"> Canal and the Whakatane River and developing their full potential to contribute to the well-being of </w:t>
            </w:r>
            <w:proofErr w:type="spellStart"/>
            <w:r w:rsidRPr="703AEB20">
              <w:rPr>
                <w:lang w:val="en-US"/>
              </w:rPr>
              <w:t>tangata</w:t>
            </w:r>
            <w:proofErr w:type="spellEnd"/>
            <w:r w:rsidRPr="703AEB20">
              <w:rPr>
                <w:lang w:val="en-US"/>
              </w:rPr>
              <w:t xml:space="preserve"> whenua (indigenous people), the community and visitors for generations to come.</w:t>
            </w:r>
          </w:p>
          <w:p w14:paraId="0D8CC8EE" w14:textId="77777777" w:rsidR="00014420" w:rsidRPr="00B50C2D" w:rsidRDefault="00014420" w:rsidP="00014420">
            <w:pPr>
              <w:pStyle w:val="Greentext-casestudytables"/>
            </w:pPr>
            <w:r w:rsidRPr="00B50C2D">
              <w:t>The project intended to enhance the natural degradation process that breaks down contaminants. In this specific project, a combination of fungi, bacteria and plants were used to help speed up the natural degradation of the dioxins.</w:t>
            </w:r>
          </w:p>
          <w:p w14:paraId="6D050FC0" w14:textId="77777777" w:rsidR="00014420" w:rsidRPr="00B50C2D" w:rsidRDefault="00014420" w:rsidP="00014420">
            <w:pPr>
              <w:pStyle w:val="Greentext-casestudytables"/>
            </w:pPr>
            <w:r w:rsidRPr="00B50C2D">
              <w:lastRenderedPageBreak/>
              <w:t>Bioremediation was chosen as the treatment method because the concentration levels were lower than those commonly found on industrial or manufacturing sites and there were no time constraints requiring a faster process.</w:t>
            </w:r>
          </w:p>
          <w:p w14:paraId="30B52BB1" w14:textId="77777777" w:rsidR="00014420" w:rsidRPr="00B50C2D" w:rsidRDefault="00014420" w:rsidP="00014420">
            <w:pPr>
              <w:pStyle w:val="Greentext-casestudytables"/>
            </w:pPr>
            <w:r w:rsidRPr="00B50C2D">
              <w:t xml:space="preserve">The decision to remove the sediment was necessary to address the issue of the sediment build-up affecting the canal's ability to convey floodwater. The decision was made to bioremediate the sediment rather than take it to a landfill. One factor in this decision was that the dioxin in the dewatered sediment could only go to two specific landfills, both a considerable distance from the canal. In making this decision, the council considered that the potential costs and environmental, social, and cultural effects of transporting the contaminated sediment long distances were too high, and that ex-situ bioremediation was the most sustainable option. The long distances also increased the risk of spilling the sediment as, a result of an accident. Cultural beliefs were also considered. One iwi strongly opposed the removal of the material from the </w:t>
            </w:r>
            <w:proofErr w:type="spellStart"/>
            <w:r w:rsidRPr="00B50C2D">
              <w:t>rohe</w:t>
            </w:r>
            <w:proofErr w:type="spellEnd"/>
            <w:r w:rsidRPr="00B50C2D">
              <w:t xml:space="preserve"> (tribal area) and preferred the process of 'healing the land' occurred locally.</w:t>
            </w:r>
          </w:p>
          <w:p w14:paraId="26823A4B" w14:textId="1A7DE10E" w:rsidR="00014420" w:rsidRPr="00B50C2D" w:rsidRDefault="00014420" w:rsidP="00014420">
            <w:pPr>
              <w:pStyle w:val="Greentext-casestudytables"/>
            </w:pPr>
            <w:r w:rsidRPr="00B50C2D">
              <w:t xml:space="preserve">During the process, sediment was dredged from the canal, placed into </w:t>
            </w:r>
            <w:proofErr w:type="spellStart"/>
            <w:r w:rsidRPr="00B50C2D">
              <w:t>geotubes</w:t>
            </w:r>
            <w:proofErr w:type="spellEnd"/>
            <w:r w:rsidRPr="00B50C2D">
              <w:t xml:space="preserve"> and kept within fully enclosed 'containment cells'. The cells were made of earth bunds lined with a high-density polyethylene (HDPE) liner that eliminates sediment-bound contaminants from moving into the surrounding soil or groundwater. Sediment was left in place at the containment sites following treatment. The final land use for each site containing the sediment will be determined by the treatment level achieved and other site-specific controls put in place.</w:t>
            </w:r>
          </w:p>
          <w:p w14:paraId="6D031C7F" w14:textId="389616A0" w:rsidR="00014420" w:rsidRPr="00014420" w:rsidRDefault="00014420" w:rsidP="00014420">
            <w:pPr>
              <w:pStyle w:val="Greentext-casestudytables"/>
            </w:pPr>
            <w:r w:rsidRPr="00014420">
              <w:t>The sediment had to be removed to ensure an extreme weather event, such as a flood, did not cause the canal to breach flood banks and affect surrounding land.</w:t>
            </w:r>
          </w:p>
          <w:p w14:paraId="3B5725B0" w14:textId="77777777" w:rsidR="00014420" w:rsidRPr="000B0C8A" w:rsidRDefault="00014420" w:rsidP="00DB2F39">
            <w:pPr>
              <w:pStyle w:val="Greenheading-casestudytables"/>
              <w:spacing w:before="120"/>
              <w:ind w:left="312"/>
              <w:rPr>
                <w:rFonts w:eastAsia="Tahoma"/>
                <w:bCs/>
              </w:rPr>
            </w:pPr>
            <w:r w:rsidRPr="00BE71A1">
              <w:rPr>
                <w:rFonts w:eastAsia="Tahoma"/>
              </w:rPr>
              <w:t>Handling</w:t>
            </w:r>
            <w:r w:rsidRPr="000B0C8A">
              <w:rPr>
                <w:rFonts w:eastAsia="Tahoma"/>
                <w:bCs/>
                <w:lang w:val="en-US"/>
              </w:rPr>
              <w:t xml:space="preserve"> of the sediment</w:t>
            </w:r>
          </w:p>
          <w:p w14:paraId="012C9C6C" w14:textId="4C6626E4" w:rsidR="00014420" w:rsidRPr="003E04A5" w:rsidRDefault="00014420" w:rsidP="00014420">
            <w:pPr>
              <w:pStyle w:val="Greentext-casestudytables"/>
            </w:pPr>
            <w:r w:rsidRPr="101DA2A9">
              <w:t xml:space="preserve">Nearly </w:t>
            </w:r>
            <w:r w:rsidR="4C9620D9">
              <w:t>five</w:t>
            </w:r>
            <w:r w:rsidRPr="101DA2A9">
              <w:t xml:space="preserve"> kilometres of canal was remediated. The sediment was removed using cutter-suction dredging and </w:t>
            </w:r>
            <w:proofErr w:type="spellStart"/>
            <w:r w:rsidRPr="101DA2A9">
              <w:t>geotube</w:t>
            </w:r>
            <w:proofErr w:type="spellEnd"/>
            <w:r w:rsidRPr="101DA2A9">
              <w:t xml:space="preserve"> dewatering. The technique involves removing the sediment using a mechanical cutter head directly next to a suction intake. As the sediment is disturbed, the suction pump draws it into a pipeline and transfers it to the containment site. At the containment site, the water—sediment slurry is dosed with commonly used chemicals, called flocculants, which separate the solids from the water. The separation occurs in the pipeline before being pumped into </w:t>
            </w:r>
            <w:proofErr w:type="spellStart"/>
            <w:r w:rsidRPr="101DA2A9">
              <w:t>geotubes</w:t>
            </w:r>
            <w:proofErr w:type="spellEnd"/>
            <w:r w:rsidRPr="101DA2A9">
              <w:t>. These tubes allow the water out but keep the sediment in. The discharged water (filtrate) collects in the base of the HDPE-lined containment site before it is tested and discharged back into the canal.</w:t>
            </w:r>
          </w:p>
          <w:p w14:paraId="4C521A47" w14:textId="77777777" w:rsidR="00014420" w:rsidRPr="003E04A5" w:rsidRDefault="00014420" w:rsidP="00014420">
            <w:pPr>
              <w:pStyle w:val="Greentext-casestudytables"/>
            </w:pPr>
            <w:r w:rsidRPr="101DA2A9">
              <w:t>The cutter-suction dredge method eliminates most risks associated with potential spillages of contaminated material and dust generation. This is because sediment is transferred from the canal directly to the containment sites via a pipeline. While technical assessments carried out indicated little to no risk of air-quality effects, the consent holder kept air-quality monitoring in the consent, to provide peace of mind to surrounding residents and the general community during the works. This</w:t>
            </w:r>
            <w:r w:rsidRPr="101DA2A9" w:rsidDel="005079BE">
              <w:t xml:space="preserve"> </w:t>
            </w:r>
            <w:r w:rsidRPr="101DA2A9">
              <w:t>was a condition of the consent, and ongoing monitoring and reporting of air quality will ensure compliance.</w:t>
            </w:r>
          </w:p>
          <w:p w14:paraId="454EB3A2" w14:textId="0D6CE06F" w:rsidR="00904891" w:rsidRPr="00582EF5" w:rsidRDefault="00014420" w:rsidP="003B4FAC">
            <w:pPr>
              <w:pStyle w:val="Greentext-casestudytables"/>
            </w:pPr>
            <w:r w:rsidRPr="101DA2A9">
              <w:t xml:space="preserve">The driver for the remediation works was to mitigate risks to human health through the consumption of dioxin contaminated eels harvested from </w:t>
            </w:r>
            <w:proofErr w:type="spellStart"/>
            <w:r w:rsidRPr="101DA2A9">
              <w:t>Kopeopeo</w:t>
            </w:r>
            <w:proofErr w:type="spellEnd"/>
            <w:r w:rsidRPr="101DA2A9">
              <w:t xml:space="preserve"> Canal. The remedial area was successfully remediated to the extent practicable and to the remedial criteria standard. The containment of dredged sediment from the canal has provided for long-term bioremediation of the contaminated sediment. Ongoing monitoring of eels will evaluate exposure and uptake of residual sediment dioxin concentrations within the eel population once it re-establishes within </w:t>
            </w:r>
            <w:proofErr w:type="spellStart"/>
            <w:r w:rsidRPr="101DA2A9">
              <w:t>Kopeopeo</w:t>
            </w:r>
            <w:proofErr w:type="spellEnd"/>
            <w:r w:rsidRPr="101DA2A9">
              <w:t xml:space="preserve"> Canal.</w:t>
            </w:r>
          </w:p>
        </w:tc>
      </w:tr>
    </w:tbl>
    <w:p w14:paraId="056E5153" w14:textId="77777777" w:rsidR="00DB2F39" w:rsidRDefault="00DB2F39">
      <w:pPr>
        <w:spacing w:before="0" w:after="200" w:line="276" w:lineRule="auto"/>
        <w:jc w:val="left"/>
        <w:rPr>
          <w:rFonts w:eastAsiaTheme="majorEastAsia" w:cstheme="majorBidi"/>
          <w:b/>
          <w:bCs/>
          <w:sz w:val="28"/>
        </w:rPr>
      </w:pPr>
      <w:r>
        <w:lastRenderedPageBreak/>
        <w:br w:type="page"/>
      </w:r>
    </w:p>
    <w:p w14:paraId="6F05DCC6" w14:textId="3161866A" w:rsidR="00E72470" w:rsidRPr="00582EF5" w:rsidRDefault="00A93FB4" w:rsidP="00B50C2D">
      <w:pPr>
        <w:pStyle w:val="Heading3"/>
        <w:spacing w:before="440"/>
      </w:pPr>
      <w:r w:rsidRPr="00582EF5">
        <w:lastRenderedPageBreak/>
        <w:t>6.4.3</w:t>
      </w:r>
      <w:r w:rsidRPr="00582EF5">
        <w:tab/>
      </w:r>
      <w:r w:rsidR="006914CC" w:rsidRPr="00582EF5">
        <w:t>Per- and poly-fluoroalkyl substances</w:t>
      </w:r>
      <w:r w:rsidR="00E72470" w:rsidRPr="00582EF5">
        <w:t xml:space="preserve"> contaminated sites</w:t>
      </w:r>
    </w:p>
    <w:p w14:paraId="4EF3956F" w14:textId="7074D46B" w:rsidR="00E72470" w:rsidRPr="00582EF5" w:rsidRDefault="72C89534" w:rsidP="00B50C2D">
      <w:pPr>
        <w:pStyle w:val="BodyText"/>
      </w:pPr>
      <w:r w:rsidRPr="00B340C5">
        <w:t xml:space="preserve">New Zealand government agencies </w:t>
      </w:r>
      <w:r w:rsidR="015C605C" w:rsidRPr="00B340C5">
        <w:t xml:space="preserve">have investigated </w:t>
      </w:r>
      <w:r w:rsidRPr="00B340C5">
        <w:t>sites that have used specialist firefighting foams containing PFAS</w:t>
      </w:r>
      <w:r w:rsidRPr="00582EF5">
        <w:t xml:space="preserve">. These include </w:t>
      </w:r>
      <w:r w:rsidR="12DAFAED" w:rsidRPr="00582EF5">
        <w:t xml:space="preserve">the </w:t>
      </w:r>
      <w:proofErr w:type="spellStart"/>
      <w:r w:rsidR="5E0525BB" w:rsidRPr="00582EF5">
        <w:t>Ohakea</w:t>
      </w:r>
      <w:proofErr w:type="spellEnd"/>
      <w:r w:rsidR="5E0525BB" w:rsidRPr="00582EF5">
        <w:t xml:space="preserve">, </w:t>
      </w:r>
      <w:r w:rsidR="1B3C428F" w:rsidRPr="00582EF5">
        <w:t xml:space="preserve">Whenuapai and </w:t>
      </w:r>
      <w:r w:rsidR="5E0525BB" w:rsidRPr="00582EF5">
        <w:t>Woodbourne</w:t>
      </w:r>
      <w:r w:rsidR="1B3C428F" w:rsidRPr="00582EF5">
        <w:t xml:space="preserve"> </w:t>
      </w:r>
      <w:r w:rsidR="5E0525BB" w:rsidRPr="00582EF5">
        <w:t>Air Force bases</w:t>
      </w:r>
      <w:r w:rsidR="5CA85196" w:rsidRPr="00582EF5">
        <w:t xml:space="preserve"> and</w:t>
      </w:r>
      <w:r w:rsidR="5E0525BB" w:rsidRPr="00582EF5">
        <w:t xml:space="preserve"> </w:t>
      </w:r>
      <w:r w:rsidR="1B3C428F" w:rsidRPr="00582EF5">
        <w:t xml:space="preserve">the </w:t>
      </w:r>
      <w:r w:rsidR="5E0525BB" w:rsidRPr="00582EF5">
        <w:t>Devonport Naval base</w:t>
      </w:r>
      <w:r w:rsidR="368C58D3" w:rsidRPr="00582EF5">
        <w:t>. Local government is also leading investigations, with the support of central government, into soil and surface water contamination at non-Crown</w:t>
      </w:r>
      <w:r w:rsidR="12DAFAED" w:rsidRPr="00582EF5">
        <w:t>-</w:t>
      </w:r>
      <w:r w:rsidR="368C58D3" w:rsidRPr="00582EF5">
        <w:t>owned sites including airport</w:t>
      </w:r>
      <w:r w:rsidR="12DAFAED" w:rsidRPr="00582EF5">
        <w:t>s</w:t>
      </w:r>
      <w:r w:rsidR="368C58D3" w:rsidRPr="00582EF5">
        <w:t>, petrochemical storage sites and a privately owned fire training</w:t>
      </w:r>
      <w:r w:rsidR="57019E6B">
        <w:t> </w:t>
      </w:r>
      <w:r w:rsidR="368C58D3" w:rsidRPr="00582EF5">
        <w:t>area.</w:t>
      </w:r>
    </w:p>
    <w:p w14:paraId="28A5C6C6" w14:textId="64A02957" w:rsidR="00E43028" w:rsidRDefault="00E43028" w:rsidP="00E92180">
      <w:pPr>
        <w:pStyle w:val="BodyText"/>
      </w:pPr>
      <w:r>
        <w:t>T</w:t>
      </w:r>
      <w:r w:rsidRPr="00E43028">
        <w:t xml:space="preserve">he Government contributed $10.88 million to a rural water scheme for the </w:t>
      </w:r>
      <w:proofErr w:type="spellStart"/>
      <w:r w:rsidR="00621D5F">
        <w:t>Ōhakea</w:t>
      </w:r>
      <w:proofErr w:type="spellEnd"/>
      <w:r w:rsidR="00202739" w:rsidRPr="00E43028">
        <w:t xml:space="preserve"> </w:t>
      </w:r>
      <w:r w:rsidRPr="00E43028">
        <w:t>area to provide safe drinking and stock water for the community. Unlike other areas, this rural community relied on ground and surface water for its water supply. The area is at risk from contamination and the water supply provides a long-term safeguard for the community</w:t>
      </w:r>
      <w:r w:rsidR="004752D9">
        <w:t>.</w:t>
      </w:r>
    </w:p>
    <w:p w14:paraId="24DC496C" w14:textId="67EDED1E" w:rsidR="00143540" w:rsidRDefault="00C72CAA" w:rsidP="00E92180">
      <w:pPr>
        <w:pStyle w:val="BodyText"/>
      </w:pPr>
      <w:r w:rsidRPr="00E92180">
        <w:t xml:space="preserve">The </w:t>
      </w:r>
      <w:r w:rsidR="00E92180" w:rsidRPr="00E92180">
        <w:t>G</w:t>
      </w:r>
      <w:r w:rsidRPr="00E92180">
        <w:t xml:space="preserve">overnment has also released </w:t>
      </w:r>
      <w:r w:rsidR="00525EBD" w:rsidRPr="00E92180">
        <w:t xml:space="preserve">a </w:t>
      </w:r>
      <w:hyperlink r:id="rId137" w:history="1">
        <w:r w:rsidR="00525EBD" w:rsidRPr="00A01294">
          <w:rPr>
            <w:rStyle w:val="Hyperlink"/>
          </w:rPr>
          <w:t xml:space="preserve">guide outlining the </w:t>
        </w:r>
        <w:r w:rsidR="001410CA" w:rsidRPr="00A01294">
          <w:rPr>
            <w:rStyle w:val="Hyperlink"/>
          </w:rPr>
          <w:t xml:space="preserve">process of gathering information to make decisions about </w:t>
        </w:r>
        <w:r w:rsidR="006D0CD4" w:rsidRPr="00A01294">
          <w:rPr>
            <w:rStyle w:val="Hyperlink"/>
          </w:rPr>
          <w:t>the treatment of</w:t>
        </w:r>
        <w:r w:rsidR="001410CA" w:rsidRPr="00A01294">
          <w:rPr>
            <w:rStyle w:val="Hyperlink"/>
          </w:rPr>
          <w:t xml:space="preserve"> sites in New Zealand contaminated with PFAS</w:t>
        </w:r>
      </w:hyperlink>
      <w:r w:rsidR="00C845EE">
        <w:t xml:space="preserve">. </w:t>
      </w:r>
      <w:r w:rsidR="00143540" w:rsidRPr="00143540">
        <w:t xml:space="preserve">This document outlines the process for gathering information to make decisions about investigating, managing and remediating sites contaminated with per- and poly-fluoroalkyl substances (PFAS). It is aimed at: </w:t>
      </w:r>
    </w:p>
    <w:p w14:paraId="6248F749" w14:textId="47E3D588" w:rsidR="00143540" w:rsidRDefault="00143540" w:rsidP="00B50C2D">
      <w:pPr>
        <w:pStyle w:val="Bullet"/>
      </w:pPr>
      <w:r w:rsidRPr="00143540">
        <w:t xml:space="preserve">contaminated land practitioners and regulatory authorities </w:t>
      </w:r>
    </w:p>
    <w:p w14:paraId="4A649B46" w14:textId="0C0F2D27" w:rsidR="00143540" w:rsidRDefault="00143540" w:rsidP="00B50C2D">
      <w:pPr>
        <w:pStyle w:val="Bullet"/>
      </w:pPr>
      <w:r w:rsidRPr="00143540">
        <w:t>owners, potential owners, or occupiers of sites where PFAS are present or suspected in the soil or water.</w:t>
      </w:r>
    </w:p>
    <w:p w14:paraId="00C94684" w14:textId="608A9BE2" w:rsidR="00C72CAA" w:rsidRPr="00582EF5" w:rsidRDefault="00143540" w:rsidP="00B50C2D">
      <w:pPr>
        <w:pStyle w:val="BodyText"/>
      </w:pPr>
      <w:r w:rsidRPr="00143540">
        <w:t xml:space="preserve">The </w:t>
      </w:r>
      <w:r w:rsidR="00E92180">
        <w:t>guide</w:t>
      </w:r>
      <w:r w:rsidR="00E92180" w:rsidRPr="00143540">
        <w:t xml:space="preserve"> </w:t>
      </w:r>
      <w:r w:rsidRPr="00143540">
        <w:t xml:space="preserve">is an overview of the duties, functions and responsibilities of councils and landowners. It supplements the National Environmental Standard for Assessing and Managing Contaminants in Soil to Protect Human Health (NES) and the Contaminated Land Management Guidelines. It also outlines potential funding streams for investigation and </w:t>
      </w:r>
      <w:proofErr w:type="gramStart"/>
      <w:r w:rsidRPr="00143540">
        <w:t>response, and</w:t>
      </w:r>
      <w:proofErr w:type="gramEnd"/>
      <w:r w:rsidRPr="00143540">
        <w:t xml:space="preserve"> considers stakeholder engagement.</w:t>
      </w:r>
    </w:p>
    <w:p w14:paraId="235AE702" w14:textId="77777777" w:rsidR="00E72470" w:rsidRPr="00582EF5" w:rsidRDefault="00E72470" w:rsidP="00B50C2D">
      <w:pPr>
        <w:pStyle w:val="BodyText"/>
        <w:rPr>
          <w:rFonts w:eastAsia="Times New Roman" w:cs="Times New Roman"/>
        </w:rPr>
      </w:pPr>
      <w:r w:rsidRPr="00582EF5">
        <w:br w:type="page"/>
      </w:r>
    </w:p>
    <w:p w14:paraId="715CF71D" w14:textId="1FD831C3" w:rsidR="00E72470" w:rsidRPr="00582EF5" w:rsidRDefault="00AF30FA" w:rsidP="00B50C2D">
      <w:pPr>
        <w:pStyle w:val="Heading1"/>
      </w:pPr>
      <w:bookmarkStart w:id="126" w:name="_Chapter_7:_Effectiveness"/>
      <w:bookmarkStart w:id="127" w:name="_Toc531102801"/>
      <w:bookmarkStart w:id="128" w:name="_Toc120532253"/>
      <w:bookmarkEnd w:id="126"/>
      <w:r w:rsidRPr="00582EF5">
        <w:lastRenderedPageBreak/>
        <w:t xml:space="preserve">Chapter 7: Effectiveness of </w:t>
      </w:r>
      <w:r w:rsidR="00593E63" w:rsidRPr="00582EF5">
        <w:t>persistent organic pollutants</w:t>
      </w:r>
      <w:r w:rsidRPr="00582EF5">
        <w:t xml:space="preserve"> </w:t>
      </w:r>
      <w:r w:rsidR="00593E63" w:rsidRPr="00582EF5">
        <w:t>m</w:t>
      </w:r>
      <w:r w:rsidRPr="00582EF5">
        <w:t>anagement</w:t>
      </w:r>
      <w:bookmarkEnd w:id="127"/>
      <w:bookmarkEnd w:id="128"/>
    </w:p>
    <w:p w14:paraId="16810701" w14:textId="559A0C14" w:rsidR="00E72470" w:rsidRPr="00582EF5" w:rsidRDefault="00E72470" w:rsidP="00B50C2D">
      <w:pPr>
        <w:pStyle w:val="Heading2"/>
      </w:pPr>
      <w:bookmarkStart w:id="129" w:name="_Toc531102802"/>
      <w:bookmarkStart w:id="130" w:name="_Toc120532254"/>
      <w:r w:rsidRPr="00582EF5">
        <w:t xml:space="preserve">7.1 </w:t>
      </w:r>
      <w:r w:rsidR="00C04A2A" w:rsidRPr="00582EF5">
        <w:tab/>
      </w:r>
      <w:r w:rsidRPr="00582EF5">
        <w:t>Convention obligations</w:t>
      </w:r>
      <w:bookmarkEnd w:id="129"/>
      <w:bookmarkEnd w:id="130"/>
    </w:p>
    <w:p w14:paraId="6EF66164" w14:textId="0525003E" w:rsidR="00E72470" w:rsidRPr="00582EF5" w:rsidRDefault="7361ABB4" w:rsidP="00B50C2D">
      <w:pPr>
        <w:pStyle w:val="BodyText"/>
      </w:pPr>
      <w:r>
        <w:t xml:space="preserve">Article 11 </w:t>
      </w:r>
      <w:r w:rsidR="7B56F3CC">
        <w:t xml:space="preserve">of the </w:t>
      </w:r>
      <w:r w:rsidR="00E72470" w:rsidDel="7B56F3CC">
        <w:t xml:space="preserve">Convention </w:t>
      </w:r>
      <w:r w:rsidR="3CDDEAD4">
        <w:t>requires</w:t>
      </w:r>
      <w:r>
        <w:t xml:space="preserve"> parties to </w:t>
      </w:r>
      <w:r w:rsidR="65DB49F5">
        <w:t xml:space="preserve">within their </w:t>
      </w:r>
      <w:r w:rsidR="41E2E15A">
        <w:t>capabilities,</w:t>
      </w:r>
      <w:r w:rsidR="00E72470" w:rsidDel="65DB49F5">
        <w:t xml:space="preserve"> </w:t>
      </w:r>
      <w:r>
        <w:t xml:space="preserve">encourage </w:t>
      </w:r>
      <w:r w:rsidR="10E46E4A">
        <w:t xml:space="preserve">and/or undertake </w:t>
      </w:r>
      <w:r>
        <w:t>research, development and monitoring of POPs on</w:t>
      </w:r>
      <w:r w:rsidR="099427F0">
        <w:t> </w:t>
      </w:r>
      <w:r>
        <w:t>their:</w:t>
      </w:r>
    </w:p>
    <w:p w14:paraId="7D0323B9" w14:textId="06762401" w:rsidR="00E72470" w:rsidRPr="00582EF5" w:rsidRDefault="0B274EAC" w:rsidP="00B50C2D">
      <w:pPr>
        <w:pStyle w:val="Bullet"/>
      </w:pPr>
      <w:r>
        <w:t>s</w:t>
      </w:r>
      <w:r w:rsidR="72C89534">
        <w:t>ources, releases and transport to the environment</w:t>
      </w:r>
    </w:p>
    <w:p w14:paraId="7C7E6DB5" w14:textId="7D4FFFAB" w:rsidR="00E72470" w:rsidRPr="00582EF5" w:rsidRDefault="0B274EAC" w:rsidP="00B50C2D">
      <w:pPr>
        <w:pStyle w:val="Bullet"/>
      </w:pPr>
      <w:r>
        <w:t>p</w:t>
      </w:r>
      <w:r w:rsidR="72C89534">
        <w:t>resence, levels, trends and effects on humans and the environment</w:t>
      </w:r>
    </w:p>
    <w:p w14:paraId="1943C28D" w14:textId="01104400" w:rsidR="00E72470" w:rsidRPr="00582EF5" w:rsidRDefault="0B274EAC" w:rsidP="00B50C2D">
      <w:pPr>
        <w:pStyle w:val="Bullet"/>
      </w:pPr>
      <w:r>
        <w:t>s</w:t>
      </w:r>
      <w:r w:rsidR="72C89534">
        <w:t>ocio-economic and cultural impacts</w:t>
      </w:r>
    </w:p>
    <w:p w14:paraId="578B5032" w14:textId="680D77A8" w:rsidR="00E72470" w:rsidRPr="00582EF5" w:rsidRDefault="0B274EAC" w:rsidP="00B50C2D">
      <w:pPr>
        <w:pStyle w:val="Bullet"/>
      </w:pPr>
      <w:r>
        <w:t>r</w:t>
      </w:r>
      <w:r w:rsidR="72C89534">
        <w:t>elease reduction and/or elimination</w:t>
      </w:r>
    </w:p>
    <w:p w14:paraId="1690781E" w14:textId="67B4690F" w:rsidR="00E72470" w:rsidRPr="00582EF5" w:rsidRDefault="0B274EAC" w:rsidP="00B50C2D">
      <w:pPr>
        <w:pStyle w:val="Bullet"/>
      </w:pPr>
      <w:r>
        <w:t>h</w:t>
      </w:r>
      <w:r w:rsidR="72C89534">
        <w:t>armonised methodologies for making inventories and analytical techniques for measuring releases.</w:t>
      </w:r>
    </w:p>
    <w:p w14:paraId="3F5CC43B" w14:textId="21B270C6" w:rsidR="00E72470" w:rsidRPr="00582EF5" w:rsidRDefault="7361ABB4" w:rsidP="00B50C2D">
      <w:pPr>
        <w:pStyle w:val="BodyText"/>
      </w:pPr>
      <w:r>
        <w:t>In taking this action, parties sh</w:t>
      </w:r>
      <w:r w:rsidR="20420016">
        <w:t>all</w:t>
      </w:r>
    </w:p>
    <w:p w14:paraId="64E0E126" w14:textId="0F2F4183" w:rsidR="00E72470" w:rsidRPr="00582EF5" w:rsidRDefault="0B274EAC" w:rsidP="00B50C2D">
      <w:pPr>
        <w:pStyle w:val="Bullet"/>
      </w:pPr>
      <w:r>
        <w:t>s</w:t>
      </w:r>
      <w:r w:rsidR="72C89534">
        <w:t>upport and further develop international programmes aimed at research, data collection and monitoring</w:t>
      </w:r>
    </w:p>
    <w:p w14:paraId="222A6737" w14:textId="22F108FF" w:rsidR="00E72470" w:rsidRPr="00582EF5" w:rsidRDefault="0B274EAC" w:rsidP="00B50C2D">
      <w:pPr>
        <w:pStyle w:val="Bullet"/>
      </w:pPr>
      <w:r>
        <w:t>s</w:t>
      </w:r>
      <w:r w:rsidR="72C89534">
        <w:t>upport efforts to strengthen national scientific and technical research capabilities</w:t>
      </w:r>
    </w:p>
    <w:p w14:paraId="4FC67ED9" w14:textId="7B64042D" w:rsidR="00E72470" w:rsidRPr="00582EF5" w:rsidRDefault="0B274EAC" w:rsidP="00B50C2D">
      <w:pPr>
        <w:pStyle w:val="Bullet"/>
      </w:pPr>
      <w:proofErr w:type="gramStart"/>
      <w:r>
        <w:t>t</w:t>
      </w:r>
      <w:r w:rsidR="72C89534">
        <w:t>ake into account</w:t>
      </w:r>
      <w:proofErr w:type="gramEnd"/>
      <w:r w:rsidR="72C89534">
        <w:t xml:space="preserve"> the concerns and needs of developing countries to improve their capability to participate</w:t>
      </w:r>
    </w:p>
    <w:p w14:paraId="0CFD2AD2" w14:textId="033A1BFC" w:rsidR="00E72470" w:rsidRPr="00582EF5" w:rsidRDefault="0B274EAC" w:rsidP="00B50C2D">
      <w:pPr>
        <w:pStyle w:val="Bullet"/>
      </w:pPr>
      <w:r>
        <w:t>u</w:t>
      </w:r>
      <w:r w:rsidR="72C89534">
        <w:t>ndertake research towards alleviating the effects of POPs an</w:t>
      </w:r>
      <w:r>
        <w:t>d</w:t>
      </w:r>
      <w:r w:rsidR="72C89534">
        <w:t xml:space="preserve"> make the results available to the public</w:t>
      </w:r>
    </w:p>
    <w:p w14:paraId="6760618D" w14:textId="1F6F37FC" w:rsidR="00E72470" w:rsidRPr="00582EF5" w:rsidRDefault="0B274EAC" w:rsidP="00B50C2D">
      <w:pPr>
        <w:pStyle w:val="Bullet"/>
      </w:pPr>
      <w:r>
        <w:t>e</w:t>
      </w:r>
      <w:r w:rsidR="72C89534">
        <w:t xml:space="preserve">ncourage and/or undertake cooperation </w:t>
      </w:r>
      <w:proofErr w:type="gramStart"/>
      <w:r w:rsidR="72C89534">
        <w:t>with regard to</w:t>
      </w:r>
      <w:proofErr w:type="gramEnd"/>
      <w:r w:rsidR="72C89534">
        <w:t xml:space="preserve"> the storage and maintenance of this generated information.</w:t>
      </w:r>
    </w:p>
    <w:p w14:paraId="778B3EF4" w14:textId="6ECE9D76" w:rsidR="00E72470" w:rsidRPr="00582EF5" w:rsidRDefault="72C89534" w:rsidP="00B50C2D">
      <w:pPr>
        <w:pStyle w:val="BodyText"/>
      </w:pPr>
      <w:r w:rsidRPr="00582EF5">
        <w:t>This chapter out</w:t>
      </w:r>
      <w:r w:rsidR="5C9B2E0B" w:rsidRPr="00582EF5">
        <w:t>lines</w:t>
      </w:r>
      <w:r w:rsidRPr="00582EF5">
        <w:t xml:space="preserve"> a range of government POP-related research and monitoring</w:t>
      </w:r>
      <w:r w:rsidRPr="00E92180">
        <w:t xml:space="preserve">. Studies undertaken </w:t>
      </w:r>
      <w:r w:rsidR="5C9B2E0B" w:rsidRPr="00E92180">
        <w:t>before</w:t>
      </w:r>
      <w:r w:rsidRPr="00E92180">
        <w:t xml:space="preserve"> 2006 are </w:t>
      </w:r>
      <w:r w:rsidR="5C9B2E0B" w:rsidRPr="00E92180">
        <w:t xml:space="preserve">covered </w:t>
      </w:r>
      <w:r w:rsidRPr="00E92180">
        <w:t xml:space="preserve">from page 28 onwards of </w:t>
      </w:r>
      <w:hyperlink r:id="rId138" w:history="1">
        <w:r w:rsidR="374F2CD8" w:rsidRPr="00E92180">
          <w:rPr>
            <w:rStyle w:val="Hyperlink"/>
          </w:rPr>
          <w:t xml:space="preserve">New Zealand’s </w:t>
        </w:r>
        <w:r w:rsidRPr="00E92180">
          <w:rPr>
            <w:rStyle w:val="Hyperlink"/>
          </w:rPr>
          <w:t>NIP1</w:t>
        </w:r>
      </w:hyperlink>
      <w:r w:rsidRPr="00582EF5">
        <w:t xml:space="preserve"> and the results have not been repeated here. </w:t>
      </w:r>
    </w:p>
    <w:p w14:paraId="33FB0396" w14:textId="1F99D8F3" w:rsidR="00E72470" w:rsidRPr="00582EF5" w:rsidRDefault="00E72470" w:rsidP="00B50C2D">
      <w:pPr>
        <w:pStyle w:val="Heading2"/>
      </w:pPr>
      <w:bookmarkStart w:id="131" w:name="_Toc531102803"/>
      <w:bookmarkStart w:id="132" w:name="_Toc120532255"/>
      <w:r w:rsidRPr="00582EF5">
        <w:t xml:space="preserve">7.2 </w:t>
      </w:r>
      <w:r w:rsidR="00C04A2A" w:rsidRPr="00582EF5">
        <w:tab/>
      </w:r>
      <w:r w:rsidRPr="00582EF5">
        <w:t>Biomonitoring</w:t>
      </w:r>
      <w:bookmarkEnd w:id="131"/>
      <w:bookmarkEnd w:id="132"/>
    </w:p>
    <w:p w14:paraId="3FC56F87" w14:textId="483603AF" w:rsidR="00E72470" w:rsidRPr="00582EF5" w:rsidRDefault="00A93FB4" w:rsidP="00B50C2D">
      <w:pPr>
        <w:pStyle w:val="Heading3"/>
        <w:spacing w:before="240"/>
      </w:pPr>
      <w:r w:rsidRPr="00582EF5">
        <w:t>7.2.1</w:t>
      </w:r>
      <w:r w:rsidRPr="00582EF5">
        <w:tab/>
      </w:r>
      <w:r w:rsidR="00E72470" w:rsidRPr="00582EF5">
        <w:t xml:space="preserve">Concentrations of </w:t>
      </w:r>
      <w:r w:rsidR="00C4117B" w:rsidRPr="00582EF5">
        <w:t>persistent organic pollutants</w:t>
      </w:r>
      <w:r w:rsidR="00E72470" w:rsidRPr="00582EF5">
        <w:t xml:space="preserve"> in </w:t>
      </w:r>
      <w:r w:rsidR="006B42CC" w:rsidRPr="00582EF5">
        <w:t>serum</w:t>
      </w:r>
      <w:r w:rsidR="00E72470" w:rsidRPr="00582EF5">
        <w:t xml:space="preserve"> of adult</w:t>
      </w:r>
      <w:r w:rsidR="00C4117B" w:rsidRPr="00582EF5">
        <w:t> </w:t>
      </w:r>
      <w:r w:rsidR="00E72470" w:rsidRPr="00582EF5">
        <w:t>New Zealanders</w:t>
      </w:r>
    </w:p>
    <w:p w14:paraId="14546650" w14:textId="77777777" w:rsidR="00E72470" w:rsidRPr="00582EF5" w:rsidRDefault="00E72470" w:rsidP="00B50C2D">
      <w:pPr>
        <w:pStyle w:val="Heading4"/>
        <w:spacing w:before="240"/>
      </w:pPr>
      <w:r w:rsidRPr="00582EF5">
        <w:t>Background</w:t>
      </w:r>
    </w:p>
    <w:p w14:paraId="28CF48EB" w14:textId="77777777" w:rsidR="008304A2" w:rsidRDefault="374F2CD8" w:rsidP="00B50C2D">
      <w:pPr>
        <w:pStyle w:val="BodyText"/>
      </w:pPr>
      <w:r w:rsidRPr="00582EF5">
        <w:t xml:space="preserve">The </w:t>
      </w:r>
      <w:r w:rsidR="72C89534" w:rsidRPr="00582EF5">
        <w:t>Centre for Public Health R</w:t>
      </w:r>
      <w:r w:rsidR="12B05184" w:rsidRPr="00582EF5">
        <w:t xml:space="preserve">esearch (CPHR) </w:t>
      </w:r>
      <w:r w:rsidR="4E7FD409" w:rsidRPr="00582EF5">
        <w:t xml:space="preserve">at Massey University </w:t>
      </w:r>
      <w:r w:rsidR="12B05184" w:rsidRPr="00582EF5">
        <w:t xml:space="preserve">completed a </w:t>
      </w:r>
      <w:r w:rsidRPr="00582EF5">
        <w:t>two</w:t>
      </w:r>
      <w:r w:rsidR="72C89534" w:rsidRPr="00582EF5">
        <w:t xml:space="preserve">-year study in 2013 for the </w:t>
      </w:r>
      <w:r w:rsidRPr="00582EF5">
        <w:t>Ministry of Hea</w:t>
      </w:r>
      <w:r w:rsidR="29AB2AEB" w:rsidRPr="00582EF5">
        <w:t>l</w:t>
      </w:r>
      <w:r w:rsidRPr="00582EF5">
        <w:t>th (</w:t>
      </w:r>
      <w:r w:rsidR="3499889E" w:rsidRPr="00582EF5">
        <w:t>MOH</w:t>
      </w:r>
      <w:r w:rsidR="26F2D920" w:rsidRPr="00582EF5">
        <w:t>)</w:t>
      </w:r>
      <w:r w:rsidR="72C89534" w:rsidRPr="00582EF5">
        <w:t>,</w:t>
      </w:r>
      <w:r w:rsidR="26F2D920" w:rsidRPr="00582EF5">
        <w:t xml:space="preserve"> which</w:t>
      </w:r>
      <w:r w:rsidR="72C89534" w:rsidRPr="00582EF5">
        <w:t xml:space="preserve"> measur</w:t>
      </w:r>
      <w:r w:rsidRPr="00582EF5">
        <w:t>e</w:t>
      </w:r>
      <w:r w:rsidR="29AB2AEB" w:rsidRPr="00582EF5">
        <w:t>d</w:t>
      </w:r>
      <w:r w:rsidR="72C89534" w:rsidRPr="00582EF5">
        <w:t xml:space="preserve"> concentrations of </w:t>
      </w:r>
      <w:r w:rsidR="12B05184" w:rsidRPr="00582EF5">
        <w:t xml:space="preserve">selected </w:t>
      </w:r>
    </w:p>
    <w:p w14:paraId="63895CE2" w14:textId="77777777" w:rsidR="008304A2" w:rsidRDefault="008304A2">
      <w:pPr>
        <w:spacing w:before="0" w:after="200" w:line="276" w:lineRule="auto"/>
        <w:jc w:val="left"/>
      </w:pPr>
      <w:r>
        <w:br w:type="page"/>
      </w:r>
    </w:p>
    <w:p w14:paraId="04E5BD7E" w14:textId="332D14F2" w:rsidR="00E72470" w:rsidRPr="00582EF5" w:rsidRDefault="72C89534" w:rsidP="00B50C2D">
      <w:pPr>
        <w:pStyle w:val="BodyText"/>
      </w:pPr>
      <w:r w:rsidRPr="00582EF5">
        <w:lastRenderedPageBreak/>
        <w:t xml:space="preserve">POPs in </w:t>
      </w:r>
      <w:r w:rsidR="12B05184" w:rsidRPr="00582EF5">
        <w:t xml:space="preserve">serum </w:t>
      </w:r>
      <w:r w:rsidRPr="00582EF5">
        <w:t>from a cross-section of adult New Zealanders.</w:t>
      </w:r>
      <w:r w:rsidR="00196232" w:rsidRPr="00582EF5">
        <w:rPr>
          <w:rStyle w:val="FootnoteReference"/>
        </w:rPr>
        <w:footnoteReference w:id="12"/>
      </w:r>
      <w:r w:rsidRPr="00582EF5">
        <w:t xml:space="preserve"> Serum samples were collected from 747</w:t>
      </w:r>
      <w:r w:rsidR="29AB2AEB" w:rsidRPr="00582EF5">
        <w:t> </w:t>
      </w:r>
      <w:r w:rsidRPr="00582EF5">
        <w:t>randomly selected participants across a range of age groups, ethnicity, gender and geographic regions.</w:t>
      </w:r>
    </w:p>
    <w:p w14:paraId="1EFF3EC2" w14:textId="1C97DBA3" w:rsidR="00E72470" w:rsidRPr="00582EF5" w:rsidRDefault="00E72470" w:rsidP="00B50C2D">
      <w:pPr>
        <w:pStyle w:val="BodyText"/>
      </w:pPr>
      <w:r w:rsidRPr="00582EF5">
        <w:t xml:space="preserve">POPs determined in this study include </w:t>
      </w:r>
      <w:r w:rsidR="00FD171C" w:rsidRPr="00582EF5">
        <w:t>polychlorinated dibenzo-p-dioxin (</w:t>
      </w:r>
      <w:r w:rsidR="00580B2B" w:rsidRPr="00582EF5">
        <w:t>PCDD</w:t>
      </w:r>
      <w:r w:rsidR="00FD171C" w:rsidRPr="00582EF5">
        <w:t>)</w:t>
      </w:r>
      <w:r w:rsidRPr="00582EF5">
        <w:t xml:space="preserve"> and </w:t>
      </w:r>
      <w:r w:rsidR="00FD171C" w:rsidRPr="00582EF5">
        <w:t>polychlorinated dibenzofuran (</w:t>
      </w:r>
      <w:r w:rsidR="006B42CC" w:rsidRPr="00582EF5">
        <w:t>PCDF</w:t>
      </w:r>
      <w:r w:rsidR="00FD171C" w:rsidRPr="00582EF5">
        <w:t>)</w:t>
      </w:r>
      <w:r w:rsidRPr="00582EF5">
        <w:t xml:space="preserve">, </w:t>
      </w:r>
      <w:r w:rsidR="00FD171C" w:rsidRPr="00582EF5">
        <w:t>polychlorinated biphenyls (</w:t>
      </w:r>
      <w:r w:rsidRPr="00582EF5">
        <w:t>PCBs</w:t>
      </w:r>
      <w:r w:rsidR="00FD171C" w:rsidRPr="00582EF5">
        <w:t>)</w:t>
      </w:r>
      <w:r w:rsidRPr="00582EF5">
        <w:t>,</w:t>
      </w:r>
      <w:r w:rsidR="00662935" w:rsidRPr="00582EF5">
        <w:t xml:space="preserve"> organochlorine pesticides</w:t>
      </w:r>
      <w:r w:rsidRPr="00582EF5">
        <w:t xml:space="preserve"> </w:t>
      </w:r>
      <w:r w:rsidR="00662935" w:rsidRPr="00582EF5">
        <w:t>(</w:t>
      </w:r>
      <w:r w:rsidRPr="00582EF5">
        <w:t>OCPs</w:t>
      </w:r>
      <w:r w:rsidR="00662935" w:rsidRPr="00582EF5">
        <w:t>)</w:t>
      </w:r>
      <w:r w:rsidRPr="00582EF5">
        <w:t xml:space="preserve">, </w:t>
      </w:r>
      <w:r w:rsidR="00A12B70" w:rsidRPr="00582EF5">
        <w:t>brominated flame retardants (</w:t>
      </w:r>
      <w:r w:rsidRPr="00582EF5">
        <w:t>BFRs</w:t>
      </w:r>
      <w:r w:rsidR="00A12B70" w:rsidRPr="00582EF5">
        <w:t>)</w:t>
      </w:r>
      <w:r w:rsidRPr="00582EF5">
        <w:t xml:space="preserve"> and perfluorinated compounds (PFCs). </w:t>
      </w:r>
    </w:p>
    <w:p w14:paraId="39057C11" w14:textId="6FAD257D" w:rsidR="00E72470" w:rsidRPr="00582EF5" w:rsidRDefault="00E72470" w:rsidP="00B50C2D">
      <w:pPr>
        <w:pStyle w:val="BodyText"/>
      </w:pPr>
      <w:r w:rsidRPr="00582EF5">
        <w:t>The study was designed so the association between demographic factors and serum concentration of POPs could be assessed, and to provide a direct comparison with the</w:t>
      </w:r>
      <w:r w:rsidR="00FD12B5" w:rsidRPr="00582EF5">
        <w:t xml:space="preserve"> </w:t>
      </w:r>
      <w:r w:rsidRPr="00582EF5">
        <w:t>New Zealand serum concentrations of POPs determined 15 years earlier.</w:t>
      </w:r>
    </w:p>
    <w:p w14:paraId="243E1A00" w14:textId="77777777" w:rsidR="006F6FD7" w:rsidRPr="00582EF5" w:rsidRDefault="006F6FD7" w:rsidP="00B50C2D">
      <w:pPr>
        <w:pStyle w:val="Heading4"/>
      </w:pPr>
      <w:r w:rsidRPr="00582EF5">
        <w:t>Conclusion</w:t>
      </w:r>
    </w:p>
    <w:p w14:paraId="3D6CB141" w14:textId="20B8CA77" w:rsidR="00DC4936" w:rsidRPr="002B4D33" w:rsidRDefault="00DC4936" w:rsidP="00B50C2D">
      <w:pPr>
        <w:pStyle w:val="BodyText"/>
      </w:pPr>
      <w:r w:rsidRPr="002B4D33">
        <w:t xml:space="preserve">The </w:t>
      </w:r>
      <w:r w:rsidR="00BD7EEC" w:rsidRPr="002B4D33">
        <w:t xml:space="preserve">study’s </w:t>
      </w:r>
      <w:r w:rsidRPr="002B4D33">
        <w:t xml:space="preserve">results show serum concentrations for chlorinated POPs (dioxins and furans, PCBs and organochlorine pesticides such as </w:t>
      </w:r>
      <w:r w:rsidR="00BD7EEC" w:rsidRPr="00582EF5">
        <w:t>1,1,1-trichloro-2, 2-bis (4-chlorophenyl) ethane</w:t>
      </w:r>
      <w:r w:rsidR="00BD7EEC" w:rsidRPr="002B4D33">
        <w:t xml:space="preserve"> (</w:t>
      </w:r>
      <w:r w:rsidRPr="002B4D33">
        <w:t>DDT</w:t>
      </w:r>
      <w:r w:rsidR="00BD7EEC" w:rsidRPr="002B4D33">
        <w:t>)</w:t>
      </w:r>
      <w:r w:rsidRPr="002B4D33">
        <w:t xml:space="preserve"> halved between 1997 and 2012.</w:t>
      </w:r>
    </w:p>
    <w:p w14:paraId="30E6A36A" w14:textId="5C930BDA" w:rsidR="00E72470" w:rsidRPr="002B4D33" w:rsidRDefault="00E72470" w:rsidP="00B50C2D">
      <w:pPr>
        <w:pStyle w:val="BodyText"/>
      </w:pPr>
      <w:r w:rsidRPr="002B4D33">
        <w:t>New Zealanders’ body burdens of PCDD</w:t>
      </w:r>
      <w:r w:rsidR="00640E3F" w:rsidRPr="002B4D33">
        <w:t xml:space="preserve">s, </w:t>
      </w:r>
      <w:r w:rsidR="00640E3F" w:rsidRPr="00582EF5">
        <w:t>PCD</w:t>
      </w:r>
      <w:r w:rsidRPr="002B4D33">
        <w:t>Fs and PCBs are low by international comparison, while for OCPs they are similar or lower</w:t>
      </w:r>
      <w:r w:rsidR="00640E3F" w:rsidRPr="002B4D33">
        <w:t>,</w:t>
      </w:r>
      <w:r w:rsidRPr="002B4D33">
        <w:t xml:space="preserve"> compared </w:t>
      </w:r>
      <w:r w:rsidR="00640E3F" w:rsidRPr="002B4D33">
        <w:t>with</w:t>
      </w:r>
      <w:r w:rsidRPr="002B4D33">
        <w:t xml:space="preserve"> those reported for other developed countries. National and international action to reduce environmental contamination with PCDD</w:t>
      </w:r>
      <w:r w:rsidR="00640E3F" w:rsidRPr="002B4D33">
        <w:t xml:space="preserve">s, </w:t>
      </w:r>
      <w:r w:rsidR="00640E3F" w:rsidRPr="00582EF5">
        <w:t>PCD</w:t>
      </w:r>
      <w:r w:rsidRPr="002B4D33">
        <w:t xml:space="preserve">Fs, PCBs and OCPs has resulted in a substantial reduction </w:t>
      </w:r>
      <w:r w:rsidR="007E2C8C" w:rsidRPr="002B4D33">
        <w:t xml:space="preserve">of chlorinated POPs </w:t>
      </w:r>
      <w:r w:rsidRPr="002B4D33">
        <w:t xml:space="preserve">in the New Zealand body burdens. </w:t>
      </w:r>
    </w:p>
    <w:p w14:paraId="1B17EE2E" w14:textId="587ADC95" w:rsidR="00E72470" w:rsidRPr="00582EF5" w:rsidRDefault="00E72470" w:rsidP="00B50C2D">
      <w:pPr>
        <w:pStyle w:val="BodyText"/>
      </w:pPr>
      <w:r w:rsidRPr="002B4D33">
        <w:t>Th</w:t>
      </w:r>
      <w:r w:rsidR="00A40BE4" w:rsidRPr="002B4D33">
        <w:t>e</w:t>
      </w:r>
      <w:r w:rsidRPr="002B4D33">
        <w:t xml:space="preserve"> study provided baseline data for serum concentrations of brominated and fluorinated POPs</w:t>
      </w:r>
      <w:r w:rsidR="00A40BE4" w:rsidRPr="002B4D33">
        <w:t>. These</w:t>
      </w:r>
      <w:r w:rsidRPr="002B4D33">
        <w:t xml:space="preserve"> were detected in all samples in an order of magnitude of </w:t>
      </w:r>
      <w:r w:rsidR="00F1644C" w:rsidRPr="002B4D33">
        <w:t>nanogram per gram lipid (</w:t>
      </w:r>
      <w:r w:rsidRPr="002B4D33">
        <w:t>ng/g lipid</w:t>
      </w:r>
      <w:r w:rsidR="00F1644C" w:rsidRPr="002B4D33">
        <w:t>)</w:t>
      </w:r>
      <w:r w:rsidRPr="002B4D33">
        <w:t xml:space="preserve"> and </w:t>
      </w:r>
      <w:r w:rsidR="00F1644C" w:rsidRPr="002B4D33">
        <w:t>nanogram per millilitre serum (</w:t>
      </w:r>
      <w:r w:rsidRPr="002B4D33">
        <w:t>ng/mL</w:t>
      </w:r>
      <w:r w:rsidR="00F1644C" w:rsidRPr="002B4D33">
        <w:t>)</w:t>
      </w:r>
      <w:r w:rsidRPr="002B4D33">
        <w:t xml:space="preserve"> respectively, comparable to, or less than, concentrations reported for other developed </w:t>
      </w:r>
      <w:r w:rsidRPr="00582EF5">
        <w:t xml:space="preserve">countries. </w:t>
      </w:r>
    </w:p>
    <w:p w14:paraId="5DB7C84C" w14:textId="6A959BB3" w:rsidR="00E72470" w:rsidRPr="00582EF5" w:rsidRDefault="00E72470" w:rsidP="00B50C2D">
      <w:pPr>
        <w:pStyle w:val="BodyText"/>
      </w:pPr>
      <w:r w:rsidRPr="00582EF5">
        <w:rPr>
          <w:i/>
        </w:rPr>
        <w:t>Link for full details:</w:t>
      </w:r>
      <w:r w:rsidR="00A40BE4" w:rsidRPr="00582EF5">
        <w:rPr>
          <w:i/>
        </w:rPr>
        <w:t xml:space="preserve"> </w:t>
      </w:r>
      <w:hyperlink r:id="rId139" w:history="1">
        <w:r w:rsidRPr="00582EF5">
          <w:rPr>
            <w:rStyle w:val="Hyperlink"/>
            <w:rFonts w:cs="Arial"/>
          </w:rPr>
          <w:t>http://publichealth.massey.ac.nz/assets/ProjectsPDF/Concentrations-of-Selected-POPs-4-October-2013-FINAL.pdf</w:t>
        </w:r>
      </w:hyperlink>
      <w:r w:rsidR="00BB299A" w:rsidRPr="00582EF5">
        <w:rPr>
          <w:rStyle w:val="Hyperlink"/>
          <w:rFonts w:cs="Arial"/>
        </w:rPr>
        <w:t>.</w:t>
      </w:r>
      <w:r w:rsidRPr="00582EF5">
        <w:t xml:space="preserve"> </w:t>
      </w:r>
    </w:p>
    <w:p w14:paraId="6E8BE659" w14:textId="0883156C" w:rsidR="00E72470" w:rsidRPr="00582EF5" w:rsidRDefault="00A93FB4" w:rsidP="00B50C2D">
      <w:pPr>
        <w:pStyle w:val="Heading3"/>
      </w:pPr>
      <w:r w:rsidRPr="00582EF5">
        <w:t>7.2.2</w:t>
      </w:r>
      <w:r w:rsidRPr="00582EF5">
        <w:tab/>
      </w:r>
      <w:r w:rsidR="00E72470" w:rsidRPr="00582EF5">
        <w:t xml:space="preserve">Concentrations of </w:t>
      </w:r>
      <w:r w:rsidR="00BB299A" w:rsidRPr="00582EF5">
        <w:t>persistent organic pollutants</w:t>
      </w:r>
      <w:r w:rsidR="00E72470" w:rsidRPr="00582EF5">
        <w:t xml:space="preserve"> in the milk of</w:t>
      </w:r>
      <w:r w:rsidR="00623913" w:rsidRPr="00582EF5">
        <w:t> </w:t>
      </w:r>
      <w:r w:rsidR="00E72470" w:rsidRPr="00582EF5">
        <w:t>New Zealand women</w:t>
      </w:r>
    </w:p>
    <w:p w14:paraId="0810CA8A" w14:textId="77777777" w:rsidR="00E72470" w:rsidRPr="00582EF5" w:rsidRDefault="00E72470" w:rsidP="00B50C2D">
      <w:pPr>
        <w:pStyle w:val="Heading4"/>
        <w:spacing w:before="240"/>
      </w:pPr>
      <w:r w:rsidRPr="00582EF5">
        <w:t>Background</w:t>
      </w:r>
    </w:p>
    <w:p w14:paraId="0736BA52" w14:textId="7149AF8B" w:rsidR="00E72470" w:rsidRPr="00582EF5" w:rsidRDefault="00276442" w:rsidP="00B50C2D">
      <w:pPr>
        <w:pStyle w:val="BodyText"/>
      </w:pPr>
      <w:r w:rsidRPr="00582EF5">
        <w:t>MOH</w:t>
      </w:r>
      <w:r w:rsidR="00E72470" w:rsidRPr="00582EF5">
        <w:t xml:space="preserve"> undert</w:t>
      </w:r>
      <w:r w:rsidR="00623913" w:rsidRPr="00582EF5">
        <w:t>ook</w:t>
      </w:r>
      <w:r w:rsidR="00E72470" w:rsidRPr="00582EF5">
        <w:t xml:space="preserve"> three consecutive breast milk surveys in 1988, 1998 and 2008 </w:t>
      </w:r>
      <w:r w:rsidR="00623913" w:rsidRPr="00582EF5">
        <w:t xml:space="preserve">that </w:t>
      </w:r>
      <w:r w:rsidR="00E72470" w:rsidRPr="00582EF5">
        <w:t>aim</w:t>
      </w:r>
      <w:r w:rsidR="00623913" w:rsidRPr="00582EF5">
        <w:t>ed</w:t>
      </w:r>
      <w:r w:rsidR="00E72470" w:rsidRPr="00582EF5">
        <w:t xml:space="preserve"> to</w:t>
      </w:r>
      <w:r w:rsidR="007A070B" w:rsidRPr="00582EF5">
        <w:t> </w:t>
      </w:r>
      <w:r w:rsidR="00E72470" w:rsidRPr="00582EF5">
        <w:t>measure individual breast milk levels of POPs in New Zealand first</w:t>
      </w:r>
      <w:r w:rsidR="00623913" w:rsidRPr="00582EF5">
        <w:t>-</w:t>
      </w:r>
      <w:r w:rsidR="00E72470" w:rsidRPr="00582EF5">
        <w:t>time mothers aged 20</w:t>
      </w:r>
      <w:r w:rsidR="007A070B" w:rsidRPr="00582EF5">
        <w:t> </w:t>
      </w:r>
      <w:r w:rsidR="00E72470" w:rsidRPr="00582EF5">
        <w:t>to</w:t>
      </w:r>
      <w:r w:rsidR="007A070B" w:rsidRPr="00582EF5">
        <w:t> </w:t>
      </w:r>
      <w:r w:rsidR="00E72470" w:rsidRPr="00582EF5">
        <w:t>30</w:t>
      </w:r>
      <w:r w:rsidR="007A070B" w:rsidRPr="00582EF5">
        <w:t> years</w:t>
      </w:r>
      <w:r w:rsidR="00E72470" w:rsidRPr="00582EF5">
        <w:t>.</w:t>
      </w:r>
    </w:p>
    <w:p w14:paraId="59969961" w14:textId="1096B61D" w:rsidR="00E72470" w:rsidRPr="00582EF5" w:rsidRDefault="72C89534" w:rsidP="00B50C2D">
      <w:pPr>
        <w:pStyle w:val="BodyText"/>
      </w:pPr>
      <w:r w:rsidRPr="00582EF5">
        <w:t xml:space="preserve">The last survey (2008) was conducted by </w:t>
      </w:r>
      <w:r w:rsidR="5980006C" w:rsidRPr="00582EF5">
        <w:t>CPHR</w:t>
      </w:r>
      <w:r w:rsidR="512FEBF0" w:rsidRPr="00582EF5">
        <w:t xml:space="preserve"> at Massey University</w:t>
      </w:r>
      <w:r w:rsidRPr="00582EF5">
        <w:t>.</w:t>
      </w:r>
      <w:r w:rsidR="00C20415" w:rsidRPr="00582EF5">
        <w:rPr>
          <w:rStyle w:val="FootnoteReference"/>
        </w:rPr>
        <w:footnoteReference w:id="13"/>
      </w:r>
      <w:r w:rsidRPr="00582EF5">
        <w:t xml:space="preserve"> The survey was designed to provide time trend data for dioxins</w:t>
      </w:r>
      <w:r w:rsidR="5980006C" w:rsidRPr="00582EF5">
        <w:t xml:space="preserve"> and </w:t>
      </w:r>
      <w:r w:rsidRPr="00582EF5">
        <w:t>furans, PCBs and</w:t>
      </w:r>
      <w:r w:rsidR="1466506A" w:rsidRPr="00582EF5">
        <w:t> </w:t>
      </w:r>
      <w:r w:rsidRPr="00582EF5">
        <w:t xml:space="preserve">OCPs and their </w:t>
      </w:r>
      <w:r w:rsidRPr="00582EF5">
        <w:lastRenderedPageBreak/>
        <w:t>metabolites, and provide baseline data for BFRs. The study followed the</w:t>
      </w:r>
      <w:r w:rsidR="1466506A" w:rsidRPr="00582EF5">
        <w:t> </w:t>
      </w:r>
      <w:r w:rsidRPr="00582EF5">
        <w:t>guidelines of the fourth World Health Organization Coordinated Survey of human milk for</w:t>
      </w:r>
      <w:r w:rsidR="1466506A" w:rsidRPr="00582EF5">
        <w:t> </w:t>
      </w:r>
      <w:r w:rsidRPr="00582EF5">
        <w:t>POPs.</w:t>
      </w:r>
      <w:r w:rsidR="00DD640A">
        <w:rPr>
          <w:rStyle w:val="FootnoteReference"/>
        </w:rPr>
        <w:footnoteReference w:id="14"/>
      </w:r>
    </w:p>
    <w:p w14:paraId="018703EC" w14:textId="3B590CFD" w:rsidR="00E72470" w:rsidRPr="00582EF5" w:rsidRDefault="00E72470" w:rsidP="00B50C2D">
      <w:pPr>
        <w:pStyle w:val="BodyText"/>
        <w:rPr>
          <w:szCs w:val="23"/>
        </w:rPr>
      </w:pPr>
      <w:r w:rsidRPr="00582EF5">
        <w:rPr>
          <w:szCs w:val="23"/>
        </w:rPr>
        <w:t>Four study areas were included</w:t>
      </w:r>
      <w:r w:rsidR="007A070B" w:rsidRPr="00582EF5">
        <w:rPr>
          <w:szCs w:val="23"/>
        </w:rPr>
        <w:t>,</w:t>
      </w:r>
      <w:r w:rsidRPr="00582EF5">
        <w:rPr>
          <w:szCs w:val="23"/>
        </w:rPr>
        <w:t xml:space="preserve"> to have representation of urban </w:t>
      </w:r>
      <w:r w:rsidR="007A070B" w:rsidRPr="00582EF5">
        <w:rPr>
          <w:szCs w:val="23"/>
        </w:rPr>
        <w:t>and</w:t>
      </w:r>
      <w:r w:rsidRPr="00582EF5">
        <w:rPr>
          <w:szCs w:val="23"/>
        </w:rPr>
        <w:t xml:space="preserve"> rural areas of both the North </w:t>
      </w:r>
      <w:r w:rsidR="007A070B" w:rsidRPr="00582EF5">
        <w:rPr>
          <w:szCs w:val="23"/>
        </w:rPr>
        <w:t xml:space="preserve">Island </w:t>
      </w:r>
      <w:r w:rsidRPr="00582EF5">
        <w:rPr>
          <w:szCs w:val="23"/>
        </w:rPr>
        <w:t xml:space="preserve">and South Island. </w:t>
      </w:r>
      <w:r w:rsidR="007A070B" w:rsidRPr="00582EF5">
        <w:rPr>
          <w:szCs w:val="23"/>
        </w:rPr>
        <w:t>Thirty-nine</w:t>
      </w:r>
      <w:r w:rsidRPr="00582EF5">
        <w:rPr>
          <w:szCs w:val="23"/>
        </w:rPr>
        <w:t xml:space="preserve"> women aged 20</w:t>
      </w:r>
      <w:r w:rsidR="007A070B" w:rsidRPr="00582EF5">
        <w:rPr>
          <w:szCs w:val="23"/>
        </w:rPr>
        <w:t xml:space="preserve"> to </w:t>
      </w:r>
      <w:r w:rsidRPr="00582EF5">
        <w:rPr>
          <w:szCs w:val="23"/>
        </w:rPr>
        <w:t xml:space="preserve">30 years each provided </w:t>
      </w:r>
      <w:r w:rsidR="00C0164A" w:rsidRPr="00582EF5">
        <w:rPr>
          <w:szCs w:val="23"/>
        </w:rPr>
        <w:t xml:space="preserve">around </w:t>
      </w:r>
      <w:r w:rsidRPr="00582EF5">
        <w:rPr>
          <w:szCs w:val="23"/>
        </w:rPr>
        <w:t>200</w:t>
      </w:r>
      <w:r w:rsidR="009E64E9" w:rsidRPr="00582EF5">
        <w:rPr>
          <w:szCs w:val="23"/>
        </w:rPr>
        <w:t> </w:t>
      </w:r>
      <w:r w:rsidRPr="00582EF5">
        <w:rPr>
          <w:szCs w:val="23"/>
        </w:rPr>
        <w:t>m</w:t>
      </w:r>
      <w:r w:rsidR="00C0164A" w:rsidRPr="00582EF5">
        <w:rPr>
          <w:szCs w:val="23"/>
        </w:rPr>
        <w:t>illimetres</w:t>
      </w:r>
      <w:r w:rsidRPr="00582EF5">
        <w:rPr>
          <w:szCs w:val="23"/>
        </w:rPr>
        <w:t xml:space="preserve"> of hand expressed breast milk and completed a questionnaire. The individual breast milk samples were analysed for 7 dioxins, 10 furans, 45 PCBs, 23 OCPs and metabolites, 36 brominated diphenyl ethers (BDEs) and 4 additional BFRs, including </w:t>
      </w:r>
      <w:proofErr w:type="spellStart"/>
      <w:r w:rsidRPr="00582EF5">
        <w:rPr>
          <w:szCs w:val="23"/>
        </w:rPr>
        <w:t>hexabrominated</w:t>
      </w:r>
      <w:proofErr w:type="spellEnd"/>
      <w:r w:rsidRPr="00582EF5">
        <w:rPr>
          <w:szCs w:val="23"/>
        </w:rPr>
        <w:t xml:space="preserve"> biphenyl, by high-resolution gas chromatography</w:t>
      </w:r>
      <w:r w:rsidR="00B42FAF" w:rsidRPr="00582EF5">
        <w:rPr>
          <w:szCs w:val="23"/>
        </w:rPr>
        <w:t>–</w:t>
      </w:r>
      <w:r w:rsidRPr="00582EF5">
        <w:rPr>
          <w:szCs w:val="23"/>
        </w:rPr>
        <w:t>high-resolution mass spectrometry. Levels were expressed in picogram</w:t>
      </w:r>
      <w:r w:rsidR="00EA2AAA">
        <w:rPr>
          <w:szCs w:val="23"/>
        </w:rPr>
        <w:t>s</w:t>
      </w:r>
      <w:r w:rsidRPr="00582EF5">
        <w:rPr>
          <w:szCs w:val="23"/>
        </w:rPr>
        <w:t xml:space="preserve"> per gram milk lipid. </w:t>
      </w:r>
    </w:p>
    <w:p w14:paraId="1723867E" w14:textId="77777777" w:rsidR="006F6FD7" w:rsidRPr="00582EF5" w:rsidRDefault="006F6FD7" w:rsidP="00B50C2D">
      <w:pPr>
        <w:pStyle w:val="Heading4"/>
      </w:pPr>
      <w:r w:rsidRPr="00582EF5">
        <w:t>Conclusions</w:t>
      </w:r>
    </w:p>
    <w:p w14:paraId="5F882F83" w14:textId="5E0A858B" w:rsidR="00E72470" w:rsidRPr="00582EF5" w:rsidRDefault="00E72470" w:rsidP="00B50C2D">
      <w:pPr>
        <w:pStyle w:val="BodyText"/>
      </w:pPr>
      <w:r w:rsidRPr="00582EF5">
        <w:t>Over the past decade</w:t>
      </w:r>
      <w:r w:rsidR="00B42FAF" w:rsidRPr="00582EF5">
        <w:t>,</w:t>
      </w:r>
      <w:r w:rsidRPr="00582EF5">
        <w:t xml:space="preserve"> the background levels of the three classes of POPs (dioxins</w:t>
      </w:r>
      <w:r w:rsidR="00B42FAF" w:rsidRPr="00582EF5">
        <w:t xml:space="preserve">, </w:t>
      </w:r>
      <w:r w:rsidRPr="00582EF5">
        <w:t>furans, PCBs and OCPs) in breast-feeding women aged 20</w:t>
      </w:r>
      <w:r w:rsidR="00B42FAF" w:rsidRPr="00582EF5">
        <w:t xml:space="preserve"> to </w:t>
      </w:r>
      <w:r w:rsidRPr="00582EF5">
        <w:t xml:space="preserve">30 years have continued to </w:t>
      </w:r>
      <w:r w:rsidR="6CC2AF22">
        <w:t>decline</w:t>
      </w:r>
      <w:r>
        <w:t>.</w:t>
      </w:r>
      <w:r w:rsidRPr="00582EF5">
        <w:t xml:space="preserve"> This survey</w:t>
      </w:r>
      <w:r>
        <w:t xml:space="preserve"> reconfirms that the New Zealand levels of these three classes of POPs in breast milk are low by international standards. </w:t>
      </w:r>
    </w:p>
    <w:p w14:paraId="06939FD1" w14:textId="1302EBCD" w:rsidR="00E72470" w:rsidRPr="00582EF5" w:rsidRDefault="00E72470" w:rsidP="00B50C2D">
      <w:pPr>
        <w:pStyle w:val="BodyText"/>
        <w:rPr>
          <w:sz w:val="20"/>
          <w:szCs w:val="20"/>
        </w:rPr>
      </w:pPr>
      <w:r>
        <w:t>The baseline data for BFRs show</w:t>
      </w:r>
      <w:r w:rsidR="00B42FAF">
        <w:t>s</w:t>
      </w:r>
      <w:r>
        <w:t xml:space="preserve"> that the BDEs most abundantly present in the New Zealand breast milk samples are </w:t>
      </w:r>
      <w:r w:rsidR="518B6147">
        <w:t>like</w:t>
      </w:r>
      <w:r>
        <w:t xml:space="preserve"> those reported for other countries, and that the levels are comparable to or higher than those measured in Europe, while being </w:t>
      </w:r>
      <w:r w:rsidR="766515BF">
        <w:t>lower</w:t>
      </w:r>
      <w:r>
        <w:t xml:space="preserve"> than those reported for the United States </w:t>
      </w:r>
      <w:r w:rsidR="00392646">
        <w:t xml:space="preserve">of America </w:t>
      </w:r>
      <w:r>
        <w:t xml:space="preserve">and Australia. </w:t>
      </w:r>
    </w:p>
    <w:p w14:paraId="49B88DE0" w14:textId="52652ECC" w:rsidR="00E72470" w:rsidRPr="00582EF5" w:rsidRDefault="00E72470" w:rsidP="00B50C2D">
      <w:pPr>
        <w:pStyle w:val="BodyText"/>
        <w:spacing w:after="0"/>
      </w:pPr>
      <w:r w:rsidRPr="00582EF5">
        <w:rPr>
          <w:i/>
        </w:rPr>
        <w:t>Link for full details:</w:t>
      </w:r>
      <w:r w:rsidR="00392646" w:rsidRPr="00582EF5">
        <w:rPr>
          <w:i/>
        </w:rPr>
        <w:t xml:space="preserve"> </w:t>
      </w:r>
      <w:hyperlink r:id="rId140" w:history="1">
        <w:r w:rsidRPr="00582EF5">
          <w:rPr>
            <w:rStyle w:val="Hyperlink"/>
            <w:rFonts w:cs="Arial"/>
          </w:rPr>
          <w:t>http://publichealth.massey.ac.nz/home/research/research-projects/the-investigation-of-breast-milk-for-persistent-organic-pollutants</w:t>
        </w:r>
      </w:hyperlink>
      <w:r w:rsidR="00392646" w:rsidRPr="00582EF5">
        <w:rPr>
          <w:rStyle w:val="Hyperlink"/>
          <w:rFonts w:cs="Arial"/>
        </w:rPr>
        <w:t>.</w:t>
      </w:r>
    </w:p>
    <w:p w14:paraId="4827A2CA" w14:textId="0EC13A61" w:rsidR="00E72470" w:rsidRPr="00582EF5" w:rsidRDefault="00E72470" w:rsidP="00B50C2D">
      <w:pPr>
        <w:pStyle w:val="Heading2"/>
      </w:pPr>
      <w:bookmarkStart w:id="133" w:name="_Toc531102804"/>
      <w:bookmarkStart w:id="134" w:name="_Toc120532256"/>
      <w:r w:rsidRPr="00582EF5">
        <w:t xml:space="preserve">7.3 </w:t>
      </w:r>
      <w:r w:rsidR="00C04A2A" w:rsidRPr="00582EF5">
        <w:tab/>
      </w:r>
      <w:r w:rsidR="00190009" w:rsidRPr="00582EF5">
        <w:t>Persistent organic pollutants</w:t>
      </w:r>
      <w:r w:rsidRPr="00582EF5">
        <w:t xml:space="preserve"> in the </w:t>
      </w:r>
      <w:r w:rsidR="00190009" w:rsidRPr="00582EF5">
        <w:br/>
      </w:r>
      <w:r w:rsidRPr="00582EF5">
        <w:t>New Zealand environment</w:t>
      </w:r>
      <w:bookmarkEnd w:id="133"/>
      <w:bookmarkEnd w:id="134"/>
    </w:p>
    <w:p w14:paraId="339D061C" w14:textId="25E94ECA" w:rsidR="00E72470" w:rsidRPr="00582EF5" w:rsidRDefault="00A93FB4" w:rsidP="00B50C2D">
      <w:pPr>
        <w:pStyle w:val="Heading3"/>
        <w:spacing w:before="240"/>
      </w:pPr>
      <w:r w:rsidRPr="00582EF5">
        <w:t>7.3.1</w:t>
      </w:r>
      <w:r w:rsidRPr="00582EF5">
        <w:tab/>
      </w:r>
      <w:r w:rsidR="00190009" w:rsidRPr="00582EF5">
        <w:t>Persistent organic pollutants</w:t>
      </w:r>
      <w:r w:rsidR="00E72470" w:rsidRPr="00582EF5">
        <w:t xml:space="preserve"> in the food chain</w:t>
      </w:r>
      <w:r w:rsidR="006D7E9D" w:rsidRPr="00582EF5">
        <w:t xml:space="preserve"> </w:t>
      </w:r>
    </w:p>
    <w:p w14:paraId="2A003B23" w14:textId="77777777" w:rsidR="00E72470" w:rsidRPr="00582EF5" w:rsidRDefault="00E72470" w:rsidP="00B50C2D">
      <w:pPr>
        <w:pStyle w:val="Heading4"/>
        <w:spacing w:before="240"/>
      </w:pPr>
      <w:r w:rsidRPr="00582EF5">
        <w:t xml:space="preserve">New Zealand Total Diet Study </w:t>
      </w:r>
    </w:p>
    <w:p w14:paraId="65E974D2" w14:textId="447CAE78" w:rsidR="00E72470" w:rsidRPr="00582EF5" w:rsidRDefault="00884502" w:rsidP="00B50C2D">
      <w:pPr>
        <w:pStyle w:val="BodyText"/>
      </w:pPr>
      <w:r w:rsidRPr="00582EF5">
        <w:t>The Ministry for Primary Industries (</w:t>
      </w:r>
      <w:r w:rsidR="00C573F9" w:rsidRPr="00582EF5">
        <w:t>MPI</w:t>
      </w:r>
      <w:r w:rsidRPr="00582EF5">
        <w:t>)</w:t>
      </w:r>
      <w:r w:rsidR="00E72470" w:rsidRPr="00582EF5">
        <w:t xml:space="preserve"> ha</w:t>
      </w:r>
      <w:r w:rsidR="00FD12B5" w:rsidRPr="00582EF5">
        <w:t>s</w:t>
      </w:r>
      <w:r w:rsidR="00E72470" w:rsidRPr="00582EF5">
        <w:t xml:space="preserve"> undertaken vari</w:t>
      </w:r>
      <w:r w:rsidR="00BD680F" w:rsidRPr="00582EF5">
        <w:t>ous</w:t>
      </w:r>
      <w:r w:rsidR="00E72470" w:rsidRPr="00582EF5">
        <w:t xml:space="preserve"> studies that have included the collection of data on POPs in raw and final foods, some date back as far as 1982. Organochlorine insecticides such as aldrin, chlordane, dieldrin, lindane, endrin, </w:t>
      </w:r>
      <w:r w:rsidR="00BD680F" w:rsidRPr="00582EF5">
        <w:t>hexachlorobenzene (</w:t>
      </w:r>
      <w:r w:rsidR="00E72470" w:rsidRPr="00582EF5">
        <w:t>HCB</w:t>
      </w:r>
      <w:r w:rsidR="00BD680F" w:rsidRPr="00582EF5">
        <w:t>)</w:t>
      </w:r>
      <w:r w:rsidR="00E72470" w:rsidRPr="00582EF5">
        <w:t xml:space="preserve">, alpha and beta </w:t>
      </w:r>
      <w:r w:rsidR="00BD680F" w:rsidRPr="00582EF5">
        <w:t>hexachlorocyclohexane</w:t>
      </w:r>
      <w:r w:rsidR="00E72470" w:rsidRPr="00582EF5">
        <w:t xml:space="preserve">, heptachlor, DDT and endosulfan have all been covered in New Zealand’s </w:t>
      </w:r>
      <w:r w:rsidR="00BD680F" w:rsidRPr="00582EF5">
        <w:t>t</w:t>
      </w:r>
      <w:r w:rsidR="00E72470" w:rsidRPr="00582EF5">
        <w:t xml:space="preserve">otal </w:t>
      </w:r>
      <w:r w:rsidR="00BD680F" w:rsidRPr="00582EF5">
        <w:t>d</w:t>
      </w:r>
      <w:r w:rsidR="00E72470" w:rsidRPr="00582EF5">
        <w:t xml:space="preserve">iet </w:t>
      </w:r>
      <w:r w:rsidR="00BD680F" w:rsidRPr="00582EF5">
        <w:t>s</w:t>
      </w:r>
      <w:r w:rsidR="00E72470" w:rsidRPr="00582EF5">
        <w:t>tudies.</w:t>
      </w:r>
    </w:p>
    <w:p w14:paraId="7B7268B2" w14:textId="4270EA1B" w:rsidR="00E72470" w:rsidRPr="00582EF5" w:rsidRDefault="7C22825C" w:rsidP="00B50C2D">
      <w:pPr>
        <w:pStyle w:val="BodyText"/>
        <w:rPr>
          <w:rFonts w:cs="Calibri"/>
        </w:rPr>
      </w:pPr>
      <w:r>
        <w:t>The New Zealand Total Diet Study (NZTDS) surveys a range of the most commonly foods eaten in a typical diet, to assess New Zealanders' exposure to certain chemicals, such as agricultural compounds, contaminants and nutrients. The study is carried out, on average, every five to seven years.</w:t>
      </w:r>
      <w:r w:rsidR="3E2709C7">
        <w:t xml:space="preserve"> </w:t>
      </w:r>
      <w:r w:rsidR="72C89534" w:rsidRPr="00582EF5">
        <w:rPr>
          <w:rFonts w:cs="Calibri"/>
        </w:rPr>
        <w:t xml:space="preserve">New Zealand Food Safety (a unit of MPI) </w:t>
      </w:r>
      <w:hyperlink r:id="rId141">
        <w:r w:rsidR="72AFFD59" w:rsidRPr="1A06031B">
          <w:rPr>
            <w:rStyle w:val="Hyperlink"/>
            <w:rFonts w:cs="Calibri"/>
          </w:rPr>
          <w:t xml:space="preserve">published results for the most recent </w:t>
        </w:r>
        <w:r w:rsidR="3C6D3D1E" w:rsidRPr="1A06031B">
          <w:rPr>
            <w:rStyle w:val="Hyperlink"/>
            <w:rFonts w:cs="Calibri"/>
          </w:rPr>
          <w:t>s</w:t>
        </w:r>
        <w:r w:rsidR="72AFFD59" w:rsidRPr="1A06031B">
          <w:rPr>
            <w:rStyle w:val="Hyperlink"/>
            <w:rFonts w:cs="Calibri"/>
          </w:rPr>
          <w:t>tudy on 24</w:t>
        </w:r>
        <w:r w:rsidR="3C6D3D1E" w:rsidRPr="1A06031B">
          <w:rPr>
            <w:rStyle w:val="Hyperlink"/>
            <w:rFonts w:cs="Calibri"/>
          </w:rPr>
          <w:t> </w:t>
        </w:r>
        <w:r w:rsidR="72AFFD59" w:rsidRPr="1A06031B">
          <w:rPr>
            <w:rStyle w:val="Hyperlink"/>
            <w:rFonts w:cs="Calibri"/>
          </w:rPr>
          <w:t>May 2018 from 2016 data</w:t>
        </w:r>
      </w:hyperlink>
      <w:r w:rsidR="72AFFD59" w:rsidRPr="1A06031B">
        <w:rPr>
          <w:rFonts w:cs="Calibri"/>
        </w:rPr>
        <w:t>.</w:t>
      </w:r>
      <w:r w:rsidR="72C89534" w:rsidRPr="00582EF5">
        <w:rPr>
          <w:rFonts w:cs="Calibri"/>
        </w:rPr>
        <w:t xml:space="preserve"> The results show the food New Zealanders eat has a high level of safety </w:t>
      </w:r>
      <w:r w:rsidR="42E42727" w:rsidRPr="00582EF5">
        <w:rPr>
          <w:rFonts w:cs="Calibri"/>
        </w:rPr>
        <w:t>regarding</w:t>
      </w:r>
      <w:r w:rsidR="72C89534" w:rsidRPr="00582EF5">
        <w:rPr>
          <w:rFonts w:cs="Calibri"/>
        </w:rPr>
        <w:t xml:space="preserve"> chemical hazards </w:t>
      </w:r>
      <w:r w:rsidR="45D0BF58" w:rsidRPr="00582EF5">
        <w:rPr>
          <w:rFonts w:cs="Calibri"/>
        </w:rPr>
        <w:t xml:space="preserve">that </w:t>
      </w:r>
      <w:r w:rsidR="72C89534" w:rsidRPr="00582EF5">
        <w:rPr>
          <w:rFonts w:cs="Calibri"/>
        </w:rPr>
        <w:t>might be present in the food supply. Exposure to agricultural chemicals and contaminants from food remains low.</w:t>
      </w:r>
    </w:p>
    <w:p w14:paraId="6F277EAE" w14:textId="331BE741" w:rsidR="00E72470" w:rsidRPr="00582EF5" w:rsidRDefault="00E72470" w:rsidP="00B50C2D">
      <w:pPr>
        <w:pStyle w:val="BodyText"/>
      </w:pPr>
      <w:r w:rsidRPr="00582EF5">
        <w:lastRenderedPageBreak/>
        <w:t xml:space="preserve">The 2016 survey tested for aldrin, chlordane, DDT, endrin, heptachlor, HCB and endosulfan. All, except for two, of these POPs were not detected at all during testing. DDT and dieldrin were detected during data collection. Analysis for organochlorine insecticides has been </w:t>
      </w:r>
      <w:r w:rsidR="35C027ED">
        <w:t>a critical component</w:t>
      </w:r>
      <w:r>
        <w:t xml:space="preserve"> for the </w:t>
      </w:r>
      <w:r w:rsidDel="00E72470">
        <w:t>NZTDS</w:t>
      </w:r>
      <w:r>
        <w:t>.</w:t>
      </w:r>
      <w:r w:rsidRPr="00582EF5">
        <w:t xml:space="preserve"> The presence of DDT and dieldrin in the environment, despite being banned in New Zealand, is persistent so residues are still found occasionally in food samples. </w:t>
      </w:r>
    </w:p>
    <w:p w14:paraId="5933C987" w14:textId="6CBF58D8" w:rsidR="00E72470" w:rsidRPr="00582EF5" w:rsidRDefault="00E72470" w:rsidP="00B50C2D">
      <w:pPr>
        <w:pStyle w:val="BodyText"/>
      </w:pPr>
      <w:r w:rsidRPr="00582EF5">
        <w:t>Health</w:t>
      </w:r>
      <w:r w:rsidR="001554F0" w:rsidRPr="00582EF5">
        <w:t>-</w:t>
      </w:r>
      <w:r w:rsidRPr="00582EF5">
        <w:t xml:space="preserve">based guidance values (HBGVs) have been established for both DDT and dieldrin </w:t>
      </w:r>
      <w:r w:rsidR="001554F0" w:rsidRPr="00582EF5">
        <w:t xml:space="preserve">that </w:t>
      </w:r>
      <w:r w:rsidRPr="00582EF5">
        <w:t>enable the dietary exposures to be characterised. The HBGVs are 0.1</w:t>
      </w:r>
      <w:r w:rsidR="005E7C6C" w:rsidRPr="00582EF5">
        <w:t xml:space="preserve"> micrograms per </w:t>
      </w:r>
      <w:r w:rsidRPr="00582EF5">
        <w:t>k</w:t>
      </w:r>
      <w:r w:rsidR="005E7C6C" w:rsidRPr="00582EF5">
        <w:t>ilo</w:t>
      </w:r>
      <w:r w:rsidRPr="00582EF5">
        <w:t>g</w:t>
      </w:r>
      <w:r w:rsidR="005E7C6C" w:rsidRPr="00582EF5">
        <w:t xml:space="preserve">ram body weight per </w:t>
      </w:r>
      <w:r w:rsidRPr="00582EF5">
        <w:t>day for dieldrin and 10</w:t>
      </w:r>
      <w:r w:rsidR="00DB2756" w:rsidRPr="00582EF5">
        <w:t> micrograms per kilogram body weight per day</w:t>
      </w:r>
      <w:r w:rsidRPr="00582EF5">
        <w:t xml:space="preserve"> for DDT.</w:t>
      </w:r>
    </w:p>
    <w:p w14:paraId="32C724AC" w14:textId="77777777" w:rsidR="00E72470" w:rsidRPr="00582EF5" w:rsidRDefault="00E72470" w:rsidP="00B50C2D">
      <w:pPr>
        <w:pStyle w:val="Heading5"/>
      </w:pPr>
      <w:r w:rsidRPr="00582EF5">
        <w:t>DDT</w:t>
      </w:r>
    </w:p>
    <w:p w14:paraId="1CD6B227" w14:textId="26792D60" w:rsidR="00E72470" w:rsidRPr="00E92180" w:rsidRDefault="00E72470" w:rsidP="00B50C2D">
      <w:pPr>
        <w:pStyle w:val="BodyText"/>
        <w:rPr>
          <w:rStyle w:val="BodyTextChar"/>
          <w:rFonts w:cstheme="majorBidi"/>
          <w:iCs/>
          <w:sz w:val="24"/>
        </w:rPr>
      </w:pPr>
      <w:r w:rsidRPr="00582EF5">
        <w:t xml:space="preserve">Dietary exposure to DDT has </w:t>
      </w:r>
      <w:r w:rsidR="009E6CD1" w:rsidRPr="00582EF5">
        <w:t xml:space="preserve">shown </w:t>
      </w:r>
      <w:r w:rsidRPr="00582EF5">
        <w:t>a consistent downward trend over time</w:t>
      </w:r>
      <w:r w:rsidR="009E6CD1" w:rsidRPr="00582EF5">
        <w:t>, and this</w:t>
      </w:r>
      <w:r w:rsidRPr="00582EF5">
        <w:t xml:space="preserve"> </w:t>
      </w:r>
      <w:r w:rsidRPr="00582EF5">
        <w:rPr>
          <w:rStyle w:val="BodyTextChar"/>
        </w:rPr>
        <w:t xml:space="preserve">continued in the 2016 data. The </w:t>
      </w:r>
      <w:r w:rsidR="009E6CD1" w:rsidRPr="00582EF5">
        <w:rPr>
          <w:rStyle w:val="BodyTextChar"/>
        </w:rPr>
        <w:t xml:space="preserve">ongoing </w:t>
      </w:r>
      <w:r w:rsidRPr="00582EF5">
        <w:rPr>
          <w:rStyle w:val="BodyTextChar"/>
        </w:rPr>
        <w:t xml:space="preserve">trend </w:t>
      </w:r>
      <w:r w:rsidR="009E6CD1" w:rsidRPr="00582EF5">
        <w:rPr>
          <w:rStyle w:val="BodyTextChar"/>
        </w:rPr>
        <w:t xml:space="preserve">in </w:t>
      </w:r>
      <w:r w:rsidRPr="00582EF5">
        <w:rPr>
          <w:rStyle w:val="BodyTextChar"/>
        </w:rPr>
        <w:t xml:space="preserve">the decrease in DDT exposure suggests any dietary risk will </w:t>
      </w:r>
      <w:r w:rsidR="00E96B61" w:rsidRPr="00582EF5">
        <w:rPr>
          <w:rStyle w:val="BodyTextChar"/>
        </w:rPr>
        <w:t xml:space="preserve">also </w:t>
      </w:r>
      <w:r w:rsidRPr="00582EF5">
        <w:rPr>
          <w:rStyle w:val="BodyTextChar"/>
        </w:rPr>
        <w:t>continue to decrease as the compounds in the environment gradually degrade. The dietary exposure for 19</w:t>
      </w:r>
      <w:r w:rsidR="00E96B61" w:rsidRPr="00582EF5">
        <w:rPr>
          <w:rStyle w:val="BodyTextChar"/>
        </w:rPr>
        <w:t xml:space="preserve">- to </w:t>
      </w:r>
      <w:r w:rsidRPr="00582EF5">
        <w:rPr>
          <w:rStyle w:val="BodyTextChar"/>
        </w:rPr>
        <w:t>24</w:t>
      </w:r>
      <w:r w:rsidR="00E96B61" w:rsidRPr="00582EF5">
        <w:rPr>
          <w:rStyle w:val="BodyTextChar"/>
        </w:rPr>
        <w:t>-</w:t>
      </w:r>
      <w:r w:rsidRPr="00582EF5">
        <w:rPr>
          <w:rStyle w:val="BodyTextChar"/>
        </w:rPr>
        <w:t>year</w:t>
      </w:r>
      <w:r w:rsidR="00E96B61" w:rsidRPr="00582EF5">
        <w:rPr>
          <w:rStyle w:val="BodyTextChar"/>
        </w:rPr>
        <w:t>-</w:t>
      </w:r>
      <w:r w:rsidRPr="00582EF5">
        <w:rPr>
          <w:rStyle w:val="BodyTextChar"/>
        </w:rPr>
        <w:t>old males has decreased from 0.38</w:t>
      </w:r>
      <w:r w:rsidR="00E96B61" w:rsidRPr="00582EF5">
        <w:rPr>
          <w:rStyle w:val="BodyTextChar"/>
        </w:rPr>
        <w:t> </w:t>
      </w:r>
      <w:r w:rsidRPr="00582EF5">
        <w:rPr>
          <w:rStyle w:val="BodyTextChar"/>
        </w:rPr>
        <w:t>m</w:t>
      </w:r>
      <w:r w:rsidR="00E96B61" w:rsidRPr="00582EF5">
        <w:rPr>
          <w:rStyle w:val="BodyTextChar"/>
        </w:rPr>
        <w:t>illi</w:t>
      </w:r>
      <w:r w:rsidRPr="00582EF5">
        <w:rPr>
          <w:rStyle w:val="BodyTextChar"/>
        </w:rPr>
        <w:t>g</w:t>
      </w:r>
      <w:r w:rsidR="00E96B61" w:rsidRPr="00582EF5">
        <w:rPr>
          <w:rStyle w:val="BodyTextChar"/>
        </w:rPr>
        <w:t xml:space="preserve">rams per </w:t>
      </w:r>
      <w:r w:rsidRPr="00582EF5">
        <w:rPr>
          <w:rStyle w:val="BodyTextChar"/>
        </w:rPr>
        <w:t>k</w:t>
      </w:r>
      <w:r w:rsidR="00E96B61" w:rsidRPr="00582EF5">
        <w:rPr>
          <w:rStyle w:val="BodyTextChar"/>
        </w:rPr>
        <w:t>ilogram</w:t>
      </w:r>
      <w:r w:rsidRPr="00582EF5">
        <w:rPr>
          <w:rStyle w:val="BodyTextChar"/>
        </w:rPr>
        <w:t xml:space="preserve"> b</w:t>
      </w:r>
      <w:r w:rsidR="00E96B61" w:rsidRPr="00582EF5">
        <w:rPr>
          <w:rStyle w:val="BodyTextChar"/>
        </w:rPr>
        <w:t xml:space="preserve">ody </w:t>
      </w:r>
      <w:r w:rsidRPr="00582EF5">
        <w:rPr>
          <w:rStyle w:val="BodyTextChar"/>
        </w:rPr>
        <w:t>w</w:t>
      </w:r>
      <w:r w:rsidR="00E96B61" w:rsidRPr="00582EF5">
        <w:rPr>
          <w:rStyle w:val="BodyTextChar"/>
        </w:rPr>
        <w:t xml:space="preserve">eight per </w:t>
      </w:r>
      <w:r w:rsidRPr="00582EF5">
        <w:rPr>
          <w:rStyle w:val="BodyTextChar"/>
        </w:rPr>
        <w:t>day in 1974/75 to 0.008</w:t>
      </w:r>
      <w:r w:rsidR="00E96B61" w:rsidRPr="00582EF5">
        <w:rPr>
          <w:rStyle w:val="BodyTextChar"/>
        </w:rPr>
        <w:t> </w:t>
      </w:r>
      <w:r w:rsidRPr="00582EF5">
        <w:rPr>
          <w:rStyle w:val="BodyTextChar"/>
        </w:rPr>
        <w:t>m</w:t>
      </w:r>
      <w:r w:rsidR="00E96B61" w:rsidRPr="00582EF5">
        <w:rPr>
          <w:rStyle w:val="BodyTextChar"/>
        </w:rPr>
        <w:t xml:space="preserve">illigrams per </w:t>
      </w:r>
      <w:r w:rsidRPr="00582EF5">
        <w:rPr>
          <w:rStyle w:val="BodyTextChar"/>
        </w:rPr>
        <w:t>k</w:t>
      </w:r>
      <w:r w:rsidR="00E96B61" w:rsidRPr="00582EF5">
        <w:rPr>
          <w:rStyle w:val="BodyTextChar"/>
        </w:rPr>
        <w:t xml:space="preserve">ilogram </w:t>
      </w:r>
      <w:r w:rsidRPr="00582EF5">
        <w:rPr>
          <w:rStyle w:val="BodyTextChar"/>
        </w:rPr>
        <w:t>b</w:t>
      </w:r>
      <w:r w:rsidR="00E96B61" w:rsidRPr="00582EF5">
        <w:rPr>
          <w:rStyle w:val="BodyTextChar"/>
        </w:rPr>
        <w:t xml:space="preserve">ody </w:t>
      </w:r>
      <w:r w:rsidRPr="00582EF5">
        <w:rPr>
          <w:rStyle w:val="BodyTextChar"/>
        </w:rPr>
        <w:t>w</w:t>
      </w:r>
      <w:r w:rsidR="00E96B61" w:rsidRPr="00582EF5">
        <w:rPr>
          <w:rStyle w:val="BodyTextChar"/>
        </w:rPr>
        <w:t xml:space="preserve">eight per </w:t>
      </w:r>
      <w:r w:rsidRPr="00582EF5">
        <w:rPr>
          <w:rStyle w:val="BodyTextChar"/>
        </w:rPr>
        <w:t xml:space="preserve">day in 2016. Testing showed that only three </w:t>
      </w:r>
      <w:r w:rsidR="001231C5" w:rsidRPr="00582EF5">
        <w:rPr>
          <w:rStyle w:val="BodyTextChar"/>
        </w:rPr>
        <w:t xml:space="preserve">samples </w:t>
      </w:r>
      <w:r w:rsidRPr="00582EF5">
        <w:rPr>
          <w:rStyle w:val="BodyTextChar"/>
        </w:rPr>
        <w:t xml:space="preserve">contained </w:t>
      </w:r>
      <w:r w:rsidR="001231C5" w:rsidRPr="00582EF5">
        <w:rPr>
          <w:rStyle w:val="BodyTextChar"/>
        </w:rPr>
        <w:t>D</w:t>
      </w:r>
      <w:r w:rsidR="00EA2AAA">
        <w:rPr>
          <w:rStyle w:val="BodyTextChar"/>
        </w:rPr>
        <w:t>D</w:t>
      </w:r>
      <w:r w:rsidR="001231C5" w:rsidRPr="00582EF5">
        <w:rPr>
          <w:rStyle w:val="BodyTextChar"/>
        </w:rPr>
        <w:t xml:space="preserve">T </w:t>
      </w:r>
      <w:r w:rsidRPr="00582EF5">
        <w:rPr>
          <w:rStyle w:val="BodyTextChar"/>
        </w:rPr>
        <w:t>residue</w:t>
      </w:r>
      <w:r w:rsidR="00560996" w:rsidRPr="00582EF5">
        <w:rPr>
          <w:rStyle w:val="BodyTextChar"/>
        </w:rPr>
        <w:t xml:space="preserve"> (</w:t>
      </w:r>
      <w:r w:rsidR="001231C5" w:rsidRPr="00582EF5">
        <w:rPr>
          <w:rStyle w:val="BodyTextChar"/>
        </w:rPr>
        <w:t>t</w:t>
      </w:r>
      <w:r w:rsidR="00560996" w:rsidRPr="00582EF5">
        <w:rPr>
          <w:rStyle w:val="BodyTextChar"/>
        </w:rPr>
        <w:t>able 2</w:t>
      </w:r>
      <w:r w:rsidR="00E92180">
        <w:rPr>
          <w:rStyle w:val="BodyTextChar"/>
        </w:rPr>
        <w:t>9</w:t>
      </w:r>
      <w:r w:rsidR="00560996" w:rsidRPr="00582EF5">
        <w:rPr>
          <w:rStyle w:val="BodyTextChar"/>
        </w:rPr>
        <w:t>).</w:t>
      </w:r>
    </w:p>
    <w:p w14:paraId="6ADE9E14" w14:textId="44A709AF" w:rsidR="008F5AA9" w:rsidRPr="00582EF5" w:rsidRDefault="008F5AA9" w:rsidP="00B50C2D">
      <w:pPr>
        <w:pStyle w:val="Tableheading"/>
        <w:rPr>
          <w:rStyle w:val="BodyTextChar"/>
          <w:b w:val="0"/>
          <w:sz w:val="22"/>
        </w:rPr>
      </w:pPr>
      <w:bookmarkStart w:id="135" w:name="_Toc120532294"/>
      <w:r w:rsidRPr="00582EF5">
        <w:t xml:space="preserve">Table </w:t>
      </w:r>
      <w:r w:rsidR="4FB6991F">
        <w:t>2</w:t>
      </w:r>
      <w:r w:rsidR="6C2DCB7D">
        <w:t>9</w:t>
      </w:r>
      <w:r w:rsidRPr="00582EF5">
        <w:t xml:space="preserve">: </w:t>
      </w:r>
      <w:r w:rsidR="00C04A2A" w:rsidRPr="00582EF5">
        <w:tab/>
      </w:r>
      <w:r w:rsidRPr="00582EF5">
        <w:t xml:space="preserve">DDT contained residue in samples </w:t>
      </w:r>
      <w:r w:rsidR="000275BF" w:rsidRPr="00582EF5">
        <w:t>(milligrams per kilogram)</w:t>
      </w:r>
      <w:bookmarkEnd w:id="135"/>
    </w:p>
    <w:tbl>
      <w:tblPr>
        <w:tblW w:w="0" w:type="auto"/>
        <w:tblBorders>
          <w:top w:val="single" w:sz="4" w:space="0" w:color="1C556C"/>
          <w:bottom w:val="single" w:sz="4" w:space="0" w:color="1C556C"/>
          <w:insideH w:val="single" w:sz="4" w:space="0" w:color="1C556C"/>
          <w:insideV w:val="single" w:sz="4" w:space="0" w:color="1C556C"/>
        </w:tblBorders>
        <w:tblLook w:val="04A0" w:firstRow="1" w:lastRow="0" w:firstColumn="1" w:lastColumn="0" w:noHBand="0" w:noVBand="1"/>
      </w:tblPr>
      <w:tblGrid>
        <w:gridCol w:w="1985"/>
        <w:gridCol w:w="1979"/>
      </w:tblGrid>
      <w:tr w:rsidR="00C04A2A" w:rsidRPr="00582EF5" w14:paraId="48038357" w14:textId="77777777" w:rsidTr="00C04A2A">
        <w:tc>
          <w:tcPr>
            <w:tcW w:w="1985" w:type="dxa"/>
            <w:shd w:val="clear" w:color="auto" w:fill="1C556C"/>
          </w:tcPr>
          <w:p w14:paraId="737D4992" w14:textId="77777777" w:rsidR="00E72470" w:rsidRPr="00582EF5" w:rsidRDefault="00E72470" w:rsidP="00B50C2D">
            <w:pPr>
              <w:pStyle w:val="TableTextbold"/>
              <w:rPr>
                <w:color w:val="FFFFFF" w:themeColor="background1"/>
              </w:rPr>
            </w:pPr>
            <w:r w:rsidRPr="00582EF5">
              <w:rPr>
                <w:color w:val="FFFFFF" w:themeColor="background1"/>
              </w:rPr>
              <w:t>Sample</w:t>
            </w:r>
          </w:p>
        </w:tc>
        <w:tc>
          <w:tcPr>
            <w:tcW w:w="1979" w:type="dxa"/>
            <w:shd w:val="clear" w:color="auto" w:fill="1C556C"/>
          </w:tcPr>
          <w:p w14:paraId="287C6A37" w14:textId="77777777" w:rsidR="00E72470" w:rsidRPr="00582EF5" w:rsidRDefault="00E72470" w:rsidP="00B50C2D">
            <w:pPr>
              <w:pStyle w:val="TableTextbold"/>
              <w:rPr>
                <w:color w:val="FFFFFF" w:themeColor="background1"/>
              </w:rPr>
            </w:pPr>
            <w:r w:rsidRPr="00582EF5">
              <w:rPr>
                <w:color w:val="FFFFFF" w:themeColor="background1"/>
              </w:rPr>
              <w:t>Mean (mg/kg)</w:t>
            </w:r>
          </w:p>
        </w:tc>
      </w:tr>
      <w:tr w:rsidR="00E72470" w:rsidRPr="00582EF5" w14:paraId="51134FDF" w14:textId="77777777" w:rsidTr="00C04A2A">
        <w:tc>
          <w:tcPr>
            <w:tcW w:w="1985" w:type="dxa"/>
          </w:tcPr>
          <w:p w14:paraId="49D285C2" w14:textId="7CC33C3E" w:rsidR="00E72470" w:rsidRPr="00582EF5" w:rsidRDefault="00E72470" w:rsidP="00B50C2D">
            <w:pPr>
              <w:pStyle w:val="TableText"/>
            </w:pPr>
            <w:r w:rsidRPr="00582EF5">
              <w:t xml:space="preserve">Beef, </w:t>
            </w:r>
            <w:r w:rsidR="000B3A43" w:rsidRPr="00582EF5">
              <w:t>m</w:t>
            </w:r>
            <w:r w:rsidRPr="00582EF5">
              <w:t xml:space="preserve">ince </w:t>
            </w:r>
          </w:p>
        </w:tc>
        <w:tc>
          <w:tcPr>
            <w:tcW w:w="1979" w:type="dxa"/>
          </w:tcPr>
          <w:p w14:paraId="2C62458F" w14:textId="77777777" w:rsidR="00E72470" w:rsidRPr="00582EF5" w:rsidRDefault="00E72470" w:rsidP="00B50C2D">
            <w:pPr>
              <w:pStyle w:val="TableText"/>
            </w:pPr>
            <w:r w:rsidRPr="00582EF5">
              <w:t>0.002</w:t>
            </w:r>
          </w:p>
        </w:tc>
      </w:tr>
      <w:tr w:rsidR="00E72470" w:rsidRPr="00582EF5" w14:paraId="26F07F91" w14:textId="77777777" w:rsidTr="00C04A2A">
        <w:tc>
          <w:tcPr>
            <w:tcW w:w="1985" w:type="dxa"/>
          </w:tcPr>
          <w:p w14:paraId="6CEBFE71" w14:textId="77777777" w:rsidR="00E72470" w:rsidRPr="00582EF5" w:rsidRDefault="00E72470" w:rsidP="00B50C2D">
            <w:pPr>
              <w:pStyle w:val="TableText"/>
            </w:pPr>
            <w:r w:rsidRPr="00582EF5">
              <w:t xml:space="preserve">Butter </w:t>
            </w:r>
          </w:p>
        </w:tc>
        <w:tc>
          <w:tcPr>
            <w:tcW w:w="1979" w:type="dxa"/>
          </w:tcPr>
          <w:p w14:paraId="348D2C7D" w14:textId="77777777" w:rsidR="00E72470" w:rsidRPr="00582EF5" w:rsidRDefault="00E72470" w:rsidP="00B50C2D">
            <w:pPr>
              <w:pStyle w:val="TableText"/>
            </w:pPr>
            <w:r w:rsidRPr="00582EF5">
              <w:t>0.003</w:t>
            </w:r>
          </w:p>
        </w:tc>
      </w:tr>
      <w:tr w:rsidR="00E72470" w:rsidRPr="00582EF5" w14:paraId="37C02213" w14:textId="77777777" w:rsidTr="00C04A2A">
        <w:tc>
          <w:tcPr>
            <w:tcW w:w="1985" w:type="dxa"/>
          </w:tcPr>
          <w:p w14:paraId="735AB471" w14:textId="1A475830" w:rsidR="00E72470" w:rsidRPr="00582EF5" w:rsidRDefault="00E72470" w:rsidP="00B50C2D">
            <w:pPr>
              <w:pStyle w:val="TableText"/>
            </w:pPr>
            <w:r w:rsidRPr="00582EF5">
              <w:t>Lamb</w:t>
            </w:r>
            <w:r w:rsidR="000B3A43" w:rsidRPr="00582EF5">
              <w:t xml:space="preserve"> – m</w:t>
            </w:r>
            <w:r w:rsidRPr="00582EF5">
              <w:t>utton</w:t>
            </w:r>
          </w:p>
        </w:tc>
        <w:tc>
          <w:tcPr>
            <w:tcW w:w="1979" w:type="dxa"/>
          </w:tcPr>
          <w:p w14:paraId="79C939ED" w14:textId="77777777" w:rsidR="00E72470" w:rsidRPr="00582EF5" w:rsidRDefault="00E72470" w:rsidP="00B50C2D">
            <w:pPr>
              <w:pStyle w:val="TableText"/>
            </w:pPr>
            <w:r w:rsidRPr="00582EF5">
              <w:t>0.003</w:t>
            </w:r>
          </w:p>
        </w:tc>
      </w:tr>
    </w:tbl>
    <w:p w14:paraId="1B091817" w14:textId="561E3FFC" w:rsidR="001231C5" w:rsidRPr="00582EF5" w:rsidRDefault="001231C5" w:rsidP="00B50C2D">
      <w:pPr>
        <w:pStyle w:val="Source"/>
      </w:pPr>
      <w:r w:rsidRPr="00582EF5">
        <w:t>Source: Ministry for Primary Industries</w:t>
      </w:r>
      <w:r w:rsidR="001207A0" w:rsidRPr="00582EF5">
        <w:t>,</w:t>
      </w:r>
      <w:r w:rsidRPr="00582EF5">
        <w:t xml:space="preserve"> 2018</w:t>
      </w:r>
      <w:r w:rsidR="006C07E4" w:rsidRPr="00582EF5">
        <w:t>b</w:t>
      </w:r>
    </w:p>
    <w:p w14:paraId="09818628" w14:textId="137F9000" w:rsidR="72C89534" w:rsidRDefault="323BE472" w:rsidP="00B50C2D">
      <w:pPr>
        <w:pStyle w:val="BodyText"/>
        <w:spacing w:before="240"/>
      </w:pPr>
      <w:r>
        <w:t xml:space="preserve">The DDT detections are all within animal products, and this is consistent with the pattern of occurrence observed in the 2009 NZTDS and previous NZTDSs. The detections likely represent the accumulation in fatty animal tissues of DDT that </w:t>
      </w:r>
      <w:proofErr w:type="gramStart"/>
      <w:r>
        <w:t>still persist</w:t>
      </w:r>
      <w:proofErr w:type="gramEnd"/>
      <w:r>
        <w:t xml:space="preserve"> in New Zealand soils decades after its use </w:t>
      </w:r>
      <w:r w:rsidR="73EBE28E">
        <w:t>were</w:t>
      </w:r>
      <w:r>
        <w:t xml:space="preserve"> banned.</w:t>
      </w:r>
    </w:p>
    <w:p w14:paraId="4FFFDDA9" w14:textId="77777777" w:rsidR="00E72470" w:rsidRPr="00582EF5" w:rsidRDefault="00E72470" w:rsidP="00B50C2D">
      <w:pPr>
        <w:pStyle w:val="Heading5"/>
      </w:pPr>
      <w:r w:rsidRPr="00582EF5">
        <w:t xml:space="preserve">Dieldrin </w:t>
      </w:r>
    </w:p>
    <w:p w14:paraId="25E77736" w14:textId="0BD2D12A" w:rsidR="00E72470" w:rsidRPr="00582EF5" w:rsidRDefault="72C89534" w:rsidP="00B50C2D">
      <w:pPr>
        <w:pStyle w:val="BodyText"/>
      </w:pPr>
      <w:r>
        <w:t>Dieldrin was detected in one sample each of courgettes and pumpkins. A consistent pattern of</w:t>
      </w:r>
      <w:r w:rsidR="1466506A">
        <w:t> </w:t>
      </w:r>
      <w:r>
        <w:t xml:space="preserve">dieldrin in cucurbit crops was also reported in previous NZTDSs. </w:t>
      </w:r>
      <w:r w:rsidR="1995A805">
        <w:t>T</w:t>
      </w:r>
      <w:r>
        <w:t>he result of 0.04</w:t>
      </w:r>
      <w:r w:rsidR="1466506A">
        <w:t> </w:t>
      </w:r>
      <w:r w:rsidR="1995A805">
        <w:t>mill</w:t>
      </w:r>
      <w:r w:rsidR="5C504EE5">
        <w:t>i</w:t>
      </w:r>
      <w:r w:rsidR="1995A805">
        <w:t>grams per kilogram</w:t>
      </w:r>
      <w:r>
        <w:t xml:space="preserve"> in the pumpkin sample</w:t>
      </w:r>
      <w:r w:rsidR="7F4C6CA1">
        <w:t>, however,</w:t>
      </w:r>
      <w:r>
        <w:t xml:space="preserve"> is higher than in 2009 or 2003/04. Estimated dietary exposure to dieldrin increased in 2016</w:t>
      </w:r>
      <w:r w:rsidR="7F4C6CA1">
        <w:t>,</w:t>
      </w:r>
      <w:r>
        <w:t xml:space="preserve"> compared with the 2009 NZDTS. For infants, the estimated dietary exposure was 32 times higher in 2016 than in 2009. </w:t>
      </w:r>
      <w:r w:rsidR="2C45390F" w:rsidRPr="00B50C2D">
        <w:t xml:space="preserve">However, the single result in one pumpkin accounts for most of the exposure and is the reason for the </w:t>
      </w:r>
      <w:r w:rsidR="767D91DE">
        <w:t>significant</w:t>
      </w:r>
      <w:r w:rsidR="2C45390F">
        <w:t xml:space="preserve"> increase</w:t>
      </w:r>
      <w:r w:rsidR="2C45390F" w:rsidRPr="00B50C2D">
        <w:t xml:space="preserve"> in dietary dieldrin exposure since the previous NZTDS</w:t>
      </w:r>
      <w:r w:rsidR="2C45390F" w:rsidRPr="703AEB20">
        <w:rPr>
          <w:rFonts w:ascii="Tahoma" w:eastAsia="Tahoma" w:hAnsi="Tahoma" w:cs="Tahoma"/>
          <w:color w:val="000000" w:themeColor="text1"/>
          <w:sz w:val="18"/>
          <w:szCs w:val="18"/>
          <w:lang w:val="en-US"/>
        </w:rPr>
        <w:t>.</w:t>
      </w:r>
    </w:p>
    <w:p w14:paraId="77320E8F" w14:textId="0AEB7484" w:rsidR="00E72470" w:rsidRPr="00582EF5" w:rsidRDefault="00E72470" w:rsidP="00B50C2D">
      <w:pPr>
        <w:pStyle w:val="BodyText"/>
      </w:pPr>
      <w:r w:rsidRPr="00582EF5">
        <w:rPr>
          <w:i/>
        </w:rPr>
        <w:t>Link for full details</w:t>
      </w:r>
      <w:r w:rsidR="005D5D7A" w:rsidRPr="00582EF5">
        <w:rPr>
          <w:i/>
        </w:rPr>
        <w:t xml:space="preserve">: </w:t>
      </w:r>
      <w:hyperlink r:id="rId142" w:history="1">
        <w:r w:rsidR="006A6385" w:rsidRPr="00582EF5">
          <w:rPr>
            <w:rStyle w:val="Hyperlink"/>
          </w:rPr>
          <w:t>www.mpi.govt.nz/food-safety/food-monitoring-and-surveillance/new-zealand-total-diet-study</w:t>
        </w:r>
      </w:hyperlink>
      <w:r w:rsidR="005D5D7A" w:rsidRPr="00582EF5">
        <w:t>.</w:t>
      </w:r>
    </w:p>
    <w:p w14:paraId="679EBC45" w14:textId="1975AD40" w:rsidR="006A6385" w:rsidRPr="00582EF5" w:rsidRDefault="009F77C4" w:rsidP="00B50C2D">
      <w:pPr>
        <w:pStyle w:val="Heading5"/>
      </w:pPr>
      <w:r w:rsidRPr="00582EF5">
        <w:lastRenderedPageBreak/>
        <w:t>Per- and poly-fluoroalkyl substances</w:t>
      </w:r>
      <w:r w:rsidRPr="00582EF5" w:rsidDel="009F77C4">
        <w:t xml:space="preserve"> </w:t>
      </w:r>
      <w:r w:rsidR="006A6385" w:rsidRPr="00582EF5">
        <w:t>survey</w:t>
      </w:r>
    </w:p>
    <w:p w14:paraId="375635E9" w14:textId="2B115EE5" w:rsidR="006A6385" w:rsidRPr="00582EF5" w:rsidRDefault="44F25F94" w:rsidP="00B50C2D">
      <w:pPr>
        <w:pStyle w:val="BodyText"/>
      </w:pPr>
      <w:r w:rsidRPr="00582EF5">
        <w:t>As a follow</w:t>
      </w:r>
      <w:r w:rsidR="7C3ED15E" w:rsidRPr="00582EF5">
        <w:t>-</w:t>
      </w:r>
      <w:r w:rsidRPr="00582EF5">
        <w:t xml:space="preserve">on activity to the 2016 NZTDS, </w:t>
      </w:r>
      <w:r w:rsidR="7C3ED15E" w:rsidRPr="00582EF5">
        <w:t xml:space="preserve">12 </w:t>
      </w:r>
      <w:r w:rsidRPr="00582EF5">
        <w:t xml:space="preserve">food groups (96 samples) were analysed for 29 </w:t>
      </w:r>
      <w:r w:rsidR="038BA79D" w:rsidRPr="00582EF5">
        <w:t>per- and poly-fluoroalkyl substances (</w:t>
      </w:r>
      <w:r w:rsidR="444FF986" w:rsidRPr="00582EF5">
        <w:t>PFAS</w:t>
      </w:r>
      <w:r w:rsidR="038BA79D" w:rsidRPr="00582EF5">
        <w:t>)</w:t>
      </w:r>
      <w:r w:rsidRPr="00582EF5">
        <w:t>.</w:t>
      </w:r>
      <w:r w:rsidR="003339F0" w:rsidRPr="00582EF5">
        <w:rPr>
          <w:rStyle w:val="FootnoteReference"/>
        </w:rPr>
        <w:footnoteReference w:id="15"/>
      </w:r>
      <w:r w:rsidRPr="00582EF5">
        <w:t xml:space="preserve"> No detections were reported for </w:t>
      </w:r>
      <w:proofErr w:type="spellStart"/>
      <w:r w:rsidR="7129D0E2" w:rsidRPr="00582EF5">
        <w:t>perfluorooctane</w:t>
      </w:r>
      <w:proofErr w:type="spellEnd"/>
      <w:r w:rsidR="7129D0E2" w:rsidRPr="00582EF5">
        <w:t xml:space="preserve"> sulfonic acid (</w:t>
      </w:r>
      <w:r w:rsidRPr="00582EF5">
        <w:t>PFOS</w:t>
      </w:r>
      <w:r w:rsidR="7129D0E2" w:rsidRPr="00582EF5">
        <w:t>)</w:t>
      </w:r>
      <w:r w:rsidRPr="00582EF5">
        <w:t xml:space="preserve"> or </w:t>
      </w:r>
      <w:r w:rsidR="7129D0E2" w:rsidRPr="00582EF5">
        <w:t>perfluorooctanoic acid (</w:t>
      </w:r>
      <w:r w:rsidRPr="00582EF5">
        <w:t>PFOA</w:t>
      </w:r>
      <w:r w:rsidR="7129D0E2" w:rsidRPr="00582EF5">
        <w:t>)</w:t>
      </w:r>
      <w:r w:rsidRPr="00582EF5">
        <w:t xml:space="preserve"> in any of the </w:t>
      </w:r>
      <w:r w:rsidR="1C383AC0" w:rsidRPr="00582EF5">
        <w:t xml:space="preserve">foods </w:t>
      </w:r>
      <w:r w:rsidRPr="00582EF5">
        <w:t>analysed. Only a single detection of any PFAS compound (</w:t>
      </w:r>
      <w:proofErr w:type="spellStart"/>
      <w:r w:rsidR="1C383AC0" w:rsidRPr="00582EF5">
        <w:t>p</w:t>
      </w:r>
      <w:r w:rsidRPr="00582EF5">
        <w:t>erfluorohexanoic</w:t>
      </w:r>
      <w:proofErr w:type="spellEnd"/>
      <w:r w:rsidRPr="00582EF5">
        <w:t xml:space="preserve"> acid) was reported in the analysed foods samples. Exposure estimates for PFOS and PFOA, assuming presence up to the analytical limit of quantification, fell below the Australian and New Zealand health</w:t>
      </w:r>
      <w:r w:rsidR="1C383AC0" w:rsidRPr="00582EF5">
        <w:t>-</w:t>
      </w:r>
      <w:r w:rsidRPr="00582EF5">
        <w:t>based guidance values.</w:t>
      </w:r>
    </w:p>
    <w:p w14:paraId="33DE292E" w14:textId="3BAD8A5A" w:rsidR="006A6385" w:rsidRPr="00582EF5" w:rsidRDefault="006A6385" w:rsidP="00B50C2D">
      <w:pPr>
        <w:pStyle w:val="BodyText"/>
        <w:spacing w:after="0"/>
        <w:rPr>
          <w:rFonts w:ascii="Arial" w:hAnsi="Arial" w:cs="Arial"/>
        </w:rPr>
      </w:pPr>
      <w:r w:rsidRPr="00582EF5">
        <w:rPr>
          <w:i/>
        </w:rPr>
        <w:t>Link for full details</w:t>
      </w:r>
      <w:r w:rsidR="00C2287C" w:rsidRPr="00582EF5">
        <w:rPr>
          <w:i/>
        </w:rPr>
        <w:t xml:space="preserve">: </w:t>
      </w:r>
      <w:hyperlink r:id="rId143" w:history="1">
        <w:r w:rsidRPr="00582EF5">
          <w:rPr>
            <w:rStyle w:val="Hyperlink"/>
            <w:rFonts w:cs="Arial"/>
          </w:rPr>
          <w:t>www.mpi.govt.nz/dmsdocument/31077-per-and-poly-fluorinated-alkyl-substances-pfas-in-selected-new-zealand-foods-survey-report</w:t>
        </w:r>
      </w:hyperlink>
      <w:r w:rsidR="00C2581F" w:rsidRPr="00582EF5">
        <w:t>.</w:t>
      </w:r>
    </w:p>
    <w:p w14:paraId="56657D68" w14:textId="24BC1DD4" w:rsidR="00E72470" w:rsidRPr="00582EF5" w:rsidRDefault="00C573F9" w:rsidP="00B50C2D">
      <w:pPr>
        <w:pStyle w:val="Heading4"/>
      </w:pPr>
      <w:r w:rsidRPr="00582EF5">
        <w:t>M</w:t>
      </w:r>
      <w:r w:rsidR="00DA0807" w:rsidRPr="00582EF5">
        <w:t xml:space="preserve">inistry for </w:t>
      </w:r>
      <w:r w:rsidRPr="00582EF5">
        <w:t>P</w:t>
      </w:r>
      <w:r w:rsidR="00DA0807" w:rsidRPr="00582EF5">
        <w:t xml:space="preserve">rimary </w:t>
      </w:r>
      <w:r w:rsidRPr="00582EF5">
        <w:t>I</w:t>
      </w:r>
      <w:r w:rsidR="00DA0807" w:rsidRPr="00582EF5">
        <w:t>ndustries</w:t>
      </w:r>
      <w:r w:rsidRPr="00582EF5">
        <w:t>:</w:t>
      </w:r>
      <w:r w:rsidR="00E72470" w:rsidRPr="00582EF5">
        <w:t xml:space="preserve"> Report on the </w:t>
      </w:r>
      <w:r w:rsidR="00DA0807" w:rsidRPr="00582EF5">
        <w:t>t</w:t>
      </w:r>
      <w:r w:rsidR="00E72470" w:rsidRPr="00582EF5">
        <w:t xml:space="preserve">argeted </w:t>
      </w:r>
      <w:r w:rsidR="00DA0807" w:rsidRPr="00582EF5">
        <w:t>s</w:t>
      </w:r>
      <w:r w:rsidR="00E72470" w:rsidRPr="00582EF5">
        <w:t xml:space="preserve">urveillance of </w:t>
      </w:r>
      <w:r w:rsidR="00DA0807" w:rsidRPr="00582EF5">
        <w:t>m</w:t>
      </w:r>
      <w:r w:rsidR="00E72470" w:rsidRPr="00582EF5">
        <w:t xml:space="preserve">ilk from </w:t>
      </w:r>
      <w:r w:rsidR="00DA0807" w:rsidRPr="00582EF5">
        <w:t>a</w:t>
      </w:r>
      <w:r w:rsidR="00E72470" w:rsidRPr="00582EF5">
        <w:t xml:space="preserve">nimals </w:t>
      </w:r>
      <w:r w:rsidR="00DA0807" w:rsidRPr="00582EF5">
        <w:t>p</w:t>
      </w:r>
      <w:r w:rsidR="00E72470" w:rsidRPr="00582EF5">
        <w:t xml:space="preserve">otentially </w:t>
      </w:r>
      <w:r w:rsidR="00DA0807" w:rsidRPr="00582EF5">
        <w:t>e</w:t>
      </w:r>
      <w:r w:rsidR="00E72470" w:rsidRPr="00582EF5">
        <w:t xml:space="preserve">xposed to </w:t>
      </w:r>
      <w:r w:rsidR="00DA0807" w:rsidRPr="00582EF5">
        <w:t>p</w:t>
      </w:r>
      <w:r w:rsidR="00E72470" w:rsidRPr="00582EF5">
        <w:t xml:space="preserve">etrochemical </w:t>
      </w:r>
      <w:r w:rsidR="00DA0807" w:rsidRPr="00582EF5">
        <w:t>m</w:t>
      </w:r>
      <w:r w:rsidR="00E72470" w:rsidRPr="00582EF5">
        <w:t xml:space="preserve">ining </w:t>
      </w:r>
      <w:r w:rsidR="00DA0807" w:rsidRPr="00582EF5">
        <w:t>w</w:t>
      </w:r>
      <w:r w:rsidR="00E72470" w:rsidRPr="00582EF5">
        <w:t xml:space="preserve">astes </w:t>
      </w:r>
    </w:p>
    <w:p w14:paraId="0E88E98F" w14:textId="04F5A713" w:rsidR="00E72470" w:rsidRPr="00582EF5" w:rsidRDefault="72C89534" w:rsidP="00B50C2D">
      <w:pPr>
        <w:pStyle w:val="BodyText"/>
      </w:pPr>
      <w:r w:rsidRPr="00582EF5">
        <w:t>In 2014</w:t>
      </w:r>
      <w:r w:rsidR="7C880E46" w:rsidRPr="00582EF5">
        <w:t>,</w:t>
      </w:r>
      <w:r w:rsidRPr="00582EF5">
        <w:t xml:space="preserve"> MPI conducted targeted surveillance of milk from 20 dairy farms</w:t>
      </w:r>
      <w:r w:rsidR="2460FDF0" w:rsidRPr="00582EF5">
        <w:t>,</w:t>
      </w:r>
      <w:r w:rsidRPr="00582EF5">
        <w:t xml:space="preserve"> to assess the safety of milk from animals potentially exposed to </w:t>
      </w:r>
      <w:r w:rsidR="7E108298" w:rsidRPr="00582EF5">
        <w:t>farmland</w:t>
      </w:r>
      <w:r w:rsidRPr="00582EF5">
        <w:t xml:space="preserve"> used for the bioremediation of solid wastes from petrochemical mining.</w:t>
      </w:r>
      <w:r w:rsidR="00590149" w:rsidRPr="00582EF5">
        <w:rPr>
          <w:rStyle w:val="FootnoteReference"/>
        </w:rPr>
        <w:footnoteReference w:id="16"/>
      </w:r>
      <w:r w:rsidR="63415F13">
        <w:t xml:space="preserve"> </w:t>
      </w:r>
      <w:r w:rsidRPr="00582EF5">
        <w:t>This included testing for polybrominated diphenyl ethers (PBDEs)</w:t>
      </w:r>
      <w:r w:rsidR="79EBB461" w:rsidRPr="00582EF5">
        <w:t>,</w:t>
      </w:r>
      <w:r w:rsidRPr="00582EF5">
        <w:t xml:space="preserve"> the most prevalent of which is </w:t>
      </w:r>
      <w:proofErr w:type="spellStart"/>
      <w:r w:rsidRPr="00582EF5">
        <w:t>decabromodiphenyl</w:t>
      </w:r>
      <w:proofErr w:type="spellEnd"/>
      <w:r w:rsidRPr="00582EF5">
        <w:t xml:space="preserve"> ether (commercial mixture</w:t>
      </w:r>
      <w:r w:rsidR="79EBB461" w:rsidRPr="00582EF5">
        <w:t>,</w:t>
      </w:r>
      <w:r w:rsidRPr="00582EF5">
        <w:t xml:space="preserve"> c</w:t>
      </w:r>
      <w:r w:rsidR="79EBB461" w:rsidRPr="00582EF5">
        <w:noBreakHyphen/>
      </w:r>
      <w:proofErr w:type="spellStart"/>
      <w:r w:rsidR="79EBB461" w:rsidRPr="00582EF5">
        <w:t>d</w:t>
      </w:r>
      <w:r w:rsidRPr="00582EF5">
        <w:t>ecaBDE</w:t>
      </w:r>
      <w:proofErr w:type="spellEnd"/>
      <w:r w:rsidRPr="00582EF5">
        <w:t xml:space="preserve">), </w:t>
      </w:r>
      <w:r w:rsidR="79EBB461" w:rsidRPr="00582EF5">
        <w:t xml:space="preserve">which </w:t>
      </w:r>
      <w:r w:rsidRPr="00582EF5">
        <w:t xml:space="preserve">was listed under </w:t>
      </w:r>
      <w:r w:rsidR="50D1CC46" w:rsidRPr="00582EF5">
        <w:t xml:space="preserve">the Convention </w:t>
      </w:r>
      <w:r w:rsidRPr="00582EF5">
        <w:t xml:space="preserve">in 2017. Only two samples tested positive for trace levels of PBDEs (one from a farm with a landfill and one from a farm that has had disposal of wastes using the </w:t>
      </w:r>
      <w:r w:rsidR="79EBB461" w:rsidRPr="00582EF5">
        <w:t>‘</w:t>
      </w:r>
      <w:r w:rsidRPr="00582EF5">
        <w:t>mix-bury-cover</w:t>
      </w:r>
      <w:r w:rsidR="79EBB461" w:rsidRPr="00582EF5">
        <w:t>’</w:t>
      </w:r>
      <w:r w:rsidRPr="00582EF5">
        <w:t xml:space="preserve"> method). One milk sample contained 2.34</w:t>
      </w:r>
      <w:r w:rsidR="64A57D65" w:rsidRPr="00582EF5">
        <w:t> </w:t>
      </w:r>
      <w:r w:rsidRPr="00582EF5">
        <w:t>n</w:t>
      </w:r>
      <w:r w:rsidR="64A57D65" w:rsidRPr="00582EF5">
        <w:t>ano</w:t>
      </w:r>
      <w:r w:rsidRPr="00582EF5">
        <w:t>g</w:t>
      </w:r>
      <w:r w:rsidR="64A57D65" w:rsidRPr="00582EF5">
        <w:t>rams</w:t>
      </w:r>
      <w:r w:rsidR="79EBB461" w:rsidRPr="00582EF5">
        <w:t xml:space="preserve"> per kilogram</w:t>
      </w:r>
      <w:r w:rsidRPr="00582EF5">
        <w:t xml:space="preserve"> of BDE#99 and the other contained 2.04</w:t>
      </w:r>
      <w:r w:rsidR="64A57D65" w:rsidRPr="00582EF5">
        <w:t> </w:t>
      </w:r>
      <w:r w:rsidRPr="00582EF5">
        <w:t>n</w:t>
      </w:r>
      <w:r w:rsidR="64A57D65" w:rsidRPr="00582EF5">
        <w:t>anograms per kilogram</w:t>
      </w:r>
      <w:r w:rsidRPr="00582EF5">
        <w:t xml:space="preserve"> of BDE#99, 3.73</w:t>
      </w:r>
      <w:r w:rsidR="45C64E07" w:rsidRPr="00582EF5">
        <w:t> </w:t>
      </w:r>
      <w:r w:rsidR="64A57D65" w:rsidRPr="00582EF5">
        <w:t>nanograms per kilogram</w:t>
      </w:r>
      <w:r w:rsidRPr="00582EF5">
        <w:t xml:space="preserve"> of BDE#47 and 0.466</w:t>
      </w:r>
      <w:r w:rsidR="45C64E07" w:rsidRPr="00582EF5">
        <w:t> </w:t>
      </w:r>
      <w:r w:rsidR="64A57D65" w:rsidRPr="00582EF5">
        <w:t>nanograms per kilogram</w:t>
      </w:r>
      <w:r w:rsidRPr="00582EF5">
        <w:t xml:space="preserve"> of BDE#100. The levels reported from the land </w:t>
      </w:r>
      <w:r w:rsidR="502DC070" w:rsidRPr="00582EF5">
        <w:t>farm</w:t>
      </w:r>
      <w:r w:rsidR="0EEA759E">
        <w:t>ing</w:t>
      </w:r>
      <w:r w:rsidRPr="00582EF5">
        <w:t xml:space="preserve"> sites are within the ranges reported in other</w:t>
      </w:r>
      <w:r w:rsidR="45C64E07" w:rsidRPr="00582EF5">
        <w:t> </w:t>
      </w:r>
      <w:r w:rsidRPr="00582EF5">
        <w:t xml:space="preserve">countries. </w:t>
      </w:r>
    </w:p>
    <w:p w14:paraId="3574C035" w14:textId="07D2CDAA" w:rsidR="00E72470" w:rsidRPr="00582EF5" w:rsidRDefault="00E72470" w:rsidP="00B50C2D">
      <w:pPr>
        <w:pStyle w:val="BodyText"/>
      </w:pPr>
      <w:r w:rsidRPr="00582EF5">
        <w:t>Th</w:t>
      </w:r>
      <w:r w:rsidR="00D56C15" w:rsidRPr="00582EF5">
        <w:t>e</w:t>
      </w:r>
      <w:r w:rsidRPr="00582EF5">
        <w:t xml:space="preserve"> report concluded only very low levels of some of the chemical compounds that were tested for were found</w:t>
      </w:r>
      <w:r w:rsidR="00D56C15" w:rsidRPr="00582EF5">
        <w:t>,</w:t>
      </w:r>
      <w:r w:rsidRPr="00582EF5">
        <w:t xml:space="preserve"> and these did not present a risk to consumers. </w:t>
      </w:r>
    </w:p>
    <w:p w14:paraId="70817C87" w14:textId="3D289EF7" w:rsidR="00E72470" w:rsidRPr="00582EF5" w:rsidRDefault="00E72470" w:rsidP="00B50C2D">
      <w:pPr>
        <w:pStyle w:val="BodyText"/>
        <w:spacing w:after="0"/>
        <w:rPr>
          <w:rFonts w:eastAsia="Times New Roman"/>
          <w:color w:val="0000FF"/>
          <w:sz w:val="27"/>
          <w:szCs w:val="27"/>
        </w:rPr>
      </w:pPr>
      <w:r w:rsidRPr="00582EF5">
        <w:rPr>
          <w:i/>
        </w:rPr>
        <w:t>Link for full details</w:t>
      </w:r>
      <w:r w:rsidR="000B33D3" w:rsidRPr="00582EF5">
        <w:rPr>
          <w:i/>
        </w:rPr>
        <w:t xml:space="preserve">: </w:t>
      </w:r>
      <w:r w:rsidRPr="00582EF5">
        <w:rPr>
          <w:rFonts w:eastAsia="Times New Roman"/>
          <w:iCs/>
          <w:color w:val="0000FF"/>
          <w:shd w:val="clear" w:color="auto" w:fill="E6E6E6"/>
        </w:rPr>
        <w:fldChar w:fldCharType="begin"/>
      </w:r>
      <w:r w:rsidRPr="00582EF5">
        <w:rPr>
          <w:rFonts w:eastAsia="Times New Roman"/>
          <w:iCs/>
          <w:color w:val="0000FF"/>
        </w:rPr>
        <w:instrText xml:space="preserve"> HYPERLINK "https://www.mpi.govt.nz/dmsdocument/4391/send</w:instrText>
      </w:r>
    </w:p>
    <w:p w14:paraId="329342E7" w14:textId="5A674A03" w:rsidR="00E72470" w:rsidRPr="00336C69" w:rsidRDefault="00E72470" w:rsidP="00B50C2D">
      <w:pPr>
        <w:pStyle w:val="BodyText"/>
      </w:pPr>
      <w:r w:rsidRPr="00582EF5">
        <w:rPr>
          <w:rFonts w:eastAsia="Times New Roman"/>
          <w:iCs/>
          <w:color w:val="0000FF"/>
        </w:rPr>
        <w:instrText xml:space="preserve">" </w:instrText>
      </w:r>
      <w:r w:rsidRPr="00582EF5">
        <w:rPr>
          <w:rFonts w:eastAsia="Times New Roman"/>
          <w:iCs/>
          <w:color w:val="0000FF"/>
          <w:shd w:val="clear" w:color="auto" w:fill="E6E6E6"/>
        </w:rPr>
      </w:r>
      <w:r w:rsidRPr="00582EF5">
        <w:rPr>
          <w:rFonts w:eastAsia="Times New Roman"/>
          <w:iCs/>
          <w:color w:val="0000FF"/>
          <w:shd w:val="clear" w:color="auto" w:fill="E6E6E6"/>
        </w:rPr>
        <w:fldChar w:fldCharType="separate"/>
      </w:r>
      <w:r w:rsidRPr="00582EF5">
        <w:rPr>
          <w:rStyle w:val="Hyperlink"/>
          <w:rFonts w:eastAsia="Times New Roman" w:cs="Arial"/>
          <w:iCs/>
        </w:rPr>
        <w:t>www.mpi.govt.nz/dmsdocument/4391/send</w:t>
      </w:r>
      <w:r w:rsidR="000B33D3" w:rsidRPr="00582EF5">
        <w:t>.</w:t>
      </w:r>
    </w:p>
    <w:p w14:paraId="567A5522" w14:textId="32A4AEA9" w:rsidR="00E72470" w:rsidRPr="00582EF5" w:rsidRDefault="00E72470" w:rsidP="00B50C2D">
      <w:pPr>
        <w:pStyle w:val="Heading4"/>
      </w:pPr>
      <w:r w:rsidRPr="00582EF5">
        <w:rPr>
          <w:rFonts w:eastAsia="Times New Roman"/>
          <w:iCs/>
          <w:color w:val="0000FF"/>
          <w:shd w:val="clear" w:color="auto" w:fill="E6E6E6"/>
        </w:rPr>
        <w:fldChar w:fldCharType="end"/>
      </w:r>
      <w:r w:rsidRPr="00582EF5">
        <w:t>National Chemical Contaminants Programme</w:t>
      </w:r>
      <w:r w:rsidR="00580B2B" w:rsidRPr="00582EF5">
        <w:t xml:space="preserve"> </w:t>
      </w:r>
      <w:r w:rsidRPr="00582EF5">
        <w:t xml:space="preserve">– </w:t>
      </w:r>
      <w:r w:rsidR="000B33D3" w:rsidRPr="00582EF5">
        <w:t>d</w:t>
      </w:r>
      <w:r w:rsidRPr="00582EF5">
        <w:t xml:space="preserve">airy </w:t>
      </w:r>
      <w:r w:rsidR="000B33D3" w:rsidRPr="00582EF5">
        <w:t>p</w:t>
      </w:r>
      <w:r w:rsidRPr="00582EF5">
        <w:t xml:space="preserve">roducts and </w:t>
      </w:r>
      <w:r w:rsidR="000B33D3" w:rsidRPr="00582EF5">
        <w:t>r</w:t>
      </w:r>
      <w:r w:rsidRPr="00582EF5">
        <w:t xml:space="preserve">aw </w:t>
      </w:r>
      <w:r w:rsidR="000B33D3" w:rsidRPr="00582EF5">
        <w:t>m</w:t>
      </w:r>
      <w:r w:rsidRPr="00582EF5">
        <w:t xml:space="preserve">ilk </w:t>
      </w:r>
    </w:p>
    <w:p w14:paraId="2FEE7DD1" w14:textId="31AEED9C" w:rsidR="0087469B" w:rsidRDefault="1A3C6DC9" w:rsidP="001F7B00">
      <w:pPr>
        <w:pStyle w:val="BodyText"/>
      </w:pPr>
      <w:r>
        <w:t xml:space="preserve">The </w:t>
      </w:r>
      <w:r w:rsidR="00336C69">
        <w:t>National Chemical Contaminants P</w:t>
      </w:r>
      <w:r>
        <w:t>rogramme is authorised under New Zealand legislation (Animal Product Act 1999) in the Animal Products Notice: Monitoring Regimes</w:t>
      </w:r>
      <w:r w:rsidR="638F2D81">
        <w:t>.</w:t>
      </w:r>
      <w:r>
        <w:t xml:space="preserve"> </w:t>
      </w:r>
      <w:r w:rsidR="09EC04B0" w:rsidRPr="001F7B00">
        <w:rPr>
          <w:rStyle w:val="FootnoteReference"/>
        </w:rPr>
        <w:t xml:space="preserve"> </w:t>
      </w:r>
      <w:r w:rsidR="09EC04B0" w:rsidRPr="001F7B00">
        <w:t>The NCCP verifies the contaminant control system and enables MPI to assess the effectiveness of the New Zealand regulatory programme in preventing the risk of contamination (amongst other objectives). Monitoring under the programme dates to 1997. The NCCP in its current form was moved under MPI's full administrative control in 2002</w:t>
      </w:r>
      <w:r w:rsidR="09EC04B0" w:rsidRPr="001F7B00" w:rsidDel="00AE4646">
        <w:t>.</w:t>
      </w:r>
    </w:p>
    <w:p w14:paraId="2E8986E1" w14:textId="4E59C6C0" w:rsidR="001F7B00" w:rsidRDefault="00336C69" w:rsidP="001F7B00">
      <w:pPr>
        <w:pStyle w:val="BodyText"/>
      </w:pPr>
      <w:r w:rsidRPr="007B3A22">
        <w:t xml:space="preserve">The </w:t>
      </w:r>
      <w:hyperlink r:id="rId144" w:history="1">
        <w:r w:rsidRPr="00336C69">
          <w:rPr>
            <w:rStyle w:val="Hyperlink"/>
          </w:rPr>
          <w:t>National Chemical Contaminants Programme 2020 report</w:t>
        </w:r>
      </w:hyperlink>
      <w:r w:rsidRPr="007B3A22">
        <w:t xml:space="preserve"> provides results for dioxins, dioxin-like PCBs</w:t>
      </w:r>
      <w:r w:rsidR="007800D2" w:rsidRPr="001F7B00">
        <w:t xml:space="preserve"> and some non-dioxin like PCBs (indicator PCBs) </w:t>
      </w:r>
      <w:r w:rsidRPr="009F3BAF">
        <w:t>in a range of dairy products and milk</w:t>
      </w:r>
      <w:r w:rsidR="007800D2" w:rsidRPr="001F7B00">
        <w:t>, sampled over the 2014/15, 2015/16, 2016/17, 2017/18, 2018/19 and 2019/20) dairy seasons</w:t>
      </w:r>
      <w:r w:rsidR="09EC04B0" w:rsidRPr="001F7B00">
        <w:t>.</w:t>
      </w:r>
      <w:r w:rsidR="09EC04B0">
        <w:rPr>
          <w:rFonts w:eastAsia="Times New Roman" w:cs="Times New Roman"/>
        </w:rPr>
        <w:t xml:space="preserve"> </w:t>
      </w:r>
      <w:r w:rsidR="09EC04B0" w:rsidRPr="00884EF3">
        <w:t xml:space="preserve">The samples came from a range of dairy products manufactured in New Zealand, </w:t>
      </w:r>
      <w:r w:rsidR="09EC04B0" w:rsidRPr="00884EF3">
        <w:lastRenderedPageBreak/>
        <w:t>including anhydrous milk fat, butter, cheese and cream. The results support the conclusion that contaminant levels in New Zealand dairy products are well below any levels of concer</w:t>
      </w:r>
      <w:r w:rsidR="09EC04B0" w:rsidRPr="001F7B00">
        <w:t>n.</w:t>
      </w:r>
    </w:p>
    <w:p w14:paraId="451B59F6" w14:textId="652A8B57" w:rsidR="009359D6" w:rsidRDefault="00471D2A" w:rsidP="001F7B00">
      <w:pPr>
        <w:pStyle w:val="BodyText"/>
        <w:rPr>
          <w:rFonts w:ascii="Tahoma" w:eastAsia="Tahoma" w:hAnsi="Tahoma" w:cs="Tahoma"/>
          <w:color w:val="000000" w:themeColor="text1"/>
          <w:sz w:val="18"/>
          <w:szCs w:val="18"/>
        </w:rPr>
      </w:pPr>
      <w:r w:rsidRPr="001F7B00">
        <w:t xml:space="preserve">New Zealand is an isolated country and not heavily industrialised. This means the risk of dioxins or PCBs entering the milk supply is low. Although historical surveys have shown this, dairy products and milk are still monitored on an annual basis. </w:t>
      </w:r>
      <w:r w:rsidR="007F655B" w:rsidRPr="001F7B00">
        <w:t>The NCCP monitoring programme ensures an elevated level of confidence can be maintained in the safety and suitability of New Zealand's dairy products. Results do not exceed the most appropriate science-based overseas standards for dioxins and PCBs.</w:t>
      </w:r>
      <w:r w:rsidR="009359D6" w:rsidRPr="001F7B00">
        <w:t xml:space="preserve"> Although historical surveys have shown this, dairy products and milk are still monitored annually. Test results were compared to the European Union (EU) limits for dioxins and PCBs in food. </w:t>
      </w:r>
      <w:r w:rsidR="00336C69" w:rsidRPr="00A01294">
        <w:t>These limits are outlined in the 2020 report document</w:t>
      </w:r>
      <w:r w:rsidR="112B140F">
        <w:t>. None of the samples recorded detections exceeding either the EU action levels (early warning system) or EU regulatory maximum levels threshold.</w:t>
      </w:r>
    </w:p>
    <w:p w14:paraId="760274BE" w14:textId="49F459E7" w:rsidR="09EC04B0" w:rsidRPr="00336C69" w:rsidRDefault="009506CE" w:rsidP="001F7B00">
      <w:pPr>
        <w:pStyle w:val="BodyText"/>
      </w:pPr>
      <w:r w:rsidRPr="001F7B00">
        <w:rPr>
          <w:i/>
        </w:rPr>
        <w:t xml:space="preserve">This link contains all the annual reporting on raw milk and dairy products for organochlorines: </w:t>
      </w:r>
      <w:hyperlink r:id="rId145" w:history="1">
        <w:r w:rsidR="00556736" w:rsidRPr="00336C69">
          <w:rPr>
            <w:rStyle w:val="Hyperlink"/>
          </w:rPr>
          <w:t>https://www.mpi.govt.nz/food-business/dairy-products-processing-manufacture-testing-requirements/monitoring-testing-dairy-products/documents-for-nccp/</w:t>
        </w:r>
      </w:hyperlink>
      <w:r w:rsidR="00336C69" w:rsidRPr="00336C69">
        <w:t>.</w:t>
      </w:r>
    </w:p>
    <w:p w14:paraId="50DB18A9" w14:textId="58E0EE1D" w:rsidR="00E72470" w:rsidRPr="00582EF5" w:rsidRDefault="00A93FB4" w:rsidP="00080886">
      <w:pPr>
        <w:pStyle w:val="Heading3"/>
        <w:spacing w:before="240"/>
      </w:pPr>
      <w:r w:rsidRPr="00582EF5">
        <w:t>7.3.2</w:t>
      </w:r>
      <w:r w:rsidRPr="00582EF5">
        <w:tab/>
      </w:r>
      <w:r w:rsidR="001B1AD6" w:rsidRPr="00582EF5">
        <w:t>Persistent organic pollutants</w:t>
      </w:r>
      <w:r w:rsidR="00E72470" w:rsidRPr="00582EF5">
        <w:t xml:space="preserve"> in fresh water</w:t>
      </w:r>
    </w:p>
    <w:p w14:paraId="004DF2CD" w14:textId="02219D51" w:rsidR="00E72470" w:rsidRPr="00582EF5" w:rsidRDefault="72AFFD59" w:rsidP="001F7B00">
      <w:pPr>
        <w:pStyle w:val="BodyText"/>
      </w:pPr>
      <w:hyperlink r:id="rId146">
        <w:r w:rsidRPr="1A06031B">
          <w:rPr>
            <w:rStyle w:val="Hyperlink"/>
          </w:rPr>
          <w:t>In 2014</w:t>
        </w:r>
        <w:r w:rsidR="7755AC88" w:rsidRPr="1A06031B">
          <w:rPr>
            <w:rStyle w:val="Hyperlink"/>
          </w:rPr>
          <w:t>,</w:t>
        </w:r>
        <w:r w:rsidRPr="1A06031B">
          <w:rPr>
            <w:rStyle w:val="Hyperlink"/>
          </w:rPr>
          <w:t xml:space="preserve"> the Institute of Environmental Science and Research (ESR), a Crown </w:t>
        </w:r>
        <w:r w:rsidR="3E59D99E" w:rsidRPr="1A06031B">
          <w:rPr>
            <w:rStyle w:val="Hyperlink"/>
          </w:rPr>
          <w:t>r</w:t>
        </w:r>
        <w:r w:rsidRPr="1A06031B">
          <w:rPr>
            <w:rStyle w:val="Hyperlink"/>
          </w:rPr>
          <w:t xml:space="preserve">esearch </w:t>
        </w:r>
        <w:r w:rsidR="3E59D99E" w:rsidRPr="1A06031B">
          <w:rPr>
            <w:rStyle w:val="Hyperlink"/>
          </w:rPr>
          <w:t>i</w:t>
        </w:r>
        <w:r w:rsidRPr="1A06031B">
          <w:rPr>
            <w:rStyle w:val="Hyperlink"/>
          </w:rPr>
          <w:t>nstitute</w:t>
        </w:r>
        <w:r w:rsidR="439F5BD6" w:rsidRPr="1A06031B">
          <w:rPr>
            <w:rStyle w:val="Hyperlink"/>
          </w:rPr>
          <w:t>,</w:t>
        </w:r>
        <w:r w:rsidRPr="1A06031B">
          <w:rPr>
            <w:rStyle w:val="Hyperlink"/>
          </w:rPr>
          <w:t xml:space="preserve"> coordinated the seventh survey of pesticides in groundwater throughout New Zealand</w:t>
        </w:r>
      </w:hyperlink>
      <w:r>
        <w:t>. This survey has been completed every four years</w:t>
      </w:r>
      <w:r w:rsidR="3E59D99E">
        <w:t>,</w:t>
      </w:r>
      <w:r>
        <w:t xml:space="preserve"> since 1990. </w:t>
      </w:r>
      <w:r w:rsidR="3E59D99E">
        <w:t xml:space="preserve">In </w:t>
      </w:r>
      <w:r>
        <w:t>total</w:t>
      </w:r>
      <w:r w:rsidR="3E59D99E">
        <w:t>,</w:t>
      </w:r>
      <w:r>
        <w:t xml:space="preserve"> 165 well samples were taken.</w:t>
      </w:r>
      <w:r w:rsidR="63828558">
        <w:t xml:space="preserve"> O</w:t>
      </w:r>
      <w:r>
        <w:t xml:space="preserve">nly </w:t>
      </w:r>
      <w:r w:rsidR="36F3D294">
        <w:t>one</w:t>
      </w:r>
      <w:r w:rsidR="72C89534" w:rsidRPr="00582EF5">
        <w:t xml:space="preserve"> POP</w:t>
      </w:r>
      <w:r w:rsidR="0F16A09B" w:rsidRPr="00582EF5">
        <w:t xml:space="preserve"> was detected</w:t>
      </w:r>
      <w:r w:rsidR="43E56310" w:rsidRPr="00582EF5">
        <w:t xml:space="preserve"> –</w:t>
      </w:r>
      <w:r w:rsidR="28FA22ED">
        <w:t xml:space="preserve"> </w:t>
      </w:r>
      <w:r w:rsidR="72C89534" w:rsidRPr="00582EF5">
        <w:t>dieldrin</w:t>
      </w:r>
      <w:r w:rsidR="43E56310" w:rsidRPr="00582EF5">
        <w:t xml:space="preserve"> – </w:t>
      </w:r>
      <w:r w:rsidR="72C89534" w:rsidRPr="00582EF5">
        <w:t xml:space="preserve">in one well at a concentration </w:t>
      </w:r>
      <w:r w:rsidR="3D7DF119" w:rsidRPr="00582EF5">
        <w:t>of 0.043</w:t>
      </w:r>
      <w:r w:rsidR="7F7C7179" w:rsidRPr="00582EF5">
        <w:t> </w:t>
      </w:r>
      <w:r w:rsidR="5905AF3E" w:rsidRPr="00582EF5">
        <w:t xml:space="preserve">milligrams </w:t>
      </w:r>
      <w:r w:rsidR="7F7C7179" w:rsidRPr="00582EF5">
        <w:t>per cubic metres</w:t>
      </w:r>
      <w:r w:rsidR="43E56310" w:rsidRPr="00582EF5">
        <w:t>.</w:t>
      </w:r>
      <w:r w:rsidR="7F7C7179" w:rsidRPr="00582EF5">
        <w:t xml:space="preserve"> </w:t>
      </w:r>
      <w:r w:rsidR="43E56310" w:rsidRPr="00582EF5">
        <w:t xml:space="preserve">This </w:t>
      </w:r>
      <w:r w:rsidR="72C89534" w:rsidRPr="00582EF5">
        <w:t xml:space="preserve">slightly exceeded the maximum acceptable value for drinking water </w:t>
      </w:r>
      <w:r w:rsidR="3D7DF119" w:rsidRPr="00582EF5">
        <w:t>(</w:t>
      </w:r>
      <w:r w:rsidR="72C89534" w:rsidRPr="00582EF5">
        <w:t>0.04</w:t>
      </w:r>
      <w:r w:rsidR="0B53A343" w:rsidRPr="00582EF5">
        <w:t> </w:t>
      </w:r>
      <w:r w:rsidR="7F7C7179" w:rsidRPr="00582EF5">
        <w:t>milligrams per cubic metres</w:t>
      </w:r>
      <w:r w:rsidR="3D7DF119" w:rsidRPr="00582EF5">
        <w:t>)</w:t>
      </w:r>
      <w:r w:rsidR="72C89534" w:rsidRPr="00582EF5">
        <w:t>.</w:t>
      </w:r>
    </w:p>
    <w:p w14:paraId="4968490F" w14:textId="0508C0D3" w:rsidR="00E72470" w:rsidRPr="00582EF5" w:rsidRDefault="00E72470" w:rsidP="001F7B00">
      <w:pPr>
        <w:pStyle w:val="BodyText"/>
      </w:pPr>
      <w:r w:rsidRPr="00582EF5">
        <w:t xml:space="preserve">Dieldrin was widely used on New Zealand farms during the 1960s to control ectoparasites. Most farms </w:t>
      </w:r>
      <w:r w:rsidR="00A37972" w:rsidRPr="00582EF5">
        <w:t>would</w:t>
      </w:r>
      <w:r w:rsidRPr="00582EF5">
        <w:t xml:space="preserve"> have had a sheep or cattle dip site during this time. </w:t>
      </w:r>
      <w:r w:rsidR="00DF69C2" w:rsidRPr="00582EF5">
        <w:t>Although d</w:t>
      </w:r>
      <w:r w:rsidRPr="00582EF5">
        <w:t xml:space="preserve">ieldrin has not been used in New Zealand </w:t>
      </w:r>
      <w:r w:rsidR="00A37972" w:rsidRPr="00582EF5">
        <w:t xml:space="preserve">since the 1960s, </w:t>
      </w:r>
      <w:r w:rsidRPr="00582EF5">
        <w:t>its persistent nature means it can be detected in the soil where dip</w:t>
      </w:r>
      <w:r w:rsidR="00DF69C2" w:rsidRPr="00582EF5">
        <w:t>-</w:t>
      </w:r>
      <w:r w:rsidRPr="00582EF5">
        <w:t xml:space="preserve">site wastewater was disposed of and occasionally in the underlying groundwater. Testing will continue through the ESR survey every four years. </w:t>
      </w:r>
    </w:p>
    <w:p w14:paraId="483258DC" w14:textId="38F06269" w:rsidR="00E72470" w:rsidRPr="00582EF5" w:rsidRDefault="00E72470" w:rsidP="001F7B00">
      <w:pPr>
        <w:pStyle w:val="BodyText"/>
      </w:pPr>
      <w:r w:rsidRPr="00582EF5">
        <w:rPr>
          <w:i/>
        </w:rPr>
        <w:t>Link for full details</w:t>
      </w:r>
      <w:r w:rsidR="00DF69C2" w:rsidRPr="00582EF5">
        <w:rPr>
          <w:i/>
        </w:rPr>
        <w:t xml:space="preserve">: </w:t>
      </w:r>
      <w:hyperlink r:id="rId147" w:history="1">
        <w:r w:rsidRPr="00582EF5">
          <w:rPr>
            <w:rStyle w:val="Hyperlink"/>
            <w:rFonts w:cs="Arial"/>
          </w:rPr>
          <w:t>www.marlborough.govt.nz/repository/libraries/id:1w1mps0ir17q9sgxanf9/</w:t>
        </w:r>
        <w:r w:rsidR="00A4348A" w:rsidRPr="00582EF5">
          <w:rPr>
            <w:rStyle w:val="Hyperlink"/>
            <w:rFonts w:cs="Arial"/>
          </w:rPr>
          <w:t xml:space="preserve"> </w:t>
        </w:r>
        <w:r w:rsidRPr="00582EF5">
          <w:rPr>
            <w:rStyle w:val="Hyperlink"/>
            <w:rFonts w:cs="Arial"/>
          </w:rPr>
          <w:t>hierarchy/Documents/Environment/Groundwater/Groundwater%20Reports%202015%20List/National_Survey_of_Pesticides_in_Groundwater_Report_final.pdf</w:t>
        </w:r>
      </w:hyperlink>
      <w:r w:rsidR="00DF69C2" w:rsidRPr="00582EF5">
        <w:t>.</w:t>
      </w:r>
      <w:r w:rsidRPr="00582EF5">
        <w:t xml:space="preserve"> </w:t>
      </w:r>
    </w:p>
    <w:p w14:paraId="4E87C5A4" w14:textId="78FC2245" w:rsidR="00E72470" w:rsidRPr="00582EF5" w:rsidRDefault="00A93FB4" w:rsidP="00080886">
      <w:pPr>
        <w:pStyle w:val="Heading3"/>
        <w:spacing w:before="240"/>
      </w:pPr>
      <w:r w:rsidRPr="00582EF5">
        <w:t>7.3.3</w:t>
      </w:r>
      <w:r w:rsidRPr="00582EF5">
        <w:tab/>
      </w:r>
      <w:r w:rsidR="00047CE8" w:rsidRPr="00582EF5">
        <w:t>Persistent organic pollutants</w:t>
      </w:r>
      <w:r w:rsidR="00E72470" w:rsidRPr="00582EF5">
        <w:t xml:space="preserve"> in land</w:t>
      </w:r>
    </w:p>
    <w:p w14:paraId="49B5F6A0" w14:textId="73239177" w:rsidR="00E72470" w:rsidRPr="00582EF5" w:rsidRDefault="5FBCAD84" w:rsidP="001F7B00">
      <w:pPr>
        <w:pStyle w:val="BodyText"/>
      </w:pPr>
      <w:r w:rsidRPr="00582EF5">
        <w:t xml:space="preserve">The </w:t>
      </w:r>
      <w:r w:rsidR="72C89534" w:rsidRPr="00582EF5">
        <w:t xml:space="preserve">Our </w:t>
      </w:r>
      <w:r w:rsidR="488FD7DF" w:rsidRPr="00582EF5">
        <w:t>L</w:t>
      </w:r>
      <w:r w:rsidR="72C89534" w:rsidRPr="00582EF5">
        <w:t xml:space="preserve">and 2018 report, published by </w:t>
      </w:r>
      <w:r w:rsidR="00FE68D1">
        <w:t>MfE</w:t>
      </w:r>
      <w:r w:rsidR="72C89534" w:rsidRPr="00582EF5">
        <w:t xml:space="preserve"> and Stat</w:t>
      </w:r>
      <w:r w:rsidR="00336C69">
        <w:t>s NZ</w:t>
      </w:r>
      <w:r w:rsidR="72C89534" w:rsidRPr="00582EF5">
        <w:t xml:space="preserve">, states that we know what kind of land contamination can happen in New Zealand and how chemicals may </w:t>
      </w:r>
      <w:r w:rsidR="1126A16C" w:rsidRPr="00582EF5">
        <w:t>affect</w:t>
      </w:r>
      <w:r w:rsidR="72C89534" w:rsidRPr="00582EF5">
        <w:t xml:space="preserve"> human and environmental health</w:t>
      </w:r>
      <w:r w:rsidR="1126A16C" w:rsidRPr="00582EF5">
        <w:t>.</w:t>
      </w:r>
      <w:r w:rsidR="72C89534" w:rsidRPr="00582EF5">
        <w:t xml:space="preserve"> </w:t>
      </w:r>
      <w:r w:rsidR="1126A16C" w:rsidRPr="00582EF5">
        <w:t>H</w:t>
      </w:r>
      <w:r w:rsidR="72C89534" w:rsidRPr="00582EF5">
        <w:t>owever</w:t>
      </w:r>
      <w:r w:rsidR="1126A16C" w:rsidRPr="00582EF5">
        <w:t>,</w:t>
      </w:r>
      <w:r w:rsidR="72C89534" w:rsidRPr="00582EF5">
        <w:t xml:space="preserve"> </w:t>
      </w:r>
      <w:r w:rsidR="2D1B8917" w:rsidRPr="00582EF5">
        <w:t>it is not possible</w:t>
      </w:r>
      <w:r w:rsidR="72C89534" w:rsidRPr="00582EF5">
        <w:t xml:space="preserve"> to report on the overall extent of land contamination.</w:t>
      </w:r>
      <w:r w:rsidR="009E2C06" w:rsidRPr="00582EF5">
        <w:rPr>
          <w:rStyle w:val="FootnoteReference"/>
        </w:rPr>
        <w:footnoteReference w:id="17"/>
      </w:r>
      <w:r w:rsidR="72C89534" w:rsidRPr="00582EF5">
        <w:t xml:space="preserve"> </w:t>
      </w:r>
    </w:p>
    <w:p w14:paraId="64C32DFE" w14:textId="04E478F2" w:rsidR="00E72470" w:rsidRPr="00582EF5" w:rsidRDefault="00E72470" w:rsidP="001F7B00">
      <w:pPr>
        <w:pStyle w:val="BodyText"/>
      </w:pPr>
      <w:r w:rsidRPr="00582EF5">
        <w:t xml:space="preserve">POPs commonly found </w:t>
      </w:r>
      <w:r w:rsidR="00B4601B" w:rsidRPr="00582EF5">
        <w:t xml:space="preserve">in contaminated land </w:t>
      </w:r>
      <w:r w:rsidRPr="00582EF5">
        <w:t>are persistent pesticides</w:t>
      </w:r>
      <w:r w:rsidR="00B4601B" w:rsidRPr="00582EF5">
        <w:t xml:space="preserve"> </w:t>
      </w:r>
      <w:r w:rsidRPr="00582EF5">
        <w:t xml:space="preserve">historically used for animal </w:t>
      </w:r>
      <w:r w:rsidR="00EC4FA1" w:rsidRPr="00582EF5">
        <w:t xml:space="preserve">and timber </w:t>
      </w:r>
      <w:r w:rsidRPr="00582EF5">
        <w:t>treatments</w:t>
      </w:r>
      <w:r w:rsidR="00B4601B" w:rsidRPr="00582EF5">
        <w:t>,</w:t>
      </w:r>
      <w:r w:rsidRPr="00582EF5">
        <w:t xml:space="preserve"> such as DDT</w:t>
      </w:r>
      <w:r w:rsidR="005E3B3C" w:rsidRPr="00582EF5">
        <w:t>,</w:t>
      </w:r>
      <w:r w:rsidRPr="00582EF5">
        <w:t xml:space="preserve"> dieldrin</w:t>
      </w:r>
      <w:r w:rsidR="00EC4FA1" w:rsidRPr="00582EF5">
        <w:t xml:space="preserve"> and</w:t>
      </w:r>
      <w:r w:rsidR="00D93D8A">
        <w:t xml:space="preserve"> p</w:t>
      </w:r>
      <w:r w:rsidR="00D93D8A" w:rsidRPr="00582EF5">
        <w:t>entachlorophenol</w:t>
      </w:r>
      <w:r w:rsidR="00EC4FA1" w:rsidRPr="00582EF5">
        <w:t xml:space="preserve"> </w:t>
      </w:r>
      <w:r w:rsidR="00D93D8A">
        <w:t>(</w:t>
      </w:r>
      <w:r w:rsidR="00580B2B" w:rsidRPr="00582EF5">
        <w:t>PCP</w:t>
      </w:r>
      <w:r w:rsidR="00D93D8A">
        <w:t>)</w:t>
      </w:r>
      <w:r w:rsidRPr="00582EF5">
        <w:t>. In 2017, PFAS</w:t>
      </w:r>
      <w:r w:rsidR="00EC4FA1" w:rsidRPr="00582EF5">
        <w:t xml:space="preserve"> and</w:t>
      </w:r>
      <w:r w:rsidRPr="00582EF5">
        <w:t xml:space="preserve"> the compounds PFOS, PFOA and </w:t>
      </w:r>
      <w:proofErr w:type="spellStart"/>
      <w:r w:rsidRPr="00582EF5">
        <w:t>PFHxS</w:t>
      </w:r>
      <w:proofErr w:type="spellEnd"/>
      <w:proofErr w:type="gramStart"/>
      <w:r w:rsidR="005E3B3C" w:rsidRPr="00582EF5">
        <w:t>, in particular,</w:t>
      </w:r>
      <w:r w:rsidRPr="00582EF5">
        <w:t xml:space="preserve"> emerged</w:t>
      </w:r>
      <w:proofErr w:type="gramEnd"/>
      <w:r w:rsidRPr="00582EF5">
        <w:t xml:space="preserve"> as contaminants of concern for New Zealand. More information about contaminated land and PFAS contamination is </w:t>
      </w:r>
      <w:r w:rsidR="005E3B3C" w:rsidRPr="00582EF5">
        <w:t xml:space="preserve">given </w:t>
      </w:r>
      <w:r w:rsidRPr="00582EF5">
        <w:t xml:space="preserve">in </w:t>
      </w:r>
      <w:r w:rsidR="005E3B3C" w:rsidRPr="00582EF5">
        <w:t>c</w:t>
      </w:r>
      <w:r w:rsidRPr="00582EF5">
        <w:t>hapter 6.</w:t>
      </w:r>
    </w:p>
    <w:p w14:paraId="2EC84942" w14:textId="77E7B52C" w:rsidR="00E72470" w:rsidRPr="00582EF5" w:rsidRDefault="00A93FB4" w:rsidP="001F7B00">
      <w:pPr>
        <w:pStyle w:val="Heading3"/>
      </w:pPr>
      <w:r w:rsidRPr="00582EF5">
        <w:lastRenderedPageBreak/>
        <w:t>7.3.4</w:t>
      </w:r>
      <w:r w:rsidRPr="00582EF5">
        <w:tab/>
      </w:r>
      <w:r w:rsidR="005E3B3C" w:rsidRPr="00582EF5">
        <w:t>Persistent organic pollutants</w:t>
      </w:r>
      <w:r w:rsidR="00E72470" w:rsidRPr="00582EF5">
        <w:t xml:space="preserve"> in air</w:t>
      </w:r>
    </w:p>
    <w:p w14:paraId="54AF369A" w14:textId="36906AE8" w:rsidR="00E72470" w:rsidRPr="00582EF5" w:rsidRDefault="63415F13" w:rsidP="001F7B00">
      <w:pPr>
        <w:pStyle w:val="BodyText"/>
      </w:pPr>
      <w:r w:rsidRPr="00582EF5">
        <w:t>New Zealand is the only Organisation for Economic Co-operation and Development country without a pollutant release and tracking register</w:t>
      </w:r>
      <w:r w:rsidRPr="00E54D01">
        <w:t xml:space="preserve">. The </w:t>
      </w:r>
      <w:hyperlink r:id="rId148" w:history="1">
        <w:r w:rsidRPr="00E54D01">
          <w:rPr>
            <w:rStyle w:val="Hyperlink"/>
          </w:rPr>
          <w:t xml:space="preserve">Our </w:t>
        </w:r>
        <w:r w:rsidR="00E54D01" w:rsidRPr="00E54D01">
          <w:rPr>
            <w:rStyle w:val="Hyperlink"/>
          </w:rPr>
          <w:t>a</w:t>
        </w:r>
        <w:r w:rsidRPr="00E54D01">
          <w:rPr>
            <w:rStyle w:val="Hyperlink"/>
          </w:rPr>
          <w:t xml:space="preserve">ir </w:t>
        </w:r>
        <w:r w:rsidR="00E54D01" w:rsidRPr="00E54D01">
          <w:rPr>
            <w:rStyle w:val="Hyperlink"/>
          </w:rPr>
          <w:t>2018</w:t>
        </w:r>
      </w:hyperlink>
      <w:r w:rsidR="00E54D01">
        <w:t xml:space="preserve"> </w:t>
      </w:r>
      <w:r w:rsidRPr="00E54D01">
        <w:t>report</w:t>
      </w:r>
      <w:r w:rsidRPr="00582EF5">
        <w:t>, published by MfE and Stat</w:t>
      </w:r>
      <w:r w:rsidR="00E54D01">
        <w:t>s NZ</w:t>
      </w:r>
      <w:r w:rsidRPr="00582EF5">
        <w:t xml:space="preserve">, notes that having such a register would increase the accuracy of reporting industry emissions, particularly for hazardous air pollutants (including POPs). However, the </w:t>
      </w:r>
      <w:proofErr w:type="gramStart"/>
      <w:r w:rsidRPr="00582EF5">
        <w:t>particular requirement</w:t>
      </w:r>
      <w:proofErr w:type="gramEnd"/>
      <w:r w:rsidRPr="00582EF5">
        <w:t xml:space="preserve"> to estimate releases of unintentional POPs (addressed under Article 5) is being undertaken at a national level. Records are kept of the quantities of the intentional POPs being collected and disposed of.</w:t>
      </w:r>
      <w:r>
        <w:t xml:space="preserve"> In addition, New Zealand</w:t>
      </w:r>
      <w:r w:rsidR="2CCAB2B2" w:rsidRPr="00582EF5">
        <w:t xml:space="preserve"> </w:t>
      </w:r>
      <w:r w:rsidR="72C89534" w:rsidRPr="00582EF5">
        <w:t xml:space="preserve">has implemented the </w:t>
      </w:r>
      <w:r>
        <w:t>Resource Management (</w:t>
      </w:r>
      <w:r w:rsidR="72C89534" w:rsidRPr="00582EF5">
        <w:t>National Environmental Standards for Air Quality</w:t>
      </w:r>
      <w:r>
        <w:t>) Regulations</w:t>
      </w:r>
      <w:r w:rsidR="72C89534" w:rsidRPr="00582EF5">
        <w:t xml:space="preserve"> 2004, which ban activities that discharge significant quantities of dioxin and other toxi</w:t>
      </w:r>
      <w:r w:rsidR="6F2A6414" w:rsidRPr="00582EF5">
        <w:t>ns</w:t>
      </w:r>
      <w:r w:rsidR="72C89534" w:rsidRPr="00582EF5">
        <w:t xml:space="preserve"> into the air (</w:t>
      </w:r>
      <w:r w:rsidR="2CCAB2B2" w:rsidRPr="00582EF5">
        <w:t>s</w:t>
      </w:r>
      <w:r w:rsidR="72C89534" w:rsidRPr="00582EF5">
        <w:t xml:space="preserve">ee more in </w:t>
      </w:r>
      <w:r w:rsidR="2CCAB2B2" w:rsidRPr="00582EF5">
        <w:t>c</w:t>
      </w:r>
      <w:r w:rsidR="72C89534" w:rsidRPr="00582EF5">
        <w:t>hapter</w:t>
      </w:r>
      <w:r w:rsidR="2CCAB2B2" w:rsidRPr="00582EF5">
        <w:t>s</w:t>
      </w:r>
      <w:r w:rsidR="0088E4E5" w:rsidRPr="00582EF5">
        <w:t> </w:t>
      </w:r>
      <w:r w:rsidR="72C89534" w:rsidRPr="00582EF5">
        <w:t>1 and 5).</w:t>
      </w:r>
    </w:p>
    <w:p w14:paraId="1A49B5FE" w14:textId="6AE2D2D6" w:rsidR="00DC4936" w:rsidRPr="00582EF5" w:rsidRDefault="00E12529" w:rsidP="001F7B00">
      <w:pPr>
        <w:pStyle w:val="Heading2"/>
      </w:pPr>
      <w:bookmarkStart w:id="136" w:name="_Toc120532257"/>
      <w:r w:rsidRPr="00582EF5">
        <w:t xml:space="preserve">7.4 </w:t>
      </w:r>
      <w:r w:rsidR="00E84E67" w:rsidRPr="00582EF5">
        <w:tab/>
      </w:r>
      <w:r w:rsidR="00DC4936" w:rsidRPr="00582EF5">
        <w:t>Health support services</w:t>
      </w:r>
      <w:bookmarkEnd w:id="136"/>
    </w:p>
    <w:p w14:paraId="18D78640" w14:textId="332C78C8" w:rsidR="00DC4936" w:rsidRPr="00582EF5" w:rsidRDefault="31755EB3" w:rsidP="001F7B00">
      <w:pPr>
        <w:pStyle w:val="BodyText"/>
        <w:spacing w:after="240"/>
      </w:pPr>
      <w:r w:rsidRPr="00582EF5">
        <w:t>NIP1 referenced research on the health significance to workers and former workers of past occupational exposures to dioxin. Since 2007</w:t>
      </w:r>
      <w:r w:rsidR="169C298E" w:rsidRPr="00582EF5">
        <w:t>,</w:t>
      </w:r>
      <w:r w:rsidRPr="00582EF5">
        <w:t xml:space="preserve"> </w:t>
      </w:r>
      <w:hyperlink r:id="rId149" w:history="1">
        <w:r w:rsidR="169C298E" w:rsidRPr="00092E3E">
          <w:rPr>
            <w:rStyle w:val="Hyperlink"/>
          </w:rPr>
          <w:t>MOH</w:t>
        </w:r>
        <w:r w:rsidRPr="00092E3E">
          <w:rPr>
            <w:rStyle w:val="Hyperlink"/>
          </w:rPr>
          <w:t xml:space="preserve"> has funded two health support services </w:t>
        </w:r>
        <w:r w:rsidR="5A797E1E" w:rsidRPr="00092E3E">
          <w:rPr>
            <w:rStyle w:val="Hyperlink"/>
          </w:rPr>
          <w:t xml:space="preserve">for </w:t>
        </w:r>
        <w:r w:rsidRPr="00092E3E">
          <w:rPr>
            <w:rStyle w:val="Hyperlink"/>
          </w:rPr>
          <w:t>chemically</w:t>
        </w:r>
        <w:r w:rsidR="5A797E1E" w:rsidRPr="00092E3E">
          <w:rPr>
            <w:rStyle w:val="Hyperlink"/>
          </w:rPr>
          <w:t xml:space="preserve"> </w:t>
        </w:r>
        <w:r w:rsidRPr="00092E3E">
          <w:rPr>
            <w:rStyle w:val="Hyperlink"/>
          </w:rPr>
          <w:t>exposed populations.</w:t>
        </w:r>
      </w:hyperlink>
      <w:r w:rsidRPr="00582EF5">
        <w:t xml:space="preserve"> One service is provided for residents of </w:t>
      </w:r>
      <w:proofErr w:type="spellStart"/>
      <w:r w:rsidRPr="00582EF5">
        <w:t>Paritutu</w:t>
      </w:r>
      <w:proofErr w:type="spellEnd"/>
      <w:r w:rsidRPr="00582EF5">
        <w:t>, New Plymouth, who were</w:t>
      </w:r>
      <w:r w:rsidR="56B530A0" w:rsidRPr="00582EF5">
        <w:t xml:space="preserve"> </w:t>
      </w:r>
      <w:r w:rsidRPr="00582EF5">
        <w:t xml:space="preserve">exposed to dioxins during the 1960s to 1980s </w:t>
      </w:r>
      <w:r w:rsidR="00932E43" w:rsidRPr="00582EF5">
        <w:t>because of</w:t>
      </w:r>
      <w:r w:rsidRPr="00582EF5">
        <w:t xml:space="preserve"> </w:t>
      </w:r>
      <w:r w:rsidR="46B3283D" w:rsidRPr="00582EF5">
        <w:t xml:space="preserve">an agrichemical plant </w:t>
      </w:r>
      <w:r w:rsidRPr="00582EF5">
        <w:t>operati</w:t>
      </w:r>
      <w:r w:rsidR="46B3283D" w:rsidRPr="00582EF5">
        <w:t>ng</w:t>
      </w:r>
      <w:r w:rsidRPr="00582EF5">
        <w:t xml:space="preserve"> in the area (see </w:t>
      </w:r>
      <w:r w:rsidR="56EC4908" w:rsidRPr="00582EF5">
        <w:t>B</w:t>
      </w:r>
      <w:r w:rsidRPr="00582EF5">
        <w:t xml:space="preserve">ox </w:t>
      </w:r>
      <w:r w:rsidR="5D26C27E" w:rsidRPr="00582EF5">
        <w:t>4</w:t>
      </w:r>
      <w:r w:rsidRPr="00582EF5">
        <w:t xml:space="preserve">). The second service is provided to former sawmill workers across New Zealand who handled PCP during the 1950s to 1980s (see </w:t>
      </w:r>
      <w:r w:rsidR="56EC4908" w:rsidRPr="00582EF5">
        <w:t>B</w:t>
      </w:r>
      <w:r w:rsidRPr="00582EF5">
        <w:t xml:space="preserve">ox </w:t>
      </w:r>
      <w:r w:rsidR="5D26C27E" w:rsidRPr="00582EF5">
        <w:t>5</w:t>
      </w:r>
      <w:r w:rsidRPr="00582EF5">
        <w:t>).</w:t>
      </w:r>
    </w:p>
    <w:tbl>
      <w:tblPr>
        <w:tblW w:w="8505" w:type="dxa"/>
        <w:tblBorders>
          <w:top w:val="single" w:sz="4" w:space="0" w:color="D2DDE2"/>
          <w:left w:val="single" w:sz="4" w:space="0" w:color="D2DDE2"/>
          <w:bottom w:val="single" w:sz="4" w:space="0" w:color="D2DDE2"/>
          <w:right w:val="single" w:sz="4" w:space="0" w:color="D2DDE2"/>
        </w:tblBorders>
        <w:shd w:val="clear" w:color="auto" w:fill="D2DDE2"/>
        <w:tblLook w:val="04A0" w:firstRow="1" w:lastRow="0" w:firstColumn="1" w:lastColumn="0" w:noHBand="0" w:noVBand="1"/>
      </w:tblPr>
      <w:tblGrid>
        <w:gridCol w:w="8505"/>
      </w:tblGrid>
      <w:tr w:rsidR="00DC4936" w:rsidRPr="00582EF5" w14:paraId="08802A6B" w14:textId="77777777" w:rsidTr="1459B264">
        <w:tc>
          <w:tcPr>
            <w:tcW w:w="8505" w:type="dxa"/>
            <w:shd w:val="clear" w:color="auto" w:fill="D2DDE2" w:themeFill="accent3"/>
          </w:tcPr>
          <w:p w14:paraId="02276399" w14:textId="77777777" w:rsidR="004A724B" w:rsidRPr="00582EF5" w:rsidRDefault="004A724B" w:rsidP="001F7B00">
            <w:pPr>
              <w:pStyle w:val="Blueboxheading"/>
              <w:spacing w:after="120"/>
            </w:pPr>
            <w:bookmarkStart w:id="137" w:name="_Toc120523649"/>
            <w:r w:rsidRPr="00582EF5">
              <w:t>Box 4: Support service for people exposed to dioxin</w:t>
            </w:r>
            <w:bookmarkEnd w:id="137"/>
            <w:r w:rsidRPr="00582EF5">
              <w:t xml:space="preserve"> </w:t>
            </w:r>
          </w:p>
          <w:p w14:paraId="1B41C2D5" w14:textId="4157BA29" w:rsidR="00DC4936" w:rsidRPr="00582EF5" w:rsidRDefault="00DC4936" w:rsidP="001F7B00">
            <w:pPr>
              <w:pStyle w:val="Blue-boxbullet"/>
            </w:pPr>
            <w:r w:rsidRPr="00582EF5">
              <w:t xml:space="preserve">The </w:t>
            </w:r>
            <w:r w:rsidR="00DD4802" w:rsidRPr="00582EF5">
              <w:t xml:space="preserve">Ministry of Health </w:t>
            </w:r>
            <w:r w:rsidRPr="00582EF5">
              <w:t>launched th</w:t>
            </w:r>
            <w:r w:rsidR="00950E04" w:rsidRPr="00582EF5">
              <w:t>is</w:t>
            </w:r>
            <w:r w:rsidRPr="00582EF5">
              <w:t xml:space="preserve"> service</w:t>
            </w:r>
            <w:r w:rsidR="00DD4802" w:rsidRPr="00582EF5">
              <w:t xml:space="preserve"> on 1 July 2008</w:t>
            </w:r>
            <w:r w:rsidRPr="00582EF5">
              <w:t xml:space="preserve"> for people </w:t>
            </w:r>
            <w:r w:rsidR="00DD4802" w:rsidRPr="00582EF5">
              <w:t>exposed to dioxin</w:t>
            </w:r>
            <w:r w:rsidRPr="00582EF5">
              <w:t>.</w:t>
            </w:r>
          </w:p>
          <w:p w14:paraId="44DC14E2" w14:textId="5D8D9C59" w:rsidR="00DC4936" w:rsidRPr="00582EF5" w:rsidRDefault="00950E04" w:rsidP="001F7B00">
            <w:pPr>
              <w:pStyle w:val="Blue-boxbullet"/>
              <w:spacing w:after="60"/>
            </w:pPr>
            <w:r w:rsidRPr="00582EF5">
              <w:t>S</w:t>
            </w:r>
            <w:r w:rsidR="00DC4936" w:rsidRPr="00582EF5">
              <w:t>ervices include:</w:t>
            </w:r>
          </w:p>
          <w:p w14:paraId="4A1A0216" w14:textId="3ABC1989" w:rsidR="00DC4936" w:rsidRPr="00582EF5" w:rsidRDefault="000A1B48" w:rsidP="001F7B00">
            <w:pPr>
              <w:pStyle w:val="Blue-boxsub-bullet"/>
              <w:spacing w:after="80"/>
            </w:pPr>
            <w:r w:rsidRPr="00582EF5">
              <w:t>i</w:t>
            </w:r>
            <w:r w:rsidR="00DC4936" w:rsidRPr="00582EF5">
              <w:t xml:space="preserve">nformation and advice for residents, health practitioners and </w:t>
            </w:r>
            <w:r w:rsidRPr="00582EF5">
              <w:t xml:space="preserve">members of </w:t>
            </w:r>
            <w:r w:rsidR="00DC4936" w:rsidRPr="00582EF5">
              <w:t>the public about dioxins, dioxin exposures in New Zealand, and potential health risks</w:t>
            </w:r>
          </w:p>
          <w:p w14:paraId="62CED39E" w14:textId="5D2C7EB3" w:rsidR="00DC4936" w:rsidRPr="00582EF5" w:rsidRDefault="00DC4936" w:rsidP="001F7B00">
            <w:pPr>
              <w:pStyle w:val="Blue-boxsub-bullet"/>
              <w:spacing w:after="80"/>
            </w:pPr>
            <w:r w:rsidRPr="00582EF5">
              <w:t>an annual health check-up</w:t>
            </w:r>
          </w:p>
          <w:p w14:paraId="33993522" w14:textId="0F058261" w:rsidR="00DC4936" w:rsidRPr="00582EF5" w:rsidRDefault="00DC4936" w:rsidP="001F7B00">
            <w:pPr>
              <w:pStyle w:val="Blue-boxsub-bullet"/>
              <w:spacing w:after="80"/>
            </w:pPr>
            <w:r w:rsidRPr="00582EF5">
              <w:t>other health services: smoking cessation, physical activity and nutrition support, primary mental health care, or genetic counselling</w:t>
            </w:r>
          </w:p>
          <w:p w14:paraId="17981FF0" w14:textId="77777777" w:rsidR="00DC4936" w:rsidRPr="00582EF5" w:rsidRDefault="00DC4936" w:rsidP="001F7B00">
            <w:pPr>
              <w:pStyle w:val="Blue-boxsub-bullet"/>
            </w:pPr>
            <w:r w:rsidRPr="00582EF5">
              <w:t>serum dioxin testing in some circumstances.</w:t>
            </w:r>
          </w:p>
          <w:p w14:paraId="420DF1B6" w14:textId="77777777" w:rsidR="00DC4936" w:rsidRPr="00582EF5" w:rsidRDefault="00DC4936" w:rsidP="001F7B00">
            <w:pPr>
              <w:pStyle w:val="Blueboxtext"/>
              <w:spacing w:before="60" w:after="80"/>
            </w:pPr>
            <w:r w:rsidRPr="00582EF5">
              <w:t>People are eligible if they:</w:t>
            </w:r>
          </w:p>
          <w:p w14:paraId="2BFE9D73" w14:textId="6167858C" w:rsidR="00DC4936" w:rsidRPr="00582EF5" w:rsidRDefault="00DC4936" w:rsidP="001F7B00">
            <w:pPr>
              <w:pStyle w:val="Blue-boxbullet"/>
              <w:spacing w:after="80"/>
            </w:pPr>
            <w:r w:rsidRPr="00582EF5">
              <w:t xml:space="preserve">lived or worked or went to school near the former Ivon Watkins-Dow factory in </w:t>
            </w:r>
            <w:proofErr w:type="spellStart"/>
            <w:r w:rsidRPr="00582EF5">
              <w:t>Paritutu</w:t>
            </w:r>
            <w:proofErr w:type="spellEnd"/>
            <w:r w:rsidRPr="00582EF5">
              <w:t>, New Plymouth</w:t>
            </w:r>
            <w:r w:rsidR="000A1B48" w:rsidRPr="00582EF5">
              <w:t>,</w:t>
            </w:r>
            <w:r w:rsidRPr="00582EF5">
              <w:t xml:space="preserve"> between 1962 and 1987</w:t>
            </w:r>
          </w:p>
          <w:p w14:paraId="61EAFF72" w14:textId="5B7B428B" w:rsidR="00DC4936" w:rsidRPr="00582EF5" w:rsidRDefault="00DC4936" w:rsidP="001F7B00">
            <w:pPr>
              <w:pStyle w:val="Blue-boxbullet"/>
            </w:pPr>
            <w:r w:rsidRPr="00582EF5">
              <w:t xml:space="preserve">are </w:t>
            </w:r>
            <w:r w:rsidR="00950E04" w:rsidRPr="00582EF5">
              <w:t xml:space="preserve">entitled </w:t>
            </w:r>
            <w:r w:rsidRPr="00582EF5">
              <w:t>to use publicly funded health services in New Zealand (</w:t>
            </w:r>
            <w:proofErr w:type="spellStart"/>
            <w:r w:rsidRPr="00582EF5">
              <w:t>eg</w:t>
            </w:r>
            <w:proofErr w:type="spellEnd"/>
            <w:r w:rsidRPr="00582EF5">
              <w:t>, New Zealand citizens).</w:t>
            </w:r>
          </w:p>
          <w:p w14:paraId="0F569AE0" w14:textId="22B4C3E9" w:rsidR="00DC4936" w:rsidRPr="00582EF5" w:rsidRDefault="00DC4936" w:rsidP="001F7B00">
            <w:pPr>
              <w:pStyle w:val="Blueboxtext"/>
              <w:spacing w:before="0" w:after="240"/>
            </w:pPr>
            <w:r w:rsidRPr="00582EF5">
              <w:t xml:space="preserve">Link for more details: </w:t>
            </w:r>
            <w:hyperlink r:id="rId150" w:history="1">
              <w:r w:rsidRPr="00582EF5">
                <w:rPr>
                  <w:rStyle w:val="Hyperlink"/>
                  <w:color w:val="0F7B7D" w:themeColor="accent2"/>
                </w:rPr>
                <w:t>www.health.govt.nz/our-work/environmental-health/dioxins/dioxins-health-support-services/support-service-dioxin-exposed-people</w:t>
              </w:r>
            </w:hyperlink>
            <w:r w:rsidR="00950E04" w:rsidRPr="00582EF5">
              <w:t>.</w:t>
            </w:r>
          </w:p>
        </w:tc>
      </w:tr>
    </w:tbl>
    <w:p w14:paraId="75BA9C32" w14:textId="77777777" w:rsidR="00DC4936" w:rsidRPr="00582EF5" w:rsidRDefault="00DC4936" w:rsidP="001F7B00">
      <w:pPr>
        <w:pStyle w:val="BodyText"/>
        <w:spacing w:before="0"/>
      </w:pPr>
    </w:p>
    <w:p w14:paraId="06F8E2C5" w14:textId="77777777" w:rsidR="00E54D01" w:rsidRDefault="00E54D01">
      <w:bookmarkStart w:id="138" w:name="_Toc120523650"/>
      <w:r>
        <w:rPr>
          <w:b/>
        </w:rPr>
        <w:br w:type="page"/>
      </w:r>
    </w:p>
    <w:tbl>
      <w:tblPr>
        <w:tblW w:w="8505" w:type="dxa"/>
        <w:tblBorders>
          <w:top w:val="single" w:sz="4" w:space="0" w:color="D2DDE2"/>
          <w:left w:val="single" w:sz="4" w:space="0" w:color="D2DDE2"/>
          <w:bottom w:val="single" w:sz="4" w:space="0" w:color="D2DDE2"/>
          <w:right w:val="single" w:sz="4" w:space="0" w:color="D2DDE2"/>
        </w:tblBorders>
        <w:shd w:val="clear" w:color="auto" w:fill="D2DDE2"/>
        <w:tblLook w:val="04A0" w:firstRow="1" w:lastRow="0" w:firstColumn="1" w:lastColumn="0" w:noHBand="0" w:noVBand="1"/>
      </w:tblPr>
      <w:tblGrid>
        <w:gridCol w:w="8505"/>
      </w:tblGrid>
      <w:tr w:rsidR="00DC4936" w:rsidRPr="00582EF5" w14:paraId="291583A0" w14:textId="77777777" w:rsidTr="1459B264">
        <w:tc>
          <w:tcPr>
            <w:tcW w:w="8505" w:type="dxa"/>
            <w:shd w:val="clear" w:color="auto" w:fill="D2DDE2" w:themeFill="accent3"/>
          </w:tcPr>
          <w:p w14:paraId="266DC87D" w14:textId="095E6FEF" w:rsidR="004A724B" w:rsidRPr="00582EF5" w:rsidRDefault="004A724B" w:rsidP="001F7B00">
            <w:pPr>
              <w:pStyle w:val="Blueboxheading"/>
              <w:keepNext w:val="0"/>
            </w:pPr>
            <w:r w:rsidRPr="00582EF5">
              <w:lastRenderedPageBreak/>
              <w:t xml:space="preserve">Box 5: </w:t>
            </w:r>
            <w:r w:rsidR="003C027A" w:rsidRPr="00582EF5">
              <w:t>S</w:t>
            </w:r>
            <w:r w:rsidRPr="00582EF5">
              <w:t>pecial support service for former sawmill workers exposed to pentachlorophenol</w:t>
            </w:r>
            <w:bookmarkEnd w:id="138"/>
            <w:r w:rsidRPr="00582EF5">
              <w:t xml:space="preserve"> </w:t>
            </w:r>
            <w:r w:rsidRPr="00582EF5">
              <w:br w:type="page"/>
            </w:r>
          </w:p>
          <w:p w14:paraId="14B9C9C5" w14:textId="7281EEB2" w:rsidR="00DC4936" w:rsidRPr="00582EF5" w:rsidRDefault="00DC4936" w:rsidP="001F7B00">
            <w:pPr>
              <w:pStyle w:val="Blueboxtext"/>
            </w:pPr>
            <w:r w:rsidRPr="00582EF5">
              <w:t xml:space="preserve">The Special Support Service for Former Sawmill Workers Exposed to </w:t>
            </w:r>
            <w:r w:rsidR="003C027A" w:rsidRPr="00582EF5">
              <w:t>Pentachlorophenol (</w:t>
            </w:r>
            <w:r w:rsidRPr="00582EF5">
              <w:t>PCP</w:t>
            </w:r>
            <w:r w:rsidR="003C027A" w:rsidRPr="00582EF5">
              <w:t>)</w:t>
            </w:r>
            <w:r w:rsidRPr="00582EF5">
              <w:t xml:space="preserve"> is designed to assess the health needs of workers who were exposed to PCP and other toxic chemicals at sawmills during 1950s to 1980s, and to help them access services to support wellness.</w:t>
            </w:r>
          </w:p>
          <w:p w14:paraId="367E3BF2" w14:textId="4A42D9FB" w:rsidR="00DC4936" w:rsidRPr="00582EF5" w:rsidRDefault="00DC4936" w:rsidP="001F7B00">
            <w:pPr>
              <w:pStyle w:val="Blue-boxbullet"/>
              <w:spacing w:after="80"/>
            </w:pPr>
            <w:r w:rsidRPr="00582EF5">
              <w:t xml:space="preserve">The </w:t>
            </w:r>
            <w:r w:rsidR="003C027A" w:rsidRPr="00582EF5">
              <w:t>s</w:t>
            </w:r>
            <w:r w:rsidRPr="00582EF5">
              <w:t xml:space="preserve">awmill </w:t>
            </w:r>
            <w:r w:rsidR="003C027A" w:rsidRPr="00582EF5">
              <w:t>w</w:t>
            </w:r>
            <w:r w:rsidRPr="00582EF5">
              <w:t xml:space="preserve">orkers </w:t>
            </w:r>
            <w:r w:rsidR="003C027A" w:rsidRPr="00582EF5">
              <w:t>s</w:t>
            </w:r>
            <w:r w:rsidRPr="00582EF5">
              <w:t>ervice was announced on 23 June 2010.</w:t>
            </w:r>
          </w:p>
          <w:p w14:paraId="23CE814B" w14:textId="01B13BC4" w:rsidR="00DC4936" w:rsidRPr="00582EF5" w:rsidRDefault="003C027A" w:rsidP="001F7B00">
            <w:pPr>
              <w:pStyle w:val="Blue-boxbullet"/>
              <w:spacing w:after="80"/>
            </w:pPr>
            <w:r w:rsidRPr="00582EF5">
              <w:t>S</w:t>
            </w:r>
            <w:r w:rsidR="00DC4936" w:rsidRPr="00582EF5">
              <w:t>ervices include:</w:t>
            </w:r>
          </w:p>
          <w:p w14:paraId="4442CD92" w14:textId="074E8FEB" w:rsidR="00DC4936" w:rsidRPr="00582EF5" w:rsidRDefault="00DC4936" w:rsidP="001F7B00">
            <w:pPr>
              <w:pStyle w:val="Blue-boxsub-bullet"/>
              <w:spacing w:after="80"/>
            </w:pPr>
            <w:r w:rsidRPr="00582EF5">
              <w:t>information and advice for doctors, other health practitioners, and former sawmill workers and their families about historical exposure to PCP and subsequent health risks</w:t>
            </w:r>
          </w:p>
          <w:p w14:paraId="51D54423" w14:textId="6BF3E950" w:rsidR="00DC4936" w:rsidRPr="00582EF5" w:rsidRDefault="00DC4936" w:rsidP="001F7B00">
            <w:pPr>
              <w:pStyle w:val="Blue-boxsub-bullet"/>
              <w:spacing w:after="80"/>
            </w:pPr>
            <w:r w:rsidRPr="00582EF5">
              <w:t>a free annual health check provided by a doctor</w:t>
            </w:r>
          </w:p>
          <w:p w14:paraId="7DA3D458" w14:textId="074A82B7" w:rsidR="00DC4936" w:rsidRPr="00582EF5" w:rsidRDefault="00DC4936" w:rsidP="001F7B00">
            <w:pPr>
              <w:pStyle w:val="Blue-boxsub-bullet"/>
              <w:spacing w:after="80"/>
            </w:pPr>
            <w:r w:rsidRPr="00582EF5">
              <w:t>access to health promotion initiatives, like programmes to reduce cancer risk</w:t>
            </w:r>
          </w:p>
          <w:p w14:paraId="111627D0" w14:textId="508556F5" w:rsidR="00DC4936" w:rsidRPr="00582EF5" w:rsidRDefault="00DC4936" w:rsidP="001F7B00">
            <w:pPr>
              <w:pStyle w:val="Blue-boxsub-bullet"/>
              <w:spacing w:after="80"/>
            </w:pPr>
            <w:r w:rsidRPr="00582EF5">
              <w:t>counselling and other primary mental health services</w:t>
            </w:r>
          </w:p>
          <w:p w14:paraId="5A3F7F34" w14:textId="78B590C2" w:rsidR="00DC4936" w:rsidRPr="00582EF5" w:rsidRDefault="00DC4936" w:rsidP="001F7B00">
            <w:pPr>
              <w:pStyle w:val="Blue-boxsub-bullet"/>
            </w:pPr>
            <w:r w:rsidRPr="00582EF5">
              <w:t>help to access other social services that they are entitled to</w:t>
            </w:r>
            <w:r w:rsidR="00EE7D32" w:rsidRPr="00582EF5">
              <w:t>.</w:t>
            </w:r>
          </w:p>
          <w:p w14:paraId="7EE06B23" w14:textId="77777777" w:rsidR="00DC4936" w:rsidRPr="00582EF5" w:rsidRDefault="00DC4936" w:rsidP="001F7B00">
            <w:pPr>
              <w:pStyle w:val="Blueboxtext"/>
              <w:spacing w:after="80"/>
            </w:pPr>
            <w:r w:rsidRPr="00582EF5">
              <w:t>People are eligible if they:</w:t>
            </w:r>
          </w:p>
          <w:p w14:paraId="027B20EB" w14:textId="2665E2DA" w:rsidR="00DC4936" w:rsidRPr="00582EF5" w:rsidRDefault="00DC4936" w:rsidP="001F7B00">
            <w:pPr>
              <w:pStyle w:val="Blue-boxbullet"/>
              <w:spacing w:after="80"/>
            </w:pPr>
            <w:r w:rsidRPr="00582EF5">
              <w:t>worked in a sawmill where PCP was used</w:t>
            </w:r>
          </w:p>
          <w:p w14:paraId="48AA8CF2" w14:textId="3411DD47" w:rsidR="00DC4936" w:rsidRPr="00582EF5" w:rsidRDefault="00DC4936" w:rsidP="001F7B00">
            <w:pPr>
              <w:pStyle w:val="Blue-boxbullet"/>
              <w:spacing w:after="80"/>
            </w:pPr>
            <w:r w:rsidRPr="00582EF5">
              <w:t xml:space="preserve">worked in jobs that used PCP chemicals or </w:t>
            </w:r>
            <w:proofErr w:type="gramStart"/>
            <w:r w:rsidRPr="00582EF5">
              <w:t>came into contact with</w:t>
            </w:r>
            <w:proofErr w:type="gramEnd"/>
            <w:r w:rsidRPr="00582EF5">
              <w:t xml:space="preserve"> PCP baths/tanks or if they worked with timber that was still wet from the PCP treatment process</w:t>
            </w:r>
          </w:p>
          <w:p w14:paraId="51EDF4E2" w14:textId="2C62ABF6" w:rsidR="00DC4936" w:rsidRPr="00582EF5" w:rsidRDefault="00DC4936" w:rsidP="001F7B00">
            <w:pPr>
              <w:pStyle w:val="Blue-boxbullet"/>
              <w:spacing w:after="80"/>
            </w:pPr>
            <w:r w:rsidRPr="00582EF5">
              <w:t>worked in these jobs for at least one year</w:t>
            </w:r>
          </w:p>
          <w:p w14:paraId="30D87232" w14:textId="606BB490" w:rsidR="00DC4936" w:rsidRPr="00582EF5" w:rsidRDefault="00DC4936" w:rsidP="001F7B00">
            <w:pPr>
              <w:pStyle w:val="Blue-boxbullet"/>
            </w:pPr>
            <w:r w:rsidRPr="00582EF5">
              <w:t xml:space="preserve">are </w:t>
            </w:r>
            <w:r w:rsidR="00C31CC0" w:rsidRPr="00582EF5">
              <w:t xml:space="preserve">entitled </w:t>
            </w:r>
            <w:r w:rsidRPr="00582EF5">
              <w:t>to use publicly funded health services in New Zealand (</w:t>
            </w:r>
            <w:proofErr w:type="spellStart"/>
            <w:r w:rsidRPr="00582EF5">
              <w:t>eg</w:t>
            </w:r>
            <w:proofErr w:type="spellEnd"/>
            <w:r w:rsidRPr="00582EF5">
              <w:t>, New Zealand citizens).</w:t>
            </w:r>
          </w:p>
          <w:p w14:paraId="7AA1B7CF" w14:textId="1EFADAFF" w:rsidR="00DC4936" w:rsidRPr="00582EF5" w:rsidRDefault="00DC4936" w:rsidP="001F7B00">
            <w:pPr>
              <w:pStyle w:val="Blueboxtext"/>
              <w:spacing w:before="0" w:after="240"/>
            </w:pPr>
            <w:r w:rsidRPr="00582EF5">
              <w:t xml:space="preserve">Link for more details: </w:t>
            </w:r>
            <w:hyperlink r:id="rId151" w:history="1">
              <w:r w:rsidRPr="00582EF5">
                <w:rPr>
                  <w:rStyle w:val="Hyperlink"/>
                  <w:color w:val="0F7B7D" w:themeColor="accent2"/>
                </w:rPr>
                <w:t>www.health.govt.nz/our-work/environmental-health/dioxins/dioxins-health-support-services/special-support-service-former-sawmill-workers-exposed-pcp</w:t>
              </w:r>
            </w:hyperlink>
            <w:r w:rsidR="001F663B" w:rsidRPr="00582EF5">
              <w:t>.</w:t>
            </w:r>
          </w:p>
        </w:tc>
      </w:tr>
    </w:tbl>
    <w:p w14:paraId="206E75DD" w14:textId="77777777" w:rsidR="00EE7D32" w:rsidRPr="00582EF5" w:rsidRDefault="00EE7D32" w:rsidP="007B3A22">
      <w:pPr>
        <w:pStyle w:val="BodyText"/>
        <w:spacing w:before="0" w:after="0"/>
        <w:jc w:val="both"/>
      </w:pPr>
      <w:bookmarkStart w:id="139" w:name="_Toc531102805"/>
      <w:r w:rsidRPr="00582EF5">
        <w:br w:type="page"/>
      </w:r>
    </w:p>
    <w:p w14:paraId="2E78C0A2" w14:textId="03CBD082" w:rsidR="00E72470" w:rsidRPr="00582EF5" w:rsidRDefault="008F5AA9" w:rsidP="005029D8">
      <w:pPr>
        <w:pStyle w:val="Heading1"/>
      </w:pPr>
      <w:bookmarkStart w:id="140" w:name="_Toc120532258"/>
      <w:r w:rsidRPr="00582EF5">
        <w:lastRenderedPageBreak/>
        <w:t xml:space="preserve">Chapter 8: Other Stockholm </w:t>
      </w:r>
      <w:r w:rsidR="005E6436" w:rsidRPr="00582EF5">
        <w:t xml:space="preserve">Convention </w:t>
      </w:r>
      <w:r w:rsidRPr="00582EF5">
        <w:t>obligations</w:t>
      </w:r>
      <w:bookmarkEnd w:id="139"/>
      <w:bookmarkEnd w:id="140"/>
    </w:p>
    <w:p w14:paraId="6982D141" w14:textId="601B17FD" w:rsidR="00E72470" w:rsidRPr="00582EF5" w:rsidRDefault="00E72470" w:rsidP="008304A2">
      <w:pPr>
        <w:pStyle w:val="Heading2"/>
        <w:spacing w:before="0"/>
      </w:pPr>
      <w:bookmarkStart w:id="141" w:name="_Toc531102806"/>
      <w:bookmarkStart w:id="142" w:name="_Toc120532259"/>
      <w:r w:rsidRPr="00582EF5">
        <w:t xml:space="preserve">8.1 </w:t>
      </w:r>
      <w:r w:rsidR="00156C09" w:rsidRPr="00582EF5">
        <w:tab/>
      </w:r>
      <w:r w:rsidRPr="00582EF5">
        <w:t>Convention obligations</w:t>
      </w:r>
      <w:bookmarkEnd w:id="141"/>
      <w:bookmarkEnd w:id="142"/>
    </w:p>
    <w:p w14:paraId="5AA2929D" w14:textId="5C896B44" w:rsidR="00E72470" w:rsidRPr="00582EF5" w:rsidRDefault="005E6436" w:rsidP="005029D8">
      <w:pPr>
        <w:pStyle w:val="BodyText"/>
      </w:pPr>
      <w:r w:rsidRPr="00582EF5">
        <w:t>P</w:t>
      </w:r>
      <w:r w:rsidR="00E72470" w:rsidRPr="00582EF5">
        <w:t xml:space="preserve">revious chapters have covered New Zealand’s activities to meet </w:t>
      </w:r>
      <w:r w:rsidRPr="00582EF5">
        <w:t xml:space="preserve">its </w:t>
      </w:r>
      <w:r w:rsidR="00E72470" w:rsidRPr="00582EF5">
        <w:t xml:space="preserve">obligations under </w:t>
      </w:r>
      <w:r w:rsidR="000D54BE" w:rsidRPr="00582EF5">
        <w:t>A</w:t>
      </w:r>
      <w:r w:rsidR="000764A0" w:rsidRPr="00582EF5">
        <w:t xml:space="preserve">rticles </w:t>
      </w:r>
      <w:r w:rsidR="00E72470" w:rsidRPr="00582EF5">
        <w:t>3</w:t>
      </w:r>
      <w:r w:rsidR="00841603" w:rsidRPr="00582EF5">
        <w:t xml:space="preserve"> to 8 </w:t>
      </w:r>
      <w:r w:rsidR="00E72470" w:rsidRPr="00582EF5">
        <w:t>and 11</w:t>
      </w:r>
      <w:r w:rsidRPr="00582EF5">
        <w:t xml:space="preserve"> of the Convention</w:t>
      </w:r>
      <w:r w:rsidR="00E72470" w:rsidRPr="00582EF5">
        <w:t xml:space="preserve">. This chapter covers </w:t>
      </w:r>
      <w:r w:rsidRPr="00582EF5">
        <w:t xml:space="preserve">New Zealand’s </w:t>
      </w:r>
      <w:r w:rsidR="00E72470" w:rsidRPr="00582EF5">
        <w:t xml:space="preserve">activities for </w:t>
      </w:r>
      <w:r w:rsidR="00E4147B" w:rsidRPr="00582EF5">
        <w:t>A</w:t>
      </w:r>
      <w:r w:rsidR="00E72470" w:rsidRPr="00582EF5">
        <w:t>rticles 9, 10, 12 and 13.</w:t>
      </w:r>
      <w:r w:rsidR="006D7E9D" w:rsidRPr="00582EF5">
        <w:t xml:space="preserve"> </w:t>
      </w:r>
    </w:p>
    <w:p w14:paraId="7BC05D49" w14:textId="306B8E84" w:rsidR="00E72470" w:rsidRPr="00582EF5" w:rsidRDefault="00E72470" w:rsidP="005029D8">
      <w:pPr>
        <w:pStyle w:val="BodyText"/>
      </w:pPr>
      <w:r w:rsidRPr="00582EF5">
        <w:t xml:space="preserve">The remaining articles concern the international administration of the Convention and are not considered relevant to this </w:t>
      </w:r>
      <w:r w:rsidR="005E6436" w:rsidRPr="00582EF5">
        <w:t>national implementation plan</w:t>
      </w:r>
      <w:r w:rsidRPr="00582EF5">
        <w:t>.</w:t>
      </w:r>
    </w:p>
    <w:p w14:paraId="1DC7A831" w14:textId="0A742546" w:rsidR="00E72470" w:rsidRPr="00582EF5" w:rsidRDefault="00E72470" w:rsidP="005029D8">
      <w:pPr>
        <w:pStyle w:val="Heading2"/>
      </w:pPr>
      <w:bookmarkStart w:id="143" w:name="_Toc531102807"/>
      <w:bookmarkStart w:id="144" w:name="_Toc120532260"/>
      <w:r w:rsidRPr="00582EF5">
        <w:t xml:space="preserve">8.2 </w:t>
      </w:r>
      <w:r w:rsidR="00156C09" w:rsidRPr="00582EF5">
        <w:tab/>
      </w:r>
      <w:r w:rsidRPr="00582EF5">
        <w:t>Information exchange</w:t>
      </w:r>
      <w:bookmarkEnd w:id="143"/>
      <w:bookmarkEnd w:id="144"/>
    </w:p>
    <w:p w14:paraId="0F8C1E38" w14:textId="5A89FE25" w:rsidR="00E72470" w:rsidRPr="00582EF5" w:rsidRDefault="00E72470" w:rsidP="005029D8">
      <w:pPr>
        <w:pStyle w:val="BodyText"/>
      </w:pPr>
      <w:r w:rsidRPr="00582EF5">
        <w:t xml:space="preserve">Article 9 of the Convention requires </w:t>
      </w:r>
      <w:r w:rsidR="005E6436" w:rsidRPr="00582EF5">
        <w:t>p</w:t>
      </w:r>
      <w:r w:rsidRPr="00582EF5">
        <w:t>arties to facilitate or undertake information exchange relevant to:</w:t>
      </w:r>
    </w:p>
    <w:p w14:paraId="0D700996" w14:textId="7AE7B026" w:rsidR="00E72470" w:rsidRPr="00582EF5" w:rsidRDefault="3C5F490B" w:rsidP="005029D8">
      <w:pPr>
        <w:pStyle w:val="Bullet"/>
      </w:pPr>
      <w:r>
        <w:t>t</w:t>
      </w:r>
      <w:r w:rsidR="72C89534">
        <w:t xml:space="preserve">he reduction or elimination of the production, use and release of </w:t>
      </w:r>
      <w:r w:rsidR="6F18D3FB">
        <w:t>persistent organic pollutants (</w:t>
      </w:r>
      <w:r w:rsidR="72C89534">
        <w:t>POPs</w:t>
      </w:r>
      <w:r w:rsidR="6F18D3FB">
        <w:t>)</w:t>
      </w:r>
    </w:p>
    <w:p w14:paraId="1E2C7EA9" w14:textId="11C71360" w:rsidR="00E72470" w:rsidRPr="00582EF5" w:rsidRDefault="3C5F490B" w:rsidP="005029D8">
      <w:pPr>
        <w:pStyle w:val="Bullet"/>
      </w:pPr>
      <w:r>
        <w:t>a</w:t>
      </w:r>
      <w:r w:rsidR="72C89534">
        <w:t xml:space="preserve">lternatives to POPs, including information relating to their risks </w:t>
      </w:r>
      <w:r w:rsidR="6F18D3FB">
        <w:t>and</w:t>
      </w:r>
      <w:r w:rsidR="72C89534">
        <w:t xml:space="preserve"> socio-economic costs.</w:t>
      </w:r>
    </w:p>
    <w:p w14:paraId="2C03D198" w14:textId="59E327EC" w:rsidR="00E72470" w:rsidRPr="00582EF5" w:rsidRDefault="00144B13" w:rsidP="005029D8">
      <w:pPr>
        <w:pStyle w:val="BodyText"/>
      </w:pPr>
      <w:r w:rsidRPr="00582EF5">
        <w:t>The Ministry for the Environment (</w:t>
      </w:r>
      <w:r w:rsidR="00E72470" w:rsidRPr="00582EF5">
        <w:t>MfE</w:t>
      </w:r>
      <w:r w:rsidRPr="00582EF5">
        <w:t>)</w:t>
      </w:r>
      <w:r w:rsidR="00E72470" w:rsidRPr="00582EF5">
        <w:t xml:space="preserve"> is New Zealand’s designated focal point for the Convention and provides and exchanges information with parties to the Convention either directly or via the Convention Secretariat. </w:t>
      </w:r>
    </w:p>
    <w:p w14:paraId="298C708A" w14:textId="24C6922C" w:rsidR="00E72470" w:rsidRPr="00582EF5" w:rsidRDefault="00E72470" w:rsidP="005029D8">
      <w:pPr>
        <w:pStyle w:val="Heading2"/>
      </w:pPr>
      <w:bookmarkStart w:id="145" w:name="_Toc531102808"/>
      <w:bookmarkStart w:id="146" w:name="_Toc120532261"/>
      <w:r w:rsidRPr="00582EF5">
        <w:t xml:space="preserve">8.3 </w:t>
      </w:r>
      <w:r w:rsidR="00156C09" w:rsidRPr="00582EF5">
        <w:tab/>
      </w:r>
      <w:r w:rsidRPr="00582EF5">
        <w:t>Public and stakeholder information and awareness</w:t>
      </w:r>
      <w:bookmarkEnd w:id="145"/>
      <w:bookmarkEnd w:id="146"/>
    </w:p>
    <w:p w14:paraId="0BC61A14" w14:textId="073A82E2" w:rsidR="00E72470" w:rsidRPr="00582EF5" w:rsidRDefault="00E72470" w:rsidP="005029D8">
      <w:pPr>
        <w:pStyle w:val="BodyText"/>
      </w:pPr>
      <w:r w:rsidRPr="00582EF5">
        <w:t xml:space="preserve">New Zealand’s government agencies consider the requirements of Article 10 when implementing the measures of the Convention. Article 10 (paraphrased) requires parties to promote and facilitate awareness of POPs among policy- and decision-makers, and, along with industry and professional users, to provide up-to-date information to the public as well as appropriate education and training programmes. Public participation in </w:t>
      </w:r>
      <w:r w:rsidR="00641581">
        <w:t>implementing and developing responses to</w:t>
      </w:r>
      <w:r w:rsidRPr="00582EF5">
        <w:t xml:space="preserve"> the Convention is emphasised. The mechanism by which to estimate the annual quantities of POPs released or disposed of should also be considered.</w:t>
      </w:r>
    </w:p>
    <w:p w14:paraId="49E330BB" w14:textId="202D9AA9" w:rsidR="00E72470" w:rsidRPr="00582EF5" w:rsidRDefault="72C89534" w:rsidP="005029D8">
      <w:pPr>
        <w:pStyle w:val="BodyText"/>
      </w:pPr>
      <w:r w:rsidRPr="00E54D01">
        <w:t xml:space="preserve">Information on </w:t>
      </w:r>
      <w:hyperlink r:id="rId152" w:history="1">
        <w:r w:rsidR="00E54D01" w:rsidRPr="00E54D01">
          <w:rPr>
            <w:rStyle w:val="Hyperlink"/>
          </w:rPr>
          <w:t>Stockholm</w:t>
        </w:r>
        <w:r w:rsidRPr="00E54D01">
          <w:rPr>
            <w:rStyle w:val="Hyperlink"/>
          </w:rPr>
          <w:t xml:space="preserve"> Convention </w:t>
        </w:r>
        <w:r w:rsidR="00E54D01" w:rsidRPr="00E54D01">
          <w:rPr>
            <w:rStyle w:val="Hyperlink"/>
          </w:rPr>
          <w:t>on Persistent Organic Pollutants</w:t>
        </w:r>
      </w:hyperlink>
      <w:r w:rsidR="00E54D01">
        <w:t xml:space="preserve"> </w:t>
      </w:r>
      <w:r w:rsidRPr="00E54D01">
        <w:t xml:space="preserve">is </w:t>
      </w:r>
      <w:r w:rsidR="00E54D01">
        <w:t>available</w:t>
      </w:r>
      <w:r w:rsidR="00E54D01" w:rsidRPr="00E54D01">
        <w:t xml:space="preserve"> </w:t>
      </w:r>
      <w:r w:rsidRPr="00E54D01">
        <w:t>on the MfE website</w:t>
      </w:r>
      <w:r w:rsidRPr="00582EF5">
        <w:t xml:space="preserve">. This includes links to research undertaken on POPs, such as studies on </w:t>
      </w:r>
      <w:hyperlink r:id="rId153" w:history="1">
        <w:r w:rsidR="456287F0" w:rsidRPr="00093C38">
          <w:rPr>
            <w:rStyle w:val="Hyperlink"/>
          </w:rPr>
          <w:t>brominated flame retardants (</w:t>
        </w:r>
        <w:r w:rsidR="5F4D4521" w:rsidRPr="00093C38">
          <w:rPr>
            <w:rStyle w:val="Hyperlink"/>
          </w:rPr>
          <w:t>BFR</w:t>
        </w:r>
        <w:r w:rsidRPr="00093C38">
          <w:rPr>
            <w:rStyle w:val="Hyperlink"/>
          </w:rPr>
          <w:t>s</w:t>
        </w:r>
        <w:r w:rsidR="456287F0" w:rsidRPr="00093C38">
          <w:rPr>
            <w:rStyle w:val="Hyperlink"/>
          </w:rPr>
          <w:t>)</w:t>
        </w:r>
      </w:hyperlink>
      <w:r w:rsidRPr="00582EF5">
        <w:t xml:space="preserve"> and </w:t>
      </w:r>
      <w:r w:rsidR="456287F0" w:rsidRPr="00582EF5">
        <w:t>hexabromocyclododecane (</w:t>
      </w:r>
      <w:r w:rsidRPr="00582EF5">
        <w:t>HBCD</w:t>
      </w:r>
      <w:r w:rsidR="456287F0" w:rsidRPr="00582EF5">
        <w:t>)</w:t>
      </w:r>
      <w:r w:rsidRPr="00582EF5">
        <w:t xml:space="preserve"> (</w:t>
      </w:r>
      <w:r w:rsidR="456287F0" w:rsidRPr="00582EF5">
        <w:t>see</w:t>
      </w:r>
      <w:r w:rsidRPr="00582EF5">
        <w:t xml:space="preserve"> </w:t>
      </w:r>
      <w:r w:rsidR="456287F0" w:rsidRPr="00582EF5">
        <w:t>c</w:t>
      </w:r>
      <w:r w:rsidRPr="00582EF5">
        <w:t>hapter 6).</w:t>
      </w:r>
    </w:p>
    <w:p w14:paraId="2BD14A01" w14:textId="51F85FD4" w:rsidR="00E72470" w:rsidRPr="00582EF5" w:rsidRDefault="72C89534" w:rsidP="005029D8">
      <w:pPr>
        <w:pStyle w:val="BodyText"/>
      </w:pPr>
      <w:hyperlink r:id="rId154" w:history="1">
        <w:r w:rsidRPr="001E52AF">
          <w:rPr>
            <w:rStyle w:val="Hyperlink"/>
          </w:rPr>
          <w:t>The EPA website also contains information on POPs</w:t>
        </w:r>
      </w:hyperlink>
      <w:r w:rsidRPr="00582EF5">
        <w:t>. Reports relating to the monitoring of POPs in New Zealand are generally placed on the website of the agency that undertook the work.</w:t>
      </w:r>
    </w:p>
    <w:p w14:paraId="1710DA90" w14:textId="50276ABD" w:rsidR="00E72470" w:rsidRPr="00582EF5" w:rsidRDefault="72C89534" w:rsidP="005029D8">
      <w:pPr>
        <w:pStyle w:val="BodyText"/>
      </w:pPr>
      <w:r w:rsidRPr="00582EF5">
        <w:t>In line with New Zealand’s practice to consult with stakeholders on environmental decision-making, EPA undertakes regular consultation with the public when implementing new chemical listings, for example</w:t>
      </w:r>
      <w:r w:rsidR="383A301B" w:rsidRPr="00582EF5">
        <w:t>,</w:t>
      </w:r>
      <w:r w:rsidRPr="00582EF5">
        <w:t xml:space="preserve"> the June 2018 </w:t>
      </w:r>
      <w:hyperlink r:id="rId155" w:history="1">
        <w:r w:rsidR="383A301B" w:rsidRPr="00547D1F">
          <w:rPr>
            <w:rStyle w:val="Hyperlink"/>
          </w:rPr>
          <w:t>c</w:t>
        </w:r>
        <w:r w:rsidRPr="00547D1F">
          <w:rPr>
            <w:rStyle w:val="Hyperlink"/>
          </w:rPr>
          <w:t xml:space="preserve">onsultation on updating New Zealand’s </w:t>
        </w:r>
        <w:r w:rsidR="383A301B" w:rsidRPr="00547D1F">
          <w:rPr>
            <w:rStyle w:val="Hyperlink"/>
          </w:rPr>
          <w:t>i</w:t>
        </w:r>
        <w:r w:rsidRPr="00547D1F">
          <w:rPr>
            <w:rStyle w:val="Hyperlink"/>
          </w:rPr>
          <w:t xml:space="preserve">mplementation of the Stockholm and Rotterdam </w:t>
        </w:r>
        <w:r w:rsidR="383A301B" w:rsidRPr="00547D1F">
          <w:rPr>
            <w:rStyle w:val="Hyperlink"/>
          </w:rPr>
          <w:t>c</w:t>
        </w:r>
        <w:r w:rsidRPr="00547D1F">
          <w:rPr>
            <w:rStyle w:val="Hyperlink"/>
          </w:rPr>
          <w:t>onventions</w:t>
        </w:r>
      </w:hyperlink>
      <w:r w:rsidRPr="00582EF5">
        <w:t>.</w:t>
      </w:r>
    </w:p>
    <w:p w14:paraId="0AAE5203" w14:textId="740C4994" w:rsidR="00E72470" w:rsidRPr="00582EF5" w:rsidRDefault="72C89534" w:rsidP="005029D8">
      <w:pPr>
        <w:pStyle w:val="BodyText"/>
      </w:pPr>
      <w:r w:rsidRPr="00582EF5">
        <w:lastRenderedPageBreak/>
        <w:t xml:space="preserve">An </w:t>
      </w:r>
      <w:r w:rsidR="01A9A481" w:rsidRPr="00582EF5">
        <w:t>a</w:t>
      </w:r>
      <w:r w:rsidRPr="00582EF5">
        <w:t xml:space="preserve">ll of </w:t>
      </w:r>
      <w:r w:rsidR="01A9A481" w:rsidRPr="00582EF5">
        <w:t>g</w:t>
      </w:r>
      <w:r w:rsidRPr="00582EF5">
        <w:t xml:space="preserve">overnment </w:t>
      </w:r>
      <w:r w:rsidR="01A9A481" w:rsidRPr="00582EF5">
        <w:t>n</w:t>
      </w:r>
      <w:r w:rsidRPr="00582EF5">
        <w:t xml:space="preserve">ational </w:t>
      </w:r>
      <w:r w:rsidR="01A9A481" w:rsidRPr="00582EF5">
        <w:t>per- and poly-fluoroalkyl substances (</w:t>
      </w:r>
      <w:r w:rsidRPr="00582EF5">
        <w:t>PFAS</w:t>
      </w:r>
      <w:r w:rsidR="01A9A481" w:rsidRPr="00582EF5">
        <w:t>)</w:t>
      </w:r>
      <w:r w:rsidRPr="00582EF5">
        <w:t xml:space="preserve"> </w:t>
      </w:r>
      <w:r w:rsidR="01A9A481" w:rsidRPr="00582EF5">
        <w:t>p</w:t>
      </w:r>
      <w:r w:rsidRPr="00582EF5">
        <w:t>rogramme has been established</w:t>
      </w:r>
      <w:r w:rsidR="01A9A481" w:rsidRPr="00582EF5">
        <w:t>,</w:t>
      </w:r>
      <w:r w:rsidRPr="00582EF5">
        <w:t xml:space="preserve"> in response to the presence of PFAS chemicals </w:t>
      </w:r>
      <w:r w:rsidR="56EC4908" w:rsidRPr="00582EF5">
        <w:t xml:space="preserve">at </w:t>
      </w:r>
      <w:proofErr w:type="spellStart"/>
      <w:r w:rsidR="56EC4908" w:rsidRPr="00582EF5">
        <w:t>Ohakea</w:t>
      </w:r>
      <w:proofErr w:type="spellEnd"/>
      <w:r w:rsidR="56EC4908" w:rsidRPr="00582EF5">
        <w:t xml:space="preserve">, </w:t>
      </w:r>
      <w:r w:rsidR="2F6EF270" w:rsidRPr="00582EF5">
        <w:t xml:space="preserve">Whenuapai and </w:t>
      </w:r>
      <w:r w:rsidR="56EC4908" w:rsidRPr="00582EF5">
        <w:t xml:space="preserve">Woodbourne </w:t>
      </w:r>
      <w:r w:rsidR="54941FA7" w:rsidRPr="00582EF5">
        <w:t>A</w:t>
      </w:r>
      <w:r w:rsidR="56EC4908" w:rsidRPr="00582EF5">
        <w:t xml:space="preserve">ir </w:t>
      </w:r>
      <w:r w:rsidR="54941FA7" w:rsidRPr="00582EF5">
        <w:t xml:space="preserve">Force </w:t>
      </w:r>
      <w:r w:rsidR="56EC4908" w:rsidRPr="00582EF5">
        <w:t>base</w:t>
      </w:r>
      <w:r w:rsidR="54941FA7" w:rsidRPr="00582EF5">
        <w:t>s</w:t>
      </w:r>
      <w:r w:rsidR="56EC4908" w:rsidRPr="00582EF5">
        <w:t xml:space="preserve"> and </w:t>
      </w:r>
      <w:r w:rsidR="01A9A481" w:rsidRPr="00582EF5">
        <w:t xml:space="preserve">the </w:t>
      </w:r>
      <w:r w:rsidR="56EC4908" w:rsidRPr="00582EF5">
        <w:t>Devonport Naval base</w:t>
      </w:r>
      <w:r w:rsidRPr="00582EF5">
        <w:t xml:space="preserve">. </w:t>
      </w:r>
      <w:hyperlink r:id="rId156" w:history="1">
        <w:r w:rsidRPr="00547D1F">
          <w:rPr>
            <w:rStyle w:val="Hyperlink"/>
          </w:rPr>
          <w:t xml:space="preserve">An overview of the </w:t>
        </w:r>
        <w:r w:rsidR="01A9A481" w:rsidRPr="00547D1F">
          <w:rPr>
            <w:rStyle w:val="Hyperlink"/>
          </w:rPr>
          <w:t>n</w:t>
        </w:r>
        <w:r w:rsidRPr="00547D1F">
          <w:rPr>
            <w:rStyle w:val="Hyperlink"/>
          </w:rPr>
          <w:t xml:space="preserve">ational </w:t>
        </w:r>
        <w:r w:rsidR="01A9A481" w:rsidRPr="00547D1F">
          <w:rPr>
            <w:rStyle w:val="Hyperlink"/>
          </w:rPr>
          <w:t>p</w:t>
        </w:r>
        <w:r w:rsidRPr="00547D1F">
          <w:rPr>
            <w:rStyle w:val="Hyperlink"/>
          </w:rPr>
          <w:t>rogramme is available on the MfE website</w:t>
        </w:r>
      </w:hyperlink>
      <w:r w:rsidR="4505AD85" w:rsidRPr="00582EF5">
        <w:t>,</w:t>
      </w:r>
      <w:r w:rsidRPr="00582EF5">
        <w:t xml:space="preserve"> </w:t>
      </w:r>
      <w:r w:rsidR="4505AD85" w:rsidRPr="00582EF5">
        <w:t>which</w:t>
      </w:r>
      <w:r w:rsidR="3D7DF119" w:rsidRPr="00582EF5">
        <w:t xml:space="preserve"> is </w:t>
      </w:r>
      <w:hyperlink r:id="rId157" w:history="1">
        <w:r w:rsidR="3D7DF119" w:rsidRPr="00195DD2">
          <w:rPr>
            <w:rStyle w:val="Hyperlink"/>
          </w:rPr>
          <w:t xml:space="preserve">updated when </w:t>
        </w:r>
        <w:r w:rsidR="62591314" w:rsidRPr="00195DD2">
          <w:rPr>
            <w:rStyle w:val="Hyperlink"/>
          </w:rPr>
          <w:t>latest information</w:t>
        </w:r>
        <w:r w:rsidR="3D7DF119" w:rsidRPr="00195DD2">
          <w:rPr>
            <w:rStyle w:val="Hyperlink"/>
          </w:rPr>
          <w:t xml:space="preserve"> is available</w:t>
        </w:r>
      </w:hyperlink>
      <w:r w:rsidRPr="00582EF5">
        <w:t xml:space="preserve">. The </w:t>
      </w:r>
      <w:r w:rsidR="56EC4908" w:rsidRPr="00582EF5">
        <w:t>All of Government National PFAS Programme</w:t>
      </w:r>
      <w:r w:rsidRPr="00582EF5">
        <w:t xml:space="preserve"> is tak</w:t>
      </w:r>
      <w:r w:rsidR="4505AD85" w:rsidRPr="00582EF5">
        <w:t>ing</w:t>
      </w:r>
      <w:r w:rsidRPr="00582EF5">
        <w:t xml:space="preserve"> an open approach and proactively releasing information to the public. </w:t>
      </w:r>
      <w:hyperlink r:id="rId158" w:history="1">
        <w:r w:rsidRPr="00E45171">
          <w:rPr>
            <w:rStyle w:val="Hyperlink"/>
          </w:rPr>
          <w:t>This includes copies of briefing notes and cabinet papers</w:t>
        </w:r>
      </w:hyperlink>
      <w:r w:rsidRPr="00582EF5">
        <w:t xml:space="preserve"> provided to the Government</w:t>
      </w:r>
      <w:r w:rsidR="4505AD85" w:rsidRPr="00582EF5">
        <w:t>,</w:t>
      </w:r>
      <w:r w:rsidRPr="00582EF5">
        <w:t xml:space="preserve"> to ensure a high level of transparency is given to the process.</w:t>
      </w:r>
    </w:p>
    <w:p w14:paraId="5C8CF762" w14:textId="648C7E75" w:rsidR="00E72470" w:rsidRPr="00582EF5" w:rsidRDefault="00E72470" w:rsidP="00E30895">
      <w:pPr>
        <w:pStyle w:val="Heading2"/>
        <w:rPr>
          <w:color w:val="231F20"/>
        </w:rPr>
      </w:pPr>
      <w:bookmarkStart w:id="147" w:name="_Toc531102809"/>
      <w:bookmarkStart w:id="148" w:name="_Toc120532262"/>
      <w:r w:rsidRPr="00582EF5">
        <w:t xml:space="preserve">8.4 </w:t>
      </w:r>
      <w:r w:rsidR="00156C09" w:rsidRPr="00582EF5">
        <w:tab/>
      </w:r>
      <w:r w:rsidRPr="00582EF5">
        <w:t>Technical and financial assistance</w:t>
      </w:r>
      <w:bookmarkEnd w:id="147"/>
      <w:bookmarkEnd w:id="148"/>
    </w:p>
    <w:p w14:paraId="26FB5095" w14:textId="10930084" w:rsidR="00E72470" w:rsidRPr="00582EF5" w:rsidRDefault="00E72470" w:rsidP="00E30895">
      <w:pPr>
        <w:pStyle w:val="BodyText"/>
      </w:pPr>
      <w:r w:rsidRPr="00582EF5">
        <w:t>New Zealand has not provided or received technical assistance</w:t>
      </w:r>
      <w:r w:rsidR="00E40206" w:rsidRPr="00582EF5">
        <w:t>,</w:t>
      </w:r>
      <w:r w:rsidRPr="00582EF5">
        <w:t xml:space="preserve"> in accordance with Article 12.</w:t>
      </w:r>
      <w:r w:rsidR="006D7E9D" w:rsidRPr="00582EF5">
        <w:t xml:space="preserve"> </w:t>
      </w:r>
      <w:r w:rsidRPr="00582EF5">
        <w:t xml:space="preserve">However, New Zealand (MfE and EPA) undertakes environmental cooperation on POPs with other countries in </w:t>
      </w:r>
      <w:r w:rsidR="0035251B" w:rsidRPr="00582EF5">
        <w:t>several</w:t>
      </w:r>
      <w:r w:rsidRPr="00582EF5">
        <w:t xml:space="preserve"> ways</w:t>
      </w:r>
      <w:r w:rsidR="00E44537">
        <w:t xml:space="preserve"> (</w:t>
      </w:r>
      <w:r w:rsidR="00E44537" w:rsidRPr="00E44537">
        <w:t xml:space="preserve">these activities could not happen </w:t>
      </w:r>
      <w:r w:rsidR="00D00A64">
        <w:t xml:space="preserve">recently </w:t>
      </w:r>
      <w:r w:rsidR="00E44537" w:rsidRPr="00E44537">
        <w:t xml:space="preserve">due to the </w:t>
      </w:r>
      <w:r w:rsidR="00E54D01">
        <w:t>COVID-</w:t>
      </w:r>
      <w:r w:rsidR="00D00A64">
        <w:t xml:space="preserve">19 </w:t>
      </w:r>
      <w:r w:rsidR="00E44537" w:rsidRPr="00E44537">
        <w:t>pandemic</w:t>
      </w:r>
      <w:r w:rsidR="00D00A64">
        <w:t>)</w:t>
      </w:r>
      <w:r w:rsidRPr="00582EF5">
        <w:t xml:space="preserve">. This includes regular study exchanges with China since 2010 on chemicals, POPs and contaminated site management. </w:t>
      </w:r>
      <w:r w:rsidR="00E30BBB" w:rsidRPr="00582EF5">
        <w:t>In addition, MfE and EPA ha</w:t>
      </w:r>
      <w:r w:rsidR="0035251B" w:rsidRPr="00582EF5">
        <w:t>ve</w:t>
      </w:r>
      <w:r w:rsidR="00E30BBB" w:rsidRPr="00582EF5">
        <w:t xml:space="preserve"> hosted a study tour from Malaysia to </w:t>
      </w:r>
      <w:r w:rsidR="0035251B" w:rsidRPr="00582EF5">
        <w:t xml:space="preserve">help </w:t>
      </w:r>
      <w:r w:rsidR="00E30BBB" w:rsidRPr="00582EF5">
        <w:t xml:space="preserve">with </w:t>
      </w:r>
      <w:r w:rsidR="0035251B" w:rsidRPr="00582EF5">
        <w:t xml:space="preserve">its </w:t>
      </w:r>
      <w:r w:rsidR="00E30BBB" w:rsidRPr="00582EF5">
        <w:t>ratification of the Stockholm Convention.</w:t>
      </w:r>
      <w:r w:rsidRPr="00582EF5">
        <w:t xml:space="preserve"> This environmental cooperation on POPs has been useful for an exchange of ideas, information and approaches to implementing the Convention.</w:t>
      </w:r>
    </w:p>
    <w:p w14:paraId="124F1FC6" w14:textId="7A266FAA" w:rsidR="00E72470" w:rsidRPr="00582EF5" w:rsidRDefault="4D4F3E16" w:rsidP="00E30895">
      <w:pPr>
        <w:pStyle w:val="BodyText"/>
      </w:pPr>
      <w:r>
        <w:t xml:space="preserve">Since </w:t>
      </w:r>
      <w:r w:rsidR="00E72470" w:rsidRPr="00582EF5">
        <w:t xml:space="preserve">December 2016, MfE </w:t>
      </w:r>
      <w:r w:rsidR="63F0B12F">
        <w:t xml:space="preserve">has </w:t>
      </w:r>
      <w:r w:rsidR="00E72470" w:rsidRPr="00582EF5">
        <w:t xml:space="preserve">attended </w:t>
      </w:r>
      <w:r w:rsidR="63F0B12F">
        <w:t>working group meetings and</w:t>
      </w:r>
      <w:r w:rsidR="79944173">
        <w:t xml:space="preserve"> </w:t>
      </w:r>
      <w:r w:rsidR="00E72470">
        <w:t>conference</w:t>
      </w:r>
      <w:r w:rsidR="63F0B12F">
        <w:t>s</w:t>
      </w:r>
      <w:r w:rsidR="00E72470" w:rsidRPr="00582EF5">
        <w:t xml:space="preserve"> on Remediation for Soil and Groundwater Pollution of Asian and Pacific Region </w:t>
      </w:r>
      <w:r w:rsidR="63F0B12F">
        <w:t>ho</w:t>
      </w:r>
      <w:r w:rsidR="0D721F65">
        <w:t>sted by the</w:t>
      </w:r>
      <w:r w:rsidR="63F0B12F">
        <w:t xml:space="preserve"> </w:t>
      </w:r>
      <w:r w:rsidR="00E72470" w:rsidRPr="00582EF5">
        <w:t xml:space="preserve">Taiwan </w:t>
      </w:r>
      <w:r w:rsidR="0D721F65">
        <w:t xml:space="preserve">EPA. These meeting and conferences </w:t>
      </w:r>
      <w:r w:rsidR="00E72470">
        <w:t xml:space="preserve">to </w:t>
      </w:r>
      <w:r w:rsidR="6D68BF57">
        <w:t>held</w:t>
      </w:r>
      <w:r w:rsidR="00E72470" w:rsidRPr="00582EF5">
        <w:t xml:space="preserve"> share experiences of managing contaminated sites</w:t>
      </w:r>
      <w:r w:rsidR="48A2BD52">
        <w:t>, including POPs contaminated site</w:t>
      </w:r>
      <w:r w:rsidR="01A4A357">
        <w:t>s</w:t>
      </w:r>
      <w:r w:rsidR="48A2BD52">
        <w:t>,</w:t>
      </w:r>
      <w:r w:rsidR="00E72470">
        <w:t xml:space="preserve"> </w:t>
      </w:r>
      <w:r w:rsidR="2D8361CA">
        <w:t>between</w:t>
      </w:r>
      <w:r w:rsidR="26CBD350">
        <w:t xml:space="preserve"> the </w:t>
      </w:r>
      <w:r w:rsidR="3400C2F7">
        <w:t>twelve member</w:t>
      </w:r>
      <w:r w:rsidR="26CBD350">
        <w:t xml:space="preserve"> nations</w:t>
      </w:r>
      <w:r w:rsidR="00E72470" w:rsidRPr="00582EF5">
        <w:t xml:space="preserve"> and to keep </w:t>
      </w:r>
      <w:r w:rsidR="00DC1346" w:rsidRPr="00582EF5">
        <w:t>up to date with</w:t>
      </w:r>
      <w:r w:rsidR="00E72470" w:rsidRPr="00582EF5">
        <w:t xml:space="preserve"> advances in knowledge and technologies</w:t>
      </w:r>
      <w:r w:rsidR="621EDD9E">
        <w:t xml:space="preserve"> for the investigation and remediation of contaminated land</w:t>
      </w:r>
      <w:r w:rsidR="00E72470" w:rsidRPr="00582EF5">
        <w:t xml:space="preserve">. </w:t>
      </w:r>
    </w:p>
    <w:p w14:paraId="737E6AC9" w14:textId="623F1FD7" w:rsidR="00C75EB5" w:rsidRDefault="00E72470" w:rsidP="00E30895">
      <w:pPr>
        <w:pStyle w:val="BodyText"/>
      </w:pPr>
      <w:r w:rsidRPr="00582EF5">
        <w:t xml:space="preserve">New Zealand meets its obligations to provide financial assistance under Article 13 of the Convention via regular contributions to the Global Environment Facility (GEF) for the implementation of </w:t>
      </w:r>
      <w:r w:rsidR="00DC1346" w:rsidRPr="00582EF5">
        <w:t xml:space="preserve">multilateral environmental agreements, </w:t>
      </w:r>
      <w:r w:rsidRPr="00582EF5">
        <w:t>including the Convention</w:t>
      </w:r>
      <w:r w:rsidR="00C75EB5">
        <w:t xml:space="preserve"> detailed as in the following:</w:t>
      </w:r>
    </w:p>
    <w:p w14:paraId="21457431" w14:textId="7287877D" w:rsidR="00C75EB5" w:rsidRPr="007B3A22" w:rsidRDefault="00C75EB5" w:rsidP="00C75EB5">
      <w:pPr>
        <w:rPr>
          <w:rFonts w:eastAsiaTheme="minorHAnsi"/>
          <w:b/>
          <w:bCs/>
        </w:rPr>
      </w:pPr>
      <w:r w:rsidRPr="007B3A22">
        <w:rPr>
          <w:b/>
          <w:bCs/>
        </w:rPr>
        <w:t>N</w:t>
      </w:r>
      <w:r w:rsidR="00B774E4" w:rsidRPr="007B3A22">
        <w:rPr>
          <w:b/>
          <w:bCs/>
        </w:rPr>
        <w:t>ew Zealand’s</w:t>
      </w:r>
      <w:r w:rsidRPr="007B3A22">
        <w:rPr>
          <w:b/>
          <w:bCs/>
        </w:rPr>
        <w:t xml:space="preserve"> Annual Contributions to the GEF</w:t>
      </w:r>
    </w:p>
    <w:p w14:paraId="7711DA02" w14:textId="77777777" w:rsidR="00C75EB5" w:rsidRDefault="00C75EB5" w:rsidP="00953E78">
      <w:pPr>
        <w:pStyle w:val="Bullet"/>
      </w:pPr>
      <w:r>
        <w:t>2018: GEF06 NZD$1,867,500</w:t>
      </w:r>
    </w:p>
    <w:p w14:paraId="02E57E2F" w14:textId="77777777" w:rsidR="00C75EB5" w:rsidRDefault="00C75EB5" w:rsidP="00953E78">
      <w:pPr>
        <w:pStyle w:val="Bullet"/>
      </w:pPr>
      <w:r>
        <w:t>2019: GEF07 NZD$2,000,750 + NZD$4,000,000</w:t>
      </w:r>
    </w:p>
    <w:p w14:paraId="39268380" w14:textId="77777777" w:rsidR="00C75EB5" w:rsidRDefault="00C75EB5" w:rsidP="00953E78">
      <w:pPr>
        <w:pStyle w:val="Bullet"/>
      </w:pPr>
      <w:r>
        <w:t>2020: GEF07 NZD$2,000,750</w:t>
      </w:r>
    </w:p>
    <w:p w14:paraId="158FA8B6" w14:textId="5465C7CF" w:rsidR="00C75EB5" w:rsidRPr="00953E78" w:rsidRDefault="00C75EB5" w:rsidP="007B3A22">
      <w:pPr>
        <w:pStyle w:val="Bullet"/>
        <w:numPr>
          <w:ilvl w:val="0"/>
          <w:numId w:val="0"/>
        </w:numPr>
        <w:rPr>
          <w:b/>
        </w:rPr>
      </w:pPr>
      <w:r w:rsidRPr="00953E78">
        <w:rPr>
          <w:b/>
        </w:rPr>
        <w:t>Total for period 2018</w:t>
      </w:r>
      <w:r w:rsidR="00E54D01">
        <w:rPr>
          <w:b/>
        </w:rPr>
        <w:t>–</w:t>
      </w:r>
      <w:r w:rsidRPr="00953E78">
        <w:rPr>
          <w:b/>
        </w:rPr>
        <w:t>20:</w:t>
      </w:r>
      <w:r w:rsidRPr="003254A6">
        <w:rPr>
          <w:b/>
        </w:rPr>
        <w:t xml:space="preserve"> NZD$9,869,000</w:t>
      </w:r>
    </w:p>
    <w:p w14:paraId="3CF90FD0" w14:textId="77777777" w:rsidR="00C75EB5" w:rsidRPr="00E54D01" w:rsidRDefault="00C75EB5" w:rsidP="00C75EB5">
      <w:r>
        <w:rPr>
          <w:b/>
          <w:bCs/>
        </w:rPr>
        <w:t xml:space="preserve">Further Information </w:t>
      </w:r>
    </w:p>
    <w:p w14:paraId="39E07614" w14:textId="5FAF44B6" w:rsidR="00C75EB5" w:rsidRDefault="00C75EB5" w:rsidP="00953E78">
      <w:pPr>
        <w:pStyle w:val="Bullet"/>
      </w:pPr>
      <w:r>
        <w:t xml:space="preserve">GEF </w:t>
      </w:r>
      <w:r w:rsidR="00E54D01">
        <w:t>f</w:t>
      </w:r>
      <w:r>
        <w:t xml:space="preserve">unding is a commitment process covering multiple years. </w:t>
      </w:r>
    </w:p>
    <w:p w14:paraId="731EBD19" w14:textId="61EBE543" w:rsidR="00C75EB5" w:rsidRDefault="00C75EB5" w:rsidP="00953E78">
      <w:pPr>
        <w:pStyle w:val="Bullet"/>
      </w:pPr>
      <w:r>
        <w:t xml:space="preserve">GEF06 is a commitment to pay NZ$7.470 million over 10 years, acknowledging debt from Nov-14 and starting payments in Jan-2016 </w:t>
      </w:r>
      <w:r w:rsidR="00E54D01">
        <w:t xml:space="preserve">until </w:t>
      </w:r>
      <w:r>
        <w:t>Apr-24.</w:t>
      </w:r>
    </w:p>
    <w:p w14:paraId="7D494E22" w14:textId="31C731CD" w:rsidR="00C75EB5" w:rsidRDefault="00C75EB5" w:rsidP="00953E78">
      <w:pPr>
        <w:pStyle w:val="Bullet"/>
      </w:pPr>
      <w:r>
        <w:t xml:space="preserve">GEF07 is a commitment to pay NZ$8.003 million over 10 years, acknowledging debt from May-19 and starting payments in May-2019 </w:t>
      </w:r>
      <w:r w:rsidR="00E54D01">
        <w:t xml:space="preserve">until </w:t>
      </w:r>
      <w:r>
        <w:t>Oct-28 (*plus extra NZ$4M paid Jun-2018 as one-off Grant).</w:t>
      </w:r>
    </w:p>
    <w:p w14:paraId="1BB18BEB" w14:textId="77777777" w:rsidR="008304A2" w:rsidRDefault="008304A2">
      <w:pPr>
        <w:spacing w:before="0" w:after="200" w:line="276" w:lineRule="auto"/>
        <w:jc w:val="left"/>
        <w:rPr>
          <w:b/>
          <w:bCs/>
        </w:rPr>
      </w:pPr>
      <w:r>
        <w:rPr>
          <w:b/>
          <w:bCs/>
        </w:rPr>
        <w:br w:type="page"/>
      </w:r>
    </w:p>
    <w:p w14:paraId="4BF3B72A" w14:textId="170AFDA6" w:rsidR="00C75EB5" w:rsidRPr="007B3A22" w:rsidRDefault="00C91D0C" w:rsidP="00C75EB5">
      <w:pPr>
        <w:rPr>
          <w:b/>
          <w:bCs/>
        </w:rPr>
      </w:pPr>
      <w:r w:rsidRPr="007B3A22">
        <w:rPr>
          <w:b/>
          <w:bCs/>
        </w:rPr>
        <w:lastRenderedPageBreak/>
        <w:t>New Zealand’s</w:t>
      </w:r>
      <w:r w:rsidR="00C75EB5" w:rsidRPr="007B3A22">
        <w:rPr>
          <w:b/>
          <w:bCs/>
        </w:rPr>
        <w:t xml:space="preserve"> Annual Contributions to UNEP</w:t>
      </w:r>
    </w:p>
    <w:p w14:paraId="0CD1CC5A" w14:textId="77777777" w:rsidR="00C75EB5" w:rsidRDefault="00C75EB5" w:rsidP="00953E78">
      <w:pPr>
        <w:pStyle w:val="Bullet"/>
      </w:pPr>
      <w:r>
        <w:t>2018: USD$361,800</w:t>
      </w:r>
    </w:p>
    <w:p w14:paraId="679959A8" w14:textId="77777777" w:rsidR="00C75EB5" w:rsidRDefault="00C75EB5" w:rsidP="00953E78">
      <w:pPr>
        <w:pStyle w:val="Bullet"/>
      </w:pPr>
      <w:r>
        <w:t>2019: USD $361,800</w:t>
      </w:r>
    </w:p>
    <w:p w14:paraId="01116E62" w14:textId="77777777" w:rsidR="00C75EB5" w:rsidRDefault="00C75EB5" w:rsidP="00953E78">
      <w:pPr>
        <w:pStyle w:val="Bullet"/>
      </w:pPr>
      <w:r>
        <w:t>2020: USD $361,800</w:t>
      </w:r>
    </w:p>
    <w:p w14:paraId="14C44BBE" w14:textId="262B263A" w:rsidR="00C75EB5" w:rsidRPr="00953E78" w:rsidRDefault="00C75EB5" w:rsidP="00953E78">
      <w:pPr>
        <w:pStyle w:val="ListParagraph"/>
        <w:ind w:left="0"/>
        <w:rPr>
          <w:b/>
        </w:rPr>
      </w:pPr>
      <w:r w:rsidRPr="00953E78">
        <w:rPr>
          <w:b/>
        </w:rPr>
        <w:t>Total for period 2018</w:t>
      </w:r>
      <w:r w:rsidR="00E54D01">
        <w:rPr>
          <w:b/>
        </w:rPr>
        <w:t>–</w:t>
      </w:r>
      <w:r w:rsidRPr="00953E78">
        <w:rPr>
          <w:b/>
        </w:rPr>
        <w:t>20:</w:t>
      </w:r>
      <w:r w:rsidRPr="00E54D01">
        <w:rPr>
          <w:b/>
        </w:rPr>
        <w:t xml:space="preserve"> </w:t>
      </w:r>
      <w:r w:rsidRPr="007B3A22">
        <w:rPr>
          <w:b/>
        </w:rPr>
        <w:t>USD$1,085,400</w:t>
      </w:r>
    </w:p>
    <w:p w14:paraId="46B8AC8A" w14:textId="553224CE" w:rsidR="00C75EB5" w:rsidRPr="007B3A22" w:rsidRDefault="00E54D01" w:rsidP="008304A2">
      <w:pPr>
        <w:spacing w:after="0"/>
        <w:rPr>
          <w:b/>
          <w:bCs/>
        </w:rPr>
      </w:pPr>
      <w:r>
        <w:rPr>
          <w:b/>
          <w:bCs/>
        </w:rPr>
        <w:t>New Zealand</w:t>
      </w:r>
      <w:r w:rsidRPr="007B3A22">
        <w:rPr>
          <w:b/>
          <w:bCs/>
        </w:rPr>
        <w:t xml:space="preserve"> </w:t>
      </w:r>
      <w:r>
        <w:rPr>
          <w:b/>
          <w:bCs/>
        </w:rPr>
        <w:t>a</w:t>
      </w:r>
      <w:r w:rsidR="00C75EB5" w:rsidRPr="007B3A22">
        <w:rPr>
          <w:b/>
          <w:bCs/>
        </w:rPr>
        <w:t xml:space="preserve">nnual </w:t>
      </w:r>
      <w:r>
        <w:rPr>
          <w:b/>
          <w:bCs/>
        </w:rPr>
        <w:t>c</w:t>
      </w:r>
      <w:r w:rsidR="00C75EB5" w:rsidRPr="007B3A22">
        <w:rPr>
          <w:b/>
          <w:bCs/>
        </w:rPr>
        <w:t>ontributions to SPREP</w:t>
      </w:r>
    </w:p>
    <w:p w14:paraId="5E51FC1C" w14:textId="25F9E59B" w:rsidR="0072645D" w:rsidRDefault="00E72470" w:rsidP="008304A2">
      <w:pPr>
        <w:pStyle w:val="BodyText"/>
      </w:pPr>
      <w:r w:rsidRPr="00582EF5">
        <w:t>New Zealand also contributes to the administration of the Secretariat of the Pacific Regional Environment Programme</w:t>
      </w:r>
      <w:r w:rsidR="00E40206" w:rsidRPr="00582EF5">
        <w:t>,</w:t>
      </w:r>
      <w:r w:rsidRPr="00582EF5">
        <w:t xml:space="preserve"> in accordance with its funding priorities</w:t>
      </w:r>
      <w:r w:rsidR="00E31835" w:rsidRPr="00582EF5">
        <w:t>. F</w:t>
      </w:r>
      <w:r w:rsidRPr="00582EF5">
        <w:t>or 2014/15 to 2017/18</w:t>
      </w:r>
      <w:r w:rsidR="00E40206" w:rsidRPr="00582EF5">
        <w:t>,</w:t>
      </w:r>
      <w:r w:rsidRPr="00582EF5">
        <w:t xml:space="preserve"> New Zealand contributed nearly N</w:t>
      </w:r>
      <w:r w:rsidR="00E31835" w:rsidRPr="00582EF5">
        <w:t>Z</w:t>
      </w:r>
      <w:r w:rsidRPr="00582EF5">
        <w:t>$6.1 million</w:t>
      </w:r>
      <w:r w:rsidR="00DF65C4">
        <w:t xml:space="preserve"> (current figures are </w:t>
      </w:r>
      <w:r w:rsidR="0072645D">
        <w:t>not available</w:t>
      </w:r>
      <w:r w:rsidR="000E61CA">
        <w:t xml:space="preserve"> at the date of this publication</w:t>
      </w:r>
      <w:r w:rsidR="0072645D">
        <w:t>)</w:t>
      </w:r>
      <w:r w:rsidRPr="00582EF5">
        <w:t xml:space="preserve">. </w:t>
      </w:r>
      <w:r w:rsidR="00B42674">
        <w:t xml:space="preserve">Furthermore, the EPA and MfE </w:t>
      </w:r>
      <w:r w:rsidR="005610FF">
        <w:t xml:space="preserve">gave a presentation </w:t>
      </w:r>
      <w:r w:rsidR="00B34B20">
        <w:t xml:space="preserve">during a </w:t>
      </w:r>
      <w:r w:rsidR="00B34B20">
        <w:rPr>
          <w:lang w:val="en-US"/>
        </w:rPr>
        <w:t>r</w:t>
      </w:r>
      <w:r w:rsidR="00B34B20" w:rsidRPr="00B34B20">
        <w:rPr>
          <w:lang w:val="en-US"/>
        </w:rPr>
        <w:t>egional training on national frameworks and illegal traffic and trade in Pacific</w:t>
      </w:r>
      <w:r w:rsidR="00B34B20">
        <w:rPr>
          <w:lang w:val="en-US"/>
        </w:rPr>
        <w:t xml:space="preserve"> in</w:t>
      </w:r>
      <w:r w:rsidR="00B34B20" w:rsidRPr="00B34B20">
        <w:rPr>
          <w:lang w:val="en-US"/>
        </w:rPr>
        <w:t xml:space="preserve"> 2022</w:t>
      </w:r>
      <w:r w:rsidR="00B34B20">
        <w:rPr>
          <w:lang w:val="en-US"/>
        </w:rPr>
        <w:t xml:space="preserve"> to give an insight on the New Zealand system for all participating countries. This gave an opportunity to present our national system as </w:t>
      </w:r>
      <w:r w:rsidR="00F2438B">
        <w:rPr>
          <w:lang w:val="en-US"/>
        </w:rPr>
        <w:t xml:space="preserve">a well working </w:t>
      </w:r>
      <w:r w:rsidR="00F2438B">
        <w:t>e</w:t>
      </w:r>
      <w:proofErr w:type="spellStart"/>
      <w:r w:rsidR="00F2438B" w:rsidRPr="00F2438B">
        <w:rPr>
          <w:lang w:val="en-US"/>
        </w:rPr>
        <w:t>xample</w:t>
      </w:r>
      <w:proofErr w:type="spellEnd"/>
      <w:r w:rsidR="00F2438B" w:rsidRPr="00F2438B">
        <w:rPr>
          <w:lang w:val="en-US"/>
        </w:rPr>
        <w:t xml:space="preserve"> of a national legal and institutional framework</w:t>
      </w:r>
      <w:r w:rsidR="00F2438B">
        <w:rPr>
          <w:lang w:val="en-US"/>
        </w:rPr>
        <w:t>s in this area.</w:t>
      </w:r>
    </w:p>
    <w:p w14:paraId="074F9571" w14:textId="4DD77936" w:rsidR="00E72470" w:rsidRPr="00582EF5" w:rsidRDefault="00E31835" w:rsidP="00953E78">
      <w:pPr>
        <w:pStyle w:val="BodyText"/>
      </w:pPr>
      <w:r w:rsidRPr="00582EF5">
        <w:t xml:space="preserve">The Secretariat of the Pacific Regional Environment Programme provides, among other things, assistance to Pacific Island developing states on implementing waste management programmes. </w:t>
      </w:r>
      <w:r w:rsidR="00E72470" w:rsidRPr="00582EF5">
        <w:t xml:space="preserve">New Zealand also contributes to the </w:t>
      </w:r>
      <w:r w:rsidR="00E40206" w:rsidRPr="00582EF5">
        <w:t>United Nations Environment Programme;</w:t>
      </w:r>
      <w:r w:rsidR="00E72470" w:rsidRPr="00582EF5">
        <w:t xml:space="preserve"> for 2013/14 to 2017/18 New Zealand contributed </w:t>
      </w:r>
      <w:r w:rsidR="00E40206" w:rsidRPr="00582EF5">
        <w:t xml:space="preserve">around </w:t>
      </w:r>
      <w:r w:rsidR="00E72470" w:rsidRPr="00582EF5">
        <w:t>USD$2.3 million.</w:t>
      </w:r>
    </w:p>
    <w:p w14:paraId="1324B55E" w14:textId="4DAFDDD0" w:rsidR="00E72470" w:rsidRPr="00953E78" w:rsidRDefault="00E72470" w:rsidP="00953E78">
      <w:pPr>
        <w:pStyle w:val="Heading2"/>
      </w:pPr>
      <w:bookmarkStart w:id="149" w:name="_Toc531102811"/>
      <w:bookmarkStart w:id="150" w:name="_Toc120532263"/>
      <w:r w:rsidRPr="00582EF5">
        <w:t>8.</w:t>
      </w:r>
      <w:r w:rsidR="00EE700A" w:rsidRPr="00582EF5">
        <w:t>5</w:t>
      </w:r>
      <w:r w:rsidRPr="00582EF5">
        <w:t xml:space="preserve"> </w:t>
      </w:r>
      <w:r w:rsidR="00156C09" w:rsidRPr="00582EF5">
        <w:tab/>
      </w:r>
      <w:r w:rsidRPr="00582EF5">
        <w:t>Reporting</w:t>
      </w:r>
      <w:bookmarkEnd w:id="149"/>
      <w:bookmarkEnd w:id="150"/>
    </w:p>
    <w:p w14:paraId="2B692D56" w14:textId="3C5C19BE" w:rsidR="001579E3" w:rsidRPr="00582EF5" w:rsidRDefault="001579E3" w:rsidP="00953E78">
      <w:pPr>
        <w:pStyle w:val="BodyText"/>
      </w:pPr>
      <w:r w:rsidRPr="00582EF5">
        <w:t xml:space="preserve">New Zealand has submitted </w:t>
      </w:r>
      <w:r w:rsidR="007A2D85">
        <w:t>five</w:t>
      </w:r>
      <w:r w:rsidR="007A2D85" w:rsidRPr="00582EF5">
        <w:t xml:space="preserve"> </w:t>
      </w:r>
      <w:r w:rsidR="00177624" w:rsidRPr="00582EF5">
        <w:t>n</w:t>
      </w:r>
      <w:r w:rsidRPr="00582EF5">
        <w:t xml:space="preserve">ational </w:t>
      </w:r>
      <w:r w:rsidR="00177624" w:rsidRPr="00582EF5">
        <w:t>r</w:t>
      </w:r>
      <w:r w:rsidRPr="00582EF5">
        <w:t>eports</w:t>
      </w:r>
      <w:r w:rsidR="00177624" w:rsidRPr="00582EF5">
        <w:t>,</w:t>
      </w:r>
      <w:r w:rsidRPr="00582EF5">
        <w:t xml:space="preserve"> in line with Article 15 of the Convention</w:t>
      </w:r>
      <w:r w:rsidR="00177624" w:rsidRPr="00582EF5">
        <w:t>;</w:t>
      </w:r>
      <w:r w:rsidRPr="00582EF5">
        <w:t xml:space="preserve"> links are </w:t>
      </w:r>
      <w:r w:rsidR="00177624" w:rsidRPr="00582EF5">
        <w:t xml:space="preserve">listed </w:t>
      </w:r>
      <w:r w:rsidRPr="00582EF5">
        <w:t xml:space="preserve">in </w:t>
      </w:r>
      <w:r w:rsidR="00177624" w:rsidRPr="00582EF5">
        <w:t>t</w:t>
      </w:r>
      <w:r w:rsidRPr="00582EF5">
        <w:t xml:space="preserve">able </w:t>
      </w:r>
      <w:r w:rsidR="00E54D01">
        <w:t>30</w:t>
      </w:r>
      <w:r w:rsidRPr="00582EF5">
        <w:t>.</w:t>
      </w:r>
      <w:r w:rsidR="00A02056" w:rsidRPr="00A02056">
        <w:t xml:space="preserve"> A national report contains information on the measures taken by a Party in implementing the Stockholm Convention. The information provided in the national reports is one of the main references to be used for the evaluation of the effectiveness of the Convention in accordance with Article 16 including the progress towards the elimination of polychlorinated biphenyls (PCBs).</w:t>
      </w:r>
    </w:p>
    <w:p w14:paraId="1CC98F89" w14:textId="4152CEE9" w:rsidR="00E72470" w:rsidRPr="00582EF5" w:rsidRDefault="00B833F7" w:rsidP="00953E78">
      <w:pPr>
        <w:pStyle w:val="Tableheading"/>
      </w:pPr>
      <w:bookmarkStart w:id="151" w:name="_Toc120532295"/>
      <w:r w:rsidRPr="00582EF5">
        <w:t xml:space="preserve">Table </w:t>
      </w:r>
      <w:r w:rsidR="205ACEA5">
        <w:t>30</w:t>
      </w:r>
      <w:r w:rsidRPr="00582EF5">
        <w:t xml:space="preserve">: </w:t>
      </w:r>
      <w:r w:rsidR="00156C09" w:rsidRPr="00582EF5">
        <w:tab/>
      </w:r>
      <w:r w:rsidRPr="00582EF5">
        <w:t>New Zealand’s National Reports</w:t>
      </w:r>
      <w:bookmarkEnd w:id="151"/>
    </w:p>
    <w:tbl>
      <w:tblPr>
        <w:tblW w:w="9016" w:type="dxa"/>
        <w:tblBorders>
          <w:top w:val="single" w:sz="4" w:space="0" w:color="1C556C"/>
          <w:bottom w:val="single" w:sz="4" w:space="0" w:color="1C556C"/>
          <w:insideH w:val="single" w:sz="4" w:space="0" w:color="1C556C"/>
          <w:insideV w:val="single" w:sz="4" w:space="0" w:color="1C556C"/>
        </w:tblBorders>
        <w:tblLayout w:type="fixed"/>
        <w:tblLook w:val="04A0" w:firstRow="1" w:lastRow="0" w:firstColumn="1" w:lastColumn="0" w:noHBand="0" w:noVBand="1"/>
      </w:tblPr>
      <w:tblGrid>
        <w:gridCol w:w="993"/>
        <w:gridCol w:w="8023"/>
      </w:tblGrid>
      <w:tr w:rsidR="00156C09" w:rsidRPr="00582EF5" w14:paraId="52B1300A" w14:textId="77777777" w:rsidTr="00953E78">
        <w:tc>
          <w:tcPr>
            <w:tcW w:w="993" w:type="dxa"/>
            <w:shd w:val="clear" w:color="auto" w:fill="1C556C"/>
          </w:tcPr>
          <w:p w14:paraId="7B944EEA" w14:textId="77777777" w:rsidR="00E72470" w:rsidRPr="00582EF5" w:rsidRDefault="00E72470" w:rsidP="00953E78">
            <w:pPr>
              <w:pStyle w:val="TableTextbold"/>
              <w:rPr>
                <w:color w:val="FFFFFF" w:themeColor="background1"/>
              </w:rPr>
            </w:pPr>
            <w:r w:rsidRPr="00582EF5">
              <w:rPr>
                <w:color w:val="FFFFFF" w:themeColor="background1"/>
              </w:rPr>
              <w:t>Report</w:t>
            </w:r>
          </w:p>
        </w:tc>
        <w:tc>
          <w:tcPr>
            <w:tcW w:w="8023" w:type="dxa"/>
            <w:shd w:val="clear" w:color="auto" w:fill="1C556C"/>
          </w:tcPr>
          <w:p w14:paraId="03A4572E" w14:textId="77777777" w:rsidR="00E72470" w:rsidRPr="00582EF5" w:rsidRDefault="00E72470" w:rsidP="00953E78">
            <w:pPr>
              <w:pStyle w:val="TableTextbold"/>
              <w:rPr>
                <w:color w:val="FFFFFF" w:themeColor="background1"/>
              </w:rPr>
            </w:pPr>
            <w:r w:rsidRPr="00582EF5">
              <w:rPr>
                <w:color w:val="FFFFFF" w:themeColor="background1"/>
              </w:rPr>
              <w:t>Link to full details</w:t>
            </w:r>
          </w:p>
        </w:tc>
      </w:tr>
      <w:tr w:rsidR="00E72470" w:rsidRPr="00582EF5" w14:paraId="5636F342" w14:textId="77777777" w:rsidTr="00953E78">
        <w:tc>
          <w:tcPr>
            <w:tcW w:w="993" w:type="dxa"/>
          </w:tcPr>
          <w:p w14:paraId="728CCF8A" w14:textId="77777777" w:rsidR="00E72470" w:rsidRPr="00582EF5" w:rsidRDefault="00E72470" w:rsidP="00953E78">
            <w:pPr>
              <w:pStyle w:val="TableText"/>
            </w:pPr>
            <w:r w:rsidRPr="00582EF5">
              <w:t xml:space="preserve">National Report 1 </w:t>
            </w:r>
          </w:p>
        </w:tc>
        <w:tc>
          <w:tcPr>
            <w:tcW w:w="8023" w:type="dxa"/>
          </w:tcPr>
          <w:p w14:paraId="1F02CE28" w14:textId="77777777" w:rsidR="00E72470" w:rsidRPr="00582EF5" w:rsidRDefault="00E72470" w:rsidP="00953E78">
            <w:pPr>
              <w:pStyle w:val="TableText"/>
              <w:spacing w:after="0"/>
            </w:pPr>
            <w:r w:rsidRPr="00582EF5">
              <w:t>Submission date: 19/04/2007</w:t>
            </w:r>
          </w:p>
          <w:p w14:paraId="49AB9319" w14:textId="6B170315" w:rsidR="00E72470" w:rsidRPr="00582EF5" w:rsidRDefault="00E72470" w:rsidP="00953E78">
            <w:pPr>
              <w:pStyle w:val="TableText"/>
              <w:spacing w:before="0"/>
            </w:pPr>
            <w:hyperlink r:id="rId159" w:history="1">
              <w:r w:rsidRPr="00582EF5">
                <w:rPr>
                  <w:rStyle w:val="Hyperlink"/>
                  <w:rFonts w:asciiTheme="minorHAnsi" w:hAnsiTheme="minorHAnsi" w:cs="Arial"/>
                  <w:szCs w:val="18"/>
                </w:rPr>
                <w:t>http://chm.pops.int/Countries/NationalReports/FirstRoundofPartyReports/tabid/254/Default.aspx</w:t>
              </w:r>
            </w:hyperlink>
          </w:p>
        </w:tc>
      </w:tr>
      <w:tr w:rsidR="00E72470" w:rsidRPr="00582EF5" w14:paraId="57850502" w14:textId="77777777" w:rsidTr="00953E78">
        <w:tc>
          <w:tcPr>
            <w:tcW w:w="993" w:type="dxa"/>
          </w:tcPr>
          <w:p w14:paraId="151F0844" w14:textId="77777777" w:rsidR="00E72470" w:rsidRPr="00582EF5" w:rsidRDefault="00E72470" w:rsidP="00953E78">
            <w:pPr>
              <w:pStyle w:val="TableText"/>
            </w:pPr>
            <w:r w:rsidRPr="00582EF5">
              <w:t>National Report 2</w:t>
            </w:r>
          </w:p>
        </w:tc>
        <w:tc>
          <w:tcPr>
            <w:tcW w:w="8023" w:type="dxa"/>
          </w:tcPr>
          <w:p w14:paraId="628CD1A6" w14:textId="77777777" w:rsidR="00E72470" w:rsidRPr="00582EF5" w:rsidRDefault="00E72470" w:rsidP="00953E78">
            <w:pPr>
              <w:pStyle w:val="TableText"/>
              <w:spacing w:after="0"/>
            </w:pPr>
            <w:r w:rsidRPr="00582EF5">
              <w:t>Submission date: 4/11/2010</w:t>
            </w:r>
          </w:p>
          <w:p w14:paraId="4F53A8F1" w14:textId="6CDE3A82" w:rsidR="00E72470" w:rsidRPr="00582EF5" w:rsidRDefault="00E72470" w:rsidP="00953E78">
            <w:pPr>
              <w:pStyle w:val="TableText"/>
              <w:spacing w:before="0"/>
            </w:pPr>
            <w:hyperlink r:id="rId160" w:history="1">
              <w:r w:rsidRPr="00582EF5">
                <w:rPr>
                  <w:rStyle w:val="Hyperlink"/>
                  <w:rFonts w:asciiTheme="minorHAnsi" w:hAnsiTheme="minorHAnsi" w:cs="Arial"/>
                  <w:szCs w:val="18"/>
                </w:rPr>
                <w:t>http://chm.pops.int/Countries/NationalReports/SecondRoundofPartyReports/tabid/1315/Default.aspx</w:t>
              </w:r>
            </w:hyperlink>
          </w:p>
        </w:tc>
      </w:tr>
      <w:tr w:rsidR="00E72470" w:rsidRPr="00582EF5" w14:paraId="06492404" w14:textId="77777777" w:rsidTr="00953E78">
        <w:tc>
          <w:tcPr>
            <w:tcW w:w="993" w:type="dxa"/>
          </w:tcPr>
          <w:p w14:paraId="251E074D" w14:textId="77777777" w:rsidR="00E72470" w:rsidRPr="00582EF5" w:rsidRDefault="00E72470" w:rsidP="00953E78">
            <w:pPr>
              <w:pStyle w:val="TableText"/>
            </w:pPr>
            <w:r w:rsidRPr="00582EF5">
              <w:t>National Report 3</w:t>
            </w:r>
          </w:p>
        </w:tc>
        <w:tc>
          <w:tcPr>
            <w:tcW w:w="8023" w:type="dxa"/>
          </w:tcPr>
          <w:p w14:paraId="0C0AEC31" w14:textId="77777777" w:rsidR="00E72470" w:rsidRPr="00582EF5" w:rsidRDefault="00E72470" w:rsidP="00953E78">
            <w:pPr>
              <w:pStyle w:val="TableText"/>
              <w:spacing w:after="0"/>
            </w:pPr>
            <w:r w:rsidRPr="00582EF5">
              <w:t>Submission date: 29/08/2014</w:t>
            </w:r>
          </w:p>
          <w:p w14:paraId="1A13D7C3" w14:textId="24776D10" w:rsidR="00E72470" w:rsidRPr="00582EF5" w:rsidRDefault="00E72470" w:rsidP="00953E78">
            <w:pPr>
              <w:pStyle w:val="TableText"/>
              <w:spacing w:before="0"/>
            </w:pPr>
            <w:hyperlink r:id="rId161" w:history="1">
              <w:r w:rsidRPr="00582EF5">
                <w:rPr>
                  <w:rStyle w:val="Hyperlink"/>
                  <w:rFonts w:asciiTheme="minorHAnsi" w:hAnsiTheme="minorHAnsi" w:cs="Arial"/>
                  <w:szCs w:val="18"/>
                </w:rPr>
                <w:t>http://chm.pops.int/Countries/NationalReports/ThirdRoundPartyReports/tabid/4470/Default.aspx</w:t>
              </w:r>
            </w:hyperlink>
          </w:p>
        </w:tc>
      </w:tr>
      <w:tr w:rsidR="00E72470" w:rsidRPr="00582EF5" w14:paraId="39271527" w14:textId="77777777" w:rsidTr="00953E78">
        <w:tc>
          <w:tcPr>
            <w:tcW w:w="993" w:type="dxa"/>
          </w:tcPr>
          <w:p w14:paraId="3EF76E91" w14:textId="77777777" w:rsidR="00E72470" w:rsidRPr="00582EF5" w:rsidRDefault="00E72470" w:rsidP="00953E78">
            <w:pPr>
              <w:pStyle w:val="TableText"/>
            </w:pPr>
            <w:r w:rsidRPr="00582EF5">
              <w:t>National Report 4</w:t>
            </w:r>
          </w:p>
        </w:tc>
        <w:tc>
          <w:tcPr>
            <w:tcW w:w="8023" w:type="dxa"/>
          </w:tcPr>
          <w:p w14:paraId="35598499" w14:textId="77777777" w:rsidR="00E72470" w:rsidRPr="00582EF5" w:rsidRDefault="00E72470" w:rsidP="00953E78">
            <w:pPr>
              <w:pStyle w:val="TableText"/>
              <w:spacing w:after="0"/>
            </w:pPr>
            <w:r w:rsidRPr="00582EF5">
              <w:t>Submission date: 31/08/2018</w:t>
            </w:r>
          </w:p>
          <w:p w14:paraId="4640A5D7" w14:textId="149FBE94" w:rsidR="00E72470" w:rsidRPr="00582EF5" w:rsidRDefault="00E72470" w:rsidP="00953E78">
            <w:pPr>
              <w:pStyle w:val="TableText"/>
              <w:spacing w:before="0"/>
            </w:pPr>
            <w:hyperlink r:id="rId162" w:history="1">
              <w:r w:rsidRPr="00582EF5">
                <w:rPr>
                  <w:rStyle w:val="Hyperlink"/>
                  <w:rFonts w:asciiTheme="minorHAnsi" w:hAnsiTheme="minorHAnsi" w:cs="Arial"/>
                  <w:szCs w:val="18"/>
                </w:rPr>
                <w:t>http://chm.pops.int/Countries/NationalReports/FourthRoundPartyReports/tabid/6346/Default.aspx</w:t>
              </w:r>
            </w:hyperlink>
          </w:p>
        </w:tc>
      </w:tr>
      <w:tr w:rsidR="00AD6490" w:rsidRPr="00582EF5" w14:paraId="7FCB503C" w14:textId="77777777" w:rsidTr="00953E78">
        <w:tc>
          <w:tcPr>
            <w:tcW w:w="993" w:type="dxa"/>
          </w:tcPr>
          <w:p w14:paraId="3ED82BA2" w14:textId="75E63AB1" w:rsidR="00AD6490" w:rsidRPr="00582EF5" w:rsidRDefault="00AD6490" w:rsidP="00E54D01">
            <w:pPr>
              <w:pStyle w:val="TableText"/>
            </w:pPr>
            <w:r w:rsidRPr="00582EF5">
              <w:t xml:space="preserve">National Report </w:t>
            </w:r>
            <w:r>
              <w:t>5</w:t>
            </w:r>
          </w:p>
        </w:tc>
        <w:tc>
          <w:tcPr>
            <w:tcW w:w="8023" w:type="dxa"/>
          </w:tcPr>
          <w:p w14:paraId="76526065" w14:textId="42432E6D" w:rsidR="00AD6490" w:rsidRPr="00582EF5" w:rsidRDefault="00AD6490" w:rsidP="0087469B">
            <w:pPr>
              <w:pStyle w:val="TableText"/>
              <w:spacing w:after="0"/>
            </w:pPr>
            <w:r w:rsidRPr="00582EF5">
              <w:t>Submission date: 31/08/20</w:t>
            </w:r>
            <w:r w:rsidR="00E37CD5">
              <w:t>22</w:t>
            </w:r>
          </w:p>
          <w:p w14:paraId="060EC5EA" w14:textId="2EC28F4C" w:rsidR="00AD6490" w:rsidRPr="00582EF5" w:rsidRDefault="00BE2120" w:rsidP="00E54D01">
            <w:pPr>
              <w:pStyle w:val="TableText"/>
              <w:spacing w:before="0"/>
            </w:pPr>
            <w:hyperlink r:id="rId163" w:history="1">
              <w:r w:rsidRPr="00E54D01">
                <w:rPr>
                  <w:rStyle w:val="Hyperlink"/>
                  <w:rFonts w:asciiTheme="minorHAnsi" w:hAnsiTheme="minorHAnsi" w:cs="Arial"/>
                  <w:szCs w:val="18"/>
                </w:rPr>
                <w:t>http://chm.pops.int/Countries/Reporting/NationalReports/FifthRoundPartyReports/tabid/9026/Default.aspx</w:t>
              </w:r>
            </w:hyperlink>
          </w:p>
        </w:tc>
      </w:tr>
    </w:tbl>
    <w:p w14:paraId="55237B99" w14:textId="77777777" w:rsidR="00E72470" w:rsidRPr="00582EF5" w:rsidRDefault="00E72470" w:rsidP="00953E78">
      <w:pPr>
        <w:pStyle w:val="BodyText"/>
      </w:pPr>
    </w:p>
    <w:p w14:paraId="1EB274CA" w14:textId="03A164BC" w:rsidR="006906D2" w:rsidRPr="00582EF5" w:rsidRDefault="00166A58" w:rsidP="00953E78">
      <w:pPr>
        <w:pStyle w:val="Heading1"/>
      </w:pPr>
      <w:r w:rsidRPr="00582EF5">
        <w:rPr>
          <w:rStyle w:val="Heading1Char"/>
        </w:rPr>
        <w:br w:type="page"/>
      </w:r>
      <w:bookmarkStart w:id="152" w:name="_Toc120532264"/>
      <w:bookmarkEnd w:id="3"/>
      <w:r w:rsidR="006906D2" w:rsidRPr="00582EF5">
        <w:lastRenderedPageBreak/>
        <w:t>Glossary</w:t>
      </w:r>
      <w:bookmarkEnd w:id="152"/>
    </w:p>
    <w:p w14:paraId="3F372540" w14:textId="7A2F739A" w:rsidR="006906D2" w:rsidRPr="00582EF5" w:rsidRDefault="006906D2" w:rsidP="00953E78">
      <w:pPr>
        <w:pStyle w:val="Glossary"/>
      </w:pPr>
      <w:r w:rsidRPr="00582EF5">
        <w:t xml:space="preserve">ACVM </w:t>
      </w:r>
      <w:r w:rsidRPr="00582EF5">
        <w:tab/>
        <w:t>Agricultural Compounds and Veterinary Medicines</w:t>
      </w:r>
    </w:p>
    <w:p w14:paraId="666466F0" w14:textId="55D96C5F" w:rsidR="00713A89" w:rsidRPr="00582EF5" w:rsidRDefault="00713A89" w:rsidP="00953E78">
      <w:pPr>
        <w:pStyle w:val="Glossary"/>
        <w:ind w:left="2835" w:hanging="2835"/>
      </w:pPr>
      <w:r w:rsidRPr="00582EF5">
        <w:t>Alpha</w:t>
      </w:r>
      <w:r w:rsidR="00C54D14">
        <w:t>-</w:t>
      </w:r>
      <w:r w:rsidRPr="00582EF5">
        <w:t xml:space="preserve">HCH </w:t>
      </w:r>
      <w:r w:rsidRPr="00582EF5">
        <w:tab/>
        <w:t>Alpha hexachlorocyclohexane</w:t>
      </w:r>
    </w:p>
    <w:p w14:paraId="3B206F8E" w14:textId="34CDE28D" w:rsidR="00713A89" w:rsidRPr="00582EF5" w:rsidRDefault="00713A89" w:rsidP="00953E78">
      <w:pPr>
        <w:pStyle w:val="Glossary"/>
        <w:ind w:left="2835" w:hanging="2835"/>
      </w:pPr>
      <w:r w:rsidRPr="00582EF5">
        <w:t>Basel Convention</w:t>
      </w:r>
      <w:r w:rsidRPr="00582EF5">
        <w:tab/>
        <w:t>Basel Convention on the Control of Transboundary Movements of Hazardous Wastes and Their Disposal</w:t>
      </w:r>
    </w:p>
    <w:p w14:paraId="419CE71C" w14:textId="13D5AF02" w:rsidR="006906D2" w:rsidRPr="00582EF5" w:rsidRDefault="006906D2" w:rsidP="00953E78">
      <w:pPr>
        <w:pStyle w:val="Glossary"/>
      </w:pPr>
      <w:r w:rsidRPr="00582EF5">
        <w:t>BAT/BEP</w:t>
      </w:r>
      <w:r w:rsidRPr="00582EF5">
        <w:tab/>
        <w:t>Best available techniques/best environmental practices</w:t>
      </w:r>
    </w:p>
    <w:p w14:paraId="3B5AF55D" w14:textId="6618BDBE" w:rsidR="006906D2" w:rsidRPr="00582EF5" w:rsidRDefault="006906D2" w:rsidP="00953E78">
      <w:pPr>
        <w:pStyle w:val="Glossary"/>
      </w:pPr>
      <w:r w:rsidRPr="00582EF5">
        <w:t>BDE</w:t>
      </w:r>
      <w:r w:rsidRPr="00582EF5">
        <w:tab/>
      </w:r>
      <w:proofErr w:type="spellStart"/>
      <w:r w:rsidRPr="00582EF5">
        <w:t>Bromodiphenyl</w:t>
      </w:r>
      <w:proofErr w:type="spellEnd"/>
      <w:r w:rsidRPr="00582EF5">
        <w:t xml:space="preserve"> ether</w:t>
      </w:r>
    </w:p>
    <w:p w14:paraId="52733227" w14:textId="17A88009" w:rsidR="00B55167" w:rsidRPr="00582EF5" w:rsidRDefault="00C54D14" w:rsidP="00953E78">
      <w:pPr>
        <w:pStyle w:val="Glossary"/>
      </w:pPr>
      <w:r>
        <w:t>Beta-</w:t>
      </w:r>
      <w:r w:rsidR="00B55167" w:rsidRPr="00582EF5">
        <w:t>HCH</w:t>
      </w:r>
      <w:r w:rsidR="00B55167" w:rsidRPr="00582EF5">
        <w:tab/>
        <w:t>Beta hexachlorocyclohexane</w:t>
      </w:r>
    </w:p>
    <w:p w14:paraId="2B83C29C" w14:textId="0F686FE3" w:rsidR="006906D2" w:rsidRPr="00582EF5" w:rsidRDefault="006906D2" w:rsidP="00953E78">
      <w:pPr>
        <w:pStyle w:val="Glossary"/>
      </w:pPr>
      <w:r w:rsidRPr="00582EF5">
        <w:t>BFRs</w:t>
      </w:r>
      <w:r w:rsidRPr="00582EF5">
        <w:tab/>
        <w:t>Brominated flame retardants</w:t>
      </w:r>
    </w:p>
    <w:p w14:paraId="45B91D6A" w14:textId="77777777" w:rsidR="00B55167" w:rsidRPr="00582EF5" w:rsidRDefault="00B55167" w:rsidP="00953E78">
      <w:pPr>
        <w:pStyle w:val="Glossary"/>
        <w:rPr>
          <w:rFonts w:eastAsiaTheme="minorHAnsi"/>
          <w:lang w:eastAsia="en-US"/>
        </w:rPr>
      </w:pPr>
      <w:r w:rsidRPr="00582EF5">
        <w:rPr>
          <w:rFonts w:eastAsiaTheme="minorHAnsi"/>
          <w:lang w:eastAsia="en-US"/>
        </w:rPr>
        <w:t>c-</w:t>
      </w:r>
      <w:proofErr w:type="spellStart"/>
      <w:r w:rsidRPr="00582EF5">
        <w:rPr>
          <w:rFonts w:eastAsiaTheme="minorHAnsi"/>
          <w:lang w:eastAsia="en-US"/>
        </w:rPr>
        <w:t>decaBDE</w:t>
      </w:r>
      <w:proofErr w:type="spellEnd"/>
      <w:r w:rsidRPr="00582EF5">
        <w:rPr>
          <w:rFonts w:eastAsiaTheme="minorHAnsi"/>
          <w:lang w:eastAsia="en-US"/>
        </w:rPr>
        <w:tab/>
        <w:t xml:space="preserve">Commercial mixture </w:t>
      </w:r>
      <w:proofErr w:type="spellStart"/>
      <w:r w:rsidRPr="00582EF5">
        <w:rPr>
          <w:rFonts w:eastAsiaTheme="minorHAnsi"/>
          <w:lang w:eastAsia="en-US"/>
        </w:rPr>
        <w:t>decabromodiphenyl</w:t>
      </w:r>
      <w:proofErr w:type="spellEnd"/>
      <w:r w:rsidRPr="00582EF5">
        <w:rPr>
          <w:rFonts w:eastAsiaTheme="minorHAnsi"/>
          <w:lang w:eastAsia="en-US"/>
        </w:rPr>
        <w:t xml:space="preserve"> ether</w:t>
      </w:r>
    </w:p>
    <w:p w14:paraId="69AA3516" w14:textId="77777777" w:rsidR="00B55167" w:rsidRPr="00582EF5" w:rsidRDefault="00B55167" w:rsidP="00953E78">
      <w:pPr>
        <w:pStyle w:val="Glossary"/>
        <w:rPr>
          <w:rFonts w:eastAsiaTheme="minorHAnsi"/>
        </w:rPr>
      </w:pPr>
      <w:r w:rsidRPr="00582EF5">
        <w:rPr>
          <w:rFonts w:eastAsiaTheme="minorHAnsi"/>
        </w:rPr>
        <w:t>c-</w:t>
      </w:r>
      <w:proofErr w:type="spellStart"/>
      <w:r w:rsidRPr="00582EF5">
        <w:rPr>
          <w:rFonts w:eastAsiaTheme="minorHAnsi"/>
        </w:rPr>
        <w:t>octaBDE</w:t>
      </w:r>
      <w:proofErr w:type="spellEnd"/>
      <w:r w:rsidRPr="00582EF5">
        <w:rPr>
          <w:rFonts w:eastAsiaTheme="minorHAnsi"/>
        </w:rPr>
        <w:tab/>
        <w:t xml:space="preserve">Commercial </w:t>
      </w:r>
      <w:proofErr w:type="spellStart"/>
      <w:r w:rsidRPr="00582EF5">
        <w:rPr>
          <w:rFonts w:eastAsiaTheme="minorHAnsi"/>
        </w:rPr>
        <w:t>octaBDE</w:t>
      </w:r>
      <w:proofErr w:type="spellEnd"/>
    </w:p>
    <w:p w14:paraId="41C37511" w14:textId="20CEB5BA" w:rsidR="00B55167" w:rsidRPr="00582EF5" w:rsidRDefault="00B55167" w:rsidP="00953E78">
      <w:pPr>
        <w:pStyle w:val="Glossary"/>
      </w:pPr>
      <w:r w:rsidRPr="00582EF5">
        <w:rPr>
          <w:rFonts w:eastAsia="Times New Roman"/>
        </w:rPr>
        <w:t>c-</w:t>
      </w:r>
      <w:proofErr w:type="spellStart"/>
      <w:r w:rsidRPr="00582EF5">
        <w:rPr>
          <w:rFonts w:eastAsia="Times New Roman"/>
        </w:rPr>
        <w:t>pentaBDE</w:t>
      </w:r>
      <w:proofErr w:type="spellEnd"/>
      <w:r w:rsidRPr="00582EF5">
        <w:rPr>
          <w:rFonts w:eastAsia="Times New Roman"/>
        </w:rPr>
        <w:t xml:space="preserve"> </w:t>
      </w:r>
      <w:r w:rsidRPr="00582EF5">
        <w:rPr>
          <w:rFonts w:eastAsia="Times New Roman"/>
        </w:rPr>
        <w:tab/>
      </w:r>
      <w:r w:rsidR="0052355B">
        <w:rPr>
          <w:rFonts w:eastAsia="Times New Roman"/>
        </w:rPr>
        <w:t>C</w:t>
      </w:r>
      <w:r w:rsidR="0052355B" w:rsidRPr="00582EF5">
        <w:rPr>
          <w:rFonts w:eastAsia="Times New Roman"/>
        </w:rPr>
        <w:t xml:space="preserve">ommercial </w:t>
      </w:r>
      <w:proofErr w:type="spellStart"/>
      <w:r w:rsidRPr="00582EF5">
        <w:rPr>
          <w:rFonts w:eastAsia="Times New Roman"/>
        </w:rPr>
        <w:t>pentabromodiphenyl</w:t>
      </w:r>
      <w:proofErr w:type="spellEnd"/>
      <w:r w:rsidRPr="00582EF5">
        <w:rPr>
          <w:rFonts w:eastAsia="Times New Roman"/>
        </w:rPr>
        <w:t xml:space="preserve"> ether</w:t>
      </w:r>
    </w:p>
    <w:p w14:paraId="0A3F0697" w14:textId="77777777" w:rsidR="00B55167" w:rsidRPr="00582EF5" w:rsidRDefault="00B55167" w:rsidP="00953E78">
      <w:pPr>
        <w:pStyle w:val="Glossary"/>
      </w:pPr>
      <w:r w:rsidRPr="00582EF5">
        <w:t>Convention</w:t>
      </w:r>
      <w:r w:rsidRPr="00582EF5">
        <w:tab/>
        <w:t xml:space="preserve">Stockholm Convention on Persistent Organic Pollutants </w:t>
      </w:r>
    </w:p>
    <w:p w14:paraId="077280DC" w14:textId="77777777" w:rsidR="00C441E3" w:rsidRPr="00582EF5" w:rsidRDefault="00C441E3" w:rsidP="00953E78">
      <w:pPr>
        <w:pStyle w:val="Glossary"/>
      </w:pPr>
      <w:r w:rsidRPr="00582EF5">
        <w:t xml:space="preserve">CPHR </w:t>
      </w:r>
      <w:r w:rsidRPr="00582EF5">
        <w:tab/>
        <w:t>Centre for Public Health Research</w:t>
      </w:r>
    </w:p>
    <w:p w14:paraId="02D88234" w14:textId="7F0F8E9E" w:rsidR="006906D2" w:rsidRPr="00582EF5" w:rsidRDefault="006906D2" w:rsidP="00953E78">
      <w:pPr>
        <w:pStyle w:val="Glossary"/>
      </w:pPr>
      <w:r w:rsidRPr="00582EF5">
        <w:t>CSRF</w:t>
      </w:r>
      <w:r w:rsidRPr="00582EF5">
        <w:tab/>
        <w:t>Contaminated Sites Remediation Fund</w:t>
      </w:r>
    </w:p>
    <w:p w14:paraId="2516C73C" w14:textId="16A69197" w:rsidR="00C441E3" w:rsidRPr="00582EF5" w:rsidRDefault="00C441E3" w:rsidP="00953E78">
      <w:pPr>
        <w:pStyle w:val="Glossary"/>
      </w:pPr>
      <w:r w:rsidRPr="00582EF5">
        <w:t>Customs</w:t>
      </w:r>
      <w:r w:rsidRPr="00582EF5">
        <w:tab/>
        <w:t>New Zealand Customs Service</w:t>
      </w:r>
    </w:p>
    <w:p w14:paraId="4707AB2E" w14:textId="1AFD6A84" w:rsidR="006906D2" w:rsidRPr="00582EF5" w:rsidRDefault="006906D2" w:rsidP="00953E78">
      <w:pPr>
        <w:pStyle w:val="Glossary"/>
      </w:pPr>
      <w:r w:rsidRPr="00582EF5">
        <w:t xml:space="preserve">DDT </w:t>
      </w:r>
      <w:r w:rsidRPr="00582EF5">
        <w:tab/>
        <w:t>1,1,1-trichloro-2, 2-bis (4-chlorophenyl) ethane</w:t>
      </w:r>
    </w:p>
    <w:p w14:paraId="0C3ED696" w14:textId="06EC0932" w:rsidR="006906D2" w:rsidRPr="00582EF5" w:rsidRDefault="006906D2" w:rsidP="00953E78">
      <w:pPr>
        <w:pStyle w:val="Glossary"/>
      </w:pPr>
      <w:proofErr w:type="spellStart"/>
      <w:r w:rsidRPr="00582EF5">
        <w:t>DecaBDE</w:t>
      </w:r>
      <w:proofErr w:type="spellEnd"/>
      <w:r w:rsidRPr="00582EF5">
        <w:t xml:space="preserve"> </w:t>
      </w:r>
      <w:r w:rsidRPr="00582EF5">
        <w:tab/>
      </w:r>
      <w:proofErr w:type="spellStart"/>
      <w:r w:rsidRPr="00582EF5">
        <w:t>Decabromodiphenyl</w:t>
      </w:r>
      <w:proofErr w:type="spellEnd"/>
      <w:r w:rsidRPr="00582EF5">
        <w:t xml:space="preserve"> ether</w:t>
      </w:r>
    </w:p>
    <w:p w14:paraId="61BAFEEC" w14:textId="663E4E95" w:rsidR="006906D2" w:rsidRPr="00582EF5" w:rsidRDefault="006906D2" w:rsidP="00953E78">
      <w:pPr>
        <w:pStyle w:val="Glossary"/>
      </w:pPr>
      <w:r w:rsidRPr="00582EF5">
        <w:t>EPA</w:t>
      </w:r>
      <w:r w:rsidRPr="00582EF5">
        <w:tab/>
        <w:t>Environmental Protection Authority</w:t>
      </w:r>
    </w:p>
    <w:p w14:paraId="5DD29A0B" w14:textId="64A8004F" w:rsidR="006906D2" w:rsidRPr="00582EF5" w:rsidRDefault="006906D2" w:rsidP="00953E78">
      <w:pPr>
        <w:pStyle w:val="Glossary"/>
        <w:rPr>
          <w:rFonts w:eastAsiaTheme="minorHAnsi"/>
        </w:rPr>
      </w:pPr>
      <w:r w:rsidRPr="00582EF5">
        <w:t>EPS</w:t>
      </w:r>
      <w:r w:rsidRPr="00582EF5">
        <w:tab/>
        <w:t>E</w:t>
      </w:r>
      <w:r w:rsidRPr="00582EF5">
        <w:rPr>
          <w:rFonts w:eastAsiaTheme="minorHAnsi"/>
        </w:rPr>
        <w:t>xpanded</w:t>
      </w:r>
      <w:r w:rsidRPr="00582EF5">
        <w:t xml:space="preserve"> </w:t>
      </w:r>
      <w:r w:rsidRPr="00582EF5">
        <w:rPr>
          <w:rFonts w:eastAsiaTheme="minorHAnsi"/>
        </w:rPr>
        <w:t>polystyrene</w:t>
      </w:r>
    </w:p>
    <w:p w14:paraId="5B9E9E56" w14:textId="77777777" w:rsidR="00312C6C" w:rsidRPr="00582EF5" w:rsidRDefault="00312C6C" w:rsidP="00953E78">
      <w:pPr>
        <w:pStyle w:val="Glossary"/>
        <w:rPr>
          <w:rFonts w:eastAsiaTheme="minorHAnsi"/>
        </w:rPr>
      </w:pPr>
      <w:r w:rsidRPr="00582EF5">
        <w:t xml:space="preserve">ESR </w:t>
      </w:r>
      <w:r w:rsidRPr="00582EF5">
        <w:tab/>
        <w:t>Institute of Environmental Science and Research</w:t>
      </w:r>
    </w:p>
    <w:p w14:paraId="4CA8407A" w14:textId="23251A3B" w:rsidR="008E2C5C" w:rsidRPr="00582EF5" w:rsidRDefault="008E2C5C" w:rsidP="00953E78">
      <w:pPr>
        <w:pStyle w:val="Glossary"/>
      </w:pPr>
      <w:r w:rsidRPr="00582EF5">
        <w:rPr>
          <w:rFonts w:eastAsiaTheme="minorHAnsi"/>
        </w:rPr>
        <w:t>EU</w:t>
      </w:r>
      <w:r w:rsidRPr="00582EF5">
        <w:rPr>
          <w:rFonts w:eastAsiaTheme="minorHAnsi"/>
        </w:rPr>
        <w:tab/>
        <w:t>European Union</w:t>
      </w:r>
    </w:p>
    <w:p w14:paraId="4BD3967B" w14:textId="77777777" w:rsidR="007365EA" w:rsidRPr="00582EF5" w:rsidRDefault="007365EA" w:rsidP="00953E78">
      <w:pPr>
        <w:pStyle w:val="Glossary"/>
      </w:pPr>
      <w:r w:rsidRPr="00582EF5">
        <w:t xml:space="preserve">HAIL </w:t>
      </w:r>
      <w:r w:rsidRPr="00582EF5">
        <w:tab/>
        <w:t>Hazardous Activities and Industries List</w:t>
      </w:r>
    </w:p>
    <w:p w14:paraId="2700DABF" w14:textId="19E6030D" w:rsidR="006906D2" w:rsidRPr="00582EF5" w:rsidRDefault="006906D2" w:rsidP="00953E78">
      <w:pPr>
        <w:pStyle w:val="Glossary"/>
      </w:pPr>
      <w:r w:rsidRPr="00582EF5">
        <w:t>HBCD</w:t>
      </w:r>
      <w:r w:rsidRPr="00582EF5">
        <w:tab/>
        <w:t>Hexabromocyclododecane</w:t>
      </w:r>
    </w:p>
    <w:p w14:paraId="4223FED4" w14:textId="77777777" w:rsidR="007365EA" w:rsidRPr="00582EF5" w:rsidRDefault="007365EA" w:rsidP="00953E78">
      <w:pPr>
        <w:pStyle w:val="Glossary"/>
      </w:pPr>
      <w:r w:rsidRPr="00582EF5">
        <w:t xml:space="preserve">HBGVs </w:t>
      </w:r>
      <w:r w:rsidRPr="00582EF5">
        <w:tab/>
        <w:t xml:space="preserve">Health-based guidance values </w:t>
      </w:r>
    </w:p>
    <w:p w14:paraId="66D49498" w14:textId="59B8FD6B" w:rsidR="006906D2" w:rsidRPr="00582EF5" w:rsidRDefault="006906D2" w:rsidP="00953E78">
      <w:pPr>
        <w:pStyle w:val="Glossary"/>
      </w:pPr>
      <w:r w:rsidRPr="00582EF5">
        <w:t>HCB</w:t>
      </w:r>
      <w:r w:rsidRPr="00582EF5">
        <w:tab/>
        <w:t>Hexachlorobenzene</w:t>
      </w:r>
    </w:p>
    <w:p w14:paraId="045588CD" w14:textId="064B1604" w:rsidR="006906D2" w:rsidRPr="00582EF5" w:rsidRDefault="006906D2" w:rsidP="00953E78">
      <w:pPr>
        <w:pStyle w:val="Glossary"/>
      </w:pPr>
      <w:r w:rsidRPr="00582EF5">
        <w:t>HCBD</w:t>
      </w:r>
      <w:r w:rsidRPr="00582EF5">
        <w:tab/>
        <w:t>Hexachlorobutadiene</w:t>
      </w:r>
    </w:p>
    <w:p w14:paraId="606DE46E" w14:textId="3479475F" w:rsidR="006906D2" w:rsidRPr="00582EF5" w:rsidRDefault="006906D2" w:rsidP="00953E78">
      <w:pPr>
        <w:pStyle w:val="Glossary"/>
      </w:pPr>
      <w:r w:rsidRPr="00582EF5">
        <w:rPr>
          <w:rFonts w:eastAsiaTheme="minorHAnsi"/>
          <w:lang w:eastAsia="en-US"/>
        </w:rPr>
        <w:t>HCH</w:t>
      </w:r>
      <w:r w:rsidRPr="00582EF5">
        <w:t xml:space="preserve"> </w:t>
      </w:r>
      <w:r w:rsidRPr="00582EF5">
        <w:tab/>
        <w:t>H</w:t>
      </w:r>
      <w:r w:rsidRPr="00582EF5">
        <w:rPr>
          <w:rFonts w:eastAsiaTheme="minorHAnsi"/>
          <w:lang w:eastAsia="en-US"/>
        </w:rPr>
        <w:t>exachlorocyclohexane</w:t>
      </w:r>
    </w:p>
    <w:p w14:paraId="2519CE07" w14:textId="77777777" w:rsidR="00481650" w:rsidRPr="00582EF5" w:rsidRDefault="00481650" w:rsidP="00953E78">
      <w:pPr>
        <w:pStyle w:val="Glossary"/>
        <w:rPr>
          <w:rFonts w:eastAsiaTheme="minorHAnsi"/>
          <w:lang w:eastAsia="en-US"/>
        </w:rPr>
      </w:pPr>
      <w:r w:rsidRPr="00582EF5">
        <w:t xml:space="preserve">HDPE </w:t>
      </w:r>
      <w:r w:rsidRPr="00582EF5">
        <w:tab/>
        <w:t>high-density polyethylene</w:t>
      </w:r>
    </w:p>
    <w:p w14:paraId="6A01969E" w14:textId="07EFAD7C" w:rsidR="00481650" w:rsidRPr="00582EF5" w:rsidRDefault="00481650" w:rsidP="00953E78">
      <w:pPr>
        <w:pStyle w:val="Glossary"/>
        <w:rPr>
          <w:rFonts w:eastAsiaTheme="minorHAnsi"/>
          <w:lang w:eastAsia="en-US"/>
        </w:rPr>
      </w:pPr>
      <w:proofErr w:type="spellStart"/>
      <w:r w:rsidRPr="00582EF5">
        <w:rPr>
          <w:rFonts w:eastAsiaTheme="minorHAnsi"/>
          <w:lang w:eastAsia="en-US"/>
        </w:rPr>
        <w:t>HeptaBDE</w:t>
      </w:r>
      <w:proofErr w:type="spellEnd"/>
      <w:r w:rsidRPr="00582EF5">
        <w:rPr>
          <w:rFonts w:eastAsiaTheme="minorHAnsi"/>
          <w:lang w:eastAsia="en-US"/>
        </w:rPr>
        <w:tab/>
      </w:r>
      <w:proofErr w:type="spellStart"/>
      <w:r w:rsidR="00EA2ADF" w:rsidRPr="00582EF5">
        <w:rPr>
          <w:rFonts w:eastAsiaTheme="minorHAnsi"/>
          <w:lang w:eastAsia="en-US"/>
        </w:rPr>
        <w:t>Heptabromodiphenyl</w:t>
      </w:r>
      <w:proofErr w:type="spellEnd"/>
      <w:r w:rsidRPr="00582EF5">
        <w:rPr>
          <w:rFonts w:eastAsiaTheme="minorHAnsi"/>
          <w:lang w:eastAsia="en-US"/>
        </w:rPr>
        <w:t xml:space="preserve"> ether</w:t>
      </w:r>
    </w:p>
    <w:p w14:paraId="3F2286BB" w14:textId="77777777" w:rsidR="00481650" w:rsidRPr="00582EF5" w:rsidRDefault="00481650" w:rsidP="00953E78">
      <w:pPr>
        <w:pStyle w:val="Glossary"/>
        <w:rPr>
          <w:rFonts w:eastAsiaTheme="minorHAnsi"/>
          <w:lang w:eastAsia="en-US"/>
        </w:rPr>
      </w:pPr>
      <w:proofErr w:type="spellStart"/>
      <w:r w:rsidRPr="00582EF5">
        <w:rPr>
          <w:rFonts w:eastAsiaTheme="minorHAnsi"/>
          <w:lang w:eastAsia="en-US"/>
        </w:rPr>
        <w:t>HexaBDE</w:t>
      </w:r>
      <w:proofErr w:type="spellEnd"/>
      <w:r w:rsidRPr="00582EF5">
        <w:rPr>
          <w:rFonts w:eastAsiaTheme="minorHAnsi"/>
          <w:lang w:eastAsia="en-US"/>
        </w:rPr>
        <w:tab/>
      </w:r>
      <w:proofErr w:type="spellStart"/>
      <w:r w:rsidRPr="00582EF5">
        <w:rPr>
          <w:rFonts w:eastAsiaTheme="minorHAnsi"/>
          <w:lang w:eastAsia="en-US"/>
        </w:rPr>
        <w:t>Hexabromodiphenyl</w:t>
      </w:r>
      <w:proofErr w:type="spellEnd"/>
      <w:r w:rsidRPr="00582EF5">
        <w:rPr>
          <w:rFonts w:eastAsiaTheme="minorHAnsi"/>
          <w:lang w:eastAsia="en-US"/>
        </w:rPr>
        <w:t xml:space="preserve"> ether</w:t>
      </w:r>
    </w:p>
    <w:p w14:paraId="72E1467F" w14:textId="7E73061A" w:rsidR="006906D2" w:rsidRPr="00582EF5" w:rsidRDefault="006906D2" w:rsidP="00953E78">
      <w:pPr>
        <w:pStyle w:val="Glossary"/>
      </w:pPr>
      <w:r w:rsidRPr="00582EF5">
        <w:t>HSNO</w:t>
      </w:r>
      <w:r w:rsidRPr="00582EF5">
        <w:tab/>
        <w:t xml:space="preserve">Hazardous Substances and New Organisms </w:t>
      </w:r>
    </w:p>
    <w:p w14:paraId="475A5D9D" w14:textId="6F234DF1" w:rsidR="006906D2" w:rsidRPr="00582EF5" w:rsidRDefault="006906D2" w:rsidP="00953E78">
      <w:pPr>
        <w:pStyle w:val="Glossary"/>
      </w:pPr>
      <w:r w:rsidRPr="00582EF5">
        <w:t>HSWA</w:t>
      </w:r>
      <w:r w:rsidRPr="00582EF5">
        <w:tab/>
        <w:t>Health and Safety at Work Act 2015</w:t>
      </w:r>
    </w:p>
    <w:p w14:paraId="755FB1B7" w14:textId="2284DC95" w:rsidR="00481650" w:rsidRPr="00582EF5" w:rsidRDefault="00481650" w:rsidP="00953E78">
      <w:pPr>
        <w:pStyle w:val="Glossary"/>
        <w:ind w:left="2835" w:hanging="2835"/>
      </w:pPr>
      <w:r w:rsidRPr="00582EF5">
        <w:t>HSWA HS Regulations</w:t>
      </w:r>
      <w:r w:rsidRPr="00582EF5">
        <w:tab/>
        <w:t>Health and Safety at Work (Hazardous Substances) Regulations</w:t>
      </w:r>
      <w:r w:rsidR="00341EA4" w:rsidRPr="00582EF5">
        <w:t> </w:t>
      </w:r>
      <w:r w:rsidRPr="00582EF5">
        <w:t>2017</w:t>
      </w:r>
    </w:p>
    <w:p w14:paraId="70C62407" w14:textId="5A7B0647" w:rsidR="006906D2" w:rsidRPr="00582EF5" w:rsidRDefault="006906D2" w:rsidP="00953E78">
      <w:pPr>
        <w:pStyle w:val="Glossary"/>
        <w:ind w:left="2835" w:hanging="2835"/>
      </w:pPr>
      <w:r w:rsidRPr="00582EF5">
        <w:lastRenderedPageBreak/>
        <w:t>I&amp;E</w:t>
      </w:r>
      <w:r w:rsidR="00211E6B" w:rsidRPr="00582EF5">
        <w:t xml:space="preserve"> </w:t>
      </w:r>
      <w:r w:rsidRPr="00582EF5">
        <w:t>Order</w:t>
      </w:r>
      <w:r w:rsidRPr="00582EF5">
        <w:tab/>
        <w:t>Imports and Exports (Restrictions) Prohibition Order (No 2) 2004</w:t>
      </w:r>
      <w:r w:rsidR="006D7E9D" w:rsidRPr="00582EF5">
        <w:t xml:space="preserve"> </w:t>
      </w:r>
    </w:p>
    <w:p w14:paraId="5D229D3C" w14:textId="119F7C72" w:rsidR="006906D2" w:rsidRPr="00582EF5" w:rsidRDefault="006906D2" w:rsidP="00953E78">
      <w:pPr>
        <w:pStyle w:val="Glossary"/>
      </w:pPr>
      <w:r w:rsidRPr="00582EF5">
        <w:t>MBIE</w:t>
      </w:r>
      <w:r w:rsidRPr="00582EF5">
        <w:tab/>
        <w:t>Ministry of Business, Innovation and Employment</w:t>
      </w:r>
    </w:p>
    <w:p w14:paraId="13F6DFAA" w14:textId="7CC21A7A" w:rsidR="006906D2" w:rsidRPr="00582EF5" w:rsidRDefault="006906D2" w:rsidP="00953E78">
      <w:pPr>
        <w:pStyle w:val="Glossary"/>
      </w:pPr>
      <w:r w:rsidRPr="00582EF5">
        <w:t xml:space="preserve">MfE </w:t>
      </w:r>
      <w:r w:rsidRPr="00582EF5">
        <w:tab/>
        <w:t>Ministry for the Environment</w:t>
      </w:r>
    </w:p>
    <w:p w14:paraId="00EF4092" w14:textId="3E5C9FBE" w:rsidR="006906D2" w:rsidRPr="00582EF5" w:rsidRDefault="006906D2" w:rsidP="00953E78">
      <w:pPr>
        <w:pStyle w:val="Glossary"/>
      </w:pPr>
      <w:r w:rsidRPr="00582EF5">
        <w:t>MOH</w:t>
      </w:r>
      <w:r w:rsidRPr="00582EF5">
        <w:tab/>
        <w:t>Ministry of Health</w:t>
      </w:r>
    </w:p>
    <w:p w14:paraId="758CE346" w14:textId="19E31021" w:rsidR="006906D2" w:rsidRPr="00582EF5" w:rsidRDefault="006906D2" w:rsidP="00953E78">
      <w:pPr>
        <w:pStyle w:val="Glossary"/>
      </w:pPr>
      <w:r w:rsidRPr="00582EF5">
        <w:t>MPI</w:t>
      </w:r>
      <w:r w:rsidRPr="00582EF5">
        <w:tab/>
        <w:t>Ministry for Primary Industries</w:t>
      </w:r>
    </w:p>
    <w:p w14:paraId="38F7E426" w14:textId="7792AB94" w:rsidR="006906D2" w:rsidRPr="00582EF5" w:rsidRDefault="006906D2" w:rsidP="00953E78">
      <w:pPr>
        <w:pStyle w:val="Glossary"/>
      </w:pPr>
      <w:r w:rsidRPr="00582EF5">
        <w:t>MFAT</w:t>
      </w:r>
      <w:r w:rsidRPr="00582EF5">
        <w:tab/>
        <w:t>Ministry of Foreign Affairs and Trade</w:t>
      </w:r>
    </w:p>
    <w:p w14:paraId="18F86497" w14:textId="207793E1" w:rsidR="006906D2" w:rsidRPr="00582EF5" w:rsidRDefault="006906D2" w:rsidP="00953E78">
      <w:pPr>
        <w:pStyle w:val="Glossary"/>
        <w:ind w:left="2835" w:hanging="2835"/>
      </w:pPr>
      <w:r w:rsidRPr="00582EF5">
        <w:t>NESCS</w:t>
      </w:r>
      <w:r w:rsidRPr="00582EF5">
        <w:tab/>
        <w:t>Resource Management (National Environmental Standard for Assessing and Managing Contaminants in Soil to Protect Human Health) Regulations 2011</w:t>
      </w:r>
    </w:p>
    <w:p w14:paraId="0C37C615" w14:textId="283D53A9" w:rsidR="006906D2" w:rsidRPr="00582EF5" w:rsidRDefault="006906D2" w:rsidP="00953E78">
      <w:pPr>
        <w:pStyle w:val="Glossary"/>
      </w:pPr>
      <w:r w:rsidRPr="00582EF5">
        <w:t>NCCP</w:t>
      </w:r>
      <w:r w:rsidRPr="00582EF5">
        <w:tab/>
        <w:t>National Chemical Contaminants Programme</w:t>
      </w:r>
    </w:p>
    <w:p w14:paraId="52B6C335" w14:textId="4A8F4278" w:rsidR="006906D2" w:rsidRPr="00582EF5" w:rsidRDefault="006906D2" w:rsidP="00953E78">
      <w:pPr>
        <w:pStyle w:val="Glossary"/>
      </w:pPr>
      <w:r w:rsidRPr="00582EF5">
        <w:t>NIP</w:t>
      </w:r>
      <w:r w:rsidRPr="00582EF5">
        <w:tab/>
        <w:t>National Implementation Plan</w:t>
      </w:r>
    </w:p>
    <w:p w14:paraId="48988F59" w14:textId="77777777" w:rsidR="00590E13" w:rsidRPr="00582EF5" w:rsidRDefault="00590E13" w:rsidP="00953E78">
      <w:pPr>
        <w:pStyle w:val="Glossary"/>
      </w:pPr>
      <w:r w:rsidRPr="00582EF5">
        <w:t>NIP1</w:t>
      </w:r>
      <w:r w:rsidRPr="00582EF5">
        <w:tab/>
        <w:t>National Implementation Plan 2006</w:t>
      </w:r>
    </w:p>
    <w:p w14:paraId="1FC036F4" w14:textId="41CA0771" w:rsidR="00590E13" w:rsidRPr="00582EF5" w:rsidRDefault="00590E13" w:rsidP="00953E78">
      <w:pPr>
        <w:pStyle w:val="Glossary"/>
        <w:rPr>
          <w:highlight w:val="yellow"/>
        </w:rPr>
      </w:pPr>
      <w:r w:rsidRPr="00582EF5">
        <w:t>NIP2</w:t>
      </w:r>
      <w:r w:rsidRPr="00582EF5">
        <w:tab/>
        <w:t>National Implementation Plan 2018</w:t>
      </w:r>
    </w:p>
    <w:p w14:paraId="786F8D21" w14:textId="41CA0771" w:rsidR="0086567A" w:rsidRDefault="0086567A" w:rsidP="00953E78">
      <w:pPr>
        <w:pStyle w:val="Glossary"/>
      </w:pPr>
      <w:r>
        <w:t>NIP3</w:t>
      </w:r>
      <w:r>
        <w:tab/>
        <w:t>National Implementation Plan 2022</w:t>
      </w:r>
    </w:p>
    <w:p w14:paraId="486BAF35" w14:textId="55BAC049" w:rsidR="006906D2" w:rsidRPr="00582EF5" w:rsidRDefault="006906D2" w:rsidP="00953E78">
      <w:pPr>
        <w:pStyle w:val="Glossary"/>
      </w:pPr>
      <w:r w:rsidRPr="00582EF5">
        <w:t>NZTDS</w:t>
      </w:r>
      <w:r w:rsidRPr="00582EF5">
        <w:tab/>
        <w:t>New Zealand Total Diet Study</w:t>
      </w:r>
    </w:p>
    <w:p w14:paraId="662D4DC2" w14:textId="2670F3B5" w:rsidR="006906D2" w:rsidRPr="00582EF5" w:rsidRDefault="006906D2" w:rsidP="00953E78">
      <w:pPr>
        <w:pStyle w:val="Glossary"/>
      </w:pPr>
      <w:r w:rsidRPr="00582EF5">
        <w:t xml:space="preserve">OCPs </w:t>
      </w:r>
      <w:r w:rsidRPr="00582EF5">
        <w:tab/>
        <w:t>Organochlorine pesticides</w:t>
      </w:r>
    </w:p>
    <w:p w14:paraId="256C6052" w14:textId="77777777" w:rsidR="00590E13" w:rsidRPr="00582EF5" w:rsidRDefault="00590E13" w:rsidP="00953E78">
      <w:pPr>
        <w:pStyle w:val="Glossary"/>
      </w:pPr>
      <w:r w:rsidRPr="00582EF5">
        <w:t>PBDEs</w:t>
      </w:r>
      <w:r w:rsidRPr="00582EF5">
        <w:tab/>
        <w:t xml:space="preserve">Polybrominated diphenyl ethers </w:t>
      </w:r>
    </w:p>
    <w:p w14:paraId="51DCF98D" w14:textId="1406643A" w:rsidR="006906D2" w:rsidRPr="00582EF5" w:rsidRDefault="006906D2" w:rsidP="00953E78">
      <w:pPr>
        <w:pStyle w:val="Glossary"/>
      </w:pPr>
      <w:r w:rsidRPr="00582EF5">
        <w:t>PCB</w:t>
      </w:r>
      <w:r w:rsidR="00FD2D54" w:rsidRPr="00582EF5">
        <w:t>s</w:t>
      </w:r>
      <w:r w:rsidRPr="00582EF5">
        <w:tab/>
        <w:t>Polychlorinated biphenyls</w:t>
      </w:r>
    </w:p>
    <w:p w14:paraId="255E85F1" w14:textId="543FB88C" w:rsidR="006906D2" w:rsidRPr="00582EF5" w:rsidRDefault="006906D2" w:rsidP="00953E78">
      <w:pPr>
        <w:pStyle w:val="Glossary"/>
      </w:pPr>
      <w:r w:rsidRPr="00582EF5">
        <w:t>PCDD</w:t>
      </w:r>
      <w:r w:rsidR="00FD2D54" w:rsidRPr="00582EF5">
        <w:t>s</w:t>
      </w:r>
      <w:r w:rsidRPr="00582EF5">
        <w:tab/>
        <w:t>Polychlorinated dibenzo-p-dioxins</w:t>
      </w:r>
    </w:p>
    <w:p w14:paraId="364541B9" w14:textId="2B97A488" w:rsidR="006906D2" w:rsidRPr="00582EF5" w:rsidRDefault="006906D2" w:rsidP="00953E78">
      <w:pPr>
        <w:pStyle w:val="Glossary"/>
      </w:pPr>
      <w:r w:rsidRPr="00582EF5">
        <w:t>PCDF</w:t>
      </w:r>
      <w:r w:rsidR="00FD2D54" w:rsidRPr="00582EF5">
        <w:t>s</w:t>
      </w:r>
      <w:r w:rsidRPr="00582EF5">
        <w:tab/>
        <w:t>Polychlorinated dibenzofurans</w:t>
      </w:r>
    </w:p>
    <w:p w14:paraId="19F72183" w14:textId="307320E4" w:rsidR="006906D2" w:rsidRPr="00582EF5" w:rsidRDefault="006906D2" w:rsidP="00953E78">
      <w:pPr>
        <w:pStyle w:val="Glossary"/>
      </w:pPr>
      <w:r w:rsidRPr="00582EF5">
        <w:t>PCNs</w:t>
      </w:r>
      <w:r w:rsidRPr="00582EF5">
        <w:tab/>
        <w:t xml:space="preserve">Polychlorinated </w:t>
      </w:r>
      <w:proofErr w:type="spellStart"/>
      <w:r w:rsidRPr="00582EF5">
        <w:t>naphthalenes</w:t>
      </w:r>
      <w:proofErr w:type="spellEnd"/>
    </w:p>
    <w:p w14:paraId="38CD671F" w14:textId="4D2F92B4" w:rsidR="006906D2" w:rsidRPr="00582EF5" w:rsidRDefault="006906D2" w:rsidP="00953E78">
      <w:pPr>
        <w:pStyle w:val="Glossary"/>
      </w:pPr>
      <w:r w:rsidRPr="00582EF5">
        <w:t xml:space="preserve">PCP </w:t>
      </w:r>
      <w:r w:rsidRPr="00582EF5">
        <w:tab/>
        <w:t>Pentachlorophenol</w:t>
      </w:r>
    </w:p>
    <w:p w14:paraId="3AF9E382" w14:textId="0AE01CA4" w:rsidR="006906D2" w:rsidRPr="00582EF5" w:rsidRDefault="006906D2" w:rsidP="00953E78">
      <w:pPr>
        <w:pStyle w:val="Glossary"/>
      </w:pPr>
      <w:proofErr w:type="spellStart"/>
      <w:r w:rsidRPr="00582EF5">
        <w:t>PeCB</w:t>
      </w:r>
      <w:proofErr w:type="spellEnd"/>
      <w:r w:rsidRPr="00582EF5">
        <w:t xml:space="preserve"> </w:t>
      </w:r>
      <w:r w:rsidRPr="00582EF5">
        <w:tab/>
      </w:r>
      <w:proofErr w:type="spellStart"/>
      <w:r w:rsidRPr="00582EF5">
        <w:t>Pentachlorobenzene</w:t>
      </w:r>
      <w:proofErr w:type="spellEnd"/>
    </w:p>
    <w:p w14:paraId="204EDECE" w14:textId="77777777" w:rsidR="00590E13" w:rsidRPr="00582EF5" w:rsidRDefault="00590E13" w:rsidP="00953E78">
      <w:pPr>
        <w:pStyle w:val="Glossary"/>
      </w:pPr>
      <w:proofErr w:type="spellStart"/>
      <w:r w:rsidRPr="00582EF5">
        <w:rPr>
          <w:rFonts w:eastAsiaTheme="minorHAnsi"/>
          <w:lang w:eastAsia="en-US"/>
        </w:rPr>
        <w:t>PentaBDE</w:t>
      </w:r>
      <w:proofErr w:type="spellEnd"/>
      <w:r w:rsidRPr="00582EF5">
        <w:rPr>
          <w:rFonts w:eastAsiaTheme="minorHAnsi"/>
          <w:lang w:eastAsia="en-US"/>
        </w:rPr>
        <w:tab/>
      </w:r>
      <w:proofErr w:type="spellStart"/>
      <w:r w:rsidRPr="00582EF5">
        <w:rPr>
          <w:rFonts w:eastAsiaTheme="minorHAnsi"/>
          <w:lang w:eastAsia="en-US"/>
        </w:rPr>
        <w:t>Pentabromodiphenyl</w:t>
      </w:r>
      <w:proofErr w:type="spellEnd"/>
      <w:r w:rsidRPr="00582EF5">
        <w:rPr>
          <w:rFonts w:eastAsiaTheme="minorHAnsi"/>
          <w:lang w:eastAsia="en-US"/>
        </w:rPr>
        <w:t xml:space="preserve"> ether</w:t>
      </w:r>
    </w:p>
    <w:p w14:paraId="1F99C480" w14:textId="63ABA769" w:rsidR="006906D2" w:rsidRPr="00582EF5" w:rsidRDefault="006906D2" w:rsidP="00953E78">
      <w:pPr>
        <w:pStyle w:val="Glossary"/>
      </w:pPr>
      <w:r w:rsidRPr="00582EF5">
        <w:t>POPs</w:t>
      </w:r>
      <w:r w:rsidRPr="00582EF5">
        <w:tab/>
        <w:t>Persistent organic pollutants</w:t>
      </w:r>
    </w:p>
    <w:p w14:paraId="691426E8" w14:textId="4A087B18" w:rsidR="006906D2" w:rsidRPr="00582EF5" w:rsidRDefault="006906D2" w:rsidP="00953E78">
      <w:pPr>
        <w:pStyle w:val="Glossary"/>
      </w:pPr>
      <w:r w:rsidRPr="00582EF5">
        <w:t>PFAS</w:t>
      </w:r>
      <w:r w:rsidRPr="00582EF5">
        <w:tab/>
        <w:t>Per- and poly-fluoroalkyl substances</w:t>
      </w:r>
    </w:p>
    <w:p w14:paraId="70E14C76" w14:textId="738FCECB" w:rsidR="00841603" w:rsidRPr="00582EF5" w:rsidRDefault="00841603" w:rsidP="00953E78">
      <w:pPr>
        <w:pStyle w:val="Glossary"/>
      </w:pPr>
      <w:r w:rsidRPr="00582EF5">
        <w:t>PFC</w:t>
      </w:r>
      <w:r w:rsidR="00FD2D54" w:rsidRPr="00582EF5">
        <w:t>s</w:t>
      </w:r>
      <w:r w:rsidRPr="00582EF5">
        <w:t xml:space="preserve"> </w:t>
      </w:r>
      <w:r w:rsidRPr="00582EF5">
        <w:tab/>
        <w:t xml:space="preserve">Perfluorinated compounds </w:t>
      </w:r>
    </w:p>
    <w:p w14:paraId="4C82DB74" w14:textId="7E7675F0" w:rsidR="006906D2" w:rsidRPr="00582EF5" w:rsidRDefault="006906D2" w:rsidP="00953E78">
      <w:pPr>
        <w:pStyle w:val="Glossary"/>
      </w:pPr>
      <w:r w:rsidRPr="00582EF5">
        <w:t>PFOA</w:t>
      </w:r>
      <w:r w:rsidRPr="00582EF5">
        <w:tab/>
        <w:t>Perfluorooctanoic acid</w:t>
      </w:r>
    </w:p>
    <w:p w14:paraId="5329C74F" w14:textId="49EFB1B7" w:rsidR="006906D2" w:rsidRPr="00582EF5" w:rsidRDefault="006906D2" w:rsidP="00953E78">
      <w:pPr>
        <w:pStyle w:val="Glossary"/>
      </w:pPr>
      <w:proofErr w:type="spellStart"/>
      <w:r w:rsidRPr="00582EF5">
        <w:t>PFHxS</w:t>
      </w:r>
      <w:proofErr w:type="spellEnd"/>
      <w:r w:rsidRPr="00582EF5">
        <w:tab/>
      </w:r>
      <w:proofErr w:type="spellStart"/>
      <w:r w:rsidRPr="00582EF5">
        <w:t>Perfluorohexane</w:t>
      </w:r>
      <w:proofErr w:type="spellEnd"/>
      <w:r w:rsidRPr="00582EF5">
        <w:t xml:space="preserve"> sulfonate</w:t>
      </w:r>
    </w:p>
    <w:p w14:paraId="04CFF732" w14:textId="040EED33" w:rsidR="006906D2" w:rsidRPr="00582EF5" w:rsidRDefault="006906D2" w:rsidP="00953E78">
      <w:pPr>
        <w:pStyle w:val="Glossary"/>
      </w:pPr>
      <w:r w:rsidRPr="00582EF5">
        <w:t>PFOS</w:t>
      </w:r>
      <w:r w:rsidRPr="00582EF5">
        <w:tab/>
      </w:r>
      <w:proofErr w:type="spellStart"/>
      <w:r w:rsidRPr="00582EF5">
        <w:t>Perfluorooctane</w:t>
      </w:r>
      <w:proofErr w:type="spellEnd"/>
      <w:r w:rsidRPr="00582EF5">
        <w:t xml:space="preserve"> sulfonic acid</w:t>
      </w:r>
    </w:p>
    <w:p w14:paraId="394AF64E" w14:textId="2D4B9D6C" w:rsidR="006906D2" w:rsidRPr="00582EF5" w:rsidRDefault="006906D2" w:rsidP="00953E78">
      <w:pPr>
        <w:pStyle w:val="Glossary"/>
      </w:pPr>
      <w:r w:rsidRPr="00582EF5">
        <w:t>PFOS-F</w:t>
      </w:r>
      <w:r w:rsidRPr="00582EF5">
        <w:tab/>
      </w:r>
      <w:proofErr w:type="spellStart"/>
      <w:r w:rsidRPr="00582EF5">
        <w:t>Perfluor</w:t>
      </w:r>
      <w:r w:rsidR="005C4C5C">
        <w:t>o</w:t>
      </w:r>
      <w:r w:rsidRPr="00582EF5">
        <w:t>octane</w:t>
      </w:r>
      <w:proofErr w:type="spellEnd"/>
      <w:r w:rsidRPr="00582EF5">
        <w:t xml:space="preserve"> sulfonyl fluoride</w:t>
      </w:r>
    </w:p>
    <w:p w14:paraId="777AD64A" w14:textId="6450BC51" w:rsidR="00D623A0" w:rsidRPr="00D623A0" w:rsidRDefault="00D623A0" w:rsidP="00953E78">
      <w:pPr>
        <w:pStyle w:val="Glossary"/>
      </w:pPr>
      <w:r w:rsidRPr="00D623A0">
        <w:t>PVC</w:t>
      </w:r>
      <w:r w:rsidRPr="00D623A0">
        <w:tab/>
      </w:r>
      <w:r>
        <w:t>P</w:t>
      </w:r>
      <w:r w:rsidRPr="00D623A0">
        <w:t>olyvinylchloride</w:t>
      </w:r>
    </w:p>
    <w:p w14:paraId="7634C988" w14:textId="1C6F5E21" w:rsidR="006906D2" w:rsidRPr="00582EF5" w:rsidRDefault="006906D2" w:rsidP="00953E78">
      <w:pPr>
        <w:pStyle w:val="Glossary"/>
      </w:pPr>
      <w:r w:rsidRPr="00582EF5">
        <w:t>RMA</w:t>
      </w:r>
      <w:r w:rsidRPr="00582EF5">
        <w:tab/>
        <w:t>Resource Management Act 1991</w:t>
      </w:r>
    </w:p>
    <w:p w14:paraId="622464F5" w14:textId="50173605" w:rsidR="006906D2" w:rsidRPr="00582EF5" w:rsidRDefault="006906D2" w:rsidP="00953E78">
      <w:pPr>
        <w:pStyle w:val="Glossary"/>
      </w:pPr>
      <w:r w:rsidRPr="00582EF5">
        <w:t>SCCP</w:t>
      </w:r>
      <w:r w:rsidR="009D7672" w:rsidRPr="00582EF5">
        <w:t>s</w:t>
      </w:r>
      <w:r w:rsidRPr="00582EF5">
        <w:tab/>
        <w:t>Short-chain chlorinated paraffins</w:t>
      </w:r>
    </w:p>
    <w:p w14:paraId="260530C0" w14:textId="4CDC9831" w:rsidR="00C944CD" w:rsidRDefault="00C944CD" w:rsidP="00953E78">
      <w:pPr>
        <w:pStyle w:val="Glossary"/>
        <w:rPr>
          <w:rFonts w:eastAsiaTheme="minorHAnsi"/>
          <w:lang w:eastAsia="en-US"/>
        </w:rPr>
      </w:pPr>
      <w:r>
        <w:rPr>
          <w:rFonts w:eastAsiaTheme="minorHAnsi"/>
          <w:lang w:eastAsia="en-US"/>
        </w:rPr>
        <w:t>SWAP</w:t>
      </w:r>
      <w:r>
        <w:rPr>
          <w:rFonts w:eastAsiaTheme="minorHAnsi"/>
          <w:lang w:eastAsia="en-US"/>
        </w:rPr>
        <w:tab/>
      </w:r>
      <w:r>
        <w:t>Sawmill Workers Against Poisons</w:t>
      </w:r>
    </w:p>
    <w:p w14:paraId="07C6F24F" w14:textId="7AB2521E" w:rsidR="009D7672" w:rsidRPr="00582EF5" w:rsidRDefault="009D7672" w:rsidP="00953E78">
      <w:pPr>
        <w:pStyle w:val="Glossary"/>
        <w:rPr>
          <w:highlight w:val="yellow"/>
        </w:rPr>
      </w:pPr>
      <w:proofErr w:type="spellStart"/>
      <w:r w:rsidRPr="00582EF5">
        <w:rPr>
          <w:rFonts w:eastAsiaTheme="minorHAnsi"/>
          <w:lang w:eastAsia="en-US"/>
        </w:rPr>
        <w:t>TetraBDE</w:t>
      </w:r>
      <w:proofErr w:type="spellEnd"/>
      <w:r w:rsidRPr="00582EF5">
        <w:rPr>
          <w:rFonts w:eastAsiaTheme="minorHAnsi"/>
          <w:lang w:eastAsia="en-US"/>
        </w:rPr>
        <w:tab/>
      </w:r>
      <w:proofErr w:type="spellStart"/>
      <w:r w:rsidRPr="00582EF5">
        <w:rPr>
          <w:rFonts w:eastAsiaTheme="minorHAnsi"/>
          <w:lang w:eastAsia="en-US"/>
        </w:rPr>
        <w:t>Tetrabromodiphenyl</w:t>
      </w:r>
      <w:proofErr w:type="spellEnd"/>
      <w:r w:rsidRPr="00582EF5">
        <w:rPr>
          <w:rFonts w:eastAsiaTheme="minorHAnsi"/>
          <w:lang w:eastAsia="en-US"/>
        </w:rPr>
        <w:t xml:space="preserve"> ether</w:t>
      </w:r>
    </w:p>
    <w:p w14:paraId="64840FA2" w14:textId="79ED5E6E" w:rsidR="006906D2" w:rsidRPr="00582EF5" w:rsidRDefault="006906D2" w:rsidP="00953E78">
      <w:pPr>
        <w:pStyle w:val="Glossary"/>
      </w:pPr>
      <w:r w:rsidRPr="00582EF5">
        <w:lastRenderedPageBreak/>
        <w:t>UNEP</w:t>
      </w:r>
      <w:r w:rsidRPr="00582EF5">
        <w:tab/>
        <w:t>United Nations Environment Programme</w:t>
      </w:r>
    </w:p>
    <w:p w14:paraId="3958A214" w14:textId="0B5A66D1" w:rsidR="006906D2" w:rsidRPr="00582EF5" w:rsidRDefault="006906D2" w:rsidP="00953E78">
      <w:pPr>
        <w:pStyle w:val="Glossary"/>
      </w:pPr>
      <w:r w:rsidRPr="00582EF5">
        <w:t>WMA</w:t>
      </w:r>
      <w:r w:rsidRPr="00582EF5">
        <w:tab/>
        <w:t>Waste Minimisation Act 2008</w:t>
      </w:r>
    </w:p>
    <w:p w14:paraId="184EA625" w14:textId="7F228B96" w:rsidR="006906D2" w:rsidRPr="00582EF5" w:rsidRDefault="006906D2" w:rsidP="00953E78">
      <w:pPr>
        <w:pStyle w:val="Glossary"/>
        <w:rPr>
          <w:rFonts w:eastAsiaTheme="minorHAnsi"/>
        </w:rPr>
      </w:pPr>
      <w:r w:rsidRPr="00582EF5">
        <w:rPr>
          <w:rFonts w:eastAsiaTheme="minorHAnsi"/>
        </w:rPr>
        <w:t>XPS</w:t>
      </w:r>
      <w:r w:rsidRPr="00582EF5">
        <w:t xml:space="preserve"> </w:t>
      </w:r>
      <w:r w:rsidRPr="00582EF5">
        <w:tab/>
        <w:t>E</w:t>
      </w:r>
      <w:r w:rsidRPr="00582EF5">
        <w:rPr>
          <w:rFonts w:eastAsiaTheme="minorHAnsi"/>
        </w:rPr>
        <w:t>xtruded polystyrene</w:t>
      </w:r>
    </w:p>
    <w:p w14:paraId="1DB85ED6" w14:textId="77777777" w:rsidR="00322831" w:rsidRPr="00582EF5" w:rsidRDefault="00322831" w:rsidP="00953E78">
      <w:pPr>
        <w:pStyle w:val="BodyText"/>
      </w:pPr>
    </w:p>
    <w:p w14:paraId="76E23BFA" w14:textId="77777777" w:rsidR="006906D2" w:rsidRPr="00582EF5" w:rsidRDefault="006906D2" w:rsidP="00953E78">
      <w:pPr>
        <w:pStyle w:val="BodyText"/>
      </w:pPr>
      <w:r w:rsidRPr="00582EF5">
        <w:br w:type="page"/>
      </w:r>
    </w:p>
    <w:p w14:paraId="6D5FF2BA" w14:textId="18CDC5D8" w:rsidR="001B5223" w:rsidRPr="00582EF5" w:rsidRDefault="001B5223" w:rsidP="00953E78">
      <w:pPr>
        <w:pStyle w:val="Heading1"/>
        <w:tabs>
          <w:tab w:val="clear" w:pos="851"/>
        </w:tabs>
      </w:pPr>
      <w:bookmarkStart w:id="153" w:name="_Toc120532265"/>
      <w:r w:rsidRPr="00582EF5">
        <w:lastRenderedPageBreak/>
        <w:t>References</w:t>
      </w:r>
      <w:bookmarkEnd w:id="153"/>
    </w:p>
    <w:p w14:paraId="184D6256" w14:textId="0ED92C01" w:rsidR="00B53B78" w:rsidRPr="00B53B78" w:rsidRDefault="00B53B78" w:rsidP="0087469B">
      <w:pPr>
        <w:pStyle w:val="References"/>
        <w:rPr>
          <w:rFonts w:eastAsia="Times New Roman" w:cs="Calibri"/>
          <w:szCs w:val="20"/>
          <w:lang w:val="en-US"/>
        </w:rPr>
      </w:pPr>
      <w:proofErr w:type="spellStart"/>
      <w:r w:rsidRPr="00B53B78">
        <w:t>Agrecovery</w:t>
      </w:r>
      <w:proofErr w:type="spellEnd"/>
      <w:r w:rsidRPr="00B53B78">
        <w:t xml:space="preserve"> Foundation</w:t>
      </w:r>
      <w:r w:rsidR="001E7828">
        <w:rPr>
          <w:rFonts w:eastAsia="Times New Roman" w:cs="Calibri"/>
          <w:szCs w:val="20"/>
        </w:rPr>
        <w:t>.</w:t>
      </w:r>
      <w:r w:rsidRPr="00B53B78">
        <w:rPr>
          <w:rFonts w:eastAsia="Times New Roman" w:cs="Calibri"/>
          <w:szCs w:val="20"/>
        </w:rPr>
        <w:t xml:space="preserve"> 2018</w:t>
      </w:r>
      <w:r w:rsidR="001E7828">
        <w:rPr>
          <w:rFonts w:eastAsia="Times New Roman" w:cs="Calibri"/>
          <w:szCs w:val="20"/>
        </w:rPr>
        <w:t>.</w:t>
      </w:r>
      <w:r w:rsidRPr="00B53B78">
        <w:rPr>
          <w:rFonts w:eastAsia="Times New Roman" w:cs="Calibri"/>
          <w:szCs w:val="20"/>
        </w:rPr>
        <w:t xml:space="preserve"> </w:t>
      </w:r>
      <w:proofErr w:type="spellStart"/>
      <w:r w:rsidRPr="00B53B78">
        <w:rPr>
          <w:rFonts w:eastAsia="Times New Roman" w:cs="Calibri"/>
          <w:i/>
          <w:iCs/>
          <w:szCs w:val="20"/>
        </w:rPr>
        <w:t>Agrecovery</w:t>
      </w:r>
      <w:proofErr w:type="spellEnd"/>
      <w:r w:rsidRPr="00B53B78">
        <w:rPr>
          <w:rFonts w:eastAsia="Times New Roman" w:cs="Calibri"/>
          <w:i/>
          <w:iCs/>
          <w:szCs w:val="20"/>
        </w:rPr>
        <w:t xml:space="preserve"> Rural Recycling Programme</w:t>
      </w:r>
      <w:r w:rsidRPr="00B53B78">
        <w:rPr>
          <w:rFonts w:eastAsia="Times New Roman" w:cs="Calibri"/>
          <w:szCs w:val="20"/>
        </w:rPr>
        <w:t xml:space="preserve"> Retrieved from www.agrecovery.co.nz/foundation/agrecovery-foundation for further information (22 November 2022).</w:t>
      </w:r>
    </w:p>
    <w:p w14:paraId="16FE700C" w14:textId="0658978D" w:rsidR="00B53B78" w:rsidRPr="00B53B78" w:rsidRDefault="00B53B78" w:rsidP="00F92734">
      <w:pPr>
        <w:pStyle w:val="References"/>
        <w:rPr>
          <w:rFonts w:eastAsia="Times New Roman" w:cs="Calibri"/>
          <w:szCs w:val="20"/>
          <w:lang w:val="en-US"/>
        </w:rPr>
      </w:pPr>
      <w:r w:rsidRPr="00B53B78">
        <w:t xml:space="preserve">Allen + Clarke. No date. </w:t>
      </w:r>
      <w:r w:rsidRPr="00B53B78">
        <w:rPr>
          <w:rFonts w:eastAsia="Times New Roman" w:cs="Calibri"/>
          <w:i/>
          <w:iCs/>
          <w:szCs w:val="20"/>
        </w:rPr>
        <w:t xml:space="preserve">The design and implementation of health support services for </w:t>
      </w:r>
      <w:proofErr w:type="gramStart"/>
      <w:r w:rsidRPr="00B53B78">
        <w:rPr>
          <w:rFonts w:eastAsia="Times New Roman" w:cs="Calibri"/>
          <w:i/>
          <w:iCs/>
          <w:szCs w:val="20"/>
        </w:rPr>
        <w:t>chemically-exposed</w:t>
      </w:r>
      <w:proofErr w:type="gramEnd"/>
      <w:r w:rsidRPr="00B53B78">
        <w:rPr>
          <w:rFonts w:eastAsia="Times New Roman" w:cs="Calibri"/>
          <w:i/>
          <w:iCs/>
          <w:szCs w:val="20"/>
        </w:rPr>
        <w:t xml:space="preserve"> populations</w:t>
      </w:r>
      <w:r w:rsidRPr="00B53B78">
        <w:rPr>
          <w:rFonts w:eastAsia="Times New Roman" w:cs="Calibri"/>
          <w:szCs w:val="20"/>
        </w:rPr>
        <w:t>. Retrieved from www.allenandclarke.co.nz/project/the-design-and-implementation-of-health-support-services-for-chemically-exposed-populations (11 December 2018).</w:t>
      </w:r>
    </w:p>
    <w:p w14:paraId="10C04861" w14:textId="0AB0475D" w:rsidR="00B53B78" w:rsidRPr="00B53B78" w:rsidRDefault="00B53B78" w:rsidP="00F92734">
      <w:pPr>
        <w:pStyle w:val="References"/>
        <w:rPr>
          <w:rFonts w:ascii="Segoe UI" w:eastAsia="Times New Roman" w:hAnsi="Segoe UI" w:cs="Segoe UI"/>
          <w:szCs w:val="20"/>
          <w:lang w:val="en-US"/>
        </w:rPr>
      </w:pPr>
      <w:r w:rsidRPr="00B53B78">
        <w:t>Andrew P. 2018</w:t>
      </w:r>
      <w:r w:rsidRPr="00B53B78">
        <w:rPr>
          <w:rFonts w:eastAsia="Times New Roman" w:cs="Calibri"/>
          <w:i/>
          <w:iCs/>
          <w:szCs w:val="20"/>
        </w:rPr>
        <w:t>. Per- and poly- fluorinated alkyl substances (PFAS) in selected New Zealand foods</w:t>
      </w:r>
      <w:r w:rsidRPr="00B53B78">
        <w:rPr>
          <w:rFonts w:eastAsia="Times New Roman" w:cs="Calibri"/>
          <w:szCs w:val="20"/>
        </w:rPr>
        <w:t>. New Zealand Food Safety Technical Report No: 2018/07. Wellington: Ministry for Primary Industries.</w:t>
      </w:r>
    </w:p>
    <w:p w14:paraId="519FE2F7" w14:textId="6C83A1FC" w:rsidR="00B53B78" w:rsidRPr="00B53B78" w:rsidRDefault="00B53B78" w:rsidP="00F92734">
      <w:pPr>
        <w:pStyle w:val="References"/>
        <w:rPr>
          <w:rFonts w:eastAsia="Times New Roman" w:cs="Calibri"/>
          <w:szCs w:val="20"/>
          <w:lang w:val="en-US"/>
        </w:rPr>
      </w:pPr>
      <w:r w:rsidRPr="00B53B78">
        <w:t xml:space="preserve">Basel Convention. 2018. </w:t>
      </w:r>
      <w:r w:rsidRPr="00B53B78">
        <w:rPr>
          <w:rFonts w:eastAsia="Times New Roman" w:cs="Calibri"/>
          <w:i/>
          <w:iCs/>
          <w:szCs w:val="20"/>
        </w:rPr>
        <w:t>Revised draft technical guidelines.</w:t>
      </w:r>
      <w:r w:rsidRPr="00B53B78">
        <w:rPr>
          <w:rFonts w:eastAsia="Times New Roman" w:cs="Calibri"/>
          <w:szCs w:val="20"/>
        </w:rPr>
        <w:t xml:space="preserve"> Retrieved from basel.int/Implementation/POPsWastes/TechnicalGuidelines/TechnicalGuidelines(versionMarch</w:t>
      </w:r>
      <w:proofErr w:type="gramStart"/>
      <w:r w:rsidRPr="00B53B78">
        <w:rPr>
          <w:rFonts w:eastAsia="Times New Roman" w:cs="Calibri"/>
          <w:szCs w:val="20"/>
        </w:rPr>
        <w:t>2018)/tabid/6303/Default.aspx</w:t>
      </w:r>
      <w:proofErr w:type="gramEnd"/>
      <w:r w:rsidRPr="00B53B78">
        <w:rPr>
          <w:rFonts w:eastAsia="Times New Roman" w:cs="Calibri"/>
          <w:szCs w:val="20"/>
        </w:rPr>
        <w:t xml:space="preserve"> (22 November 2022).</w:t>
      </w:r>
    </w:p>
    <w:p w14:paraId="212B70D1" w14:textId="40CEDC93" w:rsidR="00B53B78" w:rsidRPr="00B53B78" w:rsidRDefault="00B53B78" w:rsidP="00F92734">
      <w:pPr>
        <w:pStyle w:val="References"/>
        <w:rPr>
          <w:rFonts w:eastAsia="Times New Roman" w:cs="Calibri"/>
          <w:szCs w:val="20"/>
          <w:lang w:val="en-US"/>
        </w:rPr>
      </w:pPr>
      <w:r w:rsidRPr="00B53B78">
        <w:t>Basel Convention</w:t>
      </w:r>
      <w:r w:rsidR="001E7828">
        <w:t>.</w:t>
      </w:r>
      <w:r w:rsidRPr="00B53B78">
        <w:t xml:space="preserve"> 2019</w:t>
      </w:r>
      <w:r w:rsidR="001E7828">
        <w:t>.</w:t>
      </w:r>
      <w:r w:rsidRPr="00B53B78">
        <w:t xml:space="preserve"> Updated general technical guidelines for the environmentally sound management of wastes consisting of, containing or contaminated with persistent organic pollutants (POPs) See </w:t>
      </w:r>
      <w:hyperlink r:id="rId164" w:history="1">
        <w:r w:rsidRPr="00213EFC">
          <w:rPr>
            <w:rStyle w:val="Hyperlink"/>
            <w:rFonts w:eastAsia="Times New Roman" w:cs="Calibri"/>
            <w:szCs w:val="20"/>
            <w:lang w:val="en-US"/>
          </w:rPr>
          <w:t>http://www.basel.int/Portals/4/Basel%20Convention/docs/pub/techguid/tg-POPs.pdf</w:t>
        </w:r>
      </w:hyperlink>
      <w:r w:rsidRPr="00B53B78">
        <w:t xml:space="preserve"> </w:t>
      </w:r>
      <w:r w:rsidRPr="00B53B78">
        <w:rPr>
          <w:rFonts w:eastAsia="Times New Roman" w:cs="Calibri"/>
          <w:szCs w:val="20"/>
        </w:rPr>
        <w:t>(22 November 2022).</w:t>
      </w:r>
    </w:p>
    <w:p w14:paraId="32EA5C54" w14:textId="4F38066D" w:rsidR="00B53B78" w:rsidRPr="00B53B78" w:rsidRDefault="00B53B78" w:rsidP="00F92734">
      <w:pPr>
        <w:pStyle w:val="References"/>
        <w:rPr>
          <w:rFonts w:eastAsia="Times New Roman" w:cs="Calibri"/>
          <w:szCs w:val="20"/>
          <w:lang w:val="en-US"/>
        </w:rPr>
      </w:pPr>
      <w:r w:rsidRPr="00B53B78">
        <w:t xml:space="preserve">Dopico, M., &amp; Gomez, D. 2015. </w:t>
      </w:r>
      <w:r w:rsidRPr="00B53B78">
        <w:rPr>
          <w:rFonts w:eastAsia="Times New Roman" w:cs="Calibri"/>
          <w:i/>
          <w:iCs/>
          <w:szCs w:val="20"/>
        </w:rPr>
        <w:t>Review of the Current State and Main Sources of Dioxins Around the World</w:t>
      </w:r>
      <w:r w:rsidRPr="00B53B78">
        <w:rPr>
          <w:rFonts w:eastAsia="Times New Roman" w:cs="Calibri"/>
          <w:szCs w:val="20"/>
        </w:rPr>
        <w:t xml:space="preserve">. Journal of the Air and Waste Management Association, 1033-1049. </w:t>
      </w:r>
    </w:p>
    <w:p w14:paraId="5BB8B9D1" w14:textId="3EFC1B65" w:rsidR="00B53B78" w:rsidRPr="00B53B78" w:rsidRDefault="00B53B78" w:rsidP="00F92734">
      <w:pPr>
        <w:pStyle w:val="References"/>
        <w:rPr>
          <w:rFonts w:ascii="Segoe UI" w:eastAsia="Times New Roman" w:hAnsi="Segoe UI" w:cs="Segoe UI"/>
          <w:szCs w:val="20"/>
          <w:lang w:val="en-US"/>
        </w:rPr>
      </w:pPr>
      <w:r w:rsidRPr="00B53B78">
        <w:t xml:space="preserve">ENVIRON Australia PTY Ltd. 2013. </w:t>
      </w:r>
      <w:r w:rsidRPr="00B53B78">
        <w:rPr>
          <w:i/>
        </w:rPr>
        <w:t>Brominated Flame Retardant Research - A Pilot Study of E-waste Plastic Sorting in New Zealand</w:t>
      </w:r>
      <w:r w:rsidRPr="00B53B78">
        <w:t xml:space="preserve"> Retrieved from </w:t>
      </w:r>
      <w:hyperlink r:id="rId165" w:history="1">
        <w:r w:rsidRPr="00213EFC">
          <w:rPr>
            <w:rStyle w:val="Hyperlink"/>
            <w:rFonts w:eastAsia="Times New Roman" w:cs="Calibri"/>
            <w:szCs w:val="20"/>
            <w:lang w:val="en-US"/>
          </w:rPr>
          <w:t>https://environment.govt.nz/publications/brominated-flame-retardant-research-a-pilot-study-of-e-waste-plastic-sorting-in-new-zealand/</w:t>
        </w:r>
      </w:hyperlink>
      <w:r w:rsidRPr="00B53B78">
        <w:t xml:space="preserve"> </w:t>
      </w:r>
      <w:r w:rsidRPr="00B53B78">
        <w:rPr>
          <w:rFonts w:eastAsia="Times New Roman" w:cs="Calibri"/>
          <w:szCs w:val="20"/>
        </w:rPr>
        <w:t>22 November 2022).</w:t>
      </w:r>
    </w:p>
    <w:p w14:paraId="78F8DA0A" w14:textId="7929E9E5" w:rsidR="00B53B78" w:rsidRPr="00B53B78" w:rsidRDefault="00B53B78" w:rsidP="00F92734">
      <w:pPr>
        <w:pStyle w:val="References"/>
        <w:rPr>
          <w:rFonts w:eastAsia="Times New Roman" w:cs="Calibri"/>
          <w:szCs w:val="20"/>
          <w:lang w:val="en-US"/>
        </w:rPr>
      </w:pPr>
      <w:r w:rsidRPr="00B53B78">
        <w:t xml:space="preserve">Environmental Protection Authority. No date(a). </w:t>
      </w:r>
      <w:r w:rsidRPr="00B53B78">
        <w:rPr>
          <w:rFonts w:eastAsia="Times New Roman" w:cs="Calibri"/>
          <w:i/>
          <w:iCs/>
          <w:szCs w:val="20"/>
        </w:rPr>
        <w:t>Evaluation of hazardous substances compliance system</w:t>
      </w:r>
      <w:r w:rsidRPr="00B53B78">
        <w:rPr>
          <w:rFonts w:eastAsia="Times New Roman" w:cs="Calibri"/>
          <w:szCs w:val="20"/>
        </w:rPr>
        <w:t>. Retrieved from epa.govt.nz/industry-areas/hazardous-substances/evaluation-of-hazardous-substances-compliance-system for further information (22 November 2022).</w:t>
      </w:r>
    </w:p>
    <w:p w14:paraId="6D6A1579" w14:textId="57D30FDD" w:rsidR="00B53B78" w:rsidRPr="00B53B78" w:rsidRDefault="00B53B78" w:rsidP="00F92734">
      <w:pPr>
        <w:pStyle w:val="References"/>
        <w:rPr>
          <w:rFonts w:eastAsia="Times New Roman" w:cs="Calibri"/>
          <w:szCs w:val="20"/>
          <w:lang w:val="en-US"/>
        </w:rPr>
      </w:pPr>
      <w:r w:rsidRPr="00B53B78">
        <w:t xml:space="preserve">Environmental Protection Authority. No date(b). </w:t>
      </w:r>
      <w:r w:rsidRPr="00B53B78">
        <w:rPr>
          <w:rFonts w:eastAsia="Times New Roman" w:cs="Calibri"/>
          <w:i/>
          <w:iCs/>
          <w:szCs w:val="20"/>
        </w:rPr>
        <w:t>Feedback sought on new Stockholm and Rotterdam convention chemicals</w:t>
      </w:r>
      <w:r w:rsidRPr="00B53B78">
        <w:rPr>
          <w:rFonts w:eastAsia="Times New Roman" w:cs="Calibri"/>
          <w:szCs w:val="20"/>
        </w:rPr>
        <w:t>. Retrieved from www.epa.govt.nz/public-consultations/decided/feedback-sought-on-new-stockholm-and-rotterdam-convention-chemicals (22 November 2022).</w:t>
      </w:r>
    </w:p>
    <w:p w14:paraId="66F85593" w14:textId="148904EA" w:rsidR="00B13BAF" w:rsidRDefault="00B53B78" w:rsidP="00F92734">
      <w:pPr>
        <w:pStyle w:val="References"/>
        <w:rPr>
          <w:rFonts w:eastAsia="Times New Roman" w:cs="Calibri"/>
          <w:szCs w:val="20"/>
        </w:rPr>
      </w:pPr>
      <w:r w:rsidRPr="00B53B78">
        <w:t>Environmental Protection Authority. No date(</w:t>
      </w:r>
      <w:r w:rsidRPr="00B53B78">
        <w:rPr>
          <w:rFonts w:eastAsia="Times New Roman" w:cs="Calibri"/>
          <w:szCs w:val="20"/>
        </w:rPr>
        <w:t xml:space="preserve">c). </w:t>
      </w:r>
      <w:r w:rsidRPr="00B53B78">
        <w:rPr>
          <w:rFonts w:eastAsia="Times New Roman" w:cs="Calibri"/>
          <w:i/>
          <w:iCs/>
          <w:szCs w:val="20"/>
        </w:rPr>
        <w:t>Polychlorinated Biphenyls (PCBs).</w:t>
      </w:r>
      <w:r w:rsidRPr="00B53B78">
        <w:rPr>
          <w:rFonts w:eastAsia="Times New Roman" w:cs="Calibri"/>
          <w:szCs w:val="20"/>
        </w:rPr>
        <w:t xml:space="preserve"> Retrieved from www.epa.govt.nz/industry-areas/hazardous-substances/rules-for-hazardous-substances/polychlorinated-biphenyls-pcbs/ (22 November 2022).</w:t>
      </w:r>
    </w:p>
    <w:p w14:paraId="789E949F" w14:textId="183640E4" w:rsidR="00B53B78" w:rsidRPr="00B53B78" w:rsidRDefault="00B53B78" w:rsidP="00F92734">
      <w:pPr>
        <w:pStyle w:val="References"/>
        <w:rPr>
          <w:lang w:val="en-US"/>
        </w:rPr>
      </w:pPr>
      <w:r w:rsidRPr="00B53B78">
        <w:t>Environmental Protection Authority. No date(c</w:t>
      </w:r>
      <w:r w:rsidRPr="00692EDA">
        <w:rPr>
          <w:rFonts w:eastAsia="Times New Roman" w:cs="Calibri"/>
          <w:i/>
          <w:szCs w:val="20"/>
        </w:rPr>
        <w:t>). Managing fire-fighting foams manufactured with PFAS chemicals</w:t>
      </w:r>
      <w:r w:rsidRPr="00B53B78">
        <w:rPr>
          <w:rFonts w:eastAsia="Times New Roman" w:cs="Calibri"/>
          <w:szCs w:val="20"/>
        </w:rPr>
        <w:t>. Retrieved from www.epa.govt.nz/news-and-alerts/alerts/managing-fire-fighting-foams-manufactured-with-pfas-chemicals/?accordion-anchor=691 (22 November 2022).</w:t>
      </w:r>
    </w:p>
    <w:p w14:paraId="227F9258" w14:textId="11BBAA2E" w:rsidR="00B53B78" w:rsidRPr="00B53B78" w:rsidRDefault="00B53B78" w:rsidP="00F92734">
      <w:pPr>
        <w:pStyle w:val="References"/>
        <w:rPr>
          <w:rFonts w:eastAsia="Times New Roman" w:cs="Calibri"/>
          <w:szCs w:val="20"/>
          <w:lang w:val="en-US"/>
        </w:rPr>
      </w:pPr>
      <w:r w:rsidRPr="00B53B78">
        <w:t>Environmental Protection Authority</w:t>
      </w:r>
      <w:r w:rsidR="001E7828">
        <w:rPr>
          <w:rFonts w:eastAsia="Times New Roman" w:cs="Calibri"/>
          <w:szCs w:val="20"/>
        </w:rPr>
        <w:t>.</w:t>
      </w:r>
      <w:r w:rsidRPr="00B53B78">
        <w:rPr>
          <w:rFonts w:eastAsia="Times New Roman" w:cs="Calibri"/>
          <w:szCs w:val="20"/>
        </w:rPr>
        <w:t xml:space="preserve"> 2013</w:t>
      </w:r>
      <w:r w:rsidR="001E7828">
        <w:rPr>
          <w:rFonts w:eastAsia="Times New Roman" w:cs="Calibri"/>
          <w:szCs w:val="20"/>
        </w:rPr>
        <w:t>.</w:t>
      </w:r>
      <w:r w:rsidRPr="00B53B78">
        <w:rPr>
          <w:rFonts w:eastAsia="Times New Roman" w:cs="Calibri"/>
          <w:szCs w:val="20"/>
        </w:rPr>
        <w:t xml:space="preserve"> Graham B. 2013. </w:t>
      </w:r>
      <w:r w:rsidRPr="00B53B78">
        <w:rPr>
          <w:rFonts w:eastAsia="Times New Roman" w:cs="Calibri"/>
          <w:i/>
          <w:iCs/>
          <w:szCs w:val="20"/>
        </w:rPr>
        <w:t>Lifecycle analysis of the brominated flame retardant hexabromocyclododecane (HBCD) in New Zealand</w:t>
      </w:r>
      <w:r w:rsidRPr="00B53B78">
        <w:rPr>
          <w:rFonts w:eastAsia="Times New Roman" w:cs="Calibri"/>
          <w:szCs w:val="20"/>
        </w:rPr>
        <w:t>.</w:t>
      </w:r>
    </w:p>
    <w:p w14:paraId="01A05842" w14:textId="75075076" w:rsidR="00B53B78" w:rsidRPr="00B53B78" w:rsidRDefault="00B53B78" w:rsidP="00F92734">
      <w:pPr>
        <w:pStyle w:val="References"/>
        <w:rPr>
          <w:lang w:val="en-US"/>
        </w:rPr>
      </w:pPr>
      <w:r w:rsidRPr="00B53B78">
        <w:t xml:space="preserve">Environmental Protection Authority. 2014. </w:t>
      </w:r>
      <w:r w:rsidRPr="00B53B78">
        <w:rPr>
          <w:rFonts w:eastAsia="Times New Roman" w:cs="Calibri"/>
          <w:i/>
          <w:iCs/>
          <w:szCs w:val="20"/>
        </w:rPr>
        <w:t>Export of electronic waste (e-waste</w:t>
      </w:r>
      <w:proofErr w:type="gramStart"/>
      <w:r w:rsidRPr="00B53B78">
        <w:rPr>
          <w:rFonts w:eastAsia="Times New Roman" w:cs="Calibri"/>
          <w:i/>
          <w:iCs/>
          <w:szCs w:val="20"/>
        </w:rPr>
        <w:t>).</w:t>
      </w:r>
      <w:r w:rsidRPr="00B53B78">
        <w:rPr>
          <w:rFonts w:eastAsia="Times New Roman" w:cs="Calibri"/>
          <w:szCs w:val="20"/>
        </w:rPr>
        <w:t>.</w:t>
      </w:r>
      <w:proofErr w:type="gramEnd"/>
      <w:r w:rsidRPr="00B53B78">
        <w:rPr>
          <w:rFonts w:eastAsia="Times New Roman" w:cs="Calibri"/>
          <w:szCs w:val="20"/>
        </w:rPr>
        <w:t xml:space="preserve"> Retrieved from epa.govt.nz/assets/Uploads/Documents/Hazardous-Substances/Guidance/Export-electronic-waste.pdf (22 November 2022).</w:t>
      </w:r>
    </w:p>
    <w:p w14:paraId="1C0A6D48" w14:textId="72A1481D" w:rsidR="00B53B78" w:rsidRPr="00B53B78" w:rsidRDefault="00B53B78" w:rsidP="00F92734">
      <w:pPr>
        <w:pStyle w:val="References"/>
        <w:rPr>
          <w:rFonts w:eastAsia="Times New Roman" w:cs="Calibri"/>
          <w:szCs w:val="20"/>
        </w:rPr>
      </w:pPr>
      <w:r w:rsidRPr="00B53B78">
        <w:t>Envir</w:t>
      </w:r>
      <w:r w:rsidRPr="00B53B78">
        <w:rPr>
          <w:rFonts w:eastAsia="Times New Roman" w:cs="Calibri"/>
          <w:szCs w:val="20"/>
        </w:rPr>
        <w:t xml:space="preserve">onmental Protection Authority. 2017. </w:t>
      </w:r>
      <w:r w:rsidRPr="00B53B78">
        <w:rPr>
          <w:rFonts w:eastAsia="Times New Roman" w:cs="Calibri"/>
          <w:i/>
          <w:iCs/>
          <w:szCs w:val="20"/>
        </w:rPr>
        <w:t>Safe Management of PCBs: Code of Practice. Wellington: Environmental Protection Authority</w:t>
      </w:r>
      <w:r w:rsidRPr="00B53B78">
        <w:rPr>
          <w:rFonts w:eastAsia="Times New Roman" w:cs="Calibri"/>
          <w:szCs w:val="20"/>
        </w:rPr>
        <w:t xml:space="preserve">. Retrieved from www.epa.govt.nz/assets/Uploads/Documents/ Hazardous-Substances/Guidance/Safe-Management-of-PCBs.pdf for further </w:t>
      </w:r>
      <w:proofErr w:type="gramStart"/>
      <w:r w:rsidRPr="00B53B78">
        <w:rPr>
          <w:rFonts w:eastAsia="Times New Roman" w:cs="Calibri"/>
          <w:szCs w:val="20"/>
        </w:rPr>
        <w:t>information  (</w:t>
      </w:r>
      <w:proofErr w:type="gramEnd"/>
      <w:r w:rsidRPr="00B53B78">
        <w:rPr>
          <w:rFonts w:eastAsia="Times New Roman" w:cs="Calibri"/>
          <w:szCs w:val="20"/>
        </w:rPr>
        <w:t>22 November 2022).</w:t>
      </w:r>
    </w:p>
    <w:p w14:paraId="7CAFAACF" w14:textId="0041B100" w:rsidR="00B53B78" w:rsidRPr="00B53B78" w:rsidRDefault="00B53B78" w:rsidP="00F92734">
      <w:pPr>
        <w:pStyle w:val="References"/>
        <w:rPr>
          <w:rFonts w:eastAsia="Times New Roman" w:cs="Calibri"/>
          <w:szCs w:val="20"/>
          <w:lang w:val="en-US"/>
        </w:rPr>
      </w:pPr>
      <w:r w:rsidRPr="00B53B78">
        <w:t xml:space="preserve">Environmental Protection </w:t>
      </w:r>
      <w:r w:rsidRPr="00B53B78">
        <w:rPr>
          <w:rFonts w:eastAsia="Times New Roman" w:cs="Calibri"/>
          <w:szCs w:val="20"/>
        </w:rPr>
        <w:t>Authority</w:t>
      </w:r>
      <w:r w:rsidR="001E7828">
        <w:rPr>
          <w:rFonts w:eastAsia="Times New Roman" w:cs="Calibri"/>
          <w:szCs w:val="20"/>
        </w:rPr>
        <w:t>.</w:t>
      </w:r>
      <w:r w:rsidRPr="00B53B78">
        <w:rPr>
          <w:rFonts w:eastAsia="Times New Roman" w:cs="Calibri"/>
          <w:szCs w:val="20"/>
        </w:rPr>
        <w:t xml:space="preserve"> 2017</w:t>
      </w:r>
      <w:r w:rsidR="001E7828">
        <w:rPr>
          <w:rFonts w:eastAsia="Times New Roman" w:cs="Calibri"/>
          <w:szCs w:val="20"/>
        </w:rPr>
        <w:t>.</w:t>
      </w:r>
      <w:r w:rsidRPr="00B53B78">
        <w:rPr>
          <w:rFonts w:eastAsia="Times New Roman" w:cs="Calibri"/>
          <w:szCs w:val="20"/>
        </w:rPr>
        <w:t xml:space="preserve"> </w:t>
      </w:r>
      <w:r w:rsidRPr="00B53B78">
        <w:rPr>
          <w:rFonts w:eastAsia="Times New Roman" w:cs="Calibri"/>
          <w:i/>
          <w:iCs/>
          <w:szCs w:val="20"/>
        </w:rPr>
        <w:t>Hazardous Substances (Disposal) Notice 2017</w:t>
      </w:r>
      <w:r w:rsidRPr="00B53B78">
        <w:rPr>
          <w:rFonts w:eastAsia="Times New Roman" w:cs="Calibri"/>
          <w:szCs w:val="20"/>
        </w:rPr>
        <w:t>, See https://www.epa.govt.nz/assets/Uploads/Documents/Hazardous-Substances/GHS2/Consolidated_Hazardous_Substances_Disposal_Notice_2017.pdf (22 November 2022).</w:t>
      </w:r>
    </w:p>
    <w:p w14:paraId="6D6F215F" w14:textId="69F5FC15" w:rsidR="00B53B78" w:rsidRPr="00B53B78" w:rsidRDefault="00B53B78" w:rsidP="00F92734">
      <w:pPr>
        <w:pStyle w:val="References"/>
        <w:rPr>
          <w:rFonts w:eastAsia="Times New Roman" w:cs="Calibri"/>
          <w:szCs w:val="20"/>
        </w:rPr>
      </w:pPr>
      <w:r w:rsidRPr="00B53B78">
        <w:lastRenderedPageBreak/>
        <w:t>Environmental Protection Authority</w:t>
      </w:r>
      <w:r w:rsidR="001E7828">
        <w:t>.</w:t>
      </w:r>
      <w:r w:rsidRPr="00B53B78">
        <w:t xml:space="preserve"> 2018</w:t>
      </w:r>
      <w:r w:rsidR="001E7828">
        <w:t>.</w:t>
      </w:r>
      <w:r w:rsidRPr="00B53B78">
        <w:t xml:space="preserve"> </w:t>
      </w:r>
      <w:r w:rsidRPr="00B53B78">
        <w:rPr>
          <w:i/>
        </w:rPr>
        <w:t>Hazardous Substances (Storage and Disposal of Persistent Organic Pollutants) Notice 2004, EPA Consolidation February 2018</w:t>
      </w:r>
      <w:r w:rsidR="009105F4">
        <w:rPr>
          <w:i/>
          <w:iCs/>
        </w:rPr>
        <w:t>.</w:t>
      </w:r>
      <w:r w:rsidRPr="00B53B78">
        <w:t xml:space="preserve"> </w:t>
      </w:r>
      <w:r w:rsidR="009105F4">
        <w:t>S</w:t>
      </w:r>
      <w:r w:rsidRPr="00B53B78">
        <w:t xml:space="preserve">ee </w:t>
      </w:r>
      <w:hyperlink r:id="rId166" w:history="1">
        <w:r w:rsidRPr="00213EFC">
          <w:rPr>
            <w:rStyle w:val="Hyperlink"/>
            <w:rFonts w:eastAsia="Times New Roman" w:cs="Calibri"/>
            <w:szCs w:val="20"/>
            <w:lang w:val="en-US"/>
          </w:rPr>
          <w:t>www.epa.govt.nz/assets/Uploads/Documents/Hazardous-Substances/Policies/Hazardous-Substances-Storage-and-Disposal-of-Persistent-Organic-Pollutants-Notice-2004.pdf</w:t>
        </w:r>
      </w:hyperlink>
      <w:r w:rsidRPr="00B53B78">
        <w:t xml:space="preserve"> </w:t>
      </w:r>
      <w:r w:rsidRPr="00B53B78">
        <w:rPr>
          <w:rFonts w:eastAsia="Times New Roman" w:cs="Calibri"/>
          <w:szCs w:val="20"/>
        </w:rPr>
        <w:t>for the full Notice (22 November 2022).</w:t>
      </w:r>
    </w:p>
    <w:p w14:paraId="145C8133" w14:textId="39A9DCAA" w:rsidR="00B53B78" w:rsidRPr="00B53B78" w:rsidRDefault="00B53B78" w:rsidP="00F92734">
      <w:pPr>
        <w:pStyle w:val="References"/>
        <w:rPr>
          <w:rFonts w:eastAsia="Times New Roman" w:cs="Calibri"/>
          <w:lang w:val="en-US"/>
        </w:rPr>
      </w:pPr>
      <w:r w:rsidRPr="00B53B78">
        <w:t>Environmental Protection Authority</w:t>
      </w:r>
      <w:r w:rsidR="001E7828">
        <w:t>.</w:t>
      </w:r>
      <w:r w:rsidRPr="00B53B78">
        <w:t xml:space="preserve"> 2019</w:t>
      </w:r>
      <w:r w:rsidR="001E7828">
        <w:t>.</w:t>
      </w:r>
      <w:r w:rsidRPr="00B53B78">
        <w:rPr>
          <w:rFonts w:eastAsia="Times New Roman" w:cs="Calibri"/>
          <w:szCs w:val="20"/>
        </w:rPr>
        <w:t xml:space="preserve"> </w:t>
      </w:r>
      <w:r w:rsidRPr="00B53B78">
        <w:rPr>
          <w:rFonts w:eastAsia="Times New Roman" w:cs="Calibri"/>
          <w:i/>
          <w:iCs/>
          <w:szCs w:val="20"/>
        </w:rPr>
        <w:t>Findings of the EPA national investigation into firefighting foams containing PFOS</w:t>
      </w:r>
      <w:r w:rsidR="009105F4">
        <w:rPr>
          <w:rFonts w:eastAsia="Times New Roman" w:cs="Calibri"/>
          <w:szCs w:val="20"/>
        </w:rPr>
        <w:t>.</w:t>
      </w:r>
      <w:r w:rsidRPr="00B53B78">
        <w:rPr>
          <w:rFonts w:eastAsia="Times New Roman" w:cs="Calibri"/>
          <w:szCs w:val="20"/>
        </w:rPr>
        <w:t xml:space="preserve">  See https://www.epa.govt.nz/assets/Uploads/Documents/Hazardous-Substances/5f03c8867a/Findings-of-the-EPA-national-investigation-into-firefighting-foams-containing-PFOS-April-2019.pdf (22 November 2022).</w:t>
      </w:r>
    </w:p>
    <w:p w14:paraId="7C0EE82A" w14:textId="66B885D2" w:rsidR="00B53B78" w:rsidRPr="00B53B78" w:rsidRDefault="00B53B78" w:rsidP="00F92734">
      <w:pPr>
        <w:pStyle w:val="References"/>
        <w:rPr>
          <w:rFonts w:eastAsia="Times New Roman" w:cs="Calibri"/>
          <w:szCs w:val="20"/>
          <w:lang w:val="en-US"/>
        </w:rPr>
      </w:pPr>
      <w:r w:rsidRPr="00B53B78">
        <w:t xml:space="preserve">Environmental Protection </w:t>
      </w:r>
      <w:r w:rsidRPr="00B53B78">
        <w:rPr>
          <w:rFonts w:eastAsia="Times New Roman" w:cs="Calibri"/>
          <w:szCs w:val="20"/>
        </w:rPr>
        <w:t>Authority</w:t>
      </w:r>
      <w:r w:rsidR="009105F4">
        <w:rPr>
          <w:rFonts w:eastAsia="Times New Roman" w:cs="Calibri"/>
          <w:szCs w:val="20"/>
        </w:rPr>
        <w:t>.</w:t>
      </w:r>
      <w:r w:rsidRPr="00B53B78">
        <w:rPr>
          <w:rFonts w:eastAsia="Times New Roman" w:cs="Calibri"/>
          <w:szCs w:val="20"/>
        </w:rPr>
        <w:t xml:space="preserve"> 2021</w:t>
      </w:r>
      <w:r w:rsidR="009105F4">
        <w:rPr>
          <w:rFonts w:eastAsia="Times New Roman" w:cs="Calibri"/>
          <w:szCs w:val="20"/>
        </w:rPr>
        <w:t>.</w:t>
      </w:r>
      <w:r w:rsidRPr="00B53B78">
        <w:rPr>
          <w:rFonts w:eastAsia="Times New Roman" w:cs="Calibri"/>
          <w:szCs w:val="20"/>
        </w:rPr>
        <w:t xml:space="preserve"> </w:t>
      </w:r>
      <w:r w:rsidRPr="00B53B78">
        <w:rPr>
          <w:rFonts w:eastAsia="Times New Roman" w:cs="Calibri"/>
          <w:i/>
          <w:iCs/>
          <w:szCs w:val="20"/>
        </w:rPr>
        <w:t>Fire Fighting Chemicals Group Standard 2021</w:t>
      </w:r>
      <w:r w:rsidRPr="00B53B78">
        <w:rPr>
          <w:rFonts w:eastAsia="Times New Roman" w:cs="Calibri"/>
          <w:szCs w:val="20"/>
        </w:rPr>
        <w:t xml:space="preserve">, See https://www.epa.govt.nz/assets/RecordsAPI/Fire-Fighting-Chemicals-Group-Standard-2021-HSR002573.pdf </w:t>
      </w:r>
      <w:r w:rsidR="00213EFC">
        <w:rPr>
          <w:rFonts w:eastAsia="Times New Roman" w:cs="Calibri"/>
          <w:szCs w:val="20"/>
        </w:rPr>
        <w:t>(</w:t>
      </w:r>
      <w:r w:rsidRPr="00B53B78">
        <w:rPr>
          <w:rFonts w:eastAsia="Times New Roman" w:cs="Calibri"/>
          <w:szCs w:val="20"/>
        </w:rPr>
        <w:t>22 November 2022).</w:t>
      </w:r>
    </w:p>
    <w:p w14:paraId="4CB264E5" w14:textId="618FC02E" w:rsidR="00B53B78" w:rsidRPr="00B53B78" w:rsidRDefault="00B53B78" w:rsidP="00F92734">
      <w:pPr>
        <w:pStyle w:val="References"/>
      </w:pPr>
      <w:r w:rsidRPr="00B53B78">
        <w:t>Environmental Protection Authority</w:t>
      </w:r>
      <w:r w:rsidR="009105F4">
        <w:t>.</w:t>
      </w:r>
      <w:r w:rsidRPr="00B53B78">
        <w:t xml:space="preserve"> 2021</w:t>
      </w:r>
      <w:r w:rsidR="009105F4">
        <w:t>.</w:t>
      </w:r>
      <w:r w:rsidRPr="00B53B78">
        <w:t xml:space="preserve"> </w:t>
      </w:r>
      <w:r w:rsidRPr="00B53B78">
        <w:rPr>
          <w:rFonts w:eastAsia="Calibri" w:cs="Times New Roman"/>
          <w:i/>
          <w:lang w:eastAsia="en-US"/>
        </w:rPr>
        <w:t>Hazardous Substances (Disposal) Notice 2017</w:t>
      </w:r>
      <w:r w:rsidRPr="00B53B78">
        <w:rPr>
          <w:rFonts w:eastAsia="Calibri" w:cs="Times New Roman"/>
          <w:lang w:eastAsia="en-US"/>
        </w:rPr>
        <w:t xml:space="preserve"> </w:t>
      </w:r>
      <w:r w:rsidRPr="00B53B78">
        <w:t xml:space="preserve">See </w:t>
      </w:r>
      <w:hyperlink r:id="rId167" w:history="1">
        <w:r w:rsidRPr="00213EFC">
          <w:rPr>
            <w:rStyle w:val="Hyperlink"/>
            <w:rFonts w:eastAsia="Times New Roman" w:cs="Calibri"/>
            <w:szCs w:val="20"/>
            <w:lang w:val="en-US"/>
          </w:rPr>
          <w:t>https://www.epa.govt.nz/assets/Uploads/Documents/Hazardous-Substances/GHS2/Consolidated_Hazardous_Substances_Disposal_Notice_2017.pdf</w:t>
        </w:r>
      </w:hyperlink>
      <w:r w:rsidR="00AD423D">
        <w:t>.</w:t>
      </w:r>
    </w:p>
    <w:p w14:paraId="059C2EE1" w14:textId="25FD7C0D" w:rsidR="00B53B78" w:rsidRPr="00B53B78" w:rsidRDefault="00B53B78" w:rsidP="00F92734">
      <w:pPr>
        <w:pStyle w:val="References"/>
        <w:rPr>
          <w:rFonts w:eastAsia="Times New Roman" w:cs="Calibri"/>
          <w:szCs w:val="20"/>
          <w:lang w:val="en-US"/>
        </w:rPr>
      </w:pPr>
      <w:r w:rsidRPr="00B53B78">
        <w:rPr>
          <w:rFonts w:eastAsia="Calibri" w:cs="Times New Roman"/>
          <w:lang w:eastAsia="en-US"/>
        </w:rPr>
        <w:t>Geo &amp; Hydro – K8 Ltd</w:t>
      </w:r>
      <w:r w:rsidR="009105F4">
        <w:rPr>
          <w:rFonts w:eastAsia="Calibri" w:cs="Times New Roman"/>
          <w:lang w:eastAsia="en-US"/>
        </w:rPr>
        <w:t>.</w:t>
      </w:r>
      <w:r w:rsidRPr="00B53B78">
        <w:rPr>
          <w:rFonts w:eastAsia="Calibri" w:cs="Times New Roman"/>
          <w:lang w:eastAsia="en-US"/>
        </w:rPr>
        <w:t xml:space="preserve"> 2011</w:t>
      </w:r>
      <w:r w:rsidR="009105F4">
        <w:rPr>
          <w:rFonts w:eastAsia="Calibri" w:cs="Times New Roman"/>
          <w:lang w:eastAsia="en-US"/>
        </w:rPr>
        <w:t>.</w:t>
      </w:r>
      <w:r w:rsidRPr="00B53B78">
        <w:rPr>
          <w:rFonts w:eastAsia="Calibri" w:cs="Times New Roman"/>
          <w:lang w:eastAsia="en-US"/>
        </w:rPr>
        <w:t xml:space="preserve"> </w:t>
      </w:r>
      <w:r w:rsidRPr="00B53B78">
        <w:rPr>
          <w:rFonts w:eastAsia="Calibri" w:cs="Times New Roman"/>
          <w:i/>
          <w:lang w:eastAsia="en-US"/>
        </w:rPr>
        <w:t>Pilot study of brominated flame retardants in waste electrical and electronic equipment (WEEE)</w:t>
      </w:r>
      <w:r w:rsidRPr="00B53B78">
        <w:t xml:space="preserve"> See </w:t>
      </w:r>
      <w:hyperlink r:id="rId168" w:history="1">
        <w:r w:rsidRPr="00213EFC">
          <w:rPr>
            <w:rStyle w:val="Hyperlink"/>
            <w:rFonts w:eastAsia="Times New Roman" w:cs="Calibri"/>
            <w:szCs w:val="20"/>
            <w:lang w:val="en-US"/>
          </w:rPr>
          <w:t>https://environment.govt.nz/publications/pilot-study-of-brominated-flame-retardants-in-waste-electrical-and-electronic-equipment-weee/</w:t>
        </w:r>
      </w:hyperlink>
      <w:r w:rsidRPr="00B53B78">
        <w:t xml:space="preserve"> </w:t>
      </w:r>
      <w:r w:rsidRPr="00B53B78">
        <w:rPr>
          <w:rFonts w:eastAsia="Times New Roman" w:cs="Calibri"/>
          <w:szCs w:val="20"/>
        </w:rPr>
        <w:t>(22 November 2022)</w:t>
      </w:r>
      <w:r w:rsidR="00AD423D">
        <w:rPr>
          <w:rFonts w:eastAsia="Times New Roman" w:cs="Calibri"/>
          <w:szCs w:val="20"/>
          <w:lang w:val="en-US"/>
        </w:rPr>
        <w:t>.</w:t>
      </w:r>
    </w:p>
    <w:p w14:paraId="6921AD5A" w14:textId="0A47E8C8" w:rsidR="00B53B78" w:rsidRPr="00B53B78" w:rsidRDefault="00B53B78" w:rsidP="00F92734">
      <w:pPr>
        <w:pStyle w:val="References"/>
        <w:rPr>
          <w:rFonts w:eastAsia="Times New Roman" w:cs="Calibri"/>
          <w:szCs w:val="20"/>
        </w:rPr>
      </w:pPr>
      <w:r w:rsidRPr="00B53B78">
        <w:t>Humphries B, Close M. 2014</w:t>
      </w:r>
      <w:r w:rsidRPr="00B53B78">
        <w:rPr>
          <w:rFonts w:eastAsia="Times New Roman" w:cs="Calibri"/>
          <w:i/>
          <w:iCs/>
          <w:szCs w:val="20"/>
        </w:rPr>
        <w:t>. National Survey of Pesticides in Groundwater 2014</w:t>
      </w:r>
      <w:r w:rsidRPr="00B53B78">
        <w:rPr>
          <w:rFonts w:eastAsia="Times New Roman" w:cs="Calibri"/>
          <w:szCs w:val="20"/>
        </w:rPr>
        <w:t>. Retrieved from www.marlborough.govt.nz/repository/libraries/id:1w1mps0ir17q9sgxanf9/hierarchy/Documents/Environment/Groundwater/Groundwater%20Reports%202015%20List/National_Survey_of_Pesticides_in_Groundwater_Report_final.pdf (22 November 2022).</w:t>
      </w:r>
    </w:p>
    <w:p w14:paraId="5D54AABE" w14:textId="3B793E16" w:rsidR="00B53B78" w:rsidRPr="00B53B78" w:rsidRDefault="00B53B78" w:rsidP="00F92734">
      <w:pPr>
        <w:pStyle w:val="References"/>
        <w:rPr>
          <w:rFonts w:eastAsia="Times New Roman" w:cs="Calibri"/>
          <w:szCs w:val="20"/>
          <w:lang w:val="en-US"/>
        </w:rPr>
      </w:pPr>
      <w:r w:rsidRPr="00B53B78">
        <w:t>International Telecommunication Union (ITU)</w:t>
      </w:r>
      <w:r w:rsidR="009105F4">
        <w:t>.</w:t>
      </w:r>
      <w:r w:rsidRPr="00B53B78">
        <w:t xml:space="preserve"> 2020</w:t>
      </w:r>
      <w:r w:rsidR="009105F4">
        <w:t>.</w:t>
      </w:r>
      <w:r w:rsidRPr="00B53B78">
        <w:t xml:space="preserve"> </w:t>
      </w:r>
      <w:r w:rsidRPr="00B53B78">
        <w:rPr>
          <w:i/>
        </w:rPr>
        <w:t>The Global E-waste Monitor 2020: Quantities, flows and the circular economy potential</w:t>
      </w:r>
      <w:r w:rsidRPr="00B53B78">
        <w:t xml:space="preserve">. United Nations University (UNU)/United Nations Institute for Training and Research (UNITAR) – co-hosted SCYCLE Programme, International Telecommunication Union (ITU) &amp; International Solid Waste Association (ISWA), Bonn/Geneva/Rotterdam See </w:t>
      </w:r>
      <w:hyperlink r:id="rId169" w:history="1">
        <w:r w:rsidRPr="00213EFC">
          <w:rPr>
            <w:rStyle w:val="Hyperlink"/>
            <w:rFonts w:eastAsia="Times New Roman" w:cs="Calibri"/>
            <w:szCs w:val="20"/>
            <w:lang w:val="en-US"/>
          </w:rPr>
          <w:t>https://www.itu.int/en/ITU-D/Environment/Documents/Toolbox/GEM_2020_EN_O21.pdf</w:t>
        </w:r>
      </w:hyperlink>
      <w:r w:rsidRPr="00B53B78">
        <w:t xml:space="preserve"> </w:t>
      </w:r>
      <w:r w:rsidRPr="00B53B78">
        <w:rPr>
          <w:rFonts w:eastAsia="Times New Roman" w:cs="Calibri"/>
          <w:szCs w:val="20"/>
        </w:rPr>
        <w:t>(22 November 2022)</w:t>
      </w:r>
      <w:r w:rsidR="00AD423D">
        <w:rPr>
          <w:rFonts w:eastAsia="Times New Roman" w:cs="Calibri"/>
          <w:szCs w:val="20"/>
          <w:lang w:val="en-US"/>
        </w:rPr>
        <w:t>.</w:t>
      </w:r>
    </w:p>
    <w:p w14:paraId="3CBF5848" w14:textId="42CC47DA" w:rsidR="00B53B78" w:rsidRPr="00B53B78" w:rsidRDefault="00B53B78" w:rsidP="00F92734">
      <w:pPr>
        <w:pStyle w:val="References"/>
        <w:rPr>
          <w:rFonts w:eastAsia="Times New Roman" w:cs="Calibri"/>
          <w:szCs w:val="20"/>
          <w:lang w:val="en-US"/>
        </w:rPr>
      </w:pPr>
      <w:r w:rsidRPr="00B53B78">
        <w:t xml:space="preserve">Keet B, Giera N, Gillett R, Verschueren K. 2010. </w:t>
      </w:r>
      <w:r w:rsidRPr="00B53B78">
        <w:rPr>
          <w:rFonts w:eastAsia="Calibri" w:cs="Times New Roman"/>
          <w:i/>
          <w:lang w:eastAsia="en-US"/>
        </w:rPr>
        <w:t>Investigation of brominated flame retardants present in articles being used, recycled and disposed of in New Zealand</w:t>
      </w:r>
      <w:r w:rsidRPr="00B53B78">
        <w:rPr>
          <w:rFonts w:eastAsia="Calibri" w:cs="Times New Roman"/>
          <w:lang w:eastAsia="en-US"/>
        </w:rPr>
        <w:t xml:space="preserve"> </w:t>
      </w:r>
      <w:r w:rsidRPr="00B53B78">
        <w:t xml:space="preserve">Retrieved from </w:t>
      </w:r>
      <w:hyperlink r:id="rId170" w:history="1">
        <w:r w:rsidRPr="00213EFC">
          <w:rPr>
            <w:rStyle w:val="Hyperlink"/>
            <w:rFonts w:eastAsia="Times New Roman" w:cs="Calibri"/>
            <w:szCs w:val="20"/>
            <w:lang w:val="en-US"/>
          </w:rPr>
          <w:t>https://environment.govt.nz/publications/investigation-of-brominated-flame-retardants-present-in-articles-being-used-recycled-and-disposed-of-in-new-zealand/</w:t>
        </w:r>
      </w:hyperlink>
      <w:r w:rsidRPr="00213EFC">
        <w:rPr>
          <w:rStyle w:val="Hyperlink"/>
          <w:rFonts w:eastAsia="Times New Roman" w:cs="Calibri"/>
          <w:szCs w:val="20"/>
          <w:lang w:val="en-US"/>
        </w:rPr>
        <w:t xml:space="preserve"> </w:t>
      </w:r>
      <w:r w:rsidRPr="00B53B78">
        <w:rPr>
          <w:rFonts w:eastAsia="Times New Roman" w:cs="Calibri"/>
          <w:szCs w:val="20"/>
        </w:rPr>
        <w:t>(22 November 2022).</w:t>
      </w:r>
    </w:p>
    <w:p w14:paraId="132F5750" w14:textId="31F7B500" w:rsidR="00B53B78" w:rsidRPr="00B53B78" w:rsidRDefault="00B53B78" w:rsidP="00F92734">
      <w:pPr>
        <w:pStyle w:val="References"/>
        <w:rPr>
          <w:lang w:val="en-US"/>
        </w:rPr>
      </w:pPr>
      <w:r w:rsidRPr="00B53B78">
        <w:t xml:space="preserve">Ministry for Primary Industries. 2014. </w:t>
      </w:r>
      <w:r w:rsidRPr="00B53B78">
        <w:rPr>
          <w:rFonts w:eastAsia="Times New Roman" w:cs="Calibri"/>
          <w:i/>
          <w:iCs/>
          <w:szCs w:val="20"/>
        </w:rPr>
        <w:t>Report on the targeted surveillance of milk from animals potentially exposed to petrochemical mining wastes.</w:t>
      </w:r>
      <w:r w:rsidRPr="00B53B78">
        <w:rPr>
          <w:rFonts w:eastAsia="Times New Roman" w:cs="Calibri"/>
          <w:szCs w:val="20"/>
        </w:rPr>
        <w:t xml:space="preserve"> Wellington: Ministry for Primary Industries.</w:t>
      </w:r>
    </w:p>
    <w:p w14:paraId="098E7F96" w14:textId="44835FF9" w:rsidR="00B53B78" w:rsidRPr="00B53B78" w:rsidRDefault="00B53B78" w:rsidP="00F92734">
      <w:pPr>
        <w:pStyle w:val="References"/>
        <w:rPr>
          <w:rFonts w:eastAsia="Times New Roman" w:cs="Calibri"/>
          <w:szCs w:val="20"/>
          <w:lang w:val="en-US"/>
        </w:rPr>
      </w:pPr>
      <w:r w:rsidRPr="00B53B78">
        <w:t xml:space="preserve">Ministry for Primary Industries. 2017. </w:t>
      </w:r>
      <w:r w:rsidRPr="00B53B78">
        <w:rPr>
          <w:rFonts w:eastAsia="Times New Roman" w:cs="Calibri"/>
          <w:i/>
          <w:iCs/>
          <w:szCs w:val="20"/>
        </w:rPr>
        <w:t>National Chemical Contaminants Programme Dairy Products and Raw Milk Dioxin, Dioxin-like PCB, and Indicator PCB Results (2014, 2015, and 2016): MPI Technical — Paper No: 2017/67.</w:t>
      </w:r>
      <w:r w:rsidRPr="00B53B78">
        <w:rPr>
          <w:rFonts w:eastAsia="Times New Roman" w:cs="Calibri"/>
          <w:szCs w:val="20"/>
        </w:rPr>
        <w:t xml:space="preserve"> Wellington: Ministry for Primary Industries.</w:t>
      </w:r>
    </w:p>
    <w:p w14:paraId="232FA415" w14:textId="5BECD386" w:rsidR="00B53B78" w:rsidRPr="00B53B78" w:rsidRDefault="00B53B78" w:rsidP="00F92734">
      <w:pPr>
        <w:pStyle w:val="References"/>
        <w:rPr>
          <w:lang w:val="en-US"/>
        </w:rPr>
      </w:pPr>
      <w:r w:rsidRPr="00B53B78">
        <w:t>Ministry for Primary Industries. 2018</w:t>
      </w:r>
      <w:r w:rsidRPr="00B53B78">
        <w:rPr>
          <w:rFonts w:eastAsia="Times New Roman" w:cs="Calibri"/>
          <w:szCs w:val="20"/>
        </w:rPr>
        <w:t xml:space="preserve">. </w:t>
      </w:r>
      <w:r w:rsidRPr="00B53B78">
        <w:rPr>
          <w:rFonts w:eastAsia="Times New Roman" w:cs="Calibri"/>
          <w:i/>
          <w:iCs/>
          <w:szCs w:val="20"/>
        </w:rPr>
        <w:t>2016 New Zealand Total Diet Study</w:t>
      </w:r>
      <w:r w:rsidRPr="00B53B78">
        <w:rPr>
          <w:rFonts w:eastAsia="Times New Roman" w:cs="Calibri"/>
          <w:szCs w:val="20"/>
        </w:rPr>
        <w:t>. Wellington: Ministry for Primary Industries. Retrieved from www.mpi.govt.nz/food-safety/food-monitoring-and-surveillance/new-zealand-total-diet-study (22 November 2022).</w:t>
      </w:r>
    </w:p>
    <w:p w14:paraId="4F0F17DC" w14:textId="150E7030" w:rsidR="00565066" w:rsidRPr="00565066" w:rsidRDefault="00565066" w:rsidP="00F92734">
      <w:pPr>
        <w:pStyle w:val="References"/>
        <w:rPr>
          <w:rFonts w:eastAsia="Times New Roman" w:cs="Calibri"/>
          <w:szCs w:val="20"/>
          <w:lang w:val="en-US"/>
        </w:rPr>
      </w:pPr>
      <w:r w:rsidRPr="00565066">
        <w:rPr>
          <w:lang w:val="en-US"/>
        </w:rPr>
        <w:t>Ministry for the Environment. 2019</w:t>
      </w:r>
      <w:r w:rsidRPr="00953E78">
        <w:rPr>
          <w:rFonts w:eastAsia="Times New Roman" w:cs="Calibri"/>
          <w:i/>
          <w:szCs w:val="20"/>
          <w:lang w:val="en-US"/>
        </w:rPr>
        <w:t>. PFAS investigation, response and funding guidance</w:t>
      </w:r>
      <w:r w:rsidRPr="00565066">
        <w:rPr>
          <w:rFonts w:eastAsia="Times New Roman" w:cs="Calibri"/>
          <w:szCs w:val="20"/>
          <w:lang w:val="en-US"/>
        </w:rPr>
        <w:t>.</w:t>
      </w:r>
      <w:r>
        <w:rPr>
          <w:rFonts w:eastAsia="Times New Roman" w:cs="Calibri"/>
          <w:szCs w:val="20"/>
          <w:lang w:val="en-US"/>
        </w:rPr>
        <w:t xml:space="preserve"> Retrieved from </w:t>
      </w:r>
      <w:hyperlink r:id="rId171" w:history="1">
        <w:r w:rsidR="009069B3" w:rsidRPr="009069B3">
          <w:rPr>
            <w:rStyle w:val="Hyperlink"/>
            <w:rFonts w:eastAsia="Times New Roman" w:cs="Calibri"/>
            <w:szCs w:val="20"/>
            <w:lang w:val="en-US"/>
          </w:rPr>
          <w:t>https://environment.govt.nz/assets/Publications/Files/pfas-investigation-response-funding-guide.pdf</w:t>
        </w:r>
        <w:r w:rsidR="009069B3" w:rsidRPr="00FC6A06">
          <w:rPr>
            <w:rStyle w:val="Hyperlink"/>
            <w:rFonts w:eastAsia="Times New Roman" w:cs="Calibri"/>
            <w:szCs w:val="20"/>
            <w:lang w:val="en-US"/>
          </w:rPr>
          <w:t xml:space="preserve"> (22</w:t>
        </w:r>
      </w:hyperlink>
      <w:r w:rsidR="009069B3">
        <w:rPr>
          <w:rFonts w:eastAsia="Times New Roman" w:cs="Calibri"/>
          <w:szCs w:val="20"/>
          <w:lang w:val="en-US"/>
        </w:rPr>
        <w:t xml:space="preserve"> November 2022)</w:t>
      </w:r>
      <w:r w:rsidR="00E80EBD">
        <w:rPr>
          <w:rFonts w:eastAsia="Times New Roman" w:cs="Calibri"/>
          <w:szCs w:val="20"/>
          <w:lang w:val="en-US"/>
        </w:rPr>
        <w:t>.</w:t>
      </w:r>
    </w:p>
    <w:p w14:paraId="0F40E844" w14:textId="400DFD73" w:rsidR="00B53B78" w:rsidRPr="00B53B78" w:rsidRDefault="00B53B78" w:rsidP="00F92734">
      <w:pPr>
        <w:pStyle w:val="References"/>
      </w:pPr>
      <w:r w:rsidRPr="00B53B78">
        <w:t>Ministry for Primary Industries</w:t>
      </w:r>
      <w:r w:rsidR="00D86811">
        <w:t>.</w:t>
      </w:r>
      <w:r w:rsidRPr="00B53B78">
        <w:t xml:space="preserve"> 2020a</w:t>
      </w:r>
      <w:r w:rsidR="00D86811">
        <w:t>.</w:t>
      </w:r>
      <w:r w:rsidRPr="00B53B78">
        <w:t xml:space="preserve"> National Chemical Contaminants Programme</w:t>
      </w:r>
      <w:r w:rsidR="00F92734">
        <w:t xml:space="preserve"> </w:t>
      </w:r>
      <w:r w:rsidRPr="00B53B78">
        <w:rPr>
          <w:rFonts w:eastAsia="Times New Roman" w:cs="Calibri"/>
          <w:i/>
          <w:szCs w:val="20"/>
        </w:rPr>
        <w:t>Dairy products and raw milk - Dioxin, dioxin-like PCB, and indicator PCB results (2014/15, 2015/16, 2016/17, 2017/18, 2018/19 and 2019/20</w:t>
      </w:r>
      <w:r w:rsidRPr="00B53B78">
        <w:rPr>
          <w:rFonts w:eastAsia="Times New Roman" w:cs="Calibri"/>
          <w:szCs w:val="20"/>
        </w:rPr>
        <w:t>) see</w:t>
      </w:r>
      <w:r w:rsidRPr="00213EFC">
        <w:rPr>
          <w:rFonts w:eastAsia="Times New Roman" w:cs="Calibri"/>
          <w:szCs w:val="20"/>
        </w:rPr>
        <w:t xml:space="preserve"> </w:t>
      </w:r>
      <w:hyperlink r:id="rId172" w:history="1">
        <w:r w:rsidRPr="00213EFC">
          <w:rPr>
            <w:rStyle w:val="Hyperlink"/>
            <w:lang w:val="en-US"/>
          </w:rPr>
          <w:t>https://www.mpi.govt.nz/dmsdocument/44923-National-Chemical-Contaminants-Programme-Dairy-products-and-raw-milk-Dioxin-dioxin-like-PCB-and-indicator-PCB-results-201415-201516-201617-201718-201819-and-201920</w:t>
        </w:r>
      </w:hyperlink>
      <w:r w:rsidR="00AD423D">
        <w:rPr>
          <w:rFonts w:eastAsia="Times New Roman" w:cs="Calibri"/>
          <w:szCs w:val="20"/>
        </w:rPr>
        <w:t>.</w:t>
      </w:r>
      <w:r w:rsidRPr="00B53B78">
        <w:rPr>
          <w:rFonts w:eastAsia="Times New Roman" w:cs="Calibri"/>
          <w:szCs w:val="20"/>
        </w:rPr>
        <w:t xml:space="preserve"> </w:t>
      </w:r>
    </w:p>
    <w:p w14:paraId="568BC619" w14:textId="51495A7B" w:rsidR="00B53B78" w:rsidRPr="00213EFC" w:rsidRDefault="00B53B78" w:rsidP="00F92734">
      <w:pPr>
        <w:pStyle w:val="References"/>
        <w:rPr>
          <w:rFonts w:eastAsia="Times New Roman" w:cs="Calibri"/>
          <w:szCs w:val="20"/>
        </w:rPr>
      </w:pPr>
      <w:r w:rsidRPr="00B53B78">
        <w:t>Ministry for Primary Industries</w:t>
      </w:r>
      <w:r w:rsidR="00D86811">
        <w:t>.</w:t>
      </w:r>
      <w:r w:rsidRPr="00B53B78">
        <w:t xml:space="preserve"> 2020b</w:t>
      </w:r>
      <w:r w:rsidR="00D86811">
        <w:t>.</w:t>
      </w:r>
      <w:r w:rsidRPr="00B53B78">
        <w:t xml:space="preserve"> </w:t>
      </w:r>
      <w:r w:rsidRPr="00B53B78">
        <w:rPr>
          <w:rFonts w:eastAsia="Calibri" w:cs="Times New Roman"/>
          <w:i/>
          <w:lang w:eastAsia="en-US"/>
        </w:rPr>
        <w:t>Animal Products Notice: Monitoring Regimes</w:t>
      </w:r>
      <w:r w:rsidRPr="00B53B78">
        <w:t xml:space="preserve"> </w:t>
      </w:r>
      <w:hyperlink r:id="rId173" w:history="1">
        <w:r w:rsidRPr="00213EFC">
          <w:rPr>
            <w:rStyle w:val="Hyperlink"/>
            <w:rFonts w:eastAsia="Times New Roman" w:cs="Calibri"/>
            <w:szCs w:val="20"/>
            <w:lang w:val="en-US"/>
          </w:rPr>
          <w:t>https://www.mpi.govt.nz/dmsdocument/52039-Animal-Products-Notice-Monitoring-Regimes</w:t>
        </w:r>
      </w:hyperlink>
      <w:r w:rsidR="00CC14F1" w:rsidRPr="00213EFC">
        <w:t>.</w:t>
      </w:r>
    </w:p>
    <w:p w14:paraId="114F99E4" w14:textId="610CA6D1" w:rsidR="00CC14F1" w:rsidRDefault="00B53B78" w:rsidP="00F92734">
      <w:pPr>
        <w:pStyle w:val="References"/>
        <w:rPr>
          <w:lang w:val="en-US"/>
        </w:rPr>
      </w:pPr>
      <w:r w:rsidRPr="00B53B78">
        <w:lastRenderedPageBreak/>
        <w:t xml:space="preserve">Ministry for Primary Industries. 2022. </w:t>
      </w:r>
      <w:r w:rsidRPr="00B53B78">
        <w:rPr>
          <w:i/>
          <w:iCs/>
        </w:rPr>
        <w:t>National Chemical Contaminants Programme</w:t>
      </w:r>
      <w:r w:rsidRPr="00B53B78">
        <w:t>. Retrieved from https://www.mpi.govt.nz/food-business/dairy-products-processing-manufacture-testing-requirements/monitoring-testing-dairy-products/national-chemical-contaminants-programme/ (4 November 2022).</w:t>
      </w:r>
      <w:r w:rsidRPr="00B53B78">
        <w:rPr>
          <w:lang w:val="en-US"/>
        </w:rPr>
        <w:t> </w:t>
      </w:r>
      <w:r w:rsidR="002B5C7F" w:rsidRPr="00B53B78">
        <w:t xml:space="preserve">Ministry for the Environment. No date(a). </w:t>
      </w:r>
      <w:r w:rsidR="002B5C7F" w:rsidRPr="00B53B78">
        <w:rPr>
          <w:i/>
        </w:rPr>
        <w:t>Contaminated Sites Remediation Fund</w:t>
      </w:r>
      <w:r w:rsidR="002B5C7F" w:rsidRPr="00B53B78">
        <w:t xml:space="preserve">. </w:t>
      </w:r>
      <w:r w:rsidRPr="00B53B78">
        <w:t>Retrieved from www.mfe.govt.nz/more/funding/contaminated-sites-remediation-fund (22 November 2022).</w:t>
      </w:r>
    </w:p>
    <w:p w14:paraId="769E2ADF" w14:textId="1669596F" w:rsidR="00B53B78" w:rsidRPr="00B53B78" w:rsidRDefault="00B53B78" w:rsidP="00F92734">
      <w:pPr>
        <w:pStyle w:val="References"/>
        <w:rPr>
          <w:rFonts w:eastAsia="Times New Roman" w:cs="Calibri"/>
          <w:szCs w:val="20"/>
          <w:lang w:val="en-US"/>
        </w:rPr>
      </w:pPr>
      <w:r w:rsidRPr="00B53B78">
        <w:t>Ministry for the Environment. No date(</w:t>
      </w:r>
      <w:r w:rsidRPr="00B53B78">
        <w:rPr>
          <w:rFonts w:eastAsia="Times New Roman" w:cs="Calibri"/>
          <w:szCs w:val="20"/>
        </w:rPr>
        <w:t xml:space="preserve">b). </w:t>
      </w:r>
      <w:r w:rsidRPr="00B53B78">
        <w:rPr>
          <w:rFonts w:eastAsia="Times New Roman" w:cs="Calibri"/>
          <w:i/>
          <w:iCs/>
          <w:szCs w:val="20"/>
        </w:rPr>
        <w:t>Managing waste that may contain brominated flame retardants.</w:t>
      </w:r>
      <w:r w:rsidRPr="00B53B78">
        <w:rPr>
          <w:rFonts w:eastAsia="Times New Roman" w:cs="Calibri"/>
          <w:szCs w:val="20"/>
        </w:rPr>
        <w:t xml:space="preserve"> Retrieved from https://environment.govt.nz/publications/managing-waste-that-may-contain-brominated-flame-retardants/managing-waste-that-may-contain-brominated-flame-retardants/ (22 November 2022).</w:t>
      </w:r>
    </w:p>
    <w:p w14:paraId="1AA91874" w14:textId="5C0D1A6C" w:rsidR="00B53B78" w:rsidRPr="00B53B78" w:rsidRDefault="00B53B78" w:rsidP="00F92734">
      <w:pPr>
        <w:pStyle w:val="References"/>
        <w:rPr>
          <w:rFonts w:eastAsia="Times New Roman" w:cs="Calibri"/>
          <w:szCs w:val="20"/>
          <w:lang w:val="en-US"/>
        </w:rPr>
      </w:pPr>
      <w:r w:rsidRPr="00B53B78">
        <w:t>Ministry for the Environment. No date(</w:t>
      </w:r>
      <w:r w:rsidRPr="00B53B78">
        <w:rPr>
          <w:rFonts w:eastAsia="Times New Roman" w:cs="Calibri"/>
          <w:szCs w:val="20"/>
        </w:rPr>
        <w:t xml:space="preserve">c). </w:t>
      </w:r>
      <w:r w:rsidRPr="00B53B78">
        <w:rPr>
          <w:rFonts w:eastAsia="Times New Roman" w:cs="Calibri"/>
          <w:i/>
          <w:iCs/>
          <w:szCs w:val="20"/>
        </w:rPr>
        <w:t>PFAS (per- and poly-fluoroalkyl substances)</w:t>
      </w:r>
      <w:r w:rsidRPr="00B53B78">
        <w:rPr>
          <w:rFonts w:eastAsia="Times New Roman" w:cs="Calibri"/>
          <w:szCs w:val="20"/>
        </w:rPr>
        <w:t>.</w:t>
      </w:r>
    </w:p>
    <w:p w14:paraId="1BAE80EC" w14:textId="2FDBC211" w:rsidR="00B53B78" w:rsidRPr="00B53B78" w:rsidRDefault="00B53B78" w:rsidP="00F92734">
      <w:pPr>
        <w:pStyle w:val="References"/>
        <w:rPr>
          <w:rFonts w:eastAsia="Times New Roman" w:cs="Calibri"/>
          <w:szCs w:val="20"/>
          <w:lang w:val="en-US"/>
        </w:rPr>
      </w:pPr>
      <w:r w:rsidRPr="00B53B78">
        <w:t xml:space="preserve">Ministry for the Environment. 2000. </w:t>
      </w:r>
      <w:r w:rsidRPr="00B53B78">
        <w:rPr>
          <w:rFonts w:eastAsia="Times New Roman" w:cs="Calibri"/>
          <w:i/>
          <w:iCs/>
          <w:szCs w:val="20"/>
        </w:rPr>
        <w:t>New Zealand Inventory of Dioxin Emissions to Air, Land and Water, and Reservoir Sources: 2000</w:t>
      </w:r>
      <w:r w:rsidRPr="00B53B78">
        <w:rPr>
          <w:rFonts w:eastAsia="Times New Roman" w:cs="Calibri"/>
          <w:szCs w:val="20"/>
        </w:rPr>
        <w:t>. Retrieved from https://environment.govt.nz/assets/publications/2000-dioxin-emissions-inventory.pdf (22 November 2022).</w:t>
      </w:r>
    </w:p>
    <w:p w14:paraId="32F1C3FB" w14:textId="7D3209DE" w:rsidR="00B53B78" w:rsidRPr="00B53B78" w:rsidRDefault="00B53B78" w:rsidP="00F92734">
      <w:pPr>
        <w:pStyle w:val="References"/>
        <w:rPr>
          <w:rFonts w:eastAsia="Times New Roman" w:cs="Calibri"/>
          <w:szCs w:val="20"/>
          <w:lang w:val="en-US"/>
        </w:rPr>
      </w:pPr>
      <w:r w:rsidRPr="00B53B78">
        <w:t xml:space="preserve">Ministry for the Environment. 2003. </w:t>
      </w:r>
      <w:r w:rsidRPr="00B53B78">
        <w:rPr>
          <w:rFonts w:eastAsia="Times New Roman" w:cs="Calibri"/>
          <w:i/>
          <w:iCs/>
          <w:szCs w:val="20"/>
        </w:rPr>
        <w:t>Contaminated land management guidelines No. 2: Hierarchy and application in New Zealand of environmental guideline values (revised 2011).</w:t>
      </w:r>
      <w:r w:rsidRPr="00B53B78">
        <w:rPr>
          <w:rFonts w:eastAsia="Times New Roman" w:cs="Calibri"/>
          <w:szCs w:val="20"/>
        </w:rPr>
        <w:t xml:space="preserve"> Retrieved from https://environment.govt.nz/publications/contaminated-land-management-guidelines-no-2-hierarchy-and-application-in-new-zealand-of-environmental-guideline-values-revised-2011/ (22 November 2022).</w:t>
      </w:r>
    </w:p>
    <w:p w14:paraId="74FE2087" w14:textId="45FC1AD7" w:rsidR="00B53B78" w:rsidRPr="00B53B78" w:rsidRDefault="00B53B78" w:rsidP="00F92734">
      <w:pPr>
        <w:pStyle w:val="References"/>
        <w:rPr>
          <w:rFonts w:eastAsia="Times New Roman" w:cs="Calibri"/>
          <w:szCs w:val="20"/>
          <w:lang w:val="en-US"/>
        </w:rPr>
      </w:pPr>
      <w:r w:rsidRPr="00B53B78">
        <w:t xml:space="preserve">Ministry for the Environment. 2004a. </w:t>
      </w:r>
      <w:r w:rsidRPr="00B53B78">
        <w:rPr>
          <w:rFonts w:eastAsia="Times New Roman" w:cs="Calibri"/>
          <w:i/>
          <w:iCs/>
          <w:szCs w:val="20"/>
        </w:rPr>
        <w:t>Contaminated land management guidelines No. 3: Risk Screening System</w:t>
      </w:r>
      <w:r w:rsidRPr="00B53B78">
        <w:rPr>
          <w:rFonts w:eastAsia="Times New Roman" w:cs="Calibri"/>
          <w:szCs w:val="20"/>
        </w:rPr>
        <w:t>. Retrieved from https://environment.govt.nz/publications/contaminated-land-management-guidelines-no-3-risk-screening-system/ (22 November 2022).</w:t>
      </w:r>
    </w:p>
    <w:p w14:paraId="3DA4968C" w14:textId="283C1112" w:rsidR="00B53B78" w:rsidRPr="00B53B78" w:rsidRDefault="00B53B78" w:rsidP="00F92734">
      <w:pPr>
        <w:pStyle w:val="References"/>
        <w:rPr>
          <w:rFonts w:eastAsia="Times New Roman" w:cs="Calibri"/>
          <w:szCs w:val="20"/>
          <w:lang w:val="en-US"/>
        </w:rPr>
      </w:pPr>
      <w:r w:rsidRPr="00B53B78">
        <w:t xml:space="preserve">Ministry for the Environment. 2004b. </w:t>
      </w:r>
      <w:r w:rsidRPr="00B53B78">
        <w:rPr>
          <w:rFonts w:eastAsia="Times New Roman" w:cs="Calibri"/>
          <w:i/>
          <w:iCs/>
          <w:szCs w:val="20"/>
        </w:rPr>
        <w:t>Contaminated land management guidelines No. 5: Site investigation and analysis of soils (revised 2021</w:t>
      </w:r>
      <w:r w:rsidRPr="00B53B78">
        <w:rPr>
          <w:rFonts w:eastAsia="Times New Roman" w:cs="Calibri"/>
          <w:szCs w:val="20"/>
        </w:rPr>
        <w:t>). Retrieved from https://environment.govt.nz/publications/contaminated-land-management-guidelines-no-5-site-investigation-and-analysis-of-soils/ (22 November 2022).</w:t>
      </w:r>
    </w:p>
    <w:p w14:paraId="50543E04" w14:textId="0D1A4265" w:rsidR="00B53B78" w:rsidRPr="00B53B78" w:rsidRDefault="00B53B78" w:rsidP="00F92734">
      <w:pPr>
        <w:pStyle w:val="References"/>
        <w:rPr>
          <w:rFonts w:ascii="Segoe UI" w:eastAsia="Times New Roman" w:hAnsi="Segoe UI" w:cs="Segoe UI"/>
          <w:szCs w:val="20"/>
          <w:lang w:val="en-US"/>
        </w:rPr>
      </w:pPr>
      <w:r w:rsidRPr="00B53B78">
        <w:t xml:space="preserve">Ministry for the Environment. 2006a. </w:t>
      </w:r>
      <w:r w:rsidRPr="00B53B78">
        <w:rPr>
          <w:rFonts w:eastAsia="Times New Roman" w:cs="Calibri"/>
          <w:i/>
          <w:iCs/>
          <w:szCs w:val="20"/>
        </w:rPr>
        <w:t>Contaminated land management guidelines No. 4: Classification and information management protocols</w:t>
      </w:r>
      <w:r w:rsidRPr="00B53B78">
        <w:rPr>
          <w:rFonts w:eastAsia="Times New Roman" w:cs="Calibri"/>
          <w:szCs w:val="20"/>
        </w:rPr>
        <w:t>. Retrieved from https://environment.govt.nz/publications/contaminated-land-management-guidelines-no-4-classification-and-information-management-protocols/ (22 November 2022).</w:t>
      </w:r>
    </w:p>
    <w:p w14:paraId="74BAFB1F" w14:textId="6D8781C6" w:rsidR="00B53B78" w:rsidRPr="00B53B78" w:rsidRDefault="00B53B78" w:rsidP="00F92734">
      <w:pPr>
        <w:pStyle w:val="References"/>
        <w:rPr>
          <w:rFonts w:eastAsia="Times New Roman" w:cs="Calibri"/>
          <w:szCs w:val="20"/>
        </w:rPr>
      </w:pPr>
      <w:r w:rsidRPr="007C787A">
        <w:rPr>
          <w:rFonts w:eastAsia="Times New Roman" w:cs="Calibri"/>
          <w:szCs w:val="20"/>
        </w:rPr>
        <w:t>Ministry for the Environment. 2006b. New Zealand’s National Implementation Plan under the Stockholm Convention on Persistent Organic Pollutants. Retrieved from https://environment.govt.nz/publications/new-zealands-national-implementation-plan-under-the-stockholm-convention-on-persistent-organic-pollutants/ (22 November 2022).</w:t>
      </w:r>
    </w:p>
    <w:p w14:paraId="0451FFEF" w14:textId="144A4D30" w:rsidR="00B53B78" w:rsidRPr="00B53B78" w:rsidRDefault="00B53B78" w:rsidP="00F92734">
      <w:pPr>
        <w:pStyle w:val="References"/>
        <w:rPr>
          <w:rFonts w:eastAsia="Times New Roman" w:cs="Calibri"/>
          <w:szCs w:val="20"/>
          <w:lang w:val="en-US"/>
        </w:rPr>
      </w:pPr>
      <w:r w:rsidRPr="00B53B78">
        <w:t>Ministry for the Environment</w:t>
      </w:r>
      <w:r w:rsidR="00D86811">
        <w:t>.</w:t>
      </w:r>
      <w:r w:rsidRPr="00B53B78">
        <w:t xml:space="preserve"> 2011</w:t>
      </w:r>
      <w:r w:rsidRPr="00B53B78">
        <w:rPr>
          <w:rFonts w:eastAsia="Times New Roman" w:cs="Calibri"/>
          <w:szCs w:val="20"/>
        </w:rPr>
        <w:t>a</w:t>
      </w:r>
      <w:r w:rsidR="00D86811">
        <w:rPr>
          <w:rFonts w:eastAsia="Times New Roman" w:cs="Calibri"/>
          <w:szCs w:val="20"/>
        </w:rPr>
        <w:t>.</w:t>
      </w:r>
      <w:r w:rsidRPr="00B53B78">
        <w:rPr>
          <w:rFonts w:eastAsia="Times New Roman" w:cs="Calibri"/>
          <w:szCs w:val="20"/>
        </w:rPr>
        <w:t xml:space="preserve"> </w:t>
      </w:r>
      <w:r w:rsidRPr="00B53B78">
        <w:rPr>
          <w:rFonts w:eastAsia="Times New Roman" w:cs="Calibri"/>
          <w:i/>
          <w:iCs/>
          <w:szCs w:val="20"/>
        </w:rPr>
        <w:t xml:space="preserve">Cleaning up Mapua - The story of the </w:t>
      </w:r>
      <w:proofErr w:type="spellStart"/>
      <w:r w:rsidRPr="00B53B78">
        <w:rPr>
          <w:rFonts w:eastAsia="Times New Roman" w:cs="Calibri"/>
          <w:i/>
          <w:iCs/>
          <w:szCs w:val="20"/>
        </w:rPr>
        <w:t>Fruitgrowers</w:t>
      </w:r>
      <w:proofErr w:type="spellEnd"/>
      <w:r w:rsidRPr="00B53B78">
        <w:rPr>
          <w:rFonts w:eastAsia="Times New Roman" w:cs="Calibri"/>
          <w:i/>
          <w:iCs/>
          <w:szCs w:val="20"/>
        </w:rPr>
        <w:t>’ chemical company site</w:t>
      </w:r>
      <w:r w:rsidR="00213EFC">
        <w:rPr>
          <w:rFonts w:eastAsia="Times New Roman" w:cs="Calibri"/>
          <w:i/>
          <w:iCs/>
          <w:szCs w:val="20"/>
        </w:rPr>
        <w:t xml:space="preserve"> </w:t>
      </w:r>
      <w:r w:rsidRPr="00B53B78">
        <w:rPr>
          <w:rFonts w:eastAsia="Times New Roman" w:cs="Calibri"/>
          <w:szCs w:val="20"/>
        </w:rPr>
        <w:t>(22 November 2022).</w:t>
      </w:r>
    </w:p>
    <w:p w14:paraId="5B7F02F7" w14:textId="7E35E934" w:rsidR="00B53B78" w:rsidRPr="00B53B78" w:rsidRDefault="00B53B78" w:rsidP="00F92734">
      <w:pPr>
        <w:pStyle w:val="References"/>
        <w:rPr>
          <w:rFonts w:eastAsia="Times New Roman" w:cs="Calibri"/>
          <w:szCs w:val="20"/>
          <w:lang w:val="en-US"/>
        </w:rPr>
      </w:pPr>
      <w:r w:rsidRPr="00B53B78">
        <w:t>Ministry for the Environment. 2011b. New Zealand Inventory of Dioxin Emissions to Air, Land and Water, and Reservoir Sources: 2011. Retrieved from http</w:t>
      </w:r>
      <w:r w:rsidRPr="00B53B78">
        <w:rPr>
          <w:rFonts w:eastAsia="Times New Roman" w:cs="Calibri"/>
          <w:szCs w:val="20"/>
        </w:rPr>
        <w:t>s://environment.govt.nz/assets/publications/2011-dioxin-emissions-inventory.pdf (22 November 2022).</w:t>
      </w:r>
    </w:p>
    <w:p w14:paraId="7F348BB2" w14:textId="1051E770" w:rsidR="00B53B78" w:rsidRPr="00B53B78" w:rsidRDefault="00B53B78" w:rsidP="00F92734">
      <w:pPr>
        <w:pStyle w:val="References"/>
        <w:rPr>
          <w:rFonts w:eastAsia="Times New Roman" w:cs="Calibri"/>
          <w:szCs w:val="20"/>
          <w:lang w:val="en-US"/>
        </w:rPr>
      </w:pPr>
      <w:r w:rsidRPr="00B53B78">
        <w:t xml:space="preserve">Ministry for the Environment. 2011a. </w:t>
      </w:r>
      <w:r w:rsidRPr="00B53B78">
        <w:rPr>
          <w:rFonts w:eastAsia="Times New Roman" w:cs="Calibri"/>
          <w:i/>
          <w:iCs/>
          <w:szCs w:val="20"/>
        </w:rPr>
        <w:t>Contaminated land management guidelines No. 1: Reporting on contaminated sites in New Zealand (revised 2021</w:t>
      </w:r>
      <w:r w:rsidRPr="00B53B78">
        <w:rPr>
          <w:rFonts w:eastAsia="Times New Roman" w:cs="Calibri"/>
          <w:szCs w:val="20"/>
        </w:rPr>
        <w:t>). Retrieved from https://environment.govt.nz/publications/contaminated-land-management-guidelines-no-1-reporting-on-contaminated-sites-in-new-zealand/ (22 November 2022).</w:t>
      </w:r>
    </w:p>
    <w:p w14:paraId="3A7BA6C8" w14:textId="71B27DC3" w:rsidR="00B53B78" w:rsidRPr="00B53B78" w:rsidRDefault="00B53B78" w:rsidP="00F92734">
      <w:pPr>
        <w:pStyle w:val="References"/>
        <w:rPr>
          <w:rFonts w:eastAsia="Times New Roman" w:cs="Calibri"/>
          <w:szCs w:val="20"/>
          <w:lang w:val="en-US"/>
        </w:rPr>
      </w:pPr>
      <w:r w:rsidRPr="00B53B78">
        <w:t xml:space="preserve">Ministry for the Environment. 2012b. </w:t>
      </w:r>
      <w:r w:rsidRPr="00B53B78">
        <w:rPr>
          <w:rFonts w:eastAsia="Times New Roman" w:cs="Calibri"/>
          <w:i/>
          <w:iCs/>
          <w:szCs w:val="20"/>
        </w:rPr>
        <w:t>Users’ Guide: National environmental standard for assessing and managing contaminants in soil to protect human health</w:t>
      </w:r>
      <w:r w:rsidRPr="00B53B78">
        <w:rPr>
          <w:rFonts w:eastAsia="Times New Roman" w:cs="Calibri"/>
          <w:szCs w:val="20"/>
        </w:rPr>
        <w:t>. Retrieved from www.mfe.govt.nz/sites/default/ files/guide-nes-for-assessing-managing-contaminants-in-soil.pdf (22 November 2022).</w:t>
      </w:r>
    </w:p>
    <w:p w14:paraId="608F3B90" w14:textId="235B86D7" w:rsidR="00B53B78" w:rsidRPr="00B53B78" w:rsidRDefault="00B53B78" w:rsidP="00F92734">
      <w:pPr>
        <w:pStyle w:val="References"/>
        <w:rPr>
          <w:rFonts w:eastAsia="Times New Roman" w:cs="Calibri"/>
          <w:szCs w:val="20"/>
          <w:lang w:val="en-US"/>
        </w:rPr>
      </w:pPr>
      <w:r w:rsidRPr="00B53B78">
        <w:t>Ministry for the Environment. 2013a.</w:t>
      </w:r>
      <w:r w:rsidRPr="00B53B78">
        <w:rPr>
          <w:rFonts w:eastAsia="Calibri" w:cs="Times New Roman"/>
          <w:lang w:eastAsia="en-US"/>
        </w:rPr>
        <w:t xml:space="preserve"> </w:t>
      </w:r>
      <w:r w:rsidRPr="00B53B78">
        <w:rPr>
          <w:i/>
        </w:rPr>
        <w:t>Brominated Flame retardant – Research Cost-benefit analysis of sorting: Options for e-waste plastics</w:t>
      </w:r>
      <w:r w:rsidRPr="00B53B78">
        <w:t xml:space="preserve"> Retrieved from </w:t>
      </w:r>
      <w:hyperlink r:id="rId174" w:history="1">
        <w:r w:rsidRPr="00213EFC">
          <w:rPr>
            <w:rStyle w:val="Hyperlink"/>
            <w:rFonts w:eastAsia="Times New Roman" w:cs="Calibri"/>
            <w:szCs w:val="20"/>
            <w:lang w:val="en-US"/>
          </w:rPr>
          <w:t>https://environment.govt.nz/publications/brominated-flame-retardant-research-cost-benefit-analysis-of-sorting-options-for-e-waste-plastics/</w:t>
        </w:r>
      </w:hyperlink>
      <w:r w:rsidRPr="00B53B78">
        <w:rPr>
          <w:rFonts w:eastAsia="Times New Roman" w:cs="Calibri"/>
          <w:szCs w:val="20"/>
        </w:rPr>
        <w:t xml:space="preserve"> (22 November 2022).</w:t>
      </w:r>
    </w:p>
    <w:p w14:paraId="27125129" w14:textId="66B43ED5" w:rsidR="00B53B78" w:rsidRPr="00B53B78" w:rsidRDefault="00B53B78" w:rsidP="00F92734">
      <w:pPr>
        <w:pStyle w:val="References"/>
        <w:rPr>
          <w:rFonts w:eastAsia="Times New Roman" w:cs="Calibri"/>
          <w:szCs w:val="20"/>
        </w:rPr>
      </w:pPr>
      <w:r w:rsidRPr="00B53B78">
        <w:rPr>
          <w:lang w:val="en-US"/>
        </w:rPr>
        <w:lastRenderedPageBreak/>
        <w:t>Ministry for the Environment</w:t>
      </w:r>
      <w:r w:rsidR="00D86811">
        <w:rPr>
          <w:lang w:val="en-US"/>
        </w:rPr>
        <w:t>.</w:t>
      </w:r>
      <w:r w:rsidRPr="00B53B78">
        <w:rPr>
          <w:lang w:val="en-US"/>
        </w:rPr>
        <w:t xml:space="preserve"> 2013b</w:t>
      </w:r>
      <w:r w:rsidR="00D86811">
        <w:rPr>
          <w:lang w:val="en-US"/>
        </w:rPr>
        <w:t>.</w:t>
      </w:r>
      <w:r w:rsidRPr="00B53B78">
        <w:rPr>
          <w:lang w:val="en-US"/>
        </w:rPr>
        <w:t xml:space="preserve"> </w:t>
      </w:r>
      <w:r w:rsidRPr="00B53B78">
        <w:rPr>
          <w:rFonts w:eastAsia="Calibri" w:cs="Times New Roman"/>
          <w:i/>
          <w:lang w:eastAsia="en-US"/>
        </w:rPr>
        <w:t>Managing waste that may contain brominated flame retardants</w:t>
      </w:r>
      <w:r w:rsidRPr="00B53B78">
        <w:rPr>
          <w:rFonts w:eastAsia="Calibri" w:cs="Times New Roman"/>
          <w:lang w:eastAsia="en-US"/>
        </w:rPr>
        <w:t xml:space="preserve"> </w:t>
      </w:r>
      <w:r w:rsidRPr="00B53B78">
        <w:t>see</w:t>
      </w:r>
      <w:r w:rsidRPr="00E54D01">
        <w:t xml:space="preserve"> </w:t>
      </w:r>
      <w:hyperlink r:id="rId175" w:history="1">
        <w:r w:rsidRPr="00213EFC">
          <w:rPr>
            <w:rStyle w:val="Hyperlink"/>
            <w:rFonts w:eastAsia="Times New Roman" w:cs="Calibri"/>
            <w:szCs w:val="20"/>
            <w:lang w:val="en-US"/>
          </w:rPr>
          <w:t>https://environment.govt.nz/publications/managing-waste-that-may-contain-brominated-flame-retardants/</w:t>
        </w:r>
      </w:hyperlink>
      <w:r w:rsidRPr="00B53B78">
        <w:rPr>
          <w:rFonts w:eastAsia="Times New Roman" w:cs="Calibri"/>
          <w:szCs w:val="20"/>
        </w:rPr>
        <w:t xml:space="preserve"> (22 November 2022)</w:t>
      </w:r>
      <w:r w:rsidR="00AD423D">
        <w:rPr>
          <w:rFonts w:eastAsia="Times New Roman" w:cs="Calibri"/>
          <w:szCs w:val="20"/>
        </w:rPr>
        <w:t>.</w:t>
      </w:r>
    </w:p>
    <w:p w14:paraId="629BF7DE" w14:textId="543A28A0" w:rsidR="00B53B78" w:rsidRPr="00B53B78" w:rsidRDefault="00B53B78" w:rsidP="00F92734">
      <w:pPr>
        <w:pStyle w:val="References"/>
        <w:rPr>
          <w:rFonts w:eastAsia="Times New Roman" w:cs="Calibri"/>
          <w:szCs w:val="20"/>
        </w:rPr>
      </w:pPr>
      <w:r w:rsidRPr="00B53B78">
        <w:t xml:space="preserve">Ministry for the Environment &amp; Stats NZ. 2014. </w:t>
      </w:r>
      <w:r w:rsidRPr="00B53B78">
        <w:rPr>
          <w:rFonts w:eastAsia="Times New Roman" w:cs="Calibri"/>
          <w:i/>
          <w:iCs/>
          <w:szCs w:val="20"/>
        </w:rPr>
        <w:t>New Zealand’s Environmental Reporting Series: 2014 Air domain report.</w:t>
      </w:r>
      <w:r w:rsidRPr="00B53B78">
        <w:rPr>
          <w:rFonts w:eastAsia="Times New Roman" w:cs="Calibri"/>
          <w:szCs w:val="20"/>
        </w:rPr>
        <w:t xml:space="preserve"> Retrieved from https://environment.govt.nz/publications/new-zealands-environmental-reporting-series-2014-air-domain-report/ (22 November 2022).</w:t>
      </w:r>
    </w:p>
    <w:p w14:paraId="300D0C19" w14:textId="0AA58E4C" w:rsidR="00B53B78" w:rsidRPr="00B53B78" w:rsidRDefault="00B53B78" w:rsidP="00F92734">
      <w:pPr>
        <w:pStyle w:val="References"/>
        <w:rPr>
          <w:lang w:val="en-US"/>
        </w:rPr>
      </w:pPr>
      <w:r w:rsidRPr="00B53B78">
        <w:t xml:space="preserve">Ministry for the Environment &amp; </w:t>
      </w:r>
      <w:r w:rsidRPr="00B53B78">
        <w:rPr>
          <w:rFonts w:eastAsia="Times New Roman" w:cs="Calibri"/>
          <w:szCs w:val="20"/>
        </w:rPr>
        <w:t>Statistics New Zealand. 2018a</w:t>
      </w:r>
      <w:r w:rsidRPr="00B53B78">
        <w:rPr>
          <w:rFonts w:eastAsia="Times New Roman" w:cs="Calibri"/>
          <w:i/>
          <w:iCs/>
          <w:szCs w:val="20"/>
        </w:rPr>
        <w:t>. New Zealand’s Environmental Reporting Series: Our land 2018</w:t>
      </w:r>
      <w:r w:rsidRPr="00B53B78">
        <w:rPr>
          <w:rFonts w:eastAsia="Times New Roman" w:cs="Calibri"/>
          <w:szCs w:val="20"/>
        </w:rPr>
        <w:t>. Retrieved from www.mfe.govt.nz and www.stats.govt.nz.</w:t>
      </w:r>
    </w:p>
    <w:p w14:paraId="354F6583" w14:textId="1F20C9A9" w:rsidR="00B53B78" w:rsidRPr="00B53B78" w:rsidRDefault="00B53B78" w:rsidP="00F92734">
      <w:pPr>
        <w:pStyle w:val="References"/>
        <w:rPr>
          <w:rFonts w:eastAsia="Times New Roman" w:cs="Calibri"/>
          <w:szCs w:val="20"/>
          <w:lang w:val="en-US"/>
        </w:rPr>
      </w:pPr>
      <w:r w:rsidRPr="00B53B78">
        <w:t xml:space="preserve">Ministry for the Environment. 2014a. </w:t>
      </w:r>
      <w:r w:rsidRPr="00B53B78">
        <w:rPr>
          <w:rFonts w:eastAsia="Times New Roman" w:cs="Calibri"/>
          <w:i/>
          <w:iCs/>
          <w:szCs w:val="20"/>
        </w:rPr>
        <w:t>Update of the New Zealand Inventory of Dioxin Emissions to Air, Land and Water, and Reservoir Sources</w:t>
      </w:r>
      <w:r w:rsidRPr="00B53B78">
        <w:rPr>
          <w:rFonts w:eastAsia="Times New Roman" w:cs="Calibri"/>
          <w:szCs w:val="20"/>
        </w:rPr>
        <w:t>. Retrieved from https://environment.govt.nz/assets/publications/2014-dioxin-emissions-inventory.pdf (22 November 2022).</w:t>
      </w:r>
    </w:p>
    <w:p w14:paraId="1C414791" w14:textId="39AC153C" w:rsidR="00B53B78" w:rsidRPr="00B53B78" w:rsidRDefault="00B53B78" w:rsidP="00F92734">
      <w:pPr>
        <w:pStyle w:val="References"/>
        <w:rPr>
          <w:rFonts w:eastAsia="Times New Roman" w:cs="Calibri"/>
          <w:szCs w:val="20"/>
          <w:lang w:val="en-US"/>
        </w:rPr>
      </w:pPr>
      <w:r w:rsidRPr="00B53B78">
        <w:t xml:space="preserve">Ministry for the Environment. 2016a. </w:t>
      </w:r>
      <w:r w:rsidRPr="00B53B78">
        <w:rPr>
          <w:rFonts w:eastAsia="Times New Roman" w:cs="Calibri"/>
          <w:i/>
          <w:iCs/>
          <w:szCs w:val="20"/>
        </w:rPr>
        <w:t>About the National Environmental Standard for Assessing and Managing Contaminants in Soil to Protect Human Health</w:t>
      </w:r>
      <w:r w:rsidRPr="00B53B78">
        <w:rPr>
          <w:rFonts w:eastAsia="Times New Roman" w:cs="Calibri"/>
          <w:szCs w:val="20"/>
        </w:rPr>
        <w:t>. Retrieved from www.mfe.govt.nz/land/nes-assessing-and-managing-contaminants-soil-protect-human-health/about-nes (22 November 2022)</w:t>
      </w:r>
      <w:r w:rsidR="00AD423D">
        <w:rPr>
          <w:rFonts w:eastAsia="Times New Roman" w:cs="Calibri"/>
          <w:szCs w:val="20"/>
          <w:lang w:val="en-US"/>
        </w:rPr>
        <w:t>.</w:t>
      </w:r>
    </w:p>
    <w:p w14:paraId="6E210CFE" w14:textId="01781082" w:rsidR="00B53B78" w:rsidRPr="00B53B78" w:rsidRDefault="00B53B78" w:rsidP="00F92734">
      <w:pPr>
        <w:pStyle w:val="References"/>
        <w:rPr>
          <w:rFonts w:eastAsia="Times New Roman" w:cs="Calibri"/>
          <w:szCs w:val="20"/>
          <w:lang w:val="en-US"/>
        </w:rPr>
      </w:pPr>
      <w:r w:rsidRPr="00B53B78">
        <w:t>Ministry for the Environment</w:t>
      </w:r>
      <w:r w:rsidR="00D86811">
        <w:t>.</w:t>
      </w:r>
      <w:r w:rsidRPr="00B53B78">
        <w:t xml:space="preserve"> </w:t>
      </w:r>
      <w:r w:rsidRPr="00B53B78">
        <w:rPr>
          <w:rFonts w:eastAsia="Times New Roman" w:cs="Calibri"/>
          <w:szCs w:val="20"/>
        </w:rPr>
        <w:t>2018</w:t>
      </w:r>
      <w:r w:rsidR="00D86811">
        <w:rPr>
          <w:rFonts w:eastAsia="Times New Roman" w:cs="Calibri"/>
          <w:szCs w:val="20"/>
        </w:rPr>
        <w:t>.</w:t>
      </w:r>
      <w:r w:rsidRPr="00B53B78">
        <w:rPr>
          <w:rFonts w:eastAsia="Times New Roman" w:cs="Calibri"/>
          <w:szCs w:val="20"/>
        </w:rPr>
        <w:t xml:space="preserve"> </w:t>
      </w:r>
      <w:r w:rsidRPr="00B53B78">
        <w:rPr>
          <w:rFonts w:eastAsia="Times New Roman" w:cs="Calibri"/>
          <w:i/>
          <w:iCs/>
          <w:szCs w:val="20"/>
        </w:rPr>
        <w:t>Update of the New Zealand Inventory of Dioxin Emissions to Air, Land and Water, and Reservoir Sources</w:t>
      </w:r>
      <w:r w:rsidRPr="00B53B78">
        <w:rPr>
          <w:rFonts w:eastAsia="Times New Roman" w:cs="Calibri"/>
          <w:szCs w:val="20"/>
        </w:rPr>
        <w:t xml:space="preserve"> Retrieved from https://environment.govt.nz/assets/publications/2018-dioxin-emissions-inventory.pdf (22 November 2022).</w:t>
      </w:r>
    </w:p>
    <w:p w14:paraId="5E0C0D6B" w14:textId="2E50CB10" w:rsidR="00B53B78" w:rsidRPr="00B53B78" w:rsidRDefault="00B53B78" w:rsidP="00F92734">
      <w:pPr>
        <w:pStyle w:val="References"/>
        <w:rPr>
          <w:rFonts w:eastAsia="Times New Roman" w:cs="Calibri"/>
          <w:szCs w:val="20"/>
          <w:lang w:val="en-US"/>
        </w:rPr>
      </w:pPr>
      <w:r w:rsidRPr="00B53B78">
        <w:t>Ministry for the Environment. 2018</w:t>
      </w:r>
      <w:r w:rsidRPr="00B53B78">
        <w:rPr>
          <w:rFonts w:eastAsia="Times New Roman" w:cs="Calibri"/>
          <w:szCs w:val="20"/>
        </w:rPr>
        <w:t xml:space="preserve">b. </w:t>
      </w:r>
      <w:r w:rsidRPr="00B53B78">
        <w:rPr>
          <w:rFonts w:eastAsia="Times New Roman" w:cs="Calibri"/>
          <w:i/>
          <w:iCs/>
          <w:szCs w:val="20"/>
        </w:rPr>
        <w:t>PFAS – Documents released proactively and under OIA</w:t>
      </w:r>
      <w:r w:rsidRPr="00B53B78">
        <w:rPr>
          <w:rFonts w:eastAsia="Times New Roman" w:cs="Calibri"/>
          <w:szCs w:val="20"/>
        </w:rPr>
        <w:t>. Retrieved from https://environment.govt.nz/what-government-is-doing/areas-of-work/land/per-and-poly-fluoroalkyl-substances-pfas/documents-released-proactively-under-oia/ (22 November 2022).</w:t>
      </w:r>
    </w:p>
    <w:p w14:paraId="2F18FD17" w14:textId="0977345F" w:rsidR="00B53B78" w:rsidRPr="00B53B78" w:rsidRDefault="00B53B78" w:rsidP="00F92734">
      <w:pPr>
        <w:pStyle w:val="References"/>
        <w:rPr>
          <w:rFonts w:ascii="Segoe UI" w:eastAsia="Times New Roman" w:hAnsi="Segoe UI" w:cs="Segoe UI"/>
          <w:szCs w:val="20"/>
          <w:lang w:val="en-US"/>
        </w:rPr>
      </w:pPr>
      <w:r w:rsidRPr="00B53B78">
        <w:t>Ministry for the Environment. 2018f</w:t>
      </w:r>
      <w:r w:rsidRPr="00B53B78">
        <w:rPr>
          <w:rFonts w:eastAsia="Times New Roman" w:cs="Calibri"/>
          <w:i/>
          <w:iCs/>
          <w:szCs w:val="20"/>
        </w:rPr>
        <w:t>. PFAS Investigations</w:t>
      </w:r>
      <w:r w:rsidRPr="00B53B78">
        <w:rPr>
          <w:rFonts w:eastAsia="Times New Roman" w:cs="Calibri"/>
          <w:szCs w:val="20"/>
        </w:rPr>
        <w:t>. Retrieved from www.mfe.govt.nz/land/pfas-and-poly-fluoroalkyl-substances/pfas-investigations (11 December 2018).</w:t>
      </w:r>
    </w:p>
    <w:p w14:paraId="0B4AF55E" w14:textId="4053AE5A" w:rsidR="00B53B78" w:rsidRPr="00B53B78" w:rsidRDefault="00B53B78" w:rsidP="00F92734">
      <w:pPr>
        <w:pStyle w:val="References"/>
        <w:rPr>
          <w:lang w:val="en-US"/>
        </w:rPr>
      </w:pPr>
      <w:r w:rsidRPr="00B53B78">
        <w:t xml:space="preserve">Ministry for the Environment 2019, </w:t>
      </w:r>
      <w:r w:rsidRPr="00B53B78">
        <w:rPr>
          <w:i/>
        </w:rPr>
        <w:t xml:space="preserve">PFAS contamination: update on response and planned next steps </w:t>
      </w:r>
      <w:r w:rsidRPr="00B53B78">
        <w:t xml:space="preserve">see </w:t>
      </w:r>
      <w:hyperlink r:id="rId176" w:history="1">
        <w:r w:rsidRPr="00213EFC">
          <w:rPr>
            <w:rStyle w:val="Hyperlink"/>
            <w:rFonts w:eastAsia="Times New Roman" w:cs="Calibri"/>
            <w:szCs w:val="20"/>
            <w:lang w:val="en-US"/>
          </w:rPr>
          <w:t>https://environment.govt.nz/what-government-is-doing/areas-of-work/land/per-and-poly-fluoroalkyl-substances-pfas/</w:t>
        </w:r>
      </w:hyperlink>
      <w:r w:rsidRPr="00B53B78">
        <w:t xml:space="preserve"> </w:t>
      </w:r>
      <w:r w:rsidRPr="00B53B78">
        <w:rPr>
          <w:rFonts w:eastAsia="Times New Roman" w:cs="Calibri"/>
          <w:szCs w:val="20"/>
        </w:rPr>
        <w:t>(22 November 2022).</w:t>
      </w:r>
    </w:p>
    <w:p w14:paraId="6C013E59" w14:textId="42D8169D" w:rsidR="00B53B78" w:rsidRPr="00B53B78" w:rsidRDefault="00B53B78" w:rsidP="00F92734">
      <w:pPr>
        <w:pStyle w:val="References"/>
        <w:rPr>
          <w:lang w:val="en-US"/>
        </w:rPr>
      </w:pPr>
      <w:r w:rsidRPr="00B53B78">
        <w:t xml:space="preserve">Ministry for the Environment, 2020b, </w:t>
      </w:r>
      <w:r w:rsidRPr="00B53B78">
        <w:rPr>
          <w:rFonts w:eastAsia="Calibri" w:cs="Times New Roman"/>
          <w:i/>
          <w:lang w:eastAsia="en-US"/>
        </w:rPr>
        <w:t>Reforming the resource management system</w:t>
      </w:r>
      <w:r w:rsidRPr="00B53B78">
        <w:rPr>
          <w:i/>
        </w:rPr>
        <w:t xml:space="preserve">  - repeal and replacement of the Resource Management Act 1999</w:t>
      </w:r>
      <w:r w:rsidRPr="00B53B78">
        <w:t xml:space="preserve"> see </w:t>
      </w:r>
      <w:hyperlink r:id="rId177" w:history="1">
        <w:r w:rsidRPr="00213EFC">
          <w:rPr>
            <w:rStyle w:val="Hyperlink"/>
            <w:rFonts w:eastAsia="Times New Roman" w:cs="Calibri"/>
            <w:szCs w:val="20"/>
            <w:lang w:val="en-US"/>
          </w:rPr>
          <w:t>https://environment.govt.nz/what-government-is-doing/cabinet-papers-and-regulatory-impact-statements/reforming-resource-management-system/</w:t>
        </w:r>
      </w:hyperlink>
      <w:r w:rsidRPr="00B53B78">
        <w:t xml:space="preserve"> </w:t>
      </w:r>
      <w:r w:rsidRPr="00B53B78">
        <w:rPr>
          <w:rFonts w:eastAsia="Times New Roman" w:cs="Calibri"/>
          <w:szCs w:val="20"/>
        </w:rPr>
        <w:t>for further information on reforming the resource management system (22 November 2022).</w:t>
      </w:r>
    </w:p>
    <w:p w14:paraId="54B516D8" w14:textId="61FC3855" w:rsidR="00B53B78" w:rsidRPr="00B53B78" w:rsidRDefault="00B53B78" w:rsidP="00CC14F1">
      <w:pPr>
        <w:pStyle w:val="References"/>
      </w:pPr>
      <w:r w:rsidRPr="00B53B78">
        <w:t xml:space="preserve">Ministry for the Environment,2021a, </w:t>
      </w:r>
      <w:proofErr w:type="gramStart"/>
      <w:r w:rsidRPr="00B53B78">
        <w:t>Taking</w:t>
      </w:r>
      <w:proofErr w:type="gramEnd"/>
      <w:r w:rsidRPr="00B53B78">
        <w:rPr>
          <w:i/>
        </w:rPr>
        <w:t xml:space="preserve"> responsibility for our waste - Proposals for a new waste strategy and issues and options for new waste legislation: A snapshot</w:t>
      </w:r>
      <w:r w:rsidRPr="00B53B78">
        <w:t>, see https://environment.govt.nz/assets/publications/Taking-responsibility-for-our-waste-snapshot.pdf (22 November 2022).</w:t>
      </w:r>
    </w:p>
    <w:p w14:paraId="518100FF" w14:textId="0329AFE0" w:rsidR="00B53B78" w:rsidRPr="00B53B78" w:rsidRDefault="00B53B78" w:rsidP="00F92734">
      <w:pPr>
        <w:pStyle w:val="References"/>
        <w:rPr>
          <w:rFonts w:eastAsia="Times New Roman" w:cs="Calibri"/>
          <w:szCs w:val="20"/>
          <w:lang w:val="en-US"/>
        </w:rPr>
      </w:pPr>
      <w:r w:rsidRPr="00B53B78">
        <w:t>Mini</w:t>
      </w:r>
      <w:r w:rsidRPr="00B53B78">
        <w:rPr>
          <w:rFonts w:eastAsia="Times New Roman" w:cs="Calibri"/>
          <w:szCs w:val="20"/>
        </w:rPr>
        <w:t xml:space="preserve">stry for the Environment. 2021b. </w:t>
      </w:r>
      <w:r w:rsidRPr="00B53B78">
        <w:rPr>
          <w:rFonts w:eastAsia="Times New Roman" w:cs="Calibri"/>
          <w:i/>
          <w:iCs/>
          <w:szCs w:val="20"/>
        </w:rPr>
        <w:t>Waste Reduction Work Programme. Wellington. Ministry for the Environment</w:t>
      </w:r>
      <w:r w:rsidRPr="00B53B78">
        <w:rPr>
          <w:rFonts w:eastAsia="Times New Roman" w:cs="Calibri"/>
          <w:szCs w:val="20"/>
        </w:rPr>
        <w:t>. https://environment.govt.nz/publications/waste-reduction-work-programme (22 November 2022)</w:t>
      </w:r>
      <w:r w:rsidR="00AD423D">
        <w:rPr>
          <w:rFonts w:eastAsia="Times New Roman" w:cs="Calibri"/>
          <w:szCs w:val="20"/>
          <w:lang w:val="en-US"/>
        </w:rPr>
        <w:t>.</w:t>
      </w:r>
    </w:p>
    <w:p w14:paraId="4C018DBE" w14:textId="6BD0EB25" w:rsidR="00B53B78" w:rsidRPr="00B53B78" w:rsidRDefault="00B53B78" w:rsidP="00F92734">
      <w:pPr>
        <w:pStyle w:val="References"/>
        <w:rPr>
          <w:rFonts w:eastAsia="Times New Roman" w:cs="Calibri"/>
          <w:szCs w:val="20"/>
          <w:lang w:val="en-US"/>
        </w:rPr>
      </w:pPr>
      <w:r w:rsidRPr="00B53B78">
        <w:rPr>
          <w:rFonts w:eastAsia="Calibri" w:cs="Times New Roman"/>
          <w:lang w:eastAsia="en-US"/>
        </w:rPr>
        <w:t xml:space="preserve">Ministry for the Environment. 2021c. </w:t>
      </w:r>
      <w:r w:rsidRPr="00B53B78">
        <w:rPr>
          <w:rFonts w:eastAsia="Calibri" w:cs="Times New Roman"/>
          <w:i/>
          <w:lang w:eastAsia="en-US"/>
        </w:rPr>
        <w:t>Waste Minimisation Fund 2020 Annual Report</w:t>
      </w:r>
      <w:r w:rsidRPr="00B53B78">
        <w:t xml:space="preserve"> see </w:t>
      </w:r>
      <w:hyperlink r:id="rId178" w:history="1">
        <w:r w:rsidRPr="00213EFC">
          <w:rPr>
            <w:rStyle w:val="Hyperlink"/>
            <w:rFonts w:eastAsia="Times New Roman" w:cs="Calibri"/>
            <w:szCs w:val="20"/>
            <w:lang w:val="en-US"/>
          </w:rPr>
          <w:t>https://environment.govt.nz/publications/waste-minimisation-fund-2020-annual-report/</w:t>
        </w:r>
      </w:hyperlink>
      <w:r w:rsidRPr="00E54D01">
        <w:rPr>
          <w:rFonts w:eastAsia="Times New Roman" w:cs="Calibri"/>
          <w:szCs w:val="20"/>
        </w:rPr>
        <w:t xml:space="preserve"> </w:t>
      </w:r>
      <w:r w:rsidRPr="00B53B78">
        <w:rPr>
          <w:rFonts w:eastAsia="Times New Roman" w:cs="Calibri"/>
          <w:szCs w:val="20"/>
        </w:rPr>
        <w:t>(22 November 2022).</w:t>
      </w:r>
    </w:p>
    <w:p w14:paraId="2145C81B" w14:textId="2F32E76D" w:rsidR="00B53B78" w:rsidRPr="00B53B78" w:rsidRDefault="00B53B78" w:rsidP="00F92734">
      <w:pPr>
        <w:pStyle w:val="References"/>
        <w:rPr>
          <w:rFonts w:eastAsia="Times New Roman" w:cs="Calibri"/>
          <w:szCs w:val="20"/>
          <w:lang w:val="en-US"/>
        </w:rPr>
      </w:pPr>
      <w:r w:rsidRPr="00B53B78">
        <w:t>Ministry for the Environment. 2021</w:t>
      </w:r>
      <w:r w:rsidRPr="00B53B78">
        <w:rPr>
          <w:rFonts w:eastAsia="Times New Roman" w:cs="Calibri"/>
          <w:szCs w:val="20"/>
        </w:rPr>
        <w:t xml:space="preserve">d. </w:t>
      </w:r>
      <w:r w:rsidRPr="00B53B78">
        <w:rPr>
          <w:rFonts w:eastAsia="Times New Roman" w:cs="Calibri"/>
          <w:i/>
          <w:iCs/>
          <w:szCs w:val="20"/>
        </w:rPr>
        <w:t>Contaminated land management guidelines</w:t>
      </w:r>
      <w:r w:rsidRPr="00B53B78">
        <w:rPr>
          <w:rFonts w:eastAsia="Times New Roman" w:cs="Calibri"/>
          <w:szCs w:val="20"/>
        </w:rPr>
        <w:t>. Retrieved from https://environment.govt.nz/publications/contaminated-land-management-guidelines-no-1-reporting-on-contaminated-sites-in-new-zealand/ (22 November 2022)</w:t>
      </w:r>
      <w:r w:rsidR="00AD423D">
        <w:rPr>
          <w:rFonts w:eastAsia="Times New Roman" w:cs="Calibri"/>
          <w:szCs w:val="20"/>
          <w:lang w:val="en-US"/>
        </w:rPr>
        <w:t>.</w:t>
      </w:r>
    </w:p>
    <w:p w14:paraId="4AAE1989" w14:textId="7374017A" w:rsidR="00B53B78" w:rsidRPr="00B53B78" w:rsidRDefault="00B53B78" w:rsidP="00F92734">
      <w:pPr>
        <w:pStyle w:val="References"/>
        <w:rPr>
          <w:rFonts w:eastAsia="Times New Roman" w:cs="Calibri"/>
          <w:szCs w:val="20"/>
          <w:lang w:val="en-US"/>
        </w:rPr>
      </w:pPr>
      <w:r w:rsidRPr="00B53B78">
        <w:t>Ministry for the Environment. 2021</w:t>
      </w:r>
      <w:r w:rsidRPr="00B53B78">
        <w:rPr>
          <w:rFonts w:eastAsia="Times New Roman" w:cs="Calibri"/>
          <w:szCs w:val="20"/>
        </w:rPr>
        <w:t xml:space="preserve">e. </w:t>
      </w:r>
      <w:r w:rsidRPr="00B53B78">
        <w:rPr>
          <w:rFonts w:eastAsia="Times New Roman" w:cs="Calibri"/>
          <w:i/>
          <w:iCs/>
          <w:szCs w:val="20"/>
        </w:rPr>
        <w:t>Hazardous Activities and Industries List (HAIL)</w:t>
      </w:r>
      <w:r w:rsidRPr="00B53B78">
        <w:rPr>
          <w:rFonts w:eastAsia="Times New Roman" w:cs="Calibri"/>
          <w:szCs w:val="20"/>
        </w:rPr>
        <w:t>. Retrieved from https://environment.govt.nz/publications/hazardous-activities-and-industries-list-hail/ (22 November 2022).</w:t>
      </w:r>
    </w:p>
    <w:p w14:paraId="3ADCE6D9" w14:textId="3CB4477D" w:rsidR="00B53B78" w:rsidRPr="00B53B78" w:rsidRDefault="00B53B78" w:rsidP="00F92734">
      <w:pPr>
        <w:pStyle w:val="References"/>
        <w:rPr>
          <w:rFonts w:ascii="Segoe UI" w:eastAsia="Times New Roman" w:hAnsi="Segoe UI" w:cs="Segoe UI"/>
          <w:szCs w:val="20"/>
          <w:lang w:val="en-US"/>
        </w:rPr>
      </w:pPr>
      <w:r w:rsidRPr="00B53B78">
        <w:lastRenderedPageBreak/>
        <w:t>Ministry for the Environment. 2021</w:t>
      </w:r>
      <w:r w:rsidRPr="00B53B78">
        <w:rPr>
          <w:rFonts w:eastAsia="Times New Roman" w:cs="Calibri"/>
          <w:szCs w:val="20"/>
        </w:rPr>
        <w:t xml:space="preserve">f. </w:t>
      </w:r>
      <w:r w:rsidRPr="00B53B78">
        <w:rPr>
          <w:rFonts w:eastAsia="Times New Roman" w:cs="Calibri"/>
          <w:i/>
          <w:iCs/>
          <w:szCs w:val="20"/>
        </w:rPr>
        <w:t>Latest Updates</w:t>
      </w:r>
      <w:r w:rsidRPr="00B53B78">
        <w:rPr>
          <w:rFonts w:eastAsia="Times New Roman" w:cs="Calibri"/>
          <w:szCs w:val="20"/>
        </w:rPr>
        <w:t>. Retrieved from https://environment.govt.nz/what-government-is-doing/areas-of-work/land/per-and-poly-fluoroalkyl-substances-pfas/latest-updates-on-pfas/ (22 November 2022).</w:t>
      </w:r>
    </w:p>
    <w:p w14:paraId="1BFCE95E" w14:textId="355C560A" w:rsidR="00B53B78" w:rsidRPr="00B53B78" w:rsidRDefault="00B53B78" w:rsidP="00F92734">
      <w:pPr>
        <w:pStyle w:val="References"/>
        <w:rPr>
          <w:rFonts w:eastAsia="Times New Roman" w:cs="Calibri"/>
          <w:szCs w:val="20"/>
          <w:lang w:val="en-US"/>
        </w:rPr>
      </w:pPr>
      <w:r w:rsidRPr="00B53B78">
        <w:t xml:space="preserve">Ministry for the Environment, </w:t>
      </w:r>
      <w:r w:rsidRPr="00B53B78">
        <w:rPr>
          <w:rFonts w:eastAsia="Times New Roman" w:cs="Calibri"/>
          <w:szCs w:val="20"/>
        </w:rPr>
        <w:t xml:space="preserve">2022a, </w:t>
      </w:r>
      <w:r w:rsidRPr="00B53B78">
        <w:rPr>
          <w:rFonts w:eastAsia="Times New Roman" w:cs="Calibri"/>
          <w:i/>
          <w:iCs/>
          <w:szCs w:val="20"/>
        </w:rPr>
        <w:t>Update of the New Zealand inventory of dioxin emissions to air, land and water, and reservoir sources</w:t>
      </w:r>
      <w:r w:rsidRPr="00B53B78">
        <w:rPr>
          <w:rFonts w:eastAsia="Times New Roman" w:cs="Calibri"/>
          <w:szCs w:val="20"/>
        </w:rPr>
        <w:t xml:space="preserve"> Retrieved from https://environment.govt.nz/assets/publications/2022-Update-of-the-New-Zealand-Inventory-of-Dioxin-Emissions-to-Air-Land-and-Water-and-Reservoir-Sources.pdf (22 November 2022).</w:t>
      </w:r>
    </w:p>
    <w:p w14:paraId="79C8D9B4" w14:textId="7FE0C7DD" w:rsidR="00B53B78" w:rsidRPr="00B53B78" w:rsidRDefault="00B53B78" w:rsidP="00F92734">
      <w:pPr>
        <w:pStyle w:val="References"/>
        <w:rPr>
          <w:rFonts w:eastAsia="Times New Roman" w:cs="Calibri"/>
          <w:szCs w:val="20"/>
          <w:lang w:val="en-US"/>
        </w:rPr>
      </w:pPr>
      <w:r w:rsidRPr="00B53B78">
        <w:rPr>
          <w:rFonts w:eastAsia="Calibri"/>
          <w:lang w:eastAsia="en-US"/>
        </w:rPr>
        <w:t xml:space="preserve">Ministry for the Environment. 2022b. </w:t>
      </w:r>
      <w:r w:rsidRPr="00B53B78">
        <w:rPr>
          <w:rFonts w:eastAsia="Calibri"/>
          <w:i/>
          <w:lang w:eastAsia="en-US"/>
        </w:rPr>
        <w:t xml:space="preserve">Te </w:t>
      </w:r>
      <w:proofErr w:type="spellStart"/>
      <w:r w:rsidRPr="00B53B78">
        <w:rPr>
          <w:rFonts w:eastAsia="Calibri"/>
          <w:i/>
          <w:lang w:eastAsia="en-US"/>
        </w:rPr>
        <w:t>pūrongo</w:t>
      </w:r>
      <w:proofErr w:type="spellEnd"/>
      <w:r w:rsidRPr="00B53B78">
        <w:rPr>
          <w:rFonts w:eastAsia="Calibri"/>
          <w:i/>
          <w:lang w:eastAsia="en-US"/>
        </w:rPr>
        <w:t xml:space="preserve"> ā-pau </w:t>
      </w:r>
      <w:proofErr w:type="spellStart"/>
      <w:r w:rsidRPr="00B53B78">
        <w:rPr>
          <w:rFonts w:eastAsia="Calibri"/>
          <w:i/>
          <w:lang w:eastAsia="en-US"/>
        </w:rPr>
        <w:t>mō</w:t>
      </w:r>
      <w:proofErr w:type="spellEnd"/>
      <w:r w:rsidRPr="00B53B78">
        <w:rPr>
          <w:rFonts w:eastAsia="Calibri"/>
          <w:i/>
          <w:lang w:eastAsia="en-US"/>
        </w:rPr>
        <w:t xml:space="preserve"> te </w:t>
      </w:r>
      <w:proofErr w:type="spellStart"/>
      <w:r w:rsidRPr="00B53B78">
        <w:rPr>
          <w:rFonts w:eastAsia="Calibri"/>
          <w:i/>
          <w:lang w:eastAsia="en-US"/>
        </w:rPr>
        <w:t>pūtea</w:t>
      </w:r>
      <w:proofErr w:type="spellEnd"/>
      <w:r w:rsidRPr="00B53B78">
        <w:rPr>
          <w:rFonts w:eastAsia="Calibri"/>
          <w:i/>
          <w:lang w:eastAsia="en-US"/>
        </w:rPr>
        <w:t xml:space="preserve"> </w:t>
      </w:r>
      <w:proofErr w:type="spellStart"/>
      <w:r w:rsidRPr="00B53B78">
        <w:rPr>
          <w:rFonts w:eastAsia="Calibri"/>
          <w:i/>
          <w:lang w:eastAsia="en-US"/>
        </w:rPr>
        <w:t>whakamauru</w:t>
      </w:r>
      <w:proofErr w:type="spellEnd"/>
      <w:r w:rsidRPr="00B53B78">
        <w:rPr>
          <w:rFonts w:eastAsia="Calibri"/>
          <w:i/>
          <w:lang w:eastAsia="en-US"/>
        </w:rPr>
        <w:t xml:space="preserve"> para 2021 | Waste funds annual report 2021</w:t>
      </w:r>
      <w:r w:rsidRPr="00B53B78">
        <w:rPr>
          <w:rFonts w:eastAsia="Calibri"/>
          <w:lang w:eastAsia="en-US"/>
        </w:rPr>
        <w:t>.</w:t>
      </w:r>
      <w:r w:rsidRPr="00B53B78">
        <w:t xml:space="preserve">see </w:t>
      </w:r>
      <w:hyperlink r:id="rId179" w:history="1">
        <w:r w:rsidRPr="00213EFC">
          <w:rPr>
            <w:rStyle w:val="Hyperlink"/>
            <w:rFonts w:eastAsia="Times New Roman" w:cs="Calibri"/>
            <w:szCs w:val="20"/>
            <w:lang w:val="en-US"/>
          </w:rPr>
          <w:t>https://environment.govt.nz/publications/waste-funds-annual-report-2021/</w:t>
        </w:r>
      </w:hyperlink>
      <w:r w:rsidRPr="00B53B78">
        <w:t xml:space="preserve"> </w:t>
      </w:r>
      <w:r w:rsidRPr="00B53B78">
        <w:rPr>
          <w:rFonts w:eastAsia="Times New Roman" w:cs="Calibri"/>
          <w:szCs w:val="20"/>
        </w:rPr>
        <w:t>(22 November 2022).</w:t>
      </w:r>
    </w:p>
    <w:p w14:paraId="33BA83A9" w14:textId="3C0967E4" w:rsidR="00B53B78" w:rsidRPr="00B53B78" w:rsidRDefault="00B53B78" w:rsidP="00F92734">
      <w:pPr>
        <w:pStyle w:val="References"/>
      </w:pPr>
      <w:r w:rsidRPr="00B53B78">
        <w:t>New Zealand Foo</w:t>
      </w:r>
      <w:r w:rsidRPr="00B53B78">
        <w:rPr>
          <w:rFonts w:eastAsia="Times New Roman" w:cs="Calibri"/>
          <w:szCs w:val="20"/>
        </w:rPr>
        <w:t>d Safety Authority, 2003</w:t>
      </w:r>
      <w:r w:rsidRPr="00B53B78">
        <w:rPr>
          <w:rFonts w:eastAsia="Times New Roman" w:cs="Calibri"/>
          <w:i/>
          <w:iCs/>
          <w:szCs w:val="20"/>
        </w:rPr>
        <w:t>, ACVM Research Standard</w:t>
      </w:r>
      <w:r w:rsidRPr="00B53B78">
        <w:rPr>
          <w:rFonts w:eastAsia="Times New Roman" w:cs="Calibri"/>
          <w:szCs w:val="20"/>
        </w:rPr>
        <w:t>, See https://www.mpi.govt.nz/dmsdocument/27600/send (22 November 2022).</w:t>
      </w:r>
    </w:p>
    <w:p w14:paraId="2C184E05" w14:textId="31AB9694" w:rsidR="00B53B78" w:rsidRPr="00B53B78" w:rsidRDefault="00B53B78" w:rsidP="00F92734">
      <w:pPr>
        <w:pStyle w:val="References"/>
        <w:rPr>
          <w:rFonts w:eastAsia="Times New Roman" w:cs="Calibri"/>
          <w:szCs w:val="20"/>
          <w:lang w:val="en-US"/>
        </w:rPr>
      </w:pPr>
      <w:r w:rsidRPr="00B53B78">
        <w:t>Office of the Parliamentary Commissioner for the Environment, 1992</w:t>
      </w:r>
      <w:r w:rsidRPr="00B53B78">
        <w:rPr>
          <w:rFonts w:eastAsia="Times New Roman" w:cs="Calibri"/>
          <w:szCs w:val="20"/>
        </w:rPr>
        <w:t xml:space="preserve">, </w:t>
      </w:r>
      <w:r w:rsidRPr="00B53B78">
        <w:rPr>
          <w:rFonts w:eastAsia="Times New Roman" w:cs="Calibri"/>
          <w:i/>
          <w:iCs/>
          <w:szCs w:val="20"/>
        </w:rPr>
        <w:t>The Management of Hazardous Waste Disposal -A Review of Government Systems</w:t>
      </w:r>
      <w:r w:rsidRPr="00B53B78">
        <w:rPr>
          <w:rFonts w:eastAsia="Times New Roman" w:cs="Calibri"/>
          <w:szCs w:val="20"/>
        </w:rPr>
        <w:t>, see the-management-of-hazardous-wastes-disposal-a-review-of-government-systems-may-1992-small.pdf (pce.parliament.nz) (22 November 2022).</w:t>
      </w:r>
    </w:p>
    <w:p w14:paraId="329DDE10" w14:textId="075118B4" w:rsidR="00B53B78" w:rsidRPr="00E54D01" w:rsidRDefault="00B53B78" w:rsidP="00F92734">
      <w:pPr>
        <w:pStyle w:val="References"/>
        <w:rPr>
          <w:rFonts w:eastAsia="Times New Roman" w:cs="Calibri"/>
          <w:szCs w:val="20"/>
          <w:u w:val="single"/>
          <w:shd w:val="clear" w:color="auto" w:fill="FFFF00"/>
        </w:rPr>
      </w:pPr>
      <w:r w:rsidRPr="00B53B78">
        <w:t xml:space="preserve">Parliamentary Commissioner for the </w:t>
      </w:r>
      <w:r w:rsidRPr="00B53B78">
        <w:rPr>
          <w:rFonts w:eastAsia="Times New Roman" w:cs="Calibri"/>
          <w:szCs w:val="20"/>
        </w:rPr>
        <w:t xml:space="preserve">Environment, 2022, </w:t>
      </w:r>
      <w:r w:rsidRPr="00B53B78">
        <w:rPr>
          <w:rFonts w:eastAsia="Times New Roman" w:cs="Calibri"/>
          <w:i/>
          <w:iCs/>
          <w:szCs w:val="20"/>
        </w:rPr>
        <w:t xml:space="preserve">Knowing what’s out </w:t>
      </w:r>
      <w:proofErr w:type="gramStart"/>
      <w:r w:rsidRPr="00B53B78">
        <w:rPr>
          <w:rFonts w:eastAsia="Times New Roman" w:cs="Calibri"/>
          <w:i/>
          <w:iCs/>
          <w:szCs w:val="20"/>
        </w:rPr>
        <w:t>there -Regulating</w:t>
      </w:r>
      <w:proofErr w:type="gramEnd"/>
      <w:r w:rsidRPr="00B53B78">
        <w:rPr>
          <w:rFonts w:eastAsia="Times New Roman" w:cs="Calibri"/>
          <w:i/>
          <w:iCs/>
          <w:szCs w:val="20"/>
        </w:rPr>
        <w:t xml:space="preserve"> the environmental fate of chemicals</w:t>
      </w:r>
      <w:r w:rsidRPr="00B53B78">
        <w:rPr>
          <w:rFonts w:eastAsia="Times New Roman" w:cs="Calibri"/>
          <w:szCs w:val="20"/>
        </w:rPr>
        <w:t>, See https://www.pce.parliament.nz/media/197185/regulating-the-environmental-fate-of-chemicals.pdf (22 November 2022).</w:t>
      </w:r>
    </w:p>
    <w:p w14:paraId="1EEEB456" w14:textId="7E68CED6" w:rsidR="00B53B78" w:rsidRPr="00B53B78" w:rsidRDefault="00B53B78" w:rsidP="00F92734">
      <w:pPr>
        <w:pStyle w:val="References"/>
        <w:rPr>
          <w:rFonts w:eastAsia="Times New Roman" w:cs="Calibri"/>
          <w:szCs w:val="20"/>
          <w:lang w:val="en-US"/>
        </w:rPr>
      </w:pPr>
      <w:proofErr w:type="spellStart"/>
      <w:r w:rsidRPr="00B53B78">
        <w:t>P</w:t>
      </w:r>
      <w:r w:rsidRPr="00B53B78">
        <w:rPr>
          <w:rFonts w:eastAsia="Times New Roman" w:cs="Calibri"/>
          <w:szCs w:val="20"/>
        </w:rPr>
        <w:t>attle</w:t>
      </w:r>
      <w:proofErr w:type="spellEnd"/>
      <w:r w:rsidRPr="00B53B78">
        <w:rPr>
          <w:rFonts w:eastAsia="Times New Roman" w:cs="Calibri"/>
          <w:szCs w:val="20"/>
        </w:rPr>
        <w:t xml:space="preserve"> Delamore Partners LTD, 2009, </w:t>
      </w:r>
      <w:r w:rsidRPr="00B53B78">
        <w:rPr>
          <w:rFonts w:eastAsia="Times New Roman" w:cs="Calibri"/>
          <w:i/>
          <w:iCs/>
          <w:szCs w:val="20"/>
        </w:rPr>
        <w:t xml:space="preserve">Audit of the Remediation of the former </w:t>
      </w:r>
      <w:proofErr w:type="spellStart"/>
      <w:r w:rsidRPr="00B53B78">
        <w:rPr>
          <w:rFonts w:eastAsia="Times New Roman" w:cs="Calibri"/>
          <w:i/>
          <w:iCs/>
          <w:szCs w:val="20"/>
        </w:rPr>
        <w:t>Fruitgrowers</w:t>
      </w:r>
      <w:proofErr w:type="spellEnd"/>
      <w:r w:rsidRPr="00B53B78">
        <w:rPr>
          <w:rFonts w:eastAsia="Times New Roman" w:cs="Calibri"/>
          <w:i/>
          <w:iCs/>
          <w:szCs w:val="20"/>
        </w:rPr>
        <w:t xml:space="preserve"> Chemical Company Site</w:t>
      </w:r>
      <w:r w:rsidRPr="00B53B78">
        <w:rPr>
          <w:rFonts w:eastAsia="Times New Roman" w:cs="Calibri"/>
          <w:szCs w:val="20"/>
        </w:rPr>
        <w:t>, Mapua, see https://environment.govt.nz/publications/audit-of-the-remediation-of-the-former-fruitgrowers-chemical-company-site-mapua/ (22 November 2022).</w:t>
      </w:r>
    </w:p>
    <w:p w14:paraId="10B96E80" w14:textId="6BF3421B" w:rsidR="00B53B78" w:rsidRPr="00B53B78" w:rsidRDefault="00B53B78" w:rsidP="00CC14F1">
      <w:pPr>
        <w:pStyle w:val="References"/>
      </w:pPr>
      <w:r w:rsidRPr="00B53B78">
        <w:t>Population Reference Bureau. 2016. 2016 World Population Datasheet. Population Reference Bureau.</w:t>
      </w:r>
    </w:p>
    <w:p w14:paraId="4CDD4DC4" w14:textId="5C632DCE" w:rsidR="00B53B78" w:rsidRPr="00B53B78" w:rsidRDefault="00B53B78" w:rsidP="00CC14F1">
      <w:pPr>
        <w:pStyle w:val="References"/>
      </w:pPr>
      <w:r w:rsidRPr="00B53B78">
        <w:t>Saral, A., Gunes G., and Demir S. (2014). Atmospheric PCDD/PCDF Emission Inventory for Turkey.  Atmospheric Pollution Research, 5 (1), 24 - 33.</w:t>
      </w:r>
    </w:p>
    <w:p w14:paraId="6C1F658C" w14:textId="0A071D0F" w:rsidR="00B53B78" w:rsidRPr="00B53B78" w:rsidRDefault="00B53B78" w:rsidP="00F92734">
      <w:pPr>
        <w:pStyle w:val="References"/>
      </w:pPr>
      <w:r w:rsidRPr="00B53B78">
        <w:t>Stockholm Convention. 2008. National Implementation Plans. Retrieved from http://chm.pops.int/Implementation/NationalImplementationPlans/NIPTransmission/tabid/253/Default.aspx (22 November 2022).</w:t>
      </w:r>
    </w:p>
    <w:p w14:paraId="6A5767CE" w14:textId="36CFAC61" w:rsidR="00B53B78" w:rsidRPr="00B53B78" w:rsidRDefault="00B53B78" w:rsidP="00F92734">
      <w:pPr>
        <w:pStyle w:val="References"/>
      </w:pPr>
      <w:r w:rsidRPr="00B53B78">
        <w:t xml:space="preserve">Stockholm Convention, 2016, Report of the Persistent Organic Pollutants Committee on the work of its twelfth meeting – Addendum: Risk profile on </w:t>
      </w:r>
      <w:proofErr w:type="spellStart"/>
      <w:r w:rsidRPr="00B53B78">
        <w:t>pentadecaflurooctanoic</w:t>
      </w:r>
      <w:proofErr w:type="spellEnd"/>
      <w:r w:rsidRPr="00B53B78">
        <w:t xml:space="preserve"> acid, its salts and PFOA related compounds </w:t>
      </w:r>
      <w:hyperlink r:id="rId180" w:history="1">
        <w:r w:rsidRPr="00B53B78">
          <w:t>http://chm.pops.int/Portals/0/download.aspx?d=UNEP-POPS-POPRC.12-11-Add.2.English.PDF</w:t>
        </w:r>
      </w:hyperlink>
      <w:r w:rsidRPr="00B53B78">
        <w:t xml:space="preserve">  (22November 2022</w:t>
      </w:r>
      <w:r w:rsidRPr="00EB6801">
        <w:t>)</w:t>
      </w:r>
      <w:r w:rsidR="00AD423D" w:rsidRPr="00EB6801">
        <w:t>.</w:t>
      </w:r>
    </w:p>
    <w:p w14:paraId="5947EFE2" w14:textId="774FA226" w:rsidR="00B53B78" w:rsidRPr="00B53B78" w:rsidRDefault="00B53B78" w:rsidP="00F92734">
      <w:pPr>
        <w:pStyle w:val="References"/>
      </w:pPr>
      <w:r w:rsidRPr="00B53B78">
        <w:t>Stockholm Convention. 2017a. Guidance on developing and updating National Implementation Plans (NIPs). Retrieved from chm.pops.int/Implementation/NationalImplementationPlans/Guidance/tabid/7730/Default.aspx (22 November 2022</w:t>
      </w:r>
      <w:r w:rsidRPr="00EB6801">
        <w:t>)</w:t>
      </w:r>
      <w:r w:rsidR="00CC14F1">
        <w:t>.</w:t>
      </w:r>
    </w:p>
    <w:p w14:paraId="37D6DA51" w14:textId="0F940900" w:rsidR="00B53B78" w:rsidRPr="00B53B78" w:rsidRDefault="00B53B78" w:rsidP="00CC14F1">
      <w:pPr>
        <w:pStyle w:val="References"/>
      </w:pPr>
      <w:r w:rsidRPr="00B53B78">
        <w:t xml:space="preserve">Stockholm Convention, 2017b, Report of the Persistent Organic Pollutants Review Committee on the work of its thirteenth meeting  </w:t>
      </w:r>
      <w:hyperlink r:id="rId181" w:history="1">
        <w:r w:rsidRPr="00B53B78">
          <w:t>http://chm.pops.int/Portals/0/download.aspx?d=UNEP-POPS-POPRC.13-7-Add-1.English.pdf</w:t>
        </w:r>
      </w:hyperlink>
      <w:r w:rsidRPr="00B53B78">
        <w:t xml:space="preserve"> (22November 2022</w:t>
      </w:r>
      <w:r w:rsidRPr="00EB6801">
        <w:t>)</w:t>
      </w:r>
      <w:r w:rsidR="00CC14F1" w:rsidRPr="00EB6801">
        <w:t>.</w:t>
      </w:r>
    </w:p>
    <w:p w14:paraId="419640D4" w14:textId="379AC687" w:rsidR="00B53B78" w:rsidRPr="00B53B78" w:rsidRDefault="00B53B78" w:rsidP="00F92734">
      <w:pPr>
        <w:pStyle w:val="References"/>
      </w:pPr>
      <w:r w:rsidRPr="00B53B78">
        <w:t xml:space="preserve">Stockholm Convention, 2022, Electronic Reporting System of the Stockholm Convention (Fifth reporting cycle) New Zealand See </w:t>
      </w:r>
      <w:hyperlink r:id="rId182" w:history="1">
        <w:r w:rsidRPr="00B53B78">
          <w:t>http://ers.pops.int//ERS-Extended/FeedbackServer/fsadmin.aspx?fscontrol=respondentReport&amp;surveyid=81&amp;voterid=51395&amp;readonly=1&amp;nomenu=1</w:t>
        </w:r>
      </w:hyperlink>
      <w:r w:rsidR="00CC14F1">
        <w:t>.</w:t>
      </w:r>
    </w:p>
    <w:p w14:paraId="468803CC" w14:textId="1B34BC4E" w:rsidR="00B53B78" w:rsidRPr="00B53B78" w:rsidRDefault="00B53B78" w:rsidP="00F92734">
      <w:pPr>
        <w:pStyle w:val="References"/>
        <w:rPr>
          <w:rFonts w:eastAsia="Times New Roman" w:cs="Calibri"/>
          <w:szCs w:val="20"/>
          <w:lang w:val="en-US"/>
        </w:rPr>
      </w:pPr>
      <w:proofErr w:type="spellStart"/>
      <w:r w:rsidRPr="00B53B78">
        <w:t>Taumata</w:t>
      </w:r>
      <w:proofErr w:type="spellEnd"/>
      <w:r w:rsidRPr="00B53B78">
        <w:t xml:space="preserve"> </w:t>
      </w:r>
      <w:proofErr w:type="spellStart"/>
      <w:r w:rsidRPr="00B53B78">
        <w:t>Arowai</w:t>
      </w:r>
      <w:proofErr w:type="spellEnd"/>
      <w:r w:rsidRPr="00B53B78">
        <w:t>, 2020</w:t>
      </w:r>
      <w:r w:rsidRPr="00B53B78">
        <w:rPr>
          <w:rFonts w:eastAsia="Times New Roman" w:cs="Calibri"/>
          <w:szCs w:val="20"/>
        </w:rPr>
        <w:t xml:space="preserve">, </w:t>
      </w:r>
      <w:proofErr w:type="spellStart"/>
      <w:r w:rsidRPr="00B53B78">
        <w:rPr>
          <w:rFonts w:eastAsia="Times New Roman" w:cs="Calibri"/>
          <w:i/>
          <w:iCs/>
          <w:szCs w:val="20"/>
        </w:rPr>
        <w:t>Taumata</w:t>
      </w:r>
      <w:proofErr w:type="spellEnd"/>
      <w:r w:rsidRPr="00B53B78">
        <w:rPr>
          <w:rFonts w:eastAsia="Times New Roman" w:cs="Calibri"/>
          <w:i/>
          <w:iCs/>
          <w:szCs w:val="20"/>
        </w:rPr>
        <w:t xml:space="preserve"> </w:t>
      </w:r>
      <w:proofErr w:type="spellStart"/>
      <w:r w:rsidRPr="00B53B78">
        <w:rPr>
          <w:rFonts w:eastAsia="Times New Roman" w:cs="Calibri"/>
          <w:i/>
          <w:iCs/>
          <w:szCs w:val="20"/>
        </w:rPr>
        <w:t>Arowai</w:t>
      </w:r>
      <w:proofErr w:type="spellEnd"/>
      <w:r w:rsidRPr="00B53B78">
        <w:rPr>
          <w:rFonts w:eastAsia="Times New Roman" w:cs="Calibri"/>
          <w:i/>
          <w:iCs/>
          <w:szCs w:val="20"/>
        </w:rPr>
        <w:t>: Strategic Framework</w:t>
      </w:r>
      <w:r w:rsidRPr="00B53B78">
        <w:rPr>
          <w:rFonts w:eastAsia="Times New Roman" w:cs="Calibri"/>
          <w:szCs w:val="20"/>
        </w:rPr>
        <w:t>, see https://www.taumataarowai.govt.nz/assets/Uploads/Governance-docs/Taumata-Arowai-Strategic-Framework.pdf (22 November 2022).</w:t>
      </w:r>
    </w:p>
    <w:p w14:paraId="7697D664" w14:textId="2F6FCC98" w:rsidR="00B53B78" w:rsidRPr="00B53B78" w:rsidRDefault="00B53B78" w:rsidP="00F92734">
      <w:pPr>
        <w:pStyle w:val="References"/>
        <w:rPr>
          <w:rFonts w:eastAsia="Times New Roman" w:cs="Calibri"/>
          <w:szCs w:val="20"/>
          <w:lang w:val="en-US"/>
        </w:rPr>
      </w:pPr>
      <w:r w:rsidRPr="00B53B78">
        <w:t xml:space="preserve">Tonkin and Taylor Ltd and SPHERE. 2008. </w:t>
      </w:r>
      <w:r w:rsidRPr="00B53B78">
        <w:rPr>
          <w:rFonts w:eastAsia="Times New Roman" w:cs="Calibri"/>
          <w:i/>
          <w:iCs/>
          <w:szCs w:val="20"/>
        </w:rPr>
        <w:t>Assessment of Dioxin Contamination at Sawmill Sites</w:t>
      </w:r>
      <w:r w:rsidRPr="00B53B78">
        <w:rPr>
          <w:rFonts w:eastAsia="Times New Roman" w:cs="Calibri"/>
          <w:szCs w:val="20"/>
        </w:rPr>
        <w:t>. Report for Ministry for the Environment. Wellington: Ministry for the Environment.</w:t>
      </w:r>
    </w:p>
    <w:p w14:paraId="7AA6D3A2" w14:textId="379D325A" w:rsidR="00B53B78" w:rsidRPr="00B53B78" w:rsidRDefault="00B53B78" w:rsidP="00F92734">
      <w:pPr>
        <w:pStyle w:val="References"/>
        <w:rPr>
          <w:rFonts w:eastAsia="Times New Roman" w:cs="Calibri"/>
          <w:szCs w:val="20"/>
          <w:lang w:val="en-US"/>
        </w:rPr>
      </w:pPr>
      <w:r w:rsidRPr="00B53B78">
        <w:lastRenderedPageBreak/>
        <w:t xml:space="preserve">‘t </w:t>
      </w:r>
      <w:proofErr w:type="spellStart"/>
      <w:r w:rsidRPr="00B53B78">
        <w:t>Mannetje</w:t>
      </w:r>
      <w:proofErr w:type="spellEnd"/>
      <w:r w:rsidRPr="00B53B78">
        <w:t xml:space="preserve"> A, Douwes J, Duckett H, Brogan S, Emmerton L, Harding E, Brooks C, Harrad S, Ellison-</w:t>
      </w:r>
      <w:proofErr w:type="spellStart"/>
      <w:r w:rsidRPr="00B53B78">
        <w:t>Loschmann</w:t>
      </w:r>
      <w:proofErr w:type="spellEnd"/>
      <w:r w:rsidRPr="00B53B78">
        <w:t xml:space="preserve"> L, Smith A, Pearce N. 2010</w:t>
      </w:r>
      <w:r w:rsidRPr="00B53B78">
        <w:rPr>
          <w:rFonts w:eastAsia="Times New Roman" w:cs="Calibri"/>
          <w:i/>
          <w:iCs/>
          <w:szCs w:val="20"/>
        </w:rPr>
        <w:t>. Concentrations of persistent organic pollutants in the milk of New Zealand women. Report prepared as part of a Ministry of Health contract for scientific services</w:t>
      </w:r>
      <w:r w:rsidRPr="00B53B78">
        <w:rPr>
          <w:rFonts w:eastAsia="Times New Roman" w:cs="Calibri"/>
          <w:szCs w:val="20"/>
        </w:rPr>
        <w:t>. CPHR Technical Report No. 32. Wellington: Centre for Public Health Research.</w:t>
      </w:r>
    </w:p>
    <w:p w14:paraId="650E7396" w14:textId="5B76B197" w:rsidR="00B53B78" w:rsidRPr="00B53B78" w:rsidRDefault="00B53B78" w:rsidP="00F92734">
      <w:pPr>
        <w:pStyle w:val="References"/>
        <w:rPr>
          <w:rFonts w:eastAsia="Times New Roman" w:cs="Calibri"/>
          <w:szCs w:val="20"/>
          <w:lang w:val="en-US"/>
        </w:rPr>
      </w:pPr>
      <w:r w:rsidRPr="00B53B78">
        <w:t xml:space="preserve">‘t </w:t>
      </w:r>
      <w:proofErr w:type="spellStart"/>
      <w:r w:rsidRPr="00B53B78">
        <w:t>Mannetje</w:t>
      </w:r>
      <w:proofErr w:type="spellEnd"/>
      <w:r w:rsidRPr="00B53B78">
        <w:t xml:space="preserve"> A, Coakley </w:t>
      </w:r>
      <w:r w:rsidRPr="00B53B78">
        <w:rPr>
          <w:rFonts w:eastAsia="Times New Roman" w:cs="Calibri"/>
          <w:szCs w:val="20"/>
        </w:rPr>
        <w:t xml:space="preserve">J, Borman B, Douwes J, Bates M. 2013. </w:t>
      </w:r>
      <w:r w:rsidRPr="00B53B78">
        <w:rPr>
          <w:rFonts w:eastAsia="Times New Roman" w:cs="Calibri"/>
          <w:i/>
          <w:iCs/>
          <w:szCs w:val="20"/>
        </w:rPr>
        <w:t>Concentrations of Selected Persistent Organic Pollutants (POPs) in the Serum of New Zealanders</w:t>
      </w:r>
      <w:r w:rsidRPr="00B53B78">
        <w:rPr>
          <w:rFonts w:eastAsia="Times New Roman" w:cs="Calibri"/>
          <w:szCs w:val="20"/>
        </w:rPr>
        <w:t>. Report prepared as part of a Ministry of Health contract for scientific services. CPHR Technical Report No. 34. Wellington: Centre for Public Health Research.</w:t>
      </w:r>
    </w:p>
    <w:p w14:paraId="074FCA6A" w14:textId="4156E3F8" w:rsidR="00B53B78" w:rsidRPr="00B53B78" w:rsidRDefault="00B53B78" w:rsidP="00F92734">
      <w:pPr>
        <w:pStyle w:val="References"/>
        <w:rPr>
          <w:rFonts w:ascii="Segoe UI" w:eastAsia="Times New Roman" w:hAnsi="Segoe UI" w:cs="Segoe UI"/>
          <w:szCs w:val="20"/>
          <w:lang w:val="en-US"/>
        </w:rPr>
      </w:pPr>
      <w:r w:rsidRPr="00B53B78">
        <w:t xml:space="preserve">Wang, </w:t>
      </w:r>
      <w:proofErr w:type="gramStart"/>
      <w:r w:rsidRPr="00B53B78">
        <w:t>B.,H</w:t>
      </w:r>
      <w:proofErr w:type="gramEnd"/>
      <w:r w:rsidRPr="00B53B78">
        <w:t>,</w:t>
      </w:r>
      <w:proofErr w:type="gramStart"/>
      <w:r w:rsidRPr="00B53B78">
        <w:t>F.,J</w:t>
      </w:r>
      <w:proofErr w:type="gramEnd"/>
      <w:r w:rsidRPr="00B53B78">
        <w:t xml:space="preserve">, </w:t>
      </w:r>
      <w:proofErr w:type="gramStart"/>
      <w:r w:rsidRPr="00B53B78">
        <w:t>H.,D</w:t>
      </w:r>
      <w:proofErr w:type="gramEnd"/>
      <w:r w:rsidRPr="00B53B78">
        <w:t>,</w:t>
      </w:r>
      <w:proofErr w:type="gramStart"/>
      <w:r w:rsidRPr="00B53B78">
        <w:t>S.,W</w:t>
      </w:r>
      <w:proofErr w:type="gramEnd"/>
      <w:r w:rsidRPr="00B53B78">
        <w:t>, Y., &amp; Y, G. (2016). A primary estimate of global PCDD/F release based on the quantity and quality of national economic and social activities. Chemosphere, 303 - 309.</w:t>
      </w:r>
    </w:p>
    <w:p w14:paraId="0F044A04" w14:textId="5862BEAA" w:rsidR="00B53B78" w:rsidRPr="00B53B78" w:rsidRDefault="00B53B78" w:rsidP="00F92734">
      <w:pPr>
        <w:pStyle w:val="References"/>
        <w:rPr>
          <w:rFonts w:eastAsia="Times New Roman" w:cs="Calibri"/>
          <w:szCs w:val="20"/>
          <w:lang w:val="en-US"/>
        </w:rPr>
      </w:pPr>
      <w:r w:rsidRPr="00B53B78">
        <w:t>WorkSafe. 2017.</w:t>
      </w:r>
      <w:r w:rsidRPr="00B53B78">
        <w:rPr>
          <w:rFonts w:eastAsia="Times New Roman" w:cs="Calibri"/>
          <w:i/>
          <w:iCs/>
          <w:szCs w:val="20"/>
        </w:rPr>
        <w:t xml:space="preserve"> Laws and Regulations: Julian’s Electrical and Energy Conservation Limited</w:t>
      </w:r>
      <w:r w:rsidRPr="00B53B78">
        <w:rPr>
          <w:rFonts w:eastAsia="Times New Roman" w:cs="Calibri"/>
          <w:szCs w:val="20"/>
        </w:rPr>
        <w:t>. Retrieved from worksafe.govt.nz/laws-and-regulations/prosecutions/court-summaries/julians-electrical-and-energy-conservation-limited (22 November 2022).</w:t>
      </w:r>
    </w:p>
    <w:p w14:paraId="1255FD42" w14:textId="09A57AA2" w:rsidR="00B53B78" w:rsidRPr="00B53B78" w:rsidRDefault="00B53B78" w:rsidP="00F92734">
      <w:pPr>
        <w:pStyle w:val="References"/>
        <w:rPr>
          <w:rFonts w:eastAsia="Times New Roman" w:cs="Calibri"/>
          <w:szCs w:val="20"/>
          <w:lang w:val="en-US"/>
        </w:rPr>
      </w:pPr>
      <w:r w:rsidRPr="00B53B78">
        <w:t xml:space="preserve">WorkSafe. 2018. </w:t>
      </w:r>
      <w:r w:rsidRPr="00B53B78">
        <w:rPr>
          <w:rFonts w:eastAsia="Times New Roman" w:cs="Calibri"/>
          <w:i/>
          <w:iCs/>
          <w:szCs w:val="20"/>
        </w:rPr>
        <w:t>Policy clarification: Contaminated land and the Health and Safety at Work (Hazardous Substances) Regulations 2017</w:t>
      </w:r>
      <w:r w:rsidRPr="00B53B78">
        <w:rPr>
          <w:rFonts w:eastAsia="Times New Roman" w:cs="Calibri"/>
          <w:szCs w:val="20"/>
        </w:rPr>
        <w:t>. Retrieved from https://worksafe.govt.nz/laws-and-regulations/operational-policy-framework/operational-policies/contaminated-land-and-the-health/#lf-doc-45078 (22 November 2022).</w:t>
      </w:r>
    </w:p>
    <w:p w14:paraId="725724CF" w14:textId="704D90C9" w:rsidR="00B53B78" w:rsidRPr="00B53B78" w:rsidRDefault="00B53B78" w:rsidP="00F92734">
      <w:pPr>
        <w:pStyle w:val="References"/>
      </w:pPr>
      <w:r w:rsidRPr="00B53B78">
        <w:t xml:space="preserve">World Health Organization. 2007. </w:t>
      </w:r>
      <w:r w:rsidRPr="00B53B78">
        <w:rPr>
          <w:rFonts w:eastAsia="Times New Roman" w:cs="Calibri"/>
          <w:i/>
          <w:iCs/>
          <w:szCs w:val="20"/>
        </w:rPr>
        <w:t>Fourth WHO-Coordinated Survey of Human Milk for Persistent Organic Pollutants in Cooperation with UNEP: Guidelines for Developing a National Protocol</w:t>
      </w:r>
      <w:r w:rsidRPr="00B53B78">
        <w:rPr>
          <w:rFonts w:eastAsia="Times New Roman" w:cs="Calibri"/>
          <w:szCs w:val="20"/>
        </w:rPr>
        <w:t>. Geneva, Switzerland: World Health Organization</w:t>
      </w:r>
      <w:r w:rsidR="00CC14F1">
        <w:t>.</w:t>
      </w:r>
    </w:p>
    <w:p w14:paraId="38BD4AB7" w14:textId="293A235E" w:rsidR="00514349" w:rsidRPr="00582EF5" w:rsidRDefault="00514349" w:rsidP="40780243">
      <w:pPr>
        <w:pStyle w:val="BodyText"/>
        <w:jc w:val="both"/>
      </w:pPr>
    </w:p>
    <w:sectPr w:rsidR="00514349" w:rsidRPr="00582EF5" w:rsidSect="00E26FFB">
      <w:headerReference w:type="even" r:id="rId183"/>
      <w:headerReference w:type="default" r:id="rId184"/>
      <w:footerReference w:type="even" r:id="rId185"/>
      <w:footerReference w:type="default" r:id="rId186"/>
      <w:headerReference w:type="first" r:id="rId187"/>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7616" w14:textId="77777777" w:rsidR="000B1E55" w:rsidRDefault="000B1E55" w:rsidP="0080531E">
      <w:pPr>
        <w:spacing w:before="0" w:after="0" w:line="240" w:lineRule="auto"/>
      </w:pPr>
      <w:r>
        <w:separator/>
      </w:r>
    </w:p>
    <w:p w14:paraId="7599174F" w14:textId="77777777" w:rsidR="000B1E55" w:rsidRDefault="000B1E55"/>
  </w:endnote>
  <w:endnote w:type="continuationSeparator" w:id="0">
    <w:p w14:paraId="273B5BD6" w14:textId="77777777" w:rsidR="000B1E55" w:rsidRDefault="000B1E55" w:rsidP="0080531E">
      <w:pPr>
        <w:spacing w:before="0" w:after="0" w:line="240" w:lineRule="auto"/>
      </w:pPr>
      <w:r>
        <w:continuationSeparator/>
      </w:r>
    </w:p>
    <w:p w14:paraId="2B3EEB39" w14:textId="77777777" w:rsidR="000B1E55" w:rsidRDefault="000B1E55"/>
  </w:endnote>
  <w:endnote w:type="continuationNotice" w:id="1">
    <w:p w14:paraId="590F8146" w14:textId="77777777" w:rsidR="000B1E55" w:rsidRDefault="000B1E5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6964B6C5" w14:paraId="6100735A" w14:textId="77777777" w:rsidTr="00F8170A">
      <w:tc>
        <w:tcPr>
          <w:tcW w:w="2835" w:type="dxa"/>
        </w:tcPr>
        <w:p w14:paraId="1AB30DDB" w14:textId="10E7E6D7" w:rsidR="6964B6C5" w:rsidRDefault="6964B6C5" w:rsidP="007B3A22">
          <w:pPr>
            <w:pStyle w:val="Header"/>
            <w:ind w:left="-115"/>
            <w:jc w:val="left"/>
          </w:pPr>
        </w:p>
      </w:tc>
      <w:tc>
        <w:tcPr>
          <w:tcW w:w="2835" w:type="dxa"/>
        </w:tcPr>
        <w:p w14:paraId="7DD2A828" w14:textId="1B4FD240" w:rsidR="6964B6C5" w:rsidRDefault="6964B6C5" w:rsidP="007B3A22">
          <w:pPr>
            <w:pStyle w:val="Header"/>
          </w:pPr>
        </w:p>
      </w:tc>
      <w:tc>
        <w:tcPr>
          <w:tcW w:w="2835" w:type="dxa"/>
        </w:tcPr>
        <w:p w14:paraId="1167407B" w14:textId="6BC0A59B" w:rsidR="6964B6C5" w:rsidRDefault="6964B6C5" w:rsidP="007B3A22">
          <w:pPr>
            <w:pStyle w:val="Header"/>
            <w:ind w:right="-115"/>
            <w:jc w:val="right"/>
          </w:pPr>
        </w:p>
      </w:tc>
    </w:tr>
  </w:tbl>
  <w:p w14:paraId="5725162F" w14:textId="0436C6F2" w:rsidR="00E46E3A" w:rsidRDefault="00E46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56B3" w14:textId="61F7A566" w:rsidR="005D4298" w:rsidRDefault="005D4298">
    <w:pPr>
      <w:spacing w:before="0" w:after="0" w:line="240"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6D52" w14:textId="77777777" w:rsidR="009A5B75" w:rsidRDefault="009A5B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448A" w14:textId="77777777" w:rsidR="009508F2" w:rsidRDefault="009508F2" w:rsidP="00E65427">
    <w:pPr>
      <w:spacing w:before="240" w:after="0"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2D95" w14:textId="77777777" w:rsidR="009508F2" w:rsidRDefault="009508F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1D20" w14:textId="77777777" w:rsidR="00EC07E8" w:rsidRDefault="00EC07E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02DB" w14:textId="37FD4867" w:rsidR="009508F2" w:rsidRDefault="009508F2" w:rsidP="00CD25E1">
    <w:pPr>
      <w:pStyle w:val="Footereven"/>
    </w:pPr>
    <w:r w:rsidRPr="00E80EBD">
      <w:rPr>
        <w:b/>
        <w:shd w:val="clear" w:color="auto" w:fill="FFFFFF" w:themeFill="background1"/>
      </w:rPr>
      <w:fldChar w:fldCharType="begin"/>
    </w:r>
    <w:r w:rsidRPr="00E80EBD">
      <w:rPr>
        <w:shd w:val="clear" w:color="auto" w:fill="FFFFFF" w:themeFill="background1"/>
      </w:rPr>
      <w:instrText xml:space="preserve"> PAGE </w:instrText>
    </w:r>
    <w:r w:rsidRPr="00E80EBD">
      <w:rPr>
        <w:b/>
        <w:shd w:val="clear" w:color="auto" w:fill="FFFFFF" w:themeFill="background1"/>
      </w:rPr>
      <w:fldChar w:fldCharType="separate"/>
    </w:r>
    <w:r w:rsidR="004D4C20" w:rsidRPr="00E80EBD">
      <w:rPr>
        <w:shd w:val="clear" w:color="auto" w:fill="FFFFFF" w:themeFill="background1"/>
      </w:rPr>
      <w:t>56</w:t>
    </w:r>
    <w:r w:rsidRPr="00E80EBD">
      <w:rPr>
        <w:b/>
        <w:shd w:val="clear" w:color="auto" w:fill="FFFFFF" w:themeFill="background1"/>
      </w:rPr>
      <w:fldChar w:fldCharType="end"/>
    </w:r>
    <w:r>
      <w:tab/>
    </w:r>
    <w:r w:rsidRPr="0091540C">
      <w:t>New Zealand’s updated National Implementation Plan under the Stockholm Convention on Persistent Organic Pollutants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D71B" w14:textId="54F4190E" w:rsidR="009508F2" w:rsidRDefault="009508F2" w:rsidP="00CD25E1">
    <w:pPr>
      <w:pStyle w:val="Footerodd"/>
    </w:pPr>
    <w:r>
      <w:tab/>
    </w:r>
    <w:r w:rsidRPr="0091540C">
      <w:t>New Zealand’s updated National Implementation Plan under the Stockholm Convention on Persistent Organic Pollutants</w:t>
    </w:r>
    <w:r>
      <w:tab/>
    </w:r>
    <w:r w:rsidRPr="00E80EBD">
      <w:rPr>
        <w:shd w:val="clear" w:color="auto" w:fill="FFFFFF" w:themeFill="background1"/>
      </w:rPr>
      <w:fldChar w:fldCharType="begin"/>
    </w:r>
    <w:r w:rsidRPr="007B3A22">
      <w:rPr>
        <w:shd w:val="clear" w:color="auto" w:fill="FFFFFF" w:themeFill="background1"/>
      </w:rPr>
      <w:instrText xml:space="preserve"> PAGE   \* MERGEFORMAT </w:instrText>
    </w:r>
    <w:r w:rsidRPr="00E80EBD">
      <w:rPr>
        <w:shd w:val="clear" w:color="auto" w:fill="FFFFFF" w:themeFill="background1"/>
      </w:rPr>
      <w:fldChar w:fldCharType="separate"/>
    </w:r>
    <w:r w:rsidR="004D4C20" w:rsidRPr="007B3A22">
      <w:rPr>
        <w:shd w:val="clear" w:color="auto" w:fill="FFFFFF" w:themeFill="background1"/>
      </w:rPr>
      <w:t>55</w:t>
    </w:r>
    <w:r w:rsidRPr="00E80EBD">
      <w:rPr>
        <w:shd w:val="clear" w:color="auto" w:fill="FFFFFF" w:themeFill="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8F03" w14:textId="77777777" w:rsidR="000B1E55" w:rsidRDefault="000B1E55" w:rsidP="00CB5C5F">
      <w:pPr>
        <w:spacing w:before="0" w:after="80" w:line="240" w:lineRule="auto"/>
      </w:pPr>
      <w:r>
        <w:separator/>
      </w:r>
    </w:p>
  </w:footnote>
  <w:footnote w:type="continuationSeparator" w:id="0">
    <w:p w14:paraId="188DB213" w14:textId="77777777" w:rsidR="000B1E55" w:rsidRDefault="000B1E55" w:rsidP="0080531E">
      <w:pPr>
        <w:spacing w:before="0" w:after="0" w:line="240" w:lineRule="auto"/>
      </w:pPr>
      <w:r>
        <w:continuationSeparator/>
      </w:r>
    </w:p>
    <w:p w14:paraId="0EF53BB4" w14:textId="77777777" w:rsidR="000B1E55" w:rsidRDefault="000B1E55"/>
  </w:footnote>
  <w:footnote w:type="continuationNotice" w:id="1">
    <w:p w14:paraId="2A683A46" w14:textId="77777777" w:rsidR="000B1E55" w:rsidRDefault="000B1E55">
      <w:pPr>
        <w:spacing w:before="0" w:after="0" w:line="240" w:lineRule="auto"/>
      </w:pPr>
    </w:p>
  </w:footnote>
  <w:footnote w:id="2">
    <w:p w14:paraId="4ED5E939" w14:textId="1DD7A527" w:rsidR="009508F2" w:rsidRPr="009F43A9" w:rsidRDefault="009508F2">
      <w:pPr>
        <w:pStyle w:val="FootnoteText"/>
      </w:pPr>
      <w:r>
        <w:rPr>
          <w:rStyle w:val="FootnoteReference"/>
        </w:rPr>
        <w:footnoteRef/>
      </w:r>
      <w:r>
        <w:t xml:space="preserve"> </w:t>
      </w:r>
      <w:r>
        <w:tab/>
      </w:r>
      <w:r w:rsidRPr="009F43A9">
        <w:t xml:space="preserve">This chemical is regulated by the HSNO Act </w:t>
      </w:r>
      <w:r>
        <w:t xml:space="preserve">1996 </w:t>
      </w:r>
      <w:r w:rsidRPr="009F43A9">
        <w:t xml:space="preserve">as </w:t>
      </w:r>
      <w:r>
        <w:t>p</w:t>
      </w:r>
      <w:r w:rsidRPr="009F43A9">
        <w:t>erfluorooctane sulfonic acid (PFOS) (CAS No: 1763-23-1), its salts and any derivatives of the formula C8F17SO2X, where X = halide, amide, esters and other derivatives</w:t>
      </w:r>
      <w:r>
        <w:t>,</w:t>
      </w:r>
      <w:r w:rsidRPr="009F43A9">
        <w:t xml:space="preserve"> including polymers</w:t>
      </w:r>
      <w:r>
        <w:t>.</w:t>
      </w:r>
    </w:p>
  </w:footnote>
  <w:footnote w:id="3">
    <w:p w14:paraId="295E38A0" w14:textId="75D15D9C" w:rsidR="009508F2" w:rsidRDefault="009508F2" w:rsidP="00605B27">
      <w:pPr>
        <w:pStyle w:val="FootnoteText"/>
      </w:pPr>
      <w:r>
        <w:rPr>
          <w:rStyle w:val="FootnoteReference"/>
        </w:rPr>
        <w:footnoteRef/>
      </w:r>
      <w:r>
        <w:t xml:space="preserve"> </w:t>
      </w:r>
      <w:r w:rsidR="00605B27">
        <w:tab/>
      </w:r>
      <w:r w:rsidR="00F322EE" w:rsidRPr="005B0E08">
        <w:t>Environmental Protection Authority</w:t>
      </w:r>
      <w:r w:rsidR="00F322EE" w:rsidRPr="00F322EE">
        <w:t xml:space="preserve">, 2013, </w:t>
      </w:r>
      <w:r w:rsidR="00F322EE" w:rsidRPr="005B0E08">
        <w:t xml:space="preserve">Graham B. 2013. </w:t>
      </w:r>
      <w:r w:rsidR="00F322EE" w:rsidRPr="005B0E08">
        <w:rPr>
          <w:i/>
        </w:rPr>
        <w:t>Lifecycle analysis of the brominated flame retardant hexabromocyclododecane (HBCD) in New Zealand</w:t>
      </w:r>
      <w:r w:rsidR="00F322EE" w:rsidRPr="005B0E08">
        <w:t>.</w:t>
      </w:r>
    </w:p>
  </w:footnote>
  <w:footnote w:id="4">
    <w:p w14:paraId="044B9447" w14:textId="5C5959D5" w:rsidR="00F322EE" w:rsidRPr="00F322EE" w:rsidRDefault="009508F2" w:rsidP="00605B27">
      <w:pPr>
        <w:pStyle w:val="FootnoteText"/>
        <w:rPr>
          <w:lang w:val="en-US"/>
        </w:rPr>
      </w:pPr>
      <w:r>
        <w:rPr>
          <w:rStyle w:val="FootnoteReference"/>
        </w:rPr>
        <w:footnoteRef/>
      </w:r>
      <w:r>
        <w:t xml:space="preserve"> </w:t>
      </w:r>
      <w:r w:rsidR="00605B27">
        <w:tab/>
      </w:r>
      <w:r w:rsidR="00F322EE" w:rsidRPr="005B0E08">
        <w:t>Environmental Protection Authority</w:t>
      </w:r>
      <w:r w:rsidR="00F322EE" w:rsidRPr="00F322EE">
        <w:t xml:space="preserve">, 2013, </w:t>
      </w:r>
      <w:r w:rsidR="00F322EE" w:rsidRPr="005B0E08">
        <w:t xml:space="preserve">Graham B. 2013. </w:t>
      </w:r>
      <w:r w:rsidR="00F322EE" w:rsidRPr="005B0E08">
        <w:rPr>
          <w:i/>
        </w:rPr>
        <w:t>Lifecycle analysis of the brominated flame retardant hexabromocyclododecane (HBCD) in New Zealand</w:t>
      </w:r>
      <w:r w:rsidR="00F322EE" w:rsidRPr="005B0E08">
        <w:t>.</w:t>
      </w:r>
    </w:p>
    <w:p w14:paraId="75FFA69A" w14:textId="186A5943" w:rsidR="009508F2" w:rsidRDefault="009508F2">
      <w:pPr>
        <w:pStyle w:val="FootnoteText"/>
      </w:pPr>
    </w:p>
  </w:footnote>
  <w:footnote w:id="5">
    <w:p w14:paraId="5D6AD3BA" w14:textId="77777777" w:rsidR="009508F2" w:rsidRPr="004056A9" w:rsidRDefault="009508F2" w:rsidP="00CD0320">
      <w:pPr>
        <w:pStyle w:val="FootnoteText"/>
      </w:pPr>
      <w:r>
        <w:rPr>
          <w:rStyle w:val="FootnoteReference"/>
        </w:rPr>
        <w:footnoteRef/>
      </w:r>
      <w:r>
        <w:t xml:space="preserve"> </w:t>
      </w:r>
      <w:r>
        <w:tab/>
        <w:t xml:space="preserve">Tonkin and Taylor Ltd and SPHERE. 2008. </w:t>
      </w:r>
      <w:r w:rsidRPr="001713CD">
        <w:rPr>
          <w:i/>
        </w:rPr>
        <w:t>Assessment of Dioxin Contamination at Sawmill Sites. Report for Ministry for the Environment</w:t>
      </w:r>
      <w:r>
        <w:t xml:space="preserve">. </w:t>
      </w:r>
      <w:r w:rsidRPr="004056A9">
        <w:t>Wellington: Ministry for the Environment</w:t>
      </w:r>
      <w:r>
        <w:t>.</w:t>
      </w:r>
    </w:p>
  </w:footnote>
  <w:footnote w:id="6">
    <w:p w14:paraId="551BC28B" w14:textId="0F5A8066" w:rsidR="007B6D45" w:rsidRDefault="007B6D45">
      <w:pPr>
        <w:pStyle w:val="FootnoteText"/>
      </w:pPr>
      <w:r>
        <w:rPr>
          <w:rStyle w:val="FootnoteReference"/>
        </w:rPr>
        <w:footnoteRef/>
      </w:r>
      <w:r>
        <w:t xml:space="preserve"> </w:t>
      </w:r>
      <w:r w:rsidR="00014420">
        <w:tab/>
      </w:r>
      <w:r w:rsidRPr="3D037F53">
        <w:rPr>
          <w:rFonts w:eastAsia="Times New Roman"/>
          <w:sz w:val="20"/>
          <w:szCs w:val="20"/>
        </w:rPr>
        <w:t xml:space="preserve">Population Reference Bureau. (2016). </w:t>
      </w:r>
      <w:r w:rsidRPr="3D037F53">
        <w:rPr>
          <w:rFonts w:eastAsia="Times New Roman"/>
          <w:i/>
          <w:iCs/>
          <w:sz w:val="20"/>
          <w:szCs w:val="20"/>
        </w:rPr>
        <w:t>2016 World Population Datasheet.</w:t>
      </w:r>
      <w:r w:rsidRPr="3D037F53">
        <w:rPr>
          <w:rFonts w:eastAsia="Times New Roman"/>
          <w:sz w:val="20"/>
          <w:szCs w:val="20"/>
        </w:rPr>
        <w:t xml:space="preserve"> Population Reference Bureau.</w:t>
      </w:r>
    </w:p>
  </w:footnote>
  <w:footnote w:id="7">
    <w:p w14:paraId="5C360005" w14:textId="7F797153" w:rsidR="00BB4020" w:rsidRDefault="00BB4020" w:rsidP="00014420">
      <w:pPr>
        <w:pStyle w:val="FootnoteText"/>
        <w:rPr>
          <w:noProof/>
        </w:rPr>
      </w:pPr>
      <w:r>
        <w:rPr>
          <w:rStyle w:val="FootnoteReference"/>
        </w:rPr>
        <w:footnoteRef/>
      </w:r>
      <w:r>
        <w:t xml:space="preserve"> </w:t>
      </w:r>
      <w:r w:rsidR="00014420">
        <w:tab/>
      </w:r>
      <w:r w:rsidR="0023707B" w:rsidRPr="00686213">
        <w:t xml:space="preserve">Wang, B.,H,F.,J, H.,D,S.,W, Y., &amp; Y, G. (2016). A primary estimate of global PCDD/F release based on the quantity and quality of national economic and social activities. </w:t>
      </w:r>
      <w:r w:rsidR="0023707B" w:rsidRPr="00014420">
        <w:t>Chemosphere, 303 - 309.</w:t>
      </w:r>
    </w:p>
  </w:footnote>
  <w:footnote w:id="8">
    <w:p w14:paraId="79174CFF" w14:textId="607E1F5E" w:rsidR="00B171A8" w:rsidRDefault="00B171A8">
      <w:pPr>
        <w:pStyle w:val="FootnoteText"/>
      </w:pPr>
      <w:r>
        <w:rPr>
          <w:rStyle w:val="FootnoteReference"/>
        </w:rPr>
        <w:footnoteRef/>
      </w:r>
      <w:r>
        <w:t xml:space="preserve"> </w:t>
      </w:r>
      <w:r w:rsidR="00F33E64">
        <w:tab/>
      </w:r>
      <w:r w:rsidR="00B04428" w:rsidRPr="3D037F53">
        <w:rPr>
          <w:rFonts w:eastAsia="Times New Roman"/>
          <w:sz w:val="20"/>
          <w:szCs w:val="20"/>
        </w:rPr>
        <w:t xml:space="preserve">Saral, A., Gunes G., and Demir S. (2014). </w:t>
      </w:r>
      <w:r w:rsidR="00B04428" w:rsidRPr="3D037F53">
        <w:rPr>
          <w:rFonts w:eastAsia="Times New Roman"/>
          <w:i/>
          <w:iCs/>
          <w:sz w:val="20"/>
          <w:szCs w:val="20"/>
        </w:rPr>
        <w:t>Atmospheric PCDD/PCDF Emission Inventory for Turkey. Atmospheric Pollution Research,</w:t>
      </w:r>
      <w:r w:rsidR="00B04428" w:rsidRPr="3D037F53">
        <w:rPr>
          <w:rFonts w:eastAsia="Times New Roman"/>
          <w:sz w:val="20"/>
          <w:szCs w:val="20"/>
        </w:rPr>
        <w:t xml:space="preserve"> 5 (1), 24 - 33.</w:t>
      </w:r>
    </w:p>
  </w:footnote>
  <w:footnote w:id="9">
    <w:p w14:paraId="6867766A" w14:textId="37ADE55D" w:rsidR="001E4E25" w:rsidRDefault="001E4E25">
      <w:pPr>
        <w:pStyle w:val="FootnoteText"/>
      </w:pPr>
      <w:r>
        <w:rPr>
          <w:rStyle w:val="FootnoteReference"/>
        </w:rPr>
        <w:footnoteRef/>
      </w:r>
      <w:r>
        <w:t xml:space="preserve"> </w:t>
      </w:r>
      <w:r w:rsidR="00A70400">
        <w:tab/>
      </w:r>
      <w:r w:rsidRPr="00105499">
        <w:t>In 2022, the Conference of the Parties agreed to amend the Basel Convention so that all waste electronic and electrical equipment will require prior informed consent from the receiving country from 1 January 2025.</w:t>
      </w:r>
    </w:p>
  </w:footnote>
  <w:footnote w:id="10">
    <w:p w14:paraId="396884C6" w14:textId="33048ED3" w:rsidR="009508F2" w:rsidRPr="00711880" w:rsidRDefault="009508F2" w:rsidP="00711880">
      <w:pPr>
        <w:pStyle w:val="FootnoteText"/>
      </w:pPr>
      <w:r w:rsidRPr="00B46677">
        <w:rPr>
          <w:rStyle w:val="FootnoteReference"/>
        </w:rPr>
        <w:footnoteRef/>
      </w:r>
      <w:r>
        <w:t xml:space="preserve"> </w:t>
      </w:r>
      <w:r w:rsidR="009F2CC9" w:rsidRPr="005B0E08">
        <w:t>Ministry for the Environment. No date(</w:t>
      </w:r>
      <w:r w:rsidR="009F2CC9" w:rsidRPr="009F2CC9">
        <w:t>c</w:t>
      </w:r>
      <w:r w:rsidR="009F2CC9" w:rsidRPr="005B0E08">
        <w:t xml:space="preserve">). </w:t>
      </w:r>
      <w:r w:rsidR="009F2CC9" w:rsidRPr="005B0E08">
        <w:rPr>
          <w:i/>
        </w:rPr>
        <w:t>PFAS (per- and poly-fluoroalkyl substances)</w:t>
      </w:r>
      <w:r w:rsidR="009F2CC9" w:rsidRPr="005B0E08">
        <w:t>.</w:t>
      </w:r>
      <w:r w:rsidR="009F2CC9" w:rsidRPr="009F2CC9">
        <w:t xml:space="preserve"> </w:t>
      </w:r>
      <w:r w:rsidR="009F2CC9" w:rsidRPr="005B0E08">
        <w:t>(22 November 2022).</w:t>
      </w:r>
    </w:p>
  </w:footnote>
  <w:footnote w:id="11">
    <w:p w14:paraId="75FC987B" w14:textId="68ABAC98" w:rsidR="009508F2" w:rsidRDefault="009508F2">
      <w:pPr>
        <w:pStyle w:val="FootnoteText"/>
      </w:pPr>
      <w:r>
        <w:rPr>
          <w:rStyle w:val="FootnoteReference"/>
        </w:rPr>
        <w:footnoteRef/>
      </w:r>
      <w:r>
        <w:tab/>
        <w:t>Mr Harawira affiliated to the Ng</w:t>
      </w:r>
      <w:r w:rsidRPr="00265097">
        <w:t>ā</w:t>
      </w:r>
      <w:r>
        <w:t>ti Awa and Ng</w:t>
      </w:r>
      <w:r w:rsidRPr="00265097">
        <w:t>ā</w:t>
      </w:r>
      <w:r>
        <w:t>i Te Rangi tribes. He was also a long-term member of Te Herenga, EPA’s national network of M</w:t>
      </w:r>
      <w:r w:rsidRPr="00265097">
        <w:t>ā</w:t>
      </w:r>
      <w:r>
        <w:t>ori environmental practitioners.</w:t>
      </w:r>
    </w:p>
  </w:footnote>
  <w:footnote w:id="12">
    <w:p w14:paraId="22BCAD99" w14:textId="37B916F7" w:rsidR="009508F2" w:rsidRDefault="009508F2">
      <w:pPr>
        <w:pStyle w:val="FootnoteText"/>
      </w:pPr>
      <w:r>
        <w:rPr>
          <w:rStyle w:val="FootnoteReference"/>
        </w:rPr>
        <w:footnoteRef/>
      </w:r>
      <w:r>
        <w:t xml:space="preserve"> </w:t>
      </w:r>
      <w:r>
        <w:tab/>
      </w:r>
      <w:r w:rsidRPr="00196232">
        <w:t xml:space="preserve">‘t Mannetje A, Coakley J, Borman B, Douwes J, Bates M. 2013. </w:t>
      </w:r>
      <w:r w:rsidRPr="00196232">
        <w:rPr>
          <w:i/>
        </w:rPr>
        <w:t>Concentrations of Selected Persistent Organic Pollutants (POPs) in the Serum of New Zealanders</w:t>
      </w:r>
      <w:r w:rsidRPr="00196232">
        <w:t>. Report prepared as part of a Ministry of Health</w:t>
      </w:r>
      <w:r>
        <w:t> </w:t>
      </w:r>
      <w:r w:rsidRPr="00196232">
        <w:t>contract for scientific services. CPHR Technical Report No. 34. Wellington: Centr</w:t>
      </w:r>
      <w:r>
        <w:t>e</w:t>
      </w:r>
      <w:r w:rsidRPr="00196232">
        <w:t xml:space="preserve"> for Public Health</w:t>
      </w:r>
      <w:r>
        <w:t> </w:t>
      </w:r>
      <w:r w:rsidRPr="00196232">
        <w:t>Research.</w:t>
      </w:r>
    </w:p>
  </w:footnote>
  <w:footnote w:id="13">
    <w:p w14:paraId="16DB4CB9" w14:textId="4A862264" w:rsidR="009508F2" w:rsidRDefault="009508F2">
      <w:pPr>
        <w:pStyle w:val="FootnoteText"/>
      </w:pPr>
      <w:r>
        <w:rPr>
          <w:rStyle w:val="FootnoteReference"/>
        </w:rPr>
        <w:footnoteRef/>
      </w:r>
      <w:r>
        <w:t xml:space="preserve"> </w:t>
      </w:r>
      <w:r>
        <w:tab/>
      </w:r>
      <w:r w:rsidRPr="00C20415">
        <w:t xml:space="preserve">‘t Mannetje A, Douwes J, Duckett H, Brogan S, Emmerton L, Harding E, Brooks C, Harrad S, Ellison-Loschmann L, Smith A, Pearce N. 2010. </w:t>
      </w:r>
      <w:r w:rsidRPr="00C20415">
        <w:rPr>
          <w:i/>
        </w:rPr>
        <w:t>Concentrations of persistent organic pollutants in the milk of New</w:t>
      </w:r>
      <w:r>
        <w:rPr>
          <w:i/>
        </w:rPr>
        <w:t> </w:t>
      </w:r>
      <w:r w:rsidRPr="00C20415">
        <w:rPr>
          <w:i/>
        </w:rPr>
        <w:t>Zealand women</w:t>
      </w:r>
      <w:r w:rsidRPr="00C20415">
        <w:t>. Report prepared as part of a Ministry of Health contract for scientific services. CPHR</w:t>
      </w:r>
      <w:r>
        <w:t> </w:t>
      </w:r>
      <w:r w:rsidRPr="00C20415">
        <w:t>Technical Report No. 32. Wellington: Centr</w:t>
      </w:r>
      <w:r>
        <w:t>e</w:t>
      </w:r>
      <w:r w:rsidRPr="00C20415">
        <w:t xml:space="preserve"> for Public Health Research</w:t>
      </w:r>
      <w:r>
        <w:t>.</w:t>
      </w:r>
    </w:p>
  </w:footnote>
  <w:footnote w:id="14">
    <w:p w14:paraId="00D5224C" w14:textId="32054BC0" w:rsidR="009508F2" w:rsidRDefault="009508F2">
      <w:pPr>
        <w:pStyle w:val="FootnoteText"/>
      </w:pPr>
      <w:r>
        <w:rPr>
          <w:rStyle w:val="FootnoteReference"/>
        </w:rPr>
        <w:footnoteRef/>
      </w:r>
      <w:r>
        <w:tab/>
      </w:r>
      <w:r w:rsidRPr="00965B41">
        <w:t>World Health Organization</w:t>
      </w:r>
      <w:r>
        <w:t xml:space="preserve">. 2007. </w:t>
      </w:r>
      <w:r w:rsidRPr="004552F8">
        <w:rPr>
          <w:i/>
        </w:rPr>
        <w:t>Fourth WHO-Coordinated Survey of Human Milk for Persistent Organic Pollutants in Cooperation with UNEP: Guidelines for Developing a National Protocol</w:t>
      </w:r>
      <w:r>
        <w:t>.</w:t>
      </w:r>
      <w:r w:rsidRPr="00965B41">
        <w:t xml:space="preserve"> </w:t>
      </w:r>
      <w:r w:rsidRPr="004552F8">
        <w:t>Geneva, Switzerland</w:t>
      </w:r>
      <w:r>
        <w:t>:</w:t>
      </w:r>
      <w:r w:rsidRPr="004552F8">
        <w:t xml:space="preserve"> </w:t>
      </w:r>
      <w:r w:rsidRPr="00965B41">
        <w:t>World Health Organization</w:t>
      </w:r>
      <w:r>
        <w:t>.</w:t>
      </w:r>
    </w:p>
  </w:footnote>
  <w:footnote w:id="15">
    <w:p w14:paraId="703A66FE" w14:textId="6ACBB4AB" w:rsidR="009508F2" w:rsidRPr="00B50C2D" w:rsidRDefault="009508F2" w:rsidP="00B50C2D">
      <w:pPr>
        <w:pStyle w:val="FootnoteText"/>
      </w:pPr>
      <w:r>
        <w:rPr>
          <w:rStyle w:val="FootnoteReference"/>
        </w:rPr>
        <w:footnoteRef/>
      </w:r>
      <w:r>
        <w:t xml:space="preserve"> </w:t>
      </w:r>
      <w:r w:rsidR="00336C69">
        <w:tab/>
      </w:r>
      <w:r w:rsidR="009B1661" w:rsidRPr="005B0E08">
        <w:t>Andrew P. 2018</w:t>
      </w:r>
      <w:r w:rsidR="009B1661" w:rsidRPr="005B0E08">
        <w:rPr>
          <w:i/>
        </w:rPr>
        <w:t>. Per- and poly- fluorinated alkyl substances (PFAS) in selected New Zealand foods</w:t>
      </w:r>
      <w:r w:rsidR="009B1661" w:rsidRPr="005B0E08">
        <w:t>. New Zealand Food Safety Technical Report No: 2018/07. Wellington: Ministry for Primary Industries.</w:t>
      </w:r>
    </w:p>
  </w:footnote>
  <w:footnote w:id="16">
    <w:p w14:paraId="6FBCE1CB" w14:textId="02463025" w:rsidR="00BF17F6" w:rsidRPr="00B50C2D" w:rsidRDefault="009508F2" w:rsidP="00B50C2D">
      <w:pPr>
        <w:pStyle w:val="FootnoteText"/>
      </w:pPr>
      <w:r>
        <w:rPr>
          <w:rStyle w:val="FootnoteReference"/>
        </w:rPr>
        <w:footnoteRef/>
      </w:r>
      <w:r>
        <w:t xml:space="preserve"> </w:t>
      </w:r>
      <w:r w:rsidR="00336C69">
        <w:tab/>
      </w:r>
      <w:r w:rsidR="00BF17F6" w:rsidRPr="005B0E08">
        <w:t>Ministry for Primary Industries. 2014. Report on the targeted surveillance of milk from animals potentially exposed to petrochemical mining wastes. Wellington: Ministry for Primary Industries.</w:t>
      </w:r>
    </w:p>
    <w:p w14:paraId="00EB8D15" w14:textId="26EA8007" w:rsidR="009508F2" w:rsidRDefault="009508F2">
      <w:pPr>
        <w:pStyle w:val="FootnoteText"/>
      </w:pPr>
    </w:p>
  </w:footnote>
  <w:footnote w:id="17">
    <w:p w14:paraId="6E1301F2" w14:textId="004D5BFC" w:rsidR="009508F2" w:rsidRPr="00946373" w:rsidRDefault="009508F2" w:rsidP="00946373">
      <w:pPr>
        <w:pStyle w:val="FootnoteText"/>
        <w:rPr>
          <w:lang w:val="en-US"/>
        </w:rPr>
      </w:pPr>
      <w:r>
        <w:rPr>
          <w:rStyle w:val="FootnoteReference"/>
        </w:rPr>
        <w:footnoteRef/>
      </w:r>
      <w:r>
        <w:t xml:space="preserve"> </w:t>
      </w:r>
      <w:r>
        <w:tab/>
      </w:r>
      <w:r w:rsidR="00946373" w:rsidRPr="005B0E08">
        <w:t>Ministry for the Environment &amp; Statistics New Zealand. 2018a</w:t>
      </w:r>
      <w:r w:rsidR="00946373" w:rsidRPr="005B0E08">
        <w:rPr>
          <w:i/>
          <w:iCs/>
        </w:rPr>
        <w:t>. New Zealand’s Environmental Reporting Series: Our land 2018</w:t>
      </w:r>
      <w:r w:rsidR="00946373" w:rsidRPr="005B0E08">
        <w:t>. Retrieved from www.mfe.govt.nz and www.stats.govt.nz.</w:t>
      </w:r>
      <w:r w:rsidR="00946373" w:rsidRPr="005B0E08">
        <w:rPr>
          <w:lang w:val="en-US"/>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6964B6C5" w14:paraId="4D8E19C4" w14:textId="77777777" w:rsidTr="00F8170A">
      <w:tc>
        <w:tcPr>
          <w:tcW w:w="2835" w:type="dxa"/>
        </w:tcPr>
        <w:p w14:paraId="1F2F6D69" w14:textId="56F43789" w:rsidR="6964B6C5" w:rsidRDefault="6964B6C5" w:rsidP="007B3A22">
          <w:pPr>
            <w:pStyle w:val="Header"/>
            <w:ind w:left="-115"/>
            <w:jc w:val="left"/>
          </w:pPr>
        </w:p>
      </w:tc>
      <w:tc>
        <w:tcPr>
          <w:tcW w:w="2835" w:type="dxa"/>
        </w:tcPr>
        <w:p w14:paraId="5DA1BFBD" w14:textId="06C8321D" w:rsidR="6964B6C5" w:rsidRDefault="6964B6C5" w:rsidP="007B3A22">
          <w:pPr>
            <w:pStyle w:val="Header"/>
          </w:pPr>
        </w:p>
      </w:tc>
      <w:tc>
        <w:tcPr>
          <w:tcW w:w="2835" w:type="dxa"/>
        </w:tcPr>
        <w:p w14:paraId="45AF4D1D" w14:textId="3575BA7A" w:rsidR="6964B6C5" w:rsidRDefault="6964B6C5" w:rsidP="007B3A22">
          <w:pPr>
            <w:pStyle w:val="Header"/>
            <w:ind w:right="-115"/>
            <w:jc w:val="right"/>
          </w:pPr>
        </w:p>
      </w:tc>
    </w:tr>
  </w:tbl>
  <w:p w14:paraId="7A5CD930" w14:textId="1334D5C0" w:rsidR="00E46E3A" w:rsidRDefault="00000000">
    <w:pPr>
      <w:pStyle w:val="Header"/>
    </w:pPr>
    <w:r>
      <w:rPr>
        <w:noProof/>
      </w:rPr>
      <w:pict w14:anchorId="5DD6C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17501" o:spid="_x0000_s1047" type="#_x0000_t136" style="position:absolute;left:0;text-align:left;margin-left:0;margin-top:0;width:371pt;height:85.5pt;rotation:315;z-index:-251640832;mso-position-horizontal:center;mso-position-horizontal-relative:margin;mso-position-vertical:center;mso-position-vertical-relative:margin" o:allowincell="f" fillcolor="silver" stroked="f">
          <v:fill opacity=".5"/>
          <v:textpath style="font-family:&quot;Calibri&quot;;font-size:70pt" string="SUPERSED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50B9" w14:textId="4B19B73F" w:rsidR="005D4298" w:rsidRPr="00DE7BF8" w:rsidRDefault="00000000">
    <w:pPr>
      <w:pStyle w:val="Header"/>
      <w:jc w:val="left"/>
      <w:rPr>
        <w:rFonts w:ascii="Calibri" w:hAnsi="Calibri"/>
      </w:rPr>
    </w:pPr>
    <w:r>
      <w:rPr>
        <w:noProof/>
      </w:rPr>
      <w:pict w14:anchorId="67ABF6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17502" o:spid="_x0000_s1048" type="#_x0000_t136" style="position:absolute;margin-left:0;margin-top:0;width:371pt;height:85.5pt;rotation:315;z-index:-251638784;mso-position-horizontal:center;mso-position-horizontal-relative:margin;mso-position-vertical:center;mso-position-vertical-relative:margin" o:allowincell="f" fillcolor="silver" stroked="f">
          <v:fill opacity=".5"/>
          <v:textpath style="font-family:&quot;Calibri&quot;;font-size:70pt" string="SUPERSED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E873" w14:textId="4E1CFB13" w:rsidR="009A5B75" w:rsidRDefault="00000000">
    <w:pPr>
      <w:pStyle w:val="Header"/>
    </w:pPr>
    <w:r>
      <w:rPr>
        <w:noProof/>
      </w:rPr>
      <w:pict w14:anchorId="13C6D6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17500" o:spid="_x0000_s1046" type="#_x0000_t136" style="position:absolute;left:0;text-align:left;margin-left:0;margin-top:0;width:371pt;height:85.5pt;rotation:315;z-index:-251642880;mso-position-horizontal:center;mso-position-horizontal-relative:margin;mso-position-vertical:center;mso-position-vertical-relative:margin" o:allowincell="f" fillcolor="silver" stroked="f">
          <v:fill opacity=".5"/>
          <v:textpath style="font-family:&quot;Calibri&quot;;font-size:70pt" string="SUPERSED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D972" w14:textId="673D6E80" w:rsidR="009508F2" w:rsidRDefault="00000000" w:rsidP="0036151C">
    <w:r>
      <w:rPr>
        <w:noProof/>
      </w:rPr>
      <w:pict w14:anchorId="07C33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17504" o:spid="_x0000_s1050" type="#_x0000_t136" style="position:absolute;left:0;text-align:left;margin-left:0;margin-top:0;width:371pt;height:85.5pt;rotation:315;z-index:-251634688;mso-position-horizontal:center;mso-position-horizontal-relative:margin;mso-position-vertical:center;mso-position-vertical-relative:margin" o:allowincell="f" fillcolor="silver" stroked="f">
          <v:fill opacity=".5"/>
          <v:textpath style="font-family:&quot;Calibri&quot;;font-size:70pt" string="SUPERSED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0EDF" w14:textId="13A29053" w:rsidR="009508F2" w:rsidRDefault="00000000">
    <w:pPr>
      <w:pStyle w:val="Header"/>
    </w:pPr>
    <w:r>
      <w:rPr>
        <w:noProof/>
      </w:rPr>
      <w:pict w14:anchorId="78028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17505" o:spid="_x0000_s1051" type="#_x0000_t136" style="position:absolute;left:0;text-align:left;margin-left:0;margin-top:0;width:371pt;height:85.5pt;rotation:315;z-index:-251632640;mso-position-horizontal:center;mso-position-horizontal-relative:margin;mso-position-vertical:center;mso-position-vertical-relative:margin" o:allowincell="f" fillcolor="silver" stroked="f">
          <v:fill opacity=".5"/>
          <v:textpath style="font-family:&quot;Calibri&quot;;font-size:70pt" string="SUPERSEDED"/>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2ECE" w14:textId="733E0564" w:rsidR="00EC07E8" w:rsidRDefault="00000000">
    <w:pPr>
      <w:pStyle w:val="Header"/>
    </w:pPr>
    <w:r>
      <w:rPr>
        <w:noProof/>
      </w:rPr>
      <w:pict w14:anchorId="09A75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17503" o:spid="_x0000_s1049" type="#_x0000_t136" style="position:absolute;left:0;text-align:left;margin-left:0;margin-top:0;width:371pt;height:85.5pt;rotation:315;z-index:-251636736;mso-position-horizontal:center;mso-position-horizontal-relative:margin;mso-position-vertical:center;mso-position-vertical-relative:margin" o:allowincell="f" fillcolor="silver" stroked="f">
          <v:fill opacity=".5"/>
          <v:textpath style="font-family:&quot;Calibri&quot;;font-size:70pt" string="SUPERSEDE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0D43" w14:textId="08469183" w:rsidR="00F65CE3" w:rsidRDefault="00000000" w:rsidP="0036151C">
    <w:r>
      <w:rPr>
        <w:noProof/>
      </w:rPr>
      <w:pict w14:anchorId="4801C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17507" o:spid="_x0000_s1053" type="#_x0000_t136" style="position:absolute;left:0;text-align:left;margin-left:0;margin-top:0;width:371pt;height:85.5pt;rotation:315;z-index:-251628544;mso-position-horizontal:center;mso-position-horizontal-relative:margin;mso-position-vertical:center;mso-position-vertical-relative:margin" o:allowincell="f" fillcolor="silver" stroked="f">
          <v:fill opacity=".5"/>
          <v:textpath style="font-family:&quot;Calibri&quot;;font-size:70pt" string="SUPERSEDED"/>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2D5F" w14:textId="34E6538C" w:rsidR="00F65CE3" w:rsidRDefault="00000000">
    <w:pPr>
      <w:pStyle w:val="Header"/>
    </w:pPr>
    <w:r>
      <w:rPr>
        <w:noProof/>
      </w:rPr>
      <w:pict w14:anchorId="590F2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17508" o:spid="_x0000_s1054" type="#_x0000_t136" style="position:absolute;left:0;text-align:left;margin-left:0;margin-top:0;width:371pt;height:85.5pt;rotation:315;z-index:-251626496;mso-position-horizontal:center;mso-position-horizontal-relative:margin;mso-position-vertical:center;mso-position-vertical-relative:margin" o:allowincell="f" fillcolor="silver" stroked="f">
          <v:fill opacity=".5"/>
          <v:textpath style="font-family:&quot;Calibri&quot;;font-size:70pt" string="SUPERSEDE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AD72" w14:textId="76C5D2EA" w:rsidR="00F65CE3" w:rsidRDefault="00000000">
    <w:pPr>
      <w:pStyle w:val="Header"/>
    </w:pPr>
    <w:r>
      <w:rPr>
        <w:noProof/>
      </w:rPr>
      <w:pict w14:anchorId="1A1A1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17506" o:spid="_x0000_s1052" type="#_x0000_t136" style="position:absolute;left:0;text-align:left;margin-left:0;margin-top:0;width:371pt;height:85.5pt;rotation:315;z-index:-251630592;mso-position-horizontal:center;mso-position-horizontal-relative:margin;mso-position-vertical:center;mso-position-vertical-relative:margin" o:allowincell="f" fillcolor="silver" stroked="f">
          <v:fill opacity=".5"/>
          <v:textpath style="font-family:&quot;Calibri&quot;;font-size:70pt" string="SUPERSEDED"/>
          <w10:wrap anchorx="margin" anchory="margin"/>
        </v:shape>
      </w:pict>
    </w:r>
    <w:r>
      <w:rPr>
        <w:noProof/>
      </w:rPr>
      <w:pict w14:anchorId="61D106E0">
        <v:shape id="_x0000_s1031" type="#_x0000_t136" style="position:absolute;left:0;text-align:left;margin-left:0;margin-top:0;width:461.2pt;height:138.35pt;rotation:315;z-index:-251644928;mso-position-horizontal:center;mso-position-horizontal-relative:margin;mso-position-vertical:center;mso-position-vertical-relative:margin" o:allowincell="f" fillcolor="silver" stroked="f">
          <v:fill opacity=".5"/>
          <v:textpath style="font-family:&quot;Calibri&quot;;font-size:1pt" string="SUPERSEDED"/>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CBVEDPVfLbG4t/" int2:id="05lAKSfG">
      <int2:state int2:value="Rejected" int2:type="LegacyProofing"/>
    </int2:textHash>
    <int2:textHash int2:hashCode="yz/26vzduc1qSf" int2:id="0jrwFnS3">
      <int2:state int2:value="Rejected" int2:type="LegacyProofing"/>
    </int2:textHash>
    <int2:textHash int2:hashCode="AIesTCedmXqEW4" int2:id="1Fi0GVm5">
      <int2:state int2:value="Rejected" int2:type="LegacyProofing"/>
    </int2:textHash>
    <int2:textHash int2:hashCode="eootxwnKa3OZkL" int2:id="3KZYHE1R">
      <int2:state int2:value="Rejected" int2:type="LegacyProofing"/>
    </int2:textHash>
    <int2:textHash int2:hashCode="T0tWaOzGu3ezvF" int2:id="3tM9wLS1">
      <int2:state int2:value="Rejected" int2:type="LegacyProofing"/>
    </int2:textHash>
    <int2:textHash int2:hashCode="bLtoVwIMzw5FBe" int2:id="4VHH5MXy">
      <int2:state int2:value="Rejected" int2:type="LegacyProofing"/>
    </int2:textHash>
    <int2:textHash int2:hashCode="ARBw74k15Pw2Ej" int2:id="57gXhH9P">
      <int2:state int2:value="Rejected" int2:type="LegacyProofing"/>
    </int2:textHash>
    <int2:textHash int2:hashCode="d9w6aBYyeBaC/f" int2:id="5d0llozA">
      <int2:state int2:value="Rejected" int2:type="LegacyProofing"/>
    </int2:textHash>
    <int2:textHash int2:hashCode="yZYBKZl//axsYq" int2:id="68ugyBy3">
      <int2:state int2:value="Rejected" int2:type="LegacyProofing"/>
    </int2:textHash>
    <int2:textHash int2:hashCode="iCVaT2itQAdkv/" int2:id="6BHkL6CE">
      <int2:state int2:value="Rejected" int2:type="LegacyProofing"/>
    </int2:textHash>
    <int2:textHash int2:hashCode="1kWeovcqsRLr9c" int2:id="7KaEod8a">
      <int2:state int2:value="Rejected" int2:type="LegacyProofing"/>
    </int2:textHash>
    <int2:textHash int2:hashCode="3+prhKQuKDxeuG" int2:id="94WouAbH">
      <int2:state int2:value="Rejected" int2:type="LegacyProofing"/>
    </int2:textHash>
    <int2:textHash int2:hashCode="6zXEEIC2T0bAL6" int2:id="9jm8KOzj">
      <int2:state int2:value="Rejected" int2:type="LegacyProofing"/>
    </int2:textHash>
    <int2:textHash int2:hashCode="AnMlqOEw0UO/St" int2:id="9vAmRR30">
      <int2:state int2:value="Rejected" int2:type="LegacyProofing"/>
    </int2:textHash>
    <int2:textHash int2:hashCode="9pw4BFnaOgpx/r" int2:id="ASrFQV6I">
      <int2:state int2:value="Rejected" int2:type="LegacyProofing"/>
    </int2:textHash>
    <int2:textHash int2:hashCode="+Sh2i13ltU5M2l" int2:id="Ae1XjLfO">
      <int2:state int2:value="Rejected" int2:type="LegacyProofing"/>
    </int2:textHash>
    <int2:textHash int2:hashCode="tv+hpBIIa+W7uK" int2:id="ArKqsLTr">
      <int2:state int2:value="Rejected" int2:type="LegacyProofing"/>
    </int2:textHash>
    <int2:textHash int2:hashCode="8caJdWo3YyV2Ch" int2:id="BTEsgeXm">
      <int2:state int2:value="Rejected" int2:type="LegacyProofing"/>
    </int2:textHash>
    <int2:textHash int2:hashCode="UAj6W89W71Ld8B" int2:id="E0tNKuym">
      <int2:state int2:value="Rejected" int2:type="LegacyProofing"/>
    </int2:textHash>
    <int2:textHash int2:hashCode="M+lQXRKULoJZo8" int2:id="F4Ck4Teu">
      <int2:state int2:value="Rejected" int2:type="LegacyProofing"/>
    </int2:textHash>
    <int2:textHash int2:hashCode="UNcDxeKrYDz23/" int2:id="F9Jhjiqo">
      <int2:state int2:value="Rejected" int2:type="LegacyProofing"/>
    </int2:textHash>
    <int2:textHash int2:hashCode="adCIajrPCLukMK" int2:id="HvjjH0xt">
      <int2:state int2:value="Rejected" int2:type="LegacyProofing"/>
    </int2:textHash>
    <int2:textHash int2:hashCode="BJnB900G1kf7yb" int2:id="IQnUdeX7">
      <int2:state int2:value="Rejected" int2:type="LegacyProofing"/>
    </int2:textHash>
    <int2:textHash int2:hashCode="au59bq4VWTQIUX" int2:id="IhJE9usS">
      <int2:state int2:value="Rejected" int2:type="LegacyProofing"/>
    </int2:textHash>
    <int2:textHash int2:hashCode="646/iVsYwcRfMX" int2:id="JE0NWKX9">
      <int2:state int2:value="Rejected" int2:type="LegacyProofing"/>
    </int2:textHash>
    <int2:textHash int2:hashCode="16xC0K+z714THc" int2:id="M3WY7UVx">
      <int2:state int2:value="Rejected" int2:type="LegacyProofing"/>
    </int2:textHash>
    <int2:textHash int2:hashCode="BC3EUS+j05HFFw" int2:id="NenDldsV">
      <int2:state int2:value="Rejected" int2:type="LegacyProofing"/>
    </int2:textHash>
    <int2:textHash int2:hashCode="9q3Cvvokpw4vAQ" int2:id="NxKhLw49">
      <int2:state int2:value="Rejected" int2:type="LegacyProofing"/>
    </int2:textHash>
    <int2:textHash int2:hashCode="qtRy1jKlwigyAZ" int2:id="PyxWffP6">
      <int2:state int2:value="Rejected" int2:type="LegacyProofing"/>
    </int2:textHash>
    <int2:textHash int2:hashCode="UpuXVkpoRgpaSK" int2:id="QBwZnNlK">
      <int2:state int2:value="Rejected" int2:type="LegacyProofing"/>
    </int2:textHash>
    <int2:textHash int2:hashCode="xj8ilXNqIK6G7g" int2:id="R6kfiPpG">
      <int2:state int2:value="Rejected" int2:type="LegacyProofing"/>
    </int2:textHash>
    <int2:textHash int2:hashCode="wOMA2mTvXDKYbx" int2:id="SU6xrQoW">
      <int2:state int2:value="Rejected" int2:type="LegacyProofing"/>
    </int2:textHash>
    <int2:textHash int2:hashCode="JRn4MXndjwpbf4" int2:id="SpHreGvp">
      <int2:state int2:value="Rejected" int2:type="LegacyProofing"/>
    </int2:textHash>
    <int2:textHash int2:hashCode="6cHzkYxBS7T3lx" int2:id="TFfVertt">
      <int2:state int2:value="Rejected" int2:type="LegacyProofing"/>
    </int2:textHash>
    <int2:textHash int2:hashCode="RLOwjDGToBkhmS" int2:id="VXChK1Ep">
      <int2:state int2:value="Rejected" int2:type="LegacyProofing"/>
    </int2:textHash>
    <int2:textHash int2:hashCode="EGAuY42BQ2iSj6" int2:id="VzkfvJhN">
      <int2:state int2:value="Rejected" int2:type="LegacyProofing"/>
    </int2:textHash>
    <int2:textHash int2:hashCode="gpG25XCChY0LzS" int2:id="W1orQ90A">
      <int2:state int2:value="Rejected" int2:type="LegacyProofing"/>
    </int2:textHash>
    <int2:textHash int2:hashCode="ccadFU4McQiJHU" int2:id="W8qSrvih">
      <int2:state int2:value="Rejected" int2:type="LegacyProofing"/>
    </int2:textHash>
    <int2:textHash int2:hashCode="SNRGzP9+qZWfrr" int2:id="WW3VrTjC">
      <int2:state int2:value="Rejected" int2:type="LegacyProofing"/>
    </int2:textHash>
    <int2:textHash int2:hashCode="uCg1cvpqhPu93r" int2:id="XabBMVsA">
      <int2:state int2:value="Rejected" int2:type="LegacyProofing"/>
    </int2:textHash>
    <int2:textHash int2:hashCode="I/EZHrJd4J7Cpn" int2:id="ZHKyzB12">
      <int2:state int2:value="Rejected" int2:type="LegacyProofing"/>
    </int2:textHash>
    <int2:textHash int2:hashCode="4RBIRcpVY0KEdg" int2:id="bwCbLngy">
      <int2:state int2:value="Rejected" int2:type="LegacyProofing"/>
    </int2:textHash>
    <int2:textHash int2:hashCode="c8NzMfWRSX/zM4" int2:id="dPSFt9ly">
      <int2:state int2:value="Rejected" int2:type="LegacyProofing"/>
    </int2:textHash>
    <int2:textHash int2:hashCode="B1YCmAkTKeNTYO" int2:id="eCz4ZvyT">
      <int2:state int2:value="Rejected" int2:type="LegacyProofing"/>
    </int2:textHash>
    <int2:textHash int2:hashCode="RmgKZl0ISEoohg" int2:id="eS7UIIpU">
      <int2:state int2:value="Rejected" int2:type="LegacyProofing"/>
    </int2:textHash>
    <int2:textHash int2:hashCode="nQIJPHgehU20ei" int2:id="fOrGbZGI">
      <int2:state int2:value="Rejected" int2:type="LegacyProofing"/>
    </int2:textHash>
    <int2:textHash int2:hashCode="ZZkKhDHDrlZmDk" int2:id="fUuTW5AD">
      <int2:state int2:value="Rejected" int2:type="LegacyProofing"/>
    </int2:textHash>
    <int2:textHash int2:hashCode="vrgVQC5s5WkStu" int2:id="fnNZaiXE">
      <int2:state int2:value="Rejected" int2:type="LegacyProofing"/>
    </int2:textHash>
    <int2:textHash int2:hashCode="YIAenusvcp8nAC" int2:id="gDf3bJtd">
      <int2:state int2:value="Rejected" int2:type="LegacyProofing"/>
    </int2:textHash>
    <int2:textHash int2:hashCode="Q+hiNfN5OO3XKP" int2:id="gzil3hGE">
      <int2:state int2:value="Rejected" int2:type="LegacyProofing"/>
    </int2:textHash>
    <int2:textHash int2:hashCode="ErUHVCra/NBkXe" int2:id="jQVAAqCe">
      <int2:state int2:value="Rejected" int2:type="LegacyProofing"/>
    </int2:textHash>
    <int2:textHash int2:hashCode="EsOHn1H5x9p2G6" int2:id="khizM4Gt">
      <int2:state int2:value="Rejected" int2:type="LegacyProofing"/>
    </int2:textHash>
    <int2:textHash int2:hashCode="2B+EaL6Tve/qPe" int2:id="l35l5ELt">
      <int2:state int2:value="Rejected" int2:type="LegacyProofing"/>
    </int2:textHash>
    <int2:textHash int2:hashCode="wovMSPv70t1jWl" int2:id="lKwt2EPP">
      <int2:state int2:value="Rejected" int2:type="LegacyProofing"/>
    </int2:textHash>
    <int2:textHash int2:hashCode="Pwxxtk1Oaaejcq" int2:id="mJnEQPW2">
      <int2:state int2:value="Rejected" int2:type="LegacyProofing"/>
    </int2:textHash>
    <int2:textHash int2:hashCode="lDWQcYIz+HAc0b" int2:id="msPT8QF2">
      <int2:state int2:value="Rejected" int2:type="LegacyProofing"/>
    </int2:textHash>
    <int2:textHash int2:hashCode="OhwhpVntQtbOF8" int2:id="oZXHfG6A">
      <int2:state int2:value="Rejected" int2:type="LegacyProofing"/>
    </int2:textHash>
    <int2:textHash int2:hashCode="KEZ0alE9UDDaE3" int2:id="ol5W2cKI">
      <int2:state int2:value="Rejected" int2:type="LegacyProofing"/>
    </int2:textHash>
    <int2:textHash int2:hashCode="00A7anN1HBIlbF" int2:id="pOyt3rng">
      <int2:state int2:value="Rejected" int2:type="LegacyProofing"/>
    </int2:textHash>
    <int2:textHash int2:hashCode="/hN1UJLRynlanY" int2:id="pzs9bZRY">
      <int2:state int2:value="Rejected" int2:type="LegacyProofing"/>
    </int2:textHash>
    <int2:textHash int2:hashCode="1KbAe4xGHRvBoB" int2:id="qepGlkcf">
      <int2:state int2:value="Rejected" int2:type="LegacyProofing"/>
    </int2:textHash>
    <int2:textHash int2:hashCode="trCganbwFMHtL0" int2:id="rHeDTkOE">
      <int2:state int2:value="Rejected" int2:type="LegacyProofing"/>
    </int2:textHash>
    <int2:textHash int2:hashCode="p2Zq09eRi+Q6rh" int2:id="sYodbZec">
      <int2:state int2:value="Rejected" int2:type="LegacyProofing"/>
    </int2:textHash>
    <int2:textHash int2:hashCode="49j4V3z0efzbTd" int2:id="sfGf9RkL">
      <int2:state int2:value="Rejected" int2:type="LegacyProofing"/>
    </int2:textHash>
    <int2:textHash int2:hashCode="jUJy6hewEf+GRm" int2:id="skd1KQ3j">
      <int2:state int2:value="Rejected" int2:type="LegacyProofing"/>
    </int2:textHash>
    <int2:textHash int2:hashCode="oAAt3iZ85N7hsD" int2:id="tMTlaFDd">
      <int2:state int2:value="Rejected" int2:type="LegacyProofing"/>
    </int2:textHash>
    <int2:textHash int2:hashCode="eD1gfB5H6dVPv4" int2:id="txbTPlLM">
      <int2:state int2:value="Rejected" int2:type="LegacyProofing"/>
    </int2:textHash>
    <int2:textHash int2:hashCode="ni8UUdXdlt6RIo" int2:id="unSRnSKk">
      <int2:state int2:value="Rejected" int2:type="LegacyProofing"/>
    </int2:textHash>
    <int2:textHash int2:hashCode="jNqBI3IaPDMkSD" int2:id="vUjSEyzZ">
      <int2:state int2:value="Rejected" int2:type="LegacyProofing"/>
    </int2:textHash>
    <int2:textHash int2:hashCode="mmo6T6mngGjX8I" int2:id="vl6BhTFU">
      <int2:state int2:value="Rejected" int2:type="LegacyProofing"/>
    </int2:textHash>
    <int2:textHash int2:hashCode="ZFG9hycXXsr6KT" int2:id="w0BfCwvE">
      <int2:state int2:value="Rejected" int2:type="LegacyProofing"/>
    </int2:textHash>
    <int2:textHash int2:hashCode="wRGHPQ+eJgV2Df" int2:id="wE7NwnFJ">
      <int2:state int2:value="Rejected" int2:type="LegacyProofing"/>
    </int2:textHash>
    <int2:textHash int2:hashCode="JaV8lUcBJJU5QI" int2:id="wMgVTjhn">
      <int2:state int2:value="Rejected" int2:type="LegacyProofing"/>
    </int2:textHash>
    <int2:textHash int2:hashCode="LyYHXXFaCXgOt6" int2:id="xGbn8d8H">
      <int2:state int2:value="Rejected" int2:type="LegacyProofing"/>
    </int2:textHash>
    <int2:textHash int2:hashCode="SCWnw6HySUYEn4" int2:id="xaQXdE4Q">
      <int2:state int2:value="Rejected" int2:type="LegacyProofing"/>
    </int2:textHash>
    <int2:textHash int2:hashCode="QIcbO7uptOs7Kc" int2:id="xrAA4Wk4">
      <int2:state int2:value="Rejected" int2:type="LegacyProofing"/>
    </int2:textHash>
    <int2:textHash int2:hashCode="vCApd1KwCCkBuP" int2:id="z3RJxNxm">
      <int2:state int2:value="Rejected" int2:type="LegacyProofing"/>
    </int2:textHash>
    <int2:textHash int2:hashCode="Xnl+OU0OfohllN" int2:id="zDxXxxaN">
      <int2:state int2:value="Rejected" int2:type="LegacyProofing"/>
    </int2:textHash>
    <int2:bookmark int2:bookmarkName="_Int_uknwrB5h" int2:invalidationBookmarkName="" int2:hashCode="5pTAVjewiWSspq" int2:id="32Jo0YCq">
      <int2:state int2:value="Rejected" int2:type="AugLoop_Text_Critique"/>
    </int2:bookmark>
    <int2:bookmark int2:bookmarkName="_Int_JfObwbyy" int2:invalidationBookmarkName="" int2:hashCode="v4tEan6FGC0k5G" int2:id="4caCxjgW">
      <int2:state int2:value="Rejected" int2:type="AugLoop_Acronyms_AcronymsCritique"/>
    </int2:bookmark>
    <int2:bookmark int2:bookmarkName="_Int_K80fdlOS" int2:invalidationBookmarkName="" int2:hashCode="08TbTAAgnUXCdb" int2:id="4oR5XtUe">
      <int2:state int2:value="Rejected" int2:type="AugLoop_Text_Critique"/>
    </int2:bookmark>
    <int2:bookmark int2:bookmarkName="_Int_ybc8DRrw" int2:invalidationBookmarkName="" int2:hashCode="ccIzd77dCkKoQJ" int2:id="664cZJq4">
      <int2:state int2:value="Rejected" int2:type="LegacyProofing"/>
    </int2:bookmark>
    <int2:bookmark int2:bookmarkName="_Int_0E05sOcE" int2:invalidationBookmarkName="" int2:hashCode="TRdk8xIhrM0WlL" int2:id="6jmMmnQe">
      <int2:state int2:value="Rejected" int2:type="AugLoop_Text_Critique"/>
    </int2:bookmark>
    <int2:bookmark int2:bookmarkName="_Int_DIcA1Wgq" int2:invalidationBookmarkName="" int2:hashCode="Kt/5U2/GtWN+Yz" int2:id="6z9MV4EI">
      <int2:state int2:value="Rejected" int2:type="AugLoop_Text_Critique"/>
    </int2:bookmark>
    <int2:bookmark int2:bookmarkName="_Int_4ZO8Vol0" int2:invalidationBookmarkName="" int2:hashCode="vGDbHEFPZT7PnP" int2:id="7kI35wnk">
      <int2:state int2:value="Rejected" int2:type="AugLoop_Text_Critique"/>
    </int2:bookmark>
    <int2:bookmark int2:bookmarkName="_Int_3CMTAaBB" int2:invalidationBookmarkName="" int2:hashCode="9P9+f2DwR4hvKf" int2:id="xgOUvbYj">
      <int2:state int2:value="Rejected" int2:type="LegacyProofing"/>
    </int2:bookmark>
    <int2:bookmark int2:bookmarkName="_Int_sqHj2IEP" int2:invalidationBookmarkName="" int2:hashCode="0KPn+BqYhemQSd" int2:id="8ecaGKoC">
      <int2:state int2:value="Rejected" int2:type="LegacyProofing"/>
    </int2:bookmark>
    <int2:bookmark int2:bookmarkName="_Int_aspuCCtf" int2:invalidationBookmarkName="" int2:hashCode="Yof/MXrtctds6a" int2:id="x211E6hL">
      <int2:state int2:value="Rejected" int2:type="LegacyProofing"/>
    </int2:bookmark>
    <int2:bookmark int2:bookmarkName="_Int_Zk965VOG" int2:invalidationBookmarkName="" int2:hashCode="TRdk8xIhrM0WlL" int2:id="AlQgFprH">
      <int2:state int2:value="Rejected" int2:type="AugLoop_Text_Critique"/>
    </int2:bookmark>
    <int2:bookmark int2:bookmarkName="_Int_HmfAvmKi" int2:invalidationBookmarkName="" int2:hashCode="wmGQBhsOzwQKnd" int2:id="wEX2cpYh">
      <int2:state int2:value="Rejected" int2:type="AugLoop_Text_Critique"/>
    </int2:bookmark>
    <int2:bookmark int2:bookmarkName="_Int_rHJfn82H" int2:invalidationBookmarkName="" int2:hashCode="TRdk8xIhrM0WlL" int2:id="BipLYXe1">
      <int2:state int2:value="Rejected" int2:type="AugLoop_Text_Critique"/>
    </int2:bookmark>
    <int2:bookmark int2:bookmarkName="_Int_0oAexPaF" int2:invalidationBookmarkName="" int2:hashCode="qdJERsweRxv2gA" int2:id="vJrjxbLS">
      <int2:state int2:value="Rejected" int2:type="LegacyProofing"/>
    </int2:bookmark>
    <int2:bookmark int2:bookmarkName="_Int_Jn68md5k" int2:invalidationBookmarkName="" int2:hashCode="RPVnd9r7ebCxT3" int2:id="KN3p7pVC">
      <int2:state int2:value="Rejected" int2:type="AugLoop_Text_Critique"/>
    </int2:bookmark>
    <int2:bookmark int2:bookmarkName="_Int_xhH7xz1K" int2:invalidationBookmarkName="" int2:hashCode="Zy/y+SNRHciJ0h" int2:id="uPqFqEEc">
      <int2:state int2:value="Rejected" int2:type="AugLoop_Text_Critique"/>
    </int2:bookmark>
    <int2:bookmark int2:bookmarkName="_Int_IbJB3UI8" int2:invalidationBookmarkName="" int2:hashCode="MjpP732y+8OG+5" int2:id="QbyyFFT7">
      <int2:state int2:value="Rejected" int2:type="AugLoop_Text_Critique"/>
    </int2:bookmark>
    <int2:bookmark int2:bookmarkName="_Int_JitfptDX" int2:invalidationBookmarkName="" int2:hashCode="AREwhdnnmzOPdE" int2:id="RQ9divm9">
      <int2:state int2:value="Rejected" int2:type="LegacyProofing"/>
    </int2:bookmark>
    <int2:bookmark int2:bookmarkName="_Int_CAPhtZON" int2:invalidationBookmarkName="" int2:hashCode="bLNw5K/RtBTj6A" int2:id="s8yx8Yha">
      <int2:state int2:value="Rejected" int2:type="LegacyProofing"/>
    </int2:bookmark>
    <int2:bookmark int2:bookmarkName="_Int_KcJ8v5Ao" int2:invalidationBookmarkName="" int2:hashCode="0KPn+BqYhemQSd" int2:id="qkk5FNWo">
      <int2:state int2:value="Rejected" int2:type="LegacyProofing"/>
    </int2:bookmark>
    <int2:bookmark int2:bookmarkName="_Int_sGg3bgML" int2:invalidationBookmarkName="" int2:hashCode="7qDADFBRsMzUbw" int2:id="WkT5gmsd">
      <int2:state int2:value="Rejected" int2:type="AugLoop_Acronyms_AcronymsCritique"/>
    </int2:bookmark>
    <int2:bookmark int2:bookmarkName="_Int_SPB12bbL" int2:invalidationBookmarkName="" int2:hashCode="0sPYAfNOgZmAQu" int2:id="hMmIGLlD">
      <int2:state int2:value="Rejected" int2:type="AugLoop_Text_Critique"/>
    </int2:bookmark>
    <int2:bookmark int2:bookmarkName="_Int_4iB3dtHf" int2:invalidationBookmarkName="" int2:hashCode="Q+dHfAA8NCZVEe" int2:id="b0SzuH4O">
      <int2:state int2:value="Rejected" int2:type="AugLoop_Text_Critique"/>
    </int2:bookmark>
    <int2:bookmark int2:bookmarkName="_Int_UvkYqZv9" int2:invalidationBookmarkName="" int2:hashCode="RjGcWnjccpTL+g" int2:id="bxdFxbeb">
      <int2:state int2:value="Rejected" int2:type="LegacyProofing"/>
    </int2:bookmark>
    <int2:bookmark int2:bookmarkName="_Int_KO4WwRhT" int2:invalidationBookmarkName="" int2:hashCode="jf+rJqVlrR1FG/" int2:id="dE02hxnG">
      <int2:state int2:value="Rejected" int2:type="LegacyProofing"/>
    </int2:bookmark>
    <int2:bookmark int2:bookmarkName="_Int_8YrLYVtg" int2:invalidationBookmarkName="" int2:hashCode="Du3xN8hGfTP/Qz" int2:id="eykZoedO">
      <int2:state int2:value="Rejected" int2:type="AugLoop_Text_Critique"/>
    </int2:bookmark>
    <int2:bookmark int2:bookmarkName="_Int_WuT1e3f6" int2:invalidationBookmarkName="" int2:hashCode="94rGl1q4AQ6N7X" int2:id="gFea9oSN">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BED"/>
    <w:multiLevelType w:val="hybridMultilevel"/>
    <w:tmpl w:val="B2248858"/>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223368F"/>
    <w:multiLevelType w:val="hybridMultilevel"/>
    <w:tmpl w:val="FFFFFFFF"/>
    <w:lvl w:ilvl="0" w:tplc="22F8D7E6">
      <w:start w:val="1"/>
      <w:numFmt w:val="bullet"/>
      <w:lvlText w:val=""/>
      <w:lvlJc w:val="left"/>
      <w:pPr>
        <w:ind w:left="360" w:hanging="360"/>
      </w:pPr>
      <w:rPr>
        <w:rFonts w:ascii="Symbol" w:hAnsi="Symbol" w:hint="default"/>
      </w:rPr>
    </w:lvl>
    <w:lvl w:ilvl="1" w:tplc="4D669FDA">
      <w:start w:val="1"/>
      <w:numFmt w:val="bullet"/>
      <w:lvlText w:val="o"/>
      <w:lvlJc w:val="left"/>
      <w:pPr>
        <w:ind w:left="1080" w:hanging="360"/>
      </w:pPr>
      <w:rPr>
        <w:rFonts w:ascii="Courier New" w:hAnsi="Courier New" w:hint="default"/>
      </w:rPr>
    </w:lvl>
    <w:lvl w:ilvl="2" w:tplc="1DCA4582">
      <w:start w:val="1"/>
      <w:numFmt w:val="bullet"/>
      <w:lvlText w:val=""/>
      <w:lvlJc w:val="left"/>
      <w:pPr>
        <w:ind w:left="1800" w:hanging="360"/>
      </w:pPr>
      <w:rPr>
        <w:rFonts w:ascii="Wingdings" w:hAnsi="Wingdings" w:hint="default"/>
      </w:rPr>
    </w:lvl>
    <w:lvl w:ilvl="3" w:tplc="EE32AA24">
      <w:start w:val="1"/>
      <w:numFmt w:val="bullet"/>
      <w:lvlText w:val=""/>
      <w:lvlJc w:val="left"/>
      <w:pPr>
        <w:ind w:left="2520" w:hanging="360"/>
      </w:pPr>
      <w:rPr>
        <w:rFonts w:ascii="Symbol" w:hAnsi="Symbol" w:hint="default"/>
      </w:rPr>
    </w:lvl>
    <w:lvl w:ilvl="4" w:tplc="C862F60A">
      <w:start w:val="1"/>
      <w:numFmt w:val="bullet"/>
      <w:lvlText w:val="o"/>
      <w:lvlJc w:val="left"/>
      <w:pPr>
        <w:ind w:left="3240" w:hanging="360"/>
      </w:pPr>
      <w:rPr>
        <w:rFonts w:ascii="Courier New" w:hAnsi="Courier New" w:hint="default"/>
      </w:rPr>
    </w:lvl>
    <w:lvl w:ilvl="5" w:tplc="A61AB864">
      <w:start w:val="1"/>
      <w:numFmt w:val="bullet"/>
      <w:lvlText w:val=""/>
      <w:lvlJc w:val="left"/>
      <w:pPr>
        <w:ind w:left="3960" w:hanging="360"/>
      </w:pPr>
      <w:rPr>
        <w:rFonts w:ascii="Wingdings" w:hAnsi="Wingdings" w:hint="default"/>
      </w:rPr>
    </w:lvl>
    <w:lvl w:ilvl="6" w:tplc="4920A9D6">
      <w:start w:val="1"/>
      <w:numFmt w:val="bullet"/>
      <w:lvlText w:val=""/>
      <w:lvlJc w:val="left"/>
      <w:pPr>
        <w:ind w:left="4680" w:hanging="360"/>
      </w:pPr>
      <w:rPr>
        <w:rFonts w:ascii="Symbol" w:hAnsi="Symbol" w:hint="default"/>
      </w:rPr>
    </w:lvl>
    <w:lvl w:ilvl="7" w:tplc="134EEECC">
      <w:start w:val="1"/>
      <w:numFmt w:val="bullet"/>
      <w:lvlText w:val="o"/>
      <w:lvlJc w:val="left"/>
      <w:pPr>
        <w:ind w:left="5400" w:hanging="360"/>
      </w:pPr>
      <w:rPr>
        <w:rFonts w:ascii="Courier New" w:hAnsi="Courier New" w:hint="default"/>
      </w:rPr>
    </w:lvl>
    <w:lvl w:ilvl="8" w:tplc="C8F85440">
      <w:start w:val="1"/>
      <w:numFmt w:val="bullet"/>
      <w:lvlText w:val=""/>
      <w:lvlJc w:val="left"/>
      <w:pPr>
        <w:ind w:left="6120" w:hanging="360"/>
      </w:pPr>
      <w:rPr>
        <w:rFonts w:ascii="Wingdings" w:hAnsi="Wingdings" w:hint="default"/>
      </w:rPr>
    </w:lvl>
  </w:abstractNum>
  <w:abstractNum w:abstractNumId="2" w15:restartNumberingAfterBreak="0">
    <w:nsid w:val="06744BBD"/>
    <w:multiLevelType w:val="hybridMultilevel"/>
    <w:tmpl w:val="946693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4"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0BD75E58"/>
    <w:multiLevelType w:val="hybridMultilevel"/>
    <w:tmpl w:val="2230D0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F461735"/>
    <w:multiLevelType w:val="hybridMultilevel"/>
    <w:tmpl w:val="E5B26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9ED44D9"/>
    <w:multiLevelType w:val="hybridMultilevel"/>
    <w:tmpl w:val="1D36EBCA"/>
    <w:lvl w:ilvl="0" w:tplc="38B28642">
      <w:start w:val="1"/>
      <w:numFmt w:val="bullet"/>
      <w:pStyle w:val="Blue-boxbullet"/>
      <w:lvlText w:val=""/>
      <w:lvlJc w:val="left"/>
      <w:pPr>
        <w:ind w:left="644" w:hanging="360"/>
      </w:pPr>
      <w:rPr>
        <w:rFonts w:ascii="Symbol" w:hAnsi="Symbol" w:hint="default"/>
        <w:sz w:val="18"/>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8" w15:restartNumberingAfterBreak="0">
    <w:nsid w:val="1F30E5A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72534"/>
    <w:multiLevelType w:val="hybridMultilevel"/>
    <w:tmpl w:val="F2C28F28"/>
    <w:lvl w:ilvl="0" w:tplc="14090001">
      <w:start w:val="1"/>
      <w:numFmt w:val="bullet"/>
      <w:lvlText w:val=""/>
      <w:lvlJc w:val="left"/>
      <w:pPr>
        <w:ind w:left="1154" w:hanging="360"/>
      </w:pPr>
      <w:rPr>
        <w:rFonts w:ascii="Symbol" w:hAnsi="Symbol" w:hint="default"/>
      </w:rPr>
    </w:lvl>
    <w:lvl w:ilvl="1" w:tplc="14090003" w:tentative="1">
      <w:start w:val="1"/>
      <w:numFmt w:val="bullet"/>
      <w:lvlText w:val="o"/>
      <w:lvlJc w:val="left"/>
      <w:pPr>
        <w:ind w:left="1874" w:hanging="360"/>
      </w:pPr>
      <w:rPr>
        <w:rFonts w:ascii="Courier New" w:hAnsi="Courier New" w:cs="Courier New" w:hint="default"/>
      </w:rPr>
    </w:lvl>
    <w:lvl w:ilvl="2" w:tplc="14090005" w:tentative="1">
      <w:start w:val="1"/>
      <w:numFmt w:val="bullet"/>
      <w:lvlText w:val=""/>
      <w:lvlJc w:val="left"/>
      <w:pPr>
        <w:ind w:left="2594" w:hanging="360"/>
      </w:pPr>
      <w:rPr>
        <w:rFonts w:ascii="Wingdings" w:hAnsi="Wingdings" w:hint="default"/>
      </w:rPr>
    </w:lvl>
    <w:lvl w:ilvl="3" w:tplc="14090001" w:tentative="1">
      <w:start w:val="1"/>
      <w:numFmt w:val="bullet"/>
      <w:lvlText w:val=""/>
      <w:lvlJc w:val="left"/>
      <w:pPr>
        <w:ind w:left="3314" w:hanging="360"/>
      </w:pPr>
      <w:rPr>
        <w:rFonts w:ascii="Symbol" w:hAnsi="Symbol" w:hint="default"/>
      </w:rPr>
    </w:lvl>
    <w:lvl w:ilvl="4" w:tplc="14090003" w:tentative="1">
      <w:start w:val="1"/>
      <w:numFmt w:val="bullet"/>
      <w:lvlText w:val="o"/>
      <w:lvlJc w:val="left"/>
      <w:pPr>
        <w:ind w:left="4034" w:hanging="360"/>
      </w:pPr>
      <w:rPr>
        <w:rFonts w:ascii="Courier New" w:hAnsi="Courier New" w:cs="Courier New" w:hint="default"/>
      </w:rPr>
    </w:lvl>
    <w:lvl w:ilvl="5" w:tplc="14090005" w:tentative="1">
      <w:start w:val="1"/>
      <w:numFmt w:val="bullet"/>
      <w:lvlText w:val=""/>
      <w:lvlJc w:val="left"/>
      <w:pPr>
        <w:ind w:left="4754" w:hanging="360"/>
      </w:pPr>
      <w:rPr>
        <w:rFonts w:ascii="Wingdings" w:hAnsi="Wingdings" w:hint="default"/>
      </w:rPr>
    </w:lvl>
    <w:lvl w:ilvl="6" w:tplc="14090001" w:tentative="1">
      <w:start w:val="1"/>
      <w:numFmt w:val="bullet"/>
      <w:lvlText w:val=""/>
      <w:lvlJc w:val="left"/>
      <w:pPr>
        <w:ind w:left="5474" w:hanging="360"/>
      </w:pPr>
      <w:rPr>
        <w:rFonts w:ascii="Symbol" w:hAnsi="Symbol" w:hint="default"/>
      </w:rPr>
    </w:lvl>
    <w:lvl w:ilvl="7" w:tplc="14090003" w:tentative="1">
      <w:start w:val="1"/>
      <w:numFmt w:val="bullet"/>
      <w:lvlText w:val="o"/>
      <w:lvlJc w:val="left"/>
      <w:pPr>
        <w:ind w:left="6194" w:hanging="360"/>
      </w:pPr>
      <w:rPr>
        <w:rFonts w:ascii="Courier New" w:hAnsi="Courier New" w:cs="Courier New" w:hint="default"/>
      </w:rPr>
    </w:lvl>
    <w:lvl w:ilvl="8" w:tplc="14090005" w:tentative="1">
      <w:start w:val="1"/>
      <w:numFmt w:val="bullet"/>
      <w:lvlText w:val=""/>
      <w:lvlJc w:val="left"/>
      <w:pPr>
        <w:ind w:left="6914" w:hanging="360"/>
      </w:pPr>
      <w:rPr>
        <w:rFonts w:ascii="Wingdings" w:hAnsi="Wingdings" w:hint="default"/>
      </w:rPr>
    </w:lvl>
  </w:abstractNum>
  <w:abstractNum w:abstractNumId="10" w15:restartNumberingAfterBreak="0">
    <w:nsid w:val="204F1D2E"/>
    <w:multiLevelType w:val="multilevel"/>
    <w:tmpl w:val="78387896"/>
    <w:lvl w:ilvl="0">
      <w:start w:val="1"/>
      <w:numFmt w:val="bullet"/>
      <w:pStyle w:val="Blue-boxsub-bullet"/>
      <w:lvlText w:val="‒"/>
      <w:lvlJc w:val="left"/>
      <w:pPr>
        <w:ind w:left="1077" w:hanging="397"/>
      </w:pPr>
      <w:rPr>
        <w:rFonts w:ascii="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23095181"/>
    <w:multiLevelType w:val="hybridMultilevel"/>
    <w:tmpl w:val="2862B2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48D7F33"/>
    <w:multiLevelType w:val="hybridMultilevel"/>
    <w:tmpl w:val="8E781336"/>
    <w:lvl w:ilvl="0" w:tplc="B84A7178">
      <w:start w:val="1"/>
      <w:numFmt w:val="lowerLetter"/>
      <w:lvlText w:val="(%1)"/>
      <w:lvlJc w:val="left"/>
      <w:pPr>
        <w:tabs>
          <w:tab w:val="num" w:pos="284"/>
        </w:tabs>
        <w:ind w:left="284" w:hanging="284"/>
      </w:pPr>
      <w:rPr>
        <w:rFonts w:hint="default"/>
        <w:sz w:val="16"/>
        <w:szCs w:val="16"/>
      </w:rPr>
    </w:lvl>
    <w:lvl w:ilvl="1" w:tplc="FFFFFFFF">
      <w:numFmt w:val="bullet"/>
      <w:lvlText w:val="-"/>
      <w:lvlJc w:val="left"/>
      <w:pPr>
        <w:ind w:left="1440" w:hanging="360"/>
      </w:pPr>
      <w:rPr>
        <w:rFonts w:ascii="Calibri" w:eastAsiaTheme="minorEastAsia" w:hAnsi="Calibri" w:cstheme="minorBid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DE2378"/>
    <w:multiLevelType w:val="hybridMultilevel"/>
    <w:tmpl w:val="D36091AA"/>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98763A5"/>
    <w:multiLevelType w:val="hybridMultilevel"/>
    <w:tmpl w:val="FBFC966A"/>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29CB07DE"/>
    <w:multiLevelType w:val="hybridMultilevel"/>
    <w:tmpl w:val="0A1E5AC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29D33F2E"/>
    <w:multiLevelType w:val="hybridMultilevel"/>
    <w:tmpl w:val="2CCE5340"/>
    <w:lvl w:ilvl="0" w:tplc="14090001">
      <w:start w:val="1"/>
      <w:numFmt w:val="bullet"/>
      <w:lvlText w:val=""/>
      <w:lvlJc w:val="left"/>
      <w:pPr>
        <w:ind w:left="1154" w:hanging="360"/>
      </w:pPr>
      <w:rPr>
        <w:rFonts w:ascii="Symbol" w:hAnsi="Symbol" w:hint="default"/>
      </w:rPr>
    </w:lvl>
    <w:lvl w:ilvl="1" w:tplc="14090003" w:tentative="1">
      <w:start w:val="1"/>
      <w:numFmt w:val="bullet"/>
      <w:lvlText w:val="o"/>
      <w:lvlJc w:val="left"/>
      <w:pPr>
        <w:ind w:left="1874" w:hanging="360"/>
      </w:pPr>
      <w:rPr>
        <w:rFonts w:ascii="Courier New" w:hAnsi="Courier New" w:cs="Courier New" w:hint="default"/>
      </w:rPr>
    </w:lvl>
    <w:lvl w:ilvl="2" w:tplc="14090005" w:tentative="1">
      <w:start w:val="1"/>
      <w:numFmt w:val="bullet"/>
      <w:lvlText w:val=""/>
      <w:lvlJc w:val="left"/>
      <w:pPr>
        <w:ind w:left="2594" w:hanging="360"/>
      </w:pPr>
      <w:rPr>
        <w:rFonts w:ascii="Wingdings" w:hAnsi="Wingdings" w:hint="default"/>
      </w:rPr>
    </w:lvl>
    <w:lvl w:ilvl="3" w:tplc="14090001" w:tentative="1">
      <w:start w:val="1"/>
      <w:numFmt w:val="bullet"/>
      <w:lvlText w:val=""/>
      <w:lvlJc w:val="left"/>
      <w:pPr>
        <w:ind w:left="3314" w:hanging="360"/>
      </w:pPr>
      <w:rPr>
        <w:rFonts w:ascii="Symbol" w:hAnsi="Symbol" w:hint="default"/>
      </w:rPr>
    </w:lvl>
    <w:lvl w:ilvl="4" w:tplc="14090003" w:tentative="1">
      <w:start w:val="1"/>
      <w:numFmt w:val="bullet"/>
      <w:lvlText w:val="o"/>
      <w:lvlJc w:val="left"/>
      <w:pPr>
        <w:ind w:left="4034" w:hanging="360"/>
      </w:pPr>
      <w:rPr>
        <w:rFonts w:ascii="Courier New" w:hAnsi="Courier New" w:cs="Courier New" w:hint="default"/>
      </w:rPr>
    </w:lvl>
    <w:lvl w:ilvl="5" w:tplc="14090005" w:tentative="1">
      <w:start w:val="1"/>
      <w:numFmt w:val="bullet"/>
      <w:lvlText w:val=""/>
      <w:lvlJc w:val="left"/>
      <w:pPr>
        <w:ind w:left="4754" w:hanging="360"/>
      </w:pPr>
      <w:rPr>
        <w:rFonts w:ascii="Wingdings" w:hAnsi="Wingdings" w:hint="default"/>
      </w:rPr>
    </w:lvl>
    <w:lvl w:ilvl="6" w:tplc="14090001" w:tentative="1">
      <w:start w:val="1"/>
      <w:numFmt w:val="bullet"/>
      <w:lvlText w:val=""/>
      <w:lvlJc w:val="left"/>
      <w:pPr>
        <w:ind w:left="5474" w:hanging="360"/>
      </w:pPr>
      <w:rPr>
        <w:rFonts w:ascii="Symbol" w:hAnsi="Symbol" w:hint="default"/>
      </w:rPr>
    </w:lvl>
    <w:lvl w:ilvl="7" w:tplc="14090003" w:tentative="1">
      <w:start w:val="1"/>
      <w:numFmt w:val="bullet"/>
      <w:lvlText w:val="o"/>
      <w:lvlJc w:val="left"/>
      <w:pPr>
        <w:ind w:left="6194" w:hanging="360"/>
      </w:pPr>
      <w:rPr>
        <w:rFonts w:ascii="Courier New" w:hAnsi="Courier New" w:cs="Courier New" w:hint="default"/>
      </w:rPr>
    </w:lvl>
    <w:lvl w:ilvl="8" w:tplc="14090005" w:tentative="1">
      <w:start w:val="1"/>
      <w:numFmt w:val="bullet"/>
      <w:lvlText w:val=""/>
      <w:lvlJc w:val="left"/>
      <w:pPr>
        <w:ind w:left="6914" w:hanging="360"/>
      </w:pPr>
      <w:rPr>
        <w:rFonts w:ascii="Wingdings" w:hAnsi="Wingdings" w:hint="default"/>
      </w:rPr>
    </w:lvl>
  </w:abstractNum>
  <w:abstractNum w:abstractNumId="19" w15:restartNumberingAfterBreak="0">
    <w:nsid w:val="2B021DFE"/>
    <w:multiLevelType w:val="hybridMultilevel"/>
    <w:tmpl w:val="12C2237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0"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22" w15:restartNumberingAfterBreak="0">
    <w:nsid w:val="2DAC4F8F"/>
    <w:multiLevelType w:val="multilevel"/>
    <w:tmpl w:val="F13A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064C1B"/>
    <w:multiLevelType w:val="multilevel"/>
    <w:tmpl w:val="EACC29BA"/>
    <w:lvl w:ilvl="0">
      <w:start w:val="1"/>
      <w:numFmt w:val="bullet"/>
      <w:lvlText w:val="·"/>
      <w:lvlJc w:val="left"/>
      <w:pPr>
        <w:tabs>
          <w:tab w:val="left" w:pos="432"/>
        </w:tabs>
        <w:ind w:left="720"/>
      </w:pPr>
      <w:rPr>
        <w:rFonts w:ascii="Symbol" w:eastAsia="Symbol" w:hAnsi="Symbo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F7430B8"/>
    <w:multiLevelType w:val="hybridMultilevel"/>
    <w:tmpl w:val="8B62A4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029BD70"/>
    <w:multiLevelType w:val="hybridMultilevel"/>
    <w:tmpl w:val="FFFFFFFF"/>
    <w:lvl w:ilvl="0" w:tplc="D6620B9E">
      <w:start w:val="1"/>
      <w:numFmt w:val="decimal"/>
      <w:lvlText w:val="%1."/>
      <w:lvlJc w:val="left"/>
      <w:pPr>
        <w:ind w:left="720" w:hanging="360"/>
      </w:pPr>
    </w:lvl>
    <w:lvl w:ilvl="1" w:tplc="F48E8AAC">
      <w:start w:val="1"/>
      <w:numFmt w:val="bullet"/>
      <w:lvlText w:val="o"/>
      <w:lvlJc w:val="left"/>
      <w:pPr>
        <w:ind w:left="1440" w:hanging="360"/>
      </w:pPr>
      <w:rPr>
        <w:rFonts w:ascii="Courier New" w:hAnsi="Courier New" w:hint="default"/>
      </w:rPr>
    </w:lvl>
    <w:lvl w:ilvl="2" w:tplc="697413DE">
      <w:start w:val="1"/>
      <w:numFmt w:val="bullet"/>
      <w:lvlText w:val=""/>
      <w:lvlJc w:val="left"/>
      <w:pPr>
        <w:ind w:left="2160" w:hanging="360"/>
      </w:pPr>
      <w:rPr>
        <w:rFonts w:ascii="Wingdings" w:hAnsi="Wingdings" w:hint="default"/>
      </w:rPr>
    </w:lvl>
    <w:lvl w:ilvl="3" w:tplc="845AD69E">
      <w:start w:val="1"/>
      <w:numFmt w:val="bullet"/>
      <w:lvlText w:val=""/>
      <w:lvlJc w:val="left"/>
      <w:pPr>
        <w:ind w:left="2880" w:hanging="360"/>
      </w:pPr>
      <w:rPr>
        <w:rFonts w:ascii="Symbol" w:hAnsi="Symbol" w:hint="default"/>
      </w:rPr>
    </w:lvl>
    <w:lvl w:ilvl="4" w:tplc="E2FEE292">
      <w:start w:val="1"/>
      <w:numFmt w:val="bullet"/>
      <w:lvlText w:val="o"/>
      <w:lvlJc w:val="left"/>
      <w:pPr>
        <w:ind w:left="3600" w:hanging="360"/>
      </w:pPr>
      <w:rPr>
        <w:rFonts w:ascii="Courier New" w:hAnsi="Courier New" w:hint="default"/>
      </w:rPr>
    </w:lvl>
    <w:lvl w:ilvl="5" w:tplc="8A8EE3F0">
      <w:start w:val="1"/>
      <w:numFmt w:val="bullet"/>
      <w:lvlText w:val=""/>
      <w:lvlJc w:val="left"/>
      <w:pPr>
        <w:ind w:left="4320" w:hanging="360"/>
      </w:pPr>
      <w:rPr>
        <w:rFonts w:ascii="Wingdings" w:hAnsi="Wingdings" w:hint="default"/>
      </w:rPr>
    </w:lvl>
    <w:lvl w:ilvl="6" w:tplc="1C124472">
      <w:start w:val="1"/>
      <w:numFmt w:val="bullet"/>
      <w:lvlText w:val=""/>
      <w:lvlJc w:val="left"/>
      <w:pPr>
        <w:ind w:left="5040" w:hanging="360"/>
      </w:pPr>
      <w:rPr>
        <w:rFonts w:ascii="Symbol" w:hAnsi="Symbol" w:hint="default"/>
      </w:rPr>
    </w:lvl>
    <w:lvl w:ilvl="7" w:tplc="5BCABE04">
      <w:start w:val="1"/>
      <w:numFmt w:val="bullet"/>
      <w:lvlText w:val="o"/>
      <w:lvlJc w:val="left"/>
      <w:pPr>
        <w:ind w:left="5760" w:hanging="360"/>
      </w:pPr>
      <w:rPr>
        <w:rFonts w:ascii="Courier New" w:hAnsi="Courier New" w:hint="default"/>
      </w:rPr>
    </w:lvl>
    <w:lvl w:ilvl="8" w:tplc="169A8064">
      <w:start w:val="1"/>
      <w:numFmt w:val="bullet"/>
      <w:lvlText w:val=""/>
      <w:lvlJc w:val="left"/>
      <w:pPr>
        <w:ind w:left="6480" w:hanging="360"/>
      </w:pPr>
      <w:rPr>
        <w:rFonts w:ascii="Wingdings" w:hAnsi="Wingdings" w:hint="default"/>
      </w:rPr>
    </w:lvl>
  </w:abstractNum>
  <w:abstractNum w:abstractNumId="26"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27" w15:restartNumberingAfterBreak="0">
    <w:nsid w:val="37BD04A2"/>
    <w:multiLevelType w:val="hybridMultilevel"/>
    <w:tmpl w:val="B6F2D720"/>
    <w:lvl w:ilvl="0" w:tplc="14090001">
      <w:start w:val="1"/>
      <w:numFmt w:val="bullet"/>
      <w:lvlText w:val=""/>
      <w:lvlJc w:val="left"/>
      <w:pPr>
        <w:ind w:left="1154" w:hanging="360"/>
      </w:pPr>
      <w:rPr>
        <w:rFonts w:ascii="Symbol" w:hAnsi="Symbol" w:hint="default"/>
      </w:rPr>
    </w:lvl>
    <w:lvl w:ilvl="1" w:tplc="14090003" w:tentative="1">
      <w:start w:val="1"/>
      <w:numFmt w:val="bullet"/>
      <w:lvlText w:val="o"/>
      <w:lvlJc w:val="left"/>
      <w:pPr>
        <w:ind w:left="1874" w:hanging="360"/>
      </w:pPr>
      <w:rPr>
        <w:rFonts w:ascii="Courier New" w:hAnsi="Courier New" w:cs="Courier New" w:hint="default"/>
      </w:rPr>
    </w:lvl>
    <w:lvl w:ilvl="2" w:tplc="14090005" w:tentative="1">
      <w:start w:val="1"/>
      <w:numFmt w:val="bullet"/>
      <w:lvlText w:val=""/>
      <w:lvlJc w:val="left"/>
      <w:pPr>
        <w:ind w:left="2594" w:hanging="360"/>
      </w:pPr>
      <w:rPr>
        <w:rFonts w:ascii="Wingdings" w:hAnsi="Wingdings" w:hint="default"/>
      </w:rPr>
    </w:lvl>
    <w:lvl w:ilvl="3" w:tplc="14090001" w:tentative="1">
      <w:start w:val="1"/>
      <w:numFmt w:val="bullet"/>
      <w:lvlText w:val=""/>
      <w:lvlJc w:val="left"/>
      <w:pPr>
        <w:ind w:left="3314" w:hanging="360"/>
      </w:pPr>
      <w:rPr>
        <w:rFonts w:ascii="Symbol" w:hAnsi="Symbol" w:hint="default"/>
      </w:rPr>
    </w:lvl>
    <w:lvl w:ilvl="4" w:tplc="14090003" w:tentative="1">
      <w:start w:val="1"/>
      <w:numFmt w:val="bullet"/>
      <w:lvlText w:val="o"/>
      <w:lvlJc w:val="left"/>
      <w:pPr>
        <w:ind w:left="4034" w:hanging="360"/>
      </w:pPr>
      <w:rPr>
        <w:rFonts w:ascii="Courier New" w:hAnsi="Courier New" w:cs="Courier New" w:hint="default"/>
      </w:rPr>
    </w:lvl>
    <w:lvl w:ilvl="5" w:tplc="14090005" w:tentative="1">
      <w:start w:val="1"/>
      <w:numFmt w:val="bullet"/>
      <w:lvlText w:val=""/>
      <w:lvlJc w:val="left"/>
      <w:pPr>
        <w:ind w:left="4754" w:hanging="360"/>
      </w:pPr>
      <w:rPr>
        <w:rFonts w:ascii="Wingdings" w:hAnsi="Wingdings" w:hint="default"/>
      </w:rPr>
    </w:lvl>
    <w:lvl w:ilvl="6" w:tplc="14090001" w:tentative="1">
      <w:start w:val="1"/>
      <w:numFmt w:val="bullet"/>
      <w:lvlText w:val=""/>
      <w:lvlJc w:val="left"/>
      <w:pPr>
        <w:ind w:left="5474" w:hanging="360"/>
      </w:pPr>
      <w:rPr>
        <w:rFonts w:ascii="Symbol" w:hAnsi="Symbol" w:hint="default"/>
      </w:rPr>
    </w:lvl>
    <w:lvl w:ilvl="7" w:tplc="14090003" w:tentative="1">
      <w:start w:val="1"/>
      <w:numFmt w:val="bullet"/>
      <w:lvlText w:val="o"/>
      <w:lvlJc w:val="left"/>
      <w:pPr>
        <w:ind w:left="6194" w:hanging="360"/>
      </w:pPr>
      <w:rPr>
        <w:rFonts w:ascii="Courier New" w:hAnsi="Courier New" w:cs="Courier New" w:hint="default"/>
      </w:rPr>
    </w:lvl>
    <w:lvl w:ilvl="8" w:tplc="14090005" w:tentative="1">
      <w:start w:val="1"/>
      <w:numFmt w:val="bullet"/>
      <w:lvlText w:val=""/>
      <w:lvlJc w:val="left"/>
      <w:pPr>
        <w:ind w:left="6914" w:hanging="360"/>
      </w:pPr>
      <w:rPr>
        <w:rFonts w:ascii="Wingdings" w:hAnsi="Wingdings" w:hint="default"/>
      </w:rPr>
    </w:lvl>
  </w:abstractNum>
  <w:abstractNum w:abstractNumId="28" w15:restartNumberingAfterBreak="0">
    <w:nsid w:val="3EC9737C"/>
    <w:multiLevelType w:val="hybridMultilevel"/>
    <w:tmpl w:val="2200E076"/>
    <w:lvl w:ilvl="0" w:tplc="39AE483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3ED36C04"/>
    <w:multiLevelType w:val="hybridMultilevel"/>
    <w:tmpl w:val="52DE7398"/>
    <w:lvl w:ilvl="0" w:tplc="14090001">
      <w:start w:val="1"/>
      <w:numFmt w:val="bullet"/>
      <w:lvlText w:val=""/>
      <w:lvlJc w:val="left"/>
      <w:pPr>
        <w:ind w:left="1140" w:hanging="360"/>
      </w:pPr>
      <w:rPr>
        <w:rFonts w:ascii="Symbol" w:hAnsi="Symbol" w:hint="default"/>
      </w:rPr>
    </w:lvl>
    <w:lvl w:ilvl="1" w:tplc="14090003" w:tentative="1">
      <w:start w:val="1"/>
      <w:numFmt w:val="bullet"/>
      <w:lvlText w:val="o"/>
      <w:lvlJc w:val="left"/>
      <w:pPr>
        <w:ind w:left="1860" w:hanging="360"/>
      </w:pPr>
      <w:rPr>
        <w:rFonts w:ascii="Courier New" w:hAnsi="Courier New" w:cs="Courier New" w:hint="default"/>
      </w:rPr>
    </w:lvl>
    <w:lvl w:ilvl="2" w:tplc="14090005" w:tentative="1">
      <w:start w:val="1"/>
      <w:numFmt w:val="bullet"/>
      <w:lvlText w:val=""/>
      <w:lvlJc w:val="left"/>
      <w:pPr>
        <w:ind w:left="2580" w:hanging="360"/>
      </w:pPr>
      <w:rPr>
        <w:rFonts w:ascii="Wingdings" w:hAnsi="Wingdings" w:hint="default"/>
      </w:rPr>
    </w:lvl>
    <w:lvl w:ilvl="3" w:tplc="14090001" w:tentative="1">
      <w:start w:val="1"/>
      <w:numFmt w:val="bullet"/>
      <w:lvlText w:val=""/>
      <w:lvlJc w:val="left"/>
      <w:pPr>
        <w:ind w:left="3300" w:hanging="360"/>
      </w:pPr>
      <w:rPr>
        <w:rFonts w:ascii="Symbol" w:hAnsi="Symbol" w:hint="default"/>
      </w:rPr>
    </w:lvl>
    <w:lvl w:ilvl="4" w:tplc="14090003" w:tentative="1">
      <w:start w:val="1"/>
      <w:numFmt w:val="bullet"/>
      <w:lvlText w:val="o"/>
      <w:lvlJc w:val="left"/>
      <w:pPr>
        <w:ind w:left="4020" w:hanging="360"/>
      </w:pPr>
      <w:rPr>
        <w:rFonts w:ascii="Courier New" w:hAnsi="Courier New" w:cs="Courier New" w:hint="default"/>
      </w:rPr>
    </w:lvl>
    <w:lvl w:ilvl="5" w:tplc="14090005" w:tentative="1">
      <w:start w:val="1"/>
      <w:numFmt w:val="bullet"/>
      <w:lvlText w:val=""/>
      <w:lvlJc w:val="left"/>
      <w:pPr>
        <w:ind w:left="4740" w:hanging="360"/>
      </w:pPr>
      <w:rPr>
        <w:rFonts w:ascii="Wingdings" w:hAnsi="Wingdings" w:hint="default"/>
      </w:rPr>
    </w:lvl>
    <w:lvl w:ilvl="6" w:tplc="14090001" w:tentative="1">
      <w:start w:val="1"/>
      <w:numFmt w:val="bullet"/>
      <w:lvlText w:val=""/>
      <w:lvlJc w:val="left"/>
      <w:pPr>
        <w:ind w:left="5460" w:hanging="360"/>
      </w:pPr>
      <w:rPr>
        <w:rFonts w:ascii="Symbol" w:hAnsi="Symbol" w:hint="default"/>
      </w:rPr>
    </w:lvl>
    <w:lvl w:ilvl="7" w:tplc="14090003" w:tentative="1">
      <w:start w:val="1"/>
      <w:numFmt w:val="bullet"/>
      <w:lvlText w:val="o"/>
      <w:lvlJc w:val="left"/>
      <w:pPr>
        <w:ind w:left="6180" w:hanging="360"/>
      </w:pPr>
      <w:rPr>
        <w:rFonts w:ascii="Courier New" w:hAnsi="Courier New" w:cs="Courier New" w:hint="default"/>
      </w:rPr>
    </w:lvl>
    <w:lvl w:ilvl="8" w:tplc="14090005" w:tentative="1">
      <w:start w:val="1"/>
      <w:numFmt w:val="bullet"/>
      <w:lvlText w:val=""/>
      <w:lvlJc w:val="left"/>
      <w:pPr>
        <w:ind w:left="6900" w:hanging="360"/>
      </w:pPr>
      <w:rPr>
        <w:rFonts w:ascii="Wingdings" w:hAnsi="Wingdings" w:hint="default"/>
      </w:rPr>
    </w:lvl>
  </w:abstractNum>
  <w:abstractNum w:abstractNumId="30" w15:restartNumberingAfterBreak="0">
    <w:nsid w:val="40C63139"/>
    <w:multiLevelType w:val="hybridMultilevel"/>
    <w:tmpl w:val="39C231B2"/>
    <w:lvl w:ilvl="0" w:tplc="3894F494">
      <w:start w:val="1"/>
      <w:numFmt w:val="bullet"/>
      <w:lvlText w:val=""/>
      <w:lvlJc w:val="left"/>
      <w:pPr>
        <w:ind w:left="757" w:hanging="360"/>
      </w:pPr>
      <w:rPr>
        <w:rFonts w:ascii="Symbol" w:hAnsi="Symbol" w:hint="default"/>
        <w:sz w:val="16"/>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31" w15:restartNumberingAfterBreak="0">
    <w:nsid w:val="421D263E"/>
    <w:multiLevelType w:val="hybridMultilevel"/>
    <w:tmpl w:val="9022CC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0B17DC"/>
    <w:multiLevelType w:val="hybridMultilevel"/>
    <w:tmpl w:val="7B165F02"/>
    <w:lvl w:ilvl="0" w:tplc="FFFFFFFF">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871D3A"/>
    <w:multiLevelType w:val="multilevel"/>
    <w:tmpl w:val="079E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36" w15:restartNumberingAfterBreak="0">
    <w:nsid w:val="47444EF9"/>
    <w:multiLevelType w:val="hybridMultilevel"/>
    <w:tmpl w:val="F216E60A"/>
    <w:lvl w:ilvl="0" w:tplc="EC46FDD6">
      <w:start w:val="1"/>
      <w:numFmt w:val="bullet"/>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8411CE9"/>
    <w:multiLevelType w:val="hybridMultilevel"/>
    <w:tmpl w:val="B0DA06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F5A1C0F"/>
    <w:multiLevelType w:val="hybridMultilevel"/>
    <w:tmpl w:val="5D2AAD40"/>
    <w:lvl w:ilvl="0" w:tplc="0E16C876">
      <w:start w:val="1"/>
      <w:numFmt w:val="bullet"/>
      <w:lvlText w:val=""/>
      <w:lvlJc w:val="left"/>
      <w:pPr>
        <w:ind w:left="720" w:hanging="360"/>
      </w:pPr>
      <w:rPr>
        <w:rFonts w:ascii="Symbol" w:hAnsi="Symbol" w:hint="default"/>
      </w:rPr>
    </w:lvl>
    <w:lvl w:ilvl="1" w:tplc="F7227010">
      <w:start w:val="1"/>
      <w:numFmt w:val="bullet"/>
      <w:lvlText w:val="o"/>
      <w:lvlJc w:val="left"/>
      <w:pPr>
        <w:ind w:left="1440" w:hanging="360"/>
      </w:pPr>
      <w:rPr>
        <w:rFonts w:ascii="Courier New" w:hAnsi="Courier New" w:hint="default"/>
      </w:rPr>
    </w:lvl>
    <w:lvl w:ilvl="2" w:tplc="A28A0680">
      <w:start w:val="1"/>
      <w:numFmt w:val="bullet"/>
      <w:lvlText w:val=""/>
      <w:lvlJc w:val="left"/>
      <w:pPr>
        <w:ind w:left="2160" w:hanging="360"/>
      </w:pPr>
      <w:rPr>
        <w:rFonts w:ascii="Wingdings" w:hAnsi="Wingdings" w:hint="default"/>
      </w:rPr>
    </w:lvl>
    <w:lvl w:ilvl="3" w:tplc="9E30422E">
      <w:start w:val="1"/>
      <w:numFmt w:val="bullet"/>
      <w:lvlText w:val=""/>
      <w:lvlJc w:val="left"/>
      <w:pPr>
        <w:ind w:left="2880" w:hanging="360"/>
      </w:pPr>
      <w:rPr>
        <w:rFonts w:ascii="Symbol" w:hAnsi="Symbol" w:hint="default"/>
      </w:rPr>
    </w:lvl>
    <w:lvl w:ilvl="4" w:tplc="68448272">
      <w:start w:val="1"/>
      <w:numFmt w:val="bullet"/>
      <w:lvlText w:val="o"/>
      <w:lvlJc w:val="left"/>
      <w:pPr>
        <w:ind w:left="3600" w:hanging="360"/>
      </w:pPr>
      <w:rPr>
        <w:rFonts w:ascii="Courier New" w:hAnsi="Courier New" w:hint="default"/>
      </w:rPr>
    </w:lvl>
    <w:lvl w:ilvl="5" w:tplc="C0EA556A">
      <w:start w:val="1"/>
      <w:numFmt w:val="bullet"/>
      <w:lvlText w:val=""/>
      <w:lvlJc w:val="left"/>
      <w:pPr>
        <w:ind w:left="4320" w:hanging="360"/>
      </w:pPr>
      <w:rPr>
        <w:rFonts w:ascii="Wingdings" w:hAnsi="Wingdings" w:hint="default"/>
      </w:rPr>
    </w:lvl>
    <w:lvl w:ilvl="6" w:tplc="4516F40C">
      <w:start w:val="1"/>
      <w:numFmt w:val="bullet"/>
      <w:lvlText w:val=""/>
      <w:lvlJc w:val="left"/>
      <w:pPr>
        <w:ind w:left="5040" w:hanging="360"/>
      </w:pPr>
      <w:rPr>
        <w:rFonts w:ascii="Symbol" w:hAnsi="Symbol" w:hint="default"/>
      </w:rPr>
    </w:lvl>
    <w:lvl w:ilvl="7" w:tplc="03C045AA">
      <w:start w:val="1"/>
      <w:numFmt w:val="bullet"/>
      <w:lvlText w:val="o"/>
      <w:lvlJc w:val="left"/>
      <w:pPr>
        <w:ind w:left="5760" w:hanging="360"/>
      </w:pPr>
      <w:rPr>
        <w:rFonts w:ascii="Courier New" w:hAnsi="Courier New" w:hint="default"/>
      </w:rPr>
    </w:lvl>
    <w:lvl w:ilvl="8" w:tplc="F93659F8">
      <w:start w:val="1"/>
      <w:numFmt w:val="bullet"/>
      <w:lvlText w:val=""/>
      <w:lvlJc w:val="left"/>
      <w:pPr>
        <w:ind w:left="6480" w:hanging="360"/>
      </w:pPr>
      <w:rPr>
        <w:rFonts w:ascii="Wingdings" w:hAnsi="Wingdings" w:hint="default"/>
      </w:rPr>
    </w:lvl>
  </w:abstractNum>
  <w:abstractNum w:abstractNumId="39" w15:restartNumberingAfterBreak="0">
    <w:nsid w:val="50604C14"/>
    <w:multiLevelType w:val="hybridMultilevel"/>
    <w:tmpl w:val="CDDAB9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51BA8638"/>
    <w:multiLevelType w:val="hybridMultilevel"/>
    <w:tmpl w:val="FFFFFFFF"/>
    <w:lvl w:ilvl="0" w:tplc="F688814E">
      <w:start w:val="1"/>
      <w:numFmt w:val="bullet"/>
      <w:lvlText w:val=""/>
      <w:lvlJc w:val="left"/>
      <w:pPr>
        <w:ind w:left="360" w:hanging="360"/>
      </w:pPr>
      <w:rPr>
        <w:rFonts w:ascii="Symbol" w:hAnsi="Symbol" w:hint="default"/>
      </w:rPr>
    </w:lvl>
    <w:lvl w:ilvl="1" w:tplc="0758210C">
      <w:start w:val="1"/>
      <w:numFmt w:val="bullet"/>
      <w:lvlText w:val="o"/>
      <w:lvlJc w:val="left"/>
      <w:pPr>
        <w:ind w:left="1080" w:hanging="360"/>
      </w:pPr>
      <w:rPr>
        <w:rFonts w:ascii="Courier New" w:hAnsi="Courier New" w:hint="default"/>
      </w:rPr>
    </w:lvl>
    <w:lvl w:ilvl="2" w:tplc="0D723178">
      <w:start w:val="1"/>
      <w:numFmt w:val="bullet"/>
      <w:lvlText w:val=""/>
      <w:lvlJc w:val="left"/>
      <w:pPr>
        <w:ind w:left="1800" w:hanging="360"/>
      </w:pPr>
      <w:rPr>
        <w:rFonts w:ascii="Wingdings" w:hAnsi="Wingdings" w:hint="default"/>
      </w:rPr>
    </w:lvl>
    <w:lvl w:ilvl="3" w:tplc="3D98820E">
      <w:start w:val="1"/>
      <w:numFmt w:val="bullet"/>
      <w:lvlText w:val=""/>
      <w:lvlJc w:val="left"/>
      <w:pPr>
        <w:ind w:left="2520" w:hanging="360"/>
      </w:pPr>
      <w:rPr>
        <w:rFonts w:ascii="Symbol" w:hAnsi="Symbol" w:hint="default"/>
      </w:rPr>
    </w:lvl>
    <w:lvl w:ilvl="4" w:tplc="DA92AA92">
      <w:start w:val="1"/>
      <w:numFmt w:val="bullet"/>
      <w:lvlText w:val="o"/>
      <w:lvlJc w:val="left"/>
      <w:pPr>
        <w:ind w:left="3240" w:hanging="360"/>
      </w:pPr>
      <w:rPr>
        <w:rFonts w:ascii="Courier New" w:hAnsi="Courier New" w:hint="default"/>
      </w:rPr>
    </w:lvl>
    <w:lvl w:ilvl="5" w:tplc="24288EA6">
      <w:start w:val="1"/>
      <w:numFmt w:val="bullet"/>
      <w:lvlText w:val=""/>
      <w:lvlJc w:val="left"/>
      <w:pPr>
        <w:ind w:left="3960" w:hanging="360"/>
      </w:pPr>
      <w:rPr>
        <w:rFonts w:ascii="Wingdings" w:hAnsi="Wingdings" w:hint="default"/>
      </w:rPr>
    </w:lvl>
    <w:lvl w:ilvl="6" w:tplc="FB7A00F8">
      <w:start w:val="1"/>
      <w:numFmt w:val="bullet"/>
      <w:lvlText w:val=""/>
      <w:lvlJc w:val="left"/>
      <w:pPr>
        <w:ind w:left="4680" w:hanging="360"/>
      </w:pPr>
      <w:rPr>
        <w:rFonts w:ascii="Symbol" w:hAnsi="Symbol" w:hint="default"/>
      </w:rPr>
    </w:lvl>
    <w:lvl w:ilvl="7" w:tplc="94BA2752">
      <w:start w:val="1"/>
      <w:numFmt w:val="bullet"/>
      <w:lvlText w:val="o"/>
      <w:lvlJc w:val="left"/>
      <w:pPr>
        <w:ind w:left="5400" w:hanging="360"/>
      </w:pPr>
      <w:rPr>
        <w:rFonts w:ascii="Courier New" w:hAnsi="Courier New" w:hint="default"/>
      </w:rPr>
    </w:lvl>
    <w:lvl w:ilvl="8" w:tplc="E63AFDBE">
      <w:start w:val="1"/>
      <w:numFmt w:val="bullet"/>
      <w:lvlText w:val=""/>
      <w:lvlJc w:val="left"/>
      <w:pPr>
        <w:ind w:left="6120" w:hanging="360"/>
      </w:pPr>
      <w:rPr>
        <w:rFonts w:ascii="Wingdings" w:hAnsi="Wingdings" w:hint="default"/>
      </w:rPr>
    </w:lvl>
  </w:abstractNum>
  <w:abstractNum w:abstractNumId="41" w15:restartNumberingAfterBreak="0">
    <w:nsid w:val="531E6150"/>
    <w:multiLevelType w:val="hybridMultilevel"/>
    <w:tmpl w:val="C4E06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59144820"/>
    <w:multiLevelType w:val="hybridMultilevel"/>
    <w:tmpl w:val="FFFFFFFF"/>
    <w:lvl w:ilvl="0" w:tplc="577450D8">
      <w:start w:val="1"/>
      <w:numFmt w:val="bullet"/>
      <w:lvlText w:val=""/>
      <w:lvlJc w:val="left"/>
      <w:pPr>
        <w:ind w:left="720" w:hanging="360"/>
      </w:pPr>
      <w:rPr>
        <w:rFonts w:ascii="Symbol" w:hAnsi="Symbol" w:hint="default"/>
      </w:rPr>
    </w:lvl>
    <w:lvl w:ilvl="1" w:tplc="D95631D2">
      <w:start w:val="1"/>
      <w:numFmt w:val="bullet"/>
      <w:lvlText w:val="o"/>
      <w:lvlJc w:val="left"/>
      <w:pPr>
        <w:ind w:left="1440" w:hanging="360"/>
      </w:pPr>
      <w:rPr>
        <w:rFonts w:ascii="Courier New" w:hAnsi="Courier New" w:hint="default"/>
      </w:rPr>
    </w:lvl>
    <w:lvl w:ilvl="2" w:tplc="A93AA532">
      <w:start w:val="1"/>
      <w:numFmt w:val="bullet"/>
      <w:lvlText w:val=""/>
      <w:lvlJc w:val="left"/>
      <w:pPr>
        <w:ind w:left="2160" w:hanging="360"/>
      </w:pPr>
      <w:rPr>
        <w:rFonts w:ascii="Wingdings" w:hAnsi="Wingdings" w:hint="default"/>
      </w:rPr>
    </w:lvl>
    <w:lvl w:ilvl="3" w:tplc="DAA0EDE8">
      <w:start w:val="1"/>
      <w:numFmt w:val="bullet"/>
      <w:lvlText w:val=""/>
      <w:lvlJc w:val="left"/>
      <w:pPr>
        <w:ind w:left="2880" w:hanging="360"/>
      </w:pPr>
      <w:rPr>
        <w:rFonts w:ascii="Symbol" w:hAnsi="Symbol" w:hint="default"/>
      </w:rPr>
    </w:lvl>
    <w:lvl w:ilvl="4" w:tplc="6D561D48">
      <w:start w:val="1"/>
      <w:numFmt w:val="bullet"/>
      <w:lvlText w:val="o"/>
      <w:lvlJc w:val="left"/>
      <w:pPr>
        <w:ind w:left="3600" w:hanging="360"/>
      </w:pPr>
      <w:rPr>
        <w:rFonts w:ascii="Courier New" w:hAnsi="Courier New" w:hint="default"/>
      </w:rPr>
    </w:lvl>
    <w:lvl w:ilvl="5" w:tplc="DD70D182">
      <w:start w:val="1"/>
      <w:numFmt w:val="bullet"/>
      <w:lvlText w:val=""/>
      <w:lvlJc w:val="left"/>
      <w:pPr>
        <w:ind w:left="4320" w:hanging="360"/>
      </w:pPr>
      <w:rPr>
        <w:rFonts w:ascii="Wingdings" w:hAnsi="Wingdings" w:hint="default"/>
      </w:rPr>
    </w:lvl>
    <w:lvl w:ilvl="6" w:tplc="EE20D584">
      <w:start w:val="1"/>
      <w:numFmt w:val="bullet"/>
      <w:lvlText w:val=""/>
      <w:lvlJc w:val="left"/>
      <w:pPr>
        <w:ind w:left="5040" w:hanging="360"/>
      </w:pPr>
      <w:rPr>
        <w:rFonts w:ascii="Symbol" w:hAnsi="Symbol" w:hint="default"/>
      </w:rPr>
    </w:lvl>
    <w:lvl w:ilvl="7" w:tplc="A6EC1F02">
      <w:start w:val="1"/>
      <w:numFmt w:val="bullet"/>
      <w:lvlText w:val="o"/>
      <w:lvlJc w:val="left"/>
      <w:pPr>
        <w:ind w:left="5760" w:hanging="360"/>
      </w:pPr>
      <w:rPr>
        <w:rFonts w:ascii="Courier New" w:hAnsi="Courier New" w:hint="default"/>
      </w:rPr>
    </w:lvl>
    <w:lvl w:ilvl="8" w:tplc="DD48C920">
      <w:start w:val="1"/>
      <w:numFmt w:val="bullet"/>
      <w:lvlText w:val=""/>
      <w:lvlJc w:val="left"/>
      <w:pPr>
        <w:ind w:left="6480" w:hanging="360"/>
      </w:pPr>
      <w:rPr>
        <w:rFonts w:ascii="Wingdings" w:hAnsi="Wingdings" w:hint="default"/>
      </w:rPr>
    </w:lvl>
  </w:abstractNum>
  <w:abstractNum w:abstractNumId="43" w15:restartNumberingAfterBreak="0">
    <w:nsid w:val="59322B36"/>
    <w:multiLevelType w:val="hybridMultilevel"/>
    <w:tmpl w:val="E35ABA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5A52E5E4"/>
    <w:multiLevelType w:val="hybridMultilevel"/>
    <w:tmpl w:val="FFFFFFFF"/>
    <w:lvl w:ilvl="0" w:tplc="4A645378">
      <w:start w:val="1"/>
      <w:numFmt w:val="bullet"/>
      <w:lvlText w:val=""/>
      <w:lvlJc w:val="left"/>
      <w:pPr>
        <w:ind w:left="720" w:hanging="360"/>
      </w:pPr>
      <w:rPr>
        <w:rFonts w:ascii="Symbol" w:hAnsi="Symbol" w:hint="default"/>
      </w:rPr>
    </w:lvl>
    <w:lvl w:ilvl="1" w:tplc="BD8E606C">
      <w:start w:val="1"/>
      <w:numFmt w:val="bullet"/>
      <w:lvlText w:val="o"/>
      <w:lvlJc w:val="left"/>
      <w:pPr>
        <w:ind w:left="1440" w:hanging="360"/>
      </w:pPr>
      <w:rPr>
        <w:rFonts w:ascii="Courier New" w:hAnsi="Courier New" w:hint="default"/>
      </w:rPr>
    </w:lvl>
    <w:lvl w:ilvl="2" w:tplc="85BC17CC">
      <w:start w:val="1"/>
      <w:numFmt w:val="bullet"/>
      <w:lvlText w:val=""/>
      <w:lvlJc w:val="left"/>
      <w:pPr>
        <w:ind w:left="2160" w:hanging="360"/>
      </w:pPr>
      <w:rPr>
        <w:rFonts w:ascii="Wingdings" w:hAnsi="Wingdings" w:hint="default"/>
      </w:rPr>
    </w:lvl>
    <w:lvl w:ilvl="3" w:tplc="646889C6">
      <w:start w:val="1"/>
      <w:numFmt w:val="bullet"/>
      <w:lvlText w:val=""/>
      <w:lvlJc w:val="left"/>
      <w:pPr>
        <w:ind w:left="2880" w:hanging="360"/>
      </w:pPr>
      <w:rPr>
        <w:rFonts w:ascii="Symbol" w:hAnsi="Symbol" w:hint="default"/>
      </w:rPr>
    </w:lvl>
    <w:lvl w:ilvl="4" w:tplc="145697E8">
      <w:start w:val="1"/>
      <w:numFmt w:val="bullet"/>
      <w:lvlText w:val="o"/>
      <w:lvlJc w:val="left"/>
      <w:pPr>
        <w:ind w:left="3600" w:hanging="360"/>
      </w:pPr>
      <w:rPr>
        <w:rFonts w:ascii="Courier New" w:hAnsi="Courier New" w:hint="default"/>
      </w:rPr>
    </w:lvl>
    <w:lvl w:ilvl="5" w:tplc="36CEF4F0">
      <w:start w:val="1"/>
      <w:numFmt w:val="bullet"/>
      <w:lvlText w:val=""/>
      <w:lvlJc w:val="left"/>
      <w:pPr>
        <w:ind w:left="4320" w:hanging="360"/>
      </w:pPr>
      <w:rPr>
        <w:rFonts w:ascii="Wingdings" w:hAnsi="Wingdings" w:hint="default"/>
      </w:rPr>
    </w:lvl>
    <w:lvl w:ilvl="6" w:tplc="2506C868">
      <w:start w:val="1"/>
      <w:numFmt w:val="bullet"/>
      <w:lvlText w:val=""/>
      <w:lvlJc w:val="left"/>
      <w:pPr>
        <w:ind w:left="5040" w:hanging="360"/>
      </w:pPr>
      <w:rPr>
        <w:rFonts w:ascii="Symbol" w:hAnsi="Symbol" w:hint="default"/>
      </w:rPr>
    </w:lvl>
    <w:lvl w:ilvl="7" w:tplc="BBFC67DC">
      <w:start w:val="1"/>
      <w:numFmt w:val="bullet"/>
      <w:lvlText w:val="o"/>
      <w:lvlJc w:val="left"/>
      <w:pPr>
        <w:ind w:left="5760" w:hanging="360"/>
      </w:pPr>
      <w:rPr>
        <w:rFonts w:ascii="Courier New" w:hAnsi="Courier New" w:hint="default"/>
      </w:rPr>
    </w:lvl>
    <w:lvl w:ilvl="8" w:tplc="F26C99C0">
      <w:start w:val="1"/>
      <w:numFmt w:val="bullet"/>
      <w:lvlText w:val=""/>
      <w:lvlJc w:val="left"/>
      <w:pPr>
        <w:ind w:left="6480" w:hanging="360"/>
      </w:pPr>
      <w:rPr>
        <w:rFonts w:ascii="Wingdings" w:hAnsi="Wingdings" w:hint="default"/>
      </w:rPr>
    </w:lvl>
  </w:abstractNum>
  <w:abstractNum w:abstractNumId="45" w15:restartNumberingAfterBreak="0">
    <w:nsid w:val="60880878"/>
    <w:multiLevelType w:val="hybridMultilevel"/>
    <w:tmpl w:val="408815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15:restartNumberingAfterBreak="0">
    <w:nsid w:val="60CAE4AF"/>
    <w:multiLevelType w:val="hybridMultilevel"/>
    <w:tmpl w:val="FFFFFFFF"/>
    <w:lvl w:ilvl="0" w:tplc="2F4E263C">
      <w:start w:val="1"/>
      <w:numFmt w:val="bullet"/>
      <w:lvlText w:val=""/>
      <w:lvlJc w:val="left"/>
      <w:pPr>
        <w:ind w:left="720" w:hanging="360"/>
      </w:pPr>
      <w:rPr>
        <w:rFonts w:ascii="Symbol" w:hAnsi="Symbol" w:hint="default"/>
      </w:rPr>
    </w:lvl>
    <w:lvl w:ilvl="1" w:tplc="33EEBE42">
      <w:start w:val="1"/>
      <w:numFmt w:val="bullet"/>
      <w:lvlText w:val="o"/>
      <w:lvlJc w:val="left"/>
      <w:pPr>
        <w:ind w:left="1440" w:hanging="360"/>
      </w:pPr>
      <w:rPr>
        <w:rFonts w:ascii="Courier New" w:hAnsi="Courier New" w:hint="default"/>
      </w:rPr>
    </w:lvl>
    <w:lvl w:ilvl="2" w:tplc="94306F1C">
      <w:start w:val="1"/>
      <w:numFmt w:val="bullet"/>
      <w:lvlText w:val=""/>
      <w:lvlJc w:val="left"/>
      <w:pPr>
        <w:ind w:left="2160" w:hanging="360"/>
      </w:pPr>
      <w:rPr>
        <w:rFonts w:ascii="Wingdings" w:hAnsi="Wingdings" w:hint="default"/>
      </w:rPr>
    </w:lvl>
    <w:lvl w:ilvl="3" w:tplc="1948313A">
      <w:start w:val="1"/>
      <w:numFmt w:val="bullet"/>
      <w:lvlText w:val=""/>
      <w:lvlJc w:val="left"/>
      <w:pPr>
        <w:ind w:left="2880" w:hanging="360"/>
      </w:pPr>
      <w:rPr>
        <w:rFonts w:ascii="Symbol" w:hAnsi="Symbol" w:hint="default"/>
      </w:rPr>
    </w:lvl>
    <w:lvl w:ilvl="4" w:tplc="EA6820B4">
      <w:start w:val="1"/>
      <w:numFmt w:val="bullet"/>
      <w:lvlText w:val="o"/>
      <w:lvlJc w:val="left"/>
      <w:pPr>
        <w:ind w:left="3600" w:hanging="360"/>
      </w:pPr>
      <w:rPr>
        <w:rFonts w:ascii="Courier New" w:hAnsi="Courier New" w:hint="default"/>
      </w:rPr>
    </w:lvl>
    <w:lvl w:ilvl="5" w:tplc="E3D628A4">
      <w:start w:val="1"/>
      <w:numFmt w:val="bullet"/>
      <w:lvlText w:val=""/>
      <w:lvlJc w:val="left"/>
      <w:pPr>
        <w:ind w:left="4320" w:hanging="360"/>
      </w:pPr>
      <w:rPr>
        <w:rFonts w:ascii="Wingdings" w:hAnsi="Wingdings" w:hint="default"/>
      </w:rPr>
    </w:lvl>
    <w:lvl w:ilvl="6" w:tplc="8A86E23C">
      <w:start w:val="1"/>
      <w:numFmt w:val="bullet"/>
      <w:lvlText w:val=""/>
      <w:lvlJc w:val="left"/>
      <w:pPr>
        <w:ind w:left="5040" w:hanging="360"/>
      </w:pPr>
      <w:rPr>
        <w:rFonts w:ascii="Symbol" w:hAnsi="Symbol" w:hint="default"/>
      </w:rPr>
    </w:lvl>
    <w:lvl w:ilvl="7" w:tplc="A47CB964">
      <w:start w:val="1"/>
      <w:numFmt w:val="bullet"/>
      <w:lvlText w:val="o"/>
      <w:lvlJc w:val="left"/>
      <w:pPr>
        <w:ind w:left="5760" w:hanging="360"/>
      </w:pPr>
      <w:rPr>
        <w:rFonts w:ascii="Courier New" w:hAnsi="Courier New" w:hint="default"/>
      </w:rPr>
    </w:lvl>
    <w:lvl w:ilvl="8" w:tplc="E43C815C">
      <w:start w:val="1"/>
      <w:numFmt w:val="bullet"/>
      <w:lvlText w:val=""/>
      <w:lvlJc w:val="left"/>
      <w:pPr>
        <w:ind w:left="6480" w:hanging="360"/>
      </w:pPr>
      <w:rPr>
        <w:rFonts w:ascii="Wingdings" w:hAnsi="Wingdings" w:hint="default"/>
      </w:rPr>
    </w:lvl>
  </w:abstractNum>
  <w:abstractNum w:abstractNumId="47" w15:restartNumberingAfterBreak="0">
    <w:nsid w:val="62400081"/>
    <w:multiLevelType w:val="hybridMultilevel"/>
    <w:tmpl w:val="FFFFFFFF"/>
    <w:lvl w:ilvl="0" w:tplc="14F2F7D6">
      <w:start w:val="1"/>
      <w:numFmt w:val="bullet"/>
      <w:lvlText w:val=""/>
      <w:lvlJc w:val="left"/>
      <w:pPr>
        <w:ind w:left="1080" w:hanging="360"/>
      </w:pPr>
      <w:rPr>
        <w:rFonts w:ascii="Symbol" w:hAnsi="Symbol" w:hint="default"/>
      </w:rPr>
    </w:lvl>
    <w:lvl w:ilvl="1" w:tplc="97541F02">
      <w:start w:val="1"/>
      <w:numFmt w:val="bullet"/>
      <w:lvlText w:val="o"/>
      <w:lvlJc w:val="left"/>
      <w:pPr>
        <w:ind w:left="1440" w:hanging="360"/>
      </w:pPr>
      <w:rPr>
        <w:rFonts w:ascii="Courier New" w:hAnsi="Courier New" w:hint="default"/>
      </w:rPr>
    </w:lvl>
    <w:lvl w:ilvl="2" w:tplc="D220CC46">
      <w:start w:val="1"/>
      <w:numFmt w:val="bullet"/>
      <w:lvlText w:val=""/>
      <w:lvlJc w:val="left"/>
      <w:pPr>
        <w:ind w:left="2160" w:hanging="360"/>
      </w:pPr>
      <w:rPr>
        <w:rFonts w:ascii="Wingdings" w:hAnsi="Wingdings" w:hint="default"/>
      </w:rPr>
    </w:lvl>
    <w:lvl w:ilvl="3" w:tplc="4C88820E">
      <w:start w:val="1"/>
      <w:numFmt w:val="bullet"/>
      <w:lvlText w:val=""/>
      <w:lvlJc w:val="left"/>
      <w:pPr>
        <w:ind w:left="2880" w:hanging="360"/>
      </w:pPr>
      <w:rPr>
        <w:rFonts w:ascii="Symbol" w:hAnsi="Symbol" w:hint="default"/>
      </w:rPr>
    </w:lvl>
    <w:lvl w:ilvl="4" w:tplc="EC96F086">
      <w:start w:val="1"/>
      <w:numFmt w:val="bullet"/>
      <w:lvlText w:val="o"/>
      <w:lvlJc w:val="left"/>
      <w:pPr>
        <w:ind w:left="3600" w:hanging="360"/>
      </w:pPr>
      <w:rPr>
        <w:rFonts w:ascii="Courier New" w:hAnsi="Courier New" w:hint="default"/>
      </w:rPr>
    </w:lvl>
    <w:lvl w:ilvl="5" w:tplc="0EF65B16">
      <w:start w:val="1"/>
      <w:numFmt w:val="bullet"/>
      <w:lvlText w:val=""/>
      <w:lvlJc w:val="left"/>
      <w:pPr>
        <w:ind w:left="4320" w:hanging="360"/>
      </w:pPr>
      <w:rPr>
        <w:rFonts w:ascii="Wingdings" w:hAnsi="Wingdings" w:hint="default"/>
      </w:rPr>
    </w:lvl>
    <w:lvl w:ilvl="6" w:tplc="F4564A0A">
      <w:start w:val="1"/>
      <w:numFmt w:val="bullet"/>
      <w:lvlText w:val=""/>
      <w:lvlJc w:val="left"/>
      <w:pPr>
        <w:ind w:left="5040" w:hanging="360"/>
      </w:pPr>
      <w:rPr>
        <w:rFonts w:ascii="Symbol" w:hAnsi="Symbol" w:hint="default"/>
      </w:rPr>
    </w:lvl>
    <w:lvl w:ilvl="7" w:tplc="E4C623C4">
      <w:start w:val="1"/>
      <w:numFmt w:val="bullet"/>
      <w:lvlText w:val="o"/>
      <w:lvlJc w:val="left"/>
      <w:pPr>
        <w:ind w:left="5760" w:hanging="360"/>
      </w:pPr>
      <w:rPr>
        <w:rFonts w:ascii="Courier New" w:hAnsi="Courier New" w:hint="default"/>
      </w:rPr>
    </w:lvl>
    <w:lvl w:ilvl="8" w:tplc="7AACB74E">
      <w:start w:val="1"/>
      <w:numFmt w:val="bullet"/>
      <w:lvlText w:val=""/>
      <w:lvlJc w:val="left"/>
      <w:pPr>
        <w:ind w:left="6480" w:hanging="360"/>
      </w:pPr>
      <w:rPr>
        <w:rFonts w:ascii="Wingdings" w:hAnsi="Wingdings" w:hint="default"/>
      </w:rPr>
    </w:lvl>
  </w:abstractNum>
  <w:abstractNum w:abstractNumId="48" w15:restartNumberingAfterBreak="0">
    <w:nsid w:val="64821CEF"/>
    <w:multiLevelType w:val="hybridMultilevel"/>
    <w:tmpl w:val="817E504C"/>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9" w15:restartNumberingAfterBreak="0">
    <w:nsid w:val="67E21986"/>
    <w:multiLevelType w:val="hybridMultilevel"/>
    <w:tmpl w:val="9FFAE406"/>
    <w:lvl w:ilvl="0" w:tplc="F1C60038">
      <w:start w:val="1"/>
      <w:numFmt w:val="bullet"/>
      <w:pStyle w:val="Bullet"/>
      <w:lvlText w:val=""/>
      <w:lvlJc w:val="left"/>
      <w:pPr>
        <w:ind w:left="720" w:hanging="360"/>
      </w:pPr>
      <w:rPr>
        <w:rFonts w:ascii="Symbol" w:hAnsi="Symbol" w:hint="default"/>
        <w:color w:val="33441C"/>
        <w:sz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689B59CF"/>
    <w:multiLevelType w:val="hybridMultilevel"/>
    <w:tmpl w:val="B5A274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6C042717"/>
    <w:multiLevelType w:val="multilevel"/>
    <w:tmpl w:val="DCDEB9D0"/>
    <w:numStyleLink w:val="Style1"/>
  </w:abstractNum>
  <w:abstractNum w:abstractNumId="52"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54" w15:restartNumberingAfterBreak="0">
    <w:nsid w:val="706651EB"/>
    <w:multiLevelType w:val="hybridMultilevel"/>
    <w:tmpl w:val="EF621C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70D45012"/>
    <w:multiLevelType w:val="hybridMultilevel"/>
    <w:tmpl w:val="0E44A7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71E52205"/>
    <w:multiLevelType w:val="hybridMultilevel"/>
    <w:tmpl w:val="A0DA41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750A3DEB"/>
    <w:multiLevelType w:val="hybridMultilevel"/>
    <w:tmpl w:val="FFFFFFFF"/>
    <w:lvl w:ilvl="0" w:tplc="68FC178A">
      <w:start w:val="1"/>
      <w:numFmt w:val="decimal"/>
      <w:lvlText w:val="%1."/>
      <w:lvlJc w:val="left"/>
      <w:pPr>
        <w:ind w:left="720" w:hanging="360"/>
      </w:pPr>
    </w:lvl>
    <w:lvl w:ilvl="1" w:tplc="5EBE3026">
      <w:start w:val="1"/>
      <w:numFmt w:val="bullet"/>
      <w:lvlText w:val="o"/>
      <w:lvlJc w:val="left"/>
      <w:pPr>
        <w:ind w:left="1440" w:hanging="360"/>
      </w:pPr>
      <w:rPr>
        <w:rFonts w:ascii="Courier New" w:hAnsi="Courier New" w:hint="default"/>
      </w:rPr>
    </w:lvl>
    <w:lvl w:ilvl="2" w:tplc="87F0653C">
      <w:start w:val="1"/>
      <w:numFmt w:val="bullet"/>
      <w:lvlText w:val=""/>
      <w:lvlJc w:val="left"/>
      <w:pPr>
        <w:ind w:left="2160" w:hanging="360"/>
      </w:pPr>
      <w:rPr>
        <w:rFonts w:ascii="Wingdings" w:hAnsi="Wingdings" w:hint="default"/>
      </w:rPr>
    </w:lvl>
    <w:lvl w:ilvl="3" w:tplc="2C703298">
      <w:start w:val="1"/>
      <w:numFmt w:val="bullet"/>
      <w:lvlText w:val=""/>
      <w:lvlJc w:val="left"/>
      <w:pPr>
        <w:ind w:left="2880" w:hanging="360"/>
      </w:pPr>
      <w:rPr>
        <w:rFonts w:ascii="Symbol" w:hAnsi="Symbol" w:hint="default"/>
      </w:rPr>
    </w:lvl>
    <w:lvl w:ilvl="4" w:tplc="6DC4974A">
      <w:start w:val="1"/>
      <w:numFmt w:val="bullet"/>
      <w:lvlText w:val="o"/>
      <w:lvlJc w:val="left"/>
      <w:pPr>
        <w:ind w:left="3600" w:hanging="360"/>
      </w:pPr>
      <w:rPr>
        <w:rFonts w:ascii="Courier New" w:hAnsi="Courier New" w:hint="default"/>
      </w:rPr>
    </w:lvl>
    <w:lvl w:ilvl="5" w:tplc="84240176">
      <w:start w:val="1"/>
      <w:numFmt w:val="bullet"/>
      <w:lvlText w:val=""/>
      <w:lvlJc w:val="left"/>
      <w:pPr>
        <w:ind w:left="4320" w:hanging="360"/>
      </w:pPr>
      <w:rPr>
        <w:rFonts w:ascii="Wingdings" w:hAnsi="Wingdings" w:hint="default"/>
      </w:rPr>
    </w:lvl>
    <w:lvl w:ilvl="6" w:tplc="516887FA">
      <w:start w:val="1"/>
      <w:numFmt w:val="bullet"/>
      <w:lvlText w:val=""/>
      <w:lvlJc w:val="left"/>
      <w:pPr>
        <w:ind w:left="5040" w:hanging="360"/>
      </w:pPr>
      <w:rPr>
        <w:rFonts w:ascii="Symbol" w:hAnsi="Symbol" w:hint="default"/>
      </w:rPr>
    </w:lvl>
    <w:lvl w:ilvl="7" w:tplc="05EEC8AE">
      <w:start w:val="1"/>
      <w:numFmt w:val="bullet"/>
      <w:lvlText w:val="o"/>
      <w:lvlJc w:val="left"/>
      <w:pPr>
        <w:ind w:left="5760" w:hanging="360"/>
      </w:pPr>
      <w:rPr>
        <w:rFonts w:ascii="Courier New" w:hAnsi="Courier New" w:hint="default"/>
      </w:rPr>
    </w:lvl>
    <w:lvl w:ilvl="8" w:tplc="31EC8C1E">
      <w:start w:val="1"/>
      <w:numFmt w:val="bullet"/>
      <w:lvlText w:val=""/>
      <w:lvlJc w:val="left"/>
      <w:pPr>
        <w:ind w:left="6480" w:hanging="360"/>
      </w:pPr>
      <w:rPr>
        <w:rFonts w:ascii="Wingdings" w:hAnsi="Wingdings" w:hint="default"/>
      </w:rPr>
    </w:lvl>
  </w:abstractNum>
  <w:abstractNum w:abstractNumId="58"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BE67A68"/>
    <w:multiLevelType w:val="hybridMultilevel"/>
    <w:tmpl w:val="7F66D6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7C6A4FCB"/>
    <w:multiLevelType w:val="hybridMultilevel"/>
    <w:tmpl w:val="DF24F824"/>
    <w:lvl w:ilvl="0" w:tplc="14090001">
      <w:start w:val="1"/>
      <w:numFmt w:val="bullet"/>
      <w:lvlText w:val=""/>
      <w:lvlJc w:val="left"/>
      <w:pPr>
        <w:ind w:left="1154" w:hanging="360"/>
      </w:pPr>
      <w:rPr>
        <w:rFonts w:ascii="Symbol" w:hAnsi="Symbol" w:hint="default"/>
      </w:rPr>
    </w:lvl>
    <w:lvl w:ilvl="1" w:tplc="14090003" w:tentative="1">
      <w:start w:val="1"/>
      <w:numFmt w:val="bullet"/>
      <w:lvlText w:val="o"/>
      <w:lvlJc w:val="left"/>
      <w:pPr>
        <w:ind w:left="1874" w:hanging="360"/>
      </w:pPr>
      <w:rPr>
        <w:rFonts w:ascii="Courier New" w:hAnsi="Courier New" w:cs="Courier New" w:hint="default"/>
      </w:rPr>
    </w:lvl>
    <w:lvl w:ilvl="2" w:tplc="14090005" w:tentative="1">
      <w:start w:val="1"/>
      <w:numFmt w:val="bullet"/>
      <w:lvlText w:val=""/>
      <w:lvlJc w:val="left"/>
      <w:pPr>
        <w:ind w:left="2594" w:hanging="360"/>
      </w:pPr>
      <w:rPr>
        <w:rFonts w:ascii="Wingdings" w:hAnsi="Wingdings" w:hint="default"/>
      </w:rPr>
    </w:lvl>
    <w:lvl w:ilvl="3" w:tplc="14090001" w:tentative="1">
      <w:start w:val="1"/>
      <w:numFmt w:val="bullet"/>
      <w:lvlText w:val=""/>
      <w:lvlJc w:val="left"/>
      <w:pPr>
        <w:ind w:left="3314" w:hanging="360"/>
      </w:pPr>
      <w:rPr>
        <w:rFonts w:ascii="Symbol" w:hAnsi="Symbol" w:hint="default"/>
      </w:rPr>
    </w:lvl>
    <w:lvl w:ilvl="4" w:tplc="14090003" w:tentative="1">
      <w:start w:val="1"/>
      <w:numFmt w:val="bullet"/>
      <w:lvlText w:val="o"/>
      <w:lvlJc w:val="left"/>
      <w:pPr>
        <w:ind w:left="4034" w:hanging="360"/>
      </w:pPr>
      <w:rPr>
        <w:rFonts w:ascii="Courier New" w:hAnsi="Courier New" w:cs="Courier New" w:hint="default"/>
      </w:rPr>
    </w:lvl>
    <w:lvl w:ilvl="5" w:tplc="14090005" w:tentative="1">
      <w:start w:val="1"/>
      <w:numFmt w:val="bullet"/>
      <w:lvlText w:val=""/>
      <w:lvlJc w:val="left"/>
      <w:pPr>
        <w:ind w:left="4754" w:hanging="360"/>
      </w:pPr>
      <w:rPr>
        <w:rFonts w:ascii="Wingdings" w:hAnsi="Wingdings" w:hint="default"/>
      </w:rPr>
    </w:lvl>
    <w:lvl w:ilvl="6" w:tplc="14090001" w:tentative="1">
      <w:start w:val="1"/>
      <w:numFmt w:val="bullet"/>
      <w:lvlText w:val=""/>
      <w:lvlJc w:val="left"/>
      <w:pPr>
        <w:ind w:left="5474" w:hanging="360"/>
      </w:pPr>
      <w:rPr>
        <w:rFonts w:ascii="Symbol" w:hAnsi="Symbol" w:hint="default"/>
      </w:rPr>
    </w:lvl>
    <w:lvl w:ilvl="7" w:tplc="14090003" w:tentative="1">
      <w:start w:val="1"/>
      <w:numFmt w:val="bullet"/>
      <w:lvlText w:val="o"/>
      <w:lvlJc w:val="left"/>
      <w:pPr>
        <w:ind w:left="6194" w:hanging="360"/>
      </w:pPr>
      <w:rPr>
        <w:rFonts w:ascii="Courier New" w:hAnsi="Courier New" w:cs="Courier New" w:hint="default"/>
      </w:rPr>
    </w:lvl>
    <w:lvl w:ilvl="8" w:tplc="14090005" w:tentative="1">
      <w:start w:val="1"/>
      <w:numFmt w:val="bullet"/>
      <w:lvlText w:val=""/>
      <w:lvlJc w:val="left"/>
      <w:pPr>
        <w:ind w:left="6914" w:hanging="360"/>
      </w:pPr>
      <w:rPr>
        <w:rFonts w:ascii="Wingdings" w:hAnsi="Wingdings" w:hint="default"/>
      </w:rPr>
    </w:lvl>
  </w:abstractNum>
  <w:abstractNum w:abstractNumId="61" w15:restartNumberingAfterBreak="0">
    <w:nsid w:val="7C8D3773"/>
    <w:multiLevelType w:val="hybridMultilevel"/>
    <w:tmpl w:val="FFFFFFFF"/>
    <w:lvl w:ilvl="0" w:tplc="FFFFFFFF">
      <w:start w:val="1"/>
      <w:numFmt w:val="decimal"/>
      <w:lvlText w:val="%1."/>
      <w:lvlJc w:val="left"/>
      <w:pPr>
        <w:ind w:left="720" w:hanging="360"/>
      </w:pPr>
    </w:lvl>
    <w:lvl w:ilvl="1" w:tplc="82D23B3A">
      <w:start w:val="1"/>
      <w:numFmt w:val="bullet"/>
      <w:lvlText w:val="o"/>
      <w:lvlJc w:val="left"/>
      <w:pPr>
        <w:ind w:left="1440" w:hanging="360"/>
      </w:pPr>
      <w:rPr>
        <w:rFonts w:ascii="Courier New" w:hAnsi="Courier New" w:hint="default"/>
      </w:rPr>
    </w:lvl>
    <w:lvl w:ilvl="2" w:tplc="A92ED2A6">
      <w:start w:val="1"/>
      <w:numFmt w:val="bullet"/>
      <w:lvlText w:val=""/>
      <w:lvlJc w:val="left"/>
      <w:pPr>
        <w:ind w:left="2160" w:hanging="360"/>
      </w:pPr>
      <w:rPr>
        <w:rFonts w:ascii="Wingdings" w:hAnsi="Wingdings" w:hint="default"/>
      </w:rPr>
    </w:lvl>
    <w:lvl w:ilvl="3" w:tplc="A74CA7A6">
      <w:start w:val="1"/>
      <w:numFmt w:val="bullet"/>
      <w:lvlText w:val=""/>
      <w:lvlJc w:val="left"/>
      <w:pPr>
        <w:ind w:left="2880" w:hanging="360"/>
      </w:pPr>
      <w:rPr>
        <w:rFonts w:ascii="Symbol" w:hAnsi="Symbol" w:hint="default"/>
      </w:rPr>
    </w:lvl>
    <w:lvl w:ilvl="4" w:tplc="277C479C">
      <w:start w:val="1"/>
      <w:numFmt w:val="bullet"/>
      <w:lvlText w:val="o"/>
      <w:lvlJc w:val="left"/>
      <w:pPr>
        <w:ind w:left="3600" w:hanging="360"/>
      </w:pPr>
      <w:rPr>
        <w:rFonts w:ascii="Courier New" w:hAnsi="Courier New" w:hint="default"/>
      </w:rPr>
    </w:lvl>
    <w:lvl w:ilvl="5" w:tplc="78D4C44A">
      <w:start w:val="1"/>
      <w:numFmt w:val="bullet"/>
      <w:lvlText w:val=""/>
      <w:lvlJc w:val="left"/>
      <w:pPr>
        <w:ind w:left="4320" w:hanging="360"/>
      </w:pPr>
      <w:rPr>
        <w:rFonts w:ascii="Wingdings" w:hAnsi="Wingdings" w:hint="default"/>
      </w:rPr>
    </w:lvl>
    <w:lvl w:ilvl="6" w:tplc="DE88A49A">
      <w:start w:val="1"/>
      <w:numFmt w:val="bullet"/>
      <w:lvlText w:val=""/>
      <w:lvlJc w:val="left"/>
      <w:pPr>
        <w:ind w:left="5040" w:hanging="360"/>
      </w:pPr>
      <w:rPr>
        <w:rFonts w:ascii="Symbol" w:hAnsi="Symbol" w:hint="default"/>
      </w:rPr>
    </w:lvl>
    <w:lvl w:ilvl="7" w:tplc="327E66A4">
      <w:start w:val="1"/>
      <w:numFmt w:val="bullet"/>
      <w:lvlText w:val="o"/>
      <w:lvlJc w:val="left"/>
      <w:pPr>
        <w:ind w:left="5760" w:hanging="360"/>
      </w:pPr>
      <w:rPr>
        <w:rFonts w:ascii="Courier New" w:hAnsi="Courier New" w:hint="default"/>
      </w:rPr>
    </w:lvl>
    <w:lvl w:ilvl="8" w:tplc="24949C3A">
      <w:start w:val="1"/>
      <w:numFmt w:val="bullet"/>
      <w:lvlText w:val=""/>
      <w:lvlJc w:val="left"/>
      <w:pPr>
        <w:ind w:left="6480" w:hanging="360"/>
      </w:pPr>
      <w:rPr>
        <w:rFonts w:ascii="Wingdings" w:hAnsi="Wingdings" w:hint="default"/>
      </w:rPr>
    </w:lvl>
  </w:abstractNum>
  <w:abstractNum w:abstractNumId="62" w15:restartNumberingAfterBreak="0">
    <w:nsid w:val="7ED15DE1"/>
    <w:multiLevelType w:val="hybridMultilevel"/>
    <w:tmpl w:val="8D0CA5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7FC923E2"/>
    <w:multiLevelType w:val="hybridMultilevel"/>
    <w:tmpl w:val="BE22B6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57711669">
    <w:abstractNumId w:val="8"/>
  </w:num>
  <w:num w:numId="2" w16cid:durableId="667562395">
    <w:abstractNumId w:val="46"/>
  </w:num>
  <w:num w:numId="3" w16cid:durableId="1819300575">
    <w:abstractNumId w:val="42"/>
  </w:num>
  <w:num w:numId="4" w16cid:durableId="1004553416">
    <w:abstractNumId w:val="47"/>
  </w:num>
  <w:num w:numId="5" w16cid:durableId="1630937159">
    <w:abstractNumId w:val="1"/>
  </w:num>
  <w:num w:numId="6" w16cid:durableId="1895893633">
    <w:abstractNumId w:val="40"/>
  </w:num>
  <w:num w:numId="7" w16cid:durableId="1818450122">
    <w:abstractNumId w:val="26"/>
  </w:num>
  <w:num w:numId="8" w16cid:durableId="905871153">
    <w:abstractNumId w:val="32"/>
  </w:num>
  <w:num w:numId="9" w16cid:durableId="110979530">
    <w:abstractNumId w:val="21"/>
  </w:num>
  <w:num w:numId="10" w16cid:durableId="1581865282">
    <w:abstractNumId w:val="11"/>
  </w:num>
  <w:num w:numId="11" w16cid:durableId="608120292">
    <w:abstractNumId w:val="35"/>
  </w:num>
  <w:num w:numId="12" w16cid:durableId="158204709">
    <w:abstractNumId w:val="33"/>
  </w:num>
  <w:num w:numId="13" w16cid:durableId="1822886998">
    <w:abstractNumId w:val="58"/>
  </w:num>
  <w:num w:numId="14" w16cid:durableId="6469815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5348896">
    <w:abstractNumId w:val="20"/>
  </w:num>
  <w:num w:numId="16" w16cid:durableId="1945570070">
    <w:abstractNumId w:val="52"/>
  </w:num>
  <w:num w:numId="17" w16cid:durableId="488137597">
    <w:abstractNumId w:val="4"/>
  </w:num>
  <w:num w:numId="18" w16cid:durableId="545458029">
    <w:abstractNumId w:val="14"/>
  </w:num>
  <w:num w:numId="19" w16cid:durableId="463157902">
    <w:abstractNumId w:val="10"/>
  </w:num>
  <w:num w:numId="20" w16cid:durableId="2045401312">
    <w:abstractNumId w:val="53"/>
  </w:num>
  <w:num w:numId="21" w16cid:durableId="492262512">
    <w:abstractNumId w:val="39"/>
  </w:num>
  <w:num w:numId="22" w16cid:durableId="646787265">
    <w:abstractNumId w:val="63"/>
  </w:num>
  <w:num w:numId="23" w16cid:durableId="1710834162">
    <w:abstractNumId w:val="55"/>
  </w:num>
  <w:num w:numId="24" w16cid:durableId="1511991496">
    <w:abstractNumId w:val="24"/>
  </w:num>
  <w:num w:numId="25" w16cid:durableId="1021977201">
    <w:abstractNumId w:val="41"/>
  </w:num>
  <w:num w:numId="26" w16cid:durableId="1237588029">
    <w:abstractNumId w:val="54"/>
  </w:num>
  <w:num w:numId="27" w16cid:durableId="1539658065">
    <w:abstractNumId w:val="6"/>
  </w:num>
  <w:num w:numId="28" w16cid:durableId="1007027204">
    <w:abstractNumId w:val="0"/>
  </w:num>
  <w:num w:numId="29" w16cid:durableId="1497499122">
    <w:abstractNumId w:val="15"/>
  </w:num>
  <w:num w:numId="30" w16cid:durableId="287666122">
    <w:abstractNumId w:val="36"/>
  </w:num>
  <w:num w:numId="31" w16cid:durableId="1610701340">
    <w:abstractNumId w:val="29"/>
  </w:num>
  <w:num w:numId="32" w16cid:durableId="61371754">
    <w:abstractNumId w:val="5"/>
  </w:num>
  <w:num w:numId="33" w16cid:durableId="1261185469">
    <w:abstractNumId w:val="50"/>
  </w:num>
  <w:num w:numId="34" w16cid:durableId="1398164204">
    <w:abstractNumId w:val="7"/>
  </w:num>
  <w:num w:numId="35" w16cid:durableId="1528366217">
    <w:abstractNumId w:val="48"/>
  </w:num>
  <w:num w:numId="36" w16cid:durableId="1394541940">
    <w:abstractNumId w:val="37"/>
  </w:num>
  <w:num w:numId="37" w16cid:durableId="1129781049">
    <w:abstractNumId w:val="62"/>
  </w:num>
  <w:num w:numId="38" w16cid:durableId="75984020">
    <w:abstractNumId w:val="56"/>
  </w:num>
  <w:num w:numId="39" w16cid:durableId="65416300">
    <w:abstractNumId w:val="3"/>
  </w:num>
  <w:num w:numId="40" w16cid:durableId="295841071">
    <w:abstractNumId w:val="51"/>
  </w:num>
  <w:num w:numId="41" w16cid:durableId="15885426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8789695">
    <w:abstractNumId w:val="49"/>
  </w:num>
  <w:num w:numId="43" w16cid:durableId="600140912">
    <w:abstractNumId w:val="33"/>
  </w:num>
  <w:num w:numId="44" w16cid:durableId="663512349">
    <w:abstractNumId w:val="23"/>
  </w:num>
  <w:num w:numId="45" w16cid:durableId="746150903">
    <w:abstractNumId w:val="45"/>
  </w:num>
  <w:num w:numId="46" w16cid:durableId="1451317703">
    <w:abstractNumId w:val="16"/>
  </w:num>
  <w:num w:numId="47" w16cid:durableId="1794058040">
    <w:abstractNumId w:val="44"/>
  </w:num>
  <w:num w:numId="48" w16cid:durableId="1360812073">
    <w:abstractNumId w:val="38"/>
  </w:num>
  <w:num w:numId="49" w16cid:durableId="1766416416">
    <w:abstractNumId w:val="25"/>
  </w:num>
  <w:num w:numId="50" w16cid:durableId="2103645161">
    <w:abstractNumId w:val="57"/>
  </w:num>
  <w:num w:numId="51" w16cid:durableId="2124568087">
    <w:abstractNumId w:val="61"/>
  </w:num>
  <w:num w:numId="52" w16cid:durableId="1150711025">
    <w:abstractNumId w:val="34"/>
  </w:num>
  <w:num w:numId="53" w16cid:durableId="822090656">
    <w:abstractNumId w:val="60"/>
  </w:num>
  <w:num w:numId="54" w16cid:durableId="1960137721">
    <w:abstractNumId w:val="27"/>
  </w:num>
  <w:num w:numId="55" w16cid:durableId="661156101">
    <w:abstractNumId w:val="18"/>
  </w:num>
  <w:num w:numId="56" w16cid:durableId="1304434437">
    <w:abstractNumId w:val="28"/>
  </w:num>
  <w:num w:numId="57" w16cid:durableId="1552158596">
    <w:abstractNumId w:val="17"/>
  </w:num>
  <w:num w:numId="58" w16cid:durableId="1898130813">
    <w:abstractNumId w:val="43"/>
  </w:num>
  <w:num w:numId="59" w16cid:durableId="1026832307">
    <w:abstractNumId w:val="59"/>
  </w:num>
  <w:num w:numId="60" w16cid:durableId="1499925815">
    <w:abstractNumId w:val="17"/>
  </w:num>
  <w:num w:numId="61" w16cid:durableId="3896508">
    <w:abstractNumId w:val="9"/>
  </w:num>
  <w:num w:numId="62" w16cid:durableId="860119925">
    <w:abstractNumId w:val="31"/>
  </w:num>
  <w:num w:numId="63" w16cid:durableId="144131259">
    <w:abstractNumId w:val="2"/>
  </w:num>
  <w:num w:numId="64" w16cid:durableId="1604654510">
    <w:abstractNumId w:val="22"/>
  </w:num>
  <w:num w:numId="65" w16cid:durableId="1429039518">
    <w:abstractNumId w:val="12"/>
  </w:num>
  <w:num w:numId="66" w16cid:durableId="505746823">
    <w:abstractNumId w:val="13"/>
  </w:num>
  <w:num w:numId="67" w16cid:durableId="1963029419">
    <w:abstractNumId w:val="30"/>
  </w:num>
  <w:num w:numId="68" w16cid:durableId="1339306045">
    <w:abstractNumId w:val="3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7F9"/>
    <w:rsid w:val="00000792"/>
    <w:rsid w:val="00000906"/>
    <w:rsid w:val="00000F04"/>
    <w:rsid w:val="00001086"/>
    <w:rsid w:val="000019C3"/>
    <w:rsid w:val="00001A82"/>
    <w:rsid w:val="00001F98"/>
    <w:rsid w:val="000027DD"/>
    <w:rsid w:val="00002925"/>
    <w:rsid w:val="00002AA1"/>
    <w:rsid w:val="00003C4F"/>
    <w:rsid w:val="00004839"/>
    <w:rsid w:val="00004996"/>
    <w:rsid w:val="00004E0A"/>
    <w:rsid w:val="00004FD3"/>
    <w:rsid w:val="00006347"/>
    <w:rsid w:val="00006934"/>
    <w:rsid w:val="00006DF5"/>
    <w:rsid w:val="00006F95"/>
    <w:rsid w:val="00007023"/>
    <w:rsid w:val="0000709F"/>
    <w:rsid w:val="000071D6"/>
    <w:rsid w:val="00007C4F"/>
    <w:rsid w:val="00007F2D"/>
    <w:rsid w:val="00007FAC"/>
    <w:rsid w:val="00010A9C"/>
    <w:rsid w:val="00010ABA"/>
    <w:rsid w:val="00010E15"/>
    <w:rsid w:val="00010F57"/>
    <w:rsid w:val="0001100C"/>
    <w:rsid w:val="00011188"/>
    <w:rsid w:val="000113EB"/>
    <w:rsid w:val="00011BAD"/>
    <w:rsid w:val="00012555"/>
    <w:rsid w:val="00012DC4"/>
    <w:rsid w:val="00012F41"/>
    <w:rsid w:val="00013053"/>
    <w:rsid w:val="00013339"/>
    <w:rsid w:val="00013859"/>
    <w:rsid w:val="00013895"/>
    <w:rsid w:val="00014236"/>
    <w:rsid w:val="00014420"/>
    <w:rsid w:val="00014586"/>
    <w:rsid w:val="000148F6"/>
    <w:rsid w:val="00014E8D"/>
    <w:rsid w:val="00015217"/>
    <w:rsid w:val="00015496"/>
    <w:rsid w:val="000159D2"/>
    <w:rsid w:val="00016264"/>
    <w:rsid w:val="00016993"/>
    <w:rsid w:val="00016CAB"/>
    <w:rsid w:val="00016E5B"/>
    <w:rsid w:val="0001749B"/>
    <w:rsid w:val="00017C2C"/>
    <w:rsid w:val="00017D75"/>
    <w:rsid w:val="00017F39"/>
    <w:rsid w:val="00017FE5"/>
    <w:rsid w:val="00020792"/>
    <w:rsid w:val="00020DB3"/>
    <w:rsid w:val="00021910"/>
    <w:rsid w:val="000219C5"/>
    <w:rsid w:val="00021AEE"/>
    <w:rsid w:val="00021F43"/>
    <w:rsid w:val="000224BB"/>
    <w:rsid w:val="00022E8D"/>
    <w:rsid w:val="0002348A"/>
    <w:rsid w:val="00023780"/>
    <w:rsid w:val="00023DF9"/>
    <w:rsid w:val="00024708"/>
    <w:rsid w:val="00024EE7"/>
    <w:rsid w:val="000250D0"/>
    <w:rsid w:val="00025B0F"/>
    <w:rsid w:val="00025DCB"/>
    <w:rsid w:val="00025F96"/>
    <w:rsid w:val="00025FAB"/>
    <w:rsid w:val="00026E89"/>
    <w:rsid w:val="000270C9"/>
    <w:rsid w:val="000271CD"/>
    <w:rsid w:val="00027424"/>
    <w:rsid w:val="000275A3"/>
    <w:rsid w:val="000275BF"/>
    <w:rsid w:val="000276B1"/>
    <w:rsid w:val="0002779E"/>
    <w:rsid w:val="00027901"/>
    <w:rsid w:val="0003007F"/>
    <w:rsid w:val="00030558"/>
    <w:rsid w:val="00030699"/>
    <w:rsid w:val="00030725"/>
    <w:rsid w:val="00030DB8"/>
    <w:rsid w:val="00031A83"/>
    <w:rsid w:val="00031FA0"/>
    <w:rsid w:val="0003213A"/>
    <w:rsid w:val="000327CD"/>
    <w:rsid w:val="000328C0"/>
    <w:rsid w:val="00032A81"/>
    <w:rsid w:val="000331B9"/>
    <w:rsid w:val="000337F6"/>
    <w:rsid w:val="000340D8"/>
    <w:rsid w:val="0003427D"/>
    <w:rsid w:val="000344F5"/>
    <w:rsid w:val="00034DFA"/>
    <w:rsid w:val="000357ED"/>
    <w:rsid w:val="00035902"/>
    <w:rsid w:val="00035E15"/>
    <w:rsid w:val="0003640E"/>
    <w:rsid w:val="000367AA"/>
    <w:rsid w:val="0003688A"/>
    <w:rsid w:val="000368FC"/>
    <w:rsid w:val="00036DA3"/>
    <w:rsid w:val="00037052"/>
    <w:rsid w:val="000378DA"/>
    <w:rsid w:val="000379BF"/>
    <w:rsid w:val="00037A7C"/>
    <w:rsid w:val="00037BEC"/>
    <w:rsid w:val="000400D9"/>
    <w:rsid w:val="0004035C"/>
    <w:rsid w:val="00040860"/>
    <w:rsid w:val="00040CED"/>
    <w:rsid w:val="00040EA1"/>
    <w:rsid w:val="00041933"/>
    <w:rsid w:val="0004205F"/>
    <w:rsid w:val="000423C6"/>
    <w:rsid w:val="00042EDB"/>
    <w:rsid w:val="0004427C"/>
    <w:rsid w:val="0004441C"/>
    <w:rsid w:val="00044A50"/>
    <w:rsid w:val="00044BE0"/>
    <w:rsid w:val="00044C65"/>
    <w:rsid w:val="00044CEE"/>
    <w:rsid w:val="00044D4A"/>
    <w:rsid w:val="00045184"/>
    <w:rsid w:val="00045357"/>
    <w:rsid w:val="000458C7"/>
    <w:rsid w:val="00045991"/>
    <w:rsid w:val="00045A71"/>
    <w:rsid w:val="00045E5C"/>
    <w:rsid w:val="00046132"/>
    <w:rsid w:val="00046288"/>
    <w:rsid w:val="00046755"/>
    <w:rsid w:val="00047941"/>
    <w:rsid w:val="00047C86"/>
    <w:rsid w:val="00047CE8"/>
    <w:rsid w:val="00047DDF"/>
    <w:rsid w:val="00047EA0"/>
    <w:rsid w:val="00050089"/>
    <w:rsid w:val="000502E1"/>
    <w:rsid w:val="00050A22"/>
    <w:rsid w:val="00050E27"/>
    <w:rsid w:val="00050EDF"/>
    <w:rsid w:val="0005144F"/>
    <w:rsid w:val="00051871"/>
    <w:rsid w:val="00051AF1"/>
    <w:rsid w:val="00051D42"/>
    <w:rsid w:val="00052B53"/>
    <w:rsid w:val="00052CBC"/>
    <w:rsid w:val="000538A1"/>
    <w:rsid w:val="00054213"/>
    <w:rsid w:val="000542BF"/>
    <w:rsid w:val="00054338"/>
    <w:rsid w:val="00054A83"/>
    <w:rsid w:val="00054B91"/>
    <w:rsid w:val="00054E7A"/>
    <w:rsid w:val="00055375"/>
    <w:rsid w:val="00056319"/>
    <w:rsid w:val="000564E7"/>
    <w:rsid w:val="00056770"/>
    <w:rsid w:val="00057386"/>
    <w:rsid w:val="0005784A"/>
    <w:rsid w:val="00057A51"/>
    <w:rsid w:val="00057EEF"/>
    <w:rsid w:val="00060260"/>
    <w:rsid w:val="00061233"/>
    <w:rsid w:val="000619CB"/>
    <w:rsid w:val="00061B30"/>
    <w:rsid w:val="00061E18"/>
    <w:rsid w:val="00062058"/>
    <w:rsid w:val="00062387"/>
    <w:rsid w:val="000640F0"/>
    <w:rsid w:val="0006434D"/>
    <w:rsid w:val="000643A1"/>
    <w:rsid w:val="00064679"/>
    <w:rsid w:val="000647D6"/>
    <w:rsid w:val="00064A13"/>
    <w:rsid w:val="00064AF4"/>
    <w:rsid w:val="00064DB1"/>
    <w:rsid w:val="00064F17"/>
    <w:rsid w:val="0006527A"/>
    <w:rsid w:val="0006548B"/>
    <w:rsid w:val="00065BA3"/>
    <w:rsid w:val="00065D3B"/>
    <w:rsid w:val="00066237"/>
    <w:rsid w:val="000667E9"/>
    <w:rsid w:val="00066AE6"/>
    <w:rsid w:val="00067128"/>
    <w:rsid w:val="000675CD"/>
    <w:rsid w:val="00067872"/>
    <w:rsid w:val="000678AC"/>
    <w:rsid w:val="000701C0"/>
    <w:rsid w:val="000703A6"/>
    <w:rsid w:val="000703B2"/>
    <w:rsid w:val="00070950"/>
    <w:rsid w:val="00070FBF"/>
    <w:rsid w:val="000711EE"/>
    <w:rsid w:val="000717D0"/>
    <w:rsid w:val="0007180E"/>
    <w:rsid w:val="00071815"/>
    <w:rsid w:val="000718F3"/>
    <w:rsid w:val="00071AE4"/>
    <w:rsid w:val="00071CB5"/>
    <w:rsid w:val="00071CCB"/>
    <w:rsid w:val="00071D03"/>
    <w:rsid w:val="00071E1A"/>
    <w:rsid w:val="0007232B"/>
    <w:rsid w:val="0007244D"/>
    <w:rsid w:val="00072AFB"/>
    <w:rsid w:val="000731B8"/>
    <w:rsid w:val="000735A2"/>
    <w:rsid w:val="00073D84"/>
    <w:rsid w:val="0007517E"/>
    <w:rsid w:val="000753A8"/>
    <w:rsid w:val="00075FE1"/>
    <w:rsid w:val="000764A0"/>
    <w:rsid w:val="00076667"/>
    <w:rsid w:val="00076C36"/>
    <w:rsid w:val="00076FA2"/>
    <w:rsid w:val="00077473"/>
    <w:rsid w:val="00077481"/>
    <w:rsid w:val="000776F9"/>
    <w:rsid w:val="00077EE0"/>
    <w:rsid w:val="00079863"/>
    <w:rsid w:val="000802F9"/>
    <w:rsid w:val="00080886"/>
    <w:rsid w:val="00080B7A"/>
    <w:rsid w:val="0008145A"/>
    <w:rsid w:val="0008162D"/>
    <w:rsid w:val="00081A5D"/>
    <w:rsid w:val="00081D0F"/>
    <w:rsid w:val="000824EC"/>
    <w:rsid w:val="000829AA"/>
    <w:rsid w:val="00082E4D"/>
    <w:rsid w:val="000831C8"/>
    <w:rsid w:val="000834EC"/>
    <w:rsid w:val="00083F5E"/>
    <w:rsid w:val="00084661"/>
    <w:rsid w:val="000846D2"/>
    <w:rsid w:val="0008480C"/>
    <w:rsid w:val="0008497C"/>
    <w:rsid w:val="00084D7A"/>
    <w:rsid w:val="00084FDB"/>
    <w:rsid w:val="0008505C"/>
    <w:rsid w:val="00085C46"/>
    <w:rsid w:val="00085CFF"/>
    <w:rsid w:val="000867A7"/>
    <w:rsid w:val="0008686A"/>
    <w:rsid w:val="00087175"/>
    <w:rsid w:val="00087AA4"/>
    <w:rsid w:val="00087D35"/>
    <w:rsid w:val="0009049E"/>
    <w:rsid w:val="00090703"/>
    <w:rsid w:val="00090ADB"/>
    <w:rsid w:val="00090ED8"/>
    <w:rsid w:val="00090FE6"/>
    <w:rsid w:val="000910B3"/>
    <w:rsid w:val="000910EF"/>
    <w:rsid w:val="00091796"/>
    <w:rsid w:val="00091B9D"/>
    <w:rsid w:val="00091BA2"/>
    <w:rsid w:val="00091CB0"/>
    <w:rsid w:val="00092E3E"/>
    <w:rsid w:val="00093B89"/>
    <w:rsid w:val="00093BBE"/>
    <w:rsid w:val="00093C38"/>
    <w:rsid w:val="00094344"/>
    <w:rsid w:val="0009439F"/>
    <w:rsid w:val="00094694"/>
    <w:rsid w:val="00094C9B"/>
    <w:rsid w:val="000953C6"/>
    <w:rsid w:val="000953F4"/>
    <w:rsid w:val="0009590C"/>
    <w:rsid w:val="000959E7"/>
    <w:rsid w:val="00095E7D"/>
    <w:rsid w:val="000964DE"/>
    <w:rsid w:val="000972AB"/>
    <w:rsid w:val="00097657"/>
    <w:rsid w:val="00097B40"/>
    <w:rsid w:val="00097D0E"/>
    <w:rsid w:val="0009996C"/>
    <w:rsid w:val="000A037C"/>
    <w:rsid w:val="000A0A9C"/>
    <w:rsid w:val="000A128C"/>
    <w:rsid w:val="000A14C8"/>
    <w:rsid w:val="000A17EA"/>
    <w:rsid w:val="000A1B48"/>
    <w:rsid w:val="000A1C7A"/>
    <w:rsid w:val="000A1DE0"/>
    <w:rsid w:val="000A1ED7"/>
    <w:rsid w:val="000A1F63"/>
    <w:rsid w:val="000A2345"/>
    <w:rsid w:val="000A2394"/>
    <w:rsid w:val="000A2B31"/>
    <w:rsid w:val="000A2F8F"/>
    <w:rsid w:val="000A31C1"/>
    <w:rsid w:val="000A32C5"/>
    <w:rsid w:val="000A3411"/>
    <w:rsid w:val="000A34CA"/>
    <w:rsid w:val="000A4061"/>
    <w:rsid w:val="000A426F"/>
    <w:rsid w:val="000A4559"/>
    <w:rsid w:val="000A45FD"/>
    <w:rsid w:val="000A477B"/>
    <w:rsid w:val="000A53F2"/>
    <w:rsid w:val="000A558D"/>
    <w:rsid w:val="000A5611"/>
    <w:rsid w:val="000A563C"/>
    <w:rsid w:val="000A59C5"/>
    <w:rsid w:val="000A5DEA"/>
    <w:rsid w:val="000A5EBD"/>
    <w:rsid w:val="000A5F0C"/>
    <w:rsid w:val="000A7090"/>
    <w:rsid w:val="000A70FC"/>
    <w:rsid w:val="000A7658"/>
    <w:rsid w:val="000A7795"/>
    <w:rsid w:val="000A785C"/>
    <w:rsid w:val="000A7D76"/>
    <w:rsid w:val="000A7F0F"/>
    <w:rsid w:val="000A7F4C"/>
    <w:rsid w:val="000A7FF2"/>
    <w:rsid w:val="000B01D9"/>
    <w:rsid w:val="000B02BC"/>
    <w:rsid w:val="000B0498"/>
    <w:rsid w:val="000B0547"/>
    <w:rsid w:val="000B0C8A"/>
    <w:rsid w:val="000B0F36"/>
    <w:rsid w:val="000B1942"/>
    <w:rsid w:val="000B1BED"/>
    <w:rsid w:val="000B1E55"/>
    <w:rsid w:val="000B2240"/>
    <w:rsid w:val="000B2477"/>
    <w:rsid w:val="000B2600"/>
    <w:rsid w:val="000B26C8"/>
    <w:rsid w:val="000B31F3"/>
    <w:rsid w:val="000B323B"/>
    <w:rsid w:val="000B324D"/>
    <w:rsid w:val="000B33D3"/>
    <w:rsid w:val="000B36F9"/>
    <w:rsid w:val="000B3A43"/>
    <w:rsid w:val="000B4074"/>
    <w:rsid w:val="000B4732"/>
    <w:rsid w:val="000B48D5"/>
    <w:rsid w:val="000B4BCD"/>
    <w:rsid w:val="000B66DC"/>
    <w:rsid w:val="000B6942"/>
    <w:rsid w:val="000B6D1F"/>
    <w:rsid w:val="000B7547"/>
    <w:rsid w:val="000B76B4"/>
    <w:rsid w:val="000B76B9"/>
    <w:rsid w:val="000C02F2"/>
    <w:rsid w:val="000C0304"/>
    <w:rsid w:val="000C062F"/>
    <w:rsid w:val="000C09A5"/>
    <w:rsid w:val="000C0F1D"/>
    <w:rsid w:val="000C1639"/>
    <w:rsid w:val="000C17E7"/>
    <w:rsid w:val="000C1DBC"/>
    <w:rsid w:val="000C2903"/>
    <w:rsid w:val="000C2E7D"/>
    <w:rsid w:val="000C3270"/>
    <w:rsid w:val="000C409A"/>
    <w:rsid w:val="000C490E"/>
    <w:rsid w:val="000C577E"/>
    <w:rsid w:val="000C5B1F"/>
    <w:rsid w:val="000C5C35"/>
    <w:rsid w:val="000C7609"/>
    <w:rsid w:val="000CCDDF"/>
    <w:rsid w:val="000D0097"/>
    <w:rsid w:val="000D04BA"/>
    <w:rsid w:val="000D0B6E"/>
    <w:rsid w:val="000D0D65"/>
    <w:rsid w:val="000D10A1"/>
    <w:rsid w:val="000D12E0"/>
    <w:rsid w:val="000D130B"/>
    <w:rsid w:val="000D1944"/>
    <w:rsid w:val="000D1DD9"/>
    <w:rsid w:val="000D2172"/>
    <w:rsid w:val="000D293C"/>
    <w:rsid w:val="000D2BC1"/>
    <w:rsid w:val="000D337B"/>
    <w:rsid w:val="000D385A"/>
    <w:rsid w:val="000D38C2"/>
    <w:rsid w:val="000D38DC"/>
    <w:rsid w:val="000D3CA7"/>
    <w:rsid w:val="000D4BE0"/>
    <w:rsid w:val="000D4D7C"/>
    <w:rsid w:val="000D50B2"/>
    <w:rsid w:val="000D54BE"/>
    <w:rsid w:val="000D5834"/>
    <w:rsid w:val="000D5B16"/>
    <w:rsid w:val="000D5CAE"/>
    <w:rsid w:val="000D5DA3"/>
    <w:rsid w:val="000D5E4F"/>
    <w:rsid w:val="000D5FD6"/>
    <w:rsid w:val="000D6201"/>
    <w:rsid w:val="000D6488"/>
    <w:rsid w:val="000D65ED"/>
    <w:rsid w:val="000D66BC"/>
    <w:rsid w:val="000D6C73"/>
    <w:rsid w:val="000D7088"/>
    <w:rsid w:val="000D713F"/>
    <w:rsid w:val="000D76E6"/>
    <w:rsid w:val="000D770B"/>
    <w:rsid w:val="000D788E"/>
    <w:rsid w:val="000D7B0A"/>
    <w:rsid w:val="000E12B0"/>
    <w:rsid w:val="000E1A22"/>
    <w:rsid w:val="000E1A43"/>
    <w:rsid w:val="000E1AB6"/>
    <w:rsid w:val="000E1BC8"/>
    <w:rsid w:val="000E1C52"/>
    <w:rsid w:val="000E1D32"/>
    <w:rsid w:val="000E26D8"/>
    <w:rsid w:val="000E2B22"/>
    <w:rsid w:val="000E2B94"/>
    <w:rsid w:val="000E3156"/>
    <w:rsid w:val="000E35B6"/>
    <w:rsid w:val="000E3930"/>
    <w:rsid w:val="000E3BB8"/>
    <w:rsid w:val="000E3D9B"/>
    <w:rsid w:val="000E3DFD"/>
    <w:rsid w:val="000E3F49"/>
    <w:rsid w:val="000E4261"/>
    <w:rsid w:val="000E4697"/>
    <w:rsid w:val="000E4A60"/>
    <w:rsid w:val="000E53B1"/>
    <w:rsid w:val="000E58C5"/>
    <w:rsid w:val="000E60AF"/>
    <w:rsid w:val="000E61CA"/>
    <w:rsid w:val="000E61CD"/>
    <w:rsid w:val="000E6203"/>
    <w:rsid w:val="000E64CB"/>
    <w:rsid w:val="000E69DE"/>
    <w:rsid w:val="000E6BA4"/>
    <w:rsid w:val="000E722C"/>
    <w:rsid w:val="000E755B"/>
    <w:rsid w:val="000E786F"/>
    <w:rsid w:val="000E7DA7"/>
    <w:rsid w:val="000E7FA0"/>
    <w:rsid w:val="000F00BA"/>
    <w:rsid w:val="000F02F8"/>
    <w:rsid w:val="000F0409"/>
    <w:rsid w:val="000F049F"/>
    <w:rsid w:val="000F0642"/>
    <w:rsid w:val="000F07FA"/>
    <w:rsid w:val="000F0B5E"/>
    <w:rsid w:val="000F16D5"/>
    <w:rsid w:val="000F1D43"/>
    <w:rsid w:val="000F1D44"/>
    <w:rsid w:val="000F1DB2"/>
    <w:rsid w:val="000F1F8D"/>
    <w:rsid w:val="000F1FFF"/>
    <w:rsid w:val="000F20AA"/>
    <w:rsid w:val="000F2531"/>
    <w:rsid w:val="000F253E"/>
    <w:rsid w:val="000F2651"/>
    <w:rsid w:val="000F33F7"/>
    <w:rsid w:val="000F348D"/>
    <w:rsid w:val="000F369A"/>
    <w:rsid w:val="000F4463"/>
    <w:rsid w:val="000F51E1"/>
    <w:rsid w:val="000F520E"/>
    <w:rsid w:val="000F5285"/>
    <w:rsid w:val="000F52E0"/>
    <w:rsid w:val="000F5332"/>
    <w:rsid w:val="000F53A9"/>
    <w:rsid w:val="000F5BD5"/>
    <w:rsid w:val="000F5FBF"/>
    <w:rsid w:val="000F6464"/>
    <w:rsid w:val="000F6628"/>
    <w:rsid w:val="000F6C25"/>
    <w:rsid w:val="000F6D17"/>
    <w:rsid w:val="000F7178"/>
    <w:rsid w:val="000F76EB"/>
    <w:rsid w:val="000F78AE"/>
    <w:rsid w:val="000F7991"/>
    <w:rsid w:val="000F7B59"/>
    <w:rsid w:val="000F7E25"/>
    <w:rsid w:val="000F7F4E"/>
    <w:rsid w:val="00100480"/>
    <w:rsid w:val="001007EE"/>
    <w:rsid w:val="00100F76"/>
    <w:rsid w:val="001011C8"/>
    <w:rsid w:val="0010148E"/>
    <w:rsid w:val="00101BA5"/>
    <w:rsid w:val="0010253C"/>
    <w:rsid w:val="00102BD1"/>
    <w:rsid w:val="001036DE"/>
    <w:rsid w:val="0010384C"/>
    <w:rsid w:val="00103954"/>
    <w:rsid w:val="001045BC"/>
    <w:rsid w:val="0010486A"/>
    <w:rsid w:val="00105547"/>
    <w:rsid w:val="0010561C"/>
    <w:rsid w:val="00105629"/>
    <w:rsid w:val="00105C0F"/>
    <w:rsid w:val="00105E39"/>
    <w:rsid w:val="00106561"/>
    <w:rsid w:val="00106D63"/>
    <w:rsid w:val="001074ED"/>
    <w:rsid w:val="001075F3"/>
    <w:rsid w:val="001078C0"/>
    <w:rsid w:val="001079B4"/>
    <w:rsid w:val="00107A01"/>
    <w:rsid w:val="00107C23"/>
    <w:rsid w:val="00110307"/>
    <w:rsid w:val="00110C7F"/>
    <w:rsid w:val="00110EE2"/>
    <w:rsid w:val="00111A88"/>
    <w:rsid w:val="0011221A"/>
    <w:rsid w:val="001123E9"/>
    <w:rsid w:val="00112407"/>
    <w:rsid w:val="00112C36"/>
    <w:rsid w:val="00113283"/>
    <w:rsid w:val="0011377C"/>
    <w:rsid w:val="001137AE"/>
    <w:rsid w:val="00113B20"/>
    <w:rsid w:val="001147B3"/>
    <w:rsid w:val="001148F7"/>
    <w:rsid w:val="001149B2"/>
    <w:rsid w:val="00114B69"/>
    <w:rsid w:val="00114C2D"/>
    <w:rsid w:val="00115125"/>
    <w:rsid w:val="001152F2"/>
    <w:rsid w:val="001157D7"/>
    <w:rsid w:val="00116116"/>
    <w:rsid w:val="00116382"/>
    <w:rsid w:val="001163C9"/>
    <w:rsid w:val="00116484"/>
    <w:rsid w:val="00116ACF"/>
    <w:rsid w:val="00116D5C"/>
    <w:rsid w:val="001172B2"/>
    <w:rsid w:val="00117585"/>
    <w:rsid w:val="00117F9B"/>
    <w:rsid w:val="001207A0"/>
    <w:rsid w:val="00120C8D"/>
    <w:rsid w:val="00121211"/>
    <w:rsid w:val="00121623"/>
    <w:rsid w:val="00121628"/>
    <w:rsid w:val="0012167D"/>
    <w:rsid w:val="001219EF"/>
    <w:rsid w:val="00122132"/>
    <w:rsid w:val="00122189"/>
    <w:rsid w:val="00122280"/>
    <w:rsid w:val="001226B2"/>
    <w:rsid w:val="00122CDE"/>
    <w:rsid w:val="00122D42"/>
    <w:rsid w:val="001231C5"/>
    <w:rsid w:val="00123345"/>
    <w:rsid w:val="00123C46"/>
    <w:rsid w:val="0012470B"/>
    <w:rsid w:val="00124726"/>
    <w:rsid w:val="00125986"/>
    <w:rsid w:val="00125C75"/>
    <w:rsid w:val="00125C7E"/>
    <w:rsid w:val="0012760C"/>
    <w:rsid w:val="001278B4"/>
    <w:rsid w:val="00127945"/>
    <w:rsid w:val="00127D94"/>
    <w:rsid w:val="00127E90"/>
    <w:rsid w:val="00130120"/>
    <w:rsid w:val="001302C1"/>
    <w:rsid w:val="00130317"/>
    <w:rsid w:val="001306D3"/>
    <w:rsid w:val="00130A4A"/>
    <w:rsid w:val="001310BF"/>
    <w:rsid w:val="00133761"/>
    <w:rsid w:val="00133E73"/>
    <w:rsid w:val="00133FDB"/>
    <w:rsid w:val="00134CD4"/>
    <w:rsid w:val="00134F4A"/>
    <w:rsid w:val="00135A30"/>
    <w:rsid w:val="00135BFD"/>
    <w:rsid w:val="00135E4E"/>
    <w:rsid w:val="00135EF9"/>
    <w:rsid w:val="00136246"/>
    <w:rsid w:val="001362B9"/>
    <w:rsid w:val="001364D4"/>
    <w:rsid w:val="001365D3"/>
    <w:rsid w:val="00136ED4"/>
    <w:rsid w:val="001371C8"/>
    <w:rsid w:val="001372ED"/>
    <w:rsid w:val="00137A1C"/>
    <w:rsid w:val="00137A47"/>
    <w:rsid w:val="00137E33"/>
    <w:rsid w:val="00140169"/>
    <w:rsid w:val="001401D6"/>
    <w:rsid w:val="001402CA"/>
    <w:rsid w:val="00140BB3"/>
    <w:rsid w:val="001410CA"/>
    <w:rsid w:val="00142AC0"/>
    <w:rsid w:val="00142B50"/>
    <w:rsid w:val="00143059"/>
    <w:rsid w:val="0014309D"/>
    <w:rsid w:val="00143540"/>
    <w:rsid w:val="001437B0"/>
    <w:rsid w:val="001437DF"/>
    <w:rsid w:val="00143873"/>
    <w:rsid w:val="001439E9"/>
    <w:rsid w:val="001439ED"/>
    <w:rsid w:val="00143C55"/>
    <w:rsid w:val="0014412F"/>
    <w:rsid w:val="00144A79"/>
    <w:rsid w:val="00144B13"/>
    <w:rsid w:val="00144C6F"/>
    <w:rsid w:val="00145089"/>
    <w:rsid w:val="001451E7"/>
    <w:rsid w:val="0014540A"/>
    <w:rsid w:val="00145BF8"/>
    <w:rsid w:val="001462E3"/>
    <w:rsid w:val="00146507"/>
    <w:rsid w:val="00146C9D"/>
    <w:rsid w:val="00146E33"/>
    <w:rsid w:val="00146FC2"/>
    <w:rsid w:val="00146FDE"/>
    <w:rsid w:val="0014720C"/>
    <w:rsid w:val="001472C2"/>
    <w:rsid w:val="00147458"/>
    <w:rsid w:val="00147B2C"/>
    <w:rsid w:val="00147E21"/>
    <w:rsid w:val="001501EC"/>
    <w:rsid w:val="00150A81"/>
    <w:rsid w:val="00150BA8"/>
    <w:rsid w:val="00150D19"/>
    <w:rsid w:val="00151431"/>
    <w:rsid w:val="00151449"/>
    <w:rsid w:val="0015163A"/>
    <w:rsid w:val="0015181B"/>
    <w:rsid w:val="00151A9F"/>
    <w:rsid w:val="001528DE"/>
    <w:rsid w:val="00152A11"/>
    <w:rsid w:val="00152B87"/>
    <w:rsid w:val="001536DA"/>
    <w:rsid w:val="00153809"/>
    <w:rsid w:val="00153A96"/>
    <w:rsid w:val="00153D1C"/>
    <w:rsid w:val="00154176"/>
    <w:rsid w:val="001543E2"/>
    <w:rsid w:val="0015517B"/>
    <w:rsid w:val="001554F0"/>
    <w:rsid w:val="00155B43"/>
    <w:rsid w:val="00155FBA"/>
    <w:rsid w:val="001565A2"/>
    <w:rsid w:val="00156702"/>
    <w:rsid w:val="001567C3"/>
    <w:rsid w:val="00156954"/>
    <w:rsid w:val="00156A12"/>
    <w:rsid w:val="00156C09"/>
    <w:rsid w:val="0015716B"/>
    <w:rsid w:val="001579E3"/>
    <w:rsid w:val="00157B3F"/>
    <w:rsid w:val="00157F8A"/>
    <w:rsid w:val="001600E8"/>
    <w:rsid w:val="001604C1"/>
    <w:rsid w:val="001608BF"/>
    <w:rsid w:val="00160C3D"/>
    <w:rsid w:val="0016102B"/>
    <w:rsid w:val="001610D4"/>
    <w:rsid w:val="00161B24"/>
    <w:rsid w:val="00161C41"/>
    <w:rsid w:val="00161DD5"/>
    <w:rsid w:val="00162090"/>
    <w:rsid w:val="001631EF"/>
    <w:rsid w:val="001633A4"/>
    <w:rsid w:val="001634D6"/>
    <w:rsid w:val="0016467C"/>
    <w:rsid w:val="001648DD"/>
    <w:rsid w:val="00164FC6"/>
    <w:rsid w:val="00165705"/>
    <w:rsid w:val="00165E0C"/>
    <w:rsid w:val="00166389"/>
    <w:rsid w:val="00166A58"/>
    <w:rsid w:val="00166E03"/>
    <w:rsid w:val="0016727A"/>
    <w:rsid w:val="00167E4C"/>
    <w:rsid w:val="001701EB"/>
    <w:rsid w:val="001713CD"/>
    <w:rsid w:val="00171449"/>
    <w:rsid w:val="0017199C"/>
    <w:rsid w:val="00171C7E"/>
    <w:rsid w:val="00171CCB"/>
    <w:rsid w:val="00171F35"/>
    <w:rsid w:val="00171F6C"/>
    <w:rsid w:val="00172552"/>
    <w:rsid w:val="001725AD"/>
    <w:rsid w:val="001725F8"/>
    <w:rsid w:val="00172873"/>
    <w:rsid w:val="00172CF7"/>
    <w:rsid w:val="0017319E"/>
    <w:rsid w:val="0017328A"/>
    <w:rsid w:val="00173A1F"/>
    <w:rsid w:val="00173BBE"/>
    <w:rsid w:val="00173BC3"/>
    <w:rsid w:val="00173D88"/>
    <w:rsid w:val="0017400E"/>
    <w:rsid w:val="00174128"/>
    <w:rsid w:val="0017449A"/>
    <w:rsid w:val="00174F47"/>
    <w:rsid w:val="0017518B"/>
    <w:rsid w:val="001752DA"/>
    <w:rsid w:val="00175348"/>
    <w:rsid w:val="00175770"/>
    <w:rsid w:val="00175C34"/>
    <w:rsid w:val="00175C86"/>
    <w:rsid w:val="00175F9A"/>
    <w:rsid w:val="00176015"/>
    <w:rsid w:val="001762B3"/>
    <w:rsid w:val="001764BA"/>
    <w:rsid w:val="001768BD"/>
    <w:rsid w:val="00176E98"/>
    <w:rsid w:val="00177168"/>
    <w:rsid w:val="00177227"/>
    <w:rsid w:val="001773B8"/>
    <w:rsid w:val="00177624"/>
    <w:rsid w:val="00177996"/>
    <w:rsid w:val="00177F93"/>
    <w:rsid w:val="0018085A"/>
    <w:rsid w:val="00180B3F"/>
    <w:rsid w:val="00180B52"/>
    <w:rsid w:val="00180C83"/>
    <w:rsid w:val="00180CE5"/>
    <w:rsid w:val="00180EC3"/>
    <w:rsid w:val="00181314"/>
    <w:rsid w:val="0018175B"/>
    <w:rsid w:val="001818EE"/>
    <w:rsid w:val="00181FBB"/>
    <w:rsid w:val="001820A3"/>
    <w:rsid w:val="00182713"/>
    <w:rsid w:val="00182E43"/>
    <w:rsid w:val="0018332A"/>
    <w:rsid w:val="00183BA5"/>
    <w:rsid w:val="00183C70"/>
    <w:rsid w:val="00183D80"/>
    <w:rsid w:val="00183E63"/>
    <w:rsid w:val="001842A7"/>
    <w:rsid w:val="001842C8"/>
    <w:rsid w:val="001847B0"/>
    <w:rsid w:val="00184E1F"/>
    <w:rsid w:val="00185044"/>
    <w:rsid w:val="001850DB"/>
    <w:rsid w:val="0018599C"/>
    <w:rsid w:val="0018638E"/>
    <w:rsid w:val="001869EE"/>
    <w:rsid w:val="00186D00"/>
    <w:rsid w:val="00186F8E"/>
    <w:rsid w:val="0018743A"/>
    <w:rsid w:val="00190009"/>
    <w:rsid w:val="0019051E"/>
    <w:rsid w:val="0019096F"/>
    <w:rsid w:val="00190A57"/>
    <w:rsid w:val="00190B3F"/>
    <w:rsid w:val="0019122C"/>
    <w:rsid w:val="00191908"/>
    <w:rsid w:val="0019216B"/>
    <w:rsid w:val="00192DF3"/>
    <w:rsid w:val="0019301F"/>
    <w:rsid w:val="00193286"/>
    <w:rsid w:val="00193300"/>
    <w:rsid w:val="001937B8"/>
    <w:rsid w:val="00194630"/>
    <w:rsid w:val="0019478B"/>
    <w:rsid w:val="001949DD"/>
    <w:rsid w:val="00194BB7"/>
    <w:rsid w:val="00194CC5"/>
    <w:rsid w:val="001951B2"/>
    <w:rsid w:val="0019565D"/>
    <w:rsid w:val="00195983"/>
    <w:rsid w:val="00195BE1"/>
    <w:rsid w:val="00195DD2"/>
    <w:rsid w:val="00196232"/>
    <w:rsid w:val="00197564"/>
    <w:rsid w:val="00197707"/>
    <w:rsid w:val="00197CA3"/>
    <w:rsid w:val="00197D72"/>
    <w:rsid w:val="00197EC2"/>
    <w:rsid w:val="00197ECE"/>
    <w:rsid w:val="001A0294"/>
    <w:rsid w:val="001A0675"/>
    <w:rsid w:val="001A08B2"/>
    <w:rsid w:val="001A09E9"/>
    <w:rsid w:val="001A0E4F"/>
    <w:rsid w:val="001A1713"/>
    <w:rsid w:val="001A1BD7"/>
    <w:rsid w:val="001A1CED"/>
    <w:rsid w:val="001A279B"/>
    <w:rsid w:val="001A2DC3"/>
    <w:rsid w:val="001A2E87"/>
    <w:rsid w:val="001A328A"/>
    <w:rsid w:val="001A3869"/>
    <w:rsid w:val="001A38C2"/>
    <w:rsid w:val="001A3C39"/>
    <w:rsid w:val="001A3FA5"/>
    <w:rsid w:val="001A4E2D"/>
    <w:rsid w:val="001A4F87"/>
    <w:rsid w:val="001A52AE"/>
    <w:rsid w:val="001A5406"/>
    <w:rsid w:val="001A623F"/>
    <w:rsid w:val="001A65C8"/>
    <w:rsid w:val="001A732E"/>
    <w:rsid w:val="001A7A0B"/>
    <w:rsid w:val="001A7F21"/>
    <w:rsid w:val="001A7F30"/>
    <w:rsid w:val="001A7FD6"/>
    <w:rsid w:val="001B0210"/>
    <w:rsid w:val="001B06E2"/>
    <w:rsid w:val="001B0823"/>
    <w:rsid w:val="001B103A"/>
    <w:rsid w:val="001B103D"/>
    <w:rsid w:val="001B1513"/>
    <w:rsid w:val="001B1767"/>
    <w:rsid w:val="001B1AD6"/>
    <w:rsid w:val="001B1B79"/>
    <w:rsid w:val="001B216C"/>
    <w:rsid w:val="001B2453"/>
    <w:rsid w:val="001B287E"/>
    <w:rsid w:val="001B2A04"/>
    <w:rsid w:val="001B2B8B"/>
    <w:rsid w:val="001B3D48"/>
    <w:rsid w:val="001B50A7"/>
    <w:rsid w:val="001B50B7"/>
    <w:rsid w:val="001B5223"/>
    <w:rsid w:val="001B537E"/>
    <w:rsid w:val="001B5AF9"/>
    <w:rsid w:val="001B6331"/>
    <w:rsid w:val="001B6600"/>
    <w:rsid w:val="001B6B9B"/>
    <w:rsid w:val="001B6C27"/>
    <w:rsid w:val="001B7144"/>
    <w:rsid w:val="001B7E91"/>
    <w:rsid w:val="001C0C1F"/>
    <w:rsid w:val="001C10CE"/>
    <w:rsid w:val="001C147E"/>
    <w:rsid w:val="001C151B"/>
    <w:rsid w:val="001C18DF"/>
    <w:rsid w:val="001C19E5"/>
    <w:rsid w:val="001C2588"/>
    <w:rsid w:val="001C34A5"/>
    <w:rsid w:val="001C3800"/>
    <w:rsid w:val="001C39C4"/>
    <w:rsid w:val="001C3C7B"/>
    <w:rsid w:val="001C4097"/>
    <w:rsid w:val="001C5732"/>
    <w:rsid w:val="001C6122"/>
    <w:rsid w:val="001C6359"/>
    <w:rsid w:val="001C6587"/>
    <w:rsid w:val="001C69BE"/>
    <w:rsid w:val="001C6B2C"/>
    <w:rsid w:val="001C6C80"/>
    <w:rsid w:val="001C6DB5"/>
    <w:rsid w:val="001C70A5"/>
    <w:rsid w:val="001C7176"/>
    <w:rsid w:val="001C71AC"/>
    <w:rsid w:val="001C7316"/>
    <w:rsid w:val="001C7C2E"/>
    <w:rsid w:val="001C7E5C"/>
    <w:rsid w:val="001D00CC"/>
    <w:rsid w:val="001D0315"/>
    <w:rsid w:val="001D0494"/>
    <w:rsid w:val="001D04F8"/>
    <w:rsid w:val="001D07B7"/>
    <w:rsid w:val="001D09C5"/>
    <w:rsid w:val="001D0D75"/>
    <w:rsid w:val="001D122D"/>
    <w:rsid w:val="001D1719"/>
    <w:rsid w:val="001D171B"/>
    <w:rsid w:val="001D1732"/>
    <w:rsid w:val="001D1E2E"/>
    <w:rsid w:val="001D1E90"/>
    <w:rsid w:val="001D2203"/>
    <w:rsid w:val="001D255C"/>
    <w:rsid w:val="001D2DEF"/>
    <w:rsid w:val="001D30BB"/>
    <w:rsid w:val="001D3655"/>
    <w:rsid w:val="001D37E5"/>
    <w:rsid w:val="001D488C"/>
    <w:rsid w:val="001D4CDF"/>
    <w:rsid w:val="001D4DC3"/>
    <w:rsid w:val="001D4F88"/>
    <w:rsid w:val="001D578D"/>
    <w:rsid w:val="001D5818"/>
    <w:rsid w:val="001D653A"/>
    <w:rsid w:val="001D768C"/>
    <w:rsid w:val="001D7884"/>
    <w:rsid w:val="001D7DEE"/>
    <w:rsid w:val="001E02CB"/>
    <w:rsid w:val="001E0669"/>
    <w:rsid w:val="001E07E2"/>
    <w:rsid w:val="001E14FD"/>
    <w:rsid w:val="001E1801"/>
    <w:rsid w:val="001E180F"/>
    <w:rsid w:val="001E1BE5"/>
    <w:rsid w:val="001E1C64"/>
    <w:rsid w:val="001E1CEC"/>
    <w:rsid w:val="001E2101"/>
    <w:rsid w:val="001E230C"/>
    <w:rsid w:val="001E282D"/>
    <w:rsid w:val="001E2AF6"/>
    <w:rsid w:val="001E2ECB"/>
    <w:rsid w:val="001E36FD"/>
    <w:rsid w:val="001E3AB9"/>
    <w:rsid w:val="001E4B64"/>
    <w:rsid w:val="001E4E25"/>
    <w:rsid w:val="001E52AF"/>
    <w:rsid w:val="001E5310"/>
    <w:rsid w:val="001E552A"/>
    <w:rsid w:val="001E57B9"/>
    <w:rsid w:val="001E5A4A"/>
    <w:rsid w:val="001E5BC3"/>
    <w:rsid w:val="001E5FB9"/>
    <w:rsid w:val="001E64C6"/>
    <w:rsid w:val="001E6668"/>
    <w:rsid w:val="001E6DDA"/>
    <w:rsid w:val="001E6E8D"/>
    <w:rsid w:val="001E70E9"/>
    <w:rsid w:val="001E7814"/>
    <w:rsid w:val="001E7828"/>
    <w:rsid w:val="001E7979"/>
    <w:rsid w:val="001E7EE4"/>
    <w:rsid w:val="001E7F76"/>
    <w:rsid w:val="001F0FAF"/>
    <w:rsid w:val="001F103B"/>
    <w:rsid w:val="001F139F"/>
    <w:rsid w:val="001F2805"/>
    <w:rsid w:val="001F2862"/>
    <w:rsid w:val="001F2E79"/>
    <w:rsid w:val="001F2F07"/>
    <w:rsid w:val="001F3123"/>
    <w:rsid w:val="001F376D"/>
    <w:rsid w:val="001F3C24"/>
    <w:rsid w:val="001F418C"/>
    <w:rsid w:val="001F43E5"/>
    <w:rsid w:val="001F4438"/>
    <w:rsid w:val="001F4B2D"/>
    <w:rsid w:val="001F4EE3"/>
    <w:rsid w:val="001F4F40"/>
    <w:rsid w:val="001F50E0"/>
    <w:rsid w:val="001F5784"/>
    <w:rsid w:val="001F594C"/>
    <w:rsid w:val="001F663B"/>
    <w:rsid w:val="001F69FC"/>
    <w:rsid w:val="001F6D62"/>
    <w:rsid w:val="001F7142"/>
    <w:rsid w:val="001F7675"/>
    <w:rsid w:val="001F7B00"/>
    <w:rsid w:val="00200F1B"/>
    <w:rsid w:val="00200FAE"/>
    <w:rsid w:val="0020102D"/>
    <w:rsid w:val="002010E2"/>
    <w:rsid w:val="002015DB"/>
    <w:rsid w:val="00201902"/>
    <w:rsid w:val="00201B73"/>
    <w:rsid w:val="00201D3A"/>
    <w:rsid w:val="00202517"/>
    <w:rsid w:val="00202739"/>
    <w:rsid w:val="00202ADB"/>
    <w:rsid w:val="00202BB7"/>
    <w:rsid w:val="00202FE9"/>
    <w:rsid w:val="002035BD"/>
    <w:rsid w:val="0020361A"/>
    <w:rsid w:val="00203CA6"/>
    <w:rsid w:val="00203FA4"/>
    <w:rsid w:val="0020435B"/>
    <w:rsid w:val="00204533"/>
    <w:rsid w:val="00204E8F"/>
    <w:rsid w:val="00204F2D"/>
    <w:rsid w:val="00205566"/>
    <w:rsid w:val="002063AA"/>
    <w:rsid w:val="00206FA7"/>
    <w:rsid w:val="00210549"/>
    <w:rsid w:val="0021069E"/>
    <w:rsid w:val="00210804"/>
    <w:rsid w:val="00210836"/>
    <w:rsid w:val="0021088F"/>
    <w:rsid w:val="002113FE"/>
    <w:rsid w:val="00211737"/>
    <w:rsid w:val="0021181B"/>
    <w:rsid w:val="00211E0E"/>
    <w:rsid w:val="00211E6B"/>
    <w:rsid w:val="00212144"/>
    <w:rsid w:val="0021230F"/>
    <w:rsid w:val="002125B0"/>
    <w:rsid w:val="002129E4"/>
    <w:rsid w:val="00212A82"/>
    <w:rsid w:val="00212E51"/>
    <w:rsid w:val="00212EDE"/>
    <w:rsid w:val="00212FC7"/>
    <w:rsid w:val="0021343D"/>
    <w:rsid w:val="00213EFC"/>
    <w:rsid w:val="00214EA2"/>
    <w:rsid w:val="00214FE6"/>
    <w:rsid w:val="00215223"/>
    <w:rsid w:val="002160FA"/>
    <w:rsid w:val="002166DD"/>
    <w:rsid w:val="002168A2"/>
    <w:rsid w:val="00216B95"/>
    <w:rsid w:val="00216E79"/>
    <w:rsid w:val="00217867"/>
    <w:rsid w:val="002178DB"/>
    <w:rsid w:val="002179ED"/>
    <w:rsid w:val="00217D51"/>
    <w:rsid w:val="00217F8A"/>
    <w:rsid w:val="0022010C"/>
    <w:rsid w:val="002205E4"/>
    <w:rsid w:val="002206EA"/>
    <w:rsid w:val="0022075D"/>
    <w:rsid w:val="00220945"/>
    <w:rsid w:val="00220C2F"/>
    <w:rsid w:val="00220D67"/>
    <w:rsid w:val="00220F87"/>
    <w:rsid w:val="002215F8"/>
    <w:rsid w:val="002217D6"/>
    <w:rsid w:val="00221BF4"/>
    <w:rsid w:val="00221CC3"/>
    <w:rsid w:val="00221F80"/>
    <w:rsid w:val="0022273A"/>
    <w:rsid w:val="00222D28"/>
    <w:rsid w:val="002234D9"/>
    <w:rsid w:val="00223AFC"/>
    <w:rsid w:val="00223CF4"/>
    <w:rsid w:val="00223D87"/>
    <w:rsid w:val="00223E9E"/>
    <w:rsid w:val="00224220"/>
    <w:rsid w:val="00224398"/>
    <w:rsid w:val="00224A81"/>
    <w:rsid w:val="00224C9D"/>
    <w:rsid w:val="00224E91"/>
    <w:rsid w:val="00224ED4"/>
    <w:rsid w:val="0022550A"/>
    <w:rsid w:val="00225B4C"/>
    <w:rsid w:val="00225E1E"/>
    <w:rsid w:val="00225FA8"/>
    <w:rsid w:val="00226129"/>
    <w:rsid w:val="0022614D"/>
    <w:rsid w:val="00226AA2"/>
    <w:rsid w:val="00226E37"/>
    <w:rsid w:val="00226FD4"/>
    <w:rsid w:val="00227218"/>
    <w:rsid w:val="0022770A"/>
    <w:rsid w:val="00227BEE"/>
    <w:rsid w:val="00227F0F"/>
    <w:rsid w:val="00227FB4"/>
    <w:rsid w:val="0023057E"/>
    <w:rsid w:val="002306EB"/>
    <w:rsid w:val="002312A5"/>
    <w:rsid w:val="002312BC"/>
    <w:rsid w:val="002313DC"/>
    <w:rsid w:val="00231662"/>
    <w:rsid w:val="00231FC3"/>
    <w:rsid w:val="002329FF"/>
    <w:rsid w:val="002332BB"/>
    <w:rsid w:val="002335FA"/>
    <w:rsid w:val="002337E5"/>
    <w:rsid w:val="00233C06"/>
    <w:rsid w:val="00233F24"/>
    <w:rsid w:val="002340B6"/>
    <w:rsid w:val="00234BBB"/>
    <w:rsid w:val="00234FB1"/>
    <w:rsid w:val="002356F4"/>
    <w:rsid w:val="00235B6A"/>
    <w:rsid w:val="00235F02"/>
    <w:rsid w:val="002367A8"/>
    <w:rsid w:val="00236B18"/>
    <w:rsid w:val="00236D28"/>
    <w:rsid w:val="0023707B"/>
    <w:rsid w:val="0023765D"/>
    <w:rsid w:val="00237A49"/>
    <w:rsid w:val="00237FE4"/>
    <w:rsid w:val="0024020C"/>
    <w:rsid w:val="00240656"/>
    <w:rsid w:val="002414A5"/>
    <w:rsid w:val="00241610"/>
    <w:rsid w:val="00241886"/>
    <w:rsid w:val="00241AED"/>
    <w:rsid w:val="00243122"/>
    <w:rsid w:val="00243182"/>
    <w:rsid w:val="002433D1"/>
    <w:rsid w:val="0024368D"/>
    <w:rsid w:val="00243928"/>
    <w:rsid w:val="00243946"/>
    <w:rsid w:val="00243BC5"/>
    <w:rsid w:val="00243C7D"/>
    <w:rsid w:val="00243E9A"/>
    <w:rsid w:val="00244371"/>
    <w:rsid w:val="00244729"/>
    <w:rsid w:val="00244872"/>
    <w:rsid w:val="00244AF8"/>
    <w:rsid w:val="00244B85"/>
    <w:rsid w:val="00244BC5"/>
    <w:rsid w:val="00244E68"/>
    <w:rsid w:val="00245098"/>
    <w:rsid w:val="0024521E"/>
    <w:rsid w:val="002456C5"/>
    <w:rsid w:val="00245ABE"/>
    <w:rsid w:val="00245C0B"/>
    <w:rsid w:val="002460A3"/>
    <w:rsid w:val="00246141"/>
    <w:rsid w:val="0024619E"/>
    <w:rsid w:val="00246499"/>
    <w:rsid w:val="00246EAE"/>
    <w:rsid w:val="00247116"/>
    <w:rsid w:val="002471E5"/>
    <w:rsid w:val="00247385"/>
    <w:rsid w:val="002474F3"/>
    <w:rsid w:val="00251102"/>
    <w:rsid w:val="002517A8"/>
    <w:rsid w:val="00251D3C"/>
    <w:rsid w:val="00251EEE"/>
    <w:rsid w:val="00252153"/>
    <w:rsid w:val="00252F05"/>
    <w:rsid w:val="00253177"/>
    <w:rsid w:val="002538B8"/>
    <w:rsid w:val="0025396F"/>
    <w:rsid w:val="00254319"/>
    <w:rsid w:val="0025451E"/>
    <w:rsid w:val="002547D0"/>
    <w:rsid w:val="0025488E"/>
    <w:rsid w:val="00254B95"/>
    <w:rsid w:val="0025539F"/>
    <w:rsid w:val="00255ED4"/>
    <w:rsid w:val="00256388"/>
    <w:rsid w:val="00256E44"/>
    <w:rsid w:val="002572C7"/>
    <w:rsid w:val="0025749A"/>
    <w:rsid w:val="00257C36"/>
    <w:rsid w:val="00257DC1"/>
    <w:rsid w:val="00260919"/>
    <w:rsid w:val="002612FD"/>
    <w:rsid w:val="002613DC"/>
    <w:rsid w:val="002614EF"/>
    <w:rsid w:val="00261755"/>
    <w:rsid w:val="00261AAA"/>
    <w:rsid w:val="00261CCD"/>
    <w:rsid w:val="00262097"/>
    <w:rsid w:val="002628FB"/>
    <w:rsid w:val="00262D20"/>
    <w:rsid w:val="00262DC4"/>
    <w:rsid w:val="002634AB"/>
    <w:rsid w:val="002638E0"/>
    <w:rsid w:val="00263C19"/>
    <w:rsid w:val="00263E9F"/>
    <w:rsid w:val="00264186"/>
    <w:rsid w:val="00264A7A"/>
    <w:rsid w:val="00264F03"/>
    <w:rsid w:val="00264F8F"/>
    <w:rsid w:val="00265097"/>
    <w:rsid w:val="002655AE"/>
    <w:rsid w:val="0026561E"/>
    <w:rsid w:val="002656A6"/>
    <w:rsid w:val="0026591F"/>
    <w:rsid w:val="00265A65"/>
    <w:rsid w:val="00265B77"/>
    <w:rsid w:val="002660F0"/>
    <w:rsid w:val="002669C7"/>
    <w:rsid w:val="00266B61"/>
    <w:rsid w:val="00266D8D"/>
    <w:rsid w:val="002675B6"/>
    <w:rsid w:val="002676D4"/>
    <w:rsid w:val="00267A99"/>
    <w:rsid w:val="00267CA4"/>
    <w:rsid w:val="002700E6"/>
    <w:rsid w:val="00270271"/>
    <w:rsid w:val="00270D8D"/>
    <w:rsid w:val="00271752"/>
    <w:rsid w:val="00271796"/>
    <w:rsid w:val="00271824"/>
    <w:rsid w:val="00271C3A"/>
    <w:rsid w:val="00272174"/>
    <w:rsid w:val="002721A6"/>
    <w:rsid w:val="002722E0"/>
    <w:rsid w:val="002730EC"/>
    <w:rsid w:val="00273100"/>
    <w:rsid w:val="0027320F"/>
    <w:rsid w:val="002735CC"/>
    <w:rsid w:val="00274588"/>
    <w:rsid w:val="00274A67"/>
    <w:rsid w:val="00274AA2"/>
    <w:rsid w:val="00274DF3"/>
    <w:rsid w:val="002756EF"/>
    <w:rsid w:val="00275708"/>
    <w:rsid w:val="00275EC7"/>
    <w:rsid w:val="00276442"/>
    <w:rsid w:val="002764A0"/>
    <w:rsid w:val="002764FE"/>
    <w:rsid w:val="002768CF"/>
    <w:rsid w:val="00276C72"/>
    <w:rsid w:val="00276F82"/>
    <w:rsid w:val="00280521"/>
    <w:rsid w:val="002805DF"/>
    <w:rsid w:val="0028092D"/>
    <w:rsid w:val="00280BCF"/>
    <w:rsid w:val="002815D9"/>
    <w:rsid w:val="00281813"/>
    <w:rsid w:val="0028197D"/>
    <w:rsid w:val="00281EDD"/>
    <w:rsid w:val="00282317"/>
    <w:rsid w:val="002823E2"/>
    <w:rsid w:val="00282424"/>
    <w:rsid w:val="002825FD"/>
    <w:rsid w:val="00282763"/>
    <w:rsid w:val="00282BCA"/>
    <w:rsid w:val="00282D25"/>
    <w:rsid w:val="00282DF9"/>
    <w:rsid w:val="00282FC6"/>
    <w:rsid w:val="002830F5"/>
    <w:rsid w:val="00283A44"/>
    <w:rsid w:val="00283F50"/>
    <w:rsid w:val="0028434D"/>
    <w:rsid w:val="00284B7F"/>
    <w:rsid w:val="0028529F"/>
    <w:rsid w:val="00285687"/>
    <w:rsid w:val="002867C1"/>
    <w:rsid w:val="00286DEE"/>
    <w:rsid w:val="002870F7"/>
    <w:rsid w:val="00287649"/>
    <w:rsid w:val="00287DAB"/>
    <w:rsid w:val="00287FB6"/>
    <w:rsid w:val="002900C5"/>
    <w:rsid w:val="002901E0"/>
    <w:rsid w:val="0029075B"/>
    <w:rsid w:val="00290BB1"/>
    <w:rsid w:val="002914EE"/>
    <w:rsid w:val="00291BC1"/>
    <w:rsid w:val="00292DB2"/>
    <w:rsid w:val="002933CA"/>
    <w:rsid w:val="00293A8F"/>
    <w:rsid w:val="00294567"/>
    <w:rsid w:val="00295155"/>
    <w:rsid w:val="002952FA"/>
    <w:rsid w:val="002958A7"/>
    <w:rsid w:val="002959FB"/>
    <w:rsid w:val="00295AB2"/>
    <w:rsid w:val="00295D2A"/>
    <w:rsid w:val="00295D51"/>
    <w:rsid w:val="00296203"/>
    <w:rsid w:val="002962FB"/>
    <w:rsid w:val="00296355"/>
    <w:rsid w:val="00296428"/>
    <w:rsid w:val="0029643D"/>
    <w:rsid w:val="00296BBD"/>
    <w:rsid w:val="0029706A"/>
    <w:rsid w:val="002971BE"/>
    <w:rsid w:val="002972EE"/>
    <w:rsid w:val="00297F01"/>
    <w:rsid w:val="002A052D"/>
    <w:rsid w:val="002A077A"/>
    <w:rsid w:val="002A0997"/>
    <w:rsid w:val="002A0A83"/>
    <w:rsid w:val="002A0DF8"/>
    <w:rsid w:val="002A108E"/>
    <w:rsid w:val="002A145E"/>
    <w:rsid w:val="002A1473"/>
    <w:rsid w:val="002A172F"/>
    <w:rsid w:val="002A1928"/>
    <w:rsid w:val="002A1F1F"/>
    <w:rsid w:val="002A21B5"/>
    <w:rsid w:val="002A2565"/>
    <w:rsid w:val="002A2631"/>
    <w:rsid w:val="002A2A0C"/>
    <w:rsid w:val="002A2BB6"/>
    <w:rsid w:val="002A2D60"/>
    <w:rsid w:val="002A2F84"/>
    <w:rsid w:val="002A30E0"/>
    <w:rsid w:val="002A310C"/>
    <w:rsid w:val="002A3521"/>
    <w:rsid w:val="002A35C5"/>
    <w:rsid w:val="002A37E1"/>
    <w:rsid w:val="002A3B61"/>
    <w:rsid w:val="002A402A"/>
    <w:rsid w:val="002A45AA"/>
    <w:rsid w:val="002A4B0B"/>
    <w:rsid w:val="002A4B6F"/>
    <w:rsid w:val="002A4FFF"/>
    <w:rsid w:val="002A51DA"/>
    <w:rsid w:val="002A5241"/>
    <w:rsid w:val="002A533C"/>
    <w:rsid w:val="002A56AE"/>
    <w:rsid w:val="002A56E1"/>
    <w:rsid w:val="002A59BD"/>
    <w:rsid w:val="002A647A"/>
    <w:rsid w:val="002A74BA"/>
    <w:rsid w:val="002A75CA"/>
    <w:rsid w:val="002A77E0"/>
    <w:rsid w:val="002A7889"/>
    <w:rsid w:val="002A799A"/>
    <w:rsid w:val="002A7C4F"/>
    <w:rsid w:val="002B0894"/>
    <w:rsid w:val="002B097D"/>
    <w:rsid w:val="002B1155"/>
    <w:rsid w:val="002B11B2"/>
    <w:rsid w:val="002B18F7"/>
    <w:rsid w:val="002B199F"/>
    <w:rsid w:val="002B1A52"/>
    <w:rsid w:val="002B1C26"/>
    <w:rsid w:val="002B1F46"/>
    <w:rsid w:val="002B2101"/>
    <w:rsid w:val="002B32D5"/>
    <w:rsid w:val="002B3931"/>
    <w:rsid w:val="002B3ED7"/>
    <w:rsid w:val="002B4778"/>
    <w:rsid w:val="002B4D33"/>
    <w:rsid w:val="002B523F"/>
    <w:rsid w:val="002B5C7F"/>
    <w:rsid w:val="002B6856"/>
    <w:rsid w:val="002B6876"/>
    <w:rsid w:val="002B75B2"/>
    <w:rsid w:val="002B79B7"/>
    <w:rsid w:val="002C141D"/>
    <w:rsid w:val="002C19C0"/>
    <w:rsid w:val="002C1B94"/>
    <w:rsid w:val="002C2181"/>
    <w:rsid w:val="002C2485"/>
    <w:rsid w:val="002C25E0"/>
    <w:rsid w:val="002C2A2D"/>
    <w:rsid w:val="002C30B4"/>
    <w:rsid w:val="002C36C0"/>
    <w:rsid w:val="002C3928"/>
    <w:rsid w:val="002C3B33"/>
    <w:rsid w:val="002C4085"/>
    <w:rsid w:val="002C431A"/>
    <w:rsid w:val="002C435E"/>
    <w:rsid w:val="002C43BB"/>
    <w:rsid w:val="002C44AB"/>
    <w:rsid w:val="002C4968"/>
    <w:rsid w:val="002C5274"/>
    <w:rsid w:val="002C58A9"/>
    <w:rsid w:val="002C58B8"/>
    <w:rsid w:val="002C5D5C"/>
    <w:rsid w:val="002C5E39"/>
    <w:rsid w:val="002C5FA2"/>
    <w:rsid w:val="002C6578"/>
    <w:rsid w:val="002C6AF0"/>
    <w:rsid w:val="002C6DFF"/>
    <w:rsid w:val="002C6E66"/>
    <w:rsid w:val="002C70D0"/>
    <w:rsid w:val="002C71B3"/>
    <w:rsid w:val="002C75C6"/>
    <w:rsid w:val="002C7A02"/>
    <w:rsid w:val="002C7BD4"/>
    <w:rsid w:val="002D0107"/>
    <w:rsid w:val="002D062E"/>
    <w:rsid w:val="002D06E7"/>
    <w:rsid w:val="002D0D43"/>
    <w:rsid w:val="002D15C2"/>
    <w:rsid w:val="002D1DA3"/>
    <w:rsid w:val="002D203A"/>
    <w:rsid w:val="002D2B10"/>
    <w:rsid w:val="002D32E6"/>
    <w:rsid w:val="002D386A"/>
    <w:rsid w:val="002D3D4E"/>
    <w:rsid w:val="002D4100"/>
    <w:rsid w:val="002D477F"/>
    <w:rsid w:val="002D4A4F"/>
    <w:rsid w:val="002D4F48"/>
    <w:rsid w:val="002D4FC9"/>
    <w:rsid w:val="002D519B"/>
    <w:rsid w:val="002D5E62"/>
    <w:rsid w:val="002D621E"/>
    <w:rsid w:val="002D66D0"/>
    <w:rsid w:val="002D66DA"/>
    <w:rsid w:val="002D7027"/>
    <w:rsid w:val="002D70DC"/>
    <w:rsid w:val="002D758B"/>
    <w:rsid w:val="002D79BC"/>
    <w:rsid w:val="002D7E58"/>
    <w:rsid w:val="002E0D31"/>
    <w:rsid w:val="002E0E40"/>
    <w:rsid w:val="002E0EFA"/>
    <w:rsid w:val="002E0FE7"/>
    <w:rsid w:val="002E1073"/>
    <w:rsid w:val="002E12EC"/>
    <w:rsid w:val="002E146D"/>
    <w:rsid w:val="002E1739"/>
    <w:rsid w:val="002E19E6"/>
    <w:rsid w:val="002E1FD6"/>
    <w:rsid w:val="002E272B"/>
    <w:rsid w:val="002E29F8"/>
    <w:rsid w:val="002E2C52"/>
    <w:rsid w:val="002E3414"/>
    <w:rsid w:val="002E342B"/>
    <w:rsid w:val="002E3693"/>
    <w:rsid w:val="002E3872"/>
    <w:rsid w:val="002E3B81"/>
    <w:rsid w:val="002E3D08"/>
    <w:rsid w:val="002E3E1D"/>
    <w:rsid w:val="002E3EEA"/>
    <w:rsid w:val="002E4C75"/>
    <w:rsid w:val="002E4D08"/>
    <w:rsid w:val="002E4D44"/>
    <w:rsid w:val="002E4DA5"/>
    <w:rsid w:val="002E52B8"/>
    <w:rsid w:val="002E5DBF"/>
    <w:rsid w:val="002E5E01"/>
    <w:rsid w:val="002E60F5"/>
    <w:rsid w:val="002E6536"/>
    <w:rsid w:val="002E65E3"/>
    <w:rsid w:val="002E69F5"/>
    <w:rsid w:val="002E6A74"/>
    <w:rsid w:val="002E6CAA"/>
    <w:rsid w:val="002E731C"/>
    <w:rsid w:val="002E73EC"/>
    <w:rsid w:val="002F023D"/>
    <w:rsid w:val="002F03A7"/>
    <w:rsid w:val="002F10EC"/>
    <w:rsid w:val="002F1136"/>
    <w:rsid w:val="002F1231"/>
    <w:rsid w:val="002F1521"/>
    <w:rsid w:val="002F15EE"/>
    <w:rsid w:val="002F266C"/>
    <w:rsid w:val="002F3632"/>
    <w:rsid w:val="002F3A49"/>
    <w:rsid w:val="002F3AFB"/>
    <w:rsid w:val="002F3C41"/>
    <w:rsid w:val="002F45D7"/>
    <w:rsid w:val="002F45F3"/>
    <w:rsid w:val="002F46E3"/>
    <w:rsid w:val="002F48CD"/>
    <w:rsid w:val="002F4C8E"/>
    <w:rsid w:val="002F5076"/>
    <w:rsid w:val="002F5839"/>
    <w:rsid w:val="002F5CA8"/>
    <w:rsid w:val="002F6407"/>
    <w:rsid w:val="002F64D9"/>
    <w:rsid w:val="002F651D"/>
    <w:rsid w:val="002F6648"/>
    <w:rsid w:val="002F6A45"/>
    <w:rsid w:val="002F6CEE"/>
    <w:rsid w:val="002F6D53"/>
    <w:rsid w:val="002F6E44"/>
    <w:rsid w:val="002F74FD"/>
    <w:rsid w:val="002F787B"/>
    <w:rsid w:val="002F7974"/>
    <w:rsid w:val="002F7D01"/>
    <w:rsid w:val="002F7D11"/>
    <w:rsid w:val="0030005C"/>
    <w:rsid w:val="0030013B"/>
    <w:rsid w:val="00300172"/>
    <w:rsid w:val="00300369"/>
    <w:rsid w:val="00300EB1"/>
    <w:rsid w:val="0030137F"/>
    <w:rsid w:val="00301D0A"/>
    <w:rsid w:val="003027B8"/>
    <w:rsid w:val="0030293F"/>
    <w:rsid w:val="00302947"/>
    <w:rsid w:val="00302C3A"/>
    <w:rsid w:val="00302C50"/>
    <w:rsid w:val="00302E8E"/>
    <w:rsid w:val="003031C2"/>
    <w:rsid w:val="003033F3"/>
    <w:rsid w:val="003037D0"/>
    <w:rsid w:val="00303861"/>
    <w:rsid w:val="00303960"/>
    <w:rsid w:val="00303C9B"/>
    <w:rsid w:val="00304042"/>
    <w:rsid w:val="003047F1"/>
    <w:rsid w:val="00304EA9"/>
    <w:rsid w:val="00304FFF"/>
    <w:rsid w:val="003051CA"/>
    <w:rsid w:val="00305557"/>
    <w:rsid w:val="0030561F"/>
    <w:rsid w:val="00305740"/>
    <w:rsid w:val="00305CA3"/>
    <w:rsid w:val="00306584"/>
    <w:rsid w:val="0030662E"/>
    <w:rsid w:val="00306E5C"/>
    <w:rsid w:val="00307369"/>
    <w:rsid w:val="00307601"/>
    <w:rsid w:val="00307C19"/>
    <w:rsid w:val="00307D24"/>
    <w:rsid w:val="00310732"/>
    <w:rsid w:val="00310BC9"/>
    <w:rsid w:val="00310CEB"/>
    <w:rsid w:val="00310DE4"/>
    <w:rsid w:val="00311762"/>
    <w:rsid w:val="0031180F"/>
    <w:rsid w:val="00311E98"/>
    <w:rsid w:val="00311FEC"/>
    <w:rsid w:val="00312215"/>
    <w:rsid w:val="00312218"/>
    <w:rsid w:val="003122D3"/>
    <w:rsid w:val="0031249C"/>
    <w:rsid w:val="003125C3"/>
    <w:rsid w:val="00312896"/>
    <w:rsid w:val="003128D0"/>
    <w:rsid w:val="00312C6C"/>
    <w:rsid w:val="0031327D"/>
    <w:rsid w:val="00313703"/>
    <w:rsid w:val="003138A6"/>
    <w:rsid w:val="00313EAC"/>
    <w:rsid w:val="003142F4"/>
    <w:rsid w:val="0031454E"/>
    <w:rsid w:val="00314A51"/>
    <w:rsid w:val="003156A1"/>
    <w:rsid w:val="0031611F"/>
    <w:rsid w:val="00316832"/>
    <w:rsid w:val="003173D0"/>
    <w:rsid w:val="003174CB"/>
    <w:rsid w:val="00317A33"/>
    <w:rsid w:val="00317ADC"/>
    <w:rsid w:val="00320339"/>
    <w:rsid w:val="003209E9"/>
    <w:rsid w:val="003211DE"/>
    <w:rsid w:val="00321214"/>
    <w:rsid w:val="003213D5"/>
    <w:rsid w:val="003216DE"/>
    <w:rsid w:val="00321C54"/>
    <w:rsid w:val="00322831"/>
    <w:rsid w:val="00323560"/>
    <w:rsid w:val="00323737"/>
    <w:rsid w:val="003239BE"/>
    <w:rsid w:val="00323AD6"/>
    <w:rsid w:val="00323F27"/>
    <w:rsid w:val="003242EF"/>
    <w:rsid w:val="0032440F"/>
    <w:rsid w:val="0032450C"/>
    <w:rsid w:val="00325339"/>
    <w:rsid w:val="003254A6"/>
    <w:rsid w:val="003255AA"/>
    <w:rsid w:val="00325882"/>
    <w:rsid w:val="00325FFE"/>
    <w:rsid w:val="00326180"/>
    <w:rsid w:val="00327033"/>
    <w:rsid w:val="00327209"/>
    <w:rsid w:val="0032728A"/>
    <w:rsid w:val="00327304"/>
    <w:rsid w:val="003273DE"/>
    <w:rsid w:val="00327E46"/>
    <w:rsid w:val="00330082"/>
    <w:rsid w:val="003301CB"/>
    <w:rsid w:val="00330307"/>
    <w:rsid w:val="003314B6"/>
    <w:rsid w:val="00331A20"/>
    <w:rsid w:val="00331DF1"/>
    <w:rsid w:val="00331E65"/>
    <w:rsid w:val="0033278A"/>
    <w:rsid w:val="00333107"/>
    <w:rsid w:val="0033343B"/>
    <w:rsid w:val="0033393C"/>
    <w:rsid w:val="003339F0"/>
    <w:rsid w:val="00333A07"/>
    <w:rsid w:val="00333F67"/>
    <w:rsid w:val="00334262"/>
    <w:rsid w:val="0033538A"/>
    <w:rsid w:val="00335600"/>
    <w:rsid w:val="003357EE"/>
    <w:rsid w:val="00336AF2"/>
    <w:rsid w:val="00336BB8"/>
    <w:rsid w:val="00336C69"/>
    <w:rsid w:val="00337368"/>
    <w:rsid w:val="00337867"/>
    <w:rsid w:val="00337A0F"/>
    <w:rsid w:val="00337A96"/>
    <w:rsid w:val="00337B4D"/>
    <w:rsid w:val="00337CDB"/>
    <w:rsid w:val="003407A9"/>
    <w:rsid w:val="003408BE"/>
    <w:rsid w:val="00340941"/>
    <w:rsid w:val="00340BA3"/>
    <w:rsid w:val="00340BAF"/>
    <w:rsid w:val="00340C2B"/>
    <w:rsid w:val="00340F9A"/>
    <w:rsid w:val="00341018"/>
    <w:rsid w:val="00341133"/>
    <w:rsid w:val="00341EA4"/>
    <w:rsid w:val="003420D9"/>
    <w:rsid w:val="003423E0"/>
    <w:rsid w:val="00342CD6"/>
    <w:rsid w:val="00342F96"/>
    <w:rsid w:val="0034301A"/>
    <w:rsid w:val="00343A43"/>
    <w:rsid w:val="00343C8C"/>
    <w:rsid w:val="00343D76"/>
    <w:rsid w:val="00343DCB"/>
    <w:rsid w:val="0034483C"/>
    <w:rsid w:val="00344AF9"/>
    <w:rsid w:val="00344DFD"/>
    <w:rsid w:val="003451D3"/>
    <w:rsid w:val="00345CEB"/>
    <w:rsid w:val="00346631"/>
    <w:rsid w:val="00346AAD"/>
    <w:rsid w:val="00346D96"/>
    <w:rsid w:val="00346FD7"/>
    <w:rsid w:val="0034736A"/>
    <w:rsid w:val="0034747C"/>
    <w:rsid w:val="00347940"/>
    <w:rsid w:val="00347B6C"/>
    <w:rsid w:val="0035151C"/>
    <w:rsid w:val="00351615"/>
    <w:rsid w:val="0035179C"/>
    <w:rsid w:val="003518F7"/>
    <w:rsid w:val="00351E18"/>
    <w:rsid w:val="00352254"/>
    <w:rsid w:val="003522A3"/>
    <w:rsid w:val="003523BE"/>
    <w:rsid w:val="0035251B"/>
    <w:rsid w:val="00352562"/>
    <w:rsid w:val="003529B9"/>
    <w:rsid w:val="00353471"/>
    <w:rsid w:val="003535E0"/>
    <w:rsid w:val="00353929"/>
    <w:rsid w:val="00353A0C"/>
    <w:rsid w:val="00353C62"/>
    <w:rsid w:val="00353F9E"/>
    <w:rsid w:val="003540D1"/>
    <w:rsid w:val="0035421A"/>
    <w:rsid w:val="003545BF"/>
    <w:rsid w:val="00354F52"/>
    <w:rsid w:val="00355696"/>
    <w:rsid w:val="0035586A"/>
    <w:rsid w:val="003558CB"/>
    <w:rsid w:val="0035611A"/>
    <w:rsid w:val="00356739"/>
    <w:rsid w:val="003567A9"/>
    <w:rsid w:val="003568B1"/>
    <w:rsid w:val="00356C3D"/>
    <w:rsid w:val="00357143"/>
    <w:rsid w:val="00357343"/>
    <w:rsid w:val="00357814"/>
    <w:rsid w:val="00360506"/>
    <w:rsid w:val="00360666"/>
    <w:rsid w:val="00360B75"/>
    <w:rsid w:val="00360D70"/>
    <w:rsid w:val="00360F1D"/>
    <w:rsid w:val="0036151C"/>
    <w:rsid w:val="00361A9B"/>
    <w:rsid w:val="003623A5"/>
    <w:rsid w:val="00362CCF"/>
    <w:rsid w:val="003631DB"/>
    <w:rsid w:val="00363E15"/>
    <w:rsid w:val="00364524"/>
    <w:rsid w:val="0036488A"/>
    <w:rsid w:val="00365107"/>
    <w:rsid w:val="0036513A"/>
    <w:rsid w:val="00365237"/>
    <w:rsid w:val="00365335"/>
    <w:rsid w:val="00365352"/>
    <w:rsid w:val="0036559C"/>
    <w:rsid w:val="0036565E"/>
    <w:rsid w:val="0036570B"/>
    <w:rsid w:val="0036587E"/>
    <w:rsid w:val="003659F0"/>
    <w:rsid w:val="003660CD"/>
    <w:rsid w:val="0036667C"/>
    <w:rsid w:val="00366B08"/>
    <w:rsid w:val="00367496"/>
    <w:rsid w:val="00367815"/>
    <w:rsid w:val="003678BE"/>
    <w:rsid w:val="00367901"/>
    <w:rsid w:val="00367CAA"/>
    <w:rsid w:val="003700F8"/>
    <w:rsid w:val="0037042E"/>
    <w:rsid w:val="0037057D"/>
    <w:rsid w:val="00370949"/>
    <w:rsid w:val="0037243B"/>
    <w:rsid w:val="0037251C"/>
    <w:rsid w:val="00372637"/>
    <w:rsid w:val="0037272C"/>
    <w:rsid w:val="00372852"/>
    <w:rsid w:val="00372A14"/>
    <w:rsid w:val="00372B9A"/>
    <w:rsid w:val="00372D2D"/>
    <w:rsid w:val="003731BF"/>
    <w:rsid w:val="003738F1"/>
    <w:rsid w:val="00373A66"/>
    <w:rsid w:val="00374D46"/>
    <w:rsid w:val="00375287"/>
    <w:rsid w:val="003753B7"/>
    <w:rsid w:val="00375497"/>
    <w:rsid w:val="00375791"/>
    <w:rsid w:val="00375826"/>
    <w:rsid w:val="0037597A"/>
    <w:rsid w:val="00375994"/>
    <w:rsid w:val="00375C59"/>
    <w:rsid w:val="00375E05"/>
    <w:rsid w:val="003761B8"/>
    <w:rsid w:val="00376BB7"/>
    <w:rsid w:val="00376EEE"/>
    <w:rsid w:val="00377BA1"/>
    <w:rsid w:val="00377E64"/>
    <w:rsid w:val="00377FF0"/>
    <w:rsid w:val="0038004B"/>
    <w:rsid w:val="0038019B"/>
    <w:rsid w:val="00380616"/>
    <w:rsid w:val="003806B6"/>
    <w:rsid w:val="00380DFD"/>
    <w:rsid w:val="00381022"/>
    <w:rsid w:val="003811F4"/>
    <w:rsid w:val="003814B8"/>
    <w:rsid w:val="00381A53"/>
    <w:rsid w:val="0038233C"/>
    <w:rsid w:val="00382378"/>
    <w:rsid w:val="00382909"/>
    <w:rsid w:val="00382EE1"/>
    <w:rsid w:val="00383EA9"/>
    <w:rsid w:val="00384258"/>
    <w:rsid w:val="00385131"/>
    <w:rsid w:val="00385841"/>
    <w:rsid w:val="00385F28"/>
    <w:rsid w:val="0038620B"/>
    <w:rsid w:val="00386468"/>
    <w:rsid w:val="00386A97"/>
    <w:rsid w:val="00387346"/>
    <w:rsid w:val="00387647"/>
    <w:rsid w:val="00387650"/>
    <w:rsid w:val="0038791A"/>
    <w:rsid w:val="00387F2F"/>
    <w:rsid w:val="00390056"/>
    <w:rsid w:val="0039055C"/>
    <w:rsid w:val="00390718"/>
    <w:rsid w:val="00390767"/>
    <w:rsid w:val="00390883"/>
    <w:rsid w:val="00390E7B"/>
    <w:rsid w:val="00391299"/>
    <w:rsid w:val="0039138B"/>
    <w:rsid w:val="00391470"/>
    <w:rsid w:val="003919A2"/>
    <w:rsid w:val="003920C4"/>
    <w:rsid w:val="00392184"/>
    <w:rsid w:val="00392646"/>
    <w:rsid w:val="00392652"/>
    <w:rsid w:val="00392B41"/>
    <w:rsid w:val="00392D44"/>
    <w:rsid w:val="00392E48"/>
    <w:rsid w:val="003930CE"/>
    <w:rsid w:val="00393ED1"/>
    <w:rsid w:val="003940DE"/>
    <w:rsid w:val="0039456F"/>
    <w:rsid w:val="003945C8"/>
    <w:rsid w:val="0039480D"/>
    <w:rsid w:val="00395446"/>
    <w:rsid w:val="0039554B"/>
    <w:rsid w:val="003956E4"/>
    <w:rsid w:val="00395743"/>
    <w:rsid w:val="00395D77"/>
    <w:rsid w:val="00395E17"/>
    <w:rsid w:val="00396725"/>
    <w:rsid w:val="00397036"/>
    <w:rsid w:val="00397A28"/>
    <w:rsid w:val="00397E94"/>
    <w:rsid w:val="00397F05"/>
    <w:rsid w:val="003A014D"/>
    <w:rsid w:val="003A03D6"/>
    <w:rsid w:val="003A0442"/>
    <w:rsid w:val="003A0899"/>
    <w:rsid w:val="003A0CD1"/>
    <w:rsid w:val="003A0DCA"/>
    <w:rsid w:val="003A1512"/>
    <w:rsid w:val="003A154C"/>
    <w:rsid w:val="003A15BE"/>
    <w:rsid w:val="003A1850"/>
    <w:rsid w:val="003A19A9"/>
    <w:rsid w:val="003A1EB7"/>
    <w:rsid w:val="003A23F3"/>
    <w:rsid w:val="003A2CA4"/>
    <w:rsid w:val="003A2D82"/>
    <w:rsid w:val="003A2D85"/>
    <w:rsid w:val="003A2F83"/>
    <w:rsid w:val="003A337C"/>
    <w:rsid w:val="003A33EF"/>
    <w:rsid w:val="003A36DA"/>
    <w:rsid w:val="003A38F1"/>
    <w:rsid w:val="003A3990"/>
    <w:rsid w:val="003A3A0C"/>
    <w:rsid w:val="003A3A2D"/>
    <w:rsid w:val="003A3D1B"/>
    <w:rsid w:val="003A3F39"/>
    <w:rsid w:val="003A3F3F"/>
    <w:rsid w:val="003A4296"/>
    <w:rsid w:val="003A4549"/>
    <w:rsid w:val="003A49B3"/>
    <w:rsid w:val="003A55B4"/>
    <w:rsid w:val="003A5E2A"/>
    <w:rsid w:val="003A61B6"/>
    <w:rsid w:val="003A623F"/>
    <w:rsid w:val="003A668B"/>
    <w:rsid w:val="003A66DD"/>
    <w:rsid w:val="003A67FC"/>
    <w:rsid w:val="003A71AD"/>
    <w:rsid w:val="003A7D1D"/>
    <w:rsid w:val="003B0994"/>
    <w:rsid w:val="003B0DD8"/>
    <w:rsid w:val="003B10B2"/>
    <w:rsid w:val="003B112B"/>
    <w:rsid w:val="003B1688"/>
    <w:rsid w:val="003B1AFC"/>
    <w:rsid w:val="003B1FA4"/>
    <w:rsid w:val="003B1FE6"/>
    <w:rsid w:val="003B222F"/>
    <w:rsid w:val="003B3106"/>
    <w:rsid w:val="003B3974"/>
    <w:rsid w:val="003B39E0"/>
    <w:rsid w:val="003B3C86"/>
    <w:rsid w:val="003B3DAB"/>
    <w:rsid w:val="003B404D"/>
    <w:rsid w:val="003B4AEE"/>
    <w:rsid w:val="003B4B34"/>
    <w:rsid w:val="003B4CDA"/>
    <w:rsid w:val="003B4E85"/>
    <w:rsid w:val="003B4F2D"/>
    <w:rsid w:val="003B4FAC"/>
    <w:rsid w:val="003B5174"/>
    <w:rsid w:val="003B5BD9"/>
    <w:rsid w:val="003B5DC9"/>
    <w:rsid w:val="003B64A3"/>
    <w:rsid w:val="003B663B"/>
    <w:rsid w:val="003B6649"/>
    <w:rsid w:val="003B6DB8"/>
    <w:rsid w:val="003B6EE4"/>
    <w:rsid w:val="003B72B9"/>
    <w:rsid w:val="003B749B"/>
    <w:rsid w:val="003C00D5"/>
    <w:rsid w:val="003C027A"/>
    <w:rsid w:val="003C03AE"/>
    <w:rsid w:val="003C0887"/>
    <w:rsid w:val="003C08AF"/>
    <w:rsid w:val="003C13C8"/>
    <w:rsid w:val="003C2A56"/>
    <w:rsid w:val="003C2EDD"/>
    <w:rsid w:val="003C3220"/>
    <w:rsid w:val="003C3902"/>
    <w:rsid w:val="003C3A47"/>
    <w:rsid w:val="003C3A79"/>
    <w:rsid w:val="003C3AD8"/>
    <w:rsid w:val="003C48F2"/>
    <w:rsid w:val="003C5177"/>
    <w:rsid w:val="003C52B0"/>
    <w:rsid w:val="003C5438"/>
    <w:rsid w:val="003C578B"/>
    <w:rsid w:val="003C5911"/>
    <w:rsid w:val="003C5CDB"/>
    <w:rsid w:val="003C5F54"/>
    <w:rsid w:val="003C6465"/>
    <w:rsid w:val="003C65E4"/>
    <w:rsid w:val="003C7712"/>
    <w:rsid w:val="003C7862"/>
    <w:rsid w:val="003C7C17"/>
    <w:rsid w:val="003C7ECD"/>
    <w:rsid w:val="003D007D"/>
    <w:rsid w:val="003D00F4"/>
    <w:rsid w:val="003D01A1"/>
    <w:rsid w:val="003D04D6"/>
    <w:rsid w:val="003D04F6"/>
    <w:rsid w:val="003D093F"/>
    <w:rsid w:val="003D0E76"/>
    <w:rsid w:val="003D1082"/>
    <w:rsid w:val="003D12DA"/>
    <w:rsid w:val="003D14DD"/>
    <w:rsid w:val="003D15FE"/>
    <w:rsid w:val="003D18CC"/>
    <w:rsid w:val="003D1C24"/>
    <w:rsid w:val="003D290C"/>
    <w:rsid w:val="003D3583"/>
    <w:rsid w:val="003D391E"/>
    <w:rsid w:val="003D3B6F"/>
    <w:rsid w:val="003D40E8"/>
    <w:rsid w:val="003D455E"/>
    <w:rsid w:val="003D5785"/>
    <w:rsid w:val="003D5A2D"/>
    <w:rsid w:val="003D5A9D"/>
    <w:rsid w:val="003D62C0"/>
    <w:rsid w:val="003D65F6"/>
    <w:rsid w:val="003D6911"/>
    <w:rsid w:val="003D6A73"/>
    <w:rsid w:val="003D6D74"/>
    <w:rsid w:val="003D7B78"/>
    <w:rsid w:val="003D7E4B"/>
    <w:rsid w:val="003D7E67"/>
    <w:rsid w:val="003E0035"/>
    <w:rsid w:val="003E04A5"/>
    <w:rsid w:val="003E0882"/>
    <w:rsid w:val="003E0C14"/>
    <w:rsid w:val="003E0D6F"/>
    <w:rsid w:val="003E0DF3"/>
    <w:rsid w:val="003E1591"/>
    <w:rsid w:val="003E19BB"/>
    <w:rsid w:val="003E1ACF"/>
    <w:rsid w:val="003E1D5B"/>
    <w:rsid w:val="003E216C"/>
    <w:rsid w:val="003E236E"/>
    <w:rsid w:val="003E259D"/>
    <w:rsid w:val="003E26BA"/>
    <w:rsid w:val="003E2906"/>
    <w:rsid w:val="003E2969"/>
    <w:rsid w:val="003E29A2"/>
    <w:rsid w:val="003E2C1A"/>
    <w:rsid w:val="003E2EF9"/>
    <w:rsid w:val="003E330F"/>
    <w:rsid w:val="003E331B"/>
    <w:rsid w:val="003E3478"/>
    <w:rsid w:val="003E3566"/>
    <w:rsid w:val="003E4D89"/>
    <w:rsid w:val="003E4E74"/>
    <w:rsid w:val="003E52A4"/>
    <w:rsid w:val="003E5F7D"/>
    <w:rsid w:val="003E6477"/>
    <w:rsid w:val="003E6520"/>
    <w:rsid w:val="003E6546"/>
    <w:rsid w:val="003E67E7"/>
    <w:rsid w:val="003E6B3C"/>
    <w:rsid w:val="003E6B95"/>
    <w:rsid w:val="003E70FF"/>
    <w:rsid w:val="003E725F"/>
    <w:rsid w:val="003E7890"/>
    <w:rsid w:val="003E7E04"/>
    <w:rsid w:val="003E7E25"/>
    <w:rsid w:val="003E7F1B"/>
    <w:rsid w:val="003F0B41"/>
    <w:rsid w:val="003F142E"/>
    <w:rsid w:val="003F1C3C"/>
    <w:rsid w:val="003F1E39"/>
    <w:rsid w:val="003F215C"/>
    <w:rsid w:val="003F229D"/>
    <w:rsid w:val="003F251D"/>
    <w:rsid w:val="003F25F0"/>
    <w:rsid w:val="003F2756"/>
    <w:rsid w:val="003F2BA9"/>
    <w:rsid w:val="003F2D5B"/>
    <w:rsid w:val="003F339F"/>
    <w:rsid w:val="003F3EA4"/>
    <w:rsid w:val="003F406F"/>
    <w:rsid w:val="003F419D"/>
    <w:rsid w:val="003F47ED"/>
    <w:rsid w:val="003F4F77"/>
    <w:rsid w:val="003F5AD2"/>
    <w:rsid w:val="003F5CA4"/>
    <w:rsid w:val="003F5FDB"/>
    <w:rsid w:val="003F642D"/>
    <w:rsid w:val="003F6996"/>
    <w:rsid w:val="003F6D50"/>
    <w:rsid w:val="003F6F26"/>
    <w:rsid w:val="003F7006"/>
    <w:rsid w:val="003F73ED"/>
    <w:rsid w:val="003F7507"/>
    <w:rsid w:val="003F7C2D"/>
    <w:rsid w:val="003F7C72"/>
    <w:rsid w:val="003F7D10"/>
    <w:rsid w:val="00400FCA"/>
    <w:rsid w:val="00401000"/>
    <w:rsid w:val="004016C6"/>
    <w:rsid w:val="0040179A"/>
    <w:rsid w:val="00401856"/>
    <w:rsid w:val="00402578"/>
    <w:rsid w:val="004028A2"/>
    <w:rsid w:val="00402EB7"/>
    <w:rsid w:val="00402FEB"/>
    <w:rsid w:val="00403179"/>
    <w:rsid w:val="00403344"/>
    <w:rsid w:val="00403481"/>
    <w:rsid w:val="004037D6"/>
    <w:rsid w:val="00403C82"/>
    <w:rsid w:val="00403D9D"/>
    <w:rsid w:val="004043D6"/>
    <w:rsid w:val="00404441"/>
    <w:rsid w:val="00404454"/>
    <w:rsid w:val="00404C44"/>
    <w:rsid w:val="00404DEB"/>
    <w:rsid w:val="00404EE8"/>
    <w:rsid w:val="00405036"/>
    <w:rsid w:val="0040510D"/>
    <w:rsid w:val="0040512D"/>
    <w:rsid w:val="00405583"/>
    <w:rsid w:val="004056A9"/>
    <w:rsid w:val="00405E65"/>
    <w:rsid w:val="0040602F"/>
    <w:rsid w:val="004063FE"/>
    <w:rsid w:val="0040655F"/>
    <w:rsid w:val="004069AB"/>
    <w:rsid w:val="00406AFB"/>
    <w:rsid w:val="00407382"/>
    <w:rsid w:val="0040791B"/>
    <w:rsid w:val="00410815"/>
    <w:rsid w:val="00410BF8"/>
    <w:rsid w:val="00411958"/>
    <w:rsid w:val="00411B2A"/>
    <w:rsid w:val="00411D72"/>
    <w:rsid w:val="004128C2"/>
    <w:rsid w:val="00412973"/>
    <w:rsid w:val="00412D42"/>
    <w:rsid w:val="00412DA4"/>
    <w:rsid w:val="00412EB6"/>
    <w:rsid w:val="0041314E"/>
    <w:rsid w:val="0041351F"/>
    <w:rsid w:val="004137C8"/>
    <w:rsid w:val="004137EA"/>
    <w:rsid w:val="00413BC0"/>
    <w:rsid w:val="00413BF9"/>
    <w:rsid w:val="00413C25"/>
    <w:rsid w:val="00413E7F"/>
    <w:rsid w:val="004141E6"/>
    <w:rsid w:val="00414223"/>
    <w:rsid w:val="00414DE3"/>
    <w:rsid w:val="00415531"/>
    <w:rsid w:val="00415555"/>
    <w:rsid w:val="004160C0"/>
    <w:rsid w:val="0041631D"/>
    <w:rsid w:val="00416330"/>
    <w:rsid w:val="00416B91"/>
    <w:rsid w:val="00416C86"/>
    <w:rsid w:val="004175FA"/>
    <w:rsid w:val="004176C7"/>
    <w:rsid w:val="00417877"/>
    <w:rsid w:val="00417D9F"/>
    <w:rsid w:val="00420229"/>
    <w:rsid w:val="0042039D"/>
    <w:rsid w:val="00420DBA"/>
    <w:rsid w:val="00421041"/>
    <w:rsid w:val="00421311"/>
    <w:rsid w:val="004219D2"/>
    <w:rsid w:val="00422CC6"/>
    <w:rsid w:val="00422E13"/>
    <w:rsid w:val="0042350F"/>
    <w:rsid w:val="00423599"/>
    <w:rsid w:val="0042384C"/>
    <w:rsid w:val="00423893"/>
    <w:rsid w:val="00423BC9"/>
    <w:rsid w:val="00423FB9"/>
    <w:rsid w:val="00424BA2"/>
    <w:rsid w:val="00424F4A"/>
    <w:rsid w:val="004255B4"/>
    <w:rsid w:val="00425BAA"/>
    <w:rsid w:val="00425FFB"/>
    <w:rsid w:val="00426766"/>
    <w:rsid w:val="004267D0"/>
    <w:rsid w:val="004279CA"/>
    <w:rsid w:val="00427A82"/>
    <w:rsid w:val="00427A8A"/>
    <w:rsid w:val="00427EA2"/>
    <w:rsid w:val="00430115"/>
    <w:rsid w:val="004304D9"/>
    <w:rsid w:val="00430A4B"/>
    <w:rsid w:val="00430CC8"/>
    <w:rsid w:val="00431C46"/>
    <w:rsid w:val="00432490"/>
    <w:rsid w:val="004327E6"/>
    <w:rsid w:val="004329DC"/>
    <w:rsid w:val="00432AC6"/>
    <w:rsid w:val="00432FA8"/>
    <w:rsid w:val="00433228"/>
    <w:rsid w:val="00434803"/>
    <w:rsid w:val="00434C5E"/>
    <w:rsid w:val="00435765"/>
    <w:rsid w:val="00435F19"/>
    <w:rsid w:val="004360B6"/>
    <w:rsid w:val="0043610A"/>
    <w:rsid w:val="004362E5"/>
    <w:rsid w:val="00436356"/>
    <w:rsid w:val="004370BA"/>
    <w:rsid w:val="00437BDB"/>
    <w:rsid w:val="004405E0"/>
    <w:rsid w:val="00440722"/>
    <w:rsid w:val="00440917"/>
    <w:rsid w:val="004423D1"/>
    <w:rsid w:val="004425D9"/>
    <w:rsid w:val="0044313C"/>
    <w:rsid w:val="004431E1"/>
    <w:rsid w:val="00443244"/>
    <w:rsid w:val="00443C65"/>
    <w:rsid w:val="00444136"/>
    <w:rsid w:val="00444AF6"/>
    <w:rsid w:val="00444BA4"/>
    <w:rsid w:val="0044519D"/>
    <w:rsid w:val="00445544"/>
    <w:rsid w:val="00445C0B"/>
    <w:rsid w:val="00446195"/>
    <w:rsid w:val="0044665E"/>
    <w:rsid w:val="0044708B"/>
    <w:rsid w:val="00447CD0"/>
    <w:rsid w:val="00447FC2"/>
    <w:rsid w:val="00447FF3"/>
    <w:rsid w:val="004502F4"/>
    <w:rsid w:val="004506F4"/>
    <w:rsid w:val="004509D1"/>
    <w:rsid w:val="00450A42"/>
    <w:rsid w:val="00450B89"/>
    <w:rsid w:val="004513A5"/>
    <w:rsid w:val="00451599"/>
    <w:rsid w:val="0045163F"/>
    <w:rsid w:val="00451CAD"/>
    <w:rsid w:val="00451D50"/>
    <w:rsid w:val="00452EC4"/>
    <w:rsid w:val="004530F0"/>
    <w:rsid w:val="00453340"/>
    <w:rsid w:val="00453775"/>
    <w:rsid w:val="00453890"/>
    <w:rsid w:val="00453BA2"/>
    <w:rsid w:val="00454380"/>
    <w:rsid w:val="0045470C"/>
    <w:rsid w:val="00454909"/>
    <w:rsid w:val="00454B4D"/>
    <w:rsid w:val="004552C8"/>
    <w:rsid w:val="004552F8"/>
    <w:rsid w:val="0045536C"/>
    <w:rsid w:val="00455A07"/>
    <w:rsid w:val="00455AEB"/>
    <w:rsid w:val="0045603C"/>
    <w:rsid w:val="00456053"/>
    <w:rsid w:val="00456068"/>
    <w:rsid w:val="00456803"/>
    <w:rsid w:val="00456896"/>
    <w:rsid w:val="00456ADA"/>
    <w:rsid w:val="00456B0D"/>
    <w:rsid w:val="00457485"/>
    <w:rsid w:val="0045770D"/>
    <w:rsid w:val="0045790F"/>
    <w:rsid w:val="00457D63"/>
    <w:rsid w:val="00457E21"/>
    <w:rsid w:val="00460025"/>
    <w:rsid w:val="0046007E"/>
    <w:rsid w:val="0046024B"/>
    <w:rsid w:val="00460ABB"/>
    <w:rsid w:val="00460C55"/>
    <w:rsid w:val="00460E36"/>
    <w:rsid w:val="00461155"/>
    <w:rsid w:val="0046218C"/>
    <w:rsid w:val="004623B7"/>
    <w:rsid w:val="004623D4"/>
    <w:rsid w:val="00462553"/>
    <w:rsid w:val="0046262A"/>
    <w:rsid w:val="004635D6"/>
    <w:rsid w:val="00463944"/>
    <w:rsid w:val="00463AD2"/>
    <w:rsid w:val="0046512A"/>
    <w:rsid w:val="00465234"/>
    <w:rsid w:val="00465464"/>
    <w:rsid w:val="00465794"/>
    <w:rsid w:val="004657DC"/>
    <w:rsid w:val="00465991"/>
    <w:rsid w:val="00465B24"/>
    <w:rsid w:val="004664C9"/>
    <w:rsid w:val="00466858"/>
    <w:rsid w:val="00466D0F"/>
    <w:rsid w:val="004671AA"/>
    <w:rsid w:val="00467544"/>
    <w:rsid w:val="004676BA"/>
    <w:rsid w:val="0046784C"/>
    <w:rsid w:val="00467ECB"/>
    <w:rsid w:val="00470D62"/>
    <w:rsid w:val="004710C3"/>
    <w:rsid w:val="00471459"/>
    <w:rsid w:val="00471657"/>
    <w:rsid w:val="00471C75"/>
    <w:rsid w:val="00471C8A"/>
    <w:rsid w:val="00471D2A"/>
    <w:rsid w:val="00472274"/>
    <w:rsid w:val="0047229D"/>
    <w:rsid w:val="004722D4"/>
    <w:rsid w:val="00472D9C"/>
    <w:rsid w:val="00473379"/>
    <w:rsid w:val="004736DC"/>
    <w:rsid w:val="00473B60"/>
    <w:rsid w:val="00473E78"/>
    <w:rsid w:val="0047440B"/>
    <w:rsid w:val="004752D9"/>
    <w:rsid w:val="00475426"/>
    <w:rsid w:val="004757D8"/>
    <w:rsid w:val="004758AB"/>
    <w:rsid w:val="00475AFF"/>
    <w:rsid w:val="00475D30"/>
    <w:rsid w:val="00476079"/>
    <w:rsid w:val="004765F4"/>
    <w:rsid w:val="00476774"/>
    <w:rsid w:val="00476A58"/>
    <w:rsid w:val="00476B4D"/>
    <w:rsid w:val="00476CBC"/>
    <w:rsid w:val="00476E6C"/>
    <w:rsid w:val="00477282"/>
    <w:rsid w:val="00477947"/>
    <w:rsid w:val="00480A79"/>
    <w:rsid w:val="00480B94"/>
    <w:rsid w:val="00480BD9"/>
    <w:rsid w:val="00480FA1"/>
    <w:rsid w:val="00481650"/>
    <w:rsid w:val="004817A1"/>
    <w:rsid w:val="00481C6E"/>
    <w:rsid w:val="00481F14"/>
    <w:rsid w:val="00481FD7"/>
    <w:rsid w:val="0048212D"/>
    <w:rsid w:val="00482DE5"/>
    <w:rsid w:val="00483266"/>
    <w:rsid w:val="0048352E"/>
    <w:rsid w:val="004836A9"/>
    <w:rsid w:val="00483874"/>
    <w:rsid w:val="00483B23"/>
    <w:rsid w:val="004840D7"/>
    <w:rsid w:val="004846F4"/>
    <w:rsid w:val="00484F30"/>
    <w:rsid w:val="00485371"/>
    <w:rsid w:val="00485B02"/>
    <w:rsid w:val="00485C26"/>
    <w:rsid w:val="00485CC8"/>
    <w:rsid w:val="00485EC0"/>
    <w:rsid w:val="00486EB3"/>
    <w:rsid w:val="0048706F"/>
    <w:rsid w:val="004870F4"/>
    <w:rsid w:val="004875E1"/>
    <w:rsid w:val="0048794A"/>
    <w:rsid w:val="00487A2A"/>
    <w:rsid w:val="00487B37"/>
    <w:rsid w:val="0049021F"/>
    <w:rsid w:val="0049028F"/>
    <w:rsid w:val="00490636"/>
    <w:rsid w:val="00490FF0"/>
    <w:rsid w:val="004910FE"/>
    <w:rsid w:val="00491198"/>
    <w:rsid w:val="0049151F"/>
    <w:rsid w:val="004917E0"/>
    <w:rsid w:val="004918D0"/>
    <w:rsid w:val="00491BF6"/>
    <w:rsid w:val="00491FED"/>
    <w:rsid w:val="004921B9"/>
    <w:rsid w:val="00492298"/>
    <w:rsid w:val="00492F82"/>
    <w:rsid w:val="00493197"/>
    <w:rsid w:val="004943C2"/>
    <w:rsid w:val="00494918"/>
    <w:rsid w:val="00494C65"/>
    <w:rsid w:val="00494F0C"/>
    <w:rsid w:val="00495557"/>
    <w:rsid w:val="00495E24"/>
    <w:rsid w:val="0049612A"/>
    <w:rsid w:val="0049618D"/>
    <w:rsid w:val="004965EF"/>
    <w:rsid w:val="00496FE3"/>
    <w:rsid w:val="0049719D"/>
    <w:rsid w:val="00497FCD"/>
    <w:rsid w:val="00497FCF"/>
    <w:rsid w:val="004A0830"/>
    <w:rsid w:val="004A0D1E"/>
    <w:rsid w:val="004A0E66"/>
    <w:rsid w:val="004A0EEC"/>
    <w:rsid w:val="004A0F61"/>
    <w:rsid w:val="004A130F"/>
    <w:rsid w:val="004A14A0"/>
    <w:rsid w:val="004A17EF"/>
    <w:rsid w:val="004A1A8A"/>
    <w:rsid w:val="004A1BDA"/>
    <w:rsid w:val="004A1F2F"/>
    <w:rsid w:val="004A2044"/>
    <w:rsid w:val="004A22DA"/>
    <w:rsid w:val="004A2700"/>
    <w:rsid w:val="004A27EE"/>
    <w:rsid w:val="004A2CF5"/>
    <w:rsid w:val="004A2D73"/>
    <w:rsid w:val="004A3513"/>
    <w:rsid w:val="004A36C8"/>
    <w:rsid w:val="004A36E7"/>
    <w:rsid w:val="004A3721"/>
    <w:rsid w:val="004A3742"/>
    <w:rsid w:val="004A37B8"/>
    <w:rsid w:val="004A38F2"/>
    <w:rsid w:val="004A3ED3"/>
    <w:rsid w:val="004A4061"/>
    <w:rsid w:val="004A4791"/>
    <w:rsid w:val="004A47BC"/>
    <w:rsid w:val="004A4AC6"/>
    <w:rsid w:val="004A5500"/>
    <w:rsid w:val="004A6CEA"/>
    <w:rsid w:val="004A724B"/>
    <w:rsid w:val="004B1199"/>
    <w:rsid w:val="004B16C4"/>
    <w:rsid w:val="004B1867"/>
    <w:rsid w:val="004B1B1F"/>
    <w:rsid w:val="004B1F9E"/>
    <w:rsid w:val="004B2A64"/>
    <w:rsid w:val="004B2DD8"/>
    <w:rsid w:val="004B31ED"/>
    <w:rsid w:val="004B3769"/>
    <w:rsid w:val="004B41DA"/>
    <w:rsid w:val="004B4302"/>
    <w:rsid w:val="004B470D"/>
    <w:rsid w:val="004B4764"/>
    <w:rsid w:val="004B4846"/>
    <w:rsid w:val="004B4F9D"/>
    <w:rsid w:val="004B5394"/>
    <w:rsid w:val="004B5BDD"/>
    <w:rsid w:val="004B61B6"/>
    <w:rsid w:val="004B659F"/>
    <w:rsid w:val="004B6A14"/>
    <w:rsid w:val="004B6E9E"/>
    <w:rsid w:val="004B6F5B"/>
    <w:rsid w:val="004B6F83"/>
    <w:rsid w:val="004B7700"/>
    <w:rsid w:val="004B7C29"/>
    <w:rsid w:val="004B7C47"/>
    <w:rsid w:val="004C06E5"/>
    <w:rsid w:val="004C19C0"/>
    <w:rsid w:val="004C1AF2"/>
    <w:rsid w:val="004C1B7D"/>
    <w:rsid w:val="004C1E3C"/>
    <w:rsid w:val="004C22E0"/>
    <w:rsid w:val="004C25F0"/>
    <w:rsid w:val="004C26DD"/>
    <w:rsid w:val="004C2875"/>
    <w:rsid w:val="004C2B5D"/>
    <w:rsid w:val="004C2D68"/>
    <w:rsid w:val="004C2F56"/>
    <w:rsid w:val="004C32C6"/>
    <w:rsid w:val="004C339D"/>
    <w:rsid w:val="004C33E8"/>
    <w:rsid w:val="004C4307"/>
    <w:rsid w:val="004C4309"/>
    <w:rsid w:val="004C449B"/>
    <w:rsid w:val="004C452B"/>
    <w:rsid w:val="004C489B"/>
    <w:rsid w:val="004C49E3"/>
    <w:rsid w:val="004C4E8A"/>
    <w:rsid w:val="004C514A"/>
    <w:rsid w:val="004C54A9"/>
    <w:rsid w:val="004C60E7"/>
    <w:rsid w:val="004C6572"/>
    <w:rsid w:val="004C6D4F"/>
    <w:rsid w:val="004C7541"/>
    <w:rsid w:val="004C79EC"/>
    <w:rsid w:val="004C7D2B"/>
    <w:rsid w:val="004CF7A2"/>
    <w:rsid w:val="004D1396"/>
    <w:rsid w:val="004D1D97"/>
    <w:rsid w:val="004D1E71"/>
    <w:rsid w:val="004D253D"/>
    <w:rsid w:val="004D2CDF"/>
    <w:rsid w:val="004D312B"/>
    <w:rsid w:val="004D33CE"/>
    <w:rsid w:val="004D3640"/>
    <w:rsid w:val="004D3B92"/>
    <w:rsid w:val="004D3C5B"/>
    <w:rsid w:val="004D4788"/>
    <w:rsid w:val="004D4AAE"/>
    <w:rsid w:val="004D4B11"/>
    <w:rsid w:val="004D4C20"/>
    <w:rsid w:val="004D4D5B"/>
    <w:rsid w:val="004D5B90"/>
    <w:rsid w:val="004D5D76"/>
    <w:rsid w:val="004D69DD"/>
    <w:rsid w:val="004D6DA2"/>
    <w:rsid w:val="004D73E2"/>
    <w:rsid w:val="004D7ABC"/>
    <w:rsid w:val="004D7C86"/>
    <w:rsid w:val="004E0197"/>
    <w:rsid w:val="004E1122"/>
    <w:rsid w:val="004E1409"/>
    <w:rsid w:val="004E1A87"/>
    <w:rsid w:val="004E1BB0"/>
    <w:rsid w:val="004E1D97"/>
    <w:rsid w:val="004E269C"/>
    <w:rsid w:val="004E2CE0"/>
    <w:rsid w:val="004E2E75"/>
    <w:rsid w:val="004E3030"/>
    <w:rsid w:val="004E3311"/>
    <w:rsid w:val="004E38EC"/>
    <w:rsid w:val="004E3933"/>
    <w:rsid w:val="004E3975"/>
    <w:rsid w:val="004E3EC5"/>
    <w:rsid w:val="004E42D3"/>
    <w:rsid w:val="004E4549"/>
    <w:rsid w:val="004E4C83"/>
    <w:rsid w:val="004E4D53"/>
    <w:rsid w:val="004E4D84"/>
    <w:rsid w:val="004E4EBC"/>
    <w:rsid w:val="004E5104"/>
    <w:rsid w:val="004E5B06"/>
    <w:rsid w:val="004E5FA8"/>
    <w:rsid w:val="004E67BD"/>
    <w:rsid w:val="004E684C"/>
    <w:rsid w:val="004E69F8"/>
    <w:rsid w:val="004E6FF1"/>
    <w:rsid w:val="004E76DB"/>
    <w:rsid w:val="004F0B24"/>
    <w:rsid w:val="004F1B34"/>
    <w:rsid w:val="004F1F90"/>
    <w:rsid w:val="004F2401"/>
    <w:rsid w:val="004F2A44"/>
    <w:rsid w:val="004F2DAD"/>
    <w:rsid w:val="004F34F7"/>
    <w:rsid w:val="004F416C"/>
    <w:rsid w:val="004F4857"/>
    <w:rsid w:val="004F49A9"/>
    <w:rsid w:val="004F51A5"/>
    <w:rsid w:val="004F51B1"/>
    <w:rsid w:val="004F55D6"/>
    <w:rsid w:val="004F565A"/>
    <w:rsid w:val="004F571B"/>
    <w:rsid w:val="004F59BA"/>
    <w:rsid w:val="004F5C5B"/>
    <w:rsid w:val="004F5FE4"/>
    <w:rsid w:val="004F6040"/>
    <w:rsid w:val="004F64EB"/>
    <w:rsid w:val="004F6667"/>
    <w:rsid w:val="004F6922"/>
    <w:rsid w:val="004F7A74"/>
    <w:rsid w:val="00500250"/>
    <w:rsid w:val="00500264"/>
    <w:rsid w:val="00500824"/>
    <w:rsid w:val="00500D85"/>
    <w:rsid w:val="00500DAB"/>
    <w:rsid w:val="00501144"/>
    <w:rsid w:val="0050133B"/>
    <w:rsid w:val="005013EF"/>
    <w:rsid w:val="005019E0"/>
    <w:rsid w:val="00501A44"/>
    <w:rsid w:val="0050211F"/>
    <w:rsid w:val="005022E7"/>
    <w:rsid w:val="005029D8"/>
    <w:rsid w:val="00502A93"/>
    <w:rsid w:val="005030C9"/>
    <w:rsid w:val="005030D8"/>
    <w:rsid w:val="0050323F"/>
    <w:rsid w:val="00503276"/>
    <w:rsid w:val="005037F9"/>
    <w:rsid w:val="00503BCE"/>
    <w:rsid w:val="005040BD"/>
    <w:rsid w:val="005040E2"/>
    <w:rsid w:val="005041E6"/>
    <w:rsid w:val="00505412"/>
    <w:rsid w:val="00505B66"/>
    <w:rsid w:val="00505D9C"/>
    <w:rsid w:val="00506083"/>
    <w:rsid w:val="00506459"/>
    <w:rsid w:val="00506531"/>
    <w:rsid w:val="005068D6"/>
    <w:rsid w:val="00506B86"/>
    <w:rsid w:val="00506E6B"/>
    <w:rsid w:val="00506EEC"/>
    <w:rsid w:val="00506FD4"/>
    <w:rsid w:val="0050743C"/>
    <w:rsid w:val="00507604"/>
    <w:rsid w:val="005107FF"/>
    <w:rsid w:val="00510CBC"/>
    <w:rsid w:val="0051102D"/>
    <w:rsid w:val="005112A5"/>
    <w:rsid w:val="005118CD"/>
    <w:rsid w:val="00511C9C"/>
    <w:rsid w:val="00511F48"/>
    <w:rsid w:val="00512228"/>
    <w:rsid w:val="00512448"/>
    <w:rsid w:val="0051253A"/>
    <w:rsid w:val="0051266C"/>
    <w:rsid w:val="00512C6A"/>
    <w:rsid w:val="00513B72"/>
    <w:rsid w:val="00513DFA"/>
    <w:rsid w:val="00514349"/>
    <w:rsid w:val="005145A8"/>
    <w:rsid w:val="0051470C"/>
    <w:rsid w:val="00514D37"/>
    <w:rsid w:val="00515277"/>
    <w:rsid w:val="005158C2"/>
    <w:rsid w:val="00515E10"/>
    <w:rsid w:val="00516599"/>
    <w:rsid w:val="005169DE"/>
    <w:rsid w:val="00516ADC"/>
    <w:rsid w:val="00516C2D"/>
    <w:rsid w:val="00516DA4"/>
    <w:rsid w:val="00517416"/>
    <w:rsid w:val="0051754D"/>
    <w:rsid w:val="0051785D"/>
    <w:rsid w:val="00517913"/>
    <w:rsid w:val="00517C87"/>
    <w:rsid w:val="00517E1B"/>
    <w:rsid w:val="0052005F"/>
    <w:rsid w:val="00520200"/>
    <w:rsid w:val="0052056B"/>
    <w:rsid w:val="00520E2D"/>
    <w:rsid w:val="00520F04"/>
    <w:rsid w:val="00521045"/>
    <w:rsid w:val="00521717"/>
    <w:rsid w:val="00521836"/>
    <w:rsid w:val="005224B2"/>
    <w:rsid w:val="0052355B"/>
    <w:rsid w:val="00523B23"/>
    <w:rsid w:val="00523DFA"/>
    <w:rsid w:val="005240EC"/>
    <w:rsid w:val="0052458A"/>
    <w:rsid w:val="0052484B"/>
    <w:rsid w:val="005254BC"/>
    <w:rsid w:val="0052550E"/>
    <w:rsid w:val="005256FC"/>
    <w:rsid w:val="00525EBD"/>
    <w:rsid w:val="00526497"/>
    <w:rsid w:val="00526B5B"/>
    <w:rsid w:val="00526C27"/>
    <w:rsid w:val="00526DFF"/>
    <w:rsid w:val="00527473"/>
    <w:rsid w:val="005275F2"/>
    <w:rsid w:val="005276EF"/>
    <w:rsid w:val="00527BF4"/>
    <w:rsid w:val="00527E01"/>
    <w:rsid w:val="00527EF9"/>
    <w:rsid w:val="00527F1A"/>
    <w:rsid w:val="005305FF"/>
    <w:rsid w:val="0053076C"/>
    <w:rsid w:val="00530C9B"/>
    <w:rsid w:val="0053158E"/>
    <w:rsid w:val="005315FE"/>
    <w:rsid w:val="00531714"/>
    <w:rsid w:val="00531B7C"/>
    <w:rsid w:val="00532334"/>
    <w:rsid w:val="005324AF"/>
    <w:rsid w:val="005327B2"/>
    <w:rsid w:val="0053294B"/>
    <w:rsid w:val="00532D20"/>
    <w:rsid w:val="0053402C"/>
    <w:rsid w:val="00534090"/>
    <w:rsid w:val="005340F9"/>
    <w:rsid w:val="0053439A"/>
    <w:rsid w:val="005347B1"/>
    <w:rsid w:val="00534ABA"/>
    <w:rsid w:val="00534CDB"/>
    <w:rsid w:val="00534DEB"/>
    <w:rsid w:val="00535FFF"/>
    <w:rsid w:val="00536007"/>
    <w:rsid w:val="0053616F"/>
    <w:rsid w:val="005362DF"/>
    <w:rsid w:val="00536848"/>
    <w:rsid w:val="005368AD"/>
    <w:rsid w:val="00536E75"/>
    <w:rsid w:val="005370BC"/>
    <w:rsid w:val="00537664"/>
    <w:rsid w:val="00537B35"/>
    <w:rsid w:val="00537DE7"/>
    <w:rsid w:val="00537EC4"/>
    <w:rsid w:val="00537FE4"/>
    <w:rsid w:val="005400FE"/>
    <w:rsid w:val="0054027D"/>
    <w:rsid w:val="00540CA6"/>
    <w:rsid w:val="00540CF4"/>
    <w:rsid w:val="00541222"/>
    <w:rsid w:val="005415FC"/>
    <w:rsid w:val="00541A8D"/>
    <w:rsid w:val="00541CE5"/>
    <w:rsid w:val="00541EA0"/>
    <w:rsid w:val="00542453"/>
    <w:rsid w:val="005429C0"/>
    <w:rsid w:val="00544756"/>
    <w:rsid w:val="00544DA0"/>
    <w:rsid w:val="005454BD"/>
    <w:rsid w:val="00545513"/>
    <w:rsid w:val="005457E4"/>
    <w:rsid w:val="0054582E"/>
    <w:rsid w:val="00545897"/>
    <w:rsid w:val="00545DA6"/>
    <w:rsid w:val="00546A48"/>
    <w:rsid w:val="00546C49"/>
    <w:rsid w:val="00546EA9"/>
    <w:rsid w:val="005472ED"/>
    <w:rsid w:val="00547443"/>
    <w:rsid w:val="005474BB"/>
    <w:rsid w:val="00547A78"/>
    <w:rsid w:val="00547D1F"/>
    <w:rsid w:val="0055010B"/>
    <w:rsid w:val="00550D59"/>
    <w:rsid w:val="0055110D"/>
    <w:rsid w:val="00551174"/>
    <w:rsid w:val="00551B33"/>
    <w:rsid w:val="00551E02"/>
    <w:rsid w:val="00551F81"/>
    <w:rsid w:val="0055210F"/>
    <w:rsid w:val="00552CD7"/>
    <w:rsid w:val="0055302B"/>
    <w:rsid w:val="005533BE"/>
    <w:rsid w:val="005534CB"/>
    <w:rsid w:val="0055372C"/>
    <w:rsid w:val="00553C13"/>
    <w:rsid w:val="00554326"/>
    <w:rsid w:val="00554875"/>
    <w:rsid w:val="00554AE3"/>
    <w:rsid w:val="00554B30"/>
    <w:rsid w:val="00554E69"/>
    <w:rsid w:val="00554FFB"/>
    <w:rsid w:val="005555D2"/>
    <w:rsid w:val="00555731"/>
    <w:rsid w:val="00556736"/>
    <w:rsid w:val="00556787"/>
    <w:rsid w:val="005568DE"/>
    <w:rsid w:val="00556E08"/>
    <w:rsid w:val="005572D7"/>
    <w:rsid w:val="00557A08"/>
    <w:rsid w:val="00557C50"/>
    <w:rsid w:val="00557C59"/>
    <w:rsid w:val="005606B6"/>
    <w:rsid w:val="005608D6"/>
    <w:rsid w:val="00560996"/>
    <w:rsid w:val="00560F19"/>
    <w:rsid w:val="005610FF"/>
    <w:rsid w:val="00561E6B"/>
    <w:rsid w:val="005621D2"/>
    <w:rsid w:val="005621E0"/>
    <w:rsid w:val="00562607"/>
    <w:rsid w:val="00562CED"/>
    <w:rsid w:val="00562D90"/>
    <w:rsid w:val="00563A23"/>
    <w:rsid w:val="00563A5A"/>
    <w:rsid w:val="00563C61"/>
    <w:rsid w:val="00563ECB"/>
    <w:rsid w:val="00563F47"/>
    <w:rsid w:val="00563FD4"/>
    <w:rsid w:val="005640BB"/>
    <w:rsid w:val="00564C23"/>
    <w:rsid w:val="00565066"/>
    <w:rsid w:val="00565406"/>
    <w:rsid w:val="00565570"/>
    <w:rsid w:val="005657DD"/>
    <w:rsid w:val="00565B29"/>
    <w:rsid w:val="005664CC"/>
    <w:rsid w:val="0056656D"/>
    <w:rsid w:val="00566599"/>
    <w:rsid w:val="0056664B"/>
    <w:rsid w:val="00566C25"/>
    <w:rsid w:val="00567588"/>
    <w:rsid w:val="00567992"/>
    <w:rsid w:val="00567C3C"/>
    <w:rsid w:val="005702F8"/>
    <w:rsid w:val="00571231"/>
    <w:rsid w:val="00571767"/>
    <w:rsid w:val="00571E44"/>
    <w:rsid w:val="00572281"/>
    <w:rsid w:val="005724D3"/>
    <w:rsid w:val="005734AF"/>
    <w:rsid w:val="00573D61"/>
    <w:rsid w:val="00573E61"/>
    <w:rsid w:val="00574009"/>
    <w:rsid w:val="0057411B"/>
    <w:rsid w:val="00574525"/>
    <w:rsid w:val="00574778"/>
    <w:rsid w:val="0057479F"/>
    <w:rsid w:val="0057498F"/>
    <w:rsid w:val="00574DE9"/>
    <w:rsid w:val="00575AC2"/>
    <w:rsid w:val="00575B6F"/>
    <w:rsid w:val="00575DF4"/>
    <w:rsid w:val="00577120"/>
    <w:rsid w:val="005773C3"/>
    <w:rsid w:val="0057765D"/>
    <w:rsid w:val="005777FC"/>
    <w:rsid w:val="005808EB"/>
    <w:rsid w:val="00580930"/>
    <w:rsid w:val="00580B2B"/>
    <w:rsid w:val="00580D37"/>
    <w:rsid w:val="00580DF9"/>
    <w:rsid w:val="00580E45"/>
    <w:rsid w:val="00580EB6"/>
    <w:rsid w:val="00581508"/>
    <w:rsid w:val="005816F7"/>
    <w:rsid w:val="00581D38"/>
    <w:rsid w:val="00581FA0"/>
    <w:rsid w:val="005828CA"/>
    <w:rsid w:val="00582B90"/>
    <w:rsid w:val="00582EF5"/>
    <w:rsid w:val="005830FA"/>
    <w:rsid w:val="005831A7"/>
    <w:rsid w:val="00583321"/>
    <w:rsid w:val="0058341E"/>
    <w:rsid w:val="00583863"/>
    <w:rsid w:val="00584201"/>
    <w:rsid w:val="005848D4"/>
    <w:rsid w:val="00584D0C"/>
    <w:rsid w:val="00584F3A"/>
    <w:rsid w:val="005853AB"/>
    <w:rsid w:val="00585502"/>
    <w:rsid w:val="00585748"/>
    <w:rsid w:val="005859C5"/>
    <w:rsid w:val="00585C79"/>
    <w:rsid w:val="00585D70"/>
    <w:rsid w:val="00585DA7"/>
    <w:rsid w:val="00586144"/>
    <w:rsid w:val="00586CDF"/>
    <w:rsid w:val="00586F42"/>
    <w:rsid w:val="00587785"/>
    <w:rsid w:val="0058788D"/>
    <w:rsid w:val="00587B0F"/>
    <w:rsid w:val="00587E29"/>
    <w:rsid w:val="00587FE6"/>
    <w:rsid w:val="00590149"/>
    <w:rsid w:val="005903D0"/>
    <w:rsid w:val="00590712"/>
    <w:rsid w:val="00590E13"/>
    <w:rsid w:val="005911E4"/>
    <w:rsid w:val="00591698"/>
    <w:rsid w:val="005917F9"/>
    <w:rsid w:val="005919E1"/>
    <w:rsid w:val="00592043"/>
    <w:rsid w:val="00592077"/>
    <w:rsid w:val="00592C52"/>
    <w:rsid w:val="005936DF"/>
    <w:rsid w:val="00593B87"/>
    <w:rsid w:val="00593C1C"/>
    <w:rsid w:val="00593E63"/>
    <w:rsid w:val="00593E94"/>
    <w:rsid w:val="00593EA8"/>
    <w:rsid w:val="00594143"/>
    <w:rsid w:val="00594543"/>
    <w:rsid w:val="00594612"/>
    <w:rsid w:val="0059522E"/>
    <w:rsid w:val="00595873"/>
    <w:rsid w:val="00595BEA"/>
    <w:rsid w:val="00595CDD"/>
    <w:rsid w:val="00595D66"/>
    <w:rsid w:val="005960D3"/>
    <w:rsid w:val="005964BB"/>
    <w:rsid w:val="00596754"/>
    <w:rsid w:val="00596895"/>
    <w:rsid w:val="00596A70"/>
    <w:rsid w:val="00596BD3"/>
    <w:rsid w:val="00596BE7"/>
    <w:rsid w:val="00596C3E"/>
    <w:rsid w:val="005977DD"/>
    <w:rsid w:val="0059D45B"/>
    <w:rsid w:val="005A04BD"/>
    <w:rsid w:val="005A0962"/>
    <w:rsid w:val="005A0A3F"/>
    <w:rsid w:val="005A0BD4"/>
    <w:rsid w:val="005A0D2C"/>
    <w:rsid w:val="005A114F"/>
    <w:rsid w:val="005A12E5"/>
    <w:rsid w:val="005A1F49"/>
    <w:rsid w:val="005A2061"/>
    <w:rsid w:val="005A20F6"/>
    <w:rsid w:val="005A2364"/>
    <w:rsid w:val="005A2381"/>
    <w:rsid w:val="005A2480"/>
    <w:rsid w:val="005A250A"/>
    <w:rsid w:val="005A2B2C"/>
    <w:rsid w:val="005A2D6B"/>
    <w:rsid w:val="005A3252"/>
    <w:rsid w:val="005A33F7"/>
    <w:rsid w:val="005A3F34"/>
    <w:rsid w:val="005A40CF"/>
    <w:rsid w:val="005A46E9"/>
    <w:rsid w:val="005A47C2"/>
    <w:rsid w:val="005A4A9C"/>
    <w:rsid w:val="005A4BAE"/>
    <w:rsid w:val="005A4F39"/>
    <w:rsid w:val="005A5493"/>
    <w:rsid w:val="005A574D"/>
    <w:rsid w:val="005A592A"/>
    <w:rsid w:val="005A5B5C"/>
    <w:rsid w:val="005A5BEE"/>
    <w:rsid w:val="005A60AC"/>
    <w:rsid w:val="005A6E93"/>
    <w:rsid w:val="005A707A"/>
    <w:rsid w:val="005A7340"/>
    <w:rsid w:val="005A757C"/>
    <w:rsid w:val="005A7B69"/>
    <w:rsid w:val="005A7EC4"/>
    <w:rsid w:val="005A7F93"/>
    <w:rsid w:val="005ABB6B"/>
    <w:rsid w:val="005B07EA"/>
    <w:rsid w:val="005B0831"/>
    <w:rsid w:val="005B0B20"/>
    <w:rsid w:val="005B0BD6"/>
    <w:rsid w:val="005B0D6A"/>
    <w:rsid w:val="005B0EFB"/>
    <w:rsid w:val="005B1060"/>
    <w:rsid w:val="005B120E"/>
    <w:rsid w:val="005B12B9"/>
    <w:rsid w:val="005B17C1"/>
    <w:rsid w:val="005B1A97"/>
    <w:rsid w:val="005B30E4"/>
    <w:rsid w:val="005B3737"/>
    <w:rsid w:val="005B3A42"/>
    <w:rsid w:val="005B4C64"/>
    <w:rsid w:val="005B51F7"/>
    <w:rsid w:val="005B53EB"/>
    <w:rsid w:val="005B5D40"/>
    <w:rsid w:val="005B5EFC"/>
    <w:rsid w:val="005B6412"/>
    <w:rsid w:val="005B6698"/>
    <w:rsid w:val="005B68A7"/>
    <w:rsid w:val="005B6AC3"/>
    <w:rsid w:val="005B6C1B"/>
    <w:rsid w:val="005B7A4A"/>
    <w:rsid w:val="005B7A6B"/>
    <w:rsid w:val="005C055E"/>
    <w:rsid w:val="005C0ECC"/>
    <w:rsid w:val="005C0FA1"/>
    <w:rsid w:val="005C1615"/>
    <w:rsid w:val="005C1D98"/>
    <w:rsid w:val="005C1DA5"/>
    <w:rsid w:val="005C22FF"/>
    <w:rsid w:val="005C2559"/>
    <w:rsid w:val="005C2873"/>
    <w:rsid w:val="005C2C51"/>
    <w:rsid w:val="005C3263"/>
    <w:rsid w:val="005C342D"/>
    <w:rsid w:val="005C34FC"/>
    <w:rsid w:val="005C3B5C"/>
    <w:rsid w:val="005C3C7F"/>
    <w:rsid w:val="005C3D95"/>
    <w:rsid w:val="005C4130"/>
    <w:rsid w:val="005C445C"/>
    <w:rsid w:val="005C4B7D"/>
    <w:rsid w:val="005C4C5C"/>
    <w:rsid w:val="005C5143"/>
    <w:rsid w:val="005C5639"/>
    <w:rsid w:val="005C5742"/>
    <w:rsid w:val="005C64C0"/>
    <w:rsid w:val="005C760E"/>
    <w:rsid w:val="005C7E9E"/>
    <w:rsid w:val="005D0537"/>
    <w:rsid w:val="005D0802"/>
    <w:rsid w:val="005D1065"/>
    <w:rsid w:val="005D1612"/>
    <w:rsid w:val="005D16E9"/>
    <w:rsid w:val="005D18C9"/>
    <w:rsid w:val="005D1B72"/>
    <w:rsid w:val="005D23EE"/>
    <w:rsid w:val="005D2471"/>
    <w:rsid w:val="005D2568"/>
    <w:rsid w:val="005D25A3"/>
    <w:rsid w:val="005D26A3"/>
    <w:rsid w:val="005D2779"/>
    <w:rsid w:val="005D2CBF"/>
    <w:rsid w:val="005D2FC5"/>
    <w:rsid w:val="005D3242"/>
    <w:rsid w:val="005D3578"/>
    <w:rsid w:val="005D3991"/>
    <w:rsid w:val="005D4298"/>
    <w:rsid w:val="005D4572"/>
    <w:rsid w:val="005D48F2"/>
    <w:rsid w:val="005D50CB"/>
    <w:rsid w:val="005D5C7B"/>
    <w:rsid w:val="005D5D7A"/>
    <w:rsid w:val="005D5E43"/>
    <w:rsid w:val="005D610C"/>
    <w:rsid w:val="005D6BE5"/>
    <w:rsid w:val="005D703A"/>
    <w:rsid w:val="005D74E7"/>
    <w:rsid w:val="005D76B4"/>
    <w:rsid w:val="005D7858"/>
    <w:rsid w:val="005D7F7B"/>
    <w:rsid w:val="005E0169"/>
    <w:rsid w:val="005E078B"/>
    <w:rsid w:val="005E0FDF"/>
    <w:rsid w:val="005E102D"/>
    <w:rsid w:val="005E182B"/>
    <w:rsid w:val="005E19B5"/>
    <w:rsid w:val="005E2AA9"/>
    <w:rsid w:val="005E31C4"/>
    <w:rsid w:val="005E385D"/>
    <w:rsid w:val="005E3B3C"/>
    <w:rsid w:val="005E3BCD"/>
    <w:rsid w:val="005E3C87"/>
    <w:rsid w:val="005E44C8"/>
    <w:rsid w:val="005E451F"/>
    <w:rsid w:val="005E488D"/>
    <w:rsid w:val="005E4A87"/>
    <w:rsid w:val="005E4DA5"/>
    <w:rsid w:val="005E4E28"/>
    <w:rsid w:val="005E4F0B"/>
    <w:rsid w:val="005E503E"/>
    <w:rsid w:val="005E59C7"/>
    <w:rsid w:val="005E5E7B"/>
    <w:rsid w:val="005E5FB8"/>
    <w:rsid w:val="005E6095"/>
    <w:rsid w:val="005E6436"/>
    <w:rsid w:val="005E6A3F"/>
    <w:rsid w:val="005E6C67"/>
    <w:rsid w:val="005E6DB8"/>
    <w:rsid w:val="005E7083"/>
    <w:rsid w:val="005E7228"/>
    <w:rsid w:val="005E7284"/>
    <w:rsid w:val="005E730A"/>
    <w:rsid w:val="005E73A3"/>
    <w:rsid w:val="005E7BAC"/>
    <w:rsid w:val="005E7C6C"/>
    <w:rsid w:val="005F0C87"/>
    <w:rsid w:val="005F0E5C"/>
    <w:rsid w:val="005F134E"/>
    <w:rsid w:val="005F1365"/>
    <w:rsid w:val="005F148C"/>
    <w:rsid w:val="005F15C7"/>
    <w:rsid w:val="005F2093"/>
    <w:rsid w:val="005F2C1F"/>
    <w:rsid w:val="005F2E44"/>
    <w:rsid w:val="005F3690"/>
    <w:rsid w:val="005F3731"/>
    <w:rsid w:val="005F3986"/>
    <w:rsid w:val="005F3C72"/>
    <w:rsid w:val="005F447C"/>
    <w:rsid w:val="005F4A4E"/>
    <w:rsid w:val="005F4C57"/>
    <w:rsid w:val="005F505A"/>
    <w:rsid w:val="005F52D6"/>
    <w:rsid w:val="005F5742"/>
    <w:rsid w:val="005F581E"/>
    <w:rsid w:val="005F5AF3"/>
    <w:rsid w:val="005F5B91"/>
    <w:rsid w:val="005F646A"/>
    <w:rsid w:val="005F6774"/>
    <w:rsid w:val="005F6B1B"/>
    <w:rsid w:val="005F72AD"/>
    <w:rsid w:val="005F733C"/>
    <w:rsid w:val="005F79AA"/>
    <w:rsid w:val="005F7EFB"/>
    <w:rsid w:val="005F7F24"/>
    <w:rsid w:val="006000DD"/>
    <w:rsid w:val="0060044B"/>
    <w:rsid w:val="00600632"/>
    <w:rsid w:val="006013D7"/>
    <w:rsid w:val="006014DB"/>
    <w:rsid w:val="00601572"/>
    <w:rsid w:val="00601587"/>
    <w:rsid w:val="00602079"/>
    <w:rsid w:val="00602184"/>
    <w:rsid w:val="006022F3"/>
    <w:rsid w:val="00602579"/>
    <w:rsid w:val="006028EA"/>
    <w:rsid w:val="00602BA4"/>
    <w:rsid w:val="00602DA2"/>
    <w:rsid w:val="00602EAC"/>
    <w:rsid w:val="00602FF4"/>
    <w:rsid w:val="00603228"/>
    <w:rsid w:val="00603A5D"/>
    <w:rsid w:val="00604ACD"/>
    <w:rsid w:val="00604C15"/>
    <w:rsid w:val="00604DC2"/>
    <w:rsid w:val="00605B27"/>
    <w:rsid w:val="006060C0"/>
    <w:rsid w:val="006060C4"/>
    <w:rsid w:val="006064DF"/>
    <w:rsid w:val="00607A57"/>
    <w:rsid w:val="00607C35"/>
    <w:rsid w:val="00607F85"/>
    <w:rsid w:val="00610114"/>
    <w:rsid w:val="00610610"/>
    <w:rsid w:val="00610613"/>
    <w:rsid w:val="00610861"/>
    <w:rsid w:val="00610C18"/>
    <w:rsid w:val="0061170E"/>
    <w:rsid w:val="00611777"/>
    <w:rsid w:val="0061189F"/>
    <w:rsid w:val="0061219B"/>
    <w:rsid w:val="00612460"/>
    <w:rsid w:val="0061287E"/>
    <w:rsid w:val="00612D05"/>
    <w:rsid w:val="006133CF"/>
    <w:rsid w:val="00613FB6"/>
    <w:rsid w:val="006140C6"/>
    <w:rsid w:val="00614134"/>
    <w:rsid w:val="00614241"/>
    <w:rsid w:val="00614244"/>
    <w:rsid w:val="0061428D"/>
    <w:rsid w:val="00615411"/>
    <w:rsid w:val="0061599E"/>
    <w:rsid w:val="00615AC7"/>
    <w:rsid w:val="006160CE"/>
    <w:rsid w:val="006162E6"/>
    <w:rsid w:val="00616C04"/>
    <w:rsid w:val="006171A5"/>
    <w:rsid w:val="00620309"/>
    <w:rsid w:val="00620810"/>
    <w:rsid w:val="00620A10"/>
    <w:rsid w:val="00620B39"/>
    <w:rsid w:val="00620F50"/>
    <w:rsid w:val="00621220"/>
    <w:rsid w:val="006214E4"/>
    <w:rsid w:val="0062159D"/>
    <w:rsid w:val="00621680"/>
    <w:rsid w:val="0062179D"/>
    <w:rsid w:val="006217D1"/>
    <w:rsid w:val="00621D0F"/>
    <w:rsid w:val="00621D31"/>
    <w:rsid w:val="00621D5F"/>
    <w:rsid w:val="00621EC5"/>
    <w:rsid w:val="00622263"/>
    <w:rsid w:val="006223E0"/>
    <w:rsid w:val="006224D0"/>
    <w:rsid w:val="00622BCE"/>
    <w:rsid w:val="00622E29"/>
    <w:rsid w:val="00623247"/>
    <w:rsid w:val="00623643"/>
    <w:rsid w:val="006236EE"/>
    <w:rsid w:val="00623913"/>
    <w:rsid w:val="00624018"/>
    <w:rsid w:val="006240C4"/>
    <w:rsid w:val="006244B5"/>
    <w:rsid w:val="00625304"/>
    <w:rsid w:val="0062581B"/>
    <w:rsid w:val="006261F4"/>
    <w:rsid w:val="00626707"/>
    <w:rsid w:val="0062729F"/>
    <w:rsid w:val="00630075"/>
    <w:rsid w:val="0063096C"/>
    <w:rsid w:val="00630C4F"/>
    <w:rsid w:val="006312D9"/>
    <w:rsid w:val="0063164E"/>
    <w:rsid w:val="0063191D"/>
    <w:rsid w:val="00631DEF"/>
    <w:rsid w:val="00633488"/>
    <w:rsid w:val="00633581"/>
    <w:rsid w:val="006339AF"/>
    <w:rsid w:val="00633C47"/>
    <w:rsid w:val="006340F5"/>
    <w:rsid w:val="00634744"/>
    <w:rsid w:val="006348F7"/>
    <w:rsid w:val="0063496C"/>
    <w:rsid w:val="00634D0A"/>
    <w:rsid w:val="0063512D"/>
    <w:rsid w:val="006351CB"/>
    <w:rsid w:val="006353DC"/>
    <w:rsid w:val="006358FB"/>
    <w:rsid w:val="00635AE2"/>
    <w:rsid w:val="00635C13"/>
    <w:rsid w:val="00635E1E"/>
    <w:rsid w:val="006364E7"/>
    <w:rsid w:val="0063677C"/>
    <w:rsid w:val="00636972"/>
    <w:rsid w:val="00636B69"/>
    <w:rsid w:val="00636BC2"/>
    <w:rsid w:val="006370C5"/>
    <w:rsid w:val="006371B7"/>
    <w:rsid w:val="006402BF"/>
    <w:rsid w:val="006404D1"/>
    <w:rsid w:val="0064083B"/>
    <w:rsid w:val="00640BBE"/>
    <w:rsid w:val="00640E3F"/>
    <w:rsid w:val="00640F43"/>
    <w:rsid w:val="0064103C"/>
    <w:rsid w:val="006412CA"/>
    <w:rsid w:val="00641555"/>
    <w:rsid w:val="00641581"/>
    <w:rsid w:val="006416A4"/>
    <w:rsid w:val="00641901"/>
    <w:rsid w:val="00641A15"/>
    <w:rsid w:val="006420DA"/>
    <w:rsid w:val="00642419"/>
    <w:rsid w:val="00642699"/>
    <w:rsid w:val="00642A0A"/>
    <w:rsid w:val="00642AE7"/>
    <w:rsid w:val="0064302B"/>
    <w:rsid w:val="006435DD"/>
    <w:rsid w:val="006435F0"/>
    <w:rsid w:val="00643AC1"/>
    <w:rsid w:val="00643D62"/>
    <w:rsid w:val="006448AD"/>
    <w:rsid w:val="00644A5E"/>
    <w:rsid w:val="00644A6C"/>
    <w:rsid w:val="00644BF9"/>
    <w:rsid w:val="00644CE9"/>
    <w:rsid w:val="00644D69"/>
    <w:rsid w:val="00644E83"/>
    <w:rsid w:val="00644F10"/>
    <w:rsid w:val="00645147"/>
    <w:rsid w:val="006451C6"/>
    <w:rsid w:val="006457A8"/>
    <w:rsid w:val="00645EA0"/>
    <w:rsid w:val="00645F76"/>
    <w:rsid w:val="0064612F"/>
    <w:rsid w:val="00646196"/>
    <w:rsid w:val="00646EB0"/>
    <w:rsid w:val="0064714D"/>
    <w:rsid w:val="0064727D"/>
    <w:rsid w:val="00647B32"/>
    <w:rsid w:val="00647C27"/>
    <w:rsid w:val="00647E55"/>
    <w:rsid w:val="00650414"/>
    <w:rsid w:val="00650E09"/>
    <w:rsid w:val="00650E78"/>
    <w:rsid w:val="006517AF"/>
    <w:rsid w:val="006519E6"/>
    <w:rsid w:val="00651CDE"/>
    <w:rsid w:val="00651DE7"/>
    <w:rsid w:val="00651E19"/>
    <w:rsid w:val="00652122"/>
    <w:rsid w:val="00652326"/>
    <w:rsid w:val="00652907"/>
    <w:rsid w:val="00652E06"/>
    <w:rsid w:val="00652E7B"/>
    <w:rsid w:val="00653453"/>
    <w:rsid w:val="00653DEC"/>
    <w:rsid w:val="00653FC4"/>
    <w:rsid w:val="0065426D"/>
    <w:rsid w:val="00654479"/>
    <w:rsid w:val="00654C4F"/>
    <w:rsid w:val="00654F91"/>
    <w:rsid w:val="00654FFA"/>
    <w:rsid w:val="00655361"/>
    <w:rsid w:val="006557BE"/>
    <w:rsid w:val="00656253"/>
    <w:rsid w:val="00656799"/>
    <w:rsid w:val="00656858"/>
    <w:rsid w:val="0065693B"/>
    <w:rsid w:val="00656B26"/>
    <w:rsid w:val="00656B77"/>
    <w:rsid w:val="00656E72"/>
    <w:rsid w:val="006573AB"/>
    <w:rsid w:val="00657768"/>
    <w:rsid w:val="006578A1"/>
    <w:rsid w:val="006578D9"/>
    <w:rsid w:val="00660B4A"/>
    <w:rsid w:val="00660FA5"/>
    <w:rsid w:val="0066137B"/>
    <w:rsid w:val="0066174E"/>
    <w:rsid w:val="00661BBB"/>
    <w:rsid w:val="00661E57"/>
    <w:rsid w:val="00662935"/>
    <w:rsid w:val="006629E4"/>
    <w:rsid w:val="00663754"/>
    <w:rsid w:val="00663783"/>
    <w:rsid w:val="0066390D"/>
    <w:rsid w:val="00663E47"/>
    <w:rsid w:val="006642AB"/>
    <w:rsid w:val="00664498"/>
    <w:rsid w:val="006644A7"/>
    <w:rsid w:val="00664BDE"/>
    <w:rsid w:val="006650F4"/>
    <w:rsid w:val="0066565B"/>
    <w:rsid w:val="00665C44"/>
    <w:rsid w:val="00665F02"/>
    <w:rsid w:val="00666196"/>
    <w:rsid w:val="00666284"/>
    <w:rsid w:val="006667F3"/>
    <w:rsid w:val="00666CC8"/>
    <w:rsid w:val="006674F6"/>
    <w:rsid w:val="00667627"/>
    <w:rsid w:val="00667711"/>
    <w:rsid w:val="00667AEA"/>
    <w:rsid w:val="00670113"/>
    <w:rsid w:val="00670307"/>
    <w:rsid w:val="006704FA"/>
    <w:rsid w:val="00670651"/>
    <w:rsid w:val="00670687"/>
    <w:rsid w:val="006709E0"/>
    <w:rsid w:val="00670DC5"/>
    <w:rsid w:val="00670FD2"/>
    <w:rsid w:val="00671250"/>
    <w:rsid w:val="00671652"/>
    <w:rsid w:val="00671698"/>
    <w:rsid w:val="00671C05"/>
    <w:rsid w:val="00671FAA"/>
    <w:rsid w:val="0067335B"/>
    <w:rsid w:val="00674D1F"/>
    <w:rsid w:val="00675276"/>
    <w:rsid w:val="00675306"/>
    <w:rsid w:val="00675DA5"/>
    <w:rsid w:val="006777C7"/>
    <w:rsid w:val="00680062"/>
    <w:rsid w:val="00680482"/>
    <w:rsid w:val="006808DC"/>
    <w:rsid w:val="00680E28"/>
    <w:rsid w:val="006816B6"/>
    <w:rsid w:val="00681D56"/>
    <w:rsid w:val="00682053"/>
    <w:rsid w:val="006820A7"/>
    <w:rsid w:val="006820EB"/>
    <w:rsid w:val="00682128"/>
    <w:rsid w:val="0068220C"/>
    <w:rsid w:val="00682AB1"/>
    <w:rsid w:val="00682E81"/>
    <w:rsid w:val="00682E9F"/>
    <w:rsid w:val="00683252"/>
    <w:rsid w:val="006832E6"/>
    <w:rsid w:val="0068343A"/>
    <w:rsid w:val="006834D4"/>
    <w:rsid w:val="006835A8"/>
    <w:rsid w:val="00683622"/>
    <w:rsid w:val="00683652"/>
    <w:rsid w:val="00683CE9"/>
    <w:rsid w:val="0068413D"/>
    <w:rsid w:val="006844BA"/>
    <w:rsid w:val="006845A2"/>
    <w:rsid w:val="00684BF8"/>
    <w:rsid w:val="00684D9B"/>
    <w:rsid w:val="006856A8"/>
    <w:rsid w:val="0068587D"/>
    <w:rsid w:val="006858AA"/>
    <w:rsid w:val="00685BCF"/>
    <w:rsid w:val="00686213"/>
    <w:rsid w:val="00686793"/>
    <w:rsid w:val="00686CF4"/>
    <w:rsid w:val="006871D0"/>
    <w:rsid w:val="0068751F"/>
    <w:rsid w:val="006876E1"/>
    <w:rsid w:val="00687B93"/>
    <w:rsid w:val="00687ED1"/>
    <w:rsid w:val="006900D1"/>
    <w:rsid w:val="00690297"/>
    <w:rsid w:val="006904A4"/>
    <w:rsid w:val="006906D2"/>
    <w:rsid w:val="00690B9E"/>
    <w:rsid w:val="00691082"/>
    <w:rsid w:val="0069115A"/>
    <w:rsid w:val="006912F1"/>
    <w:rsid w:val="00691387"/>
    <w:rsid w:val="006914BE"/>
    <w:rsid w:val="006914CC"/>
    <w:rsid w:val="0069176C"/>
    <w:rsid w:val="00691820"/>
    <w:rsid w:val="0069237F"/>
    <w:rsid w:val="006927F2"/>
    <w:rsid w:val="00692EDA"/>
    <w:rsid w:val="006931E1"/>
    <w:rsid w:val="006934D3"/>
    <w:rsid w:val="00694310"/>
    <w:rsid w:val="00694700"/>
    <w:rsid w:val="00694803"/>
    <w:rsid w:val="00694C1B"/>
    <w:rsid w:val="00694CE8"/>
    <w:rsid w:val="0069569E"/>
    <w:rsid w:val="006956C6"/>
    <w:rsid w:val="00695956"/>
    <w:rsid w:val="00695FEF"/>
    <w:rsid w:val="00696EE3"/>
    <w:rsid w:val="0069715D"/>
    <w:rsid w:val="00697331"/>
    <w:rsid w:val="00697392"/>
    <w:rsid w:val="006973E5"/>
    <w:rsid w:val="006974A2"/>
    <w:rsid w:val="006974D4"/>
    <w:rsid w:val="00697549"/>
    <w:rsid w:val="00697664"/>
    <w:rsid w:val="00697681"/>
    <w:rsid w:val="0069770C"/>
    <w:rsid w:val="0069774E"/>
    <w:rsid w:val="00697A09"/>
    <w:rsid w:val="006A08F2"/>
    <w:rsid w:val="006A0A75"/>
    <w:rsid w:val="006A0AA6"/>
    <w:rsid w:val="006A151A"/>
    <w:rsid w:val="006A1E62"/>
    <w:rsid w:val="006A2A12"/>
    <w:rsid w:val="006A2ADA"/>
    <w:rsid w:val="006A2E9C"/>
    <w:rsid w:val="006A30FD"/>
    <w:rsid w:val="006A35E0"/>
    <w:rsid w:val="006A377F"/>
    <w:rsid w:val="006A384A"/>
    <w:rsid w:val="006A3875"/>
    <w:rsid w:val="006A3A2E"/>
    <w:rsid w:val="006A3A92"/>
    <w:rsid w:val="006A3D40"/>
    <w:rsid w:val="006A40F5"/>
    <w:rsid w:val="006A41DA"/>
    <w:rsid w:val="006A4A08"/>
    <w:rsid w:val="006A561D"/>
    <w:rsid w:val="006A5A0C"/>
    <w:rsid w:val="006A5BA0"/>
    <w:rsid w:val="006A5BB1"/>
    <w:rsid w:val="006A5F88"/>
    <w:rsid w:val="006A611A"/>
    <w:rsid w:val="006A6385"/>
    <w:rsid w:val="006A6D98"/>
    <w:rsid w:val="006A76A3"/>
    <w:rsid w:val="006A79D0"/>
    <w:rsid w:val="006A7D95"/>
    <w:rsid w:val="006A7FF2"/>
    <w:rsid w:val="006B08B8"/>
    <w:rsid w:val="006B0C07"/>
    <w:rsid w:val="006B0DAE"/>
    <w:rsid w:val="006B0F45"/>
    <w:rsid w:val="006B120D"/>
    <w:rsid w:val="006B13C1"/>
    <w:rsid w:val="006B17F3"/>
    <w:rsid w:val="006B275E"/>
    <w:rsid w:val="006B2CC7"/>
    <w:rsid w:val="006B3533"/>
    <w:rsid w:val="006B3AF9"/>
    <w:rsid w:val="006B3DE7"/>
    <w:rsid w:val="006B42CC"/>
    <w:rsid w:val="006B44C5"/>
    <w:rsid w:val="006B4E4A"/>
    <w:rsid w:val="006B554C"/>
    <w:rsid w:val="006B555F"/>
    <w:rsid w:val="006B5DB8"/>
    <w:rsid w:val="006B6242"/>
    <w:rsid w:val="006B63AF"/>
    <w:rsid w:val="006B6C7C"/>
    <w:rsid w:val="006B6E10"/>
    <w:rsid w:val="006B6EA4"/>
    <w:rsid w:val="006B77BB"/>
    <w:rsid w:val="006B7F8F"/>
    <w:rsid w:val="006B7FC5"/>
    <w:rsid w:val="006C055E"/>
    <w:rsid w:val="006C07E4"/>
    <w:rsid w:val="006C0D13"/>
    <w:rsid w:val="006C187F"/>
    <w:rsid w:val="006C19BC"/>
    <w:rsid w:val="006C19D5"/>
    <w:rsid w:val="006C1B10"/>
    <w:rsid w:val="006C1B44"/>
    <w:rsid w:val="006C1C1F"/>
    <w:rsid w:val="006C1F77"/>
    <w:rsid w:val="006C2211"/>
    <w:rsid w:val="006C2B8C"/>
    <w:rsid w:val="006C2C61"/>
    <w:rsid w:val="006C2EC1"/>
    <w:rsid w:val="006C3031"/>
    <w:rsid w:val="006C3607"/>
    <w:rsid w:val="006C365B"/>
    <w:rsid w:val="006C38AC"/>
    <w:rsid w:val="006C3990"/>
    <w:rsid w:val="006C3ED2"/>
    <w:rsid w:val="006C4233"/>
    <w:rsid w:val="006C42E7"/>
    <w:rsid w:val="006C433B"/>
    <w:rsid w:val="006C4422"/>
    <w:rsid w:val="006C4A26"/>
    <w:rsid w:val="006C4CA8"/>
    <w:rsid w:val="006C56FF"/>
    <w:rsid w:val="006C579C"/>
    <w:rsid w:val="006C5CCA"/>
    <w:rsid w:val="006C60FD"/>
    <w:rsid w:val="006C623A"/>
    <w:rsid w:val="006C625F"/>
    <w:rsid w:val="006C78A6"/>
    <w:rsid w:val="006C7AB4"/>
    <w:rsid w:val="006D006B"/>
    <w:rsid w:val="006D00FF"/>
    <w:rsid w:val="006D03DE"/>
    <w:rsid w:val="006D0CD4"/>
    <w:rsid w:val="006D105C"/>
    <w:rsid w:val="006D1A93"/>
    <w:rsid w:val="006D1E16"/>
    <w:rsid w:val="006D2800"/>
    <w:rsid w:val="006D30E7"/>
    <w:rsid w:val="006D330E"/>
    <w:rsid w:val="006D3943"/>
    <w:rsid w:val="006D3D75"/>
    <w:rsid w:val="006D48E1"/>
    <w:rsid w:val="006D48E7"/>
    <w:rsid w:val="006D4947"/>
    <w:rsid w:val="006D4D01"/>
    <w:rsid w:val="006D50CD"/>
    <w:rsid w:val="006D521E"/>
    <w:rsid w:val="006D56A5"/>
    <w:rsid w:val="006D5F16"/>
    <w:rsid w:val="006D614A"/>
    <w:rsid w:val="006D6173"/>
    <w:rsid w:val="006D630A"/>
    <w:rsid w:val="006D63AD"/>
    <w:rsid w:val="006D63F7"/>
    <w:rsid w:val="006D6764"/>
    <w:rsid w:val="006D67D9"/>
    <w:rsid w:val="006D6B5D"/>
    <w:rsid w:val="006D6C1E"/>
    <w:rsid w:val="006D6C93"/>
    <w:rsid w:val="006D7573"/>
    <w:rsid w:val="006D7595"/>
    <w:rsid w:val="006D7E9D"/>
    <w:rsid w:val="006E015A"/>
    <w:rsid w:val="006E019C"/>
    <w:rsid w:val="006E0340"/>
    <w:rsid w:val="006E03C2"/>
    <w:rsid w:val="006E06F9"/>
    <w:rsid w:val="006E07A9"/>
    <w:rsid w:val="006E0D91"/>
    <w:rsid w:val="006E1706"/>
    <w:rsid w:val="006E1C36"/>
    <w:rsid w:val="006E32F0"/>
    <w:rsid w:val="006E37BB"/>
    <w:rsid w:val="006E3883"/>
    <w:rsid w:val="006E3CB2"/>
    <w:rsid w:val="006E3DA8"/>
    <w:rsid w:val="006E3E7F"/>
    <w:rsid w:val="006E4263"/>
    <w:rsid w:val="006E45BB"/>
    <w:rsid w:val="006E476C"/>
    <w:rsid w:val="006E4DE8"/>
    <w:rsid w:val="006E540A"/>
    <w:rsid w:val="006E5DAA"/>
    <w:rsid w:val="006E6526"/>
    <w:rsid w:val="006E6BF0"/>
    <w:rsid w:val="006E7006"/>
    <w:rsid w:val="006E72E8"/>
    <w:rsid w:val="006E7CC3"/>
    <w:rsid w:val="006E7F55"/>
    <w:rsid w:val="006F00E7"/>
    <w:rsid w:val="006F0F6E"/>
    <w:rsid w:val="006F1B22"/>
    <w:rsid w:val="006F1BA4"/>
    <w:rsid w:val="006F2259"/>
    <w:rsid w:val="006F23E1"/>
    <w:rsid w:val="006F2D24"/>
    <w:rsid w:val="006F2E8D"/>
    <w:rsid w:val="006F2F46"/>
    <w:rsid w:val="006F2F8F"/>
    <w:rsid w:val="006F2FDA"/>
    <w:rsid w:val="006F2FE5"/>
    <w:rsid w:val="006F3460"/>
    <w:rsid w:val="006F34FE"/>
    <w:rsid w:val="006F3615"/>
    <w:rsid w:val="006F3972"/>
    <w:rsid w:val="006F3FA3"/>
    <w:rsid w:val="006F48BA"/>
    <w:rsid w:val="006F4AF9"/>
    <w:rsid w:val="006F5447"/>
    <w:rsid w:val="006F54EB"/>
    <w:rsid w:val="006F58BB"/>
    <w:rsid w:val="006F5CC1"/>
    <w:rsid w:val="006F62BD"/>
    <w:rsid w:val="006F66AB"/>
    <w:rsid w:val="006F67A5"/>
    <w:rsid w:val="006F6FD7"/>
    <w:rsid w:val="006F73B3"/>
    <w:rsid w:val="006F75A7"/>
    <w:rsid w:val="006F762D"/>
    <w:rsid w:val="006F7CB1"/>
    <w:rsid w:val="00700478"/>
    <w:rsid w:val="00700492"/>
    <w:rsid w:val="00700F7D"/>
    <w:rsid w:val="0070167E"/>
    <w:rsid w:val="00701E1B"/>
    <w:rsid w:val="00702ED0"/>
    <w:rsid w:val="007036E7"/>
    <w:rsid w:val="00703C09"/>
    <w:rsid w:val="00703EB5"/>
    <w:rsid w:val="00704018"/>
    <w:rsid w:val="0070434A"/>
    <w:rsid w:val="0070440E"/>
    <w:rsid w:val="00704555"/>
    <w:rsid w:val="007048C4"/>
    <w:rsid w:val="00704CC4"/>
    <w:rsid w:val="007050CC"/>
    <w:rsid w:val="00705345"/>
    <w:rsid w:val="00705975"/>
    <w:rsid w:val="00706019"/>
    <w:rsid w:val="00706038"/>
    <w:rsid w:val="007061CF"/>
    <w:rsid w:val="0070638D"/>
    <w:rsid w:val="00706DBF"/>
    <w:rsid w:val="00706E09"/>
    <w:rsid w:val="007077A0"/>
    <w:rsid w:val="007079EF"/>
    <w:rsid w:val="00707A59"/>
    <w:rsid w:val="00707F0F"/>
    <w:rsid w:val="00710448"/>
    <w:rsid w:val="0071046B"/>
    <w:rsid w:val="00710AC6"/>
    <w:rsid w:val="00710C1D"/>
    <w:rsid w:val="007110A3"/>
    <w:rsid w:val="00711108"/>
    <w:rsid w:val="00711213"/>
    <w:rsid w:val="007112A1"/>
    <w:rsid w:val="00711880"/>
    <w:rsid w:val="00711996"/>
    <w:rsid w:val="00711B3B"/>
    <w:rsid w:val="00711BA3"/>
    <w:rsid w:val="00711C9D"/>
    <w:rsid w:val="00711D7B"/>
    <w:rsid w:val="00711EED"/>
    <w:rsid w:val="007127D5"/>
    <w:rsid w:val="00712A65"/>
    <w:rsid w:val="00712A9F"/>
    <w:rsid w:val="00712B71"/>
    <w:rsid w:val="00712C16"/>
    <w:rsid w:val="00712E55"/>
    <w:rsid w:val="00713023"/>
    <w:rsid w:val="0071322C"/>
    <w:rsid w:val="00713779"/>
    <w:rsid w:val="00713989"/>
    <w:rsid w:val="00713A89"/>
    <w:rsid w:val="00713DCF"/>
    <w:rsid w:val="00714004"/>
    <w:rsid w:val="007140AD"/>
    <w:rsid w:val="00714357"/>
    <w:rsid w:val="0071458E"/>
    <w:rsid w:val="007145C9"/>
    <w:rsid w:val="00714631"/>
    <w:rsid w:val="00714B6E"/>
    <w:rsid w:val="007150F9"/>
    <w:rsid w:val="0071512F"/>
    <w:rsid w:val="007162B4"/>
    <w:rsid w:val="00716447"/>
    <w:rsid w:val="00716563"/>
    <w:rsid w:val="007165B4"/>
    <w:rsid w:val="007169AC"/>
    <w:rsid w:val="007169DD"/>
    <w:rsid w:val="00717679"/>
    <w:rsid w:val="00717B41"/>
    <w:rsid w:val="00717B67"/>
    <w:rsid w:val="00720374"/>
    <w:rsid w:val="007205E1"/>
    <w:rsid w:val="0072061F"/>
    <w:rsid w:val="007206A2"/>
    <w:rsid w:val="00720B38"/>
    <w:rsid w:val="00720CA7"/>
    <w:rsid w:val="00720CEB"/>
    <w:rsid w:val="0072147B"/>
    <w:rsid w:val="007216E8"/>
    <w:rsid w:val="0072181E"/>
    <w:rsid w:val="0072205C"/>
    <w:rsid w:val="00722267"/>
    <w:rsid w:val="0072285E"/>
    <w:rsid w:val="00722C62"/>
    <w:rsid w:val="0072321F"/>
    <w:rsid w:val="00723295"/>
    <w:rsid w:val="0072371D"/>
    <w:rsid w:val="007238E2"/>
    <w:rsid w:val="007239B4"/>
    <w:rsid w:val="007239F0"/>
    <w:rsid w:val="00724446"/>
    <w:rsid w:val="00724584"/>
    <w:rsid w:val="00724704"/>
    <w:rsid w:val="00724AA1"/>
    <w:rsid w:val="00724C61"/>
    <w:rsid w:val="00724D10"/>
    <w:rsid w:val="00724D39"/>
    <w:rsid w:val="00725A19"/>
    <w:rsid w:val="00725BD9"/>
    <w:rsid w:val="00726356"/>
    <w:rsid w:val="0072645D"/>
    <w:rsid w:val="0072659A"/>
    <w:rsid w:val="007268C7"/>
    <w:rsid w:val="00726AAB"/>
    <w:rsid w:val="00727077"/>
    <w:rsid w:val="00727313"/>
    <w:rsid w:val="00727475"/>
    <w:rsid w:val="00727C36"/>
    <w:rsid w:val="00730335"/>
    <w:rsid w:val="00730EA6"/>
    <w:rsid w:val="00731517"/>
    <w:rsid w:val="007315AE"/>
    <w:rsid w:val="00731679"/>
    <w:rsid w:val="007318C0"/>
    <w:rsid w:val="00731B44"/>
    <w:rsid w:val="00731C15"/>
    <w:rsid w:val="00731E0B"/>
    <w:rsid w:val="00731F0D"/>
    <w:rsid w:val="00732045"/>
    <w:rsid w:val="007322A0"/>
    <w:rsid w:val="00732C1A"/>
    <w:rsid w:val="00732FD1"/>
    <w:rsid w:val="00733356"/>
    <w:rsid w:val="00733CDC"/>
    <w:rsid w:val="00734392"/>
    <w:rsid w:val="007343F2"/>
    <w:rsid w:val="00734603"/>
    <w:rsid w:val="00734B9A"/>
    <w:rsid w:val="00735695"/>
    <w:rsid w:val="007360CB"/>
    <w:rsid w:val="007365EA"/>
    <w:rsid w:val="007369B7"/>
    <w:rsid w:val="00737566"/>
    <w:rsid w:val="00740699"/>
    <w:rsid w:val="00740A28"/>
    <w:rsid w:val="00740C98"/>
    <w:rsid w:val="007415E3"/>
    <w:rsid w:val="00741BA2"/>
    <w:rsid w:val="00741CF4"/>
    <w:rsid w:val="00741DCC"/>
    <w:rsid w:val="00741DE2"/>
    <w:rsid w:val="007421A1"/>
    <w:rsid w:val="007427FE"/>
    <w:rsid w:val="00742C51"/>
    <w:rsid w:val="00742DAA"/>
    <w:rsid w:val="00743445"/>
    <w:rsid w:val="007435BB"/>
    <w:rsid w:val="00743ECD"/>
    <w:rsid w:val="007450C6"/>
    <w:rsid w:val="00745294"/>
    <w:rsid w:val="00745527"/>
    <w:rsid w:val="007456AE"/>
    <w:rsid w:val="00745BDD"/>
    <w:rsid w:val="00745E01"/>
    <w:rsid w:val="007462E9"/>
    <w:rsid w:val="0074666B"/>
    <w:rsid w:val="007468D6"/>
    <w:rsid w:val="00746BFF"/>
    <w:rsid w:val="007473E1"/>
    <w:rsid w:val="00747897"/>
    <w:rsid w:val="00747E47"/>
    <w:rsid w:val="00747F7B"/>
    <w:rsid w:val="00750192"/>
    <w:rsid w:val="007504E1"/>
    <w:rsid w:val="00750544"/>
    <w:rsid w:val="007505EA"/>
    <w:rsid w:val="00750804"/>
    <w:rsid w:val="007509AB"/>
    <w:rsid w:val="00750B8F"/>
    <w:rsid w:val="00750C19"/>
    <w:rsid w:val="0075107C"/>
    <w:rsid w:val="007511E3"/>
    <w:rsid w:val="0075143D"/>
    <w:rsid w:val="00751689"/>
    <w:rsid w:val="00751E76"/>
    <w:rsid w:val="00751FEA"/>
    <w:rsid w:val="007524AA"/>
    <w:rsid w:val="0075271E"/>
    <w:rsid w:val="00753744"/>
    <w:rsid w:val="00753A93"/>
    <w:rsid w:val="00754DD8"/>
    <w:rsid w:val="00755663"/>
    <w:rsid w:val="00755E6E"/>
    <w:rsid w:val="00756386"/>
    <w:rsid w:val="00756603"/>
    <w:rsid w:val="007569BC"/>
    <w:rsid w:val="00756FCD"/>
    <w:rsid w:val="0075724F"/>
    <w:rsid w:val="007575C0"/>
    <w:rsid w:val="00757D2F"/>
    <w:rsid w:val="0076000E"/>
    <w:rsid w:val="0076021C"/>
    <w:rsid w:val="00760B1A"/>
    <w:rsid w:val="00760C00"/>
    <w:rsid w:val="00760EBF"/>
    <w:rsid w:val="007610E9"/>
    <w:rsid w:val="007614AF"/>
    <w:rsid w:val="00761658"/>
    <w:rsid w:val="00761728"/>
    <w:rsid w:val="00761B6B"/>
    <w:rsid w:val="00761C6C"/>
    <w:rsid w:val="007627F3"/>
    <w:rsid w:val="00762B72"/>
    <w:rsid w:val="0076397C"/>
    <w:rsid w:val="00763A0C"/>
    <w:rsid w:val="00763AFC"/>
    <w:rsid w:val="00763CCB"/>
    <w:rsid w:val="00763FB4"/>
    <w:rsid w:val="007642B4"/>
    <w:rsid w:val="0076478D"/>
    <w:rsid w:val="00764C45"/>
    <w:rsid w:val="0076597A"/>
    <w:rsid w:val="00766277"/>
    <w:rsid w:val="007664A4"/>
    <w:rsid w:val="0076656A"/>
    <w:rsid w:val="00766701"/>
    <w:rsid w:val="00766724"/>
    <w:rsid w:val="00766911"/>
    <w:rsid w:val="00767793"/>
    <w:rsid w:val="007679D8"/>
    <w:rsid w:val="00767EE2"/>
    <w:rsid w:val="007703FB"/>
    <w:rsid w:val="00770803"/>
    <w:rsid w:val="00770BB4"/>
    <w:rsid w:val="00771023"/>
    <w:rsid w:val="00771186"/>
    <w:rsid w:val="00771319"/>
    <w:rsid w:val="007713E8"/>
    <w:rsid w:val="007716FC"/>
    <w:rsid w:val="00771794"/>
    <w:rsid w:val="00771802"/>
    <w:rsid w:val="00771CCF"/>
    <w:rsid w:val="00771F7D"/>
    <w:rsid w:val="00772548"/>
    <w:rsid w:val="00772C3E"/>
    <w:rsid w:val="007730D3"/>
    <w:rsid w:val="007736E8"/>
    <w:rsid w:val="0077378B"/>
    <w:rsid w:val="00773E3A"/>
    <w:rsid w:val="0077456A"/>
    <w:rsid w:val="00774ACE"/>
    <w:rsid w:val="00775823"/>
    <w:rsid w:val="00775F57"/>
    <w:rsid w:val="00776584"/>
    <w:rsid w:val="007769EF"/>
    <w:rsid w:val="00776A89"/>
    <w:rsid w:val="00776D4F"/>
    <w:rsid w:val="00776D8D"/>
    <w:rsid w:val="00776DDC"/>
    <w:rsid w:val="007770F9"/>
    <w:rsid w:val="00777179"/>
    <w:rsid w:val="007771E5"/>
    <w:rsid w:val="00777332"/>
    <w:rsid w:val="00777945"/>
    <w:rsid w:val="00777D40"/>
    <w:rsid w:val="007800D2"/>
    <w:rsid w:val="0078016D"/>
    <w:rsid w:val="0078095C"/>
    <w:rsid w:val="007809CF"/>
    <w:rsid w:val="00780B8D"/>
    <w:rsid w:val="00780B8E"/>
    <w:rsid w:val="0078116A"/>
    <w:rsid w:val="00781649"/>
    <w:rsid w:val="00781EC8"/>
    <w:rsid w:val="007823D6"/>
    <w:rsid w:val="0078254E"/>
    <w:rsid w:val="00782628"/>
    <w:rsid w:val="007826AB"/>
    <w:rsid w:val="00782887"/>
    <w:rsid w:val="00782C51"/>
    <w:rsid w:val="00783AAF"/>
    <w:rsid w:val="007840E2"/>
    <w:rsid w:val="00784C4D"/>
    <w:rsid w:val="00785447"/>
    <w:rsid w:val="0078569F"/>
    <w:rsid w:val="00785803"/>
    <w:rsid w:val="00785924"/>
    <w:rsid w:val="00785CC0"/>
    <w:rsid w:val="00785CE9"/>
    <w:rsid w:val="00785EB4"/>
    <w:rsid w:val="0078609A"/>
    <w:rsid w:val="00786195"/>
    <w:rsid w:val="007861C9"/>
    <w:rsid w:val="00786987"/>
    <w:rsid w:val="00786F85"/>
    <w:rsid w:val="0078710D"/>
    <w:rsid w:val="00787166"/>
    <w:rsid w:val="0078731A"/>
    <w:rsid w:val="00787487"/>
    <w:rsid w:val="007874FE"/>
    <w:rsid w:val="00787556"/>
    <w:rsid w:val="007906F1"/>
    <w:rsid w:val="00790CFC"/>
    <w:rsid w:val="00790EDA"/>
    <w:rsid w:val="00791349"/>
    <w:rsid w:val="007914A6"/>
    <w:rsid w:val="00791CD4"/>
    <w:rsid w:val="00791D75"/>
    <w:rsid w:val="00791D85"/>
    <w:rsid w:val="00791DAF"/>
    <w:rsid w:val="00791F0A"/>
    <w:rsid w:val="007924CA"/>
    <w:rsid w:val="00792799"/>
    <w:rsid w:val="00792D46"/>
    <w:rsid w:val="0079310C"/>
    <w:rsid w:val="0079357C"/>
    <w:rsid w:val="00794CBF"/>
    <w:rsid w:val="0079515E"/>
    <w:rsid w:val="007951C4"/>
    <w:rsid w:val="00795365"/>
    <w:rsid w:val="007954DC"/>
    <w:rsid w:val="0079567E"/>
    <w:rsid w:val="007961D5"/>
    <w:rsid w:val="00796A6F"/>
    <w:rsid w:val="00796C5D"/>
    <w:rsid w:val="00797B06"/>
    <w:rsid w:val="00797B9C"/>
    <w:rsid w:val="00797F2B"/>
    <w:rsid w:val="007A0376"/>
    <w:rsid w:val="007A0483"/>
    <w:rsid w:val="007A0564"/>
    <w:rsid w:val="007A070B"/>
    <w:rsid w:val="007A1065"/>
    <w:rsid w:val="007A1815"/>
    <w:rsid w:val="007A1C6F"/>
    <w:rsid w:val="007A1D86"/>
    <w:rsid w:val="007A2200"/>
    <w:rsid w:val="007A25F7"/>
    <w:rsid w:val="007A2A97"/>
    <w:rsid w:val="007A2CDC"/>
    <w:rsid w:val="007A2D85"/>
    <w:rsid w:val="007A30DC"/>
    <w:rsid w:val="007A371B"/>
    <w:rsid w:val="007A3832"/>
    <w:rsid w:val="007A391A"/>
    <w:rsid w:val="007A3A0F"/>
    <w:rsid w:val="007A3E60"/>
    <w:rsid w:val="007A407D"/>
    <w:rsid w:val="007A464F"/>
    <w:rsid w:val="007A6196"/>
    <w:rsid w:val="007A63D5"/>
    <w:rsid w:val="007A689A"/>
    <w:rsid w:val="007A68EA"/>
    <w:rsid w:val="007A6B7D"/>
    <w:rsid w:val="007A7629"/>
    <w:rsid w:val="007A7D11"/>
    <w:rsid w:val="007B00D9"/>
    <w:rsid w:val="007B0191"/>
    <w:rsid w:val="007B025C"/>
    <w:rsid w:val="007B0673"/>
    <w:rsid w:val="007B1027"/>
    <w:rsid w:val="007B1691"/>
    <w:rsid w:val="007B174F"/>
    <w:rsid w:val="007B1863"/>
    <w:rsid w:val="007B18EC"/>
    <w:rsid w:val="007B2110"/>
    <w:rsid w:val="007B22E0"/>
    <w:rsid w:val="007B254F"/>
    <w:rsid w:val="007B28CA"/>
    <w:rsid w:val="007B29B4"/>
    <w:rsid w:val="007B2A84"/>
    <w:rsid w:val="007B358D"/>
    <w:rsid w:val="007B35BE"/>
    <w:rsid w:val="007B3A22"/>
    <w:rsid w:val="007B3D7F"/>
    <w:rsid w:val="007B3EC9"/>
    <w:rsid w:val="007B427E"/>
    <w:rsid w:val="007B4A39"/>
    <w:rsid w:val="007B4EE8"/>
    <w:rsid w:val="007B5401"/>
    <w:rsid w:val="007B5C82"/>
    <w:rsid w:val="007B5FB4"/>
    <w:rsid w:val="007B5FE0"/>
    <w:rsid w:val="007B6698"/>
    <w:rsid w:val="007B6B2B"/>
    <w:rsid w:val="007B6D45"/>
    <w:rsid w:val="007B6F70"/>
    <w:rsid w:val="007B7949"/>
    <w:rsid w:val="007B7C2A"/>
    <w:rsid w:val="007B7D30"/>
    <w:rsid w:val="007B7DD8"/>
    <w:rsid w:val="007B7E73"/>
    <w:rsid w:val="007B7EBB"/>
    <w:rsid w:val="007C0FA9"/>
    <w:rsid w:val="007C1AF6"/>
    <w:rsid w:val="007C2413"/>
    <w:rsid w:val="007C25AE"/>
    <w:rsid w:val="007C2C4B"/>
    <w:rsid w:val="007C3152"/>
    <w:rsid w:val="007C333B"/>
    <w:rsid w:val="007C35F1"/>
    <w:rsid w:val="007C38C1"/>
    <w:rsid w:val="007C3914"/>
    <w:rsid w:val="007C3BF3"/>
    <w:rsid w:val="007C3CEA"/>
    <w:rsid w:val="007C3D92"/>
    <w:rsid w:val="007C3E98"/>
    <w:rsid w:val="007C52E4"/>
    <w:rsid w:val="007C5A8F"/>
    <w:rsid w:val="007C5B38"/>
    <w:rsid w:val="007C5D1B"/>
    <w:rsid w:val="007C5D20"/>
    <w:rsid w:val="007C76E8"/>
    <w:rsid w:val="007C787A"/>
    <w:rsid w:val="007D01E6"/>
    <w:rsid w:val="007D035E"/>
    <w:rsid w:val="007D0396"/>
    <w:rsid w:val="007D0644"/>
    <w:rsid w:val="007D0B96"/>
    <w:rsid w:val="007D137C"/>
    <w:rsid w:val="007D139B"/>
    <w:rsid w:val="007D1801"/>
    <w:rsid w:val="007D1B2B"/>
    <w:rsid w:val="007D1EA1"/>
    <w:rsid w:val="007D1FE0"/>
    <w:rsid w:val="007D20BB"/>
    <w:rsid w:val="007D20F6"/>
    <w:rsid w:val="007D25F6"/>
    <w:rsid w:val="007D261E"/>
    <w:rsid w:val="007D28D0"/>
    <w:rsid w:val="007D2B96"/>
    <w:rsid w:val="007D2F61"/>
    <w:rsid w:val="007D3004"/>
    <w:rsid w:val="007D350F"/>
    <w:rsid w:val="007D3D0E"/>
    <w:rsid w:val="007D3D33"/>
    <w:rsid w:val="007D3D4A"/>
    <w:rsid w:val="007D3FF0"/>
    <w:rsid w:val="007D41C2"/>
    <w:rsid w:val="007D47E4"/>
    <w:rsid w:val="007D49DF"/>
    <w:rsid w:val="007D4C33"/>
    <w:rsid w:val="007D4F02"/>
    <w:rsid w:val="007D4F2F"/>
    <w:rsid w:val="007D5B8B"/>
    <w:rsid w:val="007D66B4"/>
    <w:rsid w:val="007D674C"/>
    <w:rsid w:val="007D6B7B"/>
    <w:rsid w:val="007D6CF1"/>
    <w:rsid w:val="007D7131"/>
    <w:rsid w:val="007D786E"/>
    <w:rsid w:val="007D7BEC"/>
    <w:rsid w:val="007D7CE3"/>
    <w:rsid w:val="007E051A"/>
    <w:rsid w:val="007E0798"/>
    <w:rsid w:val="007E0862"/>
    <w:rsid w:val="007E0A2E"/>
    <w:rsid w:val="007E17E5"/>
    <w:rsid w:val="007E1A8E"/>
    <w:rsid w:val="007E1B72"/>
    <w:rsid w:val="007E2C8C"/>
    <w:rsid w:val="007E38E0"/>
    <w:rsid w:val="007E3EE3"/>
    <w:rsid w:val="007E407E"/>
    <w:rsid w:val="007E5055"/>
    <w:rsid w:val="007E57DE"/>
    <w:rsid w:val="007E5902"/>
    <w:rsid w:val="007E5AE8"/>
    <w:rsid w:val="007E5DC6"/>
    <w:rsid w:val="007E6719"/>
    <w:rsid w:val="007E68ED"/>
    <w:rsid w:val="007E69ED"/>
    <w:rsid w:val="007E6B21"/>
    <w:rsid w:val="007E6D0A"/>
    <w:rsid w:val="007E6F7D"/>
    <w:rsid w:val="007E7928"/>
    <w:rsid w:val="007E7B2D"/>
    <w:rsid w:val="007E7E7B"/>
    <w:rsid w:val="007F0221"/>
    <w:rsid w:val="007F034B"/>
    <w:rsid w:val="007F0548"/>
    <w:rsid w:val="007F07B9"/>
    <w:rsid w:val="007F0928"/>
    <w:rsid w:val="007F15CE"/>
    <w:rsid w:val="007F1DFD"/>
    <w:rsid w:val="007F1E88"/>
    <w:rsid w:val="007F2175"/>
    <w:rsid w:val="007F2CD7"/>
    <w:rsid w:val="007F331B"/>
    <w:rsid w:val="007F34A5"/>
    <w:rsid w:val="007F3568"/>
    <w:rsid w:val="007F3716"/>
    <w:rsid w:val="007F3BD6"/>
    <w:rsid w:val="007F3C5C"/>
    <w:rsid w:val="007F4069"/>
    <w:rsid w:val="007F422D"/>
    <w:rsid w:val="007F42A1"/>
    <w:rsid w:val="007F4425"/>
    <w:rsid w:val="007F47D2"/>
    <w:rsid w:val="007F4B39"/>
    <w:rsid w:val="007F4DBA"/>
    <w:rsid w:val="007F519C"/>
    <w:rsid w:val="007F52F2"/>
    <w:rsid w:val="007F534D"/>
    <w:rsid w:val="007F54A2"/>
    <w:rsid w:val="007F54FE"/>
    <w:rsid w:val="007F5535"/>
    <w:rsid w:val="007F57B1"/>
    <w:rsid w:val="007F5D32"/>
    <w:rsid w:val="007F655B"/>
    <w:rsid w:val="007F69BD"/>
    <w:rsid w:val="007F72DC"/>
    <w:rsid w:val="007F795F"/>
    <w:rsid w:val="007F7A6A"/>
    <w:rsid w:val="007F7EAC"/>
    <w:rsid w:val="008002BA"/>
    <w:rsid w:val="0080069C"/>
    <w:rsid w:val="008006FD"/>
    <w:rsid w:val="00800854"/>
    <w:rsid w:val="00800F8D"/>
    <w:rsid w:val="0080114E"/>
    <w:rsid w:val="0080148D"/>
    <w:rsid w:val="0080156B"/>
    <w:rsid w:val="00801A3A"/>
    <w:rsid w:val="00801A75"/>
    <w:rsid w:val="00802A04"/>
    <w:rsid w:val="00803416"/>
    <w:rsid w:val="0080390A"/>
    <w:rsid w:val="00804114"/>
    <w:rsid w:val="00804634"/>
    <w:rsid w:val="008047E8"/>
    <w:rsid w:val="00804B55"/>
    <w:rsid w:val="0080531E"/>
    <w:rsid w:val="00805A4D"/>
    <w:rsid w:val="00805BFA"/>
    <w:rsid w:val="00805C3D"/>
    <w:rsid w:val="008061D4"/>
    <w:rsid w:val="00806F1D"/>
    <w:rsid w:val="00807201"/>
    <w:rsid w:val="008077ED"/>
    <w:rsid w:val="00807817"/>
    <w:rsid w:val="00807B6F"/>
    <w:rsid w:val="00807DAC"/>
    <w:rsid w:val="00807E93"/>
    <w:rsid w:val="00810172"/>
    <w:rsid w:val="008105A1"/>
    <w:rsid w:val="00810762"/>
    <w:rsid w:val="00810858"/>
    <w:rsid w:val="00810B52"/>
    <w:rsid w:val="00810EFF"/>
    <w:rsid w:val="00811314"/>
    <w:rsid w:val="008113A1"/>
    <w:rsid w:val="00811A39"/>
    <w:rsid w:val="00811C47"/>
    <w:rsid w:val="00811FB5"/>
    <w:rsid w:val="0081291B"/>
    <w:rsid w:val="00812BE7"/>
    <w:rsid w:val="0081321B"/>
    <w:rsid w:val="0081361A"/>
    <w:rsid w:val="00813622"/>
    <w:rsid w:val="00813DCF"/>
    <w:rsid w:val="00813FAB"/>
    <w:rsid w:val="0081405A"/>
    <w:rsid w:val="0081470D"/>
    <w:rsid w:val="0081498C"/>
    <w:rsid w:val="00814AE1"/>
    <w:rsid w:val="008152E0"/>
    <w:rsid w:val="0081577E"/>
    <w:rsid w:val="00815D31"/>
    <w:rsid w:val="00815EC8"/>
    <w:rsid w:val="0081601F"/>
    <w:rsid w:val="00816064"/>
    <w:rsid w:val="008174B2"/>
    <w:rsid w:val="008174EE"/>
    <w:rsid w:val="008175F3"/>
    <w:rsid w:val="00817718"/>
    <w:rsid w:val="00817CFF"/>
    <w:rsid w:val="0082000D"/>
    <w:rsid w:val="008200C8"/>
    <w:rsid w:val="00820130"/>
    <w:rsid w:val="00820225"/>
    <w:rsid w:val="0082037E"/>
    <w:rsid w:val="00820C9C"/>
    <w:rsid w:val="00820F55"/>
    <w:rsid w:val="00821563"/>
    <w:rsid w:val="00821572"/>
    <w:rsid w:val="00821CB5"/>
    <w:rsid w:val="00822310"/>
    <w:rsid w:val="00823794"/>
    <w:rsid w:val="008237F4"/>
    <w:rsid w:val="0082396A"/>
    <w:rsid w:val="00823A03"/>
    <w:rsid w:val="00823A95"/>
    <w:rsid w:val="00823CC4"/>
    <w:rsid w:val="00823E6F"/>
    <w:rsid w:val="00823F67"/>
    <w:rsid w:val="00824022"/>
    <w:rsid w:val="00824303"/>
    <w:rsid w:val="0082483A"/>
    <w:rsid w:val="00824862"/>
    <w:rsid w:val="00824A81"/>
    <w:rsid w:val="00824EA1"/>
    <w:rsid w:val="00824F70"/>
    <w:rsid w:val="00825158"/>
    <w:rsid w:val="008257B8"/>
    <w:rsid w:val="008260ED"/>
    <w:rsid w:val="008265AE"/>
    <w:rsid w:val="008268DA"/>
    <w:rsid w:val="0082699D"/>
    <w:rsid w:val="00826E6B"/>
    <w:rsid w:val="00827493"/>
    <w:rsid w:val="008275FD"/>
    <w:rsid w:val="00827927"/>
    <w:rsid w:val="008304A2"/>
    <w:rsid w:val="00830BA1"/>
    <w:rsid w:val="00830EB2"/>
    <w:rsid w:val="00830FC6"/>
    <w:rsid w:val="008315FA"/>
    <w:rsid w:val="00831652"/>
    <w:rsid w:val="00831992"/>
    <w:rsid w:val="00831BC4"/>
    <w:rsid w:val="0083202E"/>
    <w:rsid w:val="00832FD4"/>
    <w:rsid w:val="0083304F"/>
    <w:rsid w:val="008334C9"/>
    <w:rsid w:val="008334DF"/>
    <w:rsid w:val="00833D11"/>
    <w:rsid w:val="00834122"/>
    <w:rsid w:val="00834507"/>
    <w:rsid w:val="0083463F"/>
    <w:rsid w:val="00835210"/>
    <w:rsid w:val="008352C5"/>
    <w:rsid w:val="00835725"/>
    <w:rsid w:val="0083580C"/>
    <w:rsid w:val="008358A6"/>
    <w:rsid w:val="008359FB"/>
    <w:rsid w:val="00835C56"/>
    <w:rsid w:val="008360FC"/>
    <w:rsid w:val="0083686A"/>
    <w:rsid w:val="00836E81"/>
    <w:rsid w:val="008376EC"/>
    <w:rsid w:val="008377C1"/>
    <w:rsid w:val="00837C90"/>
    <w:rsid w:val="00837EB1"/>
    <w:rsid w:val="0084042B"/>
    <w:rsid w:val="008409BB"/>
    <w:rsid w:val="00841041"/>
    <w:rsid w:val="00841603"/>
    <w:rsid w:val="0084184A"/>
    <w:rsid w:val="00841F62"/>
    <w:rsid w:val="008423F2"/>
    <w:rsid w:val="0084265A"/>
    <w:rsid w:val="008428A1"/>
    <w:rsid w:val="00842A30"/>
    <w:rsid w:val="00842CCA"/>
    <w:rsid w:val="00842E1B"/>
    <w:rsid w:val="00842F71"/>
    <w:rsid w:val="00843179"/>
    <w:rsid w:val="0084386A"/>
    <w:rsid w:val="00843E0E"/>
    <w:rsid w:val="008442EA"/>
    <w:rsid w:val="00844589"/>
    <w:rsid w:val="00844794"/>
    <w:rsid w:val="008447CD"/>
    <w:rsid w:val="00844FE7"/>
    <w:rsid w:val="008457CC"/>
    <w:rsid w:val="00845969"/>
    <w:rsid w:val="00845F37"/>
    <w:rsid w:val="00845FF5"/>
    <w:rsid w:val="00846001"/>
    <w:rsid w:val="0084615D"/>
    <w:rsid w:val="0084633A"/>
    <w:rsid w:val="0084642A"/>
    <w:rsid w:val="008465C4"/>
    <w:rsid w:val="00846710"/>
    <w:rsid w:val="00847846"/>
    <w:rsid w:val="008478ED"/>
    <w:rsid w:val="00850587"/>
    <w:rsid w:val="00851029"/>
    <w:rsid w:val="0085109E"/>
    <w:rsid w:val="00851728"/>
    <w:rsid w:val="00851DFF"/>
    <w:rsid w:val="00851F70"/>
    <w:rsid w:val="008525BF"/>
    <w:rsid w:val="00852C7A"/>
    <w:rsid w:val="00853084"/>
    <w:rsid w:val="00853142"/>
    <w:rsid w:val="008532C6"/>
    <w:rsid w:val="008538BD"/>
    <w:rsid w:val="00854061"/>
    <w:rsid w:val="0085409C"/>
    <w:rsid w:val="008540A6"/>
    <w:rsid w:val="00854420"/>
    <w:rsid w:val="00854481"/>
    <w:rsid w:val="00854B65"/>
    <w:rsid w:val="00854E0E"/>
    <w:rsid w:val="00854E43"/>
    <w:rsid w:val="00855CB3"/>
    <w:rsid w:val="00855DB5"/>
    <w:rsid w:val="00856976"/>
    <w:rsid w:val="00857591"/>
    <w:rsid w:val="00857E88"/>
    <w:rsid w:val="008603F6"/>
    <w:rsid w:val="008604A3"/>
    <w:rsid w:val="008612DB"/>
    <w:rsid w:val="0086166A"/>
    <w:rsid w:val="00861A07"/>
    <w:rsid w:val="00861B57"/>
    <w:rsid w:val="00861F38"/>
    <w:rsid w:val="00861FB1"/>
    <w:rsid w:val="00861FF0"/>
    <w:rsid w:val="0086223F"/>
    <w:rsid w:val="00862A2B"/>
    <w:rsid w:val="00862AC4"/>
    <w:rsid w:val="00862DBD"/>
    <w:rsid w:val="00862DF7"/>
    <w:rsid w:val="008631AE"/>
    <w:rsid w:val="008633AC"/>
    <w:rsid w:val="008634E3"/>
    <w:rsid w:val="00864627"/>
    <w:rsid w:val="00864635"/>
    <w:rsid w:val="00864678"/>
    <w:rsid w:val="00864B70"/>
    <w:rsid w:val="00864C1A"/>
    <w:rsid w:val="00865217"/>
    <w:rsid w:val="0086567A"/>
    <w:rsid w:val="008658AA"/>
    <w:rsid w:val="00865A62"/>
    <w:rsid w:val="00865CBD"/>
    <w:rsid w:val="00865CF9"/>
    <w:rsid w:val="00866E37"/>
    <w:rsid w:val="00866F9E"/>
    <w:rsid w:val="008672E2"/>
    <w:rsid w:val="0086793D"/>
    <w:rsid w:val="00867B1C"/>
    <w:rsid w:val="00870C68"/>
    <w:rsid w:val="008713D6"/>
    <w:rsid w:val="00871536"/>
    <w:rsid w:val="00871643"/>
    <w:rsid w:val="008718CB"/>
    <w:rsid w:val="00871B44"/>
    <w:rsid w:val="0087281D"/>
    <w:rsid w:val="00872AB7"/>
    <w:rsid w:val="00872D24"/>
    <w:rsid w:val="00873050"/>
    <w:rsid w:val="008732D8"/>
    <w:rsid w:val="00873377"/>
    <w:rsid w:val="008733A1"/>
    <w:rsid w:val="00873577"/>
    <w:rsid w:val="008737CB"/>
    <w:rsid w:val="00873A89"/>
    <w:rsid w:val="0087409F"/>
    <w:rsid w:val="008741B2"/>
    <w:rsid w:val="0087469B"/>
    <w:rsid w:val="00874D58"/>
    <w:rsid w:val="00874D8C"/>
    <w:rsid w:val="008750D2"/>
    <w:rsid w:val="00875418"/>
    <w:rsid w:val="00875AB5"/>
    <w:rsid w:val="00875C91"/>
    <w:rsid w:val="00875CF5"/>
    <w:rsid w:val="00875F85"/>
    <w:rsid w:val="00876C6B"/>
    <w:rsid w:val="00876DC9"/>
    <w:rsid w:val="00877125"/>
    <w:rsid w:val="008772E4"/>
    <w:rsid w:val="008777C2"/>
    <w:rsid w:val="008777FE"/>
    <w:rsid w:val="00880AE0"/>
    <w:rsid w:val="00881511"/>
    <w:rsid w:val="008816D4"/>
    <w:rsid w:val="008817F5"/>
    <w:rsid w:val="00882115"/>
    <w:rsid w:val="0088225F"/>
    <w:rsid w:val="00882448"/>
    <w:rsid w:val="00882DF0"/>
    <w:rsid w:val="00882F1D"/>
    <w:rsid w:val="00883230"/>
    <w:rsid w:val="00883A4D"/>
    <w:rsid w:val="00883B21"/>
    <w:rsid w:val="00883BCC"/>
    <w:rsid w:val="00883F8F"/>
    <w:rsid w:val="00884235"/>
    <w:rsid w:val="008843AE"/>
    <w:rsid w:val="00884445"/>
    <w:rsid w:val="00884502"/>
    <w:rsid w:val="00884A16"/>
    <w:rsid w:val="00884EF3"/>
    <w:rsid w:val="00885285"/>
    <w:rsid w:val="00885985"/>
    <w:rsid w:val="00886699"/>
    <w:rsid w:val="0088709A"/>
    <w:rsid w:val="0088775F"/>
    <w:rsid w:val="00887D11"/>
    <w:rsid w:val="0088E4E5"/>
    <w:rsid w:val="008907F8"/>
    <w:rsid w:val="00890FA8"/>
    <w:rsid w:val="00891036"/>
    <w:rsid w:val="00891042"/>
    <w:rsid w:val="00891382"/>
    <w:rsid w:val="0089199F"/>
    <w:rsid w:val="00891C32"/>
    <w:rsid w:val="00891D7F"/>
    <w:rsid w:val="00892265"/>
    <w:rsid w:val="0089233E"/>
    <w:rsid w:val="00892407"/>
    <w:rsid w:val="008924D2"/>
    <w:rsid w:val="0089330E"/>
    <w:rsid w:val="008933A3"/>
    <w:rsid w:val="00893A8E"/>
    <w:rsid w:val="00893A96"/>
    <w:rsid w:val="00893E27"/>
    <w:rsid w:val="00893F28"/>
    <w:rsid w:val="008945F7"/>
    <w:rsid w:val="0089463D"/>
    <w:rsid w:val="0089554F"/>
    <w:rsid w:val="008955E6"/>
    <w:rsid w:val="008958FC"/>
    <w:rsid w:val="00895B5F"/>
    <w:rsid w:val="0089637C"/>
    <w:rsid w:val="00896712"/>
    <w:rsid w:val="00896870"/>
    <w:rsid w:val="008969B8"/>
    <w:rsid w:val="008969BD"/>
    <w:rsid w:val="00896C71"/>
    <w:rsid w:val="00896E10"/>
    <w:rsid w:val="008978C1"/>
    <w:rsid w:val="008A00D5"/>
    <w:rsid w:val="008A0206"/>
    <w:rsid w:val="008A1143"/>
    <w:rsid w:val="008A13BD"/>
    <w:rsid w:val="008A1596"/>
    <w:rsid w:val="008A1736"/>
    <w:rsid w:val="008A1EDF"/>
    <w:rsid w:val="008A237F"/>
    <w:rsid w:val="008A2695"/>
    <w:rsid w:val="008A2DC9"/>
    <w:rsid w:val="008A2FF1"/>
    <w:rsid w:val="008A32D4"/>
    <w:rsid w:val="008A360B"/>
    <w:rsid w:val="008A367F"/>
    <w:rsid w:val="008A37AF"/>
    <w:rsid w:val="008A3D62"/>
    <w:rsid w:val="008A448D"/>
    <w:rsid w:val="008A4600"/>
    <w:rsid w:val="008A4A55"/>
    <w:rsid w:val="008A4AC4"/>
    <w:rsid w:val="008A506F"/>
    <w:rsid w:val="008A528A"/>
    <w:rsid w:val="008A5298"/>
    <w:rsid w:val="008A535A"/>
    <w:rsid w:val="008A5AD1"/>
    <w:rsid w:val="008A65CF"/>
    <w:rsid w:val="008A67D3"/>
    <w:rsid w:val="008A6FA7"/>
    <w:rsid w:val="008A71EE"/>
    <w:rsid w:val="008A720F"/>
    <w:rsid w:val="008A7329"/>
    <w:rsid w:val="008A7369"/>
    <w:rsid w:val="008A796F"/>
    <w:rsid w:val="008A7BC3"/>
    <w:rsid w:val="008A7C72"/>
    <w:rsid w:val="008A7C96"/>
    <w:rsid w:val="008B04F2"/>
    <w:rsid w:val="008B069E"/>
    <w:rsid w:val="008B0770"/>
    <w:rsid w:val="008B0B8F"/>
    <w:rsid w:val="008B0C2E"/>
    <w:rsid w:val="008B0D0E"/>
    <w:rsid w:val="008B12BB"/>
    <w:rsid w:val="008B1411"/>
    <w:rsid w:val="008B17A2"/>
    <w:rsid w:val="008B25F2"/>
    <w:rsid w:val="008B2643"/>
    <w:rsid w:val="008B2C5E"/>
    <w:rsid w:val="008B2FAE"/>
    <w:rsid w:val="008B302B"/>
    <w:rsid w:val="008B3317"/>
    <w:rsid w:val="008B414B"/>
    <w:rsid w:val="008B42BF"/>
    <w:rsid w:val="008B4357"/>
    <w:rsid w:val="008B4E0E"/>
    <w:rsid w:val="008B4FB9"/>
    <w:rsid w:val="008B52D3"/>
    <w:rsid w:val="008B5715"/>
    <w:rsid w:val="008B5A2D"/>
    <w:rsid w:val="008B5BC2"/>
    <w:rsid w:val="008B5C14"/>
    <w:rsid w:val="008B5ED1"/>
    <w:rsid w:val="008B60BB"/>
    <w:rsid w:val="008B6646"/>
    <w:rsid w:val="008B6732"/>
    <w:rsid w:val="008B6755"/>
    <w:rsid w:val="008B68EC"/>
    <w:rsid w:val="008B6AC1"/>
    <w:rsid w:val="008B711E"/>
    <w:rsid w:val="008B71E3"/>
    <w:rsid w:val="008C042F"/>
    <w:rsid w:val="008C057B"/>
    <w:rsid w:val="008C0CAC"/>
    <w:rsid w:val="008C13B4"/>
    <w:rsid w:val="008C1557"/>
    <w:rsid w:val="008C1A6E"/>
    <w:rsid w:val="008C1B8C"/>
    <w:rsid w:val="008C1E94"/>
    <w:rsid w:val="008C2154"/>
    <w:rsid w:val="008C2306"/>
    <w:rsid w:val="008C2507"/>
    <w:rsid w:val="008C26D1"/>
    <w:rsid w:val="008C2A29"/>
    <w:rsid w:val="008C2B7F"/>
    <w:rsid w:val="008C2D34"/>
    <w:rsid w:val="008C30AE"/>
    <w:rsid w:val="008C36AC"/>
    <w:rsid w:val="008C38A4"/>
    <w:rsid w:val="008C4953"/>
    <w:rsid w:val="008C4E44"/>
    <w:rsid w:val="008C5141"/>
    <w:rsid w:val="008C5EC3"/>
    <w:rsid w:val="008C6255"/>
    <w:rsid w:val="008C684B"/>
    <w:rsid w:val="008C6ABD"/>
    <w:rsid w:val="008C6F18"/>
    <w:rsid w:val="008C74DF"/>
    <w:rsid w:val="008C7685"/>
    <w:rsid w:val="008C78BA"/>
    <w:rsid w:val="008C7EFB"/>
    <w:rsid w:val="008D007A"/>
    <w:rsid w:val="008D05CA"/>
    <w:rsid w:val="008D07DE"/>
    <w:rsid w:val="008D0831"/>
    <w:rsid w:val="008D0952"/>
    <w:rsid w:val="008D0E40"/>
    <w:rsid w:val="008D1E7F"/>
    <w:rsid w:val="008D1EAF"/>
    <w:rsid w:val="008D2367"/>
    <w:rsid w:val="008D2400"/>
    <w:rsid w:val="008D3922"/>
    <w:rsid w:val="008D427A"/>
    <w:rsid w:val="008D4CD6"/>
    <w:rsid w:val="008D4DD5"/>
    <w:rsid w:val="008D4E26"/>
    <w:rsid w:val="008D4F70"/>
    <w:rsid w:val="008D5657"/>
    <w:rsid w:val="008D5B8B"/>
    <w:rsid w:val="008D5F98"/>
    <w:rsid w:val="008D672C"/>
    <w:rsid w:val="008D6752"/>
    <w:rsid w:val="008D69E7"/>
    <w:rsid w:val="008D6B02"/>
    <w:rsid w:val="008D6FC1"/>
    <w:rsid w:val="008D7A44"/>
    <w:rsid w:val="008E0009"/>
    <w:rsid w:val="008E0074"/>
    <w:rsid w:val="008E0140"/>
    <w:rsid w:val="008E04F2"/>
    <w:rsid w:val="008E0688"/>
    <w:rsid w:val="008E072E"/>
    <w:rsid w:val="008E0BEF"/>
    <w:rsid w:val="008E0FFB"/>
    <w:rsid w:val="008E157B"/>
    <w:rsid w:val="008E1BC9"/>
    <w:rsid w:val="008E233C"/>
    <w:rsid w:val="008E25BA"/>
    <w:rsid w:val="008E266D"/>
    <w:rsid w:val="008E2C5C"/>
    <w:rsid w:val="008E2D5E"/>
    <w:rsid w:val="008E2E35"/>
    <w:rsid w:val="008E2F0C"/>
    <w:rsid w:val="008E33D9"/>
    <w:rsid w:val="008E3468"/>
    <w:rsid w:val="008E3E23"/>
    <w:rsid w:val="008E43D8"/>
    <w:rsid w:val="008E43EC"/>
    <w:rsid w:val="008E46E2"/>
    <w:rsid w:val="008E4AD4"/>
    <w:rsid w:val="008E5413"/>
    <w:rsid w:val="008E547B"/>
    <w:rsid w:val="008E5DF8"/>
    <w:rsid w:val="008E6F35"/>
    <w:rsid w:val="008E7B34"/>
    <w:rsid w:val="008E7E8F"/>
    <w:rsid w:val="008EBA64"/>
    <w:rsid w:val="008F0119"/>
    <w:rsid w:val="008F0250"/>
    <w:rsid w:val="008F0338"/>
    <w:rsid w:val="008F11F4"/>
    <w:rsid w:val="008F161A"/>
    <w:rsid w:val="008F1952"/>
    <w:rsid w:val="008F2272"/>
    <w:rsid w:val="008F254D"/>
    <w:rsid w:val="008F30A9"/>
    <w:rsid w:val="008F30CD"/>
    <w:rsid w:val="008F310B"/>
    <w:rsid w:val="008F322B"/>
    <w:rsid w:val="008F34CB"/>
    <w:rsid w:val="008F3519"/>
    <w:rsid w:val="008F37BE"/>
    <w:rsid w:val="008F3AD3"/>
    <w:rsid w:val="008F3CA7"/>
    <w:rsid w:val="008F443F"/>
    <w:rsid w:val="008F57C2"/>
    <w:rsid w:val="008F5AA9"/>
    <w:rsid w:val="008F5DE5"/>
    <w:rsid w:val="008F5E42"/>
    <w:rsid w:val="008F63B1"/>
    <w:rsid w:val="008F6518"/>
    <w:rsid w:val="008F6973"/>
    <w:rsid w:val="008F6E6A"/>
    <w:rsid w:val="008F73D3"/>
    <w:rsid w:val="008F757E"/>
    <w:rsid w:val="008F7AA7"/>
    <w:rsid w:val="008F7DE6"/>
    <w:rsid w:val="009003F9"/>
    <w:rsid w:val="00900947"/>
    <w:rsid w:val="00900EB8"/>
    <w:rsid w:val="00900FBA"/>
    <w:rsid w:val="00901509"/>
    <w:rsid w:val="00901C4F"/>
    <w:rsid w:val="00902E5B"/>
    <w:rsid w:val="00902F53"/>
    <w:rsid w:val="0090389B"/>
    <w:rsid w:val="00903DB5"/>
    <w:rsid w:val="00903F28"/>
    <w:rsid w:val="00903FD9"/>
    <w:rsid w:val="00904891"/>
    <w:rsid w:val="00904CF5"/>
    <w:rsid w:val="009050DD"/>
    <w:rsid w:val="00905259"/>
    <w:rsid w:val="0090556C"/>
    <w:rsid w:val="00905633"/>
    <w:rsid w:val="00905AF1"/>
    <w:rsid w:val="00905EAE"/>
    <w:rsid w:val="009060C4"/>
    <w:rsid w:val="009061BE"/>
    <w:rsid w:val="0090681F"/>
    <w:rsid w:val="009069B3"/>
    <w:rsid w:val="009069CE"/>
    <w:rsid w:val="00906BE9"/>
    <w:rsid w:val="00906C91"/>
    <w:rsid w:val="00906C95"/>
    <w:rsid w:val="00906F8A"/>
    <w:rsid w:val="00907656"/>
    <w:rsid w:val="00907811"/>
    <w:rsid w:val="00907B89"/>
    <w:rsid w:val="00907E47"/>
    <w:rsid w:val="009105F4"/>
    <w:rsid w:val="00910873"/>
    <w:rsid w:val="00910BC3"/>
    <w:rsid w:val="00911151"/>
    <w:rsid w:val="00911496"/>
    <w:rsid w:val="009115EF"/>
    <w:rsid w:val="009116DD"/>
    <w:rsid w:val="00911F1E"/>
    <w:rsid w:val="00912D1C"/>
    <w:rsid w:val="00913019"/>
    <w:rsid w:val="009134F2"/>
    <w:rsid w:val="00913F1E"/>
    <w:rsid w:val="00913FB2"/>
    <w:rsid w:val="009140C4"/>
    <w:rsid w:val="009144A9"/>
    <w:rsid w:val="00914567"/>
    <w:rsid w:val="0091468B"/>
    <w:rsid w:val="00914BA9"/>
    <w:rsid w:val="0091526F"/>
    <w:rsid w:val="009153D2"/>
    <w:rsid w:val="0091540C"/>
    <w:rsid w:val="0091594D"/>
    <w:rsid w:val="00916286"/>
    <w:rsid w:val="00916595"/>
    <w:rsid w:val="00916C47"/>
    <w:rsid w:val="009171AD"/>
    <w:rsid w:val="00917569"/>
    <w:rsid w:val="00917E37"/>
    <w:rsid w:val="0091893E"/>
    <w:rsid w:val="0092015F"/>
    <w:rsid w:val="00920174"/>
    <w:rsid w:val="00920180"/>
    <w:rsid w:val="00920202"/>
    <w:rsid w:val="009206B5"/>
    <w:rsid w:val="00920E8A"/>
    <w:rsid w:val="009217E4"/>
    <w:rsid w:val="0092182C"/>
    <w:rsid w:val="009219C9"/>
    <w:rsid w:val="009219D2"/>
    <w:rsid w:val="00921A4E"/>
    <w:rsid w:val="00921E37"/>
    <w:rsid w:val="00921E38"/>
    <w:rsid w:val="00922511"/>
    <w:rsid w:val="00922C9E"/>
    <w:rsid w:val="00922F07"/>
    <w:rsid w:val="00923447"/>
    <w:rsid w:val="00923463"/>
    <w:rsid w:val="00923483"/>
    <w:rsid w:val="00923D7B"/>
    <w:rsid w:val="00923F7F"/>
    <w:rsid w:val="00924494"/>
    <w:rsid w:val="00925238"/>
    <w:rsid w:val="00925ACF"/>
    <w:rsid w:val="00925B31"/>
    <w:rsid w:val="0092615D"/>
    <w:rsid w:val="00926546"/>
    <w:rsid w:val="009265A1"/>
    <w:rsid w:val="00926745"/>
    <w:rsid w:val="009275E4"/>
    <w:rsid w:val="009276D5"/>
    <w:rsid w:val="00927700"/>
    <w:rsid w:val="00930238"/>
    <w:rsid w:val="0093036E"/>
    <w:rsid w:val="00931224"/>
    <w:rsid w:val="0093173B"/>
    <w:rsid w:val="0093239A"/>
    <w:rsid w:val="00932E43"/>
    <w:rsid w:val="00932F09"/>
    <w:rsid w:val="009333D3"/>
    <w:rsid w:val="009334A1"/>
    <w:rsid w:val="009339B6"/>
    <w:rsid w:val="00933B4C"/>
    <w:rsid w:val="00933DC4"/>
    <w:rsid w:val="0093431B"/>
    <w:rsid w:val="009346D6"/>
    <w:rsid w:val="00934743"/>
    <w:rsid w:val="0093487E"/>
    <w:rsid w:val="00934FFE"/>
    <w:rsid w:val="009359D6"/>
    <w:rsid w:val="009363ED"/>
    <w:rsid w:val="00936405"/>
    <w:rsid w:val="00936B64"/>
    <w:rsid w:val="00937504"/>
    <w:rsid w:val="009379C4"/>
    <w:rsid w:val="00937BF1"/>
    <w:rsid w:val="009402AA"/>
    <w:rsid w:val="0094041A"/>
    <w:rsid w:val="00940766"/>
    <w:rsid w:val="00940D32"/>
    <w:rsid w:val="0094109F"/>
    <w:rsid w:val="0094190D"/>
    <w:rsid w:val="00941A0B"/>
    <w:rsid w:val="00941ECA"/>
    <w:rsid w:val="00942354"/>
    <w:rsid w:val="00942681"/>
    <w:rsid w:val="00943066"/>
    <w:rsid w:val="00943A7E"/>
    <w:rsid w:val="00943E42"/>
    <w:rsid w:val="00943E5D"/>
    <w:rsid w:val="0094446F"/>
    <w:rsid w:val="00944728"/>
    <w:rsid w:val="009453E8"/>
    <w:rsid w:val="00945664"/>
    <w:rsid w:val="00945AD1"/>
    <w:rsid w:val="00945E5E"/>
    <w:rsid w:val="0094631A"/>
    <w:rsid w:val="00946373"/>
    <w:rsid w:val="009463F1"/>
    <w:rsid w:val="00946ECB"/>
    <w:rsid w:val="00947268"/>
    <w:rsid w:val="0094750E"/>
    <w:rsid w:val="00947AC6"/>
    <w:rsid w:val="00947C94"/>
    <w:rsid w:val="009506CE"/>
    <w:rsid w:val="009507C8"/>
    <w:rsid w:val="009508F2"/>
    <w:rsid w:val="00950E04"/>
    <w:rsid w:val="00950E62"/>
    <w:rsid w:val="0095115E"/>
    <w:rsid w:val="0095118A"/>
    <w:rsid w:val="00952468"/>
    <w:rsid w:val="00953E78"/>
    <w:rsid w:val="009541FB"/>
    <w:rsid w:val="00954458"/>
    <w:rsid w:val="00954547"/>
    <w:rsid w:val="00954767"/>
    <w:rsid w:val="0095487A"/>
    <w:rsid w:val="009548FB"/>
    <w:rsid w:val="0095538B"/>
    <w:rsid w:val="00955701"/>
    <w:rsid w:val="00955C6F"/>
    <w:rsid w:val="00955CAC"/>
    <w:rsid w:val="00956080"/>
    <w:rsid w:val="0095663E"/>
    <w:rsid w:val="0095682A"/>
    <w:rsid w:val="00956D1F"/>
    <w:rsid w:val="00957AF7"/>
    <w:rsid w:val="00957C82"/>
    <w:rsid w:val="009601DB"/>
    <w:rsid w:val="00960421"/>
    <w:rsid w:val="00960ACA"/>
    <w:rsid w:val="00960C4F"/>
    <w:rsid w:val="00960FF8"/>
    <w:rsid w:val="009611F2"/>
    <w:rsid w:val="00961B98"/>
    <w:rsid w:val="0096217C"/>
    <w:rsid w:val="00962441"/>
    <w:rsid w:val="009624CD"/>
    <w:rsid w:val="00962578"/>
    <w:rsid w:val="00962D4E"/>
    <w:rsid w:val="00963277"/>
    <w:rsid w:val="00963392"/>
    <w:rsid w:val="00963429"/>
    <w:rsid w:val="009643CD"/>
    <w:rsid w:val="00964445"/>
    <w:rsid w:val="00964B53"/>
    <w:rsid w:val="00964C3F"/>
    <w:rsid w:val="00964C6C"/>
    <w:rsid w:val="00965176"/>
    <w:rsid w:val="00965240"/>
    <w:rsid w:val="00965847"/>
    <w:rsid w:val="00965A3E"/>
    <w:rsid w:val="00965B41"/>
    <w:rsid w:val="00965C48"/>
    <w:rsid w:val="009661F0"/>
    <w:rsid w:val="009662A0"/>
    <w:rsid w:val="009666D1"/>
    <w:rsid w:val="00966BA8"/>
    <w:rsid w:val="00966D9D"/>
    <w:rsid w:val="00966E33"/>
    <w:rsid w:val="00966E4A"/>
    <w:rsid w:val="00967041"/>
    <w:rsid w:val="0096721B"/>
    <w:rsid w:val="00967F3C"/>
    <w:rsid w:val="00970303"/>
    <w:rsid w:val="0097081D"/>
    <w:rsid w:val="00970918"/>
    <w:rsid w:val="0097099E"/>
    <w:rsid w:val="00970C08"/>
    <w:rsid w:val="00970E8D"/>
    <w:rsid w:val="009712FD"/>
    <w:rsid w:val="00971761"/>
    <w:rsid w:val="00971A93"/>
    <w:rsid w:val="0097216F"/>
    <w:rsid w:val="009722B5"/>
    <w:rsid w:val="00972C3B"/>
    <w:rsid w:val="00973057"/>
    <w:rsid w:val="00973FF0"/>
    <w:rsid w:val="009740CE"/>
    <w:rsid w:val="0097411F"/>
    <w:rsid w:val="009745D9"/>
    <w:rsid w:val="00974D50"/>
    <w:rsid w:val="0097517E"/>
    <w:rsid w:val="009751AF"/>
    <w:rsid w:val="00975326"/>
    <w:rsid w:val="00975DEA"/>
    <w:rsid w:val="00977386"/>
    <w:rsid w:val="00977A7B"/>
    <w:rsid w:val="00977CDF"/>
    <w:rsid w:val="00980230"/>
    <w:rsid w:val="0098043F"/>
    <w:rsid w:val="00980464"/>
    <w:rsid w:val="009809F1"/>
    <w:rsid w:val="00980A7B"/>
    <w:rsid w:val="00980FF0"/>
    <w:rsid w:val="00981038"/>
    <w:rsid w:val="0098106E"/>
    <w:rsid w:val="00981511"/>
    <w:rsid w:val="009819EB"/>
    <w:rsid w:val="00981D1C"/>
    <w:rsid w:val="00981E1C"/>
    <w:rsid w:val="00982118"/>
    <w:rsid w:val="009826D0"/>
    <w:rsid w:val="00982C62"/>
    <w:rsid w:val="00982C91"/>
    <w:rsid w:val="00982DF2"/>
    <w:rsid w:val="00982F76"/>
    <w:rsid w:val="00982FA3"/>
    <w:rsid w:val="009832B7"/>
    <w:rsid w:val="009833D7"/>
    <w:rsid w:val="00983481"/>
    <w:rsid w:val="009840FD"/>
    <w:rsid w:val="00984262"/>
    <w:rsid w:val="00984701"/>
    <w:rsid w:val="00984847"/>
    <w:rsid w:val="00984BEC"/>
    <w:rsid w:val="00985488"/>
    <w:rsid w:val="00985EB8"/>
    <w:rsid w:val="00985FB3"/>
    <w:rsid w:val="00986566"/>
    <w:rsid w:val="0098694D"/>
    <w:rsid w:val="00986A60"/>
    <w:rsid w:val="00986CC1"/>
    <w:rsid w:val="00986F02"/>
    <w:rsid w:val="00986F4E"/>
    <w:rsid w:val="00987191"/>
    <w:rsid w:val="00987690"/>
    <w:rsid w:val="00987A5A"/>
    <w:rsid w:val="00987CB4"/>
    <w:rsid w:val="00990438"/>
    <w:rsid w:val="009906C8"/>
    <w:rsid w:val="0099097E"/>
    <w:rsid w:val="00990A8C"/>
    <w:rsid w:val="00990C84"/>
    <w:rsid w:val="009919C6"/>
    <w:rsid w:val="0099217D"/>
    <w:rsid w:val="009921FC"/>
    <w:rsid w:val="0099272B"/>
    <w:rsid w:val="00992A0E"/>
    <w:rsid w:val="00993614"/>
    <w:rsid w:val="0099399E"/>
    <w:rsid w:val="0099413C"/>
    <w:rsid w:val="00994230"/>
    <w:rsid w:val="0099479E"/>
    <w:rsid w:val="00994C2E"/>
    <w:rsid w:val="009951D8"/>
    <w:rsid w:val="009952EF"/>
    <w:rsid w:val="00995355"/>
    <w:rsid w:val="0099586F"/>
    <w:rsid w:val="0099719E"/>
    <w:rsid w:val="00997B5C"/>
    <w:rsid w:val="00997CB0"/>
    <w:rsid w:val="009996DC"/>
    <w:rsid w:val="009A0169"/>
    <w:rsid w:val="009A0424"/>
    <w:rsid w:val="009A1B56"/>
    <w:rsid w:val="009A2422"/>
    <w:rsid w:val="009A258E"/>
    <w:rsid w:val="009A2BA7"/>
    <w:rsid w:val="009A335B"/>
    <w:rsid w:val="009A38DD"/>
    <w:rsid w:val="009A3C93"/>
    <w:rsid w:val="009A3FD0"/>
    <w:rsid w:val="009A4E62"/>
    <w:rsid w:val="009A512F"/>
    <w:rsid w:val="009A51C7"/>
    <w:rsid w:val="009A52F5"/>
    <w:rsid w:val="009A59EC"/>
    <w:rsid w:val="009A5B75"/>
    <w:rsid w:val="009A5C56"/>
    <w:rsid w:val="009A5CA0"/>
    <w:rsid w:val="009A5CA8"/>
    <w:rsid w:val="009A5D79"/>
    <w:rsid w:val="009A6398"/>
    <w:rsid w:val="009A6DC9"/>
    <w:rsid w:val="009A6ED0"/>
    <w:rsid w:val="009A706A"/>
    <w:rsid w:val="009A71AB"/>
    <w:rsid w:val="009A7745"/>
    <w:rsid w:val="009A7A9E"/>
    <w:rsid w:val="009A7C3D"/>
    <w:rsid w:val="009B0091"/>
    <w:rsid w:val="009B0156"/>
    <w:rsid w:val="009B0295"/>
    <w:rsid w:val="009B02B3"/>
    <w:rsid w:val="009B05BA"/>
    <w:rsid w:val="009B0753"/>
    <w:rsid w:val="009B11C9"/>
    <w:rsid w:val="009B1305"/>
    <w:rsid w:val="009B1473"/>
    <w:rsid w:val="009B1661"/>
    <w:rsid w:val="009B1891"/>
    <w:rsid w:val="009B18F7"/>
    <w:rsid w:val="009B1B0E"/>
    <w:rsid w:val="009B2596"/>
    <w:rsid w:val="009B3533"/>
    <w:rsid w:val="009B35D8"/>
    <w:rsid w:val="009B36CF"/>
    <w:rsid w:val="009B42B6"/>
    <w:rsid w:val="009B42CC"/>
    <w:rsid w:val="009B43D6"/>
    <w:rsid w:val="009B45C1"/>
    <w:rsid w:val="009B476B"/>
    <w:rsid w:val="009B484D"/>
    <w:rsid w:val="009B5081"/>
    <w:rsid w:val="009B6405"/>
    <w:rsid w:val="009B67DF"/>
    <w:rsid w:val="009B6985"/>
    <w:rsid w:val="009B69B3"/>
    <w:rsid w:val="009B7011"/>
    <w:rsid w:val="009B71E4"/>
    <w:rsid w:val="009B7212"/>
    <w:rsid w:val="009B778E"/>
    <w:rsid w:val="009C02F2"/>
    <w:rsid w:val="009C04EE"/>
    <w:rsid w:val="009C0CD4"/>
    <w:rsid w:val="009C0D54"/>
    <w:rsid w:val="009C15E7"/>
    <w:rsid w:val="009C17C8"/>
    <w:rsid w:val="009C2878"/>
    <w:rsid w:val="009C2D93"/>
    <w:rsid w:val="009C3728"/>
    <w:rsid w:val="009C385B"/>
    <w:rsid w:val="009C38E9"/>
    <w:rsid w:val="009C3E3C"/>
    <w:rsid w:val="009C41EF"/>
    <w:rsid w:val="009C4353"/>
    <w:rsid w:val="009C44D6"/>
    <w:rsid w:val="009C4939"/>
    <w:rsid w:val="009C496A"/>
    <w:rsid w:val="009C49C2"/>
    <w:rsid w:val="009C4A43"/>
    <w:rsid w:val="009C4E2D"/>
    <w:rsid w:val="009C51F4"/>
    <w:rsid w:val="009C5224"/>
    <w:rsid w:val="009C5C51"/>
    <w:rsid w:val="009C62C0"/>
    <w:rsid w:val="009C6370"/>
    <w:rsid w:val="009C68B0"/>
    <w:rsid w:val="009C68E2"/>
    <w:rsid w:val="009C6A88"/>
    <w:rsid w:val="009C6FC1"/>
    <w:rsid w:val="009C765D"/>
    <w:rsid w:val="009C7ADA"/>
    <w:rsid w:val="009C7B0E"/>
    <w:rsid w:val="009D000A"/>
    <w:rsid w:val="009D00A9"/>
    <w:rsid w:val="009D05C7"/>
    <w:rsid w:val="009D1354"/>
    <w:rsid w:val="009D1A86"/>
    <w:rsid w:val="009D1B7C"/>
    <w:rsid w:val="009D1E12"/>
    <w:rsid w:val="009D1FF4"/>
    <w:rsid w:val="009D2006"/>
    <w:rsid w:val="009D2445"/>
    <w:rsid w:val="009D2856"/>
    <w:rsid w:val="009D2DA9"/>
    <w:rsid w:val="009D2E93"/>
    <w:rsid w:val="009D2EA9"/>
    <w:rsid w:val="009D3038"/>
    <w:rsid w:val="009D3356"/>
    <w:rsid w:val="009D34C0"/>
    <w:rsid w:val="009D35FB"/>
    <w:rsid w:val="009D3E28"/>
    <w:rsid w:val="009D41FA"/>
    <w:rsid w:val="009D4BBE"/>
    <w:rsid w:val="009D4CE2"/>
    <w:rsid w:val="009D4E16"/>
    <w:rsid w:val="009D4E86"/>
    <w:rsid w:val="009D5606"/>
    <w:rsid w:val="009D5893"/>
    <w:rsid w:val="009D6620"/>
    <w:rsid w:val="009D67D6"/>
    <w:rsid w:val="009D6C54"/>
    <w:rsid w:val="009D72B0"/>
    <w:rsid w:val="009D7672"/>
    <w:rsid w:val="009D77CE"/>
    <w:rsid w:val="009D7B07"/>
    <w:rsid w:val="009D7C44"/>
    <w:rsid w:val="009D7DE3"/>
    <w:rsid w:val="009D7FF1"/>
    <w:rsid w:val="009E004A"/>
    <w:rsid w:val="009E03E6"/>
    <w:rsid w:val="009E03F5"/>
    <w:rsid w:val="009E0475"/>
    <w:rsid w:val="009E05D3"/>
    <w:rsid w:val="009E066B"/>
    <w:rsid w:val="009E1162"/>
    <w:rsid w:val="009E116F"/>
    <w:rsid w:val="009E1515"/>
    <w:rsid w:val="009E1CFF"/>
    <w:rsid w:val="009E1FEE"/>
    <w:rsid w:val="009E208A"/>
    <w:rsid w:val="009E23EA"/>
    <w:rsid w:val="009E25B9"/>
    <w:rsid w:val="009E2904"/>
    <w:rsid w:val="009E2C06"/>
    <w:rsid w:val="009E2D24"/>
    <w:rsid w:val="009E2EA0"/>
    <w:rsid w:val="009E305F"/>
    <w:rsid w:val="009E36FF"/>
    <w:rsid w:val="009E37D3"/>
    <w:rsid w:val="009E3EE7"/>
    <w:rsid w:val="009E430C"/>
    <w:rsid w:val="009E4D63"/>
    <w:rsid w:val="009E4DAC"/>
    <w:rsid w:val="009E5028"/>
    <w:rsid w:val="009E50FB"/>
    <w:rsid w:val="009E5280"/>
    <w:rsid w:val="009E5386"/>
    <w:rsid w:val="009E5792"/>
    <w:rsid w:val="009E5DD1"/>
    <w:rsid w:val="009E60AD"/>
    <w:rsid w:val="009E64E9"/>
    <w:rsid w:val="009E68C8"/>
    <w:rsid w:val="009E6AB5"/>
    <w:rsid w:val="009E6CD1"/>
    <w:rsid w:val="009E6DAB"/>
    <w:rsid w:val="009E6F4B"/>
    <w:rsid w:val="009E703C"/>
    <w:rsid w:val="009E79EE"/>
    <w:rsid w:val="009E7C51"/>
    <w:rsid w:val="009E7E00"/>
    <w:rsid w:val="009E7E4C"/>
    <w:rsid w:val="009E7E74"/>
    <w:rsid w:val="009F04BA"/>
    <w:rsid w:val="009F08F5"/>
    <w:rsid w:val="009F0956"/>
    <w:rsid w:val="009F0EE5"/>
    <w:rsid w:val="009F0F82"/>
    <w:rsid w:val="009F1264"/>
    <w:rsid w:val="009F1399"/>
    <w:rsid w:val="009F13FB"/>
    <w:rsid w:val="009F16D5"/>
    <w:rsid w:val="009F1FE6"/>
    <w:rsid w:val="009F245B"/>
    <w:rsid w:val="009F25E6"/>
    <w:rsid w:val="009F2BE8"/>
    <w:rsid w:val="009F2CC9"/>
    <w:rsid w:val="009F2E8B"/>
    <w:rsid w:val="009F2F09"/>
    <w:rsid w:val="009F32CC"/>
    <w:rsid w:val="009F36B4"/>
    <w:rsid w:val="009F39A7"/>
    <w:rsid w:val="009F3BAF"/>
    <w:rsid w:val="009F3F33"/>
    <w:rsid w:val="009F40B7"/>
    <w:rsid w:val="009F4188"/>
    <w:rsid w:val="009F4302"/>
    <w:rsid w:val="009F4393"/>
    <w:rsid w:val="009F43A9"/>
    <w:rsid w:val="009F4BE9"/>
    <w:rsid w:val="009F50FB"/>
    <w:rsid w:val="009F62D3"/>
    <w:rsid w:val="009F77C4"/>
    <w:rsid w:val="009F77D5"/>
    <w:rsid w:val="00A00112"/>
    <w:rsid w:val="00A008B5"/>
    <w:rsid w:val="00A00DED"/>
    <w:rsid w:val="00A01294"/>
    <w:rsid w:val="00A01612"/>
    <w:rsid w:val="00A016D8"/>
    <w:rsid w:val="00A017B4"/>
    <w:rsid w:val="00A01C53"/>
    <w:rsid w:val="00A01D38"/>
    <w:rsid w:val="00A02056"/>
    <w:rsid w:val="00A02225"/>
    <w:rsid w:val="00A02414"/>
    <w:rsid w:val="00A025B9"/>
    <w:rsid w:val="00A02636"/>
    <w:rsid w:val="00A0275E"/>
    <w:rsid w:val="00A033DB"/>
    <w:rsid w:val="00A0355C"/>
    <w:rsid w:val="00A036DA"/>
    <w:rsid w:val="00A037E0"/>
    <w:rsid w:val="00A03A13"/>
    <w:rsid w:val="00A03B66"/>
    <w:rsid w:val="00A040CD"/>
    <w:rsid w:val="00A04429"/>
    <w:rsid w:val="00A048F5"/>
    <w:rsid w:val="00A04E07"/>
    <w:rsid w:val="00A0619A"/>
    <w:rsid w:val="00A06446"/>
    <w:rsid w:val="00A0660B"/>
    <w:rsid w:val="00A06697"/>
    <w:rsid w:val="00A0690D"/>
    <w:rsid w:val="00A06C40"/>
    <w:rsid w:val="00A0763F"/>
    <w:rsid w:val="00A07C08"/>
    <w:rsid w:val="00A07F91"/>
    <w:rsid w:val="00A10586"/>
    <w:rsid w:val="00A108C5"/>
    <w:rsid w:val="00A10A48"/>
    <w:rsid w:val="00A110DA"/>
    <w:rsid w:val="00A11105"/>
    <w:rsid w:val="00A11158"/>
    <w:rsid w:val="00A1132B"/>
    <w:rsid w:val="00A11930"/>
    <w:rsid w:val="00A11B54"/>
    <w:rsid w:val="00A11CDC"/>
    <w:rsid w:val="00A1238C"/>
    <w:rsid w:val="00A1263D"/>
    <w:rsid w:val="00A12AF2"/>
    <w:rsid w:val="00A12B70"/>
    <w:rsid w:val="00A12BC6"/>
    <w:rsid w:val="00A12C69"/>
    <w:rsid w:val="00A12D8A"/>
    <w:rsid w:val="00A12E6C"/>
    <w:rsid w:val="00A132F0"/>
    <w:rsid w:val="00A136D0"/>
    <w:rsid w:val="00A1377D"/>
    <w:rsid w:val="00A13D1A"/>
    <w:rsid w:val="00A14DC2"/>
    <w:rsid w:val="00A14DD6"/>
    <w:rsid w:val="00A14EE3"/>
    <w:rsid w:val="00A15A90"/>
    <w:rsid w:val="00A15B01"/>
    <w:rsid w:val="00A15D5E"/>
    <w:rsid w:val="00A161F8"/>
    <w:rsid w:val="00A169FA"/>
    <w:rsid w:val="00A16D76"/>
    <w:rsid w:val="00A17006"/>
    <w:rsid w:val="00A1730C"/>
    <w:rsid w:val="00A1751C"/>
    <w:rsid w:val="00A1766A"/>
    <w:rsid w:val="00A17D83"/>
    <w:rsid w:val="00A17E8D"/>
    <w:rsid w:val="00A200F4"/>
    <w:rsid w:val="00A204E7"/>
    <w:rsid w:val="00A206C9"/>
    <w:rsid w:val="00A206F3"/>
    <w:rsid w:val="00A20C27"/>
    <w:rsid w:val="00A20E7D"/>
    <w:rsid w:val="00A216BC"/>
    <w:rsid w:val="00A22951"/>
    <w:rsid w:val="00A22B1A"/>
    <w:rsid w:val="00A22BDA"/>
    <w:rsid w:val="00A23185"/>
    <w:rsid w:val="00A235A3"/>
    <w:rsid w:val="00A23931"/>
    <w:rsid w:val="00A239C1"/>
    <w:rsid w:val="00A239D5"/>
    <w:rsid w:val="00A23FD6"/>
    <w:rsid w:val="00A248A7"/>
    <w:rsid w:val="00A24B68"/>
    <w:rsid w:val="00A24D73"/>
    <w:rsid w:val="00A25317"/>
    <w:rsid w:val="00A2560A"/>
    <w:rsid w:val="00A25706"/>
    <w:rsid w:val="00A25D84"/>
    <w:rsid w:val="00A26029"/>
    <w:rsid w:val="00A262E4"/>
    <w:rsid w:val="00A267DD"/>
    <w:rsid w:val="00A268EA"/>
    <w:rsid w:val="00A275FE"/>
    <w:rsid w:val="00A30706"/>
    <w:rsid w:val="00A30E47"/>
    <w:rsid w:val="00A31CE0"/>
    <w:rsid w:val="00A31FA9"/>
    <w:rsid w:val="00A32687"/>
    <w:rsid w:val="00A32FAE"/>
    <w:rsid w:val="00A333BF"/>
    <w:rsid w:val="00A33825"/>
    <w:rsid w:val="00A3398F"/>
    <w:rsid w:val="00A33A32"/>
    <w:rsid w:val="00A33AE1"/>
    <w:rsid w:val="00A35456"/>
    <w:rsid w:val="00A35583"/>
    <w:rsid w:val="00A36398"/>
    <w:rsid w:val="00A363EF"/>
    <w:rsid w:val="00A36DFE"/>
    <w:rsid w:val="00A370FD"/>
    <w:rsid w:val="00A37845"/>
    <w:rsid w:val="00A37972"/>
    <w:rsid w:val="00A3798C"/>
    <w:rsid w:val="00A379E9"/>
    <w:rsid w:val="00A37DD9"/>
    <w:rsid w:val="00A402CA"/>
    <w:rsid w:val="00A407E6"/>
    <w:rsid w:val="00A40BE4"/>
    <w:rsid w:val="00A40ED7"/>
    <w:rsid w:val="00A40F83"/>
    <w:rsid w:val="00A412BA"/>
    <w:rsid w:val="00A41416"/>
    <w:rsid w:val="00A41CBB"/>
    <w:rsid w:val="00A4200D"/>
    <w:rsid w:val="00A4215E"/>
    <w:rsid w:val="00A421AE"/>
    <w:rsid w:val="00A424BF"/>
    <w:rsid w:val="00A4258E"/>
    <w:rsid w:val="00A42824"/>
    <w:rsid w:val="00A432D1"/>
    <w:rsid w:val="00A4340E"/>
    <w:rsid w:val="00A4348A"/>
    <w:rsid w:val="00A4355A"/>
    <w:rsid w:val="00A43716"/>
    <w:rsid w:val="00A43723"/>
    <w:rsid w:val="00A43B61"/>
    <w:rsid w:val="00A43FF8"/>
    <w:rsid w:val="00A441D2"/>
    <w:rsid w:val="00A442C5"/>
    <w:rsid w:val="00A44712"/>
    <w:rsid w:val="00A44AF5"/>
    <w:rsid w:val="00A44B8B"/>
    <w:rsid w:val="00A456C6"/>
    <w:rsid w:val="00A45EC4"/>
    <w:rsid w:val="00A47212"/>
    <w:rsid w:val="00A474EA"/>
    <w:rsid w:val="00A47607"/>
    <w:rsid w:val="00A501B2"/>
    <w:rsid w:val="00A5034A"/>
    <w:rsid w:val="00A50920"/>
    <w:rsid w:val="00A50FFA"/>
    <w:rsid w:val="00A5118F"/>
    <w:rsid w:val="00A5122B"/>
    <w:rsid w:val="00A51BB8"/>
    <w:rsid w:val="00A51E8B"/>
    <w:rsid w:val="00A51F88"/>
    <w:rsid w:val="00A52097"/>
    <w:rsid w:val="00A52F8B"/>
    <w:rsid w:val="00A537D9"/>
    <w:rsid w:val="00A539D1"/>
    <w:rsid w:val="00A53D60"/>
    <w:rsid w:val="00A53FE3"/>
    <w:rsid w:val="00A54DAE"/>
    <w:rsid w:val="00A54E07"/>
    <w:rsid w:val="00A55588"/>
    <w:rsid w:val="00A556F6"/>
    <w:rsid w:val="00A564FD"/>
    <w:rsid w:val="00A56D3B"/>
    <w:rsid w:val="00A56DC4"/>
    <w:rsid w:val="00A56EB4"/>
    <w:rsid w:val="00A57263"/>
    <w:rsid w:val="00A57288"/>
    <w:rsid w:val="00A57450"/>
    <w:rsid w:val="00A57479"/>
    <w:rsid w:val="00A57C08"/>
    <w:rsid w:val="00A600D9"/>
    <w:rsid w:val="00A604CD"/>
    <w:rsid w:val="00A607F1"/>
    <w:rsid w:val="00A6236E"/>
    <w:rsid w:val="00A627A7"/>
    <w:rsid w:val="00A637A0"/>
    <w:rsid w:val="00A63CF4"/>
    <w:rsid w:val="00A63CFB"/>
    <w:rsid w:val="00A63ECD"/>
    <w:rsid w:val="00A64093"/>
    <w:rsid w:val="00A640EB"/>
    <w:rsid w:val="00A64815"/>
    <w:rsid w:val="00A64E13"/>
    <w:rsid w:val="00A65043"/>
    <w:rsid w:val="00A65A39"/>
    <w:rsid w:val="00A66DE2"/>
    <w:rsid w:val="00A66DF9"/>
    <w:rsid w:val="00A6752E"/>
    <w:rsid w:val="00A679E0"/>
    <w:rsid w:val="00A67EFF"/>
    <w:rsid w:val="00A70293"/>
    <w:rsid w:val="00A70353"/>
    <w:rsid w:val="00A703F9"/>
    <w:rsid w:val="00A70400"/>
    <w:rsid w:val="00A704E4"/>
    <w:rsid w:val="00A707DC"/>
    <w:rsid w:val="00A708FB"/>
    <w:rsid w:val="00A7136A"/>
    <w:rsid w:val="00A71C44"/>
    <w:rsid w:val="00A72296"/>
    <w:rsid w:val="00A72AB2"/>
    <w:rsid w:val="00A7388E"/>
    <w:rsid w:val="00A73986"/>
    <w:rsid w:val="00A73FA3"/>
    <w:rsid w:val="00A7430A"/>
    <w:rsid w:val="00A74544"/>
    <w:rsid w:val="00A74548"/>
    <w:rsid w:val="00A747AC"/>
    <w:rsid w:val="00A74DAD"/>
    <w:rsid w:val="00A74DF2"/>
    <w:rsid w:val="00A74E4D"/>
    <w:rsid w:val="00A7592E"/>
    <w:rsid w:val="00A76476"/>
    <w:rsid w:val="00A76C1F"/>
    <w:rsid w:val="00A77336"/>
    <w:rsid w:val="00A800F5"/>
    <w:rsid w:val="00A803FC"/>
    <w:rsid w:val="00A80527"/>
    <w:rsid w:val="00A8071A"/>
    <w:rsid w:val="00A80DD9"/>
    <w:rsid w:val="00A80FCA"/>
    <w:rsid w:val="00A8114D"/>
    <w:rsid w:val="00A81184"/>
    <w:rsid w:val="00A8140B"/>
    <w:rsid w:val="00A81B7D"/>
    <w:rsid w:val="00A81CBC"/>
    <w:rsid w:val="00A82506"/>
    <w:rsid w:val="00A8253C"/>
    <w:rsid w:val="00A829F7"/>
    <w:rsid w:val="00A836BD"/>
    <w:rsid w:val="00A837CE"/>
    <w:rsid w:val="00A838D9"/>
    <w:rsid w:val="00A838F0"/>
    <w:rsid w:val="00A83C80"/>
    <w:rsid w:val="00A83DB5"/>
    <w:rsid w:val="00A83FBA"/>
    <w:rsid w:val="00A843D4"/>
    <w:rsid w:val="00A84636"/>
    <w:rsid w:val="00A84FE1"/>
    <w:rsid w:val="00A85080"/>
    <w:rsid w:val="00A85A42"/>
    <w:rsid w:val="00A85F65"/>
    <w:rsid w:val="00A86406"/>
    <w:rsid w:val="00A86644"/>
    <w:rsid w:val="00A86853"/>
    <w:rsid w:val="00A86A9B"/>
    <w:rsid w:val="00A86B75"/>
    <w:rsid w:val="00A86E75"/>
    <w:rsid w:val="00A86F33"/>
    <w:rsid w:val="00A87155"/>
    <w:rsid w:val="00A87588"/>
    <w:rsid w:val="00A87CBE"/>
    <w:rsid w:val="00A8DB58"/>
    <w:rsid w:val="00A903D2"/>
    <w:rsid w:val="00A9065F"/>
    <w:rsid w:val="00A909EA"/>
    <w:rsid w:val="00A90A09"/>
    <w:rsid w:val="00A90B0E"/>
    <w:rsid w:val="00A91855"/>
    <w:rsid w:val="00A91AA1"/>
    <w:rsid w:val="00A91B4B"/>
    <w:rsid w:val="00A91C8C"/>
    <w:rsid w:val="00A91F0D"/>
    <w:rsid w:val="00A921F8"/>
    <w:rsid w:val="00A9235A"/>
    <w:rsid w:val="00A9256E"/>
    <w:rsid w:val="00A92FF7"/>
    <w:rsid w:val="00A93069"/>
    <w:rsid w:val="00A93D6F"/>
    <w:rsid w:val="00A93FB4"/>
    <w:rsid w:val="00A94618"/>
    <w:rsid w:val="00A9468F"/>
    <w:rsid w:val="00A9498D"/>
    <w:rsid w:val="00A94EAD"/>
    <w:rsid w:val="00A95335"/>
    <w:rsid w:val="00A9566B"/>
    <w:rsid w:val="00A9608F"/>
    <w:rsid w:val="00A9657F"/>
    <w:rsid w:val="00A96768"/>
    <w:rsid w:val="00A96FDD"/>
    <w:rsid w:val="00A9797D"/>
    <w:rsid w:val="00AA015F"/>
    <w:rsid w:val="00AA042F"/>
    <w:rsid w:val="00AA0618"/>
    <w:rsid w:val="00AA0C3A"/>
    <w:rsid w:val="00AA0CAA"/>
    <w:rsid w:val="00AA13F8"/>
    <w:rsid w:val="00AA1723"/>
    <w:rsid w:val="00AA17B0"/>
    <w:rsid w:val="00AA190D"/>
    <w:rsid w:val="00AA1FDD"/>
    <w:rsid w:val="00AA22C3"/>
    <w:rsid w:val="00AA230D"/>
    <w:rsid w:val="00AA28D0"/>
    <w:rsid w:val="00AA3639"/>
    <w:rsid w:val="00AA3EB1"/>
    <w:rsid w:val="00AA41E6"/>
    <w:rsid w:val="00AA4941"/>
    <w:rsid w:val="00AA49E9"/>
    <w:rsid w:val="00AA5475"/>
    <w:rsid w:val="00AA5564"/>
    <w:rsid w:val="00AA5876"/>
    <w:rsid w:val="00AA58C1"/>
    <w:rsid w:val="00AA676D"/>
    <w:rsid w:val="00AA6974"/>
    <w:rsid w:val="00AA6A8A"/>
    <w:rsid w:val="00AA6DD8"/>
    <w:rsid w:val="00AA6FA3"/>
    <w:rsid w:val="00AA70BB"/>
    <w:rsid w:val="00AA757C"/>
    <w:rsid w:val="00AA7736"/>
    <w:rsid w:val="00AA7F10"/>
    <w:rsid w:val="00AB0391"/>
    <w:rsid w:val="00AB0728"/>
    <w:rsid w:val="00AB1A96"/>
    <w:rsid w:val="00AB1BB7"/>
    <w:rsid w:val="00AB2151"/>
    <w:rsid w:val="00AB2AC9"/>
    <w:rsid w:val="00AB2C59"/>
    <w:rsid w:val="00AB2C8A"/>
    <w:rsid w:val="00AB2E7E"/>
    <w:rsid w:val="00AB3753"/>
    <w:rsid w:val="00AB3D5E"/>
    <w:rsid w:val="00AB41A8"/>
    <w:rsid w:val="00AB42B6"/>
    <w:rsid w:val="00AB4C67"/>
    <w:rsid w:val="00AB4D67"/>
    <w:rsid w:val="00AB545D"/>
    <w:rsid w:val="00AB54D6"/>
    <w:rsid w:val="00AB54D7"/>
    <w:rsid w:val="00AB56B5"/>
    <w:rsid w:val="00AB57D3"/>
    <w:rsid w:val="00AB62E7"/>
    <w:rsid w:val="00AB6886"/>
    <w:rsid w:val="00AB6AE4"/>
    <w:rsid w:val="00AB6E00"/>
    <w:rsid w:val="00AB6F37"/>
    <w:rsid w:val="00AB769E"/>
    <w:rsid w:val="00AB7D55"/>
    <w:rsid w:val="00AC012D"/>
    <w:rsid w:val="00AC0148"/>
    <w:rsid w:val="00AC0405"/>
    <w:rsid w:val="00AC060C"/>
    <w:rsid w:val="00AC0681"/>
    <w:rsid w:val="00AC0AD5"/>
    <w:rsid w:val="00AC154B"/>
    <w:rsid w:val="00AC1B72"/>
    <w:rsid w:val="00AC2030"/>
    <w:rsid w:val="00AC20F6"/>
    <w:rsid w:val="00AC26FE"/>
    <w:rsid w:val="00AC2714"/>
    <w:rsid w:val="00AC350D"/>
    <w:rsid w:val="00AC3568"/>
    <w:rsid w:val="00AC39A5"/>
    <w:rsid w:val="00AC3BA6"/>
    <w:rsid w:val="00AC3CF2"/>
    <w:rsid w:val="00AC446F"/>
    <w:rsid w:val="00AC47EC"/>
    <w:rsid w:val="00AC4E5D"/>
    <w:rsid w:val="00AC521E"/>
    <w:rsid w:val="00AC66F3"/>
    <w:rsid w:val="00AC68DB"/>
    <w:rsid w:val="00AC6C53"/>
    <w:rsid w:val="00AC6E85"/>
    <w:rsid w:val="00AC70E7"/>
    <w:rsid w:val="00AC7284"/>
    <w:rsid w:val="00AC78D1"/>
    <w:rsid w:val="00AC7BB7"/>
    <w:rsid w:val="00AC7CE6"/>
    <w:rsid w:val="00AD0681"/>
    <w:rsid w:val="00AD0828"/>
    <w:rsid w:val="00AD08D9"/>
    <w:rsid w:val="00AD0B13"/>
    <w:rsid w:val="00AD0C27"/>
    <w:rsid w:val="00AD0C68"/>
    <w:rsid w:val="00AD0E69"/>
    <w:rsid w:val="00AD103D"/>
    <w:rsid w:val="00AD10CC"/>
    <w:rsid w:val="00AD159C"/>
    <w:rsid w:val="00AD17FA"/>
    <w:rsid w:val="00AD1951"/>
    <w:rsid w:val="00AD19EC"/>
    <w:rsid w:val="00AD1FDF"/>
    <w:rsid w:val="00AD2717"/>
    <w:rsid w:val="00AD30A1"/>
    <w:rsid w:val="00AD385F"/>
    <w:rsid w:val="00AD3DC4"/>
    <w:rsid w:val="00AD4001"/>
    <w:rsid w:val="00AD423D"/>
    <w:rsid w:val="00AD4FF4"/>
    <w:rsid w:val="00AD531D"/>
    <w:rsid w:val="00AD600C"/>
    <w:rsid w:val="00AD61EF"/>
    <w:rsid w:val="00AD63D6"/>
    <w:rsid w:val="00AD6490"/>
    <w:rsid w:val="00AD6515"/>
    <w:rsid w:val="00AD6CD5"/>
    <w:rsid w:val="00AD733B"/>
    <w:rsid w:val="00AD7CA7"/>
    <w:rsid w:val="00AD7F6F"/>
    <w:rsid w:val="00AE0040"/>
    <w:rsid w:val="00AE07C0"/>
    <w:rsid w:val="00AE149B"/>
    <w:rsid w:val="00AE1509"/>
    <w:rsid w:val="00AE178C"/>
    <w:rsid w:val="00AE184D"/>
    <w:rsid w:val="00AE1C03"/>
    <w:rsid w:val="00AE23E3"/>
    <w:rsid w:val="00AE2A1D"/>
    <w:rsid w:val="00AE2C38"/>
    <w:rsid w:val="00AE2E8F"/>
    <w:rsid w:val="00AE2F65"/>
    <w:rsid w:val="00AE2F6A"/>
    <w:rsid w:val="00AE3041"/>
    <w:rsid w:val="00AE317E"/>
    <w:rsid w:val="00AE3381"/>
    <w:rsid w:val="00AE35A5"/>
    <w:rsid w:val="00AE4406"/>
    <w:rsid w:val="00AE4544"/>
    <w:rsid w:val="00AE4646"/>
    <w:rsid w:val="00AE4E2A"/>
    <w:rsid w:val="00AE587C"/>
    <w:rsid w:val="00AE5CF9"/>
    <w:rsid w:val="00AE5DB6"/>
    <w:rsid w:val="00AE62E8"/>
    <w:rsid w:val="00AE67F2"/>
    <w:rsid w:val="00AE6C3C"/>
    <w:rsid w:val="00AE702E"/>
    <w:rsid w:val="00AE73E0"/>
    <w:rsid w:val="00AE7724"/>
    <w:rsid w:val="00AE7B66"/>
    <w:rsid w:val="00AF03C0"/>
    <w:rsid w:val="00AF05B9"/>
    <w:rsid w:val="00AF0D43"/>
    <w:rsid w:val="00AF166F"/>
    <w:rsid w:val="00AF1C03"/>
    <w:rsid w:val="00AF30FA"/>
    <w:rsid w:val="00AF39AF"/>
    <w:rsid w:val="00AF3E3B"/>
    <w:rsid w:val="00AF3E5A"/>
    <w:rsid w:val="00AF424E"/>
    <w:rsid w:val="00AF46FE"/>
    <w:rsid w:val="00AF486F"/>
    <w:rsid w:val="00AF548B"/>
    <w:rsid w:val="00AF55E0"/>
    <w:rsid w:val="00AF5666"/>
    <w:rsid w:val="00AF5870"/>
    <w:rsid w:val="00AF5EFE"/>
    <w:rsid w:val="00AF6619"/>
    <w:rsid w:val="00AF68CF"/>
    <w:rsid w:val="00AF690D"/>
    <w:rsid w:val="00AF6CFD"/>
    <w:rsid w:val="00AF7579"/>
    <w:rsid w:val="00AF7BB4"/>
    <w:rsid w:val="00AF7DC1"/>
    <w:rsid w:val="00B000AE"/>
    <w:rsid w:val="00B0035D"/>
    <w:rsid w:val="00B0040B"/>
    <w:rsid w:val="00B00687"/>
    <w:rsid w:val="00B00825"/>
    <w:rsid w:val="00B00830"/>
    <w:rsid w:val="00B00AB5"/>
    <w:rsid w:val="00B00CC0"/>
    <w:rsid w:val="00B00F5C"/>
    <w:rsid w:val="00B010C1"/>
    <w:rsid w:val="00B019C1"/>
    <w:rsid w:val="00B019CA"/>
    <w:rsid w:val="00B01C2E"/>
    <w:rsid w:val="00B02313"/>
    <w:rsid w:val="00B0236E"/>
    <w:rsid w:val="00B02506"/>
    <w:rsid w:val="00B02ACE"/>
    <w:rsid w:val="00B0314A"/>
    <w:rsid w:val="00B03913"/>
    <w:rsid w:val="00B0393A"/>
    <w:rsid w:val="00B03A91"/>
    <w:rsid w:val="00B03E4A"/>
    <w:rsid w:val="00B03F31"/>
    <w:rsid w:val="00B04166"/>
    <w:rsid w:val="00B04428"/>
    <w:rsid w:val="00B0481F"/>
    <w:rsid w:val="00B04BF6"/>
    <w:rsid w:val="00B04CEA"/>
    <w:rsid w:val="00B0527A"/>
    <w:rsid w:val="00B053E9"/>
    <w:rsid w:val="00B05607"/>
    <w:rsid w:val="00B05A08"/>
    <w:rsid w:val="00B05F14"/>
    <w:rsid w:val="00B064AA"/>
    <w:rsid w:val="00B06737"/>
    <w:rsid w:val="00B07295"/>
    <w:rsid w:val="00B075A5"/>
    <w:rsid w:val="00B0784C"/>
    <w:rsid w:val="00B07CE9"/>
    <w:rsid w:val="00B07DE8"/>
    <w:rsid w:val="00B07E89"/>
    <w:rsid w:val="00B101D5"/>
    <w:rsid w:val="00B103F4"/>
    <w:rsid w:val="00B10633"/>
    <w:rsid w:val="00B109C4"/>
    <w:rsid w:val="00B10B08"/>
    <w:rsid w:val="00B10B84"/>
    <w:rsid w:val="00B11A78"/>
    <w:rsid w:val="00B11CAF"/>
    <w:rsid w:val="00B11CFB"/>
    <w:rsid w:val="00B11D71"/>
    <w:rsid w:val="00B12111"/>
    <w:rsid w:val="00B13041"/>
    <w:rsid w:val="00B136DB"/>
    <w:rsid w:val="00B13712"/>
    <w:rsid w:val="00B13BAF"/>
    <w:rsid w:val="00B13BE6"/>
    <w:rsid w:val="00B13E18"/>
    <w:rsid w:val="00B14109"/>
    <w:rsid w:val="00B141AD"/>
    <w:rsid w:val="00B14410"/>
    <w:rsid w:val="00B1486D"/>
    <w:rsid w:val="00B150D6"/>
    <w:rsid w:val="00B15373"/>
    <w:rsid w:val="00B15571"/>
    <w:rsid w:val="00B15639"/>
    <w:rsid w:val="00B15D15"/>
    <w:rsid w:val="00B15E42"/>
    <w:rsid w:val="00B15EEE"/>
    <w:rsid w:val="00B16198"/>
    <w:rsid w:val="00B16357"/>
    <w:rsid w:val="00B165FB"/>
    <w:rsid w:val="00B16A2C"/>
    <w:rsid w:val="00B16C95"/>
    <w:rsid w:val="00B16FB6"/>
    <w:rsid w:val="00B17022"/>
    <w:rsid w:val="00B171A8"/>
    <w:rsid w:val="00B1728D"/>
    <w:rsid w:val="00B17EE8"/>
    <w:rsid w:val="00B203E0"/>
    <w:rsid w:val="00B20763"/>
    <w:rsid w:val="00B20A7F"/>
    <w:rsid w:val="00B212D7"/>
    <w:rsid w:val="00B21736"/>
    <w:rsid w:val="00B218B1"/>
    <w:rsid w:val="00B21A33"/>
    <w:rsid w:val="00B224AA"/>
    <w:rsid w:val="00B22998"/>
    <w:rsid w:val="00B229FE"/>
    <w:rsid w:val="00B2302B"/>
    <w:rsid w:val="00B24363"/>
    <w:rsid w:val="00B2456E"/>
    <w:rsid w:val="00B24979"/>
    <w:rsid w:val="00B250A5"/>
    <w:rsid w:val="00B25371"/>
    <w:rsid w:val="00B25500"/>
    <w:rsid w:val="00B2557A"/>
    <w:rsid w:val="00B25651"/>
    <w:rsid w:val="00B25736"/>
    <w:rsid w:val="00B25A78"/>
    <w:rsid w:val="00B26937"/>
    <w:rsid w:val="00B26C12"/>
    <w:rsid w:val="00B26EC9"/>
    <w:rsid w:val="00B27769"/>
    <w:rsid w:val="00B278F3"/>
    <w:rsid w:val="00B30243"/>
    <w:rsid w:val="00B30421"/>
    <w:rsid w:val="00B30555"/>
    <w:rsid w:val="00B309D9"/>
    <w:rsid w:val="00B30B1B"/>
    <w:rsid w:val="00B30C39"/>
    <w:rsid w:val="00B30D4E"/>
    <w:rsid w:val="00B30DC8"/>
    <w:rsid w:val="00B315BB"/>
    <w:rsid w:val="00B31977"/>
    <w:rsid w:val="00B31D78"/>
    <w:rsid w:val="00B31E6C"/>
    <w:rsid w:val="00B3235A"/>
    <w:rsid w:val="00B32767"/>
    <w:rsid w:val="00B333FE"/>
    <w:rsid w:val="00B3382B"/>
    <w:rsid w:val="00B340C5"/>
    <w:rsid w:val="00B34128"/>
    <w:rsid w:val="00B348E1"/>
    <w:rsid w:val="00B34B20"/>
    <w:rsid w:val="00B34D33"/>
    <w:rsid w:val="00B35094"/>
    <w:rsid w:val="00B350F0"/>
    <w:rsid w:val="00B357AC"/>
    <w:rsid w:val="00B35992"/>
    <w:rsid w:val="00B359E6"/>
    <w:rsid w:val="00B35B07"/>
    <w:rsid w:val="00B35D61"/>
    <w:rsid w:val="00B35D80"/>
    <w:rsid w:val="00B35E4B"/>
    <w:rsid w:val="00B35FCC"/>
    <w:rsid w:val="00B36518"/>
    <w:rsid w:val="00B36B9B"/>
    <w:rsid w:val="00B36CA5"/>
    <w:rsid w:val="00B371E1"/>
    <w:rsid w:val="00B3721B"/>
    <w:rsid w:val="00B3752B"/>
    <w:rsid w:val="00B378CC"/>
    <w:rsid w:val="00B37AA4"/>
    <w:rsid w:val="00B37E74"/>
    <w:rsid w:val="00B407FB"/>
    <w:rsid w:val="00B41152"/>
    <w:rsid w:val="00B41615"/>
    <w:rsid w:val="00B41929"/>
    <w:rsid w:val="00B41FD8"/>
    <w:rsid w:val="00B420DF"/>
    <w:rsid w:val="00B42597"/>
    <w:rsid w:val="00B42674"/>
    <w:rsid w:val="00B42769"/>
    <w:rsid w:val="00B428E2"/>
    <w:rsid w:val="00B42A2C"/>
    <w:rsid w:val="00B42A5C"/>
    <w:rsid w:val="00B42A98"/>
    <w:rsid w:val="00B42B43"/>
    <w:rsid w:val="00B42C64"/>
    <w:rsid w:val="00B42FAF"/>
    <w:rsid w:val="00B448EF"/>
    <w:rsid w:val="00B4499D"/>
    <w:rsid w:val="00B44BE1"/>
    <w:rsid w:val="00B4575F"/>
    <w:rsid w:val="00B4601B"/>
    <w:rsid w:val="00B46933"/>
    <w:rsid w:val="00B47493"/>
    <w:rsid w:val="00B474C8"/>
    <w:rsid w:val="00B474DF"/>
    <w:rsid w:val="00B47716"/>
    <w:rsid w:val="00B47915"/>
    <w:rsid w:val="00B5010E"/>
    <w:rsid w:val="00B50886"/>
    <w:rsid w:val="00B50C2D"/>
    <w:rsid w:val="00B50E18"/>
    <w:rsid w:val="00B513A9"/>
    <w:rsid w:val="00B51568"/>
    <w:rsid w:val="00B51610"/>
    <w:rsid w:val="00B5167B"/>
    <w:rsid w:val="00B51891"/>
    <w:rsid w:val="00B520E3"/>
    <w:rsid w:val="00B52336"/>
    <w:rsid w:val="00B5243E"/>
    <w:rsid w:val="00B52B43"/>
    <w:rsid w:val="00B52BB2"/>
    <w:rsid w:val="00B530B4"/>
    <w:rsid w:val="00B53185"/>
    <w:rsid w:val="00B53330"/>
    <w:rsid w:val="00B5359D"/>
    <w:rsid w:val="00B5388C"/>
    <w:rsid w:val="00B53B78"/>
    <w:rsid w:val="00B54B02"/>
    <w:rsid w:val="00B54C4C"/>
    <w:rsid w:val="00B55167"/>
    <w:rsid w:val="00B5518B"/>
    <w:rsid w:val="00B55927"/>
    <w:rsid w:val="00B55CED"/>
    <w:rsid w:val="00B55D57"/>
    <w:rsid w:val="00B55F80"/>
    <w:rsid w:val="00B56480"/>
    <w:rsid w:val="00B565D6"/>
    <w:rsid w:val="00B56FAD"/>
    <w:rsid w:val="00B56FF3"/>
    <w:rsid w:val="00B576A4"/>
    <w:rsid w:val="00B57998"/>
    <w:rsid w:val="00B579EA"/>
    <w:rsid w:val="00B57BBB"/>
    <w:rsid w:val="00B57CD0"/>
    <w:rsid w:val="00B57DA9"/>
    <w:rsid w:val="00B60177"/>
    <w:rsid w:val="00B60639"/>
    <w:rsid w:val="00B60669"/>
    <w:rsid w:val="00B6166E"/>
    <w:rsid w:val="00B6239B"/>
    <w:rsid w:val="00B6297E"/>
    <w:rsid w:val="00B6308E"/>
    <w:rsid w:val="00B63945"/>
    <w:rsid w:val="00B63A85"/>
    <w:rsid w:val="00B63D58"/>
    <w:rsid w:val="00B64E8A"/>
    <w:rsid w:val="00B65588"/>
    <w:rsid w:val="00B6568C"/>
    <w:rsid w:val="00B658D1"/>
    <w:rsid w:val="00B66064"/>
    <w:rsid w:val="00B66854"/>
    <w:rsid w:val="00B668F3"/>
    <w:rsid w:val="00B66995"/>
    <w:rsid w:val="00B671A1"/>
    <w:rsid w:val="00B67287"/>
    <w:rsid w:val="00B675A6"/>
    <w:rsid w:val="00B677B2"/>
    <w:rsid w:val="00B6794D"/>
    <w:rsid w:val="00B67A48"/>
    <w:rsid w:val="00B67B55"/>
    <w:rsid w:val="00B67C6C"/>
    <w:rsid w:val="00B70C61"/>
    <w:rsid w:val="00B70E5A"/>
    <w:rsid w:val="00B7138C"/>
    <w:rsid w:val="00B7220D"/>
    <w:rsid w:val="00B7221E"/>
    <w:rsid w:val="00B73390"/>
    <w:rsid w:val="00B73EE6"/>
    <w:rsid w:val="00B74866"/>
    <w:rsid w:val="00B749B6"/>
    <w:rsid w:val="00B7509A"/>
    <w:rsid w:val="00B75773"/>
    <w:rsid w:val="00B75884"/>
    <w:rsid w:val="00B7591D"/>
    <w:rsid w:val="00B7613E"/>
    <w:rsid w:val="00B766C1"/>
    <w:rsid w:val="00B76966"/>
    <w:rsid w:val="00B76B96"/>
    <w:rsid w:val="00B76EFB"/>
    <w:rsid w:val="00B77129"/>
    <w:rsid w:val="00B77298"/>
    <w:rsid w:val="00B77317"/>
    <w:rsid w:val="00B774E4"/>
    <w:rsid w:val="00B777CD"/>
    <w:rsid w:val="00B77C37"/>
    <w:rsid w:val="00B807BF"/>
    <w:rsid w:val="00B8088A"/>
    <w:rsid w:val="00B809B1"/>
    <w:rsid w:val="00B816D7"/>
    <w:rsid w:val="00B818EE"/>
    <w:rsid w:val="00B820AF"/>
    <w:rsid w:val="00B82543"/>
    <w:rsid w:val="00B82998"/>
    <w:rsid w:val="00B833F7"/>
    <w:rsid w:val="00B834B0"/>
    <w:rsid w:val="00B837F6"/>
    <w:rsid w:val="00B83B3D"/>
    <w:rsid w:val="00B83DAE"/>
    <w:rsid w:val="00B84033"/>
    <w:rsid w:val="00B84247"/>
    <w:rsid w:val="00B845A7"/>
    <w:rsid w:val="00B84979"/>
    <w:rsid w:val="00B84FB4"/>
    <w:rsid w:val="00B851E2"/>
    <w:rsid w:val="00B85733"/>
    <w:rsid w:val="00B85824"/>
    <w:rsid w:val="00B863F3"/>
    <w:rsid w:val="00B8711C"/>
    <w:rsid w:val="00B8737E"/>
    <w:rsid w:val="00B8745B"/>
    <w:rsid w:val="00B8756E"/>
    <w:rsid w:val="00B87DF9"/>
    <w:rsid w:val="00B87F16"/>
    <w:rsid w:val="00B905A7"/>
    <w:rsid w:val="00B90C81"/>
    <w:rsid w:val="00B91951"/>
    <w:rsid w:val="00B91A58"/>
    <w:rsid w:val="00B91EAD"/>
    <w:rsid w:val="00B920B9"/>
    <w:rsid w:val="00B923FB"/>
    <w:rsid w:val="00B930D2"/>
    <w:rsid w:val="00B9352A"/>
    <w:rsid w:val="00B93648"/>
    <w:rsid w:val="00B937CD"/>
    <w:rsid w:val="00B938BC"/>
    <w:rsid w:val="00B93997"/>
    <w:rsid w:val="00B93C98"/>
    <w:rsid w:val="00B93FD1"/>
    <w:rsid w:val="00B94144"/>
    <w:rsid w:val="00B951B9"/>
    <w:rsid w:val="00B95521"/>
    <w:rsid w:val="00B9685B"/>
    <w:rsid w:val="00B96A25"/>
    <w:rsid w:val="00B976BB"/>
    <w:rsid w:val="00B979F8"/>
    <w:rsid w:val="00BA01A7"/>
    <w:rsid w:val="00BA0224"/>
    <w:rsid w:val="00BA0405"/>
    <w:rsid w:val="00BA05C8"/>
    <w:rsid w:val="00BA09AA"/>
    <w:rsid w:val="00BA0AD5"/>
    <w:rsid w:val="00BA0CA0"/>
    <w:rsid w:val="00BA0D2B"/>
    <w:rsid w:val="00BA0E3C"/>
    <w:rsid w:val="00BA0FA1"/>
    <w:rsid w:val="00BA1F74"/>
    <w:rsid w:val="00BA1FE7"/>
    <w:rsid w:val="00BA29F8"/>
    <w:rsid w:val="00BA2B1D"/>
    <w:rsid w:val="00BA3078"/>
    <w:rsid w:val="00BA33A5"/>
    <w:rsid w:val="00BA3D14"/>
    <w:rsid w:val="00BA435A"/>
    <w:rsid w:val="00BA4B5A"/>
    <w:rsid w:val="00BA4E46"/>
    <w:rsid w:val="00BA4EA0"/>
    <w:rsid w:val="00BA50DE"/>
    <w:rsid w:val="00BA54BA"/>
    <w:rsid w:val="00BA5603"/>
    <w:rsid w:val="00BA56D9"/>
    <w:rsid w:val="00BA6194"/>
    <w:rsid w:val="00BA63B6"/>
    <w:rsid w:val="00BA6419"/>
    <w:rsid w:val="00BA6B4B"/>
    <w:rsid w:val="00BA6E25"/>
    <w:rsid w:val="00BA7828"/>
    <w:rsid w:val="00BA7EEE"/>
    <w:rsid w:val="00BB08F4"/>
    <w:rsid w:val="00BB10DA"/>
    <w:rsid w:val="00BB1723"/>
    <w:rsid w:val="00BB2008"/>
    <w:rsid w:val="00BB2448"/>
    <w:rsid w:val="00BB2464"/>
    <w:rsid w:val="00BB299A"/>
    <w:rsid w:val="00BB29DF"/>
    <w:rsid w:val="00BB2CFC"/>
    <w:rsid w:val="00BB2E52"/>
    <w:rsid w:val="00BB34DC"/>
    <w:rsid w:val="00BB35D0"/>
    <w:rsid w:val="00BB3AC4"/>
    <w:rsid w:val="00BB4020"/>
    <w:rsid w:val="00BB40FA"/>
    <w:rsid w:val="00BB45D4"/>
    <w:rsid w:val="00BB4999"/>
    <w:rsid w:val="00BB4BCD"/>
    <w:rsid w:val="00BB4D69"/>
    <w:rsid w:val="00BB5152"/>
    <w:rsid w:val="00BB56C7"/>
    <w:rsid w:val="00BB5B62"/>
    <w:rsid w:val="00BB6502"/>
    <w:rsid w:val="00BB6A4D"/>
    <w:rsid w:val="00BB6BCD"/>
    <w:rsid w:val="00BB70F9"/>
    <w:rsid w:val="00BB7BF0"/>
    <w:rsid w:val="00BB7C9B"/>
    <w:rsid w:val="00BC0846"/>
    <w:rsid w:val="00BC1504"/>
    <w:rsid w:val="00BC1527"/>
    <w:rsid w:val="00BC1658"/>
    <w:rsid w:val="00BC16F5"/>
    <w:rsid w:val="00BC1849"/>
    <w:rsid w:val="00BC1FB9"/>
    <w:rsid w:val="00BC2306"/>
    <w:rsid w:val="00BC2CEC"/>
    <w:rsid w:val="00BC2F31"/>
    <w:rsid w:val="00BC32BC"/>
    <w:rsid w:val="00BC4013"/>
    <w:rsid w:val="00BC4036"/>
    <w:rsid w:val="00BC43DD"/>
    <w:rsid w:val="00BC4F0A"/>
    <w:rsid w:val="00BC509F"/>
    <w:rsid w:val="00BC51D2"/>
    <w:rsid w:val="00BC5935"/>
    <w:rsid w:val="00BC59E0"/>
    <w:rsid w:val="00BC64BE"/>
    <w:rsid w:val="00BC66E2"/>
    <w:rsid w:val="00BC7155"/>
    <w:rsid w:val="00BC7447"/>
    <w:rsid w:val="00BC7550"/>
    <w:rsid w:val="00BC76F7"/>
    <w:rsid w:val="00BC7FFE"/>
    <w:rsid w:val="00BCA6A3"/>
    <w:rsid w:val="00BD0033"/>
    <w:rsid w:val="00BD08FB"/>
    <w:rsid w:val="00BD0AD4"/>
    <w:rsid w:val="00BD0B72"/>
    <w:rsid w:val="00BD2668"/>
    <w:rsid w:val="00BD36A5"/>
    <w:rsid w:val="00BD3924"/>
    <w:rsid w:val="00BD3A4F"/>
    <w:rsid w:val="00BD3DAB"/>
    <w:rsid w:val="00BD450F"/>
    <w:rsid w:val="00BD4512"/>
    <w:rsid w:val="00BD52AA"/>
    <w:rsid w:val="00BD594B"/>
    <w:rsid w:val="00BD680F"/>
    <w:rsid w:val="00BD7EEC"/>
    <w:rsid w:val="00BE0FE9"/>
    <w:rsid w:val="00BE1061"/>
    <w:rsid w:val="00BE10C5"/>
    <w:rsid w:val="00BE1321"/>
    <w:rsid w:val="00BE1903"/>
    <w:rsid w:val="00BE1BE4"/>
    <w:rsid w:val="00BE2120"/>
    <w:rsid w:val="00BE2412"/>
    <w:rsid w:val="00BE2885"/>
    <w:rsid w:val="00BE2893"/>
    <w:rsid w:val="00BE28D7"/>
    <w:rsid w:val="00BE2A93"/>
    <w:rsid w:val="00BE2EB4"/>
    <w:rsid w:val="00BE2F5A"/>
    <w:rsid w:val="00BE37D3"/>
    <w:rsid w:val="00BE46E3"/>
    <w:rsid w:val="00BE4C23"/>
    <w:rsid w:val="00BE522A"/>
    <w:rsid w:val="00BE57B5"/>
    <w:rsid w:val="00BE5930"/>
    <w:rsid w:val="00BE5CB3"/>
    <w:rsid w:val="00BE6670"/>
    <w:rsid w:val="00BE68EC"/>
    <w:rsid w:val="00BE6D8A"/>
    <w:rsid w:val="00BE715E"/>
    <w:rsid w:val="00BE71A1"/>
    <w:rsid w:val="00BE7A7C"/>
    <w:rsid w:val="00BE7CC7"/>
    <w:rsid w:val="00BF0A44"/>
    <w:rsid w:val="00BF0CEC"/>
    <w:rsid w:val="00BF16E9"/>
    <w:rsid w:val="00BF17CC"/>
    <w:rsid w:val="00BF17F6"/>
    <w:rsid w:val="00BF1A44"/>
    <w:rsid w:val="00BF1DF0"/>
    <w:rsid w:val="00BF1EDF"/>
    <w:rsid w:val="00BF208E"/>
    <w:rsid w:val="00BF2224"/>
    <w:rsid w:val="00BF40E1"/>
    <w:rsid w:val="00BF4D3D"/>
    <w:rsid w:val="00BF54F3"/>
    <w:rsid w:val="00BF5B8C"/>
    <w:rsid w:val="00BF66B7"/>
    <w:rsid w:val="00BF6A68"/>
    <w:rsid w:val="00BF7047"/>
    <w:rsid w:val="00BF7152"/>
    <w:rsid w:val="00BF73F0"/>
    <w:rsid w:val="00BF75B1"/>
    <w:rsid w:val="00BF75C9"/>
    <w:rsid w:val="00BF7BD3"/>
    <w:rsid w:val="00C00352"/>
    <w:rsid w:val="00C003C0"/>
    <w:rsid w:val="00C00767"/>
    <w:rsid w:val="00C007CE"/>
    <w:rsid w:val="00C00A22"/>
    <w:rsid w:val="00C00F18"/>
    <w:rsid w:val="00C0125E"/>
    <w:rsid w:val="00C014AC"/>
    <w:rsid w:val="00C0164A"/>
    <w:rsid w:val="00C01D39"/>
    <w:rsid w:val="00C0200C"/>
    <w:rsid w:val="00C020A8"/>
    <w:rsid w:val="00C034A4"/>
    <w:rsid w:val="00C03679"/>
    <w:rsid w:val="00C03DD0"/>
    <w:rsid w:val="00C03E89"/>
    <w:rsid w:val="00C04445"/>
    <w:rsid w:val="00C04705"/>
    <w:rsid w:val="00C04A2A"/>
    <w:rsid w:val="00C04A7F"/>
    <w:rsid w:val="00C04E2B"/>
    <w:rsid w:val="00C051AA"/>
    <w:rsid w:val="00C05269"/>
    <w:rsid w:val="00C0528C"/>
    <w:rsid w:val="00C05FB0"/>
    <w:rsid w:val="00C060A0"/>
    <w:rsid w:val="00C06F8E"/>
    <w:rsid w:val="00C07187"/>
    <w:rsid w:val="00C075C9"/>
    <w:rsid w:val="00C07FAD"/>
    <w:rsid w:val="00C09050"/>
    <w:rsid w:val="00C100A9"/>
    <w:rsid w:val="00C106C4"/>
    <w:rsid w:val="00C10F72"/>
    <w:rsid w:val="00C111EA"/>
    <w:rsid w:val="00C112B8"/>
    <w:rsid w:val="00C119AD"/>
    <w:rsid w:val="00C1228D"/>
    <w:rsid w:val="00C127AA"/>
    <w:rsid w:val="00C13EB8"/>
    <w:rsid w:val="00C13FED"/>
    <w:rsid w:val="00C147A2"/>
    <w:rsid w:val="00C14E7D"/>
    <w:rsid w:val="00C15461"/>
    <w:rsid w:val="00C15722"/>
    <w:rsid w:val="00C1573C"/>
    <w:rsid w:val="00C16637"/>
    <w:rsid w:val="00C1676B"/>
    <w:rsid w:val="00C16897"/>
    <w:rsid w:val="00C16C40"/>
    <w:rsid w:val="00C16E3E"/>
    <w:rsid w:val="00C20072"/>
    <w:rsid w:val="00C200C9"/>
    <w:rsid w:val="00C20233"/>
    <w:rsid w:val="00C2024F"/>
    <w:rsid w:val="00C20415"/>
    <w:rsid w:val="00C21202"/>
    <w:rsid w:val="00C21D8E"/>
    <w:rsid w:val="00C21DE3"/>
    <w:rsid w:val="00C21F44"/>
    <w:rsid w:val="00C22525"/>
    <w:rsid w:val="00C2287C"/>
    <w:rsid w:val="00C229A0"/>
    <w:rsid w:val="00C22A23"/>
    <w:rsid w:val="00C2325C"/>
    <w:rsid w:val="00C23DBB"/>
    <w:rsid w:val="00C23FE1"/>
    <w:rsid w:val="00C2410D"/>
    <w:rsid w:val="00C24250"/>
    <w:rsid w:val="00C249AD"/>
    <w:rsid w:val="00C24BAF"/>
    <w:rsid w:val="00C2581F"/>
    <w:rsid w:val="00C25DD1"/>
    <w:rsid w:val="00C25F8B"/>
    <w:rsid w:val="00C26012"/>
    <w:rsid w:val="00C2634F"/>
    <w:rsid w:val="00C265C0"/>
    <w:rsid w:val="00C26B9E"/>
    <w:rsid w:val="00C272EF"/>
    <w:rsid w:val="00C2732B"/>
    <w:rsid w:val="00C2753F"/>
    <w:rsid w:val="00C276A8"/>
    <w:rsid w:val="00C27975"/>
    <w:rsid w:val="00C300BC"/>
    <w:rsid w:val="00C30656"/>
    <w:rsid w:val="00C30F45"/>
    <w:rsid w:val="00C31249"/>
    <w:rsid w:val="00C31884"/>
    <w:rsid w:val="00C318F7"/>
    <w:rsid w:val="00C319D2"/>
    <w:rsid w:val="00C31B78"/>
    <w:rsid w:val="00C31CC0"/>
    <w:rsid w:val="00C31F85"/>
    <w:rsid w:val="00C32534"/>
    <w:rsid w:val="00C326EE"/>
    <w:rsid w:val="00C32951"/>
    <w:rsid w:val="00C32AC9"/>
    <w:rsid w:val="00C32C02"/>
    <w:rsid w:val="00C32EDA"/>
    <w:rsid w:val="00C330E1"/>
    <w:rsid w:val="00C33235"/>
    <w:rsid w:val="00C33430"/>
    <w:rsid w:val="00C33677"/>
    <w:rsid w:val="00C34137"/>
    <w:rsid w:val="00C34299"/>
    <w:rsid w:val="00C3476B"/>
    <w:rsid w:val="00C35240"/>
    <w:rsid w:val="00C361F1"/>
    <w:rsid w:val="00C36653"/>
    <w:rsid w:val="00C368B3"/>
    <w:rsid w:val="00C36F07"/>
    <w:rsid w:val="00C37214"/>
    <w:rsid w:val="00C372E8"/>
    <w:rsid w:val="00C379DA"/>
    <w:rsid w:val="00C37C8D"/>
    <w:rsid w:val="00C409DC"/>
    <w:rsid w:val="00C40B1B"/>
    <w:rsid w:val="00C40E88"/>
    <w:rsid w:val="00C4117B"/>
    <w:rsid w:val="00C416A3"/>
    <w:rsid w:val="00C41785"/>
    <w:rsid w:val="00C41FC1"/>
    <w:rsid w:val="00C434C2"/>
    <w:rsid w:val="00C43940"/>
    <w:rsid w:val="00C441E3"/>
    <w:rsid w:val="00C44342"/>
    <w:rsid w:val="00C44694"/>
    <w:rsid w:val="00C44744"/>
    <w:rsid w:val="00C44F57"/>
    <w:rsid w:val="00C45398"/>
    <w:rsid w:val="00C45672"/>
    <w:rsid w:val="00C457C1"/>
    <w:rsid w:val="00C45E4E"/>
    <w:rsid w:val="00C46625"/>
    <w:rsid w:val="00C46870"/>
    <w:rsid w:val="00C46C60"/>
    <w:rsid w:val="00C46C72"/>
    <w:rsid w:val="00C47545"/>
    <w:rsid w:val="00C47593"/>
    <w:rsid w:val="00C50010"/>
    <w:rsid w:val="00C5044B"/>
    <w:rsid w:val="00C506BD"/>
    <w:rsid w:val="00C506DE"/>
    <w:rsid w:val="00C50E55"/>
    <w:rsid w:val="00C51426"/>
    <w:rsid w:val="00C51622"/>
    <w:rsid w:val="00C517A0"/>
    <w:rsid w:val="00C5192C"/>
    <w:rsid w:val="00C51D86"/>
    <w:rsid w:val="00C51FB3"/>
    <w:rsid w:val="00C5223C"/>
    <w:rsid w:val="00C52447"/>
    <w:rsid w:val="00C52460"/>
    <w:rsid w:val="00C52487"/>
    <w:rsid w:val="00C524C9"/>
    <w:rsid w:val="00C5288B"/>
    <w:rsid w:val="00C52A35"/>
    <w:rsid w:val="00C52E8B"/>
    <w:rsid w:val="00C53213"/>
    <w:rsid w:val="00C53856"/>
    <w:rsid w:val="00C53917"/>
    <w:rsid w:val="00C541DE"/>
    <w:rsid w:val="00C54410"/>
    <w:rsid w:val="00C54AE1"/>
    <w:rsid w:val="00C54C11"/>
    <w:rsid w:val="00C54C67"/>
    <w:rsid w:val="00C54D14"/>
    <w:rsid w:val="00C54E27"/>
    <w:rsid w:val="00C54E65"/>
    <w:rsid w:val="00C55C16"/>
    <w:rsid w:val="00C56324"/>
    <w:rsid w:val="00C5653B"/>
    <w:rsid w:val="00C565A3"/>
    <w:rsid w:val="00C57117"/>
    <w:rsid w:val="00C573F9"/>
    <w:rsid w:val="00C577F7"/>
    <w:rsid w:val="00C57B8A"/>
    <w:rsid w:val="00C6020C"/>
    <w:rsid w:val="00C60511"/>
    <w:rsid w:val="00C60667"/>
    <w:rsid w:val="00C608C0"/>
    <w:rsid w:val="00C61AB9"/>
    <w:rsid w:val="00C61F84"/>
    <w:rsid w:val="00C62FD1"/>
    <w:rsid w:val="00C62FF7"/>
    <w:rsid w:val="00C63135"/>
    <w:rsid w:val="00C63256"/>
    <w:rsid w:val="00C63683"/>
    <w:rsid w:val="00C637DC"/>
    <w:rsid w:val="00C63906"/>
    <w:rsid w:val="00C63AAF"/>
    <w:rsid w:val="00C63BEC"/>
    <w:rsid w:val="00C63EE8"/>
    <w:rsid w:val="00C6432E"/>
    <w:rsid w:val="00C643A8"/>
    <w:rsid w:val="00C64591"/>
    <w:rsid w:val="00C64BDF"/>
    <w:rsid w:val="00C65718"/>
    <w:rsid w:val="00C65C81"/>
    <w:rsid w:val="00C66772"/>
    <w:rsid w:val="00C66D2B"/>
    <w:rsid w:val="00C67580"/>
    <w:rsid w:val="00C6781C"/>
    <w:rsid w:val="00C67D91"/>
    <w:rsid w:val="00C67EA1"/>
    <w:rsid w:val="00C7012B"/>
    <w:rsid w:val="00C70231"/>
    <w:rsid w:val="00C704A2"/>
    <w:rsid w:val="00C7098D"/>
    <w:rsid w:val="00C70AEE"/>
    <w:rsid w:val="00C70C4A"/>
    <w:rsid w:val="00C715A3"/>
    <w:rsid w:val="00C71D15"/>
    <w:rsid w:val="00C7212D"/>
    <w:rsid w:val="00C7234D"/>
    <w:rsid w:val="00C7244E"/>
    <w:rsid w:val="00C726C9"/>
    <w:rsid w:val="00C72801"/>
    <w:rsid w:val="00C72C0A"/>
    <w:rsid w:val="00C72CAA"/>
    <w:rsid w:val="00C730F6"/>
    <w:rsid w:val="00C73227"/>
    <w:rsid w:val="00C73E67"/>
    <w:rsid w:val="00C73FAD"/>
    <w:rsid w:val="00C74036"/>
    <w:rsid w:val="00C7404C"/>
    <w:rsid w:val="00C74082"/>
    <w:rsid w:val="00C74299"/>
    <w:rsid w:val="00C74750"/>
    <w:rsid w:val="00C74AE1"/>
    <w:rsid w:val="00C751D1"/>
    <w:rsid w:val="00C753E7"/>
    <w:rsid w:val="00C757B8"/>
    <w:rsid w:val="00C75E4E"/>
    <w:rsid w:val="00C75EB5"/>
    <w:rsid w:val="00C7619A"/>
    <w:rsid w:val="00C76906"/>
    <w:rsid w:val="00C76B7C"/>
    <w:rsid w:val="00C76BB5"/>
    <w:rsid w:val="00C76CC7"/>
    <w:rsid w:val="00C76F81"/>
    <w:rsid w:val="00C776A4"/>
    <w:rsid w:val="00C800DD"/>
    <w:rsid w:val="00C802F0"/>
    <w:rsid w:val="00C80920"/>
    <w:rsid w:val="00C80B03"/>
    <w:rsid w:val="00C80C0F"/>
    <w:rsid w:val="00C81501"/>
    <w:rsid w:val="00C82132"/>
    <w:rsid w:val="00C8243F"/>
    <w:rsid w:val="00C8289B"/>
    <w:rsid w:val="00C82D54"/>
    <w:rsid w:val="00C82F3B"/>
    <w:rsid w:val="00C837C4"/>
    <w:rsid w:val="00C83829"/>
    <w:rsid w:val="00C83D5A"/>
    <w:rsid w:val="00C83EDD"/>
    <w:rsid w:val="00C845EE"/>
    <w:rsid w:val="00C84BF1"/>
    <w:rsid w:val="00C84CA2"/>
    <w:rsid w:val="00C84D31"/>
    <w:rsid w:val="00C858EF"/>
    <w:rsid w:val="00C85A36"/>
    <w:rsid w:val="00C85CD1"/>
    <w:rsid w:val="00C863FD"/>
    <w:rsid w:val="00C86C56"/>
    <w:rsid w:val="00C86DF6"/>
    <w:rsid w:val="00C872DD"/>
    <w:rsid w:val="00C8773E"/>
    <w:rsid w:val="00C90601"/>
    <w:rsid w:val="00C9084A"/>
    <w:rsid w:val="00C90D16"/>
    <w:rsid w:val="00C9116A"/>
    <w:rsid w:val="00C918AB"/>
    <w:rsid w:val="00C91D0C"/>
    <w:rsid w:val="00C92025"/>
    <w:rsid w:val="00C9265D"/>
    <w:rsid w:val="00C92824"/>
    <w:rsid w:val="00C9352A"/>
    <w:rsid w:val="00C935AD"/>
    <w:rsid w:val="00C937BA"/>
    <w:rsid w:val="00C944CD"/>
    <w:rsid w:val="00C94578"/>
    <w:rsid w:val="00C9497B"/>
    <w:rsid w:val="00C949FC"/>
    <w:rsid w:val="00C94C38"/>
    <w:rsid w:val="00C9520A"/>
    <w:rsid w:val="00C95BAD"/>
    <w:rsid w:val="00C95BBC"/>
    <w:rsid w:val="00C960CF"/>
    <w:rsid w:val="00C96672"/>
    <w:rsid w:val="00C96678"/>
    <w:rsid w:val="00C96772"/>
    <w:rsid w:val="00C96CFA"/>
    <w:rsid w:val="00C96E5A"/>
    <w:rsid w:val="00C96EB5"/>
    <w:rsid w:val="00C970B9"/>
    <w:rsid w:val="00C97673"/>
    <w:rsid w:val="00C97933"/>
    <w:rsid w:val="00CA0257"/>
    <w:rsid w:val="00CA0917"/>
    <w:rsid w:val="00CA102B"/>
    <w:rsid w:val="00CA17D9"/>
    <w:rsid w:val="00CA283D"/>
    <w:rsid w:val="00CA29D1"/>
    <w:rsid w:val="00CA2DD6"/>
    <w:rsid w:val="00CA3247"/>
    <w:rsid w:val="00CA33B0"/>
    <w:rsid w:val="00CA3752"/>
    <w:rsid w:val="00CA3999"/>
    <w:rsid w:val="00CA39C0"/>
    <w:rsid w:val="00CA403B"/>
    <w:rsid w:val="00CA445E"/>
    <w:rsid w:val="00CA4716"/>
    <w:rsid w:val="00CA565D"/>
    <w:rsid w:val="00CA596E"/>
    <w:rsid w:val="00CA5AD3"/>
    <w:rsid w:val="00CA5E0D"/>
    <w:rsid w:val="00CA6242"/>
    <w:rsid w:val="00CA6254"/>
    <w:rsid w:val="00CA62DD"/>
    <w:rsid w:val="00CA69BA"/>
    <w:rsid w:val="00CA701A"/>
    <w:rsid w:val="00CA7DE6"/>
    <w:rsid w:val="00CB0339"/>
    <w:rsid w:val="00CB064A"/>
    <w:rsid w:val="00CB085A"/>
    <w:rsid w:val="00CB09BB"/>
    <w:rsid w:val="00CB0A02"/>
    <w:rsid w:val="00CB0B4A"/>
    <w:rsid w:val="00CB0CC2"/>
    <w:rsid w:val="00CB0CEA"/>
    <w:rsid w:val="00CB110E"/>
    <w:rsid w:val="00CB11F8"/>
    <w:rsid w:val="00CB137F"/>
    <w:rsid w:val="00CB1452"/>
    <w:rsid w:val="00CB1A23"/>
    <w:rsid w:val="00CB1BC0"/>
    <w:rsid w:val="00CB1DE1"/>
    <w:rsid w:val="00CB225B"/>
    <w:rsid w:val="00CB2351"/>
    <w:rsid w:val="00CB2EF5"/>
    <w:rsid w:val="00CB33E4"/>
    <w:rsid w:val="00CB3646"/>
    <w:rsid w:val="00CB4230"/>
    <w:rsid w:val="00CB431B"/>
    <w:rsid w:val="00CB46E9"/>
    <w:rsid w:val="00CB4A77"/>
    <w:rsid w:val="00CB4EA5"/>
    <w:rsid w:val="00CB557F"/>
    <w:rsid w:val="00CB592B"/>
    <w:rsid w:val="00CB5C5F"/>
    <w:rsid w:val="00CB5EF3"/>
    <w:rsid w:val="00CB600E"/>
    <w:rsid w:val="00CB65B8"/>
    <w:rsid w:val="00CB6CB8"/>
    <w:rsid w:val="00CB6CDF"/>
    <w:rsid w:val="00CB6F4F"/>
    <w:rsid w:val="00CB7264"/>
    <w:rsid w:val="00CB730F"/>
    <w:rsid w:val="00CB761C"/>
    <w:rsid w:val="00CB76B5"/>
    <w:rsid w:val="00CB7AD6"/>
    <w:rsid w:val="00CC0495"/>
    <w:rsid w:val="00CC07A7"/>
    <w:rsid w:val="00CC110F"/>
    <w:rsid w:val="00CC11B8"/>
    <w:rsid w:val="00CC14F1"/>
    <w:rsid w:val="00CC1AF9"/>
    <w:rsid w:val="00CC20E0"/>
    <w:rsid w:val="00CC2818"/>
    <w:rsid w:val="00CC2F7A"/>
    <w:rsid w:val="00CC300B"/>
    <w:rsid w:val="00CC38F4"/>
    <w:rsid w:val="00CC3A70"/>
    <w:rsid w:val="00CC4033"/>
    <w:rsid w:val="00CC40B8"/>
    <w:rsid w:val="00CC5237"/>
    <w:rsid w:val="00CC5283"/>
    <w:rsid w:val="00CC53BC"/>
    <w:rsid w:val="00CC5444"/>
    <w:rsid w:val="00CC5631"/>
    <w:rsid w:val="00CC5D94"/>
    <w:rsid w:val="00CC61D3"/>
    <w:rsid w:val="00CC62A6"/>
    <w:rsid w:val="00CC62DD"/>
    <w:rsid w:val="00CC676C"/>
    <w:rsid w:val="00CC7A11"/>
    <w:rsid w:val="00CD0320"/>
    <w:rsid w:val="00CD04A8"/>
    <w:rsid w:val="00CD051B"/>
    <w:rsid w:val="00CD0ADF"/>
    <w:rsid w:val="00CD102F"/>
    <w:rsid w:val="00CD1BB6"/>
    <w:rsid w:val="00CD1DB1"/>
    <w:rsid w:val="00CD1F3A"/>
    <w:rsid w:val="00CD22B5"/>
    <w:rsid w:val="00CD22F4"/>
    <w:rsid w:val="00CD2449"/>
    <w:rsid w:val="00CD25E1"/>
    <w:rsid w:val="00CD32C2"/>
    <w:rsid w:val="00CD367C"/>
    <w:rsid w:val="00CD4410"/>
    <w:rsid w:val="00CD454A"/>
    <w:rsid w:val="00CD468A"/>
    <w:rsid w:val="00CD4DDA"/>
    <w:rsid w:val="00CD4F54"/>
    <w:rsid w:val="00CD4FFE"/>
    <w:rsid w:val="00CD57FA"/>
    <w:rsid w:val="00CD5A6E"/>
    <w:rsid w:val="00CD631B"/>
    <w:rsid w:val="00CD66D9"/>
    <w:rsid w:val="00CD69A7"/>
    <w:rsid w:val="00CD711F"/>
    <w:rsid w:val="00CD74A7"/>
    <w:rsid w:val="00CD79B2"/>
    <w:rsid w:val="00CE0448"/>
    <w:rsid w:val="00CE0EF0"/>
    <w:rsid w:val="00CE13F3"/>
    <w:rsid w:val="00CE142A"/>
    <w:rsid w:val="00CE157C"/>
    <w:rsid w:val="00CE1AF6"/>
    <w:rsid w:val="00CE2298"/>
    <w:rsid w:val="00CE2FDF"/>
    <w:rsid w:val="00CE3064"/>
    <w:rsid w:val="00CE3688"/>
    <w:rsid w:val="00CE39E4"/>
    <w:rsid w:val="00CE4282"/>
    <w:rsid w:val="00CE514A"/>
    <w:rsid w:val="00CE54E1"/>
    <w:rsid w:val="00CE55B6"/>
    <w:rsid w:val="00CE5856"/>
    <w:rsid w:val="00CE58A6"/>
    <w:rsid w:val="00CE58EF"/>
    <w:rsid w:val="00CE5BDE"/>
    <w:rsid w:val="00CE62BD"/>
    <w:rsid w:val="00CE6A6D"/>
    <w:rsid w:val="00CE774C"/>
    <w:rsid w:val="00CE7C30"/>
    <w:rsid w:val="00CF0043"/>
    <w:rsid w:val="00CF012E"/>
    <w:rsid w:val="00CF04D4"/>
    <w:rsid w:val="00CF0B4C"/>
    <w:rsid w:val="00CF0BED"/>
    <w:rsid w:val="00CF12B3"/>
    <w:rsid w:val="00CF1680"/>
    <w:rsid w:val="00CF1882"/>
    <w:rsid w:val="00CF1BD7"/>
    <w:rsid w:val="00CF1CDB"/>
    <w:rsid w:val="00CF21A5"/>
    <w:rsid w:val="00CF2352"/>
    <w:rsid w:val="00CF2516"/>
    <w:rsid w:val="00CF2518"/>
    <w:rsid w:val="00CF2624"/>
    <w:rsid w:val="00CF2DDE"/>
    <w:rsid w:val="00CF33DF"/>
    <w:rsid w:val="00CF340C"/>
    <w:rsid w:val="00CF344A"/>
    <w:rsid w:val="00CF3494"/>
    <w:rsid w:val="00CF39A0"/>
    <w:rsid w:val="00CF3B9F"/>
    <w:rsid w:val="00CF3D1C"/>
    <w:rsid w:val="00CF4713"/>
    <w:rsid w:val="00CF4B12"/>
    <w:rsid w:val="00CF58FE"/>
    <w:rsid w:val="00CF5C95"/>
    <w:rsid w:val="00CF5EBE"/>
    <w:rsid w:val="00CF5EC1"/>
    <w:rsid w:val="00CF67F3"/>
    <w:rsid w:val="00CF6846"/>
    <w:rsid w:val="00CF6978"/>
    <w:rsid w:val="00CF6E69"/>
    <w:rsid w:val="00CF7497"/>
    <w:rsid w:val="00CF783B"/>
    <w:rsid w:val="00CF7D97"/>
    <w:rsid w:val="00CF7EEC"/>
    <w:rsid w:val="00CF7EFB"/>
    <w:rsid w:val="00CF8F02"/>
    <w:rsid w:val="00D001C2"/>
    <w:rsid w:val="00D00779"/>
    <w:rsid w:val="00D009D8"/>
    <w:rsid w:val="00D00A64"/>
    <w:rsid w:val="00D012E1"/>
    <w:rsid w:val="00D01318"/>
    <w:rsid w:val="00D01350"/>
    <w:rsid w:val="00D01665"/>
    <w:rsid w:val="00D01D1E"/>
    <w:rsid w:val="00D0226C"/>
    <w:rsid w:val="00D02580"/>
    <w:rsid w:val="00D03B4E"/>
    <w:rsid w:val="00D03BF7"/>
    <w:rsid w:val="00D03E4D"/>
    <w:rsid w:val="00D03F1E"/>
    <w:rsid w:val="00D03FA3"/>
    <w:rsid w:val="00D04244"/>
    <w:rsid w:val="00D0428E"/>
    <w:rsid w:val="00D04426"/>
    <w:rsid w:val="00D0482F"/>
    <w:rsid w:val="00D04A33"/>
    <w:rsid w:val="00D053EE"/>
    <w:rsid w:val="00D05892"/>
    <w:rsid w:val="00D06098"/>
    <w:rsid w:val="00D06824"/>
    <w:rsid w:val="00D06C03"/>
    <w:rsid w:val="00D06C35"/>
    <w:rsid w:val="00D06E45"/>
    <w:rsid w:val="00D0737A"/>
    <w:rsid w:val="00D07518"/>
    <w:rsid w:val="00D0762D"/>
    <w:rsid w:val="00D1013C"/>
    <w:rsid w:val="00D1037A"/>
    <w:rsid w:val="00D107CF"/>
    <w:rsid w:val="00D10B45"/>
    <w:rsid w:val="00D10D09"/>
    <w:rsid w:val="00D10EE3"/>
    <w:rsid w:val="00D11031"/>
    <w:rsid w:val="00D1136D"/>
    <w:rsid w:val="00D1163E"/>
    <w:rsid w:val="00D11993"/>
    <w:rsid w:val="00D11BD5"/>
    <w:rsid w:val="00D12362"/>
    <w:rsid w:val="00D12A2A"/>
    <w:rsid w:val="00D12A4F"/>
    <w:rsid w:val="00D12C9D"/>
    <w:rsid w:val="00D1344E"/>
    <w:rsid w:val="00D13814"/>
    <w:rsid w:val="00D139F9"/>
    <w:rsid w:val="00D13B99"/>
    <w:rsid w:val="00D13CB8"/>
    <w:rsid w:val="00D14B98"/>
    <w:rsid w:val="00D14C15"/>
    <w:rsid w:val="00D159F2"/>
    <w:rsid w:val="00D15B89"/>
    <w:rsid w:val="00D15CB3"/>
    <w:rsid w:val="00D15F51"/>
    <w:rsid w:val="00D16ED5"/>
    <w:rsid w:val="00D170CC"/>
    <w:rsid w:val="00D17B50"/>
    <w:rsid w:val="00D202B1"/>
    <w:rsid w:val="00D20662"/>
    <w:rsid w:val="00D21291"/>
    <w:rsid w:val="00D21C8A"/>
    <w:rsid w:val="00D21D86"/>
    <w:rsid w:val="00D221CE"/>
    <w:rsid w:val="00D2297E"/>
    <w:rsid w:val="00D22DE5"/>
    <w:rsid w:val="00D233BD"/>
    <w:rsid w:val="00D233D7"/>
    <w:rsid w:val="00D2363E"/>
    <w:rsid w:val="00D23CBB"/>
    <w:rsid w:val="00D244FD"/>
    <w:rsid w:val="00D25806"/>
    <w:rsid w:val="00D258FC"/>
    <w:rsid w:val="00D25A44"/>
    <w:rsid w:val="00D25D9E"/>
    <w:rsid w:val="00D25E9D"/>
    <w:rsid w:val="00D25F1C"/>
    <w:rsid w:val="00D26359"/>
    <w:rsid w:val="00D26DE6"/>
    <w:rsid w:val="00D26DFD"/>
    <w:rsid w:val="00D26EE7"/>
    <w:rsid w:val="00D271FD"/>
    <w:rsid w:val="00D27523"/>
    <w:rsid w:val="00D276F2"/>
    <w:rsid w:val="00D30718"/>
    <w:rsid w:val="00D30F10"/>
    <w:rsid w:val="00D322FB"/>
    <w:rsid w:val="00D32475"/>
    <w:rsid w:val="00D328BE"/>
    <w:rsid w:val="00D32A66"/>
    <w:rsid w:val="00D32EF4"/>
    <w:rsid w:val="00D3378F"/>
    <w:rsid w:val="00D33F81"/>
    <w:rsid w:val="00D34101"/>
    <w:rsid w:val="00D34850"/>
    <w:rsid w:val="00D35060"/>
    <w:rsid w:val="00D351F1"/>
    <w:rsid w:val="00D35AD0"/>
    <w:rsid w:val="00D35B47"/>
    <w:rsid w:val="00D35E97"/>
    <w:rsid w:val="00D35F29"/>
    <w:rsid w:val="00D366B4"/>
    <w:rsid w:val="00D369D4"/>
    <w:rsid w:val="00D36AD7"/>
    <w:rsid w:val="00D36ADD"/>
    <w:rsid w:val="00D36E17"/>
    <w:rsid w:val="00D373E9"/>
    <w:rsid w:val="00D37492"/>
    <w:rsid w:val="00D3773C"/>
    <w:rsid w:val="00D37C61"/>
    <w:rsid w:val="00D37EEF"/>
    <w:rsid w:val="00D403FF"/>
    <w:rsid w:val="00D404C4"/>
    <w:rsid w:val="00D40981"/>
    <w:rsid w:val="00D40A44"/>
    <w:rsid w:val="00D40B1C"/>
    <w:rsid w:val="00D40C0F"/>
    <w:rsid w:val="00D40CE9"/>
    <w:rsid w:val="00D40FF4"/>
    <w:rsid w:val="00D411EA"/>
    <w:rsid w:val="00D4126C"/>
    <w:rsid w:val="00D41336"/>
    <w:rsid w:val="00D41989"/>
    <w:rsid w:val="00D41C20"/>
    <w:rsid w:val="00D41C47"/>
    <w:rsid w:val="00D42061"/>
    <w:rsid w:val="00D42115"/>
    <w:rsid w:val="00D42708"/>
    <w:rsid w:val="00D42A6C"/>
    <w:rsid w:val="00D42EFD"/>
    <w:rsid w:val="00D43494"/>
    <w:rsid w:val="00D4487B"/>
    <w:rsid w:val="00D44DD2"/>
    <w:rsid w:val="00D44DDA"/>
    <w:rsid w:val="00D455A3"/>
    <w:rsid w:val="00D457D1"/>
    <w:rsid w:val="00D458AA"/>
    <w:rsid w:val="00D46338"/>
    <w:rsid w:val="00D46682"/>
    <w:rsid w:val="00D46776"/>
    <w:rsid w:val="00D46BA2"/>
    <w:rsid w:val="00D47234"/>
    <w:rsid w:val="00D47281"/>
    <w:rsid w:val="00D47581"/>
    <w:rsid w:val="00D476AB"/>
    <w:rsid w:val="00D50295"/>
    <w:rsid w:val="00D503BD"/>
    <w:rsid w:val="00D5069A"/>
    <w:rsid w:val="00D50E43"/>
    <w:rsid w:val="00D51469"/>
    <w:rsid w:val="00D52758"/>
    <w:rsid w:val="00D52B45"/>
    <w:rsid w:val="00D52CAD"/>
    <w:rsid w:val="00D52FCD"/>
    <w:rsid w:val="00D530EB"/>
    <w:rsid w:val="00D53393"/>
    <w:rsid w:val="00D53446"/>
    <w:rsid w:val="00D535B6"/>
    <w:rsid w:val="00D53661"/>
    <w:rsid w:val="00D539FF"/>
    <w:rsid w:val="00D53B14"/>
    <w:rsid w:val="00D54432"/>
    <w:rsid w:val="00D544AC"/>
    <w:rsid w:val="00D55235"/>
    <w:rsid w:val="00D55D78"/>
    <w:rsid w:val="00D56647"/>
    <w:rsid w:val="00D56C15"/>
    <w:rsid w:val="00D56FB3"/>
    <w:rsid w:val="00D572B2"/>
    <w:rsid w:val="00D579FA"/>
    <w:rsid w:val="00D57E57"/>
    <w:rsid w:val="00D57F53"/>
    <w:rsid w:val="00D60CAB"/>
    <w:rsid w:val="00D60D6B"/>
    <w:rsid w:val="00D610FD"/>
    <w:rsid w:val="00D61221"/>
    <w:rsid w:val="00D61250"/>
    <w:rsid w:val="00D612AF"/>
    <w:rsid w:val="00D617D1"/>
    <w:rsid w:val="00D619F3"/>
    <w:rsid w:val="00D61ACB"/>
    <w:rsid w:val="00D61B33"/>
    <w:rsid w:val="00D61D37"/>
    <w:rsid w:val="00D623A0"/>
    <w:rsid w:val="00D6299B"/>
    <w:rsid w:val="00D62A5B"/>
    <w:rsid w:val="00D62B43"/>
    <w:rsid w:val="00D62ECD"/>
    <w:rsid w:val="00D63748"/>
    <w:rsid w:val="00D6384D"/>
    <w:rsid w:val="00D639F0"/>
    <w:rsid w:val="00D63C1B"/>
    <w:rsid w:val="00D63C9B"/>
    <w:rsid w:val="00D63D76"/>
    <w:rsid w:val="00D63D84"/>
    <w:rsid w:val="00D64BFF"/>
    <w:rsid w:val="00D64DE1"/>
    <w:rsid w:val="00D64E3F"/>
    <w:rsid w:val="00D653D0"/>
    <w:rsid w:val="00D65EC3"/>
    <w:rsid w:val="00D66241"/>
    <w:rsid w:val="00D66320"/>
    <w:rsid w:val="00D663F9"/>
    <w:rsid w:val="00D66902"/>
    <w:rsid w:val="00D6692A"/>
    <w:rsid w:val="00D669DA"/>
    <w:rsid w:val="00D66E55"/>
    <w:rsid w:val="00D670E9"/>
    <w:rsid w:val="00D674E9"/>
    <w:rsid w:val="00D6799A"/>
    <w:rsid w:val="00D67EEA"/>
    <w:rsid w:val="00D7009C"/>
    <w:rsid w:val="00D70E22"/>
    <w:rsid w:val="00D70F17"/>
    <w:rsid w:val="00D710BB"/>
    <w:rsid w:val="00D71179"/>
    <w:rsid w:val="00D712DA"/>
    <w:rsid w:val="00D714A6"/>
    <w:rsid w:val="00D717BC"/>
    <w:rsid w:val="00D71959"/>
    <w:rsid w:val="00D719EF"/>
    <w:rsid w:val="00D72327"/>
    <w:rsid w:val="00D727E0"/>
    <w:rsid w:val="00D7283C"/>
    <w:rsid w:val="00D72B87"/>
    <w:rsid w:val="00D72C72"/>
    <w:rsid w:val="00D72FE3"/>
    <w:rsid w:val="00D733EA"/>
    <w:rsid w:val="00D74160"/>
    <w:rsid w:val="00D7586E"/>
    <w:rsid w:val="00D758C2"/>
    <w:rsid w:val="00D75D22"/>
    <w:rsid w:val="00D75DA5"/>
    <w:rsid w:val="00D76393"/>
    <w:rsid w:val="00D76B14"/>
    <w:rsid w:val="00D76C16"/>
    <w:rsid w:val="00D76C58"/>
    <w:rsid w:val="00D76CF2"/>
    <w:rsid w:val="00D76E7C"/>
    <w:rsid w:val="00D778A2"/>
    <w:rsid w:val="00D8021A"/>
    <w:rsid w:val="00D808FA"/>
    <w:rsid w:val="00D80A02"/>
    <w:rsid w:val="00D80B40"/>
    <w:rsid w:val="00D8155B"/>
    <w:rsid w:val="00D818C3"/>
    <w:rsid w:val="00D8190F"/>
    <w:rsid w:val="00D81E79"/>
    <w:rsid w:val="00D81F97"/>
    <w:rsid w:val="00D825A5"/>
    <w:rsid w:val="00D825B7"/>
    <w:rsid w:val="00D8290E"/>
    <w:rsid w:val="00D82AD1"/>
    <w:rsid w:val="00D82E6E"/>
    <w:rsid w:val="00D83040"/>
    <w:rsid w:val="00D830F6"/>
    <w:rsid w:val="00D8323B"/>
    <w:rsid w:val="00D8323E"/>
    <w:rsid w:val="00D83489"/>
    <w:rsid w:val="00D839D0"/>
    <w:rsid w:val="00D83C43"/>
    <w:rsid w:val="00D83C73"/>
    <w:rsid w:val="00D83D13"/>
    <w:rsid w:val="00D84161"/>
    <w:rsid w:val="00D841AC"/>
    <w:rsid w:val="00D845EC"/>
    <w:rsid w:val="00D85002"/>
    <w:rsid w:val="00D8589D"/>
    <w:rsid w:val="00D859D0"/>
    <w:rsid w:val="00D85A81"/>
    <w:rsid w:val="00D85B8E"/>
    <w:rsid w:val="00D85DFE"/>
    <w:rsid w:val="00D86466"/>
    <w:rsid w:val="00D86811"/>
    <w:rsid w:val="00D870E8"/>
    <w:rsid w:val="00D87423"/>
    <w:rsid w:val="00D87452"/>
    <w:rsid w:val="00D87485"/>
    <w:rsid w:val="00D906BA"/>
    <w:rsid w:val="00D907CB"/>
    <w:rsid w:val="00D90840"/>
    <w:rsid w:val="00D90F87"/>
    <w:rsid w:val="00D915CF"/>
    <w:rsid w:val="00D91BF2"/>
    <w:rsid w:val="00D9283E"/>
    <w:rsid w:val="00D92B88"/>
    <w:rsid w:val="00D93C1C"/>
    <w:rsid w:val="00D93D8A"/>
    <w:rsid w:val="00D93F27"/>
    <w:rsid w:val="00D94026"/>
    <w:rsid w:val="00D94120"/>
    <w:rsid w:val="00D941B8"/>
    <w:rsid w:val="00D946A9"/>
    <w:rsid w:val="00D9496E"/>
    <w:rsid w:val="00D94A79"/>
    <w:rsid w:val="00D951DD"/>
    <w:rsid w:val="00D952ED"/>
    <w:rsid w:val="00D95462"/>
    <w:rsid w:val="00D957FA"/>
    <w:rsid w:val="00D95D74"/>
    <w:rsid w:val="00D962B5"/>
    <w:rsid w:val="00D962FA"/>
    <w:rsid w:val="00D96363"/>
    <w:rsid w:val="00D9664C"/>
    <w:rsid w:val="00D97404"/>
    <w:rsid w:val="00D975A3"/>
    <w:rsid w:val="00D979D0"/>
    <w:rsid w:val="00DA0807"/>
    <w:rsid w:val="00DA08CA"/>
    <w:rsid w:val="00DA0BFE"/>
    <w:rsid w:val="00DA0D02"/>
    <w:rsid w:val="00DA0F37"/>
    <w:rsid w:val="00DA101A"/>
    <w:rsid w:val="00DA122C"/>
    <w:rsid w:val="00DA1CD3"/>
    <w:rsid w:val="00DA21B3"/>
    <w:rsid w:val="00DA25A6"/>
    <w:rsid w:val="00DA2719"/>
    <w:rsid w:val="00DA2FD5"/>
    <w:rsid w:val="00DA33E6"/>
    <w:rsid w:val="00DA3C65"/>
    <w:rsid w:val="00DA3E60"/>
    <w:rsid w:val="00DA3F9E"/>
    <w:rsid w:val="00DA4838"/>
    <w:rsid w:val="00DA4989"/>
    <w:rsid w:val="00DA5721"/>
    <w:rsid w:val="00DA589F"/>
    <w:rsid w:val="00DA6173"/>
    <w:rsid w:val="00DA7477"/>
    <w:rsid w:val="00DA7573"/>
    <w:rsid w:val="00DA7BD4"/>
    <w:rsid w:val="00DA7D12"/>
    <w:rsid w:val="00DA7E90"/>
    <w:rsid w:val="00DB0191"/>
    <w:rsid w:val="00DB0359"/>
    <w:rsid w:val="00DB0EF6"/>
    <w:rsid w:val="00DB0F8A"/>
    <w:rsid w:val="00DB1695"/>
    <w:rsid w:val="00DB2291"/>
    <w:rsid w:val="00DB2425"/>
    <w:rsid w:val="00DB26A8"/>
    <w:rsid w:val="00DB2756"/>
    <w:rsid w:val="00DB27CF"/>
    <w:rsid w:val="00DB28A9"/>
    <w:rsid w:val="00DB2F39"/>
    <w:rsid w:val="00DB2FAB"/>
    <w:rsid w:val="00DB31B1"/>
    <w:rsid w:val="00DB324C"/>
    <w:rsid w:val="00DB327B"/>
    <w:rsid w:val="00DB36AD"/>
    <w:rsid w:val="00DB3FC0"/>
    <w:rsid w:val="00DB3FD3"/>
    <w:rsid w:val="00DB439E"/>
    <w:rsid w:val="00DB44EC"/>
    <w:rsid w:val="00DB50E3"/>
    <w:rsid w:val="00DB50F2"/>
    <w:rsid w:val="00DB5723"/>
    <w:rsid w:val="00DB5C1A"/>
    <w:rsid w:val="00DB5F2A"/>
    <w:rsid w:val="00DB6366"/>
    <w:rsid w:val="00DB6F45"/>
    <w:rsid w:val="00DB72B7"/>
    <w:rsid w:val="00DB7546"/>
    <w:rsid w:val="00DB7567"/>
    <w:rsid w:val="00DB7630"/>
    <w:rsid w:val="00DB7880"/>
    <w:rsid w:val="00DB7F0B"/>
    <w:rsid w:val="00DC0624"/>
    <w:rsid w:val="00DC08FF"/>
    <w:rsid w:val="00DC0BD4"/>
    <w:rsid w:val="00DC0FC3"/>
    <w:rsid w:val="00DC11D3"/>
    <w:rsid w:val="00DC1346"/>
    <w:rsid w:val="00DC1A58"/>
    <w:rsid w:val="00DC1AC0"/>
    <w:rsid w:val="00DC1CDD"/>
    <w:rsid w:val="00DC1D8E"/>
    <w:rsid w:val="00DC20C3"/>
    <w:rsid w:val="00DC221B"/>
    <w:rsid w:val="00DC227A"/>
    <w:rsid w:val="00DC2360"/>
    <w:rsid w:val="00DC26E4"/>
    <w:rsid w:val="00DC2BAE"/>
    <w:rsid w:val="00DC2CEE"/>
    <w:rsid w:val="00DC30AD"/>
    <w:rsid w:val="00DC3257"/>
    <w:rsid w:val="00DC3279"/>
    <w:rsid w:val="00DC365A"/>
    <w:rsid w:val="00DC36D3"/>
    <w:rsid w:val="00DC3BF1"/>
    <w:rsid w:val="00DC456D"/>
    <w:rsid w:val="00DC4936"/>
    <w:rsid w:val="00DC4D1D"/>
    <w:rsid w:val="00DC4D87"/>
    <w:rsid w:val="00DC54EB"/>
    <w:rsid w:val="00DC580A"/>
    <w:rsid w:val="00DC5B50"/>
    <w:rsid w:val="00DC66BC"/>
    <w:rsid w:val="00DC727F"/>
    <w:rsid w:val="00DC737D"/>
    <w:rsid w:val="00DC7656"/>
    <w:rsid w:val="00DC7E78"/>
    <w:rsid w:val="00DD0493"/>
    <w:rsid w:val="00DD0924"/>
    <w:rsid w:val="00DD0CBF"/>
    <w:rsid w:val="00DD0EEB"/>
    <w:rsid w:val="00DD1071"/>
    <w:rsid w:val="00DD12FD"/>
    <w:rsid w:val="00DD1576"/>
    <w:rsid w:val="00DD15FF"/>
    <w:rsid w:val="00DD22B4"/>
    <w:rsid w:val="00DD2566"/>
    <w:rsid w:val="00DD2893"/>
    <w:rsid w:val="00DD3489"/>
    <w:rsid w:val="00DD399B"/>
    <w:rsid w:val="00DD41E8"/>
    <w:rsid w:val="00DD4250"/>
    <w:rsid w:val="00DD4717"/>
    <w:rsid w:val="00DD4802"/>
    <w:rsid w:val="00DD4A95"/>
    <w:rsid w:val="00DD4AA3"/>
    <w:rsid w:val="00DD4F74"/>
    <w:rsid w:val="00DD531F"/>
    <w:rsid w:val="00DD556C"/>
    <w:rsid w:val="00DD5737"/>
    <w:rsid w:val="00DD5E80"/>
    <w:rsid w:val="00DD5E81"/>
    <w:rsid w:val="00DD623A"/>
    <w:rsid w:val="00DD62E3"/>
    <w:rsid w:val="00DD640A"/>
    <w:rsid w:val="00DD6C46"/>
    <w:rsid w:val="00DD6C7A"/>
    <w:rsid w:val="00DD6D35"/>
    <w:rsid w:val="00DD6F44"/>
    <w:rsid w:val="00DD7859"/>
    <w:rsid w:val="00DD7A2B"/>
    <w:rsid w:val="00DD7AF7"/>
    <w:rsid w:val="00DD7CCA"/>
    <w:rsid w:val="00DD7E68"/>
    <w:rsid w:val="00DE051C"/>
    <w:rsid w:val="00DE052D"/>
    <w:rsid w:val="00DE0B9C"/>
    <w:rsid w:val="00DE0BDE"/>
    <w:rsid w:val="00DE10CF"/>
    <w:rsid w:val="00DE11E2"/>
    <w:rsid w:val="00DE1270"/>
    <w:rsid w:val="00DE196C"/>
    <w:rsid w:val="00DE1E1E"/>
    <w:rsid w:val="00DE223E"/>
    <w:rsid w:val="00DE245C"/>
    <w:rsid w:val="00DE2788"/>
    <w:rsid w:val="00DE29EB"/>
    <w:rsid w:val="00DE2BCC"/>
    <w:rsid w:val="00DE2D33"/>
    <w:rsid w:val="00DE326D"/>
    <w:rsid w:val="00DE34DB"/>
    <w:rsid w:val="00DE34EB"/>
    <w:rsid w:val="00DE3592"/>
    <w:rsid w:val="00DE3E78"/>
    <w:rsid w:val="00DE3FFE"/>
    <w:rsid w:val="00DE41F8"/>
    <w:rsid w:val="00DE461D"/>
    <w:rsid w:val="00DE462F"/>
    <w:rsid w:val="00DE4B9D"/>
    <w:rsid w:val="00DE508E"/>
    <w:rsid w:val="00DE50EA"/>
    <w:rsid w:val="00DE545C"/>
    <w:rsid w:val="00DE58AE"/>
    <w:rsid w:val="00DE5C9F"/>
    <w:rsid w:val="00DE734E"/>
    <w:rsid w:val="00DE7887"/>
    <w:rsid w:val="00DE79A8"/>
    <w:rsid w:val="00DE7BF8"/>
    <w:rsid w:val="00DE7E39"/>
    <w:rsid w:val="00DF0DC3"/>
    <w:rsid w:val="00DF14F9"/>
    <w:rsid w:val="00DF1C2D"/>
    <w:rsid w:val="00DF1FAE"/>
    <w:rsid w:val="00DF2363"/>
    <w:rsid w:val="00DF2537"/>
    <w:rsid w:val="00DF2955"/>
    <w:rsid w:val="00DF2AD9"/>
    <w:rsid w:val="00DF3DC0"/>
    <w:rsid w:val="00DF54D0"/>
    <w:rsid w:val="00DF580C"/>
    <w:rsid w:val="00DF5C1A"/>
    <w:rsid w:val="00DF645F"/>
    <w:rsid w:val="00DF65C4"/>
    <w:rsid w:val="00DF69C2"/>
    <w:rsid w:val="00DF6BCB"/>
    <w:rsid w:val="00DF6D45"/>
    <w:rsid w:val="00DF7042"/>
    <w:rsid w:val="00DF718D"/>
    <w:rsid w:val="00DF76E1"/>
    <w:rsid w:val="00DF78FD"/>
    <w:rsid w:val="00DF7EFE"/>
    <w:rsid w:val="00E00E15"/>
    <w:rsid w:val="00E00F63"/>
    <w:rsid w:val="00E01210"/>
    <w:rsid w:val="00E01364"/>
    <w:rsid w:val="00E0199B"/>
    <w:rsid w:val="00E01D50"/>
    <w:rsid w:val="00E02664"/>
    <w:rsid w:val="00E02C4D"/>
    <w:rsid w:val="00E031A5"/>
    <w:rsid w:val="00E0341B"/>
    <w:rsid w:val="00E0348F"/>
    <w:rsid w:val="00E035A6"/>
    <w:rsid w:val="00E038F5"/>
    <w:rsid w:val="00E03D17"/>
    <w:rsid w:val="00E03D67"/>
    <w:rsid w:val="00E04510"/>
    <w:rsid w:val="00E04784"/>
    <w:rsid w:val="00E04D97"/>
    <w:rsid w:val="00E04F28"/>
    <w:rsid w:val="00E05262"/>
    <w:rsid w:val="00E05341"/>
    <w:rsid w:val="00E05569"/>
    <w:rsid w:val="00E0583C"/>
    <w:rsid w:val="00E05A6C"/>
    <w:rsid w:val="00E05B82"/>
    <w:rsid w:val="00E05F1B"/>
    <w:rsid w:val="00E05F59"/>
    <w:rsid w:val="00E064BF"/>
    <w:rsid w:val="00E0655D"/>
    <w:rsid w:val="00E06D2B"/>
    <w:rsid w:val="00E07473"/>
    <w:rsid w:val="00E07595"/>
    <w:rsid w:val="00E0759D"/>
    <w:rsid w:val="00E07A43"/>
    <w:rsid w:val="00E07B87"/>
    <w:rsid w:val="00E07ECA"/>
    <w:rsid w:val="00E1024A"/>
    <w:rsid w:val="00E10B17"/>
    <w:rsid w:val="00E10B67"/>
    <w:rsid w:val="00E10D4E"/>
    <w:rsid w:val="00E10F2B"/>
    <w:rsid w:val="00E1118C"/>
    <w:rsid w:val="00E11745"/>
    <w:rsid w:val="00E117D1"/>
    <w:rsid w:val="00E12529"/>
    <w:rsid w:val="00E12742"/>
    <w:rsid w:val="00E12AB9"/>
    <w:rsid w:val="00E12B67"/>
    <w:rsid w:val="00E12F4C"/>
    <w:rsid w:val="00E1374E"/>
    <w:rsid w:val="00E13AEB"/>
    <w:rsid w:val="00E141D3"/>
    <w:rsid w:val="00E14941"/>
    <w:rsid w:val="00E1526B"/>
    <w:rsid w:val="00E1528E"/>
    <w:rsid w:val="00E1534B"/>
    <w:rsid w:val="00E15408"/>
    <w:rsid w:val="00E15743"/>
    <w:rsid w:val="00E15C52"/>
    <w:rsid w:val="00E15EDA"/>
    <w:rsid w:val="00E15F0B"/>
    <w:rsid w:val="00E160E8"/>
    <w:rsid w:val="00E16199"/>
    <w:rsid w:val="00E16311"/>
    <w:rsid w:val="00E1635F"/>
    <w:rsid w:val="00E1646F"/>
    <w:rsid w:val="00E1702C"/>
    <w:rsid w:val="00E17124"/>
    <w:rsid w:val="00E20CC5"/>
    <w:rsid w:val="00E20F7E"/>
    <w:rsid w:val="00E20FC6"/>
    <w:rsid w:val="00E21959"/>
    <w:rsid w:val="00E21ACA"/>
    <w:rsid w:val="00E21D39"/>
    <w:rsid w:val="00E22245"/>
    <w:rsid w:val="00E22B80"/>
    <w:rsid w:val="00E22C0E"/>
    <w:rsid w:val="00E22CFF"/>
    <w:rsid w:val="00E22E49"/>
    <w:rsid w:val="00E231CD"/>
    <w:rsid w:val="00E231E1"/>
    <w:rsid w:val="00E23888"/>
    <w:rsid w:val="00E23B9C"/>
    <w:rsid w:val="00E23CE3"/>
    <w:rsid w:val="00E23CF7"/>
    <w:rsid w:val="00E23E76"/>
    <w:rsid w:val="00E24245"/>
    <w:rsid w:val="00E249DB"/>
    <w:rsid w:val="00E24C1C"/>
    <w:rsid w:val="00E24D36"/>
    <w:rsid w:val="00E24FAA"/>
    <w:rsid w:val="00E250B6"/>
    <w:rsid w:val="00E250D7"/>
    <w:rsid w:val="00E253A3"/>
    <w:rsid w:val="00E253A4"/>
    <w:rsid w:val="00E25402"/>
    <w:rsid w:val="00E254E3"/>
    <w:rsid w:val="00E259B0"/>
    <w:rsid w:val="00E25AF8"/>
    <w:rsid w:val="00E26177"/>
    <w:rsid w:val="00E263DD"/>
    <w:rsid w:val="00E26846"/>
    <w:rsid w:val="00E26AEC"/>
    <w:rsid w:val="00E26FFB"/>
    <w:rsid w:val="00E2757B"/>
    <w:rsid w:val="00E2792D"/>
    <w:rsid w:val="00E27C01"/>
    <w:rsid w:val="00E27C82"/>
    <w:rsid w:val="00E30828"/>
    <w:rsid w:val="00E30895"/>
    <w:rsid w:val="00E30B37"/>
    <w:rsid w:val="00E30BBB"/>
    <w:rsid w:val="00E31036"/>
    <w:rsid w:val="00E3109C"/>
    <w:rsid w:val="00E311D1"/>
    <w:rsid w:val="00E3157B"/>
    <w:rsid w:val="00E31835"/>
    <w:rsid w:val="00E31C0D"/>
    <w:rsid w:val="00E31C2D"/>
    <w:rsid w:val="00E32002"/>
    <w:rsid w:val="00E32432"/>
    <w:rsid w:val="00E32675"/>
    <w:rsid w:val="00E33B1E"/>
    <w:rsid w:val="00E33B36"/>
    <w:rsid w:val="00E33CAA"/>
    <w:rsid w:val="00E34277"/>
    <w:rsid w:val="00E3548E"/>
    <w:rsid w:val="00E355D3"/>
    <w:rsid w:val="00E35A6E"/>
    <w:rsid w:val="00E35D33"/>
    <w:rsid w:val="00E3621B"/>
    <w:rsid w:val="00E364FE"/>
    <w:rsid w:val="00E36F43"/>
    <w:rsid w:val="00E376E9"/>
    <w:rsid w:val="00E37CD5"/>
    <w:rsid w:val="00E37F08"/>
    <w:rsid w:val="00E37F0C"/>
    <w:rsid w:val="00E401DA"/>
    <w:rsid w:val="00E40206"/>
    <w:rsid w:val="00E4076C"/>
    <w:rsid w:val="00E40ADF"/>
    <w:rsid w:val="00E40E51"/>
    <w:rsid w:val="00E40ED2"/>
    <w:rsid w:val="00E4147B"/>
    <w:rsid w:val="00E418E3"/>
    <w:rsid w:val="00E42106"/>
    <w:rsid w:val="00E423DE"/>
    <w:rsid w:val="00E42F07"/>
    <w:rsid w:val="00E43028"/>
    <w:rsid w:val="00E4370F"/>
    <w:rsid w:val="00E4441D"/>
    <w:rsid w:val="00E44537"/>
    <w:rsid w:val="00E44963"/>
    <w:rsid w:val="00E44BF9"/>
    <w:rsid w:val="00E45171"/>
    <w:rsid w:val="00E453AB"/>
    <w:rsid w:val="00E45409"/>
    <w:rsid w:val="00E45C16"/>
    <w:rsid w:val="00E462E6"/>
    <w:rsid w:val="00E463A0"/>
    <w:rsid w:val="00E46B3B"/>
    <w:rsid w:val="00E46DD7"/>
    <w:rsid w:val="00E46E3A"/>
    <w:rsid w:val="00E47839"/>
    <w:rsid w:val="00E50063"/>
    <w:rsid w:val="00E50089"/>
    <w:rsid w:val="00E5034B"/>
    <w:rsid w:val="00E510D7"/>
    <w:rsid w:val="00E513E2"/>
    <w:rsid w:val="00E51CDE"/>
    <w:rsid w:val="00E51D0F"/>
    <w:rsid w:val="00E5210B"/>
    <w:rsid w:val="00E52207"/>
    <w:rsid w:val="00E52236"/>
    <w:rsid w:val="00E53631"/>
    <w:rsid w:val="00E5388F"/>
    <w:rsid w:val="00E54239"/>
    <w:rsid w:val="00E54272"/>
    <w:rsid w:val="00E542BC"/>
    <w:rsid w:val="00E543A5"/>
    <w:rsid w:val="00E54521"/>
    <w:rsid w:val="00E54617"/>
    <w:rsid w:val="00E5484B"/>
    <w:rsid w:val="00E54D01"/>
    <w:rsid w:val="00E5557E"/>
    <w:rsid w:val="00E557F0"/>
    <w:rsid w:val="00E56023"/>
    <w:rsid w:val="00E56D6E"/>
    <w:rsid w:val="00E56FEF"/>
    <w:rsid w:val="00E571F2"/>
    <w:rsid w:val="00E5752F"/>
    <w:rsid w:val="00E577F9"/>
    <w:rsid w:val="00E57BC8"/>
    <w:rsid w:val="00E57FB5"/>
    <w:rsid w:val="00E60010"/>
    <w:rsid w:val="00E60301"/>
    <w:rsid w:val="00E604D4"/>
    <w:rsid w:val="00E60788"/>
    <w:rsid w:val="00E60F14"/>
    <w:rsid w:val="00E61B23"/>
    <w:rsid w:val="00E620E3"/>
    <w:rsid w:val="00E622A1"/>
    <w:rsid w:val="00E625BE"/>
    <w:rsid w:val="00E62837"/>
    <w:rsid w:val="00E6284B"/>
    <w:rsid w:val="00E62D07"/>
    <w:rsid w:val="00E62DF6"/>
    <w:rsid w:val="00E63A22"/>
    <w:rsid w:val="00E63B8F"/>
    <w:rsid w:val="00E6469E"/>
    <w:rsid w:val="00E646B5"/>
    <w:rsid w:val="00E65427"/>
    <w:rsid w:val="00E6543F"/>
    <w:rsid w:val="00E656E1"/>
    <w:rsid w:val="00E65A06"/>
    <w:rsid w:val="00E65EF7"/>
    <w:rsid w:val="00E66039"/>
    <w:rsid w:val="00E661C0"/>
    <w:rsid w:val="00E6635B"/>
    <w:rsid w:val="00E663F5"/>
    <w:rsid w:val="00E66427"/>
    <w:rsid w:val="00E664B1"/>
    <w:rsid w:val="00E664D0"/>
    <w:rsid w:val="00E66A34"/>
    <w:rsid w:val="00E66E97"/>
    <w:rsid w:val="00E70911"/>
    <w:rsid w:val="00E70BD6"/>
    <w:rsid w:val="00E711CA"/>
    <w:rsid w:val="00E71305"/>
    <w:rsid w:val="00E71548"/>
    <w:rsid w:val="00E71848"/>
    <w:rsid w:val="00E72361"/>
    <w:rsid w:val="00E72383"/>
    <w:rsid w:val="00E72470"/>
    <w:rsid w:val="00E724D2"/>
    <w:rsid w:val="00E72720"/>
    <w:rsid w:val="00E72D9F"/>
    <w:rsid w:val="00E72EBB"/>
    <w:rsid w:val="00E73BBF"/>
    <w:rsid w:val="00E73C41"/>
    <w:rsid w:val="00E741F7"/>
    <w:rsid w:val="00E74933"/>
    <w:rsid w:val="00E7494A"/>
    <w:rsid w:val="00E74EDC"/>
    <w:rsid w:val="00E75170"/>
    <w:rsid w:val="00E7522D"/>
    <w:rsid w:val="00E75737"/>
    <w:rsid w:val="00E75875"/>
    <w:rsid w:val="00E75886"/>
    <w:rsid w:val="00E75D6E"/>
    <w:rsid w:val="00E76007"/>
    <w:rsid w:val="00E76181"/>
    <w:rsid w:val="00E761CA"/>
    <w:rsid w:val="00E76949"/>
    <w:rsid w:val="00E7703E"/>
    <w:rsid w:val="00E770F2"/>
    <w:rsid w:val="00E771E7"/>
    <w:rsid w:val="00E7770C"/>
    <w:rsid w:val="00E77DEE"/>
    <w:rsid w:val="00E77EAC"/>
    <w:rsid w:val="00E80098"/>
    <w:rsid w:val="00E803CD"/>
    <w:rsid w:val="00E80EBD"/>
    <w:rsid w:val="00E81069"/>
    <w:rsid w:val="00E817AD"/>
    <w:rsid w:val="00E817EF"/>
    <w:rsid w:val="00E8184F"/>
    <w:rsid w:val="00E81AD7"/>
    <w:rsid w:val="00E81B46"/>
    <w:rsid w:val="00E81EA7"/>
    <w:rsid w:val="00E82152"/>
    <w:rsid w:val="00E82614"/>
    <w:rsid w:val="00E82800"/>
    <w:rsid w:val="00E828D5"/>
    <w:rsid w:val="00E82D81"/>
    <w:rsid w:val="00E83259"/>
    <w:rsid w:val="00E834D7"/>
    <w:rsid w:val="00E8394C"/>
    <w:rsid w:val="00E839BE"/>
    <w:rsid w:val="00E83C41"/>
    <w:rsid w:val="00E83C8B"/>
    <w:rsid w:val="00E83CAC"/>
    <w:rsid w:val="00E83F7B"/>
    <w:rsid w:val="00E84705"/>
    <w:rsid w:val="00E847FD"/>
    <w:rsid w:val="00E84C89"/>
    <w:rsid w:val="00E84E67"/>
    <w:rsid w:val="00E85871"/>
    <w:rsid w:val="00E85A1E"/>
    <w:rsid w:val="00E85BA0"/>
    <w:rsid w:val="00E85E56"/>
    <w:rsid w:val="00E860DD"/>
    <w:rsid w:val="00E862E9"/>
    <w:rsid w:val="00E86E8F"/>
    <w:rsid w:val="00E8713D"/>
    <w:rsid w:val="00E8722F"/>
    <w:rsid w:val="00E9024D"/>
    <w:rsid w:val="00E90329"/>
    <w:rsid w:val="00E910D5"/>
    <w:rsid w:val="00E91266"/>
    <w:rsid w:val="00E92180"/>
    <w:rsid w:val="00E922C4"/>
    <w:rsid w:val="00E937B5"/>
    <w:rsid w:val="00E93F69"/>
    <w:rsid w:val="00E943AE"/>
    <w:rsid w:val="00E9470C"/>
    <w:rsid w:val="00E947B0"/>
    <w:rsid w:val="00E9543A"/>
    <w:rsid w:val="00E954BC"/>
    <w:rsid w:val="00E95D82"/>
    <w:rsid w:val="00E95F21"/>
    <w:rsid w:val="00E96273"/>
    <w:rsid w:val="00E96852"/>
    <w:rsid w:val="00E96B61"/>
    <w:rsid w:val="00E96E97"/>
    <w:rsid w:val="00E97472"/>
    <w:rsid w:val="00E975D6"/>
    <w:rsid w:val="00E97D49"/>
    <w:rsid w:val="00EA0251"/>
    <w:rsid w:val="00EA0843"/>
    <w:rsid w:val="00EA091B"/>
    <w:rsid w:val="00EA0D16"/>
    <w:rsid w:val="00EA0FBF"/>
    <w:rsid w:val="00EA1065"/>
    <w:rsid w:val="00EA1434"/>
    <w:rsid w:val="00EA2342"/>
    <w:rsid w:val="00EA2AAA"/>
    <w:rsid w:val="00EA2ADF"/>
    <w:rsid w:val="00EA2D21"/>
    <w:rsid w:val="00EA3C3E"/>
    <w:rsid w:val="00EA4694"/>
    <w:rsid w:val="00EA48D3"/>
    <w:rsid w:val="00EA50B5"/>
    <w:rsid w:val="00EA51FE"/>
    <w:rsid w:val="00EA546B"/>
    <w:rsid w:val="00EA57C5"/>
    <w:rsid w:val="00EA5D72"/>
    <w:rsid w:val="00EA5D7E"/>
    <w:rsid w:val="00EA5DAE"/>
    <w:rsid w:val="00EA5F31"/>
    <w:rsid w:val="00EA5F92"/>
    <w:rsid w:val="00EA64B4"/>
    <w:rsid w:val="00EA65F1"/>
    <w:rsid w:val="00EA6665"/>
    <w:rsid w:val="00EA6935"/>
    <w:rsid w:val="00EA6967"/>
    <w:rsid w:val="00EA6A15"/>
    <w:rsid w:val="00EA6E9F"/>
    <w:rsid w:val="00EA6F44"/>
    <w:rsid w:val="00EA7613"/>
    <w:rsid w:val="00EA7683"/>
    <w:rsid w:val="00EA793B"/>
    <w:rsid w:val="00EA7A7E"/>
    <w:rsid w:val="00EA7B68"/>
    <w:rsid w:val="00EA7E8E"/>
    <w:rsid w:val="00EB036A"/>
    <w:rsid w:val="00EB05DA"/>
    <w:rsid w:val="00EB094B"/>
    <w:rsid w:val="00EB0D74"/>
    <w:rsid w:val="00EB190F"/>
    <w:rsid w:val="00EB1C79"/>
    <w:rsid w:val="00EB235B"/>
    <w:rsid w:val="00EB2566"/>
    <w:rsid w:val="00EB2A73"/>
    <w:rsid w:val="00EB31A3"/>
    <w:rsid w:val="00EB325B"/>
    <w:rsid w:val="00EB3630"/>
    <w:rsid w:val="00EB39EC"/>
    <w:rsid w:val="00EB3E22"/>
    <w:rsid w:val="00EB4358"/>
    <w:rsid w:val="00EB47F8"/>
    <w:rsid w:val="00EB495D"/>
    <w:rsid w:val="00EB5919"/>
    <w:rsid w:val="00EB5CA4"/>
    <w:rsid w:val="00EB6245"/>
    <w:rsid w:val="00EB6801"/>
    <w:rsid w:val="00EB693B"/>
    <w:rsid w:val="00EB6D0A"/>
    <w:rsid w:val="00EB6F92"/>
    <w:rsid w:val="00EB710F"/>
    <w:rsid w:val="00EB7587"/>
    <w:rsid w:val="00EB7BA9"/>
    <w:rsid w:val="00EB7D75"/>
    <w:rsid w:val="00EB7F8B"/>
    <w:rsid w:val="00EC0232"/>
    <w:rsid w:val="00EC0367"/>
    <w:rsid w:val="00EC0569"/>
    <w:rsid w:val="00EC07E8"/>
    <w:rsid w:val="00EC0B20"/>
    <w:rsid w:val="00EC0EE7"/>
    <w:rsid w:val="00EC153D"/>
    <w:rsid w:val="00EC169D"/>
    <w:rsid w:val="00EC19C6"/>
    <w:rsid w:val="00EC1C3A"/>
    <w:rsid w:val="00EC1D2F"/>
    <w:rsid w:val="00EC1F51"/>
    <w:rsid w:val="00EC2030"/>
    <w:rsid w:val="00EC21DF"/>
    <w:rsid w:val="00EC225A"/>
    <w:rsid w:val="00EC2317"/>
    <w:rsid w:val="00EC2B1D"/>
    <w:rsid w:val="00EC3E37"/>
    <w:rsid w:val="00EC3EFF"/>
    <w:rsid w:val="00EC4233"/>
    <w:rsid w:val="00EC4544"/>
    <w:rsid w:val="00EC4563"/>
    <w:rsid w:val="00EC4892"/>
    <w:rsid w:val="00EC4A05"/>
    <w:rsid w:val="00EC4A85"/>
    <w:rsid w:val="00EC4F79"/>
    <w:rsid w:val="00EC4FA1"/>
    <w:rsid w:val="00EC57B2"/>
    <w:rsid w:val="00EC58F4"/>
    <w:rsid w:val="00EC6489"/>
    <w:rsid w:val="00EC650B"/>
    <w:rsid w:val="00EC65E2"/>
    <w:rsid w:val="00EC7808"/>
    <w:rsid w:val="00EC7895"/>
    <w:rsid w:val="00EC7BFA"/>
    <w:rsid w:val="00EC7C32"/>
    <w:rsid w:val="00ED042E"/>
    <w:rsid w:val="00ED0AB6"/>
    <w:rsid w:val="00ED0D23"/>
    <w:rsid w:val="00ED0D2A"/>
    <w:rsid w:val="00ED1295"/>
    <w:rsid w:val="00ED1D3C"/>
    <w:rsid w:val="00ED2725"/>
    <w:rsid w:val="00ED2F7D"/>
    <w:rsid w:val="00ED3210"/>
    <w:rsid w:val="00ED34D1"/>
    <w:rsid w:val="00ED367F"/>
    <w:rsid w:val="00ED387D"/>
    <w:rsid w:val="00ED4206"/>
    <w:rsid w:val="00ED46ED"/>
    <w:rsid w:val="00ED52D5"/>
    <w:rsid w:val="00ED58A2"/>
    <w:rsid w:val="00ED58C3"/>
    <w:rsid w:val="00ED5AD2"/>
    <w:rsid w:val="00ED5C2A"/>
    <w:rsid w:val="00ED5C71"/>
    <w:rsid w:val="00ED5C89"/>
    <w:rsid w:val="00ED5EEE"/>
    <w:rsid w:val="00ED667C"/>
    <w:rsid w:val="00ED72A0"/>
    <w:rsid w:val="00ED7708"/>
    <w:rsid w:val="00ED7966"/>
    <w:rsid w:val="00ED79A0"/>
    <w:rsid w:val="00ED7B22"/>
    <w:rsid w:val="00EE01CC"/>
    <w:rsid w:val="00EE0202"/>
    <w:rsid w:val="00EE021B"/>
    <w:rsid w:val="00EE0230"/>
    <w:rsid w:val="00EE0337"/>
    <w:rsid w:val="00EE04EE"/>
    <w:rsid w:val="00EE0533"/>
    <w:rsid w:val="00EE1760"/>
    <w:rsid w:val="00EE287D"/>
    <w:rsid w:val="00EE31AB"/>
    <w:rsid w:val="00EE393B"/>
    <w:rsid w:val="00EE3B32"/>
    <w:rsid w:val="00EE3CFF"/>
    <w:rsid w:val="00EE3F0D"/>
    <w:rsid w:val="00EE3F39"/>
    <w:rsid w:val="00EE414C"/>
    <w:rsid w:val="00EE44FE"/>
    <w:rsid w:val="00EE5406"/>
    <w:rsid w:val="00EE5EF8"/>
    <w:rsid w:val="00EE6004"/>
    <w:rsid w:val="00EE6964"/>
    <w:rsid w:val="00EE6A1D"/>
    <w:rsid w:val="00EE6D18"/>
    <w:rsid w:val="00EE700A"/>
    <w:rsid w:val="00EE7D32"/>
    <w:rsid w:val="00EE7E7A"/>
    <w:rsid w:val="00EE96AF"/>
    <w:rsid w:val="00EF03C6"/>
    <w:rsid w:val="00EF1184"/>
    <w:rsid w:val="00EF1230"/>
    <w:rsid w:val="00EF1935"/>
    <w:rsid w:val="00EF194A"/>
    <w:rsid w:val="00EF1DFB"/>
    <w:rsid w:val="00EF223B"/>
    <w:rsid w:val="00EF23B5"/>
    <w:rsid w:val="00EF24FB"/>
    <w:rsid w:val="00EF269C"/>
    <w:rsid w:val="00EF27C7"/>
    <w:rsid w:val="00EF2855"/>
    <w:rsid w:val="00EF29DE"/>
    <w:rsid w:val="00EF2E97"/>
    <w:rsid w:val="00EF3978"/>
    <w:rsid w:val="00EF3AAC"/>
    <w:rsid w:val="00EF4D42"/>
    <w:rsid w:val="00EF4FD1"/>
    <w:rsid w:val="00EF5318"/>
    <w:rsid w:val="00EF53D6"/>
    <w:rsid w:val="00EF549D"/>
    <w:rsid w:val="00EF5712"/>
    <w:rsid w:val="00EF5E23"/>
    <w:rsid w:val="00EF6014"/>
    <w:rsid w:val="00EF627B"/>
    <w:rsid w:val="00EF708A"/>
    <w:rsid w:val="00EF72C3"/>
    <w:rsid w:val="00EF74A6"/>
    <w:rsid w:val="00EF79CE"/>
    <w:rsid w:val="00EF7B04"/>
    <w:rsid w:val="00EF7BC0"/>
    <w:rsid w:val="00F00152"/>
    <w:rsid w:val="00F0028F"/>
    <w:rsid w:val="00F00352"/>
    <w:rsid w:val="00F00B1B"/>
    <w:rsid w:val="00F00E37"/>
    <w:rsid w:val="00F010EE"/>
    <w:rsid w:val="00F01258"/>
    <w:rsid w:val="00F01383"/>
    <w:rsid w:val="00F01594"/>
    <w:rsid w:val="00F0167D"/>
    <w:rsid w:val="00F0177A"/>
    <w:rsid w:val="00F017F9"/>
    <w:rsid w:val="00F019D5"/>
    <w:rsid w:val="00F02294"/>
    <w:rsid w:val="00F02500"/>
    <w:rsid w:val="00F028AE"/>
    <w:rsid w:val="00F032E2"/>
    <w:rsid w:val="00F0349C"/>
    <w:rsid w:val="00F0351F"/>
    <w:rsid w:val="00F037E3"/>
    <w:rsid w:val="00F03FF2"/>
    <w:rsid w:val="00F04F9E"/>
    <w:rsid w:val="00F050BE"/>
    <w:rsid w:val="00F051BE"/>
    <w:rsid w:val="00F054C3"/>
    <w:rsid w:val="00F05A37"/>
    <w:rsid w:val="00F06A47"/>
    <w:rsid w:val="00F06CC4"/>
    <w:rsid w:val="00F06F71"/>
    <w:rsid w:val="00F0717F"/>
    <w:rsid w:val="00F0747A"/>
    <w:rsid w:val="00F075F1"/>
    <w:rsid w:val="00F07849"/>
    <w:rsid w:val="00F07882"/>
    <w:rsid w:val="00F07883"/>
    <w:rsid w:val="00F07BC4"/>
    <w:rsid w:val="00F07C18"/>
    <w:rsid w:val="00F10177"/>
    <w:rsid w:val="00F10681"/>
    <w:rsid w:val="00F1071E"/>
    <w:rsid w:val="00F10CD3"/>
    <w:rsid w:val="00F10D83"/>
    <w:rsid w:val="00F10ED3"/>
    <w:rsid w:val="00F11737"/>
    <w:rsid w:val="00F118DD"/>
    <w:rsid w:val="00F1196B"/>
    <w:rsid w:val="00F11A6A"/>
    <w:rsid w:val="00F126BD"/>
    <w:rsid w:val="00F12D98"/>
    <w:rsid w:val="00F13433"/>
    <w:rsid w:val="00F134FC"/>
    <w:rsid w:val="00F1350E"/>
    <w:rsid w:val="00F13627"/>
    <w:rsid w:val="00F13A02"/>
    <w:rsid w:val="00F14419"/>
    <w:rsid w:val="00F1470E"/>
    <w:rsid w:val="00F147A5"/>
    <w:rsid w:val="00F14AA7"/>
    <w:rsid w:val="00F14BFB"/>
    <w:rsid w:val="00F14D75"/>
    <w:rsid w:val="00F15884"/>
    <w:rsid w:val="00F15B8E"/>
    <w:rsid w:val="00F1644C"/>
    <w:rsid w:val="00F16665"/>
    <w:rsid w:val="00F16FB0"/>
    <w:rsid w:val="00F1718E"/>
    <w:rsid w:val="00F1733B"/>
    <w:rsid w:val="00F17474"/>
    <w:rsid w:val="00F176A2"/>
    <w:rsid w:val="00F201CC"/>
    <w:rsid w:val="00F20487"/>
    <w:rsid w:val="00F20B29"/>
    <w:rsid w:val="00F20D40"/>
    <w:rsid w:val="00F20F65"/>
    <w:rsid w:val="00F2106D"/>
    <w:rsid w:val="00F2151C"/>
    <w:rsid w:val="00F215F6"/>
    <w:rsid w:val="00F221D5"/>
    <w:rsid w:val="00F221F5"/>
    <w:rsid w:val="00F221FA"/>
    <w:rsid w:val="00F22337"/>
    <w:rsid w:val="00F22D65"/>
    <w:rsid w:val="00F22FD1"/>
    <w:rsid w:val="00F23175"/>
    <w:rsid w:val="00F23A41"/>
    <w:rsid w:val="00F23FB0"/>
    <w:rsid w:val="00F2438B"/>
    <w:rsid w:val="00F2480A"/>
    <w:rsid w:val="00F24891"/>
    <w:rsid w:val="00F24B9F"/>
    <w:rsid w:val="00F24CA6"/>
    <w:rsid w:val="00F24CB0"/>
    <w:rsid w:val="00F25558"/>
    <w:rsid w:val="00F256AE"/>
    <w:rsid w:val="00F25773"/>
    <w:rsid w:val="00F257FA"/>
    <w:rsid w:val="00F26004"/>
    <w:rsid w:val="00F26BD0"/>
    <w:rsid w:val="00F270E8"/>
    <w:rsid w:val="00F279E0"/>
    <w:rsid w:val="00F27E5B"/>
    <w:rsid w:val="00F27EF5"/>
    <w:rsid w:val="00F27FDB"/>
    <w:rsid w:val="00F30251"/>
    <w:rsid w:val="00F305CC"/>
    <w:rsid w:val="00F30D67"/>
    <w:rsid w:val="00F31472"/>
    <w:rsid w:val="00F3179A"/>
    <w:rsid w:val="00F31D54"/>
    <w:rsid w:val="00F31D7D"/>
    <w:rsid w:val="00F322EE"/>
    <w:rsid w:val="00F32357"/>
    <w:rsid w:val="00F323D4"/>
    <w:rsid w:val="00F32759"/>
    <w:rsid w:val="00F32896"/>
    <w:rsid w:val="00F32BDD"/>
    <w:rsid w:val="00F32C70"/>
    <w:rsid w:val="00F32D7B"/>
    <w:rsid w:val="00F334C0"/>
    <w:rsid w:val="00F334DF"/>
    <w:rsid w:val="00F33E64"/>
    <w:rsid w:val="00F33F65"/>
    <w:rsid w:val="00F3430D"/>
    <w:rsid w:val="00F34377"/>
    <w:rsid w:val="00F34BB5"/>
    <w:rsid w:val="00F34E02"/>
    <w:rsid w:val="00F34FC2"/>
    <w:rsid w:val="00F351BA"/>
    <w:rsid w:val="00F35445"/>
    <w:rsid w:val="00F3549E"/>
    <w:rsid w:val="00F36015"/>
    <w:rsid w:val="00F36108"/>
    <w:rsid w:val="00F365A7"/>
    <w:rsid w:val="00F3681C"/>
    <w:rsid w:val="00F3695A"/>
    <w:rsid w:val="00F3769D"/>
    <w:rsid w:val="00F37A4E"/>
    <w:rsid w:val="00F4028C"/>
    <w:rsid w:val="00F404F4"/>
    <w:rsid w:val="00F4074C"/>
    <w:rsid w:val="00F4143E"/>
    <w:rsid w:val="00F41BF0"/>
    <w:rsid w:val="00F41CC5"/>
    <w:rsid w:val="00F41D25"/>
    <w:rsid w:val="00F423C2"/>
    <w:rsid w:val="00F42771"/>
    <w:rsid w:val="00F433F8"/>
    <w:rsid w:val="00F433FE"/>
    <w:rsid w:val="00F43627"/>
    <w:rsid w:val="00F43781"/>
    <w:rsid w:val="00F43CF3"/>
    <w:rsid w:val="00F43D54"/>
    <w:rsid w:val="00F440AB"/>
    <w:rsid w:val="00F4463C"/>
    <w:rsid w:val="00F44664"/>
    <w:rsid w:val="00F44749"/>
    <w:rsid w:val="00F4480F"/>
    <w:rsid w:val="00F4510E"/>
    <w:rsid w:val="00F45E45"/>
    <w:rsid w:val="00F468A3"/>
    <w:rsid w:val="00F4695B"/>
    <w:rsid w:val="00F46FEA"/>
    <w:rsid w:val="00F473A5"/>
    <w:rsid w:val="00F473F3"/>
    <w:rsid w:val="00F474B8"/>
    <w:rsid w:val="00F47855"/>
    <w:rsid w:val="00F478CA"/>
    <w:rsid w:val="00F47CE2"/>
    <w:rsid w:val="00F501F3"/>
    <w:rsid w:val="00F5026F"/>
    <w:rsid w:val="00F504D5"/>
    <w:rsid w:val="00F50807"/>
    <w:rsid w:val="00F509A7"/>
    <w:rsid w:val="00F50A98"/>
    <w:rsid w:val="00F50E5F"/>
    <w:rsid w:val="00F5100B"/>
    <w:rsid w:val="00F512D8"/>
    <w:rsid w:val="00F51460"/>
    <w:rsid w:val="00F51667"/>
    <w:rsid w:val="00F521DC"/>
    <w:rsid w:val="00F525EE"/>
    <w:rsid w:val="00F53199"/>
    <w:rsid w:val="00F53A72"/>
    <w:rsid w:val="00F53D84"/>
    <w:rsid w:val="00F53FB3"/>
    <w:rsid w:val="00F541A1"/>
    <w:rsid w:val="00F548DA"/>
    <w:rsid w:val="00F54B09"/>
    <w:rsid w:val="00F54BEA"/>
    <w:rsid w:val="00F54E8A"/>
    <w:rsid w:val="00F5517A"/>
    <w:rsid w:val="00F55243"/>
    <w:rsid w:val="00F559A8"/>
    <w:rsid w:val="00F55C21"/>
    <w:rsid w:val="00F55E5F"/>
    <w:rsid w:val="00F55F6D"/>
    <w:rsid w:val="00F5603D"/>
    <w:rsid w:val="00F562C5"/>
    <w:rsid w:val="00F56DE5"/>
    <w:rsid w:val="00F5704D"/>
    <w:rsid w:val="00F5736B"/>
    <w:rsid w:val="00F57691"/>
    <w:rsid w:val="00F576EF"/>
    <w:rsid w:val="00F57880"/>
    <w:rsid w:val="00F57EE1"/>
    <w:rsid w:val="00F6084A"/>
    <w:rsid w:val="00F608AB"/>
    <w:rsid w:val="00F60BE7"/>
    <w:rsid w:val="00F6159C"/>
    <w:rsid w:val="00F61714"/>
    <w:rsid w:val="00F617F2"/>
    <w:rsid w:val="00F61F2B"/>
    <w:rsid w:val="00F6233A"/>
    <w:rsid w:val="00F6238F"/>
    <w:rsid w:val="00F62FD0"/>
    <w:rsid w:val="00F6356C"/>
    <w:rsid w:val="00F63E59"/>
    <w:rsid w:val="00F640C9"/>
    <w:rsid w:val="00F648F8"/>
    <w:rsid w:val="00F64BE0"/>
    <w:rsid w:val="00F65653"/>
    <w:rsid w:val="00F6575B"/>
    <w:rsid w:val="00F659B4"/>
    <w:rsid w:val="00F65B68"/>
    <w:rsid w:val="00F65CE3"/>
    <w:rsid w:val="00F6724C"/>
    <w:rsid w:val="00F67846"/>
    <w:rsid w:val="00F67AA6"/>
    <w:rsid w:val="00F67B42"/>
    <w:rsid w:val="00F67D7B"/>
    <w:rsid w:val="00F67EF1"/>
    <w:rsid w:val="00F70B72"/>
    <w:rsid w:val="00F70D1B"/>
    <w:rsid w:val="00F70DEF"/>
    <w:rsid w:val="00F70E2C"/>
    <w:rsid w:val="00F70EA3"/>
    <w:rsid w:val="00F71398"/>
    <w:rsid w:val="00F71C64"/>
    <w:rsid w:val="00F722EA"/>
    <w:rsid w:val="00F7294C"/>
    <w:rsid w:val="00F7297F"/>
    <w:rsid w:val="00F72C5F"/>
    <w:rsid w:val="00F73549"/>
    <w:rsid w:val="00F735F6"/>
    <w:rsid w:val="00F7425B"/>
    <w:rsid w:val="00F74428"/>
    <w:rsid w:val="00F744DE"/>
    <w:rsid w:val="00F74586"/>
    <w:rsid w:val="00F74F14"/>
    <w:rsid w:val="00F75782"/>
    <w:rsid w:val="00F75E73"/>
    <w:rsid w:val="00F75F98"/>
    <w:rsid w:val="00F76486"/>
    <w:rsid w:val="00F767AD"/>
    <w:rsid w:val="00F769CC"/>
    <w:rsid w:val="00F769E9"/>
    <w:rsid w:val="00F76DB3"/>
    <w:rsid w:val="00F76EBD"/>
    <w:rsid w:val="00F77045"/>
    <w:rsid w:val="00F80933"/>
    <w:rsid w:val="00F80C1D"/>
    <w:rsid w:val="00F81130"/>
    <w:rsid w:val="00F8170A"/>
    <w:rsid w:val="00F818F7"/>
    <w:rsid w:val="00F819FE"/>
    <w:rsid w:val="00F822D5"/>
    <w:rsid w:val="00F823E1"/>
    <w:rsid w:val="00F824C3"/>
    <w:rsid w:val="00F82916"/>
    <w:rsid w:val="00F82A53"/>
    <w:rsid w:val="00F8325D"/>
    <w:rsid w:val="00F832A9"/>
    <w:rsid w:val="00F832B0"/>
    <w:rsid w:val="00F83307"/>
    <w:rsid w:val="00F833A5"/>
    <w:rsid w:val="00F83D5E"/>
    <w:rsid w:val="00F841D4"/>
    <w:rsid w:val="00F844D3"/>
    <w:rsid w:val="00F84629"/>
    <w:rsid w:val="00F8476F"/>
    <w:rsid w:val="00F84B71"/>
    <w:rsid w:val="00F84F0E"/>
    <w:rsid w:val="00F8519E"/>
    <w:rsid w:val="00F85468"/>
    <w:rsid w:val="00F85E2D"/>
    <w:rsid w:val="00F85EC4"/>
    <w:rsid w:val="00F85FF5"/>
    <w:rsid w:val="00F86BB4"/>
    <w:rsid w:val="00F870F5"/>
    <w:rsid w:val="00F902D2"/>
    <w:rsid w:val="00F90B12"/>
    <w:rsid w:val="00F90B20"/>
    <w:rsid w:val="00F90CBD"/>
    <w:rsid w:val="00F9109E"/>
    <w:rsid w:val="00F9177E"/>
    <w:rsid w:val="00F91E4F"/>
    <w:rsid w:val="00F91F2B"/>
    <w:rsid w:val="00F91FDF"/>
    <w:rsid w:val="00F92734"/>
    <w:rsid w:val="00F92AA1"/>
    <w:rsid w:val="00F92FDC"/>
    <w:rsid w:val="00F931D2"/>
    <w:rsid w:val="00F93431"/>
    <w:rsid w:val="00F937EC"/>
    <w:rsid w:val="00F9381D"/>
    <w:rsid w:val="00F93A3F"/>
    <w:rsid w:val="00F93A4A"/>
    <w:rsid w:val="00F93D27"/>
    <w:rsid w:val="00F9496F"/>
    <w:rsid w:val="00F94FA1"/>
    <w:rsid w:val="00F95277"/>
    <w:rsid w:val="00F95DD6"/>
    <w:rsid w:val="00F96370"/>
    <w:rsid w:val="00F96C0D"/>
    <w:rsid w:val="00F97287"/>
    <w:rsid w:val="00F97940"/>
    <w:rsid w:val="00F97ACF"/>
    <w:rsid w:val="00F97BA3"/>
    <w:rsid w:val="00F97D11"/>
    <w:rsid w:val="00F97DDD"/>
    <w:rsid w:val="00F97EA2"/>
    <w:rsid w:val="00F97F0D"/>
    <w:rsid w:val="00FA02BC"/>
    <w:rsid w:val="00FA08D6"/>
    <w:rsid w:val="00FA0B0A"/>
    <w:rsid w:val="00FA121C"/>
    <w:rsid w:val="00FA12DD"/>
    <w:rsid w:val="00FA1407"/>
    <w:rsid w:val="00FA1A68"/>
    <w:rsid w:val="00FA1A9A"/>
    <w:rsid w:val="00FA1AC8"/>
    <w:rsid w:val="00FA1B1A"/>
    <w:rsid w:val="00FA206F"/>
    <w:rsid w:val="00FA2165"/>
    <w:rsid w:val="00FA230B"/>
    <w:rsid w:val="00FA2747"/>
    <w:rsid w:val="00FA2A33"/>
    <w:rsid w:val="00FA2BA1"/>
    <w:rsid w:val="00FA2C27"/>
    <w:rsid w:val="00FA2C8F"/>
    <w:rsid w:val="00FA2CF7"/>
    <w:rsid w:val="00FA3410"/>
    <w:rsid w:val="00FA360B"/>
    <w:rsid w:val="00FA3860"/>
    <w:rsid w:val="00FA3A50"/>
    <w:rsid w:val="00FA3F27"/>
    <w:rsid w:val="00FA46AF"/>
    <w:rsid w:val="00FA4763"/>
    <w:rsid w:val="00FA4830"/>
    <w:rsid w:val="00FA4EF4"/>
    <w:rsid w:val="00FA5032"/>
    <w:rsid w:val="00FA5081"/>
    <w:rsid w:val="00FA5F2B"/>
    <w:rsid w:val="00FA6980"/>
    <w:rsid w:val="00FA6C87"/>
    <w:rsid w:val="00FA6CDF"/>
    <w:rsid w:val="00FA6F23"/>
    <w:rsid w:val="00FA7BB5"/>
    <w:rsid w:val="00FA7C85"/>
    <w:rsid w:val="00FA7DC3"/>
    <w:rsid w:val="00FB042E"/>
    <w:rsid w:val="00FB12D8"/>
    <w:rsid w:val="00FB176A"/>
    <w:rsid w:val="00FB18D6"/>
    <w:rsid w:val="00FB195E"/>
    <w:rsid w:val="00FB1CDC"/>
    <w:rsid w:val="00FB238A"/>
    <w:rsid w:val="00FB2446"/>
    <w:rsid w:val="00FB2C81"/>
    <w:rsid w:val="00FB3BC4"/>
    <w:rsid w:val="00FB3ED8"/>
    <w:rsid w:val="00FB3F9C"/>
    <w:rsid w:val="00FB3FDE"/>
    <w:rsid w:val="00FB4033"/>
    <w:rsid w:val="00FB4676"/>
    <w:rsid w:val="00FB489B"/>
    <w:rsid w:val="00FB48B4"/>
    <w:rsid w:val="00FB4D0F"/>
    <w:rsid w:val="00FB5552"/>
    <w:rsid w:val="00FB5789"/>
    <w:rsid w:val="00FB5F3A"/>
    <w:rsid w:val="00FB6AA9"/>
    <w:rsid w:val="00FB6AD4"/>
    <w:rsid w:val="00FB741C"/>
    <w:rsid w:val="00FB7B0A"/>
    <w:rsid w:val="00FB7E21"/>
    <w:rsid w:val="00FB7F22"/>
    <w:rsid w:val="00FC00F3"/>
    <w:rsid w:val="00FC015C"/>
    <w:rsid w:val="00FC0214"/>
    <w:rsid w:val="00FC0A33"/>
    <w:rsid w:val="00FC1416"/>
    <w:rsid w:val="00FC14B2"/>
    <w:rsid w:val="00FC1728"/>
    <w:rsid w:val="00FC1823"/>
    <w:rsid w:val="00FC216E"/>
    <w:rsid w:val="00FC2198"/>
    <w:rsid w:val="00FC26A4"/>
    <w:rsid w:val="00FC2C93"/>
    <w:rsid w:val="00FC30B7"/>
    <w:rsid w:val="00FC325A"/>
    <w:rsid w:val="00FC33ED"/>
    <w:rsid w:val="00FC3901"/>
    <w:rsid w:val="00FC43AD"/>
    <w:rsid w:val="00FC4F9F"/>
    <w:rsid w:val="00FC5778"/>
    <w:rsid w:val="00FC583B"/>
    <w:rsid w:val="00FC5876"/>
    <w:rsid w:val="00FC5A25"/>
    <w:rsid w:val="00FC62F5"/>
    <w:rsid w:val="00FC6E21"/>
    <w:rsid w:val="00FC713D"/>
    <w:rsid w:val="00FC731E"/>
    <w:rsid w:val="00FC7DF6"/>
    <w:rsid w:val="00FD035A"/>
    <w:rsid w:val="00FD08A4"/>
    <w:rsid w:val="00FD128D"/>
    <w:rsid w:val="00FD12B5"/>
    <w:rsid w:val="00FD13BD"/>
    <w:rsid w:val="00FD171C"/>
    <w:rsid w:val="00FD19F1"/>
    <w:rsid w:val="00FD1A7E"/>
    <w:rsid w:val="00FD1FA0"/>
    <w:rsid w:val="00FD2981"/>
    <w:rsid w:val="00FD2BEB"/>
    <w:rsid w:val="00FD2CC3"/>
    <w:rsid w:val="00FD2D54"/>
    <w:rsid w:val="00FD2F8A"/>
    <w:rsid w:val="00FD31BF"/>
    <w:rsid w:val="00FD391A"/>
    <w:rsid w:val="00FD3CC7"/>
    <w:rsid w:val="00FD4148"/>
    <w:rsid w:val="00FD48C3"/>
    <w:rsid w:val="00FD4D5B"/>
    <w:rsid w:val="00FD5B8F"/>
    <w:rsid w:val="00FD6453"/>
    <w:rsid w:val="00FD67FD"/>
    <w:rsid w:val="00FD697C"/>
    <w:rsid w:val="00FD6F52"/>
    <w:rsid w:val="00FD7CB2"/>
    <w:rsid w:val="00FD7D46"/>
    <w:rsid w:val="00FD7D8B"/>
    <w:rsid w:val="00FE006B"/>
    <w:rsid w:val="00FE09B2"/>
    <w:rsid w:val="00FE0AD4"/>
    <w:rsid w:val="00FE0AF2"/>
    <w:rsid w:val="00FE1C47"/>
    <w:rsid w:val="00FE22DD"/>
    <w:rsid w:val="00FE2CFB"/>
    <w:rsid w:val="00FE2EF7"/>
    <w:rsid w:val="00FE4187"/>
    <w:rsid w:val="00FE46A3"/>
    <w:rsid w:val="00FE4A60"/>
    <w:rsid w:val="00FE543F"/>
    <w:rsid w:val="00FE54E0"/>
    <w:rsid w:val="00FE55F0"/>
    <w:rsid w:val="00FE5E0A"/>
    <w:rsid w:val="00FE6331"/>
    <w:rsid w:val="00FE63E3"/>
    <w:rsid w:val="00FE685B"/>
    <w:rsid w:val="00FE68D1"/>
    <w:rsid w:val="00FE6C12"/>
    <w:rsid w:val="00FE71AC"/>
    <w:rsid w:val="00FE7894"/>
    <w:rsid w:val="00FE7B18"/>
    <w:rsid w:val="00FE7D90"/>
    <w:rsid w:val="00FF01FA"/>
    <w:rsid w:val="00FF0234"/>
    <w:rsid w:val="00FF0EB4"/>
    <w:rsid w:val="00FF1392"/>
    <w:rsid w:val="00FF164D"/>
    <w:rsid w:val="00FF19F5"/>
    <w:rsid w:val="00FF1CEA"/>
    <w:rsid w:val="00FF21B5"/>
    <w:rsid w:val="00FF21C3"/>
    <w:rsid w:val="00FF29D7"/>
    <w:rsid w:val="00FF2A11"/>
    <w:rsid w:val="00FF2AA0"/>
    <w:rsid w:val="00FF30EA"/>
    <w:rsid w:val="00FF368E"/>
    <w:rsid w:val="00FF376D"/>
    <w:rsid w:val="00FF3A81"/>
    <w:rsid w:val="00FF3F6C"/>
    <w:rsid w:val="00FF4016"/>
    <w:rsid w:val="00FF4595"/>
    <w:rsid w:val="00FF4603"/>
    <w:rsid w:val="00FF4B07"/>
    <w:rsid w:val="00FF4BFC"/>
    <w:rsid w:val="00FF4C11"/>
    <w:rsid w:val="00FF4E6F"/>
    <w:rsid w:val="00FF4F05"/>
    <w:rsid w:val="00FF56B9"/>
    <w:rsid w:val="00FF57E8"/>
    <w:rsid w:val="00FF58C0"/>
    <w:rsid w:val="00FF5948"/>
    <w:rsid w:val="00FF6B71"/>
    <w:rsid w:val="00FF6D0F"/>
    <w:rsid w:val="00FF6E25"/>
    <w:rsid w:val="00FF6EDF"/>
    <w:rsid w:val="00FF6EEA"/>
    <w:rsid w:val="00FF6FC8"/>
    <w:rsid w:val="00FF7069"/>
    <w:rsid w:val="00FF70CC"/>
    <w:rsid w:val="00FF7328"/>
    <w:rsid w:val="00FF77DF"/>
    <w:rsid w:val="00FF7943"/>
    <w:rsid w:val="00FF7ABB"/>
    <w:rsid w:val="00FF7B99"/>
    <w:rsid w:val="01029A9C"/>
    <w:rsid w:val="011DD2C4"/>
    <w:rsid w:val="0128F93E"/>
    <w:rsid w:val="013B2642"/>
    <w:rsid w:val="0148FFE9"/>
    <w:rsid w:val="0153A459"/>
    <w:rsid w:val="015C605C"/>
    <w:rsid w:val="015DDA69"/>
    <w:rsid w:val="016A1F00"/>
    <w:rsid w:val="01730A5F"/>
    <w:rsid w:val="0179B490"/>
    <w:rsid w:val="018E369F"/>
    <w:rsid w:val="0190D1FF"/>
    <w:rsid w:val="019AB92C"/>
    <w:rsid w:val="01A4A357"/>
    <w:rsid w:val="01A9A481"/>
    <w:rsid w:val="01AD8867"/>
    <w:rsid w:val="01AFD66B"/>
    <w:rsid w:val="01BEAB53"/>
    <w:rsid w:val="01C3E8D3"/>
    <w:rsid w:val="01C4C36A"/>
    <w:rsid w:val="01DCEF0C"/>
    <w:rsid w:val="01EA6451"/>
    <w:rsid w:val="0200F0A4"/>
    <w:rsid w:val="020F29DD"/>
    <w:rsid w:val="021375F4"/>
    <w:rsid w:val="0215483C"/>
    <w:rsid w:val="0220EBB1"/>
    <w:rsid w:val="022253C6"/>
    <w:rsid w:val="02268910"/>
    <w:rsid w:val="022CF227"/>
    <w:rsid w:val="02391C0C"/>
    <w:rsid w:val="02439BEB"/>
    <w:rsid w:val="0250AE06"/>
    <w:rsid w:val="027A8D51"/>
    <w:rsid w:val="027C824A"/>
    <w:rsid w:val="028AE91A"/>
    <w:rsid w:val="02930AAF"/>
    <w:rsid w:val="02A2923F"/>
    <w:rsid w:val="02AD63DA"/>
    <w:rsid w:val="02B6B5FA"/>
    <w:rsid w:val="02B85DFF"/>
    <w:rsid w:val="02C14601"/>
    <w:rsid w:val="02CF2B7B"/>
    <w:rsid w:val="02D6062C"/>
    <w:rsid w:val="02D8F58C"/>
    <w:rsid w:val="02DABC7B"/>
    <w:rsid w:val="02FA61CC"/>
    <w:rsid w:val="02FB49A5"/>
    <w:rsid w:val="03000DCD"/>
    <w:rsid w:val="031848AA"/>
    <w:rsid w:val="031B2E4F"/>
    <w:rsid w:val="031D5B4E"/>
    <w:rsid w:val="0321A8AD"/>
    <w:rsid w:val="03312175"/>
    <w:rsid w:val="0334D7B2"/>
    <w:rsid w:val="033CE915"/>
    <w:rsid w:val="0342ECA6"/>
    <w:rsid w:val="035507E9"/>
    <w:rsid w:val="03567147"/>
    <w:rsid w:val="0357BF78"/>
    <w:rsid w:val="037E0171"/>
    <w:rsid w:val="037E466B"/>
    <w:rsid w:val="038BA79D"/>
    <w:rsid w:val="0391565F"/>
    <w:rsid w:val="039CD9F0"/>
    <w:rsid w:val="039D43DB"/>
    <w:rsid w:val="03A01FB8"/>
    <w:rsid w:val="03B4C2AE"/>
    <w:rsid w:val="03B62B85"/>
    <w:rsid w:val="03C267A4"/>
    <w:rsid w:val="03CA1245"/>
    <w:rsid w:val="03D19F84"/>
    <w:rsid w:val="03EC0A44"/>
    <w:rsid w:val="03FE3B82"/>
    <w:rsid w:val="04057225"/>
    <w:rsid w:val="04158881"/>
    <w:rsid w:val="042291D6"/>
    <w:rsid w:val="04240892"/>
    <w:rsid w:val="043F6AAB"/>
    <w:rsid w:val="0443BB79"/>
    <w:rsid w:val="04620ABB"/>
    <w:rsid w:val="0466C30C"/>
    <w:rsid w:val="047E67D1"/>
    <w:rsid w:val="048BA1F7"/>
    <w:rsid w:val="048DD96E"/>
    <w:rsid w:val="04B19031"/>
    <w:rsid w:val="04B922F1"/>
    <w:rsid w:val="04BE7535"/>
    <w:rsid w:val="04C87BC0"/>
    <w:rsid w:val="04DC7A2E"/>
    <w:rsid w:val="04E28DE8"/>
    <w:rsid w:val="04F2C8B6"/>
    <w:rsid w:val="04F87F27"/>
    <w:rsid w:val="05147220"/>
    <w:rsid w:val="05191421"/>
    <w:rsid w:val="05282EF3"/>
    <w:rsid w:val="053020B3"/>
    <w:rsid w:val="05339E0F"/>
    <w:rsid w:val="055BE30F"/>
    <w:rsid w:val="056578B1"/>
    <w:rsid w:val="05665EC5"/>
    <w:rsid w:val="0575413B"/>
    <w:rsid w:val="05A3FA12"/>
    <w:rsid w:val="05B6F3F6"/>
    <w:rsid w:val="05B90AF0"/>
    <w:rsid w:val="05C4F7CC"/>
    <w:rsid w:val="05E1E363"/>
    <w:rsid w:val="05E3665C"/>
    <w:rsid w:val="05FBCC06"/>
    <w:rsid w:val="060394C3"/>
    <w:rsid w:val="0616E0DF"/>
    <w:rsid w:val="063B0DA3"/>
    <w:rsid w:val="064E08F0"/>
    <w:rsid w:val="06628173"/>
    <w:rsid w:val="06993319"/>
    <w:rsid w:val="06C904E6"/>
    <w:rsid w:val="06D88A13"/>
    <w:rsid w:val="06E32DB6"/>
    <w:rsid w:val="06E7C54C"/>
    <w:rsid w:val="06E8DB1C"/>
    <w:rsid w:val="06E99A60"/>
    <w:rsid w:val="06FD668D"/>
    <w:rsid w:val="07007DC1"/>
    <w:rsid w:val="07013941"/>
    <w:rsid w:val="07101DF8"/>
    <w:rsid w:val="0710F28A"/>
    <w:rsid w:val="073757F0"/>
    <w:rsid w:val="074017DE"/>
    <w:rsid w:val="07525622"/>
    <w:rsid w:val="075DFFE9"/>
    <w:rsid w:val="0766147D"/>
    <w:rsid w:val="0773C2F9"/>
    <w:rsid w:val="077F54DB"/>
    <w:rsid w:val="078B096D"/>
    <w:rsid w:val="078DFED3"/>
    <w:rsid w:val="07A40DA6"/>
    <w:rsid w:val="07C2A0FC"/>
    <w:rsid w:val="07C6D22D"/>
    <w:rsid w:val="07CFAD08"/>
    <w:rsid w:val="07DABC99"/>
    <w:rsid w:val="07DB0BEC"/>
    <w:rsid w:val="07DF7806"/>
    <w:rsid w:val="07E3CBE4"/>
    <w:rsid w:val="07E5A43B"/>
    <w:rsid w:val="07F8D00A"/>
    <w:rsid w:val="080053B2"/>
    <w:rsid w:val="08094BFC"/>
    <w:rsid w:val="080C9DCB"/>
    <w:rsid w:val="081509A4"/>
    <w:rsid w:val="0816FE22"/>
    <w:rsid w:val="081B7336"/>
    <w:rsid w:val="0834386C"/>
    <w:rsid w:val="083C32A8"/>
    <w:rsid w:val="083E4710"/>
    <w:rsid w:val="08410B6E"/>
    <w:rsid w:val="08413533"/>
    <w:rsid w:val="08447F9A"/>
    <w:rsid w:val="08461DC8"/>
    <w:rsid w:val="0847D9AD"/>
    <w:rsid w:val="0864E62E"/>
    <w:rsid w:val="089FA27A"/>
    <w:rsid w:val="08A04840"/>
    <w:rsid w:val="08C20DD0"/>
    <w:rsid w:val="08DAD4F0"/>
    <w:rsid w:val="08DDC828"/>
    <w:rsid w:val="08E98E27"/>
    <w:rsid w:val="08F584DF"/>
    <w:rsid w:val="08FCD94F"/>
    <w:rsid w:val="091E79CF"/>
    <w:rsid w:val="092C08E4"/>
    <w:rsid w:val="093A0DDE"/>
    <w:rsid w:val="093B07CC"/>
    <w:rsid w:val="094A5665"/>
    <w:rsid w:val="0954C8C4"/>
    <w:rsid w:val="09652EA3"/>
    <w:rsid w:val="096F2FED"/>
    <w:rsid w:val="098D28D8"/>
    <w:rsid w:val="09909DD5"/>
    <w:rsid w:val="099427F0"/>
    <w:rsid w:val="099FDB75"/>
    <w:rsid w:val="09A34251"/>
    <w:rsid w:val="09A8D040"/>
    <w:rsid w:val="09AD9067"/>
    <w:rsid w:val="09B30572"/>
    <w:rsid w:val="09BBF210"/>
    <w:rsid w:val="09C30F7C"/>
    <w:rsid w:val="09CC163E"/>
    <w:rsid w:val="09CF108C"/>
    <w:rsid w:val="09D37C6B"/>
    <w:rsid w:val="09EC04B0"/>
    <w:rsid w:val="09EEA8D9"/>
    <w:rsid w:val="09F8AF1E"/>
    <w:rsid w:val="09FEC2C6"/>
    <w:rsid w:val="0A0C37F6"/>
    <w:rsid w:val="0A1A5B77"/>
    <w:rsid w:val="0A1F70DB"/>
    <w:rsid w:val="0A2A2E9F"/>
    <w:rsid w:val="0A36F0DF"/>
    <w:rsid w:val="0A42978E"/>
    <w:rsid w:val="0A5956F2"/>
    <w:rsid w:val="0A7646DD"/>
    <w:rsid w:val="0A7CA202"/>
    <w:rsid w:val="0A8B70D7"/>
    <w:rsid w:val="0A8D01D8"/>
    <w:rsid w:val="0A8ED70F"/>
    <w:rsid w:val="0A93A502"/>
    <w:rsid w:val="0A94E343"/>
    <w:rsid w:val="0A9AEE83"/>
    <w:rsid w:val="0A9AFBD3"/>
    <w:rsid w:val="0AA8115C"/>
    <w:rsid w:val="0AB40804"/>
    <w:rsid w:val="0ABF2F43"/>
    <w:rsid w:val="0AC0C2B2"/>
    <w:rsid w:val="0ACEEDD3"/>
    <w:rsid w:val="0ACF7938"/>
    <w:rsid w:val="0AD149EF"/>
    <w:rsid w:val="0AD7D27C"/>
    <w:rsid w:val="0AD9F019"/>
    <w:rsid w:val="0AEDE149"/>
    <w:rsid w:val="0B0193FF"/>
    <w:rsid w:val="0B029E69"/>
    <w:rsid w:val="0B10E0D2"/>
    <w:rsid w:val="0B12984E"/>
    <w:rsid w:val="0B15901D"/>
    <w:rsid w:val="0B16231F"/>
    <w:rsid w:val="0B274EAC"/>
    <w:rsid w:val="0B2DF558"/>
    <w:rsid w:val="0B419281"/>
    <w:rsid w:val="0B4F037A"/>
    <w:rsid w:val="0B53A343"/>
    <w:rsid w:val="0B5DAD4F"/>
    <w:rsid w:val="0B5FA5AC"/>
    <w:rsid w:val="0B6630F5"/>
    <w:rsid w:val="0B698B66"/>
    <w:rsid w:val="0B7EB73B"/>
    <w:rsid w:val="0B8267E4"/>
    <w:rsid w:val="0B8970D0"/>
    <w:rsid w:val="0B8E89CA"/>
    <w:rsid w:val="0B976205"/>
    <w:rsid w:val="0B9DF7BE"/>
    <w:rsid w:val="0BABCFEC"/>
    <w:rsid w:val="0BB405B6"/>
    <w:rsid w:val="0BB6087D"/>
    <w:rsid w:val="0BBC5FE7"/>
    <w:rsid w:val="0BC816D6"/>
    <w:rsid w:val="0BD520E4"/>
    <w:rsid w:val="0BDC7833"/>
    <w:rsid w:val="0BF80D43"/>
    <w:rsid w:val="0C020429"/>
    <w:rsid w:val="0C1732D2"/>
    <w:rsid w:val="0C227E2F"/>
    <w:rsid w:val="0C2654E8"/>
    <w:rsid w:val="0C27EFF2"/>
    <w:rsid w:val="0C2D4D65"/>
    <w:rsid w:val="0C2F7563"/>
    <w:rsid w:val="0C3C1BF9"/>
    <w:rsid w:val="0C417406"/>
    <w:rsid w:val="0C454C31"/>
    <w:rsid w:val="0C48D450"/>
    <w:rsid w:val="0C49561E"/>
    <w:rsid w:val="0C547AD8"/>
    <w:rsid w:val="0C54BE11"/>
    <w:rsid w:val="0C56D642"/>
    <w:rsid w:val="0C5C0D87"/>
    <w:rsid w:val="0C698E40"/>
    <w:rsid w:val="0C75EE21"/>
    <w:rsid w:val="0CA9814D"/>
    <w:rsid w:val="0CAA379C"/>
    <w:rsid w:val="0CC184E3"/>
    <w:rsid w:val="0CCDA239"/>
    <w:rsid w:val="0CD40A8F"/>
    <w:rsid w:val="0CE8AD1B"/>
    <w:rsid w:val="0D1914A1"/>
    <w:rsid w:val="0D210147"/>
    <w:rsid w:val="0D241B68"/>
    <w:rsid w:val="0D309E6A"/>
    <w:rsid w:val="0D34C29F"/>
    <w:rsid w:val="0D383A60"/>
    <w:rsid w:val="0D3C7DD2"/>
    <w:rsid w:val="0D3FBA79"/>
    <w:rsid w:val="0D40642B"/>
    <w:rsid w:val="0D46E637"/>
    <w:rsid w:val="0D4FD617"/>
    <w:rsid w:val="0D54500A"/>
    <w:rsid w:val="0D5B7C62"/>
    <w:rsid w:val="0D5BB62B"/>
    <w:rsid w:val="0D6D62DD"/>
    <w:rsid w:val="0D721F65"/>
    <w:rsid w:val="0D72ACE4"/>
    <w:rsid w:val="0D7ADC66"/>
    <w:rsid w:val="0D8316BB"/>
    <w:rsid w:val="0D889592"/>
    <w:rsid w:val="0D90256D"/>
    <w:rsid w:val="0DA21983"/>
    <w:rsid w:val="0DADBC1F"/>
    <w:rsid w:val="0DADF1BD"/>
    <w:rsid w:val="0DBE0C89"/>
    <w:rsid w:val="0DBE838E"/>
    <w:rsid w:val="0DC20AD0"/>
    <w:rsid w:val="0DD2076B"/>
    <w:rsid w:val="0DDB4395"/>
    <w:rsid w:val="0DF5A52F"/>
    <w:rsid w:val="0E0DBC60"/>
    <w:rsid w:val="0E196667"/>
    <w:rsid w:val="0E3A3F2B"/>
    <w:rsid w:val="0E4315C2"/>
    <w:rsid w:val="0E53AFE8"/>
    <w:rsid w:val="0E696535"/>
    <w:rsid w:val="0E821A32"/>
    <w:rsid w:val="0E840D73"/>
    <w:rsid w:val="0E8A5EF2"/>
    <w:rsid w:val="0E97FF3F"/>
    <w:rsid w:val="0E9C771C"/>
    <w:rsid w:val="0EA1496E"/>
    <w:rsid w:val="0EA8C416"/>
    <w:rsid w:val="0EB3EF64"/>
    <w:rsid w:val="0EB72F4A"/>
    <w:rsid w:val="0ED1C249"/>
    <w:rsid w:val="0EE2D843"/>
    <w:rsid w:val="0EEA759E"/>
    <w:rsid w:val="0EF51567"/>
    <w:rsid w:val="0EFABFCD"/>
    <w:rsid w:val="0F0D58E5"/>
    <w:rsid w:val="0F16A09B"/>
    <w:rsid w:val="0F240FFD"/>
    <w:rsid w:val="0F268976"/>
    <w:rsid w:val="0F28783C"/>
    <w:rsid w:val="0F28A538"/>
    <w:rsid w:val="0F2FA16F"/>
    <w:rsid w:val="0F3A0D4E"/>
    <w:rsid w:val="0F3B22C6"/>
    <w:rsid w:val="0F3C6F93"/>
    <w:rsid w:val="0F4549D6"/>
    <w:rsid w:val="0F4ABCDC"/>
    <w:rsid w:val="0F4DD406"/>
    <w:rsid w:val="0F5F3E07"/>
    <w:rsid w:val="0F67FC15"/>
    <w:rsid w:val="0F8122A8"/>
    <w:rsid w:val="0F928D40"/>
    <w:rsid w:val="0F97E2C6"/>
    <w:rsid w:val="0FB2ECDC"/>
    <w:rsid w:val="0FD47972"/>
    <w:rsid w:val="0FDACAA6"/>
    <w:rsid w:val="0FE4C84F"/>
    <w:rsid w:val="0FF9C23B"/>
    <w:rsid w:val="0FFA094F"/>
    <w:rsid w:val="0FFDA885"/>
    <w:rsid w:val="100B317C"/>
    <w:rsid w:val="101DA2A9"/>
    <w:rsid w:val="1028C439"/>
    <w:rsid w:val="1028E68C"/>
    <w:rsid w:val="10460BBF"/>
    <w:rsid w:val="104E2B68"/>
    <w:rsid w:val="10647008"/>
    <w:rsid w:val="108B1E88"/>
    <w:rsid w:val="108D3844"/>
    <w:rsid w:val="108F910C"/>
    <w:rsid w:val="10A0ECD8"/>
    <w:rsid w:val="10AFC592"/>
    <w:rsid w:val="10B0B02D"/>
    <w:rsid w:val="10D5359F"/>
    <w:rsid w:val="10E46E4A"/>
    <w:rsid w:val="10E4A297"/>
    <w:rsid w:val="10E67B41"/>
    <w:rsid w:val="1100B078"/>
    <w:rsid w:val="1113562D"/>
    <w:rsid w:val="1126A16C"/>
    <w:rsid w:val="1127240F"/>
    <w:rsid w:val="112B140F"/>
    <w:rsid w:val="1142BA34"/>
    <w:rsid w:val="1144C3DB"/>
    <w:rsid w:val="1148F6A9"/>
    <w:rsid w:val="115D5951"/>
    <w:rsid w:val="11633C13"/>
    <w:rsid w:val="11718719"/>
    <w:rsid w:val="11738781"/>
    <w:rsid w:val="117AFC63"/>
    <w:rsid w:val="1193960B"/>
    <w:rsid w:val="119613B7"/>
    <w:rsid w:val="119C43F5"/>
    <w:rsid w:val="11AA8BC4"/>
    <w:rsid w:val="11BBBC0E"/>
    <w:rsid w:val="11C7D7A4"/>
    <w:rsid w:val="11DBBA83"/>
    <w:rsid w:val="11EF808A"/>
    <w:rsid w:val="11F44EAA"/>
    <w:rsid w:val="120D3942"/>
    <w:rsid w:val="120ED8F9"/>
    <w:rsid w:val="122C3C14"/>
    <w:rsid w:val="124A6698"/>
    <w:rsid w:val="124BC5BE"/>
    <w:rsid w:val="125890C5"/>
    <w:rsid w:val="125CC3EE"/>
    <w:rsid w:val="12602DC4"/>
    <w:rsid w:val="1265371A"/>
    <w:rsid w:val="127ECB3D"/>
    <w:rsid w:val="129EB6E7"/>
    <w:rsid w:val="12A780CA"/>
    <w:rsid w:val="12AA738A"/>
    <w:rsid w:val="12AF5749"/>
    <w:rsid w:val="12B05184"/>
    <w:rsid w:val="12BD0D67"/>
    <w:rsid w:val="12D43C78"/>
    <w:rsid w:val="12DAFAED"/>
    <w:rsid w:val="12F630BD"/>
    <w:rsid w:val="13002E5B"/>
    <w:rsid w:val="13202FEF"/>
    <w:rsid w:val="133336EE"/>
    <w:rsid w:val="13490589"/>
    <w:rsid w:val="134FE2E4"/>
    <w:rsid w:val="13549A31"/>
    <w:rsid w:val="135F97C9"/>
    <w:rsid w:val="1365D403"/>
    <w:rsid w:val="1367541D"/>
    <w:rsid w:val="136CBAB1"/>
    <w:rsid w:val="136F33FE"/>
    <w:rsid w:val="137D0640"/>
    <w:rsid w:val="1384D94B"/>
    <w:rsid w:val="13A2DC70"/>
    <w:rsid w:val="13A88E73"/>
    <w:rsid w:val="13B3961F"/>
    <w:rsid w:val="13C5ACEC"/>
    <w:rsid w:val="13D33AD3"/>
    <w:rsid w:val="13DCEE8D"/>
    <w:rsid w:val="13E1D82E"/>
    <w:rsid w:val="13F37D10"/>
    <w:rsid w:val="13FC7077"/>
    <w:rsid w:val="13FDAE39"/>
    <w:rsid w:val="141076B7"/>
    <w:rsid w:val="1412B731"/>
    <w:rsid w:val="1425487F"/>
    <w:rsid w:val="1434B79A"/>
    <w:rsid w:val="143B2881"/>
    <w:rsid w:val="14425318"/>
    <w:rsid w:val="144C2E45"/>
    <w:rsid w:val="1459B264"/>
    <w:rsid w:val="1466506A"/>
    <w:rsid w:val="14691A3C"/>
    <w:rsid w:val="14694C19"/>
    <w:rsid w:val="14738458"/>
    <w:rsid w:val="147C6096"/>
    <w:rsid w:val="148ED701"/>
    <w:rsid w:val="14B99654"/>
    <w:rsid w:val="14BB41AC"/>
    <w:rsid w:val="14C97229"/>
    <w:rsid w:val="14CBBF60"/>
    <w:rsid w:val="14CC29A9"/>
    <w:rsid w:val="14D0CC85"/>
    <w:rsid w:val="14E769B7"/>
    <w:rsid w:val="14E973DB"/>
    <w:rsid w:val="14F234C0"/>
    <w:rsid w:val="14F6CF3A"/>
    <w:rsid w:val="14FC4A47"/>
    <w:rsid w:val="1522B120"/>
    <w:rsid w:val="15295531"/>
    <w:rsid w:val="1529CE47"/>
    <w:rsid w:val="15301F15"/>
    <w:rsid w:val="15368D32"/>
    <w:rsid w:val="153EDF84"/>
    <w:rsid w:val="1549D6F6"/>
    <w:rsid w:val="15601B15"/>
    <w:rsid w:val="1563962F"/>
    <w:rsid w:val="156514E0"/>
    <w:rsid w:val="1569DD4E"/>
    <w:rsid w:val="156C7903"/>
    <w:rsid w:val="157EE582"/>
    <w:rsid w:val="159520AF"/>
    <w:rsid w:val="15B24FB3"/>
    <w:rsid w:val="15C4749D"/>
    <w:rsid w:val="15C4E4E9"/>
    <w:rsid w:val="15CC1F8A"/>
    <w:rsid w:val="15D2345C"/>
    <w:rsid w:val="15D810FC"/>
    <w:rsid w:val="15DBFBB6"/>
    <w:rsid w:val="15F11997"/>
    <w:rsid w:val="15F79201"/>
    <w:rsid w:val="15FF2B75"/>
    <w:rsid w:val="1626E617"/>
    <w:rsid w:val="162C4FB6"/>
    <w:rsid w:val="162EBED3"/>
    <w:rsid w:val="16348441"/>
    <w:rsid w:val="163DF9D9"/>
    <w:rsid w:val="164346FB"/>
    <w:rsid w:val="164B5EB3"/>
    <w:rsid w:val="164D015E"/>
    <w:rsid w:val="167A10FF"/>
    <w:rsid w:val="1687CFFC"/>
    <w:rsid w:val="168A13B1"/>
    <w:rsid w:val="168EDFB6"/>
    <w:rsid w:val="16967EDA"/>
    <w:rsid w:val="169C298E"/>
    <w:rsid w:val="16A8F5A4"/>
    <w:rsid w:val="16AE6C86"/>
    <w:rsid w:val="16BAD020"/>
    <w:rsid w:val="16BD9C10"/>
    <w:rsid w:val="16C8A42D"/>
    <w:rsid w:val="16CF05F4"/>
    <w:rsid w:val="16D3C900"/>
    <w:rsid w:val="16D4917E"/>
    <w:rsid w:val="16D4B18C"/>
    <w:rsid w:val="16D779E6"/>
    <w:rsid w:val="16D8A3A5"/>
    <w:rsid w:val="17027139"/>
    <w:rsid w:val="1703F839"/>
    <w:rsid w:val="170F04A9"/>
    <w:rsid w:val="171A52D2"/>
    <w:rsid w:val="1722E9C1"/>
    <w:rsid w:val="172AE1A0"/>
    <w:rsid w:val="173557D8"/>
    <w:rsid w:val="1746297A"/>
    <w:rsid w:val="1765A849"/>
    <w:rsid w:val="1773DAB5"/>
    <w:rsid w:val="17777FE0"/>
    <w:rsid w:val="177B23CC"/>
    <w:rsid w:val="177B8B38"/>
    <w:rsid w:val="177DF00D"/>
    <w:rsid w:val="178C2BBF"/>
    <w:rsid w:val="17AEAB80"/>
    <w:rsid w:val="17B5F009"/>
    <w:rsid w:val="17BC4C47"/>
    <w:rsid w:val="17C0EBAE"/>
    <w:rsid w:val="17D12BF4"/>
    <w:rsid w:val="17F0506C"/>
    <w:rsid w:val="17F241C8"/>
    <w:rsid w:val="17FC15B4"/>
    <w:rsid w:val="17FE9DBB"/>
    <w:rsid w:val="18021090"/>
    <w:rsid w:val="180B5635"/>
    <w:rsid w:val="180DB554"/>
    <w:rsid w:val="182F93B2"/>
    <w:rsid w:val="183AC999"/>
    <w:rsid w:val="18413EAD"/>
    <w:rsid w:val="1843314F"/>
    <w:rsid w:val="18452C5B"/>
    <w:rsid w:val="18453BBF"/>
    <w:rsid w:val="184561FA"/>
    <w:rsid w:val="18551FC0"/>
    <w:rsid w:val="1873DE5C"/>
    <w:rsid w:val="187E6226"/>
    <w:rsid w:val="1881DF3B"/>
    <w:rsid w:val="189AEDAE"/>
    <w:rsid w:val="18A32E94"/>
    <w:rsid w:val="18ACFBB6"/>
    <w:rsid w:val="18B16EE7"/>
    <w:rsid w:val="18BB7887"/>
    <w:rsid w:val="18C1FB08"/>
    <w:rsid w:val="18D747B3"/>
    <w:rsid w:val="18FA8B94"/>
    <w:rsid w:val="19020C96"/>
    <w:rsid w:val="19112B39"/>
    <w:rsid w:val="1914D12B"/>
    <w:rsid w:val="191C99CF"/>
    <w:rsid w:val="192A0991"/>
    <w:rsid w:val="1933091F"/>
    <w:rsid w:val="193B7C8E"/>
    <w:rsid w:val="1950DF77"/>
    <w:rsid w:val="19545EC4"/>
    <w:rsid w:val="1963C8AE"/>
    <w:rsid w:val="196CE5EB"/>
    <w:rsid w:val="19923693"/>
    <w:rsid w:val="1995A805"/>
    <w:rsid w:val="199C3457"/>
    <w:rsid w:val="199CE3BC"/>
    <w:rsid w:val="19A0A0D3"/>
    <w:rsid w:val="19BCFABA"/>
    <w:rsid w:val="19CDA36E"/>
    <w:rsid w:val="19EC9C7C"/>
    <w:rsid w:val="19ECA09B"/>
    <w:rsid w:val="19EF5159"/>
    <w:rsid w:val="19F050C7"/>
    <w:rsid w:val="19F6376B"/>
    <w:rsid w:val="1A06031B"/>
    <w:rsid w:val="1A0A0583"/>
    <w:rsid w:val="1A0A9E13"/>
    <w:rsid w:val="1A1AA469"/>
    <w:rsid w:val="1A260FF2"/>
    <w:rsid w:val="1A331A8B"/>
    <w:rsid w:val="1A3C6DC9"/>
    <w:rsid w:val="1A3FC636"/>
    <w:rsid w:val="1A493E0C"/>
    <w:rsid w:val="1A4945BC"/>
    <w:rsid w:val="1A4DF7A8"/>
    <w:rsid w:val="1A5F8026"/>
    <w:rsid w:val="1A7816B2"/>
    <w:rsid w:val="1A7BC4C2"/>
    <w:rsid w:val="1A832E39"/>
    <w:rsid w:val="1A90CF57"/>
    <w:rsid w:val="1A9A1EEF"/>
    <w:rsid w:val="1A9B6AD2"/>
    <w:rsid w:val="1AA4144F"/>
    <w:rsid w:val="1AAC2361"/>
    <w:rsid w:val="1AC7DA46"/>
    <w:rsid w:val="1ACBE428"/>
    <w:rsid w:val="1ACBFD70"/>
    <w:rsid w:val="1ACC5C6F"/>
    <w:rsid w:val="1AF0EA6E"/>
    <w:rsid w:val="1AF5D913"/>
    <w:rsid w:val="1B04E3DA"/>
    <w:rsid w:val="1B0C1788"/>
    <w:rsid w:val="1B1025E8"/>
    <w:rsid w:val="1B22D5C1"/>
    <w:rsid w:val="1B2347CD"/>
    <w:rsid w:val="1B3C428F"/>
    <w:rsid w:val="1B44BB10"/>
    <w:rsid w:val="1B49A220"/>
    <w:rsid w:val="1B4A29D2"/>
    <w:rsid w:val="1B4A7778"/>
    <w:rsid w:val="1B536313"/>
    <w:rsid w:val="1B5A092E"/>
    <w:rsid w:val="1B69FB71"/>
    <w:rsid w:val="1BA8D5D9"/>
    <w:rsid w:val="1BBBFBDA"/>
    <w:rsid w:val="1BC27482"/>
    <w:rsid w:val="1BC75DA7"/>
    <w:rsid w:val="1BCE47DE"/>
    <w:rsid w:val="1BDEB18D"/>
    <w:rsid w:val="1BE2CD27"/>
    <w:rsid w:val="1BF291B9"/>
    <w:rsid w:val="1BF5E507"/>
    <w:rsid w:val="1BFA9AB3"/>
    <w:rsid w:val="1BFC793F"/>
    <w:rsid w:val="1C0C0F4D"/>
    <w:rsid w:val="1C13CE6B"/>
    <w:rsid w:val="1C13F238"/>
    <w:rsid w:val="1C20FDDD"/>
    <w:rsid w:val="1C383AC0"/>
    <w:rsid w:val="1C3BD06D"/>
    <w:rsid w:val="1C4417FE"/>
    <w:rsid w:val="1C4CC146"/>
    <w:rsid w:val="1C5D51B3"/>
    <w:rsid w:val="1C61D773"/>
    <w:rsid w:val="1C78FC1D"/>
    <w:rsid w:val="1CB0AFF3"/>
    <w:rsid w:val="1CBA5873"/>
    <w:rsid w:val="1CBB7B26"/>
    <w:rsid w:val="1CBC801A"/>
    <w:rsid w:val="1CC301B2"/>
    <w:rsid w:val="1CC4440C"/>
    <w:rsid w:val="1CD08126"/>
    <w:rsid w:val="1CD8D7F5"/>
    <w:rsid w:val="1CDD1D0A"/>
    <w:rsid w:val="1CDEA1C0"/>
    <w:rsid w:val="1CFFF4F7"/>
    <w:rsid w:val="1D0224FD"/>
    <w:rsid w:val="1D19CE2E"/>
    <w:rsid w:val="1D1E6B4D"/>
    <w:rsid w:val="1D25A4F7"/>
    <w:rsid w:val="1D4C5B70"/>
    <w:rsid w:val="1D68AC78"/>
    <w:rsid w:val="1D6E2559"/>
    <w:rsid w:val="1D74E35E"/>
    <w:rsid w:val="1DB8DC64"/>
    <w:rsid w:val="1DBB6285"/>
    <w:rsid w:val="1DCE755B"/>
    <w:rsid w:val="1DD631A8"/>
    <w:rsid w:val="1DF62FF3"/>
    <w:rsid w:val="1E022467"/>
    <w:rsid w:val="1E07FEE5"/>
    <w:rsid w:val="1E1270AC"/>
    <w:rsid w:val="1E21DCB5"/>
    <w:rsid w:val="1E221FCD"/>
    <w:rsid w:val="1E234C96"/>
    <w:rsid w:val="1E369CDE"/>
    <w:rsid w:val="1E385EAD"/>
    <w:rsid w:val="1E3A8933"/>
    <w:rsid w:val="1E42B31D"/>
    <w:rsid w:val="1E4DC3A7"/>
    <w:rsid w:val="1E5308BD"/>
    <w:rsid w:val="1E53561C"/>
    <w:rsid w:val="1E55A5E6"/>
    <w:rsid w:val="1E5DB714"/>
    <w:rsid w:val="1E6C0DBD"/>
    <w:rsid w:val="1E70AB19"/>
    <w:rsid w:val="1E817C89"/>
    <w:rsid w:val="1EBD9C51"/>
    <w:rsid w:val="1EBF2661"/>
    <w:rsid w:val="1EDCEFD6"/>
    <w:rsid w:val="1EDF5388"/>
    <w:rsid w:val="1EE4B05D"/>
    <w:rsid w:val="1F0F11CD"/>
    <w:rsid w:val="1F2FD1EA"/>
    <w:rsid w:val="1F45115E"/>
    <w:rsid w:val="1F4F834C"/>
    <w:rsid w:val="1F58CA69"/>
    <w:rsid w:val="1F5DC2D3"/>
    <w:rsid w:val="1F74D9AC"/>
    <w:rsid w:val="1F7B8B9F"/>
    <w:rsid w:val="1F8C0F03"/>
    <w:rsid w:val="1F9E3CBE"/>
    <w:rsid w:val="1FACDAFA"/>
    <w:rsid w:val="1FBA338F"/>
    <w:rsid w:val="1FC126FF"/>
    <w:rsid w:val="1FC87757"/>
    <w:rsid w:val="1FCE1FC8"/>
    <w:rsid w:val="1FDDA4A1"/>
    <w:rsid w:val="1FF0D99E"/>
    <w:rsid w:val="1FF7E757"/>
    <w:rsid w:val="200F8E88"/>
    <w:rsid w:val="201199AD"/>
    <w:rsid w:val="20193118"/>
    <w:rsid w:val="201D4A98"/>
    <w:rsid w:val="202163EC"/>
    <w:rsid w:val="20229BCA"/>
    <w:rsid w:val="2029B9E7"/>
    <w:rsid w:val="2030BAD9"/>
    <w:rsid w:val="20328357"/>
    <w:rsid w:val="20420016"/>
    <w:rsid w:val="20460B94"/>
    <w:rsid w:val="204763D7"/>
    <w:rsid w:val="2052704D"/>
    <w:rsid w:val="205ACEA5"/>
    <w:rsid w:val="2060E596"/>
    <w:rsid w:val="20791FDC"/>
    <w:rsid w:val="208AC6D6"/>
    <w:rsid w:val="20B4B1C8"/>
    <w:rsid w:val="20B5AE85"/>
    <w:rsid w:val="20C6BAD4"/>
    <w:rsid w:val="20C6F3F4"/>
    <w:rsid w:val="20CACC5C"/>
    <w:rsid w:val="20E16AAB"/>
    <w:rsid w:val="20E986A5"/>
    <w:rsid w:val="2104095F"/>
    <w:rsid w:val="212525CC"/>
    <w:rsid w:val="212D86BC"/>
    <w:rsid w:val="212ED67C"/>
    <w:rsid w:val="2138EC45"/>
    <w:rsid w:val="213E24B6"/>
    <w:rsid w:val="214692B6"/>
    <w:rsid w:val="2164EA4A"/>
    <w:rsid w:val="21652C25"/>
    <w:rsid w:val="216E1DB7"/>
    <w:rsid w:val="2170562A"/>
    <w:rsid w:val="21791095"/>
    <w:rsid w:val="217CB060"/>
    <w:rsid w:val="218064D3"/>
    <w:rsid w:val="21848B7F"/>
    <w:rsid w:val="21928B9F"/>
    <w:rsid w:val="21C6F21F"/>
    <w:rsid w:val="21CDE8C0"/>
    <w:rsid w:val="21D0BBA1"/>
    <w:rsid w:val="21D13401"/>
    <w:rsid w:val="21D518B6"/>
    <w:rsid w:val="21DCAFD2"/>
    <w:rsid w:val="21E69080"/>
    <w:rsid w:val="21F3F900"/>
    <w:rsid w:val="2203C2CF"/>
    <w:rsid w:val="22146D4F"/>
    <w:rsid w:val="221B89FE"/>
    <w:rsid w:val="221FFA63"/>
    <w:rsid w:val="224B2637"/>
    <w:rsid w:val="226129B3"/>
    <w:rsid w:val="2262F7AA"/>
    <w:rsid w:val="22668A96"/>
    <w:rsid w:val="228BEB19"/>
    <w:rsid w:val="22A00497"/>
    <w:rsid w:val="22A261AA"/>
    <w:rsid w:val="22A5E3F9"/>
    <w:rsid w:val="22B04103"/>
    <w:rsid w:val="22B32275"/>
    <w:rsid w:val="22B7967A"/>
    <w:rsid w:val="22CC7EBF"/>
    <w:rsid w:val="22D3E02A"/>
    <w:rsid w:val="22DD6E34"/>
    <w:rsid w:val="22EED29B"/>
    <w:rsid w:val="22FD02BF"/>
    <w:rsid w:val="23100232"/>
    <w:rsid w:val="232770F1"/>
    <w:rsid w:val="2327959C"/>
    <w:rsid w:val="23372E30"/>
    <w:rsid w:val="235B65C1"/>
    <w:rsid w:val="236288B2"/>
    <w:rsid w:val="236C5EF1"/>
    <w:rsid w:val="2373F754"/>
    <w:rsid w:val="238806DE"/>
    <w:rsid w:val="23884DDF"/>
    <w:rsid w:val="2396032E"/>
    <w:rsid w:val="23A8AACA"/>
    <w:rsid w:val="23B311CF"/>
    <w:rsid w:val="23B752A1"/>
    <w:rsid w:val="23B7FFDE"/>
    <w:rsid w:val="23B8B6D9"/>
    <w:rsid w:val="23C041E8"/>
    <w:rsid w:val="23C62D37"/>
    <w:rsid w:val="23C82EB3"/>
    <w:rsid w:val="23D0B276"/>
    <w:rsid w:val="23E12A8D"/>
    <w:rsid w:val="24078B24"/>
    <w:rsid w:val="2408443D"/>
    <w:rsid w:val="2414848A"/>
    <w:rsid w:val="241E2AF2"/>
    <w:rsid w:val="243C66F6"/>
    <w:rsid w:val="243DA990"/>
    <w:rsid w:val="2444913C"/>
    <w:rsid w:val="2447D2A8"/>
    <w:rsid w:val="244C81ED"/>
    <w:rsid w:val="245B08EC"/>
    <w:rsid w:val="2460FDF0"/>
    <w:rsid w:val="248AAD35"/>
    <w:rsid w:val="248BC5EF"/>
    <w:rsid w:val="248EF62C"/>
    <w:rsid w:val="2493AED6"/>
    <w:rsid w:val="24954444"/>
    <w:rsid w:val="2499382B"/>
    <w:rsid w:val="24A1F30D"/>
    <w:rsid w:val="24AC6AFD"/>
    <w:rsid w:val="24BF23B1"/>
    <w:rsid w:val="24C33895"/>
    <w:rsid w:val="24DA08DC"/>
    <w:rsid w:val="24E61AED"/>
    <w:rsid w:val="24F6D13D"/>
    <w:rsid w:val="2503AF5A"/>
    <w:rsid w:val="250E906C"/>
    <w:rsid w:val="251362DE"/>
    <w:rsid w:val="251E631A"/>
    <w:rsid w:val="254DD0E3"/>
    <w:rsid w:val="254F4805"/>
    <w:rsid w:val="2550EDD4"/>
    <w:rsid w:val="255299BC"/>
    <w:rsid w:val="256597C4"/>
    <w:rsid w:val="256F212C"/>
    <w:rsid w:val="257A7E49"/>
    <w:rsid w:val="2583F51D"/>
    <w:rsid w:val="258E7096"/>
    <w:rsid w:val="258F4A30"/>
    <w:rsid w:val="2591B8B5"/>
    <w:rsid w:val="259EAE81"/>
    <w:rsid w:val="259F2441"/>
    <w:rsid w:val="25A9569C"/>
    <w:rsid w:val="25B39FEF"/>
    <w:rsid w:val="25C9832C"/>
    <w:rsid w:val="25CF9A91"/>
    <w:rsid w:val="25D1262B"/>
    <w:rsid w:val="25D1FEA5"/>
    <w:rsid w:val="25D8974E"/>
    <w:rsid w:val="25E0619D"/>
    <w:rsid w:val="25E6A9E5"/>
    <w:rsid w:val="25E7B949"/>
    <w:rsid w:val="25EA395D"/>
    <w:rsid w:val="25F9B6BD"/>
    <w:rsid w:val="25FD09BA"/>
    <w:rsid w:val="25FD17E4"/>
    <w:rsid w:val="26019664"/>
    <w:rsid w:val="26039F22"/>
    <w:rsid w:val="260C0FD9"/>
    <w:rsid w:val="261179EF"/>
    <w:rsid w:val="26192D6F"/>
    <w:rsid w:val="262A1736"/>
    <w:rsid w:val="26325C2A"/>
    <w:rsid w:val="26353B5D"/>
    <w:rsid w:val="263E1E98"/>
    <w:rsid w:val="26423A28"/>
    <w:rsid w:val="265682BD"/>
    <w:rsid w:val="265C745E"/>
    <w:rsid w:val="2665081B"/>
    <w:rsid w:val="266968CA"/>
    <w:rsid w:val="26709580"/>
    <w:rsid w:val="26A694F4"/>
    <w:rsid w:val="26A8351D"/>
    <w:rsid w:val="26AF499C"/>
    <w:rsid w:val="26B512F1"/>
    <w:rsid w:val="26B5C03A"/>
    <w:rsid w:val="26C9E298"/>
    <w:rsid w:val="26CBD350"/>
    <w:rsid w:val="26DAC58B"/>
    <w:rsid w:val="26E23C6B"/>
    <w:rsid w:val="26E5A85E"/>
    <w:rsid w:val="26EAF382"/>
    <w:rsid w:val="26EFD738"/>
    <w:rsid w:val="26F2D920"/>
    <w:rsid w:val="26F3C241"/>
    <w:rsid w:val="26F991DB"/>
    <w:rsid w:val="26FCBA16"/>
    <w:rsid w:val="270FA012"/>
    <w:rsid w:val="27150D1C"/>
    <w:rsid w:val="274211BC"/>
    <w:rsid w:val="2749DB98"/>
    <w:rsid w:val="275AE2FF"/>
    <w:rsid w:val="275AF045"/>
    <w:rsid w:val="275DB463"/>
    <w:rsid w:val="276406EE"/>
    <w:rsid w:val="2764C52B"/>
    <w:rsid w:val="276D1C4E"/>
    <w:rsid w:val="276D4041"/>
    <w:rsid w:val="276F284F"/>
    <w:rsid w:val="2774EAC3"/>
    <w:rsid w:val="278827F2"/>
    <w:rsid w:val="27A67147"/>
    <w:rsid w:val="27AF5509"/>
    <w:rsid w:val="27B087A6"/>
    <w:rsid w:val="27B0F6B8"/>
    <w:rsid w:val="27D2A773"/>
    <w:rsid w:val="27E50FC4"/>
    <w:rsid w:val="27F8AC6B"/>
    <w:rsid w:val="2814AA9F"/>
    <w:rsid w:val="2819FD9C"/>
    <w:rsid w:val="281B0601"/>
    <w:rsid w:val="28242BF7"/>
    <w:rsid w:val="283255C5"/>
    <w:rsid w:val="28394CBE"/>
    <w:rsid w:val="283D7D56"/>
    <w:rsid w:val="283F4CD8"/>
    <w:rsid w:val="283FE1CC"/>
    <w:rsid w:val="2842D6EB"/>
    <w:rsid w:val="284CD4BA"/>
    <w:rsid w:val="285F1AFB"/>
    <w:rsid w:val="286F2EF4"/>
    <w:rsid w:val="2872F309"/>
    <w:rsid w:val="28773E2A"/>
    <w:rsid w:val="28A3C695"/>
    <w:rsid w:val="28BD2EEA"/>
    <w:rsid w:val="28BE6F17"/>
    <w:rsid w:val="28CA16CC"/>
    <w:rsid w:val="28CA8230"/>
    <w:rsid w:val="28FA22ED"/>
    <w:rsid w:val="2914911C"/>
    <w:rsid w:val="293D80BD"/>
    <w:rsid w:val="2943241D"/>
    <w:rsid w:val="2950FF02"/>
    <w:rsid w:val="2955ABD6"/>
    <w:rsid w:val="2967F7CE"/>
    <w:rsid w:val="296958F6"/>
    <w:rsid w:val="2976A33F"/>
    <w:rsid w:val="297B7F15"/>
    <w:rsid w:val="29813391"/>
    <w:rsid w:val="29853615"/>
    <w:rsid w:val="298FF437"/>
    <w:rsid w:val="2999235F"/>
    <w:rsid w:val="29AB2AEB"/>
    <w:rsid w:val="29B61FAD"/>
    <w:rsid w:val="29D07E5F"/>
    <w:rsid w:val="29DEF326"/>
    <w:rsid w:val="29E00158"/>
    <w:rsid w:val="2A0518CE"/>
    <w:rsid w:val="2A0D0DFE"/>
    <w:rsid w:val="2A0FADDF"/>
    <w:rsid w:val="2A12EE4C"/>
    <w:rsid w:val="2A17CCAD"/>
    <w:rsid w:val="2A1978F8"/>
    <w:rsid w:val="2A21877C"/>
    <w:rsid w:val="2A27A6DD"/>
    <w:rsid w:val="2A2E98D8"/>
    <w:rsid w:val="2A321798"/>
    <w:rsid w:val="2A391530"/>
    <w:rsid w:val="2A5051C9"/>
    <w:rsid w:val="2A51843B"/>
    <w:rsid w:val="2A5CA6E4"/>
    <w:rsid w:val="2A677C00"/>
    <w:rsid w:val="2A67A42A"/>
    <w:rsid w:val="2A6C138A"/>
    <w:rsid w:val="2A86D574"/>
    <w:rsid w:val="2A994F46"/>
    <w:rsid w:val="2AA6DCCC"/>
    <w:rsid w:val="2AAAC0B1"/>
    <w:rsid w:val="2AAF8CFC"/>
    <w:rsid w:val="2AB0E093"/>
    <w:rsid w:val="2AB26621"/>
    <w:rsid w:val="2ABF56E8"/>
    <w:rsid w:val="2AF34718"/>
    <w:rsid w:val="2AF6F017"/>
    <w:rsid w:val="2B0D75F2"/>
    <w:rsid w:val="2B0EE01C"/>
    <w:rsid w:val="2B0F40A5"/>
    <w:rsid w:val="2B176312"/>
    <w:rsid w:val="2B1D8B5A"/>
    <w:rsid w:val="2B223635"/>
    <w:rsid w:val="2B2E5844"/>
    <w:rsid w:val="2B458413"/>
    <w:rsid w:val="2B4878FB"/>
    <w:rsid w:val="2B56F034"/>
    <w:rsid w:val="2B799426"/>
    <w:rsid w:val="2BA69723"/>
    <w:rsid w:val="2BD83441"/>
    <w:rsid w:val="2BDE29DE"/>
    <w:rsid w:val="2BF4B812"/>
    <w:rsid w:val="2BF974AC"/>
    <w:rsid w:val="2C11A0A0"/>
    <w:rsid w:val="2C133963"/>
    <w:rsid w:val="2C2F8F9A"/>
    <w:rsid w:val="2C375AC7"/>
    <w:rsid w:val="2C45390F"/>
    <w:rsid w:val="2C45F09F"/>
    <w:rsid w:val="2C51A4BD"/>
    <w:rsid w:val="2C5A604D"/>
    <w:rsid w:val="2C5D009A"/>
    <w:rsid w:val="2C5ED2E0"/>
    <w:rsid w:val="2C5FB8F3"/>
    <w:rsid w:val="2C659AD8"/>
    <w:rsid w:val="2C6F3B1D"/>
    <w:rsid w:val="2C76C571"/>
    <w:rsid w:val="2C78F8C7"/>
    <w:rsid w:val="2C7E96BA"/>
    <w:rsid w:val="2C82C62C"/>
    <w:rsid w:val="2C922FFA"/>
    <w:rsid w:val="2C98367D"/>
    <w:rsid w:val="2C9855D6"/>
    <w:rsid w:val="2C9D79A9"/>
    <w:rsid w:val="2CA05EFD"/>
    <w:rsid w:val="2CA2DF34"/>
    <w:rsid w:val="2CA874C1"/>
    <w:rsid w:val="2CAA5174"/>
    <w:rsid w:val="2CAE67C0"/>
    <w:rsid w:val="2CBAD10E"/>
    <w:rsid w:val="2CCAB2B2"/>
    <w:rsid w:val="2CCDC676"/>
    <w:rsid w:val="2CD2B8F2"/>
    <w:rsid w:val="2CE61EE9"/>
    <w:rsid w:val="2CEF88B6"/>
    <w:rsid w:val="2D07CF9D"/>
    <w:rsid w:val="2D124F97"/>
    <w:rsid w:val="2D1B8917"/>
    <w:rsid w:val="2D282057"/>
    <w:rsid w:val="2D2C86AA"/>
    <w:rsid w:val="2D3FC02C"/>
    <w:rsid w:val="2D550AE9"/>
    <w:rsid w:val="2D59B9D4"/>
    <w:rsid w:val="2D5EC1B1"/>
    <w:rsid w:val="2D662711"/>
    <w:rsid w:val="2D66DF9A"/>
    <w:rsid w:val="2D7A9DFB"/>
    <w:rsid w:val="2D7E0506"/>
    <w:rsid w:val="2D8361CA"/>
    <w:rsid w:val="2D85F9D8"/>
    <w:rsid w:val="2D862DB5"/>
    <w:rsid w:val="2DA30A31"/>
    <w:rsid w:val="2DAF0A51"/>
    <w:rsid w:val="2DBE80C9"/>
    <w:rsid w:val="2DC60135"/>
    <w:rsid w:val="2DDC2019"/>
    <w:rsid w:val="2DE8590F"/>
    <w:rsid w:val="2DFAD66C"/>
    <w:rsid w:val="2DFC86F5"/>
    <w:rsid w:val="2DFE55D1"/>
    <w:rsid w:val="2E11806B"/>
    <w:rsid w:val="2E1259ED"/>
    <w:rsid w:val="2E16F514"/>
    <w:rsid w:val="2E1BF2D2"/>
    <w:rsid w:val="2E1DB794"/>
    <w:rsid w:val="2E3321A4"/>
    <w:rsid w:val="2E36FE95"/>
    <w:rsid w:val="2E4E506A"/>
    <w:rsid w:val="2E59BAEC"/>
    <w:rsid w:val="2E6301B6"/>
    <w:rsid w:val="2E79CFF7"/>
    <w:rsid w:val="2E7EF16E"/>
    <w:rsid w:val="2E839F78"/>
    <w:rsid w:val="2E9191AF"/>
    <w:rsid w:val="2E925427"/>
    <w:rsid w:val="2E961AA1"/>
    <w:rsid w:val="2E9798FB"/>
    <w:rsid w:val="2E993C3F"/>
    <w:rsid w:val="2EA3AF3B"/>
    <w:rsid w:val="2EA3CCB7"/>
    <w:rsid w:val="2EB2FFB6"/>
    <w:rsid w:val="2EB342F1"/>
    <w:rsid w:val="2EB7E27A"/>
    <w:rsid w:val="2EC18184"/>
    <w:rsid w:val="2ED8420E"/>
    <w:rsid w:val="2EDA3E06"/>
    <w:rsid w:val="2EDA4644"/>
    <w:rsid w:val="2EDEAE36"/>
    <w:rsid w:val="2EE0641C"/>
    <w:rsid w:val="2EE0EC5E"/>
    <w:rsid w:val="2EE64514"/>
    <w:rsid w:val="2EEACDF0"/>
    <w:rsid w:val="2EF53A16"/>
    <w:rsid w:val="2F05414F"/>
    <w:rsid w:val="2F0795BD"/>
    <w:rsid w:val="2F101D3C"/>
    <w:rsid w:val="2F1649FC"/>
    <w:rsid w:val="2F2E5AC5"/>
    <w:rsid w:val="2F336F8D"/>
    <w:rsid w:val="2F38B008"/>
    <w:rsid w:val="2F43A957"/>
    <w:rsid w:val="2F45574D"/>
    <w:rsid w:val="2F46E9DD"/>
    <w:rsid w:val="2F51CB1E"/>
    <w:rsid w:val="2F59ADCA"/>
    <w:rsid w:val="2F5ABD50"/>
    <w:rsid w:val="2F6B0230"/>
    <w:rsid w:val="2F6EF270"/>
    <w:rsid w:val="2F73DF8C"/>
    <w:rsid w:val="2F929653"/>
    <w:rsid w:val="2F971D08"/>
    <w:rsid w:val="2FA90749"/>
    <w:rsid w:val="2FABC097"/>
    <w:rsid w:val="2FAC2FD6"/>
    <w:rsid w:val="2FC32674"/>
    <w:rsid w:val="2FEE65CD"/>
    <w:rsid w:val="2FF4133D"/>
    <w:rsid w:val="2FF973E5"/>
    <w:rsid w:val="300F7743"/>
    <w:rsid w:val="301B1AD6"/>
    <w:rsid w:val="3035D238"/>
    <w:rsid w:val="303BEC55"/>
    <w:rsid w:val="304AF00F"/>
    <w:rsid w:val="304B8FB0"/>
    <w:rsid w:val="304E19C2"/>
    <w:rsid w:val="3063DA5C"/>
    <w:rsid w:val="306EC42D"/>
    <w:rsid w:val="30747ED7"/>
    <w:rsid w:val="307B06D6"/>
    <w:rsid w:val="309033FD"/>
    <w:rsid w:val="309FF583"/>
    <w:rsid w:val="30BD06AC"/>
    <w:rsid w:val="30BDCF78"/>
    <w:rsid w:val="30BF7261"/>
    <w:rsid w:val="30C15513"/>
    <w:rsid w:val="30CBD20D"/>
    <w:rsid w:val="30D97CD5"/>
    <w:rsid w:val="31084EBE"/>
    <w:rsid w:val="312333C1"/>
    <w:rsid w:val="313B8D90"/>
    <w:rsid w:val="314651EF"/>
    <w:rsid w:val="31631F2C"/>
    <w:rsid w:val="316A1AD9"/>
    <w:rsid w:val="3172432B"/>
    <w:rsid w:val="31755EB3"/>
    <w:rsid w:val="318249DC"/>
    <w:rsid w:val="31B485A3"/>
    <w:rsid w:val="31B492C6"/>
    <w:rsid w:val="31CDE1BE"/>
    <w:rsid w:val="31E89454"/>
    <w:rsid w:val="31E8BE2A"/>
    <w:rsid w:val="31F294D7"/>
    <w:rsid w:val="31F42585"/>
    <w:rsid w:val="31FD4B8D"/>
    <w:rsid w:val="3202744D"/>
    <w:rsid w:val="3204DDBC"/>
    <w:rsid w:val="32137815"/>
    <w:rsid w:val="3227EEF7"/>
    <w:rsid w:val="322A47AD"/>
    <w:rsid w:val="322DAA74"/>
    <w:rsid w:val="32332FF6"/>
    <w:rsid w:val="32380218"/>
    <w:rsid w:val="323BE472"/>
    <w:rsid w:val="32467C63"/>
    <w:rsid w:val="3258A6C9"/>
    <w:rsid w:val="325E5B74"/>
    <w:rsid w:val="325F7B9A"/>
    <w:rsid w:val="32617E3F"/>
    <w:rsid w:val="3272CB8B"/>
    <w:rsid w:val="3274BD4E"/>
    <w:rsid w:val="32776C42"/>
    <w:rsid w:val="3278FA9A"/>
    <w:rsid w:val="327C6BF9"/>
    <w:rsid w:val="329D6192"/>
    <w:rsid w:val="329F076D"/>
    <w:rsid w:val="32AC9BEE"/>
    <w:rsid w:val="32AD9F86"/>
    <w:rsid w:val="32AFF8AD"/>
    <w:rsid w:val="32B8DB6C"/>
    <w:rsid w:val="32D3ACD2"/>
    <w:rsid w:val="32DB6667"/>
    <w:rsid w:val="330079CA"/>
    <w:rsid w:val="33046636"/>
    <w:rsid w:val="330A6FB1"/>
    <w:rsid w:val="3310CE58"/>
    <w:rsid w:val="33180381"/>
    <w:rsid w:val="337A4CC3"/>
    <w:rsid w:val="3381D5C2"/>
    <w:rsid w:val="33920E02"/>
    <w:rsid w:val="33952C41"/>
    <w:rsid w:val="33A555AA"/>
    <w:rsid w:val="33AA1A1D"/>
    <w:rsid w:val="33B32652"/>
    <w:rsid w:val="33B7B60C"/>
    <w:rsid w:val="33BFF294"/>
    <w:rsid w:val="33DD05B9"/>
    <w:rsid w:val="33E3432C"/>
    <w:rsid w:val="33F37E37"/>
    <w:rsid w:val="3400C2F7"/>
    <w:rsid w:val="34339012"/>
    <w:rsid w:val="34436D78"/>
    <w:rsid w:val="3454834E"/>
    <w:rsid w:val="3457AA15"/>
    <w:rsid w:val="348B7505"/>
    <w:rsid w:val="348ED922"/>
    <w:rsid w:val="3499889E"/>
    <w:rsid w:val="349C0EC2"/>
    <w:rsid w:val="34C36A0F"/>
    <w:rsid w:val="34C4B380"/>
    <w:rsid w:val="34CDBEFF"/>
    <w:rsid w:val="34D717A0"/>
    <w:rsid w:val="34E01EC5"/>
    <w:rsid w:val="34E86D60"/>
    <w:rsid w:val="34EB118F"/>
    <w:rsid w:val="34EBBA52"/>
    <w:rsid w:val="34EC2665"/>
    <w:rsid w:val="34ECD269"/>
    <w:rsid w:val="34FB236D"/>
    <w:rsid w:val="34FB7D2F"/>
    <w:rsid w:val="350B9BBE"/>
    <w:rsid w:val="350CC85C"/>
    <w:rsid w:val="35126164"/>
    <w:rsid w:val="351A92CB"/>
    <w:rsid w:val="353DD305"/>
    <w:rsid w:val="354B2857"/>
    <w:rsid w:val="354CF23A"/>
    <w:rsid w:val="354DE941"/>
    <w:rsid w:val="35686491"/>
    <w:rsid w:val="356E7DA6"/>
    <w:rsid w:val="3579D86C"/>
    <w:rsid w:val="357B8CE1"/>
    <w:rsid w:val="3584D9AF"/>
    <w:rsid w:val="359D0CA2"/>
    <w:rsid w:val="35A0DD4A"/>
    <w:rsid w:val="35A58857"/>
    <w:rsid w:val="35A8DF77"/>
    <w:rsid w:val="35A924E4"/>
    <w:rsid w:val="35A97E7A"/>
    <w:rsid w:val="35AA058A"/>
    <w:rsid w:val="35B5A705"/>
    <w:rsid w:val="35B7CC6B"/>
    <w:rsid w:val="35B93E4F"/>
    <w:rsid w:val="35B951ED"/>
    <w:rsid w:val="35C027ED"/>
    <w:rsid w:val="35F123F6"/>
    <w:rsid w:val="35F3D066"/>
    <w:rsid w:val="3606F9E8"/>
    <w:rsid w:val="36090206"/>
    <w:rsid w:val="36163E5E"/>
    <w:rsid w:val="3620C318"/>
    <w:rsid w:val="36278087"/>
    <w:rsid w:val="3627B860"/>
    <w:rsid w:val="362F086B"/>
    <w:rsid w:val="36317310"/>
    <w:rsid w:val="363CE5FA"/>
    <w:rsid w:val="364AC2F3"/>
    <w:rsid w:val="364B6AF3"/>
    <w:rsid w:val="365707D5"/>
    <w:rsid w:val="365947FD"/>
    <w:rsid w:val="3661C3FE"/>
    <w:rsid w:val="36708826"/>
    <w:rsid w:val="367DF4BB"/>
    <w:rsid w:val="36869505"/>
    <w:rsid w:val="368C58D3"/>
    <w:rsid w:val="36A00980"/>
    <w:rsid w:val="36AF1D7E"/>
    <w:rsid w:val="36BC41C2"/>
    <w:rsid w:val="36C929FA"/>
    <w:rsid w:val="36CB9E52"/>
    <w:rsid w:val="36D05A00"/>
    <w:rsid w:val="36E70C5E"/>
    <w:rsid w:val="36EAAA5B"/>
    <w:rsid w:val="36F3D294"/>
    <w:rsid w:val="36F5D05D"/>
    <w:rsid w:val="36FD18E3"/>
    <w:rsid w:val="37058DDA"/>
    <w:rsid w:val="3706492C"/>
    <w:rsid w:val="371B0F94"/>
    <w:rsid w:val="37235DB4"/>
    <w:rsid w:val="372BB4CA"/>
    <w:rsid w:val="374F2CD8"/>
    <w:rsid w:val="37588D89"/>
    <w:rsid w:val="375AD2B7"/>
    <w:rsid w:val="37738A19"/>
    <w:rsid w:val="377C935B"/>
    <w:rsid w:val="3780AF71"/>
    <w:rsid w:val="3792833B"/>
    <w:rsid w:val="379BEB3E"/>
    <w:rsid w:val="379C854D"/>
    <w:rsid w:val="37A5A719"/>
    <w:rsid w:val="37A5EF9F"/>
    <w:rsid w:val="37A5F18D"/>
    <w:rsid w:val="37BFC3C2"/>
    <w:rsid w:val="37E109FC"/>
    <w:rsid w:val="37EEEA3D"/>
    <w:rsid w:val="37F6E3BF"/>
    <w:rsid w:val="37FC17FC"/>
    <w:rsid w:val="37FDC4AF"/>
    <w:rsid w:val="380E16AD"/>
    <w:rsid w:val="381AE9A3"/>
    <w:rsid w:val="381BBF89"/>
    <w:rsid w:val="3825077B"/>
    <w:rsid w:val="38296941"/>
    <w:rsid w:val="382D309D"/>
    <w:rsid w:val="38395E9A"/>
    <w:rsid w:val="383A301B"/>
    <w:rsid w:val="383FF62D"/>
    <w:rsid w:val="38459BE0"/>
    <w:rsid w:val="38499272"/>
    <w:rsid w:val="385AA341"/>
    <w:rsid w:val="386DC87F"/>
    <w:rsid w:val="38722C11"/>
    <w:rsid w:val="38A1275B"/>
    <w:rsid w:val="38A4AD98"/>
    <w:rsid w:val="38A9A893"/>
    <w:rsid w:val="38AD93A6"/>
    <w:rsid w:val="38BBB56C"/>
    <w:rsid w:val="38C45FE3"/>
    <w:rsid w:val="38C51B57"/>
    <w:rsid w:val="38C5C48E"/>
    <w:rsid w:val="38CC234A"/>
    <w:rsid w:val="38F6D000"/>
    <w:rsid w:val="38FC1CB9"/>
    <w:rsid w:val="39156DC0"/>
    <w:rsid w:val="3921F377"/>
    <w:rsid w:val="392A83E3"/>
    <w:rsid w:val="3938DCF1"/>
    <w:rsid w:val="3941C1EE"/>
    <w:rsid w:val="3947E3BA"/>
    <w:rsid w:val="396A7451"/>
    <w:rsid w:val="39779083"/>
    <w:rsid w:val="397DFC28"/>
    <w:rsid w:val="399235F5"/>
    <w:rsid w:val="39A93FD0"/>
    <w:rsid w:val="39C1F08A"/>
    <w:rsid w:val="39C258AF"/>
    <w:rsid w:val="39C8C38D"/>
    <w:rsid w:val="39CDEE47"/>
    <w:rsid w:val="39D14D65"/>
    <w:rsid w:val="39D2A065"/>
    <w:rsid w:val="39DBC68E"/>
    <w:rsid w:val="39DDDA58"/>
    <w:rsid w:val="39EDB0F6"/>
    <w:rsid w:val="39F4BD04"/>
    <w:rsid w:val="3A0800F8"/>
    <w:rsid w:val="3A0F2442"/>
    <w:rsid w:val="3A0FDD00"/>
    <w:rsid w:val="3A17A0E4"/>
    <w:rsid w:val="3A2344CF"/>
    <w:rsid w:val="3A2B4AAC"/>
    <w:rsid w:val="3A2C004B"/>
    <w:rsid w:val="3A3A4407"/>
    <w:rsid w:val="3A3FF799"/>
    <w:rsid w:val="3A4A4CF8"/>
    <w:rsid w:val="3A563ED2"/>
    <w:rsid w:val="3A6119B4"/>
    <w:rsid w:val="3A7196D2"/>
    <w:rsid w:val="3A8BE0BB"/>
    <w:rsid w:val="3AA2CE91"/>
    <w:rsid w:val="3AB31745"/>
    <w:rsid w:val="3AB8FA98"/>
    <w:rsid w:val="3AC016DF"/>
    <w:rsid w:val="3AC6BE35"/>
    <w:rsid w:val="3ACE07AC"/>
    <w:rsid w:val="3AD41BEC"/>
    <w:rsid w:val="3AD5EE48"/>
    <w:rsid w:val="3AD977BB"/>
    <w:rsid w:val="3ADC7306"/>
    <w:rsid w:val="3ADD924F"/>
    <w:rsid w:val="3ADDA457"/>
    <w:rsid w:val="3AE51940"/>
    <w:rsid w:val="3AED7526"/>
    <w:rsid w:val="3B03587D"/>
    <w:rsid w:val="3B1238A2"/>
    <w:rsid w:val="3B279DEB"/>
    <w:rsid w:val="3B295263"/>
    <w:rsid w:val="3B329C61"/>
    <w:rsid w:val="3B34F305"/>
    <w:rsid w:val="3B3F1B50"/>
    <w:rsid w:val="3B4C89BD"/>
    <w:rsid w:val="3B51E402"/>
    <w:rsid w:val="3B5D588E"/>
    <w:rsid w:val="3B782704"/>
    <w:rsid w:val="3B7A9580"/>
    <w:rsid w:val="3B898157"/>
    <w:rsid w:val="3BB27482"/>
    <w:rsid w:val="3BBD08F0"/>
    <w:rsid w:val="3BC82B28"/>
    <w:rsid w:val="3BE54D6E"/>
    <w:rsid w:val="3BF0B449"/>
    <w:rsid w:val="3C053D35"/>
    <w:rsid w:val="3C06F030"/>
    <w:rsid w:val="3C09EA96"/>
    <w:rsid w:val="3C11486A"/>
    <w:rsid w:val="3C42E03D"/>
    <w:rsid w:val="3C49DF12"/>
    <w:rsid w:val="3C5B9040"/>
    <w:rsid w:val="3C5F490B"/>
    <w:rsid w:val="3C63DC47"/>
    <w:rsid w:val="3C6D3D1E"/>
    <w:rsid w:val="3C6E45DB"/>
    <w:rsid w:val="3C778E85"/>
    <w:rsid w:val="3C77C8C3"/>
    <w:rsid w:val="3C7ECCB6"/>
    <w:rsid w:val="3C84AD47"/>
    <w:rsid w:val="3C87AA65"/>
    <w:rsid w:val="3CA797EE"/>
    <w:rsid w:val="3CA84C31"/>
    <w:rsid w:val="3CADE6DA"/>
    <w:rsid w:val="3CAF4063"/>
    <w:rsid w:val="3CAF5BB3"/>
    <w:rsid w:val="3CD71B67"/>
    <w:rsid w:val="3CD8B318"/>
    <w:rsid w:val="3CDDEAD4"/>
    <w:rsid w:val="3CEBB20F"/>
    <w:rsid w:val="3D011FA2"/>
    <w:rsid w:val="3D0C042D"/>
    <w:rsid w:val="3D19F04B"/>
    <w:rsid w:val="3D3210B2"/>
    <w:rsid w:val="3D43C416"/>
    <w:rsid w:val="3D4CA5B0"/>
    <w:rsid w:val="3D57880D"/>
    <w:rsid w:val="3D6E9BD1"/>
    <w:rsid w:val="3D7DF119"/>
    <w:rsid w:val="3D9A3EAA"/>
    <w:rsid w:val="3D9FAE4B"/>
    <w:rsid w:val="3DA0B314"/>
    <w:rsid w:val="3DA4C074"/>
    <w:rsid w:val="3DA81D35"/>
    <w:rsid w:val="3DABA4D2"/>
    <w:rsid w:val="3DBCF5D6"/>
    <w:rsid w:val="3DC65D36"/>
    <w:rsid w:val="3DC72614"/>
    <w:rsid w:val="3DD25FBA"/>
    <w:rsid w:val="3DD5B4E8"/>
    <w:rsid w:val="3DE0DE8E"/>
    <w:rsid w:val="3DE23DB1"/>
    <w:rsid w:val="3DFA60B4"/>
    <w:rsid w:val="3DFA811E"/>
    <w:rsid w:val="3E207C9C"/>
    <w:rsid w:val="3E2709C7"/>
    <w:rsid w:val="3E2BB617"/>
    <w:rsid w:val="3E2C7976"/>
    <w:rsid w:val="3E350664"/>
    <w:rsid w:val="3E3F3421"/>
    <w:rsid w:val="3E4AD1ED"/>
    <w:rsid w:val="3E4F5058"/>
    <w:rsid w:val="3E5851DD"/>
    <w:rsid w:val="3E59D99E"/>
    <w:rsid w:val="3E7D5657"/>
    <w:rsid w:val="3E88061E"/>
    <w:rsid w:val="3E9E83DD"/>
    <w:rsid w:val="3EA81953"/>
    <w:rsid w:val="3EAE15CD"/>
    <w:rsid w:val="3EC531C6"/>
    <w:rsid w:val="3ECA2309"/>
    <w:rsid w:val="3ED183A8"/>
    <w:rsid w:val="3EED9681"/>
    <w:rsid w:val="3EEF404A"/>
    <w:rsid w:val="3F098027"/>
    <w:rsid w:val="3F132BC2"/>
    <w:rsid w:val="3F1700F9"/>
    <w:rsid w:val="3F1768C5"/>
    <w:rsid w:val="3F2032E7"/>
    <w:rsid w:val="3F233E6A"/>
    <w:rsid w:val="3F27056E"/>
    <w:rsid w:val="3F29A369"/>
    <w:rsid w:val="3F3167EC"/>
    <w:rsid w:val="3F344296"/>
    <w:rsid w:val="3F3F3ABE"/>
    <w:rsid w:val="3F58F5DA"/>
    <w:rsid w:val="3F63F2F0"/>
    <w:rsid w:val="3F64FD5C"/>
    <w:rsid w:val="3F677530"/>
    <w:rsid w:val="3F69C405"/>
    <w:rsid w:val="3F8DE1BD"/>
    <w:rsid w:val="3F8FCBB2"/>
    <w:rsid w:val="3F92DD0A"/>
    <w:rsid w:val="3FA17850"/>
    <w:rsid w:val="3FB8ADFA"/>
    <w:rsid w:val="3FDB1B1F"/>
    <w:rsid w:val="3FDEFFDC"/>
    <w:rsid w:val="3FF22180"/>
    <w:rsid w:val="3FF7BE70"/>
    <w:rsid w:val="3FF9977B"/>
    <w:rsid w:val="3FFAF872"/>
    <w:rsid w:val="400690C1"/>
    <w:rsid w:val="400843B3"/>
    <w:rsid w:val="4009E9BA"/>
    <w:rsid w:val="400E8158"/>
    <w:rsid w:val="401F5286"/>
    <w:rsid w:val="4026B9AB"/>
    <w:rsid w:val="402975B9"/>
    <w:rsid w:val="4034CB73"/>
    <w:rsid w:val="403FA001"/>
    <w:rsid w:val="4053FD16"/>
    <w:rsid w:val="40600BDF"/>
    <w:rsid w:val="4062A247"/>
    <w:rsid w:val="4066FF71"/>
    <w:rsid w:val="40699405"/>
    <w:rsid w:val="40780243"/>
    <w:rsid w:val="407A097B"/>
    <w:rsid w:val="407B4765"/>
    <w:rsid w:val="408053D2"/>
    <w:rsid w:val="408DD64D"/>
    <w:rsid w:val="40909F37"/>
    <w:rsid w:val="4096E042"/>
    <w:rsid w:val="409FFA3C"/>
    <w:rsid w:val="40B98934"/>
    <w:rsid w:val="40C9B6A5"/>
    <w:rsid w:val="40CDB8F5"/>
    <w:rsid w:val="40D01ED4"/>
    <w:rsid w:val="40D2A7B0"/>
    <w:rsid w:val="40D7B499"/>
    <w:rsid w:val="40DCA408"/>
    <w:rsid w:val="40F4CCCE"/>
    <w:rsid w:val="410388BF"/>
    <w:rsid w:val="41218216"/>
    <w:rsid w:val="41221AED"/>
    <w:rsid w:val="4126AD43"/>
    <w:rsid w:val="4127A123"/>
    <w:rsid w:val="41315443"/>
    <w:rsid w:val="4134C90E"/>
    <w:rsid w:val="413B5D28"/>
    <w:rsid w:val="414BFF97"/>
    <w:rsid w:val="41513E68"/>
    <w:rsid w:val="4162C301"/>
    <w:rsid w:val="41658C39"/>
    <w:rsid w:val="417B2BA0"/>
    <w:rsid w:val="4181D981"/>
    <w:rsid w:val="41866B19"/>
    <w:rsid w:val="4187EC14"/>
    <w:rsid w:val="4193C0B4"/>
    <w:rsid w:val="419C3D4A"/>
    <w:rsid w:val="41AA1EBA"/>
    <w:rsid w:val="41AE6539"/>
    <w:rsid w:val="41B52CEE"/>
    <w:rsid w:val="41C109C1"/>
    <w:rsid w:val="41C9C34D"/>
    <w:rsid w:val="41CBEF56"/>
    <w:rsid w:val="41E2E15A"/>
    <w:rsid w:val="41E60966"/>
    <w:rsid w:val="41ED684A"/>
    <w:rsid w:val="41F0E714"/>
    <w:rsid w:val="41F824CE"/>
    <w:rsid w:val="41FDD55D"/>
    <w:rsid w:val="42002A42"/>
    <w:rsid w:val="4205BB1F"/>
    <w:rsid w:val="420D7204"/>
    <w:rsid w:val="421268E3"/>
    <w:rsid w:val="4219A80F"/>
    <w:rsid w:val="421C36C1"/>
    <w:rsid w:val="4222F069"/>
    <w:rsid w:val="423FB1EB"/>
    <w:rsid w:val="424489B9"/>
    <w:rsid w:val="4249197B"/>
    <w:rsid w:val="424A6725"/>
    <w:rsid w:val="424DBF1D"/>
    <w:rsid w:val="42514A6F"/>
    <w:rsid w:val="42664A2F"/>
    <w:rsid w:val="426B0A44"/>
    <w:rsid w:val="427208C2"/>
    <w:rsid w:val="42727848"/>
    <w:rsid w:val="42B7F727"/>
    <w:rsid w:val="42C1B002"/>
    <w:rsid w:val="42D1B422"/>
    <w:rsid w:val="42DE5CC0"/>
    <w:rsid w:val="42E2505F"/>
    <w:rsid w:val="42E42727"/>
    <w:rsid w:val="42EE5BF7"/>
    <w:rsid w:val="42FB13F0"/>
    <w:rsid w:val="42FE52D5"/>
    <w:rsid w:val="43224B64"/>
    <w:rsid w:val="432470C1"/>
    <w:rsid w:val="4324CB78"/>
    <w:rsid w:val="432918E1"/>
    <w:rsid w:val="432F2C76"/>
    <w:rsid w:val="433A1314"/>
    <w:rsid w:val="4341E934"/>
    <w:rsid w:val="434BCBBE"/>
    <w:rsid w:val="43514667"/>
    <w:rsid w:val="43558F08"/>
    <w:rsid w:val="43605317"/>
    <w:rsid w:val="4361E638"/>
    <w:rsid w:val="4370F0B6"/>
    <w:rsid w:val="43716134"/>
    <w:rsid w:val="4379A021"/>
    <w:rsid w:val="439D34C7"/>
    <w:rsid w:val="439F5BD6"/>
    <w:rsid w:val="43A382F4"/>
    <w:rsid w:val="43A55114"/>
    <w:rsid w:val="43A74A70"/>
    <w:rsid w:val="43AF7C14"/>
    <w:rsid w:val="43C9ED23"/>
    <w:rsid w:val="43E16813"/>
    <w:rsid w:val="43E56310"/>
    <w:rsid w:val="43EA5415"/>
    <w:rsid w:val="43EADEAE"/>
    <w:rsid w:val="43ECC2E3"/>
    <w:rsid w:val="43ECD92D"/>
    <w:rsid w:val="43FB493C"/>
    <w:rsid w:val="441EF815"/>
    <w:rsid w:val="4429E713"/>
    <w:rsid w:val="44392DA2"/>
    <w:rsid w:val="444FF986"/>
    <w:rsid w:val="4452B3E2"/>
    <w:rsid w:val="44536085"/>
    <w:rsid w:val="44629C11"/>
    <w:rsid w:val="446FF0C7"/>
    <w:rsid w:val="44719A8D"/>
    <w:rsid w:val="4492C104"/>
    <w:rsid w:val="4494BB59"/>
    <w:rsid w:val="44958B60"/>
    <w:rsid w:val="4497E4DE"/>
    <w:rsid w:val="44A2848F"/>
    <w:rsid w:val="44A5A6B0"/>
    <w:rsid w:val="44A94719"/>
    <w:rsid w:val="44ABF2A9"/>
    <w:rsid w:val="44CD4A5F"/>
    <w:rsid w:val="44D26A8B"/>
    <w:rsid w:val="44D41466"/>
    <w:rsid w:val="44DBA5B7"/>
    <w:rsid w:val="44E1B025"/>
    <w:rsid w:val="44EA89FC"/>
    <w:rsid w:val="44ECE8B5"/>
    <w:rsid w:val="44F25F94"/>
    <w:rsid w:val="4505AD85"/>
    <w:rsid w:val="450BB79C"/>
    <w:rsid w:val="4531AB14"/>
    <w:rsid w:val="45420E4E"/>
    <w:rsid w:val="4547C286"/>
    <w:rsid w:val="4554F4E2"/>
    <w:rsid w:val="4556C7AB"/>
    <w:rsid w:val="456113C2"/>
    <w:rsid w:val="456287F0"/>
    <w:rsid w:val="4564F8AA"/>
    <w:rsid w:val="45709469"/>
    <w:rsid w:val="45727F80"/>
    <w:rsid w:val="4576AD0A"/>
    <w:rsid w:val="457B4479"/>
    <w:rsid w:val="457CE531"/>
    <w:rsid w:val="45891E5E"/>
    <w:rsid w:val="458AEB5A"/>
    <w:rsid w:val="4598BD65"/>
    <w:rsid w:val="45A53FE5"/>
    <w:rsid w:val="45AB7CE1"/>
    <w:rsid w:val="45BDC6EC"/>
    <w:rsid w:val="45C64E07"/>
    <w:rsid w:val="45CFDF27"/>
    <w:rsid w:val="45D0BF58"/>
    <w:rsid w:val="45D179ED"/>
    <w:rsid w:val="45D46FA1"/>
    <w:rsid w:val="45D47978"/>
    <w:rsid w:val="45D6D97E"/>
    <w:rsid w:val="45DCB48E"/>
    <w:rsid w:val="45E56A9E"/>
    <w:rsid w:val="45E878CA"/>
    <w:rsid w:val="45F8B91D"/>
    <w:rsid w:val="45FBB80E"/>
    <w:rsid w:val="460D3E4E"/>
    <w:rsid w:val="4616B7F3"/>
    <w:rsid w:val="4626B498"/>
    <w:rsid w:val="46356776"/>
    <w:rsid w:val="46651072"/>
    <w:rsid w:val="46662F55"/>
    <w:rsid w:val="46678E75"/>
    <w:rsid w:val="4675DB25"/>
    <w:rsid w:val="46765DD8"/>
    <w:rsid w:val="467B42B5"/>
    <w:rsid w:val="468D6405"/>
    <w:rsid w:val="469A690D"/>
    <w:rsid w:val="46AE919C"/>
    <w:rsid w:val="46B319AB"/>
    <w:rsid w:val="46B3283D"/>
    <w:rsid w:val="46CA24DA"/>
    <w:rsid w:val="46E222C6"/>
    <w:rsid w:val="46E76955"/>
    <w:rsid w:val="46EF6D21"/>
    <w:rsid w:val="46FBDF6E"/>
    <w:rsid w:val="46FD34E0"/>
    <w:rsid w:val="46FF4814"/>
    <w:rsid w:val="4701D22C"/>
    <w:rsid w:val="47029CA1"/>
    <w:rsid w:val="470A38EF"/>
    <w:rsid w:val="470BFE59"/>
    <w:rsid w:val="471263D6"/>
    <w:rsid w:val="4721D130"/>
    <w:rsid w:val="473CE7D0"/>
    <w:rsid w:val="4742ECD0"/>
    <w:rsid w:val="474CB087"/>
    <w:rsid w:val="4764C802"/>
    <w:rsid w:val="477E9315"/>
    <w:rsid w:val="47809324"/>
    <w:rsid w:val="478444A0"/>
    <w:rsid w:val="478C642F"/>
    <w:rsid w:val="479554BE"/>
    <w:rsid w:val="47967793"/>
    <w:rsid w:val="47A3B3F1"/>
    <w:rsid w:val="47ACC3D7"/>
    <w:rsid w:val="47C2409E"/>
    <w:rsid w:val="47C90E32"/>
    <w:rsid w:val="47D0722F"/>
    <w:rsid w:val="47D2303C"/>
    <w:rsid w:val="47DA6221"/>
    <w:rsid w:val="47E1BBD8"/>
    <w:rsid w:val="47E97CC7"/>
    <w:rsid w:val="47F645C0"/>
    <w:rsid w:val="4803B6DC"/>
    <w:rsid w:val="4805403D"/>
    <w:rsid w:val="480F76E3"/>
    <w:rsid w:val="48368EE7"/>
    <w:rsid w:val="4855A81F"/>
    <w:rsid w:val="486FB8F7"/>
    <w:rsid w:val="488FD7DF"/>
    <w:rsid w:val="4895B070"/>
    <w:rsid w:val="489672D3"/>
    <w:rsid w:val="48A2BD52"/>
    <w:rsid w:val="48A7CEBA"/>
    <w:rsid w:val="48C1FC01"/>
    <w:rsid w:val="48C503E0"/>
    <w:rsid w:val="48E970F9"/>
    <w:rsid w:val="48E9A663"/>
    <w:rsid w:val="48F60904"/>
    <w:rsid w:val="48F67C2B"/>
    <w:rsid w:val="48FA0205"/>
    <w:rsid w:val="4911AE7B"/>
    <w:rsid w:val="49145543"/>
    <w:rsid w:val="4915DD98"/>
    <w:rsid w:val="492AA40C"/>
    <w:rsid w:val="492B3069"/>
    <w:rsid w:val="4934952D"/>
    <w:rsid w:val="493701B3"/>
    <w:rsid w:val="494B7733"/>
    <w:rsid w:val="4959A469"/>
    <w:rsid w:val="495C33D9"/>
    <w:rsid w:val="495D1499"/>
    <w:rsid w:val="496AA61A"/>
    <w:rsid w:val="496DB228"/>
    <w:rsid w:val="4971B2A7"/>
    <w:rsid w:val="49735D6C"/>
    <w:rsid w:val="49767152"/>
    <w:rsid w:val="49846FAC"/>
    <w:rsid w:val="49AA8534"/>
    <w:rsid w:val="49B59D93"/>
    <w:rsid w:val="49B85EB7"/>
    <w:rsid w:val="49BE6ACF"/>
    <w:rsid w:val="49C4807B"/>
    <w:rsid w:val="49CF5D93"/>
    <w:rsid w:val="49D3E5D5"/>
    <w:rsid w:val="49DFFC0C"/>
    <w:rsid w:val="49E3D228"/>
    <w:rsid w:val="49E4E11B"/>
    <w:rsid w:val="49EE0546"/>
    <w:rsid w:val="49F0539B"/>
    <w:rsid w:val="4A01BC67"/>
    <w:rsid w:val="4A043705"/>
    <w:rsid w:val="4A0778B7"/>
    <w:rsid w:val="4A159C6C"/>
    <w:rsid w:val="4A3B9AD6"/>
    <w:rsid w:val="4A60D441"/>
    <w:rsid w:val="4A63FCFE"/>
    <w:rsid w:val="4A71A51D"/>
    <w:rsid w:val="4A83D4DC"/>
    <w:rsid w:val="4A89E104"/>
    <w:rsid w:val="4A8EEE94"/>
    <w:rsid w:val="4A8F4600"/>
    <w:rsid w:val="4AA99641"/>
    <w:rsid w:val="4AAF1E6C"/>
    <w:rsid w:val="4AB40412"/>
    <w:rsid w:val="4ABA71EC"/>
    <w:rsid w:val="4ABC7907"/>
    <w:rsid w:val="4AD8EE03"/>
    <w:rsid w:val="4AD927F7"/>
    <w:rsid w:val="4ADD3697"/>
    <w:rsid w:val="4ADDCB47"/>
    <w:rsid w:val="4AE4ADDB"/>
    <w:rsid w:val="4AF06D46"/>
    <w:rsid w:val="4AFA610F"/>
    <w:rsid w:val="4AFBE5BF"/>
    <w:rsid w:val="4B04A4BF"/>
    <w:rsid w:val="4B125361"/>
    <w:rsid w:val="4B12BFD2"/>
    <w:rsid w:val="4B271AF8"/>
    <w:rsid w:val="4B3149C0"/>
    <w:rsid w:val="4B477DFC"/>
    <w:rsid w:val="4B49EDD4"/>
    <w:rsid w:val="4B4EC3AA"/>
    <w:rsid w:val="4B54A2D8"/>
    <w:rsid w:val="4B5C9AAB"/>
    <w:rsid w:val="4B7F9408"/>
    <w:rsid w:val="4B816570"/>
    <w:rsid w:val="4B8AF4B9"/>
    <w:rsid w:val="4B90612B"/>
    <w:rsid w:val="4B922FA2"/>
    <w:rsid w:val="4B9FAC0E"/>
    <w:rsid w:val="4BA8B416"/>
    <w:rsid w:val="4BDEB40A"/>
    <w:rsid w:val="4BE216B2"/>
    <w:rsid w:val="4BE6A6D4"/>
    <w:rsid w:val="4C0BA578"/>
    <w:rsid w:val="4C0EDE37"/>
    <w:rsid w:val="4C1BFC84"/>
    <w:rsid w:val="4C1ED143"/>
    <w:rsid w:val="4C2CCB09"/>
    <w:rsid w:val="4C30134D"/>
    <w:rsid w:val="4C303099"/>
    <w:rsid w:val="4C34556B"/>
    <w:rsid w:val="4C3D404F"/>
    <w:rsid w:val="4C3EBB8A"/>
    <w:rsid w:val="4C447A0C"/>
    <w:rsid w:val="4C461511"/>
    <w:rsid w:val="4C73548F"/>
    <w:rsid w:val="4C9480E1"/>
    <w:rsid w:val="4C9620D9"/>
    <w:rsid w:val="4C9C0E9E"/>
    <w:rsid w:val="4C9D4609"/>
    <w:rsid w:val="4CA2314A"/>
    <w:rsid w:val="4CAFC6D6"/>
    <w:rsid w:val="4CB03EF1"/>
    <w:rsid w:val="4CB04A40"/>
    <w:rsid w:val="4CD29D86"/>
    <w:rsid w:val="4CD57DE0"/>
    <w:rsid w:val="4CD7F7BF"/>
    <w:rsid w:val="4CD95AFA"/>
    <w:rsid w:val="4CDBA9A1"/>
    <w:rsid w:val="4CEE06F8"/>
    <w:rsid w:val="4CF66A01"/>
    <w:rsid w:val="4CFC5328"/>
    <w:rsid w:val="4CFCCB0C"/>
    <w:rsid w:val="4CFFD76B"/>
    <w:rsid w:val="4D35401C"/>
    <w:rsid w:val="4D364C16"/>
    <w:rsid w:val="4D3D6F56"/>
    <w:rsid w:val="4D3FB1F9"/>
    <w:rsid w:val="4D419305"/>
    <w:rsid w:val="4D448477"/>
    <w:rsid w:val="4D474A5C"/>
    <w:rsid w:val="4D4F3E16"/>
    <w:rsid w:val="4D625064"/>
    <w:rsid w:val="4D67A740"/>
    <w:rsid w:val="4D81C28B"/>
    <w:rsid w:val="4D9619DB"/>
    <w:rsid w:val="4DA54232"/>
    <w:rsid w:val="4DAE4EAE"/>
    <w:rsid w:val="4DEA82C7"/>
    <w:rsid w:val="4DF07160"/>
    <w:rsid w:val="4E050586"/>
    <w:rsid w:val="4E16609D"/>
    <w:rsid w:val="4E37101C"/>
    <w:rsid w:val="4E405537"/>
    <w:rsid w:val="4E490FDA"/>
    <w:rsid w:val="4E4BEAA8"/>
    <w:rsid w:val="4E4C3277"/>
    <w:rsid w:val="4E5A31A6"/>
    <w:rsid w:val="4E710611"/>
    <w:rsid w:val="4E7EB723"/>
    <w:rsid w:val="4E7FD409"/>
    <w:rsid w:val="4E848713"/>
    <w:rsid w:val="4E86646C"/>
    <w:rsid w:val="4E888A52"/>
    <w:rsid w:val="4E8FDD6D"/>
    <w:rsid w:val="4EA7E187"/>
    <w:rsid w:val="4EB55DF2"/>
    <w:rsid w:val="4EB5F4BD"/>
    <w:rsid w:val="4ED0FF43"/>
    <w:rsid w:val="4EED591B"/>
    <w:rsid w:val="4F02EF3D"/>
    <w:rsid w:val="4F052635"/>
    <w:rsid w:val="4F31419A"/>
    <w:rsid w:val="4F3E6B0A"/>
    <w:rsid w:val="4F4AA74C"/>
    <w:rsid w:val="4F4B428C"/>
    <w:rsid w:val="4F4E68D0"/>
    <w:rsid w:val="4F53BDFA"/>
    <w:rsid w:val="4F5E6E47"/>
    <w:rsid w:val="4F69CA68"/>
    <w:rsid w:val="4F800D33"/>
    <w:rsid w:val="4F8B6D54"/>
    <w:rsid w:val="4F9844DE"/>
    <w:rsid w:val="4F9925FB"/>
    <w:rsid w:val="4F9932E5"/>
    <w:rsid w:val="4FABBEE3"/>
    <w:rsid w:val="4FB6991F"/>
    <w:rsid w:val="4FD0BBF7"/>
    <w:rsid w:val="4FD2054E"/>
    <w:rsid w:val="4FDCDF74"/>
    <w:rsid w:val="4FE17D4B"/>
    <w:rsid w:val="4FF6B4F4"/>
    <w:rsid w:val="5000134D"/>
    <w:rsid w:val="501A17CD"/>
    <w:rsid w:val="501C0BDA"/>
    <w:rsid w:val="502234CD"/>
    <w:rsid w:val="502B882F"/>
    <w:rsid w:val="502DC070"/>
    <w:rsid w:val="5047CE12"/>
    <w:rsid w:val="50594B0C"/>
    <w:rsid w:val="505A0F09"/>
    <w:rsid w:val="5061CED6"/>
    <w:rsid w:val="50677A50"/>
    <w:rsid w:val="5069B8C5"/>
    <w:rsid w:val="506ED003"/>
    <w:rsid w:val="509532D9"/>
    <w:rsid w:val="509DFF3C"/>
    <w:rsid w:val="50A091EF"/>
    <w:rsid w:val="50AD7E48"/>
    <w:rsid w:val="50B90CD3"/>
    <w:rsid w:val="50BCC0E1"/>
    <w:rsid w:val="50CE6885"/>
    <w:rsid w:val="50D015C5"/>
    <w:rsid w:val="50D1CC46"/>
    <w:rsid w:val="50DA7BCA"/>
    <w:rsid w:val="50E1D71A"/>
    <w:rsid w:val="5104A9AC"/>
    <w:rsid w:val="5104FB29"/>
    <w:rsid w:val="510B9BAE"/>
    <w:rsid w:val="5115127B"/>
    <w:rsid w:val="511F72B9"/>
    <w:rsid w:val="512977D6"/>
    <w:rsid w:val="512FEBF0"/>
    <w:rsid w:val="513AD12C"/>
    <w:rsid w:val="5158796E"/>
    <w:rsid w:val="5174BBA0"/>
    <w:rsid w:val="51797556"/>
    <w:rsid w:val="517E6EF2"/>
    <w:rsid w:val="518AA894"/>
    <w:rsid w:val="518B6147"/>
    <w:rsid w:val="5192952B"/>
    <w:rsid w:val="51A2D4D2"/>
    <w:rsid w:val="51ABB139"/>
    <w:rsid w:val="51C226B2"/>
    <w:rsid w:val="51C3310F"/>
    <w:rsid w:val="51C42430"/>
    <w:rsid w:val="51E45110"/>
    <w:rsid w:val="51FB4CB5"/>
    <w:rsid w:val="520EF017"/>
    <w:rsid w:val="5217F59A"/>
    <w:rsid w:val="522D0E57"/>
    <w:rsid w:val="522E02FB"/>
    <w:rsid w:val="52418992"/>
    <w:rsid w:val="524223CC"/>
    <w:rsid w:val="52658637"/>
    <w:rsid w:val="527AFD36"/>
    <w:rsid w:val="528FA0EF"/>
    <w:rsid w:val="529E040F"/>
    <w:rsid w:val="529F3C86"/>
    <w:rsid w:val="52A54DD8"/>
    <w:rsid w:val="52A8563D"/>
    <w:rsid w:val="52AFAD13"/>
    <w:rsid w:val="5303FA71"/>
    <w:rsid w:val="5318472F"/>
    <w:rsid w:val="531A8EB0"/>
    <w:rsid w:val="531B0FB8"/>
    <w:rsid w:val="532C23E2"/>
    <w:rsid w:val="533AB74C"/>
    <w:rsid w:val="5348EBC9"/>
    <w:rsid w:val="534B70F1"/>
    <w:rsid w:val="535FA919"/>
    <w:rsid w:val="5380DEB3"/>
    <w:rsid w:val="538C719F"/>
    <w:rsid w:val="539A0338"/>
    <w:rsid w:val="53A9AB3C"/>
    <w:rsid w:val="53B1C28F"/>
    <w:rsid w:val="53CCD39B"/>
    <w:rsid w:val="53DA7EE5"/>
    <w:rsid w:val="53E80216"/>
    <w:rsid w:val="53F85CA8"/>
    <w:rsid w:val="54182C6D"/>
    <w:rsid w:val="541B144F"/>
    <w:rsid w:val="541E146E"/>
    <w:rsid w:val="541F1D1B"/>
    <w:rsid w:val="5427D3CA"/>
    <w:rsid w:val="5438D0EC"/>
    <w:rsid w:val="54518966"/>
    <w:rsid w:val="5461038F"/>
    <w:rsid w:val="54630678"/>
    <w:rsid w:val="548DE7F3"/>
    <w:rsid w:val="54941FA7"/>
    <w:rsid w:val="5499A4D6"/>
    <w:rsid w:val="549DE2E0"/>
    <w:rsid w:val="54A613A6"/>
    <w:rsid w:val="54A8E4CE"/>
    <w:rsid w:val="54A95193"/>
    <w:rsid w:val="54B4C2D0"/>
    <w:rsid w:val="54C86B57"/>
    <w:rsid w:val="5500E61F"/>
    <w:rsid w:val="551DD8EC"/>
    <w:rsid w:val="552584ED"/>
    <w:rsid w:val="5554BC96"/>
    <w:rsid w:val="5559A6C8"/>
    <w:rsid w:val="555EFBF1"/>
    <w:rsid w:val="556C3212"/>
    <w:rsid w:val="55808AC4"/>
    <w:rsid w:val="55839FBA"/>
    <w:rsid w:val="5584BF80"/>
    <w:rsid w:val="558922B2"/>
    <w:rsid w:val="5589EF46"/>
    <w:rsid w:val="558C891E"/>
    <w:rsid w:val="55D3CB19"/>
    <w:rsid w:val="55DA9641"/>
    <w:rsid w:val="55FB9AB0"/>
    <w:rsid w:val="55FFCF02"/>
    <w:rsid w:val="560A4BD9"/>
    <w:rsid w:val="56105588"/>
    <w:rsid w:val="5613E760"/>
    <w:rsid w:val="562AB1A0"/>
    <w:rsid w:val="563EF781"/>
    <w:rsid w:val="56507D33"/>
    <w:rsid w:val="565230F3"/>
    <w:rsid w:val="5653C699"/>
    <w:rsid w:val="565A4FCD"/>
    <w:rsid w:val="565C0A42"/>
    <w:rsid w:val="56765859"/>
    <w:rsid w:val="56800A96"/>
    <w:rsid w:val="5683CD66"/>
    <w:rsid w:val="5698C958"/>
    <w:rsid w:val="56ACB5C6"/>
    <w:rsid w:val="56B530A0"/>
    <w:rsid w:val="56CEFCCF"/>
    <w:rsid w:val="56D09401"/>
    <w:rsid w:val="56D1E83F"/>
    <w:rsid w:val="56E570A2"/>
    <w:rsid w:val="56E65829"/>
    <w:rsid w:val="56EC4908"/>
    <w:rsid w:val="57019E6B"/>
    <w:rsid w:val="5703F8C1"/>
    <w:rsid w:val="5709C286"/>
    <w:rsid w:val="570AED0A"/>
    <w:rsid w:val="570CC6B4"/>
    <w:rsid w:val="570F9CD9"/>
    <w:rsid w:val="5717C39A"/>
    <w:rsid w:val="571B2C78"/>
    <w:rsid w:val="5722BF52"/>
    <w:rsid w:val="572447B0"/>
    <w:rsid w:val="57369A3A"/>
    <w:rsid w:val="573A5739"/>
    <w:rsid w:val="5758D823"/>
    <w:rsid w:val="575C4D34"/>
    <w:rsid w:val="576011D1"/>
    <w:rsid w:val="576F2D7D"/>
    <w:rsid w:val="5771E4FD"/>
    <w:rsid w:val="577ED1A0"/>
    <w:rsid w:val="5785AB67"/>
    <w:rsid w:val="5787B946"/>
    <w:rsid w:val="57A0573A"/>
    <w:rsid w:val="57A15D6C"/>
    <w:rsid w:val="57B12D01"/>
    <w:rsid w:val="57CAD53B"/>
    <w:rsid w:val="57D8CC99"/>
    <w:rsid w:val="57DA0774"/>
    <w:rsid w:val="57E20A48"/>
    <w:rsid w:val="57E25AAF"/>
    <w:rsid w:val="57EAA3C1"/>
    <w:rsid w:val="57EC0F63"/>
    <w:rsid w:val="57F462E0"/>
    <w:rsid w:val="580A93EC"/>
    <w:rsid w:val="5814C211"/>
    <w:rsid w:val="5815E516"/>
    <w:rsid w:val="582A2779"/>
    <w:rsid w:val="585BF33B"/>
    <w:rsid w:val="5866C08F"/>
    <w:rsid w:val="58794FF8"/>
    <w:rsid w:val="587A1FF8"/>
    <w:rsid w:val="589C911C"/>
    <w:rsid w:val="589F67D0"/>
    <w:rsid w:val="58B3E365"/>
    <w:rsid w:val="58B65AF9"/>
    <w:rsid w:val="58B6FCD9"/>
    <w:rsid w:val="58BAC8E5"/>
    <w:rsid w:val="58BCAA74"/>
    <w:rsid w:val="58C809C2"/>
    <w:rsid w:val="58D1B72F"/>
    <w:rsid w:val="58D47D1C"/>
    <w:rsid w:val="58E7EFED"/>
    <w:rsid w:val="58ECC5E3"/>
    <w:rsid w:val="58ED9AFF"/>
    <w:rsid w:val="58EF8334"/>
    <w:rsid w:val="58F0F7AA"/>
    <w:rsid w:val="59020E7D"/>
    <w:rsid w:val="5905AF3E"/>
    <w:rsid w:val="59082AF6"/>
    <w:rsid w:val="591E6AFE"/>
    <w:rsid w:val="5920AFD6"/>
    <w:rsid w:val="59223271"/>
    <w:rsid w:val="592CCC02"/>
    <w:rsid w:val="593117F6"/>
    <w:rsid w:val="593933E5"/>
    <w:rsid w:val="593A7C38"/>
    <w:rsid w:val="593E3E90"/>
    <w:rsid w:val="594969BB"/>
    <w:rsid w:val="595E8493"/>
    <w:rsid w:val="596A6D94"/>
    <w:rsid w:val="5980006C"/>
    <w:rsid w:val="59A2B7E8"/>
    <w:rsid w:val="59BEA051"/>
    <w:rsid w:val="59BEE88B"/>
    <w:rsid w:val="59C19BDE"/>
    <w:rsid w:val="59C810D2"/>
    <w:rsid w:val="59CFD702"/>
    <w:rsid w:val="59D0B944"/>
    <w:rsid w:val="59E063E2"/>
    <w:rsid w:val="59E195DC"/>
    <w:rsid w:val="59EA63B7"/>
    <w:rsid w:val="59F9D6AE"/>
    <w:rsid w:val="59FDE9A3"/>
    <w:rsid w:val="59FE3C77"/>
    <w:rsid w:val="5A02E1ED"/>
    <w:rsid w:val="5A09B3D9"/>
    <w:rsid w:val="5A0B7A1C"/>
    <w:rsid w:val="5A199AA5"/>
    <w:rsid w:val="5A1D947F"/>
    <w:rsid w:val="5A21690D"/>
    <w:rsid w:val="5A25CF75"/>
    <w:rsid w:val="5A3071ED"/>
    <w:rsid w:val="5A315609"/>
    <w:rsid w:val="5A47699D"/>
    <w:rsid w:val="5A5563DA"/>
    <w:rsid w:val="5A56F087"/>
    <w:rsid w:val="5A5B13D4"/>
    <w:rsid w:val="5A705B82"/>
    <w:rsid w:val="5A7550F0"/>
    <w:rsid w:val="5A797E1E"/>
    <w:rsid w:val="5A799024"/>
    <w:rsid w:val="5A7C4E94"/>
    <w:rsid w:val="5A7F0D77"/>
    <w:rsid w:val="5A814483"/>
    <w:rsid w:val="5A8A14E4"/>
    <w:rsid w:val="5A9FC025"/>
    <w:rsid w:val="5AA176D9"/>
    <w:rsid w:val="5AC1DECA"/>
    <w:rsid w:val="5ADB6402"/>
    <w:rsid w:val="5AE0A635"/>
    <w:rsid w:val="5AE479E7"/>
    <w:rsid w:val="5AF29441"/>
    <w:rsid w:val="5B0097D3"/>
    <w:rsid w:val="5B066533"/>
    <w:rsid w:val="5B08AA00"/>
    <w:rsid w:val="5B19F497"/>
    <w:rsid w:val="5B2D7878"/>
    <w:rsid w:val="5B43058E"/>
    <w:rsid w:val="5B76CA95"/>
    <w:rsid w:val="5B79675D"/>
    <w:rsid w:val="5B994140"/>
    <w:rsid w:val="5B9AA527"/>
    <w:rsid w:val="5BAAAD7E"/>
    <w:rsid w:val="5BAC79EC"/>
    <w:rsid w:val="5BB66953"/>
    <w:rsid w:val="5BC2FAE1"/>
    <w:rsid w:val="5BD0D0C3"/>
    <w:rsid w:val="5BD9AE9E"/>
    <w:rsid w:val="5BF6305B"/>
    <w:rsid w:val="5BFBE8A7"/>
    <w:rsid w:val="5C0FFC91"/>
    <w:rsid w:val="5C187C8F"/>
    <w:rsid w:val="5C1AB5F2"/>
    <w:rsid w:val="5C1DE241"/>
    <w:rsid w:val="5C1E1858"/>
    <w:rsid w:val="5C2CF3EB"/>
    <w:rsid w:val="5C36A79B"/>
    <w:rsid w:val="5C382EA4"/>
    <w:rsid w:val="5C3A86EB"/>
    <w:rsid w:val="5C3C1520"/>
    <w:rsid w:val="5C478FEE"/>
    <w:rsid w:val="5C4BAF4E"/>
    <w:rsid w:val="5C4DEE00"/>
    <w:rsid w:val="5C4F8F8E"/>
    <w:rsid w:val="5C504EE5"/>
    <w:rsid w:val="5C50BBBF"/>
    <w:rsid w:val="5C5D6D3C"/>
    <w:rsid w:val="5C71198E"/>
    <w:rsid w:val="5C9A270C"/>
    <w:rsid w:val="5C9B2E0B"/>
    <w:rsid w:val="5CA85196"/>
    <w:rsid w:val="5CAC40D2"/>
    <w:rsid w:val="5CB16111"/>
    <w:rsid w:val="5CB70515"/>
    <w:rsid w:val="5CC3CFFC"/>
    <w:rsid w:val="5CCB8A11"/>
    <w:rsid w:val="5CE391AC"/>
    <w:rsid w:val="5CEE0520"/>
    <w:rsid w:val="5CFACF0F"/>
    <w:rsid w:val="5D0438F5"/>
    <w:rsid w:val="5D1031DB"/>
    <w:rsid w:val="5D10EBDD"/>
    <w:rsid w:val="5D17495F"/>
    <w:rsid w:val="5D1A1519"/>
    <w:rsid w:val="5D1E1705"/>
    <w:rsid w:val="5D26C27E"/>
    <w:rsid w:val="5D363431"/>
    <w:rsid w:val="5D423694"/>
    <w:rsid w:val="5D5C6C6E"/>
    <w:rsid w:val="5D7E7086"/>
    <w:rsid w:val="5D997BCF"/>
    <w:rsid w:val="5D99A312"/>
    <w:rsid w:val="5D9BDBDA"/>
    <w:rsid w:val="5DAAC4D9"/>
    <w:rsid w:val="5DAF190E"/>
    <w:rsid w:val="5DB8675A"/>
    <w:rsid w:val="5DB985D8"/>
    <w:rsid w:val="5DC7DA7B"/>
    <w:rsid w:val="5DCA7DD5"/>
    <w:rsid w:val="5DE3DA4C"/>
    <w:rsid w:val="5E0525BB"/>
    <w:rsid w:val="5E15E78E"/>
    <w:rsid w:val="5E2E44FC"/>
    <w:rsid w:val="5E457FCD"/>
    <w:rsid w:val="5E5C9162"/>
    <w:rsid w:val="5E623390"/>
    <w:rsid w:val="5E63A81E"/>
    <w:rsid w:val="5E96FF42"/>
    <w:rsid w:val="5E9DFFA6"/>
    <w:rsid w:val="5EBA3887"/>
    <w:rsid w:val="5EBEB491"/>
    <w:rsid w:val="5ECDEEB0"/>
    <w:rsid w:val="5EDB0170"/>
    <w:rsid w:val="5EF32C7C"/>
    <w:rsid w:val="5EF3344A"/>
    <w:rsid w:val="5EF3F58C"/>
    <w:rsid w:val="5F070B7D"/>
    <w:rsid w:val="5F083F06"/>
    <w:rsid w:val="5F178732"/>
    <w:rsid w:val="5F3DD113"/>
    <w:rsid w:val="5F45C421"/>
    <w:rsid w:val="5F47D84A"/>
    <w:rsid w:val="5F4D4521"/>
    <w:rsid w:val="5F62FA71"/>
    <w:rsid w:val="5F67CA27"/>
    <w:rsid w:val="5F751F2C"/>
    <w:rsid w:val="5F817438"/>
    <w:rsid w:val="5F84CC43"/>
    <w:rsid w:val="5F85E235"/>
    <w:rsid w:val="5F961BB4"/>
    <w:rsid w:val="5F9D2F87"/>
    <w:rsid w:val="5FB41EBA"/>
    <w:rsid w:val="5FB4A898"/>
    <w:rsid w:val="5FB5924F"/>
    <w:rsid w:val="5FBCAD84"/>
    <w:rsid w:val="5FC2119C"/>
    <w:rsid w:val="5FC47204"/>
    <w:rsid w:val="5FC5555C"/>
    <w:rsid w:val="5FCC630C"/>
    <w:rsid w:val="5FCDBF4F"/>
    <w:rsid w:val="5FDAC4AE"/>
    <w:rsid w:val="5FE9CB18"/>
    <w:rsid w:val="5FF4D65B"/>
    <w:rsid w:val="5FFA6236"/>
    <w:rsid w:val="60085C72"/>
    <w:rsid w:val="6011C280"/>
    <w:rsid w:val="6013274D"/>
    <w:rsid w:val="6016C557"/>
    <w:rsid w:val="602409C5"/>
    <w:rsid w:val="602C212C"/>
    <w:rsid w:val="60339E35"/>
    <w:rsid w:val="60424A94"/>
    <w:rsid w:val="6043732C"/>
    <w:rsid w:val="604AB795"/>
    <w:rsid w:val="6066B95F"/>
    <w:rsid w:val="6076EAFF"/>
    <w:rsid w:val="60947D05"/>
    <w:rsid w:val="60A98C8B"/>
    <w:rsid w:val="60ACD370"/>
    <w:rsid w:val="60C11ADE"/>
    <w:rsid w:val="60CA5558"/>
    <w:rsid w:val="60CA8D0F"/>
    <w:rsid w:val="60D0BEB4"/>
    <w:rsid w:val="60D3DB5B"/>
    <w:rsid w:val="60E1C8C7"/>
    <w:rsid w:val="60FC3B88"/>
    <w:rsid w:val="6100B284"/>
    <w:rsid w:val="610302AB"/>
    <w:rsid w:val="610477A3"/>
    <w:rsid w:val="611DC254"/>
    <w:rsid w:val="612B8C2D"/>
    <w:rsid w:val="612C1B8A"/>
    <w:rsid w:val="612DE28B"/>
    <w:rsid w:val="6136541E"/>
    <w:rsid w:val="6138D56E"/>
    <w:rsid w:val="61400C1F"/>
    <w:rsid w:val="6155F623"/>
    <w:rsid w:val="616898FF"/>
    <w:rsid w:val="6168DB93"/>
    <w:rsid w:val="616DE4B6"/>
    <w:rsid w:val="616EF31E"/>
    <w:rsid w:val="61818EDA"/>
    <w:rsid w:val="618F974C"/>
    <w:rsid w:val="61AD92E1"/>
    <w:rsid w:val="61ADB10C"/>
    <w:rsid w:val="61B121D1"/>
    <w:rsid w:val="61B20778"/>
    <w:rsid w:val="61BB87BC"/>
    <w:rsid w:val="61C7BA7F"/>
    <w:rsid w:val="61DB73F0"/>
    <w:rsid w:val="61DC432B"/>
    <w:rsid w:val="61F14354"/>
    <w:rsid w:val="61FD1985"/>
    <w:rsid w:val="62193BD6"/>
    <w:rsid w:val="621EDD9E"/>
    <w:rsid w:val="621F1215"/>
    <w:rsid w:val="6229EC46"/>
    <w:rsid w:val="622EEF71"/>
    <w:rsid w:val="6237FD42"/>
    <w:rsid w:val="623E1222"/>
    <w:rsid w:val="62400659"/>
    <w:rsid w:val="624E750C"/>
    <w:rsid w:val="624F58D2"/>
    <w:rsid w:val="625367C6"/>
    <w:rsid w:val="6255FFDC"/>
    <w:rsid w:val="62568D5C"/>
    <w:rsid w:val="62591314"/>
    <w:rsid w:val="626EF1CE"/>
    <w:rsid w:val="62750E00"/>
    <w:rsid w:val="62755944"/>
    <w:rsid w:val="6291EE56"/>
    <w:rsid w:val="62954ACC"/>
    <w:rsid w:val="629AF5B1"/>
    <w:rsid w:val="62A6842C"/>
    <w:rsid w:val="62B625F2"/>
    <w:rsid w:val="62C5EF7C"/>
    <w:rsid w:val="632AD177"/>
    <w:rsid w:val="633B0861"/>
    <w:rsid w:val="633BE04F"/>
    <w:rsid w:val="63414A9A"/>
    <w:rsid w:val="63415F13"/>
    <w:rsid w:val="635B4919"/>
    <w:rsid w:val="63682931"/>
    <w:rsid w:val="6369BF81"/>
    <w:rsid w:val="636A272A"/>
    <w:rsid w:val="63828558"/>
    <w:rsid w:val="63863D3B"/>
    <w:rsid w:val="638C6BF5"/>
    <w:rsid w:val="638F2D81"/>
    <w:rsid w:val="6390C8ED"/>
    <w:rsid w:val="639B6A4E"/>
    <w:rsid w:val="63AB4E68"/>
    <w:rsid w:val="63AC07F6"/>
    <w:rsid w:val="63AE43F1"/>
    <w:rsid w:val="63C0EBE9"/>
    <w:rsid w:val="63C8A4D9"/>
    <w:rsid w:val="63C8CF67"/>
    <w:rsid w:val="63CDD7FD"/>
    <w:rsid w:val="63CF44D8"/>
    <w:rsid w:val="63DF5936"/>
    <w:rsid w:val="63E1E0F7"/>
    <w:rsid w:val="63F0B12F"/>
    <w:rsid w:val="63F4526B"/>
    <w:rsid w:val="63FBD78E"/>
    <w:rsid w:val="640B7A53"/>
    <w:rsid w:val="641385D4"/>
    <w:rsid w:val="6421B467"/>
    <w:rsid w:val="6425C7D7"/>
    <w:rsid w:val="643C0090"/>
    <w:rsid w:val="6440626D"/>
    <w:rsid w:val="644649F1"/>
    <w:rsid w:val="6454848B"/>
    <w:rsid w:val="645D8485"/>
    <w:rsid w:val="64666ADC"/>
    <w:rsid w:val="646D8B3D"/>
    <w:rsid w:val="6479D91E"/>
    <w:rsid w:val="6479FCA7"/>
    <w:rsid w:val="64816C9D"/>
    <w:rsid w:val="6482C3A6"/>
    <w:rsid w:val="64836606"/>
    <w:rsid w:val="649A6798"/>
    <w:rsid w:val="64A57D65"/>
    <w:rsid w:val="64BF8452"/>
    <w:rsid w:val="64D33B7C"/>
    <w:rsid w:val="64F1F284"/>
    <w:rsid w:val="65241F6E"/>
    <w:rsid w:val="65297A0B"/>
    <w:rsid w:val="652BC7F0"/>
    <w:rsid w:val="653802AC"/>
    <w:rsid w:val="653CB962"/>
    <w:rsid w:val="655BF014"/>
    <w:rsid w:val="65623947"/>
    <w:rsid w:val="65623D55"/>
    <w:rsid w:val="65775C3B"/>
    <w:rsid w:val="657C2F8D"/>
    <w:rsid w:val="65881807"/>
    <w:rsid w:val="658DC346"/>
    <w:rsid w:val="65A1CFC7"/>
    <w:rsid w:val="65A537C5"/>
    <w:rsid w:val="65A7A536"/>
    <w:rsid w:val="65B3848F"/>
    <w:rsid w:val="65B7FC09"/>
    <w:rsid w:val="65DB49F5"/>
    <w:rsid w:val="65DFF88A"/>
    <w:rsid w:val="65FA90C6"/>
    <w:rsid w:val="65FED904"/>
    <w:rsid w:val="660605FF"/>
    <w:rsid w:val="661E30B6"/>
    <w:rsid w:val="6628A800"/>
    <w:rsid w:val="662A7298"/>
    <w:rsid w:val="662A89E3"/>
    <w:rsid w:val="662C43F0"/>
    <w:rsid w:val="66384265"/>
    <w:rsid w:val="66491DA1"/>
    <w:rsid w:val="66522D85"/>
    <w:rsid w:val="66535EBE"/>
    <w:rsid w:val="665454E2"/>
    <w:rsid w:val="6684669B"/>
    <w:rsid w:val="668A0BDF"/>
    <w:rsid w:val="668F1035"/>
    <w:rsid w:val="66963403"/>
    <w:rsid w:val="669CFFC7"/>
    <w:rsid w:val="66A82C6A"/>
    <w:rsid w:val="66ADE326"/>
    <w:rsid w:val="66B59C9C"/>
    <w:rsid w:val="66C2E8FD"/>
    <w:rsid w:val="66CF6C7C"/>
    <w:rsid w:val="66D96453"/>
    <w:rsid w:val="66E75F49"/>
    <w:rsid w:val="66ED2359"/>
    <w:rsid w:val="66F542B5"/>
    <w:rsid w:val="66FD2945"/>
    <w:rsid w:val="67069385"/>
    <w:rsid w:val="6718F3C8"/>
    <w:rsid w:val="67295B4E"/>
    <w:rsid w:val="672C9A96"/>
    <w:rsid w:val="67396F5B"/>
    <w:rsid w:val="674E4FA1"/>
    <w:rsid w:val="67659157"/>
    <w:rsid w:val="676D2205"/>
    <w:rsid w:val="67793E61"/>
    <w:rsid w:val="677ECAC2"/>
    <w:rsid w:val="67801118"/>
    <w:rsid w:val="678B2B87"/>
    <w:rsid w:val="678C02FE"/>
    <w:rsid w:val="67975125"/>
    <w:rsid w:val="67A533B5"/>
    <w:rsid w:val="67B78CD6"/>
    <w:rsid w:val="67BAAD99"/>
    <w:rsid w:val="67C456B5"/>
    <w:rsid w:val="67CD2C4E"/>
    <w:rsid w:val="67D416F0"/>
    <w:rsid w:val="67D42ED9"/>
    <w:rsid w:val="67D55F16"/>
    <w:rsid w:val="67ED936C"/>
    <w:rsid w:val="67EE601D"/>
    <w:rsid w:val="6801835A"/>
    <w:rsid w:val="6810C540"/>
    <w:rsid w:val="681CB484"/>
    <w:rsid w:val="682030BD"/>
    <w:rsid w:val="6828BC0E"/>
    <w:rsid w:val="6838BBAA"/>
    <w:rsid w:val="683A12E5"/>
    <w:rsid w:val="685823B9"/>
    <w:rsid w:val="6870B80B"/>
    <w:rsid w:val="6890F465"/>
    <w:rsid w:val="689327CD"/>
    <w:rsid w:val="68AB5D4F"/>
    <w:rsid w:val="68B3B3F5"/>
    <w:rsid w:val="68BDCDDF"/>
    <w:rsid w:val="68C847C6"/>
    <w:rsid w:val="68D9EB19"/>
    <w:rsid w:val="68F538C9"/>
    <w:rsid w:val="6915EBEE"/>
    <w:rsid w:val="691CB143"/>
    <w:rsid w:val="69322432"/>
    <w:rsid w:val="69387EB3"/>
    <w:rsid w:val="69499F3E"/>
    <w:rsid w:val="69528BED"/>
    <w:rsid w:val="6953AF89"/>
    <w:rsid w:val="695796E8"/>
    <w:rsid w:val="6964B6C5"/>
    <w:rsid w:val="696559D0"/>
    <w:rsid w:val="698DCF72"/>
    <w:rsid w:val="699C7995"/>
    <w:rsid w:val="69A4542A"/>
    <w:rsid w:val="69B67FDC"/>
    <w:rsid w:val="69B88BE3"/>
    <w:rsid w:val="69BCE903"/>
    <w:rsid w:val="69C65270"/>
    <w:rsid w:val="69E4B243"/>
    <w:rsid w:val="69ED6D19"/>
    <w:rsid w:val="69EFB1AF"/>
    <w:rsid w:val="69F1660C"/>
    <w:rsid w:val="69F372E1"/>
    <w:rsid w:val="69F65F58"/>
    <w:rsid w:val="6A0A55C0"/>
    <w:rsid w:val="6A1439F5"/>
    <w:rsid w:val="6A14DD56"/>
    <w:rsid w:val="6A1E66D5"/>
    <w:rsid w:val="6A1E7957"/>
    <w:rsid w:val="6A202251"/>
    <w:rsid w:val="6A3FD334"/>
    <w:rsid w:val="6A41EC93"/>
    <w:rsid w:val="6A4A46CD"/>
    <w:rsid w:val="6A52FBFF"/>
    <w:rsid w:val="6A5B2587"/>
    <w:rsid w:val="6A6DCD55"/>
    <w:rsid w:val="6A7C567A"/>
    <w:rsid w:val="6A802D34"/>
    <w:rsid w:val="6A86DBF8"/>
    <w:rsid w:val="6A873C5E"/>
    <w:rsid w:val="6A88A3C9"/>
    <w:rsid w:val="6A9540F7"/>
    <w:rsid w:val="6A9C813C"/>
    <w:rsid w:val="6AA4FE0B"/>
    <w:rsid w:val="6AA8FE77"/>
    <w:rsid w:val="6AB7E4DB"/>
    <w:rsid w:val="6ACA1071"/>
    <w:rsid w:val="6ACB1A08"/>
    <w:rsid w:val="6AF16E21"/>
    <w:rsid w:val="6B024948"/>
    <w:rsid w:val="6B040328"/>
    <w:rsid w:val="6B06DEE6"/>
    <w:rsid w:val="6B07072E"/>
    <w:rsid w:val="6B2880BD"/>
    <w:rsid w:val="6B3175ED"/>
    <w:rsid w:val="6B4F6FD1"/>
    <w:rsid w:val="6B518EAD"/>
    <w:rsid w:val="6B5DC023"/>
    <w:rsid w:val="6B7500B4"/>
    <w:rsid w:val="6B789C31"/>
    <w:rsid w:val="6B872E71"/>
    <w:rsid w:val="6B957F90"/>
    <w:rsid w:val="6B984E1F"/>
    <w:rsid w:val="6B9C187D"/>
    <w:rsid w:val="6B9E0B9B"/>
    <w:rsid w:val="6BAE801F"/>
    <w:rsid w:val="6BB27C5B"/>
    <w:rsid w:val="6BB66849"/>
    <w:rsid w:val="6BC8F2E7"/>
    <w:rsid w:val="6BE417FF"/>
    <w:rsid w:val="6BE577BA"/>
    <w:rsid w:val="6BEA3123"/>
    <w:rsid w:val="6BF35E92"/>
    <w:rsid w:val="6BF481BF"/>
    <w:rsid w:val="6BFA674E"/>
    <w:rsid w:val="6BFB0011"/>
    <w:rsid w:val="6C233467"/>
    <w:rsid w:val="6C2D155B"/>
    <w:rsid w:val="6C2DCB7D"/>
    <w:rsid w:val="6C3D0CC1"/>
    <w:rsid w:val="6C41F125"/>
    <w:rsid w:val="6C5E1DA5"/>
    <w:rsid w:val="6C6E8339"/>
    <w:rsid w:val="6C7BFD83"/>
    <w:rsid w:val="6C7E5EB9"/>
    <w:rsid w:val="6C85BCE1"/>
    <w:rsid w:val="6C880E06"/>
    <w:rsid w:val="6C9F22F5"/>
    <w:rsid w:val="6CA788A8"/>
    <w:rsid w:val="6CB13E2D"/>
    <w:rsid w:val="6CB7F115"/>
    <w:rsid w:val="6CC029DF"/>
    <w:rsid w:val="6CC2AF22"/>
    <w:rsid w:val="6CD980BD"/>
    <w:rsid w:val="6CDF81CA"/>
    <w:rsid w:val="6CE0B3EA"/>
    <w:rsid w:val="6CE19E3E"/>
    <w:rsid w:val="6CF95E40"/>
    <w:rsid w:val="6D014EB5"/>
    <w:rsid w:val="6D1AF28F"/>
    <w:rsid w:val="6D1B841E"/>
    <w:rsid w:val="6D2BAA0B"/>
    <w:rsid w:val="6D4AC98F"/>
    <w:rsid w:val="6D60EB4F"/>
    <w:rsid w:val="6D673D13"/>
    <w:rsid w:val="6D68BF57"/>
    <w:rsid w:val="6D698B51"/>
    <w:rsid w:val="6D7EB624"/>
    <w:rsid w:val="6D87A35B"/>
    <w:rsid w:val="6D89D8B5"/>
    <w:rsid w:val="6D8F7D9A"/>
    <w:rsid w:val="6D9A480D"/>
    <w:rsid w:val="6D9D353D"/>
    <w:rsid w:val="6DA7FFEA"/>
    <w:rsid w:val="6DB91BBB"/>
    <w:rsid w:val="6DC6E600"/>
    <w:rsid w:val="6DCD8B45"/>
    <w:rsid w:val="6DCFCFF2"/>
    <w:rsid w:val="6DD90147"/>
    <w:rsid w:val="6DDC8E83"/>
    <w:rsid w:val="6DE441D8"/>
    <w:rsid w:val="6DEF1092"/>
    <w:rsid w:val="6DEFE3D3"/>
    <w:rsid w:val="6DFB7D7C"/>
    <w:rsid w:val="6DFF100C"/>
    <w:rsid w:val="6E1BA7E6"/>
    <w:rsid w:val="6E327DF1"/>
    <w:rsid w:val="6E3AE21C"/>
    <w:rsid w:val="6E474992"/>
    <w:rsid w:val="6E4818FB"/>
    <w:rsid w:val="6E495B38"/>
    <w:rsid w:val="6E516B1F"/>
    <w:rsid w:val="6E55B9CF"/>
    <w:rsid w:val="6E56E445"/>
    <w:rsid w:val="6E7B030C"/>
    <w:rsid w:val="6E7CC188"/>
    <w:rsid w:val="6E7D7387"/>
    <w:rsid w:val="6E7DDF4C"/>
    <w:rsid w:val="6E9185C8"/>
    <w:rsid w:val="6EA9BD32"/>
    <w:rsid w:val="6EB825D3"/>
    <w:rsid w:val="6EBD6FDB"/>
    <w:rsid w:val="6EBEEA52"/>
    <w:rsid w:val="6EC863F0"/>
    <w:rsid w:val="6ED91A41"/>
    <w:rsid w:val="6EEE090B"/>
    <w:rsid w:val="6EF549CD"/>
    <w:rsid w:val="6EF99599"/>
    <w:rsid w:val="6F0B2D15"/>
    <w:rsid w:val="6F18D3FB"/>
    <w:rsid w:val="6F2130AB"/>
    <w:rsid w:val="6F2A6414"/>
    <w:rsid w:val="6F2D7E9F"/>
    <w:rsid w:val="6F300A89"/>
    <w:rsid w:val="6F30FCE1"/>
    <w:rsid w:val="6F484031"/>
    <w:rsid w:val="6F4CD9A8"/>
    <w:rsid w:val="6F4F0E7D"/>
    <w:rsid w:val="6F5C3388"/>
    <w:rsid w:val="6F62CDD4"/>
    <w:rsid w:val="6F67513C"/>
    <w:rsid w:val="6F723BC3"/>
    <w:rsid w:val="6F727ADB"/>
    <w:rsid w:val="6F74E794"/>
    <w:rsid w:val="6F82C31C"/>
    <w:rsid w:val="6F85AB6B"/>
    <w:rsid w:val="6F9FA4AE"/>
    <w:rsid w:val="6FA7038C"/>
    <w:rsid w:val="6FAA0C6D"/>
    <w:rsid w:val="6FAB64B3"/>
    <w:rsid w:val="6FB138AC"/>
    <w:rsid w:val="6FC319E5"/>
    <w:rsid w:val="6FCDED3F"/>
    <w:rsid w:val="6FD463AE"/>
    <w:rsid w:val="6FD8AA44"/>
    <w:rsid w:val="6FDD8CFD"/>
    <w:rsid w:val="6FE7538B"/>
    <w:rsid w:val="6FE7C8C4"/>
    <w:rsid w:val="6FEA4108"/>
    <w:rsid w:val="6FF07FF8"/>
    <w:rsid w:val="6FF14DF5"/>
    <w:rsid w:val="6FFC2608"/>
    <w:rsid w:val="6FFD3C41"/>
    <w:rsid w:val="70037A2E"/>
    <w:rsid w:val="701E32DC"/>
    <w:rsid w:val="7020B015"/>
    <w:rsid w:val="702A4A14"/>
    <w:rsid w:val="702C237B"/>
    <w:rsid w:val="7030282B"/>
    <w:rsid w:val="7031B625"/>
    <w:rsid w:val="70365990"/>
    <w:rsid w:val="7038FB49"/>
    <w:rsid w:val="703AEB20"/>
    <w:rsid w:val="703D9569"/>
    <w:rsid w:val="70453350"/>
    <w:rsid w:val="704F1794"/>
    <w:rsid w:val="70514704"/>
    <w:rsid w:val="7065600E"/>
    <w:rsid w:val="7068A483"/>
    <w:rsid w:val="7068E91E"/>
    <w:rsid w:val="70704A7C"/>
    <w:rsid w:val="707AD41D"/>
    <w:rsid w:val="707C16AD"/>
    <w:rsid w:val="707CE54B"/>
    <w:rsid w:val="707FE1B1"/>
    <w:rsid w:val="708DCE82"/>
    <w:rsid w:val="70A36199"/>
    <w:rsid w:val="70A43639"/>
    <w:rsid w:val="70B76242"/>
    <w:rsid w:val="70B77610"/>
    <w:rsid w:val="70BB41B0"/>
    <w:rsid w:val="70C4EC62"/>
    <w:rsid w:val="70C7B494"/>
    <w:rsid w:val="70C9DF99"/>
    <w:rsid w:val="70D0B647"/>
    <w:rsid w:val="70D9537E"/>
    <w:rsid w:val="70F64EC9"/>
    <w:rsid w:val="70FFD4C7"/>
    <w:rsid w:val="71035007"/>
    <w:rsid w:val="71069C6E"/>
    <w:rsid w:val="71217BCC"/>
    <w:rsid w:val="7129D0E2"/>
    <w:rsid w:val="7143BEF4"/>
    <w:rsid w:val="7152FA12"/>
    <w:rsid w:val="7155C8FA"/>
    <w:rsid w:val="71584DFF"/>
    <w:rsid w:val="715DD07A"/>
    <w:rsid w:val="716A047C"/>
    <w:rsid w:val="7172BCBB"/>
    <w:rsid w:val="7180A925"/>
    <w:rsid w:val="7181167B"/>
    <w:rsid w:val="7188A008"/>
    <w:rsid w:val="718E3362"/>
    <w:rsid w:val="719B537F"/>
    <w:rsid w:val="71B14C72"/>
    <w:rsid w:val="71D060AF"/>
    <w:rsid w:val="71DA41C8"/>
    <w:rsid w:val="71F1732F"/>
    <w:rsid w:val="71FA992C"/>
    <w:rsid w:val="71FC91A8"/>
    <w:rsid w:val="720776AB"/>
    <w:rsid w:val="720D0802"/>
    <w:rsid w:val="721779B7"/>
    <w:rsid w:val="722CE5C0"/>
    <w:rsid w:val="723202F8"/>
    <w:rsid w:val="7239D4C4"/>
    <w:rsid w:val="723D3328"/>
    <w:rsid w:val="7250347D"/>
    <w:rsid w:val="727782BE"/>
    <w:rsid w:val="728951A4"/>
    <w:rsid w:val="728CAD42"/>
    <w:rsid w:val="72912BA5"/>
    <w:rsid w:val="72AFFD59"/>
    <w:rsid w:val="72C83E2B"/>
    <w:rsid w:val="72C89534"/>
    <w:rsid w:val="72CFAE84"/>
    <w:rsid w:val="72EB884F"/>
    <w:rsid w:val="73018958"/>
    <w:rsid w:val="730A209A"/>
    <w:rsid w:val="730DAEBD"/>
    <w:rsid w:val="731673E7"/>
    <w:rsid w:val="73372C85"/>
    <w:rsid w:val="733C6BA4"/>
    <w:rsid w:val="7342C9B5"/>
    <w:rsid w:val="73507A05"/>
    <w:rsid w:val="7361ABB4"/>
    <w:rsid w:val="737E6AC1"/>
    <w:rsid w:val="738DCFD7"/>
    <w:rsid w:val="73960997"/>
    <w:rsid w:val="73960F79"/>
    <w:rsid w:val="73A29E84"/>
    <w:rsid w:val="73ADA48D"/>
    <w:rsid w:val="73B954F3"/>
    <w:rsid w:val="73BDEFBF"/>
    <w:rsid w:val="73D0AF78"/>
    <w:rsid w:val="73D3403B"/>
    <w:rsid w:val="73EB2262"/>
    <w:rsid w:val="73EBE28E"/>
    <w:rsid w:val="73EFFD81"/>
    <w:rsid w:val="73F10B57"/>
    <w:rsid w:val="73F36387"/>
    <w:rsid w:val="73FB8163"/>
    <w:rsid w:val="740F3369"/>
    <w:rsid w:val="7425ABEB"/>
    <w:rsid w:val="74265217"/>
    <w:rsid w:val="7430228F"/>
    <w:rsid w:val="743D166F"/>
    <w:rsid w:val="744C1DB3"/>
    <w:rsid w:val="744F86AE"/>
    <w:rsid w:val="7451D990"/>
    <w:rsid w:val="7463464E"/>
    <w:rsid w:val="746A1AAD"/>
    <w:rsid w:val="746B8BFB"/>
    <w:rsid w:val="746E3053"/>
    <w:rsid w:val="74726E13"/>
    <w:rsid w:val="7486911B"/>
    <w:rsid w:val="7488FFCA"/>
    <w:rsid w:val="7490FBF3"/>
    <w:rsid w:val="74A0EEFA"/>
    <w:rsid w:val="74A351C3"/>
    <w:rsid w:val="74BD816C"/>
    <w:rsid w:val="74BDD6C9"/>
    <w:rsid w:val="74BFD8D8"/>
    <w:rsid w:val="74CCA2FB"/>
    <w:rsid w:val="74DE7393"/>
    <w:rsid w:val="74E9FE0F"/>
    <w:rsid w:val="74ECF445"/>
    <w:rsid w:val="74F6B9FC"/>
    <w:rsid w:val="74F998D1"/>
    <w:rsid w:val="750BC201"/>
    <w:rsid w:val="7513D4B2"/>
    <w:rsid w:val="753D4F7C"/>
    <w:rsid w:val="753FE5C3"/>
    <w:rsid w:val="754DDA49"/>
    <w:rsid w:val="7550346B"/>
    <w:rsid w:val="755A5A5F"/>
    <w:rsid w:val="7560AC6F"/>
    <w:rsid w:val="756FFBDA"/>
    <w:rsid w:val="7581B09D"/>
    <w:rsid w:val="759DD14B"/>
    <w:rsid w:val="759E1F97"/>
    <w:rsid w:val="75AE6B18"/>
    <w:rsid w:val="75B9526A"/>
    <w:rsid w:val="75D1D667"/>
    <w:rsid w:val="75DDDAB6"/>
    <w:rsid w:val="75E6727C"/>
    <w:rsid w:val="75F23317"/>
    <w:rsid w:val="75F5F72C"/>
    <w:rsid w:val="76143C10"/>
    <w:rsid w:val="761DF2A7"/>
    <w:rsid w:val="76235690"/>
    <w:rsid w:val="7631A269"/>
    <w:rsid w:val="76368043"/>
    <w:rsid w:val="764C3234"/>
    <w:rsid w:val="765C209D"/>
    <w:rsid w:val="76617DB7"/>
    <w:rsid w:val="76626F7F"/>
    <w:rsid w:val="7663230A"/>
    <w:rsid w:val="766515BF"/>
    <w:rsid w:val="766E754A"/>
    <w:rsid w:val="767D91DE"/>
    <w:rsid w:val="768A6C18"/>
    <w:rsid w:val="768FBF47"/>
    <w:rsid w:val="7691003C"/>
    <w:rsid w:val="76955CE4"/>
    <w:rsid w:val="76CB9B6C"/>
    <w:rsid w:val="76D43DB5"/>
    <w:rsid w:val="76FFC140"/>
    <w:rsid w:val="7701007A"/>
    <w:rsid w:val="770265F7"/>
    <w:rsid w:val="77050486"/>
    <w:rsid w:val="770AC73E"/>
    <w:rsid w:val="77213686"/>
    <w:rsid w:val="77376B36"/>
    <w:rsid w:val="77443A63"/>
    <w:rsid w:val="7755AC88"/>
    <w:rsid w:val="7755CEC3"/>
    <w:rsid w:val="776859B9"/>
    <w:rsid w:val="778C50F0"/>
    <w:rsid w:val="779E1B00"/>
    <w:rsid w:val="77A1ACD3"/>
    <w:rsid w:val="77A71793"/>
    <w:rsid w:val="77AC357A"/>
    <w:rsid w:val="77BFADFE"/>
    <w:rsid w:val="77C32C07"/>
    <w:rsid w:val="77C7FA65"/>
    <w:rsid w:val="77D2AE4C"/>
    <w:rsid w:val="77D33076"/>
    <w:rsid w:val="77EAAC9C"/>
    <w:rsid w:val="77EDFEDC"/>
    <w:rsid w:val="77F1B815"/>
    <w:rsid w:val="77F482A5"/>
    <w:rsid w:val="77F63440"/>
    <w:rsid w:val="77FA366D"/>
    <w:rsid w:val="77FD6663"/>
    <w:rsid w:val="780ABD66"/>
    <w:rsid w:val="781F9F42"/>
    <w:rsid w:val="7821A0C8"/>
    <w:rsid w:val="782A7BDA"/>
    <w:rsid w:val="782D94F3"/>
    <w:rsid w:val="782DC940"/>
    <w:rsid w:val="7835B84A"/>
    <w:rsid w:val="783F5A4C"/>
    <w:rsid w:val="7842336A"/>
    <w:rsid w:val="7846F636"/>
    <w:rsid w:val="78503E25"/>
    <w:rsid w:val="7852C2A6"/>
    <w:rsid w:val="785D7106"/>
    <w:rsid w:val="7862FCCB"/>
    <w:rsid w:val="786DD1BC"/>
    <w:rsid w:val="787AF4D9"/>
    <w:rsid w:val="7880E9A8"/>
    <w:rsid w:val="78883E39"/>
    <w:rsid w:val="788C32A3"/>
    <w:rsid w:val="788E6A7F"/>
    <w:rsid w:val="789AB96A"/>
    <w:rsid w:val="78AB11BC"/>
    <w:rsid w:val="78BEF773"/>
    <w:rsid w:val="78BF1F21"/>
    <w:rsid w:val="78BF88A6"/>
    <w:rsid w:val="78C1BFB3"/>
    <w:rsid w:val="78C8E4A9"/>
    <w:rsid w:val="78CAA136"/>
    <w:rsid w:val="78D6EC09"/>
    <w:rsid w:val="78DD2442"/>
    <w:rsid w:val="78E96A23"/>
    <w:rsid w:val="78FB39CB"/>
    <w:rsid w:val="78FD6760"/>
    <w:rsid w:val="78FF197A"/>
    <w:rsid w:val="79062B94"/>
    <w:rsid w:val="7915F9A0"/>
    <w:rsid w:val="79235AD5"/>
    <w:rsid w:val="793150F1"/>
    <w:rsid w:val="795E19BD"/>
    <w:rsid w:val="795E1AA0"/>
    <w:rsid w:val="796139EC"/>
    <w:rsid w:val="797183FE"/>
    <w:rsid w:val="79944173"/>
    <w:rsid w:val="79B792D8"/>
    <w:rsid w:val="79C9DFF6"/>
    <w:rsid w:val="79D37D27"/>
    <w:rsid w:val="79DBBF1D"/>
    <w:rsid w:val="79DBE3B1"/>
    <w:rsid w:val="79E6D800"/>
    <w:rsid w:val="79E9F75A"/>
    <w:rsid w:val="79EBB461"/>
    <w:rsid w:val="7A001816"/>
    <w:rsid w:val="7A01CC4F"/>
    <w:rsid w:val="7A02C535"/>
    <w:rsid w:val="7A227032"/>
    <w:rsid w:val="7A3B79E7"/>
    <w:rsid w:val="7A3CE493"/>
    <w:rsid w:val="7A3F6C45"/>
    <w:rsid w:val="7A40DF86"/>
    <w:rsid w:val="7A4595FF"/>
    <w:rsid w:val="7A5B8F3A"/>
    <w:rsid w:val="7A62BD7E"/>
    <w:rsid w:val="7A703AC6"/>
    <w:rsid w:val="7A738792"/>
    <w:rsid w:val="7A835EEC"/>
    <w:rsid w:val="7A933CDE"/>
    <w:rsid w:val="7A9DC250"/>
    <w:rsid w:val="7A9E5538"/>
    <w:rsid w:val="7AA2245F"/>
    <w:rsid w:val="7AA5A312"/>
    <w:rsid w:val="7AC12472"/>
    <w:rsid w:val="7AC855F5"/>
    <w:rsid w:val="7ACFC143"/>
    <w:rsid w:val="7ADCA1BE"/>
    <w:rsid w:val="7AEF2793"/>
    <w:rsid w:val="7AF5CE59"/>
    <w:rsid w:val="7B072682"/>
    <w:rsid w:val="7B26C9D6"/>
    <w:rsid w:val="7B32942F"/>
    <w:rsid w:val="7B38DF26"/>
    <w:rsid w:val="7B4D3763"/>
    <w:rsid w:val="7B4D85E3"/>
    <w:rsid w:val="7B56F3CC"/>
    <w:rsid w:val="7B578319"/>
    <w:rsid w:val="7B5DD2B1"/>
    <w:rsid w:val="7B66215B"/>
    <w:rsid w:val="7B702D37"/>
    <w:rsid w:val="7B75E2CF"/>
    <w:rsid w:val="7B770221"/>
    <w:rsid w:val="7B7DA0D7"/>
    <w:rsid w:val="7B857FE1"/>
    <w:rsid w:val="7B85C7BB"/>
    <w:rsid w:val="7B8A2E71"/>
    <w:rsid w:val="7B928894"/>
    <w:rsid w:val="7B9786F0"/>
    <w:rsid w:val="7BA12419"/>
    <w:rsid w:val="7BAD6B92"/>
    <w:rsid w:val="7BB11C6E"/>
    <w:rsid w:val="7BC3BC30"/>
    <w:rsid w:val="7BCB5F84"/>
    <w:rsid w:val="7BD80B69"/>
    <w:rsid w:val="7BDDC462"/>
    <w:rsid w:val="7BED364D"/>
    <w:rsid w:val="7C064B11"/>
    <w:rsid w:val="7C12A7E3"/>
    <w:rsid w:val="7C1CBE75"/>
    <w:rsid w:val="7C22825C"/>
    <w:rsid w:val="7C2764FE"/>
    <w:rsid w:val="7C2B06BD"/>
    <w:rsid w:val="7C38F204"/>
    <w:rsid w:val="7C3E3C97"/>
    <w:rsid w:val="7C3ED15E"/>
    <w:rsid w:val="7C542E5C"/>
    <w:rsid w:val="7C5BFDB3"/>
    <w:rsid w:val="7C5D7E61"/>
    <w:rsid w:val="7C63CF5B"/>
    <w:rsid w:val="7C6C7B6F"/>
    <w:rsid w:val="7C83B67F"/>
    <w:rsid w:val="7C880E46"/>
    <w:rsid w:val="7C886DFA"/>
    <w:rsid w:val="7C8BF4A1"/>
    <w:rsid w:val="7C8E0BB5"/>
    <w:rsid w:val="7C9F9E23"/>
    <w:rsid w:val="7CA30125"/>
    <w:rsid w:val="7CAE399A"/>
    <w:rsid w:val="7CC9DBC6"/>
    <w:rsid w:val="7CD2295F"/>
    <w:rsid w:val="7CDE71EA"/>
    <w:rsid w:val="7CE851DA"/>
    <w:rsid w:val="7CEE5999"/>
    <w:rsid w:val="7CF6D79A"/>
    <w:rsid w:val="7CF9A312"/>
    <w:rsid w:val="7CFAC333"/>
    <w:rsid w:val="7CFB7358"/>
    <w:rsid w:val="7D197EF2"/>
    <w:rsid w:val="7D2ADA6E"/>
    <w:rsid w:val="7D2D5063"/>
    <w:rsid w:val="7D2DA830"/>
    <w:rsid w:val="7D4032F7"/>
    <w:rsid w:val="7D727E4F"/>
    <w:rsid w:val="7D7EB66E"/>
    <w:rsid w:val="7D8714FF"/>
    <w:rsid w:val="7D8A453A"/>
    <w:rsid w:val="7D91C5E2"/>
    <w:rsid w:val="7D9F2537"/>
    <w:rsid w:val="7DA46A4B"/>
    <w:rsid w:val="7DAE122B"/>
    <w:rsid w:val="7DB28D87"/>
    <w:rsid w:val="7DB3F2C6"/>
    <w:rsid w:val="7DCCE809"/>
    <w:rsid w:val="7DD4E8A9"/>
    <w:rsid w:val="7DDAA63B"/>
    <w:rsid w:val="7DDE9EF1"/>
    <w:rsid w:val="7DE2CA5C"/>
    <w:rsid w:val="7DED56BE"/>
    <w:rsid w:val="7DFC3D9F"/>
    <w:rsid w:val="7DFC5184"/>
    <w:rsid w:val="7E03558C"/>
    <w:rsid w:val="7E108298"/>
    <w:rsid w:val="7E124BBD"/>
    <w:rsid w:val="7E1DA8AA"/>
    <w:rsid w:val="7E22891E"/>
    <w:rsid w:val="7E2E109D"/>
    <w:rsid w:val="7E3D2C18"/>
    <w:rsid w:val="7E3F8B72"/>
    <w:rsid w:val="7E43A29F"/>
    <w:rsid w:val="7E49CF36"/>
    <w:rsid w:val="7E5D5516"/>
    <w:rsid w:val="7E60F2D7"/>
    <w:rsid w:val="7E62C397"/>
    <w:rsid w:val="7E6D5BCB"/>
    <w:rsid w:val="7E830C18"/>
    <w:rsid w:val="7E84B73F"/>
    <w:rsid w:val="7E870AFA"/>
    <w:rsid w:val="7E872D02"/>
    <w:rsid w:val="7E99D8F1"/>
    <w:rsid w:val="7E9BBE3D"/>
    <w:rsid w:val="7EB4961F"/>
    <w:rsid w:val="7EBABCEE"/>
    <w:rsid w:val="7ECFA936"/>
    <w:rsid w:val="7EF20814"/>
    <w:rsid w:val="7EF9CE21"/>
    <w:rsid w:val="7F0793F7"/>
    <w:rsid w:val="7F0EAB77"/>
    <w:rsid w:val="7F10B457"/>
    <w:rsid w:val="7F411806"/>
    <w:rsid w:val="7F45AEBA"/>
    <w:rsid w:val="7F4C6CA1"/>
    <w:rsid w:val="7F526E85"/>
    <w:rsid w:val="7F672870"/>
    <w:rsid w:val="7F710AE0"/>
    <w:rsid w:val="7F7606E4"/>
    <w:rsid w:val="7F7AF106"/>
    <w:rsid w:val="7F7C7179"/>
    <w:rsid w:val="7F8192E6"/>
    <w:rsid w:val="7F8F37A9"/>
    <w:rsid w:val="7FA026D5"/>
    <w:rsid w:val="7FA49841"/>
    <w:rsid w:val="7FAE261A"/>
    <w:rsid w:val="7FB43B67"/>
    <w:rsid w:val="7FC42C3D"/>
    <w:rsid w:val="7FC7D5C3"/>
    <w:rsid w:val="7FD16228"/>
    <w:rsid w:val="7FFE0B6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9C72F"/>
  <w15:docId w15:val="{7CD67149-18C4-4059-87B9-8B2087CF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301CB"/>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8B68EC"/>
    <w:pPr>
      <w:keepNext/>
      <w:tabs>
        <w:tab w:val="left" w:pos="851"/>
      </w:tabs>
      <w:spacing w:before="0" w:after="360" w:line="240" w:lineRule="auto"/>
      <w:jc w:val="left"/>
      <w:outlineLvl w:val="0"/>
    </w:pPr>
    <w:rPr>
      <w:rFonts w:eastAsiaTheme="majorEastAsia" w:cstheme="majorBidi"/>
      <w:b/>
      <w:bCs/>
      <w:color w:val="1C556C"/>
      <w:sz w:val="48"/>
      <w:szCs w:val="28"/>
    </w:rPr>
  </w:style>
  <w:style w:type="paragraph" w:styleId="Heading2">
    <w:name w:val="heading 2"/>
    <w:basedOn w:val="Normal"/>
    <w:next w:val="BodyText"/>
    <w:link w:val="Heading2Char"/>
    <w:qFormat/>
    <w:rsid w:val="00B51610"/>
    <w:pPr>
      <w:keepNext/>
      <w:tabs>
        <w:tab w:val="left" w:pos="851"/>
      </w:tabs>
      <w:spacing w:before="360" w:after="0" w:line="240" w:lineRule="auto"/>
      <w:jc w:val="left"/>
      <w:outlineLvl w:val="1"/>
    </w:pPr>
    <w:rPr>
      <w:rFonts w:eastAsiaTheme="majorEastAsia" w:cstheme="majorBidi"/>
      <w:b/>
      <w:bCs/>
      <w:color w:val="0F7B7D"/>
      <w:sz w:val="36"/>
      <w:szCs w:val="26"/>
    </w:rPr>
  </w:style>
  <w:style w:type="paragraph" w:styleId="Heading3">
    <w:name w:val="heading 3"/>
    <w:basedOn w:val="Normal"/>
    <w:next w:val="BodyText"/>
    <w:link w:val="Heading3Char"/>
    <w:qFormat/>
    <w:rsid w:val="008B68EC"/>
    <w:pPr>
      <w:keepNext/>
      <w:tabs>
        <w:tab w:val="left" w:pos="851"/>
      </w:tabs>
      <w:spacing w:before="360" w:after="0" w:line="240" w:lineRule="auto"/>
      <w:jc w:val="left"/>
      <w:outlineLvl w:val="2"/>
    </w:pPr>
    <w:rPr>
      <w:rFonts w:eastAsiaTheme="majorEastAsia" w:cstheme="majorBidi"/>
      <w:b/>
      <w:bCs/>
      <w:sz w:val="28"/>
    </w:rPr>
  </w:style>
  <w:style w:type="paragraph" w:styleId="Heading4">
    <w:name w:val="heading 4"/>
    <w:basedOn w:val="Heading3"/>
    <w:next w:val="BodyText"/>
    <w:link w:val="Heading4Char"/>
    <w:qFormat/>
    <w:rsid w:val="00EC65E2"/>
    <w:pPr>
      <w:spacing w:before="280"/>
      <w:outlineLvl w:val="3"/>
    </w:pPr>
    <w:rPr>
      <w:color w:val="0F7B7D"/>
      <w:sz w:val="24"/>
    </w:rPr>
  </w:style>
  <w:style w:type="paragraph" w:styleId="Heading5">
    <w:name w:val="heading 5"/>
    <w:basedOn w:val="Normal"/>
    <w:next w:val="BodyText"/>
    <w:link w:val="Heading5Char"/>
    <w:qFormat/>
    <w:rsid w:val="00EC65E2"/>
    <w:pPr>
      <w:keepNext/>
      <w:spacing w:before="28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7"/>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7"/>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7"/>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7"/>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36A"/>
    <w:rPr>
      <w:rFonts w:ascii="Calibri" w:eastAsiaTheme="majorEastAsia" w:hAnsi="Calibri" w:cstheme="majorBidi"/>
      <w:b/>
      <w:bCs/>
      <w:color w:val="1C556C"/>
      <w:sz w:val="48"/>
      <w:szCs w:val="28"/>
      <w:lang w:eastAsia="en-NZ"/>
    </w:rPr>
  </w:style>
  <w:style w:type="character" w:customStyle="1" w:styleId="Heading2Char">
    <w:name w:val="Heading 2 Char"/>
    <w:basedOn w:val="DefaultParagraphFont"/>
    <w:link w:val="Heading2"/>
    <w:rsid w:val="00EB036A"/>
    <w:rPr>
      <w:rFonts w:ascii="Calibri" w:eastAsiaTheme="majorEastAsia" w:hAnsi="Calibri" w:cstheme="majorBidi"/>
      <w:b/>
      <w:bCs/>
      <w:color w:val="0F7B7D"/>
      <w:sz w:val="36"/>
      <w:szCs w:val="26"/>
      <w:lang w:eastAsia="en-NZ"/>
    </w:rPr>
  </w:style>
  <w:style w:type="character" w:customStyle="1" w:styleId="Heading3Char">
    <w:name w:val="Heading 3 Char"/>
    <w:basedOn w:val="DefaultParagraphFont"/>
    <w:link w:val="Heading3"/>
    <w:rsid w:val="00EB036A"/>
    <w:rPr>
      <w:rFonts w:ascii="Calibri" w:eastAsiaTheme="majorEastAsia" w:hAnsi="Calibri" w:cstheme="majorBidi"/>
      <w:b/>
      <w:bCs/>
      <w:sz w:val="28"/>
      <w:lang w:eastAsia="en-NZ"/>
    </w:rPr>
  </w:style>
  <w:style w:type="character" w:customStyle="1" w:styleId="Heading4Char">
    <w:name w:val="Heading 4 Char"/>
    <w:basedOn w:val="DefaultParagraphFont"/>
    <w:link w:val="Heading4"/>
    <w:rsid w:val="00EC65E2"/>
    <w:rPr>
      <w:rFonts w:ascii="Calibri" w:eastAsiaTheme="majorEastAsia" w:hAnsi="Calibri" w:cstheme="majorBidi"/>
      <w:b/>
      <w:bCs/>
      <w:color w:val="0F7B7D"/>
      <w:sz w:val="24"/>
      <w:lang w:eastAsia="en-NZ"/>
    </w:rPr>
  </w:style>
  <w:style w:type="character" w:customStyle="1" w:styleId="Heading5Char">
    <w:name w:val="Heading 5 Char"/>
    <w:basedOn w:val="DefaultParagraphFont"/>
    <w:link w:val="Heading5"/>
    <w:rsid w:val="00EC65E2"/>
    <w:rPr>
      <w:rFonts w:ascii="Calibri" w:eastAsiaTheme="majorEastAsia" w:hAnsi="Calibri" w:cstheme="majorBidi"/>
      <w:i/>
      <w:sz w:val="24"/>
      <w:lang w:eastAsia="en-NZ"/>
    </w:rPr>
  </w:style>
  <w:style w:type="paragraph" w:styleId="BodyText">
    <w:name w:val="Body Text"/>
    <w:basedOn w:val="Normal"/>
    <w:link w:val="BodyTextChar"/>
    <w:qFormat/>
    <w:rsid w:val="00E12529"/>
    <w:pPr>
      <w:jc w:val="left"/>
    </w:pPr>
  </w:style>
  <w:style w:type="character" w:customStyle="1" w:styleId="BodyTextChar">
    <w:name w:val="Body Text Char"/>
    <w:basedOn w:val="DefaultParagraphFont"/>
    <w:link w:val="BodyText"/>
    <w:rsid w:val="00E12529"/>
    <w:rPr>
      <w:rFonts w:ascii="Calibri" w:eastAsiaTheme="minorEastAsia" w:hAnsi="Calibri"/>
      <w:lang w:eastAsia="en-NZ"/>
    </w:rPr>
  </w:style>
  <w:style w:type="table" w:styleId="TableGrid">
    <w:name w:val="Table Grid"/>
    <w:basedOn w:val="TableNormal"/>
    <w:uiPriority w:val="5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basedOn w:val="DefaultParagraphFont"/>
    <w:link w:val="Header"/>
    <w:semiHidden/>
    <w:rsid w:val="00A24D73"/>
    <w:rPr>
      <w:rFonts w:ascii="Arial" w:eastAsiaTheme="minorEastAsia" w:hAnsi="Arial"/>
      <w:sz w:val="16"/>
      <w:lang w:eastAsia="en-NZ"/>
    </w:rPr>
  </w:style>
  <w:style w:type="paragraph" w:styleId="Quote">
    <w:name w:val="Quote"/>
    <w:basedOn w:val="Normal"/>
    <w:next w:val="BodyText"/>
    <w:link w:val="QuoteChar"/>
    <w:uiPriority w:val="29"/>
    <w:semiHidden/>
    <w:qFormat/>
    <w:rsid w:val="00684D9B"/>
    <w:pPr>
      <w:spacing w:before="60" w:after="60"/>
      <w:ind w:left="567" w:right="567"/>
      <w:jc w:val="left"/>
    </w:pPr>
    <w:rPr>
      <w:sz w:val="20"/>
    </w:rPr>
  </w:style>
  <w:style w:type="character" w:customStyle="1" w:styleId="QuoteChar">
    <w:name w:val="Quote Char"/>
    <w:basedOn w:val="DefaultParagraphFont"/>
    <w:link w:val="Quote"/>
    <w:uiPriority w:val="29"/>
    <w:semiHidden/>
    <w:rsid w:val="00A24D73"/>
    <w:rPr>
      <w:rFonts w:ascii="Calibri" w:eastAsiaTheme="minorEastAsia" w:hAnsi="Calibri"/>
      <w:sz w:val="20"/>
      <w:lang w:eastAsia="en-NZ"/>
    </w:rPr>
  </w:style>
  <w:style w:type="paragraph" w:customStyle="1" w:styleId="Box">
    <w:name w:val="Box"/>
    <w:basedOn w:val="Normal"/>
    <w:uiPriority w:val="1"/>
    <w:semiHidden/>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
    <w:uiPriority w:val="1"/>
    <w:semiHidden/>
    <w:qFormat/>
    <w:rsid w:val="00A56D3B"/>
    <w:pPr>
      <w:tabs>
        <w:tab w:val="left" w:pos="680"/>
      </w:tabs>
      <w:spacing w:before="0"/>
      <w:ind w:left="681" w:hanging="397"/>
    </w:pPr>
  </w:style>
  <w:style w:type="paragraph" w:customStyle="1" w:styleId="Boxheading">
    <w:name w:val="Box heading"/>
    <w:basedOn w:val="Box"/>
    <w:next w:val="Box"/>
    <w:uiPriority w:val="1"/>
    <w:semiHidden/>
    <w:qFormat/>
    <w:rsid w:val="001820A3"/>
    <w:pPr>
      <w:keepNext/>
      <w:spacing w:after="0"/>
    </w:pPr>
    <w:rPr>
      <w:b/>
    </w:rPr>
  </w:style>
  <w:style w:type="paragraph" w:customStyle="1" w:styleId="Bullet">
    <w:name w:val="Bullet"/>
    <w:basedOn w:val="Normal"/>
    <w:link w:val="BulletChar"/>
    <w:qFormat/>
    <w:rsid w:val="00B1728D"/>
    <w:pPr>
      <w:numPr>
        <w:numId w:val="42"/>
      </w:numPr>
      <w:spacing w:before="0" w:line="280" w:lineRule="exact"/>
      <w:ind w:left="397" w:hanging="397"/>
      <w:jc w:val="left"/>
    </w:pPr>
    <w:rPr>
      <w:rFonts w:eastAsia="Times New Roman" w:cs="Times New Roman"/>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uiPriority w:val="99"/>
    <w:semiHidden/>
    <w:rsid w:val="00EA64B4"/>
    <w:pPr>
      <w:tabs>
        <w:tab w:val="center" w:pos="4153"/>
        <w:tab w:val="right" w:pos="8306"/>
      </w:tabs>
    </w:pPr>
  </w:style>
  <w:style w:type="character" w:customStyle="1" w:styleId="FooterChar">
    <w:name w:val="Footer Char"/>
    <w:basedOn w:val="DefaultParagraphFont"/>
    <w:link w:val="Footer"/>
    <w:uiPriority w:val="99"/>
    <w:semiHidden/>
    <w:rsid w:val="00A24D73"/>
    <w:rPr>
      <w:rFonts w:ascii="Calibri" w:eastAsiaTheme="minorEastAsia" w:hAnsi="Calibri"/>
      <w:lang w:eastAsia="en-NZ"/>
    </w:rPr>
  </w:style>
  <w:style w:type="paragraph" w:customStyle="1" w:styleId="Sub-list">
    <w:name w:val="Sub-list"/>
    <w:basedOn w:val="Normal"/>
    <w:qFormat/>
    <w:rsid w:val="002A533C"/>
    <w:pPr>
      <w:numPr>
        <w:numId w:val="8"/>
      </w:numPr>
      <w:tabs>
        <w:tab w:val="clear" w:pos="397"/>
        <w:tab w:val="left" w:pos="794"/>
      </w:tabs>
      <w:spacing w:before="0"/>
      <w:ind w:left="794" w:hanging="397"/>
      <w:jc w:val="left"/>
    </w:pPr>
  </w:style>
  <w:style w:type="paragraph" w:customStyle="1" w:styleId="Figureheading">
    <w:name w:val="Figure heading"/>
    <w:basedOn w:val="Normal"/>
    <w:next w:val="BodyText"/>
    <w:uiPriority w:val="1"/>
    <w:qFormat/>
    <w:rsid w:val="00EA64B4"/>
    <w:pPr>
      <w:keepNext/>
      <w:ind w:left="1134" w:hanging="1134"/>
      <w:jc w:val="left"/>
    </w:pPr>
    <w:rPr>
      <w:b/>
      <w:sz w:val="20"/>
    </w:rPr>
  </w:style>
  <w:style w:type="character" w:styleId="FootnoteReference">
    <w:name w:val="footnote reference"/>
    <w:uiPriority w:val="99"/>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FA5081"/>
    <w:pPr>
      <w:spacing w:line="240" w:lineRule="atLeast"/>
    </w:pPr>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qFormat/>
    <w:rsid w:val="00FA5081"/>
    <w:pPr>
      <w:tabs>
        <w:tab w:val="left" w:pos="680"/>
      </w:tabs>
      <w:spacing w:line="240" w:lineRule="atLeast"/>
      <w:jc w:val="left"/>
    </w:pPr>
    <w:rPr>
      <w:sz w:val="18"/>
    </w:rPr>
  </w:style>
  <w:style w:type="paragraph" w:styleId="Title">
    <w:name w:val="Title"/>
    <w:basedOn w:val="Normal"/>
    <w:link w:val="TitleChar"/>
    <w:uiPriority w:val="2"/>
    <w:rsid w:val="00624018"/>
    <w:pPr>
      <w:spacing w:line="360" w:lineRule="auto"/>
      <w:jc w:val="center"/>
    </w:pPr>
    <w:rPr>
      <w:b/>
      <w:color w:val="17556C"/>
      <w:sz w:val="52"/>
    </w:rPr>
  </w:style>
  <w:style w:type="character" w:customStyle="1" w:styleId="TitleChar">
    <w:name w:val="Title Char"/>
    <w:basedOn w:val="DefaultParagraphFont"/>
    <w:link w:val="Title"/>
    <w:uiPriority w:val="2"/>
    <w:rsid w:val="00A24D73"/>
    <w:rPr>
      <w:rFonts w:ascii="Calibri" w:eastAsiaTheme="minorEastAsia" w:hAnsi="Calibri"/>
      <w:b/>
      <w:color w:val="17556C"/>
      <w:sz w:val="52"/>
      <w:lang w:eastAsia="en-NZ"/>
    </w:rPr>
  </w:style>
  <w:style w:type="paragraph" w:styleId="Subtitle">
    <w:name w:val="Subtitle"/>
    <w:basedOn w:val="Title"/>
    <w:link w:val="SubtitleChar"/>
    <w:uiPriority w:val="2"/>
    <w:rsid w:val="00D94120"/>
    <w:pPr>
      <w:spacing w:before="600" w:line="240" w:lineRule="auto"/>
    </w:pPr>
    <w:rPr>
      <w:sz w:val="36"/>
      <w:szCs w:val="36"/>
    </w:rPr>
  </w:style>
  <w:style w:type="character" w:customStyle="1" w:styleId="SubtitleChar">
    <w:name w:val="Subtitle Char"/>
    <w:basedOn w:val="DefaultParagraphFont"/>
    <w:link w:val="Subtitle"/>
    <w:uiPriority w:val="2"/>
    <w:rsid w:val="00EB036A"/>
    <w:rPr>
      <w:rFonts w:ascii="Calibri" w:eastAsiaTheme="minorEastAsia" w:hAnsi="Calibri"/>
      <w:b/>
      <w:color w:val="17556C"/>
      <w:sz w:val="36"/>
      <w:szCs w:val="36"/>
      <w:lang w:eastAsia="en-NZ"/>
    </w:rPr>
  </w:style>
  <w:style w:type="paragraph" w:customStyle="1" w:styleId="Tableheading">
    <w:name w:val="Table heading"/>
    <w:basedOn w:val="Normal"/>
    <w:next w:val="Normal"/>
    <w:qFormat/>
    <w:rsid w:val="009F43A9"/>
    <w:pPr>
      <w:keepNext/>
      <w:spacing w:line="240" w:lineRule="atLeas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A22951"/>
    <w:rPr>
      <w:b/>
    </w:rPr>
  </w:style>
  <w:style w:type="paragraph" w:styleId="TOC1">
    <w:name w:val="toc 1"/>
    <w:basedOn w:val="Normal"/>
    <w:next w:val="Normal"/>
    <w:uiPriority w:val="39"/>
    <w:rsid w:val="00AA28D0"/>
    <w:pPr>
      <w:tabs>
        <w:tab w:val="right" w:pos="8505"/>
      </w:tabs>
      <w:spacing w:before="280" w:after="0" w:line="240" w:lineRule="auto"/>
      <w:ind w:right="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9"/>
      </w:numPr>
      <w:spacing w:before="0"/>
      <w:ind w:left="397" w:hanging="397"/>
      <w:jc w:val="left"/>
    </w:pPr>
  </w:style>
  <w:style w:type="paragraph" w:customStyle="1" w:styleId="Sub-lista">
    <w:name w:val="Sub-list a"/>
    <w:aliases w:val="b"/>
    <w:basedOn w:val="Normal"/>
    <w:uiPriority w:val="2"/>
    <w:rsid w:val="00E21ACA"/>
    <w:pPr>
      <w:numPr>
        <w:numId w:val="10"/>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uiPriority w:val="39"/>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11"/>
      </w:numPr>
      <w:spacing w:before="60" w:after="60"/>
    </w:pPr>
  </w:style>
  <w:style w:type="paragraph" w:customStyle="1" w:styleId="TableBullet">
    <w:name w:val="TableBullet"/>
    <w:basedOn w:val="Normal"/>
    <w:qFormat/>
    <w:rsid w:val="00523DFA"/>
    <w:pPr>
      <w:numPr>
        <w:numId w:val="12"/>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13"/>
      </w:numPr>
      <w:ind w:left="568" w:hanging="284"/>
    </w:p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uiPriority w:val="99"/>
    <w:semiHidden/>
    <w:unhideWhenUsed/>
    <w:rsid w:val="00EA64B4"/>
    <w:rPr>
      <w:rFonts w:ascii="Tahoma" w:hAnsi="Tahoma"/>
      <w:sz w:val="16"/>
      <w:szCs w:val="16"/>
    </w:rPr>
  </w:style>
  <w:style w:type="character" w:customStyle="1" w:styleId="BalloonTextChar">
    <w:name w:val="Balloon Text Char"/>
    <w:basedOn w:val="DefaultParagraphFont"/>
    <w:link w:val="BalloonText"/>
    <w:uiPriority w:val="99"/>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single" w:sz="8" w:space="0" w:color="19CCCF" w:themeColor="accent2" w:themeTint="BF"/>
      </w:tblBorders>
    </w:tblPr>
    <w:tblStylePr w:type="firstRow">
      <w:pPr>
        <w:spacing w:before="0" w:after="0" w:line="240" w:lineRule="auto"/>
      </w:pPr>
      <w:rPr>
        <w:b/>
        <w:bCs/>
        <w:color w:val="FFFFFF" w:themeColor="background1"/>
      </w:rPr>
      <w:tblPr/>
      <w:tcPr>
        <w:tc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shd w:val="clear" w:color="auto" w:fill="0F7B7D" w:themeFill="accent2"/>
      </w:tcPr>
    </w:tblStylePr>
    <w:tblStylePr w:type="lastRow">
      <w:pPr>
        <w:spacing w:before="0" w:after="0" w:line="240" w:lineRule="auto"/>
      </w:pPr>
      <w:rPr>
        <w:b/>
        <w:bCs/>
      </w:rPr>
      <w:tblPr/>
      <w:tcPr>
        <w:tcBorders>
          <w:top w:val="double" w:sz="6"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DF3F5" w:themeFill="accent2" w:themeFillTint="3F"/>
      </w:tcPr>
    </w:tblStylePr>
    <w:tblStylePr w:type="band1Horz">
      <w:tblPr/>
      <w:tcPr>
        <w:tcBorders>
          <w:insideH w:val="nil"/>
          <w:insideV w:val="nil"/>
        </w:tcBorders>
        <w:shd w:val="clear" w:color="auto" w:fill="ADF3F5"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paragraph" w:customStyle="1" w:styleId="Boxa">
    <w:name w:val="Box a"/>
    <w:aliases w:val="b list"/>
    <w:basedOn w:val="Sub-listi"/>
    <w:semiHidden/>
    <w:qFormat/>
    <w:rsid w:val="00EA64B4"/>
    <w:pPr>
      <w:numPr>
        <w:ilvl w:val="1"/>
        <w:numId w:val="14"/>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eastAsia="Times New Roman" w:hAnsi="Arial" w:cs="Times New Roman"/>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eastAsia="Times New Roman" w:hAnsi="Arial" w:cs="Times New Roman"/>
      <w:b/>
      <w:color w:val="auto"/>
      <w:sz w:val="22"/>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character" w:customStyle="1" w:styleId="BulletChar">
    <w:name w:val="Bullet Char"/>
    <w:basedOn w:val="DefaultParagraphFont"/>
    <w:link w:val="Bullet"/>
    <w:locked/>
    <w:rsid w:val="00B1728D"/>
    <w:rPr>
      <w:rFonts w:ascii="Calibri" w:eastAsia="Times New Roman" w:hAnsi="Calibri" w:cs="Times New Roman"/>
      <w:szCs w:val="20"/>
      <w:lang w:eastAsia="en-NZ"/>
    </w:rPr>
  </w:style>
  <w:style w:type="paragraph" w:customStyle="1" w:styleId="Casestudyheading">
    <w:name w:val="Case study heading"/>
    <w:basedOn w:val="BodyText"/>
    <w:uiPriority w:val="1"/>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2DDE2" w:themeColor="accent3"/>
        <w:left w:val="single" w:sz="8" w:space="0" w:color="D2DDE2" w:themeColor="accent3"/>
        <w:bottom w:val="single" w:sz="8" w:space="0" w:color="D2DDE2" w:themeColor="accent3"/>
        <w:right w:val="single" w:sz="8" w:space="0" w:color="D2DDE2" w:themeColor="accent3"/>
      </w:tblBorders>
    </w:tblPr>
    <w:tblStylePr w:type="firstRow">
      <w:pPr>
        <w:spacing w:before="0" w:after="0" w:line="240" w:lineRule="auto"/>
      </w:pPr>
      <w:rPr>
        <w:b/>
        <w:bCs/>
        <w:color w:val="FFFFFF" w:themeColor="background1"/>
      </w:rPr>
      <w:tblPr/>
      <w:tcPr>
        <w:shd w:val="clear" w:color="auto" w:fill="D2DDE2" w:themeFill="accent3"/>
      </w:tcPr>
    </w:tblStylePr>
    <w:tblStylePr w:type="lastRow">
      <w:pPr>
        <w:spacing w:before="0" w:after="0" w:line="240" w:lineRule="auto"/>
      </w:pPr>
      <w:rPr>
        <w:b/>
        <w:bCs/>
      </w:rPr>
      <w:tblPr/>
      <w:tcPr>
        <w:tcBorders>
          <w:top w:val="double" w:sz="6" w:space="0" w:color="D2DDE2" w:themeColor="accent3"/>
          <w:left w:val="single" w:sz="8" w:space="0" w:color="D2DDE2" w:themeColor="accent3"/>
          <w:bottom w:val="single" w:sz="8" w:space="0" w:color="D2DDE2" w:themeColor="accent3"/>
          <w:right w:val="single" w:sz="8" w:space="0" w:color="D2DDE2" w:themeColor="accent3"/>
        </w:tcBorders>
      </w:tcPr>
    </w:tblStylePr>
    <w:tblStylePr w:type="firstCol">
      <w:rPr>
        <w:b/>
        <w:bCs/>
      </w:rPr>
    </w:tblStylePr>
    <w:tblStylePr w:type="lastCol">
      <w:rPr>
        <w:b/>
        <w:bCs/>
      </w:rPr>
    </w:tblStylePr>
    <w:tblStylePr w:type="band1Vert">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tblStylePr w:type="band1Horz">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style>
  <w:style w:type="numbering" w:customStyle="1" w:styleId="Style1">
    <w:name w:val="Style1"/>
    <w:uiPriority w:val="99"/>
    <w:rsid w:val="00B07CE9"/>
    <w:pPr>
      <w:numPr>
        <w:numId w:val="15"/>
      </w:numPr>
    </w:pPr>
  </w:style>
  <w:style w:type="numbering" w:customStyle="1" w:styleId="Style2">
    <w:name w:val="Style2"/>
    <w:uiPriority w:val="99"/>
    <w:rsid w:val="008E0688"/>
    <w:pPr>
      <w:numPr>
        <w:numId w:val="16"/>
      </w:numPr>
    </w:pPr>
  </w:style>
  <w:style w:type="paragraph" w:customStyle="1" w:styleId="Greenbullet-casestudytables">
    <w:name w:val="Green bullet - case study tables"/>
    <w:basedOn w:val="Greentext-casestudytables"/>
    <w:uiPriority w:val="1"/>
    <w:rsid w:val="00C15722"/>
    <w:pPr>
      <w:numPr>
        <w:numId w:val="17"/>
      </w:numPr>
      <w:spacing w:before="0"/>
    </w:pPr>
  </w:style>
  <w:style w:type="paragraph" w:customStyle="1" w:styleId="Greentext-casestudytables">
    <w:name w:val="Green text - case study tables"/>
    <w:basedOn w:val="BodyText"/>
    <w:uiPriority w:val="1"/>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51754D"/>
    <w:pPr>
      <w:keepNext/>
      <w:spacing w:before="240" w:after="0"/>
    </w:pPr>
    <w:rPr>
      <w:rFonts w:eastAsia="Times New Roman"/>
      <w:b/>
    </w:rPr>
  </w:style>
  <w:style w:type="numbering" w:customStyle="1" w:styleId="Style3">
    <w:name w:val="Style3"/>
    <w:uiPriority w:val="99"/>
    <w:rsid w:val="008B5A2D"/>
    <w:pPr>
      <w:numPr>
        <w:numId w:val="18"/>
      </w:numPr>
    </w:pPr>
  </w:style>
  <w:style w:type="paragraph" w:customStyle="1" w:styleId="Blueboxtext">
    <w:name w:val="Blue box text"/>
    <w:basedOn w:val="Normal"/>
    <w:uiPriority w:val="1"/>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qFormat/>
    <w:rsid w:val="00C2325C"/>
    <w:pPr>
      <w:numPr>
        <w:numId w:val="34"/>
      </w:numPr>
      <w:tabs>
        <w:tab w:val="left" w:pos="680"/>
      </w:tabs>
      <w:spacing w:before="0"/>
    </w:pPr>
    <w:rPr>
      <w:rFonts w:cs="Times New Roman"/>
      <w:szCs w:val="20"/>
    </w:rPr>
  </w:style>
  <w:style w:type="paragraph" w:customStyle="1" w:styleId="Blueboxheading">
    <w:name w:val="Blue box heading"/>
    <w:basedOn w:val="Blueboxtext"/>
    <w:next w:val="Blueboxtext"/>
    <w:uiPriority w:val="1"/>
    <w:qFormat/>
    <w:rsid w:val="007823D6"/>
    <w:pPr>
      <w:keepNext/>
      <w:spacing w:before="240" w:after="0"/>
    </w:pPr>
    <w:rPr>
      <w:rFonts w:cs="Times New Roman"/>
      <w:b/>
      <w:szCs w:val="20"/>
    </w:rPr>
  </w:style>
  <w:style w:type="paragraph" w:customStyle="1" w:styleId="Blue-boxsub-bullet">
    <w:name w:val="Blue-box sub-bullet"/>
    <w:basedOn w:val="Blueboxtext"/>
    <w:uiPriority w:val="1"/>
    <w:qFormat/>
    <w:rsid w:val="007823D6"/>
    <w:pPr>
      <w:numPr>
        <w:numId w:val="19"/>
      </w:numPr>
      <w:spacing w:before="0"/>
    </w:pPr>
    <w:rPr>
      <w:rFonts w:cs="Times New Roman"/>
      <w:szCs w:val="20"/>
    </w:rPr>
  </w:style>
  <w:style w:type="paragraph" w:customStyle="1" w:styleId="Greensub-bullet-casestudytables">
    <w:name w:val="Green sub-bullet - case study tables"/>
    <w:basedOn w:val="Greentext-casestudytables"/>
    <w:uiPriority w:val="1"/>
    <w:qFormat/>
    <w:rsid w:val="00C15722"/>
    <w:pPr>
      <w:numPr>
        <w:numId w:val="20"/>
      </w:numPr>
      <w:spacing w:before="0"/>
      <w:ind w:left="1077" w:hanging="397"/>
    </w:pPr>
  </w:style>
  <w:style w:type="paragraph" w:styleId="CommentText">
    <w:name w:val="annotation text"/>
    <w:basedOn w:val="Normal"/>
    <w:link w:val="CommentTextChar"/>
    <w:uiPriority w:val="99"/>
    <w:unhideWhenUsed/>
    <w:rsid w:val="00166A58"/>
    <w:pPr>
      <w:spacing w:before="0" w:after="200" w:line="240" w:lineRule="auto"/>
      <w:jc w:val="left"/>
    </w:pPr>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rsid w:val="00166A58"/>
    <w:rPr>
      <w:sz w:val="20"/>
      <w:szCs w:val="20"/>
    </w:rPr>
  </w:style>
  <w:style w:type="character" w:styleId="Emphasis">
    <w:name w:val="Emphasis"/>
    <w:basedOn w:val="DefaultParagraphFont"/>
    <w:uiPriority w:val="20"/>
    <w:semiHidden/>
    <w:qFormat/>
    <w:rsid w:val="00E72470"/>
    <w:rPr>
      <w:i/>
      <w:iCs/>
    </w:rPr>
  </w:style>
  <w:style w:type="paragraph" w:styleId="TOCHeading">
    <w:name w:val="TOC Heading"/>
    <w:basedOn w:val="Heading1"/>
    <w:next w:val="Normal"/>
    <w:uiPriority w:val="39"/>
    <w:semiHidden/>
    <w:rsid w:val="00E72470"/>
    <w:pPr>
      <w:keepLines/>
      <w:tabs>
        <w:tab w:val="clear" w:pos="851"/>
      </w:tabs>
      <w:spacing w:before="240" w:after="0" w:line="259" w:lineRule="auto"/>
      <w:outlineLvl w:val="9"/>
    </w:pPr>
    <w:rPr>
      <w:rFonts w:asciiTheme="majorHAnsi" w:hAnsiTheme="majorHAnsi"/>
      <w:b w:val="0"/>
      <w:bCs w:val="0"/>
      <w:color w:val="153F50" w:themeColor="accent1" w:themeShade="BF"/>
      <w:sz w:val="32"/>
      <w:szCs w:val="32"/>
      <w:lang w:val="en-US" w:eastAsia="en-US"/>
    </w:rPr>
  </w:style>
  <w:style w:type="character" w:customStyle="1" w:styleId="containertitle4">
    <w:name w:val="containertitle4"/>
    <w:basedOn w:val="DefaultParagraphFont"/>
    <w:rsid w:val="00FA206F"/>
    <w:rPr>
      <w:rFonts w:ascii="Georgia" w:hAnsi="Georgia" w:cs="Arial" w:hint="default"/>
      <w:b/>
      <w:bCs/>
      <w:color w:val="003399"/>
      <w:sz w:val="30"/>
      <w:szCs w:val="30"/>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Bibliography">
    <w:name w:val="Bibliography"/>
    <w:basedOn w:val="Normal"/>
    <w:next w:val="Normal"/>
    <w:uiPriority w:val="37"/>
    <w:unhideWhenUsed/>
    <w:rsid w:val="00001086"/>
    <w:pPr>
      <w:spacing w:before="0" w:line="240" w:lineRule="auto"/>
      <w:jc w:val="left"/>
    </w:pPr>
    <w:rPr>
      <w:rFonts w:ascii="Times New Roman" w:eastAsia="Times New Roman" w:hAnsi="Times New Roman" w:cs="Times New Roman"/>
      <w:sz w:val="20"/>
      <w:szCs w:val="20"/>
      <w:lang w:eastAsia="en-US"/>
    </w:rPr>
  </w:style>
  <w:style w:type="character" w:styleId="UnresolvedMention">
    <w:name w:val="Unresolved Mention"/>
    <w:basedOn w:val="DefaultParagraphFont"/>
    <w:uiPriority w:val="99"/>
    <w:semiHidden/>
    <w:unhideWhenUsed/>
    <w:rsid w:val="004069AB"/>
    <w:rPr>
      <w:color w:val="605E5C"/>
      <w:shd w:val="clear" w:color="auto" w:fill="E1DFDD"/>
    </w:rPr>
  </w:style>
  <w:style w:type="paragraph" w:styleId="NormalWeb">
    <w:name w:val="Normal (Web)"/>
    <w:basedOn w:val="Normal"/>
    <w:uiPriority w:val="99"/>
    <w:semiHidden/>
    <w:rsid w:val="0078710D"/>
    <w:rPr>
      <w:rFonts w:ascii="Times New Roman" w:hAnsi="Times New Roman" w:cs="Times New Roman"/>
      <w:sz w:val="24"/>
      <w:szCs w:val="24"/>
    </w:rPr>
  </w:style>
  <w:style w:type="character" w:customStyle="1" w:styleId="cf01">
    <w:name w:val="cf01"/>
    <w:basedOn w:val="DefaultParagraphFont"/>
    <w:rsid w:val="00513DF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353767578">
      <w:bodyDiv w:val="1"/>
      <w:marLeft w:val="0"/>
      <w:marRight w:val="0"/>
      <w:marTop w:val="0"/>
      <w:marBottom w:val="0"/>
      <w:divBdr>
        <w:top w:val="none" w:sz="0" w:space="0" w:color="auto"/>
        <w:left w:val="none" w:sz="0" w:space="0" w:color="auto"/>
        <w:bottom w:val="none" w:sz="0" w:space="0" w:color="auto"/>
        <w:right w:val="none" w:sz="0" w:space="0" w:color="auto"/>
      </w:divBdr>
    </w:div>
    <w:div w:id="837230159">
      <w:bodyDiv w:val="1"/>
      <w:marLeft w:val="0"/>
      <w:marRight w:val="0"/>
      <w:marTop w:val="0"/>
      <w:marBottom w:val="0"/>
      <w:divBdr>
        <w:top w:val="none" w:sz="0" w:space="0" w:color="auto"/>
        <w:left w:val="none" w:sz="0" w:space="0" w:color="auto"/>
        <w:bottom w:val="none" w:sz="0" w:space="0" w:color="auto"/>
        <w:right w:val="none" w:sz="0" w:space="0" w:color="auto"/>
      </w:divBdr>
    </w:div>
    <w:div w:id="915674195">
      <w:bodyDiv w:val="1"/>
      <w:marLeft w:val="0"/>
      <w:marRight w:val="0"/>
      <w:marTop w:val="0"/>
      <w:marBottom w:val="0"/>
      <w:divBdr>
        <w:top w:val="none" w:sz="0" w:space="0" w:color="auto"/>
        <w:left w:val="none" w:sz="0" w:space="0" w:color="auto"/>
        <w:bottom w:val="none" w:sz="0" w:space="0" w:color="auto"/>
        <w:right w:val="none" w:sz="0" w:space="0" w:color="auto"/>
      </w:divBdr>
    </w:div>
    <w:div w:id="935016075">
      <w:bodyDiv w:val="1"/>
      <w:marLeft w:val="0"/>
      <w:marRight w:val="0"/>
      <w:marTop w:val="0"/>
      <w:marBottom w:val="0"/>
      <w:divBdr>
        <w:top w:val="none" w:sz="0" w:space="0" w:color="auto"/>
        <w:left w:val="none" w:sz="0" w:space="0" w:color="auto"/>
        <w:bottom w:val="none" w:sz="0" w:space="0" w:color="auto"/>
        <w:right w:val="none" w:sz="0" w:space="0" w:color="auto"/>
      </w:divBdr>
    </w:div>
    <w:div w:id="1075473652">
      <w:bodyDiv w:val="1"/>
      <w:marLeft w:val="0"/>
      <w:marRight w:val="0"/>
      <w:marTop w:val="0"/>
      <w:marBottom w:val="0"/>
      <w:divBdr>
        <w:top w:val="none" w:sz="0" w:space="0" w:color="auto"/>
        <w:left w:val="none" w:sz="0" w:space="0" w:color="auto"/>
        <w:bottom w:val="none" w:sz="0" w:space="0" w:color="auto"/>
        <w:right w:val="none" w:sz="0" w:space="0" w:color="auto"/>
      </w:divBdr>
    </w:div>
    <w:div w:id="1112016415">
      <w:bodyDiv w:val="1"/>
      <w:marLeft w:val="0"/>
      <w:marRight w:val="0"/>
      <w:marTop w:val="0"/>
      <w:marBottom w:val="0"/>
      <w:divBdr>
        <w:top w:val="none" w:sz="0" w:space="0" w:color="auto"/>
        <w:left w:val="none" w:sz="0" w:space="0" w:color="auto"/>
        <w:bottom w:val="none" w:sz="0" w:space="0" w:color="auto"/>
        <w:right w:val="none" w:sz="0" w:space="0" w:color="auto"/>
      </w:divBdr>
    </w:div>
    <w:div w:id="1244680048">
      <w:bodyDiv w:val="1"/>
      <w:marLeft w:val="0"/>
      <w:marRight w:val="0"/>
      <w:marTop w:val="0"/>
      <w:marBottom w:val="0"/>
      <w:divBdr>
        <w:top w:val="none" w:sz="0" w:space="0" w:color="auto"/>
        <w:left w:val="none" w:sz="0" w:space="0" w:color="auto"/>
        <w:bottom w:val="none" w:sz="0" w:space="0" w:color="auto"/>
        <w:right w:val="none" w:sz="0" w:space="0" w:color="auto"/>
      </w:divBdr>
    </w:div>
    <w:div w:id="1253583605">
      <w:bodyDiv w:val="1"/>
      <w:marLeft w:val="0"/>
      <w:marRight w:val="0"/>
      <w:marTop w:val="0"/>
      <w:marBottom w:val="0"/>
      <w:divBdr>
        <w:top w:val="none" w:sz="0" w:space="0" w:color="auto"/>
        <w:left w:val="none" w:sz="0" w:space="0" w:color="auto"/>
        <w:bottom w:val="none" w:sz="0" w:space="0" w:color="auto"/>
        <w:right w:val="none" w:sz="0" w:space="0" w:color="auto"/>
      </w:divBdr>
    </w:div>
    <w:div w:id="1347443266">
      <w:bodyDiv w:val="1"/>
      <w:marLeft w:val="0"/>
      <w:marRight w:val="0"/>
      <w:marTop w:val="0"/>
      <w:marBottom w:val="0"/>
      <w:divBdr>
        <w:top w:val="none" w:sz="0" w:space="0" w:color="auto"/>
        <w:left w:val="none" w:sz="0" w:space="0" w:color="auto"/>
        <w:bottom w:val="none" w:sz="0" w:space="0" w:color="auto"/>
        <w:right w:val="none" w:sz="0" w:space="0" w:color="auto"/>
      </w:divBdr>
    </w:div>
    <w:div w:id="1468816714">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569194577">
      <w:bodyDiv w:val="1"/>
      <w:marLeft w:val="0"/>
      <w:marRight w:val="0"/>
      <w:marTop w:val="0"/>
      <w:marBottom w:val="0"/>
      <w:divBdr>
        <w:top w:val="none" w:sz="0" w:space="0" w:color="auto"/>
        <w:left w:val="none" w:sz="0" w:space="0" w:color="auto"/>
        <w:bottom w:val="none" w:sz="0" w:space="0" w:color="auto"/>
        <w:right w:val="none" w:sz="0" w:space="0" w:color="auto"/>
      </w:divBdr>
    </w:div>
    <w:div w:id="1758557489">
      <w:bodyDiv w:val="1"/>
      <w:marLeft w:val="0"/>
      <w:marRight w:val="0"/>
      <w:marTop w:val="0"/>
      <w:marBottom w:val="0"/>
      <w:divBdr>
        <w:top w:val="none" w:sz="0" w:space="0" w:color="auto"/>
        <w:left w:val="none" w:sz="0" w:space="0" w:color="auto"/>
        <w:bottom w:val="none" w:sz="0" w:space="0" w:color="auto"/>
        <w:right w:val="none" w:sz="0" w:space="0" w:color="auto"/>
      </w:divBdr>
    </w:div>
    <w:div w:id="1848474711">
      <w:bodyDiv w:val="1"/>
      <w:marLeft w:val="0"/>
      <w:marRight w:val="0"/>
      <w:marTop w:val="0"/>
      <w:marBottom w:val="0"/>
      <w:divBdr>
        <w:top w:val="none" w:sz="0" w:space="0" w:color="auto"/>
        <w:left w:val="none" w:sz="0" w:space="0" w:color="auto"/>
        <w:bottom w:val="none" w:sz="0" w:space="0" w:color="auto"/>
        <w:right w:val="none" w:sz="0" w:space="0" w:color="auto"/>
      </w:divBdr>
    </w:div>
    <w:div w:id="1866285415">
      <w:bodyDiv w:val="1"/>
      <w:marLeft w:val="0"/>
      <w:marRight w:val="0"/>
      <w:marTop w:val="0"/>
      <w:marBottom w:val="0"/>
      <w:divBdr>
        <w:top w:val="none" w:sz="0" w:space="0" w:color="auto"/>
        <w:left w:val="none" w:sz="0" w:space="0" w:color="auto"/>
        <w:bottom w:val="none" w:sz="0" w:space="0" w:color="auto"/>
        <w:right w:val="none" w:sz="0" w:space="0" w:color="auto"/>
      </w:divBdr>
    </w:div>
    <w:div w:id="1905607183">
      <w:bodyDiv w:val="1"/>
      <w:marLeft w:val="0"/>
      <w:marRight w:val="0"/>
      <w:marTop w:val="0"/>
      <w:marBottom w:val="0"/>
      <w:divBdr>
        <w:top w:val="none" w:sz="0" w:space="0" w:color="auto"/>
        <w:left w:val="none" w:sz="0" w:space="0" w:color="auto"/>
        <w:bottom w:val="none" w:sz="0" w:space="0" w:color="auto"/>
        <w:right w:val="none" w:sz="0" w:space="0" w:color="auto"/>
      </w:divBdr>
    </w:div>
    <w:div w:id="194989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vironment.govt.nz/publications/pilot-study-of-brominated-flame-retardants-in-waste-electrical-and-electronic-equipment-weee/" TargetMode="External"/><Relationship Id="rId21" Type="http://schemas.openxmlformats.org/officeDocument/2006/relationships/footer" Target="footer4.xml"/><Relationship Id="rId42" Type="http://schemas.openxmlformats.org/officeDocument/2006/relationships/hyperlink" Target="https://www.mpi.govt.nz/food-business/food-safety-codes-standards/australia-new-zealand-co-operation/food-standards-australia-new-zealand-fsanz/" TargetMode="External"/><Relationship Id="rId63" Type="http://schemas.openxmlformats.org/officeDocument/2006/relationships/hyperlink" Target="http://www.legislation.govt.nz/act/public/2002/0084/167.0/DLM170873.html" TargetMode="External"/><Relationship Id="rId84" Type="http://schemas.openxmlformats.org/officeDocument/2006/relationships/hyperlink" Target="http://chm.pops.int/Implementation/NationalImplementationPlans/Guidance/tabid/7730/Default.aspx%20(13" TargetMode="External"/><Relationship Id="rId138" Type="http://schemas.openxmlformats.org/officeDocument/2006/relationships/hyperlink" Target="https://environment.govt.nz/publications/new-zealands-national-implementation-plan-under-the-stockholm-convention-on-persistent-organic-pollutants/" TargetMode="External"/><Relationship Id="rId159" Type="http://schemas.openxmlformats.org/officeDocument/2006/relationships/hyperlink" Target="http://chm.pops.int/Countries/NationalReports/FirstRoundofPartyReports/tabid/254/Default.aspx" TargetMode="External"/><Relationship Id="rId170" Type="http://schemas.openxmlformats.org/officeDocument/2006/relationships/hyperlink" Target="https://environment.govt.nz/publications/investigation-of-brominated-flame-retardants-present-in-articles-being-used-recycled-and-disposed-of-in-new-zealand/" TargetMode="External"/><Relationship Id="rId191" Type="http://schemas.microsoft.com/office/2020/10/relationships/intelligence" Target="intelligence2.xml"/><Relationship Id="rId107" Type="http://schemas.openxmlformats.org/officeDocument/2006/relationships/hyperlink" Target="http://www.mfe.govt.nz/more/international-environmental-agreements/multilateral-environmental-agreements/waigani-convention%20(22" TargetMode="External"/><Relationship Id="rId11" Type="http://schemas.openxmlformats.org/officeDocument/2006/relationships/endnotes" Target="endnotes.xml"/><Relationship Id="rId32" Type="http://schemas.openxmlformats.org/officeDocument/2006/relationships/hyperlink" Target="https://environment.govt.nz/assets/Publications/Files/cleaning-up-mapua-fcc-story.pdf" TargetMode="External"/><Relationship Id="rId53" Type="http://schemas.openxmlformats.org/officeDocument/2006/relationships/hyperlink" Target="https://legislation.govt.nz/act/public/2015/0070/55.0/DLM5976660.html" TargetMode="External"/><Relationship Id="rId74" Type="http://schemas.openxmlformats.org/officeDocument/2006/relationships/hyperlink" Target="http://ers.pops.int/ERS-Extended/FeedbackServer/fsadmin.aspx?fscontrol=respondentReport&amp;surveyid=81&amp;voterid=51395&amp;readonly=1&amp;nomenu=1" TargetMode="External"/><Relationship Id="rId128" Type="http://schemas.openxmlformats.org/officeDocument/2006/relationships/hyperlink" Target="https://environment.govt.nz/publications/contaminated-land-management-guidelines-no-2-hierarchy-and-application-in-new-zealand-of-environmental-guideline-values-revised-2011/" TargetMode="External"/><Relationship Id="rId149" Type="http://schemas.openxmlformats.org/officeDocument/2006/relationships/hyperlink" Target="http://www.allenandclarke.co.nz/project/the-design-and-implementation-of-health-support-services-for-chemically-exposed-populations" TargetMode="External"/><Relationship Id="rId5" Type="http://schemas.openxmlformats.org/officeDocument/2006/relationships/customXml" Target="../customXml/item5.xml"/><Relationship Id="rId95" Type="http://schemas.openxmlformats.org/officeDocument/2006/relationships/hyperlink" Target="https://environment.govt.nz/assets/publications/Waste-reduction-work-programme-final.pdf" TargetMode="External"/><Relationship Id="rId160" Type="http://schemas.openxmlformats.org/officeDocument/2006/relationships/hyperlink" Target="http://chm.pops.int/Countries/NationalReports/SecondRoundofPartyReports/tabid/1315/Default.aspx" TargetMode="External"/><Relationship Id="rId181" Type="http://schemas.openxmlformats.org/officeDocument/2006/relationships/hyperlink" Target="http://chm.pops.int/Portals/0/download.aspx?d=UNEP-POPS-POPRC.13-7-Add-1.English.pdf" TargetMode="External"/><Relationship Id="rId22" Type="http://schemas.openxmlformats.org/officeDocument/2006/relationships/footer" Target="footer5.xml"/><Relationship Id="rId43" Type="http://schemas.openxmlformats.org/officeDocument/2006/relationships/hyperlink" Target="https://www.mpi.govt.nz/dmsdocument/27600/send" TargetMode="External"/><Relationship Id="rId64" Type="http://schemas.openxmlformats.org/officeDocument/2006/relationships/hyperlink" Target="https://www.legislation.govt.nz/act/public/2021/0036/latest/LMS374564.html" TargetMode="External"/><Relationship Id="rId118" Type="http://schemas.openxmlformats.org/officeDocument/2006/relationships/hyperlink" Target="https://environment.govt.nz/publications/investigation-of-brominated-flame-retardants-present-in-articles-being-used-recycled-and-disposed-of-in-new-zealand/" TargetMode="External"/><Relationship Id="rId139" Type="http://schemas.openxmlformats.org/officeDocument/2006/relationships/hyperlink" Target="http://publichealth.massey.ac.nz/assets/ProjectsPDF/Concentrations-of-Selected-POPs-4-October-2013-FINAL.pdf" TargetMode="External"/><Relationship Id="rId85" Type="http://schemas.openxmlformats.org/officeDocument/2006/relationships/hyperlink" Target="http://www.basel.int/Implementation/POPsWastes/TechnicalGuidelines/TechnicalGuidelines(versionMarch2018)/tabid/6303/Default.aspx" TargetMode="External"/><Relationship Id="rId150" Type="http://schemas.openxmlformats.org/officeDocument/2006/relationships/hyperlink" Target="https://www.health.govt.nz/our-work/environmental-health/dioxins/dioxins-health-support-services/support-service-dioxin-exposed-people" TargetMode="External"/><Relationship Id="rId171" Type="http://schemas.openxmlformats.org/officeDocument/2006/relationships/hyperlink" Target="https://environment.govt.nz/assets/Publications/Files/pfas-investigation-response-funding-guide.pdf%20(22" TargetMode="External"/><Relationship Id="rId12" Type="http://schemas.openxmlformats.org/officeDocument/2006/relationships/image" Target="media/image1.jpeg"/><Relationship Id="rId33" Type="http://schemas.openxmlformats.org/officeDocument/2006/relationships/hyperlink" Target="http://legislation.govt.nz/act/public/1996/0030/99.0/DLM381222.html" TargetMode="External"/><Relationship Id="rId108" Type="http://schemas.openxmlformats.org/officeDocument/2006/relationships/hyperlink" Target="http://www.mfe.govt.nz/more/international-environmental-agreements/multilateral-environmental-agreements/key-multilateral-0%20(22" TargetMode="External"/><Relationship Id="rId129" Type="http://schemas.openxmlformats.org/officeDocument/2006/relationships/hyperlink" Target="https://environment.govt.nz/publications/contaminated-land-management-guidelines-no-3-risk-screening-system/" TargetMode="External"/><Relationship Id="rId54" Type="http://schemas.openxmlformats.org/officeDocument/2006/relationships/hyperlink" Target="http://www.legislation.govt.nz/regulation/public/2017/0131/25.0/DLM7309401.html" TargetMode="External"/><Relationship Id="rId75" Type="http://schemas.openxmlformats.org/officeDocument/2006/relationships/hyperlink" Target="https://www.epa.govt.nz/assets/Uploads/Documents/Hazardous-Substances/GHS2/Consolidated_Hazardous_Substances_Disposal_Notice_2017.pdf" TargetMode="External"/><Relationship Id="rId96" Type="http://schemas.openxmlformats.org/officeDocument/2006/relationships/hyperlink" Target="https://www.ojifs.com/news/transforming-tasman-mill/" TargetMode="External"/><Relationship Id="rId140" Type="http://schemas.openxmlformats.org/officeDocument/2006/relationships/hyperlink" Target="http://publichealth.massey.ac.nz/home/research/research-projects/the-investigation-of-breast-milk-for-persistent-organic-pollutants/" TargetMode="External"/><Relationship Id="rId161" Type="http://schemas.openxmlformats.org/officeDocument/2006/relationships/hyperlink" Target="http://chm.pops.int/Countries/NationalReports/ThirdRoundPartyReports/tabid/4470/Default.aspx" TargetMode="External"/><Relationship Id="rId182" Type="http://schemas.openxmlformats.org/officeDocument/2006/relationships/hyperlink" Target="http://ers.pops.int//ERS-Extended/FeedbackServer/fsadmin.aspx?fscontrol=respondentReport&amp;surveyid=81&amp;voterid=51395&amp;readonly=1&amp;nomenu=1" TargetMode="External"/><Relationship Id="rId6" Type="http://schemas.openxmlformats.org/officeDocument/2006/relationships/numbering" Target="numbering.xml"/><Relationship Id="rId23" Type="http://schemas.openxmlformats.org/officeDocument/2006/relationships/header" Target="header6.xml"/><Relationship Id="rId119" Type="http://schemas.openxmlformats.org/officeDocument/2006/relationships/hyperlink" Target="https://environment.govt.nz/facts-and-science/land/contaminated-land/" TargetMode="External"/><Relationship Id="rId44" Type="http://schemas.openxmlformats.org/officeDocument/2006/relationships/hyperlink" Target="https://www.mpi.govt.nz/agriculture/agricultural-compounds-vet-medicines/acvm-non-compliance-and-monitoring/" TargetMode="External"/><Relationship Id="rId65" Type="http://schemas.openxmlformats.org/officeDocument/2006/relationships/hyperlink" Target="https://www.taumataarowai.govt.nz/about/legislation/" TargetMode="External"/><Relationship Id="rId86" Type="http://schemas.openxmlformats.org/officeDocument/2006/relationships/hyperlink" Target="http://chm.pops.int/Implementation/Alternatives/AlternativestoPOPs/ChemicalslistedinAnnexA/Dicofol/tabid/8291/Default.aspx" TargetMode="External"/><Relationship Id="rId130" Type="http://schemas.openxmlformats.org/officeDocument/2006/relationships/hyperlink" Target="https://environment.govt.nz/publications/contaminated-land-management-guidelines-no-4-classification-and-information-management-protocols/" TargetMode="External"/><Relationship Id="rId151" Type="http://schemas.openxmlformats.org/officeDocument/2006/relationships/hyperlink" Target="https://www.health.govt.nz/our-work/environmental-health/dioxins/dioxins-health-support-services/special-support-service-former-sawmill-workers-exposed-pcp" TargetMode="External"/><Relationship Id="rId172" Type="http://schemas.openxmlformats.org/officeDocument/2006/relationships/hyperlink" Target="https://www.mpi.govt.nz/dmsdocument/44923-National-Chemical-Contaminants-Programme-Dairy-products-and-raw-milk-Dioxin-dioxin-like-PCB-and-indicator-PCB-results-201415-201516-201617-201718-201819-and-201920" TargetMode="Externa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www.legislation.govt.nz/act/public/2020/0052/latest/LMS294345.html" TargetMode="External"/><Relationship Id="rId109" Type="http://schemas.openxmlformats.org/officeDocument/2006/relationships/hyperlink" Target="https://www.itu.int/en/ITU-D/Environment/Documents/Toolbox/GEM_2020_EN_O21.pdf" TargetMode="External"/><Relationship Id="rId34" Type="http://schemas.openxmlformats.org/officeDocument/2006/relationships/hyperlink" Target="https://www.epa.govt.nz/assets/Uploads/Documents/Hazardous-Substances/5f03c8867a/Findings-of-the-EPA-national-investigation-into-firefighting-foams-containing-PFOS-April-2019.pdf" TargetMode="External"/><Relationship Id="rId50" Type="http://schemas.openxmlformats.org/officeDocument/2006/relationships/hyperlink" Target="http://www.legislation.govt.nz/act/public/1991/0069/226.0/DLM230265.html" TargetMode="External"/><Relationship Id="rId55" Type="http://schemas.openxmlformats.org/officeDocument/2006/relationships/hyperlink" Target="http://www.legislation.govt.nz/act/public/1997/0087/latest/DLM414577.html" TargetMode="External"/><Relationship Id="rId76" Type="http://schemas.openxmlformats.org/officeDocument/2006/relationships/hyperlink" Target="https://www.epa.govt.nz/assets/Uploads/Documents/%20Hazardous-Substances/Guidance/Safe-Management-of-PCBs.pdf" TargetMode="External"/><Relationship Id="rId97" Type="http://schemas.openxmlformats.org/officeDocument/2006/relationships/hyperlink" Target="https://www.engineeringnz.org/programmes/heritage/heritage-records/marsden-point-oil-refinery/" TargetMode="External"/><Relationship Id="rId104" Type="http://schemas.openxmlformats.org/officeDocument/2006/relationships/hyperlink" Target="https://www.epa.govt.nz/news-and-alerts/latest-news/new-era-in-chemical-management/" TargetMode="External"/><Relationship Id="rId120" Type="http://schemas.openxmlformats.org/officeDocument/2006/relationships/hyperlink" Target="http://www.mfe.govt.nz/land/nes-assessing-and-managing-contaminants-soil-protect-human-health/about-nes" TargetMode="External"/><Relationship Id="rId125" Type="http://schemas.openxmlformats.org/officeDocument/2006/relationships/hyperlink" Target="https://environment.govt.nz/publications/users-guide-national-environmental-standard-for-assessing-and-managing-contaminants-in-soil-to-protect-human-health/" TargetMode="External"/><Relationship Id="rId141" Type="http://schemas.openxmlformats.org/officeDocument/2006/relationships/hyperlink" Target="http://www.mpi.govt.nz/food-safety/food-monitoring-and-surveillance/new-zealand-total-diet-study" TargetMode="External"/><Relationship Id="rId146" Type="http://schemas.openxmlformats.org/officeDocument/2006/relationships/hyperlink" Target="http://www.marlborough.govt.nz/repository/libraries/id:1w1mps0ir17q9sgxanf9/hierarchy/Documents/Environment/Groundwater/Groundwater%20Reports%202015%20List/National_Survey_of_Pesticides_in_Groundwater_Report_final.pdf" TargetMode="External"/><Relationship Id="rId167" Type="http://schemas.openxmlformats.org/officeDocument/2006/relationships/hyperlink" Target="https://www.epa.govt.nz/assets/Uploads/Documents/Hazardous-Substances/GHS2/Consolidated_Hazardous_Substances_Disposal_Notice_2017.pdf" TargetMode="External"/><Relationship Id="rId188"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environment.govt.nz/publications/new-zealands-updated-national-implementation-plan-under-the-stockholm-convention-on-persistent-organic-pollutants/" TargetMode="External"/><Relationship Id="rId92" Type="http://schemas.openxmlformats.org/officeDocument/2006/relationships/hyperlink" Target="https://environment.govt.nz/assets/publications/2022-Update-of-the-New-Zealand-Inventory-of-Dioxin-Emissions-to-Air-Land-and-Water-and-Reservoir-Sources.pdf" TargetMode="External"/><Relationship Id="rId162" Type="http://schemas.openxmlformats.org/officeDocument/2006/relationships/hyperlink" Target="http://chm.pops.int/Countries/NationalReports/FourthRoundPartyReports/tabid/6346/Default.aspx" TargetMode="External"/><Relationship Id="rId183" Type="http://schemas.openxmlformats.org/officeDocument/2006/relationships/header" Target="header7.xml"/><Relationship Id="rId2" Type="http://schemas.openxmlformats.org/officeDocument/2006/relationships/customXml" Target="../customXml/item2.xml"/><Relationship Id="rId29" Type="http://schemas.openxmlformats.org/officeDocument/2006/relationships/hyperlink" Target="http://chm.pops.int/Implementation/NationalImplementationPlans/NIPTransmission/tabid/253/Default.aspx" TargetMode="External"/><Relationship Id="rId24" Type="http://schemas.openxmlformats.org/officeDocument/2006/relationships/footer" Target="footer6.xml"/><Relationship Id="rId40" Type="http://schemas.openxmlformats.org/officeDocument/2006/relationships/hyperlink" Target="https://www.mpi.govt.nz/food-business/food-act-2014/introduction-food-act-2014/" TargetMode="External"/><Relationship Id="rId45" Type="http://schemas.openxmlformats.org/officeDocument/2006/relationships/hyperlink" Target="http://www.legislation.govt.nz/act/public/2015/0070/55.0/DLM5976660.html" TargetMode="External"/><Relationship Id="rId66" Type="http://schemas.openxmlformats.org/officeDocument/2006/relationships/hyperlink" Target="https://legislation.govt.nz/regulation/public/2022/0168/latest/LMS698021.html" TargetMode="External"/><Relationship Id="rId87" Type="http://schemas.openxmlformats.org/officeDocument/2006/relationships/hyperlink" Target="http://chm.pops.int/Implementation/IndustrialPOPs/PFAS/Overview/tabid/5221/Default.aspx" TargetMode="External"/><Relationship Id="rId110" Type="http://schemas.openxmlformats.org/officeDocument/2006/relationships/hyperlink" Target="https://environment.govt.nz/what-government-is-doing/areas-of-work/waste/product-stewardship/regulated-product-stewardship/" TargetMode="External"/><Relationship Id="rId115" Type="http://schemas.openxmlformats.org/officeDocument/2006/relationships/hyperlink" Target="https://environment.govt.nz/publications/managing-waste-that-may-contain-brominated-flame-retardants/managing-waste-that-may-contain-brominated-flame-retardants/" TargetMode="External"/><Relationship Id="rId131" Type="http://schemas.openxmlformats.org/officeDocument/2006/relationships/hyperlink" Target="https://environment.govt.nz/publications/contaminated-land-management-guidelines-no-5-site-investigation-and-analysis-of-soils/" TargetMode="External"/><Relationship Id="rId136" Type="http://schemas.openxmlformats.org/officeDocument/2006/relationships/hyperlink" Target="https://www.boprc.govt.nz/our-projects/kopeopeo-canal-remediation-monitoring-phase" TargetMode="External"/><Relationship Id="rId157" Type="http://schemas.openxmlformats.org/officeDocument/2006/relationships/hyperlink" Target="https://environment.govt.nz/what-government-is-doing/areas-of-work/land/per-and-poly-fluoroalkyl-substances-pfas/latest-updates-on-pfas/" TargetMode="External"/><Relationship Id="rId178" Type="http://schemas.openxmlformats.org/officeDocument/2006/relationships/hyperlink" Target="https://environment.govt.nz/publications/waste-minimisation-fund-2020-annual-report/" TargetMode="External"/><Relationship Id="rId61" Type="http://schemas.openxmlformats.org/officeDocument/2006/relationships/hyperlink" Target="https://environment.govt.nz/what-government-is-doing/areas-of-work/waste/waste-legislation-review/" TargetMode="External"/><Relationship Id="rId82" Type="http://schemas.openxmlformats.org/officeDocument/2006/relationships/hyperlink" Target="http://chm.pops.int/Implementation/NationalImplementationPlans/Guidance/tabid/7730/Default.aspx%20(13" TargetMode="External"/><Relationship Id="rId152" Type="http://schemas.openxmlformats.org/officeDocument/2006/relationships/hyperlink" Target="https://environment.govt.nz/what-government-is-doing/international-action/stockholm-convention-persistent-organic-pollutants/" TargetMode="External"/><Relationship Id="rId173" Type="http://schemas.openxmlformats.org/officeDocument/2006/relationships/hyperlink" Target="https://www.mpi.govt.nz/dmsdocument/52039-Animal-Products-Notice-Monitoring-Regimes" TargetMode="External"/><Relationship Id="rId19" Type="http://schemas.openxmlformats.org/officeDocument/2006/relationships/header" Target="header4.xml"/><Relationship Id="rId14" Type="http://schemas.openxmlformats.org/officeDocument/2006/relationships/header" Target="header2.xml"/><Relationship Id="rId30" Type="http://schemas.openxmlformats.org/officeDocument/2006/relationships/hyperlink" Target="https://environment.govt.nz/publications/new-zealands-national-implementation-plan-under-the-stockholm-convention-on-persistent-organic-pollutants/" TargetMode="External"/><Relationship Id="rId35" Type="http://schemas.openxmlformats.org/officeDocument/2006/relationships/hyperlink" Target="https://www.epa.govt.nz/assets/Uploads/Documents/Hazardous-Substances/GHS2/Consolidated_Hazardous_Substances_Disposal_Notice_2017.pdf" TargetMode="External"/><Relationship Id="rId56" Type="http://schemas.openxmlformats.org/officeDocument/2006/relationships/hyperlink" Target="http://www.legislation.govt.nz/regulation/public/2011/0327/latest/DLM3982848.html" TargetMode="External"/><Relationship Id="rId77" Type="http://schemas.openxmlformats.org/officeDocument/2006/relationships/hyperlink" Target="https://worksafe.govt.nz/laws-and-regulations/prosecutions/court-summaries/julians-electrical-and-energy-conservation-limited/" TargetMode="External"/><Relationship Id="rId100" Type="http://schemas.openxmlformats.org/officeDocument/2006/relationships/hyperlink" Target="https://www.epa.govt.nz/assets/Uploads/Documents/Hazardous-Substances/GHS2/Consolidated_Hazardous_Substances_Disposal_Notice_2017.pdf" TargetMode="External"/><Relationship Id="rId105" Type="http://schemas.openxmlformats.org/officeDocument/2006/relationships/hyperlink" Target="https://www.epa.govt.nz/industry-areas/hazardous-substances/new-zealands-new-hazard-classification-system/" TargetMode="External"/><Relationship Id="rId126" Type="http://schemas.openxmlformats.org/officeDocument/2006/relationships/hyperlink" Target="https://environment.govt.nz/publications/contaminated-land-management-guidelines-no-1-reporting-on-contaminated-sites-in-new-zealand/" TargetMode="External"/><Relationship Id="rId147" Type="http://schemas.openxmlformats.org/officeDocument/2006/relationships/hyperlink" Target="https://www.marlborough.govt.nz/repository/libraries/id:1w1mps0ir17q9sgxanf9/hierarchy/Documents/Environment/Groundwater/Groundwater%20Reports%202015%20List/National_Survey_of_Pesticides_in_Groundwater_Report_final.pdf" TargetMode="External"/><Relationship Id="rId168" Type="http://schemas.openxmlformats.org/officeDocument/2006/relationships/hyperlink" Target="https://environment.govt.nz/publications/pilot-study-of-brominated-flame-retardants-in-waste-electrical-and-electronic-equipment-weee/" TargetMode="External"/><Relationship Id="rId8" Type="http://schemas.openxmlformats.org/officeDocument/2006/relationships/settings" Target="settings.xml"/><Relationship Id="rId51" Type="http://schemas.openxmlformats.org/officeDocument/2006/relationships/hyperlink" Target="https://environment.govt.nz/what-government-is-doing/areas-of-work/rma/resource-management-system-reform/pathway-to-reform/" TargetMode="External"/><Relationship Id="rId72" Type="http://schemas.openxmlformats.org/officeDocument/2006/relationships/hyperlink" Target="https://environment.govt.nz/publications/new-zealands-updated-national-implementation-plan-under-the-stockholm-convention-on-persistent-organic-pollutants/" TargetMode="External"/><Relationship Id="rId93" Type="http://schemas.openxmlformats.org/officeDocument/2006/relationships/hyperlink" Target="https://environment.govt.nz/assets/publications/2022-Update-of-the-New-Zealand-Inventory-of-Dioxin-Emissions-to-Air-Land-and-Water-and-Reservoir-Sources.pdf" TargetMode="External"/><Relationship Id="rId98" Type="http://schemas.openxmlformats.org/officeDocument/2006/relationships/hyperlink" Target="https://www.engineeringnz.org/programmes/heritage/heritage-records/marsden-point-oil-refinery/" TargetMode="External"/><Relationship Id="rId121" Type="http://schemas.openxmlformats.org/officeDocument/2006/relationships/hyperlink" Target="https://environment.govt.nz/publications/contaminated-land-management-guidelines-no-1-reporting-on-contaminated-sites-in-new-zealand/" TargetMode="External"/><Relationship Id="rId142" Type="http://schemas.openxmlformats.org/officeDocument/2006/relationships/hyperlink" Target="https://www.mpi.govt.nz/food-safety/food-monitoring-and-surveillance/new-zealand-total-diet-study/" TargetMode="External"/><Relationship Id="rId163" Type="http://schemas.openxmlformats.org/officeDocument/2006/relationships/hyperlink" Target="http://chm.pops.int/Countries/Reporting/NationalReports/FifthRoundPartyReports/tabid/9026/Default.aspx" TargetMode="External"/><Relationship Id="rId184" Type="http://schemas.openxmlformats.org/officeDocument/2006/relationships/header" Target="header8.xml"/><Relationship Id="rId189"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image" Target="media/image2.png"/><Relationship Id="rId46" Type="http://schemas.openxmlformats.org/officeDocument/2006/relationships/hyperlink" Target="http://www.epa.govt.nz/assets/Uploads/Documents/Hazardous-Substances/Policies/Hazardous-Substances-Storage-and-Disposal-of-Persistent-Organic-Pollutants-Notice-2004.pdf" TargetMode="External"/><Relationship Id="rId67" Type="http://schemas.openxmlformats.org/officeDocument/2006/relationships/hyperlink" Target="http://www.basel.int/Portals/4/Basel%20Convention/docs/pub/techguid/tg-POPs.pdf" TargetMode="External"/><Relationship Id="rId116" Type="http://schemas.openxmlformats.org/officeDocument/2006/relationships/hyperlink" Target="https://environment.govt.nz/publications/investigation-of-brominated-flame-retardants-present-in-articles-being-used-recycled-and-disposed-of-in-new-zealand/" TargetMode="External"/><Relationship Id="rId137" Type="http://schemas.openxmlformats.org/officeDocument/2006/relationships/hyperlink" Target="https://environment.govt.nz/publications/users-guide-national-environmental-standard-for-assessing-and-managing-contaminants-in-soil-to-protect-human-health/" TargetMode="External"/><Relationship Id="rId158" Type="http://schemas.openxmlformats.org/officeDocument/2006/relationships/hyperlink" Target="https://environment.govt.nz/what-government-is-doing/areas-of-work/land/per-and-poly-fluoroalkyl-substances-pfas/documents-released-proactively-under-oia/" TargetMode="External"/><Relationship Id="rId20" Type="http://schemas.openxmlformats.org/officeDocument/2006/relationships/header" Target="header5.xml"/><Relationship Id="rId41" Type="http://schemas.openxmlformats.org/officeDocument/2006/relationships/hyperlink" Target="https://www.mpi.govt.nz/legal/compliance-requirements/animal-products-act-notices/" TargetMode="External"/><Relationship Id="rId62" Type="http://schemas.openxmlformats.org/officeDocument/2006/relationships/hyperlink" Target="https://agrecovery.co.nz/" TargetMode="External"/><Relationship Id="rId83" Type="http://schemas.openxmlformats.org/officeDocument/2006/relationships/image" Target="media/image4.png"/><Relationship Id="rId88" Type="http://schemas.openxmlformats.org/officeDocument/2006/relationships/hyperlink" Target="https://environment.govt.nz/assets/Publications/Files/Stockholm-Convention-POPs-Dec-06.pdf" TargetMode="External"/><Relationship Id="rId111" Type="http://schemas.openxmlformats.org/officeDocument/2006/relationships/hyperlink" Target="https://www.epa.govt.nz/assets/Uploads/Documents/Hazardous-Substances/Guidance/6765897c7f/Export-electronic-waste.pdf" TargetMode="External"/><Relationship Id="rId132" Type="http://schemas.openxmlformats.org/officeDocument/2006/relationships/hyperlink" Target="https://environment.govt.nz/what-government-is-doing/areas-of-work/land/per-and-poly-fluoroalkyl-substances-pfas/" TargetMode="External"/><Relationship Id="rId153" Type="http://schemas.openxmlformats.org/officeDocument/2006/relationships/hyperlink" Target="http://www.epa.govt.nz/news-and-alerts/alerts/managing-fire-fighting-foams-manufactured-with-pfas-chemicals/?accordion-anchor=691" TargetMode="External"/><Relationship Id="rId174" Type="http://schemas.openxmlformats.org/officeDocument/2006/relationships/hyperlink" Target="https://environment.govt.nz/publications/brominated-flame-retardant-research-cost-benefit-analysis-of-sorting-options-for-e-waste-plastics/" TargetMode="External"/><Relationship Id="rId179" Type="http://schemas.openxmlformats.org/officeDocument/2006/relationships/hyperlink" Target="https://environment.govt.nz/publications/waste-funds-annual-report-2021/" TargetMode="External"/><Relationship Id="rId190" Type="http://schemas.microsoft.com/office/2019/05/relationships/documenttasks" Target="documenttasks/documenttasks1.xml"/><Relationship Id="rId15" Type="http://schemas.openxmlformats.org/officeDocument/2006/relationships/footer" Target="footer1.xml"/><Relationship Id="rId36" Type="http://schemas.openxmlformats.org/officeDocument/2006/relationships/hyperlink" Target="https://www.epa.govt.nz/assets/RecordsAPI/Fire-Fighting-Chemicals-Group-Standard-2021-HSR002573.pdf" TargetMode="External"/><Relationship Id="rId57" Type="http://schemas.openxmlformats.org/officeDocument/2006/relationships/hyperlink" Target="https://www.legislation.govt.nz/regulation/public/2004/0202/latest/DLM271701.html" TargetMode="External"/><Relationship Id="rId106" Type="http://schemas.openxmlformats.org/officeDocument/2006/relationships/hyperlink" Target="https://www.epa.govt.nz/assets/Uploads/Documents/Hazardous-Substances/GHS2/Consolidated_Hazardous_Substances_Disposal_Notice_2017.pdf" TargetMode="External"/><Relationship Id="rId127" Type="http://schemas.openxmlformats.org/officeDocument/2006/relationships/hyperlink" Target="https://environment.govt.nz/publications/contaminated-land-management-guidelines-no-2-hierarchy-and-application-in-new-zealand-of-environmental-guideline-values-revised-2011/" TargetMode="External"/><Relationship Id="rId10" Type="http://schemas.openxmlformats.org/officeDocument/2006/relationships/footnotes" Target="footnotes.xml"/><Relationship Id="rId31" Type="http://schemas.openxmlformats.org/officeDocument/2006/relationships/hyperlink" Target="https://pce.parliament.nz/publications/archive/1987-1996/the-management-of-hazardous-wastes-disposal-a-review-of-government-systems/" TargetMode="External"/><Relationship Id="rId52" Type="http://schemas.openxmlformats.org/officeDocument/2006/relationships/hyperlink" Target="http://www.legislation.govt.nz/regulation/public/2011/0361/latest/DLM4052228.html" TargetMode="External"/><Relationship Id="rId73" Type="http://schemas.openxmlformats.org/officeDocument/2006/relationships/hyperlink" Target="http://chm.pops.int/Countries/Reporting/NationalReports/tabid/3668/Default.aspx" TargetMode="External"/><Relationship Id="rId78" Type="http://schemas.openxmlformats.org/officeDocument/2006/relationships/hyperlink" Target="https://www.epa.govt.nz/industry-areas/hazardous-substances/rules-for-hazardous-substances/polychlorinated-biphenyls-pcbs/" TargetMode="External"/><Relationship Id="rId94" Type="http://schemas.openxmlformats.org/officeDocument/2006/relationships/hyperlink" Target="https://ministryforenvironment.sharepoint.com/sites/ECM-Pol-AcrDom/Shared%20Documents/08%20-%20International%20Policy%20and%20Implementation_5054687/02%20-%20Multilateral%20Environment%20Agreements_5056330/03%20-%20Stockholm%20Convention_5056258/03%20-%20Information%20_%20convention%20monitoring_5059675/01%20-%20SNIP%20(Stockholm%20National%20Implementation%20Plan)_12195031/2022%20update%20of%20the%20New%20Zealand%20inventory%20of%20dioxin%20emissions%20to%20air,%20land%20and%20water,%20and%20reservoir%20sources%20Retrieved%20from%20https:/environment.govt.nz/assets/publications/2022-Update-of-the-New-Zealand-Inventory-of-Dioxin-Emissions-to-Air-Land-and-Water-and-Reservoir-Sources.pdf%20(22%20November%202022)." TargetMode="External"/><Relationship Id="rId99" Type="http://schemas.openxmlformats.org/officeDocument/2006/relationships/hyperlink" Target="http://www.epa.govt.nz/assets/Uploads/Documents/Hazardous-Substances/Policies/Hazardous-Substances-Storage-and-Disposal-of-Persistent-Organic-Pollutants-Notice-2004.pdf" TargetMode="External"/><Relationship Id="rId101" Type="http://schemas.openxmlformats.org/officeDocument/2006/relationships/hyperlink" Target="https://environment.govt.nz/assets/Publications/Files/Stockholm-Convention-POPs-Dec-06.pdf" TargetMode="External"/><Relationship Id="rId122" Type="http://schemas.openxmlformats.org/officeDocument/2006/relationships/hyperlink" Target="http://www.mfe.govt.nz/more/funding/contaminated-sites-remediation-fund" TargetMode="External"/><Relationship Id="rId143" Type="http://schemas.openxmlformats.org/officeDocument/2006/relationships/hyperlink" Target="https://www.mpi.govt.nz/dmsdocument/31077-per-and-poly-fluorinated-alkyl-substances-pfas-in-selected-new-zealand-foods-survey-report" TargetMode="External"/><Relationship Id="rId148" Type="http://schemas.openxmlformats.org/officeDocument/2006/relationships/hyperlink" Target="https://environment.govt.nz/publications/our-air-2018/" TargetMode="External"/><Relationship Id="rId164" Type="http://schemas.openxmlformats.org/officeDocument/2006/relationships/hyperlink" Target="http://www.basel.int/Portals/4/Basel%20Convention/docs/pub/techguid/tg-POPs.pdf" TargetMode="External"/><Relationship Id="rId169" Type="http://schemas.openxmlformats.org/officeDocument/2006/relationships/hyperlink" Target="https://www.itu.int/en/ITU-D/Environment/Documents/Toolbox/GEM_2020_EN_O21.pdf" TargetMode="External"/><Relationship Id="rId185"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chm.pops.int/Portals/0/download.aspx?d=UNEP-POPS-POPRC.12-11-Add.2.English.PDF" TargetMode="External"/><Relationship Id="rId26" Type="http://schemas.openxmlformats.org/officeDocument/2006/relationships/hyperlink" Target="https://www.pce.parliament.nz/publications/regulating-the-environmental-fate-of-chemicals" TargetMode="External"/><Relationship Id="rId47" Type="http://schemas.openxmlformats.org/officeDocument/2006/relationships/hyperlink" Target="https://pce.parliament.nz/publications/knowing-whats-out-there-regulating-the-environmental-fate-of-chemicals/" TargetMode="External"/><Relationship Id="rId68" Type="http://schemas.openxmlformats.org/officeDocument/2006/relationships/hyperlink" Target="http://www.mfe.govt.nz/more/funding/contaminated-sites-remediation-fund" TargetMode="External"/><Relationship Id="rId89" Type="http://schemas.openxmlformats.org/officeDocument/2006/relationships/hyperlink" Target="https://environment.govt.nz/assets/publications/2000-dioxin-emissions-inventory.pdf" TargetMode="External"/><Relationship Id="rId112" Type="http://schemas.openxmlformats.org/officeDocument/2006/relationships/hyperlink" Target="https://environment.govt.nz/assets/Publications/Files/managing-waste-that-may-contain-brominated-flame-retardants.pdf" TargetMode="External"/><Relationship Id="rId133" Type="http://schemas.openxmlformats.org/officeDocument/2006/relationships/hyperlink" Target="https://environment.govt.nz/what-government-is-doing/cabinet-papers-and-regulatory-impact-statements/pfas-contamination-update-on-response-and-planned-next-steps/" TargetMode="External"/><Relationship Id="rId154" Type="http://schemas.openxmlformats.org/officeDocument/2006/relationships/hyperlink" Target="http://www.epa.govt.nz/industry-areas/hazardous-substances/rules-for-hazardous-substances/polychlorinated-biphenyls-pcbs/" TargetMode="External"/><Relationship Id="rId175" Type="http://schemas.openxmlformats.org/officeDocument/2006/relationships/hyperlink" Target="https://environment.govt.nz/publications/managing-waste-that-may-contain-brominated-flame-retardants/" TargetMode="External"/><Relationship Id="rId16" Type="http://schemas.openxmlformats.org/officeDocument/2006/relationships/footer" Target="footer2.xml"/><Relationship Id="rId37" Type="http://schemas.openxmlformats.org/officeDocument/2006/relationships/hyperlink" Target="https://www.legislation.govt.nz/regulation/public/2004/0202/latest/DLM271701.html" TargetMode="External"/><Relationship Id="rId58" Type="http://schemas.openxmlformats.org/officeDocument/2006/relationships/hyperlink" Target="https://www.legislation.govt.nz/regulation/public/2004/0202/latest/whole.html" TargetMode="External"/><Relationship Id="rId79" Type="http://schemas.openxmlformats.org/officeDocument/2006/relationships/hyperlink" Target="https://environment.govt.nz/publications/waste-minimisation-fund-2020-annual-report/" TargetMode="External"/><Relationship Id="rId102" Type="http://schemas.openxmlformats.org/officeDocument/2006/relationships/hyperlink" Target="http://www.agrecovery.co.nz/foundation/agrecovery-foundation" TargetMode="External"/><Relationship Id="rId123" Type="http://schemas.openxmlformats.org/officeDocument/2006/relationships/hyperlink" Target="https://environment.govt.nz/publications/hazardous-activities-and-industries-list-hail/" TargetMode="External"/><Relationship Id="rId144" Type="http://schemas.openxmlformats.org/officeDocument/2006/relationships/hyperlink" Target="https://www.mpi.govt.nz/dmsdocument/44923-National-Chemical-Contaminants-Programme-Dairy-products-and-raw-milk-Dioxin-dioxin-like-PCB-and-indicator-PCB-results-201415-201516-201617-201718-201819-and-201920" TargetMode="External"/><Relationship Id="rId90" Type="http://schemas.openxmlformats.org/officeDocument/2006/relationships/hyperlink" Target="https://environment.govt.nz/assets/publications/2011-dioxin-emissions-inventory.pdf" TargetMode="External"/><Relationship Id="rId165" Type="http://schemas.openxmlformats.org/officeDocument/2006/relationships/hyperlink" Target="https://environment.govt.nz/publications/brominated-flame-retardant-research-a-pilot-study-of-e-waste-plastic-sorting-in-new-zealand/" TargetMode="External"/><Relationship Id="rId186" Type="http://schemas.openxmlformats.org/officeDocument/2006/relationships/footer" Target="footer8.xml"/><Relationship Id="rId27" Type="http://schemas.openxmlformats.org/officeDocument/2006/relationships/hyperlink" Target="file:///C:/Users/bhadraz/AppData/Roaming/OpenText/OTEdit/EC_tepuna/c5058791/mailto_stockholm@mfe.govt.nz" TargetMode="External"/><Relationship Id="rId48" Type="http://schemas.openxmlformats.org/officeDocument/2006/relationships/hyperlink" Target="https://www.legislation.govt.nz/act/public/2014/0032/75.0/DLM2995811.html" TargetMode="External"/><Relationship Id="rId69" Type="http://schemas.openxmlformats.org/officeDocument/2006/relationships/hyperlink" Target="https://environment.govt.nz/publications/waste-funds-annual-report-2021/" TargetMode="External"/><Relationship Id="rId113" Type="http://schemas.openxmlformats.org/officeDocument/2006/relationships/hyperlink" Target="https://environment.govt.nz/publications/brominated-flame-retardant-research-cost-benefit-analysis-of-sorting-options-for-e-waste-plastics/" TargetMode="External"/><Relationship Id="rId134" Type="http://schemas.openxmlformats.org/officeDocument/2006/relationships/hyperlink" Target="http://www.legislation.govt.nz/regulation/public/2017/0131/25.0/DLM7309401.html" TargetMode="External"/><Relationship Id="rId80" Type="http://schemas.openxmlformats.org/officeDocument/2006/relationships/hyperlink" Target="https://www.landwise.org.nz/uncategorized/great-ddt-muster/" TargetMode="External"/><Relationship Id="rId155" Type="http://schemas.openxmlformats.org/officeDocument/2006/relationships/hyperlink" Target="http://www.epa.govt.nz/public-consultations/decided/feedback-sought-on-new-stockholm-and-rotterdam-convention-chemicals" TargetMode="External"/><Relationship Id="rId176" Type="http://schemas.openxmlformats.org/officeDocument/2006/relationships/hyperlink" Target="https://environment.govt.nz/what-government-is-doing/areas-of-work/land/per-and-poly-fluoroalkyl-substances-pfas/" TargetMode="External"/><Relationship Id="rId17" Type="http://schemas.openxmlformats.org/officeDocument/2006/relationships/header" Target="header3.xml"/><Relationship Id="rId38" Type="http://schemas.openxmlformats.org/officeDocument/2006/relationships/hyperlink" Target="https://www.taumataarowai.govt.nz/" TargetMode="External"/><Relationship Id="rId59" Type="http://schemas.openxmlformats.org/officeDocument/2006/relationships/hyperlink" Target="https://www.legislation.govt.nz/act/public/2008/0089/49.0/DLM999802.html" TargetMode="External"/><Relationship Id="rId103" Type="http://schemas.openxmlformats.org/officeDocument/2006/relationships/hyperlink" Target="https://agrecovery.co.nz/priority-products/" TargetMode="External"/><Relationship Id="rId124" Type="http://schemas.openxmlformats.org/officeDocument/2006/relationships/hyperlink" Target="https://environment.govt.nz/publications/contaminated-land-management-guidelines-no-2-hierarchy-and-application-in-new-zealand-of-environmental-guideline-values-revised-2011/" TargetMode="External"/><Relationship Id="rId70" Type="http://schemas.openxmlformats.org/officeDocument/2006/relationships/hyperlink" Target="https://environment.govt.nz/what-government-is-doing/areas-of-work/waste/product-stewardship/about-product-stewardship-in-new-zealand/" TargetMode="External"/><Relationship Id="rId91" Type="http://schemas.openxmlformats.org/officeDocument/2006/relationships/hyperlink" Target="https://environment.govt.nz/assets/publications/2014-dioxin-emissions-inventory.pdf" TargetMode="External"/><Relationship Id="rId145" Type="http://schemas.openxmlformats.org/officeDocument/2006/relationships/hyperlink" Target="https://www.mpi.govt.nz/food-business/dairy-products-processing-manufacture-testing-requirements/monitoring-testing-dairy-products/documents-for-nccp/" TargetMode="External"/><Relationship Id="rId166" Type="http://schemas.openxmlformats.org/officeDocument/2006/relationships/hyperlink" Target="http://www.epa.govt.nz/assets/Uploads/Documents/Hazardous-Substances/Policies/Hazardous-Substances-Storage-and-Disposal-of-Persistent-Organic-Pollutants-Notice-2004.pdf" TargetMode="External"/><Relationship Id="rId187" Type="http://schemas.openxmlformats.org/officeDocument/2006/relationships/header" Target="header9.xml"/><Relationship Id="rId1" Type="http://schemas.openxmlformats.org/officeDocument/2006/relationships/customXml" Target="../customXml/item1.xml"/><Relationship Id="rId28" Type="http://schemas.openxmlformats.org/officeDocument/2006/relationships/hyperlink" Target="https://environment.govt.nz/publications/new-zealands-national-implementation-plan-under-the-stockholm-convention-on-persistent-organic-pollutants/" TargetMode="External"/><Relationship Id="rId49" Type="http://schemas.openxmlformats.org/officeDocument/2006/relationships/hyperlink" Target="https://www.legislation.govt.nz/act/public/1999/0093/latest/whole.html" TargetMode="External"/><Relationship Id="rId114" Type="http://schemas.openxmlformats.org/officeDocument/2006/relationships/hyperlink" Target="https://environment.govt.nz/publications/brominated-flame-retardant-research-a-pilot-study-of-e-waste-plastic-sorting-in-new-zealand/" TargetMode="External"/><Relationship Id="rId60" Type="http://schemas.openxmlformats.org/officeDocument/2006/relationships/hyperlink" Target="https://environment.govt.nz/assets/publications/Taking-responsibility-for-our-waste-snapshot.pdf" TargetMode="External"/><Relationship Id="rId81" Type="http://schemas.openxmlformats.org/officeDocument/2006/relationships/image" Target="media/image3.emf"/><Relationship Id="rId135" Type="http://schemas.openxmlformats.org/officeDocument/2006/relationships/hyperlink" Target="http://www.legislation.govt.nz/regulation/public/2017/0131/25.0/DLM7309401.html" TargetMode="External"/><Relationship Id="rId156" Type="http://schemas.openxmlformats.org/officeDocument/2006/relationships/hyperlink" Target="https://environment.govt.nz/what-government-is-doing/areas-of-work/land/per-and-poly-fluoroalkyl-substances-pfas/latest-updates-on-pfas/" TargetMode="External"/><Relationship Id="rId177" Type="http://schemas.openxmlformats.org/officeDocument/2006/relationships/hyperlink" Target="https://environment.govt.nz/what-government-is-doing/cabinet-papers-and-regulatory-impact-statements/reforming-resource-management-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tonv\AppData\Local\Microsoft\Windows\INetCache\IE\X5IYNSMW\MfE%20report%20template.dotx" TargetMode="External"/></Relationships>
</file>

<file path=word/documenttasks/documenttasks1.xml><?xml version="1.0" encoding="utf-8"?>
<t:Tasks xmlns:t="http://schemas.microsoft.com/office/tasks/2019/documenttasks" xmlns:oel="http://schemas.microsoft.com/office/2019/extlst">
  <t:Task id="{0DB510D1-9AEC-4CAA-8F78-D56DACF4F86F}">
    <t:Anchor>
      <t:Comment id="831670802"/>
    </t:Anchor>
    <t:History>
      <t:Event id="{8865D41C-96FC-4B64-A72B-72049EFF3466}" time="2022-11-11T01:22:58.136Z">
        <t:Attribution userId="S::david.spiegel@mfe.govt.nz::ccaa42d2-eeca-44a0-9e87-f88e1955f2b7" userProvider="AD" userName="David Spiegel"/>
        <t:Anchor>
          <t:Comment id="831670802"/>
        </t:Anchor>
        <t:Create/>
      </t:Event>
      <t:Event id="{8A49C553-01A9-4CFA-B2BC-FBEB424710B7}" time="2022-11-11T01:22:58.136Z">
        <t:Attribution userId="S::david.spiegel@mfe.govt.nz::ccaa42d2-eeca-44a0-9e87-f88e1955f2b7" userProvider="AD" userName="David Spiegel"/>
        <t:Anchor>
          <t:Comment id="831670802"/>
        </t:Anchor>
        <t:Assign userId="S::Tim.Bennetts@mfe.govt.nz::ddeec7cb-3853-475d-b2a6-fb3006967a31" userProvider="AD" userName="Tim Bennetts"/>
      </t:Event>
      <t:Event id="{90BBEB95-D63C-48D9-AC74-A41DA90AA4D0}" time="2022-11-11T01:22:58.136Z">
        <t:Attribution userId="S::david.spiegel@mfe.govt.nz::ccaa42d2-eeca-44a0-9e87-f88e1955f2b7" userProvider="AD" userName="David Spiegel"/>
        <t:Anchor>
          <t:Comment id="831670802"/>
        </t:Anchor>
        <t:SetTitle title="@Tim Bennetts this chapter will be of interest to you."/>
      </t:Event>
    </t:History>
  </t:Task>
</t:Tasks>
</file>

<file path=word/theme/theme1.xml><?xml version="1.0" encoding="utf-8"?>
<a:theme xmlns:a="http://schemas.openxmlformats.org/drawingml/2006/main" name="MFE">
  <a:themeElements>
    <a:clrScheme name="MFE colours">
      <a:dk1>
        <a:sysClr val="windowText" lastClr="000000"/>
      </a:dk1>
      <a:lt1>
        <a:sysClr val="window" lastClr="FFFFFF"/>
      </a:lt1>
      <a:dk2>
        <a:srgbClr val="1F497D"/>
      </a:dk2>
      <a:lt2>
        <a:srgbClr val="EEECE1"/>
      </a:lt2>
      <a:accent1>
        <a:srgbClr val="1C556C"/>
      </a:accent1>
      <a:accent2>
        <a:srgbClr val="0F7B7D"/>
      </a:accent2>
      <a:accent3>
        <a:srgbClr val="D2DDE2"/>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Email_x0020_Table xmlns="4a94300e-a927-4b92-9d3a-682523035cb6" xsi:nil="true"/>
    <MTS_x0020_ID xmlns="4a94300e-a927-4b92-9d3a-682523035cb6" xsi:nil="true"/>
    <Other_x0020_Details_4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MTS_x0020_Type xmlns="4a94300e-a927-4b92-9d3a-682523035cb6" xsi:nil="true"/>
    <Receiver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Receiver_x0020_Date xmlns="4a94300e-a927-4b92-9d3a-682523035cb6" xsi:nil="true"/>
    <Status xmlns="4a94300e-a927-4b92-9d3a-682523035cb6" xsi:nil="true"/>
    <Contract_x0020_Number xmlns="4a94300e-a927-4b92-9d3a-682523035cb6" xsi:nil="true"/>
    <Document_x0020_Type xmlns="4a94300e-a927-4b92-9d3a-682523035cb6" xsi:nil="true"/>
    <_dlc_DocId xmlns="58a6f171-52cb-4404-b47d-af1c8daf8fd1">ECM-1620197338-82577</_dlc_DocId>
    <_dlc_DocIdUrl xmlns="58a6f171-52cb-4404-b47d-af1c8daf8fd1">
      <Url>https://ministryforenvironment.sharepoint.com/sites/ECM-Pol-AcrDom/_layouts/15/DocIdRedir.aspx?ID=ECM-1620197338-82577</Url>
      <Description>ECM-1620197338-82577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4" ma:contentTypeDescription="Create a new document." ma:contentTypeScope="" ma:versionID="cb4ab68550168c1657715066464b1af5">
  <xsd:schema xmlns:xsd="http://www.w3.org/2001/XMLSchema" xmlns:xs="http://www.w3.org/2001/XMLSchema" xmlns:p="http://schemas.microsoft.com/office/2006/metadata/properties" xmlns:ns1="http://schemas.microsoft.com/sharepoint/v3" xmlns:ns2="58a6f171-52cb-4404-b47d-af1c8daf8fd1" xmlns:ns3="4a94300e-a927-4b92-9d3a-682523035cb6" xmlns:ns4="0a5b0190-e301-4766-933d-448c7c363fce" targetNamespace="http://schemas.microsoft.com/office/2006/metadata/properties" ma:root="true" ma:fieldsID="be68f85b425287be31bc19719974dc7e" ns1:_="" ns2:_="" ns3:_="" ns4:_="">
    <xsd:import namespace="http://schemas.microsoft.com/sharepoint/v3"/>
    <xsd:import namespace="58a6f171-52cb-4404-b47d-af1c8daf8fd1"/>
    <xsd:import namespace="4a94300e-a927-4b92-9d3a-682523035cb6"/>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Other_x0020_Details_2" minOccurs="0"/>
                <xsd:element ref="ns3:Other_x0020_Details_3" minOccurs="0"/>
                <xsd:element ref="ns3:To" minOccurs="0"/>
                <xsd:element ref="ns3:From" minOccurs="0"/>
                <xsd:element ref="ns3:Sent_x002f_Received" minOccurs="0"/>
                <xsd:element ref="ns3:MTS_x0020_Type" minOccurs="0"/>
                <xsd:element ref="ns3:MTS_x0020_ID" minOccurs="0"/>
                <xsd:element ref="ns3:Other_x0020_Details_4" minOccurs="0"/>
                <xsd:element ref="ns3:Contract_x0020_Number" minOccurs="0"/>
                <xsd:element ref="ns1:_ip_UnifiedCompliancePolicyProperties" minOccurs="0"/>
                <xsd:element ref="ns1:_ip_UnifiedCompliancePolicyUIAction" minOccurs="0"/>
                <xsd:element ref="ns4:SharedWithUsers" minOccurs="0"/>
                <xsd:element ref="ns4:SharedWithDetail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5" nillable="true" ma:displayName="Unified Compliance Policy Properties" ma:hidden="true" ma:internalName="_ip_UnifiedCompliancePolicyProperties">
      <xsd:simpleType>
        <xsd:restriction base="dms:Note"/>
      </xsd:simpleType>
    </xsd:element>
    <xsd:element name="_ip_UnifiedCompliancePolicyUIAction" ma:index="4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3" nillable="true" ma:displayName="Taxonomy Catch All Column" ma:hidden="true" ma:list="{d0cdddb6-5cfb-45b6-8fe0-da02a32629e8}"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ibrary" ma:index="28" nillable="true" ma:displayName="Library" ma:default="" ma:description="" ma:internalName="Library">
      <xsd:simpleType>
        <xsd:restriction base="dms:Text">
          <xsd:maxLength value="255"/>
        </xsd:restriction>
      </xsd:simpleType>
    </xsd:element>
    <xsd:element name="Legacy_x0020_DocID" ma:index="29" nillable="true" ma:displayName="Legacy DocID" ma:decimals="-1" ma:default="" ma:description="" ma:internalName="Legacy_x0020_DocID">
      <xsd:simpleType>
        <xsd:restriction base="dms:Number"/>
      </xsd:simpleType>
    </xsd:element>
    <xsd:element name="Legacy_x0020_Version" ma:index="30" nillable="true" ma:displayName="Legacy Version" ma:default="" ma:description="" ma:internalName="Legacy_x0020_Version">
      <xsd:simpleType>
        <xsd:restriction base="dms:Text">
          <xsd:maxLength value="255"/>
        </xsd:restriction>
      </xsd:simpleType>
    </xsd:element>
    <xsd:element name="Class" ma:index="31" nillable="true" ma:displayName="Class" ma:default="" ma:description="" ma:internalName="Class">
      <xsd:simpleType>
        <xsd:restriction base="dms:Text">
          <xsd:maxLength value="255"/>
        </xsd:restriction>
      </xsd:simpleType>
    </xsd:element>
    <xsd:element name="Author0" ma:index="32" nillable="true" ma:displayName="Author" ma:default="" ma:description="" ma:internalName="Author0">
      <xsd:simpleType>
        <xsd:restriction base="dms:Text">
          <xsd:maxLength value="255"/>
        </xsd:restriction>
      </xsd:simpleType>
    </xsd:element>
    <xsd:element name="Status" ma:index="33" nillable="true" ma:displayName="Status" ma:default="" ma:description="" ma:internalName="Status">
      <xsd:simpleType>
        <xsd:restriction base="dms:Text">
          <xsd:maxLength value="255"/>
        </xsd:restriction>
      </xsd:simpleType>
    </xsd:element>
    <xsd:element name="Year" ma:index="34" nillable="true" ma:displayName="Year" ma:default="" ma:description="" ma:internalName="Year">
      <xsd:simpleType>
        <xsd:restriction base="dms:Text">
          <xsd:maxLength value="255"/>
        </xsd:restriction>
      </xsd:simpleType>
    </xsd:element>
    <xsd:element name="Other_x0020_Details" ma:index="35" nillable="true" ma:displayName="Other Details" ma:default="" ma:description="" ma:internalName="Other_x0020_Details">
      <xsd:simpleType>
        <xsd:restriction base="dms:Text">
          <xsd:maxLength value="255"/>
        </xsd:restriction>
      </xsd:simpleType>
    </xsd:element>
    <xsd:element name="Other_x0020_Details_2" ma:index="36" nillable="true" ma:displayName="Other Details_2" ma:description="" ma:internalName="Other_x0020_Details_2">
      <xsd:simpleType>
        <xsd:restriction base="dms:Text">
          <xsd:maxLength value="255"/>
        </xsd:restriction>
      </xsd:simpleType>
    </xsd:element>
    <xsd:element name="Other_x0020_Details_3" ma:index="37" nillable="true" ma:displayName="Other Details_3" ma:description="" ma:internalName="Other_x0020_Details_3">
      <xsd:simpleType>
        <xsd:restriction base="dms:Text">
          <xsd:maxLength value="255"/>
        </xsd:restriction>
      </xsd:simpleType>
    </xsd:element>
    <xsd:element name="To" ma:index="38" nillable="true" ma:displayName="To" ma:default="" ma:description="" ma:internalName="To">
      <xsd:simpleType>
        <xsd:restriction base="dms:Note">
          <xsd:maxLength value="255"/>
        </xsd:restriction>
      </xsd:simpleType>
    </xsd:element>
    <xsd:element name="From" ma:index="39" nillable="true" ma:displayName="From" ma:default="" ma:description="" ma:internalName="From">
      <xsd:simpleType>
        <xsd:restriction base="dms:Text">
          <xsd:maxLength value="255"/>
        </xsd:restriction>
      </xsd:simpleType>
    </xsd:element>
    <xsd:element name="Sent_x002f_Received" ma:index="40" nillable="true" ma:displayName="Sent/Received" ma:default="" ma:description="" ma:internalName="Sent_x002f_Received">
      <xsd:simpleType>
        <xsd:restriction base="dms:Text">
          <xsd:maxLength value="255"/>
        </xsd:restriction>
      </xsd:simpleType>
    </xsd:element>
    <xsd:element name="MTS_x0020_Type" ma:index="41" nillable="true" ma:displayName="MTS Type" ma:default="" ma:description="" ma:internalName="MTS_x0020_Type">
      <xsd:simpleType>
        <xsd:restriction base="dms:Note">
          <xsd:maxLength value="255"/>
        </xsd:restriction>
      </xsd:simpleType>
    </xsd:element>
    <xsd:element name="MTS_x0020_ID" ma:index="42" nillable="true" ma:displayName="MTS ID" ma:default="" ma:description="" ma:internalName="MTS_x0020_ID">
      <xsd:simpleType>
        <xsd:restriction base="dms:Text">
          <xsd:maxLength value="255"/>
        </xsd:restriction>
      </xsd:simpleType>
    </xsd:element>
    <xsd:element name="Other_x0020_Details_4" ma:index="43" nillable="true" ma:displayName="Other Details_4" ma:description="" ma:internalName="Other_x0020_Details_4">
      <xsd:simpleType>
        <xsd:restriction base="dms:Text">
          <xsd:maxLength value="255"/>
        </xsd:restriction>
      </xsd:simpleType>
    </xsd:element>
    <xsd:element name="Contract_x0020_Number" ma:index="44" nillable="true" ma:displayName="Contract Number" ma:default="" ma:description="" ma:internalName="Contract_x0020_Number">
      <xsd:simpleType>
        <xsd:restriction base="dms:Text">
          <xsd:maxLength value="255"/>
        </xsd:restriction>
      </xsd:simpleType>
    </xsd:element>
    <xsd:element name="MediaServiceLocation" ma:index="49" nillable="true" ma:displayName="Location" ma:internalName="MediaServiceLocation" ma:readOnly="true">
      <xsd:simpleType>
        <xsd:restriction base="dms:Text"/>
      </xsd:simpleType>
    </xsd:element>
    <xsd:element name="MediaLengthInSeconds" ma:index="50" nillable="true" ma:displayName="MediaLengthInSeconds" ma:hidden="true"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39B89-F95D-44D4-8E7E-B54A5D049521}">
  <ds:schemaRefs>
    <ds:schemaRef ds:uri="http://schemas.microsoft.com/office/2006/metadata/properties"/>
    <ds:schemaRef ds:uri="http://schemas.microsoft.com/office/infopath/2007/PartnerControls"/>
    <ds:schemaRef ds:uri="4a94300e-a927-4b92-9d3a-682523035cb6"/>
    <ds:schemaRef ds:uri="http://schemas.microsoft.com/sharepoint/v3"/>
    <ds:schemaRef ds:uri="58a6f171-52cb-4404-b47d-af1c8daf8fd1"/>
  </ds:schemaRefs>
</ds:datastoreItem>
</file>

<file path=customXml/itemProps2.xml><?xml version="1.0" encoding="utf-8"?>
<ds:datastoreItem xmlns:ds="http://schemas.openxmlformats.org/officeDocument/2006/customXml" ds:itemID="{D5F5D58D-7284-4D85-BC1D-80AB57FA8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65A99-6A40-404C-B0D4-3B918646D03A}">
  <ds:schemaRefs>
    <ds:schemaRef ds:uri="http://schemas.microsoft.com/sharepoint/events"/>
  </ds:schemaRefs>
</ds:datastoreItem>
</file>

<file path=customXml/itemProps4.xml><?xml version="1.0" encoding="utf-8"?>
<ds:datastoreItem xmlns:ds="http://schemas.openxmlformats.org/officeDocument/2006/customXml" ds:itemID="{5CF561C9-E752-4FC8-9CA1-7B17B5354E72}">
  <ds:schemaRefs>
    <ds:schemaRef ds:uri="http://schemas.microsoft.com/sharepoint/v3/contenttype/forms"/>
  </ds:schemaRefs>
</ds:datastoreItem>
</file>

<file path=customXml/itemProps5.xml><?xml version="1.0" encoding="utf-8"?>
<ds:datastoreItem xmlns:ds="http://schemas.openxmlformats.org/officeDocument/2006/customXml" ds:itemID="{DC16D9DA-E3F9-47CF-9151-764A3C81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MfE report template</Template>
  <TotalTime>131</TotalTime>
  <Pages>88</Pages>
  <Words>34607</Words>
  <Characters>205570</Characters>
  <Application>Microsoft Office Word</Application>
  <DocSecurity>0</DocSecurity>
  <Lines>4894</Lines>
  <Paragraphs>2639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237538</CharactersWithSpaces>
  <SharedDoc>false</SharedDoc>
  <HLinks>
    <vt:vector size="1422" baseType="variant">
      <vt:variant>
        <vt:i4>8126571</vt:i4>
      </vt:variant>
      <vt:variant>
        <vt:i4>951</vt:i4>
      </vt:variant>
      <vt:variant>
        <vt:i4>0</vt:i4>
      </vt:variant>
      <vt:variant>
        <vt:i4>5</vt:i4>
      </vt:variant>
      <vt:variant>
        <vt:lpwstr>http://ers.pops.int//ERS-Extended/FeedbackServer/fsadmin.aspx?fscontrol=respondentReport&amp;surveyid=81&amp;voterid=51395&amp;readonly=1&amp;nomenu=1</vt:lpwstr>
      </vt:variant>
      <vt:variant>
        <vt:lpwstr/>
      </vt:variant>
      <vt:variant>
        <vt:i4>65566</vt:i4>
      </vt:variant>
      <vt:variant>
        <vt:i4>948</vt:i4>
      </vt:variant>
      <vt:variant>
        <vt:i4>0</vt:i4>
      </vt:variant>
      <vt:variant>
        <vt:i4>5</vt:i4>
      </vt:variant>
      <vt:variant>
        <vt:lpwstr>http://chm.pops.int/Portals/0/download.aspx?d=UNEP-POPS-POPRC.13-7-Add-1.English.pdf</vt:lpwstr>
      </vt:variant>
      <vt:variant>
        <vt:lpwstr/>
      </vt:variant>
      <vt:variant>
        <vt:i4>5570586</vt:i4>
      </vt:variant>
      <vt:variant>
        <vt:i4>945</vt:i4>
      </vt:variant>
      <vt:variant>
        <vt:i4>0</vt:i4>
      </vt:variant>
      <vt:variant>
        <vt:i4>5</vt:i4>
      </vt:variant>
      <vt:variant>
        <vt:lpwstr>http://chm.pops.int/Portals/0/download.aspx?d=UNEP-POPS-POPRC.12-11-Add.2.English.PDF</vt:lpwstr>
      </vt:variant>
      <vt:variant>
        <vt:lpwstr/>
      </vt:variant>
      <vt:variant>
        <vt:i4>1310726</vt:i4>
      </vt:variant>
      <vt:variant>
        <vt:i4>942</vt:i4>
      </vt:variant>
      <vt:variant>
        <vt:i4>0</vt:i4>
      </vt:variant>
      <vt:variant>
        <vt:i4>5</vt:i4>
      </vt:variant>
      <vt:variant>
        <vt:lpwstr>https://environment.govt.nz/publications/waste-funds-annual-report-2021/</vt:lpwstr>
      </vt:variant>
      <vt:variant>
        <vt:lpwstr/>
      </vt:variant>
      <vt:variant>
        <vt:i4>4325382</vt:i4>
      </vt:variant>
      <vt:variant>
        <vt:i4>939</vt:i4>
      </vt:variant>
      <vt:variant>
        <vt:i4>0</vt:i4>
      </vt:variant>
      <vt:variant>
        <vt:i4>5</vt:i4>
      </vt:variant>
      <vt:variant>
        <vt:lpwstr>https://environment.govt.nz/publications/waste-minimisation-fund-2020-annual-report/</vt:lpwstr>
      </vt:variant>
      <vt:variant>
        <vt:lpwstr/>
      </vt:variant>
      <vt:variant>
        <vt:i4>7143549</vt:i4>
      </vt:variant>
      <vt:variant>
        <vt:i4>936</vt:i4>
      </vt:variant>
      <vt:variant>
        <vt:i4>0</vt:i4>
      </vt:variant>
      <vt:variant>
        <vt:i4>5</vt:i4>
      </vt:variant>
      <vt:variant>
        <vt:lpwstr>https://environment.govt.nz/what-government-is-doing/cabinet-papers-and-regulatory-impact-statements/reforming-resource-management-system/</vt:lpwstr>
      </vt:variant>
      <vt:variant>
        <vt:lpwstr/>
      </vt:variant>
      <vt:variant>
        <vt:i4>1441868</vt:i4>
      </vt:variant>
      <vt:variant>
        <vt:i4>933</vt:i4>
      </vt:variant>
      <vt:variant>
        <vt:i4>0</vt:i4>
      </vt:variant>
      <vt:variant>
        <vt:i4>5</vt:i4>
      </vt:variant>
      <vt:variant>
        <vt:lpwstr>https://environment.govt.nz/what-government-is-doing/areas-of-work/land/per-and-poly-fluoroalkyl-substances-pfas/</vt:lpwstr>
      </vt:variant>
      <vt:variant>
        <vt:lpwstr/>
      </vt:variant>
      <vt:variant>
        <vt:i4>1376271</vt:i4>
      </vt:variant>
      <vt:variant>
        <vt:i4>930</vt:i4>
      </vt:variant>
      <vt:variant>
        <vt:i4>0</vt:i4>
      </vt:variant>
      <vt:variant>
        <vt:i4>5</vt:i4>
      </vt:variant>
      <vt:variant>
        <vt:lpwstr>https://environment.govt.nz/publications/managing-waste-that-may-contain-brominated-flame-retardants/</vt:lpwstr>
      </vt:variant>
      <vt:variant>
        <vt:lpwstr/>
      </vt:variant>
      <vt:variant>
        <vt:i4>2949157</vt:i4>
      </vt:variant>
      <vt:variant>
        <vt:i4>927</vt:i4>
      </vt:variant>
      <vt:variant>
        <vt:i4>0</vt:i4>
      </vt:variant>
      <vt:variant>
        <vt:i4>5</vt:i4>
      </vt:variant>
      <vt:variant>
        <vt:lpwstr>https://environment.govt.nz/publications/brominated-flame-retardant-research-cost-benefit-analysis-of-sorting-options-for-e-waste-plastics/</vt:lpwstr>
      </vt:variant>
      <vt:variant>
        <vt:lpwstr/>
      </vt:variant>
      <vt:variant>
        <vt:i4>3538984</vt:i4>
      </vt:variant>
      <vt:variant>
        <vt:i4>924</vt:i4>
      </vt:variant>
      <vt:variant>
        <vt:i4>0</vt:i4>
      </vt:variant>
      <vt:variant>
        <vt:i4>5</vt:i4>
      </vt:variant>
      <vt:variant>
        <vt:lpwstr>https://www.mpi.govt.nz/dmsdocument/52039-Animal-Products-Notice-Monitoring-Regimes</vt:lpwstr>
      </vt:variant>
      <vt:variant>
        <vt:lpwstr/>
      </vt:variant>
      <vt:variant>
        <vt:i4>1245211</vt:i4>
      </vt:variant>
      <vt:variant>
        <vt:i4>921</vt:i4>
      </vt:variant>
      <vt:variant>
        <vt:i4>0</vt:i4>
      </vt:variant>
      <vt:variant>
        <vt:i4>5</vt:i4>
      </vt:variant>
      <vt:variant>
        <vt:lpwstr>https://www.mpi.govt.nz/dmsdocument/44923-National-Chemical-Contaminants-Programme-Dairy-products-and-raw-milk-Dioxin-dioxin-like-PCB-and-indicator-PCB-results-201415-201516-201617-201718-201819-and-201920</vt:lpwstr>
      </vt:variant>
      <vt:variant>
        <vt:lpwstr/>
      </vt:variant>
      <vt:variant>
        <vt:i4>2556006</vt:i4>
      </vt:variant>
      <vt:variant>
        <vt:i4>918</vt:i4>
      </vt:variant>
      <vt:variant>
        <vt:i4>0</vt:i4>
      </vt:variant>
      <vt:variant>
        <vt:i4>5</vt:i4>
      </vt:variant>
      <vt:variant>
        <vt:lpwstr>https://environment.govt.nz/assets/Publications/Files/pfas-investigation-response-funding-guide.pdf (22</vt:lpwstr>
      </vt:variant>
      <vt:variant>
        <vt:lpwstr/>
      </vt:variant>
      <vt:variant>
        <vt:i4>852036</vt:i4>
      </vt:variant>
      <vt:variant>
        <vt:i4>915</vt:i4>
      </vt:variant>
      <vt:variant>
        <vt:i4>0</vt:i4>
      </vt:variant>
      <vt:variant>
        <vt:i4>5</vt:i4>
      </vt:variant>
      <vt:variant>
        <vt:lpwstr>https://environment.govt.nz/publications/investigation-of-brominated-flame-retardants-present-in-articles-being-used-recycled-and-disposed-of-in-new-zealand/</vt:lpwstr>
      </vt:variant>
      <vt:variant>
        <vt:lpwstr/>
      </vt:variant>
      <vt:variant>
        <vt:i4>6160422</vt:i4>
      </vt:variant>
      <vt:variant>
        <vt:i4>912</vt:i4>
      </vt:variant>
      <vt:variant>
        <vt:i4>0</vt:i4>
      </vt:variant>
      <vt:variant>
        <vt:i4>5</vt:i4>
      </vt:variant>
      <vt:variant>
        <vt:lpwstr>https://www.itu.int/en/ITU-D/Environment/Documents/Toolbox/GEM_2020_EN_O21.pdf</vt:lpwstr>
      </vt:variant>
      <vt:variant>
        <vt:lpwstr/>
      </vt:variant>
      <vt:variant>
        <vt:i4>2555943</vt:i4>
      </vt:variant>
      <vt:variant>
        <vt:i4>909</vt:i4>
      </vt:variant>
      <vt:variant>
        <vt:i4>0</vt:i4>
      </vt:variant>
      <vt:variant>
        <vt:i4>5</vt:i4>
      </vt:variant>
      <vt:variant>
        <vt:lpwstr>https://environment.govt.nz/publications/pilot-study-of-brominated-flame-retardants-in-waste-electrical-and-electronic-equipment-weee/</vt:lpwstr>
      </vt:variant>
      <vt:variant>
        <vt:lpwstr/>
      </vt:variant>
      <vt:variant>
        <vt:i4>3604566</vt:i4>
      </vt:variant>
      <vt:variant>
        <vt:i4>906</vt:i4>
      </vt:variant>
      <vt:variant>
        <vt:i4>0</vt:i4>
      </vt:variant>
      <vt:variant>
        <vt:i4>5</vt:i4>
      </vt:variant>
      <vt:variant>
        <vt:lpwstr>https://www.epa.govt.nz/assets/Uploads/Documents/Hazardous-Substances/GHS2/Consolidated_Hazardous_Substances_Disposal_Notice_2017.pdf</vt:lpwstr>
      </vt:variant>
      <vt:variant>
        <vt:lpwstr/>
      </vt:variant>
      <vt:variant>
        <vt:i4>917523</vt:i4>
      </vt:variant>
      <vt:variant>
        <vt:i4>903</vt:i4>
      </vt:variant>
      <vt:variant>
        <vt:i4>0</vt:i4>
      </vt:variant>
      <vt:variant>
        <vt:i4>5</vt:i4>
      </vt:variant>
      <vt:variant>
        <vt:lpwstr>http://www.epa.govt.nz/assets/Uploads/Documents/Hazardous-Substances/Policies/Hazardous-Substances-Storage-and-Disposal-of-Persistent-Organic-Pollutants-Notice-2004.pdf</vt:lpwstr>
      </vt:variant>
      <vt:variant>
        <vt:lpwstr/>
      </vt:variant>
      <vt:variant>
        <vt:i4>983134</vt:i4>
      </vt:variant>
      <vt:variant>
        <vt:i4>900</vt:i4>
      </vt:variant>
      <vt:variant>
        <vt:i4>0</vt:i4>
      </vt:variant>
      <vt:variant>
        <vt:i4>5</vt:i4>
      </vt:variant>
      <vt:variant>
        <vt:lpwstr>https://environment.govt.nz/publications/brominated-flame-retardant-research-a-pilot-study-of-e-waste-plastic-sorting-in-new-zealand/</vt:lpwstr>
      </vt:variant>
      <vt:variant>
        <vt:lpwstr/>
      </vt:variant>
      <vt:variant>
        <vt:i4>5963843</vt:i4>
      </vt:variant>
      <vt:variant>
        <vt:i4>897</vt:i4>
      </vt:variant>
      <vt:variant>
        <vt:i4>0</vt:i4>
      </vt:variant>
      <vt:variant>
        <vt:i4>5</vt:i4>
      </vt:variant>
      <vt:variant>
        <vt:lpwstr>http://www.basel.int/Portals/4/Basel Convention/docs/pub/techguid/tg-POPs.pdf</vt:lpwstr>
      </vt:variant>
      <vt:variant>
        <vt:lpwstr/>
      </vt:variant>
      <vt:variant>
        <vt:i4>6553647</vt:i4>
      </vt:variant>
      <vt:variant>
        <vt:i4>894</vt:i4>
      </vt:variant>
      <vt:variant>
        <vt:i4>0</vt:i4>
      </vt:variant>
      <vt:variant>
        <vt:i4>5</vt:i4>
      </vt:variant>
      <vt:variant>
        <vt:lpwstr>http://chm.pops.int/Countries/Reporting/NationalReports/FifthRoundPartyReports/tabid/9026/Default.aspx</vt:lpwstr>
      </vt:variant>
      <vt:variant>
        <vt:lpwstr/>
      </vt:variant>
      <vt:variant>
        <vt:i4>4587609</vt:i4>
      </vt:variant>
      <vt:variant>
        <vt:i4>891</vt:i4>
      </vt:variant>
      <vt:variant>
        <vt:i4>0</vt:i4>
      </vt:variant>
      <vt:variant>
        <vt:i4>5</vt:i4>
      </vt:variant>
      <vt:variant>
        <vt:lpwstr>http://chm.pops.int/Countries/NationalReports/FourthRoundPartyReports/tabid/6346/Default.aspx</vt:lpwstr>
      </vt:variant>
      <vt:variant>
        <vt:lpwstr/>
      </vt:variant>
      <vt:variant>
        <vt:i4>5505090</vt:i4>
      </vt:variant>
      <vt:variant>
        <vt:i4>888</vt:i4>
      </vt:variant>
      <vt:variant>
        <vt:i4>0</vt:i4>
      </vt:variant>
      <vt:variant>
        <vt:i4>5</vt:i4>
      </vt:variant>
      <vt:variant>
        <vt:lpwstr>http://chm.pops.int/Countries/NationalReports/ThirdRoundPartyReports/tabid/4470/Default.aspx</vt:lpwstr>
      </vt:variant>
      <vt:variant>
        <vt:lpwstr/>
      </vt:variant>
      <vt:variant>
        <vt:i4>3211300</vt:i4>
      </vt:variant>
      <vt:variant>
        <vt:i4>885</vt:i4>
      </vt:variant>
      <vt:variant>
        <vt:i4>0</vt:i4>
      </vt:variant>
      <vt:variant>
        <vt:i4>5</vt:i4>
      </vt:variant>
      <vt:variant>
        <vt:lpwstr>http://chm.pops.int/Countries/NationalReports/SecondRoundofPartyReports/tabid/1315/Default.aspx</vt:lpwstr>
      </vt:variant>
      <vt:variant>
        <vt:lpwstr/>
      </vt:variant>
      <vt:variant>
        <vt:i4>4653069</vt:i4>
      </vt:variant>
      <vt:variant>
        <vt:i4>882</vt:i4>
      </vt:variant>
      <vt:variant>
        <vt:i4>0</vt:i4>
      </vt:variant>
      <vt:variant>
        <vt:i4>5</vt:i4>
      </vt:variant>
      <vt:variant>
        <vt:lpwstr>http://chm.pops.int/Countries/NationalReports/FirstRoundofPartyReports/tabid/254/Default.aspx</vt:lpwstr>
      </vt:variant>
      <vt:variant>
        <vt:lpwstr/>
      </vt:variant>
      <vt:variant>
        <vt:i4>6684726</vt:i4>
      </vt:variant>
      <vt:variant>
        <vt:i4>879</vt:i4>
      </vt:variant>
      <vt:variant>
        <vt:i4>0</vt:i4>
      </vt:variant>
      <vt:variant>
        <vt:i4>5</vt:i4>
      </vt:variant>
      <vt:variant>
        <vt:lpwstr>https://environment.govt.nz/what-government-is-doing/areas-of-work/land/per-and-poly-fluoroalkyl-substances-pfas/documents-released-proactively-under-oia/</vt:lpwstr>
      </vt:variant>
      <vt:variant>
        <vt:lpwstr/>
      </vt:variant>
      <vt:variant>
        <vt:i4>5832786</vt:i4>
      </vt:variant>
      <vt:variant>
        <vt:i4>876</vt:i4>
      </vt:variant>
      <vt:variant>
        <vt:i4>0</vt:i4>
      </vt:variant>
      <vt:variant>
        <vt:i4>5</vt:i4>
      </vt:variant>
      <vt:variant>
        <vt:lpwstr>https://environment.govt.nz/what-government-is-doing/areas-of-work/land/per-and-poly-fluoroalkyl-substances-pfas/latest-updates-on-pfas/</vt:lpwstr>
      </vt:variant>
      <vt:variant>
        <vt:lpwstr/>
      </vt:variant>
      <vt:variant>
        <vt:i4>5832786</vt:i4>
      </vt:variant>
      <vt:variant>
        <vt:i4>873</vt:i4>
      </vt:variant>
      <vt:variant>
        <vt:i4>0</vt:i4>
      </vt:variant>
      <vt:variant>
        <vt:i4>5</vt:i4>
      </vt:variant>
      <vt:variant>
        <vt:lpwstr>https://environment.govt.nz/what-government-is-doing/areas-of-work/land/per-and-poly-fluoroalkyl-substances-pfas/latest-updates-on-pfas/</vt:lpwstr>
      </vt:variant>
      <vt:variant>
        <vt:lpwstr/>
      </vt:variant>
      <vt:variant>
        <vt:i4>3276850</vt:i4>
      </vt:variant>
      <vt:variant>
        <vt:i4>870</vt:i4>
      </vt:variant>
      <vt:variant>
        <vt:i4>0</vt:i4>
      </vt:variant>
      <vt:variant>
        <vt:i4>5</vt:i4>
      </vt:variant>
      <vt:variant>
        <vt:lpwstr>http://www.epa.govt.nz/public-consultations/decided/feedback-sought-on-new-stockholm-and-rotterdam-convention-chemicals</vt:lpwstr>
      </vt:variant>
      <vt:variant>
        <vt:lpwstr/>
      </vt:variant>
      <vt:variant>
        <vt:i4>1507404</vt:i4>
      </vt:variant>
      <vt:variant>
        <vt:i4>867</vt:i4>
      </vt:variant>
      <vt:variant>
        <vt:i4>0</vt:i4>
      </vt:variant>
      <vt:variant>
        <vt:i4>5</vt:i4>
      </vt:variant>
      <vt:variant>
        <vt:lpwstr>http://www.epa.govt.nz/industry-areas/hazardous-substances/rules-for-hazardous-substances/polychlorinated-biphenyls-pcbs/</vt:lpwstr>
      </vt:variant>
      <vt:variant>
        <vt:lpwstr/>
      </vt:variant>
      <vt:variant>
        <vt:i4>6160449</vt:i4>
      </vt:variant>
      <vt:variant>
        <vt:i4>864</vt:i4>
      </vt:variant>
      <vt:variant>
        <vt:i4>0</vt:i4>
      </vt:variant>
      <vt:variant>
        <vt:i4>5</vt:i4>
      </vt:variant>
      <vt:variant>
        <vt:lpwstr>http://www.epa.govt.nz/news-and-alerts/alerts/managing-fire-fighting-foams-manufactured-with-pfas-chemicals/?accordion-anchor=691</vt:lpwstr>
      </vt:variant>
      <vt:variant>
        <vt:lpwstr/>
      </vt:variant>
      <vt:variant>
        <vt:i4>5832783</vt:i4>
      </vt:variant>
      <vt:variant>
        <vt:i4>861</vt:i4>
      </vt:variant>
      <vt:variant>
        <vt:i4>0</vt:i4>
      </vt:variant>
      <vt:variant>
        <vt:i4>5</vt:i4>
      </vt:variant>
      <vt:variant>
        <vt:lpwstr>https://environment.govt.nz/what-government-is-doing/international-action/stockholm-convention-persistent-organic-pollutants/</vt:lpwstr>
      </vt:variant>
      <vt:variant>
        <vt:lpwstr/>
      </vt:variant>
      <vt:variant>
        <vt:i4>6553636</vt:i4>
      </vt:variant>
      <vt:variant>
        <vt:i4>858</vt:i4>
      </vt:variant>
      <vt:variant>
        <vt:i4>0</vt:i4>
      </vt:variant>
      <vt:variant>
        <vt:i4>5</vt:i4>
      </vt:variant>
      <vt:variant>
        <vt:lpwstr>https://www.health.govt.nz/our-work/environmental-health/dioxins/dioxins-health-support-services/special-support-service-former-sawmill-workers-exposed-pcp</vt:lpwstr>
      </vt:variant>
      <vt:variant>
        <vt:lpwstr/>
      </vt:variant>
      <vt:variant>
        <vt:i4>6357093</vt:i4>
      </vt:variant>
      <vt:variant>
        <vt:i4>855</vt:i4>
      </vt:variant>
      <vt:variant>
        <vt:i4>0</vt:i4>
      </vt:variant>
      <vt:variant>
        <vt:i4>5</vt:i4>
      </vt:variant>
      <vt:variant>
        <vt:lpwstr>https://www.health.govt.nz/our-work/environmental-health/dioxins/dioxins-health-support-services/support-service-dioxin-exposed-people</vt:lpwstr>
      </vt:variant>
      <vt:variant>
        <vt:lpwstr/>
      </vt:variant>
      <vt:variant>
        <vt:i4>7667754</vt:i4>
      </vt:variant>
      <vt:variant>
        <vt:i4>852</vt:i4>
      </vt:variant>
      <vt:variant>
        <vt:i4>0</vt:i4>
      </vt:variant>
      <vt:variant>
        <vt:i4>5</vt:i4>
      </vt:variant>
      <vt:variant>
        <vt:lpwstr>http://www.allenandclarke.co.nz/project/the-design-and-implementation-of-health-support-services-for-chemically-exposed-populations</vt:lpwstr>
      </vt:variant>
      <vt:variant>
        <vt:lpwstr/>
      </vt:variant>
      <vt:variant>
        <vt:i4>4063293</vt:i4>
      </vt:variant>
      <vt:variant>
        <vt:i4>849</vt:i4>
      </vt:variant>
      <vt:variant>
        <vt:i4>0</vt:i4>
      </vt:variant>
      <vt:variant>
        <vt:i4>5</vt:i4>
      </vt:variant>
      <vt:variant>
        <vt:lpwstr>https://environment.govt.nz/publications/our-air-2018/</vt:lpwstr>
      </vt:variant>
      <vt:variant>
        <vt:lpwstr/>
      </vt:variant>
      <vt:variant>
        <vt:i4>6094891</vt:i4>
      </vt:variant>
      <vt:variant>
        <vt:i4>846</vt:i4>
      </vt:variant>
      <vt:variant>
        <vt:i4>0</vt:i4>
      </vt:variant>
      <vt:variant>
        <vt:i4>5</vt:i4>
      </vt:variant>
      <vt:variant>
        <vt:lpwstr>https://www.marlborough.govt.nz/repository/libraries/id:1w1mps0ir17q9sgxanf9/hierarchy/Documents/Environment/Groundwater/Groundwater Reports 2015 List/National_Survey_of_Pesticides_in_Groundwater_Report_final.pdf</vt:lpwstr>
      </vt:variant>
      <vt:variant>
        <vt:lpwstr/>
      </vt:variant>
      <vt:variant>
        <vt:i4>4194339</vt:i4>
      </vt:variant>
      <vt:variant>
        <vt:i4>843</vt:i4>
      </vt:variant>
      <vt:variant>
        <vt:i4>0</vt:i4>
      </vt:variant>
      <vt:variant>
        <vt:i4>5</vt:i4>
      </vt:variant>
      <vt:variant>
        <vt:lpwstr>http://www.marlborough.govt.nz/repository/libraries/id:1w1mps0ir17q9sgxanf9/hierarchy/Documents/Environment/Groundwater/Groundwater Reports 2015 List/National_Survey_of_Pesticides_in_Groundwater_Report_final.pdf</vt:lpwstr>
      </vt:variant>
      <vt:variant>
        <vt:lpwstr/>
      </vt:variant>
      <vt:variant>
        <vt:i4>6619254</vt:i4>
      </vt:variant>
      <vt:variant>
        <vt:i4>840</vt:i4>
      </vt:variant>
      <vt:variant>
        <vt:i4>0</vt:i4>
      </vt:variant>
      <vt:variant>
        <vt:i4>5</vt:i4>
      </vt:variant>
      <vt:variant>
        <vt:lpwstr>https://www.mpi.govt.nz/food-business/dairy-products-processing-manufacture-testing-requirements/monitoring-testing-dairy-products/documents-for-nccp/</vt:lpwstr>
      </vt:variant>
      <vt:variant>
        <vt:lpwstr/>
      </vt:variant>
      <vt:variant>
        <vt:i4>1245211</vt:i4>
      </vt:variant>
      <vt:variant>
        <vt:i4>837</vt:i4>
      </vt:variant>
      <vt:variant>
        <vt:i4>0</vt:i4>
      </vt:variant>
      <vt:variant>
        <vt:i4>5</vt:i4>
      </vt:variant>
      <vt:variant>
        <vt:lpwstr>https://www.mpi.govt.nz/dmsdocument/44923-National-Chemical-Contaminants-Programme-Dairy-products-and-raw-milk-Dioxin-dioxin-like-PCB-and-indicator-PCB-results-201415-201516-201617-201718-201819-and-201920</vt:lpwstr>
      </vt:variant>
      <vt:variant>
        <vt:lpwstr/>
      </vt:variant>
      <vt:variant>
        <vt:i4>1376346</vt:i4>
      </vt:variant>
      <vt:variant>
        <vt:i4>834</vt:i4>
      </vt:variant>
      <vt:variant>
        <vt:i4>0</vt:i4>
      </vt:variant>
      <vt:variant>
        <vt:i4>5</vt:i4>
      </vt:variant>
      <vt:variant>
        <vt:lpwstr>https://www.mpi.govt.nz/dmsdocument/4391/send</vt:lpwstr>
      </vt:variant>
      <vt:variant>
        <vt:lpwstr/>
      </vt:variant>
      <vt:variant>
        <vt:i4>852059</vt:i4>
      </vt:variant>
      <vt:variant>
        <vt:i4>831</vt:i4>
      </vt:variant>
      <vt:variant>
        <vt:i4>0</vt:i4>
      </vt:variant>
      <vt:variant>
        <vt:i4>5</vt:i4>
      </vt:variant>
      <vt:variant>
        <vt:lpwstr>https://www.mpi.govt.nz/dmsdocument/31077-per-and-poly-fluorinated-alkyl-substances-pfas-in-selected-new-zealand-foods-survey-report</vt:lpwstr>
      </vt:variant>
      <vt:variant>
        <vt:lpwstr/>
      </vt:variant>
      <vt:variant>
        <vt:i4>7471224</vt:i4>
      </vt:variant>
      <vt:variant>
        <vt:i4>828</vt:i4>
      </vt:variant>
      <vt:variant>
        <vt:i4>0</vt:i4>
      </vt:variant>
      <vt:variant>
        <vt:i4>5</vt:i4>
      </vt:variant>
      <vt:variant>
        <vt:lpwstr>https://www.mpi.govt.nz/food-safety/food-monitoring-and-surveillance/new-zealand-total-diet-study/</vt:lpwstr>
      </vt:variant>
      <vt:variant>
        <vt:lpwstr/>
      </vt:variant>
      <vt:variant>
        <vt:i4>1245253</vt:i4>
      </vt:variant>
      <vt:variant>
        <vt:i4>825</vt:i4>
      </vt:variant>
      <vt:variant>
        <vt:i4>0</vt:i4>
      </vt:variant>
      <vt:variant>
        <vt:i4>5</vt:i4>
      </vt:variant>
      <vt:variant>
        <vt:lpwstr>http://www.mpi.govt.nz/food-safety/food-monitoring-and-surveillance/new-zealand-total-diet-study</vt:lpwstr>
      </vt:variant>
      <vt:variant>
        <vt:lpwstr/>
      </vt:variant>
      <vt:variant>
        <vt:i4>5242971</vt:i4>
      </vt:variant>
      <vt:variant>
        <vt:i4>822</vt:i4>
      </vt:variant>
      <vt:variant>
        <vt:i4>0</vt:i4>
      </vt:variant>
      <vt:variant>
        <vt:i4>5</vt:i4>
      </vt:variant>
      <vt:variant>
        <vt:lpwstr>http://publichealth.massey.ac.nz/home/research/research-projects/the-investigation-of-breast-milk-for-persistent-organic-pollutants/</vt:lpwstr>
      </vt:variant>
      <vt:variant>
        <vt:lpwstr/>
      </vt:variant>
      <vt:variant>
        <vt:i4>4718674</vt:i4>
      </vt:variant>
      <vt:variant>
        <vt:i4>819</vt:i4>
      </vt:variant>
      <vt:variant>
        <vt:i4>0</vt:i4>
      </vt:variant>
      <vt:variant>
        <vt:i4>5</vt:i4>
      </vt:variant>
      <vt:variant>
        <vt:lpwstr>http://publichealth.massey.ac.nz/assets/ProjectsPDF/Concentrations-of-Selected-POPs-4-October-2013-FINAL.pdf</vt:lpwstr>
      </vt:variant>
      <vt:variant>
        <vt:lpwstr/>
      </vt:variant>
      <vt:variant>
        <vt:i4>3342454</vt:i4>
      </vt:variant>
      <vt:variant>
        <vt:i4>816</vt:i4>
      </vt:variant>
      <vt:variant>
        <vt:i4>0</vt:i4>
      </vt:variant>
      <vt:variant>
        <vt:i4>5</vt:i4>
      </vt:variant>
      <vt:variant>
        <vt:lpwstr>https://environment.govt.nz/publications/new-zealands-national-implementation-plan-under-the-stockholm-convention-on-persistent-organic-pollutants/</vt:lpwstr>
      </vt:variant>
      <vt:variant>
        <vt:lpwstr/>
      </vt:variant>
      <vt:variant>
        <vt:i4>4653138</vt:i4>
      </vt:variant>
      <vt:variant>
        <vt:i4>813</vt:i4>
      </vt:variant>
      <vt:variant>
        <vt:i4>0</vt:i4>
      </vt:variant>
      <vt:variant>
        <vt:i4>5</vt:i4>
      </vt:variant>
      <vt:variant>
        <vt:lpwstr>https://environment.govt.nz/publications/users-guide-national-environmental-standard-for-assessing-and-managing-contaminants-in-soil-to-protect-human-health/</vt:lpwstr>
      </vt:variant>
      <vt:variant>
        <vt:lpwstr/>
      </vt:variant>
      <vt:variant>
        <vt:i4>2883708</vt:i4>
      </vt:variant>
      <vt:variant>
        <vt:i4>810</vt:i4>
      </vt:variant>
      <vt:variant>
        <vt:i4>0</vt:i4>
      </vt:variant>
      <vt:variant>
        <vt:i4>5</vt:i4>
      </vt:variant>
      <vt:variant>
        <vt:lpwstr>https://www.boprc.govt.nz/our-projects/kopeopeo-canal-remediation-monitoring-phase</vt:lpwstr>
      </vt:variant>
      <vt:variant>
        <vt:lpwstr/>
      </vt:variant>
      <vt:variant>
        <vt:i4>3342394</vt:i4>
      </vt:variant>
      <vt:variant>
        <vt:i4>807</vt:i4>
      </vt:variant>
      <vt:variant>
        <vt:i4>0</vt:i4>
      </vt:variant>
      <vt:variant>
        <vt:i4>5</vt:i4>
      </vt:variant>
      <vt:variant>
        <vt:lpwstr>http://www.legislation.govt.nz/regulation/public/2017/0131/25.0/DLM7309401.html</vt:lpwstr>
      </vt:variant>
      <vt:variant>
        <vt:lpwstr/>
      </vt:variant>
      <vt:variant>
        <vt:i4>3342394</vt:i4>
      </vt:variant>
      <vt:variant>
        <vt:i4>804</vt:i4>
      </vt:variant>
      <vt:variant>
        <vt:i4>0</vt:i4>
      </vt:variant>
      <vt:variant>
        <vt:i4>5</vt:i4>
      </vt:variant>
      <vt:variant>
        <vt:lpwstr>http://www.legislation.govt.nz/regulation/public/2017/0131/25.0/DLM7309401.html</vt:lpwstr>
      </vt:variant>
      <vt:variant>
        <vt:lpwstr/>
      </vt:variant>
      <vt:variant>
        <vt:i4>3473523</vt:i4>
      </vt:variant>
      <vt:variant>
        <vt:i4>801</vt:i4>
      </vt:variant>
      <vt:variant>
        <vt:i4>0</vt:i4>
      </vt:variant>
      <vt:variant>
        <vt:i4>5</vt:i4>
      </vt:variant>
      <vt:variant>
        <vt:lpwstr>https://environment.govt.nz/what-government-is-doing/cabinet-papers-and-regulatory-impact-statements/pfas-contamination-update-on-response-and-planned-next-steps/</vt:lpwstr>
      </vt:variant>
      <vt:variant>
        <vt:lpwstr/>
      </vt:variant>
      <vt:variant>
        <vt:i4>1441868</vt:i4>
      </vt:variant>
      <vt:variant>
        <vt:i4>798</vt:i4>
      </vt:variant>
      <vt:variant>
        <vt:i4>0</vt:i4>
      </vt:variant>
      <vt:variant>
        <vt:i4>5</vt:i4>
      </vt:variant>
      <vt:variant>
        <vt:lpwstr>https://environment.govt.nz/what-government-is-doing/areas-of-work/land/per-and-poly-fluoroalkyl-substances-pfas/</vt:lpwstr>
      </vt:variant>
      <vt:variant>
        <vt:lpwstr/>
      </vt:variant>
      <vt:variant>
        <vt:i4>2687086</vt:i4>
      </vt:variant>
      <vt:variant>
        <vt:i4>795</vt:i4>
      </vt:variant>
      <vt:variant>
        <vt:i4>0</vt:i4>
      </vt:variant>
      <vt:variant>
        <vt:i4>5</vt:i4>
      </vt:variant>
      <vt:variant>
        <vt:lpwstr>https://environment.govt.nz/publications/contaminated-land-management-guidelines-no-5-site-investigation-and-analysis-of-soils/</vt:lpwstr>
      </vt:variant>
      <vt:variant>
        <vt:lpwstr/>
      </vt:variant>
      <vt:variant>
        <vt:i4>7995432</vt:i4>
      </vt:variant>
      <vt:variant>
        <vt:i4>792</vt:i4>
      </vt:variant>
      <vt:variant>
        <vt:i4>0</vt:i4>
      </vt:variant>
      <vt:variant>
        <vt:i4>5</vt:i4>
      </vt:variant>
      <vt:variant>
        <vt:lpwstr>https://environment.govt.nz/publications/contaminated-land-management-guidelines-no-4-classification-and-information-management-protocols/</vt:lpwstr>
      </vt:variant>
      <vt:variant>
        <vt:lpwstr/>
      </vt:variant>
      <vt:variant>
        <vt:i4>5439499</vt:i4>
      </vt:variant>
      <vt:variant>
        <vt:i4>789</vt:i4>
      </vt:variant>
      <vt:variant>
        <vt:i4>0</vt:i4>
      </vt:variant>
      <vt:variant>
        <vt:i4>5</vt:i4>
      </vt:variant>
      <vt:variant>
        <vt:lpwstr>https://environment.govt.nz/publications/contaminated-land-management-guidelines-no-3-risk-screening-system/</vt:lpwstr>
      </vt:variant>
      <vt:variant>
        <vt:lpwstr/>
      </vt:variant>
      <vt:variant>
        <vt:i4>3997730</vt:i4>
      </vt:variant>
      <vt:variant>
        <vt:i4>786</vt:i4>
      </vt:variant>
      <vt:variant>
        <vt:i4>0</vt:i4>
      </vt:variant>
      <vt:variant>
        <vt:i4>5</vt:i4>
      </vt:variant>
      <vt:variant>
        <vt:lpwstr>https://environment.govt.nz/publications/contaminated-land-management-guidelines-no-2-hierarchy-and-application-in-new-zealand-of-environmental-guideline-values-revised-2011/</vt:lpwstr>
      </vt:variant>
      <vt:variant>
        <vt:lpwstr/>
      </vt:variant>
      <vt:variant>
        <vt:i4>3997730</vt:i4>
      </vt:variant>
      <vt:variant>
        <vt:i4>783</vt:i4>
      </vt:variant>
      <vt:variant>
        <vt:i4>0</vt:i4>
      </vt:variant>
      <vt:variant>
        <vt:i4>5</vt:i4>
      </vt:variant>
      <vt:variant>
        <vt:lpwstr>https://environment.govt.nz/publications/contaminated-land-management-guidelines-no-2-hierarchy-and-application-in-new-zealand-of-environmental-guideline-values-revised-2011/</vt:lpwstr>
      </vt:variant>
      <vt:variant>
        <vt:lpwstr/>
      </vt:variant>
      <vt:variant>
        <vt:i4>4587589</vt:i4>
      </vt:variant>
      <vt:variant>
        <vt:i4>780</vt:i4>
      </vt:variant>
      <vt:variant>
        <vt:i4>0</vt:i4>
      </vt:variant>
      <vt:variant>
        <vt:i4>5</vt:i4>
      </vt:variant>
      <vt:variant>
        <vt:lpwstr>https://environment.govt.nz/publications/contaminated-land-management-guidelines-no-1-reporting-on-contaminated-sites-in-new-zealand/</vt:lpwstr>
      </vt:variant>
      <vt:variant>
        <vt:lpwstr/>
      </vt:variant>
      <vt:variant>
        <vt:i4>4653138</vt:i4>
      </vt:variant>
      <vt:variant>
        <vt:i4>777</vt:i4>
      </vt:variant>
      <vt:variant>
        <vt:i4>0</vt:i4>
      </vt:variant>
      <vt:variant>
        <vt:i4>5</vt:i4>
      </vt:variant>
      <vt:variant>
        <vt:lpwstr>https://environment.govt.nz/publications/users-guide-national-environmental-standard-for-assessing-and-managing-contaminants-in-soil-to-protect-human-health/</vt:lpwstr>
      </vt:variant>
      <vt:variant>
        <vt:lpwstr/>
      </vt:variant>
      <vt:variant>
        <vt:i4>3997730</vt:i4>
      </vt:variant>
      <vt:variant>
        <vt:i4>774</vt:i4>
      </vt:variant>
      <vt:variant>
        <vt:i4>0</vt:i4>
      </vt:variant>
      <vt:variant>
        <vt:i4>5</vt:i4>
      </vt:variant>
      <vt:variant>
        <vt:lpwstr>https://environment.govt.nz/publications/contaminated-land-management-guidelines-no-2-hierarchy-and-application-in-new-zealand-of-environmental-guideline-values-revised-2011/</vt:lpwstr>
      </vt:variant>
      <vt:variant>
        <vt:lpwstr/>
      </vt:variant>
      <vt:variant>
        <vt:i4>3538993</vt:i4>
      </vt:variant>
      <vt:variant>
        <vt:i4>771</vt:i4>
      </vt:variant>
      <vt:variant>
        <vt:i4>0</vt:i4>
      </vt:variant>
      <vt:variant>
        <vt:i4>5</vt:i4>
      </vt:variant>
      <vt:variant>
        <vt:lpwstr>https://environment.govt.nz/publications/hazardous-activities-and-industries-list-hail/</vt:lpwstr>
      </vt:variant>
      <vt:variant>
        <vt:lpwstr/>
      </vt:variant>
      <vt:variant>
        <vt:i4>7274601</vt:i4>
      </vt:variant>
      <vt:variant>
        <vt:i4>768</vt:i4>
      </vt:variant>
      <vt:variant>
        <vt:i4>0</vt:i4>
      </vt:variant>
      <vt:variant>
        <vt:i4>5</vt:i4>
      </vt:variant>
      <vt:variant>
        <vt:lpwstr>http://www.mfe.govt.nz/more/funding/contaminated-sites-remediation-fund</vt:lpwstr>
      </vt:variant>
      <vt:variant>
        <vt:lpwstr/>
      </vt:variant>
      <vt:variant>
        <vt:i4>4587589</vt:i4>
      </vt:variant>
      <vt:variant>
        <vt:i4>765</vt:i4>
      </vt:variant>
      <vt:variant>
        <vt:i4>0</vt:i4>
      </vt:variant>
      <vt:variant>
        <vt:i4>5</vt:i4>
      </vt:variant>
      <vt:variant>
        <vt:lpwstr>https://environment.govt.nz/publications/contaminated-land-management-guidelines-no-1-reporting-on-contaminated-sites-in-new-zealand/</vt:lpwstr>
      </vt:variant>
      <vt:variant>
        <vt:lpwstr/>
      </vt:variant>
      <vt:variant>
        <vt:i4>4063265</vt:i4>
      </vt:variant>
      <vt:variant>
        <vt:i4>762</vt:i4>
      </vt:variant>
      <vt:variant>
        <vt:i4>0</vt:i4>
      </vt:variant>
      <vt:variant>
        <vt:i4>5</vt:i4>
      </vt:variant>
      <vt:variant>
        <vt:lpwstr>http://www.mfe.govt.nz/land/nes-assessing-and-managing-contaminants-soil-protect-human-health/about-nes</vt:lpwstr>
      </vt:variant>
      <vt:variant>
        <vt:lpwstr/>
      </vt:variant>
      <vt:variant>
        <vt:i4>1245278</vt:i4>
      </vt:variant>
      <vt:variant>
        <vt:i4>759</vt:i4>
      </vt:variant>
      <vt:variant>
        <vt:i4>0</vt:i4>
      </vt:variant>
      <vt:variant>
        <vt:i4>5</vt:i4>
      </vt:variant>
      <vt:variant>
        <vt:lpwstr>https://environment.govt.nz/facts-and-science/land/contaminated-land/</vt:lpwstr>
      </vt:variant>
      <vt:variant>
        <vt:lpwstr/>
      </vt:variant>
      <vt:variant>
        <vt:i4>852036</vt:i4>
      </vt:variant>
      <vt:variant>
        <vt:i4>756</vt:i4>
      </vt:variant>
      <vt:variant>
        <vt:i4>0</vt:i4>
      </vt:variant>
      <vt:variant>
        <vt:i4>5</vt:i4>
      </vt:variant>
      <vt:variant>
        <vt:lpwstr>https://environment.govt.nz/publications/investigation-of-brominated-flame-retardants-present-in-articles-being-used-recycled-and-disposed-of-in-new-zealand/</vt:lpwstr>
      </vt:variant>
      <vt:variant>
        <vt:lpwstr/>
      </vt:variant>
      <vt:variant>
        <vt:i4>2555943</vt:i4>
      </vt:variant>
      <vt:variant>
        <vt:i4>753</vt:i4>
      </vt:variant>
      <vt:variant>
        <vt:i4>0</vt:i4>
      </vt:variant>
      <vt:variant>
        <vt:i4>5</vt:i4>
      </vt:variant>
      <vt:variant>
        <vt:lpwstr>https://environment.govt.nz/publications/pilot-study-of-brominated-flame-retardants-in-waste-electrical-and-electronic-equipment-weee/</vt:lpwstr>
      </vt:variant>
      <vt:variant>
        <vt:lpwstr/>
      </vt:variant>
      <vt:variant>
        <vt:i4>852036</vt:i4>
      </vt:variant>
      <vt:variant>
        <vt:i4>750</vt:i4>
      </vt:variant>
      <vt:variant>
        <vt:i4>0</vt:i4>
      </vt:variant>
      <vt:variant>
        <vt:i4>5</vt:i4>
      </vt:variant>
      <vt:variant>
        <vt:lpwstr>https://environment.govt.nz/publications/investigation-of-brominated-flame-retardants-present-in-articles-being-used-recycled-and-disposed-of-in-new-zealand/</vt:lpwstr>
      </vt:variant>
      <vt:variant>
        <vt:lpwstr/>
      </vt:variant>
      <vt:variant>
        <vt:i4>1835014</vt:i4>
      </vt:variant>
      <vt:variant>
        <vt:i4>747</vt:i4>
      </vt:variant>
      <vt:variant>
        <vt:i4>0</vt:i4>
      </vt:variant>
      <vt:variant>
        <vt:i4>5</vt:i4>
      </vt:variant>
      <vt:variant>
        <vt:lpwstr>https://environment.govt.nz/publications/managing-waste-that-may-contain-brominated-flame-retardants/managing-waste-that-may-contain-brominated-flame-retardants/</vt:lpwstr>
      </vt:variant>
      <vt:variant>
        <vt:lpwstr/>
      </vt:variant>
      <vt:variant>
        <vt:i4>983134</vt:i4>
      </vt:variant>
      <vt:variant>
        <vt:i4>744</vt:i4>
      </vt:variant>
      <vt:variant>
        <vt:i4>0</vt:i4>
      </vt:variant>
      <vt:variant>
        <vt:i4>5</vt:i4>
      </vt:variant>
      <vt:variant>
        <vt:lpwstr>https://environment.govt.nz/publications/brominated-flame-retardant-research-a-pilot-study-of-e-waste-plastic-sorting-in-new-zealand/</vt:lpwstr>
      </vt:variant>
      <vt:variant>
        <vt:lpwstr/>
      </vt:variant>
      <vt:variant>
        <vt:i4>2949157</vt:i4>
      </vt:variant>
      <vt:variant>
        <vt:i4>741</vt:i4>
      </vt:variant>
      <vt:variant>
        <vt:i4>0</vt:i4>
      </vt:variant>
      <vt:variant>
        <vt:i4>5</vt:i4>
      </vt:variant>
      <vt:variant>
        <vt:lpwstr>https://environment.govt.nz/publications/brominated-flame-retardant-research-cost-benefit-analysis-of-sorting-options-for-e-waste-plastics/</vt:lpwstr>
      </vt:variant>
      <vt:variant>
        <vt:lpwstr/>
      </vt:variant>
      <vt:variant>
        <vt:i4>1441856</vt:i4>
      </vt:variant>
      <vt:variant>
        <vt:i4>738</vt:i4>
      </vt:variant>
      <vt:variant>
        <vt:i4>0</vt:i4>
      </vt:variant>
      <vt:variant>
        <vt:i4>5</vt:i4>
      </vt:variant>
      <vt:variant>
        <vt:lpwstr>https://environment.govt.nz/assets/Publications/Files/managing-waste-that-may-contain-brominated-flame-retardants.pdf</vt:lpwstr>
      </vt:variant>
      <vt:variant>
        <vt:lpwstr/>
      </vt:variant>
      <vt:variant>
        <vt:i4>393285</vt:i4>
      </vt:variant>
      <vt:variant>
        <vt:i4>735</vt:i4>
      </vt:variant>
      <vt:variant>
        <vt:i4>0</vt:i4>
      </vt:variant>
      <vt:variant>
        <vt:i4>5</vt:i4>
      </vt:variant>
      <vt:variant>
        <vt:lpwstr>https://www.epa.govt.nz/assets/Uploads/Documents/Hazardous-Substances/Guidance/6765897c7f/Export-electronic-waste.pdf</vt:lpwstr>
      </vt:variant>
      <vt:variant>
        <vt:lpwstr/>
      </vt:variant>
      <vt:variant>
        <vt:i4>8323169</vt:i4>
      </vt:variant>
      <vt:variant>
        <vt:i4>732</vt:i4>
      </vt:variant>
      <vt:variant>
        <vt:i4>0</vt:i4>
      </vt:variant>
      <vt:variant>
        <vt:i4>5</vt:i4>
      </vt:variant>
      <vt:variant>
        <vt:lpwstr>https://environment.govt.nz/what-government-is-doing/areas-of-work/waste/product-stewardship/regulated-product-stewardship/</vt:lpwstr>
      </vt:variant>
      <vt:variant>
        <vt:lpwstr/>
      </vt:variant>
      <vt:variant>
        <vt:i4>6160422</vt:i4>
      </vt:variant>
      <vt:variant>
        <vt:i4>729</vt:i4>
      </vt:variant>
      <vt:variant>
        <vt:i4>0</vt:i4>
      </vt:variant>
      <vt:variant>
        <vt:i4>5</vt:i4>
      </vt:variant>
      <vt:variant>
        <vt:lpwstr>https://www.itu.int/en/ITU-D/Environment/Documents/Toolbox/GEM_2020_EN_O21.pdf</vt:lpwstr>
      </vt:variant>
      <vt:variant>
        <vt:lpwstr/>
      </vt:variant>
      <vt:variant>
        <vt:i4>6553725</vt:i4>
      </vt:variant>
      <vt:variant>
        <vt:i4>726</vt:i4>
      </vt:variant>
      <vt:variant>
        <vt:i4>0</vt:i4>
      </vt:variant>
      <vt:variant>
        <vt:i4>5</vt:i4>
      </vt:variant>
      <vt:variant>
        <vt:lpwstr>http://www.mfe.govt.nz/more/international-environmental-agreements/multilateral-environmental-agreements/key-multilateral-0 (22</vt:lpwstr>
      </vt:variant>
      <vt:variant>
        <vt:lpwstr/>
      </vt:variant>
      <vt:variant>
        <vt:i4>3342391</vt:i4>
      </vt:variant>
      <vt:variant>
        <vt:i4>723</vt:i4>
      </vt:variant>
      <vt:variant>
        <vt:i4>0</vt:i4>
      </vt:variant>
      <vt:variant>
        <vt:i4>5</vt:i4>
      </vt:variant>
      <vt:variant>
        <vt:lpwstr>http://www.mfe.govt.nz/more/international-environmental-agreements/multilateral-environmental-agreements/waigani-convention (22</vt:lpwstr>
      </vt:variant>
      <vt:variant>
        <vt:lpwstr/>
      </vt:variant>
      <vt:variant>
        <vt:i4>3604566</vt:i4>
      </vt:variant>
      <vt:variant>
        <vt:i4>720</vt:i4>
      </vt:variant>
      <vt:variant>
        <vt:i4>0</vt:i4>
      </vt:variant>
      <vt:variant>
        <vt:i4>5</vt:i4>
      </vt:variant>
      <vt:variant>
        <vt:lpwstr>https://www.epa.govt.nz/assets/Uploads/Documents/Hazardous-Substances/GHS2/Consolidated_Hazardous_Substances_Disposal_Notice_2017.pdf</vt:lpwstr>
      </vt:variant>
      <vt:variant>
        <vt:lpwstr/>
      </vt:variant>
      <vt:variant>
        <vt:i4>2818163</vt:i4>
      </vt:variant>
      <vt:variant>
        <vt:i4>717</vt:i4>
      </vt:variant>
      <vt:variant>
        <vt:i4>0</vt:i4>
      </vt:variant>
      <vt:variant>
        <vt:i4>5</vt:i4>
      </vt:variant>
      <vt:variant>
        <vt:lpwstr>https://www.epa.govt.nz/industry-areas/hazardous-substances/new-zealands-new-hazard-classification-system/</vt:lpwstr>
      </vt:variant>
      <vt:variant>
        <vt:lpwstr/>
      </vt:variant>
      <vt:variant>
        <vt:i4>6815871</vt:i4>
      </vt:variant>
      <vt:variant>
        <vt:i4>714</vt:i4>
      </vt:variant>
      <vt:variant>
        <vt:i4>0</vt:i4>
      </vt:variant>
      <vt:variant>
        <vt:i4>5</vt:i4>
      </vt:variant>
      <vt:variant>
        <vt:lpwstr>https://www.epa.govt.nz/news-and-alerts/latest-news/new-era-in-chemical-management/</vt:lpwstr>
      </vt:variant>
      <vt:variant>
        <vt:lpwstr/>
      </vt:variant>
      <vt:variant>
        <vt:i4>6488103</vt:i4>
      </vt:variant>
      <vt:variant>
        <vt:i4>711</vt:i4>
      </vt:variant>
      <vt:variant>
        <vt:i4>0</vt:i4>
      </vt:variant>
      <vt:variant>
        <vt:i4>5</vt:i4>
      </vt:variant>
      <vt:variant>
        <vt:lpwstr>https://agrecovery.co.nz/priority-products/</vt:lpwstr>
      </vt:variant>
      <vt:variant>
        <vt:lpwstr/>
      </vt:variant>
      <vt:variant>
        <vt:i4>393288</vt:i4>
      </vt:variant>
      <vt:variant>
        <vt:i4>708</vt:i4>
      </vt:variant>
      <vt:variant>
        <vt:i4>0</vt:i4>
      </vt:variant>
      <vt:variant>
        <vt:i4>5</vt:i4>
      </vt:variant>
      <vt:variant>
        <vt:lpwstr>http://www.agrecovery.co.nz/foundation/agrecovery-foundation</vt:lpwstr>
      </vt:variant>
      <vt:variant>
        <vt:lpwstr/>
      </vt:variant>
      <vt:variant>
        <vt:i4>7405683</vt:i4>
      </vt:variant>
      <vt:variant>
        <vt:i4>705</vt:i4>
      </vt:variant>
      <vt:variant>
        <vt:i4>0</vt:i4>
      </vt:variant>
      <vt:variant>
        <vt:i4>5</vt:i4>
      </vt:variant>
      <vt:variant>
        <vt:lpwstr>https://environment.govt.nz/assets/Publications/Files/Stockholm-Convention-POPs-Dec-06.pdf</vt:lpwstr>
      </vt:variant>
      <vt:variant>
        <vt:lpwstr/>
      </vt:variant>
      <vt:variant>
        <vt:i4>3604566</vt:i4>
      </vt:variant>
      <vt:variant>
        <vt:i4>702</vt:i4>
      </vt:variant>
      <vt:variant>
        <vt:i4>0</vt:i4>
      </vt:variant>
      <vt:variant>
        <vt:i4>5</vt:i4>
      </vt:variant>
      <vt:variant>
        <vt:lpwstr>https://www.epa.govt.nz/assets/Uploads/Documents/Hazardous-Substances/GHS2/Consolidated_Hazardous_Substances_Disposal_Notice_2017.pdf</vt:lpwstr>
      </vt:variant>
      <vt:variant>
        <vt:lpwstr/>
      </vt:variant>
      <vt:variant>
        <vt:i4>917523</vt:i4>
      </vt:variant>
      <vt:variant>
        <vt:i4>699</vt:i4>
      </vt:variant>
      <vt:variant>
        <vt:i4>0</vt:i4>
      </vt:variant>
      <vt:variant>
        <vt:i4>5</vt:i4>
      </vt:variant>
      <vt:variant>
        <vt:lpwstr>http://www.epa.govt.nz/assets/Uploads/Documents/Hazardous-Substances/Policies/Hazardous-Substances-Storage-and-Disposal-of-Persistent-Organic-Pollutants-Notice-2004.pdf</vt:lpwstr>
      </vt:variant>
      <vt:variant>
        <vt:lpwstr/>
      </vt:variant>
      <vt:variant>
        <vt:i4>2293808</vt:i4>
      </vt:variant>
      <vt:variant>
        <vt:i4>696</vt:i4>
      </vt:variant>
      <vt:variant>
        <vt:i4>0</vt:i4>
      </vt:variant>
      <vt:variant>
        <vt:i4>5</vt:i4>
      </vt:variant>
      <vt:variant>
        <vt:lpwstr>https://www.engineeringnz.org/programmes/heritage/heritage-records/marsden-point-oil-refinery/</vt:lpwstr>
      </vt:variant>
      <vt:variant>
        <vt:lpwstr/>
      </vt:variant>
      <vt:variant>
        <vt:i4>2293808</vt:i4>
      </vt:variant>
      <vt:variant>
        <vt:i4>693</vt:i4>
      </vt:variant>
      <vt:variant>
        <vt:i4>0</vt:i4>
      </vt:variant>
      <vt:variant>
        <vt:i4>5</vt:i4>
      </vt:variant>
      <vt:variant>
        <vt:lpwstr>https://www.engineeringnz.org/programmes/heritage/heritage-records/marsden-point-oil-refinery/</vt:lpwstr>
      </vt:variant>
      <vt:variant>
        <vt:lpwstr/>
      </vt:variant>
      <vt:variant>
        <vt:i4>5701701</vt:i4>
      </vt:variant>
      <vt:variant>
        <vt:i4>690</vt:i4>
      </vt:variant>
      <vt:variant>
        <vt:i4>0</vt:i4>
      </vt:variant>
      <vt:variant>
        <vt:i4>5</vt:i4>
      </vt:variant>
      <vt:variant>
        <vt:lpwstr>https://www.ojifs.com/news/transforming-tasman-mill/</vt:lpwstr>
      </vt:variant>
      <vt:variant>
        <vt:lpwstr/>
      </vt:variant>
      <vt:variant>
        <vt:i4>5505037</vt:i4>
      </vt:variant>
      <vt:variant>
        <vt:i4>687</vt:i4>
      </vt:variant>
      <vt:variant>
        <vt:i4>0</vt:i4>
      </vt:variant>
      <vt:variant>
        <vt:i4>5</vt:i4>
      </vt:variant>
      <vt:variant>
        <vt:lpwstr>https://environment.govt.nz/assets/publications/Waste-reduction-work-programme-final.pdf</vt:lpwstr>
      </vt:variant>
      <vt:variant>
        <vt:lpwstr/>
      </vt:variant>
      <vt:variant>
        <vt:i4>1572954</vt:i4>
      </vt:variant>
      <vt:variant>
        <vt:i4>684</vt:i4>
      </vt:variant>
      <vt:variant>
        <vt:i4>0</vt:i4>
      </vt:variant>
      <vt:variant>
        <vt:i4>5</vt:i4>
      </vt:variant>
      <vt:variant>
        <vt:lpwstr>https://ministryforenvironment.sharepoint.com/sites/ECM-Pol-AcrDom/Shared Documents/08 - International Policy and Implementation_5054687/02 - Multilateral Environment Agreements_5056330/03 - Stockholm Convention_5056258/03 - Information _ convention monitoring_5059675/01 - SNIP (Stockholm National Implementation Plan)_12195031/2022 update of the New Zealand inventory of dioxin emissions to air, land and water, and reservoir sources Retrieved from https:/environment.govt.nz/assets/publications/2022-Update-of-the-New-Zealand-Inventory-of-Dioxin-Emissions-to-Air-Land-and-Water-and-Reservoir-Sources.pdf (22 November 2022).</vt:lpwstr>
      </vt:variant>
      <vt:variant>
        <vt:lpwstr/>
      </vt:variant>
      <vt:variant>
        <vt:i4>6094939</vt:i4>
      </vt:variant>
      <vt:variant>
        <vt:i4>681</vt:i4>
      </vt:variant>
      <vt:variant>
        <vt:i4>0</vt:i4>
      </vt:variant>
      <vt:variant>
        <vt:i4>5</vt:i4>
      </vt:variant>
      <vt:variant>
        <vt:lpwstr>https://environment.govt.nz/assets/publications/2022-Update-of-the-New-Zealand-Inventory-of-Dioxin-Emissions-to-Air-Land-and-Water-and-Reservoir-Sources.pdf</vt:lpwstr>
      </vt:variant>
      <vt:variant>
        <vt:lpwstr/>
      </vt:variant>
      <vt:variant>
        <vt:i4>6094939</vt:i4>
      </vt:variant>
      <vt:variant>
        <vt:i4>678</vt:i4>
      </vt:variant>
      <vt:variant>
        <vt:i4>0</vt:i4>
      </vt:variant>
      <vt:variant>
        <vt:i4>5</vt:i4>
      </vt:variant>
      <vt:variant>
        <vt:lpwstr>https://environment.govt.nz/assets/publications/2022-Update-of-the-New-Zealand-Inventory-of-Dioxin-Emissions-to-Air-Land-and-Water-and-Reservoir-Sources.pdf</vt:lpwstr>
      </vt:variant>
      <vt:variant>
        <vt:lpwstr/>
      </vt:variant>
      <vt:variant>
        <vt:i4>6357093</vt:i4>
      </vt:variant>
      <vt:variant>
        <vt:i4>675</vt:i4>
      </vt:variant>
      <vt:variant>
        <vt:i4>0</vt:i4>
      </vt:variant>
      <vt:variant>
        <vt:i4>5</vt:i4>
      </vt:variant>
      <vt:variant>
        <vt:lpwstr>https://environment.govt.nz/assets/publications/2014-dioxin-emissions-inventory.pdf</vt:lpwstr>
      </vt:variant>
      <vt:variant>
        <vt:lpwstr/>
      </vt:variant>
      <vt:variant>
        <vt:i4>6553701</vt:i4>
      </vt:variant>
      <vt:variant>
        <vt:i4>672</vt:i4>
      </vt:variant>
      <vt:variant>
        <vt:i4>0</vt:i4>
      </vt:variant>
      <vt:variant>
        <vt:i4>5</vt:i4>
      </vt:variant>
      <vt:variant>
        <vt:lpwstr>https://environment.govt.nz/assets/publications/2011-dioxin-emissions-inventory.pdf</vt:lpwstr>
      </vt:variant>
      <vt:variant>
        <vt:lpwstr/>
      </vt:variant>
      <vt:variant>
        <vt:i4>6619236</vt:i4>
      </vt:variant>
      <vt:variant>
        <vt:i4>669</vt:i4>
      </vt:variant>
      <vt:variant>
        <vt:i4>0</vt:i4>
      </vt:variant>
      <vt:variant>
        <vt:i4>5</vt:i4>
      </vt:variant>
      <vt:variant>
        <vt:lpwstr>https://environment.govt.nz/assets/publications/2000-dioxin-emissions-inventory.pdf</vt:lpwstr>
      </vt:variant>
      <vt:variant>
        <vt:lpwstr/>
      </vt:variant>
      <vt:variant>
        <vt:i4>7405683</vt:i4>
      </vt:variant>
      <vt:variant>
        <vt:i4>666</vt:i4>
      </vt:variant>
      <vt:variant>
        <vt:i4>0</vt:i4>
      </vt:variant>
      <vt:variant>
        <vt:i4>5</vt:i4>
      </vt:variant>
      <vt:variant>
        <vt:lpwstr>https://environment.govt.nz/assets/Publications/Files/Stockholm-Convention-POPs-Dec-06.pdf</vt:lpwstr>
      </vt:variant>
      <vt:variant>
        <vt:lpwstr/>
      </vt:variant>
      <vt:variant>
        <vt:i4>7929898</vt:i4>
      </vt:variant>
      <vt:variant>
        <vt:i4>663</vt:i4>
      </vt:variant>
      <vt:variant>
        <vt:i4>0</vt:i4>
      </vt:variant>
      <vt:variant>
        <vt:i4>5</vt:i4>
      </vt:variant>
      <vt:variant>
        <vt:lpwstr>http://chm.pops.int/Implementation/IndustrialPOPs/PFAS/Overview/tabid/5221/Default.aspx</vt:lpwstr>
      </vt:variant>
      <vt:variant>
        <vt:lpwstr/>
      </vt:variant>
      <vt:variant>
        <vt:i4>7471201</vt:i4>
      </vt:variant>
      <vt:variant>
        <vt:i4>660</vt:i4>
      </vt:variant>
      <vt:variant>
        <vt:i4>0</vt:i4>
      </vt:variant>
      <vt:variant>
        <vt:i4>5</vt:i4>
      </vt:variant>
      <vt:variant>
        <vt:lpwstr>http://chm.pops.int/Implementation/Alternatives/AlternativestoPOPs/ChemicalslistedinAnnexA/Dicofol/tabid/8291/Default.aspx</vt:lpwstr>
      </vt:variant>
      <vt:variant>
        <vt:lpwstr/>
      </vt:variant>
      <vt:variant>
        <vt:i4>5570570</vt:i4>
      </vt:variant>
      <vt:variant>
        <vt:i4>657</vt:i4>
      </vt:variant>
      <vt:variant>
        <vt:i4>0</vt:i4>
      </vt:variant>
      <vt:variant>
        <vt:i4>5</vt:i4>
      </vt:variant>
      <vt:variant>
        <vt:lpwstr>http://www.basel.int/Implementation/POPsWastes/TechnicalGuidelines/TechnicalGuidelines(versionMarch2018)/tabid/6303/Default.aspx</vt:lpwstr>
      </vt:variant>
      <vt:variant>
        <vt:lpwstr/>
      </vt:variant>
      <vt:variant>
        <vt:i4>3014770</vt:i4>
      </vt:variant>
      <vt:variant>
        <vt:i4>654</vt:i4>
      </vt:variant>
      <vt:variant>
        <vt:i4>0</vt:i4>
      </vt:variant>
      <vt:variant>
        <vt:i4>5</vt:i4>
      </vt:variant>
      <vt:variant>
        <vt:lpwstr>http://chm.pops.int/Implementation/NationalImplementationPlans/Guidance/tabid/7730/Default.aspx (13</vt:lpwstr>
      </vt:variant>
      <vt:variant>
        <vt:lpwstr/>
      </vt:variant>
      <vt:variant>
        <vt:i4>3014770</vt:i4>
      </vt:variant>
      <vt:variant>
        <vt:i4>651</vt:i4>
      </vt:variant>
      <vt:variant>
        <vt:i4>0</vt:i4>
      </vt:variant>
      <vt:variant>
        <vt:i4>5</vt:i4>
      </vt:variant>
      <vt:variant>
        <vt:lpwstr>http://chm.pops.int/Implementation/NationalImplementationPlans/Guidance/tabid/7730/Default.aspx (13</vt:lpwstr>
      </vt:variant>
      <vt:variant>
        <vt:lpwstr/>
      </vt:variant>
      <vt:variant>
        <vt:i4>2752570</vt:i4>
      </vt:variant>
      <vt:variant>
        <vt:i4>648</vt:i4>
      </vt:variant>
      <vt:variant>
        <vt:i4>0</vt:i4>
      </vt:variant>
      <vt:variant>
        <vt:i4>5</vt:i4>
      </vt:variant>
      <vt:variant>
        <vt:lpwstr>https://www.landwise.org.nz/uncategorized/great-ddt-muster/</vt:lpwstr>
      </vt:variant>
      <vt:variant>
        <vt:lpwstr/>
      </vt:variant>
      <vt:variant>
        <vt:i4>4325382</vt:i4>
      </vt:variant>
      <vt:variant>
        <vt:i4>645</vt:i4>
      </vt:variant>
      <vt:variant>
        <vt:i4>0</vt:i4>
      </vt:variant>
      <vt:variant>
        <vt:i4>5</vt:i4>
      </vt:variant>
      <vt:variant>
        <vt:lpwstr>https://environment.govt.nz/publications/waste-minimisation-fund-2020-annual-report/</vt:lpwstr>
      </vt:variant>
      <vt:variant>
        <vt:lpwstr/>
      </vt:variant>
      <vt:variant>
        <vt:i4>8061052</vt:i4>
      </vt:variant>
      <vt:variant>
        <vt:i4>642</vt:i4>
      </vt:variant>
      <vt:variant>
        <vt:i4>0</vt:i4>
      </vt:variant>
      <vt:variant>
        <vt:i4>5</vt:i4>
      </vt:variant>
      <vt:variant>
        <vt:lpwstr>https://www.epa.govt.nz/industry-areas/hazardous-substances/rules-for-hazardous-substances/polychlorinated-biphenyls-pcbs/</vt:lpwstr>
      </vt:variant>
      <vt:variant>
        <vt:lpwstr/>
      </vt:variant>
      <vt:variant>
        <vt:i4>7602286</vt:i4>
      </vt:variant>
      <vt:variant>
        <vt:i4>639</vt:i4>
      </vt:variant>
      <vt:variant>
        <vt:i4>0</vt:i4>
      </vt:variant>
      <vt:variant>
        <vt:i4>5</vt:i4>
      </vt:variant>
      <vt:variant>
        <vt:lpwstr>https://worksafe.govt.nz/laws-and-regulations/prosecutions/court-summaries/julians-electrical-and-energy-conservation-limited/</vt:lpwstr>
      </vt:variant>
      <vt:variant>
        <vt:lpwstr/>
      </vt:variant>
      <vt:variant>
        <vt:i4>7143537</vt:i4>
      </vt:variant>
      <vt:variant>
        <vt:i4>636</vt:i4>
      </vt:variant>
      <vt:variant>
        <vt:i4>0</vt:i4>
      </vt:variant>
      <vt:variant>
        <vt:i4>5</vt:i4>
      </vt:variant>
      <vt:variant>
        <vt:lpwstr>https://www.epa.govt.nz/assets/Uploads/Documents/ Hazardous-Substances/Guidance/Safe-Management-of-PCBs.pdf</vt:lpwstr>
      </vt:variant>
      <vt:variant>
        <vt:lpwstr/>
      </vt:variant>
      <vt:variant>
        <vt:i4>3604566</vt:i4>
      </vt:variant>
      <vt:variant>
        <vt:i4>633</vt:i4>
      </vt:variant>
      <vt:variant>
        <vt:i4>0</vt:i4>
      </vt:variant>
      <vt:variant>
        <vt:i4>5</vt:i4>
      </vt:variant>
      <vt:variant>
        <vt:lpwstr>https://www.epa.govt.nz/assets/Uploads/Documents/Hazardous-Substances/GHS2/Consolidated_Hazardous_Substances_Disposal_Notice_2017.pdf</vt:lpwstr>
      </vt:variant>
      <vt:variant>
        <vt:lpwstr/>
      </vt:variant>
      <vt:variant>
        <vt:i4>4325451</vt:i4>
      </vt:variant>
      <vt:variant>
        <vt:i4>630</vt:i4>
      </vt:variant>
      <vt:variant>
        <vt:i4>0</vt:i4>
      </vt:variant>
      <vt:variant>
        <vt:i4>5</vt:i4>
      </vt:variant>
      <vt:variant>
        <vt:lpwstr>http://ers.pops.int/ERS-Extended/FeedbackServer/fsadmin.aspx?fscontrol=respondentReport&amp;surveyid=81&amp;voterid=51395&amp;readonly=1&amp;nomenu=1</vt:lpwstr>
      </vt:variant>
      <vt:variant>
        <vt:lpwstr/>
      </vt:variant>
      <vt:variant>
        <vt:i4>2883634</vt:i4>
      </vt:variant>
      <vt:variant>
        <vt:i4>627</vt:i4>
      </vt:variant>
      <vt:variant>
        <vt:i4>0</vt:i4>
      </vt:variant>
      <vt:variant>
        <vt:i4>5</vt:i4>
      </vt:variant>
      <vt:variant>
        <vt:lpwstr>http://chm.pops.int/Countries/Reporting/NationalReports/tabid/3668/Default.aspx</vt:lpwstr>
      </vt:variant>
      <vt:variant>
        <vt:lpwstr/>
      </vt:variant>
      <vt:variant>
        <vt:i4>6946935</vt:i4>
      </vt:variant>
      <vt:variant>
        <vt:i4>624</vt:i4>
      </vt:variant>
      <vt:variant>
        <vt:i4>0</vt:i4>
      </vt:variant>
      <vt:variant>
        <vt:i4>5</vt:i4>
      </vt:variant>
      <vt:variant>
        <vt:lpwstr>https://environment.govt.nz/publications/new-zealands-updated-national-implementation-plan-under-the-stockholm-convention-on-persistent-organic-pollutants/</vt:lpwstr>
      </vt:variant>
      <vt:variant>
        <vt:lpwstr/>
      </vt:variant>
      <vt:variant>
        <vt:i4>6946935</vt:i4>
      </vt:variant>
      <vt:variant>
        <vt:i4>621</vt:i4>
      </vt:variant>
      <vt:variant>
        <vt:i4>0</vt:i4>
      </vt:variant>
      <vt:variant>
        <vt:i4>5</vt:i4>
      </vt:variant>
      <vt:variant>
        <vt:lpwstr>https://environment.govt.nz/publications/new-zealands-updated-national-implementation-plan-under-the-stockholm-convention-on-persistent-organic-pollutants/</vt:lpwstr>
      </vt:variant>
      <vt:variant>
        <vt:lpwstr/>
      </vt:variant>
      <vt:variant>
        <vt:i4>1376316</vt:i4>
      </vt:variant>
      <vt:variant>
        <vt:i4>618</vt:i4>
      </vt:variant>
      <vt:variant>
        <vt:i4>0</vt:i4>
      </vt:variant>
      <vt:variant>
        <vt:i4>5</vt:i4>
      </vt:variant>
      <vt:variant>
        <vt:lpwstr/>
      </vt:variant>
      <vt:variant>
        <vt:lpwstr>_Chapter_6:_Stockpiles,</vt:lpwstr>
      </vt:variant>
      <vt:variant>
        <vt:i4>2621478</vt:i4>
      </vt:variant>
      <vt:variant>
        <vt:i4>615</vt:i4>
      </vt:variant>
      <vt:variant>
        <vt:i4>0</vt:i4>
      </vt:variant>
      <vt:variant>
        <vt:i4>5</vt:i4>
      </vt:variant>
      <vt:variant>
        <vt:lpwstr>https://environment.govt.nz/what-government-is-doing/areas-of-work/waste/product-stewardship/about-product-stewardship-in-new-zealand/</vt:lpwstr>
      </vt:variant>
      <vt:variant>
        <vt:lpwstr/>
      </vt:variant>
      <vt:variant>
        <vt:i4>1310726</vt:i4>
      </vt:variant>
      <vt:variant>
        <vt:i4>612</vt:i4>
      </vt:variant>
      <vt:variant>
        <vt:i4>0</vt:i4>
      </vt:variant>
      <vt:variant>
        <vt:i4>5</vt:i4>
      </vt:variant>
      <vt:variant>
        <vt:lpwstr>https://environment.govt.nz/publications/waste-funds-annual-report-2021/</vt:lpwstr>
      </vt:variant>
      <vt:variant>
        <vt:lpwstr/>
      </vt:variant>
      <vt:variant>
        <vt:i4>7274601</vt:i4>
      </vt:variant>
      <vt:variant>
        <vt:i4>609</vt:i4>
      </vt:variant>
      <vt:variant>
        <vt:i4>0</vt:i4>
      </vt:variant>
      <vt:variant>
        <vt:i4>5</vt:i4>
      </vt:variant>
      <vt:variant>
        <vt:lpwstr>http://www.mfe.govt.nz/more/funding/contaminated-sites-remediation-fund</vt:lpwstr>
      </vt:variant>
      <vt:variant>
        <vt:lpwstr/>
      </vt:variant>
      <vt:variant>
        <vt:i4>5963843</vt:i4>
      </vt:variant>
      <vt:variant>
        <vt:i4>606</vt:i4>
      </vt:variant>
      <vt:variant>
        <vt:i4>0</vt:i4>
      </vt:variant>
      <vt:variant>
        <vt:i4>5</vt:i4>
      </vt:variant>
      <vt:variant>
        <vt:lpwstr>http://www.basel.int/Portals/4/Basel Convention/docs/pub/techguid/tg-POPs.pdf</vt:lpwstr>
      </vt:variant>
      <vt:variant>
        <vt:lpwstr/>
      </vt:variant>
      <vt:variant>
        <vt:i4>4522053</vt:i4>
      </vt:variant>
      <vt:variant>
        <vt:i4>603</vt:i4>
      </vt:variant>
      <vt:variant>
        <vt:i4>0</vt:i4>
      </vt:variant>
      <vt:variant>
        <vt:i4>5</vt:i4>
      </vt:variant>
      <vt:variant>
        <vt:lpwstr>https://legislation.govt.nz/regulation/public/2022/0168/latest/LMS698021.html</vt:lpwstr>
      </vt:variant>
      <vt:variant>
        <vt:lpwstr/>
      </vt:variant>
      <vt:variant>
        <vt:i4>4653068</vt:i4>
      </vt:variant>
      <vt:variant>
        <vt:i4>600</vt:i4>
      </vt:variant>
      <vt:variant>
        <vt:i4>0</vt:i4>
      </vt:variant>
      <vt:variant>
        <vt:i4>5</vt:i4>
      </vt:variant>
      <vt:variant>
        <vt:lpwstr>https://www.taumataarowai.govt.nz/about/legislation/</vt:lpwstr>
      </vt:variant>
      <vt:variant>
        <vt:lpwstr/>
      </vt:variant>
      <vt:variant>
        <vt:i4>7733291</vt:i4>
      </vt:variant>
      <vt:variant>
        <vt:i4>597</vt:i4>
      </vt:variant>
      <vt:variant>
        <vt:i4>0</vt:i4>
      </vt:variant>
      <vt:variant>
        <vt:i4>5</vt:i4>
      </vt:variant>
      <vt:variant>
        <vt:lpwstr>https://www.legislation.govt.nz/act/public/2021/0036/latest/LMS374564.html</vt:lpwstr>
      </vt:variant>
      <vt:variant>
        <vt:lpwstr/>
      </vt:variant>
      <vt:variant>
        <vt:i4>5177414</vt:i4>
      </vt:variant>
      <vt:variant>
        <vt:i4>594</vt:i4>
      </vt:variant>
      <vt:variant>
        <vt:i4>0</vt:i4>
      </vt:variant>
      <vt:variant>
        <vt:i4>5</vt:i4>
      </vt:variant>
      <vt:variant>
        <vt:lpwstr>http://www.legislation.govt.nz/act/public/2002/0084/167.0/DLM170873.html</vt:lpwstr>
      </vt:variant>
      <vt:variant>
        <vt:lpwstr/>
      </vt:variant>
      <vt:variant>
        <vt:i4>5636217</vt:i4>
      </vt:variant>
      <vt:variant>
        <vt:i4>591</vt:i4>
      </vt:variant>
      <vt:variant>
        <vt:i4>0</vt:i4>
      </vt:variant>
      <vt:variant>
        <vt:i4>5</vt:i4>
      </vt:variant>
      <vt:variant>
        <vt:lpwstr/>
      </vt:variant>
      <vt:variant>
        <vt:lpwstr>_Agrichemicals_that_are</vt:lpwstr>
      </vt:variant>
      <vt:variant>
        <vt:i4>5701659</vt:i4>
      </vt:variant>
      <vt:variant>
        <vt:i4>588</vt:i4>
      </vt:variant>
      <vt:variant>
        <vt:i4>0</vt:i4>
      </vt:variant>
      <vt:variant>
        <vt:i4>5</vt:i4>
      </vt:variant>
      <vt:variant>
        <vt:lpwstr>https://agrecovery.co.nz/</vt:lpwstr>
      </vt:variant>
      <vt:variant>
        <vt:lpwstr/>
      </vt:variant>
      <vt:variant>
        <vt:i4>2556002</vt:i4>
      </vt:variant>
      <vt:variant>
        <vt:i4>585</vt:i4>
      </vt:variant>
      <vt:variant>
        <vt:i4>0</vt:i4>
      </vt:variant>
      <vt:variant>
        <vt:i4>5</vt:i4>
      </vt:variant>
      <vt:variant>
        <vt:lpwstr>https://environment.govt.nz/what-government-is-doing/areas-of-work/waste/waste-legislation-review/</vt:lpwstr>
      </vt:variant>
      <vt:variant>
        <vt:lpwstr/>
      </vt:variant>
      <vt:variant>
        <vt:i4>4849755</vt:i4>
      </vt:variant>
      <vt:variant>
        <vt:i4>582</vt:i4>
      </vt:variant>
      <vt:variant>
        <vt:i4>0</vt:i4>
      </vt:variant>
      <vt:variant>
        <vt:i4>5</vt:i4>
      </vt:variant>
      <vt:variant>
        <vt:lpwstr>https://environment.govt.nz/assets/publications/Taking-responsibility-for-our-waste-snapshot.pdf</vt:lpwstr>
      </vt:variant>
      <vt:variant>
        <vt:lpwstr/>
      </vt:variant>
      <vt:variant>
        <vt:i4>655427</vt:i4>
      </vt:variant>
      <vt:variant>
        <vt:i4>579</vt:i4>
      </vt:variant>
      <vt:variant>
        <vt:i4>0</vt:i4>
      </vt:variant>
      <vt:variant>
        <vt:i4>5</vt:i4>
      </vt:variant>
      <vt:variant>
        <vt:lpwstr>https://www.legislation.govt.nz/act/public/2008/0089/49.0/DLM999802.html</vt:lpwstr>
      </vt:variant>
      <vt:variant>
        <vt:lpwstr/>
      </vt:variant>
      <vt:variant>
        <vt:i4>2031634</vt:i4>
      </vt:variant>
      <vt:variant>
        <vt:i4>576</vt:i4>
      </vt:variant>
      <vt:variant>
        <vt:i4>0</vt:i4>
      </vt:variant>
      <vt:variant>
        <vt:i4>5</vt:i4>
      </vt:variant>
      <vt:variant>
        <vt:lpwstr>https://www.legislation.govt.nz/regulation/public/2004/0202/latest/whole.html</vt:lpwstr>
      </vt:variant>
      <vt:variant>
        <vt:lpwstr>DLM271763</vt:lpwstr>
      </vt:variant>
      <vt:variant>
        <vt:i4>196672</vt:i4>
      </vt:variant>
      <vt:variant>
        <vt:i4>573</vt:i4>
      </vt:variant>
      <vt:variant>
        <vt:i4>0</vt:i4>
      </vt:variant>
      <vt:variant>
        <vt:i4>5</vt:i4>
      </vt:variant>
      <vt:variant>
        <vt:lpwstr>https://www.legislation.govt.nz/regulation/public/2004/0202/latest/DLM271701.html</vt:lpwstr>
      </vt:variant>
      <vt:variant>
        <vt:lpwstr/>
      </vt:variant>
      <vt:variant>
        <vt:i4>4784205</vt:i4>
      </vt:variant>
      <vt:variant>
        <vt:i4>570</vt:i4>
      </vt:variant>
      <vt:variant>
        <vt:i4>0</vt:i4>
      </vt:variant>
      <vt:variant>
        <vt:i4>5</vt:i4>
      </vt:variant>
      <vt:variant>
        <vt:lpwstr>http://www.legislation.govt.nz/regulation/public/2011/0327/latest/DLM3982848.html</vt:lpwstr>
      </vt:variant>
      <vt:variant>
        <vt:lpwstr/>
      </vt:variant>
      <vt:variant>
        <vt:i4>5701644</vt:i4>
      </vt:variant>
      <vt:variant>
        <vt:i4>567</vt:i4>
      </vt:variant>
      <vt:variant>
        <vt:i4>0</vt:i4>
      </vt:variant>
      <vt:variant>
        <vt:i4>5</vt:i4>
      </vt:variant>
      <vt:variant>
        <vt:lpwstr>http://www.legislation.govt.nz/act/public/1997/0087/latest/DLM414577.html</vt:lpwstr>
      </vt:variant>
      <vt:variant>
        <vt:lpwstr/>
      </vt:variant>
      <vt:variant>
        <vt:i4>3342394</vt:i4>
      </vt:variant>
      <vt:variant>
        <vt:i4>564</vt:i4>
      </vt:variant>
      <vt:variant>
        <vt:i4>0</vt:i4>
      </vt:variant>
      <vt:variant>
        <vt:i4>5</vt:i4>
      </vt:variant>
      <vt:variant>
        <vt:lpwstr>http://www.legislation.govt.nz/regulation/public/2017/0131/25.0/DLM7309401.html</vt:lpwstr>
      </vt:variant>
      <vt:variant>
        <vt:lpwstr/>
      </vt:variant>
      <vt:variant>
        <vt:i4>6094872</vt:i4>
      </vt:variant>
      <vt:variant>
        <vt:i4>561</vt:i4>
      </vt:variant>
      <vt:variant>
        <vt:i4>0</vt:i4>
      </vt:variant>
      <vt:variant>
        <vt:i4>5</vt:i4>
      </vt:variant>
      <vt:variant>
        <vt:lpwstr>https://legislation.govt.nz/act/public/2015/0070/55.0/DLM5976660.html</vt:lpwstr>
      </vt:variant>
      <vt:variant>
        <vt:lpwstr/>
      </vt:variant>
      <vt:variant>
        <vt:i4>1376316</vt:i4>
      </vt:variant>
      <vt:variant>
        <vt:i4>558</vt:i4>
      </vt:variant>
      <vt:variant>
        <vt:i4>0</vt:i4>
      </vt:variant>
      <vt:variant>
        <vt:i4>5</vt:i4>
      </vt:variant>
      <vt:variant>
        <vt:lpwstr/>
      </vt:variant>
      <vt:variant>
        <vt:lpwstr>_Chapter_6:_Stockpiles,</vt:lpwstr>
      </vt:variant>
      <vt:variant>
        <vt:i4>5177414</vt:i4>
      </vt:variant>
      <vt:variant>
        <vt:i4>555</vt:i4>
      </vt:variant>
      <vt:variant>
        <vt:i4>0</vt:i4>
      </vt:variant>
      <vt:variant>
        <vt:i4>5</vt:i4>
      </vt:variant>
      <vt:variant>
        <vt:lpwstr>http://www.legislation.govt.nz/regulation/public/2011/0361/latest/DLM4052228.html</vt:lpwstr>
      </vt:variant>
      <vt:variant>
        <vt:lpwstr/>
      </vt:variant>
      <vt:variant>
        <vt:i4>3211325</vt:i4>
      </vt:variant>
      <vt:variant>
        <vt:i4>552</vt:i4>
      </vt:variant>
      <vt:variant>
        <vt:i4>0</vt:i4>
      </vt:variant>
      <vt:variant>
        <vt:i4>5</vt:i4>
      </vt:variant>
      <vt:variant>
        <vt:lpwstr>https://environment.govt.nz/what-government-is-doing/areas-of-work/rma/resource-management-system-reform/pathway-to-reform/</vt:lpwstr>
      </vt:variant>
      <vt:variant>
        <vt:lpwstr/>
      </vt:variant>
      <vt:variant>
        <vt:i4>5046347</vt:i4>
      </vt:variant>
      <vt:variant>
        <vt:i4>549</vt:i4>
      </vt:variant>
      <vt:variant>
        <vt:i4>0</vt:i4>
      </vt:variant>
      <vt:variant>
        <vt:i4>5</vt:i4>
      </vt:variant>
      <vt:variant>
        <vt:lpwstr>http://www.legislation.govt.nz/act/public/1991/0069/226.0/DLM230265.html</vt:lpwstr>
      </vt:variant>
      <vt:variant>
        <vt:lpwstr/>
      </vt:variant>
      <vt:variant>
        <vt:i4>2556012</vt:i4>
      </vt:variant>
      <vt:variant>
        <vt:i4>546</vt:i4>
      </vt:variant>
      <vt:variant>
        <vt:i4>0</vt:i4>
      </vt:variant>
      <vt:variant>
        <vt:i4>5</vt:i4>
      </vt:variant>
      <vt:variant>
        <vt:lpwstr>https://www.legislation.govt.nz/act/public/1999/0093/latest/whole.html</vt:lpwstr>
      </vt:variant>
      <vt:variant>
        <vt:lpwstr>whole</vt:lpwstr>
      </vt:variant>
      <vt:variant>
        <vt:i4>131097</vt:i4>
      </vt:variant>
      <vt:variant>
        <vt:i4>543</vt:i4>
      </vt:variant>
      <vt:variant>
        <vt:i4>0</vt:i4>
      </vt:variant>
      <vt:variant>
        <vt:i4>5</vt:i4>
      </vt:variant>
      <vt:variant>
        <vt:lpwstr>https://www.legislation.govt.nz/act/public/2014/0032/75.0/DLM2995811.html</vt:lpwstr>
      </vt:variant>
      <vt:variant>
        <vt:lpwstr/>
      </vt:variant>
      <vt:variant>
        <vt:i4>3997799</vt:i4>
      </vt:variant>
      <vt:variant>
        <vt:i4>540</vt:i4>
      </vt:variant>
      <vt:variant>
        <vt:i4>0</vt:i4>
      </vt:variant>
      <vt:variant>
        <vt:i4>5</vt:i4>
      </vt:variant>
      <vt:variant>
        <vt:lpwstr>https://pce.parliament.nz/publications/knowing-whats-out-there-regulating-the-environmental-fate-of-chemicals/</vt:lpwstr>
      </vt:variant>
      <vt:variant>
        <vt:lpwstr/>
      </vt:variant>
      <vt:variant>
        <vt:i4>917523</vt:i4>
      </vt:variant>
      <vt:variant>
        <vt:i4>537</vt:i4>
      </vt:variant>
      <vt:variant>
        <vt:i4>0</vt:i4>
      </vt:variant>
      <vt:variant>
        <vt:i4>5</vt:i4>
      </vt:variant>
      <vt:variant>
        <vt:lpwstr>http://www.epa.govt.nz/assets/Uploads/Documents/Hazardous-Substances/Policies/Hazardous-Substances-Storage-and-Disposal-of-Persistent-Organic-Pollutants-Notice-2004.pdf</vt:lpwstr>
      </vt:variant>
      <vt:variant>
        <vt:lpwstr/>
      </vt:variant>
      <vt:variant>
        <vt:i4>2031644</vt:i4>
      </vt:variant>
      <vt:variant>
        <vt:i4>534</vt:i4>
      </vt:variant>
      <vt:variant>
        <vt:i4>0</vt:i4>
      </vt:variant>
      <vt:variant>
        <vt:i4>5</vt:i4>
      </vt:variant>
      <vt:variant>
        <vt:lpwstr>http://www.legislation.govt.nz/act/public/2015/0070/55.0/DLM5976660.html</vt:lpwstr>
      </vt:variant>
      <vt:variant>
        <vt:lpwstr/>
      </vt:variant>
      <vt:variant>
        <vt:i4>7340110</vt:i4>
      </vt:variant>
      <vt:variant>
        <vt:i4>531</vt:i4>
      </vt:variant>
      <vt:variant>
        <vt:i4>0</vt:i4>
      </vt:variant>
      <vt:variant>
        <vt:i4>5</vt:i4>
      </vt:variant>
      <vt:variant>
        <vt:lpwstr/>
      </vt:variant>
      <vt:variant>
        <vt:lpwstr>_Chapter_7:_Effectiveness</vt:lpwstr>
      </vt:variant>
      <vt:variant>
        <vt:i4>4325387</vt:i4>
      </vt:variant>
      <vt:variant>
        <vt:i4>528</vt:i4>
      </vt:variant>
      <vt:variant>
        <vt:i4>0</vt:i4>
      </vt:variant>
      <vt:variant>
        <vt:i4>5</vt:i4>
      </vt:variant>
      <vt:variant>
        <vt:lpwstr>https://www.mpi.govt.nz/agriculture/agricultural-compounds-vet-medicines/acvm-non-compliance-and-monitoring/</vt:lpwstr>
      </vt:variant>
      <vt:variant>
        <vt:lpwstr/>
      </vt:variant>
      <vt:variant>
        <vt:i4>2293812</vt:i4>
      </vt:variant>
      <vt:variant>
        <vt:i4>525</vt:i4>
      </vt:variant>
      <vt:variant>
        <vt:i4>0</vt:i4>
      </vt:variant>
      <vt:variant>
        <vt:i4>5</vt:i4>
      </vt:variant>
      <vt:variant>
        <vt:lpwstr>https://www.mpi.govt.nz/dmsdocument/27600/send</vt:lpwstr>
      </vt:variant>
      <vt:variant>
        <vt:lpwstr/>
      </vt:variant>
      <vt:variant>
        <vt:i4>1245196</vt:i4>
      </vt:variant>
      <vt:variant>
        <vt:i4>522</vt:i4>
      </vt:variant>
      <vt:variant>
        <vt:i4>0</vt:i4>
      </vt:variant>
      <vt:variant>
        <vt:i4>5</vt:i4>
      </vt:variant>
      <vt:variant>
        <vt:lpwstr>https://www.mpi.govt.nz/food-business/food-safety-codes-standards/australia-new-zealand-co-operation/food-standards-australia-new-zealand-fsanz/</vt:lpwstr>
      </vt:variant>
      <vt:variant>
        <vt:lpwstr/>
      </vt:variant>
      <vt:variant>
        <vt:i4>7667812</vt:i4>
      </vt:variant>
      <vt:variant>
        <vt:i4>519</vt:i4>
      </vt:variant>
      <vt:variant>
        <vt:i4>0</vt:i4>
      </vt:variant>
      <vt:variant>
        <vt:i4>5</vt:i4>
      </vt:variant>
      <vt:variant>
        <vt:lpwstr>https://www.mpi.govt.nz/legal/compliance-requirements/animal-products-act-notices/</vt:lpwstr>
      </vt:variant>
      <vt:variant>
        <vt:lpwstr/>
      </vt:variant>
      <vt:variant>
        <vt:i4>2359405</vt:i4>
      </vt:variant>
      <vt:variant>
        <vt:i4>516</vt:i4>
      </vt:variant>
      <vt:variant>
        <vt:i4>0</vt:i4>
      </vt:variant>
      <vt:variant>
        <vt:i4>5</vt:i4>
      </vt:variant>
      <vt:variant>
        <vt:lpwstr>https://www.mpi.govt.nz/food-business/food-act-2014/introduction-food-act-2014/</vt:lpwstr>
      </vt:variant>
      <vt:variant>
        <vt:lpwstr/>
      </vt:variant>
      <vt:variant>
        <vt:i4>7405605</vt:i4>
      </vt:variant>
      <vt:variant>
        <vt:i4>513</vt:i4>
      </vt:variant>
      <vt:variant>
        <vt:i4>0</vt:i4>
      </vt:variant>
      <vt:variant>
        <vt:i4>5</vt:i4>
      </vt:variant>
      <vt:variant>
        <vt:lpwstr>https://www.legislation.govt.nz/act/public/2020/0052/latest/LMS294345.html</vt:lpwstr>
      </vt:variant>
      <vt:variant>
        <vt:lpwstr/>
      </vt:variant>
      <vt:variant>
        <vt:i4>2818152</vt:i4>
      </vt:variant>
      <vt:variant>
        <vt:i4>510</vt:i4>
      </vt:variant>
      <vt:variant>
        <vt:i4>0</vt:i4>
      </vt:variant>
      <vt:variant>
        <vt:i4>5</vt:i4>
      </vt:variant>
      <vt:variant>
        <vt:lpwstr>https://www.taumataarowai.govt.nz/</vt:lpwstr>
      </vt:variant>
      <vt:variant>
        <vt:lpwstr/>
      </vt:variant>
      <vt:variant>
        <vt:i4>196672</vt:i4>
      </vt:variant>
      <vt:variant>
        <vt:i4>507</vt:i4>
      </vt:variant>
      <vt:variant>
        <vt:i4>0</vt:i4>
      </vt:variant>
      <vt:variant>
        <vt:i4>5</vt:i4>
      </vt:variant>
      <vt:variant>
        <vt:lpwstr>https://www.legislation.govt.nz/regulation/public/2004/0202/latest/DLM271701.html</vt:lpwstr>
      </vt:variant>
      <vt:variant>
        <vt:lpwstr/>
      </vt:variant>
      <vt:variant>
        <vt:i4>7274601</vt:i4>
      </vt:variant>
      <vt:variant>
        <vt:i4>504</vt:i4>
      </vt:variant>
      <vt:variant>
        <vt:i4>0</vt:i4>
      </vt:variant>
      <vt:variant>
        <vt:i4>5</vt:i4>
      </vt:variant>
      <vt:variant>
        <vt:lpwstr>https://www.epa.govt.nz/assets/RecordsAPI/Fire-Fighting-Chemicals-Group-Standard-2021-HSR002573.pdf</vt:lpwstr>
      </vt:variant>
      <vt:variant>
        <vt:lpwstr/>
      </vt:variant>
      <vt:variant>
        <vt:i4>3604566</vt:i4>
      </vt:variant>
      <vt:variant>
        <vt:i4>501</vt:i4>
      </vt:variant>
      <vt:variant>
        <vt:i4>0</vt:i4>
      </vt:variant>
      <vt:variant>
        <vt:i4>5</vt:i4>
      </vt:variant>
      <vt:variant>
        <vt:lpwstr>https://www.epa.govt.nz/assets/Uploads/Documents/Hazardous-Substances/GHS2/Consolidated_Hazardous_Substances_Disposal_Notice_2017.pdf</vt:lpwstr>
      </vt:variant>
      <vt:variant>
        <vt:lpwstr/>
      </vt:variant>
      <vt:variant>
        <vt:i4>7602227</vt:i4>
      </vt:variant>
      <vt:variant>
        <vt:i4>498</vt:i4>
      </vt:variant>
      <vt:variant>
        <vt:i4>0</vt:i4>
      </vt:variant>
      <vt:variant>
        <vt:i4>5</vt:i4>
      </vt:variant>
      <vt:variant>
        <vt:lpwstr>https://www.epa.govt.nz/assets/Uploads/Documents/Hazardous-Substances/5f03c8867a/Findings-of-the-EPA-national-investigation-into-firefighting-foams-containing-PFOS-April-2019.pdf</vt:lpwstr>
      </vt:variant>
      <vt:variant>
        <vt:lpwstr/>
      </vt:variant>
      <vt:variant>
        <vt:i4>3080233</vt:i4>
      </vt:variant>
      <vt:variant>
        <vt:i4>495</vt:i4>
      </vt:variant>
      <vt:variant>
        <vt:i4>0</vt:i4>
      </vt:variant>
      <vt:variant>
        <vt:i4>5</vt:i4>
      </vt:variant>
      <vt:variant>
        <vt:lpwstr>http://legislation.govt.nz/act/public/1996/0030/99.0/DLM381222.html</vt:lpwstr>
      </vt:variant>
      <vt:variant>
        <vt:lpwstr/>
      </vt:variant>
      <vt:variant>
        <vt:i4>1703950</vt:i4>
      </vt:variant>
      <vt:variant>
        <vt:i4>492</vt:i4>
      </vt:variant>
      <vt:variant>
        <vt:i4>0</vt:i4>
      </vt:variant>
      <vt:variant>
        <vt:i4>5</vt:i4>
      </vt:variant>
      <vt:variant>
        <vt:lpwstr>https://environment.govt.nz/assets/Publications/Files/cleaning-up-mapua-fcc-story.pdf</vt:lpwstr>
      </vt:variant>
      <vt:variant>
        <vt:lpwstr/>
      </vt:variant>
      <vt:variant>
        <vt:i4>1376347</vt:i4>
      </vt:variant>
      <vt:variant>
        <vt:i4>489</vt:i4>
      </vt:variant>
      <vt:variant>
        <vt:i4>0</vt:i4>
      </vt:variant>
      <vt:variant>
        <vt:i4>5</vt:i4>
      </vt:variant>
      <vt:variant>
        <vt:lpwstr>https://pce.parliament.nz/publications/archive/1987-1996/the-management-of-hazardous-wastes-disposal-a-review-of-government-systems/</vt:lpwstr>
      </vt:variant>
      <vt:variant>
        <vt:lpwstr/>
      </vt:variant>
      <vt:variant>
        <vt:i4>3342454</vt:i4>
      </vt:variant>
      <vt:variant>
        <vt:i4>486</vt:i4>
      </vt:variant>
      <vt:variant>
        <vt:i4>0</vt:i4>
      </vt:variant>
      <vt:variant>
        <vt:i4>5</vt:i4>
      </vt:variant>
      <vt:variant>
        <vt:lpwstr>https://environment.govt.nz/publications/new-zealands-national-implementation-plan-under-the-stockholm-convention-on-persistent-organic-pollutants/</vt:lpwstr>
      </vt:variant>
      <vt:variant>
        <vt:lpwstr/>
      </vt:variant>
      <vt:variant>
        <vt:i4>5505033</vt:i4>
      </vt:variant>
      <vt:variant>
        <vt:i4>483</vt:i4>
      </vt:variant>
      <vt:variant>
        <vt:i4>0</vt:i4>
      </vt:variant>
      <vt:variant>
        <vt:i4>5</vt:i4>
      </vt:variant>
      <vt:variant>
        <vt:lpwstr>http://chm.pops.int/Implementation/NationalImplementationPlans/NIPTransmission/tabid/253/Default.aspx</vt:lpwstr>
      </vt:variant>
      <vt:variant>
        <vt:lpwstr/>
      </vt:variant>
      <vt:variant>
        <vt:i4>3342454</vt:i4>
      </vt:variant>
      <vt:variant>
        <vt:i4>480</vt:i4>
      </vt:variant>
      <vt:variant>
        <vt:i4>0</vt:i4>
      </vt:variant>
      <vt:variant>
        <vt:i4>5</vt:i4>
      </vt:variant>
      <vt:variant>
        <vt:lpwstr>https://environment.govt.nz/publications/new-zealands-national-implementation-plan-under-the-stockholm-convention-on-persistent-organic-pollutants/</vt:lpwstr>
      </vt:variant>
      <vt:variant>
        <vt:lpwstr/>
      </vt:variant>
      <vt:variant>
        <vt:i4>8323197</vt:i4>
      </vt:variant>
      <vt:variant>
        <vt:i4>477</vt:i4>
      </vt:variant>
      <vt:variant>
        <vt:i4>0</vt:i4>
      </vt:variant>
      <vt:variant>
        <vt:i4>5</vt:i4>
      </vt:variant>
      <vt:variant>
        <vt:lpwstr>C:\Users\bhadraz\AppData\Roaming\OpenText\OTEdit\EC_tepuna\c5058791\mailto_stockholm@mfe.govt.nz</vt:lpwstr>
      </vt:variant>
      <vt:variant>
        <vt:lpwstr/>
      </vt:variant>
      <vt:variant>
        <vt:i4>4915216</vt:i4>
      </vt:variant>
      <vt:variant>
        <vt:i4>474</vt:i4>
      </vt:variant>
      <vt:variant>
        <vt:i4>0</vt:i4>
      </vt:variant>
      <vt:variant>
        <vt:i4>5</vt:i4>
      </vt:variant>
      <vt:variant>
        <vt:lpwstr>https://www.pce.parliament.nz/publications/regulating-the-environmental-fate-of-chemicals</vt:lpwstr>
      </vt:variant>
      <vt:variant>
        <vt:lpwstr/>
      </vt:variant>
      <vt:variant>
        <vt:i4>1441845</vt:i4>
      </vt:variant>
      <vt:variant>
        <vt:i4>467</vt:i4>
      </vt:variant>
      <vt:variant>
        <vt:i4>0</vt:i4>
      </vt:variant>
      <vt:variant>
        <vt:i4>5</vt:i4>
      </vt:variant>
      <vt:variant>
        <vt:lpwstr/>
      </vt:variant>
      <vt:variant>
        <vt:lpwstr>_Toc120523650</vt:lpwstr>
      </vt:variant>
      <vt:variant>
        <vt:i4>1507381</vt:i4>
      </vt:variant>
      <vt:variant>
        <vt:i4>461</vt:i4>
      </vt:variant>
      <vt:variant>
        <vt:i4>0</vt:i4>
      </vt:variant>
      <vt:variant>
        <vt:i4>5</vt:i4>
      </vt:variant>
      <vt:variant>
        <vt:lpwstr/>
      </vt:variant>
      <vt:variant>
        <vt:lpwstr>_Toc120523649</vt:lpwstr>
      </vt:variant>
      <vt:variant>
        <vt:i4>1507381</vt:i4>
      </vt:variant>
      <vt:variant>
        <vt:i4>455</vt:i4>
      </vt:variant>
      <vt:variant>
        <vt:i4>0</vt:i4>
      </vt:variant>
      <vt:variant>
        <vt:i4>5</vt:i4>
      </vt:variant>
      <vt:variant>
        <vt:lpwstr/>
      </vt:variant>
      <vt:variant>
        <vt:lpwstr>_Toc120523648</vt:lpwstr>
      </vt:variant>
      <vt:variant>
        <vt:i4>1507381</vt:i4>
      </vt:variant>
      <vt:variant>
        <vt:i4>449</vt:i4>
      </vt:variant>
      <vt:variant>
        <vt:i4>0</vt:i4>
      </vt:variant>
      <vt:variant>
        <vt:i4>5</vt:i4>
      </vt:variant>
      <vt:variant>
        <vt:lpwstr/>
      </vt:variant>
      <vt:variant>
        <vt:lpwstr>_Toc120523647</vt:lpwstr>
      </vt:variant>
      <vt:variant>
        <vt:i4>1507381</vt:i4>
      </vt:variant>
      <vt:variant>
        <vt:i4>443</vt:i4>
      </vt:variant>
      <vt:variant>
        <vt:i4>0</vt:i4>
      </vt:variant>
      <vt:variant>
        <vt:i4>5</vt:i4>
      </vt:variant>
      <vt:variant>
        <vt:lpwstr/>
      </vt:variant>
      <vt:variant>
        <vt:lpwstr>_Toc120523646</vt:lpwstr>
      </vt:variant>
      <vt:variant>
        <vt:i4>1769520</vt:i4>
      </vt:variant>
      <vt:variant>
        <vt:i4>434</vt:i4>
      </vt:variant>
      <vt:variant>
        <vt:i4>0</vt:i4>
      </vt:variant>
      <vt:variant>
        <vt:i4>5</vt:i4>
      </vt:variant>
      <vt:variant>
        <vt:lpwstr/>
      </vt:variant>
      <vt:variant>
        <vt:lpwstr>_Toc120532297</vt:lpwstr>
      </vt:variant>
      <vt:variant>
        <vt:i4>1769520</vt:i4>
      </vt:variant>
      <vt:variant>
        <vt:i4>428</vt:i4>
      </vt:variant>
      <vt:variant>
        <vt:i4>0</vt:i4>
      </vt:variant>
      <vt:variant>
        <vt:i4>5</vt:i4>
      </vt:variant>
      <vt:variant>
        <vt:lpwstr/>
      </vt:variant>
      <vt:variant>
        <vt:lpwstr>_Toc120532296</vt:lpwstr>
      </vt:variant>
      <vt:variant>
        <vt:i4>1769520</vt:i4>
      </vt:variant>
      <vt:variant>
        <vt:i4>419</vt:i4>
      </vt:variant>
      <vt:variant>
        <vt:i4>0</vt:i4>
      </vt:variant>
      <vt:variant>
        <vt:i4>5</vt:i4>
      </vt:variant>
      <vt:variant>
        <vt:lpwstr/>
      </vt:variant>
      <vt:variant>
        <vt:lpwstr>_Toc120532295</vt:lpwstr>
      </vt:variant>
      <vt:variant>
        <vt:i4>1769520</vt:i4>
      </vt:variant>
      <vt:variant>
        <vt:i4>413</vt:i4>
      </vt:variant>
      <vt:variant>
        <vt:i4>0</vt:i4>
      </vt:variant>
      <vt:variant>
        <vt:i4>5</vt:i4>
      </vt:variant>
      <vt:variant>
        <vt:lpwstr/>
      </vt:variant>
      <vt:variant>
        <vt:lpwstr>_Toc120532294</vt:lpwstr>
      </vt:variant>
      <vt:variant>
        <vt:i4>1769520</vt:i4>
      </vt:variant>
      <vt:variant>
        <vt:i4>407</vt:i4>
      </vt:variant>
      <vt:variant>
        <vt:i4>0</vt:i4>
      </vt:variant>
      <vt:variant>
        <vt:i4>5</vt:i4>
      </vt:variant>
      <vt:variant>
        <vt:lpwstr/>
      </vt:variant>
      <vt:variant>
        <vt:lpwstr>_Toc120532293</vt:lpwstr>
      </vt:variant>
      <vt:variant>
        <vt:i4>1769520</vt:i4>
      </vt:variant>
      <vt:variant>
        <vt:i4>401</vt:i4>
      </vt:variant>
      <vt:variant>
        <vt:i4>0</vt:i4>
      </vt:variant>
      <vt:variant>
        <vt:i4>5</vt:i4>
      </vt:variant>
      <vt:variant>
        <vt:lpwstr/>
      </vt:variant>
      <vt:variant>
        <vt:lpwstr>_Toc120532292</vt:lpwstr>
      </vt:variant>
      <vt:variant>
        <vt:i4>1769520</vt:i4>
      </vt:variant>
      <vt:variant>
        <vt:i4>395</vt:i4>
      </vt:variant>
      <vt:variant>
        <vt:i4>0</vt:i4>
      </vt:variant>
      <vt:variant>
        <vt:i4>5</vt:i4>
      </vt:variant>
      <vt:variant>
        <vt:lpwstr/>
      </vt:variant>
      <vt:variant>
        <vt:lpwstr>_Toc120532291</vt:lpwstr>
      </vt:variant>
      <vt:variant>
        <vt:i4>1769520</vt:i4>
      </vt:variant>
      <vt:variant>
        <vt:i4>389</vt:i4>
      </vt:variant>
      <vt:variant>
        <vt:i4>0</vt:i4>
      </vt:variant>
      <vt:variant>
        <vt:i4>5</vt:i4>
      </vt:variant>
      <vt:variant>
        <vt:lpwstr/>
      </vt:variant>
      <vt:variant>
        <vt:lpwstr>_Toc120532290</vt:lpwstr>
      </vt:variant>
      <vt:variant>
        <vt:i4>1703984</vt:i4>
      </vt:variant>
      <vt:variant>
        <vt:i4>383</vt:i4>
      </vt:variant>
      <vt:variant>
        <vt:i4>0</vt:i4>
      </vt:variant>
      <vt:variant>
        <vt:i4>5</vt:i4>
      </vt:variant>
      <vt:variant>
        <vt:lpwstr/>
      </vt:variant>
      <vt:variant>
        <vt:lpwstr>_Toc120532289</vt:lpwstr>
      </vt:variant>
      <vt:variant>
        <vt:i4>1703984</vt:i4>
      </vt:variant>
      <vt:variant>
        <vt:i4>377</vt:i4>
      </vt:variant>
      <vt:variant>
        <vt:i4>0</vt:i4>
      </vt:variant>
      <vt:variant>
        <vt:i4>5</vt:i4>
      </vt:variant>
      <vt:variant>
        <vt:lpwstr/>
      </vt:variant>
      <vt:variant>
        <vt:lpwstr>_Toc120532288</vt:lpwstr>
      </vt:variant>
      <vt:variant>
        <vt:i4>1703984</vt:i4>
      </vt:variant>
      <vt:variant>
        <vt:i4>371</vt:i4>
      </vt:variant>
      <vt:variant>
        <vt:i4>0</vt:i4>
      </vt:variant>
      <vt:variant>
        <vt:i4>5</vt:i4>
      </vt:variant>
      <vt:variant>
        <vt:lpwstr/>
      </vt:variant>
      <vt:variant>
        <vt:lpwstr>_Toc120532287</vt:lpwstr>
      </vt:variant>
      <vt:variant>
        <vt:i4>1703984</vt:i4>
      </vt:variant>
      <vt:variant>
        <vt:i4>365</vt:i4>
      </vt:variant>
      <vt:variant>
        <vt:i4>0</vt:i4>
      </vt:variant>
      <vt:variant>
        <vt:i4>5</vt:i4>
      </vt:variant>
      <vt:variant>
        <vt:lpwstr/>
      </vt:variant>
      <vt:variant>
        <vt:lpwstr>_Toc120532286</vt:lpwstr>
      </vt:variant>
      <vt:variant>
        <vt:i4>1703984</vt:i4>
      </vt:variant>
      <vt:variant>
        <vt:i4>359</vt:i4>
      </vt:variant>
      <vt:variant>
        <vt:i4>0</vt:i4>
      </vt:variant>
      <vt:variant>
        <vt:i4>5</vt:i4>
      </vt:variant>
      <vt:variant>
        <vt:lpwstr/>
      </vt:variant>
      <vt:variant>
        <vt:lpwstr>_Toc120532285</vt:lpwstr>
      </vt:variant>
      <vt:variant>
        <vt:i4>1703984</vt:i4>
      </vt:variant>
      <vt:variant>
        <vt:i4>353</vt:i4>
      </vt:variant>
      <vt:variant>
        <vt:i4>0</vt:i4>
      </vt:variant>
      <vt:variant>
        <vt:i4>5</vt:i4>
      </vt:variant>
      <vt:variant>
        <vt:lpwstr/>
      </vt:variant>
      <vt:variant>
        <vt:lpwstr>_Toc120532284</vt:lpwstr>
      </vt:variant>
      <vt:variant>
        <vt:i4>1703984</vt:i4>
      </vt:variant>
      <vt:variant>
        <vt:i4>347</vt:i4>
      </vt:variant>
      <vt:variant>
        <vt:i4>0</vt:i4>
      </vt:variant>
      <vt:variant>
        <vt:i4>5</vt:i4>
      </vt:variant>
      <vt:variant>
        <vt:lpwstr/>
      </vt:variant>
      <vt:variant>
        <vt:lpwstr>_Toc120532283</vt:lpwstr>
      </vt:variant>
      <vt:variant>
        <vt:i4>1703984</vt:i4>
      </vt:variant>
      <vt:variant>
        <vt:i4>341</vt:i4>
      </vt:variant>
      <vt:variant>
        <vt:i4>0</vt:i4>
      </vt:variant>
      <vt:variant>
        <vt:i4>5</vt:i4>
      </vt:variant>
      <vt:variant>
        <vt:lpwstr/>
      </vt:variant>
      <vt:variant>
        <vt:lpwstr>_Toc120532282</vt:lpwstr>
      </vt:variant>
      <vt:variant>
        <vt:i4>1703984</vt:i4>
      </vt:variant>
      <vt:variant>
        <vt:i4>335</vt:i4>
      </vt:variant>
      <vt:variant>
        <vt:i4>0</vt:i4>
      </vt:variant>
      <vt:variant>
        <vt:i4>5</vt:i4>
      </vt:variant>
      <vt:variant>
        <vt:lpwstr/>
      </vt:variant>
      <vt:variant>
        <vt:lpwstr>_Toc120532281</vt:lpwstr>
      </vt:variant>
      <vt:variant>
        <vt:i4>1703984</vt:i4>
      </vt:variant>
      <vt:variant>
        <vt:i4>329</vt:i4>
      </vt:variant>
      <vt:variant>
        <vt:i4>0</vt:i4>
      </vt:variant>
      <vt:variant>
        <vt:i4>5</vt:i4>
      </vt:variant>
      <vt:variant>
        <vt:lpwstr/>
      </vt:variant>
      <vt:variant>
        <vt:lpwstr>_Toc120532280</vt:lpwstr>
      </vt:variant>
      <vt:variant>
        <vt:i4>1376304</vt:i4>
      </vt:variant>
      <vt:variant>
        <vt:i4>323</vt:i4>
      </vt:variant>
      <vt:variant>
        <vt:i4>0</vt:i4>
      </vt:variant>
      <vt:variant>
        <vt:i4>5</vt:i4>
      </vt:variant>
      <vt:variant>
        <vt:lpwstr/>
      </vt:variant>
      <vt:variant>
        <vt:lpwstr>_Toc120532279</vt:lpwstr>
      </vt:variant>
      <vt:variant>
        <vt:i4>1376304</vt:i4>
      </vt:variant>
      <vt:variant>
        <vt:i4>317</vt:i4>
      </vt:variant>
      <vt:variant>
        <vt:i4>0</vt:i4>
      </vt:variant>
      <vt:variant>
        <vt:i4>5</vt:i4>
      </vt:variant>
      <vt:variant>
        <vt:lpwstr/>
      </vt:variant>
      <vt:variant>
        <vt:lpwstr>_Toc120532278</vt:lpwstr>
      </vt:variant>
      <vt:variant>
        <vt:i4>1376304</vt:i4>
      </vt:variant>
      <vt:variant>
        <vt:i4>311</vt:i4>
      </vt:variant>
      <vt:variant>
        <vt:i4>0</vt:i4>
      </vt:variant>
      <vt:variant>
        <vt:i4>5</vt:i4>
      </vt:variant>
      <vt:variant>
        <vt:lpwstr/>
      </vt:variant>
      <vt:variant>
        <vt:lpwstr>_Toc120532277</vt:lpwstr>
      </vt:variant>
      <vt:variant>
        <vt:i4>1376304</vt:i4>
      </vt:variant>
      <vt:variant>
        <vt:i4>305</vt:i4>
      </vt:variant>
      <vt:variant>
        <vt:i4>0</vt:i4>
      </vt:variant>
      <vt:variant>
        <vt:i4>5</vt:i4>
      </vt:variant>
      <vt:variant>
        <vt:lpwstr/>
      </vt:variant>
      <vt:variant>
        <vt:lpwstr>_Toc120532276</vt:lpwstr>
      </vt:variant>
      <vt:variant>
        <vt:i4>1376304</vt:i4>
      </vt:variant>
      <vt:variant>
        <vt:i4>299</vt:i4>
      </vt:variant>
      <vt:variant>
        <vt:i4>0</vt:i4>
      </vt:variant>
      <vt:variant>
        <vt:i4>5</vt:i4>
      </vt:variant>
      <vt:variant>
        <vt:lpwstr/>
      </vt:variant>
      <vt:variant>
        <vt:lpwstr>_Toc120532275</vt:lpwstr>
      </vt:variant>
      <vt:variant>
        <vt:i4>1376304</vt:i4>
      </vt:variant>
      <vt:variant>
        <vt:i4>293</vt:i4>
      </vt:variant>
      <vt:variant>
        <vt:i4>0</vt:i4>
      </vt:variant>
      <vt:variant>
        <vt:i4>5</vt:i4>
      </vt:variant>
      <vt:variant>
        <vt:lpwstr/>
      </vt:variant>
      <vt:variant>
        <vt:lpwstr>_Toc120532274</vt:lpwstr>
      </vt:variant>
      <vt:variant>
        <vt:i4>1376304</vt:i4>
      </vt:variant>
      <vt:variant>
        <vt:i4>287</vt:i4>
      </vt:variant>
      <vt:variant>
        <vt:i4>0</vt:i4>
      </vt:variant>
      <vt:variant>
        <vt:i4>5</vt:i4>
      </vt:variant>
      <vt:variant>
        <vt:lpwstr/>
      </vt:variant>
      <vt:variant>
        <vt:lpwstr>_Toc120532273</vt:lpwstr>
      </vt:variant>
      <vt:variant>
        <vt:i4>1376304</vt:i4>
      </vt:variant>
      <vt:variant>
        <vt:i4>281</vt:i4>
      </vt:variant>
      <vt:variant>
        <vt:i4>0</vt:i4>
      </vt:variant>
      <vt:variant>
        <vt:i4>5</vt:i4>
      </vt:variant>
      <vt:variant>
        <vt:lpwstr/>
      </vt:variant>
      <vt:variant>
        <vt:lpwstr>_Toc120532272</vt:lpwstr>
      </vt:variant>
      <vt:variant>
        <vt:i4>1376304</vt:i4>
      </vt:variant>
      <vt:variant>
        <vt:i4>275</vt:i4>
      </vt:variant>
      <vt:variant>
        <vt:i4>0</vt:i4>
      </vt:variant>
      <vt:variant>
        <vt:i4>5</vt:i4>
      </vt:variant>
      <vt:variant>
        <vt:lpwstr/>
      </vt:variant>
      <vt:variant>
        <vt:lpwstr>_Toc120532271</vt:lpwstr>
      </vt:variant>
      <vt:variant>
        <vt:i4>1376304</vt:i4>
      </vt:variant>
      <vt:variant>
        <vt:i4>269</vt:i4>
      </vt:variant>
      <vt:variant>
        <vt:i4>0</vt:i4>
      </vt:variant>
      <vt:variant>
        <vt:i4>5</vt:i4>
      </vt:variant>
      <vt:variant>
        <vt:lpwstr/>
      </vt:variant>
      <vt:variant>
        <vt:lpwstr>_Toc120532270</vt:lpwstr>
      </vt:variant>
      <vt:variant>
        <vt:i4>1310768</vt:i4>
      </vt:variant>
      <vt:variant>
        <vt:i4>263</vt:i4>
      </vt:variant>
      <vt:variant>
        <vt:i4>0</vt:i4>
      </vt:variant>
      <vt:variant>
        <vt:i4>5</vt:i4>
      </vt:variant>
      <vt:variant>
        <vt:lpwstr/>
      </vt:variant>
      <vt:variant>
        <vt:lpwstr>_Toc120532269</vt:lpwstr>
      </vt:variant>
      <vt:variant>
        <vt:i4>1310768</vt:i4>
      </vt:variant>
      <vt:variant>
        <vt:i4>257</vt:i4>
      </vt:variant>
      <vt:variant>
        <vt:i4>0</vt:i4>
      </vt:variant>
      <vt:variant>
        <vt:i4>5</vt:i4>
      </vt:variant>
      <vt:variant>
        <vt:lpwstr/>
      </vt:variant>
      <vt:variant>
        <vt:lpwstr>_Toc120532268</vt:lpwstr>
      </vt:variant>
      <vt:variant>
        <vt:i4>1310768</vt:i4>
      </vt:variant>
      <vt:variant>
        <vt:i4>251</vt:i4>
      </vt:variant>
      <vt:variant>
        <vt:i4>0</vt:i4>
      </vt:variant>
      <vt:variant>
        <vt:i4>5</vt:i4>
      </vt:variant>
      <vt:variant>
        <vt:lpwstr/>
      </vt:variant>
      <vt:variant>
        <vt:lpwstr>_Toc120532267</vt:lpwstr>
      </vt:variant>
      <vt:variant>
        <vt:i4>1310768</vt:i4>
      </vt:variant>
      <vt:variant>
        <vt:i4>245</vt:i4>
      </vt:variant>
      <vt:variant>
        <vt:i4>0</vt:i4>
      </vt:variant>
      <vt:variant>
        <vt:i4>5</vt:i4>
      </vt:variant>
      <vt:variant>
        <vt:lpwstr/>
      </vt:variant>
      <vt:variant>
        <vt:lpwstr>_Toc120532266</vt:lpwstr>
      </vt:variant>
      <vt:variant>
        <vt:i4>1310768</vt:i4>
      </vt:variant>
      <vt:variant>
        <vt:i4>236</vt:i4>
      </vt:variant>
      <vt:variant>
        <vt:i4>0</vt:i4>
      </vt:variant>
      <vt:variant>
        <vt:i4>5</vt:i4>
      </vt:variant>
      <vt:variant>
        <vt:lpwstr/>
      </vt:variant>
      <vt:variant>
        <vt:lpwstr>_Toc120532265</vt:lpwstr>
      </vt:variant>
      <vt:variant>
        <vt:i4>1310768</vt:i4>
      </vt:variant>
      <vt:variant>
        <vt:i4>230</vt:i4>
      </vt:variant>
      <vt:variant>
        <vt:i4>0</vt:i4>
      </vt:variant>
      <vt:variant>
        <vt:i4>5</vt:i4>
      </vt:variant>
      <vt:variant>
        <vt:lpwstr/>
      </vt:variant>
      <vt:variant>
        <vt:lpwstr>_Toc120532264</vt:lpwstr>
      </vt:variant>
      <vt:variant>
        <vt:i4>1310768</vt:i4>
      </vt:variant>
      <vt:variant>
        <vt:i4>224</vt:i4>
      </vt:variant>
      <vt:variant>
        <vt:i4>0</vt:i4>
      </vt:variant>
      <vt:variant>
        <vt:i4>5</vt:i4>
      </vt:variant>
      <vt:variant>
        <vt:lpwstr/>
      </vt:variant>
      <vt:variant>
        <vt:lpwstr>_Toc120532263</vt:lpwstr>
      </vt:variant>
      <vt:variant>
        <vt:i4>1310768</vt:i4>
      </vt:variant>
      <vt:variant>
        <vt:i4>218</vt:i4>
      </vt:variant>
      <vt:variant>
        <vt:i4>0</vt:i4>
      </vt:variant>
      <vt:variant>
        <vt:i4>5</vt:i4>
      </vt:variant>
      <vt:variant>
        <vt:lpwstr/>
      </vt:variant>
      <vt:variant>
        <vt:lpwstr>_Toc120532262</vt:lpwstr>
      </vt:variant>
      <vt:variant>
        <vt:i4>1310768</vt:i4>
      </vt:variant>
      <vt:variant>
        <vt:i4>212</vt:i4>
      </vt:variant>
      <vt:variant>
        <vt:i4>0</vt:i4>
      </vt:variant>
      <vt:variant>
        <vt:i4>5</vt:i4>
      </vt:variant>
      <vt:variant>
        <vt:lpwstr/>
      </vt:variant>
      <vt:variant>
        <vt:lpwstr>_Toc120532261</vt:lpwstr>
      </vt:variant>
      <vt:variant>
        <vt:i4>1310768</vt:i4>
      </vt:variant>
      <vt:variant>
        <vt:i4>206</vt:i4>
      </vt:variant>
      <vt:variant>
        <vt:i4>0</vt:i4>
      </vt:variant>
      <vt:variant>
        <vt:i4>5</vt:i4>
      </vt:variant>
      <vt:variant>
        <vt:lpwstr/>
      </vt:variant>
      <vt:variant>
        <vt:lpwstr>_Toc120532260</vt:lpwstr>
      </vt:variant>
      <vt:variant>
        <vt:i4>1507376</vt:i4>
      </vt:variant>
      <vt:variant>
        <vt:i4>200</vt:i4>
      </vt:variant>
      <vt:variant>
        <vt:i4>0</vt:i4>
      </vt:variant>
      <vt:variant>
        <vt:i4>5</vt:i4>
      </vt:variant>
      <vt:variant>
        <vt:lpwstr/>
      </vt:variant>
      <vt:variant>
        <vt:lpwstr>_Toc120532259</vt:lpwstr>
      </vt:variant>
      <vt:variant>
        <vt:i4>1507376</vt:i4>
      </vt:variant>
      <vt:variant>
        <vt:i4>194</vt:i4>
      </vt:variant>
      <vt:variant>
        <vt:i4>0</vt:i4>
      </vt:variant>
      <vt:variant>
        <vt:i4>5</vt:i4>
      </vt:variant>
      <vt:variant>
        <vt:lpwstr/>
      </vt:variant>
      <vt:variant>
        <vt:lpwstr>_Toc120532258</vt:lpwstr>
      </vt:variant>
      <vt:variant>
        <vt:i4>1507376</vt:i4>
      </vt:variant>
      <vt:variant>
        <vt:i4>188</vt:i4>
      </vt:variant>
      <vt:variant>
        <vt:i4>0</vt:i4>
      </vt:variant>
      <vt:variant>
        <vt:i4>5</vt:i4>
      </vt:variant>
      <vt:variant>
        <vt:lpwstr/>
      </vt:variant>
      <vt:variant>
        <vt:lpwstr>_Toc120532257</vt:lpwstr>
      </vt:variant>
      <vt:variant>
        <vt:i4>1507376</vt:i4>
      </vt:variant>
      <vt:variant>
        <vt:i4>182</vt:i4>
      </vt:variant>
      <vt:variant>
        <vt:i4>0</vt:i4>
      </vt:variant>
      <vt:variant>
        <vt:i4>5</vt:i4>
      </vt:variant>
      <vt:variant>
        <vt:lpwstr/>
      </vt:variant>
      <vt:variant>
        <vt:lpwstr>_Toc120532256</vt:lpwstr>
      </vt:variant>
      <vt:variant>
        <vt:i4>1507376</vt:i4>
      </vt:variant>
      <vt:variant>
        <vt:i4>176</vt:i4>
      </vt:variant>
      <vt:variant>
        <vt:i4>0</vt:i4>
      </vt:variant>
      <vt:variant>
        <vt:i4>5</vt:i4>
      </vt:variant>
      <vt:variant>
        <vt:lpwstr/>
      </vt:variant>
      <vt:variant>
        <vt:lpwstr>_Toc120532255</vt:lpwstr>
      </vt:variant>
      <vt:variant>
        <vt:i4>1507376</vt:i4>
      </vt:variant>
      <vt:variant>
        <vt:i4>170</vt:i4>
      </vt:variant>
      <vt:variant>
        <vt:i4>0</vt:i4>
      </vt:variant>
      <vt:variant>
        <vt:i4>5</vt:i4>
      </vt:variant>
      <vt:variant>
        <vt:lpwstr/>
      </vt:variant>
      <vt:variant>
        <vt:lpwstr>_Toc120532254</vt:lpwstr>
      </vt:variant>
      <vt:variant>
        <vt:i4>1507376</vt:i4>
      </vt:variant>
      <vt:variant>
        <vt:i4>164</vt:i4>
      </vt:variant>
      <vt:variant>
        <vt:i4>0</vt:i4>
      </vt:variant>
      <vt:variant>
        <vt:i4>5</vt:i4>
      </vt:variant>
      <vt:variant>
        <vt:lpwstr/>
      </vt:variant>
      <vt:variant>
        <vt:lpwstr>_Toc120532253</vt:lpwstr>
      </vt:variant>
      <vt:variant>
        <vt:i4>1507376</vt:i4>
      </vt:variant>
      <vt:variant>
        <vt:i4>158</vt:i4>
      </vt:variant>
      <vt:variant>
        <vt:i4>0</vt:i4>
      </vt:variant>
      <vt:variant>
        <vt:i4>5</vt:i4>
      </vt:variant>
      <vt:variant>
        <vt:lpwstr/>
      </vt:variant>
      <vt:variant>
        <vt:lpwstr>_Toc120532252</vt:lpwstr>
      </vt:variant>
      <vt:variant>
        <vt:i4>1507376</vt:i4>
      </vt:variant>
      <vt:variant>
        <vt:i4>152</vt:i4>
      </vt:variant>
      <vt:variant>
        <vt:i4>0</vt:i4>
      </vt:variant>
      <vt:variant>
        <vt:i4>5</vt:i4>
      </vt:variant>
      <vt:variant>
        <vt:lpwstr/>
      </vt:variant>
      <vt:variant>
        <vt:lpwstr>_Toc120532251</vt:lpwstr>
      </vt:variant>
      <vt:variant>
        <vt:i4>1507376</vt:i4>
      </vt:variant>
      <vt:variant>
        <vt:i4>146</vt:i4>
      </vt:variant>
      <vt:variant>
        <vt:i4>0</vt:i4>
      </vt:variant>
      <vt:variant>
        <vt:i4>5</vt:i4>
      </vt:variant>
      <vt:variant>
        <vt:lpwstr/>
      </vt:variant>
      <vt:variant>
        <vt:lpwstr>_Toc120532250</vt:lpwstr>
      </vt:variant>
      <vt:variant>
        <vt:i4>1441840</vt:i4>
      </vt:variant>
      <vt:variant>
        <vt:i4>140</vt:i4>
      </vt:variant>
      <vt:variant>
        <vt:i4>0</vt:i4>
      </vt:variant>
      <vt:variant>
        <vt:i4>5</vt:i4>
      </vt:variant>
      <vt:variant>
        <vt:lpwstr/>
      </vt:variant>
      <vt:variant>
        <vt:lpwstr>_Toc120532249</vt:lpwstr>
      </vt:variant>
      <vt:variant>
        <vt:i4>1441840</vt:i4>
      </vt:variant>
      <vt:variant>
        <vt:i4>134</vt:i4>
      </vt:variant>
      <vt:variant>
        <vt:i4>0</vt:i4>
      </vt:variant>
      <vt:variant>
        <vt:i4>5</vt:i4>
      </vt:variant>
      <vt:variant>
        <vt:lpwstr/>
      </vt:variant>
      <vt:variant>
        <vt:lpwstr>_Toc120532248</vt:lpwstr>
      </vt:variant>
      <vt:variant>
        <vt:i4>1441840</vt:i4>
      </vt:variant>
      <vt:variant>
        <vt:i4>128</vt:i4>
      </vt:variant>
      <vt:variant>
        <vt:i4>0</vt:i4>
      </vt:variant>
      <vt:variant>
        <vt:i4>5</vt:i4>
      </vt:variant>
      <vt:variant>
        <vt:lpwstr/>
      </vt:variant>
      <vt:variant>
        <vt:lpwstr>_Toc120532247</vt:lpwstr>
      </vt:variant>
      <vt:variant>
        <vt:i4>1441840</vt:i4>
      </vt:variant>
      <vt:variant>
        <vt:i4>122</vt:i4>
      </vt:variant>
      <vt:variant>
        <vt:i4>0</vt:i4>
      </vt:variant>
      <vt:variant>
        <vt:i4>5</vt:i4>
      </vt:variant>
      <vt:variant>
        <vt:lpwstr/>
      </vt:variant>
      <vt:variant>
        <vt:lpwstr>_Toc120532246</vt:lpwstr>
      </vt:variant>
      <vt:variant>
        <vt:i4>1441840</vt:i4>
      </vt:variant>
      <vt:variant>
        <vt:i4>116</vt:i4>
      </vt:variant>
      <vt:variant>
        <vt:i4>0</vt:i4>
      </vt:variant>
      <vt:variant>
        <vt:i4>5</vt:i4>
      </vt:variant>
      <vt:variant>
        <vt:lpwstr/>
      </vt:variant>
      <vt:variant>
        <vt:lpwstr>_Toc120532245</vt:lpwstr>
      </vt:variant>
      <vt:variant>
        <vt:i4>1441840</vt:i4>
      </vt:variant>
      <vt:variant>
        <vt:i4>110</vt:i4>
      </vt:variant>
      <vt:variant>
        <vt:i4>0</vt:i4>
      </vt:variant>
      <vt:variant>
        <vt:i4>5</vt:i4>
      </vt:variant>
      <vt:variant>
        <vt:lpwstr/>
      </vt:variant>
      <vt:variant>
        <vt:lpwstr>_Toc120532244</vt:lpwstr>
      </vt:variant>
      <vt:variant>
        <vt:i4>1441840</vt:i4>
      </vt:variant>
      <vt:variant>
        <vt:i4>104</vt:i4>
      </vt:variant>
      <vt:variant>
        <vt:i4>0</vt:i4>
      </vt:variant>
      <vt:variant>
        <vt:i4>5</vt:i4>
      </vt:variant>
      <vt:variant>
        <vt:lpwstr/>
      </vt:variant>
      <vt:variant>
        <vt:lpwstr>_Toc120532243</vt:lpwstr>
      </vt:variant>
      <vt:variant>
        <vt:i4>1441840</vt:i4>
      </vt:variant>
      <vt:variant>
        <vt:i4>98</vt:i4>
      </vt:variant>
      <vt:variant>
        <vt:i4>0</vt:i4>
      </vt:variant>
      <vt:variant>
        <vt:i4>5</vt:i4>
      </vt:variant>
      <vt:variant>
        <vt:lpwstr/>
      </vt:variant>
      <vt:variant>
        <vt:lpwstr>_Toc120532242</vt:lpwstr>
      </vt:variant>
      <vt:variant>
        <vt:i4>1441840</vt:i4>
      </vt:variant>
      <vt:variant>
        <vt:i4>92</vt:i4>
      </vt:variant>
      <vt:variant>
        <vt:i4>0</vt:i4>
      </vt:variant>
      <vt:variant>
        <vt:i4>5</vt:i4>
      </vt:variant>
      <vt:variant>
        <vt:lpwstr/>
      </vt:variant>
      <vt:variant>
        <vt:lpwstr>_Toc120532241</vt:lpwstr>
      </vt:variant>
      <vt:variant>
        <vt:i4>1441840</vt:i4>
      </vt:variant>
      <vt:variant>
        <vt:i4>86</vt:i4>
      </vt:variant>
      <vt:variant>
        <vt:i4>0</vt:i4>
      </vt:variant>
      <vt:variant>
        <vt:i4>5</vt:i4>
      </vt:variant>
      <vt:variant>
        <vt:lpwstr/>
      </vt:variant>
      <vt:variant>
        <vt:lpwstr>_Toc120532240</vt:lpwstr>
      </vt:variant>
      <vt:variant>
        <vt:i4>1114160</vt:i4>
      </vt:variant>
      <vt:variant>
        <vt:i4>80</vt:i4>
      </vt:variant>
      <vt:variant>
        <vt:i4>0</vt:i4>
      </vt:variant>
      <vt:variant>
        <vt:i4>5</vt:i4>
      </vt:variant>
      <vt:variant>
        <vt:lpwstr/>
      </vt:variant>
      <vt:variant>
        <vt:lpwstr>_Toc120532239</vt:lpwstr>
      </vt:variant>
      <vt:variant>
        <vt:i4>1114160</vt:i4>
      </vt:variant>
      <vt:variant>
        <vt:i4>74</vt:i4>
      </vt:variant>
      <vt:variant>
        <vt:i4>0</vt:i4>
      </vt:variant>
      <vt:variant>
        <vt:i4>5</vt:i4>
      </vt:variant>
      <vt:variant>
        <vt:lpwstr/>
      </vt:variant>
      <vt:variant>
        <vt:lpwstr>_Toc120532238</vt:lpwstr>
      </vt:variant>
      <vt:variant>
        <vt:i4>1114160</vt:i4>
      </vt:variant>
      <vt:variant>
        <vt:i4>68</vt:i4>
      </vt:variant>
      <vt:variant>
        <vt:i4>0</vt:i4>
      </vt:variant>
      <vt:variant>
        <vt:i4>5</vt:i4>
      </vt:variant>
      <vt:variant>
        <vt:lpwstr/>
      </vt:variant>
      <vt:variant>
        <vt:lpwstr>_Toc120532237</vt:lpwstr>
      </vt:variant>
      <vt:variant>
        <vt:i4>1114160</vt:i4>
      </vt:variant>
      <vt:variant>
        <vt:i4>62</vt:i4>
      </vt:variant>
      <vt:variant>
        <vt:i4>0</vt:i4>
      </vt:variant>
      <vt:variant>
        <vt:i4>5</vt:i4>
      </vt:variant>
      <vt:variant>
        <vt:lpwstr/>
      </vt:variant>
      <vt:variant>
        <vt:lpwstr>_Toc120532236</vt:lpwstr>
      </vt:variant>
      <vt:variant>
        <vt:i4>1114160</vt:i4>
      </vt:variant>
      <vt:variant>
        <vt:i4>56</vt:i4>
      </vt:variant>
      <vt:variant>
        <vt:i4>0</vt:i4>
      </vt:variant>
      <vt:variant>
        <vt:i4>5</vt:i4>
      </vt:variant>
      <vt:variant>
        <vt:lpwstr/>
      </vt:variant>
      <vt:variant>
        <vt:lpwstr>_Toc120532235</vt:lpwstr>
      </vt:variant>
      <vt:variant>
        <vt:i4>1114160</vt:i4>
      </vt:variant>
      <vt:variant>
        <vt:i4>50</vt:i4>
      </vt:variant>
      <vt:variant>
        <vt:i4>0</vt:i4>
      </vt:variant>
      <vt:variant>
        <vt:i4>5</vt:i4>
      </vt:variant>
      <vt:variant>
        <vt:lpwstr/>
      </vt:variant>
      <vt:variant>
        <vt:lpwstr>_Toc120532234</vt:lpwstr>
      </vt:variant>
      <vt:variant>
        <vt:i4>1114160</vt:i4>
      </vt:variant>
      <vt:variant>
        <vt:i4>44</vt:i4>
      </vt:variant>
      <vt:variant>
        <vt:i4>0</vt:i4>
      </vt:variant>
      <vt:variant>
        <vt:i4>5</vt:i4>
      </vt:variant>
      <vt:variant>
        <vt:lpwstr/>
      </vt:variant>
      <vt:variant>
        <vt:lpwstr>_Toc120532233</vt:lpwstr>
      </vt:variant>
      <vt:variant>
        <vt:i4>1114160</vt:i4>
      </vt:variant>
      <vt:variant>
        <vt:i4>38</vt:i4>
      </vt:variant>
      <vt:variant>
        <vt:i4>0</vt:i4>
      </vt:variant>
      <vt:variant>
        <vt:i4>5</vt:i4>
      </vt:variant>
      <vt:variant>
        <vt:lpwstr/>
      </vt:variant>
      <vt:variant>
        <vt:lpwstr>_Toc120532232</vt:lpwstr>
      </vt:variant>
      <vt:variant>
        <vt:i4>1114160</vt:i4>
      </vt:variant>
      <vt:variant>
        <vt:i4>32</vt:i4>
      </vt:variant>
      <vt:variant>
        <vt:i4>0</vt:i4>
      </vt:variant>
      <vt:variant>
        <vt:i4>5</vt:i4>
      </vt:variant>
      <vt:variant>
        <vt:lpwstr/>
      </vt:variant>
      <vt:variant>
        <vt:lpwstr>_Toc120532231</vt:lpwstr>
      </vt:variant>
      <vt:variant>
        <vt:i4>1114160</vt:i4>
      </vt:variant>
      <vt:variant>
        <vt:i4>26</vt:i4>
      </vt:variant>
      <vt:variant>
        <vt:i4>0</vt:i4>
      </vt:variant>
      <vt:variant>
        <vt:i4>5</vt:i4>
      </vt:variant>
      <vt:variant>
        <vt:lpwstr/>
      </vt:variant>
      <vt:variant>
        <vt:lpwstr>_Toc120532230</vt:lpwstr>
      </vt:variant>
      <vt:variant>
        <vt:i4>1048624</vt:i4>
      </vt:variant>
      <vt:variant>
        <vt:i4>20</vt:i4>
      </vt:variant>
      <vt:variant>
        <vt:i4>0</vt:i4>
      </vt:variant>
      <vt:variant>
        <vt:i4>5</vt:i4>
      </vt:variant>
      <vt:variant>
        <vt:lpwstr/>
      </vt:variant>
      <vt:variant>
        <vt:lpwstr>_Toc120532229</vt:lpwstr>
      </vt:variant>
      <vt:variant>
        <vt:i4>1048624</vt:i4>
      </vt:variant>
      <vt:variant>
        <vt:i4>14</vt:i4>
      </vt:variant>
      <vt:variant>
        <vt:i4>0</vt:i4>
      </vt:variant>
      <vt:variant>
        <vt:i4>5</vt:i4>
      </vt:variant>
      <vt:variant>
        <vt:lpwstr/>
      </vt:variant>
      <vt:variant>
        <vt:lpwstr>_Toc120532228</vt:lpwstr>
      </vt:variant>
      <vt:variant>
        <vt:i4>1048624</vt:i4>
      </vt:variant>
      <vt:variant>
        <vt:i4>8</vt:i4>
      </vt:variant>
      <vt:variant>
        <vt:i4>0</vt:i4>
      </vt:variant>
      <vt:variant>
        <vt:i4>5</vt:i4>
      </vt:variant>
      <vt:variant>
        <vt:lpwstr/>
      </vt:variant>
      <vt:variant>
        <vt:lpwstr>_Toc120532227</vt:lpwstr>
      </vt:variant>
      <vt:variant>
        <vt:i4>1048624</vt:i4>
      </vt:variant>
      <vt:variant>
        <vt:i4>2</vt:i4>
      </vt:variant>
      <vt:variant>
        <vt:i4>0</vt:i4>
      </vt:variant>
      <vt:variant>
        <vt:i4>5</vt:i4>
      </vt:variant>
      <vt:variant>
        <vt:lpwstr/>
      </vt:variant>
      <vt:variant>
        <vt:lpwstr>_Toc120532226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suttonv</dc:creator>
  <cp:keywords/>
  <dc:description/>
  <cp:lastModifiedBy>Linda Stirling</cp:lastModifiedBy>
  <cp:revision>46</cp:revision>
  <cp:lastPrinted>2026-04-23T01:53:00Z</cp:lastPrinted>
  <dcterms:created xsi:type="dcterms:W3CDTF">2022-11-30T14:37:00Z</dcterms:created>
  <dcterms:modified xsi:type="dcterms:W3CDTF">2026-04-23T02:38:00Z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2022-11-09T22:43:53Z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e379345a-5cdb-484b-b3e7-69cc8a44013f</vt:lpwstr>
  </property>
  <property fmtid="{D5CDD505-2E9C-101B-9397-08002B2CF9AE}" pid="8" name="MSIP_Label_52dda6cc-d61d-4fd2-bf18-9b3017d931cc_ContentBits">
    <vt:lpwstr>0</vt:lpwstr>
  </property>
  <property fmtid="{D5CDD505-2E9C-101B-9397-08002B2CF9AE}" pid="9" name="ContentTypeId">
    <vt:lpwstr>0x010100EA5FB0BEBF7DE54D9F252D8A06C053F7</vt:lpwstr>
  </property>
  <property fmtid="{D5CDD505-2E9C-101B-9397-08002B2CF9AE}" pid="10" name="_dlc_DocIdItemGuid">
    <vt:lpwstr>93e6c9b6-50f7-490e-b6cf-11e1fc4dede6</vt:lpwstr>
  </property>
  <property fmtid="{D5CDD505-2E9C-101B-9397-08002B2CF9AE}" pid="11" name="MediaServiceImageTags">
    <vt:lpwstr/>
  </property>
</Properties>
</file>