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808F6" w14:textId="1E116360" w:rsidR="00E84D9B" w:rsidRPr="005B0CED" w:rsidRDefault="00BA53D1" w:rsidP="00E84D9B">
      <w:r>
        <w:rPr>
          <w:noProof/>
        </w:rPr>
        <w:drawing>
          <wp:anchor distT="0" distB="0" distL="114300" distR="114300" simplePos="0" relativeHeight="251658241" behindDoc="0" locked="0" layoutInCell="1" allowOverlap="1" wp14:anchorId="4381F4E8" wp14:editId="75885CF8">
            <wp:simplePos x="0" y="0"/>
            <wp:positionH relativeFrom="page">
              <wp:posOffset>0</wp:posOffset>
            </wp:positionH>
            <wp:positionV relativeFrom="paragraph">
              <wp:posOffset>-3607765</wp:posOffset>
            </wp:positionV>
            <wp:extent cx="7560207" cy="10694034"/>
            <wp:effectExtent l="0" t="0" r="3175" b="0"/>
            <wp:wrapNone/>
            <wp:docPr id="1234109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09966"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0207" cy="10694034"/>
                    </a:xfrm>
                    <a:prstGeom prst="rect">
                      <a:avLst/>
                    </a:prstGeom>
                  </pic:spPr>
                </pic:pic>
              </a:graphicData>
            </a:graphic>
            <wp14:sizeRelH relativeFrom="page">
              <wp14:pctWidth>0</wp14:pctWidth>
            </wp14:sizeRelH>
            <wp14:sizeRelV relativeFrom="page">
              <wp14:pctHeight>0</wp14:pctHeight>
            </wp14:sizeRelV>
          </wp:anchor>
        </w:drawing>
      </w:r>
      <w:r w:rsidR="5FE9C81C">
        <w:t xml:space="preserve"> </w:t>
      </w:r>
      <w:r w:rsidR="1C249968" w:rsidRPr="005B0CED">
        <w:t xml:space="preserve">  </w:t>
      </w:r>
    </w:p>
    <w:p w14:paraId="6A6C7DF0" w14:textId="01AE53B7" w:rsidR="00E84D9B" w:rsidRPr="005B0CED" w:rsidRDefault="00E84D9B" w:rsidP="00E84D9B">
      <w:pPr>
        <w:pStyle w:val="BodyText"/>
      </w:pPr>
    </w:p>
    <w:p w14:paraId="5F283F58" w14:textId="280A8228" w:rsidR="00E84D9B" w:rsidRPr="005B0CED" w:rsidRDefault="00E84D9B" w:rsidP="00E84D9B">
      <w:pPr>
        <w:pStyle w:val="BodyText"/>
        <w:sectPr w:rsidR="00E84D9B" w:rsidRPr="005B0CED" w:rsidSect="00E84D9B">
          <w:headerReference w:type="default" r:id="rId13"/>
          <w:footerReference w:type="default" r:id="rId14"/>
          <w:pgSz w:w="11907" w:h="16840" w:code="9"/>
          <w:pgMar w:top="5670" w:right="1701" w:bottom="1701" w:left="1701" w:header="567" w:footer="1134" w:gutter="0"/>
          <w:cols w:space="720"/>
          <w:titlePg/>
          <w:docGrid w:linePitch="299"/>
        </w:sectPr>
      </w:pPr>
      <w:r w:rsidRPr="005B0CED">
        <w:rPr>
          <w:noProof/>
        </w:rPr>
        <mc:AlternateContent>
          <mc:Choice Requires="wps">
            <w:drawing>
              <wp:anchor distT="4294967295" distB="4294967295" distL="114300" distR="114300" simplePos="0" relativeHeight="251658240" behindDoc="0" locked="0" layoutInCell="1" allowOverlap="1" wp14:anchorId="3D407117" wp14:editId="6B8AD024">
                <wp:simplePos x="0" y="0"/>
                <wp:positionH relativeFrom="column">
                  <wp:posOffset>-535305</wp:posOffset>
                </wp:positionH>
                <wp:positionV relativeFrom="paragraph">
                  <wp:posOffset>3591559</wp:posOffset>
                </wp:positionV>
                <wp:extent cx="5238750" cy="0"/>
                <wp:effectExtent l="0" t="0" r="0" b="0"/>
                <wp:wrapNone/>
                <wp:docPr id="50513705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3875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8E0A906" id="Straight Connector 2" o:spid="_x0000_s1026" style="position:absolute;flip:y;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42.15pt,282.8pt" to="370.35pt,2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" strokecolor="white [3212]" strokeweight=".5pt">
                <v:stroke joinstyle="miter"/>
                <o:lock v:ext="edit" shapetype="f"/>
              </v:line>
            </w:pict>
          </mc:Fallback>
        </mc:AlternateContent>
      </w:r>
    </w:p>
    <w:p w14:paraId="417BFB0F" w14:textId="77777777" w:rsidR="002D7D9F" w:rsidRDefault="002D7D9F" w:rsidP="002D7D9F">
      <w:pPr>
        <w:pStyle w:val="Imprint"/>
      </w:pPr>
    </w:p>
    <w:p w14:paraId="5009695C" w14:textId="77777777" w:rsidR="0046466E" w:rsidRDefault="0046466E" w:rsidP="002D7D9F">
      <w:pPr>
        <w:pStyle w:val="Imprint"/>
      </w:pPr>
    </w:p>
    <w:p w14:paraId="0BD561E0" w14:textId="77777777" w:rsidR="0046466E" w:rsidRDefault="0046466E" w:rsidP="002D7D9F">
      <w:pPr>
        <w:pStyle w:val="Imprint"/>
      </w:pPr>
    </w:p>
    <w:p w14:paraId="09183271" w14:textId="77777777" w:rsidR="0046466E" w:rsidRDefault="0046466E" w:rsidP="002D7D9F">
      <w:pPr>
        <w:pStyle w:val="Imprint"/>
      </w:pPr>
    </w:p>
    <w:p w14:paraId="2C248E55" w14:textId="77777777" w:rsidR="0046466E" w:rsidRDefault="0046466E" w:rsidP="002D7D9F">
      <w:pPr>
        <w:pStyle w:val="Imprint"/>
      </w:pPr>
    </w:p>
    <w:p w14:paraId="57AEA9FC" w14:textId="77777777" w:rsidR="0046466E" w:rsidRDefault="0046466E" w:rsidP="002D7D9F">
      <w:pPr>
        <w:pStyle w:val="Imprint"/>
      </w:pPr>
    </w:p>
    <w:p w14:paraId="66322DE8" w14:textId="77777777" w:rsidR="0046466E" w:rsidRDefault="0046466E" w:rsidP="002D7D9F">
      <w:pPr>
        <w:pStyle w:val="Imprint"/>
      </w:pPr>
    </w:p>
    <w:p w14:paraId="688CF0A3" w14:textId="77777777" w:rsidR="0046466E" w:rsidRDefault="0046466E" w:rsidP="002D7D9F">
      <w:pPr>
        <w:pStyle w:val="Imprint"/>
      </w:pPr>
    </w:p>
    <w:p w14:paraId="393D693C" w14:textId="77777777" w:rsidR="0046466E" w:rsidRDefault="0046466E" w:rsidP="002D7D9F">
      <w:pPr>
        <w:pStyle w:val="Imprint"/>
      </w:pPr>
    </w:p>
    <w:p w14:paraId="4D1734C5" w14:textId="77777777" w:rsidR="0046466E" w:rsidRDefault="0046466E" w:rsidP="002D7D9F">
      <w:pPr>
        <w:pStyle w:val="Imprint"/>
      </w:pPr>
    </w:p>
    <w:p w14:paraId="3AB7C19D" w14:textId="77777777" w:rsidR="0046466E" w:rsidRDefault="0046466E" w:rsidP="002D7D9F">
      <w:pPr>
        <w:pStyle w:val="Imprint"/>
      </w:pPr>
    </w:p>
    <w:p w14:paraId="2099A9DA" w14:textId="77777777" w:rsidR="0046466E" w:rsidRDefault="0046466E" w:rsidP="002D7D9F">
      <w:pPr>
        <w:pStyle w:val="Imprint"/>
      </w:pPr>
    </w:p>
    <w:p w14:paraId="58EF046C" w14:textId="77777777" w:rsidR="0046466E" w:rsidRDefault="0046466E" w:rsidP="002D7D9F">
      <w:pPr>
        <w:pStyle w:val="Imprint"/>
      </w:pPr>
    </w:p>
    <w:p w14:paraId="09FA6ECB" w14:textId="77777777" w:rsidR="0046466E" w:rsidRDefault="0046466E" w:rsidP="002D7D9F">
      <w:pPr>
        <w:pStyle w:val="Imprint"/>
      </w:pPr>
    </w:p>
    <w:p w14:paraId="2B441C7A" w14:textId="77777777" w:rsidR="0046466E" w:rsidRDefault="0046466E" w:rsidP="002D7D9F">
      <w:pPr>
        <w:pStyle w:val="Imprint"/>
      </w:pPr>
    </w:p>
    <w:p w14:paraId="35305F22" w14:textId="77777777" w:rsidR="0046466E" w:rsidRDefault="0046466E" w:rsidP="002D7D9F">
      <w:pPr>
        <w:pStyle w:val="Imprint"/>
      </w:pPr>
    </w:p>
    <w:p w14:paraId="74972AFD" w14:textId="77777777" w:rsidR="0046466E" w:rsidRDefault="0046466E" w:rsidP="002D7D9F">
      <w:pPr>
        <w:pStyle w:val="Imprint"/>
      </w:pPr>
    </w:p>
    <w:p w14:paraId="0F35719B" w14:textId="77777777" w:rsidR="002D7D9F" w:rsidRDefault="002D7D9F" w:rsidP="002D7D9F">
      <w:pPr>
        <w:pStyle w:val="Imprint"/>
      </w:pPr>
    </w:p>
    <w:p w14:paraId="23DC64A2" w14:textId="77777777" w:rsidR="00336F22" w:rsidRDefault="00336F22" w:rsidP="002D7D9F">
      <w:pPr>
        <w:pStyle w:val="Imprint"/>
      </w:pPr>
    </w:p>
    <w:p w14:paraId="7103C158" w14:textId="77777777" w:rsidR="00336F22" w:rsidRDefault="00336F22" w:rsidP="002D7D9F">
      <w:pPr>
        <w:pStyle w:val="Imprint"/>
      </w:pPr>
    </w:p>
    <w:p w14:paraId="57574075" w14:textId="77777777" w:rsidR="00336F22" w:rsidRPr="006B77BB" w:rsidRDefault="00336F22" w:rsidP="002D7D9F">
      <w:pPr>
        <w:pStyle w:val="Imprint"/>
      </w:pPr>
    </w:p>
    <w:p w14:paraId="4C5B56E6" w14:textId="107CD47F" w:rsidR="002D7D9F" w:rsidRPr="006B77BB" w:rsidRDefault="002D7D9F" w:rsidP="002D7D9F">
      <w:pPr>
        <w:pStyle w:val="Imprint"/>
      </w:pPr>
      <w:r w:rsidRPr="006B77BB">
        <w:t>This document may be cited as</w:t>
      </w:r>
      <w:r w:rsidRPr="00CB6BC6">
        <w:t xml:space="preserve">: </w:t>
      </w:r>
      <w:r w:rsidR="00336F22" w:rsidRPr="00CB6BC6">
        <w:t>Department of the Prime Minister and Cabinet</w:t>
      </w:r>
      <w:r w:rsidR="00336F22">
        <w:t xml:space="preserve"> and </w:t>
      </w:r>
      <w:r w:rsidRPr="006B77BB">
        <w:t xml:space="preserve">Ministry for the Environment. </w:t>
      </w:r>
      <w:r w:rsidR="002521D6">
        <w:t>2025</w:t>
      </w:r>
      <w:r w:rsidRPr="006B77BB">
        <w:t xml:space="preserve">. </w:t>
      </w:r>
      <w:r w:rsidR="002521D6">
        <w:rPr>
          <w:i/>
        </w:rPr>
        <w:t>Building New Zealand’s Long-</w:t>
      </w:r>
      <w:r w:rsidR="001372BB">
        <w:rPr>
          <w:i/>
        </w:rPr>
        <w:t>t</w:t>
      </w:r>
      <w:r w:rsidR="002521D6">
        <w:rPr>
          <w:i/>
        </w:rPr>
        <w:t>erm</w:t>
      </w:r>
      <w:r w:rsidR="00D26636">
        <w:rPr>
          <w:i/>
        </w:rPr>
        <w:t xml:space="preserve"> Resilience to Hazards: Long-</w:t>
      </w:r>
      <w:r w:rsidR="001372BB">
        <w:rPr>
          <w:i/>
        </w:rPr>
        <w:t>t</w:t>
      </w:r>
      <w:r w:rsidR="00D26636">
        <w:rPr>
          <w:i/>
        </w:rPr>
        <w:t>erm Insights Briefing</w:t>
      </w:r>
      <w:r w:rsidRPr="006B77BB">
        <w:t>. Wellington</w:t>
      </w:r>
      <w:r w:rsidRPr="00CB6BC6">
        <w:t xml:space="preserve">: </w:t>
      </w:r>
      <w:r w:rsidR="0077248D" w:rsidRPr="00CB6BC6">
        <w:t>Department of the Prime Minister and Cabinet</w:t>
      </w:r>
      <w:r w:rsidRPr="006B77BB">
        <w:t>.</w:t>
      </w:r>
    </w:p>
    <w:p w14:paraId="67219756" w14:textId="77777777" w:rsidR="002D7D9F" w:rsidRDefault="002D7D9F" w:rsidP="002D7D9F">
      <w:pPr>
        <w:pStyle w:val="Imprint"/>
      </w:pPr>
    </w:p>
    <w:p w14:paraId="0EB799A8" w14:textId="77777777" w:rsidR="002D7D9F" w:rsidRDefault="002D7D9F" w:rsidP="002D7D9F">
      <w:pPr>
        <w:pStyle w:val="Imprint"/>
      </w:pPr>
    </w:p>
    <w:p w14:paraId="348E8C96" w14:textId="77777777" w:rsidR="002D7D9F" w:rsidRDefault="002D7D9F" w:rsidP="002D7D9F">
      <w:pPr>
        <w:pStyle w:val="Imprint"/>
      </w:pPr>
    </w:p>
    <w:p w14:paraId="701832E7" w14:textId="77777777" w:rsidR="009E4A82" w:rsidRDefault="009E4A82" w:rsidP="002D7D9F">
      <w:pPr>
        <w:pStyle w:val="Imprint"/>
      </w:pPr>
    </w:p>
    <w:p w14:paraId="5BB42611" w14:textId="77777777" w:rsidR="002D7D9F" w:rsidRDefault="002D7D9F" w:rsidP="002D7D9F">
      <w:pPr>
        <w:pStyle w:val="Imprint"/>
      </w:pPr>
    </w:p>
    <w:p w14:paraId="0D13FC4F" w14:textId="77777777" w:rsidR="00B51041" w:rsidRDefault="00B51041" w:rsidP="002D7D9F">
      <w:pPr>
        <w:pStyle w:val="Imprint"/>
      </w:pPr>
    </w:p>
    <w:p w14:paraId="29253045" w14:textId="77777777" w:rsidR="002D7D9F" w:rsidRDefault="002D7D9F" w:rsidP="002D7D9F">
      <w:pPr>
        <w:pStyle w:val="Imprint"/>
      </w:pPr>
    </w:p>
    <w:p w14:paraId="12B99598" w14:textId="77777777" w:rsidR="002D7D9F" w:rsidRPr="006B77BB" w:rsidRDefault="002D7D9F" w:rsidP="002D7D9F">
      <w:pPr>
        <w:pStyle w:val="Imprint"/>
      </w:pPr>
    </w:p>
    <w:p w14:paraId="74ACA97A" w14:textId="2902B58D" w:rsidR="002D7D9F" w:rsidRPr="006B77BB" w:rsidRDefault="002D7D9F" w:rsidP="002D7D9F">
      <w:pPr>
        <w:pStyle w:val="Imprint"/>
      </w:pPr>
      <w:r w:rsidRPr="006B77BB">
        <w:t xml:space="preserve">Published in </w:t>
      </w:r>
      <w:r w:rsidR="00C44667" w:rsidRPr="00907B46">
        <w:t>November</w:t>
      </w:r>
      <w:r w:rsidR="004A1358" w:rsidRPr="00907B46">
        <w:t xml:space="preserve"> </w:t>
      </w:r>
      <w:r w:rsidRPr="00525F33">
        <w:t>2025</w:t>
      </w:r>
      <w:r w:rsidRPr="006B77BB">
        <w:t xml:space="preserve"> by the</w:t>
      </w:r>
      <w:r w:rsidRPr="006B77BB">
        <w:br/>
      </w:r>
      <w:r w:rsidR="000E6085">
        <w:t xml:space="preserve">Department of the Prime Minister and Cabinet and the </w:t>
      </w:r>
      <w:r w:rsidRPr="006B77BB">
        <w:t xml:space="preserve">Ministry for the Environment </w:t>
      </w:r>
      <w:r w:rsidRPr="006B77BB">
        <w:br/>
      </w:r>
    </w:p>
    <w:p w14:paraId="46B751AA" w14:textId="7005241A" w:rsidR="002D7D9F" w:rsidRPr="006B77BB" w:rsidRDefault="002D7D9F" w:rsidP="00336F22">
      <w:pPr>
        <w:pStyle w:val="Imprint"/>
        <w:tabs>
          <w:tab w:val="left" w:pos="0"/>
        </w:tabs>
      </w:pPr>
      <w:r w:rsidRPr="006B77BB">
        <w:t xml:space="preserve">ISBN: </w:t>
      </w:r>
      <w:r w:rsidR="00C44667" w:rsidRPr="00C44667">
        <w:rPr>
          <w:lang w:val="en-US"/>
        </w:rPr>
        <w:t>978-1-991404-19-0</w:t>
      </w:r>
      <w:r w:rsidRPr="006B77BB">
        <w:br/>
        <w:t xml:space="preserve">Publication number: </w:t>
      </w:r>
      <w:r w:rsidRPr="00C44667">
        <w:t xml:space="preserve">ME </w:t>
      </w:r>
      <w:r w:rsidR="00C44667">
        <w:t>1932</w:t>
      </w:r>
    </w:p>
    <w:p w14:paraId="01C4BB22" w14:textId="0AAAA09B" w:rsidR="002D7D9F" w:rsidRPr="006B77BB" w:rsidRDefault="002D7D9F" w:rsidP="002D7D9F">
      <w:pPr>
        <w:pStyle w:val="Imprint"/>
        <w:spacing w:after="80"/>
      </w:pPr>
      <w:r w:rsidRPr="006B77BB">
        <w:t xml:space="preserve">© Crown copyright New Zealand </w:t>
      </w:r>
      <w:r w:rsidR="00935922">
        <w:t>2025</w:t>
      </w:r>
    </w:p>
    <w:p w14:paraId="734BA8B1" w14:textId="77777777" w:rsidR="002D7D9F" w:rsidRPr="00A84FE1" w:rsidRDefault="002D7D9F" w:rsidP="002D7D9F">
      <w:pPr>
        <w:sectPr w:rsidR="002D7D9F" w:rsidRPr="00A84FE1" w:rsidSect="002D7D9F">
          <w:headerReference w:type="even" r:id="rId15"/>
          <w:headerReference w:type="default" r:id="rId16"/>
          <w:footerReference w:type="even" r:id="rId17"/>
          <w:footerReference w:type="default" r:id="rId18"/>
          <w:pgSz w:w="11907" w:h="16840" w:code="9"/>
          <w:pgMar w:top="1134" w:right="1701" w:bottom="1134" w:left="1701" w:header="567" w:footer="567" w:gutter="0"/>
          <w:pgNumType w:fmt="lowerRoman"/>
          <w:cols w:space="720"/>
        </w:sectPr>
      </w:pPr>
    </w:p>
    <w:p w14:paraId="389387FD" w14:textId="1867ECEF" w:rsidR="002D7D9F" w:rsidRPr="00F06E0B" w:rsidRDefault="68A8BB56" w:rsidP="69FEF511">
      <w:pPr>
        <w:pStyle w:val="Heading"/>
      </w:pPr>
      <w:r>
        <w:lastRenderedPageBreak/>
        <w:t>Contents</w:t>
      </w:r>
    </w:p>
    <w:p w14:paraId="60019AB1" w14:textId="245D9ABC" w:rsidR="00D46737" w:rsidRDefault="002D7D9F">
      <w:pPr>
        <w:pStyle w:val="TOC1"/>
        <w:rPr>
          <w:rFonts w:asciiTheme="minorHAnsi" w:hAnsiTheme="minorHAnsi"/>
          <w:noProof/>
          <w:kern w:val="2"/>
          <w:sz w:val="24"/>
          <w:szCs w:val="24"/>
          <w14:ligatures w14:val="standardContextual"/>
        </w:rPr>
      </w:pPr>
      <w:r>
        <w:rPr>
          <w:color w:val="0092CF"/>
        </w:rPr>
        <w:fldChar w:fldCharType="begin"/>
      </w:r>
      <w:r w:rsidRPr="006B77BB">
        <w:rPr>
          <w:color w:val="0092CF"/>
        </w:rPr>
        <w:instrText xml:space="preserve"> TOC \h \z \t "Heading 1,1,Heading 2,2" </w:instrText>
      </w:r>
      <w:r>
        <w:rPr>
          <w:color w:val="0092CF"/>
        </w:rPr>
        <w:fldChar w:fldCharType="separate"/>
      </w:r>
      <w:hyperlink w:anchor="_Toc214435286" w:history="1">
        <w:r w:rsidR="00D46737" w:rsidRPr="006D0715">
          <w:rPr>
            <w:rStyle w:val="Hyperlink"/>
            <w:noProof/>
          </w:rPr>
          <w:t>A joint foreword from the  Chief Executives</w:t>
        </w:r>
        <w:r w:rsidR="00D46737">
          <w:rPr>
            <w:noProof/>
            <w:webHidden/>
          </w:rPr>
          <w:tab/>
        </w:r>
        <w:r w:rsidR="00D46737">
          <w:rPr>
            <w:noProof/>
            <w:webHidden/>
          </w:rPr>
          <w:fldChar w:fldCharType="begin"/>
        </w:r>
        <w:r w:rsidR="00D46737">
          <w:rPr>
            <w:noProof/>
            <w:webHidden/>
          </w:rPr>
          <w:instrText xml:space="preserve"> PAGEREF _Toc214435286 \h </w:instrText>
        </w:r>
        <w:r w:rsidR="00D46737">
          <w:rPr>
            <w:noProof/>
            <w:webHidden/>
          </w:rPr>
        </w:r>
        <w:r w:rsidR="00D46737">
          <w:rPr>
            <w:noProof/>
            <w:webHidden/>
          </w:rPr>
          <w:fldChar w:fldCharType="separate"/>
        </w:r>
        <w:r w:rsidR="004223AA">
          <w:rPr>
            <w:noProof/>
            <w:webHidden/>
          </w:rPr>
          <w:t>4</w:t>
        </w:r>
        <w:r w:rsidR="00D46737">
          <w:rPr>
            <w:noProof/>
            <w:webHidden/>
          </w:rPr>
          <w:fldChar w:fldCharType="end"/>
        </w:r>
      </w:hyperlink>
    </w:p>
    <w:p w14:paraId="38985237" w14:textId="6B65E0F6" w:rsidR="00D46737" w:rsidRDefault="00D46737">
      <w:pPr>
        <w:pStyle w:val="TOC1"/>
        <w:rPr>
          <w:rFonts w:asciiTheme="minorHAnsi" w:hAnsiTheme="minorHAnsi"/>
          <w:noProof/>
          <w:kern w:val="2"/>
          <w:sz w:val="24"/>
          <w:szCs w:val="24"/>
          <w14:ligatures w14:val="standardContextual"/>
        </w:rPr>
      </w:pPr>
      <w:hyperlink w:anchor="_Toc214435287" w:history="1">
        <w:r w:rsidRPr="006D0715">
          <w:rPr>
            <w:rStyle w:val="Hyperlink"/>
            <w:noProof/>
          </w:rPr>
          <w:t>Building New Zealand’s long-term resilience to hazards</w:t>
        </w:r>
        <w:r>
          <w:rPr>
            <w:noProof/>
            <w:webHidden/>
          </w:rPr>
          <w:tab/>
        </w:r>
        <w:r>
          <w:rPr>
            <w:noProof/>
            <w:webHidden/>
          </w:rPr>
          <w:fldChar w:fldCharType="begin"/>
        </w:r>
        <w:r>
          <w:rPr>
            <w:noProof/>
            <w:webHidden/>
          </w:rPr>
          <w:instrText xml:space="preserve"> PAGEREF _Toc214435287 \h </w:instrText>
        </w:r>
        <w:r>
          <w:rPr>
            <w:noProof/>
            <w:webHidden/>
          </w:rPr>
        </w:r>
        <w:r>
          <w:rPr>
            <w:noProof/>
            <w:webHidden/>
          </w:rPr>
          <w:fldChar w:fldCharType="separate"/>
        </w:r>
        <w:r w:rsidR="004223AA">
          <w:rPr>
            <w:noProof/>
            <w:webHidden/>
          </w:rPr>
          <w:t>5</w:t>
        </w:r>
        <w:r>
          <w:rPr>
            <w:noProof/>
            <w:webHidden/>
          </w:rPr>
          <w:fldChar w:fldCharType="end"/>
        </w:r>
      </w:hyperlink>
    </w:p>
    <w:p w14:paraId="4696E09F" w14:textId="0C737B7A" w:rsidR="00D46737" w:rsidRDefault="00D46737">
      <w:pPr>
        <w:pStyle w:val="TOC1"/>
        <w:rPr>
          <w:rFonts w:asciiTheme="minorHAnsi" w:hAnsiTheme="minorHAnsi"/>
          <w:noProof/>
          <w:kern w:val="2"/>
          <w:sz w:val="24"/>
          <w:szCs w:val="24"/>
          <w14:ligatures w14:val="standardContextual"/>
        </w:rPr>
      </w:pPr>
      <w:hyperlink w:anchor="_Toc214435288" w:history="1">
        <w:r w:rsidRPr="006D0715">
          <w:rPr>
            <w:rStyle w:val="Hyperlink"/>
            <w:noProof/>
          </w:rPr>
          <w:t>Section 1: Understanding the hazard landscape</w:t>
        </w:r>
        <w:r>
          <w:rPr>
            <w:noProof/>
            <w:webHidden/>
          </w:rPr>
          <w:tab/>
        </w:r>
        <w:r>
          <w:rPr>
            <w:noProof/>
            <w:webHidden/>
          </w:rPr>
          <w:fldChar w:fldCharType="begin"/>
        </w:r>
        <w:r>
          <w:rPr>
            <w:noProof/>
            <w:webHidden/>
          </w:rPr>
          <w:instrText xml:space="preserve"> PAGEREF _Toc214435288 \h </w:instrText>
        </w:r>
        <w:r>
          <w:rPr>
            <w:noProof/>
            <w:webHidden/>
          </w:rPr>
        </w:r>
        <w:r>
          <w:rPr>
            <w:noProof/>
            <w:webHidden/>
          </w:rPr>
          <w:fldChar w:fldCharType="separate"/>
        </w:r>
        <w:r w:rsidR="004223AA">
          <w:rPr>
            <w:noProof/>
            <w:webHidden/>
          </w:rPr>
          <w:t>6</w:t>
        </w:r>
        <w:r>
          <w:rPr>
            <w:noProof/>
            <w:webHidden/>
          </w:rPr>
          <w:fldChar w:fldCharType="end"/>
        </w:r>
      </w:hyperlink>
    </w:p>
    <w:p w14:paraId="25340908" w14:textId="5C5443D7" w:rsidR="00D46737" w:rsidRDefault="00D46737">
      <w:pPr>
        <w:pStyle w:val="TOC2"/>
        <w:rPr>
          <w:rFonts w:asciiTheme="minorHAnsi" w:hAnsiTheme="minorHAnsi"/>
          <w:noProof/>
          <w:kern w:val="2"/>
          <w:sz w:val="24"/>
          <w:szCs w:val="24"/>
          <w14:ligatures w14:val="standardContextual"/>
        </w:rPr>
      </w:pPr>
      <w:hyperlink w:anchor="_Toc214435289" w:history="1">
        <w:r w:rsidRPr="006D0715">
          <w:rPr>
            <w:rStyle w:val="Hyperlink"/>
            <w:noProof/>
          </w:rPr>
          <w:t>What is national resilience?</w:t>
        </w:r>
        <w:r>
          <w:rPr>
            <w:noProof/>
            <w:webHidden/>
          </w:rPr>
          <w:tab/>
        </w:r>
        <w:r>
          <w:rPr>
            <w:noProof/>
            <w:webHidden/>
          </w:rPr>
          <w:fldChar w:fldCharType="begin"/>
        </w:r>
        <w:r>
          <w:rPr>
            <w:noProof/>
            <w:webHidden/>
          </w:rPr>
          <w:instrText xml:space="preserve"> PAGEREF _Toc214435289 \h </w:instrText>
        </w:r>
        <w:r>
          <w:rPr>
            <w:noProof/>
            <w:webHidden/>
          </w:rPr>
        </w:r>
        <w:r>
          <w:rPr>
            <w:noProof/>
            <w:webHidden/>
          </w:rPr>
          <w:fldChar w:fldCharType="separate"/>
        </w:r>
        <w:r w:rsidR="004223AA">
          <w:rPr>
            <w:noProof/>
            <w:webHidden/>
          </w:rPr>
          <w:t>6</w:t>
        </w:r>
        <w:r>
          <w:rPr>
            <w:noProof/>
            <w:webHidden/>
          </w:rPr>
          <w:fldChar w:fldCharType="end"/>
        </w:r>
      </w:hyperlink>
    </w:p>
    <w:p w14:paraId="584B4681" w14:textId="5DE0A4A0" w:rsidR="00D46737" w:rsidRDefault="00D46737">
      <w:pPr>
        <w:pStyle w:val="TOC2"/>
        <w:rPr>
          <w:rFonts w:asciiTheme="minorHAnsi" w:hAnsiTheme="minorHAnsi"/>
          <w:noProof/>
          <w:kern w:val="2"/>
          <w:sz w:val="24"/>
          <w:szCs w:val="24"/>
          <w14:ligatures w14:val="standardContextual"/>
        </w:rPr>
      </w:pPr>
      <w:hyperlink w:anchor="_Toc214435290" w:history="1">
        <w:r w:rsidRPr="006D0715">
          <w:rPr>
            <w:rStyle w:val="Hyperlink"/>
            <w:noProof/>
          </w:rPr>
          <w:t>New Zealand’s major hazards</w:t>
        </w:r>
        <w:r>
          <w:rPr>
            <w:noProof/>
            <w:webHidden/>
          </w:rPr>
          <w:tab/>
        </w:r>
        <w:r>
          <w:rPr>
            <w:noProof/>
            <w:webHidden/>
          </w:rPr>
          <w:fldChar w:fldCharType="begin"/>
        </w:r>
        <w:r>
          <w:rPr>
            <w:noProof/>
            <w:webHidden/>
          </w:rPr>
          <w:instrText xml:space="preserve"> PAGEREF _Toc214435290 \h </w:instrText>
        </w:r>
        <w:r>
          <w:rPr>
            <w:noProof/>
            <w:webHidden/>
          </w:rPr>
        </w:r>
        <w:r>
          <w:rPr>
            <w:noProof/>
            <w:webHidden/>
          </w:rPr>
          <w:fldChar w:fldCharType="separate"/>
        </w:r>
        <w:r w:rsidR="004223AA">
          <w:rPr>
            <w:noProof/>
            <w:webHidden/>
          </w:rPr>
          <w:t>7</w:t>
        </w:r>
        <w:r>
          <w:rPr>
            <w:noProof/>
            <w:webHidden/>
          </w:rPr>
          <w:fldChar w:fldCharType="end"/>
        </w:r>
      </w:hyperlink>
    </w:p>
    <w:p w14:paraId="5ADCB175" w14:textId="5AD1CF76" w:rsidR="00D46737" w:rsidRDefault="00D46737">
      <w:pPr>
        <w:pStyle w:val="TOC1"/>
        <w:rPr>
          <w:rFonts w:asciiTheme="minorHAnsi" w:hAnsiTheme="minorHAnsi"/>
          <w:noProof/>
          <w:kern w:val="2"/>
          <w:sz w:val="24"/>
          <w:szCs w:val="24"/>
          <w14:ligatures w14:val="standardContextual"/>
        </w:rPr>
      </w:pPr>
      <w:hyperlink w:anchor="_Toc214435291" w:history="1">
        <w:r w:rsidRPr="006D0715">
          <w:rPr>
            <w:rStyle w:val="Hyperlink"/>
            <w:noProof/>
          </w:rPr>
          <w:t>Section 2: Forces that shape risk and resilience</w:t>
        </w:r>
        <w:r>
          <w:rPr>
            <w:noProof/>
            <w:webHidden/>
          </w:rPr>
          <w:tab/>
        </w:r>
        <w:r>
          <w:rPr>
            <w:noProof/>
            <w:webHidden/>
          </w:rPr>
          <w:fldChar w:fldCharType="begin"/>
        </w:r>
        <w:r>
          <w:rPr>
            <w:noProof/>
            <w:webHidden/>
          </w:rPr>
          <w:instrText xml:space="preserve"> PAGEREF _Toc214435291 \h </w:instrText>
        </w:r>
        <w:r>
          <w:rPr>
            <w:noProof/>
            <w:webHidden/>
          </w:rPr>
        </w:r>
        <w:r>
          <w:rPr>
            <w:noProof/>
            <w:webHidden/>
          </w:rPr>
          <w:fldChar w:fldCharType="separate"/>
        </w:r>
        <w:r w:rsidR="004223AA">
          <w:rPr>
            <w:noProof/>
            <w:webHidden/>
          </w:rPr>
          <w:t>10</w:t>
        </w:r>
        <w:r>
          <w:rPr>
            <w:noProof/>
            <w:webHidden/>
          </w:rPr>
          <w:fldChar w:fldCharType="end"/>
        </w:r>
      </w:hyperlink>
    </w:p>
    <w:p w14:paraId="5F90B33D" w14:textId="228245FD" w:rsidR="00D46737" w:rsidRDefault="00D46737">
      <w:pPr>
        <w:pStyle w:val="TOC2"/>
        <w:rPr>
          <w:rFonts w:asciiTheme="minorHAnsi" w:hAnsiTheme="minorHAnsi"/>
          <w:noProof/>
          <w:kern w:val="2"/>
          <w:sz w:val="24"/>
          <w:szCs w:val="24"/>
          <w14:ligatures w14:val="standardContextual"/>
        </w:rPr>
      </w:pPr>
      <w:hyperlink w:anchor="_Toc214435292" w:history="1">
        <w:r w:rsidRPr="006D0715">
          <w:rPr>
            <w:rStyle w:val="Hyperlink"/>
            <w:noProof/>
          </w:rPr>
          <w:t>Forces that shape risk</w:t>
        </w:r>
        <w:r>
          <w:rPr>
            <w:noProof/>
            <w:webHidden/>
          </w:rPr>
          <w:tab/>
        </w:r>
        <w:r>
          <w:rPr>
            <w:noProof/>
            <w:webHidden/>
          </w:rPr>
          <w:fldChar w:fldCharType="begin"/>
        </w:r>
        <w:r>
          <w:rPr>
            <w:noProof/>
            <w:webHidden/>
          </w:rPr>
          <w:instrText xml:space="preserve"> PAGEREF _Toc214435292 \h </w:instrText>
        </w:r>
        <w:r>
          <w:rPr>
            <w:noProof/>
            <w:webHidden/>
          </w:rPr>
        </w:r>
        <w:r>
          <w:rPr>
            <w:noProof/>
            <w:webHidden/>
          </w:rPr>
          <w:fldChar w:fldCharType="separate"/>
        </w:r>
        <w:r w:rsidR="004223AA">
          <w:rPr>
            <w:noProof/>
            <w:webHidden/>
          </w:rPr>
          <w:t>10</w:t>
        </w:r>
        <w:r>
          <w:rPr>
            <w:noProof/>
            <w:webHidden/>
          </w:rPr>
          <w:fldChar w:fldCharType="end"/>
        </w:r>
      </w:hyperlink>
    </w:p>
    <w:p w14:paraId="4D390DEA" w14:textId="4383D56B" w:rsidR="00D46737" w:rsidRDefault="00D46737">
      <w:pPr>
        <w:pStyle w:val="TOC2"/>
        <w:rPr>
          <w:rFonts w:asciiTheme="minorHAnsi" w:hAnsiTheme="minorHAnsi"/>
          <w:noProof/>
          <w:kern w:val="2"/>
          <w:sz w:val="24"/>
          <w:szCs w:val="24"/>
          <w14:ligatures w14:val="standardContextual"/>
        </w:rPr>
      </w:pPr>
      <w:hyperlink w:anchor="_Toc214435293" w:history="1">
        <w:r w:rsidRPr="006D0715">
          <w:rPr>
            <w:rStyle w:val="Hyperlink"/>
            <w:noProof/>
          </w:rPr>
          <w:t>Forces that shape resilience</w:t>
        </w:r>
        <w:r>
          <w:rPr>
            <w:noProof/>
            <w:webHidden/>
          </w:rPr>
          <w:tab/>
        </w:r>
        <w:r>
          <w:rPr>
            <w:noProof/>
            <w:webHidden/>
          </w:rPr>
          <w:fldChar w:fldCharType="begin"/>
        </w:r>
        <w:r>
          <w:rPr>
            <w:noProof/>
            <w:webHidden/>
          </w:rPr>
          <w:instrText xml:space="preserve"> PAGEREF _Toc214435293 \h </w:instrText>
        </w:r>
        <w:r>
          <w:rPr>
            <w:noProof/>
            <w:webHidden/>
          </w:rPr>
        </w:r>
        <w:r>
          <w:rPr>
            <w:noProof/>
            <w:webHidden/>
          </w:rPr>
          <w:fldChar w:fldCharType="separate"/>
        </w:r>
        <w:r w:rsidR="004223AA">
          <w:rPr>
            <w:noProof/>
            <w:webHidden/>
          </w:rPr>
          <w:t>11</w:t>
        </w:r>
        <w:r>
          <w:rPr>
            <w:noProof/>
            <w:webHidden/>
          </w:rPr>
          <w:fldChar w:fldCharType="end"/>
        </w:r>
      </w:hyperlink>
    </w:p>
    <w:p w14:paraId="20D7B349" w14:textId="7D8E4A76" w:rsidR="00D46737" w:rsidRDefault="00D46737">
      <w:pPr>
        <w:pStyle w:val="TOC2"/>
        <w:rPr>
          <w:rFonts w:asciiTheme="minorHAnsi" w:hAnsiTheme="minorHAnsi"/>
          <w:noProof/>
          <w:kern w:val="2"/>
          <w:sz w:val="24"/>
          <w:szCs w:val="24"/>
          <w14:ligatures w14:val="standardContextual"/>
        </w:rPr>
      </w:pPr>
      <w:hyperlink w:anchor="_Toc214435294" w:history="1">
        <w:r w:rsidRPr="006D0715">
          <w:rPr>
            <w:rStyle w:val="Hyperlink"/>
            <w:noProof/>
          </w:rPr>
          <w:t>When risks combine and escalate</w:t>
        </w:r>
        <w:r>
          <w:rPr>
            <w:noProof/>
            <w:webHidden/>
          </w:rPr>
          <w:tab/>
        </w:r>
        <w:r>
          <w:rPr>
            <w:noProof/>
            <w:webHidden/>
          </w:rPr>
          <w:fldChar w:fldCharType="begin"/>
        </w:r>
        <w:r>
          <w:rPr>
            <w:noProof/>
            <w:webHidden/>
          </w:rPr>
          <w:instrText xml:space="preserve"> PAGEREF _Toc214435294 \h </w:instrText>
        </w:r>
        <w:r>
          <w:rPr>
            <w:noProof/>
            <w:webHidden/>
          </w:rPr>
        </w:r>
        <w:r>
          <w:rPr>
            <w:noProof/>
            <w:webHidden/>
          </w:rPr>
          <w:fldChar w:fldCharType="separate"/>
        </w:r>
        <w:r w:rsidR="004223AA">
          <w:rPr>
            <w:noProof/>
            <w:webHidden/>
          </w:rPr>
          <w:t>12</w:t>
        </w:r>
        <w:r>
          <w:rPr>
            <w:noProof/>
            <w:webHidden/>
          </w:rPr>
          <w:fldChar w:fldCharType="end"/>
        </w:r>
      </w:hyperlink>
    </w:p>
    <w:p w14:paraId="0E05B2DE" w14:textId="5A66B2D6" w:rsidR="00D46737" w:rsidRDefault="00D46737">
      <w:pPr>
        <w:pStyle w:val="TOC1"/>
        <w:rPr>
          <w:rFonts w:asciiTheme="minorHAnsi" w:hAnsiTheme="minorHAnsi"/>
          <w:noProof/>
          <w:kern w:val="2"/>
          <w:sz w:val="24"/>
          <w:szCs w:val="24"/>
          <w14:ligatures w14:val="standardContextual"/>
        </w:rPr>
      </w:pPr>
      <w:hyperlink w:anchor="_Toc214435295" w:history="1">
        <w:r w:rsidRPr="006D0715">
          <w:rPr>
            <w:rStyle w:val="Hyperlink"/>
            <w:noProof/>
          </w:rPr>
          <w:t>Section 3: Choices in building resilience</w:t>
        </w:r>
        <w:r>
          <w:rPr>
            <w:noProof/>
            <w:webHidden/>
          </w:rPr>
          <w:tab/>
        </w:r>
        <w:r>
          <w:rPr>
            <w:noProof/>
            <w:webHidden/>
          </w:rPr>
          <w:fldChar w:fldCharType="begin"/>
        </w:r>
        <w:r>
          <w:rPr>
            <w:noProof/>
            <w:webHidden/>
          </w:rPr>
          <w:instrText xml:space="preserve"> PAGEREF _Toc214435295 \h </w:instrText>
        </w:r>
        <w:r>
          <w:rPr>
            <w:noProof/>
            <w:webHidden/>
          </w:rPr>
        </w:r>
        <w:r>
          <w:rPr>
            <w:noProof/>
            <w:webHidden/>
          </w:rPr>
          <w:fldChar w:fldCharType="separate"/>
        </w:r>
        <w:r w:rsidR="004223AA">
          <w:rPr>
            <w:noProof/>
            <w:webHidden/>
          </w:rPr>
          <w:t>14</w:t>
        </w:r>
        <w:r>
          <w:rPr>
            <w:noProof/>
            <w:webHidden/>
          </w:rPr>
          <w:fldChar w:fldCharType="end"/>
        </w:r>
      </w:hyperlink>
    </w:p>
    <w:p w14:paraId="0BAB9CBC" w14:textId="4205C869" w:rsidR="00D46737" w:rsidRDefault="00D46737">
      <w:pPr>
        <w:pStyle w:val="TOC2"/>
        <w:rPr>
          <w:rFonts w:asciiTheme="minorHAnsi" w:hAnsiTheme="minorHAnsi"/>
          <w:noProof/>
          <w:kern w:val="2"/>
          <w:sz w:val="24"/>
          <w:szCs w:val="24"/>
          <w14:ligatures w14:val="standardContextual"/>
        </w:rPr>
      </w:pPr>
      <w:hyperlink w:anchor="_Toc214435296" w:history="1">
        <w:r w:rsidRPr="006D0715">
          <w:rPr>
            <w:rStyle w:val="Hyperlink"/>
            <w:noProof/>
          </w:rPr>
          <w:t>Hard choices are unavoidable</w:t>
        </w:r>
        <w:r>
          <w:rPr>
            <w:noProof/>
            <w:webHidden/>
          </w:rPr>
          <w:tab/>
        </w:r>
        <w:r>
          <w:rPr>
            <w:noProof/>
            <w:webHidden/>
          </w:rPr>
          <w:fldChar w:fldCharType="begin"/>
        </w:r>
        <w:r>
          <w:rPr>
            <w:noProof/>
            <w:webHidden/>
          </w:rPr>
          <w:instrText xml:space="preserve"> PAGEREF _Toc214435296 \h </w:instrText>
        </w:r>
        <w:r>
          <w:rPr>
            <w:noProof/>
            <w:webHidden/>
          </w:rPr>
        </w:r>
        <w:r>
          <w:rPr>
            <w:noProof/>
            <w:webHidden/>
          </w:rPr>
          <w:fldChar w:fldCharType="separate"/>
        </w:r>
        <w:r w:rsidR="004223AA">
          <w:rPr>
            <w:noProof/>
            <w:webHidden/>
          </w:rPr>
          <w:t>14</w:t>
        </w:r>
        <w:r>
          <w:rPr>
            <w:noProof/>
            <w:webHidden/>
          </w:rPr>
          <w:fldChar w:fldCharType="end"/>
        </w:r>
      </w:hyperlink>
    </w:p>
    <w:p w14:paraId="51A8809C" w14:textId="046C2F2A" w:rsidR="00D46737" w:rsidRDefault="00D46737">
      <w:pPr>
        <w:pStyle w:val="TOC2"/>
        <w:rPr>
          <w:rFonts w:asciiTheme="minorHAnsi" w:hAnsiTheme="minorHAnsi"/>
          <w:noProof/>
          <w:kern w:val="2"/>
          <w:sz w:val="24"/>
          <w:szCs w:val="24"/>
          <w14:ligatures w14:val="standardContextual"/>
        </w:rPr>
      </w:pPr>
      <w:hyperlink w:anchor="_Toc214435297" w:history="1">
        <w:r w:rsidRPr="006D0715">
          <w:rPr>
            <w:rStyle w:val="Hyperlink"/>
            <w:noProof/>
          </w:rPr>
          <w:t>Principles for fair and effective choices</w:t>
        </w:r>
        <w:r>
          <w:rPr>
            <w:noProof/>
            <w:webHidden/>
          </w:rPr>
          <w:tab/>
        </w:r>
        <w:r>
          <w:rPr>
            <w:noProof/>
            <w:webHidden/>
          </w:rPr>
          <w:fldChar w:fldCharType="begin"/>
        </w:r>
        <w:r>
          <w:rPr>
            <w:noProof/>
            <w:webHidden/>
          </w:rPr>
          <w:instrText xml:space="preserve"> PAGEREF _Toc214435297 \h </w:instrText>
        </w:r>
        <w:r>
          <w:rPr>
            <w:noProof/>
            <w:webHidden/>
          </w:rPr>
        </w:r>
        <w:r>
          <w:rPr>
            <w:noProof/>
            <w:webHidden/>
          </w:rPr>
          <w:fldChar w:fldCharType="separate"/>
        </w:r>
        <w:r w:rsidR="004223AA">
          <w:rPr>
            <w:noProof/>
            <w:webHidden/>
          </w:rPr>
          <w:t>14</w:t>
        </w:r>
        <w:r>
          <w:rPr>
            <w:noProof/>
            <w:webHidden/>
          </w:rPr>
          <w:fldChar w:fldCharType="end"/>
        </w:r>
      </w:hyperlink>
    </w:p>
    <w:p w14:paraId="485AAFDF" w14:textId="2BC326D5" w:rsidR="00D46737" w:rsidRDefault="00D46737">
      <w:pPr>
        <w:pStyle w:val="TOC2"/>
        <w:rPr>
          <w:rFonts w:asciiTheme="minorHAnsi" w:hAnsiTheme="minorHAnsi"/>
          <w:noProof/>
          <w:kern w:val="2"/>
          <w:sz w:val="24"/>
          <w:szCs w:val="24"/>
          <w14:ligatures w14:val="standardContextual"/>
        </w:rPr>
      </w:pPr>
      <w:hyperlink w:anchor="_Toc214435298" w:history="1">
        <w:r w:rsidRPr="006D0715">
          <w:rPr>
            <w:rStyle w:val="Hyperlink"/>
            <w:noProof/>
          </w:rPr>
          <w:t>Understanding the trade</w:t>
        </w:r>
        <w:r w:rsidRPr="006D0715">
          <w:rPr>
            <w:rStyle w:val="Hyperlink"/>
            <w:rFonts w:ascii="Cambria Math" w:hAnsi="Cambria Math" w:cs="Cambria Math"/>
            <w:noProof/>
          </w:rPr>
          <w:t>‑</w:t>
        </w:r>
        <w:r w:rsidRPr="006D0715">
          <w:rPr>
            <w:rStyle w:val="Hyperlink"/>
            <w:noProof/>
          </w:rPr>
          <w:t>offs</w:t>
        </w:r>
        <w:r>
          <w:rPr>
            <w:noProof/>
            <w:webHidden/>
          </w:rPr>
          <w:tab/>
        </w:r>
        <w:r>
          <w:rPr>
            <w:noProof/>
            <w:webHidden/>
          </w:rPr>
          <w:fldChar w:fldCharType="begin"/>
        </w:r>
        <w:r>
          <w:rPr>
            <w:noProof/>
            <w:webHidden/>
          </w:rPr>
          <w:instrText xml:space="preserve"> PAGEREF _Toc214435298 \h </w:instrText>
        </w:r>
        <w:r>
          <w:rPr>
            <w:noProof/>
            <w:webHidden/>
          </w:rPr>
        </w:r>
        <w:r>
          <w:rPr>
            <w:noProof/>
            <w:webHidden/>
          </w:rPr>
          <w:fldChar w:fldCharType="separate"/>
        </w:r>
        <w:r w:rsidR="004223AA">
          <w:rPr>
            <w:noProof/>
            <w:webHidden/>
          </w:rPr>
          <w:t>14</w:t>
        </w:r>
        <w:r>
          <w:rPr>
            <w:noProof/>
            <w:webHidden/>
          </w:rPr>
          <w:fldChar w:fldCharType="end"/>
        </w:r>
      </w:hyperlink>
    </w:p>
    <w:p w14:paraId="5A19D7A0" w14:textId="66487AC2" w:rsidR="00D46737" w:rsidRDefault="00D46737">
      <w:pPr>
        <w:pStyle w:val="TOC2"/>
        <w:rPr>
          <w:rFonts w:asciiTheme="minorHAnsi" w:hAnsiTheme="minorHAnsi"/>
          <w:noProof/>
          <w:kern w:val="2"/>
          <w:sz w:val="24"/>
          <w:szCs w:val="24"/>
          <w14:ligatures w14:val="standardContextual"/>
        </w:rPr>
      </w:pPr>
      <w:hyperlink w:anchor="_Toc214435299" w:history="1">
        <w:r w:rsidRPr="006D0715">
          <w:rPr>
            <w:rStyle w:val="Hyperlink"/>
            <w:noProof/>
          </w:rPr>
          <w:t>What makes these decisions hard?</w:t>
        </w:r>
        <w:r>
          <w:rPr>
            <w:noProof/>
            <w:webHidden/>
          </w:rPr>
          <w:tab/>
        </w:r>
        <w:r>
          <w:rPr>
            <w:noProof/>
            <w:webHidden/>
          </w:rPr>
          <w:fldChar w:fldCharType="begin"/>
        </w:r>
        <w:r>
          <w:rPr>
            <w:noProof/>
            <w:webHidden/>
          </w:rPr>
          <w:instrText xml:space="preserve"> PAGEREF _Toc214435299 \h </w:instrText>
        </w:r>
        <w:r>
          <w:rPr>
            <w:noProof/>
            <w:webHidden/>
          </w:rPr>
        </w:r>
        <w:r>
          <w:rPr>
            <w:noProof/>
            <w:webHidden/>
          </w:rPr>
          <w:fldChar w:fldCharType="separate"/>
        </w:r>
        <w:r w:rsidR="004223AA">
          <w:rPr>
            <w:noProof/>
            <w:webHidden/>
          </w:rPr>
          <w:t>15</w:t>
        </w:r>
        <w:r>
          <w:rPr>
            <w:noProof/>
            <w:webHidden/>
          </w:rPr>
          <w:fldChar w:fldCharType="end"/>
        </w:r>
      </w:hyperlink>
    </w:p>
    <w:p w14:paraId="2C71F842" w14:textId="0D54CD10" w:rsidR="00D46737" w:rsidRDefault="00D46737">
      <w:pPr>
        <w:pStyle w:val="TOC2"/>
        <w:rPr>
          <w:rFonts w:asciiTheme="minorHAnsi" w:hAnsiTheme="minorHAnsi"/>
          <w:noProof/>
          <w:kern w:val="2"/>
          <w:sz w:val="24"/>
          <w:szCs w:val="24"/>
          <w14:ligatures w14:val="standardContextual"/>
        </w:rPr>
      </w:pPr>
      <w:hyperlink w:anchor="_Toc214435300" w:history="1">
        <w:r w:rsidRPr="006D0715">
          <w:rPr>
            <w:rStyle w:val="Hyperlink"/>
            <w:noProof/>
          </w:rPr>
          <w:t>Who bears the risk and the cost?</w:t>
        </w:r>
        <w:r>
          <w:rPr>
            <w:noProof/>
            <w:webHidden/>
          </w:rPr>
          <w:tab/>
        </w:r>
        <w:r>
          <w:rPr>
            <w:noProof/>
            <w:webHidden/>
          </w:rPr>
          <w:fldChar w:fldCharType="begin"/>
        </w:r>
        <w:r>
          <w:rPr>
            <w:noProof/>
            <w:webHidden/>
          </w:rPr>
          <w:instrText xml:space="preserve"> PAGEREF _Toc214435300 \h </w:instrText>
        </w:r>
        <w:r>
          <w:rPr>
            <w:noProof/>
            <w:webHidden/>
          </w:rPr>
        </w:r>
        <w:r>
          <w:rPr>
            <w:noProof/>
            <w:webHidden/>
          </w:rPr>
          <w:fldChar w:fldCharType="separate"/>
        </w:r>
        <w:r w:rsidR="004223AA">
          <w:rPr>
            <w:noProof/>
            <w:webHidden/>
          </w:rPr>
          <w:t>16</w:t>
        </w:r>
        <w:r>
          <w:rPr>
            <w:noProof/>
            <w:webHidden/>
          </w:rPr>
          <w:fldChar w:fldCharType="end"/>
        </w:r>
      </w:hyperlink>
    </w:p>
    <w:p w14:paraId="2B4DBB5E" w14:textId="31C2435E" w:rsidR="00D46737" w:rsidRDefault="00D46737">
      <w:pPr>
        <w:pStyle w:val="TOC1"/>
        <w:rPr>
          <w:rFonts w:asciiTheme="minorHAnsi" w:hAnsiTheme="minorHAnsi"/>
          <w:noProof/>
          <w:kern w:val="2"/>
          <w:sz w:val="24"/>
          <w:szCs w:val="24"/>
          <w14:ligatures w14:val="standardContextual"/>
        </w:rPr>
      </w:pPr>
      <w:hyperlink w:anchor="_Toc214435301" w:history="1">
        <w:r w:rsidRPr="006D0715">
          <w:rPr>
            <w:rStyle w:val="Hyperlink"/>
            <w:noProof/>
          </w:rPr>
          <w:t>Section 4: Opportunities to build resilience</w:t>
        </w:r>
        <w:r>
          <w:rPr>
            <w:noProof/>
            <w:webHidden/>
          </w:rPr>
          <w:tab/>
        </w:r>
        <w:r>
          <w:rPr>
            <w:noProof/>
            <w:webHidden/>
          </w:rPr>
          <w:fldChar w:fldCharType="begin"/>
        </w:r>
        <w:r>
          <w:rPr>
            <w:noProof/>
            <w:webHidden/>
          </w:rPr>
          <w:instrText xml:space="preserve"> PAGEREF _Toc214435301 \h </w:instrText>
        </w:r>
        <w:r>
          <w:rPr>
            <w:noProof/>
            <w:webHidden/>
          </w:rPr>
        </w:r>
        <w:r>
          <w:rPr>
            <w:noProof/>
            <w:webHidden/>
          </w:rPr>
          <w:fldChar w:fldCharType="separate"/>
        </w:r>
        <w:r w:rsidR="004223AA">
          <w:rPr>
            <w:noProof/>
            <w:webHidden/>
          </w:rPr>
          <w:t>18</w:t>
        </w:r>
        <w:r>
          <w:rPr>
            <w:noProof/>
            <w:webHidden/>
          </w:rPr>
          <w:fldChar w:fldCharType="end"/>
        </w:r>
      </w:hyperlink>
    </w:p>
    <w:p w14:paraId="6019D23F" w14:textId="6D2E2CAF" w:rsidR="00D46737" w:rsidRDefault="00D46737">
      <w:pPr>
        <w:pStyle w:val="TOC2"/>
        <w:rPr>
          <w:rFonts w:asciiTheme="minorHAnsi" w:hAnsiTheme="minorHAnsi"/>
          <w:noProof/>
          <w:kern w:val="2"/>
          <w:sz w:val="24"/>
          <w:szCs w:val="24"/>
          <w14:ligatures w14:val="standardContextual"/>
        </w:rPr>
      </w:pPr>
      <w:hyperlink w:anchor="_Toc214435302" w:history="1">
        <w:r w:rsidRPr="006D0715">
          <w:rPr>
            <w:rStyle w:val="Hyperlink"/>
            <w:noProof/>
          </w:rPr>
          <w:t>Existing work is building momentum</w:t>
        </w:r>
        <w:r>
          <w:rPr>
            <w:noProof/>
            <w:webHidden/>
          </w:rPr>
          <w:tab/>
        </w:r>
        <w:r>
          <w:rPr>
            <w:noProof/>
            <w:webHidden/>
          </w:rPr>
          <w:fldChar w:fldCharType="begin"/>
        </w:r>
        <w:r>
          <w:rPr>
            <w:noProof/>
            <w:webHidden/>
          </w:rPr>
          <w:instrText xml:space="preserve"> PAGEREF _Toc214435302 \h </w:instrText>
        </w:r>
        <w:r>
          <w:rPr>
            <w:noProof/>
            <w:webHidden/>
          </w:rPr>
        </w:r>
        <w:r>
          <w:rPr>
            <w:noProof/>
            <w:webHidden/>
          </w:rPr>
          <w:fldChar w:fldCharType="separate"/>
        </w:r>
        <w:r w:rsidR="004223AA">
          <w:rPr>
            <w:noProof/>
            <w:webHidden/>
          </w:rPr>
          <w:t>18</w:t>
        </w:r>
        <w:r>
          <w:rPr>
            <w:noProof/>
            <w:webHidden/>
          </w:rPr>
          <w:fldChar w:fldCharType="end"/>
        </w:r>
      </w:hyperlink>
    </w:p>
    <w:p w14:paraId="59A3B791" w14:textId="6C1EC1BF" w:rsidR="00D46737" w:rsidRDefault="00D46737">
      <w:pPr>
        <w:pStyle w:val="TOC2"/>
        <w:rPr>
          <w:rFonts w:asciiTheme="minorHAnsi" w:hAnsiTheme="minorHAnsi"/>
          <w:noProof/>
          <w:kern w:val="2"/>
          <w:sz w:val="24"/>
          <w:szCs w:val="24"/>
          <w14:ligatures w14:val="standardContextual"/>
        </w:rPr>
      </w:pPr>
      <w:hyperlink w:anchor="_Toc214435303" w:history="1">
        <w:r w:rsidRPr="006D0715">
          <w:rPr>
            <w:rStyle w:val="Hyperlink"/>
            <w:noProof/>
          </w:rPr>
          <w:t>Fostering community solutions</w:t>
        </w:r>
        <w:r>
          <w:rPr>
            <w:noProof/>
            <w:webHidden/>
          </w:rPr>
          <w:tab/>
        </w:r>
        <w:r>
          <w:rPr>
            <w:noProof/>
            <w:webHidden/>
          </w:rPr>
          <w:fldChar w:fldCharType="begin"/>
        </w:r>
        <w:r>
          <w:rPr>
            <w:noProof/>
            <w:webHidden/>
          </w:rPr>
          <w:instrText xml:space="preserve"> PAGEREF _Toc214435303 \h </w:instrText>
        </w:r>
        <w:r>
          <w:rPr>
            <w:noProof/>
            <w:webHidden/>
          </w:rPr>
        </w:r>
        <w:r>
          <w:rPr>
            <w:noProof/>
            <w:webHidden/>
          </w:rPr>
          <w:fldChar w:fldCharType="separate"/>
        </w:r>
        <w:r w:rsidR="004223AA">
          <w:rPr>
            <w:noProof/>
            <w:webHidden/>
          </w:rPr>
          <w:t>20</w:t>
        </w:r>
        <w:r>
          <w:rPr>
            <w:noProof/>
            <w:webHidden/>
          </w:rPr>
          <w:fldChar w:fldCharType="end"/>
        </w:r>
      </w:hyperlink>
    </w:p>
    <w:p w14:paraId="78C6191A" w14:textId="3E989D5D" w:rsidR="00D46737" w:rsidRDefault="00D46737">
      <w:pPr>
        <w:pStyle w:val="TOC2"/>
        <w:rPr>
          <w:rFonts w:asciiTheme="minorHAnsi" w:hAnsiTheme="minorHAnsi"/>
          <w:noProof/>
          <w:kern w:val="2"/>
          <w:sz w:val="24"/>
          <w:szCs w:val="24"/>
          <w14:ligatures w14:val="standardContextual"/>
        </w:rPr>
      </w:pPr>
      <w:hyperlink w:anchor="_Toc214435304" w:history="1">
        <w:r w:rsidRPr="006D0715">
          <w:rPr>
            <w:rStyle w:val="Hyperlink"/>
            <w:noProof/>
          </w:rPr>
          <w:t>Using science, data and modelling</w:t>
        </w:r>
        <w:r>
          <w:rPr>
            <w:noProof/>
            <w:webHidden/>
          </w:rPr>
          <w:tab/>
        </w:r>
        <w:r>
          <w:rPr>
            <w:noProof/>
            <w:webHidden/>
          </w:rPr>
          <w:fldChar w:fldCharType="begin"/>
        </w:r>
        <w:r>
          <w:rPr>
            <w:noProof/>
            <w:webHidden/>
          </w:rPr>
          <w:instrText xml:space="preserve"> PAGEREF _Toc214435304 \h </w:instrText>
        </w:r>
        <w:r>
          <w:rPr>
            <w:noProof/>
            <w:webHidden/>
          </w:rPr>
        </w:r>
        <w:r>
          <w:rPr>
            <w:noProof/>
            <w:webHidden/>
          </w:rPr>
          <w:fldChar w:fldCharType="separate"/>
        </w:r>
        <w:r w:rsidR="004223AA">
          <w:rPr>
            <w:noProof/>
            <w:webHidden/>
          </w:rPr>
          <w:t>21</w:t>
        </w:r>
        <w:r>
          <w:rPr>
            <w:noProof/>
            <w:webHidden/>
          </w:rPr>
          <w:fldChar w:fldCharType="end"/>
        </w:r>
      </w:hyperlink>
    </w:p>
    <w:p w14:paraId="62BDFC12" w14:textId="6294943E" w:rsidR="00D46737" w:rsidRDefault="00D46737">
      <w:pPr>
        <w:pStyle w:val="TOC2"/>
        <w:rPr>
          <w:rFonts w:asciiTheme="minorHAnsi" w:hAnsiTheme="minorHAnsi"/>
          <w:noProof/>
          <w:kern w:val="2"/>
          <w:sz w:val="24"/>
          <w:szCs w:val="24"/>
          <w14:ligatures w14:val="standardContextual"/>
        </w:rPr>
      </w:pPr>
      <w:hyperlink w:anchor="_Toc214435305" w:history="1">
        <w:r w:rsidRPr="006D0715">
          <w:rPr>
            <w:rStyle w:val="Hyperlink"/>
            <w:noProof/>
          </w:rPr>
          <w:t>Harnessing technology and AI</w:t>
        </w:r>
        <w:r>
          <w:rPr>
            <w:noProof/>
            <w:webHidden/>
          </w:rPr>
          <w:tab/>
        </w:r>
        <w:r>
          <w:rPr>
            <w:noProof/>
            <w:webHidden/>
          </w:rPr>
          <w:fldChar w:fldCharType="begin"/>
        </w:r>
        <w:r>
          <w:rPr>
            <w:noProof/>
            <w:webHidden/>
          </w:rPr>
          <w:instrText xml:space="preserve"> PAGEREF _Toc214435305 \h </w:instrText>
        </w:r>
        <w:r>
          <w:rPr>
            <w:noProof/>
            <w:webHidden/>
          </w:rPr>
        </w:r>
        <w:r>
          <w:rPr>
            <w:noProof/>
            <w:webHidden/>
          </w:rPr>
          <w:fldChar w:fldCharType="separate"/>
        </w:r>
        <w:r w:rsidR="004223AA">
          <w:rPr>
            <w:noProof/>
            <w:webHidden/>
          </w:rPr>
          <w:t>22</w:t>
        </w:r>
        <w:r>
          <w:rPr>
            <w:noProof/>
            <w:webHidden/>
          </w:rPr>
          <w:fldChar w:fldCharType="end"/>
        </w:r>
      </w:hyperlink>
    </w:p>
    <w:p w14:paraId="2D7C21AC" w14:textId="4374DAE6" w:rsidR="00D46737" w:rsidRDefault="00D46737">
      <w:pPr>
        <w:pStyle w:val="TOC2"/>
        <w:rPr>
          <w:rFonts w:asciiTheme="minorHAnsi" w:hAnsiTheme="minorHAnsi"/>
          <w:noProof/>
          <w:kern w:val="2"/>
          <w:sz w:val="24"/>
          <w:szCs w:val="24"/>
          <w14:ligatures w14:val="standardContextual"/>
        </w:rPr>
      </w:pPr>
      <w:hyperlink w:anchor="_Toc214435306" w:history="1">
        <w:r w:rsidRPr="006D0715">
          <w:rPr>
            <w:rStyle w:val="Hyperlink"/>
            <w:noProof/>
          </w:rPr>
          <w:t>Designing more resilient infrastructure</w:t>
        </w:r>
        <w:r>
          <w:rPr>
            <w:noProof/>
            <w:webHidden/>
          </w:rPr>
          <w:tab/>
        </w:r>
        <w:r>
          <w:rPr>
            <w:noProof/>
            <w:webHidden/>
          </w:rPr>
          <w:fldChar w:fldCharType="begin"/>
        </w:r>
        <w:r>
          <w:rPr>
            <w:noProof/>
            <w:webHidden/>
          </w:rPr>
          <w:instrText xml:space="preserve"> PAGEREF _Toc214435306 \h </w:instrText>
        </w:r>
        <w:r>
          <w:rPr>
            <w:noProof/>
            <w:webHidden/>
          </w:rPr>
        </w:r>
        <w:r>
          <w:rPr>
            <w:noProof/>
            <w:webHidden/>
          </w:rPr>
          <w:fldChar w:fldCharType="separate"/>
        </w:r>
        <w:r w:rsidR="004223AA">
          <w:rPr>
            <w:noProof/>
            <w:webHidden/>
          </w:rPr>
          <w:t>23</w:t>
        </w:r>
        <w:r>
          <w:rPr>
            <w:noProof/>
            <w:webHidden/>
          </w:rPr>
          <w:fldChar w:fldCharType="end"/>
        </w:r>
      </w:hyperlink>
    </w:p>
    <w:p w14:paraId="0E2482E1" w14:textId="64DAF627" w:rsidR="00D46737" w:rsidRDefault="00D46737">
      <w:pPr>
        <w:pStyle w:val="TOC2"/>
        <w:rPr>
          <w:rFonts w:asciiTheme="minorHAnsi" w:hAnsiTheme="minorHAnsi"/>
          <w:noProof/>
          <w:kern w:val="2"/>
          <w:sz w:val="24"/>
          <w:szCs w:val="24"/>
          <w14:ligatures w14:val="standardContextual"/>
        </w:rPr>
      </w:pPr>
      <w:hyperlink w:anchor="_Toc214435307" w:history="1">
        <w:r w:rsidRPr="006D0715">
          <w:rPr>
            <w:rStyle w:val="Hyperlink"/>
            <w:noProof/>
          </w:rPr>
          <w:t>Funding and investment strategies</w:t>
        </w:r>
        <w:r>
          <w:rPr>
            <w:noProof/>
            <w:webHidden/>
          </w:rPr>
          <w:tab/>
        </w:r>
        <w:r>
          <w:rPr>
            <w:noProof/>
            <w:webHidden/>
          </w:rPr>
          <w:fldChar w:fldCharType="begin"/>
        </w:r>
        <w:r>
          <w:rPr>
            <w:noProof/>
            <w:webHidden/>
          </w:rPr>
          <w:instrText xml:space="preserve"> PAGEREF _Toc214435307 \h </w:instrText>
        </w:r>
        <w:r>
          <w:rPr>
            <w:noProof/>
            <w:webHidden/>
          </w:rPr>
        </w:r>
        <w:r>
          <w:rPr>
            <w:noProof/>
            <w:webHidden/>
          </w:rPr>
          <w:fldChar w:fldCharType="separate"/>
        </w:r>
        <w:r w:rsidR="004223AA">
          <w:rPr>
            <w:noProof/>
            <w:webHidden/>
          </w:rPr>
          <w:t>24</w:t>
        </w:r>
        <w:r>
          <w:rPr>
            <w:noProof/>
            <w:webHidden/>
          </w:rPr>
          <w:fldChar w:fldCharType="end"/>
        </w:r>
      </w:hyperlink>
    </w:p>
    <w:p w14:paraId="29BD987A" w14:textId="1AF4D592" w:rsidR="00D46737" w:rsidRDefault="00D46737">
      <w:pPr>
        <w:pStyle w:val="TOC1"/>
        <w:rPr>
          <w:rFonts w:asciiTheme="minorHAnsi" w:hAnsiTheme="minorHAnsi"/>
          <w:noProof/>
          <w:kern w:val="2"/>
          <w:sz w:val="24"/>
          <w:szCs w:val="24"/>
          <w14:ligatures w14:val="standardContextual"/>
        </w:rPr>
      </w:pPr>
      <w:hyperlink w:anchor="_Toc214435308" w:history="1">
        <w:r w:rsidRPr="006D0715">
          <w:rPr>
            <w:rStyle w:val="Hyperlink"/>
            <w:noProof/>
          </w:rPr>
          <w:t>Section 5: Closing remarks</w:t>
        </w:r>
        <w:r>
          <w:rPr>
            <w:noProof/>
            <w:webHidden/>
          </w:rPr>
          <w:tab/>
        </w:r>
        <w:r>
          <w:rPr>
            <w:noProof/>
            <w:webHidden/>
          </w:rPr>
          <w:fldChar w:fldCharType="begin"/>
        </w:r>
        <w:r>
          <w:rPr>
            <w:noProof/>
            <w:webHidden/>
          </w:rPr>
          <w:instrText xml:space="preserve"> PAGEREF _Toc214435308 \h </w:instrText>
        </w:r>
        <w:r>
          <w:rPr>
            <w:noProof/>
            <w:webHidden/>
          </w:rPr>
        </w:r>
        <w:r>
          <w:rPr>
            <w:noProof/>
            <w:webHidden/>
          </w:rPr>
          <w:fldChar w:fldCharType="separate"/>
        </w:r>
        <w:r w:rsidR="004223AA">
          <w:rPr>
            <w:noProof/>
            <w:webHidden/>
          </w:rPr>
          <w:t>26</w:t>
        </w:r>
        <w:r>
          <w:rPr>
            <w:noProof/>
            <w:webHidden/>
          </w:rPr>
          <w:fldChar w:fldCharType="end"/>
        </w:r>
      </w:hyperlink>
    </w:p>
    <w:p w14:paraId="698F56A3" w14:textId="713B4291" w:rsidR="00D46737" w:rsidRDefault="00D46737">
      <w:pPr>
        <w:pStyle w:val="TOC1"/>
        <w:rPr>
          <w:rFonts w:asciiTheme="minorHAnsi" w:hAnsiTheme="minorHAnsi"/>
          <w:noProof/>
          <w:kern w:val="2"/>
          <w:sz w:val="24"/>
          <w:szCs w:val="24"/>
          <w14:ligatures w14:val="standardContextual"/>
        </w:rPr>
      </w:pPr>
      <w:hyperlink w:anchor="_Toc214435309" w:history="1">
        <w:r w:rsidRPr="006D0715">
          <w:rPr>
            <w:rStyle w:val="Hyperlink"/>
            <w:noProof/>
          </w:rPr>
          <w:t>Annex 1: National Risk Register 2025</w:t>
        </w:r>
        <w:r>
          <w:rPr>
            <w:noProof/>
            <w:webHidden/>
          </w:rPr>
          <w:tab/>
        </w:r>
        <w:r>
          <w:rPr>
            <w:noProof/>
            <w:webHidden/>
          </w:rPr>
          <w:fldChar w:fldCharType="begin"/>
        </w:r>
        <w:r>
          <w:rPr>
            <w:noProof/>
            <w:webHidden/>
          </w:rPr>
          <w:instrText xml:space="preserve"> PAGEREF _Toc214435309 \h </w:instrText>
        </w:r>
        <w:r>
          <w:rPr>
            <w:noProof/>
            <w:webHidden/>
          </w:rPr>
        </w:r>
        <w:r>
          <w:rPr>
            <w:noProof/>
            <w:webHidden/>
          </w:rPr>
          <w:fldChar w:fldCharType="separate"/>
        </w:r>
        <w:r w:rsidR="004223AA">
          <w:rPr>
            <w:noProof/>
            <w:webHidden/>
          </w:rPr>
          <w:t>27</w:t>
        </w:r>
        <w:r>
          <w:rPr>
            <w:noProof/>
            <w:webHidden/>
          </w:rPr>
          <w:fldChar w:fldCharType="end"/>
        </w:r>
      </w:hyperlink>
    </w:p>
    <w:p w14:paraId="3AFB8EA5" w14:textId="03B46CF9" w:rsidR="00D46737" w:rsidRDefault="00D46737">
      <w:pPr>
        <w:pStyle w:val="TOC1"/>
        <w:rPr>
          <w:rFonts w:asciiTheme="minorHAnsi" w:hAnsiTheme="minorHAnsi"/>
          <w:noProof/>
          <w:kern w:val="2"/>
          <w:sz w:val="24"/>
          <w:szCs w:val="24"/>
          <w14:ligatures w14:val="standardContextual"/>
        </w:rPr>
      </w:pPr>
      <w:hyperlink w:anchor="_Toc214435310" w:history="1">
        <w:r w:rsidRPr="006D0715">
          <w:rPr>
            <w:rStyle w:val="Hyperlink"/>
            <w:noProof/>
          </w:rPr>
          <w:t>References</w:t>
        </w:r>
        <w:r>
          <w:rPr>
            <w:noProof/>
            <w:webHidden/>
          </w:rPr>
          <w:tab/>
        </w:r>
        <w:r>
          <w:rPr>
            <w:noProof/>
            <w:webHidden/>
          </w:rPr>
          <w:fldChar w:fldCharType="begin"/>
        </w:r>
        <w:r>
          <w:rPr>
            <w:noProof/>
            <w:webHidden/>
          </w:rPr>
          <w:instrText xml:space="preserve"> PAGEREF _Toc214435310 \h </w:instrText>
        </w:r>
        <w:r>
          <w:rPr>
            <w:noProof/>
            <w:webHidden/>
          </w:rPr>
        </w:r>
        <w:r>
          <w:rPr>
            <w:noProof/>
            <w:webHidden/>
          </w:rPr>
          <w:fldChar w:fldCharType="separate"/>
        </w:r>
        <w:r w:rsidR="004223AA">
          <w:rPr>
            <w:noProof/>
            <w:webHidden/>
          </w:rPr>
          <w:t>30</w:t>
        </w:r>
        <w:r>
          <w:rPr>
            <w:noProof/>
            <w:webHidden/>
          </w:rPr>
          <w:fldChar w:fldCharType="end"/>
        </w:r>
      </w:hyperlink>
    </w:p>
    <w:p w14:paraId="6B0F8894" w14:textId="5F9C2B34" w:rsidR="002D7D9F" w:rsidRDefault="002D7D9F" w:rsidP="69FEF511">
      <w:pPr>
        <w:pStyle w:val="BodyText"/>
      </w:pPr>
      <w:r>
        <w:fldChar w:fldCharType="end"/>
      </w:r>
      <w:bookmarkStart w:id="0" w:name="_Toc215561202"/>
    </w:p>
    <w:p w14:paraId="4059532E" w14:textId="77777777" w:rsidR="002D7D9F" w:rsidRPr="002D7D9F" w:rsidRDefault="002D7D9F" w:rsidP="69FEF511">
      <w:pPr>
        <w:pStyle w:val="BodyText"/>
      </w:pPr>
      <w:r>
        <w:br w:type="page"/>
      </w:r>
    </w:p>
    <w:p w14:paraId="3954E19D" w14:textId="7A57E955" w:rsidR="006B6B9E" w:rsidRPr="00411005" w:rsidRDefault="6FE5A38D" w:rsidP="0304C947">
      <w:pPr>
        <w:pStyle w:val="Heading1"/>
      </w:pPr>
      <w:bookmarkStart w:id="1" w:name="_Toc214435286"/>
      <w:r w:rsidRPr="00411005">
        <w:lastRenderedPageBreak/>
        <w:t xml:space="preserve">A joint foreword from the </w:t>
      </w:r>
      <w:r w:rsidR="00411005">
        <w:br/>
      </w:r>
      <w:r w:rsidRPr="00411005">
        <w:t>Chief Executives</w:t>
      </w:r>
      <w:bookmarkEnd w:id="1"/>
    </w:p>
    <w:p w14:paraId="4488D28A" w14:textId="199F58DE" w:rsidR="006B6B9E" w:rsidRPr="00411005" w:rsidRDefault="48A95697" w:rsidP="00411005">
      <w:pPr>
        <w:pStyle w:val="BodyText"/>
        <w:rPr>
          <w:b/>
        </w:rPr>
      </w:pPr>
      <w:proofErr w:type="spellStart"/>
      <w:r w:rsidRPr="00411005">
        <w:rPr>
          <w:b/>
        </w:rPr>
        <w:t>Tēnā</w:t>
      </w:r>
      <w:proofErr w:type="spellEnd"/>
      <w:r w:rsidRPr="00411005">
        <w:rPr>
          <w:b/>
        </w:rPr>
        <w:t xml:space="preserve"> koutou </w:t>
      </w:r>
      <w:proofErr w:type="spellStart"/>
      <w:r w:rsidRPr="00411005">
        <w:rPr>
          <w:b/>
        </w:rPr>
        <w:t>katoa</w:t>
      </w:r>
      <w:proofErr w:type="spellEnd"/>
    </w:p>
    <w:p w14:paraId="290D29DC" w14:textId="64E0F56B" w:rsidR="006B6B9E" w:rsidRPr="008879E1" w:rsidRDefault="48A95697" w:rsidP="00411005">
      <w:pPr>
        <w:pStyle w:val="BodyText"/>
        <w:rPr>
          <w:rFonts w:eastAsia="Calibri" w:cs="Calibri"/>
          <w:color w:val="000000" w:themeColor="text1"/>
        </w:rPr>
      </w:pPr>
      <w:r w:rsidRPr="4E5C0A85">
        <w:rPr>
          <w:color w:val="000000" w:themeColor="text1"/>
        </w:rPr>
        <w:t>Aotearoa New Zealand’s unique and dramatic landscape is both a source of pride and a</w:t>
      </w:r>
      <w:r w:rsidR="65BC6111" w:rsidRPr="4E5C0A85">
        <w:rPr>
          <w:color w:val="000000" w:themeColor="text1"/>
        </w:rPr>
        <w:t>n ever</w:t>
      </w:r>
      <w:r w:rsidR="00907B46">
        <w:rPr>
          <w:color w:val="000000" w:themeColor="text1"/>
        </w:rPr>
        <w:t>-</w:t>
      </w:r>
      <w:r w:rsidR="005548B3">
        <w:rPr>
          <w:color w:val="000000" w:themeColor="text1"/>
        </w:rPr>
        <w:t>p</w:t>
      </w:r>
      <w:r w:rsidR="65BC6111" w:rsidRPr="4E5C0A85">
        <w:rPr>
          <w:color w:val="000000" w:themeColor="text1"/>
        </w:rPr>
        <w:t>resent</w:t>
      </w:r>
      <w:r w:rsidRPr="4E5C0A85">
        <w:rPr>
          <w:color w:val="000000" w:themeColor="text1"/>
        </w:rPr>
        <w:t xml:space="preserve"> reminder of the challenges we face as a nation. Our multi-hazard environment – from earthquakes and tsunamis to volcanic activity and severe weather</w:t>
      </w:r>
      <w:r w:rsidR="00BC6A50">
        <w:rPr>
          <w:color w:val="000000" w:themeColor="text1"/>
        </w:rPr>
        <w:t xml:space="preserve"> </w:t>
      </w:r>
      <w:r w:rsidRPr="4E5C0A85">
        <w:rPr>
          <w:color w:val="000000" w:themeColor="text1"/>
        </w:rPr>
        <w:t xml:space="preserve">– </w:t>
      </w:r>
      <w:r w:rsidRPr="4E5C0A85">
        <w:rPr>
          <w:rFonts w:eastAsia="Calibri" w:cs="Calibri"/>
          <w:color w:val="000000" w:themeColor="text1"/>
        </w:rPr>
        <w:t xml:space="preserve">places us among countries with </w:t>
      </w:r>
      <w:r w:rsidR="0006325F" w:rsidRPr="4E5C0A85">
        <w:rPr>
          <w:rFonts w:eastAsia="Calibri" w:cs="Calibri"/>
          <w:color w:val="000000" w:themeColor="text1"/>
        </w:rPr>
        <w:t>an</w:t>
      </w:r>
      <w:r w:rsidRPr="4E5C0A85">
        <w:rPr>
          <w:rFonts w:eastAsia="Calibri" w:cs="Calibri"/>
          <w:color w:val="000000" w:themeColor="text1"/>
        </w:rPr>
        <w:t xml:space="preserve"> elevated disaster risk.</w:t>
      </w:r>
    </w:p>
    <w:p w14:paraId="764FAEFE" w14:textId="05B730A7" w:rsidR="006B6B9E" w:rsidRPr="008879E1" w:rsidRDefault="48A95697" w:rsidP="00411005">
      <w:pPr>
        <w:pStyle w:val="BodyText"/>
        <w:rPr>
          <w:rFonts w:eastAsia="Calibri" w:cs="Calibri"/>
          <w:color w:val="000000" w:themeColor="text1"/>
        </w:rPr>
      </w:pPr>
      <w:r w:rsidRPr="008879E1">
        <w:rPr>
          <w:color w:val="000000" w:themeColor="text1"/>
        </w:rPr>
        <w:t>Building our national resilience to hazards is essential: it will give our people and economy the opportunity to thrive – not just when conditions are easy, but also when they are hard.</w:t>
      </w:r>
    </w:p>
    <w:p w14:paraId="7084DEC8" w14:textId="48BF9E71" w:rsidR="006B6B9E" w:rsidRPr="008879E1" w:rsidRDefault="48A95697" w:rsidP="00411005">
      <w:pPr>
        <w:pStyle w:val="BodyText"/>
        <w:rPr>
          <w:rFonts w:eastAsia="Calibri" w:cs="Calibri"/>
          <w:color w:val="000000" w:themeColor="text1"/>
        </w:rPr>
      </w:pPr>
      <w:r w:rsidRPr="008879E1">
        <w:rPr>
          <w:color w:val="000000" w:themeColor="text1"/>
        </w:rPr>
        <w:t>However, building resilience is no easy task, especially when dealing with low-probability, high-impact events</w:t>
      </w:r>
      <w:r w:rsidR="001E25A4">
        <w:rPr>
          <w:color w:val="000000" w:themeColor="text1"/>
        </w:rPr>
        <w:t xml:space="preserve"> – </w:t>
      </w:r>
      <w:r w:rsidRPr="008879E1">
        <w:rPr>
          <w:color w:val="000000" w:themeColor="text1"/>
        </w:rPr>
        <w:t>such as the Christchurch and Canterbury Earthquakes</w:t>
      </w:r>
      <w:r w:rsidR="001E25A4">
        <w:rPr>
          <w:color w:val="000000" w:themeColor="text1"/>
        </w:rPr>
        <w:t xml:space="preserve"> – </w:t>
      </w:r>
      <w:r w:rsidRPr="008879E1">
        <w:rPr>
          <w:color w:val="000000" w:themeColor="text1"/>
        </w:rPr>
        <w:t>or with multiple simultaneous hazards and a population whose diverse perspectives and incentives must be recognised.</w:t>
      </w:r>
    </w:p>
    <w:p w14:paraId="4DDB2B67" w14:textId="4B12D94D" w:rsidR="006B6B9E" w:rsidRPr="008879E1" w:rsidRDefault="48A95697" w:rsidP="00411005">
      <w:pPr>
        <w:pStyle w:val="BodyText"/>
        <w:rPr>
          <w:rFonts w:eastAsia="Calibri" w:cs="Calibri"/>
          <w:color w:val="000000" w:themeColor="text1"/>
        </w:rPr>
      </w:pPr>
      <w:r w:rsidRPr="58FB8A50">
        <w:rPr>
          <w:color w:val="000000" w:themeColor="text1"/>
        </w:rPr>
        <w:t xml:space="preserve">Recent history demonstrates that major crises can occur multiple times within a single generation, forcing us to confront difficult realities. This demands a proactive approach to risk management – one that is willing to </w:t>
      </w:r>
      <w:r w:rsidR="0BAF3144" w:rsidRPr="58FB8A50">
        <w:rPr>
          <w:color w:val="000000" w:themeColor="text1"/>
        </w:rPr>
        <w:t xml:space="preserve">plan and </w:t>
      </w:r>
      <w:r w:rsidRPr="58FB8A50">
        <w:rPr>
          <w:color w:val="000000" w:themeColor="text1"/>
        </w:rPr>
        <w:t>make tough trade-offs to meet the challenges ahead and seize new opportunities for action. This Long-term Insights Briefing explores these themes within the context of New Zealand’s evolving hazard landscape.</w:t>
      </w:r>
    </w:p>
    <w:p w14:paraId="070AFF63" w14:textId="25C11DB5" w:rsidR="006B6B9E" w:rsidRPr="008879E1" w:rsidRDefault="48A95697" w:rsidP="00411005">
      <w:pPr>
        <w:pStyle w:val="BodyText"/>
        <w:rPr>
          <w:rFonts w:eastAsia="Calibri" w:cs="Calibri"/>
          <w:color w:val="000000" w:themeColor="text1"/>
        </w:rPr>
      </w:pPr>
      <w:r w:rsidRPr="35747FC6">
        <w:rPr>
          <w:color w:val="000000" w:themeColor="text1"/>
        </w:rPr>
        <w:t>As the briefing states,</w:t>
      </w:r>
      <w:r w:rsidRPr="35747FC6">
        <w:rPr>
          <w:rFonts w:eastAsia="Calibri" w:cs="Calibri"/>
          <w:i/>
          <w:iCs/>
          <w:color w:val="000000" w:themeColor="text1"/>
        </w:rPr>
        <w:t xml:space="preserve"> </w:t>
      </w:r>
      <w:r w:rsidR="00070F73" w:rsidRPr="35747FC6">
        <w:rPr>
          <w:rFonts w:eastAsia="Calibri" w:cs="Calibri"/>
          <w:i/>
          <w:iCs/>
          <w:color w:val="000000" w:themeColor="text1"/>
        </w:rPr>
        <w:t>“</w:t>
      </w:r>
      <w:r w:rsidRPr="35747FC6">
        <w:rPr>
          <w:rFonts w:eastAsia="Calibri" w:cs="Calibri"/>
          <w:i/>
          <w:iCs/>
          <w:color w:val="000000" w:themeColor="text1"/>
        </w:rPr>
        <w:t>Resilience is not a nice-to-have; it is a prudent way to ensure our prosperity and security</w:t>
      </w:r>
      <w:r w:rsidR="00070F73" w:rsidRPr="35747FC6">
        <w:rPr>
          <w:rFonts w:eastAsia="Calibri" w:cs="Calibri"/>
          <w:i/>
          <w:iCs/>
          <w:color w:val="000000" w:themeColor="text1"/>
        </w:rPr>
        <w:t>”</w:t>
      </w:r>
      <w:r w:rsidRPr="35747FC6">
        <w:rPr>
          <w:rFonts w:eastAsia="Calibri" w:cs="Calibri"/>
          <w:i/>
          <w:iCs/>
          <w:color w:val="000000" w:themeColor="text1"/>
        </w:rPr>
        <w:t xml:space="preserve">. </w:t>
      </w:r>
      <w:r w:rsidRPr="35747FC6">
        <w:rPr>
          <w:rFonts w:eastAsia="Calibri" w:cs="Calibri"/>
          <w:color w:val="000000" w:themeColor="text1"/>
        </w:rPr>
        <w:t>Embedding resilience into our systems and decision-making processes is a long-term commitment that requires sustained focus</w:t>
      </w:r>
      <w:r w:rsidR="7521D0EA" w:rsidRPr="35747FC6">
        <w:rPr>
          <w:rFonts w:eastAsia="Calibri" w:cs="Calibri"/>
          <w:color w:val="000000" w:themeColor="text1"/>
        </w:rPr>
        <w:t>, not just in the aftermath of events,</w:t>
      </w:r>
      <w:r w:rsidRPr="35747FC6">
        <w:rPr>
          <w:rFonts w:eastAsia="Calibri" w:cs="Calibri"/>
          <w:color w:val="000000" w:themeColor="text1"/>
        </w:rPr>
        <w:t xml:space="preserve"> and collaboration </w:t>
      </w:r>
      <w:r w:rsidR="3B3CC053" w:rsidRPr="35747FC6">
        <w:rPr>
          <w:rFonts w:eastAsia="Calibri" w:cs="Calibri"/>
          <w:color w:val="000000" w:themeColor="text1"/>
        </w:rPr>
        <w:t>a</w:t>
      </w:r>
      <w:r w:rsidRPr="35747FC6">
        <w:rPr>
          <w:rFonts w:eastAsia="Calibri" w:cs="Calibri"/>
          <w:color w:val="000000" w:themeColor="text1"/>
        </w:rPr>
        <w:t>cross all sectors of society</w:t>
      </w:r>
      <w:r w:rsidR="16F19745" w:rsidRPr="35747FC6">
        <w:rPr>
          <w:rFonts w:eastAsia="Calibri" w:cs="Calibri"/>
          <w:color w:val="000000" w:themeColor="text1"/>
        </w:rPr>
        <w:t xml:space="preserve">, </w:t>
      </w:r>
      <w:r w:rsidR="21E7808F" w:rsidRPr="35747FC6">
        <w:rPr>
          <w:rFonts w:eastAsia="Calibri" w:cs="Calibri"/>
          <w:color w:val="000000" w:themeColor="text1"/>
        </w:rPr>
        <w:t>from national scale down to</w:t>
      </w:r>
      <w:r w:rsidR="16F19745" w:rsidRPr="35747FC6">
        <w:rPr>
          <w:rFonts w:eastAsia="Calibri" w:cs="Calibri"/>
          <w:color w:val="000000" w:themeColor="text1"/>
        </w:rPr>
        <w:t xml:space="preserve"> households</w:t>
      </w:r>
      <w:r w:rsidRPr="35747FC6">
        <w:rPr>
          <w:rFonts w:eastAsia="Calibri" w:cs="Calibri"/>
          <w:color w:val="000000" w:themeColor="text1"/>
        </w:rPr>
        <w:t>.</w:t>
      </w:r>
      <w:r w:rsidRPr="35747FC6" w:rsidDel="48A95697">
        <w:rPr>
          <w:rFonts w:eastAsia="Calibri" w:cs="Calibri"/>
          <w:color w:val="000000" w:themeColor="text1"/>
        </w:rPr>
        <w:t xml:space="preserve"> </w:t>
      </w:r>
      <w:r w:rsidRPr="35747FC6">
        <w:rPr>
          <w:rFonts w:eastAsia="Calibri" w:cs="Calibri"/>
          <w:color w:val="000000" w:themeColor="text1"/>
        </w:rPr>
        <w:t>It is also a commitment that must transcend political cycles.</w:t>
      </w:r>
      <w:r w:rsidR="00BF60C2" w:rsidRPr="23470A89">
        <w:rPr>
          <w:color w:val="000000" w:themeColor="text1"/>
        </w:rPr>
        <w:t xml:space="preserve"> </w:t>
      </w:r>
      <w:r w:rsidRPr="23470A89">
        <w:rPr>
          <w:color w:val="000000" w:themeColor="text1"/>
        </w:rPr>
        <w:t>The significant benefits of resilience are also a reason to move quickly. Action is more effective the earlier it is taken. Since the Department of the Prime Minister and Cabinet and the Ministry for the Environment began developing this briefing on behalf of the, now former, National Hazards Board, new governance arrangements have been made for the National Resilience System. These are designed to improve efficiency</w:t>
      </w:r>
      <w:r w:rsidR="6A866BB8" w:rsidRPr="23470A89">
        <w:rPr>
          <w:color w:val="000000" w:themeColor="text1"/>
        </w:rPr>
        <w:t xml:space="preserve">, </w:t>
      </w:r>
      <w:r w:rsidRPr="23470A89">
        <w:rPr>
          <w:color w:val="000000" w:themeColor="text1"/>
        </w:rPr>
        <w:t>minimise duplication</w:t>
      </w:r>
      <w:r w:rsidR="5CE9D8A0" w:rsidRPr="23470A89">
        <w:rPr>
          <w:color w:val="000000" w:themeColor="text1"/>
        </w:rPr>
        <w:t xml:space="preserve"> and increase focus</w:t>
      </w:r>
      <w:r w:rsidRPr="23470A89">
        <w:rPr>
          <w:color w:val="000000" w:themeColor="text1"/>
        </w:rPr>
        <w:t>.</w:t>
      </w:r>
    </w:p>
    <w:p w14:paraId="33D01159" w14:textId="66C34432" w:rsidR="006B6B9E" w:rsidRPr="008879E1" w:rsidRDefault="48A95697" w:rsidP="00411005">
      <w:pPr>
        <w:pStyle w:val="BodyText"/>
        <w:rPr>
          <w:rFonts w:eastAsia="Calibri" w:cs="Calibri"/>
          <w:color w:val="000000" w:themeColor="text1"/>
        </w:rPr>
      </w:pPr>
      <w:r w:rsidRPr="008879E1">
        <w:rPr>
          <w:color w:val="000000" w:themeColor="text1"/>
        </w:rPr>
        <w:t>We extend our gratitude to everyone who contributed their feedback and research to this work. Your insights have enriched this briefing and helped shape a resource that we hope will advance public discourse around future challenges.</w:t>
      </w:r>
    </w:p>
    <w:p w14:paraId="48AC79C4" w14:textId="08A0B0ED" w:rsidR="006B6B9E" w:rsidRPr="008879E1" w:rsidRDefault="00DD6B11" w:rsidP="00411005">
      <w:pPr>
        <w:pStyle w:val="BodyText"/>
        <w:rPr>
          <w:rFonts w:eastAsia="Calibri" w:cs="Calibri"/>
          <w:color w:val="000000" w:themeColor="text1"/>
        </w:rPr>
      </w:pPr>
      <w:r>
        <w:rPr>
          <w:noProof/>
        </w:rPr>
        <w:drawing>
          <wp:anchor distT="0" distB="0" distL="114300" distR="114300" simplePos="0" relativeHeight="251658242" behindDoc="0" locked="0" layoutInCell="1" allowOverlap="1" wp14:anchorId="7CF871A0" wp14:editId="47BE882A">
            <wp:simplePos x="0" y="0"/>
            <wp:positionH relativeFrom="column">
              <wp:posOffset>2894965</wp:posOffset>
            </wp:positionH>
            <wp:positionV relativeFrom="paragraph">
              <wp:posOffset>168910</wp:posOffset>
            </wp:positionV>
            <wp:extent cx="1181265" cy="585982"/>
            <wp:effectExtent l="0" t="0" r="0" b="5080"/>
            <wp:wrapNone/>
            <wp:docPr id="62788446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84466" name=""/>
                    <pic:cNvPicPr/>
                  </pic:nvPicPr>
                  <pic:blipFill>
                    <a:blip r:embed="rId19">
                      <a:extLst>
                        <a:ext uri="{28A0092B-C50C-407E-A947-70E740481C1C}">
                          <a14:useLocalDpi xmlns:a14="http://schemas.microsoft.com/office/drawing/2010/main" val="0"/>
                        </a:ext>
                      </a:extLst>
                    </a:blip>
                    <a:stretch>
                      <a:fillRect/>
                    </a:stretch>
                  </pic:blipFill>
                  <pic:spPr>
                    <a:xfrm>
                      <a:off x="0" y="0"/>
                      <a:ext cx="1181265" cy="585982"/>
                    </a:xfrm>
                    <a:prstGeom prst="rect">
                      <a:avLst/>
                    </a:prstGeom>
                  </pic:spPr>
                </pic:pic>
              </a:graphicData>
            </a:graphic>
          </wp:anchor>
        </w:drawing>
      </w:r>
      <w:proofErr w:type="spellStart"/>
      <w:r w:rsidR="48A95697" w:rsidRPr="008879E1">
        <w:rPr>
          <w:color w:val="000000" w:themeColor="text1"/>
        </w:rPr>
        <w:t>Ngā</w:t>
      </w:r>
      <w:proofErr w:type="spellEnd"/>
      <w:r w:rsidR="48A95697" w:rsidRPr="008879E1">
        <w:rPr>
          <w:color w:val="000000" w:themeColor="text1"/>
        </w:rPr>
        <w:t xml:space="preserve"> mihi</w:t>
      </w:r>
    </w:p>
    <w:p w14:paraId="1D82FC0A" w14:textId="790296C9" w:rsidR="76745024" w:rsidRDefault="76745024" w:rsidP="120597D5">
      <w:pPr>
        <w:pStyle w:val="BodyText"/>
      </w:pPr>
      <w:r>
        <w:rPr>
          <w:noProof/>
        </w:rPr>
        <w:drawing>
          <wp:inline distT="0" distB="0" distL="0" distR="0" wp14:anchorId="2AAFB098" wp14:editId="168C7A6D">
            <wp:extent cx="1140051" cy="554784"/>
            <wp:effectExtent l="0" t="0" r="0" b="0"/>
            <wp:docPr id="9872546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54629" name=""/>
                    <pic:cNvPicPr/>
                  </pic:nvPicPr>
                  <pic:blipFill>
                    <a:blip r:embed="rId20">
                      <a:extLst>
                        <a:ext uri="{28A0092B-C50C-407E-A947-70E740481C1C}">
                          <a14:useLocalDpi xmlns:a14="http://schemas.microsoft.com/office/drawing/2010/main" val="0"/>
                        </a:ext>
                      </a:extLst>
                    </a:blip>
                    <a:stretch>
                      <a:fillRect/>
                    </a:stretch>
                  </pic:blipFill>
                  <pic:spPr>
                    <a:xfrm>
                      <a:off x="0" y="0"/>
                      <a:ext cx="1140051" cy="554784"/>
                    </a:xfrm>
                    <a:prstGeom prst="rect">
                      <a:avLst/>
                    </a:prstGeom>
                  </pic:spPr>
                </pic:pic>
              </a:graphicData>
            </a:graphic>
          </wp:inline>
        </w:drawing>
      </w:r>
    </w:p>
    <w:tbl>
      <w:tblPr>
        <w:tblStyle w:val="TableGrid"/>
        <w:tblW w:w="9016"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4A0" w:firstRow="1" w:lastRow="0" w:firstColumn="1" w:lastColumn="0" w:noHBand="0" w:noVBand="1"/>
      </w:tblPr>
      <w:tblGrid>
        <w:gridCol w:w="4508"/>
        <w:gridCol w:w="4508"/>
      </w:tblGrid>
      <w:tr w:rsidR="0304C947" w14:paraId="119C4593" w14:textId="77777777" w:rsidTr="00DA554A">
        <w:trPr>
          <w:trHeight w:val="300"/>
        </w:trPr>
        <w:tc>
          <w:tcPr>
            <w:tcW w:w="4508" w:type="dxa"/>
            <w:tcMar>
              <w:left w:w="108" w:type="dxa"/>
              <w:right w:w="108" w:type="dxa"/>
            </w:tcMar>
          </w:tcPr>
          <w:p w14:paraId="25B9521F" w14:textId="0FE451BD" w:rsidR="0304C947" w:rsidRPr="00411005" w:rsidRDefault="0304C947" w:rsidP="00411005">
            <w:pPr>
              <w:pStyle w:val="BodyText"/>
              <w:rPr>
                <w:sz w:val="22"/>
                <w:szCs w:val="22"/>
              </w:rPr>
            </w:pPr>
            <w:r w:rsidRPr="00411005">
              <w:rPr>
                <w:b/>
                <w:sz w:val="22"/>
                <w:szCs w:val="22"/>
              </w:rPr>
              <w:t>Ben King</w:t>
            </w:r>
            <w:r w:rsidR="00411005">
              <w:rPr>
                <w:b/>
                <w:bCs/>
                <w:sz w:val="22"/>
                <w:szCs w:val="22"/>
              </w:rPr>
              <w:br/>
            </w:r>
            <w:r w:rsidRPr="00411005">
              <w:rPr>
                <w:sz w:val="22"/>
                <w:szCs w:val="22"/>
              </w:rPr>
              <w:t xml:space="preserve">Secretary and Chief Executive of the Department of the Prime Minister and Cabinet </w:t>
            </w:r>
          </w:p>
        </w:tc>
        <w:tc>
          <w:tcPr>
            <w:tcW w:w="4508" w:type="dxa"/>
            <w:tcMar>
              <w:left w:w="108" w:type="dxa"/>
              <w:right w:w="108" w:type="dxa"/>
            </w:tcMar>
          </w:tcPr>
          <w:p w14:paraId="3FABBFDC" w14:textId="7E06B7BA" w:rsidR="0304C947" w:rsidRPr="00411005" w:rsidRDefault="0304C947" w:rsidP="00411005">
            <w:pPr>
              <w:pStyle w:val="BodyText"/>
              <w:rPr>
                <w:sz w:val="22"/>
                <w:szCs w:val="22"/>
              </w:rPr>
            </w:pPr>
            <w:r w:rsidRPr="00411005">
              <w:rPr>
                <w:b/>
                <w:sz w:val="22"/>
                <w:szCs w:val="22"/>
              </w:rPr>
              <w:t>James Palmer</w:t>
            </w:r>
            <w:r w:rsidR="00411005">
              <w:br/>
            </w:r>
            <w:r w:rsidRPr="00411005">
              <w:rPr>
                <w:sz w:val="22"/>
                <w:szCs w:val="22"/>
              </w:rPr>
              <w:t>Secretary for the Environment, and Chief Executive of the Ministry for the Environment</w:t>
            </w:r>
          </w:p>
        </w:tc>
      </w:tr>
    </w:tbl>
    <w:p w14:paraId="5FA1A151" w14:textId="0596D786" w:rsidR="006B6B9E" w:rsidRPr="006B6B9E" w:rsidRDefault="00331D04" w:rsidP="0304C947">
      <w:r>
        <w:br w:type="page"/>
      </w:r>
    </w:p>
    <w:p w14:paraId="3377C933" w14:textId="55454C30" w:rsidR="006B6B9E" w:rsidRPr="006B6B9E" w:rsidRDefault="00331D04" w:rsidP="0304C947">
      <w:pPr>
        <w:pStyle w:val="Heading1"/>
      </w:pPr>
      <w:bookmarkStart w:id="2" w:name="_Toc199244612"/>
      <w:bookmarkStart w:id="3" w:name="_Toc214435287"/>
      <w:bookmarkStart w:id="4" w:name="_Toc131577155"/>
      <w:bookmarkStart w:id="5" w:name="_Toc345760336"/>
      <w:bookmarkEnd w:id="0"/>
      <w:r>
        <w:lastRenderedPageBreak/>
        <w:t>Building New Zealand’s long-term resilience to hazards</w:t>
      </w:r>
      <w:bookmarkEnd w:id="2"/>
      <w:bookmarkEnd w:id="3"/>
    </w:p>
    <w:p w14:paraId="27F25D30" w14:textId="23EC790E" w:rsidR="00E84D9B" w:rsidRPr="00411005" w:rsidRDefault="7A05BCFD" w:rsidP="69FEF511">
      <w:pPr>
        <w:pStyle w:val="BodyText"/>
      </w:pPr>
      <w:r>
        <w:t xml:space="preserve">The Department of </w:t>
      </w:r>
      <w:r w:rsidR="26ADB498">
        <w:t xml:space="preserve">the </w:t>
      </w:r>
      <w:r>
        <w:t xml:space="preserve">Prime Minister and Cabinet and the Ministry for the Environment have </w:t>
      </w:r>
      <w:r w:rsidRPr="00411005">
        <w:t>developed this Long-</w:t>
      </w:r>
      <w:r w:rsidR="2E247D9D" w:rsidRPr="00411005">
        <w:t>t</w:t>
      </w:r>
      <w:r w:rsidRPr="00411005">
        <w:t xml:space="preserve">erm Insights Briefing to consider how New Zealand might </w:t>
      </w:r>
      <w:r w:rsidR="25F80E1E" w:rsidRPr="00411005">
        <w:t>build long-term resilience to</w:t>
      </w:r>
      <w:r w:rsidR="59DE5A65" w:rsidRPr="00411005">
        <w:t xml:space="preserve"> </w:t>
      </w:r>
      <w:r w:rsidR="73A0F9B7" w:rsidRPr="00411005">
        <w:t>significant</w:t>
      </w:r>
      <w:r w:rsidR="59DE5A65" w:rsidRPr="00411005">
        <w:t xml:space="preserve"> </w:t>
      </w:r>
      <w:r w:rsidR="25F80E1E" w:rsidRPr="00411005">
        <w:t>hazard</w:t>
      </w:r>
      <w:r w:rsidR="04396F97" w:rsidRPr="00411005">
        <w:t xml:space="preserve"> events</w:t>
      </w:r>
      <w:r w:rsidRPr="00411005">
        <w:t>.</w:t>
      </w:r>
    </w:p>
    <w:p w14:paraId="17EDBD47" w14:textId="77B316A9" w:rsidR="00E84D9B" w:rsidRPr="00411005" w:rsidRDefault="1C249968" w:rsidP="69FEF511">
      <w:pPr>
        <w:pStyle w:val="BodyText"/>
      </w:pPr>
      <w:r w:rsidRPr="00411005">
        <w:t xml:space="preserve">Long-term </w:t>
      </w:r>
      <w:r w:rsidR="00BC593C">
        <w:t>i</w:t>
      </w:r>
      <w:r w:rsidRPr="00411005">
        <w:t xml:space="preserve">nsights </w:t>
      </w:r>
      <w:r w:rsidR="00BC593C">
        <w:t>b</w:t>
      </w:r>
      <w:r w:rsidRPr="00411005">
        <w:t>riefings are not government policy</w:t>
      </w:r>
      <w:r w:rsidR="449C0A9A" w:rsidRPr="00411005">
        <w:t xml:space="preserve">; </w:t>
      </w:r>
      <w:r w:rsidR="1CC2268D" w:rsidRPr="00411005">
        <w:t>rather</w:t>
      </w:r>
      <w:r w:rsidRPr="00411005">
        <w:t xml:space="preserve">, they are </w:t>
      </w:r>
      <w:r w:rsidR="070BE3E8" w:rsidRPr="00411005">
        <w:t>future-</w:t>
      </w:r>
      <w:r w:rsidRPr="00411005">
        <w:t xml:space="preserve">focused </w:t>
      </w:r>
      <w:r w:rsidR="56395156" w:rsidRPr="00411005">
        <w:t>briefings</w:t>
      </w:r>
      <w:r w:rsidR="4F488842" w:rsidRPr="00411005">
        <w:t xml:space="preserve"> intended to support </w:t>
      </w:r>
      <w:r w:rsidRPr="00411005">
        <w:t>New Zealanders</w:t>
      </w:r>
      <w:r w:rsidR="52E45BB3" w:rsidRPr="00411005">
        <w:t xml:space="preserve"> to</w:t>
      </w:r>
      <w:r w:rsidRPr="00411005">
        <w:t xml:space="preserve"> consider and better plan</w:t>
      </w:r>
      <w:r w:rsidR="3CC54EB8" w:rsidRPr="00411005">
        <w:t xml:space="preserve"> for</w:t>
      </w:r>
      <w:r w:rsidRPr="00411005">
        <w:t xml:space="preserve"> challenges we </w:t>
      </w:r>
      <w:r w:rsidR="7AEA8EC4" w:rsidRPr="00411005">
        <w:t>expect to</w:t>
      </w:r>
      <w:r w:rsidRPr="00411005">
        <w:t xml:space="preserve"> face</w:t>
      </w:r>
      <w:r>
        <w:t>. The content of this briefing is intended to spark thinking, conversation and</w:t>
      </w:r>
      <w:r w:rsidR="3CC54EB8">
        <w:t>,</w:t>
      </w:r>
      <w:r>
        <w:t xml:space="preserve"> ultimately</w:t>
      </w:r>
      <w:r w:rsidR="3CC54EB8">
        <w:t>,</w:t>
      </w:r>
      <w:r>
        <w:t xml:space="preserve"> action</w:t>
      </w:r>
      <w:r w:rsidR="3CC54EB8">
        <w:t xml:space="preserve"> –</w:t>
      </w:r>
      <w:r>
        <w:t xml:space="preserve"> by people, institutions and communities.</w:t>
      </w:r>
    </w:p>
    <w:p w14:paraId="1683012C" w14:textId="5045CD07" w:rsidR="00E84D9B" w:rsidRPr="005B0CED" w:rsidRDefault="00E84D9B" w:rsidP="69FEF511">
      <w:pPr>
        <w:pStyle w:val="BodyText"/>
      </w:pPr>
      <w:r w:rsidRPr="69FEF511">
        <w:t>In this briefing we explore and share information on:</w:t>
      </w:r>
    </w:p>
    <w:p w14:paraId="3AD0A730" w14:textId="4E2C56A2" w:rsidR="00E84D9B" w:rsidRPr="005B0CED" w:rsidRDefault="00E84D9B" w:rsidP="69FEF511">
      <w:pPr>
        <w:pStyle w:val="Bullet"/>
      </w:pPr>
      <w:r w:rsidRPr="69FEF511">
        <w:t xml:space="preserve">New Zealand’s evolving hazard landscape and how </w:t>
      </w:r>
      <w:r w:rsidR="007B2748" w:rsidRPr="69FEF511">
        <w:t>we</w:t>
      </w:r>
      <w:r w:rsidRPr="69FEF511">
        <w:t xml:space="preserve"> can manage risks more proactively to protect people and assets</w:t>
      </w:r>
    </w:p>
    <w:p w14:paraId="71AAAABC" w14:textId="4B92AAF6" w:rsidR="00E84D9B" w:rsidRPr="005B0CED" w:rsidRDefault="00323527" w:rsidP="69FEF511">
      <w:pPr>
        <w:pStyle w:val="Bullet"/>
      </w:pPr>
      <w:r w:rsidRPr="69FEF511">
        <w:t>t</w:t>
      </w:r>
      <w:r w:rsidR="00E84D9B" w:rsidRPr="69FEF511">
        <w:t>he trade-offs and tough decisions New Zealand will need to make in building resilience, as well as the difficult realities we will need to understand</w:t>
      </w:r>
    </w:p>
    <w:p w14:paraId="3B64E762" w14:textId="54B58E43" w:rsidR="00E84D9B" w:rsidRPr="005B0CED" w:rsidRDefault="00323527" w:rsidP="69FEF511">
      <w:pPr>
        <w:pStyle w:val="Bullet"/>
      </w:pPr>
      <w:r w:rsidRPr="69FEF511">
        <w:t>o</w:t>
      </w:r>
      <w:r w:rsidR="00E84D9B" w:rsidRPr="69FEF511">
        <w:t>pportunities for action, using case studies to illustrate potential ways we could strengthen resilience, leverage technology and develop innovative infrastructure.</w:t>
      </w:r>
    </w:p>
    <w:bookmarkEnd w:id="4"/>
    <w:p w14:paraId="633A005C" w14:textId="7B628F73" w:rsidR="00E84D9B" w:rsidRPr="005B0CED" w:rsidRDefault="00E84D9B" w:rsidP="69FEF511">
      <w:pPr>
        <w:pStyle w:val="BodyText"/>
        <w:rPr>
          <w:rStyle w:val="Heading1Char"/>
          <w:rFonts w:ascii="Calibri" w:eastAsiaTheme="minorEastAsia" w:hAnsi="Calibri" w:cstheme="minorBidi"/>
          <w:b w:val="0"/>
          <w:bCs w:val="0"/>
          <w:color w:val="auto"/>
          <w:sz w:val="22"/>
          <w:szCs w:val="22"/>
        </w:rPr>
      </w:pPr>
      <w:r w:rsidRPr="69FEF511">
        <w:rPr>
          <w:rStyle w:val="Heading1Char"/>
          <w:rFonts w:ascii="Calibri" w:eastAsiaTheme="minorEastAsia" w:hAnsi="Calibri" w:cstheme="minorBidi"/>
          <w:color w:val="auto"/>
          <w:sz w:val="22"/>
          <w:szCs w:val="22"/>
        </w:rPr>
        <w:br w:type="page"/>
      </w:r>
    </w:p>
    <w:p w14:paraId="432CC833" w14:textId="46CD6AEF" w:rsidR="00E84D9B" w:rsidRPr="005B0CED" w:rsidRDefault="00E84D9B" w:rsidP="69FEF511">
      <w:pPr>
        <w:pStyle w:val="Heading1"/>
      </w:pPr>
      <w:bookmarkStart w:id="6" w:name="_Toc202529448"/>
      <w:bookmarkStart w:id="7" w:name="_Toc214435288"/>
      <w:r w:rsidRPr="69FEF511">
        <w:lastRenderedPageBreak/>
        <w:t xml:space="preserve">Section 1: </w:t>
      </w:r>
      <w:r w:rsidR="00ED340B" w:rsidRPr="69FEF511">
        <w:t>Understanding the hazard landscape</w:t>
      </w:r>
      <w:bookmarkEnd w:id="6"/>
      <w:bookmarkEnd w:id="7"/>
    </w:p>
    <w:p w14:paraId="321EF1F9" w14:textId="525DC1CA" w:rsidR="00E84D9B" w:rsidRPr="00F47B0E" w:rsidRDefault="00E84D9B" w:rsidP="69FEF511">
      <w:pPr>
        <w:pStyle w:val="BodyText"/>
      </w:pPr>
      <w:r w:rsidRPr="00F47B0E">
        <w:t>New Zealand’s geolog</w:t>
      </w:r>
      <w:r w:rsidR="58540A94" w:rsidRPr="00F47B0E">
        <w:t>y</w:t>
      </w:r>
      <w:r w:rsidR="15E0E804" w:rsidRPr="00F47B0E">
        <w:t xml:space="preserve"> and geograph</w:t>
      </w:r>
      <w:r w:rsidR="650E7546" w:rsidRPr="00F47B0E">
        <w:t>y</w:t>
      </w:r>
      <w:r w:rsidR="644ABED0" w:rsidRPr="00F47B0E">
        <w:t xml:space="preserve">, </w:t>
      </w:r>
      <w:r w:rsidR="75058E5D" w:rsidRPr="00F47B0E">
        <w:t>along with its</w:t>
      </w:r>
      <w:r w:rsidR="644ABED0" w:rsidRPr="00F47B0E">
        <w:t xml:space="preserve"> </w:t>
      </w:r>
      <w:r w:rsidR="75058E5D" w:rsidRPr="00F47B0E">
        <w:t xml:space="preserve">history of </w:t>
      </w:r>
      <w:r w:rsidR="644ABED0" w:rsidRPr="00F47B0E">
        <w:t>development</w:t>
      </w:r>
      <w:r w:rsidR="46265EF4" w:rsidRPr="00F47B0E">
        <w:t xml:space="preserve"> </w:t>
      </w:r>
      <w:r w:rsidRPr="00F47B0E">
        <w:t xml:space="preserve">and economic </w:t>
      </w:r>
      <w:r w:rsidR="650B54A7" w:rsidRPr="00F47B0E">
        <w:t>profile</w:t>
      </w:r>
      <w:r w:rsidRPr="00F47B0E">
        <w:t xml:space="preserve"> </w:t>
      </w:r>
      <w:r w:rsidR="558E2702" w:rsidRPr="00F47B0E">
        <w:t xml:space="preserve">make </w:t>
      </w:r>
      <w:r w:rsidR="3CDA8D12" w:rsidRPr="00F47B0E">
        <w:t xml:space="preserve">significant </w:t>
      </w:r>
      <w:r w:rsidRPr="00F47B0E">
        <w:t xml:space="preserve">hazards a </w:t>
      </w:r>
      <w:r w:rsidR="170BD992" w:rsidRPr="00F47B0E">
        <w:t xml:space="preserve">major </w:t>
      </w:r>
      <w:r w:rsidRPr="00F47B0E">
        <w:t>challenge for our nation.</w:t>
      </w:r>
      <w:r w:rsidR="588B65CB" w:rsidRPr="00F47B0E">
        <w:t xml:space="preserve"> </w:t>
      </w:r>
      <w:r w:rsidR="00DC16F4" w:rsidRPr="00F47B0E">
        <w:t xml:space="preserve">New Zealand faces a high level of exposure to </w:t>
      </w:r>
      <w:r w:rsidR="00AE0825" w:rsidRPr="00F47B0E">
        <w:t xml:space="preserve">a range of </w:t>
      </w:r>
      <w:r w:rsidR="00DC16F4" w:rsidRPr="00F47B0E">
        <w:t>hazards</w:t>
      </w:r>
      <w:r w:rsidR="00565CE8" w:rsidRPr="00F47B0E">
        <w:t xml:space="preserve"> – </w:t>
      </w:r>
      <w:r w:rsidR="00DC16F4" w:rsidRPr="00F47B0E">
        <w:t xml:space="preserve">including earthquakes, volcanic activity, </w:t>
      </w:r>
      <w:r w:rsidR="00E8382D" w:rsidRPr="00F47B0E">
        <w:t>severe weather and</w:t>
      </w:r>
      <w:r w:rsidR="00DC16F4" w:rsidRPr="00F47B0E">
        <w:t xml:space="preserve"> flood</w:t>
      </w:r>
      <w:r w:rsidR="00E8382D" w:rsidRPr="00F47B0E">
        <w:t>ing</w:t>
      </w:r>
      <w:r w:rsidR="00565CE8" w:rsidRPr="00F47B0E">
        <w:t xml:space="preserve"> – </w:t>
      </w:r>
      <w:r w:rsidR="00DC16F4" w:rsidRPr="00F47B0E">
        <w:t>and is consistently ranked among countries with elevated disaster risk due to this multi-hazard environment</w:t>
      </w:r>
      <w:r w:rsidR="00D4260F" w:rsidRPr="00F47B0E">
        <w:t>.</w:t>
      </w:r>
      <w:r w:rsidR="004C3F6B" w:rsidRPr="00F47B0E">
        <w:rPr>
          <w:rStyle w:val="EndnoteReference"/>
        </w:rPr>
        <w:endnoteReference w:id="2"/>
      </w:r>
    </w:p>
    <w:p w14:paraId="28093341" w14:textId="3684A62E" w:rsidR="00E84D9B" w:rsidRPr="00F47B0E" w:rsidRDefault="1B135B81" w:rsidP="69FEF511">
      <w:pPr>
        <w:pStyle w:val="BodyText"/>
      </w:pPr>
      <w:r>
        <w:t>As New Zealand grows, mitigating, adapting to, and recovering from these hazards become</w:t>
      </w:r>
      <w:r w:rsidR="3534E3E7">
        <w:t>s</w:t>
      </w:r>
      <w:r>
        <w:t xml:space="preserve"> more difficult</w:t>
      </w:r>
      <w:r w:rsidR="794B1E2E">
        <w:t xml:space="preserve"> if we </w:t>
      </w:r>
      <w:r w:rsidR="304009DB">
        <w:t>do</w:t>
      </w:r>
      <w:r w:rsidR="6C37758A">
        <w:t xml:space="preserve"> no</w:t>
      </w:r>
      <w:r w:rsidR="304009DB">
        <w:t>t</w:t>
      </w:r>
      <w:r w:rsidR="794B1E2E">
        <w:t xml:space="preserve"> make the right choices</w:t>
      </w:r>
      <w:r>
        <w:t xml:space="preserve">. We have more at stake to manage, and climate change further exacerbates </w:t>
      </w:r>
      <w:r w:rsidR="1163F9F9">
        <w:t xml:space="preserve">the </w:t>
      </w:r>
      <w:r>
        <w:t>risks</w:t>
      </w:r>
      <w:r w:rsidR="00065348">
        <w:t>. Recent crises like the global COVID-19 pandemic</w:t>
      </w:r>
      <w:r w:rsidR="4B24A5CB">
        <w:t>,</w:t>
      </w:r>
      <w:r w:rsidR="00065348">
        <w:t xml:space="preserve"> and severe weather events</w:t>
      </w:r>
      <w:r w:rsidR="4CF8EF85">
        <w:t xml:space="preserve"> (</w:t>
      </w:r>
      <w:r w:rsidR="00065348">
        <w:t>such as the 2023 Auckland Anniversary Weekend floods and Cyclone Gabrielle</w:t>
      </w:r>
      <w:r w:rsidR="4CF8EF85">
        <w:t>)</w:t>
      </w:r>
      <w:r w:rsidR="030DEB5D">
        <w:t>,</w:t>
      </w:r>
      <w:r w:rsidR="00065348">
        <w:t xml:space="preserve"> have highlighted many of the challenges: hazards are interconnected, global trends and events have domestic consequences, and the economic and social costs </w:t>
      </w:r>
      <w:r w:rsidR="7069BD47">
        <w:t>can be</w:t>
      </w:r>
      <w:r w:rsidR="00065348">
        <w:t xml:space="preserve"> immense.</w:t>
      </w:r>
    </w:p>
    <w:p w14:paraId="04001F95" w14:textId="2B4AC055" w:rsidR="00E84D9B" w:rsidRPr="00F47B0E" w:rsidRDefault="1D98CC96" w:rsidP="6B118FC4">
      <w:pPr>
        <w:pStyle w:val="BodyText"/>
      </w:pPr>
      <w:r w:rsidRPr="00F47B0E">
        <w:t xml:space="preserve">Many New Zealanders have experienced significant hazards first-hand – the lives of over half of all New Zealanders have been impacted by natural hazards in the </w:t>
      </w:r>
      <w:r w:rsidR="002F01E4">
        <w:t>p</w:t>
      </w:r>
      <w:r w:rsidRPr="00F47B0E">
        <w:t xml:space="preserve">ast three years alone. </w:t>
      </w:r>
      <w:r w:rsidR="6625358A" w:rsidRPr="00F47B0E">
        <w:t>A</w:t>
      </w:r>
      <w:r w:rsidR="00E84D9B" w:rsidRPr="00F47B0E">
        <w:t xml:space="preserve"> </w:t>
      </w:r>
      <w:r w:rsidR="6625358A" w:rsidRPr="00F47B0E">
        <w:t>similar number</w:t>
      </w:r>
      <w:r w:rsidR="00E84D9B" w:rsidRPr="00F47B0E">
        <w:t xml:space="preserve"> report feeling anxious or worried about </w:t>
      </w:r>
      <w:r w:rsidR="0096B1E7" w:rsidRPr="00F47B0E">
        <w:t>the potential eff</w:t>
      </w:r>
      <w:r w:rsidR="624A88D0" w:rsidRPr="00F47B0E">
        <w:t>e</w:t>
      </w:r>
      <w:r w:rsidR="0096B1E7" w:rsidRPr="00F47B0E">
        <w:t xml:space="preserve">cts of </w:t>
      </w:r>
      <w:r w:rsidR="00E84D9B" w:rsidRPr="00F47B0E">
        <w:t xml:space="preserve">storms and earthquakes. </w:t>
      </w:r>
      <w:r w:rsidR="1BCB26A2" w:rsidRPr="00F47B0E">
        <w:t>Although m</w:t>
      </w:r>
      <w:r w:rsidR="00E84D9B" w:rsidRPr="00F47B0E">
        <w:t>any people feel underprepared for hazard events</w:t>
      </w:r>
      <w:r w:rsidR="05922A60" w:rsidRPr="00F47B0E">
        <w:t>, we know that most New Zealanders want to know more about them</w:t>
      </w:r>
      <w:r w:rsidR="00E84D9B" w:rsidRPr="00F47B0E">
        <w:t>.</w:t>
      </w:r>
      <w:r w:rsidR="00E84D9B" w:rsidRPr="69FEF511">
        <w:rPr>
          <w:vertAlign w:val="superscript"/>
        </w:rPr>
        <w:endnoteReference w:id="3"/>
      </w:r>
      <w:r w:rsidR="00F47B0E" w:rsidRPr="00F47B0E">
        <w:rPr>
          <w:vertAlign w:val="superscript"/>
        </w:rPr>
        <w:t>,</w:t>
      </w:r>
      <w:r w:rsidRPr="00F47B0E">
        <w:rPr>
          <w:rStyle w:val="EndnoteReference"/>
        </w:rPr>
        <w:endnoteReference w:id="4"/>
      </w:r>
    </w:p>
    <w:p w14:paraId="2444B402" w14:textId="1A2AE094" w:rsidR="00E84D9B" w:rsidRPr="00F47B0E" w:rsidRDefault="613CFBFF" w:rsidP="69FEF511">
      <w:pPr>
        <w:pStyle w:val="BodyText"/>
      </w:pPr>
      <w:r w:rsidRPr="00F47B0E">
        <w:t xml:space="preserve">Hazards alone do not present risk – it is only when </w:t>
      </w:r>
      <w:r w:rsidR="02879741" w:rsidRPr="00F47B0E">
        <w:t xml:space="preserve">things we </w:t>
      </w:r>
      <w:r w:rsidR="1E0938B3" w:rsidRPr="00F47B0E">
        <w:t>value</w:t>
      </w:r>
      <w:r w:rsidR="02879741" w:rsidRPr="00F47B0E">
        <w:t xml:space="preserve"> are both exposed to the hazard and</w:t>
      </w:r>
      <w:r w:rsidR="77151CF5" w:rsidRPr="00F47B0E">
        <w:t xml:space="preserve"> are</w:t>
      </w:r>
      <w:r w:rsidR="02879741" w:rsidRPr="00F47B0E">
        <w:t xml:space="preserve"> vulnerable to its effects. An earthquake, for example, is not a risk in an unpopulated area, but it becomes one in a city because</w:t>
      </w:r>
      <w:r w:rsidR="0D5E1281" w:rsidRPr="00F47B0E">
        <w:t xml:space="preserve"> people and </w:t>
      </w:r>
      <w:r w:rsidR="02879741" w:rsidRPr="00F47B0E">
        <w:t>buildings are exposed by their location and vulnerable due to factors like poor construction</w:t>
      </w:r>
      <w:r w:rsidR="003F285A">
        <w:t>.</w:t>
      </w:r>
      <w:r w:rsidR="00E84D9B" w:rsidRPr="004E2635">
        <w:rPr>
          <w:rStyle w:val="FootnoteReference"/>
          <w:color w:val="auto"/>
        </w:rPr>
        <w:footnoteReference w:id="2"/>
      </w:r>
      <w:r w:rsidR="02879741" w:rsidRPr="00F47B0E">
        <w:t xml:space="preserve"> </w:t>
      </w:r>
      <w:r w:rsidR="5984EBE1" w:rsidRPr="00F47B0E">
        <w:t>For a disaster to occur, it requires a hazard, exposure and vulnerability</w:t>
      </w:r>
      <w:r w:rsidR="01726BB2" w:rsidRPr="00F47B0E">
        <w:t xml:space="preserve">. </w:t>
      </w:r>
      <w:r w:rsidR="695DB568" w:rsidRPr="00F47B0E">
        <w:t xml:space="preserve">Because we cannot </w:t>
      </w:r>
      <w:r w:rsidR="2E63B46C" w:rsidRPr="00F47B0E">
        <w:t xml:space="preserve">stop most </w:t>
      </w:r>
      <w:r w:rsidR="695DB568" w:rsidRPr="00F47B0E">
        <w:t xml:space="preserve">hazards from occurring, the principal </w:t>
      </w:r>
      <w:r w:rsidR="42525BC0" w:rsidRPr="00F47B0E">
        <w:t>focus</w:t>
      </w:r>
      <w:r w:rsidR="695DB568" w:rsidRPr="00F47B0E">
        <w:t xml:space="preserve"> </w:t>
      </w:r>
      <w:r w:rsidR="1DCFE4DA" w:rsidRPr="00F47B0E">
        <w:t>for resilience-building</w:t>
      </w:r>
      <w:r w:rsidR="695DB568" w:rsidRPr="00F47B0E">
        <w:t xml:space="preserve"> </w:t>
      </w:r>
      <w:r w:rsidR="42525BC0" w:rsidRPr="00F47B0E">
        <w:t>is</w:t>
      </w:r>
      <w:r w:rsidR="695DB568" w:rsidRPr="00F47B0E">
        <w:t xml:space="preserve"> managing exposure and reducing vulnerability</w:t>
      </w:r>
      <w:r w:rsidR="55A0B588" w:rsidRPr="00F47B0E">
        <w:t>.</w:t>
      </w:r>
    </w:p>
    <w:p w14:paraId="13C837E0" w14:textId="523E9CF3" w:rsidR="00E84D9B" w:rsidRPr="005B0CED" w:rsidRDefault="00E84D9B" w:rsidP="69FEF511">
      <w:pPr>
        <w:pStyle w:val="BodyText"/>
      </w:pPr>
      <w:r w:rsidRPr="69FEF511">
        <w:t>To best protect our people, economy, environment and way of life, New Zealand must build resilience to hazards through a proactive, whole-of-society approach.</w:t>
      </w:r>
      <w:r w:rsidR="00AA009D" w:rsidRPr="69FEF511">
        <w:rPr>
          <w:rStyle w:val="FootnoteReference"/>
        </w:rPr>
        <w:footnoteReference w:id="3"/>
      </w:r>
      <w:r w:rsidRPr="69FEF511">
        <w:t xml:space="preserve"> This will require learning from the past, </w:t>
      </w:r>
      <w:r w:rsidR="49B0AF25" w:rsidRPr="69FEF511">
        <w:t>embrac</w:t>
      </w:r>
      <w:r w:rsidRPr="69FEF511">
        <w:t>ing new ideas</w:t>
      </w:r>
      <w:r w:rsidR="641C340C" w:rsidRPr="69FEF511">
        <w:t xml:space="preserve"> and </w:t>
      </w:r>
      <w:r w:rsidR="452DD6CD" w:rsidRPr="69FEF511">
        <w:t xml:space="preserve">making </w:t>
      </w:r>
      <w:r w:rsidR="350FCDEC" w:rsidRPr="69FEF511">
        <w:t>difficult</w:t>
      </w:r>
      <w:r w:rsidR="641C340C" w:rsidRPr="69FEF511">
        <w:t xml:space="preserve"> choices</w:t>
      </w:r>
      <w:r w:rsidRPr="69FEF511">
        <w:t>.</w:t>
      </w:r>
    </w:p>
    <w:p w14:paraId="0CAB5900" w14:textId="7DC7EDC1" w:rsidR="00E84D9B" w:rsidRPr="005B0CED" w:rsidRDefault="00E84D9B" w:rsidP="69FEF511">
      <w:pPr>
        <w:pStyle w:val="BodyText"/>
        <w:rPr>
          <w:b/>
        </w:rPr>
      </w:pPr>
      <w:r w:rsidRPr="69FEF511">
        <w:t xml:space="preserve">New Zealanders are familiar with cost-of-living and housing affordability </w:t>
      </w:r>
      <w:r w:rsidR="70126CD9" w:rsidRPr="69FEF511">
        <w:t>pressures</w:t>
      </w:r>
      <w:r w:rsidRPr="69FEF511">
        <w:t xml:space="preserve">. Building long-term resilience now is vital to prevent future, more serious economic disruptions and unmanageable costs that could make cost-of-living challenges even worse. </w:t>
      </w:r>
      <w:r w:rsidRPr="69FEF511">
        <w:rPr>
          <w:b/>
          <w:bCs/>
        </w:rPr>
        <w:t xml:space="preserve">This Long-term Insights Briefing explores how New Zealand can enhance its </w:t>
      </w:r>
      <w:r w:rsidR="000C3F9A" w:rsidRPr="69FEF511">
        <w:rPr>
          <w:b/>
          <w:bCs/>
        </w:rPr>
        <w:t xml:space="preserve">long-term </w:t>
      </w:r>
      <w:r w:rsidRPr="69FEF511">
        <w:rPr>
          <w:b/>
          <w:bCs/>
        </w:rPr>
        <w:t>resilience to hazards.</w:t>
      </w:r>
    </w:p>
    <w:p w14:paraId="2481FC31" w14:textId="698928C5" w:rsidR="00E84D9B" w:rsidRPr="005B0CED" w:rsidRDefault="403AD4E1" w:rsidP="69FEF511">
      <w:pPr>
        <w:pStyle w:val="Heading2"/>
      </w:pPr>
      <w:bookmarkStart w:id="8" w:name="_Toc202529449"/>
      <w:bookmarkStart w:id="9" w:name="_Toc214435289"/>
      <w:r w:rsidRPr="69FEF511">
        <w:t>What is national resilience?</w:t>
      </w:r>
      <w:bookmarkEnd w:id="8"/>
      <w:bookmarkEnd w:id="9"/>
    </w:p>
    <w:p w14:paraId="176DFBCF" w14:textId="79F8FB7F" w:rsidR="00E84D9B" w:rsidRPr="005B0CED" w:rsidRDefault="275184A0" w:rsidP="48CDBE69">
      <w:pPr>
        <w:pStyle w:val="BodyText"/>
      </w:pPr>
      <w:r>
        <w:t>National resilience is the ability of a country</w:t>
      </w:r>
      <w:r w:rsidR="2B7FF630">
        <w:t xml:space="preserve"> </w:t>
      </w:r>
      <w:r>
        <w:t xml:space="preserve">to </w:t>
      </w:r>
      <w:r w:rsidR="191FFCED" w:rsidRPr="00F47B0E">
        <w:t>prevent or minimise,</w:t>
      </w:r>
      <w:r w:rsidR="191FFCED">
        <w:t xml:space="preserve"> </w:t>
      </w:r>
      <w:r>
        <w:t>absorb, adapt to, recover from and transform through shocks and stresses</w:t>
      </w:r>
      <w:r w:rsidR="69AE5D0B">
        <w:t xml:space="preserve"> </w:t>
      </w:r>
      <w:r w:rsidR="69AE5D0B" w:rsidRPr="00F47B0E">
        <w:t>to enhance the safety, security and prosperity of our people</w:t>
      </w:r>
      <w:r w:rsidRPr="00F47B0E">
        <w:t>.</w:t>
      </w:r>
    </w:p>
    <w:p w14:paraId="29B49734" w14:textId="2254FAF9" w:rsidR="00E84D9B" w:rsidRPr="00F47B0E" w:rsidRDefault="77B1ACA3" w:rsidP="48CDBE69">
      <w:pPr>
        <w:pStyle w:val="BodyText"/>
      </w:pPr>
      <w:r>
        <w:lastRenderedPageBreak/>
        <w:t>This means</w:t>
      </w:r>
      <w:r w:rsidR="275184A0">
        <w:t xml:space="preserve"> being ready for hazards before they strike, responding effectively when they do and learning from each experience to build stronger systems and communities.</w:t>
      </w:r>
      <w:r w:rsidR="275184A0" w:rsidRPr="00F47B0E">
        <w:t xml:space="preserve"> </w:t>
      </w:r>
      <w:r w:rsidR="3F03C9CE" w:rsidRPr="00F47B0E">
        <w:t>This includes ensuring that people can access basic needs</w:t>
      </w:r>
      <w:r w:rsidR="00A22A2B">
        <w:t xml:space="preserve"> </w:t>
      </w:r>
      <w:r w:rsidR="00A22A2B" w:rsidRPr="00F47B0E">
        <w:t>–</w:t>
      </w:r>
      <w:r w:rsidR="00A22A2B">
        <w:t xml:space="preserve"> </w:t>
      </w:r>
      <w:r w:rsidR="3F03C9CE" w:rsidRPr="00F47B0E">
        <w:t>such as food, shelter, water and electricity</w:t>
      </w:r>
      <w:r w:rsidR="00A22A2B">
        <w:t xml:space="preserve"> </w:t>
      </w:r>
      <w:r w:rsidR="00A22A2B" w:rsidRPr="00F47B0E">
        <w:t>–</w:t>
      </w:r>
      <w:r w:rsidR="00A22A2B">
        <w:t xml:space="preserve"> </w:t>
      </w:r>
      <w:r w:rsidR="2CDFA41F" w:rsidRPr="00F47B0E">
        <w:t>during</w:t>
      </w:r>
      <w:r w:rsidR="3F03C9CE" w:rsidRPr="00F47B0E">
        <w:t xml:space="preserve"> a crisis</w:t>
      </w:r>
      <w:r w:rsidR="3B57079E" w:rsidRPr="00F47B0E">
        <w:t>,</w:t>
      </w:r>
      <w:r w:rsidR="6BBC1A18" w:rsidRPr="00F47B0E">
        <w:t xml:space="preserve"> </w:t>
      </w:r>
      <w:r w:rsidR="1733951E" w:rsidRPr="00F47B0E">
        <w:t xml:space="preserve">while also </w:t>
      </w:r>
      <w:r w:rsidR="6BBC1A18" w:rsidRPr="00F47B0E">
        <w:t>making sure</w:t>
      </w:r>
      <w:r w:rsidR="0852C16D" w:rsidRPr="00F47B0E">
        <w:t xml:space="preserve"> businesses and government can </w:t>
      </w:r>
      <w:r w:rsidR="022B400B" w:rsidRPr="00F47B0E">
        <w:t>remain operational</w:t>
      </w:r>
      <w:r w:rsidR="010AEAA0" w:rsidRPr="00F47B0E">
        <w:t xml:space="preserve"> to</w:t>
      </w:r>
      <w:r w:rsidR="022B400B" w:rsidRPr="00F47B0E">
        <w:t xml:space="preserve"> minimis</w:t>
      </w:r>
      <w:r w:rsidR="3D5A4C74" w:rsidRPr="00F47B0E">
        <w:t>e</w:t>
      </w:r>
      <w:r w:rsidR="022B400B" w:rsidRPr="00F47B0E">
        <w:t xml:space="preserve"> the interruption to everyday life.</w:t>
      </w:r>
    </w:p>
    <w:p w14:paraId="10197099" w14:textId="3D1AB7BE" w:rsidR="00E84D9B" w:rsidRDefault="67BF0CEC" w:rsidP="48CDBE69">
      <w:pPr>
        <w:pStyle w:val="BodyText"/>
      </w:pPr>
      <w:r>
        <w:t xml:space="preserve">Resilience </w:t>
      </w:r>
      <w:r w:rsidR="4647E964">
        <w:t xml:space="preserve">is not immunity; it is </w:t>
      </w:r>
      <w:r>
        <w:t>managing impacts and adapting to a changing world</w:t>
      </w:r>
      <w:r w:rsidR="74E998D1">
        <w:t xml:space="preserve"> to limit loss and harm</w:t>
      </w:r>
      <w:r>
        <w:t xml:space="preserve">. To do this well requires </w:t>
      </w:r>
      <w:r w:rsidR="4AB40EA9">
        <w:t>understanding</w:t>
      </w:r>
      <w:r>
        <w:t xml:space="preserve"> </w:t>
      </w:r>
      <w:r w:rsidR="3613CAB1">
        <w:t>the interconnectedness of our</w:t>
      </w:r>
      <w:r>
        <w:t xml:space="preserve"> economic, physical, social and environmental systems. </w:t>
      </w:r>
      <w:r w:rsidR="3E15C42A">
        <w:t>It also requires strong</w:t>
      </w:r>
      <w:r w:rsidR="3220F6BF">
        <w:t>, informed</w:t>
      </w:r>
      <w:r w:rsidR="3E15C42A">
        <w:t xml:space="preserve"> communities where individuals </w:t>
      </w:r>
      <w:r w:rsidR="0364F70D">
        <w:t>know</w:t>
      </w:r>
      <w:r w:rsidR="3E15C42A">
        <w:t xml:space="preserve"> how to prepare for and respond to a crisis</w:t>
      </w:r>
      <w:r w:rsidR="4FB6B6CB">
        <w:t>.</w:t>
      </w:r>
    </w:p>
    <w:p w14:paraId="33BF708F" w14:textId="53178151" w:rsidR="00663937" w:rsidRPr="00F47B0E" w:rsidRDefault="31A4C6F0" w:rsidP="00663937">
      <w:pPr>
        <w:pStyle w:val="BodyText"/>
      </w:pPr>
      <w:r w:rsidRPr="00F47B0E">
        <w:t xml:space="preserve">Resilience also </w:t>
      </w:r>
      <w:r w:rsidR="0FAFAD28" w:rsidRPr="00F47B0E">
        <w:t xml:space="preserve">demands </w:t>
      </w:r>
      <w:r w:rsidRPr="00F47B0E">
        <w:t>fairness</w:t>
      </w:r>
      <w:r w:rsidR="39C70DB8" w:rsidRPr="00F47B0E">
        <w:t xml:space="preserve">: </w:t>
      </w:r>
      <w:r w:rsidRPr="00F47B0E">
        <w:t xml:space="preserve">ensuring that all communities, regardless of income, location, or identity, have the opportunity and capability to absorb, adapt to, recover from and transform through shocks and stresses. This includes recognising </w:t>
      </w:r>
      <w:proofErr w:type="spellStart"/>
      <w:r w:rsidR="00390E85">
        <w:t>t</w:t>
      </w:r>
      <w:r w:rsidRPr="00F47B0E">
        <w:t>e</w:t>
      </w:r>
      <w:proofErr w:type="spellEnd"/>
      <w:r w:rsidRPr="00F47B0E">
        <w:t xml:space="preserve"> </w:t>
      </w:r>
      <w:proofErr w:type="spellStart"/>
      <w:r w:rsidRPr="00F47B0E">
        <w:t>Tiriti</w:t>
      </w:r>
      <w:proofErr w:type="spellEnd"/>
      <w:r w:rsidRPr="00F47B0E">
        <w:t xml:space="preserve"> o Waitangi </w:t>
      </w:r>
      <w:r w:rsidR="00390E85">
        <w:t xml:space="preserve">(the Treaty of Waitangi) </w:t>
      </w:r>
      <w:r w:rsidRPr="00F47B0E">
        <w:t>as a foundational framework for resilience planning and ensuring Māori-led approaches are supported and embedded in national strategies.</w:t>
      </w:r>
    </w:p>
    <w:p w14:paraId="3B0154BB" w14:textId="291DF3E6" w:rsidR="00E84D9B" w:rsidRPr="005B0CED" w:rsidRDefault="73ADB232" w:rsidP="69FEF511">
      <w:pPr>
        <w:pStyle w:val="BodyText"/>
      </w:pPr>
      <w:r>
        <w:t>R</w:t>
      </w:r>
      <w:r w:rsidR="1BE47F78">
        <w:t xml:space="preserve">esilience is more than a defensive necessity; it is </w:t>
      </w:r>
      <w:r w:rsidR="5CB13309">
        <w:t>a strategic opportunity that</w:t>
      </w:r>
      <w:r w:rsidR="74939F49">
        <w:t xml:space="preserve"> forms</w:t>
      </w:r>
      <w:r w:rsidR="1BE47F78">
        <w:t xml:space="preserve"> the foundation of long-term wellbeing and prosperity. Building </w:t>
      </w:r>
      <w:r w:rsidR="6234C0C1">
        <w:t>it</w:t>
      </w:r>
      <w:r w:rsidR="1BE47F78">
        <w:t xml:space="preserve"> strengthens the economy, builds invest</w:t>
      </w:r>
      <w:r w:rsidR="13BB3724">
        <w:t>ment</w:t>
      </w:r>
      <w:r w:rsidR="1BE47F78">
        <w:t xml:space="preserve"> confidence and establishes </w:t>
      </w:r>
      <w:r w:rsidR="664E59C2">
        <w:t xml:space="preserve">New Zealand’s </w:t>
      </w:r>
      <w:r w:rsidR="1BE47F78">
        <w:t xml:space="preserve">reputation </w:t>
      </w:r>
      <w:r w:rsidR="0E363FD5">
        <w:t>as a</w:t>
      </w:r>
      <w:r w:rsidR="1BE47F78">
        <w:t xml:space="preserve"> country that innovates and cares for future generations. A resilient New Zealand is one where communities, councils and businesses can plan, invest and grow with greater certainty.</w:t>
      </w:r>
    </w:p>
    <w:p w14:paraId="3D1C57C9" w14:textId="2FE772C6" w:rsidR="00E84D9B" w:rsidRPr="00EA079A" w:rsidRDefault="22B44A43" w:rsidP="69FEF511">
      <w:pPr>
        <w:pStyle w:val="BodyText"/>
        <w:rPr>
          <w:spacing w:val="-2"/>
        </w:rPr>
      </w:pPr>
      <w:r w:rsidRPr="00EA079A">
        <w:rPr>
          <w:spacing w:val="-2"/>
        </w:rPr>
        <w:t xml:space="preserve">Deciding </w:t>
      </w:r>
      <w:r w:rsidR="5AF2A708" w:rsidRPr="00EA079A">
        <w:rPr>
          <w:spacing w:val="-2"/>
        </w:rPr>
        <w:t>to avoid or delay building resilience is</w:t>
      </w:r>
      <w:r w:rsidRPr="00EA079A">
        <w:rPr>
          <w:spacing w:val="-2"/>
        </w:rPr>
        <w:t xml:space="preserve"> a costly option. </w:t>
      </w:r>
      <w:r w:rsidR="791477B4" w:rsidRPr="00EA079A">
        <w:rPr>
          <w:spacing w:val="-2"/>
        </w:rPr>
        <w:t xml:space="preserve">While </w:t>
      </w:r>
      <w:r w:rsidR="4CD36894" w:rsidRPr="00EA079A">
        <w:rPr>
          <w:spacing w:val="-2"/>
        </w:rPr>
        <w:t>a</w:t>
      </w:r>
      <w:r w:rsidRPr="00EA079A">
        <w:rPr>
          <w:spacing w:val="-2"/>
        </w:rPr>
        <w:t>voiding upfront investment may be cheaper in the short term, the long-term costs are far greater.</w:t>
      </w:r>
      <w:r w:rsidR="00F5405B" w:rsidRPr="00EA079A">
        <w:rPr>
          <w:rStyle w:val="FootnoteReference"/>
          <w:spacing w:val="-2"/>
        </w:rPr>
        <w:footnoteReference w:id="4"/>
      </w:r>
      <w:r w:rsidRPr="00EA079A">
        <w:rPr>
          <w:spacing w:val="-2"/>
        </w:rPr>
        <w:t xml:space="preserve"> These include more expensive clean-ups and rebuilds in the wake of disasters, </w:t>
      </w:r>
      <w:r w:rsidR="28310D15" w:rsidRPr="00EA079A">
        <w:rPr>
          <w:spacing w:val="-2"/>
        </w:rPr>
        <w:t xml:space="preserve">greater </w:t>
      </w:r>
      <w:r w:rsidR="00FFF929" w:rsidRPr="00EA079A">
        <w:rPr>
          <w:spacing w:val="-2"/>
        </w:rPr>
        <w:t xml:space="preserve">loss of wealth and asset value, </w:t>
      </w:r>
      <w:r w:rsidRPr="00EA079A">
        <w:rPr>
          <w:spacing w:val="-2"/>
        </w:rPr>
        <w:t>lost business opportunities</w:t>
      </w:r>
      <w:r w:rsidR="29462105" w:rsidRPr="00EA079A">
        <w:rPr>
          <w:spacing w:val="-2"/>
        </w:rPr>
        <w:t xml:space="preserve"> and additional impact</w:t>
      </w:r>
      <w:r w:rsidR="35A8DA89" w:rsidRPr="00EA079A">
        <w:rPr>
          <w:spacing w:val="-2"/>
        </w:rPr>
        <w:t>s</w:t>
      </w:r>
      <w:r w:rsidR="29462105" w:rsidRPr="00EA079A">
        <w:rPr>
          <w:spacing w:val="-2"/>
        </w:rPr>
        <w:t xml:space="preserve"> on physical and mental health</w:t>
      </w:r>
      <w:r w:rsidRPr="00EA079A">
        <w:rPr>
          <w:spacing w:val="-2"/>
        </w:rPr>
        <w:t>. Resilience is not a nice-to-have; it is a prudent way to ensure our prosperity and security.</w:t>
      </w:r>
    </w:p>
    <w:p w14:paraId="0360894C" w14:textId="2378D04E" w:rsidR="00E84D9B" w:rsidRPr="005B0CED" w:rsidRDefault="00ED340B" w:rsidP="69FEF511">
      <w:pPr>
        <w:pStyle w:val="Heading2"/>
      </w:pPr>
      <w:bookmarkStart w:id="10" w:name="_Toc202529450"/>
      <w:bookmarkStart w:id="11" w:name="_Toc214435290"/>
      <w:r w:rsidRPr="69FEF511">
        <w:t>New Zealand’s major hazards</w:t>
      </w:r>
      <w:bookmarkEnd w:id="10"/>
      <w:bookmarkEnd w:id="11"/>
    </w:p>
    <w:p w14:paraId="1CBD13E3" w14:textId="1996E837" w:rsidR="00E84D9B" w:rsidRPr="00F47B0E" w:rsidRDefault="665116AA" w:rsidP="69FEF511">
      <w:pPr>
        <w:pStyle w:val="BodyText"/>
        <w:rPr>
          <w:rStyle w:val="Hyperlink"/>
          <w:color w:val="auto"/>
        </w:rPr>
      </w:pPr>
      <w:r w:rsidRPr="69FEF511">
        <w:t xml:space="preserve">New Zealand’s National Risk and Resilience Framework </w:t>
      </w:r>
      <w:proofErr w:type="gramStart"/>
      <w:r w:rsidRPr="69FEF511">
        <w:t>identifies</w:t>
      </w:r>
      <w:proofErr w:type="gramEnd"/>
      <w:r w:rsidRPr="69FEF511">
        <w:t xml:space="preserve"> the most significant potential crises, known as National Risks,</w:t>
      </w:r>
      <w:r w:rsidR="00D10E8C" w:rsidRPr="69FEF511">
        <w:rPr>
          <w:rStyle w:val="FootnoteReference"/>
          <w:rFonts w:cs="Calibri"/>
        </w:rPr>
        <w:footnoteReference w:id="5"/>
      </w:r>
      <w:r w:rsidRPr="69FEF511">
        <w:t xml:space="preserve"> that could have serious immediate and/or long-term effects on New Zealand’s safety, prosperity and</w:t>
      </w:r>
      <w:r w:rsidR="505D6B98" w:rsidRPr="69FEF511">
        <w:t>/or</w:t>
      </w:r>
      <w:r w:rsidRPr="69FEF511">
        <w:t xml:space="preserve"> national security. </w:t>
      </w:r>
      <w:r w:rsidR="3CD2C3EB" w:rsidRPr="69FEF511">
        <w:t xml:space="preserve">The Framework ensures our </w:t>
      </w:r>
      <w:r w:rsidR="00BC598D">
        <w:t>N</w:t>
      </w:r>
      <w:r w:rsidR="3CD2C3EB" w:rsidRPr="69FEF511">
        <w:t>ational Risks are comprehensively considered and strategically planned for</w:t>
      </w:r>
      <w:r w:rsidR="1C2C7664" w:rsidRPr="69FEF511">
        <w:t xml:space="preserve"> across central government</w:t>
      </w:r>
      <w:r w:rsidR="3CD2C3EB" w:rsidRPr="69FEF511">
        <w:t>.</w:t>
      </w:r>
    </w:p>
    <w:p w14:paraId="5D23E559" w14:textId="0CAA7792" w:rsidR="00E84D9B" w:rsidRPr="00F47B0E" w:rsidRDefault="27ACFF9F" w:rsidP="69FEF511">
      <w:pPr>
        <w:pStyle w:val="BodyText"/>
      </w:pPr>
      <w:r w:rsidRPr="69FEF511">
        <w:t xml:space="preserve">These National Risks are outlined in the National Risk Register </w:t>
      </w:r>
      <w:r w:rsidR="715298ED" w:rsidRPr="48CDBE69">
        <w:t xml:space="preserve">(Annex </w:t>
      </w:r>
      <w:r w:rsidR="45DF8A17" w:rsidRPr="48CDBE69">
        <w:t>1</w:t>
      </w:r>
      <w:r w:rsidR="715298ED" w:rsidRPr="48CDBE69">
        <w:t xml:space="preserve">) </w:t>
      </w:r>
      <w:r w:rsidRPr="69FEF511">
        <w:t>and require coordinated national action to build greater preparedness and resilience</w:t>
      </w:r>
      <w:r w:rsidRPr="00F47B0E">
        <w:t>.</w:t>
      </w:r>
      <w:r w:rsidR="00E84D9B" w:rsidRPr="004E2635">
        <w:rPr>
          <w:rStyle w:val="EndnoteReference"/>
        </w:rPr>
        <w:endnoteReference w:id="5"/>
      </w:r>
      <w:r w:rsidRPr="004E2635">
        <w:rPr>
          <w:rStyle w:val="Hyperlink"/>
          <w:color w:val="auto"/>
          <w:vertAlign w:val="superscript"/>
        </w:rPr>
        <w:t xml:space="preserve"> </w:t>
      </w:r>
      <w:r w:rsidR="6F8FA7AE" w:rsidRPr="00F47B0E">
        <w:rPr>
          <w:rStyle w:val="Hyperlink"/>
          <w:color w:val="auto"/>
        </w:rPr>
        <w:t xml:space="preserve">National Risks are comprised of hazards </w:t>
      </w:r>
      <w:r w:rsidR="258C9DDB" w:rsidRPr="00F47B0E">
        <w:rPr>
          <w:rStyle w:val="Hyperlink"/>
          <w:color w:val="auto"/>
        </w:rPr>
        <w:t>(</w:t>
      </w:r>
      <w:r w:rsidR="6F8FA7AE" w:rsidRPr="00F47B0E">
        <w:rPr>
          <w:rStyle w:val="Hyperlink"/>
          <w:color w:val="auto"/>
        </w:rPr>
        <w:t xml:space="preserve">non-malicious and often </w:t>
      </w:r>
      <w:r w:rsidR="687BF2B7" w:rsidRPr="00F47B0E">
        <w:rPr>
          <w:rStyle w:val="Hyperlink"/>
          <w:color w:val="auto"/>
        </w:rPr>
        <w:t>natural occurrences</w:t>
      </w:r>
      <w:r w:rsidR="4CB227AC" w:rsidRPr="00F47B0E">
        <w:rPr>
          <w:rStyle w:val="Hyperlink"/>
          <w:color w:val="auto"/>
        </w:rPr>
        <w:t xml:space="preserve"> like earthquakes</w:t>
      </w:r>
      <w:r w:rsidR="4D8A109C" w:rsidRPr="00F47B0E">
        <w:rPr>
          <w:rStyle w:val="Hyperlink"/>
          <w:color w:val="auto"/>
        </w:rPr>
        <w:t xml:space="preserve">) </w:t>
      </w:r>
      <w:r w:rsidR="6F8FA7AE" w:rsidRPr="00F47B0E">
        <w:rPr>
          <w:rStyle w:val="Hyperlink"/>
          <w:color w:val="auto"/>
        </w:rPr>
        <w:t xml:space="preserve">and </w:t>
      </w:r>
      <w:r w:rsidR="6BCD90ED" w:rsidRPr="00F47B0E">
        <w:rPr>
          <w:rStyle w:val="Hyperlink"/>
          <w:color w:val="auto"/>
        </w:rPr>
        <w:t xml:space="preserve">national security </w:t>
      </w:r>
      <w:r w:rsidR="6F8FA7AE" w:rsidRPr="00F47B0E">
        <w:rPr>
          <w:rStyle w:val="Hyperlink"/>
          <w:color w:val="auto"/>
        </w:rPr>
        <w:t xml:space="preserve">threats </w:t>
      </w:r>
      <w:r w:rsidR="1ECEBF05" w:rsidRPr="00F47B0E">
        <w:rPr>
          <w:rStyle w:val="Hyperlink"/>
          <w:color w:val="auto"/>
        </w:rPr>
        <w:t>(</w:t>
      </w:r>
      <w:r w:rsidR="6F8FA7AE" w:rsidRPr="00F47B0E">
        <w:rPr>
          <w:rStyle w:val="Hyperlink"/>
          <w:color w:val="auto"/>
        </w:rPr>
        <w:t>malicious</w:t>
      </w:r>
      <w:r w:rsidR="63C2FE6F" w:rsidRPr="00F47B0E">
        <w:rPr>
          <w:rStyle w:val="Hyperlink"/>
          <w:color w:val="auto"/>
        </w:rPr>
        <w:t>, such as cyberattacks, armed conflict, or disruption from new technologies like AI and biotechnology). Wh</w:t>
      </w:r>
      <w:r w:rsidR="3EC7E35C" w:rsidRPr="00F47B0E">
        <w:rPr>
          <w:rStyle w:val="Hyperlink"/>
          <w:color w:val="auto"/>
        </w:rPr>
        <w:t>ile</w:t>
      </w:r>
      <w:r w:rsidR="3B27DFCC" w:rsidRPr="00F47B0E">
        <w:rPr>
          <w:rStyle w:val="Hyperlink"/>
          <w:color w:val="auto"/>
        </w:rPr>
        <w:t xml:space="preserve"> building national resilience to threats</w:t>
      </w:r>
      <w:r w:rsidR="0033B7B9" w:rsidRPr="00F47B0E">
        <w:rPr>
          <w:rStyle w:val="Hyperlink"/>
          <w:color w:val="auto"/>
        </w:rPr>
        <w:t xml:space="preserve"> </w:t>
      </w:r>
      <w:r w:rsidR="1C4FC559" w:rsidRPr="00F47B0E">
        <w:rPr>
          <w:rStyle w:val="Hyperlink"/>
          <w:color w:val="auto"/>
        </w:rPr>
        <w:t xml:space="preserve">is </w:t>
      </w:r>
      <w:r w:rsidR="22870CFF" w:rsidRPr="00F47B0E">
        <w:rPr>
          <w:rStyle w:val="Hyperlink"/>
          <w:color w:val="auto"/>
        </w:rPr>
        <w:t>vital</w:t>
      </w:r>
      <w:r w:rsidR="1C4FC559" w:rsidRPr="00F47B0E">
        <w:rPr>
          <w:rStyle w:val="Hyperlink"/>
          <w:color w:val="auto"/>
        </w:rPr>
        <w:t xml:space="preserve"> for New Zealand, </w:t>
      </w:r>
      <w:r w:rsidR="3B27DFCC" w:rsidRPr="00F47B0E">
        <w:rPr>
          <w:rStyle w:val="Hyperlink"/>
          <w:color w:val="auto"/>
        </w:rPr>
        <w:t xml:space="preserve">this briefing will only focus on </w:t>
      </w:r>
      <w:r w:rsidR="1078844E" w:rsidRPr="00F47B0E">
        <w:rPr>
          <w:rStyle w:val="Hyperlink"/>
          <w:color w:val="auto"/>
        </w:rPr>
        <w:t>hazards</w:t>
      </w:r>
      <w:r w:rsidR="1BE47F78" w:rsidRPr="00F47B0E">
        <w:rPr>
          <w:rStyle w:val="FootnoteReference"/>
          <w:color w:val="auto"/>
        </w:rPr>
        <w:footnoteReference w:id="6"/>
      </w:r>
      <w:r w:rsidR="1078844E" w:rsidRPr="00F47B0E">
        <w:rPr>
          <w:rStyle w:val="Hyperlink"/>
          <w:color w:val="auto"/>
        </w:rPr>
        <w:t>.</w:t>
      </w:r>
    </w:p>
    <w:p w14:paraId="20A87D71" w14:textId="4FD06D05" w:rsidR="00E84D9B" w:rsidRPr="00F47B0E" w:rsidRDefault="484EDEE1" w:rsidP="69FEF511">
      <w:pPr>
        <w:pStyle w:val="BodyText"/>
      </w:pPr>
      <w:r w:rsidRPr="00F47B0E">
        <w:t xml:space="preserve">The National </w:t>
      </w:r>
      <w:r w:rsidR="35BC7FE8" w:rsidRPr="00F47B0E">
        <w:t xml:space="preserve">Risk Register </w:t>
      </w:r>
      <w:r w:rsidR="0E3B41BD" w:rsidRPr="00F47B0E">
        <w:t>contain</w:t>
      </w:r>
      <w:r w:rsidR="35BC7FE8" w:rsidRPr="00F47B0E">
        <w:t xml:space="preserve">s a diverse range of significant hazards. For </w:t>
      </w:r>
      <w:r w:rsidR="2653548E" w:rsidRPr="00F47B0E">
        <w:t>instance</w:t>
      </w:r>
      <w:r w:rsidR="193907BB" w:rsidRPr="00F47B0E">
        <w:t xml:space="preserve">, </w:t>
      </w:r>
      <w:r w:rsidR="4DA6F52C" w:rsidRPr="00F47B0E">
        <w:t>a pest or disease incursion cou</w:t>
      </w:r>
      <w:r w:rsidR="6E3AFEE4" w:rsidRPr="00F47B0E">
        <w:t>ld cause agricultural and economic havoc</w:t>
      </w:r>
      <w:r w:rsidR="0CAFAAAE" w:rsidRPr="00F47B0E">
        <w:t>;</w:t>
      </w:r>
      <w:r w:rsidR="6E3AFEE4" w:rsidRPr="00F47B0E">
        <w:t xml:space="preserve"> </w:t>
      </w:r>
      <w:r w:rsidR="7652BD23" w:rsidRPr="00F47B0E">
        <w:t xml:space="preserve">a drought could harm our </w:t>
      </w:r>
      <w:r w:rsidR="7652BD23" w:rsidRPr="00F47B0E">
        <w:lastRenderedPageBreak/>
        <w:t>economy and environment</w:t>
      </w:r>
      <w:r w:rsidR="6C6AC7C9" w:rsidRPr="00F47B0E">
        <w:t>;</w:t>
      </w:r>
      <w:r w:rsidR="2508B48A" w:rsidRPr="00F47B0E">
        <w:t xml:space="preserve"> and </w:t>
      </w:r>
      <w:r w:rsidR="394C5FCC" w:rsidRPr="00F47B0E">
        <w:t xml:space="preserve">the failure of </w:t>
      </w:r>
      <w:r w:rsidR="2508B48A" w:rsidRPr="00F47B0E">
        <w:t xml:space="preserve">a major financial institution could </w:t>
      </w:r>
      <w:r w:rsidR="515AB78C" w:rsidRPr="00F47B0E">
        <w:t xml:space="preserve">lead to </w:t>
      </w:r>
      <w:r w:rsidR="2508B48A" w:rsidRPr="00F47B0E">
        <w:t>widespread economic and social damage.</w:t>
      </w:r>
    </w:p>
    <w:p w14:paraId="2A2DBE07" w14:textId="250F3F42" w:rsidR="00E84D9B" w:rsidRPr="00F47B0E" w:rsidRDefault="49289F3D" w:rsidP="6B118FC4">
      <w:pPr>
        <w:pStyle w:val="BodyText"/>
      </w:pPr>
      <w:r w:rsidRPr="00F47B0E">
        <w:t xml:space="preserve">However, within </w:t>
      </w:r>
      <w:r w:rsidR="4B068F9D" w:rsidRPr="00F47B0E">
        <w:t>the Register</w:t>
      </w:r>
      <w:r w:rsidRPr="00F47B0E">
        <w:t xml:space="preserve"> </w:t>
      </w:r>
      <w:r w:rsidR="33943104" w:rsidRPr="00F47B0E">
        <w:t xml:space="preserve">there are some hazards that pose more danger than others: </w:t>
      </w:r>
      <w:r w:rsidR="01A9097A" w:rsidRPr="00F47B0E">
        <w:t xml:space="preserve">there are </w:t>
      </w:r>
      <w:r w:rsidR="15C685A1" w:rsidRPr="00F47B0E">
        <w:t xml:space="preserve">six </w:t>
      </w:r>
      <w:r w:rsidR="224A1998" w:rsidRPr="00F47B0E">
        <w:t xml:space="preserve">major hazards </w:t>
      </w:r>
      <w:r w:rsidR="052E6023" w:rsidRPr="00F47B0E">
        <w:t xml:space="preserve">that </w:t>
      </w:r>
      <w:r w:rsidR="224A1998" w:rsidRPr="00F47B0E">
        <w:t>are either</w:t>
      </w:r>
      <w:r w:rsidR="1C249968" w:rsidRPr="00F47B0E">
        <w:t xml:space="preserve"> catastrophic</w:t>
      </w:r>
      <w:r w:rsidR="224A1998" w:rsidRPr="00F47B0E">
        <w:t xml:space="preserve"> in their potential or </w:t>
      </w:r>
      <w:r w:rsidR="6DF5D093" w:rsidRPr="00F47B0E">
        <w:t xml:space="preserve">occur </w:t>
      </w:r>
      <w:r w:rsidR="224A1998" w:rsidRPr="00F47B0E">
        <w:t>so frequently</w:t>
      </w:r>
      <w:r w:rsidR="6DF5D093" w:rsidRPr="00F47B0E">
        <w:t xml:space="preserve"> they produce </w:t>
      </w:r>
      <w:r w:rsidR="224A1998" w:rsidRPr="00F47B0E">
        <w:t xml:space="preserve">significant </w:t>
      </w:r>
      <w:r w:rsidR="6DF5D093" w:rsidRPr="00F47B0E">
        <w:t>cumulative impacts</w:t>
      </w:r>
      <w:r w:rsidR="1C249968" w:rsidRPr="00F47B0E">
        <w:t xml:space="preserve">. </w:t>
      </w:r>
      <w:r w:rsidR="2CE5AD33" w:rsidRPr="00F47B0E">
        <w:t>Although</w:t>
      </w:r>
      <w:r w:rsidR="1C249968" w:rsidRPr="00F47B0E">
        <w:t xml:space="preserve"> diverse, these </w:t>
      </w:r>
      <w:r w:rsidR="73DFAF5D" w:rsidRPr="00F47B0E">
        <w:t xml:space="preserve">major </w:t>
      </w:r>
      <w:r w:rsidR="18C79A5F" w:rsidRPr="00F47B0E">
        <w:t>hazards</w:t>
      </w:r>
      <w:r w:rsidR="1C249968" w:rsidRPr="00F47B0E">
        <w:t xml:space="preserve"> share common consequences: they can severely impact human welfare, heavily damage New Zealand’s critical infrastructure and impose high economic costs</w:t>
      </w:r>
      <w:r w:rsidR="3F848F08" w:rsidRPr="00F47B0E">
        <w:t xml:space="preserve"> –</w:t>
      </w:r>
      <w:r w:rsidR="1C249968" w:rsidRPr="00F47B0E">
        <w:t xml:space="preserve"> </w:t>
      </w:r>
      <w:r w:rsidR="23D4B802" w:rsidRPr="00F47B0E">
        <w:t>especially</w:t>
      </w:r>
      <w:r w:rsidR="1C249968" w:rsidRPr="00F47B0E">
        <w:t xml:space="preserve"> if they occur with little or no warning. </w:t>
      </w:r>
      <w:r w:rsidR="424418E0" w:rsidRPr="00F47B0E">
        <w:t>T</w:t>
      </w:r>
      <w:r w:rsidR="25BEB0E2" w:rsidRPr="00F47B0E">
        <w:t>hese are outlined below</w:t>
      </w:r>
      <w:r w:rsidR="00E06E7A">
        <w:t>.</w:t>
      </w:r>
    </w:p>
    <w:p w14:paraId="566E2698" w14:textId="52334D92" w:rsidR="00A30281" w:rsidRPr="008C19B7" w:rsidDel="007D018B" w:rsidRDefault="00E84D9B" w:rsidP="69FEF511">
      <w:pPr>
        <w:pStyle w:val="Heading3"/>
      </w:pPr>
      <w:r w:rsidRPr="00FE7BCF">
        <w:t>Pandemics</w:t>
      </w:r>
    </w:p>
    <w:p w14:paraId="2093EA48" w14:textId="01031608" w:rsidR="00E84D9B" w:rsidRPr="00EA079A" w:rsidDel="007D018B" w:rsidRDefault="7A05BCFD" w:rsidP="69FEF511">
      <w:pPr>
        <w:pStyle w:val="BodyText"/>
        <w:rPr>
          <w:rFonts w:cs="Calibri"/>
          <w:spacing w:val="-2"/>
        </w:rPr>
      </w:pPr>
      <w:r w:rsidRPr="00EA079A" w:rsidDel="007D018B">
        <w:rPr>
          <w:rFonts w:cs="Calibri"/>
          <w:spacing w:val="-2"/>
        </w:rPr>
        <w:t xml:space="preserve">COVID-19 showed the scale of disruption a pandemic can cause. Future pandemics are likely to occur relatively frequently – potentially around once every 25 years for a less devastating strain or around once in 200 years for a highly infectious, highly virulent </w:t>
      </w:r>
      <w:r w:rsidR="5B4B81DC" w:rsidRPr="00EA079A">
        <w:rPr>
          <w:rFonts w:cs="Calibri"/>
          <w:spacing w:val="-2"/>
        </w:rPr>
        <w:t>pathogen</w:t>
      </w:r>
      <w:r w:rsidRPr="00EA079A" w:rsidDel="007D018B">
        <w:rPr>
          <w:rFonts w:cs="Calibri"/>
          <w:spacing w:val="-2"/>
        </w:rPr>
        <w:t>(</w:t>
      </w:r>
      <w:r w:rsidR="1C92BD2D" w:rsidRPr="00EA079A" w:rsidDel="007D018B">
        <w:rPr>
          <w:rFonts w:cs="Calibri"/>
          <w:spacing w:val="-2"/>
        </w:rPr>
        <w:t>SARS-CoV-2</w:t>
      </w:r>
      <w:r w:rsidRPr="00EA079A" w:rsidDel="007D018B">
        <w:rPr>
          <w:rFonts w:cs="Calibri"/>
          <w:spacing w:val="-2"/>
        </w:rPr>
        <w:t xml:space="preserve"> was not considered to be one of these more devastating </w:t>
      </w:r>
      <w:r w:rsidR="7C0FDEC3" w:rsidRPr="00EA079A">
        <w:rPr>
          <w:rFonts w:cs="Calibri"/>
          <w:spacing w:val="-2"/>
        </w:rPr>
        <w:t>pathogens</w:t>
      </w:r>
      <w:r w:rsidRPr="00EA079A" w:rsidDel="007D018B">
        <w:rPr>
          <w:rFonts w:cs="Calibri"/>
          <w:spacing w:val="-2"/>
        </w:rPr>
        <w:t>).</w:t>
      </w:r>
      <w:r w:rsidR="00E84D9B" w:rsidRPr="00EA079A" w:rsidDel="007D018B">
        <w:rPr>
          <w:rStyle w:val="EndnoteReference"/>
          <w:rFonts w:eastAsia="Yu Mincho" w:cs="Calibri"/>
          <w:spacing w:val="-2"/>
        </w:rPr>
        <w:endnoteReference w:id="6"/>
      </w:r>
      <w:r w:rsidRPr="00EA079A" w:rsidDel="007D018B">
        <w:rPr>
          <w:rFonts w:cs="Calibri"/>
          <w:spacing w:val="-2"/>
        </w:rPr>
        <w:t xml:space="preserve"> </w:t>
      </w:r>
      <w:r w:rsidR="23BF61E3" w:rsidRPr="00EA079A" w:rsidDel="007D018B">
        <w:rPr>
          <w:rFonts w:cs="Calibri"/>
          <w:spacing w:val="-2"/>
        </w:rPr>
        <w:t xml:space="preserve">Without mitigation, </w:t>
      </w:r>
      <w:r w:rsidR="6586FF39" w:rsidRPr="00EA079A" w:rsidDel="007D018B">
        <w:rPr>
          <w:rFonts w:cs="Calibri"/>
          <w:spacing w:val="-2"/>
        </w:rPr>
        <w:t>m</w:t>
      </w:r>
      <w:r w:rsidR="5E33FA7D" w:rsidRPr="00EA079A" w:rsidDel="007D018B">
        <w:rPr>
          <w:rFonts w:cs="Calibri"/>
          <w:spacing w:val="-2"/>
        </w:rPr>
        <w:t>odelling</w:t>
      </w:r>
      <w:r w:rsidRPr="00EA079A" w:rsidDel="007D018B">
        <w:rPr>
          <w:rFonts w:cs="Calibri"/>
          <w:spacing w:val="-2"/>
        </w:rPr>
        <w:t xml:space="preserve"> suggests </w:t>
      </w:r>
      <w:r w:rsidR="6266FA56" w:rsidRPr="00EA079A" w:rsidDel="007D018B">
        <w:rPr>
          <w:rFonts w:cs="Calibri"/>
          <w:spacing w:val="-2"/>
        </w:rPr>
        <w:t xml:space="preserve">deaths </w:t>
      </w:r>
      <w:r w:rsidRPr="00EA079A" w:rsidDel="007D018B">
        <w:rPr>
          <w:rFonts w:cs="Calibri"/>
          <w:spacing w:val="-2"/>
        </w:rPr>
        <w:t xml:space="preserve">in these </w:t>
      </w:r>
      <w:r w:rsidR="1E2242B5" w:rsidRPr="00EA079A" w:rsidDel="007D018B">
        <w:rPr>
          <w:rFonts w:cs="Calibri"/>
          <w:spacing w:val="-2"/>
        </w:rPr>
        <w:t>scenarios</w:t>
      </w:r>
      <w:r w:rsidR="1ACA63E8" w:rsidRPr="00EA079A" w:rsidDel="007D018B">
        <w:rPr>
          <w:rFonts w:cs="Calibri"/>
          <w:spacing w:val="-2"/>
        </w:rPr>
        <w:t>,</w:t>
      </w:r>
      <w:r w:rsidRPr="00EA079A" w:rsidDel="007D018B">
        <w:rPr>
          <w:rFonts w:cs="Calibri"/>
          <w:spacing w:val="-2"/>
        </w:rPr>
        <w:t xml:space="preserve"> </w:t>
      </w:r>
      <w:r w:rsidR="197DE5D8" w:rsidRPr="00EA079A" w:rsidDel="007D018B">
        <w:rPr>
          <w:rFonts w:cs="Calibri"/>
          <w:spacing w:val="-2"/>
        </w:rPr>
        <w:t>could</w:t>
      </w:r>
      <w:r w:rsidRPr="00EA079A" w:rsidDel="007D018B">
        <w:rPr>
          <w:rFonts w:cs="Calibri"/>
          <w:spacing w:val="-2"/>
        </w:rPr>
        <w:t xml:space="preserve"> range from 15,000</w:t>
      </w:r>
      <w:r w:rsidR="1ACA63E8" w:rsidRPr="00EA079A" w:rsidDel="007D018B">
        <w:rPr>
          <w:rFonts w:cs="Calibri"/>
          <w:spacing w:val="-2"/>
        </w:rPr>
        <w:t>–</w:t>
      </w:r>
      <w:r w:rsidRPr="00EA079A" w:rsidDel="007D018B">
        <w:rPr>
          <w:rFonts w:cs="Calibri"/>
          <w:spacing w:val="-2"/>
        </w:rPr>
        <w:t>27,000 to 375,000</w:t>
      </w:r>
      <w:r w:rsidR="1ACA63E8" w:rsidRPr="00EA079A" w:rsidDel="007D018B">
        <w:rPr>
          <w:rFonts w:cs="Calibri"/>
          <w:spacing w:val="-2"/>
        </w:rPr>
        <w:t>–</w:t>
      </w:r>
      <w:r w:rsidRPr="00EA079A" w:rsidDel="007D018B">
        <w:rPr>
          <w:rFonts w:cs="Calibri"/>
          <w:spacing w:val="-2"/>
        </w:rPr>
        <w:t>450,000.</w:t>
      </w:r>
      <w:r w:rsidR="00E84D9B" w:rsidRPr="00EA079A" w:rsidDel="007D018B">
        <w:rPr>
          <w:rStyle w:val="EndnoteReference"/>
          <w:rFonts w:eastAsia="Yu Mincho" w:cs="Calibri"/>
          <w:spacing w:val="-2"/>
        </w:rPr>
        <w:endnoteReference w:id="7"/>
      </w:r>
    </w:p>
    <w:p w14:paraId="015F6415" w14:textId="1533A8DE" w:rsidR="00A30281" w:rsidRPr="00A30281" w:rsidRDefault="00E84D9B" w:rsidP="69FEF511">
      <w:pPr>
        <w:pStyle w:val="Heading3"/>
      </w:pPr>
      <w:r w:rsidRPr="00FE7BCF">
        <w:t>Earthquake</w:t>
      </w:r>
    </w:p>
    <w:p w14:paraId="658F8DDE" w14:textId="4E342021" w:rsidR="00E84D9B" w:rsidRPr="00D54187" w:rsidRDefault="7A05BCFD" w:rsidP="69FEF511">
      <w:pPr>
        <w:pStyle w:val="BodyText"/>
        <w:rPr>
          <w:rFonts w:cs="Calibri"/>
        </w:rPr>
      </w:pPr>
      <w:r w:rsidRPr="69FEF511">
        <w:rPr>
          <w:rFonts w:cs="Calibri"/>
        </w:rPr>
        <w:t xml:space="preserve">The Alpine Fault has a 75 percent chance of rupturing in the next 50 years and an 80 percent chance that </w:t>
      </w:r>
      <w:r w:rsidR="404D20AE" w:rsidRPr="69FEF511">
        <w:rPr>
          <w:rFonts w:cs="Calibri"/>
        </w:rPr>
        <w:t>the resulting earthquake</w:t>
      </w:r>
      <w:r w:rsidRPr="69FEF511">
        <w:rPr>
          <w:rFonts w:cs="Calibri"/>
        </w:rPr>
        <w:t xml:space="preserve"> will be at least a magnitude 8</w:t>
      </w:r>
      <w:r w:rsidR="01C68071" w:rsidRPr="69FEF511">
        <w:rPr>
          <w:rFonts w:cs="Calibri"/>
        </w:rPr>
        <w:t>.</w:t>
      </w:r>
      <w:r w:rsidR="00E84D9B" w:rsidRPr="69FEF511">
        <w:rPr>
          <w:rFonts w:cs="Calibri"/>
          <w:vertAlign w:val="superscript"/>
        </w:rPr>
        <w:endnoteReference w:id="8"/>
      </w:r>
      <w:r w:rsidRPr="69FEF511">
        <w:rPr>
          <w:rFonts w:cs="Calibri"/>
        </w:rPr>
        <w:t xml:space="preserve"> </w:t>
      </w:r>
      <w:r w:rsidR="6E03874A" w:rsidRPr="69FEF511">
        <w:rPr>
          <w:rFonts w:cs="Calibri"/>
        </w:rPr>
        <w:t>A large subduction earthquake on the southern Hikurangi Fault has a 26 percent chance of occurring in the next 50 years</w:t>
      </w:r>
      <w:r w:rsidR="4D826764" w:rsidRPr="69FEF511">
        <w:rPr>
          <w:rFonts w:cs="Calibri"/>
        </w:rPr>
        <w:t>,</w:t>
      </w:r>
      <w:r w:rsidR="00E84D9B" w:rsidRPr="69FEF511">
        <w:rPr>
          <w:rStyle w:val="EndnoteReference"/>
          <w:rFonts w:cs="Calibri"/>
        </w:rPr>
        <w:endnoteReference w:id="9"/>
      </w:r>
      <w:r w:rsidRPr="69FEF511">
        <w:rPr>
          <w:rFonts w:cs="Calibri"/>
        </w:rPr>
        <w:t xml:space="preserve"> while the Wellington Fault has an 11 percent chance of rupturing in the Wellington</w:t>
      </w:r>
      <w:r w:rsidR="4D826764" w:rsidRPr="69FEF511">
        <w:rPr>
          <w:rFonts w:cs="Calibri"/>
        </w:rPr>
        <w:t>–</w:t>
      </w:r>
      <w:r w:rsidRPr="69FEF511">
        <w:rPr>
          <w:rFonts w:cs="Calibri"/>
        </w:rPr>
        <w:t>Hutt Valley segment in the next 100 years</w:t>
      </w:r>
      <w:r w:rsidR="4D826764" w:rsidRPr="69FEF511">
        <w:rPr>
          <w:rFonts w:cs="Calibri"/>
        </w:rPr>
        <w:t>.</w:t>
      </w:r>
      <w:r w:rsidR="00E84D9B" w:rsidRPr="69FEF511">
        <w:rPr>
          <w:rStyle w:val="EndnoteReference"/>
          <w:rFonts w:cs="Calibri"/>
        </w:rPr>
        <w:endnoteReference w:id="10"/>
      </w:r>
      <w:r w:rsidRPr="69FEF511">
        <w:rPr>
          <w:rFonts w:cs="Calibri"/>
        </w:rPr>
        <w:t xml:space="preserve"> Each of these events could cause widespread damage to towns and cities, critical infrastructure and the economy. </w:t>
      </w:r>
    </w:p>
    <w:p w14:paraId="50473B7D" w14:textId="79E2036B" w:rsidR="00A30281" w:rsidRPr="008C19B7" w:rsidRDefault="00E84D9B" w:rsidP="69FEF511">
      <w:pPr>
        <w:pStyle w:val="Heading3"/>
      </w:pPr>
      <w:r w:rsidRPr="69FEF511">
        <w:t>Tsunami</w:t>
      </w:r>
    </w:p>
    <w:p w14:paraId="4F4262F3" w14:textId="40EEDB07" w:rsidR="00E84D9B" w:rsidRPr="00D54187" w:rsidRDefault="15A912C2" w:rsidP="69FEF511">
      <w:pPr>
        <w:pStyle w:val="BodyText"/>
        <w:rPr>
          <w:rFonts w:cs="Calibri"/>
        </w:rPr>
      </w:pPr>
      <w:r w:rsidRPr="69FEF511">
        <w:rPr>
          <w:rFonts w:cs="Calibri"/>
        </w:rPr>
        <w:t>While</w:t>
      </w:r>
      <w:r w:rsidR="7A05BCFD" w:rsidRPr="69FEF511">
        <w:rPr>
          <w:rFonts w:cs="Calibri"/>
        </w:rPr>
        <w:t xml:space="preserve"> New Zealand has not experienced a catastrophic tsunami in recent times, it is vulnerable to them – whether they are triggered by an earthquake here or on the other side of the Pacific. According to GNS, a 1</w:t>
      </w:r>
      <w:r w:rsidR="404D20AE" w:rsidRPr="69FEF511">
        <w:rPr>
          <w:rFonts w:cs="Calibri"/>
        </w:rPr>
        <w:t>-</w:t>
      </w:r>
      <w:r w:rsidR="7A05BCFD" w:rsidRPr="69FEF511">
        <w:rPr>
          <w:rFonts w:cs="Calibri"/>
        </w:rPr>
        <w:t>in</w:t>
      </w:r>
      <w:r w:rsidR="404D20AE" w:rsidRPr="69FEF511">
        <w:rPr>
          <w:rFonts w:cs="Calibri"/>
        </w:rPr>
        <w:t>-</w:t>
      </w:r>
      <w:r w:rsidR="7A05BCFD" w:rsidRPr="69FEF511">
        <w:rPr>
          <w:rFonts w:cs="Calibri"/>
        </w:rPr>
        <w:t>500-year tsunami could lead to 33,000 fatalities, 27,000 injuries and $45 billion in property loss.</w:t>
      </w:r>
      <w:r w:rsidR="00E84D9B" w:rsidRPr="69FEF511">
        <w:rPr>
          <w:rStyle w:val="EndnoteReference"/>
          <w:rFonts w:eastAsia="Yu Mincho" w:cs="Calibri"/>
        </w:rPr>
        <w:endnoteReference w:id="11"/>
      </w:r>
    </w:p>
    <w:p w14:paraId="07A04375" w14:textId="301BB8CE" w:rsidR="00A30281" w:rsidRPr="00FE7BCF" w:rsidRDefault="00E84D9B" w:rsidP="69FEF511">
      <w:pPr>
        <w:pStyle w:val="Heading3"/>
      </w:pPr>
      <w:r w:rsidRPr="00FE7BCF">
        <w:t>Volcanic activity</w:t>
      </w:r>
    </w:p>
    <w:p w14:paraId="4D48F241" w14:textId="02285E22" w:rsidR="00E84D9B" w:rsidRPr="00D54187" w:rsidRDefault="36561666" w:rsidP="69FEF511">
      <w:pPr>
        <w:pStyle w:val="BodyText"/>
        <w:rPr>
          <w:rFonts w:eastAsia="Yu Mincho" w:cs="Calibri"/>
        </w:rPr>
      </w:pPr>
      <w:r w:rsidRPr="69FEF511">
        <w:rPr>
          <w:rStyle w:val="BodyTextChar"/>
        </w:rPr>
        <w:t xml:space="preserve">Mount Taranaki </w:t>
      </w:r>
      <w:r w:rsidRPr="69FEF511">
        <w:rPr>
          <w:rStyle w:val="BodyTextChar"/>
          <w:rFonts w:cs="Calibri"/>
        </w:rPr>
        <w:t>has a 30 to 50 percent chance of erupting in the next 50 years</w:t>
      </w:r>
      <w:r w:rsidR="02EC2399" w:rsidRPr="69FEF511">
        <w:rPr>
          <w:rStyle w:val="BodyTextChar"/>
          <w:rFonts w:cs="Calibri"/>
        </w:rPr>
        <w:t>.</w:t>
      </w:r>
      <w:r w:rsidR="00E84D9B" w:rsidRPr="69FEF511">
        <w:rPr>
          <w:rStyle w:val="EndnoteReference"/>
          <w:rFonts w:eastAsia="Yu Mincho" w:cs="Calibri"/>
        </w:rPr>
        <w:endnoteReference w:id="12"/>
      </w:r>
      <w:r w:rsidRPr="69FEF511">
        <w:rPr>
          <w:rFonts w:cs="Calibri"/>
        </w:rPr>
        <w:t xml:space="preserve"> Auckland is </w:t>
      </w:r>
      <w:r w:rsidR="6C5D8C37" w:rsidRPr="69FEF511">
        <w:rPr>
          <w:rFonts w:cs="Calibri"/>
        </w:rPr>
        <w:t xml:space="preserve">also </w:t>
      </w:r>
      <w:r w:rsidRPr="69FEF511">
        <w:rPr>
          <w:rFonts w:cs="Calibri"/>
        </w:rPr>
        <w:t>built on top of a volcanic field</w:t>
      </w:r>
      <w:r w:rsidR="02EC2399" w:rsidRPr="69FEF511">
        <w:rPr>
          <w:rFonts w:cs="Calibri"/>
        </w:rPr>
        <w:t>,</w:t>
      </w:r>
      <w:r w:rsidRPr="69FEF511">
        <w:rPr>
          <w:rFonts w:cs="Calibri"/>
        </w:rPr>
        <w:t xml:space="preserve"> where it is almost certain there will be another eruption although it is unclear where or when.</w:t>
      </w:r>
      <w:r w:rsidR="00E84D9B" w:rsidRPr="69FEF511">
        <w:rPr>
          <w:rStyle w:val="EndnoteReference"/>
          <w:rFonts w:eastAsia="Yu Mincho" w:cs="Calibri"/>
        </w:rPr>
        <w:endnoteReference w:id="13"/>
      </w:r>
      <w:r w:rsidRPr="69FEF511">
        <w:rPr>
          <w:rFonts w:cs="Calibri"/>
        </w:rPr>
        <w:t xml:space="preserve"> A plausible scenario for an eruption </w:t>
      </w:r>
      <w:r w:rsidR="1E81897C" w:rsidRPr="69FEF511">
        <w:rPr>
          <w:rFonts w:cs="Calibri"/>
        </w:rPr>
        <w:t xml:space="preserve">near </w:t>
      </w:r>
      <w:proofErr w:type="spellStart"/>
      <w:r w:rsidRPr="69FEF511">
        <w:rPr>
          <w:rFonts w:cs="Calibri"/>
        </w:rPr>
        <w:t>Māngere</w:t>
      </w:r>
      <w:proofErr w:type="spellEnd"/>
      <w:r w:rsidRPr="69FEF511">
        <w:rPr>
          <w:rFonts w:cs="Calibri"/>
        </w:rPr>
        <w:t xml:space="preserve"> Bridge could require hundreds of </w:t>
      </w:r>
      <w:r w:rsidR="63CAEED0" w:rsidRPr="69FEF511">
        <w:rPr>
          <w:rFonts w:cs="Calibri"/>
        </w:rPr>
        <w:t>thousands to</w:t>
      </w:r>
      <w:r w:rsidRPr="69FEF511">
        <w:rPr>
          <w:rFonts w:cs="Calibri"/>
        </w:rPr>
        <w:t xml:space="preserve"> evacuate and </w:t>
      </w:r>
      <w:r w:rsidR="351368F0" w:rsidRPr="69FEF511">
        <w:rPr>
          <w:rFonts w:cs="Calibri"/>
        </w:rPr>
        <w:t>cause</w:t>
      </w:r>
      <w:r w:rsidRPr="69FEF511">
        <w:rPr>
          <w:rFonts w:cs="Calibri"/>
        </w:rPr>
        <w:t xml:space="preserve"> months or years</w:t>
      </w:r>
      <w:r w:rsidR="49002545" w:rsidRPr="69FEF511">
        <w:rPr>
          <w:rFonts w:cs="Calibri"/>
        </w:rPr>
        <w:t>-</w:t>
      </w:r>
      <w:r w:rsidRPr="69FEF511">
        <w:rPr>
          <w:rFonts w:cs="Calibri"/>
        </w:rPr>
        <w:t xml:space="preserve">long </w:t>
      </w:r>
      <w:r w:rsidR="37DA1C0F" w:rsidRPr="69FEF511">
        <w:rPr>
          <w:rFonts w:cs="Calibri"/>
        </w:rPr>
        <w:t xml:space="preserve">disruptions </w:t>
      </w:r>
      <w:r w:rsidR="61086348" w:rsidRPr="69FEF511">
        <w:rPr>
          <w:rFonts w:cs="Calibri"/>
        </w:rPr>
        <w:t xml:space="preserve">to </w:t>
      </w:r>
      <w:r w:rsidRPr="69FEF511">
        <w:rPr>
          <w:rFonts w:cs="Calibri"/>
        </w:rPr>
        <w:t xml:space="preserve">critical infrastructure </w:t>
      </w:r>
      <w:r w:rsidR="4312D011" w:rsidRPr="69FEF511">
        <w:rPr>
          <w:rFonts w:cs="Calibri"/>
        </w:rPr>
        <w:t xml:space="preserve">like </w:t>
      </w:r>
      <w:r w:rsidRPr="69FEF511">
        <w:rPr>
          <w:rFonts w:cs="Calibri"/>
        </w:rPr>
        <w:t xml:space="preserve">power and drinking water. There would also be long-term </w:t>
      </w:r>
      <w:proofErr w:type="gramStart"/>
      <w:r w:rsidRPr="69FEF511">
        <w:rPr>
          <w:rFonts w:cs="Calibri"/>
        </w:rPr>
        <w:t>economic</w:t>
      </w:r>
      <w:proofErr w:type="gramEnd"/>
      <w:r w:rsidRPr="69FEF511">
        <w:rPr>
          <w:rFonts w:cs="Calibri"/>
        </w:rPr>
        <w:t xml:space="preserve"> and land-use impacts that would challenge the longer-term recovery.</w:t>
      </w:r>
      <w:r w:rsidR="00E84D9B" w:rsidRPr="69FEF511">
        <w:rPr>
          <w:rStyle w:val="EndnoteReference"/>
          <w:rFonts w:eastAsia="Yu Mincho" w:cs="Calibri"/>
        </w:rPr>
        <w:endnoteReference w:id="14"/>
      </w:r>
      <w:r w:rsidRPr="69FEF511">
        <w:rPr>
          <w:rFonts w:eastAsia="Yu Mincho" w:cs="Calibri"/>
        </w:rPr>
        <w:t xml:space="preserve"> </w:t>
      </w:r>
    </w:p>
    <w:p w14:paraId="41C40713" w14:textId="07266F72" w:rsidR="00E84D9B" w:rsidRPr="005E7C9A" w:rsidRDefault="4C8378D3" w:rsidP="2A01CEE7">
      <w:pPr>
        <w:pStyle w:val="BodyText"/>
        <w:rPr>
          <w:rStyle w:val="BodyTextChar"/>
        </w:rPr>
      </w:pPr>
      <w:r w:rsidRPr="005E7C9A">
        <w:t>While these lo</w:t>
      </w:r>
      <w:r w:rsidRPr="005E7C9A">
        <w:rPr>
          <w:rStyle w:val="BodyTextChar"/>
        </w:rPr>
        <w:t>cal risks are significant, there is also a very small but real chance of a much larger event. Eruptions on the scale of Mount Tambora in 1815 (VEI 7</w:t>
      </w:r>
      <w:r w:rsidR="7770D2FB" w:rsidRPr="005E7C9A">
        <w:rPr>
          <w:rStyle w:val="FootnoteReference"/>
          <w:color w:val="auto"/>
        </w:rPr>
        <w:footnoteReference w:id="7"/>
      </w:r>
      <w:r w:rsidR="005E7C9A">
        <w:rPr>
          <w:rStyle w:val="BodyTextChar"/>
        </w:rPr>
        <w:t xml:space="preserve"> </w:t>
      </w:r>
      <w:r w:rsidRPr="005E7C9A">
        <w:rPr>
          <w:rStyle w:val="BodyTextChar"/>
        </w:rPr>
        <w:t>– a very large, globally significant eruption) occur one or two times per thousand years, but their global consequences would be severe</w:t>
      </w:r>
      <w:r w:rsidR="7CFD1F3B" w:rsidRPr="005E7C9A">
        <w:t>.</w:t>
      </w:r>
      <w:r w:rsidR="43FEF6CC" w:rsidRPr="005E7C9A">
        <w:rPr>
          <w:rStyle w:val="EndnoteReference"/>
        </w:rPr>
        <w:endnoteReference w:id="15"/>
      </w:r>
      <w:r w:rsidR="69707FF8" w:rsidRPr="005E7C9A">
        <w:rPr>
          <w:rStyle w:val="BodyTextChar"/>
        </w:rPr>
        <w:t xml:space="preserve"> </w:t>
      </w:r>
      <w:r w:rsidRPr="005E7C9A">
        <w:rPr>
          <w:rStyle w:val="BodyTextChar"/>
        </w:rPr>
        <w:t>Mount Tambora is in Indonesia, and its 1815 eruption caused widespread famine and climate disruption</w:t>
      </w:r>
      <w:r w:rsidR="47037834" w:rsidRPr="005E7C9A">
        <w:rPr>
          <w:rStyle w:val="BodyTextChar"/>
        </w:rPr>
        <w:t xml:space="preserve"> in many parts of the world</w:t>
      </w:r>
      <w:r w:rsidRPr="005E7C9A">
        <w:rPr>
          <w:rStyle w:val="BodyTextChar"/>
        </w:rPr>
        <w:t xml:space="preserve">. </w:t>
      </w:r>
      <w:r w:rsidR="7DB6D5A6" w:rsidRPr="005E7C9A">
        <w:rPr>
          <w:rStyle w:val="BodyTextChar"/>
        </w:rPr>
        <w:t xml:space="preserve">Such events can trigger </w:t>
      </w:r>
      <w:r w:rsidR="19FAE8D9" w:rsidRPr="005E7C9A">
        <w:rPr>
          <w:rStyle w:val="BodyTextChar"/>
        </w:rPr>
        <w:t>’</w:t>
      </w:r>
      <w:r w:rsidR="7DB6D5A6" w:rsidRPr="005E7C9A">
        <w:rPr>
          <w:rStyle w:val="BodyTextChar"/>
        </w:rPr>
        <w:t>volcanic winters,</w:t>
      </w:r>
      <w:r w:rsidR="16F6F4B9" w:rsidRPr="005E7C9A">
        <w:rPr>
          <w:rStyle w:val="BodyTextChar"/>
        </w:rPr>
        <w:t>’</w:t>
      </w:r>
      <w:r w:rsidR="7DB6D5A6" w:rsidRPr="005E7C9A">
        <w:rPr>
          <w:rStyle w:val="BodyTextChar"/>
        </w:rPr>
        <w:t xml:space="preserve"> leading to prolonged global cooling, widespread crop failures, and cascading effects on food security, health, transport, infrastructure, supply chains and economies worldwide.</w:t>
      </w:r>
      <w:r w:rsidRPr="005E7C9A">
        <w:rPr>
          <w:rStyle w:val="BodyTextChar"/>
        </w:rPr>
        <w:t xml:space="preserve"> </w:t>
      </w:r>
    </w:p>
    <w:p w14:paraId="450537DE" w14:textId="44C10CBD" w:rsidR="006B7F7F" w:rsidRPr="00FE7BCF" w:rsidRDefault="006B7F7F" w:rsidP="69FEF511">
      <w:pPr>
        <w:pStyle w:val="Heading3"/>
        <w:rPr>
          <w:b w:val="0"/>
        </w:rPr>
      </w:pPr>
      <w:r w:rsidRPr="00FE7BCF">
        <w:lastRenderedPageBreak/>
        <w:t>Severe weather and flooding</w:t>
      </w:r>
    </w:p>
    <w:p w14:paraId="25E36712" w14:textId="2C062412" w:rsidR="006B7F7F" w:rsidRPr="0005404E" w:rsidRDefault="1C187447" w:rsidP="69FEF511">
      <w:pPr>
        <w:pStyle w:val="BodyText"/>
      </w:pPr>
      <w:r w:rsidRPr="69FEF511">
        <w:t>Severe weather</w:t>
      </w:r>
      <w:r w:rsidR="09A55B44" w:rsidRPr="69FEF511">
        <w:t xml:space="preserve"> – </w:t>
      </w:r>
      <w:r w:rsidRPr="69FEF511">
        <w:t>including strong winds, heavy or prolonged rain or snow and coastal storm surges</w:t>
      </w:r>
      <w:r w:rsidR="09A55B44" w:rsidRPr="69FEF511">
        <w:t xml:space="preserve"> – </w:t>
      </w:r>
      <w:r w:rsidRPr="69FEF511">
        <w:t>can trigger flooding and landslides, posing serious risks to homes, workplaces and communities. Rising temperatures and shifting weather patterns are increasing the frequency and intensity of these events, with storms, floods and droughts becoming more common and damaging.</w:t>
      </w:r>
      <w:r w:rsidR="00632F37" w:rsidRPr="69FEF511">
        <w:rPr>
          <w:rStyle w:val="EndnoteReference"/>
          <w:rFonts w:eastAsia="Arial" w:cs="Calibri"/>
        </w:rPr>
        <w:endnoteReference w:id="16"/>
      </w:r>
      <w:r w:rsidR="39782111" w:rsidRPr="69FEF511">
        <w:rPr>
          <w:rFonts w:cs="Calibri"/>
          <w:vertAlign w:val="superscript"/>
        </w:rPr>
        <w:t>,</w:t>
      </w:r>
      <w:r w:rsidR="00632F37" w:rsidRPr="69FEF511">
        <w:rPr>
          <w:rStyle w:val="EndnoteReference"/>
          <w:rFonts w:eastAsia="Arial" w:cs="Calibri"/>
        </w:rPr>
        <w:endnoteReference w:id="17"/>
      </w:r>
      <w:r w:rsidRPr="69FEF511">
        <w:t xml:space="preserve"> These events already cost billions</w:t>
      </w:r>
      <w:r w:rsidR="00632F37" w:rsidRPr="69FEF511">
        <w:rPr>
          <w:rStyle w:val="EndnoteReference"/>
          <w:rFonts w:cs="Calibri"/>
        </w:rPr>
        <w:endnoteReference w:id="18"/>
      </w:r>
      <w:r w:rsidRPr="69FEF511">
        <w:t xml:space="preserve"> and are expected to become even more economically disruptive as the climate continues to change.</w:t>
      </w:r>
      <w:r w:rsidR="00632F37" w:rsidRPr="69FEF511">
        <w:rPr>
          <w:rStyle w:val="EndnoteReference"/>
          <w:rFonts w:cs="Calibri"/>
        </w:rPr>
        <w:endnoteReference w:id="19"/>
      </w:r>
      <w:r w:rsidR="39782111" w:rsidRPr="69FEF511">
        <w:rPr>
          <w:rFonts w:cs="Calibri"/>
          <w:vertAlign w:val="superscript"/>
        </w:rPr>
        <w:t>,</w:t>
      </w:r>
      <w:r w:rsidR="00632F37" w:rsidRPr="69FEF511">
        <w:rPr>
          <w:rStyle w:val="EndnoteReference"/>
          <w:rFonts w:cs="Calibri"/>
        </w:rPr>
        <w:endnoteReference w:id="20"/>
      </w:r>
    </w:p>
    <w:p w14:paraId="351744CD" w14:textId="71E54F5E" w:rsidR="00A30281" w:rsidRPr="00FE7BCF" w:rsidRDefault="07B9B7B5" w:rsidP="69FEF511">
      <w:pPr>
        <w:pStyle w:val="Heading3"/>
      </w:pPr>
      <w:r w:rsidRPr="00FE7BCF">
        <w:t>S</w:t>
      </w:r>
      <w:r w:rsidR="67BF0CEC" w:rsidRPr="00FE7BCF">
        <w:t>pace weather</w:t>
      </w:r>
    </w:p>
    <w:p w14:paraId="2ADAD04B" w14:textId="11F298EE" w:rsidR="00E84D9B" w:rsidRPr="005B0CED" w:rsidRDefault="2C791AC9" w:rsidP="69FEF511">
      <w:pPr>
        <w:pStyle w:val="BodyText"/>
      </w:pPr>
      <w:r w:rsidRPr="69FEF511">
        <w:t>S</w:t>
      </w:r>
      <w:r w:rsidR="51EAFE0A" w:rsidRPr="69FEF511">
        <w:t>olar</w:t>
      </w:r>
      <w:r w:rsidR="00E84D9B" w:rsidRPr="69FEF511">
        <w:t xml:space="preserve"> storms </w:t>
      </w:r>
      <w:r w:rsidR="00E84D9B" w:rsidRPr="69FEF511">
        <w:rPr>
          <w:rFonts w:eastAsia="Calibri" w:cs="Calibri"/>
        </w:rPr>
        <w:t>can disrupt and damage critical technologies and infrastructure</w:t>
      </w:r>
      <w:r w:rsidR="008C7166" w:rsidRPr="69FEF511">
        <w:rPr>
          <w:rFonts w:eastAsia="Calibri" w:cs="Calibri"/>
        </w:rPr>
        <w:t xml:space="preserve"> (</w:t>
      </w:r>
      <w:r w:rsidR="00E84D9B" w:rsidRPr="69FEF511">
        <w:rPr>
          <w:rFonts w:eastAsia="Calibri" w:cs="Calibri"/>
        </w:rPr>
        <w:t>such as power grids, satellites and communications systems</w:t>
      </w:r>
      <w:r w:rsidR="008C7166" w:rsidRPr="69FEF511">
        <w:rPr>
          <w:rFonts w:eastAsia="Calibri" w:cs="Calibri"/>
        </w:rPr>
        <w:t>) on Earth and in space</w:t>
      </w:r>
      <w:r w:rsidR="00E84D9B" w:rsidRPr="69FEF511">
        <w:rPr>
          <w:rFonts w:eastAsia="Calibri" w:cs="Calibri"/>
        </w:rPr>
        <w:t xml:space="preserve">. </w:t>
      </w:r>
      <w:r w:rsidR="00E84D9B" w:rsidRPr="69FEF511">
        <w:t xml:space="preserve">Potential impacts range from being without power for days to degraded communications and the loss of global positioning systems. Although historic impacts of space weather in New Zealand have been relatively rare, the probability of a severe event has increased since the sun entered a </w:t>
      </w:r>
      <w:r w:rsidR="005E57C0" w:rsidRPr="69FEF511">
        <w:t>‘</w:t>
      </w:r>
      <w:r w:rsidR="00E84D9B" w:rsidRPr="69FEF511">
        <w:t>solar maximum</w:t>
      </w:r>
      <w:r w:rsidR="005E57C0" w:rsidRPr="69FEF511">
        <w:t>’</w:t>
      </w:r>
      <w:r w:rsidR="00772521" w:rsidRPr="69FEF511">
        <w:rPr>
          <w:rStyle w:val="FootnoteReference"/>
        </w:rPr>
        <w:footnoteReference w:id="8"/>
      </w:r>
      <w:r w:rsidR="00E84D9B" w:rsidRPr="69FEF511">
        <w:t xml:space="preserve"> in October 2024.</w:t>
      </w:r>
    </w:p>
    <w:p w14:paraId="156D5BC3" w14:textId="77777777" w:rsidR="00D54187" w:rsidRPr="001B3C35" w:rsidRDefault="00D54187" w:rsidP="69FEF511">
      <w:pPr>
        <w:pStyle w:val="BodyText"/>
      </w:pPr>
      <w:bookmarkStart w:id="12" w:name="_Toc202529451"/>
      <w:r w:rsidRPr="69FEF511">
        <w:br w:type="page"/>
      </w:r>
    </w:p>
    <w:p w14:paraId="45812D2D" w14:textId="1AF4B3B1" w:rsidR="00E84D9B" w:rsidRPr="005B0CED" w:rsidRDefault="00E84D9B" w:rsidP="69FEF511">
      <w:pPr>
        <w:pStyle w:val="Heading1"/>
      </w:pPr>
      <w:bookmarkStart w:id="13" w:name="_Toc214435291"/>
      <w:r>
        <w:lastRenderedPageBreak/>
        <w:t xml:space="preserve">Section 2: </w:t>
      </w:r>
      <w:r w:rsidR="00ED340B">
        <w:t>Forces that shape risk</w:t>
      </w:r>
      <w:bookmarkEnd w:id="12"/>
      <w:r w:rsidR="009B6FE6">
        <w:t xml:space="preserve"> and resilience</w:t>
      </w:r>
      <w:bookmarkEnd w:id="13"/>
    </w:p>
    <w:p w14:paraId="536D0584" w14:textId="2B72EBD1" w:rsidR="5525E181" w:rsidRDefault="0E4C1B27" w:rsidP="000A7A2B">
      <w:pPr>
        <w:pStyle w:val="BodyText"/>
      </w:pPr>
      <w:r>
        <w:t>This section outlines key forces that are shaping New Zealand's national risk and resilience profile, from domestic factors to global trends. These forces are interconnected, and a change in one area can significantly affect our exposure to risk and our capacity for resilience.</w:t>
      </w:r>
    </w:p>
    <w:p w14:paraId="08AD5B94" w14:textId="643379A0" w:rsidR="5525E181" w:rsidRDefault="5525E181" w:rsidP="69FEF511">
      <w:pPr>
        <w:pStyle w:val="Heading2"/>
      </w:pPr>
      <w:bookmarkStart w:id="14" w:name="_Toc214435292"/>
      <w:r w:rsidRPr="69FEF511">
        <w:t>Forces that shape risk</w:t>
      </w:r>
      <w:bookmarkEnd w:id="14"/>
    </w:p>
    <w:p w14:paraId="07AEF037" w14:textId="635F213A" w:rsidR="00E84D9B" w:rsidRPr="00FE7BCF" w:rsidRDefault="45C16B5A" w:rsidP="52F3000B">
      <w:pPr>
        <w:pStyle w:val="Heading3"/>
      </w:pPr>
      <w:bookmarkStart w:id="15" w:name="_Toc202529452"/>
      <w:r w:rsidRPr="00FE7BCF">
        <w:t>Location and assets</w:t>
      </w:r>
      <w:bookmarkEnd w:id="15"/>
    </w:p>
    <w:p w14:paraId="5D4231CA" w14:textId="7568CCB4" w:rsidR="00E84D9B" w:rsidRPr="005E7C9A" w:rsidRDefault="27ACFF9F" w:rsidP="69FEF511">
      <w:pPr>
        <w:pStyle w:val="BodyText"/>
      </w:pPr>
      <w:r w:rsidRPr="69FEF511">
        <w:t xml:space="preserve">New Zealand’s position on the boundary of the Australian and Pacific tectonic plates makes </w:t>
      </w:r>
      <w:r w:rsidR="552AA9C1" w:rsidRPr="69FEF511">
        <w:t xml:space="preserve">us </w:t>
      </w:r>
      <w:r w:rsidRPr="69FEF511">
        <w:t xml:space="preserve">prone to </w:t>
      </w:r>
      <w:r w:rsidR="57D32250" w:rsidRPr="69FEF511">
        <w:t xml:space="preserve">hazards such as </w:t>
      </w:r>
      <w:r w:rsidRPr="69FEF511">
        <w:t>earthquakes, tsunami and volcanic activity.</w:t>
      </w:r>
      <w:r w:rsidR="00E84D9B" w:rsidRPr="69FEF511">
        <w:rPr>
          <w:rStyle w:val="EndnoteReference"/>
          <w:rFonts w:eastAsia="Arial" w:cs="Calibri"/>
        </w:rPr>
        <w:endnoteReference w:id="21"/>
      </w:r>
      <w:r w:rsidRPr="69FEF511">
        <w:t xml:space="preserve"> </w:t>
      </w:r>
      <w:r w:rsidR="4C3185B4" w:rsidRPr="69FEF511">
        <w:t xml:space="preserve">Our </w:t>
      </w:r>
      <w:r w:rsidRPr="69FEF511">
        <w:t xml:space="preserve">long coastline, numerous rivers and high rainfall increase </w:t>
      </w:r>
      <w:r w:rsidR="4479AF75" w:rsidRPr="69FEF511">
        <w:t>flood risk</w:t>
      </w:r>
      <w:r w:rsidRPr="69FEF511">
        <w:t xml:space="preserve">, while </w:t>
      </w:r>
      <w:r w:rsidR="680B7F07" w:rsidRPr="69FEF511">
        <w:t xml:space="preserve">our </w:t>
      </w:r>
      <w:r w:rsidRPr="69FEF511">
        <w:t>geographic isolation makes trade more challenging under disruptive conditions. Like all globally connected nations</w:t>
      </w:r>
      <w:r w:rsidR="43E75372" w:rsidRPr="69FEF511">
        <w:t>,</w:t>
      </w:r>
      <w:r w:rsidRPr="69FEF511">
        <w:t xml:space="preserve"> New </w:t>
      </w:r>
      <w:r w:rsidRPr="005E7C9A">
        <w:t>Zealand is also vulnerable to pandemics and other transboundary hazards.</w:t>
      </w:r>
    </w:p>
    <w:p w14:paraId="6D304A37" w14:textId="50820389" w:rsidR="00763FE8" w:rsidRPr="005E7C9A" w:rsidRDefault="52A2BFCE" w:rsidP="69FEF511">
      <w:pPr>
        <w:pStyle w:val="BodyText"/>
      </w:pPr>
      <w:r w:rsidRPr="005E7C9A">
        <w:t xml:space="preserve">Where we </w:t>
      </w:r>
      <w:r w:rsidR="3E4B3F87" w:rsidRPr="005E7C9A">
        <w:t>build</w:t>
      </w:r>
      <w:r w:rsidR="4B070474" w:rsidRPr="005E7C9A">
        <w:t xml:space="preserve"> </w:t>
      </w:r>
      <w:r w:rsidRPr="005E7C9A">
        <w:t xml:space="preserve">also impacts </w:t>
      </w:r>
      <w:r w:rsidR="692B39D7" w:rsidRPr="005E7C9A">
        <w:t>risk exposure</w:t>
      </w:r>
      <w:r w:rsidR="6AEEFC93" w:rsidRPr="005E7C9A">
        <w:t>:</w:t>
      </w:r>
      <w:r w:rsidR="692B39D7" w:rsidRPr="005E7C9A">
        <w:t xml:space="preserve"> </w:t>
      </w:r>
      <w:r w:rsidR="5AE3A729" w:rsidRPr="005E7C9A">
        <w:t>h</w:t>
      </w:r>
      <w:r w:rsidR="03C88E69" w:rsidRPr="005E7C9A">
        <w:t>omes, farms, towns</w:t>
      </w:r>
      <w:r w:rsidR="653EB98B" w:rsidRPr="005E7C9A">
        <w:t xml:space="preserve">, </w:t>
      </w:r>
      <w:r w:rsidR="42C7F5D3" w:rsidRPr="005E7C9A">
        <w:t>cities</w:t>
      </w:r>
      <w:r w:rsidR="6239306B" w:rsidRPr="005E7C9A">
        <w:t xml:space="preserve"> and infrastructure</w:t>
      </w:r>
      <w:r w:rsidR="03C88E69" w:rsidRPr="005E7C9A">
        <w:t xml:space="preserve"> in flood-prone areas</w:t>
      </w:r>
      <w:r w:rsidR="64651A88" w:rsidRPr="005E7C9A">
        <w:t xml:space="preserve"> or along active fault lines</w:t>
      </w:r>
      <w:r w:rsidR="03C88E69" w:rsidRPr="005E7C9A">
        <w:t xml:space="preserve"> inherently face a greater level of risk</w:t>
      </w:r>
      <w:r w:rsidR="5AE3A729" w:rsidRPr="005E7C9A">
        <w:t>.</w:t>
      </w:r>
    </w:p>
    <w:p w14:paraId="5233C07E" w14:textId="59E406A3" w:rsidR="00E84D9B" w:rsidRPr="00FE7BCF" w:rsidRDefault="7EAE508B" w:rsidP="4B160E99">
      <w:pPr>
        <w:pStyle w:val="Heading3"/>
      </w:pPr>
      <w:r w:rsidRPr="00FE7BCF">
        <w:t>Economic and supply chain risk</w:t>
      </w:r>
    </w:p>
    <w:p w14:paraId="4F7CFAFB" w14:textId="414F0BA0" w:rsidR="00E84D9B" w:rsidRPr="00D54187" w:rsidRDefault="27ACFF9F" w:rsidP="48CDBE69">
      <w:pPr>
        <w:pStyle w:val="BodyText"/>
        <w:rPr>
          <w:rFonts w:cs="Calibri"/>
        </w:rPr>
      </w:pPr>
      <w:r w:rsidRPr="69FEF511">
        <w:rPr>
          <w:rFonts w:cs="Calibri"/>
        </w:rPr>
        <w:t xml:space="preserve">New Zealand’s economy lacks diversification, relying heavily on </w:t>
      </w:r>
      <w:r w:rsidR="01D57D7F" w:rsidRPr="69FEF511">
        <w:rPr>
          <w:rFonts w:cs="Calibri"/>
        </w:rPr>
        <w:t>relatively</w:t>
      </w:r>
      <w:r w:rsidRPr="69FEF511">
        <w:rPr>
          <w:rFonts w:cs="Calibri"/>
        </w:rPr>
        <w:t xml:space="preserve"> few key agricultural exports and trading partners, especially in Asia.</w:t>
      </w:r>
      <w:r w:rsidR="00E84D9B" w:rsidRPr="69FEF511">
        <w:rPr>
          <w:rStyle w:val="EndnoteReference"/>
          <w:rFonts w:eastAsia="Arial" w:cs="Calibri"/>
        </w:rPr>
        <w:endnoteReference w:id="22"/>
      </w:r>
      <w:r w:rsidRPr="69FEF511">
        <w:rPr>
          <w:rFonts w:eastAsia="Arial" w:cs="Calibri"/>
        </w:rPr>
        <w:t xml:space="preserve"> This makes </w:t>
      </w:r>
      <w:r w:rsidR="131898FF" w:rsidRPr="69FEF511">
        <w:rPr>
          <w:rFonts w:eastAsia="Arial" w:cs="Calibri"/>
        </w:rPr>
        <w:t xml:space="preserve">us </w:t>
      </w:r>
      <w:r w:rsidRPr="69FEF511">
        <w:rPr>
          <w:rFonts w:eastAsia="Arial" w:cs="Calibri"/>
        </w:rPr>
        <w:t>more suscepti</w:t>
      </w:r>
      <w:r w:rsidR="48A827AB" w:rsidRPr="69FEF511">
        <w:rPr>
          <w:rFonts w:eastAsia="Arial" w:cs="Calibri"/>
        </w:rPr>
        <w:t>bl</w:t>
      </w:r>
      <w:r w:rsidRPr="69FEF511">
        <w:rPr>
          <w:rFonts w:eastAsia="Arial" w:cs="Calibri"/>
        </w:rPr>
        <w:t xml:space="preserve">e to external shocks such as falling global demand, </w:t>
      </w:r>
      <w:r w:rsidRPr="69FEF511">
        <w:rPr>
          <w:rFonts w:cs="Calibri"/>
        </w:rPr>
        <w:t xml:space="preserve">drought, </w:t>
      </w:r>
      <w:r w:rsidRPr="69FEF511">
        <w:rPr>
          <w:rFonts w:eastAsia="Arial" w:cs="Calibri"/>
        </w:rPr>
        <w:t>animal</w:t>
      </w:r>
      <w:r w:rsidRPr="69FEF511">
        <w:rPr>
          <w:rFonts w:cs="Calibri"/>
        </w:rPr>
        <w:t xml:space="preserve"> disease outbreak, or changes in trade policy.</w:t>
      </w:r>
      <w:r w:rsidR="00E84D9B" w:rsidRPr="69FEF511">
        <w:rPr>
          <w:rStyle w:val="EndnoteReference"/>
          <w:rFonts w:eastAsia="Arial" w:cs="Calibri"/>
        </w:rPr>
        <w:endnoteReference w:id="23"/>
      </w:r>
      <w:r w:rsidRPr="69FEF511">
        <w:rPr>
          <w:rFonts w:eastAsia="Arial" w:cs="Calibri"/>
        </w:rPr>
        <w:t xml:space="preserve"> Many</w:t>
      </w:r>
      <w:r w:rsidR="3B6D2641" w:rsidRPr="69FEF511">
        <w:rPr>
          <w:rFonts w:eastAsia="Arial" w:cs="Calibri"/>
        </w:rPr>
        <w:t xml:space="preserve"> businesses in the rural economy</w:t>
      </w:r>
      <w:r w:rsidRPr="69FEF511">
        <w:rPr>
          <w:rFonts w:eastAsia="Arial" w:cs="Calibri"/>
        </w:rPr>
        <w:t xml:space="preserve"> </w:t>
      </w:r>
      <w:r w:rsidR="7B0511D2" w:rsidRPr="69FEF511">
        <w:rPr>
          <w:rFonts w:eastAsia="Arial" w:cs="Calibri"/>
        </w:rPr>
        <w:t xml:space="preserve">have low </w:t>
      </w:r>
      <w:r w:rsidRPr="69FEF511">
        <w:rPr>
          <w:rFonts w:cs="Calibri"/>
        </w:rPr>
        <w:t>profit margins and high debt levels, making them particularly vulnerable to disruption.</w:t>
      </w:r>
      <w:r w:rsidR="00E84D9B" w:rsidRPr="69FEF511">
        <w:rPr>
          <w:rStyle w:val="EndnoteReference"/>
          <w:rFonts w:eastAsia="Arial" w:cs="Calibri"/>
        </w:rPr>
        <w:endnoteReference w:id="24"/>
      </w:r>
    </w:p>
    <w:p w14:paraId="5C900B41" w14:textId="26CE7936" w:rsidR="00E84D9B" w:rsidRPr="005B0CED" w:rsidRDefault="24AEA92E" w:rsidP="48CDBE69">
      <w:pPr>
        <w:pStyle w:val="BodyText"/>
      </w:pPr>
      <w:r>
        <w:t>This</w:t>
      </w:r>
      <w:r w:rsidR="1AAB82A7">
        <w:t xml:space="preserve"> reliance on trade makes </w:t>
      </w:r>
      <w:r w:rsidR="7946CBCE">
        <w:t xml:space="preserve">the country </w:t>
      </w:r>
      <w:r w:rsidR="1AAB82A7">
        <w:t>vulnerable to supply chain shocks and major trade disruptions. Events like COVID-19, the war in Ukraine and the Suez Canal blockage have shown how quickly disruptions can cascade. In 2024, New Zealand ratified the Indo-Pacific Economic Framework Supply Chain Agreement to strengthen regional resilience. These efforts highlight the importance of international cooperation and shared standards.</w:t>
      </w:r>
    </w:p>
    <w:p w14:paraId="64DF18A8" w14:textId="64FF902F" w:rsidR="00E84D9B" w:rsidRPr="00FE7BCF" w:rsidRDefault="1BE47F78" w:rsidP="48CDBE69">
      <w:pPr>
        <w:pStyle w:val="Heading3"/>
      </w:pPr>
      <w:bookmarkStart w:id="16" w:name="_Toc202529453"/>
      <w:r w:rsidRPr="00FE7BCF">
        <w:t xml:space="preserve">Climate change and environmental </w:t>
      </w:r>
      <w:r w:rsidR="366DCC3D" w:rsidRPr="00FE7BCF">
        <w:t>stress</w:t>
      </w:r>
      <w:bookmarkEnd w:id="16"/>
    </w:p>
    <w:p w14:paraId="75F97508" w14:textId="47E5FA91" w:rsidR="00BC77F8" w:rsidRPr="00BC77F8" w:rsidRDefault="52D6952F" w:rsidP="69FEF511">
      <w:pPr>
        <w:pStyle w:val="BodyText"/>
        <w:rPr>
          <w:rFonts w:cs="Calibri"/>
        </w:rPr>
      </w:pPr>
      <w:r w:rsidRPr="46C76630">
        <w:rPr>
          <w:rFonts w:cs="Calibri"/>
        </w:rPr>
        <w:t>Climate change and environmental stress amplify the impacts of natural hazards, increasing vulnerability across ecosystems, communities and key economic sectors. Rising temperatures and shifting weather patterns are intensifying the frequency and severity of storms, floods, droughts and</w:t>
      </w:r>
      <w:r w:rsidRPr="00F47B0E">
        <w:t xml:space="preserve"> wildfires</w:t>
      </w:r>
      <w:r w:rsidR="70D093CB" w:rsidRPr="00F47B0E">
        <w:t xml:space="preserve"> – </w:t>
      </w:r>
      <w:r w:rsidR="4CAC3760" w:rsidRPr="00F47B0E">
        <w:t xml:space="preserve">with </w:t>
      </w:r>
      <w:r w:rsidR="70D093CB" w:rsidRPr="00F47B0E">
        <w:t>some regions potentially facing ‘very extreme’ wildfire conditions in future decades</w:t>
      </w:r>
      <w:r w:rsidR="00BC77F8" w:rsidRPr="00F47B0E">
        <w:rPr>
          <w:vertAlign w:val="superscript"/>
        </w:rPr>
        <w:endnoteReference w:id="25"/>
      </w:r>
      <w:r w:rsidRPr="00F47B0E">
        <w:t>.</w:t>
      </w:r>
      <w:r w:rsidRPr="46C76630">
        <w:rPr>
          <w:rFonts w:cs="Calibri"/>
        </w:rPr>
        <w:t xml:space="preserve"> These changes are already causing significant disruption and are expected to become more economically damaging over time.</w:t>
      </w:r>
    </w:p>
    <w:p w14:paraId="47D1FCD4" w14:textId="1C700424" w:rsidR="00E84D9B" w:rsidRPr="00D54187" w:rsidRDefault="784B5630" w:rsidP="46C76630">
      <w:pPr>
        <w:pStyle w:val="BodyText"/>
        <w:rPr>
          <w:rFonts w:cs="Calibri"/>
        </w:rPr>
      </w:pPr>
      <w:r w:rsidRPr="69FEF511">
        <w:rPr>
          <w:rFonts w:cs="Calibri"/>
        </w:rPr>
        <w:t xml:space="preserve">This amplifying effect </w:t>
      </w:r>
      <w:r w:rsidR="27ACFF9F" w:rsidRPr="69FEF511">
        <w:rPr>
          <w:rFonts w:cs="Calibri"/>
        </w:rPr>
        <w:t>also threaten</w:t>
      </w:r>
      <w:r w:rsidR="00A1A711" w:rsidRPr="69FEF511">
        <w:rPr>
          <w:rFonts w:cs="Calibri"/>
        </w:rPr>
        <w:t>s</w:t>
      </w:r>
      <w:r w:rsidR="27ACFF9F" w:rsidRPr="69FEF511">
        <w:rPr>
          <w:rFonts w:cs="Calibri"/>
        </w:rPr>
        <w:t xml:space="preserve"> biodiversity and ecosystems, including marine and coastal environments.</w:t>
      </w:r>
      <w:r w:rsidR="00E84D9B" w:rsidRPr="69FEF511">
        <w:rPr>
          <w:rStyle w:val="EndnoteReference"/>
          <w:rFonts w:eastAsia="Arial" w:cs="Calibri"/>
        </w:rPr>
        <w:endnoteReference w:id="26"/>
      </w:r>
      <w:r w:rsidR="27ACFF9F" w:rsidRPr="69FEF511">
        <w:rPr>
          <w:rFonts w:eastAsia="Arial" w:cs="Calibri"/>
        </w:rPr>
        <w:t xml:space="preserve"> </w:t>
      </w:r>
    </w:p>
    <w:p w14:paraId="6FEBFE57" w14:textId="60EAF8BC" w:rsidR="00E84D9B" w:rsidRPr="00D54187" w:rsidRDefault="22B44A43" w:rsidP="48CDBE69">
      <w:pPr>
        <w:pStyle w:val="BodyText"/>
        <w:rPr>
          <w:rFonts w:cs="Calibri"/>
        </w:rPr>
      </w:pPr>
      <w:r w:rsidRPr="69FEF511">
        <w:rPr>
          <w:rFonts w:cs="Calibri"/>
        </w:rPr>
        <w:t>Key sectors like agriculture, forestry, fisheries and tourism</w:t>
      </w:r>
      <w:r w:rsidR="15472901" w:rsidRPr="69FEF511">
        <w:rPr>
          <w:rFonts w:cs="Calibri"/>
        </w:rPr>
        <w:t xml:space="preserve"> –</w:t>
      </w:r>
      <w:r w:rsidRPr="69FEF511">
        <w:rPr>
          <w:rFonts w:cs="Calibri"/>
        </w:rPr>
        <w:t xml:space="preserve"> </w:t>
      </w:r>
      <w:r w:rsidR="15472901" w:rsidRPr="69FEF511">
        <w:rPr>
          <w:rFonts w:cs="Calibri"/>
        </w:rPr>
        <w:t xml:space="preserve">which </w:t>
      </w:r>
      <w:r w:rsidRPr="69FEF511">
        <w:rPr>
          <w:rFonts w:cs="Calibri"/>
        </w:rPr>
        <w:t>are heavily reliant on climate-sensitive resources</w:t>
      </w:r>
      <w:r w:rsidR="15472901" w:rsidRPr="69FEF511">
        <w:rPr>
          <w:rFonts w:cs="Calibri"/>
        </w:rPr>
        <w:t xml:space="preserve"> –</w:t>
      </w:r>
      <w:r w:rsidRPr="69FEF511">
        <w:rPr>
          <w:rFonts w:cs="Calibri"/>
        </w:rPr>
        <w:t xml:space="preserve"> face heightened vulnerability.</w:t>
      </w:r>
      <w:r w:rsidR="00E84D9B" w:rsidRPr="69FEF511">
        <w:rPr>
          <w:rStyle w:val="EndnoteReference"/>
          <w:rFonts w:eastAsia="Arial" w:cs="Calibri"/>
        </w:rPr>
        <w:endnoteReference w:id="27"/>
      </w:r>
      <w:r w:rsidRPr="69FEF511">
        <w:rPr>
          <w:rFonts w:eastAsia="Arial" w:cs="Calibri"/>
        </w:rPr>
        <w:t xml:space="preserve"> </w:t>
      </w:r>
      <w:r w:rsidRPr="69FEF511">
        <w:rPr>
          <w:rFonts w:cs="Calibri"/>
        </w:rPr>
        <w:t>Rising adaptation costs will strain public finances, and sea</w:t>
      </w:r>
      <w:r w:rsidR="00877212">
        <w:rPr>
          <w:rFonts w:cs="Calibri"/>
        </w:rPr>
        <w:t>-</w:t>
      </w:r>
      <w:r w:rsidRPr="69FEF511">
        <w:rPr>
          <w:rFonts w:cs="Calibri"/>
        </w:rPr>
        <w:t xml:space="preserve">level rise (potentially a metre higher by 2100) will challenge the two-thirds of New Zealanders </w:t>
      </w:r>
      <w:r w:rsidR="25FFD178" w:rsidRPr="69FEF511">
        <w:rPr>
          <w:rFonts w:cs="Calibri"/>
        </w:rPr>
        <w:t xml:space="preserve">who live </w:t>
      </w:r>
      <w:r w:rsidRPr="69FEF511">
        <w:rPr>
          <w:rFonts w:cs="Calibri"/>
        </w:rPr>
        <w:t>near the coast.</w:t>
      </w:r>
      <w:r w:rsidR="00E84D9B" w:rsidRPr="69FEF511">
        <w:rPr>
          <w:rStyle w:val="EndnoteReference"/>
          <w:rFonts w:eastAsia="Arial" w:cs="Calibri"/>
        </w:rPr>
        <w:endnoteReference w:id="28"/>
      </w:r>
    </w:p>
    <w:p w14:paraId="4B89483D" w14:textId="5CA5A6FF" w:rsidR="00E84D9B" w:rsidRPr="00FE7BCF" w:rsidRDefault="366DCC3D" w:rsidP="48CDBE69">
      <w:pPr>
        <w:pStyle w:val="Heading3"/>
      </w:pPr>
      <w:bookmarkStart w:id="17" w:name="_Toc202529454"/>
      <w:r w:rsidRPr="00FE7BCF">
        <w:lastRenderedPageBreak/>
        <w:t>Changing population and growing cities</w:t>
      </w:r>
      <w:bookmarkEnd w:id="17"/>
    </w:p>
    <w:p w14:paraId="74450795" w14:textId="650E2117" w:rsidR="00A92C89" w:rsidRPr="00DC36C6" w:rsidRDefault="27ACFF9F" w:rsidP="69FEF511">
      <w:pPr>
        <w:pStyle w:val="BodyText"/>
      </w:pPr>
      <w:r w:rsidRPr="69FEF511">
        <w:t>New Zealand’s population is increasing, older and more urban.</w:t>
      </w:r>
      <w:r w:rsidR="00E84D9B" w:rsidRPr="69FEF511">
        <w:rPr>
          <w:rStyle w:val="EndnoteReference"/>
          <w:rFonts w:eastAsia="Arial" w:cs="Calibri"/>
        </w:rPr>
        <w:endnoteReference w:id="29"/>
      </w:r>
      <w:r w:rsidRPr="69FEF511">
        <w:t xml:space="preserve"> This will amplify our vulnerability to various hazards. Older people face greater health risks and evacuation challenges during disasters.</w:t>
      </w:r>
      <w:r w:rsidR="00E84D9B" w:rsidRPr="69FEF511">
        <w:rPr>
          <w:rStyle w:val="EndnoteReference"/>
          <w:rFonts w:eastAsia="Arial" w:cs="Calibri"/>
        </w:rPr>
        <w:endnoteReference w:id="30"/>
      </w:r>
      <w:r w:rsidRPr="69FEF511">
        <w:t xml:space="preserve"> </w:t>
      </w:r>
      <w:r w:rsidR="14E7657E" w:rsidRPr="69FEF511">
        <w:t xml:space="preserve">Simultaneously, </w:t>
      </w:r>
      <w:r w:rsidR="78055A4A" w:rsidRPr="69FEF511">
        <w:t>l</w:t>
      </w:r>
      <w:r w:rsidRPr="69FEF511">
        <w:t xml:space="preserve">arger, denser cities </w:t>
      </w:r>
      <w:r w:rsidR="536CC49B" w:rsidRPr="69FEF511">
        <w:t xml:space="preserve">can </w:t>
      </w:r>
      <w:r w:rsidRPr="69FEF511">
        <w:t>mean higher social and economic costs when hazards strike</w:t>
      </w:r>
      <w:r w:rsidR="416FFFF4" w:rsidRPr="00DC36C6">
        <w:t>.</w:t>
      </w:r>
      <w:r w:rsidR="005122A8" w:rsidRPr="00DC36C6">
        <w:rPr>
          <w:rStyle w:val="EndnoteReference"/>
        </w:rPr>
        <w:endnoteReference w:id="31"/>
      </w:r>
      <w:r w:rsidR="6517B364" w:rsidRPr="00DC36C6">
        <w:t xml:space="preserve"> </w:t>
      </w:r>
      <w:r w:rsidR="3E23E6CC" w:rsidRPr="00DC36C6">
        <w:t>Furthermore</w:t>
      </w:r>
      <w:r w:rsidR="4639BAF1" w:rsidRPr="00DC36C6">
        <w:t>,</w:t>
      </w:r>
      <w:r w:rsidR="32F5FCF7" w:rsidRPr="00DC36C6">
        <w:t xml:space="preserve"> </w:t>
      </w:r>
      <w:r w:rsidR="769D9801" w:rsidRPr="00DC36C6">
        <w:t>development in the rural-urban interface increase</w:t>
      </w:r>
      <w:r w:rsidR="6B75AB43" w:rsidRPr="00DC36C6">
        <w:t>s</w:t>
      </w:r>
      <w:r w:rsidR="769D9801" w:rsidRPr="00DC36C6">
        <w:t xml:space="preserve"> the</w:t>
      </w:r>
      <w:r w:rsidR="02896AFF" w:rsidRPr="00DC36C6">
        <w:t xml:space="preserve"> number of people at</w:t>
      </w:r>
      <w:r w:rsidR="769D9801" w:rsidRPr="00DC36C6">
        <w:t xml:space="preserve"> risk from hazards like wildfire</w:t>
      </w:r>
      <w:r w:rsidR="006A7E2B" w:rsidRPr="00DC36C6">
        <w:rPr>
          <w:rStyle w:val="EndnoteReference"/>
        </w:rPr>
        <w:endnoteReference w:id="32"/>
      </w:r>
      <w:r w:rsidR="1B3E137B" w:rsidRPr="00DC36C6">
        <w:t xml:space="preserve"> </w:t>
      </w:r>
      <w:r w:rsidR="5EAC0196" w:rsidRPr="00DC36C6">
        <w:t>while isolated rural communities face unique risk</w:t>
      </w:r>
      <w:r w:rsidR="11934760" w:rsidRPr="00DC36C6">
        <w:t>s</w:t>
      </w:r>
      <w:r w:rsidR="5EAC0196" w:rsidRPr="00DC36C6">
        <w:t>, like being cut off</w:t>
      </w:r>
      <w:r w:rsidR="4D1FB96D" w:rsidRPr="00DC36C6">
        <w:t xml:space="preserve"> from services.</w:t>
      </w:r>
    </w:p>
    <w:p w14:paraId="6CA53715" w14:textId="4B553F9B" w:rsidR="00E84D9B" w:rsidRPr="00D54187" w:rsidRDefault="00D9ED62" w:rsidP="69FEF511">
      <w:pPr>
        <w:pStyle w:val="BodyText"/>
      </w:pPr>
      <w:r w:rsidRPr="00DC36C6">
        <w:t xml:space="preserve">These trends not only create new challenges but also </w:t>
      </w:r>
      <w:r w:rsidR="26AAA23A" w:rsidRPr="00DC36C6" w:rsidDel="009C72D9">
        <w:t xml:space="preserve">compound </w:t>
      </w:r>
      <w:r w:rsidR="1692072B" w:rsidRPr="00DC36C6">
        <w:t>existing vulnerabilities like poverty, social isolation and inadequate housing</w:t>
      </w:r>
      <w:r w:rsidR="69A5D319" w:rsidRPr="69FEF511">
        <w:t>.</w:t>
      </w:r>
      <w:r w:rsidR="00E84D9B" w:rsidRPr="69FEF511">
        <w:rPr>
          <w:rStyle w:val="EndnoteReference"/>
          <w:rFonts w:eastAsia="Arial" w:cs="Calibri"/>
        </w:rPr>
        <w:endnoteReference w:id="33"/>
      </w:r>
    </w:p>
    <w:p w14:paraId="193F0230" w14:textId="170F29F1" w:rsidR="00E84D9B" w:rsidRPr="00FE7BCF" w:rsidRDefault="366DCC3D" w:rsidP="48CDBE69">
      <w:pPr>
        <w:pStyle w:val="Heading3"/>
      </w:pPr>
      <w:bookmarkStart w:id="18" w:name="_Toc202529455"/>
      <w:r w:rsidRPr="00FE7BCF">
        <w:t>New technologies and digital systems</w:t>
      </w:r>
      <w:bookmarkEnd w:id="18"/>
    </w:p>
    <w:p w14:paraId="0A2DB16A" w14:textId="64F69F00" w:rsidR="002A6084" w:rsidRPr="00D54187" w:rsidRDefault="1BE47F78" w:rsidP="69FEF511">
      <w:pPr>
        <w:pStyle w:val="BodyText"/>
        <w:rPr>
          <w:rFonts w:cs="Calibri"/>
        </w:rPr>
      </w:pPr>
      <w:r w:rsidRPr="48CDBE69">
        <w:rPr>
          <w:rFonts w:cs="Calibri"/>
        </w:rPr>
        <w:t xml:space="preserve">Advanced technologies are reshaping the global risk landscape, </w:t>
      </w:r>
      <w:r w:rsidRPr="23B472F6">
        <w:rPr>
          <w:rFonts w:cs="Calibri"/>
        </w:rPr>
        <w:t>introduc</w:t>
      </w:r>
      <w:r w:rsidR="3A152765" w:rsidRPr="23B472F6">
        <w:rPr>
          <w:rFonts w:cs="Calibri"/>
        </w:rPr>
        <w:t>ing</w:t>
      </w:r>
      <w:r w:rsidRPr="48CDBE69">
        <w:rPr>
          <w:rFonts w:cs="Calibri"/>
        </w:rPr>
        <w:t xml:space="preserve"> new dependencies and vulnerabilities. Technologies such as </w:t>
      </w:r>
      <w:r w:rsidR="56552AD6" w:rsidRPr="48CDBE69">
        <w:rPr>
          <w:rFonts w:cs="Calibri"/>
        </w:rPr>
        <w:t>a</w:t>
      </w:r>
      <w:r w:rsidR="56E5E1F3" w:rsidRPr="48CDBE69">
        <w:rPr>
          <w:rFonts w:cs="Calibri"/>
        </w:rPr>
        <w:t xml:space="preserve">rtificial </w:t>
      </w:r>
      <w:r w:rsidR="56552AD6" w:rsidRPr="48CDBE69">
        <w:rPr>
          <w:rFonts w:cs="Calibri"/>
        </w:rPr>
        <w:t>i</w:t>
      </w:r>
      <w:r w:rsidR="56E5E1F3" w:rsidRPr="48CDBE69">
        <w:rPr>
          <w:rFonts w:cs="Calibri"/>
        </w:rPr>
        <w:t>ntelligence (</w:t>
      </w:r>
      <w:r w:rsidRPr="48CDBE69">
        <w:rPr>
          <w:rFonts w:cs="Calibri"/>
        </w:rPr>
        <w:t>AI</w:t>
      </w:r>
      <w:r w:rsidR="56E5E1F3" w:rsidRPr="48CDBE69">
        <w:rPr>
          <w:rFonts w:cs="Calibri"/>
        </w:rPr>
        <w:t>)</w:t>
      </w:r>
      <w:r w:rsidRPr="48CDBE69">
        <w:rPr>
          <w:rFonts w:cs="Calibri"/>
        </w:rPr>
        <w:t>, 5G mobile internet and autonomous systems affect every nation’s resilience because they are relied on for so much and because they are so hard to produce. This means there is significant disruption when they fail and an over</w:t>
      </w:r>
      <w:r w:rsidR="60625465" w:rsidRPr="48CDBE69">
        <w:rPr>
          <w:rFonts w:cs="Calibri"/>
        </w:rPr>
        <w:t>-</w:t>
      </w:r>
      <w:r w:rsidRPr="48CDBE69">
        <w:rPr>
          <w:rFonts w:cs="Calibri"/>
        </w:rPr>
        <w:t>reliance on the handful of companies who can make them.</w:t>
      </w:r>
    </w:p>
    <w:p w14:paraId="3D142793" w14:textId="767AB435" w:rsidR="00E84D9B" w:rsidRPr="00D54187" w:rsidRDefault="1BE47F78" w:rsidP="69FEF511">
      <w:pPr>
        <w:pStyle w:val="BodyText"/>
        <w:rPr>
          <w:rFonts w:cs="Calibri"/>
        </w:rPr>
      </w:pPr>
      <w:r w:rsidRPr="48CDBE69">
        <w:rPr>
          <w:rFonts w:cs="Calibri"/>
        </w:rPr>
        <w:t xml:space="preserve">Advanced semiconductor chips are an example. These chips serve as the </w:t>
      </w:r>
      <w:r w:rsidR="60625465" w:rsidRPr="48CDBE69">
        <w:rPr>
          <w:rFonts w:cs="Calibri"/>
        </w:rPr>
        <w:t>‘</w:t>
      </w:r>
      <w:r w:rsidRPr="48CDBE69">
        <w:rPr>
          <w:rFonts w:cs="Calibri"/>
        </w:rPr>
        <w:t>brains</w:t>
      </w:r>
      <w:r w:rsidR="60625465" w:rsidRPr="48CDBE69">
        <w:rPr>
          <w:rFonts w:cs="Calibri"/>
        </w:rPr>
        <w:t>’</w:t>
      </w:r>
      <w:r w:rsidRPr="48CDBE69">
        <w:rPr>
          <w:rFonts w:cs="Calibri"/>
        </w:rPr>
        <w:t xml:space="preserve"> of most advanced technologies and are essential to everything </w:t>
      </w:r>
      <w:r w:rsidR="2EA03E2B" w:rsidRPr="48CDBE69">
        <w:rPr>
          <w:rFonts w:cs="Calibri"/>
        </w:rPr>
        <w:t>from emergency services and power grids</w:t>
      </w:r>
      <w:r w:rsidRPr="48CDBE69">
        <w:rPr>
          <w:rFonts w:cs="Calibri"/>
        </w:rPr>
        <w:t xml:space="preserve"> to communications and transport systems. However, due to the difficulty of making these chips, three companies dominate the supply chain: Nvidia (USA) designs them, ASML (Netherlands) builds the machines to create them</w:t>
      </w:r>
      <w:r w:rsidR="00424837">
        <w:rPr>
          <w:rFonts w:cs="Calibri"/>
        </w:rPr>
        <w:t>,</w:t>
      </w:r>
      <w:r w:rsidRPr="48CDBE69">
        <w:rPr>
          <w:rFonts w:cs="Calibri"/>
        </w:rPr>
        <w:t xml:space="preserve"> and TSMC (Taiwan) uses those machines to manufacture them. This </w:t>
      </w:r>
      <w:r w:rsidR="40F56D5E" w:rsidRPr="48CDBE69">
        <w:rPr>
          <w:rFonts w:cs="Calibri"/>
        </w:rPr>
        <w:t xml:space="preserve">level </w:t>
      </w:r>
      <w:r w:rsidRPr="48CDBE69">
        <w:rPr>
          <w:rFonts w:cs="Calibri"/>
        </w:rPr>
        <w:t xml:space="preserve">of concentration creates single points of failure: </w:t>
      </w:r>
      <w:r w:rsidR="7F49A45C" w:rsidRPr="48CDBE69">
        <w:rPr>
          <w:rFonts w:cs="Calibri"/>
        </w:rPr>
        <w:t>disruption to the chain</w:t>
      </w:r>
      <w:r w:rsidR="1EA5D689" w:rsidRPr="48CDBE69">
        <w:rPr>
          <w:rFonts w:cs="Calibri"/>
        </w:rPr>
        <w:t xml:space="preserve"> –</w:t>
      </w:r>
      <w:r w:rsidRPr="48CDBE69">
        <w:rPr>
          <w:rFonts w:cs="Calibri"/>
        </w:rPr>
        <w:t xml:space="preserve"> whether by geopolitical tension or natural disaster</w:t>
      </w:r>
      <w:r w:rsidR="1EA5D689" w:rsidRPr="48CDBE69">
        <w:rPr>
          <w:rFonts w:cs="Calibri"/>
        </w:rPr>
        <w:t xml:space="preserve"> –</w:t>
      </w:r>
      <w:r w:rsidRPr="48CDBE69">
        <w:rPr>
          <w:rFonts w:cs="Calibri"/>
        </w:rPr>
        <w:t xml:space="preserve"> </w:t>
      </w:r>
      <w:r w:rsidR="6B0E768A" w:rsidRPr="48CDBE69">
        <w:rPr>
          <w:rFonts w:cs="Calibri"/>
        </w:rPr>
        <w:t>is</w:t>
      </w:r>
      <w:r w:rsidRPr="48CDBE69">
        <w:rPr>
          <w:rFonts w:cs="Calibri"/>
        </w:rPr>
        <w:t xml:space="preserve"> felt worldwide, including in New</w:t>
      </w:r>
      <w:r w:rsidR="00424837">
        <w:rPr>
          <w:rFonts w:cs="Calibri"/>
        </w:rPr>
        <w:t> </w:t>
      </w:r>
      <w:r w:rsidRPr="48CDBE69">
        <w:rPr>
          <w:rFonts w:cs="Calibri"/>
        </w:rPr>
        <w:t>Zealand.</w:t>
      </w:r>
    </w:p>
    <w:p w14:paraId="493EF89C" w14:textId="50020C7A" w:rsidR="00E84D9B" w:rsidRPr="008D0F15" w:rsidRDefault="1BE47F78" w:rsidP="69FEF511">
      <w:pPr>
        <w:pStyle w:val="BodyText"/>
        <w:rPr>
          <w:rFonts w:cs="Calibri"/>
          <w:spacing w:val="-2"/>
        </w:rPr>
      </w:pPr>
      <w:r w:rsidRPr="008D0F15">
        <w:rPr>
          <w:rFonts w:cs="Calibri"/>
          <w:spacing w:val="-2"/>
        </w:rPr>
        <w:t xml:space="preserve">Some wealthy nations are trying to build more resilient supply chains for these technologies through strategies such as increased domestic production, even where this is </w:t>
      </w:r>
      <w:r w:rsidR="1C5F11EE" w:rsidRPr="008D0F15">
        <w:rPr>
          <w:rFonts w:cs="Calibri"/>
          <w:spacing w:val="-2"/>
        </w:rPr>
        <w:t xml:space="preserve">more costly and </w:t>
      </w:r>
      <w:r w:rsidRPr="008D0F15">
        <w:rPr>
          <w:rFonts w:cs="Calibri"/>
          <w:spacing w:val="-2"/>
        </w:rPr>
        <w:t>less efficient. Most other countries, including New Zealand, cannot afford this approach and are more likely to face challenges accessing critical technologies when supply chains are disrupted.</w:t>
      </w:r>
    </w:p>
    <w:p w14:paraId="0FD45A15" w14:textId="1666DEF5" w:rsidR="00E84D9B" w:rsidRPr="00FE7BCF" w:rsidRDefault="00ED340B" w:rsidP="3EB3CEA5">
      <w:pPr>
        <w:pStyle w:val="Heading3"/>
      </w:pPr>
      <w:bookmarkStart w:id="19" w:name="_Toc202529456"/>
      <w:r w:rsidRPr="00FE7BCF">
        <w:t>Global tensions and instability</w:t>
      </w:r>
      <w:bookmarkEnd w:id="19"/>
    </w:p>
    <w:p w14:paraId="60909033" w14:textId="3868B9EB" w:rsidR="00E84D9B" w:rsidRPr="00D54187" w:rsidRDefault="7A05BCFD" w:rsidP="69FEF511">
      <w:pPr>
        <w:pStyle w:val="BodyText"/>
        <w:rPr>
          <w:rFonts w:cs="Calibri"/>
        </w:rPr>
      </w:pPr>
      <w:r w:rsidRPr="69FEF511">
        <w:rPr>
          <w:rFonts w:cs="Calibri"/>
        </w:rPr>
        <w:t>New Zealand’s resilience depends not only on physical infrastructure and supply chains, but also on the integrity of the information systems that support decision-making, public trust and global collaboration. However, geopolitical tensions and the increasing spread of mis</w:t>
      </w:r>
      <w:r w:rsidR="3FFB0531" w:rsidRPr="69FEF511">
        <w:rPr>
          <w:rFonts w:cs="Calibri"/>
        </w:rPr>
        <w:t>information</w:t>
      </w:r>
      <w:r w:rsidRPr="69FEF511">
        <w:rPr>
          <w:rFonts w:cs="Calibri"/>
        </w:rPr>
        <w:t xml:space="preserve"> and disinformation over digital platforms (amplified by AI) is placing mounting pressure on all these information systems. This trend will make global cooperation on transboundary hazards like pandemics harder, disrupt emergency responses and even endanger frontline workers during crises</w:t>
      </w:r>
      <w:r w:rsidR="49968714" w:rsidRPr="69FEF511">
        <w:rPr>
          <w:rFonts w:cs="Calibri"/>
        </w:rPr>
        <w:t>.</w:t>
      </w:r>
      <w:r w:rsidR="00E84D9B" w:rsidRPr="69FEF511">
        <w:rPr>
          <w:rStyle w:val="EndnoteReference"/>
          <w:rFonts w:cs="Calibri"/>
        </w:rPr>
        <w:endnoteReference w:id="34"/>
      </w:r>
      <w:r w:rsidRPr="69FEF511">
        <w:rPr>
          <w:rFonts w:cs="Calibri"/>
        </w:rPr>
        <w:t xml:space="preserve"> </w:t>
      </w:r>
    </w:p>
    <w:p w14:paraId="708C3857" w14:textId="27E48C1E" w:rsidR="491B9159" w:rsidRDefault="19A27716" w:rsidP="00D46737">
      <w:pPr>
        <w:pStyle w:val="Heading2"/>
      </w:pPr>
      <w:bookmarkStart w:id="20" w:name="_Toc214435293"/>
      <w:r w:rsidRPr="48CDBE69">
        <w:t xml:space="preserve">Forces that shape </w:t>
      </w:r>
      <w:r w:rsidR="58B4D80C" w:rsidRPr="48CDBE69">
        <w:t>resilience</w:t>
      </w:r>
      <w:bookmarkEnd w:id="20"/>
    </w:p>
    <w:p w14:paraId="05469CC5" w14:textId="3FC13B84" w:rsidR="5E5FE28E" w:rsidRPr="005C3A2A" w:rsidRDefault="47C8C219" w:rsidP="3EB3CEA5">
      <w:pPr>
        <w:pStyle w:val="BodyText"/>
      </w:pPr>
      <w:r w:rsidRPr="005C3A2A">
        <w:t xml:space="preserve">While New Zealand faces significant risks, </w:t>
      </w:r>
      <w:r w:rsidR="25F9E042" w:rsidRPr="005C3A2A">
        <w:t>there are also forces that, when strengthened and invested in, can prove crucial for building resilience.</w:t>
      </w:r>
      <w:r w:rsidR="265E635A" w:rsidRPr="005C3A2A">
        <w:t xml:space="preserve"> </w:t>
      </w:r>
      <w:hyperlink w:anchor="_Section_4:_Opportunities" w:history="1">
        <w:r w:rsidR="00224ECE" w:rsidRPr="00224ECE">
          <w:rPr>
            <w:rStyle w:val="Hyperlink"/>
          </w:rPr>
          <w:t>S</w:t>
        </w:r>
        <w:r w:rsidR="265E635A" w:rsidRPr="00224ECE">
          <w:rPr>
            <w:rStyle w:val="Hyperlink"/>
          </w:rPr>
          <w:t xml:space="preserve">ection </w:t>
        </w:r>
        <w:r w:rsidR="644CF045" w:rsidRPr="00224ECE">
          <w:rPr>
            <w:rStyle w:val="Hyperlink"/>
          </w:rPr>
          <w:t>four</w:t>
        </w:r>
      </w:hyperlink>
      <w:r w:rsidR="265E635A" w:rsidRPr="005C3A2A">
        <w:t xml:space="preserve"> describe</w:t>
      </w:r>
      <w:r w:rsidR="73684B2B" w:rsidRPr="005C3A2A">
        <w:t>s</w:t>
      </w:r>
      <w:r w:rsidR="265E635A" w:rsidRPr="005C3A2A">
        <w:t xml:space="preserve"> opportunities for resilience building and explore</w:t>
      </w:r>
      <w:r w:rsidR="406C66C3" w:rsidRPr="005C3A2A">
        <w:t>s</w:t>
      </w:r>
      <w:r w:rsidR="265E635A" w:rsidRPr="005C3A2A">
        <w:t xml:space="preserve"> ways to strengthen </w:t>
      </w:r>
      <w:r w:rsidR="75BCDB99" w:rsidRPr="005C3A2A">
        <w:t xml:space="preserve">some </w:t>
      </w:r>
      <w:r w:rsidR="265E635A" w:rsidRPr="005C3A2A">
        <w:t>of these forces.</w:t>
      </w:r>
    </w:p>
    <w:p w14:paraId="253E1A1E" w14:textId="3D62EA70" w:rsidR="70218C41" w:rsidRPr="00FE7BCF" w:rsidRDefault="51B48D20" w:rsidP="3EB3CEA5">
      <w:pPr>
        <w:pStyle w:val="Heading3"/>
      </w:pPr>
      <w:r w:rsidRPr="00FE7BCF">
        <w:lastRenderedPageBreak/>
        <w:t>Strong</w:t>
      </w:r>
      <w:r w:rsidR="070E174E" w:rsidRPr="00FE7BCF">
        <w:t xml:space="preserve"> institutions</w:t>
      </w:r>
    </w:p>
    <w:p w14:paraId="4DEB6A7C" w14:textId="62B16C59" w:rsidR="006F5BCB" w:rsidRPr="005C3A2A" w:rsidRDefault="4621FDDD" w:rsidP="0B388E5B">
      <w:pPr>
        <w:pStyle w:val="BodyText"/>
      </w:pPr>
      <w:r w:rsidRPr="005C3A2A">
        <w:t>S</w:t>
      </w:r>
      <w:r w:rsidR="070E174E" w:rsidRPr="005C3A2A">
        <w:t xml:space="preserve">table, democratic institutions </w:t>
      </w:r>
      <w:r w:rsidR="57BA253F" w:rsidRPr="005C3A2A">
        <w:t>can</w:t>
      </w:r>
      <w:r w:rsidR="070E174E" w:rsidRPr="005C3A2A">
        <w:t xml:space="preserve"> improve a nation's ability to adapt to shocks. </w:t>
      </w:r>
      <w:r w:rsidR="7C298377" w:rsidRPr="005C3A2A">
        <w:t>S</w:t>
      </w:r>
      <w:r w:rsidR="070E174E" w:rsidRPr="005C3A2A">
        <w:t>trengthen</w:t>
      </w:r>
      <w:r w:rsidR="60A236D3" w:rsidRPr="005C3A2A">
        <w:t>ing</w:t>
      </w:r>
      <w:r w:rsidR="070E174E" w:rsidRPr="005C3A2A">
        <w:t xml:space="preserve"> </w:t>
      </w:r>
      <w:r w:rsidR="424E65F6" w:rsidRPr="005C3A2A">
        <w:t xml:space="preserve">them </w:t>
      </w:r>
      <w:r w:rsidR="0A44C0CA" w:rsidRPr="005C3A2A">
        <w:t xml:space="preserve">through robust, transparent and anticipatory management practices can </w:t>
      </w:r>
      <w:r w:rsidR="78E0CD0B" w:rsidRPr="005C3A2A">
        <w:t>foster</w:t>
      </w:r>
      <w:r w:rsidR="4F652F26" w:rsidRPr="005C3A2A">
        <w:t xml:space="preserve"> greater public engagement </w:t>
      </w:r>
      <w:r w:rsidR="24926EE3" w:rsidRPr="005C3A2A">
        <w:t xml:space="preserve">and </w:t>
      </w:r>
      <w:r w:rsidR="4F652F26" w:rsidRPr="005C3A2A">
        <w:t xml:space="preserve">trust in decision-making. </w:t>
      </w:r>
      <w:r w:rsidR="5F216439" w:rsidRPr="005C3A2A">
        <w:t>Furthermore, s</w:t>
      </w:r>
      <w:r w:rsidR="28E0B635" w:rsidRPr="005C3A2A">
        <w:t>trong institutio</w:t>
      </w:r>
      <w:r w:rsidR="3CA0CA4E" w:rsidRPr="005C3A2A">
        <w:t>nal arrangements</w:t>
      </w:r>
      <w:r w:rsidR="71C25DB2" w:rsidRPr="005C3A2A">
        <w:t xml:space="preserve"> with clear </w:t>
      </w:r>
      <w:r w:rsidR="04835E69" w:rsidRPr="005C3A2A">
        <w:t>roles and responsibilities</w:t>
      </w:r>
      <w:r w:rsidR="71C25DB2" w:rsidRPr="005C3A2A">
        <w:t xml:space="preserve"> and </w:t>
      </w:r>
      <w:r w:rsidR="04835E69" w:rsidRPr="005C3A2A">
        <w:t>align</w:t>
      </w:r>
      <w:r w:rsidR="71C25DB2" w:rsidRPr="005C3A2A">
        <w:t>ed</w:t>
      </w:r>
      <w:r w:rsidR="389C8371" w:rsidRPr="005C3A2A">
        <w:t xml:space="preserve"> financial signals </w:t>
      </w:r>
      <w:r w:rsidR="4FA2299C" w:rsidRPr="005C3A2A">
        <w:t xml:space="preserve">can support more coordinated action </w:t>
      </w:r>
      <w:r w:rsidR="71C25DB2" w:rsidRPr="005C3A2A">
        <w:t>for</w:t>
      </w:r>
      <w:r w:rsidR="4FA2299C" w:rsidRPr="005C3A2A">
        <w:t xml:space="preserve"> resilience building.</w:t>
      </w:r>
    </w:p>
    <w:p w14:paraId="1CB0209F" w14:textId="62E71685" w:rsidR="187EBC2B" w:rsidRPr="00FE7BCF" w:rsidRDefault="187EBC2B" w:rsidP="76DCDC4B">
      <w:pPr>
        <w:pStyle w:val="Heading3"/>
      </w:pPr>
      <w:r w:rsidRPr="00FE7BCF">
        <w:t xml:space="preserve">Science, data and </w:t>
      </w:r>
      <w:r w:rsidR="4720E691" w:rsidRPr="00FE7BCF">
        <w:t>knowledge</w:t>
      </w:r>
    </w:p>
    <w:p w14:paraId="627985FD" w14:textId="5DE4E1ED" w:rsidR="0BB717AC" w:rsidRPr="005C3A2A" w:rsidRDefault="484287F6" w:rsidP="0B388E5B">
      <w:pPr>
        <w:pStyle w:val="BodyText"/>
      </w:pPr>
      <w:r w:rsidRPr="005C3A2A">
        <w:t>Access to robust scientific research, reliable data, and up-to-date knowledge is vital for</w:t>
      </w:r>
      <w:r w:rsidR="4CCFB8DE" w:rsidRPr="005C3A2A">
        <w:t xml:space="preserve"> building national</w:t>
      </w:r>
      <w:r w:rsidRPr="005C3A2A">
        <w:t xml:space="preserve"> resilience. These resources enable </w:t>
      </w:r>
      <w:r w:rsidR="3BBADACA" w:rsidRPr="005C3A2A">
        <w:t>us</w:t>
      </w:r>
      <w:r w:rsidRPr="005C3A2A">
        <w:t xml:space="preserve"> to anticipate risks, make informed decisions in a crisis, and strategically plan for the long term.</w:t>
      </w:r>
      <w:r w:rsidR="4424D498" w:rsidRPr="005C3A2A">
        <w:t xml:space="preserve"> </w:t>
      </w:r>
      <w:r w:rsidR="1A29B314" w:rsidRPr="005C3A2A">
        <w:t>Building resilience requires a broad base of knowledge, drawing from disciplines such as</w:t>
      </w:r>
      <w:r w:rsidR="10C5664C" w:rsidRPr="005C3A2A">
        <w:t xml:space="preserve"> earth sciences, engineering, social sciences, </w:t>
      </w:r>
      <w:proofErr w:type="spellStart"/>
      <w:r w:rsidR="10C5664C" w:rsidRPr="005C3A2A">
        <w:t>mātauranga</w:t>
      </w:r>
      <w:proofErr w:type="spellEnd"/>
      <w:r w:rsidR="10C5664C" w:rsidRPr="005C3A2A">
        <w:t xml:space="preserve"> </w:t>
      </w:r>
      <w:r w:rsidR="1A29B314" w:rsidRPr="005C3A2A">
        <w:t xml:space="preserve">Māori, and </w:t>
      </w:r>
      <w:r w:rsidR="1B668174" w:rsidRPr="005C3A2A">
        <w:t>economics</w:t>
      </w:r>
      <w:r w:rsidR="1A29B314" w:rsidRPr="005C3A2A">
        <w:t>,</w:t>
      </w:r>
      <w:r w:rsidR="17D6F2D9" w:rsidRPr="005C3A2A">
        <w:t xml:space="preserve"> and </w:t>
      </w:r>
      <w:r w:rsidR="1A29B314" w:rsidRPr="005C3A2A">
        <w:t xml:space="preserve">importantly, </w:t>
      </w:r>
      <w:r w:rsidR="598000DA" w:rsidRPr="005C3A2A">
        <w:t xml:space="preserve">the </w:t>
      </w:r>
      <w:r w:rsidR="17D6F2D9" w:rsidRPr="005C3A2A">
        <w:t>linkages between them.</w:t>
      </w:r>
    </w:p>
    <w:p w14:paraId="79C158D3" w14:textId="2F6ED728" w:rsidR="70218C41" w:rsidRPr="00FE7BCF" w:rsidRDefault="5EE63AB2" w:rsidP="3EB3CEA5">
      <w:pPr>
        <w:pStyle w:val="Heading3"/>
      </w:pPr>
      <w:r w:rsidRPr="00FE7BCF">
        <w:t>C</w:t>
      </w:r>
      <w:r w:rsidR="70218C41" w:rsidRPr="00FE7BCF">
        <w:t>ooperation</w:t>
      </w:r>
    </w:p>
    <w:p w14:paraId="4CBA1270" w14:textId="3BC41B7A" w:rsidR="70218C41" w:rsidRPr="005C3A2A" w:rsidRDefault="362A5F6B" w:rsidP="3EB3CEA5">
      <w:pPr>
        <w:pStyle w:val="BodyText"/>
      </w:pPr>
      <w:r w:rsidRPr="005C3A2A">
        <w:t xml:space="preserve">New Zealand's resilience is enhanced through strong collaboration with partners, particularly Australia and </w:t>
      </w:r>
      <w:r w:rsidR="4A0DF490" w:rsidRPr="005C3A2A">
        <w:t xml:space="preserve">our </w:t>
      </w:r>
      <w:r w:rsidRPr="005C3A2A">
        <w:t xml:space="preserve">Pacific neighbours. </w:t>
      </w:r>
      <w:r w:rsidR="4E2BA1F3" w:rsidRPr="005C3A2A">
        <w:t xml:space="preserve">Strong </w:t>
      </w:r>
      <w:r w:rsidRPr="005C3A2A">
        <w:t xml:space="preserve">cooperation can </w:t>
      </w:r>
      <w:r w:rsidR="5D5B30B8" w:rsidRPr="005C3A2A">
        <w:t>allow for improved collective capacity to respond to shared challenges</w:t>
      </w:r>
      <w:r w:rsidR="001A58A7">
        <w:t xml:space="preserve"> –</w:t>
      </w:r>
      <w:r w:rsidR="5D5B30B8" w:rsidRPr="005C3A2A">
        <w:t xml:space="preserve"> for example</w:t>
      </w:r>
      <w:r w:rsidR="601A78BD" w:rsidRPr="005C3A2A">
        <w:t>,</w:t>
      </w:r>
      <w:r w:rsidR="5D5B30B8" w:rsidRPr="005C3A2A">
        <w:t xml:space="preserve"> by sharing critical assets</w:t>
      </w:r>
      <w:r w:rsidR="61B1CA58" w:rsidRPr="005C3A2A">
        <w:t xml:space="preserve"> in times of crisis or participating in joint manufacturing ventures</w:t>
      </w:r>
      <w:r w:rsidR="74E12A71" w:rsidRPr="005C3A2A">
        <w:t xml:space="preserve"> for essential products like vaccines</w:t>
      </w:r>
      <w:r w:rsidR="5D5B30B8" w:rsidRPr="005C3A2A">
        <w:t>.</w:t>
      </w:r>
    </w:p>
    <w:p w14:paraId="6FF3E60C" w14:textId="35C5D7B7" w:rsidR="70218C41" w:rsidRPr="00FE7BCF" w:rsidRDefault="1A4F7E4A" w:rsidP="3EB3CEA5">
      <w:pPr>
        <w:pStyle w:val="Heading3"/>
      </w:pPr>
      <w:r w:rsidRPr="00FE7BCF">
        <w:t>Social capital and trust</w:t>
      </w:r>
    </w:p>
    <w:p w14:paraId="7C152D34" w14:textId="0E8702B4" w:rsidR="70218C41" w:rsidRPr="005C3A2A" w:rsidRDefault="2703BC4D" w:rsidP="3EB3CEA5">
      <w:pPr>
        <w:pStyle w:val="BodyText"/>
      </w:pPr>
      <w:r w:rsidRPr="005C3A2A">
        <w:t>High levels of social capital</w:t>
      </w:r>
      <w:r w:rsidR="05796032" w:rsidRPr="005C3A2A">
        <w:t xml:space="preserve"> </w:t>
      </w:r>
      <w:r w:rsidRPr="005C3A2A">
        <w:t xml:space="preserve">and public trust are critical for effective crisis response and recovery. These bonds of trust and mutual support enable rapid mobilisation and collective action during times of stress. </w:t>
      </w:r>
      <w:r w:rsidR="393538FD" w:rsidRPr="005C3A2A">
        <w:t xml:space="preserve">Furthermore, </w:t>
      </w:r>
      <w:r w:rsidR="731A005E" w:rsidRPr="005C3A2A">
        <w:t>h</w:t>
      </w:r>
      <w:r w:rsidR="5E2E1A86" w:rsidRPr="005C3A2A">
        <w:t xml:space="preserve">ow we adopt </w:t>
      </w:r>
      <w:proofErr w:type="spellStart"/>
      <w:r w:rsidR="001A58A7">
        <w:t>t</w:t>
      </w:r>
      <w:r w:rsidR="5E2E1A86" w:rsidRPr="005C3A2A">
        <w:t>e</w:t>
      </w:r>
      <w:proofErr w:type="spellEnd"/>
      <w:r w:rsidR="5E2E1A86" w:rsidRPr="005C3A2A">
        <w:t xml:space="preserve"> </w:t>
      </w:r>
      <w:proofErr w:type="spellStart"/>
      <w:r w:rsidR="001A58A7">
        <w:t>a</w:t>
      </w:r>
      <w:r w:rsidR="5E2E1A86" w:rsidRPr="005C3A2A">
        <w:t>o</w:t>
      </w:r>
      <w:proofErr w:type="spellEnd"/>
      <w:r w:rsidR="5E2E1A86" w:rsidRPr="005C3A2A">
        <w:t xml:space="preserve"> </w:t>
      </w:r>
      <w:r w:rsidR="7550DD19" w:rsidRPr="005C3A2A">
        <w:t>Māori</w:t>
      </w:r>
      <w:r w:rsidR="5E2E1A86" w:rsidRPr="005C3A2A">
        <w:t xml:space="preserve"> principles such as </w:t>
      </w:r>
      <w:proofErr w:type="spellStart"/>
      <w:r w:rsidR="3B879D65" w:rsidRPr="005C3A2A">
        <w:t>manaakitanga</w:t>
      </w:r>
      <w:proofErr w:type="spellEnd"/>
      <w:r w:rsidR="3B879D65" w:rsidRPr="005C3A2A">
        <w:t xml:space="preserve"> </w:t>
      </w:r>
      <w:r w:rsidR="5E2E1A86" w:rsidRPr="005C3A2A">
        <w:t>will help determine the strength of our social fabric and provide a vital source of resilience.</w:t>
      </w:r>
    </w:p>
    <w:p w14:paraId="622FC2BE" w14:textId="2C9FEFAF" w:rsidR="06795240" w:rsidRPr="00FE7BCF" w:rsidRDefault="06795240" w:rsidP="3EB3CEA5">
      <w:pPr>
        <w:pStyle w:val="Heading3"/>
      </w:pPr>
      <w:r w:rsidRPr="00FE7BCF">
        <w:t>Geographical advantages</w:t>
      </w:r>
    </w:p>
    <w:p w14:paraId="1A25C6D9" w14:textId="31663518" w:rsidR="69FEF511" w:rsidRDefault="4D79F570" w:rsidP="69FEF511">
      <w:pPr>
        <w:pStyle w:val="BodyText"/>
      </w:pPr>
      <w:r w:rsidRPr="00DC36C6">
        <w:t xml:space="preserve">While </w:t>
      </w:r>
      <w:r w:rsidR="22A47C36" w:rsidRPr="00DC36C6">
        <w:t xml:space="preserve">many of </w:t>
      </w:r>
      <w:r w:rsidRPr="00DC36C6">
        <w:t>New Zealand’s geo</w:t>
      </w:r>
      <w:r w:rsidR="29B06C0C" w:rsidRPr="00DC36C6">
        <w:t xml:space="preserve">graphic features </w:t>
      </w:r>
      <w:r w:rsidR="7CA79A97" w:rsidRPr="00DC36C6">
        <w:t>pose</w:t>
      </w:r>
      <w:r w:rsidR="29B06C0C" w:rsidRPr="00DC36C6">
        <w:t xml:space="preserve"> </w:t>
      </w:r>
      <w:r w:rsidR="484EDB92" w:rsidRPr="00DC36C6">
        <w:t>risks</w:t>
      </w:r>
      <w:r w:rsidRPr="00DC36C6">
        <w:t>,</w:t>
      </w:r>
      <w:r w:rsidR="3E5E2C60" w:rsidRPr="00DC36C6">
        <w:t xml:space="preserve"> </w:t>
      </w:r>
      <w:r w:rsidR="2AE5EBC1" w:rsidRPr="00DC36C6">
        <w:t xml:space="preserve">others </w:t>
      </w:r>
      <w:r w:rsidR="711990B1" w:rsidRPr="00DC36C6">
        <w:t>can</w:t>
      </w:r>
      <w:r w:rsidR="4E130BEE" w:rsidRPr="00DC36C6">
        <w:t xml:space="preserve"> </w:t>
      </w:r>
      <w:r w:rsidR="04A62E86" w:rsidRPr="00DC36C6">
        <w:t xml:space="preserve">be </w:t>
      </w:r>
      <w:r w:rsidR="1FD6B2DA" w:rsidRPr="00DC36C6">
        <w:t>crucial for</w:t>
      </w:r>
      <w:r w:rsidR="04A62E86" w:rsidRPr="00DC36C6">
        <w:t xml:space="preserve"> building national resilience</w:t>
      </w:r>
      <w:r w:rsidR="668DDA75" w:rsidRPr="00DC36C6">
        <w:t xml:space="preserve">. </w:t>
      </w:r>
      <w:r w:rsidR="00B4006D" w:rsidRPr="00DC36C6">
        <w:t>Our island geography</w:t>
      </w:r>
      <w:r w:rsidR="6F81E31C" w:rsidRPr="00DC36C6">
        <w:t xml:space="preserve"> can</w:t>
      </w:r>
      <w:r w:rsidR="00B4006D" w:rsidRPr="00DC36C6">
        <w:t xml:space="preserve"> give us border advantages, which proved critical during </w:t>
      </w:r>
      <w:r w:rsidR="36C921E1" w:rsidRPr="00DC36C6">
        <w:t xml:space="preserve">the </w:t>
      </w:r>
      <w:r w:rsidR="00B4006D" w:rsidRPr="00DC36C6">
        <w:t xml:space="preserve">COVID-19 </w:t>
      </w:r>
      <w:r w:rsidR="309FC7A8" w:rsidRPr="00DC36C6">
        <w:t xml:space="preserve">pandemic </w:t>
      </w:r>
      <w:r w:rsidR="00B4006D" w:rsidRPr="00DC36C6">
        <w:t>when strict border controls delayed community transmission</w:t>
      </w:r>
      <w:r w:rsidR="00EC5C52" w:rsidRPr="00DC36C6">
        <w:t xml:space="preserve">. </w:t>
      </w:r>
      <w:r w:rsidR="00B4006D" w:rsidRPr="00DC36C6">
        <w:t>The same isolation supports strong biosecurity measures, helping to prevent pest and disease incursions that could devastate agriculture and ecosystems. Leveraging these advantages</w:t>
      </w:r>
      <w:r w:rsidR="00F51773">
        <w:t xml:space="preserve"> –</w:t>
      </w:r>
      <w:r w:rsidR="00471638">
        <w:t xml:space="preserve"> </w:t>
      </w:r>
      <w:r w:rsidR="00B4006D" w:rsidRPr="00DC36C6">
        <w:t>alongside</w:t>
      </w:r>
      <w:r w:rsidR="571CFF30" w:rsidRPr="00DC36C6">
        <w:t xml:space="preserve"> others such as</w:t>
      </w:r>
      <w:r w:rsidR="00B4006D" w:rsidRPr="00DC36C6">
        <w:t xml:space="preserve"> abundant natural resources, strong domestic food production, and access to renewable energy</w:t>
      </w:r>
      <w:r w:rsidR="00EC579F" w:rsidRPr="00DC36C6">
        <w:t xml:space="preserve"> </w:t>
      </w:r>
      <w:r w:rsidR="00F51773">
        <w:t>–</w:t>
      </w:r>
      <w:r w:rsidR="00471638">
        <w:t xml:space="preserve"> </w:t>
      </w:r>
      <w:r w:rsidR="000E2D23" w:rsidRPr="00DC36C6">
        <w:t xml:space="preserve">is important </w:t>
      </w:r>
      <w:r w:rsidR="00B4006D" w:rsidRPr="00DC36C6">
        <w:t>in strengthening national resilience</w:t>
      </w:r>
      <w:r w:rsidR="12996F4A" w:rsidRPr="00DC36C6">
        <w:t>.</w:t>
      </w:r>
    </w:p>
    <w:p w14:paraId="0BD856B8" w14:textId="2539D41F" w:rsidR="00E84D9B" w:rsidRPr="004748D9" w:rsidRDefault="37E84C0C" w:rsidP="69FEF511">
      <w:pPr>
        <w:pStyle w:val="Heading2"/>
      </w:pPr>
      <w:bookmarkStart w:id="21" w:name="_Toc202529458"/>
      <w:bookmarkStart w:id="22" w:name="_Toc214435294"/>
      <w:r>
        <w:t xml:space="preserve">When </w:t>
      </w:r>
      <w:r w:rsidR="52C88AB9">
        <w:t xml:space="preserve">risks </w:t>
      </w:r>
      <w:r>
        <w:t>combine and escalate</w:t>
      </w:r>
      <w:bookmarkEnd w:id="21"/>
      <w:bookmarkEnd w:id="22"/>
    </w:p>
    <w:p w14:paraId="05837843" w14:textId="3970BB1E" w:rsidR="00E84D9B" w:rsidRDefault="27ACFF9F" w:rsidP="69FEF511">
      <w:pPr>
        <w:pStyle w:val="BodyText"/>
        <w:rPr>
          <w:rFonts w:cs="Calibri"/>
        </w:rPr>
      </w:pPr>
      <w:r w:rsidRPr="69FEF511">
        <w:rPr>
          <w:rFonts w:cs="Calibri"/>
        </w:rPr>
        <w:t>Severe weather, earthquakes and tsunami can set off other crises, such as pandemics, by displacing people, compromising sanitation and increasing human proximity to animals.</w:t>
      </w:r>
      <w:r w:rsidR="00E84D9B" w:rsidRPr="69FEF511">
        <w:rPr>
          <w:rStyle w:val="EndnoteReference"/>
          <w:rFonts w:eastAsia="Arial" w:cs="Calibri"/>
        </w:rPr>
        <w:endnoteReference w:id="35"/>
      </w:r>
      <w:r w:rsidRPr="69FEF511">
        <w:rPr>
          <w:rFonts w:eastAsia="Arial" w:cs="Calibri"/>
        </w:rPr>
        <w:t xml:space="preserve"> </w:t>
      </w:r>
      <w:r w:rsidRPr="69FEF511">
        <w:rPr>
          <w:rFonts w:cs="Calibri"/>
        </w:rPr>
        <w:t>In addition, we often face multiple risks at the same time</w:t>
      </w:r>
      <w:r w:rsidR="03D82A08" w:rsidRPr="69FEF511">
        <w:rPr>
          <w:rFonts w:cs="Calibri"/>
        </w:rPr>
        <w:t xml:space="preserve"> which can mean we experience their effects concurrently</w:t>
      </w:r>
      <w:r w:rsidRPr="69FEF511">
        <w:rPr>
          <w:rFonts w:cs="Calibri"/>
        </w:rPr>
        <w:t xml:space="preserve">. For example, </w:t>
      </w:r>
      <w:r w:rsidR="3894F2A7" w:rsidRPr="69FEF511">
        <w:rPr>
          <w:rFonts w:cs="Calibri"/>
        </w:rPr>
        <w:t>our changing c</w:t>
      </w:r>
      <w:r w:rsidR="6D3EFFA0" w:rsidRPr="69FEF511">
        <w:rPr>
          <w:rFonts w:cs="Calibri"/>
        </w:rPr>
        <w:t xml:space="preserve">limate increases the likelihood that </w:t>
      </w:r>
      <w:r w:rsidRPr="69FEF511">
        <w:rPr>
          <w:rFonts w:cs="Calibri"/>
        </w:rPr>
        <w:t xml:space="preserve">we may face the impacts of severe weather and flooding while also experiencing </w:t>
      </w:r>
      <w:r w:rsidR="6D3EFFA0" w:rsidRPr="69FEF511">
        <w:rPr>
          <w:rFonts w:cs="Calibri"/>
        </w:rPr>
        <w:t xml:space="preserve">other national risks such as earthquakes or </w:t>
      </w:r>
      <w:r w:rsidRPr="69FEF511">
        <w:rPr>
          <w:rFonts w:cs="Calibri"/>
        </w:rPr>
        <w:t>national security threats (</w:t>
      </w:r>
      <w:proofErr w:type="spellStart"/>
      <w:r w:rsidR="00471638">
        <w:rPr>
          <w:rFonts w:cs="Calibri"/>
        </w:rPr>
        <w:t>eg</w:t>
      </w:r>
      <w:proofErr w:type="spellEnd"/>
      <w:r w:rsidR="00471638">
        <w:rPr>
          <w:rFonts w:cs="Calibri"/>
        </w:rPr>
        <w:t>,</w:t>
      </w:r>
      <w:r w:rsidRPr="69FEF511">
        <w:rPr>
          <w:rFonts w:cs="Calibri"/>
        </w:rPr>
        <w:t xml:space="preserve"> cyberattacks on our information systems).</w:t>
      </w:r>
      <w:r w:rsidR="0418D073" w:rsidRPr="69FEF511">
        <w:rPr>
          <w:rFonts w:cs="Calibri"/>
        </w:rPr>
        <w:t xml:space="preserve"> </w:t>
      </w:r>
      <w:r w:rsidRPr="69FEF511">
        <w:rPr>
          <w:rFonts w:cs="Calibri"/>
        </w:rPr>
        <w:t xml:space="preserve">New Zealand will continue to face concurrent risks spanning hazards </w:t>
      </w:r>
      <w:r w:rsidR="096FB0B3" w:rsidRPr="69FEF511">
        <w:rPr>
          <w:rFonts w:cs="Calibri"/>
        </w:rPr>
        <w:t xml:space="preserve">as well as </w:t>
      </w:r>
      <w:r w:rsidRPr="69FEF511">
        <w:rPr>
          <w:rFonts w:cs="Calibri"/>
        </w:rPr>
        <w:t>national security threats, putting pressure on our preparation efforts, response</w:t>
      </w:r>
      <w:r w:rsidR="437E2FAF" w:rsidRPr="69FEF511">
        <w:rPr>
          <w:rFonts w:cs="Calibri"/>
        </w:rPr>
        <w:t xml:space="preserve"> </w:t>
      </w:r>
      <w:r w:rsidRPr="69FEF511">
        <w:rPr>
          <w:rFonts w:cs="Calibri"/>
        </w:rPr>
        <w:t>and recovery.</w:t>
      </w:r>
    </w:p>
    <w:p w14:paraId="46F1E279" w14:textId="1FB3921D" w:rsidR="00F530AE" w:rsidRPr="00DC36C6" w:rsidRDefault="5F1C6AAE" w:rsidP="69FEF511">
      <w:pPr>
        <w:pStyle w:val="BodyText"/>
      </w:pPr>
      <w:r w:rsidRPr="00DC36C6">
        <w:lastRenderedPageBreak/>
        <w:t xml:space="preserve">Hazards can also </w:t>
      </w:r>
      <w:r w:rsidR="67C05763" w:rsidRPr="00DC36C6">
        <w:t xml:space="preserve">cause cascading failure </w:t>
      </w:r>
      <w:r w:rsidR="4F5EC768" w:rsidRPr="00DC36C6">
        <w:t xml:space="preserve">in </w:t>
      </w:r>
      <w:r w:rsidR="67C05763" w:rsidRPr="00DC36C6">
        <w:t>the critical infrastructure we rely</w:t>
      </w:r>
      <w:r w:rsidR="26147085" w:rsidRPr="00DC36C6">
        <w:t xml:space="preserve"> on</w:t>
      </w:r>
      <w:r w:rsidR="67C05763" w:rsidRPr="00DC36C6">
        <w:t xml:space="preserve"> daily</w:t>
      </w:r>
      <w:r w:rsidR="2F3DCB72" w:rsidRPr="00DC36C6">
        <w:t xml:space="preserve">. </w:t>
      </w:r>
      <w:r w:rsidR="33A6C3E5" w:rsidRPr="00DC36C6">
        <w:t>A failure might be direct</w:t>
      </w:r>
      <w:r w:rsidR="000725D7">
        <w:t xml:space="preserve"> – </w:t>
      </w:r>
      <w:r w:rsidR="33A6C3E5" w:rsidRPr="00DC36C6">
        <w:t>for instance, a bridge collapsing from a flood could sever the water, electricity and fibre networks it carries. Or, it could be indirect, like a power cut leading to failures in drinking and wastewater systems</w:t>
      </w:r>
      <w:r w:rsidR="115E7B07" w:rsidRPr="00DC36C6">
        <w:t>.</w:t>
      </w:r>
    </w:p>
    <w:p w14:paraId="72F266E8" w14:textId="1F12B2FF" w:rsidR="006267AD" w:rsidRPr="0095324D" w:rsidRDefault="02FE88B1" w:rsidP="42F6A4C5">
      <w:pPr>
        <w:pStyle w:val="BodyText"/>
      </w:pPr>
      <w:r w:rsidRPr="0095324D">
        <w:rPr>
          <w:spacing w:val="-2"/>
        </w:rPr>
        <w:t xml:space="preserve">The complex, interdependent nature of our infrastructure, spanning social, economic, built and natural environments, makes assessing the precise impact </w:t>
      </w:r>
      <w:r w:rsidR="26A8B55C" w:rsidRPr="0095324D">
        <w:rPr>
          <w:spacing w:val="-2"/>
        </w:rPr>
        <w:t xml:space="preserve">of disruption </w:t>
      </w:r>
      <w:r w:rsidRPr="0095324D">
        <w:rPr>
          <w:spacing w:val="-2"/>
        </w:rPr>
        <w:t>difficult.</w:t>
      </w:r>
      <w:r w:rsidR="34F50FE5" w:rsidRPr="0095324D">
        <w:rPr>
          <w:spacing w:val="-2"/>
        </w:rPr>
        <w:t xml:space="preserve"> </w:t>
      </w:r>
      <w:r w:rsidR="3D129277" w:rsidRPr="0095324D">
        <w:rPr>
          <w:spacing w:val="-2"/>
        </w:rPr>
        <w:t xml:space="preserve">Disasters </w:t>
      </w:r>
      <w:r w:rsidR="66156DC0" w:rsidRPr="0095324D">
        <w:rPr>
          <w:spacing w:val="-2"/>
        </w:rPr>
        <w:t xml:space="preserve">like the North Island </w:t>
      </w:r>
      <w:r w:rsidR="7D0C7B77">
        <w:t>S</w:t>
      </w:r>
      <w:r w:rsidR="7D0C7B77" w:rsidRPr="0095324D">
        <w:rPr>
          <w:spacing w:val="-2"/>
        </w:rPr>
        <w:t xml:space="preserve">evere </w:t>
      </w:r>
      <w:r w:rsidR="66156DC0">
        <w:t>W</w:t>
      </w:r>
      <w:r w:rsidR="66156DC0" w:rsidRPr="0095324D">
        <w:rPr>
          <w:spacing w:val="-2"/>
        </w:rPr>
        <w:t xml:space="preserve">eather </w:t>
      </w:r>
      <w:r w:rsidR="66156DC0">
        <w:t>E</w:t>
      </w:r>
      <w:r w:rsidR="66156DC0" w:rsidRPr="0095324D">
        <w:rPr>
          <w:spacing w:val="-2"/>
        </w:rPr>
        <w:t>vents</w:t>
      </w:r>
      <w:r w:rsidR="1F351E6B" w:rsidRPr="0095324D">
        <w:rPr>
          <w:spacing w:val="-2"/>
        </w:rPr>
        <w:t xml:space="preserve"> highlight the </w:t>
      </w:r>
      <w:r w:rsidR="27E84F1A" w:rsidRPr="0095324D">
        <w:rPr>
          <w:spacing w:val="-2"/>
        </w:rPr>
        <w:t>significant</w:t>
      </w:r>
      <w:r w:rsidR="169C0409" w:rsidRPr="0095324D">
        <w:rPr>
          <w:spacing w:val="-2"/>
        </w:rPr>
        <w:t xml:space="preserve"> consequences </w:t>
      </w:r>
      <w:r w:rsidR="7B31473A" w:rsidRPr="0095324D">
        <w:rPr>
          <w:spacing w:val="-2"/>
        </w:rPr>
        <w:t xml:space="preserve">of </w:t>
      </w:r>
      <w:r w:rsidR="169C0409" w:rsidRPr="0095324D">
        <w:rPr>
          <w:spacing w:val="-2"/>
        </w:rPr>
        <w:t xml:space="preserve">damage to </w:t>
      </w:r>
      <w:r w:rsidR="65376E6C" w:rsidRPr="0095324D">
        <w:rPr>
          <w:spacing w:val="-2"/>
        </w:rPr>
        <w:t xml:space="preserve">these </w:t>
      </w:r>
      <w:r w:rsidR="169C0409" w:rsidRPr="0095324D">
        <w:rPr>
          <w:spacing w:val="-2"/>
        </w:rPr>
        <w:t>interconnected networks</w:t>
      </w:r>
      <w:r w:rsidR="0A0F2E33" w:rsidRPr="0095324D">
        <w:rPr>
          <w:spacing w:val="-2"/>
        </w:rPr>
        <w:t>. The disruption extends beyond physical assets to a community’s wellbeing and health, significantly compounding the challenges faced during recovery.</w:t>
      </w:r>
      <w:bookmarkStart w:id="23" w:name="_Toc202529459"/>
    </w:p>
    <w:p w14:paraId="608B23BA" w14:textId="77777777" w:rsidR="006267AD" w:rsidRPr="00525F33" w:rsidRDefault="006267AD" w:rsidP="00525F33">
      <w:pPr>
        <w:pStyle w:val="BodyText"/>
      </w:pPr>
      <w:r>
        <w:br w:type="page"/>
      </w:r>
    </w:p>
    <w:p w14:paraId="45EDDB88" w14:textId="6CDC0AE3" w:rsidR="00E84D9B" w:rsidRPr="00F51FE3" w:rsidRDefault="57D1B215" w:rsidP="69FEF511">
      <w:pPr>
        <w:pStyle w:val="Heading1"/>
      </w:pPr>
      <w:bookmarkStart w:id="24" w:name="_Toc214435295"/>
      <w:r>
        <w:lastRenderedPageBreak/>
        <w:t xml:space="preserve">Section 3: </w:t>
      </w:r>
      <w:r w:rsidR="003483B9">
        <w:t>Choices in building resilience</w:t>
      </w:r>
      <w:bookmarkEnd w:id="23"/>
      <w:bookmarkEnd w:id="24"/>
    </w:p>
    <w:p w14:paraId="61EA9958" w14:textId="39CE36BA" w:rsidR="3B8F5E8B" w:rsidRPr="00600537" w:rsidRDefault="3B8F5E8B" w:rsidP="46C76630">
      <w:pPr>
        <w:pStyle w:val="Heading2"/>
      </w:pPr>
      <w:bookmarkStart w:id="25" w:name="_Toc214435296"/>
      <w:r w:rsidRPr="00600537">
        <w:t>Hard choices are unavoidable</w:t>
      </w:r>
      <w:bookmarkEnd w:id="25"/>
    </w:p>
    <w:p w14:paraId="63BA186C" w14:textId="07E3722B" w:rsidR="3B8F5E8B" w:rsidRDefault="3B8F5E8B" w:rsidP="00600537">
      <w:pPr>
        <w:pStyle w:val="BodyText"/>
      </w:pPr>
      <w:r w:rsidRPr="46C76630">
        <w:t>Living with hazards and their consequences will remain a fact of life. Eliminating all risk is not possible due to unpredictable events, finite resources and the importance of personal freedoms. With growing hazard exposure, building national resilience therefore depends on making deliberate choices</w:t>
      </w:r>
      <w:r w:rsidR="00E71BD1">
        <w:t xml:space="preserve"> – </w:t>
      </w:r>
      <w:r w:rsidRPr="46C76630">
        <w:t>about what to protect, where to retreat, when to invest and who pays and how much</w:t>
      </w:r>
      <w:r w:rsidR="00E03C8A">
        <w:t xml:space="preserve"> – </w:t>
      </w:r>
      <w:r w:rsidRPr="46C76630">
        <w:t>in ways that are transparent, fair and repeatable over time. Many of these choices will be hard and involve trade-offs that will not please everyone.</w:t>
      </w:r>
    </w:p>
    <w:p w14:paraId="17D384CA" w14:textId="367C79DC" w:rsidR="3B8F5E8B" w:rsidRPr="00600537" w:rsidRDefault="3B8F5E8B" w:rsidP="46C76630">
      <w:pPr>
        <w:pStyle w:val="Heading2"/>
      </w:pPr>
      <w:bookmarkStart w:id="26" w:name="_Toc214435297"/>
      <w:r w:rsidRPr="00600537">
        <w:t>Principles for fair and effective choices</w:t>
      </w:r>
      <w:bookmarkEnd w:id="26"/>
    </w:p>
    <w:p w14:paraId="35F4C256" w14:textId="230347A1" w:rsidR="00C43F22" w:rsidRDefault="00C43F22" w:rsidP="00600537">
      <w:pPr>
        <w:pStyle w:val="BodyText"/>
      </w:pPr>
      <w:r w:rsidRPr="46C76630">
        <w:t xml:space="preserve">Resilience-building decisions are complex and context-dependent. While there is no single formula, several considerations can help shape fair and effective choices </w:t>
      </w:r>
      <w:r w:rsidR="00E03C8A">
        <w:t>–</w:t>
      </w:r>
      <w:r w:rsidRPr="46C76630">
        <w:t xml:space="preserve"> especially when decisions affect multiple agencies, regions and generations.</w:t>
      </w:r>
    </w:p>
    <w:p w14:paraId="36A92118" w14:textId="1B9A1CA5" w:rsidR="3B8F5E8B" w:rsidRPr="00E03C8A" w:rsidRDefault="3B8F5E8B" w:rsidP="00600537">
      <w:pPr>
        <w:pStyle w:val="Bullet"/>
        <w:rPr>
          <w:rFonts w:eastAsia="Calibri" w:cs="Calibri"/>
          <w:color w:val="000000" w:themeColor="text1"/>
        </w:rPr>
      </w:pPr>
      <w:r w:rsidRPr="008879E1">
        <w:rPr>
          <w:rFonts w:eastAsia="Calibri"/>
          <w:b/>
          <w:color w:val="000000" w:themeColor="text1"/>
        </w:rPr>
        <w:t xml:space="preserve">Equity and </w:t>
      </w:r>
      <w:proofErr w:type="spellStart"/>
      <w:r w:rsidR="00390E85">
        <w:rPr>
          <w:rFonts w:eastAsia="Calibri"/>
          <w:b/>
          <w:color w:val="000000" w:themeColor="text1"/>
        </w:rPr>
        <w:t>t</w:t>
      </w:r>
      <w:r w:rsidRPr="008879E1">
        <w:rPr>
          <w:rFonts w:eastAsia="Calibri"/>
          <w:b/>
          <w:color w:val="000000" w:themeColor="text1"/>
        </w:rPr>
        <w:t>e</w:t>
      </w:r>
      <w:proofErr w:type="spellEnd"/>
      <w:r w:rsidRPr="008879E1">
        <w:rPr>
          <w:rFonts w:eastAsia="Calibri"/>
          <w:b/>
          <w:color w:val="000000" w:themeColor="text1"/>
        </w:rPr>
        <w:t xml:space="preserve"> </w:t>
      </w:r>
      <w:proofErr w:type="spellStart"/>
      <w:r w:rsidRPr="008879E1">
        <w:rPr>
          <w:rFonts w:eastAsia="Calibri"/>
          <w:b/>
          <w:color w:val="000000" w:themeColor="text1"/>
        </w:rPr>
        <w:t>Tiriti</w:t>
      </w:r>
      <w:proofErr w:type="spellEnd"/>
      <w:r w:rsidRPr="008879E1">
        <w:rPr>
          <w:rFonts w:eastAsia="Calibri"/>
          <w:b/>
          <w:color w:val="000000" w:themeColor="text1"/>
        </w:rPr>
        <w:t xml:space="preserve"> o Waitangi:</w:t>
      </w:r>
      <w:r w:rsidRPr="008879E1">
        <w:rPr>
          <w:rFonts w:eastAsia="Calibri" w:cs="Calibri"/>
          <w:color w:val="000000" w:themeColor="text1"/>
        </w:rPr>
        <w:t xml:space="preserve"> </w:t>
      </w:r>
      <w:r w:rsidR="00BF0099" w:rsidRPr="008879E1">
        <w:rPr>
          <w:rFonts w:eastAsia="Calibri" w:cs="Calibri"/>
          <w:color w:val="000000" w:themeColor="text1"/>
        </w:rPr>
        <w:t xml:space="preserve">Resilience choices </w:t>
      </w:r>
      <w:r w:rsidR="00E03C8A">
        <w:rPr>
          <w:rFonts w:eastAsia="Calibri" w:cs="Calibri"/>
          <w:color w:val="000000" w:themeColor="text1"/>
        </w:rPr>
        <w:t>–</w:t>
      </w:r>
      <w:r w:rsidR="00BF0099" w:rsidRPr="008879E1">
        <w:rPr>
          <w:rFonts w:eastAsia="Calibri" w:cs="Calibri"/>
          <w:color w:val="000000" w:themeColor="text1"/>
        </w:rPr>
        <w:t xml:space="preserve"> such as infrastructure investment and land-use reform </w:t>
      </w:r>
      <w:r w:rsidR="00E03C8A">
        <w:rPr>
          <w:rFonts w:eastAsia="Calibri" w:cs="Calibri"/>
          <w:color w:val="000000" w:themeColor="text1"/>
        </w:rPr>
        <w:t>–</w:t>
      </w:r>
      <w:r w:rsidR="00BF0099" w:rsidRPr="008879E1">
        <w:rPr>
          <w:rFonts w:eastAsia="Calibri" w:cs="Calibri"/>
          <w:color w:val="000000" w:themeColor="text1"/>
        </w:rPr>
        <w:t xml:space="preserve"> have direct </w:t>
      </w:r>
      <w:proofErr w:type="spellStart"/>
      <w:r w:rsidR="00D150A0">
        <w:rPr>
          <w:rFonts w:eastAsia="Calibri" w:cs="Calibri"/>
          <w:color w:val="000000" w:themeColor="text1"/>
        </w:rPr>
        <w:t>t</w:t>
      </w:r>
      <w:r w:rsidR="00BF0099" w:rsidRPr="008879E1">
        <w:rPr>
          <w:rFonts w:eastAsia="Calibri" w:cs="Calibri"/>
          <w:color w:val="000000" w:themeColor="text1"/>
        </w:rPr>
        <w:t>e</w:t>
      </w:r>
      <w:proofErr w:type="spellEnd"/>
      <w:r w:rsidR="00BF0099" w:rsidRPr="008879E1">
        <w:rPr>
          <w:rFonts w:eastAsia="Calibri" w:cs="Calibri"/>
          <w:color w:val="000000" w:themeColor="text1"/>
        </w:rPr>
        <w:t xml:space="preserve"> </w:t>
      </w:r>
      <w:proofErr w:type="spellStart"/>
      <w:r w:rsidR="00BF0099" w:rsidRPr="008879E1">
        <w:rPr>
          <w:rFonts w:eastAsia="Calibri" w:cs="Calibri"/>
          <w:color w:val="000000" w:themeColor="text1"/>
        </w:rPr>
        <w:t>Tiriti</w:t>
      </w:r>
      <w:proofErr w:type="spellEnd"/>
      <w:r w:rsidR="00BF0099" w:rsidRPr="008879E1">
        <w:rPr>
          <w:rFonts w:eastAsia="Calibri" w:cs="Calibri"/>
          <w:color w:val="000000" w:themeColor="text1"/>
        </w:rPr>
        <w:t xml:space="preserve"> implications. Integrating </w:t>
      </w:r>
      <w:proofErr w:type="spellStart"/>
      <w:r w:rsidR="00D150A0">
        <w:rPr>
          <w:rFonts w:eastAsia="Calibri" w:cs="Calibri"/>
          <w:color w:val="000000" w:themeColor="text1"/>
        </w:rPr>
        <w:t>t</w:t>
      </w:r>
      <w:r w:rsidR="00BF0099" w:rsidRPr="008879E1">
        <w:rPr>
          <w:rFonts w:eastAsia="Calibri" w:cs="Calibri"/>
          <w:color w:val="000000" w:themeColor="text1"/>
        </w:rPr>
        <w:t>e</w:t>
      </w:r>
      <w:proofErr w:type="spellEnd"/>
      <w:r w:rsidR="00BF0099" w:rsidRPr="008879E1">
        <w:rPr>
          <w:rFonts w:eastAsia="Calibri" w:cs="Calibri"/>
          <w:color w:val="000000" w:themeColor="text1"/>
        </w:rPr>
        <w:t xml:space="preserve"> </w:t>
      </w:r>
      <w:proofErr w:type="spellStart"/>
      <w:r w:rsidR="00BF0099" w:rsidRPr="008879E1">
        <w:rPr>
          <w:rFonts w:eastAsia="Calibri" w:cs="Calibri"/>
          <w:color w:val="000000" w:themeColor="text1"/>
        </w:rPr>
        <w:t>Tiriti</w:t>
      </w:r>
      <w:proofErr w:type="spellEnd"/>
      <w:r w:rsidR="00BF0099" w:rsidRPr="008879E1">
        <w:rPr>
          <w:rFonts w:eastAsia="Calibri" w:cs="Calibri"/>
          <w:color w:val="000000" w:themeColor="text1"/>
        </w:rPr>
        <w:t xml:space="preserve"> obligations, </w:t>
      </w:r>
      <w:proofErr w:type="spellStart"/>
      <w:r w:rsidR="00BF0099" w:rsidRPr="008879E1">
        <w:rPr>
          <w:rFonts w:eastAsia="Calibri" w:cs="Calibri"/>
          <w:color w:val="000000" w:themeColor="text1"/>
        </w:rPr>
        <w:t>mātauranga</w:t>
      </w:r>
      <w:proofErr w:type="spellEnd"/>
      <w:r w:rsidR="00BF0099" w:rsidRPr="008879E1">
        <w:rPr>
          <w:rFonts w:eastAsia="Calibri" w:cs="Calibri"/>
          <w:color w:val="000000" w:themeColor="text1"/>
        </w:rPr>
        <w:t xml:space="preserve"> Māori and community-led perspectives helps ensure that decisions reflect who benefits, who bears costs and how impacts are distributed across generations. This is essential for resilience efforts to be not only technically sound but also socially and culturally just.</w:t>
      </w:r>
    </w:p>
    <w:p w14:paraId="5275250D" w14:textId="6C6FBA21" w:rsidR="3B8F5E8B" w:rsidRPr="00E03C8A" w:rsidRDefault="3B8F5E8B" w:rsidP="00600537">
      <w:pPr>
        <w:pStyle w:val="Bullet"/>
        <w:rPr>
          <w:rFonts w:eastAsia="Calibri" w:cs="Calibri"/>
          <w:color w:val="000000" w:themeColor="text1"/>
        </w:rPr>
      </w:pPr>
      <w:r w:rsidRPr="008879E1">
        <w:rPr>
          <w:rFonts w:eastAsia="Calibri"/>
          <w:b/>
          <w:color w:val="000000" w:themeColor="text1"/>
        </w:rPr>
        <w:t>Proportionality:</w:t>
      </w:r>
      <w:r w:rsidRPr="00E03C8A">
        <w:rPr>
          <w:rFonts w:eastAsia="Calibri"/>
          <w:color w:val="000000" w:themeColor="text1"/>
        </w:rPr>
        <w:t xml:space="preserve"> </w:t>
      </w:r>
      <w:r w:rsidRPr="008879E1">
        <w:rPr>
          <w:rFonts w:eastAsia="Calibri" w:cs="Calibri"/>
          <w:color w:val="000000" w:themeColor="text1"/>
        </w:rPr>
        <w:t>The scale of action should match the scale of risk and consequences. This helps ensure resources are directed where they can have the greatest impact, especially for communities most exposed or vulnerable.</w:t>
      </w:r>
    </w:p>
    <w:p w14:paraId="2568757F" w14:textId="71B95923" w:rsidR="000F6F8F" w:rsidRPr="00E03C8A" w:rsidRDefault="00D23013" w:rsidP="00600537">
      <w:pPr>
        <w:pStyle w:val="Bullet"/>
        <w:rPr>
          <w:rFonts w:eastAsia="Calibri" w:cs="Calibri"/>
          <w:color w:val="000000" w:themeColor="text1"/>
        </w:rPr>
      </w:pPr>
      <w:r w:rsidRPr="008879E1">
        <w:rPr>
          <w:rFonts w:eastAsia="Calibri"/>
          <w:b/>
          <w:color w:val="000000" w:themeColor="text1"/>
        </w:rPr>
        <w:t>Flexibility:</w:t>
      </w:r>
      <w:r w:rsidRPr="00D150A0">
        <w:rPr>
          <w:rFonts w:eastAsia="Calibri"/>
          <w:color w:val="000000" w:themeColor="text1"/>
        </w:rPr>
        <w:t xml:space="preserve"> </w:t>
      </w:r>
      <w:r w:rsidRPr="008879E1">
        <w:rPr>
          <w:rFonts w:eastAsia="Calibri" w:cs="Calibri"/>
          <w:color w:val="000000" w:themeColor="text1"/>
        </w:rPr>
        <w:t xml:space="preserve">Where uncertainty is high or consequences are long-term, decisions should preserve future options and avoid lock-in to costly maladaptation. This includes prioritising </w:t>
      </w:r>
      <w:r w:rsidR="00D150A0">
        <w:rPr>
          <w:rFonts w:eastAsia="Calibri" w:cs="Calibri"/>
          <w:color w:val="000000" w:themeColor="text1"/>
        </w:rPr>
        <w:t>‘</w:t>
      </w:r>
      <w:r w:rsidRPr="008879E1">
        <w:rPr>
          <w:rFonts w:eastAsia="Calibri" w:cs="Calibri"/>
          <w:color w:val="000000" w:themeColor="text1"/>
        </w:rPr>
        <w:t>no-regrets</w:t>
      </w:r>
      <w:r w:rsidR="00D150A0">
        <w:rPr>
          <w:rFonts w:eastAsia="Calibri" w:cs="Calibri"/>
          <w:color w:val="000000" w:themeColor="text1"/>
        </w:rPr>
        <w:t>’</w:t>
      </w:r>
      <w:r w:rsidRPr="008879E1">
        <w:rPr>
          <w:rFonts w:eastAsia="Calibri" w:cs="Calibri"/>
          <w:color w:val="000000" w:themeColor="text1"/>
        </w:rPr>
        <w:t xml:space="preserve"> actions </w:t>
      </w:r>
      <w:r w:rsidR="00E03C8A">
        <w:rPr>
          <w:rFonts w:eastAsia="Calibri" w:cs="Calibri"/>
          <w:color w:val="000000" w:themeColor="text1"/>
        </w:rPr>
        <w:t>–</w:t>
      </w:r>
      <w:r w:rsidRPr="008879E1">
        <w:rPr>
          <w:rFonts w:eastAsia="Calibri" w:cs="Calibri"/>
          <w:color w:val="000000" w:themeColor="text1"/>
        </w:rPr>
        <w:t xml:space="preserve"> such as better information, standards and maintenance </w:t>
      </w:r>
      <w:r w:rsidR="00E03C8A">
        <w:rPr>
          <w:rFonts w:eastAsia="Calibri" w:cs="Calibri"/>
          <w:color w:val="000000" w:themeColor="text1"/>
        </w:rPr>
        <w:t>–</w:t>
      </w:r>
      <w:r w:rsidRPr="008879E1">
        <w:rPr>
          <w:rFonts w:eastAsia="Calibri" w:cs="Calibri"/>
          <w:color w:val="000000" w:themeColor="text1"/>
        </w:rPr>
        <w:t xml:space="preserve"> that build adaptive capacity and deliver benefits under many futures. Flexibility also applies to how risk and cost are shared.</w:t>
      </w:r>
    </w:p>
    <w:p w14:paraId="3C8A031C" w14:textId="159F5017" w:rsidR="3B8F5E8B" w:rsidRPr="00E03C8A" w:rsidRDefault="3B8F5E8B" w:rsidP="00600537">
      <w:pPr>
        <w:pStyle w:val="Bullet"/>
        <w:rPr>
          <w:rFonts w:eastAsia="Calibri" w:cs="Calibri"/>
          <w:color w:val="000000" w:themeColor="text1"/>
        </w:rPr>
      </w:pPr>
      <w:r w:rsidRPr="008879E1">
        <w:rPr>
          <w:rFonts w:eastAsia="Calibri"/>
          <w:b/>
          <w:color w:val="000000" w:themeColor="text1"/>
        </w:rPr>
        <w:t>Transparency:</w:t>
      </w:r>
      <w:r w:rsidRPr="00D150A0">
        <w:rPr>
          <w:rFonts w:eastAsia="Calibri"/>
          <w:color w:val="000000" w:themeColor="text1"/>
        </w:rPr>
        <w:t xml:space="preserve"> </w:t>
      </w:r>
      <w:r w:rsidR="00D84293" w:rsidRPr="008879E1">
        <w:rPr>
          <w:rFonts w:eastAsia="Calibri" w:cs="Calibri"/>
          <w:color w:val="000000" w:themeColor="text1"/>
        </w:rPr>
        <w:t xml:space="preserve">Clear communication of assumptions, evidence and trade-offs is essential </w:t>
      </w:r>
      <w:r w:rsidR="00E03C8A">
        <w:rPr>
          <w:rFonts w:eastAsia="Calibri" w:cs="Calibri"/>
          <w:color w:val="000000" w:themeColor="text1"/>
        </w:rPr>
        <w:t>–</w:t>
      </w:r>
      <w:r w:rsidR="00D84293" w:rsidRPr="008879E1">
        <w:rPr>
          <w:rFonts w:eastAsia="Calibri" w:cs="Calibri"/>
          <w:color w:val="000000" w:themeColor="text1"/>
        </w:rPr>
        <w:t xml:space="preserve"> especially where uncertainty is material. Striking the right balance in hazard disclosure is challenging but necessary</w:t>
      </w:r>
      <w:r w:rsidRPr="008879E1">
        <w:rPr>
          <w:rFonts w:eastAsia="Calibri" w:cs="Calibri"/>
          <w:color w:val="000000" w:themeColor="text1"/>
        </w:rPr>
        <w:t>. The risks and costs of climate change exist whether we acknowledge them or not. Avoiding transparency, such as withholding hazard information from property files, does not eliminate these risks; it simply delays effective responses and increases long-term costs. A clear understanding of property risks enables smarter, more cost-effective decisions that help communities adapt and reduce future impacts.</w:t>
      </w:r>
    </w:p>
    <w:p w14:paraId="3838043E" w14:textId="41493D91" w:rsidR="3B8F5E8B" w:rsidRPr="00600537" w:rsidRDefault="3B8F5E8B" w:rsidP="46C76630">
      <w:pPr>
        <w:pStyle w:val="Heading2"/>
      </w:pPr>
      <w:bookmarkStart w:id="27" w:name="_Toc214435298"/>
      <w:r w:rsidRPr="00600537">
        <w:t>Understanding the trade</w:t>
      </w:r>
      <w:r w:rsidRPr="00600537">
        <w:rPr>
          <w:rFonts w:ascii="Cambria Math" w:hAnsi="Cambria Math" w:cs="Cambria Math"/>
        </w:rPr>
        <w:t>‑</w:t>
      </w:r>
      <w:r w:rsidRPr="00600537">
        <w:t>offs</w:t>
      </w:r>
      <w:bookmarkEnd w:id="27"/>
    </w:p>
    <w:p w14:paraId="08D56DE7" w14:textId="51AAC06F" w:rsidR="3B8F5E8B" w:rsidRDefault="3B8F5E8B" w:rsidP="00600537">
      <w:pPr>
        <w:pStyle w:val="BodyText"/>
      </w:pPr>
      <w:r w:rsidRPr="46C76630">
        <w:rPr>
          <w:rFonts w:eastAsia="Calibri" w:cs="Calibri"/>
        </w:rPr>
        <w:t>Resilience decisions often balance two good things (</w:t>
      </w:r>
      <w:proofErr w:type="spellStart"/>
      <w:r w:rsidR="00D150A0">
        <w:rPr>
          <w:rFonts w:eastAsia="Calibri" w:cs="Calibri"/>
        </w:rPr>
        <w:t>eg</w:t>
      </w:r>
      <w:proofErr w:type="spellEnd"/>
      <w:r w:rsidRPr="46C76630">
        <w:rPr>
          <w:rFonts w:eastAsia="Calibri" w:cs="Calibri"/>
        </w:rPr>
        <w:t>, efficiency vs redundancy) or accept short</w:t>
      </w:r>
      <w:r w:rsidRPr="46C76630">
        <w:rPr>
          <w:rFonts w:ascii="Cambria Math" w:eastAsia="Cambria Math" w:hAnsi="Cambria Math" w:cs="Cambria Math"/>
        </w:rPr>
        <w:t>‑</w:t>
      </w:r>
      <w:r w:rsidRPr="46C76630">
        <w:rPr>
          <w:rFonts w:eastAsia="Calibri" w:cs="Calibri"/>
        </w:rPr>
        <w:t>term cost for long</w:t>
      </w:r>
      <w:r w:rsidRPr="46C76630">
        <w:rPr>
          <w:rFonts w:ascii="Cambria Math" w:eastAsia="Cambria Math" w:hAnsi="Cambria Math" w:cs="Cambria Math"/>
        </w:rPr>
        <w:t>‑</w:t>
      </w:r>
      <w:r w:rsidRPr="46C76630">
        <w:rPr>
          <w:rFonts w:eastAsia="Calibri" w:cs="Calibri"/>
        </w:rPr>
        <w:t>term benefit. For example, stronger planning rules can reduce exposure to flooding but may constrain where some people can live or the timing of development. Being explicit about these trade</w:t>
      </w:r>
      <w:r w:rsidRPr="46C76630">
        <w:rPr>
          <w:rFonts w:ascii="Cambria Math" w:eastAsia="Cambria Math" w:hAnsi="Cambria Math" w:cs="Cambria Math"/>
        </w:rPr>
        <w:t>‑</w:t>
      </w:r>
      <w:r w:rsidRPr="46C76630">
        <w:rPr>
          <w:rFonts w:eastAsia="Calibri" w:cs="Calibri"/>
        </w:rPr>
        <w:t>offs at the start helps communities and decision</w:t>
      </w:r>
      <w:r w:rsidRPr="46C76630">
        <w:rPr>
          <w:rFonts w:ascii="Cambria Math" w:eastAsia="Cambria Math" w:hAnsi="Cambria Math" w:cs="Cambria Math"/>
        </w:rPr>
        <w:t>‑</w:t>
      </w:r>
      <w:r w:rsidRPr="46C76630">
        <w:rPr>
          <w:rFonts w:eastAsia="Calibri" w:cs="Calibri"/>
        </w:rPr>
        <w:t>makers see what is gained, what is given up, and why.</w:t>
      </w:r>
      <w:r w:rsidR="7FD325F5" w:rsidRPr="46C76630">
        <w:rPr>
          <w:rFonts w:eastAsia="Calibri" w:cs="Calibri"/>
        </w:rPr>
        <w:t xml:space="preserve"> </w:t>
      </w:r>
      <w:r w:rsidR="7FD325F5">
        <w:t>The table below illustrates some of the high-level trade-offs that decision-makers may face when building resilience.</w:t>
      </w:r>
    </w:p>
    <w:p w14:paraId="5AA2AFD9" w14:textId="5BC093BF" w:rsidR="3B8F5E8B" w:rsidRDefault="3B8F5E8B" w:rsidP="46C76630">
      <w:pPr>
        <w:ind w:left="1134" w:hanging="1134"/>
        <w:jc w:val="left"/>
      </w:pPr>
      <w:r w:rsidRPr="46C76630">
        <w:rPr>
          <w:rFonts w:eastAsia="Calibri" w:cs="Calibri"/>
          <w:b/>
          <w:bCs/>
          <w:sz w:val="20"/>
          <w:szCs w:val="20"/>
        </w:rPr>
        <w:lastRenderedPageBreak/>
        <w:t>Table 1:</w:t>
      </w:r>
      <w:r w:rsidR="00600537">
        <w:rPr>
          <w:rFonts w:eastAsia="Calibri" w:cs="Calibri"/>
          <w:b/>
          <w:bCs/>
          <w:sz w:val="20"/>
          <w:szCs w:val="20"/>
        </w:rPr>
        <w:tab/>
      </w:r>
      <w:r w:rsidRPr="46C76630">
        <w:rPr>
          <w:rFonts w:eastAsia="Calibri" w:cs="Calibri"/>
          <w:b/>
          <w:bCs/>
          <w:sz w:val="20"/>
          <w:szCs w:val="20"/>
        </w:rPr>
        <w:t>Examples of potential resilience-building trade-offs</w:t>
      </w:r>
    </w:p>
    <w:tbl>
      <w:tblPr>
        <w:tblW w:w="8505" w:type="dxa"/>
        <w:tblLayout w:type="fixed"/>
        <w:tblLook w:val="04A0" w:firstRow="1" w:lastRow="0" w:firstColumn="1" w:lastColumn="0" w:noHBand="0" w:noVBand="1"/>
      </w:tblPr>
      <w:tblGrid>
        <w:gridCol w:w="1070"/>
        <w:gridCol w:w="1624"/>
        <w:gridCol w:w="1937"/>
        <w:gridCol w:w="1937"/>
        <w:gridCol w:w="1937"/>
      </w:tblGrid>
      <w:tr w:rsidR="7705EF81" w14:paraId="43E941E5" w14:textId="77777777" w:rsidTr="002C1350">
        <w:trPr>
          <w:trHeight w:val="300"/>
        </w:trPr>
        <w:tc>
          <w:tcPr>
            <w:tcW w:w="1070" w:type="dxa"/>
            <w:tcBorders>
              <w:top w:val="single" w:sz="8" w:space="0" w:color="1B556B"/>
              <w:left w:val="nil"/>
              <w:bottom w:val="single" w:sz="4" w:space="0" w:color="1B556B"/>
              <w:right w:val="single" w:sz="8" w:space="0" w:color="1B556B"/>
            </w:tcBorders>
            <w:shd w:val="clear" w:color="auto" w:fill="1B556B"/>
            <w:tcMar>
              <w:left w:w="108" w:type="dxa"/>
              <w:right w:w="108" w:type="dxa"/>
            </w:tcMar>
            <w:vAlign w:val="bottom"/>
          </w:tcPr>
          <w:p w14:paraId="345A8723" w14:textId="5B54E35D" w:rsidR="7705EF81" w:rsidRPr="00600537" w:rsidRDefault="7705EF81" w:rsidP="00600537">
            <w:pPr>
              <w:pStyle w:val="TableText"/>
              <w:rPr>
                <w:b/>
                <w:color w:val="FFFFFF" w:themeColor="background1"/>
              </w:rPr>
            </w:pPr>
            <w:r w:rsidRPr="00600537">
              <w:rPr>
                <w:b/>
                <w:color w:val="FFFFFF" w:themeColor="background1"/>
              </w:rPr>
              <w:t xml:space="preserve"> </w:t>
            </w:r>
          </w:p>
        </w:tc>
        <w:tc>
          <w:tcPr>
            <w:tcW w:w="1624" w:type="dxa"/>
            <w:tcBorders>
              <w:top w:val="single" w:sz="8" w:space="0" w:color="1B556B"/>
              <w:left w:val="single" w:sz="8" w:space="0" w:color="1B556B"/>
              <w:bottom w:val="single" w:sz="4" w:space="0" w:color="1B556B"/>
              <w:right w:val="single" w:sz="8" w:space="0" w:color="1B556B"/>
            </w:tcBorders>
            <w:shd w:val="clear" w:color="auto" w:fill="1B556B"/>
            <w:tcMar>
              <w:left w:w="108" w:type="dxa"/>
              <w:right w:w="108" w:type="dxa"/>
            </w:tcMar>
            <w:vAlign w:val="bottom"/>
          </w:tcPr>
          <w:p w14:paraId="5627730C" w14:textId="77668DC3" w:rsidR="7705EF81" w:rsidRPr="00600537" w:rsidRDefault="7705EF81" w:rsidP="00600537">
            <w:pPr>
              <w:pStyle w:val="TableText"/>
              <w:rPr>
                <w:b/>
                <w:color w:val="FFFFFF" w:themeColor="background1"/>
              </w:rPr>
            </w:pPr>
            <w:r w:rsidRPr="00600537">
              <w:rPr>
                <w:b/>
                <w:color w:val="FFFFFF" w:themeColor="background1"/>
              </w:rPr>
              <w:t>Deciding between</w:t>
            </w:r>
          </w:p>
        </w:tc>
        <w:tc>
          <w:tcPr>
            <w:tcW w:w="1937" w:type="dxa"/>
            <w:tcBorders>
              <w:top w:val="single" w:sz="8" w:space="0" w:color="1B556B"/>
              <w:left w:val="single" w:sz="8" w:space="0" w:color="1B556B"/>
              <w:bottom w:val="single" w:sz="4" w:space="0" w:color="1B556B"/>
              <w:right w:val="single" w:sz="8" w:space="0" w:color="1B556B"/>
            </w:tcBorders>
            <w:shd w:val="clear" w:color="auto" w:fill="1B556B"/>
            <w:tcMar>
              <w:left w:w="108" w:type="dxa"/>
              <w:right w:w="108" w:type="dxa"/>
            </w:tcMar>
            <w:vAlign w:val="bottom"/>
          </w:tcPr>
          <w:p w14:paraId="53379A42" w14:textId="23586684" w:rsidR="7705EF81" w:rsidRPr="00600537" w:rsidRDefault="7705EF81" w:rsidP="00600537">
            <w:pPr>
              <w:pStyle w:val="TableText"/>
              <w:rPr>
                <w:b/>
                <w:color w:val="FFFFFF" w:themeColor="background1"/>
              </w:rPr>
            </w:pPr>
            <w:r w:rsidRPr="00600537">
              <w:rPr>
                <w:b/>
                <w:color w:val="FFFFFF" w:themeColor="background1"/>
              </w:rPr>
              <w:t>Potential outcome</w:t>
            </w:r>
          </w:p>
        </w:tc>
        <w:tc>
          <w:tcPr>
            <w:tcW w:w="1937" w:type="dxa"/>
            <w:tcBorders>
              <w:top w:val="single" w:sz="8" w:space="0" w:color="1B556B"/>
              <w:left w:val="nil"/>
              <w:bottom w:val="single" w:sz="4" w:space="0" w:color="1B556B"/>
              <w:right w:val="single" w:sz="8" w:space="0" w:color="1B556B"/>
            </w:tcBorders>
            <w:shd w:val="clear" w:color="auto" w:fill="1B556B"/>
            <w:tcMar>
              <w:left w:w="108" w:type="dxa"/>
              <w:right w:w="108" w:type="dxa"/>
            </w:tcMar>
            <w:vAlign w:val="bottom"/>
          </w:tcPr>
          <w:p w14:paraId="34A9B810" w14:textId="4352C19E" w:rsidR="7705EF81" w:rsidRPr="00600537" w:rsidRDefault="7705EF81" w:rsidP="00600537">
            <w:pPr>
              <w:pStyle w:val="TableText"/>
              <w:rPr>
                <w:b/>
                <w:color w:val="FFFFFF" w:themeColor="background1"/>
              </w:rPr>
            </w:pPr>
            <w:r w:rsidRPr="00600537">
              <w:rPr>
                <w:b/>
                <w:color w:val="FFFFFF" w:themeColor="background1"/>
              </w:rPr>
              <w:t>Advantages</w:t>
            </w:r>
          </w:p>
        </w:tc>
        <w:tc>
          <w:tcPr>
            <w:tcW w:w="1937" w:type="dxa"/>
            <w:tcBorders>
              <w:top w:val="single" w:sz="8" w:space="0" w:color="1B556B"/>
              <w:left w:val="single" w:sz="8" w:space="0" w:color="1B556B"/>
              <w:bottom w:val="single" w:sz="4" w:space="0" w:color="1B556B"/>
              <w:right w:val="nil"/>
            </w:tcBorders>
            <w:shd w:val="clear" w:color="auto" w:fill="1B556B"/>
            <w:tcMar>
              <w:left w:w="108" w:type="dxa"/>
              <w:right w:w="108" w:type="dxa"/>
            </w:tcMar>
            <w:vAlign w:val="bottom"/>
          </w:tcPr>
          <w:p w14:paraId="6DF228BF" w14:textId="1B434A57" w:rsidR="7705EF81" w:rsidRPr="00600537" w:rsidRDefault="7705EF81" w:rsidP="00600537">
            <w:pPr>
              <w:pStyle w:val="TableText"/>
              <w:rPr>
                <w:b/>
                <w:color w:val="FFFFFF" w:themeColor="background1"/>
              </w:rPr>
            </w:pPr>
            <w:r w:rsidRPr="00600537">
              <w:rPr>
                <w:b/>
                <w:color w:val="FFFFFF" w:themeColor="background1"/>
              </w:rPr>
              <w:t>Trade-off</w:t>
            </w:r>
          </w:p>
        </w:tc>
      </w:tr>
      <w:tr w:rsidR="7705EF81" w14:paraId="355A414F" w14:textId="77777777" w:rsidTr="002C1350">
        <w:trPr>
          <w:trHeight w:val="300"/>
        </w:trPr>
        <w:tc>
          <w:tcPr>
            <w:tcW w:w="1070" w:type="dxa"/>
            <w:tcBorders>
              <w:top w:val="single" w:sz="4" w:space="0" w:color="1B556B"/>
              <w:left w:val="nil"/>
              <w:bottom w:val="single" w:sz="4" w:space="0" w:color="1B556B"/>
              <w:right w:val="single" w:sz="4" w:space="0" w:color="1B556B"/>
            </w:tcBorders>
            <w:tcMar>
              <w:left w:w="108" w:type="dxa"/>
              <w:right w:w="108" w:type="dxa"/>
            </w:tcMar>
            <w:vAlign w:val="center"/>
          </w:tcPr>
          <w:p w14:paraId="16596EC2" w14:textId="41FCD195" w:rsidR="7705EF81" w:rsidRDefault="00904AFE">
            <w:r>
              <w:rPr>
                <w:noProof/>
                <w14:ligatures w14:val="standardContextual"/>
              </w:rPr>
              <w:drawing>
                <wp:inline distT="0" distB="0" distL="0" distR="0" wp14:anchorId="1B011E0B" wp14:editId="3384A660">
                  <wp:extent cx="428625" cy="428625"/>
                  <wp:effectExtent l="0" t="0" r="9525" b="9525"/>
                  <wp:docPr id="1659704567" name="Graphic 1" descr="Map with pi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04567" name="Graphic 1659704567" descr="Map with pin outline"/>
                          <pic:cNvPicPr/>
                        </pic:nvPicPr>
                        <pic:blipFill>
                          <a:blip r:embed="rId21">
                            <a:extLst>
                              <a:ext uri="{96DAC541-7B7A-43D3-8B79-37D633B846F1}">
                                <asvg:svgBlip xmlns:asvg="http://schemas.microsoft.com/office/drawing/2016/SVG/main" r:embed="rId22"/>
                              </a:ext>
                            </a:extLst>
                          </a:blip>
                          <a:stretch>
                            <a:fillRect/>
                          </a:stretch>
                        </pic:blipFill>
                        <pic:spPr>
                          <a:xfrm>
                            <a:off x="0" y="0"/>
                            <a:ext cx="428625" cy="428625"/>
                          </a:xfrm>
                          <a:prstGeom prst="rect">
                            <a:avLst/>
                          </a:prstGeom>
                        </pic:spPr>
                      </pic:pic>
                    </a:graphicData>
                  </a:graphic>
                </wp:inline>
              </w:drawing>
            </w:r>
          </w:p>
        </w:tc>
        <w:tc>
          <w:tcPr>
            <w:tcW w:w="1624" w:type="dxa"/>
            <w:tcBorders>
              <w:top w:val="single" w:sz="4" w:space="0" w:color="1B556B"/>
              <w:left w:val="single" w:sz="4" w:space="0" w:color="1B556B"/>
              <w:bottom w:val="single" w:sz="4" w:space="0" w:color="1B556B"/>
              <w:right w:val="single" w:sz="4" w:space="0" w:color="1B556B"/>
            </w:tcBorders>
            <w:tcMar>
              <w:left w:w="108" w:type="dxa"/>
              <w:right w:w="108" w:type="dxa"/>
            </w:tcMar>
          </w:tcPr>
          <w:p w14:paraId="559D24CF" w14:textId="205ECB40" w:rsidR="7705EF81" w:rsidRPr="007015C7" w:rsidRDefault="7705EF81" w:rsidP="00663C64">
            <w:pPr>
              <w:pStyle w:val="TableText"/>
              <w:rPr>
                <w:b/>
              </w:rPr>
            </w:pPr>
            <w:r w:rsidRPr="007015C7">
              <w:rPr>
                <w:b/>
              </w:rPr>
              <w:t xml:space="preserve">Efficiency </w:t>
            </w:r>
            <w:r w:rsidRPr="007015C7">
              <w:t>vs</w:t>
            </w:r>
            <w:r w:rsidRPr="007015C7">
              <w:rPr>
                <w:b/>
              </w:rPr>
              <w:t xml:space="preserve"> redundancy (spare capacity)</w:t>
            </w:r>
          </w:p>
        </w:tc>
        <w:tc>
          <w:tcPr>
            <w:tcW w:w="1937" w:type="dxa"/>
            <w:tcBorders>
              <w:top w:val="single" w:sz="4" w:space="0" w:color="1B556B"/>
              <w:left w:val="single" w:sz="4" w:space="0" w:color="1B556B"/>
              <w:bottom w:val="single" w:sz="4" w:space="0" w:color="1B556B"/>
              <w:right w:val="single" w:sz="4" w:space="0" w:color="1B556B"/>
            </w:tcBorders>
            <w:tcMar>
              <w:left w:w="108" w:type="dxa"/>
              <w:right w:w="108" w:type="dxa"/>
            </w:tcMar>
          </w:tcPr>
          <w:p w14:paraId="06046E4F" w14:textId="5F9C1F9E" w:rsidR="7705EF81" w:rsidRDefault="7705EF81" w:rsidP="00663C64">
            <w:pPr>
              <w:pStyle w:val="TableText"/>
            </w:pPr>
            <w:r w:rsidRPr="7705EF81">
              <w:t>Use a mix of suppliers and store essential goods in different places.</w:t>
            </w:r>
          </w:p>
        </w:tc>
        <w:tc>
          <w:tcPr>
            <w:tcW w:w="1937" w:type="dxa"/>
            <w:tcBorders>
              <w:top w:val="single" w:sz="4" w:space="0" w:color="1B556B"/>
              <w:left w:val="single" w:sz="4" w:space="0" w:color="1B556B"/>
              <w:bottom w:val="single" w:sz="4" w:space="0" w:color="1B556B"/>
              <w:right w:val="single" w:sz="4" w:space="0" w:color="1B556B"/>
            </w:tcBorders>
            <w:tcMar>
              <w:left w:w="108" w:type="dxa"/>
              <w:right w:w="108" w:type="dxa"/>
            </w:tcMar>
          </w:tcPr>
          <w:p w14:paraId="1500170A" w14:textId="5BFDA9F4" w:rsidR="7705EF81" w:rsidRDefault="7705EF81" w:rsidP="00663C64">
            <w:pPr>
              <w:pStyle w:val="TableText"/>
            </w:pPr>
            <w:r w:rsidRPr="7705EF81">
              <w:t>Keeps goods and services flowing during disruptions.</w:t>
            </w:r>
          </w:p>
        </w:tc>
        <w:tc>
          <w:tcPr>
            <w:tcW w:w="1937" w:type="dxa"/>
            <w:tcBorders>
              <w:top w:val="single" w:sz="4" w:space="0" w:color="1B556B"/>
              <w:left w:val="single" w:sz="4" w:space="0" w:color="1B556B"/>
              <w:bottom w:val="single" w:sz="4" w:space="0" w:color="1B556B"/>
              <w:right w:val="nil"/>
            </w:tcBorders>
            <w:tcMar>
              <w:left w:w="108" w:type="dxa"/>
              <w:right w:w="108" w:type="dxa"/>
            </w:tcMar>
          </w:tcPr>
          <w:p w14:paraId="0B549AA0" w14:textId="73439DA5" w:rsidR="7705EF81" w:rsidRDefault="7705EF81" w:rsidP="00663C64">
            <w:pPr>
              <w:pStyle w:val="TableText"/>
            </w:pPr>
            <w:r w:rsidRPr="7705EF81">
              <w:t>Higher costs, especially for small and medium</w:t>
            </w:r>
            <w:r w:rsidR="000662CD">
              <w:t>-sized</w:t>
            </w:r>
            <w:r w:rsidRPr="7705EF81">
              <w:t xml:space="preserve"> businesses. </w:t>
            </w:r>
          </w:p>
        </w:tc>
      </w:tr>
      <w:tr w:rsidR="7705EF81" w14:paraId="33FD0D8B" w14:textId="77777777" w:rsidTr="002C1350">
        <w:trPr>
          <w:trHeight w:val="300"/>
        </w:trPr>
        <w:tc>
          <w:tcPr>
            <w:tcW w:w="1070" w:type="dxa"/>
            <w:tcBorders>
              <w:top w:val="single" w:sz="4" w:space="0" w:color="1B556B"/>
              <w:left w:val="nil"/>
              <w:bottom w:val="single" w:sz="4" w:space="0" w:color="1B556B"/>
              <w:right w:val="single" w:sz="4" w:space="0" w:color="1B556B"/>
            </w:tcBorders>
            <w:tcMar>
              <w:left w:w="108" w:type="dxa"/>
              <w:right w:w="108" w:type="dxa"/>
            </w:tcMar>
            <w:vAlign w:val="center"/>
          </w:tcPr>
          <w:p w14:paraId="4119F3FB" w14:textId="46AB1BF1" w:rsidR="7705EF81" w:rsidRDefault="00111B28">
            <w:r>
              <w:rPr>
                <w:noProof/>
                <w14:ligatures w14:val="standardContextual"/>
              </w:rPr>
              <w:drawing>
                <wp:inline distT="0" distB="0" distL="0" distR="0" wp14:anchorId="2D5BD3F4" wp14:editId="54BB5170">
                  <wp:extent cx="419100" cy="419100"/>
                  <wp:effectExtent l="0" t="0" r="0" b="0"/>
                  <wp:docPr id="1962372709" name="Graphic 2"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372709" name="Graphic 1962372709" descr="Coins outline"/>
                          <pic:cNvPicPr/>
                        </pic:nvPicPr>
                        <pic:blipFill>
                          <a:blip r:embed="rId23">
                            <a:extLst>
                              <a:ext uri="{96DAC541-7B7A-43D3-8B79-37D633B846F1}">
                                <asvg:svgBlip xmlns:asvg="http://schemas.microsoft.com/office/drawing/2016/SVG/main" r:embed="rId24"/>
                              </a:ext>
                            </a:extLst>
                          </a:blip>
                          <a:stretch>
                            <a:fillRect/>
                          </a:stretch>
                        </pic:blipFill>
                        <pic:spPr>
                          <a:xfrm>
                            <a:off x="0" y="0"/>
                            <a:ext cx="419100" cy="419100"/>
                          </a:xfrm>
                          <a:prstGeom prst="rect">
                            <a:avLst/>
                          </a:prstGeom>
                        </pic:spPr>
                      </pic:pic>
                    </a:graphicData>
                  </a:graphic>
                </wp:inline>
              </w:drawing>
            </w:r>
          </w:p>
        </w:tc>
        <w:tc>
          <w:tcPr>
            <w:tcW w:w="1624" w:type="dxa"/>
            <w:tcBorders>
              <w:top w:val="single" w:sz="4" w:space="0" w:color="1B556B"/>
              <w:left w:val="single" w:sz="4" w:space="0" w:color="1B556B"/>
              <w:bottom w:val="single" w:sz="4" w:space="0" w:color="1B556B"/>
              <w:right w:val="single" w:sz="4" w:space="0" w:color="1B556B"/>
            </w:tcBorders>
            <w:tcMar>
              <w:left w:w="108" w:type="dxa"/>
              <w:right w:w="108" w:type="dxa"/>
            </w:tcMar>
          </w:tcPr>
          <w:p w14:paraId="7FCC4CF1" w14:textId="3AF2E67A" w:rsidR="7705EF81" w:rsidRPr="007015C7" w:rsidRDefault="7705EF81" w:rsidP="00663C64">
            <w:pPr>
              <w:pStyle w:val="TableText"/>
              <w:rPr>
                <w:b/>
              </w:rPr>
            </w:pPr>
            <w:r w:rsidRPr="007015C7">
              <w:rPr>
                <w:b/>
              </w:rPr>
              <w:t xml:space="preserve">Cost </w:t>
            </w:r>
            <w:r w:rsidRPr="007015C7">
              <w:t>vs</w:t>
            </w:r>
            <w:r w:rsidRPr="007015C7">
              <w:rPr>
                <w:b/>
              </w:rPr>
              <w:t xml:space="preserve"> robustness</w:t>
            </w:r>
          </w:p>
        </w:tc>
        <w:tc>
          <w:tcPr>
            <w:tcW w:w="1937" w:type="dxa"/>
            <w:tcBorders>
              <w:top w:val="single" w:sz="4" w:space="0" w:color="1B556B"/>
              <w:left w:val="single" w:sz="4" w:space="0" w:color="1B556B"/>
              <w:bottom w:val="single" w:sz="4" w:space="0" w:color="1B556B"/>
              <w:right w:val="single" w:sz="4" w:space="0" w:color="1B556B"/>
            </w:tcBorders>
            <w:tcMar>
              <w:left w:w="108" w:type="dxa"/>
              <w:right w:w="108" w:type="dxa"/>
            </w:tcMar>
          </w:tcPr>
          <w:p w14:paraId="0F908C7B" w14:textId="3675BD2A" w:rsidR="7705EF81" w:rsidRDefault="7705EF81" w:rsidP="00663C64">
            <w:pPr>
              <w:pStyle w:val="TableText"/>
            </w:pPr>
            <w:r w:rsidRPr="7705EF81">
              <w:t xml:space="preserve">Local and central government invest in infrastructure with a higher level of service. </w:t>
            </w:r>
          </w:p>
        </w:tc>
        <w:tc>
          <w:tcPr>
            <w:tcW w:w="1937" w:type="dxa"/>
            <w:tcBorders>
              <w:top w:val="single" w:sz="4" w:space="0" w:color="1B556B"/>
              <w:left w:val="single" w:sz="4" w:space="0" w:color="1B556B"/>
              <w:bottom w:val="single" w:sz="4" w:space="0" w:color="1B556B"/>
              <w:right w:val="single" w:sz="4" w:space="0" w:color="1B556B"/>
            </w:tcBorders>
            <w:tcMar>
              <w:left w:w="108" w:type="dxa"/>
              <w:right w:w="108" w:type="dxa"/>
            </w:tcMar>
          </w:tcPr>
          <w:p w14:paraId="2B4F3212" w14:textId="0D5B1FB0" w:rsidR="7705EF81" w:rsidRDefault="7705EF81" w:rsidP="00663C64">
            <w:pPr>
              <w:pStyle w:val="TableText"/>
            </w:pPr>
            <w:r w:rsidRPr="7705EF81">
              <w:t>Long-term reliability and savings.</w:t>
            </w:r>
          </w:p>
        </w:tc>
        <w:tc>
          <w:tcPr>
            <w:tcW w:w="1937" w:type="dxa"/>
            <w:tcBorders>
              <w:top w:val="single" w:sz="4" w:space="0" w:color="1B556B"/>
              <w:left w:val="single" w:sz="4" w:space="0" w:color="1B556B"/>
              <w:bottom w:val="single" w:sz="4" w:space="0" w:color="1B556B"/>
              <w:right w:val="nil"/>
            </w:tcBorders>
            <w:tcMar>
              <w:left w:w="108" w:type="dxa"/>
              <w:right w:w="108" w:type="dxa"/>
            </w:tcMar>
          </w:tcPr>
          <w:p w14:paraId="2A2E3349" w14:textId="44323F00" w:rsidR="7705EF81" w:rsidRDefault="7705EF81" w:rsidP="00663C64">
            <w:pPr>
              <w:pStyle w:val="TableText"/>
            </w:pPr>
            <w:r w:rsidRPr="7705EF81">
              <w:t>High upfront costs and delayed benefits.</w:t>
            </w:r>
          </w:p>
        </w:tc>
      </w:tr>
      <w:tr w:rsidR="7705EF81" w14:paraId="41F2068F" w14:textId="77777777" w:rsidTr="002C1350">
        <w:trPr>
          <w:trHeight w:val="300"/>
        </w:trPr>
        <w:tc>
          <w:tcPr>
            <w:tcW w:w="1070" w:type="dxa"/>
            <w:tcBorders>
              <w:top w:val="single" w:sz="4" w:space="0" w:color="1B556B"/>
              <w:left w:val="nil"/>
              <w:bottom w:val="single" w:sz="4" w:space="0" w:color="1B556B"/>
              <w:right w:val="single" w:sz="4" w:space="0" w:color="1B556B"/>
            </w:tcBorders>
            <w:tcMar>
              <w:left w:w="108" w:type="dxa"/>
              <w:right w:w="108" w:type="dxa"/>
            </w:tcMar>
            <w:vAlign w:val="center"/>
          </w:tcPr>
          <w:p w14:paraId="1F9C4476" w14:textId="14F0FBBA" w:rsidR="7705EF81" w:rsidRDefault="00111B28">
            <w:r>
              <w:rPr>
                <w:noProof/>
                <w14:ligatures w14:val="standardContextual"/>
              </w:rPr>
              <w:drawing>
                <wp:inline distT="0" distB="0" distL="0" distR="0" wp14:anchorId="7BF5C590" wp14:editId="05BA6B9C">
                  <wp:extent cx="419100" cy="419100"/>
                  <wp:effectExtent l="0" t="0" r="0" b="0"/>
                  <wp:docPr id="1210566890" name="Graphic 3" descr="Bar graph with upward tren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566890" name="Graphic 1210566890" descr="Bar graph with upward trend outline"/>
                          <pic:cNvPicPr/>
                        </pic:nvPicPr>
                        <pic:blipFill>
                          <a:blip r:embed="rId25">
                            <a:extLst>
                              <a:ext uri="{96DAC541-7B7A-43D3-8B79-37D633B846F1}">
                                <asvg:svgBlip xmlns:asvg="http://schemas.microsoft.com/office/drawing/2016/SVG/main" r:embed="rId26"/>
                              </a:ext>
                            </a:extLst>
                          </a:blip>
                          <a:stretch>
                            <a:fillRect/>
                          </a:stretch>
                        </pic:blipFill>
                        <pic:spPr>
                          <a:xfrm>
                            <a:off x="0" y="0"/>
                            <a:ext cx="419100" cy="419100"/>
                          </a:xfrm>
                          <a:prstGeom prst="rect">
                            <a:avLst/>
                          </a:prstGeom>
                        </pic:spPr>
                      </pic:pic>
                    </a:graphicData>
                  </a:graphic>
                </wp:inline>
              </w:drawing>
            </w:r>
          </w:p>
        </w:tc>
        <w:tc>
          <w:tcPr>
            <w:tcW w:w="1624" w:type="dxa"/>
            <w:tcBorders>
              <w:top w:val="single" w:sz="4" w:space="0" w:color="1B556B"/>
              <w:left w:val="single" w:sz="4" w:space="0" w:color="1B556B"/>
              <w:bottom w:val="single" w:sz="4" w:space="0" w:color="1B556B"/>
              <w:right w:val="single" w:sz="4" w:space="0" w:color="1B556B"/>
            </w:tcBorders>
            <w:tcMar>
              <w:left w:w="108" w:type="dxa"/>
              <w:right w:w="108" w:type="dxa"/>
            </w:tcMar>
          </w:tcPr>
          <w:p w14:paraId="3F450F4C" w14:textId="6FA81C88" w:rsidR="7705EF81" w:rsidRPr="007015C7" w:rsidRDefault="7705EF81" w:rsidP="00663C64">
            <w:pPr>
              <w:pStyle w:val="TableText"/>
              <w:rPr>
                <w:b/>
              </w:rPr>
            </w:pPr>
            <w:r w:rsidRPr="007015C7">
              <w:rPr>
                <w:b/>
              </w:rPr>
              <w:t xml:space="preserve">Future-proofing </w:t>
            </w:r>
            <w:r w:rsidRPr="007015C7">
              <w:t>vs</w:t>
            </w:r>
            <w:r w:rsidRPr="007015C7">
              <w:rPr>
                <w:b/>
              </w:rPr>
              <w:t xml:space="preserve"> waiting</w:t>
            </w:r>
          </w:p>
        </w:tc>
        <w:tc>
          <w:tcPr>
            <w:tcW w:w="1937" w:type="dxa"/>
            <w:tcBorders>
              <w:top w:val="single" w:sz="4" w:space="0" w:color="1B556B"/>
              <w:left w:val="single" w:sz="4" w:space="0" w:color="1B556B"/>
              <w:bottom w:val="single" w:sz="4" w:space="0" w:color="1B556B"/>
              <w:right w:val="single" w:sz="4" w:space="0" w:color="1B556B"/>
            </w:tcBorders>
            <w:tcMar>
              <w:left w:w="108" w:type="dxa"/>
              <w:right w:w="108" w:type="dxa"/>
            </w:tcMar>
          </w:tcPr>
          <w:p w14:paraId="07ABF9EC" w14:textId="39A84F0E" w:rsidR="7705EF81" w:rsidRDefault="7705EF81" w:rsidP="00663C64">
            <w:pPr>
              <w:pStyle w:val="TableText"/>
            </w:pPr>
            <w:r w:rsidRPr="7705EF81">
              <w:t>Investing in more resilient infrastructure pre-crisis is cheaper and mitigates harm from hazards.</w:t>
            </w:r>
          </w:p>
        </w:tc>
        <w:tc>
          <w:tcPr>
            <w:tcW w:w="1937" w:type="dxa"/>
            <w:tcBorders>
              <w:top w:val="single" w:sz="4" w:space="0" w:color="1B556B"/>
              <w:left w:val="single" w:sz="4" w:space="0" w:color="1B556B"/>
              <w:bottom w:val="single" w:sz="4" w:space="0" w:color="1B556B"/>
              <w:right w:val="single" w:sz="4" w:space="0" w:color="1B556B"/>
            </w:tcBorders>
            <w:tcMar>
              <w:left w:w="108" w:type="dxa"/>
              <w:right w:w="108" w:type="dxa"/>
            </w:tcMar>
          </w:tcPr>
          <w:p w14:paraId="3D6A4C2A" w14:textId="10E3FD40" w:rsidR="7705EF81" w:rsidRDefault="7705EF81" w:rsidP="00663C64">
            <w:pPr>
              <w:pStyle w:val="TableText"/>
            </w:pPr>
            <w:r w:rsidRPr="7705EF81">
              <w:t xml:space="preserve">Avoids passing additional costs onto future generations – when mitigations will be more expensive. </w:t>
            </w:r>
          </w:p>
        </w:tc>
        <w:tc>
          <w:tcPr>
            <w:tcW w:w="1937" w:type="dxa"/>
            <w:tcBorders>
              <w:top w:val="single" w:sz="4" w:space="0" w:color="1B556B"/>
              <w:left w:val="single" w:sz="4" w:space="0" w:color="1B556B"/>
              <w:bottom w:val="single" w:sz="4" w:space="0" w:color="1B556B"/>
              <w:right w:val="nil"/>
            </w:tcBorders>
            <w:tcMar>
              <w:left w:w="108" w:type="dxa"/>
              <w:right w:w="108" w:type="dxa"/>
            </w:tcMar>
          </w:tcPr>
          <w:p w14:paraId="1F794A76" w14:textId="2143A8D4" w:rsidR="7705EF81" w:rsidRDefault="7705EF81" w:rsidP="00663C64">
            <w:pPr>
              <w:pStyle w:val="TableText"/>
            </w:pPr>
            <w:r w:rsidRPr="7705EF81">
              <w:t>Immediate costs, equity challenges.</w:t>
            </w:r>
          </w:p>
        </w:tc>
      </w:tr>
      <w:tr w:rsidR="7705EF81" w14:paraId="59A30957" w14:textId="77777777" w:rsidTr="002C1350">
        <w:trPr>
          <w:trHeight w:val="300"/>
        </w:trPr>
        <w:tc>
          <w:tcPr>
            <w:tcW w:w="1070" w:type="dxa"/>
            <w:tcBorders>
              <w:top w:val="single" w:sz="4" w:space="0" w:color="1B556B"/>
              <w:left w:val="nil"/>
              <w:bottom w:val="single" w:sz="4" w:space="0" w:color="1B556B"/>
              <w:right w:val="single" w:sz="4" w:space="0" w:color="1B556B"/>
            </w:tcBorders>
            <w:tcMar>
              <w:left w:w="108" w:type="dxa"/>
              <w:right w:w="108" w:type="dxa"/>
            </w:tcMar>
            <w:vAlign w:val="center"/>
          </w:tcPr>
          <w:p w14:paraId="5A47C3C0" w14:textId="74894F57" w:rsidR="7705EF81" w:rsidRDefault="00F8599A">
            <w:r>
              <w:rPr>
                <w:noProof/>
                <w14:ligatures w14:val="standardContextual"/>
              </w:rPr>
              <w:drawing>
                <wp:inline distT="0" distB="0" distL="0" distR="0" wp14:anchorId="52B5A401" wp14:editId="4BEE227C">
                  <wp:extent cx="438150" cy="438150"/>
                  <wp:effectExtent l="0" t="0" r="0" b="0"/>
                  <wp:docPr id="1812623092" name="Graphic 4" descr="Scales of justi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623092" name="Graphic 1812623092" descr="Scales of justice outline"/>
                          <pic:cNvPicPr/>
                        </pic:nvPicPr>
                        <pic:blipFill>
                          <a:blip r:embed="rId27">
                            <a:extLst>
                              <a:ext uri="{96DAC541-7B7A-43D3-8B79-37D633B846F1}">
                                <asvg:svgBlip xmlns:asvg="http://schemas.microsoft.com/office/drawing/2016/SVG/main" r:embed="rId28"/>
                              </a:ext>
                            </a:extLst>
                          </a:blip>
                          <a:stretch>
                            <a:fillRect/>
                          </a:stretch>
                        </pic:blipFill>
                        <pic:spPr>
                          <a:xfrm>
                            <a:off x="0" y="0"/>
                            <a:ext cx="438150" cy="438150"/>
                          </a:xfrm>
                          <a:prstGeom prst="rect">
                            <a:avLst/>
                          </a:prstGeom>
                        </pic:spPr>
                      </pic:pic>
                    </a:graphicData>
                  </a:graphic>
                </wp:inline>
              </w:drawing>
            </w:r>
          </w:p>
        </w:tc>
        <w:tc>
          <w:tcPr>
            <w:tcW w:w="1624" w:type="dxa"/>
            <w:tcBorders>
              <w:top w:val="single" w:sz="4" w:space="0" w:color="1B556B"/>
              <w:left w:val="single" w:sz="4" w:space="0" w:color="1B556B"/>
              <w:bottom w:val="single" w:sz="4" w:space="0" w:color="1B556B"/>
              <w:right w:val="single" w:sz="4" w:space="0" w:color="1B556B"/>
            </w:tcBorders>
            <w:tcMar>
              <w:left w:w="108" w:type="dxa"/>
              <w:right w:w="108" w:type="dxa"/>
            </w:tcMar>
          </w:tcPr>
          <w:p w14:paraId="403BBEF0" w14:textId="1F5B75C9" w:rsidR="7705EF81" w:rsidRPr="007015C7" w:rsidRDefault="7705EF81" w:rsidP="00663C64">
            <w:pPr>
              <w:pStyle w:val="TableText"/>
              <w:rPr>
                <w:b/>
              </w:rPr>
            </w:pPr>
            <w:r w:rsidRPr="007015C7">
              <w:rPr>
                <w:b/>
              </w:rPr>
              <w:t xml:space="preserve">Protecting the status quo </w:t>
            </w:r>
            <w:r w:rsidRPr="007015C7">
              <w:t>vs</w:t>
            </w:r>
            <w:r w:rsidRPr="007015C7">
              <w:rPr>
                <w:b/>
              </w:rPr>
              <w:t xml:space="preserve"> accepting a sunk cost</w:t>
            </w:r>
          </w:p>
        </w:tc>
        <w:tc>
          <w:tcPr>
            <w:tcW w:w="1937" w:type="dxa"/>
            <w:tcBorders>
              <w:top w:val="single" w:sz="4" w:space="0" w:color="1B556B"/>
              <w:left w:val="single" w:sz="4" w:space="0" w:color="1B556B"/>
              <w:bottom w:val="single" w:sz="4" w:space="0" w:color="1B556B"/>
              <w:right w:val="single" w:sz="4" w:space="0" w:color="1B556B"/>
            </w:tcBorders>
            <w:tcMar>
              <w:left w:w="108" w:type="dxa"/>
              <w:right w:w="108" w:type="dxa"/>
            </w:tcMar>
          </w:tcPr>
          <w:p w14:paraId="5ACB14C8" w14:textId="657E2E58" w:rsidR="7705EF81" w:rsidRDefault="7705EF81" w:rsidP="00663C64">
            <w:pPr>
              <w:pStyle w:val="TableText"/>
            </w:pPr>
            <w:r w:rsidRPr="7705EF81">
              <w:t>Large-scale investment in protection for homes in a high-risk flood zone</w:t>
            </w:r>
            <w:r w:rsidR="00777CC0">
              <w:t>.</w:t>
            </w:r>
          </w:p>
        </w:tc>
        <w:tc>
          <w:tcPr>
            <w:tcW w:w="1937" w:type="dxa"/>
            <w:tcBorders>
              <w:top w:val="single" w:sz="4" w:space="0" w:color="1B556B"/>
              <w:left w:val="single" w:sz="4" w:space="0" w:color="1B556B"/>
              <w:bottom w:val="single" w:sz="4" w:space="0" w:color="1B556B"/>
              <w:right w:val="single" w:sz="4" w:space="0" w:color="1B556B"/>
            </w:tcBorders>
            <w:tcMar>
              <w:left w:w="108" w:type="dxa"/>
              <w:right w:w="108" w:type="dxa"/>
            </w:tcMar>
          </w:tcPr>
          <w:p w14:paraId="0513194A" w14:textId="3F7ADD06" w:rsidR="7705EF81" w:rsidRDefault="7705EF81" w:rsidP="00663C64">
            <w:pPr>
              <w:pStyle w:val="TableText"/>
            </w:pPr>
            <w:r w:rsidRPr="7705EF81">
              <w:t>Fewer people are displaced from their homes and communities in the short term.</w:t>
            </w:r>
          </w:p>
        </w:tc>
        <w:tc>
          <w:tcPr>
            <w:tcW w:w="1937" w:type="dxa"/>
            <w:tcBorders>
              <w:top w:val="single" w:sz="4" w:space="0" w:color="1B556B"/>
              <w:left w:val="single" w:sz="4" w:space="0" w:color="1B556B"/>
              <w:bottom w:val="single" w:sz="4" w:space="0" w:color="1B556B"/>
              <w:right w:val="nil"/>
            </w:tcBorders>
            <w:tcMar>
              <w:left w:w="108" w:type="dxa"/>
              <w:right w:w="108" w:type="dxa"/>
            </w:tcMar>
          </w:tcPr>
          <w:p w14:paraId="4B4DA813" w14:textId="5939A36D" w:rsidR="7705EF81" w:rsidRDefault="7705EF81" w:rsidP="00663C64">
            <w:pPr>
              <w:pStyle w:val="TableText"/>
            </w:pPr>
            <w:r w:rsidRPr="7705EF81">
              <w:t>Residents remain in flood zone and potential for this to become more costly over time as further investment required.</w:t>
            </w:r>
          </w:p>
        </w:tc>
      </w:tr>
      <w:tr w:rsidR="7705EF81" w14:paraId="3567A95B" w14:textId="77777777" w:rsidTr="002C1350">
        <w:trPr>
          <w:trHeight w:val="300"/>
        </w:trPr>
        <w:tc>
          <w:tcPr>
            <w:tcW w:w="1070" w:type="dxa"/>
            <w:tcBorders>
              <w:top w:val="single" w:sz="4" w:space="0" w:color="1B556B"/>
              <w:left w:val="nil"/>
              <w:bottom w:val="single" w:sz="4" w:space="0" w:color="1B556B"/>
              <w:right w:val="single" w:sz="4" w:space="0" w:color="1B556B"/>
            </w:tcBorders>
            <w:tcMar>
              <w:left w:w="108" w:type="dxa"/>
              <w:right w:w="108" w:type="dxa"/>
            </w:tcMar>
            <w:vAlign w:val="center"/>
          </w:tcPr>
          <w:p w14:paraId="63D29F57" w14:textId="5C122012" w:rsidR="7705EF81" w:rsidRDefault="00923BB2">
            <w:r>
              <w:rPr>
                <w:noProof/>
                <w14:ligatures w14:val="standardContextual"/>
              </w:rPr>
              <w:drawing>
                <wp:inline distT="0" distB="0" distL="0" distR="0" wp14:anchorId="3E6529FB" wp14:editId="7555E518">
                  <wp:extent cx="447675" cy="447675"/>
                  <wp:effectExtent l="0" t="0" r="9525" b="9525"/>
                  <wp:docPr id="620666111" name="Graphic 5"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66111" name="Graphic 620666111" descr="World outline"/>
                          <pic:cNvPicPr/>
                        </pic:nvPicPr>
                        <pic:blipFill>
                          <a:blip r:embed="rId29">
                            <a:extLst>
                              <a:ext uri="{96DAC541-7B7A-43D3-8B79-37D633B846F1}">
                                <asvg:svgBlip xmlns:asvg="http://schemas.microsoft.com/office/drawing/2016/SVG/main" r:embed="rId30"/>
                              </a:ext>
                            </a:extLst>
                          </a:blip>
                          <a:stretch>
                            <a:fillRect/>
                          </a:stretch>
                        </pic:blipFill>
                        <pic:spPr>
                          <a:xfrm>
                            <a:off x="0" y="0"/>
                            <a:ext cx="447675" cy="447675"/>
                          </a:xfrm>
                          <a:prstGeom prst="rect">
                            <a:avLst/>
                          </a:prstGeom>
                        </pic:spPr>
                      </pic:pic>
                    </a:graphicData>
                  </a:graphic>
                </wp:inline>
              </w:drawing>
            </w:r>
          </w:p>
        </w:tc>
        <w:tc>
          <w:tcPr>
            <w:tcW w:w="1624" w:type="dxa"/>
            <w:tcBorders>
              <w:top w:val="single" w:sz="4" w:space="0" w:color="1B556B"/>
              <w:left w:val="single" w:sz="4" w:space="0" w:color="1B556B"/>
              <w:bottom w:val="single" w:sz="4" w:space="0" w:color="1B556B"/>
              <w:right w:val="single" w:sz="4" w:space="0" w:color="1B556B"/>
            </w:tcBorders>
            <w:tcMar>
              <w:left w:w="108" w:type="dxa"/>
              <w:right w:w="108" w:type="dxa"/>
            </w:tcMar>
          </w:tcPr>
          <w:p w14:paraId="2BCEB684" w14:textId="12C2548C" w:rsidR="7705EF81" w:rsidRPr="007015C7" w:rsidRDefault="7705EF81" w:rsidP="00663C64">
            <w:pPr>
              <w:pStyle w:val="TableText"/>
              <w:rPr>
                <w:b/>
              </w:rPr>
            </w:pPr>
            <w:r w:rsidRPr="007015C7">
              <w:rPr>
                <w:b/>
              </w:rPr>
              <w:t xml:space="preserve">Centralisation </w:t>
            </w:r>
            <w:r w:rsidRPr="007015C7">
              <w:t>vs</w:t>
            </w:r>
            <w:r w:rsidRPr="007015C7">
              <w:rPr>
                <w:b/>
              </w:rPr>
              <w:t xml:space="preserve"> decentralisation</w:t>
            </w:r>
          </w:p>
        </w:tc>
        <w:tc>
          <w:tcPr>
            <w:tcW w:w="1937" w:type="dxa"/>
            <w:tcBorders>
              <w:top w:val="single" w:sz="4" w:space="0" w:color="1B556B"/>
              <w:left w:val="single" w:sz="4" w:space="0" w:color="1B556B"/>
              <w:bottom w:val="single" w:sz="4" w:space="0" w:color="1B556B"/>
              <w:right w:val="single" w:sz="4" w:space="0" w:color="1B556B"/>
            </w:tcBorders>
            <w:tcMar>
              <w:left w:w="108" w:type="dxa"/>
              <w:right w:w="108" w:type="dxa"/>
            </w:tcMar>
          </w:tcPr>
          <w:p w14:paraId="72C06A10" w14:textId="41EFEC5F" w:rsidR="7705EF81" w:rsidRDefault="7705EF81" w:rsidP="00663C64">
            <w:pPr>
              <w:pStyle w:val="TableText"/>
            </w:pPr>
            <w:r w:rsidRPr="7705EF81">
              <w:t>Resources are targeted to community-level organisations to focus on resilience</w:t>
            </w:r>
            <w:r w:rsidR="000662CD">
              <w:t xml:space="preserve"> </w:t>
            </w:r>
            <w:r w:rsidRPr="7705EF81">
              <w:t>building.</w:t>
            </w:r>
          </w:p>
        </w:tc>
        <w:tc>
          <w:tcPr>
            <w:tcW w:w="1937" w:type="dxa"/>
            <w:tcBorders>
              <w:top w:val="single" w:sz="4" w:space="0" w:color="1B556B"/>
              <w:left w:val="single" w:sz="4" w:space="0" w:color="1B556B"/>
              <w:bottom w:val="single" w:sz="4" w:space="0" w:color="1B556B"/>
              <w:right w:val="single" w:sz="4" w:space="0" w:color="1B556B"/>
            </w:tcBorders>
            <w:tcMar>
              <w:left w:w="108" w:type="dxa"/>
              <w:right w:w="108" w:type="dxa"/>
            </w:tcMar>
          </w:tcPr>
          <w:p w14:paraId="51BC9D60" w14:textId="14BE598D" w:rsidR="7705EF81" w:rsidRDefault="7705EF81" w:rsidP="00663C64">
            <w:pPr>
              <w:pStyle w:val="TableText"/>
            </w:pPr>
            <w:r w:rsidRPr="7705EF81">
              <w:t>Community organisations have demonstrated they play a vital role in preparing for and responding to emergencies.</w:t>
            </w:r>
          </w:p>
        </w:tc>
        <w:tc>
          <w:tcPr>
            <w:tcW w:w="1937" w:type="dxa"/>
            <w:tcBorders>
              <w:top w:val="single" w:sz="4" w:space="0" w:color="1B556B"/>
              <w:left w:val="single" w:sz="4" w:space="0" w:color="1B556B"/>
              <w:bottom w:val="single" w:sz="4" w:space="0" w:color="1B556B"/>
              <w:right w:val="nil"/>
            </w:tcBorders>
            <w:tcMar>
              <w:left w:w="108" w:type="dxa"/>
              <w:right w:w="108" w:type="dxa"/>
            </w:tcMar>
          </w:tcPr>
          <w:p w14:paraId="74AA9A8D" w14:textId="7AABC7F4" w:rsidR="7705EF81" w:rsidRDefault="7705EF81" w:rsidP="00663C64">
            <w:pPr>
              <w:pStyle w:val="TableText"/>
            </w:pPr>
            <w:r w:rsidRPr="7705EF81">
              <w:t>Smaller groups may not have the capacity to respond to a large-scale crisis.</w:t>
            </w:r>
          </w:p>
        </w:tc>
      </w:tr>
      <w:tr w:rsidR="7705EF81" w14:paraId="70706A39" w14:textId="77777777" w:rsidTr="002C1350">
        <w:trPr>
          <w:trHeight w:val="300"/>
        </w:trPr>
        <w:tc>
          <w:tcPr>
            <w:tcW w:w="1070" w:type="dxa"/>
            <w:tcBorders>
              <w:top w:val="single" w:sz="4" w:space="0" w:color="1B556B"/>
              <w:left w:val="nil"/>
              <w:bottom w:val="single" w:sz="4" w:space="0" w:color="1B556B"/>
              <w:right w:val="single" w:sz="4" w:space="0" w:color="1B556B"/>
            </w:tcBorders>
            <w:tcMar>
              <w:left w:w="108" w:type="dxa"/>
              <w:right w:w="108" w:type="dxa"/>
            </w:tcMar>
            <w:vAlign w:val="center"/>
          </w:tcPr>
          <w:p w14:paraId="4E8356C8" w14:textId="5B58A3C4" w:rsidR="7705EF81" w:rsidRDefault="00923BB2">
            <w:r>
              <w:rPr>
                <w:noProof/>
                <w14:ligatures w14:val="standardContextual"/>
              </w:rPr>
              <w:drawing>
                <wp:inline distT="0" distB="0" distL="0" distR="0" wp14:anchorId="728F83D3" wp14:editId="5D9B6822">
                  <wp:extent cx="457200" cy="457200"/>
                  <wp:effectExtent l="0" t="0" r="0" b="0"/>
                  <wp:docPr id="829039215" name="Graphic 6" descr="Hom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39215" name="Graphic 829039215" descr="Home outline"/>
                          <pic:cNvPicPr/>
                        </pic:nvPicPr>
                        <pic:blipFill>
                          <a:blip r:embed="rId31">
                            <a:extLst>
                              <a:ext uri="{96DAC541-7B7A-43D3-8B79-37D633B846F1}">
                                <asvg:svgBlip xmlns:asvg="http://schemas.microsoft.com/office/drawing/2016/SVG/main" r:embed="rId32"/>
                              </a:ext>
                            </a:extLst>
                          </a:blip>
                          <a:stretch>
                            <a:fillRect/>
                          </a:stretch>
                        </pic:blipFill>
                        <pic:spPr>
                          <a:xfrm>
                            <a:off x="0" y="0"/>
                            <a:ext cx="457200" cy="457200"/>
                          </a:xfrm>
                          <a:prstGeom prst="rect">
                            <a:avLst/>
                          </a:prstGeom>
                        </pic:spPr>
                      </pic:pic>
                    </a:graphicData>
                  </a:graphic>
                </wp:inline>
              </w:drawing>
            </w:r>
          </w:p>
        </w:tc>
        <w:tc>
          <w:tcPr>
            <w:tcW w:w="1624" w:type="dxa"/>
            <w:tcBorders>
              <w:top w:val="single" w:sz="4" w:space="0" w:color="1B556B"/>
              <w:left w:val="single" w:sz="4" w:space="0" w:color="1B556B"/>
              <w:bottom w:val="single" w:sz="4" w:space="0" w:color="1B556B"/>
              <w:right w:val="single" w:sz="4" w:space="0" w:color="1B556B"/>
            </w:tcBorders>
            <w:tcMar>
              <w:left w:w="108" w:type="dxa"/>
              <w:right w:w="108" w:type="dxa"/>
            </w:tcMar>
          </w:tcPr>
          <w:p w14:paraId="21026CB8" w14:textId="732E2E64" w:rsidR="7705EF81" w:rsidRPr="007015C7" w:rsidRDefault="7705EF81" w:rsidP="00663C64">
            <w:pPr>
              <w:pStyle w:val="TableText"/>
              <w:rPr>
                <w:b/>
              </w:rPr>
            </w:pPr>
            <w:r w:rsidRPr="007015C7">
              <w:rPr>
                <w:b/>
              </w:rPr>
              <w:t xml:space="preserve">Individual freedoms </w:t>
            </w:r>
            <w:r w:rsidRPr="007015C7">
              <w:t>vs</w:t>
            </w:r>
            <w:r w:rsidRPr="007015C7">
              <w:rPr>
                <w:b/>
              </w:rPr>
              <w:t xml:space="preserve"> collective resilience</w:t>
            </w:r>
          </w:p>
        </w:tc>
        <w:tc>
          <w:tcPr>
            <w:tcW w:w="1937" w:type="dxa"/>
            <w:tcBorders>
              <w:top w:val="single" w:sz="4" w:space="0" w:color="1B556B"/>
              <w:left w:val="single" w:sz="4" w:space="0" w:color="1B556B"/>
              <w:bottom w:val="single" w:sz="4" w:space="0" w:color="1B556B"/>
              <w:right w:val="single" w:sz="4" w:space="0" w:color="1B556B"/>
            </w:tcBorders>
            <w:tcMar>
              <w:left w:w="108" w:type="dxa"/>
              <w:right w:w="108" w:type="dxa"/>
            </w:tcMar>
          </w:tcPr>
          <w:p w14:paraId="758F6E45" w14:textId="2A9C3E75" w:rsidR="7705EF81" w:rsidRDefault="7705EF81" w:rsidP="00663C64">
            <w:pPr>
              <w:pStyle w:val="TableText"/>
            </w:pPr>
            <w:r w:rsidRPr="7705EF81">
              <w:t>Rules and regulations on land use in risky areas are strengthened.</w:t>
            </w:r>
          </w:p>
        </w:tc>
        <w:tc>
          <w:tcPr>
            <w:tcW w:w="1937" w:type="dxa"/>
            <w:tcBorders>
              <w:top w:val="single" w:sz="4" w:space="0" w:color="1B556B"/>
              <w:left w:val="single" w:sz="4" w:space="0" w:color="1B556B"/>
              <w:bottom w:val="single" w:sz="4" w:space="0" w:color="1B556B"/>
              <w:right w:val="single" w:sz="4" w:space="0" w:color="1B556B"/>
            </w:tcBorders>
            <w:tcMar>
              <w:left w:w="108" w:type="dxa"/>
              <w:right w:w="108" w:type="dxa"/>
            </w:tcMar>
          </w:tcPr>
          <w:p w14:paraId="3602D346" w14:textId="7A47B09F" w:rsidR="7705EF81" w:rsidRDefault="7705EF81" w:rsidP="00663C64">
            <w:pPr>
              <w:pStyle w:val="TableText"/>
            </w:pPr>
            <w:r w:rsidRPr="7705EF81">
              <w:t>Fewer people exposed to hazard, lower longer-term financial risk for individuals.</w:t>
            </w:r>
          </w:p>
        </w:tc>
        <w:tc>
          <w:tcPr>
            <w:tcW w:w="1937" w:type="dxa"/>
            <w:tcBorders>
              <w:top w:val="single" w:sz="4" w:space="0" w:color="1B556B"/>
              <w:left w:val="single" w:sz="4" w:space="0" w:color="1B556B"/>
              <w:bottom w:val="single" w:sz="4" w:space="0" w:color="1B556B"/>
              <w:right w:val="nil"/>
            </w:tcBorders>
            <w:tcMar>
              <w:left w:w="108" w:type="dxa"/>
              <w:right w:w="108" w:type="dxa"/>
            </w:tcMar>
          </w:tcPr>
          <w:p w14:paraId="543F8104" w14:textId="56A7A90F" w:rsidR="7705EF81" w:rsidRDefault="7705EF81" w:rsidP="00663C64">
            <w:pPr>
              <w:pStyle w:val="TableText"/>
            </w:pPr>
            <w:r w:rsidRPr="7705EF81">
              <w:t>Can infringe on people’s ability to live where they want, or where they have in the past.</w:t>
            </w:r>
          </w:p>
        </w:tc>
      </w:tr>
    </w:tbl>
    <w:p w14:paraId="21D1E034" w14:textId="0DE2C6AE" w:rsidR="5155C368" w:rsidRPr="007015C7" w:rsidRDefault="5155C368" w:rsidP="46C76630">
      <w:pPr>
        <w:pStyle w:val="Heading2"/>
      </w:pPr>
      <w:bookmarkStart w:id="28" w:name="_Toc214435299"/>
      <w:r w:rsidRPr="007015C7">
        <w:t>What makes these decisions hard?</w:t>
      </w:r>
      <w:bookmarkEnd w:id="28"/>
    </w:p>
    <w:p w14:paraId="2207D832" w14:textId="64FBA72A" w:rsidR="3B8F5E8B" w:rsidRDefault="614F649F" w:rsidP="007015C7">
      <w:pPr>
        <w:pStyle w:val="BodyText"/>
      </w:pPr>
      <w:r w:rsidRPr="46C76630">
        <w:t xml:space="preserve">Resilience-building decisions </w:t>
      </w:r>
      <w:r w:rsidR="3B8F5E8B" w:rsidRPr="46C76630">
        <w:t xml:space="preserve">are not just technical or financial </w:t>
      </w:r>
      <w:r w:rsidR="000662CD">
        <w:t>–</w:t>
      </w:r>
      <w:r w:rsidR="3B8F5E8B" w:rsidRPr="46C76630">
        <w:t xml:space="preserve"> they </w:t>
      </w:r>
      <w:r w:rsidR="2EC6FB30" w:rsidRPr="46C76630">
        <w:t xml:space="preserve">often </w:t>
      </w:r>
      <w:r w:rsidR="3B8F5E8B" w:rsidRPr="46C76630">
        <w:t>reflect deeper tensions between values, priorities and timelines. While each option has its merits, choosing between them often means navigating uncertainty, competing interests and limited resources.</w:t>
      </w:r>
    </w:p>
    <w:p w14:paraId="0CF3FD83" w14:textId="6A0E24D0" w:rsidR="3B8F5E8B" w:rsidRDefault="3B8F5E8B" w:rsidP="007015C7">
      <w:pPr>
        <w:pStyle w:val="BodyText"/>
      </w:pPr>
      <w:r w:rsidRPr="46C76630">
        <w:t>Several factors complicate these decisions:</w:t>
      </w:r>
    </w:p>
    <w:p w14:paraId="780A1D4D" w14:textId="5281335B" w:rsidR="00417DAD" w:rsidRPr="00C54069" w:rsidRDefault="1DDABB23" w:rsidP="007015C7">
      <w:pPr>
        <w:pStyle w:val="Bullet"/>
        <w:rPr>
          <w:rFonts w:eastAsia="Calibri" w:cs="Calibri"/>
          <w:color w:val="000000" w:themeColor="text1"/>
        </w:rPr>
      </w:pPr>
      <w:r w:rsidRPr="008879E1">
        <w:rPr>
          <w:rFonts w:eastAsia="Calibri"/>
          <w:b/>
          <w:color w:val="000000" w:themeColor="text1"/>
        </w:rPr>
        <w:t>Lack of data:</w:t>
      </w:r>
      <w:r w:rsidRPr="000662CD">
        <w:rPr>
          <w:rFonts w:eastAsia="Calibri"/>
          <w:color w:val="000000" w:themeColor="text1"/>
        </w:rPr>
        <w:t xml:space="preserve"> </w:t>
      </w:r>
      <w:r w:rsidRPr="008879E1">
        <w:rPr>
          <w:rFonts w:eastAsia="Calibri" w:cs="Calibri"/>
          <w:color w:val="000000" w:themeColor="text1"/>
        </w:rPr>
        <w:t>Information is not always accessible or available to aid understanding of the full impacts of hazards</w:t>
      </w:r>
      <w:r w:rsidR="009138A8">
        <w:rPr>
          <w:rFonts w:eastAsia="Calibri" w:cs="Calibri"/>
          <w:color w:val="000000" w:themeColor="text1"/>
        </w:rPr>
        <w:t>.</w:t>
      </w:r>
      <w:r w:rsidR="00417DAD" w:rsidRPr="008879E1">
        <w:rPr>
          <w:rStyle w:val="EndnoteReference"/>
          <w:rFonts w:eastAsia="Calibri" w:cs="Calibri"/>
          <w:b/>
          <w:bCs/>
          <w:color w:val="000000" w:themeColor="text1"/>
        </w:rPr>
        <w:endnoteReference w:id="36"/>
      </w:r>
    </w:p>
    <w:p w14:paraId="3FCB2D9E" w14:textId="74FD768A" w:rsidR="3B8F5E8B" w:rsidRPr="00C54069" w:rsidRDefault="3B8F5E8B" w:rsidP="007015C7">
      <w:pPr>
        <w:pStyle w:val="Bullet"/>
        <w:rPr>
          <w:rFonts w:eastAsia="Calibri" w:cs="Calibri"/>
          <w:color w:val="000000" w:themeColor="text1"/>
        </w:rPr>
      </w:pPr>
      <w:r w:rsidRPr="008879E1">
        <w:rPr>
          <w:rFonts w:eastAsia="Calibri"/>
          <w:b/>
          <w:color w:val="000000" w:themeColor="text1"/>
        </w:rPr>
        <w:t>Differing perspectives on risk:</w:t>
      </w:r>
      <w:r w:rsidRPr="000662CD">
        <w:rPr>
          <w:rFonts w:eastAsia="Calibri"/>
          <w:color w:val="000000" w:themeColor="text1"/>
        </w:rPr>
        <w:t xml:space="preserve"> </w:t>
      </w:r>
      <w:r w:rsidRPr="008879E1">
        <w:rPr>
          <w:rFonts w:eastAsia="Calibri" w:cs="Calibri"/>
          <w:color w:val="000000" w:themeColor="text1"/>
        </w:rPr>
        <w:t>People, businesses and communities have varying levels of risk tolerance, shaped by timelines, incentives and worldviews. For example, Māori perspectives on whenua, whakapapa and collective wellbeing may lead to different priorities than those based on overseas frameworks</w:t>
      </w:r>
      <w:r w:rsidR="009138A8">
        <w:rPr>
          <w:rFonts w:eastAsia="Calibri" w:cs="Calibri"/>
          <w:color w:val="000000" w:themeColor="text1"/>
        </w:rPr>
        <w:t>.</w:t>
      </w:r>
    </w:p>
    <w:p w14:paraId="15994971" w14:textId="1F23215C" w:rsidR="3B8F5E8B" w:rsidRPr="00C54069" w:rsidRDefault="3B8F5E8B" w:rsidP="007015C7">
      <w:pPr>
        <w:pStyle w:val="Bullet"/>
        <w:rPr>
          <w:rFonts w:eastAsia="Calibri" w:cs="Calibri"/>
          <w:color w:val="000000" w:themeColor="text1"/>
        </w:rPr>
      </w:pPr>
      <w:r w:rsidRPr="008879E1">
        <w:rPr>
          <w:rFonts w:eastAsia="Calibri"/>
          <w:b/>
          <w:color w:val="000000" w:themeColor="text1"/>
        </w:rPr>
        <w:t>Opportunity cost:</w:t>
      </w:r>
      <w:r w:rsidRPr="000662CD">
        <w:rPr>
          <w:rFonts w:eastAsia="Calibri"/>
          <w:color w:val="000000" w:themeColor="text1"/>
        </w:rPr>
        <w:t xml:space="preserve"> </w:t>
      </w:r>
      <w:r w:rsidRPr="008879E1">
        <w:rPr>
          <w:rFonts w:eastAsia="Calibri" w:cs="Calibri"/>
          <w:color w:val="000000" w:themeColor="text1"/>
        </w:rPr>
        <w:t xml:space="preserve">Building resilience often means shifting resources away from other national goals, such as productivity or environmental protection. While </w:t>
      </w:r>
      <w:r w:rsidR="00997CD5">
        <w:rPr>
          <w:rFonts w:eastAsia="Calibri" w:cs="Calibri"/>
          <w:color w:val="000000" w:themeColor="text1"/>
        </w:rPr>
        <w:t>‘</w:t>
      </w:r>
      <w:r w:rsidRPr="008879E1">
        <w:rPr>
          <w:rFonts w:eastAsia="Calibri" w:cs="Calibri"/>
          <w:color w:val="000000" w:themeColor="text1"/>
        </w:rPr>
        <w:t>win-win</w:t>
      </w:r>
      <w:r w:rsidR="00997CD5">
        <w:rPr>
          <w:rFonts w:eastAsia="Calibri" w:cs="Calibri"/>
          <w:color w:val="000000" w:themeColor="text1"/>
        </w:rPr>
        <w:t>’</w:t>
      </w:r>
      <w:r w:rsidRPr="008879E1">
        <w:rPr>
          <w:rFonts w:eastAsia="Calibri" w:cs="Calibri"/>
          <w:color w:val="000000" w:themeColor="text1"/>
        </w:rPr>
        <w:t xml:space="preserve"> solutions should be pursued, they are not always possible.</w:t>
      </w:r>
    </w:p>
    <w:p w14:paraId="6A4C33E7" w14:textId="14EED41A" w:rsidR="3B8F5E8B" w:rsidRPr="008D0F15" w:rsidRDefault="2A13B9BE" w:rsidP="00C54069">
      <w:pPr>
        <w:pStyle w:val="BodyText"/>
        <w:rPr>
          <w:spacing w:val="-2"/>
        </w:rPr>
      </w:pPr>
      <w:r w:rsidRPr="008D0F15">
        <w:rPr>
          <w:rStyle w:val="BodyTextChar"/>
          <w:spacing w:val="-2"/>
        </w:rPr>
        <w:lastRenderedPageBreak/>
        <w:t>These tensions make it difficult to agree on how best to enhance shared assets like roads, rivers or apartment buildings. As a result, short-term interests can often win out over longer-term</w:t>
      </w:r>
      <w:r w:rsidRPr="008D0F15">
        <w:rPr>
          <w:spacing w:val="-2"/>
        </w:rPr>
        <w:t xml:space="preserve"> resilience efforts</w:t>
      </w:r>
      <w:r w:rsidR="00912B3F" w:rsidRPr="008D0F15">
        <w:rPr>
          <w:rStyle w:val="EndnoteReference"/>
          <w:spacing w:val="-2"/>
        </w:rPr>
        <w:endnoteReference w:id="37"/>
      </w:r>
      <w:r w:rsidRPr="008D0F15">
        <w:rPr>
          <w:spacing w:val="-2"/>
        </w:rPr>
        <w:t>. If New Zealand is to become more resilient, we must be willing to confront these trade-offs and make decisions that reflect our shared values and long-term goals.</w:t>
      </w:r>
    </w:p>
    <w:p w14:paraId="40C544DF" w14:textId="4D86A71A" w:rsidR="3B8F5E8B" w:rsidRDefault="2A13B9BE" w:rsidP="00C54069">
      <w:pPr>
        <w:pStyle w:val="BodyText"/>
      </w:pPr>
      <w:r w:rsidRPr="7705EF81">
        <w:t>Conceptualising risk is also hard, especially when dealing with low-probability, high-impact events or cascading hazards</w:t>
      </w:r>
      <w:r w:rsidR="00912B3F">
        <w:rPr>
          <w:rStyle w:val="EndnoteReference"/>
        </w:rPr>
        <w:endnoteReference w:id="38"/>
      </w:r>
      <w:r w:rsidRPr="7705EF81">
        <w:t>. Yet recent history, from pandemics to cyclones, shows that a range of low-probability events can and will likely occur multiple times within a single generation.</w:t>
      </w:r>
    </w:p>
    <w:p w14:paraId="0DF05603" w14:textId="16A7372D" w:rsidR="00C36464" w:rsidRPr="007D5FD8" w:rsidRDefault="585412D8" w:rsidP="007015C7">
      <w:pPr>
        <w:pStyle w:val="BodyText"/>
      </w:pPr>
      <w:r w:rsidRPr="007D5FD8">
        <w:t xml:space="preserve">Frameworks that support consistent and transparent decision-making are essential for managing uncertainty. Formal risk tolerance approaches </w:t>
      </w:r>
      <w:r w:rsidR="00565CA2">
        <w:t>–</w:t>
      </w:r>
      <w:r w:rsidR="00565CA2" w:rsidRPr="007D5FD8">
        <w:t xml:space="preserve"> </w:t>
      </w:r>
      <w:r w:rsidRPr="007D5FD8">
        <w:t>such as those proposed by the Natural Hazards Commission and embedded in tools like the Natural Hazards Portal</w:t>
      </w:r>
      <w:r w:rsidR="00381BB1" w:rsidRPr="007015C7">
        <w:rPr>
          <w:rStyle w:val="EndnoteReference"/>
          <w:rFonts w:eastAsia="Calibri" w:cs="Calibri"/>
        </w:rPr>
        <w:endnoteReference w:id="39"/>
      </w:r>
      <w:r w:rsidRPr="007D5FD8">
        <w:t xml:space="preserve"> </w:t>
      </w:r>
      <w:r w:rsidR="00565CA2">
        <w:t>–</w:t>
      </w:r>
      <w:r w:rsidRPr="007D5FD8">
        <w:t xml:space="preserve"> help guide conversations about acceptable levels of risk and who bears responsibility. Similarly, tools like Dynamic Adaptive Pathways Planning are already being used by infrastructure decision-makers, such as councils, to develop flexible strategies based on likely scenarios. These frameworks offer a practical way to move from disagreement to shared understanding, and from uncertainty to action.</w:t>
      </w:r>
    </w:p>
    <w:p w14:paraId="6EE96627" w14:textId="2D8EB12A" w:rsidR="3B8F5E8B" w:rsidRPr="007015C7" w:rsidRDefault="3B8F5E8B" w:rsidP="46C76630">
      <w:pPr>
        <w:pStyle w:val="Heading2"/>
      </w:pPr>
      <w:bookmarkStart w:id="29" w:name="_Toc214435300"/>
      <w:r w:rsidRPr="007015C7">
        <w:t>Who bears the risk and the cost?</w:t>
      </w:r>
      <w:bookmarkEnd w:id="29"/>
    </w:p>
    <w:p w14:paraId="0F919CB0" w14:textId="21C0F063" w:rsidR="3B8F5E8B" w:rsidRDefault="2A13B9BE" w:rsidP="46C76630">
      <w:pPr>
        <w:jc w:val="left"/>
        <w:rPr>
          <w:rFonts w:eastAsia="Calibri" w:cs="Calibri"/>
        </w:rPr>
      </w:pPr>
      <w:r w:rsidRPr="007015C7">
        <w:rPr>
          <w:rStyle w:val="BodyTextChar"/>
        </w:rPr>
        <w:t>Historically, New Zealand’s disaster recovery costs have been shared across society (central and local government, insurers and property owners). However, climate-related hazards are reshaping the insurance landscape. If risks grow unchecked, insurance may become unaffordable or unavailable.</w:t>
      </w:r>
      <w:r w:rsidRPr="00156A1B">
        <w:rPr>
          <w:rFonts w:eastAsia="Calibri" w:cs="Calibri"/>
        </w:rPr>
        <w:t xml:space="preserve"> </w:t>
      </w:r>
      <w:r w:rsidRPr="7705EF81">
        <w:rPr>
          <w:rFonts w:eastAsia="Calibri" w:cs="Calibri"/>
        </w:rPr>
        <w:t>This trend is critically important for New Zealand, where property values are high and 57 percent of our household wealth is tied up in residential property.</w:t>
      </w:r>
      <w:r w:rsidR="00B61AB1">
        <w:rPr>
          <w:rStyle w:val="EndnoteReference"/>
          <w:rFonts w:eastAsia="Calibri" w:cs="Calibri"/>
        </w:rPr>
        <w:endnoteReference w:id="40"/>
      </w:r>
    </w:p>
    <w:p w14:paraId="231BDF37" w14:textId="61287618" w:rsidR="3B8F5E8B" w:rsidRDefault="2A13B9BE" w:rsidP="00C54069">
      <w:pPr>
        <w:pStyle w:val="BodyText"/>
        <w:rPr>
          <w:color w:val="333333"/>
        </w:rPr>
      </w:pPr>
      <w:r w:rsidRPr="7705EF81">
        <w:t>Insurance companies are responding to increasing climate-related risk by raising premiums, limiting online quotes and withdrawing coverage in some areas altogether.</w:t>
      </w:r>
      <w:r w:rsidR="00372FE0">
        <w:rPr>
          <w:rStyle w:val="EndnoteReference"/>
        </w:rPr>
        <w:endnoteReference w:id="41"/>
      </w:r>
      <w:r w:rsidRPr="7705EF81">
        <w:t xml:space="preserve"> </w:t>
      </w:r>
      <w:r w:rsidR="335AA4E2" w:rsidRPr="7705EF81">
        <w:t xml:space="preserve">This </w:t>
      </w:r>
      <w:r w:rsidRPr="7705EF81">
        <w:t>insurance retreat is expected to continue. New Zealand homes and businesses are insured by international re-insurers who are facing increasing liabilities globally. As a small and higher risk insurance market, New Zealand has a strategic economic imperative to remain a viable and sustainable destination for reinsurance through proactive hazard management</w:t>
      </w:r>
      <w:r w:rsidR="00156A1B">
        <w:t>.</w:t>
      </w:r>
      <w:r w:rsidR="007147D5">
        <w:rPr>
          <w:rStyle w:val="EndnoteReference"/>
          <w:rFonts w:eastAsia="Calibri" w:cs="Calibri"/>
        </w:rPr>
        <w:endnoteReference w:id="42"/>
      </w:r>
    </w:p>
    <w:p w14:paraId="4DC0EEFC" w14:textId="786CD257" w:rsidR="3B8F5E8B" w:rsidRDefault="2A13B9BE" w:rsidP="00C54069">
      <w:pPr>
        <w:pStyle w:val="BodyText"/>
      </w:pPr>
      <w:r w:rsidRPr="7705EF81">
        <w:t>By 2050, at least 10,000 homes in main coastal centres may be uninsurable,</w:t>
      </w:r>
      <w:r w:rsidR="0068639B">
        <w:rPr>
          <w:rStyle w:val="EndnoteReference"/>
          <w:rFonts w:eastAsia="Calibri" w:cs="Calibri"/>
        </w:rPr>
        <w:endnoteReference w:id="43"/>
      </w:r>
      <w:r w:rsidRPr="7705EF81">
        <w:t xml:space="preserve"> and even minor sea</w:t>
      </w:r>
      <w:r w:rsidR="00156A1B">
        <w:t>-</w:t>
      </w:r>
      <w:r w:rsidRPr="7705EF81">
        <w:t>level rises could trigger partial insurance retreat for 99 percent of homes in high-risk coastal zones by 2034.</w:t>
      </w:r>
      <w:r w:rsidR="005F1C82">
        <w:rPr>
          <w:rStyle w:val="EndnoteReference"/>
          <w:rFonts w:eastAsia="Calibri" w:cs="Calibri"/>
        </w:rPr>
        <w:endnoteReference w:id="44"/>
      </w:r>
      <w:r w:rsidRPr="7705EF81">
        <w:rPr>
          <w:color w:val="000000" w:themeColor="text1"/>
          <w:vertAlign w:val="superscript"/>
        </w:rPr>
        <w:t xml:space="preserve"> </w:t>
      </w:r>
      <w:r w:rsidRPr="7705EF81">
        <w:t>If insurance becomes too expensive or unavailable, many New Zealand homeowners will face profound impacts on the value of their homes and their ability to secure mortgages.</w:t>
      </w:r>
      <w:r w:rsidR="00683DD3">
        <w:rPr>
          <w:rStyle w:val="EndnoteReference"/>
        </w:rPr>
        <w:endnoteReference w:id="45"/>
      </w:r>
    </w:p>
    <w:p w14:paraId="5A59785D" w14:textId="48093698" w:rsidR="3B8F5E8B" w:rsidRDefault="3B8F5E8B" w:rsidP="007015C7">
      <w:pPr>
        <w:pStyle w:val="BodyText"/>
      </w:pPr>
      <w:r w:rsidRPr="46C76630">
        <w:t>Beyond individual households, insurance retreat presents a systemic challenge with far-reaching implications for New Zealand’s financial system, housing market and intergenerational equity. It may affect bank portfolios, local government revenue and the fiscal exposure of the Crown. If not actively addressed, the cumulative effect could entrench vulnerability, undermine confidence in the housing market, and create a shadow liability for future taxpayers.</w:t>
      </w:r>
    </w:p>
    <w:p w14:paraId="4B8AA8C0" w14:textId="4E5EF4A2" w:rsidR="3B8F5E8B" w:rsidRDefault="3B8F5E8B" w:rsidP="007015C7">
      <w:pPr>
        <w:pStyle w:val="BodyText"/>
      </w:pPr>
      <w:r w:rsidRPr="46C76630">
        <w:t>Rural insurance dynamics further complicate this picture. Unlike urban insurance, which often covers full reinstatement, rural insurance typically involves contributory models that exclude certain assets like fencing, livestock and crops. These exclusions reflect affordability constraints and limited availability, leaving rural asset owners more financially exposed.</w:t>
      </w:r>
    </w:p>
    <w:p w14:paraId="3027E50F" w14:textId="421CB120" w:rsidR="3B8F5E8B" w:rsidRDefault="3B8F5E8B" w:rsidP="00C54069">
      <w:pPr>
        <w:pStyle w:val="BodyText"/>
      </w:pPr>
      <w:r w:rsidRPr="46C76630">
        <w:t xml:space="preserve">This raises a difficult question: who should bear the financial risk – individual homeowners or the </w:t>
      </w:r>
      <w:r w:rsidR="008FBAE1">
        <w:t>g</w:t>
      </w:r>
      <w:r>
        <w:t>overnment</w:t>
      </w:r>
      <w:r w:rsidRPr="46C76630">
        <w:t xml:space="preserve"> on behalf of the wider community?</w:t>
      </w:r>
    </w:p>
    <w:p w14:paraId="646201BF" w14:textId="7BE68DB3" w:rsidR="3B8F5E8B" w:rsidRDefault="3B8F5E8B" w:rsidP="00C54069">
      <w:pPr>
        <w:pStyle w:val="Bullet"/>
        <w:rPr>
          <w:rFonts w:eastAsia="Calibri" w:cs="Calibri"/>
        </w:rPr>
      </w:pPr>
      <w:r w:rsidRPr="46C76630">
        <w:rPr>
          <w:rFonts w:eastAsia="Calibri"/>
          <w:b/>
        </w:rPr>
        <w:lastRenderedPageBreak/>
        <w:t>Individual responsibility:</w:t>
      </w:r>
      <w:r w:rsidRPr="46C76630">
        <w:rPr>
          <w:rFonts w:eastAsia="Calibri" w:cs="Calibri"/>
        </w:rPr>
        <w:t xml:space="preserve"> Homeowners choose where to live and should bear the consequences. This approach incentivises proactive risk reduction but can lead to social disruption and economic instability.</w:t>
      </w:r>
    </w:p>
    <w:p w14:paraId="1562B386" w14:textId="32D86E3C" w:rsidR="3B8F5E8B" w:rsidRDefault="3B8F5E8B" w:rsidP="00C54069">
      <w:pPr>
        <w:pStyle w:val="Bullet"/>
        <w:rPr>
          <w:rFonts w:eastAsia="Calibri"/>
        </w:rPr>
      </w:pPr>
      <w:r w:rsidRPr="46C76630">
        <w:rPr>
          <w:rFonts w:eastAsia="Calibri"/>
          <w:b/>
        </w:rPr>
        <w:t>Government protection:</w:t>
      </w:r>
      <w:r w:rsidRPr="46C76630">
        <w:rPr>
          <w:rFonts w:eastAsia="Calibri"/>
        </w:rPr>
        <w:t xml:space="preserve"> Public support can reduce hardship but may create moral hazard, blunt market signals and shift costs to taxpayers – including those not living in high-risk areas. It also raises serious questions about fairness and equity.</w:t>
      </w:r>
    </w:p>
    <w:p w14:paraId="3A4B1983" w14:textId="3409C612" w:rsidR="3B8F5E8B" w:rsidRDefault="3B8F5E8B" w:rsidP="00C54069">
      <w:pPr>
        <w:pStyle w:val="BodyText"/>
      </w:pPr>
      <w:r w:rsidRPr="46C76630">
        <w:t xml:space="preserve">But the answer to who bears responsibility </w:t>
      </w:r>
      <w:r w:rsidRPr="00622B4A">
        <w:rPr>
          <w:iCs/>
        </w:rPr>
        <w:t>need not be one or the other</w:t>
      </w:r>
      <w:r w:rsidRPr="46C76630">
        <w:t>. Finding the path forward may require a balance and a transition – incentivising individuals to be responsible through smarter pricing and planning rules, while also having strong government support and investment in community resilience.</w:t>
      </w:r>
    </w:p>
    <w:p w14:paraId="46104F25" w14:textId="54B11007" w:rsidR="6306F582" w:rsidRPr="00683DD3" w:rsidRDefault="3B8F5E8B" w:rsidP="00C54069">
      <w:pPr>
        <w:pStyle w:val="BodyText"/>
      </w:pPr>
      <w:r w:rsidRPr="46C76630">
        <w:t xml:space="preserve">These challenges are real, but they also create a powerful opportunity to rethink how we manage risk, invest in resilience and support communities. </w:t>
      </w:r>
      <w:r w:rsidRPr="0041220D">
        <w:t>Section 4</w:t>
      </w:r>
      <w:r w:rsidRPr="46C76630">
        <w:t xml:space="preserve"> </w:t>
      </w:r>
      <w:r w:rsidR="19A99507" w:rsidRPr="46C76630">
        <w:t>delves</w:t>
      </w:r>
      <w:r w:rsidRPr="46C76630">
        <w:t xml:space="preserve"> </w:t>
      </w:r>
      <w:r w:rsidR="475B4150" w:rsidRPr="46C76630">
        <w:t>deeper into opportunities for New Zealand to build resilience.</w:t>
      </w:r>
    </w:p>
    <w:p w14:paraId="5CC9AFE3" w14:textId="7177D78D" w:rsidR="003F347B" w:rsidRPr="00ED4A04" w:rsidRDefault="003F347B" w:rsidP="00ED4A04">
      <w:pPr>
        <w:pStyle w:val="BodyText"/>
      </w:pPr>
      <w:r w:rsidRPr="69FEF511">
        <w:br w:type="page"/>
      </w:r>
    </w:p>
    <w:p w14:paraId="18371AE7" w14:textId="509A9C67" w:rsidR="00E84D9B" w:rsidRPr="005B0CED" w:rsidRDefault="00E84D9B" w:rsidP="69FEF511">
      <w:pPr>
        <w:pStyle w:val="Heading1"/>
      </w:pPr>
      <w:bookmarkStart w:id="30" w:name="_Toc202529466"/>
      <w:bookmarkStart w:id="31" w:name="_Toc214435301"/>
      <w:r w:rsidRPr="69FEF511">
        <w:lastRenderedPageBreak/>
        <w:t xml:space="preserve">Section 4: </w:t>
      </w:r>
      <w:r w:rsidR="006D7DA3" w:rsidRPr="69FEF511">
        <w:t xml:space="preserve">Opportunities </w:t>
      </w:r>
      <w:r w:rsidR="004748D9" w:rsidRPr="69FEF511">
        <w:t>to build resilience</w:t>
      </w:r>
      <w:bookmarkEnd w:id="30"/>
      <w:bookmarkEnd w:id="31"/>
    </w:p>
    <w:p w14:paraId="60DB4AF4" w14:textId="69AC207F" w:rsidR="0082730D" w:rsidRPr="00CD1D75" w:rsidRDefault="3B969E72" w:rsidP="69FEF511">
      <w:pPr>
        <w:pStyle w:val="BodyText"/>
        <w:rPr>
          <w:rFonts w:cs="Calibri"/>
        </w:rPr>
      </w:pPr>
      <w:r w:rsidRPr="69FEF511">
        <w:rPr>
          <w:rFonts w:cs="Calibri"/>
        </w:rPr>
        <w:t xml:space="preserve">New Zealand’s historical approach to managing hazards has often been reactive, with a reliance on insurance payouts and government funding to rebuild. This reactive model is not only expensive, </w:t>
      </w:r>
      <w:proofErr w:type="gramStart"/>
      <w:r w:rsidRPr="69FEF511">
        <w:rPr>
          <w:rFonts w:cs="Calibri"/>
        </w:rPr>
        <w:t>it can</w:t>
      </w:r>
      <w:proofErr w:type="gramEnd"/>
      <w:r w:rsidRPr="69FEF511">
        <w:rPr>
          <w:rFonts w:cs="Calibri"/>
        </w:rPr>
        <w:t xml:space="preserve"> perpetuate a dangerous cycle: when asset owners expect to be bailed out, they have less incentive to reduce their own risks.</w:t>
      </w:r>
      <w:r w:rsidR="0082730D" w:rsidRPr="69FEF511">
        <w:rPr>
          <w:rStyle w:val="EndnoteReference"/>
          <w:rFonts w:eastAsia="Arial" w:cs="Calibri"/>
        </w:rPr>
        <w:endnoteReference w:id="46"/>
      </w:r>
      <w:r w:rsidRPr="69FEF511">
        <w:rPr>
          <w:rFonts w:cs="Calibri"/>
        </w:rPr>
        <w:t xml:space="preserve"> This results in more New Zealanders remaining, building and investing in harm’s way.</w:t>
      </w:r>
    </w:p>
    <w:p w14:paraId="57D74E80" w14:textId="77777777" w:rsidR="0082730D" w:rsidRPr="00CD1D75" w:rsidRDefault="250069EE" w:rsidP="69FEF511">
      <w:pPr>
        <w:pStyle w:val="BodyText"/>
        <w:rPr>
          <w:rFonts w:cs="Calibri"/>
        </w:rPr>
      </w:pPr>
      <w:r w:rsidRPr="69FEF511">
        <w:rPr>
          <w:rFonts w:cs="Calibri"/>
        </w:rPr>
        <w:t>Enquiries and reports have pointed out that New Zealand is not well prepared for large hazards. When something major happens, such as a flood, earthquake or pandemic, the recovery is often ad hoc. This approach is costly and can cause delays and uncertainty, and added stress for communities, making it hard for people to plan.</w:t>
      </w:r>
      <w:r w:rsidR="0082730D" w:rsidRPr="69FEF511">
        <w:rPr>
          <w:rStyle w:val="EndnoteReference"/>
          <w:rFonts w:eastAsia="Calibri" w:cs="Calibri"/>
        </w:rPr>
        <w:endnoteReference w:id="47"/>
      </w:r>
      <w:r w:rsidRPr="69FEF511">
        <w:rPr>
          <w:rStyle w:val="EndnoteReference"/>
          <w:rFonts w:eastAsia="Calibri" w:cs="Calibri"/>
        </w:rPr>
        <w:t>,</w:t>
      </w:r>
      <w:r w:rsidR="0082730D" w:rsidRPr="69FEF511">
        <w:rPr>
          <w:rStyle w:val="EndnoteReference"/>
          <w:rFonts w:eastAsia="Calibri" w:cs="Calibri"/>
        </w:rPr>
        <w:endnoteReference w:id="48"/>
      </w:r>
    </w:p>
    <w:p w14:paraId="79EB78DC" w14:textId="060CB99C" w:rsidR="0082730D" w:rsidRPr="00CD1D75" w:rsidRDefault="250069EE" w:rsidP="69FEF511">
      <w:pPr>
        <w:pStyle w:val="BodyText"/>
        <w:rPr>
          <w:rFonts w:cs="Calibri"/>
        </w:rPr>
      </w:pPr>
      <w:r w:rsidRPr="69FEF511">
        <w:rPr>
          <w:rFonts w:cs="Calibri"/>
        </w:rPr>
        <w:t>Taking a proactive approach is more cost-effective, saves lives and better protects homes, businesses and public assets. It also unlocks long-term benefits – from stronger communities and healthier ecosystems to a more resilient and adaptable economy.</w:t>
      </w:r>
      <w:r w:rsidR="0082730D" w:rsidRPr="69FEF511">
        <w:rPr>
          <w:rStyle w:val="EndnoteReference"/>
          <w:rFonts w:eastAsia="Arial" w:cs="Calibri"/>
          <w:color w:val="000000" w:themeColor="text1"/>
        </w:rPr>
        <w:endnoteReference w:id="49"/>
      </w:r>
    </w:p>
    <w:p w14:paraId="150FBE4D" w14:textId="3EF9F6BE" w:rsidR="00E84D9B" w:rsidRPr="008D0F15" w:rsidRDefault="00E84D9B" w:rsidP="69FEF511">
      <w:pPr>
        <w:pStyle w:val="BodyText"/>
        <w:rPr>
          <w:rFonts w:cs="Calibri"/>
          <w:spacing w:val="-2"/>
        </w:rPr>
      </w:pPr>
      <w:r w:rsidRPr="008D0F15">
        <w:rPr>
          <w:rFonts w:cs="Calibri"/>
          <w:spacing w:val="-2"/>
        </w:rPr>
        <w:t xml:space="preserve">There are a range of options that would allow New Zealand to build on existing resilience-enhancing efforts and create a more resilient future. </w:t>
      </w:r>
      <w:r w:rsidR="00DD260E" w:rsidRPr="008D0F15">
        <w:rPr>
          <w:rFonts w:cs="Calibri"/>
          <w:spacing w:val="-2"/>
        </w:rPr>
        <w:t>This section</w:t>
      </w:r>
      <w:r w:rsidRPr="008D0F15">
        <w:rPr>
          <w:rFonts w:cs="Calibri"/>
          <w:spacing w:val="-2"/>
        </w:rPr>
        <w:t xml:space="preserve"> explore</w:t>
      </w:r>
      <w:r w:rsidR="00DD260E" w:rsidRPr="008D0F15">
        <w:rPr>
          <w:rFonts w:cs="Calibri"/>
          <w:spacing w:val="-2"/>
        </w:rPr>
        <w:t>s</w:t>
      </w:r>
      <w:r w:rsidRPr="008D0F15">
        <w:rPr>
          <w:rFonts w:cs="Calibri"/>
          <w:spacing w:val="-2"/>
        </w:rPr>
        <w:t xml:space="preserve"> how New Zealand could invest in a better understanding of hazards, prioritise efforts on the most consequential hazards, enhance community resilience, harness the opportunities of </w:t>
      </w:r>
      <w:r w:rsidR="006B433A" w:rsidRPr="008D0F15">
        <w:rPr>
          <w:rFonts w:cs="Calibri"/>
          <w:spacing w:val="-2"/>
        </w:rPr>
        <w:t>AI</w:t>
      </w:r>
      <w:r w:rsidRPr="008D0F15">
        <w:rPr>
          <w:rFonts w:cs="Calibri"/>
          <w:spacing w:val="-2"/>
        </w:rPr>
        <w:t>, invest in more resilient infrastructure</w:t>
      </w:r>
      <w:r w:rsidR="284E8D23" w:rsidRPr="008D0F15">
        <w:rPr>
          <w:rFonts w:cs="Calibri"/>
          <w:spacing w:val="-2"/>
        </w:rPr>
        <w:t>,</w:t>
      </w:r>
      <w:r w:rsidRPr="008D0F15">
        <w:rPr>
          <w:rFonts w:cs="Calibri"/>
          <w:spacing w:val="-2"/>
        </w:rPr>
        <w:t xml:space="preserve"> and consider new approaches to better capture the full value of resilience.</w:t>
      </w:r>
    </w:p>
    <w:p w14:paraId="21165E7A" w14:textId="47C44D0F" w:rsidR="006D7DA3" w:rsidRPr="005B0CED" w:rsidRDefault="14F46EE1" w:rsidP="69FEF511">
      <w:pPr>
        <w:pStyle w:val="Heading2"/>
      </w:pPr>
      <w:bookmarkStart w:id="32" w:name="_Toc202529467"/>
      <w:bookmarkStart w:id="33" w:name="_Toc214435302"/>
      <w:r>
        <w:t>Existing work is building momentum</w:t>
      </w:r>
      <w:bookmarkEnd w:id="32"/>
      <w:bookmarkEnd w:id="33"/>
    </w:p>
    <w:p w14:paraId="327B748E" w14:textId="254C3E44" w:rsidR="006D7DA3" w:rsidRPr="00CD1D75" w:rsidRDefault="006D7DA3" w:rsidP="69FEF511">
      <w:pPr>
        <w:pStyle w:val="BodyText"/>
        <w:rPr>
          <w:rFonts w:cs="Calibri"/>
        </w:rPr>
      </w:pPr>
      <w:r w:rsidRPr="69FEF511">
        <w:rPr>
          <w:rFonts w:cs="Calibri"/>
        </w:rPr>
        <w:t>New Zealand is already taking important steps toward a more resilient future. Recent government efforts reflect a growing recognition that resilience is central to economic security and wellbeing. The following initiatives are not just policy responses – they are economic enablers</w:t>
      </w:r>
      <w:r w:rsidR="00034C3B" w:rsidRPr="69FEF511">
        <w:rPr>
          <w:rFonts w:cs="Calibri"/>
        </w:rPr>
        <w:t>.</w:t>
      </w:r>
    </w:p>
    <w:p w14:paraId="453328A7" w14:textId="0EB86752" w:rsidR="006D7DA3" w:rsidRPr="00CD1D75" w:rsidRDefault="6DC84358" w:rsidP="69FEF511">
      <w:pPr>
        <w:pStyle w:val="Bullet"/>
        <w:rPr>
          <w:rFonts w:cs="Calibri"/>
        </w:rPr>
      </w:pPr>
      <w:r w:rsidRPr="007015C7">
        <w:rPr>
          <w:rStyle w:val="BodyTextChar"/>
        </w:rPr>
        <w:t xml:space="preserve">Delivery of </w:t>
      </w:r>
      <w:r w:rsidR="00BF1C72">
        <w:rPr>
          <w:rStyle w:val="BodyTextChar"/>
        </w:rPr>
        <w:t xml:space="preserve">the </w:t>
      </w:r>
      <w:r w:rsidRPr="007015C7">
        <w:rPr>
          <w:rStyle w:val="BodyTextChar"/>
          <w:b/>
        </w:rPr>
        <w:t>National Risk and Resilience Framework</w:t>
      </w:r>
      <w:r w:rsidR="4618964C" w:rsidRPr="53435550">
        <w:rPr>
          <w:rStyle w:val="BodyTextChar"/>
          <w:b/>
        </w:rPr>
        <w:t xml:space="preserve"> </w:t>
      </w:r>
      <w:r w:rsidR="0DAED6E9" w:rsidRPr="41567E33">
        <w:rPr>
          <w:rStyle w:val="BodyTextChar"/>
        </w:rPr>
        <w:t xml:space="preserve">across government </w:t>
      </w:r>
      <w:r w:rsidRPr="007015C7">
        <w:rPr>
          <w:rStyle w:val="BodyTextChar"/>
        </w:rPr>
        <w:t>is driving a more strategic and proactive approach to risk management across all of New Zealand’s National Risks</w:t>
      </w:r>
      <w:r w:rsidR="2DC7AB85" w:rsidRPr="007015C7">
        <w:rPr>
          <w:rStyle w:val="BodyTextChar"/>
        </w:rPr>
        <w:t xml:space="preserve"> (</w:t>
      </w:r>
      <w:r w:rsidR="5CEEB65B" w:rsidRPr="007015C7">
        <w:rPr>
          <w:rStyle w:val="BodyTextChar"/>
        </w:rPr>
        <w:t xml:space="preserve">significant </w:t>
      </w:r>
      <w:r w:rsidR="2DC7AB85" w:rsidRPr="007015C7">
        <w:rPr>
          <w:rStyle w:val="BodyTextChar"/>
        </w:rPr>
        <w:t>hazards and national security threats).</w:t>
      </w:r>
      <w:r w:rsidR="006D7DA3" w:rsidRPr="007015C7">
        <w:rPr>
          <w:rStyle w:val="BodyTextChar"/>
          <w:vertAlign w:val="superscript"/>
        </w:rPr>
        <w:endnoteReference w:id="50"/>
      </w:r>
      <w:r w:rsidR="2DC7AB85" w:rsidRPr="007015C7">
        <w:rPr>
          <w:rStyle w:val="BodyTextChar"/>
        </w:rPr>
        <w:t xml:space="preserve"> This includes knowing what risks we face as a nation, what we are doing</w:t>
      </w:r>
      <w:r w:rsidR="7FFDD089" w:rsidRPr="007015C7">
        <w:rPr>
          <w:rStyle w:val="BodyTextChar"/>
        </w:rPr>
        <w:t xml:space="preserve"> well</w:t>
      </w:r>
      <w:r w:rsidR="2DC7AB85" w:rsidRPr="007015C7">
        <w:rPr>
          <w:rStyle w:val="BodyTextChar"/>
        </w:rPr>
        <w:t xml:space="preserve"> and not well in managing them and taking steps to improve. </w:t>
      </w:r>
      <w:r w:rsidR="3BBEA7E3" w:rsidRPr="007015C7">
        <w:rPr>
          <w:rStyle w:val="BodyTextChar"/>
        </w:rPr>
        <w:t xml:space="preserve">It also involves having clear roles and responsibilities and governance in place so that government can take effective coordinated action, and </w:t>
      </w:r>
      <w:r w:rsidR="5B1BD814" w:rsidRPr="007015C7">
        <w:rPr>
          <w:rStyle w:val="BodyTextChar"/>
        </w:rPr>
        <w:t>government department</w:t>
      </w:r>
      <w:r w:rsidR="3BBEA7E3" w:rsidRPr="007015C7">
        <w:rPr>
          <w:rStyle w:val="BodyTextChar"/>
        </w:rPr>
        <w:t>s know what is expected of them before, during and after crises and/or emergencies. Delivery of the Framework over the next year will focus on three priority actions: planning and preparing for catastrophic risks, reducing risk through cost-effective interventions, and strengthening accountabilities</w:t>
      </w:r>
      <w:r w:rsidR="3BBEA7E3" w:rsidRPr="03F9E619">
        <w:rPr>
          <w:rFonts w:eastAsia="Calibri" w:cs="Calibri"/>
        </w:rPr>
        <w:t>.</w:t>
      </w:r>
      <w:r w:rsidR="006D7DA3" w:rsidRPr="03F9E619">
        <w:rPr>
          <w:rStyle w:val="FootnoteReference"/>
          <w:rFonts w:eastAsia="Calibri" w:cs="Calibri"/>
        </w:rPr>
        <w:footnoteReference w:id="9"/>
      </w:r>
      <w:r w:rsidR="3BBEA7E3" w:rsidRPr="03F9E619">
        <w:rPr>
          <w:rFonts w:eastAsia="Calibri" w:cs="Calibri"/>
        </w:rPr>
        <w:t xml:space="preserve"> </w:t>
      </w:r>
      <w:r w:rsidR="2DC7AB85" w:rsidRPr="48CDBE69">
        <w:rPr>
          <w:rFonts w:eastAsia="Calibri" w:cs="Calibri"/>
        </w:rPr>
        <w:t>T</w:t>
      </w:r>
      <w:r w:rsidR="2DC7AB85" w:rsidRPr="23270C8A">
        <w:rPr>
          <w:rFonts w:eastAsiaTheme="minorEastAsia" w:cs="Calibri"/>
        </w:rPr>
        <w:t>he Framework aligns with the Government’s focus on driving economic growth and protecting public safety by reducing New Zealand’s vulnerability to the harm and cost of its National Risks while protecting New Zealand’s safety</w:t>
      </w:r>
      <w:r w:rsidR="73F7CCA3" w:rsidRPr="23270C8A">
        <w:rPr>
          <w:rFonts w:eastAsiaTheme="minorEastAsia" w:cs="Calibri"/>
        </w:rPr>
        <w:t>, security</w:t>
      </w:r>
      <w:r w:rsidR="2DC7AB85" w:rsidRPr="23270C8A">
        <w:rPr>
          <w:rFonts w:eastAsiaTheme="minorEastAsia" w:cs="Calibri"/>
        </w:rPr>
        <w:t xml:space="preserve"> and future prosperity.</w:t>
      </w:r>
    </w:p>
    <w:p w14:paraId="56AB69EE" w14:textId="3341EABD" w:rsidR="006D7DA3" w:rsidRPr="00CD1D75" w:rsidRDefault="7B604E58">
      <w:pPr>
        <w:pStyle w:val="Bullet"/>
        <w:rPr>
          <w:rFonts w:cs="Calibri"/>
          <w:szCs w:val="22"/>
        </w:rPr>
      </w:pPr>
      <w:r w:rsidRPr="0D19BC4E">
        <w:rPr>
          <w:rFonts w:eastAsiaTheme="majorEastAsia" w:cs="Calibri"/>
        </w:rPr>
        <w:t>The</w:t>
      </w:r>
      <w:r w:rsidRPr="0D19BC4E">
        <w:rPr>
          <w:rFonts w:eastAsiaTheme="majorEastAsia" w:cs="Calibri"/>
          <w:b/>
          <w:bCs/>
        </w:rPr>
        <w:t xml:space="preserve"> National Adaptation Plan</w:t>
      </w:r>
      <w:r w:rsidR="006D7DA3" w:rsidRPr="69FEF511">
        <w:rPr>
          <w:rFonts w:eastAsia="Arial" w:cs="Calibri"/>
          <w:vertAlign w:val="superscript"/>
        </w:rPr>
        <w:endnoteReference w:id="51"/>
      </w:r>
      <w:r w:rsidRPr="69FEF511">
        <w:rPr>
          <w:rFonts w:cs="Calibri"/>
        </w:rPr>
        <w:t xml:space="preserve"> </w:t>
      </w:r>
      <w:r w:rsidRPr="0D19BC4E">
        <w:rPr>
          <w:rFonts w:eastAsiaTheme="majorEastAsia" w:cs="Calibri"/>
        </w:rPr>
        <w:t xml:space="preserve">and </w:t>
      </w:r>
      <w:r w:rsidR="5F709A54" w:rsidRPr="00605F0C">
        <w:rPr>
          <w:rFonts w:eastAsiaTheme="majorEastAsia" w:cs="Calibri"/>
          <w:b/>
          <w:bCs/>
        </w:rPr>
        <w:t>National</w:t>
      </w:r>
      <w:r w:rsidR="5F709A54" w:rsidRPr="0D19BC4E">
        <w:rPr>
          <w:rFonts w:eastAsiaTheme="majorEastAsia" w:cs="Calibri"/>
        </w:rPr>
        <w:t xml:space="preserve"> </w:t>
      </w:r>
      <w:r w:rsidRPr="0D19BC4E">
        <w:rPr>
          <w:rFonts w:eastAsiaTheme="majorEastAsia" w:cs="Calibri"/>
          <w:b/>
          <w:bCs/>
        </w:rPr>
        <w:t>Adaptation Framework</w:t>
      </w:r>
      <w:r w:rsidR="006D7DA3" w:rsidRPr="69FEF511">
        <w:rPr>
          <w:rStyle w:val="EndnoteReference"/>
          <w:rFonts w:eastAsia="Arial" w:cs="Calibri"/>
        </w:rPr>
        <w:endnoteReference w:id="52"/>
      </w:r>
      <w:r w:rsidRPr="69FEF511">
        <w:rPr>
          <w:rFonts w:eastAsia="Arial" w:cs="Calibri"/>
        </w:rPr>
        <w:t xml:space="preserve"> </w:t>
      </w:r>
      <w:r w:rsidRPr="69FEF511">
        <w:rPr>
          <w:rFonts w:cs="Calibri"/>
        </w:rPr>
        <w:t xml:space="preserve">help New Zealand adapt to the worsening impacts of climate change. The 2022 National Adaptation Plan outlines how New Zealand will respond to climate risks across infrastructure, communities </w:t>
      </w:r>
      <w:r w:rsidRPr="69FEF511">
        <w:rPr>
          <w:rFonts w:cs="Calibri"/>
        </w:rPr>
        <w:lastRenderedPageBreak/>
        <w:t xml:space="preserve">the economy and the environment. The </w:t>
      </w:r>
      <w:r w:rsidR="08112140" w:rsidRPr="0D19BC4E">
        <w:rPr>
          <w:rFonts w:cs="Calibri"/>
        </w:rPr>
        <w:t xml:space="preserve">National </w:t>
      </w:r>
      <w:r w:rsidRPr="69FEF511">
        <w:rPr>
          <w:rFonts w:cs="Calibri"/>
        </w:rPr>
        <w:t>Adaptation Framework,</w:t>
      </w:r>
      <w:r w:rsidRPr="0D19BC4E">
        <w:rPr>
          <w:rFonts w:cs="Calibri"/>
        </w:rPr>
        <w:t xml:space="preserve"> </w:t>
      </w:r>
      <w:r w:rsidR="7817B332" w:rsidRPr="0D19BC4E">
        <w:rPr>
          <w:rFonts w:eastAsiaTheme="majorEastAsia" w:cs="Calibri"/>
        </w:rPr>
        <w:t>announced</w:t>
      </w:r>
      <w:r w:rsidR="1E5B9B32" w:rsidRPr="0D19BC4E">
        <w:rPr>
          <w:rFonts w:cs="Calibri"/>
        </w:rPr>
        <w:t xml:space="preserve"> in October 2025,</w:t>
      </w:r>
      <w:r w:rsidRPr="69FEF511">
        <w:rPr>
          <w:rFonts w:eastAsia="Aptos Narrow" w:cs="Calibri"/>
        </w:rPr>
        <w:t xml:space="preserve"> provide</w:t>
      </w:r>
      <w:r w:rsidR="0E4DF124" w:rsidRPr="0D19BC4E">
        <w:rPr>
          <w:rFonts w:eastAsia="Aptos Narrow" w:cs="Calibri"/>
        </w:rPr>
        <w:t>s</w:t>
      </w:r>
      <w:r w:rsidRPr="69FEF511">
        <w:rPr>
          <w:rFonts w:eastAsia="Aptos Narrow" w:cs="Calibri"/>
        </w:rPr>
        <w:t xml:space="preserve"> more clarity on the </w:t>
      </w:r>
      <w:r w:rsidR="77248CAB" w:rsidRPr="69FEF511">
        <w:rPr>
          <w:rFonts w:eastAsia="Aptos Narrow" w:cs="Calibri"/>
        </w:rPr>
        <w:t>G</w:t>
      </w:r>
      <w:r w:rsidRPr="69FEF511">
        <w:rPr>
          <w:rFonts w:eastAsia="Aptos Narrow" w:cs="Calibri"/>
        </w:rPr>
        <w:t>overnment’s</w:t>
      </w:r>
      <w:r w:rsidRPr="0D19BC4E">
        <w:rPr>
          <w:rFonts w:eastAsia="Aptos Narrow" w:cs="Calibri"/>
        </w:rPr>
        <w:t xml:space="preserve"> </w:t>
      </w:r>
      <w:r w:rsidR="016612A8" w:rsidRPr="0D19BC4E">
        <w:rPr>
          <w:rFonts w:eastAsia="Aptos Narrow" w:cs="Calibri"/>
        </w:rPr>
        <w:t xml:space="preserve">long-term </w:t>
      </w:r>
      <w:r w:rsidRPr="69FEF511">
        <w:rPr>
          <w:rFonts w:eastAsia="Aptos Narrow" w:cs="Calibri"/>
        </w:rPr>
        <w:t>approach to adapt</w:t>
      </w:r>
      <w:r w:rsidRPr="7AE49BCB" w:rsidDel="7B604E58">
        <w:rPr>
          <w:rFonts w:eastAsia="Aptos Narrow" w:cs="Calibri"/>
        </w:rPr>
        <w:t>ation</w:t>
      </w:r>
      <w:r w:rsidR="77248CAB" w:rsidRPr="69FEF511">
        <w:rPr>
          <w:rFonts w:eastAsia="Aptos Narrow" w:cs="Calibri"/>
        </w:rPr>
        <w:t xml:space="preserve">. The </w:t>
      </w:r>
      <w:r w:rsidR="44CD9D33" w:rsidRPr="0D19BC4E">
        <w:rPr>
          <w:rFonts w:eastAsia="Aptos Narrow" w:cs="Calibri"/>
        </w:rPr>
        <w:t xml:space="preserve">National </w:t>
      </w:r>
      <w:r w:rsidR="77248CAB" w:rsidRPr="69FEF511">
        <w:rPr>
          <w:rFonts w:eastAsia="Aptos Narrow" w:cs="Calibri"/>
        </w:rPr>
        <w:t>Adaptation Framework covers</w:t>
      </w:r>
      <w:r w:rsidR="6EEC7545" w:rsidRPr="0D19BC4E">
        <w:rPr>
          <w:rFonts w:eastAsia="Aptos Narrow" w:cs="Calibri"/>
        </w:rPr>
        <w:t xml:space="preserve"> risk and response information sharing, r</w:t>
      </w:r>
      <w:r w:rsidR="6EEC7545">
        <w:t>oles and responsibilities, investment in risk reduction and cost-sharing pre- and post-event</w:t>
      </w:r>
      <w:r w:rsidR="5B74FF0E">
        <w:t>.</w:t>
      </w:r>
      <w:r w:rsidR="554DDBF4">
        <w:t>.</w:t>
      </w:r>
      <w:r w:rsidRPr="69FEF511">
        <w:rPr>
          <w:rFonts w:cs="Calibri"/>
        </w:rPr>
        <w:t>.</w:t>
      </w:r>
    </w:p>
    <w:p w14:paraId="40FB9B38" w14:textId="63A16318" w:rsidR="001C1649" w:rsidRDefault="1738F8D2" w:rsidP="69FEF511">
      <w:pPr>
        <w:pStyle w:val="Bullet"/>
      </w:pPr>
      <w:r w:rsidRPr="23270C8A">
        <w:rPr>
          <w:rFonts w:eastAsiaTheme="majorEastAsia" w:cs="Calibri"/>
          <w:b/>
          <w:bCs/>
        </w:rPr>
        <w:t>New Zealand’s Emergency Management System</w:t>
      </w:r>
      <w:r w:rsidR="001C1649" w:rsidRPr="69FEF511">
        <w:rPr>
          <w:rStyle w:val="EndnoteReference"/>
          <w:rFonts w:eastAsia="Arial" w:cs="Calibri"/>
        </w:rPr>
        <w:endnoteReference w:id="53"/>
      </w:r>
      <w:r w:rsidRPr="69FEF511">
        <w:rPr>
          <w:rFonts w:ascii="Arial" w:eastAsia="Arial" w:hAnsi="Arial" w:cs="Arial"/>
        </w:rPr>
        <w:t xml:space="preserve"> </w:t>
      </w:r>
      <w:r w:rsidR="4E033A26" w:rsidRPr="69FEF511">
        <w:t>is undergoing</w:t>
      </w:r>
      <w:r w:rsidR="037320E9" w:rsidRPr="69FEF511">
        <w:t xml:space="preserve"> significant</w:t>
      </w:r>
      <w:r w:rsidR="5497AE9A" w:rsidRPr="69FEF511">
        <w:t xml:space="preserve"> improvements</w:t>
      </w:r>
      <w:r w:rsidR="4E033A26" w:rsidRPr="69FEF511">
        <w:rPr>
          <w:rFonts w:ascii="Arial" w:eastAsia="Arial" w:hAnsi="Arial" w:cs="Arial"/>
        </w:rPr>
        <w:t xml:space="preserve"> </w:t>
      </w:r>
      <w:r w:rsidR="037320E9" w:rsidRPr="69FEF511">
        <w:t xml:space="preserve">in response to the findings of </w:t>
      </w:r>
      <w:r w:rsidRPr="69FEF511">
        <w:t xml:space="preserve">the 2023 North Island Severe Weather Events Inquiry. </w:t>
      </w:r>
      <w:r w:rsidR="01B7187A" w:rsidRPr="69FEF511">
        <w:t xml:space="preserve">These include reforms currently in progress, </w:t>
      </w:r>
      <w:r w:rsidRPr="69FEF511">
        <w:t xml:space="preserve">with </w:t>
      </w:r>
      <w:r w:rsidR="004E2635">
        <w:t>the Government intending to introduce and pass a new Emergency Management Bill in this term of Parliament</w:t>
      </w:r>
      <w:r w:rsidRPr="69FEF511">
        <w:t>,</w:t>
      </w:r>
      <w:r w:rsidR="45A2051E" w:rsidRPr="69FEF511">
        <w:t xml:space="preserve"> alongside</w:t>
      </w:r>
      <w:r w:rsidR="537029CE" w:rsidRPr="69FEF511">
        <w:t xml:space="preserve"> a </w:t>
      </w:r>
      <w:r w:rsidR="590FF70D" w:rsidRPr="69FEF511">
        <w:t>government</w:t>
      </w:r>
      <w:r w:rsidR="1E30F6CB" w:rsidRPr="69FEF511">
        <w:t>-</w:t>
      </w:r>
      <w:r w:rsidR="537029CE" w:rsidRPr="69FEF511">
        <w:t>endorsed</w:t>
      </w:r>
      <w:r w:rsidR="1519F337" w:rsidRPr="69FEF511">
        <w:t xml:space="preserve"> investment and implementation roadmap. Together, these efforts aim to enhance the coordination, spee</w:t>
      </w:r>
      <w:r w:rsidR="2DD04AFD" w:rsidRPr="69FEF511">
        <w:t>d and effectiveness of emergency responses across the country</w:t>
      </w:r>
      <w:r w:rsidRPr="69FEF511">
        <w:t>.</w:t>
      </w:r>
    </w:p>
    <w:p w14:paraId="4BE2FB86" w14:textId="57998036" w:rsidR="008E4383" w:rsidRPr="00B70D26" w:rsidRDefault="262133E9" w:rsidP="69FEF511">
      <w:pPr>
        <w:pStyle w:val="Bullet"/>
      </w:pPr>
      <w:r w:rsidRPr="48CDBE69">
        <w:rPr>
          <w:rStyle w:val="Strong"/>
          <w:rFonts w:eastAsiaTheme="majorEastAsia"/>
        </w:rPr>
        <w:t xml:space="preserve">The Resource Management Act </w:t>
      </w:r>
      <w:r>
        <w:t>(RMA) has recently been amended to strengthen how New Zealand manages natural hazard risks through land</w:t>
      </w:r>
      <w:r w:rsidR="296D62AB">
        <w:t>-</w:t>
      </w:r>
      <w:r>
        <w:t xml:space="preserve">use planning. These legislative changes are being complemented by the development of a new </w:t>
      </w:r>
      <w:r w:rsidRPr="48CDBE69">
        <w:rPr>
          <w:rStyle w:val="Strong"/>
          <w:rFonts w:eastAsiaTheme="majorEastAsia"/>
        </w:rPr>
        <w:t xml:space="preserve">National Policy Statement for Natural Hazards </w:t>
      </w:r>
      <w:r>
        <w:t>(NPS-NH), which is expected to come into force in late 2025. The NPS-NH will provide national direction to help councils make more robust, risk-based decisions about where development should occur and how it can be designed to better withstand natural hazards.</w:t>
      </w:r>
    </w:p>
    <w:p w14:paraId="223E0299" w14:textId="7A97A42D" w:rsidR="37947C3E" w:rsidRDefault="00E5478F" w:rsidP="48CDBE69">
      <w:pPr>
        <w:pStyle w:val="Sub-list"/>
      </w:pPr>
      <w:r w:rsidRPr="00E5478F">
        <w:t>Recent changes to the RMA include an emergency response regulation making power. This provision enables regulations to be made by the Government for the purposes of responding to natural hazard events (or other emergencies) and enabling recovery efforts. These regulations may make certain short-term changes to the RMA or plans under the RMA to support recovery. Previously, bespoke legislation was required to enable such temporary changes, such as the Severe Weather Emergency Recovery Legislation Act 2023 following the North Island severe weather events.</w:t>
      </w:r>
    </w:p>
    <w:p w14:paraId="4A28C4B3" w14:textId="7556EF7C" w:rsidR="262133E9" w:rsidRDefault="262133E9" w:rsidP="48CDBE69">
      <w:pPr>
        <w:pStyle w:val="Sub-list"/>
      </w:pPr>
      <w:r>
        <w:t>The NPS-NH is expected to serve as a building block for further improvements to how natural hazard risks are managed under the new resource management system, which will replace the RMA with new legislation in 2026. Notably, “adapting to the effects of climate change and reducing the risks from natural hazards” has been confirmed by Cabinet as a core objective of the wider resource management reform.</w:t>
      </w:r>
    </w:p>
    <w:p w14:paraId="20C970DE" w14:textId="250AC093" w:rsidR="006D7DA3" w:rsidRPr="00CD1D75" w:rsidRDefault="2DC7AB85" w:rsidP="48CDBE69">
      <w:pPr>
        <w:pStyle w:val="Bullet"/>
        <w:rPr>
          <w:rFonts w:eastAsia="Calibri" w:cs="Calibri"/>
        </w:rPr>
      </w:pPr>
      <w:r w:rsidRPr="48CDBE69">
        <w:rPr>
          <w:rFonts w:eastAsia="Calibri" w:cs="Calibri"/>
          <w:b/>
          <w:bCs/>
        </w:rPr>
        <w:t>Pandemic preparedness</w:t>
      </w:r>
      <w:r w:rsidR="006D7DA3" w:rsidRPr="48CDBE69">
        <w:rPr>
          <w:rStyle w:val="EndnoteReference"/>
          <w:rFonts w:eastAsia="Calibri" w:cs="Calibri"/>
        </w:rPr>
        <w:endnoteReference w:id="54"/>
      </w:r>
      <w:r w:rsidRPr="48CDBE69">
        <w:rPr>
          <w:rFonts w:eastAsia="Calibri" w:cs="Calibri"/>
        </w:rPr>
        <w:t xml:space="preserve"> </w:t>
      </w:r>
      <w:r w:rsidR="269DB1D3" w:rsidRPr="48CDBE69">
        <w:rPr>
          <w:rFonts w:eastAsia="Calibri" w:cs="Calibri"/>
        </w:rPr>
        <w:t>A whole-of-government work programme is underway to strengthen New Zealand’s preparedness for, and responses to, future pandemic threats and significant communicable disease outbreaks. This work is informed by the Phase One findings of New Zealand’s Royal Commission of Inquiry into COVID-19 Lessons Learned, with Phase Two insights to be incorporated once available, alongside other learnings on how to best prepare for future health threats. It in</w:t>
      </w:r>
      <w:r w:rsidR="7FFCA666" w:rsidRPr="48CDBE69">
        <w:rPr>
          <w:rFonts w:eastAsia="Calibri" w:cs="Calibri"/>
        </w:rPr>
        <w:t>volv</w:t>
      </w:r>
      <w:r w:rsidR="269DB1D3" w:rsidRPr="48CDBE69">
        <w:rPr>
          <w:rFonts w:eastAsia="Calibri" w:cs="Calibri"/>
        </w:rPr>
        <w:t>es a range of activities, including the development of a pandemic strategic framework to guide pandemic planning across government, implementing the new public health surveillance strategy, reviewing legislation to ensure it remains fit for purpose for pandemic events and engaging in international efforts to strengthen global pandemic preparedness</w:t>
      </w:r>
      <w:r w:rsidR="6FB45897" w:rsidRPr="48CDBE69">
        <w:rPr>
          <w:rFonts w:eastAsia="Calibri" w:cs="Calibri"/>
        </w:rPr>
        <w:t>.</w:t>
      </w:r>
    </w:p>
    <w:p w14:paraId="6AFBC9FD" w14:textId="354C55BC" w:rsidR="006D7DA3" w:rsidRPr="00CD1D75" w:rsidRDefault="2055FA86" w:rsidP="69FEF511">
      <w:pPr>
        <w:pStyle w:val="Bullet"/>
        <w:rPr>
          <w:rFonts w:cs="Calibri"/>
        </w:rPr>
      </w:pPr>
      <w:r w:rsidRPr="69FEF511">
        <w:t xml:space="preserve">The </w:t>
      </w:r>
      <w:hyperlink r:id="rId33" w:history="1">
        <w:r w:rsidR="7B604E58" w:rsidRPr="23270C8A">
          <w:rPr>
            <w:rFonts w:eastAsiaTheme="majorEastAsia" w:cs="Calibri"/>
            <w:b/>
            <w:bCs/>
          </w:rPr>
          <w:t>Natural Hazards Portal</w:t>
        </w:r>
      </w:hyperlink>
      <w:r w:rsidR="7B604E58" w:rsidRPr="69FEF511">
        <w:rPr>
          <w:rFonts w:cs="Calibri"/>
        </w:rPr>
        <w:t xml:space="preserve"> provides property-level risk information and tools to support individual and community decision-making.</w:t>
      </w:r>
      <w:r w:rsidR="006D7DA3" w:rsidRPr="69FEF511">
        <w:rPr>
          <w:rStyle w:val="EndnoteReference"/>
          <w:rFonts w:cs="Calibri"/>
        </w:rPr>
        <w:endnoteReference w:id="55"/>
      </w:r>
    </w:p>
    <w:p w14:paraId="623B2527" w14:textId="7D22885C" w:rsidR="00E32D1D" w:rsidRDefault="05339E23" w:rsidP="69FEF511">
      <w:pPr>
        <w:pStyle w:val="BodyText"/>
      </w:pPr>
      <w:r w:rsidRPr="48CDBE69">
        <w:rPr>
          <w:rFonts w:cs="Calibri"/>
        </w:rPr>
        <w:t>Many other areas of</w:t>
      </w:r>
      <w:r w:rsidR="7AD1495C" w:rsidRPr="48CDBE69">
        <w:rPr>
          <w:rFonts w:cs="Calibri"/>
        </w:rPr>
        <w:t xml:space="preserve"> government</w:t>
      </w:r>
      <w:r w:rsidRPr="48CDBE69">
        <w:rPr>
          <w:rFonts w:cs="Calibri"/>
        </w:rPr>
        <w:t xml:space="preserve"> work also look to enhance New Zealand’s resilience. </w:t>
      </w:r>
      <w:r w:rsidR="42492B6C" w:rsidRPr="48CDBE69">
        <w:rPr>
          <w:rFonts w:cs="Calibri"/>
        </w:rPr>
        <w:t xml:space="preserve">To truly embed resilience, </w:t>
      </w:r>
      <w:r w:rsidR="1EF4FF34" w:rsidRPr="48CDBE69">
        <w:rPr>
          <w:rFonts w:cs="Calibri"/>
        </w:rPr>
        <w:t xml:space="preserve">it is </w:t>
      </w:r>
      <w:r w:rsidR="42492B6C" w:rsidRPr="48CDBE69">
        <w:rPr>
          <w:rFonts w:cs="Calibri"/>
        </w:rPr>
        <w:t xml:space="preserve">important to look beyond short-term political cycles. While governments naturally respond to immediate priorities, resilience-building benefits most from </w:t>
      </w:r>
      <w:r w:rsidR="068BFEF7" w:rsidRPr="48CDBE69">
        <w:rPr>
          <w:rFonts w:cs="Calibri"/>
        </w:rPr>
        <w:t>non-partisan</w:t>
      </w:r>
      <w:r w:rsidR="42492B6C" w:rsidRPr="48CDBE69">
        <w:rPr>
          <w:rFonts w:cs="Calibri"/>
        </w:rPr>
        <w:t xml:space="preserve"> long-term thinking and continuity. Achieving lasting impact requires </w:t>
      </w:r>
      <w:r w:rsidR="3D24DAF8" w:rsidRPr="48CDBE69">
        <w:rPr>
          <w:rFonts w:cs="Calibri"/>
        </w:rPr>
        <w:t xml:space="preserve">broad community </w:t>
      </w:r>
      <w:r w:rsidR="42492B6C" w:rsidRPr="48CDBE69">
        <w:rPr>
          <w:rFonts w:cs="Calibri"/>
        </w:rPr>
        <w:t>commitment to strategies</w:t>
      </w:r>
      <w:r w:rsidR="42492B6C">
        <w:t xml:space="preserve"> that can be sustained over decades. Embedding resilience into core government functions, investment planning and public engagement</w:t>
      </w:r>
      <w:r w:rsidR="76C8EEBE">
        <w:t xml:space="preserve"> – </w:t>
      </w:r>
      <w:r w:rsidR="42492B6C">
        <w:t xml:space="preserve">regardless of who is in </w:t>
      </w:r>
      <w:r w:rsidR="42492B6C">
        <w:lastRenderedPageBreak/>
        <w:t>office</w:t>
      </w:r>
      <w:r w:rsidR="76C8EEBE">
        <w:t xml:space="preserve"> – </w:t>
      </w:r>
      <w:r w:rsidR="42492B6C">
        <w:t>will help ensure that New Zealand is well</w:t>
      </w:r>
      <w:r w:rsidR="1EF4FF34">
        <w:t xml:space="preserve"> </w:t>
      </w:r>
      <w:r w:rsidR="42492B6C">
        <w:t>prepared for future challenges and opportunities.</w:t>
      </w:r>
    </w:p>
    <w:p w14:paraId="0A34D1F5" w14:textId="0BDD9FF4" w:rsidR="00925A96" w:rsidRPr="007015C7" w:rsidRDefault="1CB32B63" w:rsidP="6B118FC4">
      <w:pPr>
        <w:pStyle w:val="BodyText"/>
      </w:pPr>
      <w:r w:rsidRPr="007015C7">
        <w:t xml:space="preserve">It is </w:t>
      </w:r>
      <w:r w:rsidR="17C0AB5F" w:rsidRPr="007015C7">
        <w:t xml:space="preserve">not just central government </w:t>
      </w:r>
      <w:proofErr w:type="gramStart"/>
      <w:r w:rsidR="17C0AB5F" w:rsidRPr="007015C7">
        <w:t>taking action</w:t>
      </w:r>
      <w:proofErr w:type="gramEnd"/>
      <w:r w:rsidR="17C0AB5F" w:rsidRPr="007015C7">
        <w:t xml:space="preserve">. </w:t>
      </w:r>
      <w:r w:rsidR="54A9EBAC" w:rsidRPr="007015C7">
        <w:t xml:space="preserve">Councils and local government are also taking important steps to improve their community’s resilience by incorporating local perspectives and knowledge. A critical element of this is the Civil Defence and Emergency Management Groups, which play a key role in on-the-ground actions and linking strategies to tangible outcomes. Across the country, examples include Waikato's regional CDEM Māori Framework – which embeds tikanga and </w:t>
      </w:r>
      <w:proofErr w:type="spellStart"/>
      <w:r w:rsidR="54A9EBAC" w:rsidRPr="007015C7">
        <w:t>matāuranga</w:t>
      </w:r>
      <w:proofErr w:type="spellEnd"/>
      <w:r w:rsidR="54A9EBAC" w:rsidRPr="007015C7">
        <w:t xml:space="preserve"> Māori in community resilience – and Wellington’s focus on community-level plans.</w:t>
      </w:r>
    </w:p>
    <w:p w14:paraId="41672CC5" w14:textId="1662FCF1" w:rsidR="00925A96" w:rsidRPr="007015C7" w:rsidRDefault="1EFEA905" w:rsidP="48CDBE69">
      <w:pPr>
        <w:pStyle w:val="BodyText"/>
      </w:pPr>
      <w:proofErr w:type="gramStart"/>
      <w:r w:rsidRPr="007015C7">
        <w:t>Iwi</w:t>
      </w:r>
      <w:proofErr w:type="gramEnd"/>
      <w:r w:rsidRPr="007015C7">
        <w:t xml:space="preserve"> are also building resilience by proactively incorporating local knowledge, </w:t>
      </w:r>
      <w:proofErr w:type="spellStart"/>
      <w:r w:rsidRPr="007015C7">
        <w:t>mātauranga</w:t>
      </w:r>
      <w:proofErr w:type="spellEnd"/>
      <w:r w:rsidRPr="007015C7">
        <w:t xml:space="preserve"> and a </w:t>
      </w:r>
      <w:proofErr w:type="spellStart"/>
      <w:r w:rsidRPr="007015C7">
        <w:t>te</w:t>
      </w:r>
      <w:proofErr w:type="spellEnd"/>
      <w:r w:rsidRPr="007015C7">
        <w:t xml:space="preserve"> </w:t>
      </w:r>
      <w:proofErr w:type="spellStart"/>
      <w:r w:rsidRPr="007015C7">
        <w:t>ao</w:t>
      </w:r>
      <w:proofErr w:type="spellEnd"/>
      <w:r w:rsidRPr="007015C7">
        <w:t xml:space="preserve"> Māori perspective into their planning</w:t>
      </w:r>
      <w:r w:rsidR="671650F8" w:rsidRPr="007015C7">
        <w:t xml:space="preserve">. </w:t>
      </w:r>
      <w:r w:rsidR="222A6108" w:rsidRPr="007015C7">
        <w:t>Examples of where this is happening include</w:t>
      </w:r>
      <w:r w:rsidR="671650F8" w:rsidRPr="007015C7">
        <w:t xml:space="preserve"> </w:t>
      </w:r>
      <w:r w:rsidR="3F56D3F0" w:rsidRPr="007015C7">
        <w:t>Tainui</w:t>
      </w:r>
      <w:r w:rsidR="1FAA4717" w:rsidRPr="007015C7">
        <w:t>’s</w:t>
      </w:r>
      <w:r w:rsidR="3F56D3F0" w:rsidRPr="007015C7">
        <w:t xml:space="preserve"> resilience strategy</w:t>
      </w:r>
      <w:r w:rsidR="00925A96" w:rsidRPr="007015C7">
        <w:rPr>
          <w:rStyle w:val="EndnoteReference"/>
        </w:rPr>
        <w:endnoteReference w:id="56"/>
      </w:r>
      <w:r w:rsidR="1C2A5018" w:rsidRPr="007015C7">
        <w:t xml:space="preserve">, the </w:t>
      </w:r>
      <w:r w:rsidR="624A9884" w:rsidRPr="007015C7">
        <w:t>Maketu iwi collective</w:t>
      </w:r>
      <w:r w:rsidR="6174319E" w:rsidRPr="007015C7">
        <w:t>’s</w:t>
      </w:r>
      <w:r w:rsidR="1C2A5018" w:rsidRPr="007015C7">
        <w:t xml:space="preserve"> </w:t>
      </w:r>
      <w:r w:rsidR="624A9884" w:rsidRPr="007015C7">
        <w:t>climate plan</w:t>
      </w:r>
      <w:r w:rsidR="00925A96" w:rsidRPr="007015C7">
        <w:rPr>
          <w:rStyle w:val="EndnoteReference"/>
        </w:rPr>
        <w:endnoteReference w:id="57"/>
      </w:r>
      <w:r w:rsidR="0B3D9F93" w:rsidRPr="007015C7">
        <w:t xml:space="preserve">, Ngāti </w:t>
      </w:r>
      <w:proofErr w:type="spellStart"/>
      <w:r w:rsidR="0B3D9F93" w:rsidRPr="007015C7">
        <w:t>Rārua</w:t>
      </w:r>
      <w:r w:rsidR="0847F45B" w:rsidRPr="007015C7">
        <w:t>’s</w:t>
      </w:r>
      <w:proofErr w:type="spellEnd"/>
      <w:r w:rsidR="0B3D9F93" w:rsidRPr="007015C7">
        <w:t xml:space="preserve"> climate strategy</w:t>
      </w:r>
      <w:r w:rsidR="00925A96" w:rsidRPr="007015C7">
        <w:rPr>
          <w:rStyle w:val="EndnoteReference"/>
        </w:rPr>
        <w:endnoteReference w:id="58"/>
      </w:r>
      <w:r w:rsidR="0B3D9F93" w:rsidRPr="007015C7">
        <w:t xml:space="preserve"> </w:t>
      </w:r>
      <w:r w:rsidR="1C2A5018" w:rsidRPr="007015C7">
        <w:t>and</w:t>
      </w:r>
      <w:r w:rsidR="0E3A2EC1" w:rsidRPr="007015C7">
        <w:t xml:space="preserve"> </w:t>
      </w:r>
      <w:proofErr w:type="spellStart"/>
      <w:r w:rsidR="767326B8" w:rsidRPr="007015C7">
        <w:t>Takap</w:t>
      </w:r>
      <w:r w:rsidR="0F94A354" w:rsidRPr="007015C7">
        <w:t>ū</w:t>
      </w:r>
      <w:r w:rsidR="767326B8" w:rsidRPr="007015C7">
        <w:t>wa</w:t>
      </w:r>
      <w:r w:rsidR="381DFE5B" w:rsidRPr="007015C7">
        <w:t>hi</w:t>
      </w:r>
      <w:r w:rsidR="0F94A354" w:rsidRPr="007015C7">
        <w:t>ā</w:t>
      </w:r>
      <w:proofErr w:type="spellEnd"/>
      <w:r w:rsidR="381DFE5B" w:rsidRPr="007015C7">
        <w:t xml:space="preserve"> marae</w:t>
      </w:r>
      <w:r w:rsidR="1C2A5018" w:rsidRPr="007015C7">
        <w:t xml:space="preserve"> </w:t>
      </w:r>
      <w:r w:rsidR="6EA791BC" w:rsidRPr="007015C7">
        <w:t>working with science agencies to inform</w:t>
      </w:r>
      <w:r w:rsidR="17295858" w:rsidRPr="007015C7">
        <w:t xml:space="preserve"> their</w:t>
      </w:r>
      <w:r w:rsidR="6EA791BC" w:rsidRPr="007015C7">
        <w:t xml:space="preserve"> </w:t>
      </w:r>
      <w:r w:rsidR="0F94A354" w:rsidRPr="007015C7">
        <w:t>planning and preparedness to hazards</w:t>
      </w:r>
      <w:r w:rsidR="5680AE9C" w:rsidRPr="007015C7">
        <w:t>.</w:t>
      </w:r>
      <w:r w:rsidR="00925A96" w:rsidRPr="007015C7">
        <w:rPr>
          <w:rStyle w:val="EndnoteReference"/>
        </w:rPr>
        <w:endnoteReference w:id="59"/>
      </w:r>
    </w:p>
    <w:p w14:paraId="5880EAD7" w14:textId="03AA4D94" w:rsidR="006D7DA3" w:rsidRDefault="006D7DA3" w:rsidP="69FEF511">
      <w:pPr>
        <w:pStyle w:val="BodyText"/>
      </w:pPr>
      <w:r w:rsidRPr="69FEF511">
        <w:t>Taken together, th</w:t>
      </w:r>
      <w:r w:rsidR="00C31F47" w:rsidRPr="69FEF511">
        <w:t xml:space="preserve">is work </w:t>
      </w:r>
      <w:r w:rsidR="00284622" w:rsidRPr="69FEF511">
        <w:t xml:space="preserve">generates </w:t>
      </w:r>
      <w:r w:rsidRPr="69FEF511">
        <w:t>valuable momentum for building a more resilient New Zealand. Sustaining these efforts and scaling them will be an important part of ensuring a safer and more prosperous future.</w:t>
      </w:r>
    </w:p>
    <w:p w14:paraId="295B5BE6" w14:textId="58EA7135" w:rsidR="00123274" w:rsidRPr="005B0CED" w:rsidRDefault="684ABE2F" w:rsidP="69FEF511">
      <w:pPr>
        <w:pStyle w:val="Heading2"/>
      </w:pPr>
      <w:bookmarkStart w:id="34" w:name="_Toc214435303"/>
      <w:r>
        <w:t>Fostering c</w:t>
      </w:r>
      <w:r w:rsidR="2DD101EC">
        <w:t>ommunity solutions</w:t>
      </w:r>
      <w:bookmarkEnd w:id="34"/>
    </w:p>
    <w:p w14:paraId="30E142B9" w14:textId="77777777" w:rsidR="00123274" w:rsidRDefault="00123274" w:rsidP="69FEF511">
      <w:pPr>
        <w:pStyle w:val="Heading3"/>
      </w:pPr>
      <w:r w:rsidRPr="69FEF511">
        <w:t>Community-led resilience</w:t>
      </w:r>
    </w:p>
    <w:p w14:paraId="4CC98793" w14:textId="09A07BBB" w:rsidR="00123274" w:rsidRDefault="2DD101EC" w:rsidP="69FEF511">
      <w:pPr>
        <w:pStyle w:val="BodyText"/>
      </w:pPr>
      <w:r>
        <w:t>Resilience starts with people. Strong, connected communities – of individuals who know how to prepare and respond in a crisis – are a pillar of a resilient nation. Giving effect to a whole-of-society approach, where responsibility is shared by every individual, is essential. This can begin with simple steps, like making sure everyone understands the hazards we face and what actions they may need to take in a crisis. Effective resilience</w:t>
      </w:r>
      <w:r w:rsidR="0CE5AF04">
        <w:t xml:space="preserve"> </w:t>
      </w:r>
      <w:r>
        <w:t>building requires listening to voices across our communities and designing solutions that work for everyone. Māori, people living with disability and those in isolated communities may face unique risks. This means tailoring support to different needs and ensuring no one is left behind</w:t>
      </w:r>
      <w:r w:rsidR="7D1F1861">
        <w:t>.</w:t>
      </w:r>
    </w:p>
    <w:p w14:paraId="1109C28A" w14:textId="737E07EB" w:rsidR="2D7EAA94" w:rsidRPr="007015C7" w:rsidRDefault="1DA309AE" w:rsidP="007015C7">
      <w:pPr>
        <w:pStyle w:val="BodyText"/>
      </w:pPr>
      <w:r w:rsidRPr="007015C7">
        <w:t>Communities have a strong interest in being involved in the resilience decision</w:t>
      </w:r>
      <w:r w:rsidR="00050B9A">
        <w:t>-</w:t>
      </w:r>
      <w:r w:rsidRPr="007015C7">
        <w:t xml:space="preserve">making process, as this </w:t>
      </w:r>
      <w:r w:rsidR="54C09797" w:rsidRPr="007015C7">
        <w:t xml:space="preserve">can better incorporate the specific forces </w:t>
      </w:r>
      <w:r w:rsidR="790BD9EB" w:rsidRPr="007015C7">
        <w:t xml:space="preserve">relevant to each area, </w:t>
      </w:r>
      <w:r w:rsidR="1BA42915" w:rsidRPr="007015C7">
        <w:t xml:space="preserve">a community’s risk tolerance and the price they are willing to pay. </w:t>
      </w:r>
      <w:r w:rsidR="31982842" w:rsidRPr="007015C7">
        <w:t xml:space="preserve">Doing so </w:t>
      </w:r>
      <w:r w:rsidR="790BD9EB" w:rsidRPr="007015C7">
        <w:t xml:space="preserve">may require innovative ways of taking these viewpoints into account. One example of this </w:t>
      </w:r>
      <w:r w:rsidR="04C5A9B6" w:rsidRPr="007015C7">
        <w:t xml:space="preserve">was </w:t>
      </w:r>
      <w:r w:rsidR="790BD9EB" w:rsidRPr="007015C7">
        <w:t xml:space="preserve">the </w:t>
      </w:r>
      <w:r w:rsidR="4146B007" w:rsidRPr="007015C7">
        <w:t xml:space="preserve">Citizens Assembly on the next source of water for Auckland, which saw a representative sample of Aucklanders consider </w:t>
      </w:r>
      <w:r w:rsidR="1329E8E4" w:rsidRPr="007015C7">
        <w:t>different</w:t>
      </w:r>
      <w:r w:rsidR="4146B007" w:rsidRPr="007015C7">
        <w:t xml:space="preserve"> options to meet future water supply</w:t>
      </w:r>
      <w:r w:rsidR="469082E8" w:rsidRPr="007015C7">
        <w:t>, with their recommendations going alongside technical reports.</w:t>
      </w:r>
      <w:r w:rsidR="2D7EAA94" w:rsidRPr="007015C7">
        <w:rPr>
          <w:rStyle w:val="EndnoteReference"/>
        </w:rPr>
        <w:endnoteReference w:id="60"/>
      </w:r>
      <w:r w:rsidR="469082E8" w:rsidRPr="007015C7">
        <w:t xml:space="preserve"> Such options for </w:t>
      </w:r>
      <w:r w:rsidR="68348CFB" w:rsidRPr="007015C7">
        <w:t>deliberative democracy</w:t>
      </w:r>
      <w:r w:rsidR="78DEB4FE" w:rsidRPr="007015C7">
        <w:t xml:space="preserve"> could be one way to develop solutions that work for a wider range of people, and to address hard-to-answer questions.</w:t>
      </w:r>
    </w:p>
    <w:p w14:paraId="6A630078" w14:textId="679876AA" w:rsidR="00123274" w:rsidRDefault="00123274" w:rsidP="69FEF511">
      <w:pPr>
        <w:pStyle w:val="Heading3"/>
      </w:pPr>
      <w:r w:rsidRPr="69FEF511">
        <w:t xml:space="preserve">Practical support and </w:t>
      </w:r>
      <w:r w:rsidR="785562A5" w:rsidRPr="69FEF511">
        <w:t xml:space="preserve">community </w:t>
      </w:r>
      <w:r w:rsidRPr="69FEF511">
        <w:t>empowerment</w:t>
      </w:r>
    </w:p>
    <w:p w14:paraId="3BC50485" w14:textId="3D776A07" w:rsidR="52B76403" w:rsidRDefault="52B76403" w:rsidP="007015C7">
      <w:pPr>
        <w:pStyle w:val="BodyText"/>
      </w:pPr>
      <w:r w:rsidRPr="69FEF511">
        <w:t xml:space="preserve">Investing in </w:t>
      </w:r>
      <w:r w:rsidR="2B2053E3" w:rsidRPr="69FEF511">
        <w:t xml:space="preserve">community </w:t>
      </w:r>
      <w:r w:rsidRPr="69FEF511">
        <w:t>emergency hubs</w:t>
      </w:r>
      <w:r w:rsidR="00565CA2">
        <w:t xml:space="preserve"> – </w:t>
      </w:r>
      <w:r w:rsidRPr="69FEF511">
        <w:t>such as schools, marae and other public buildings</w:t>
      </w:r>
      <w:r w:rsidR="00565CA2">
        <w:t xml:space="preserve"> – </w:t>
      </w:r>
      <w:r w:rsidRPr="69FEF511">
        <w:t>can significantly enhance community resilience.</w:t>
      </w:r>
    </w:p>
    <w:p w14:paraId="66649C35" w14:textId="48F30C06" w:rsidR="52B76403" w:rsidRDefault="57C5B9F5" w:rsidP="007015C7">
      <w:pPr>
        <w:pStyle w:val="BodyText"/>
      </w:pPr>
      <w:r w:rsidRPr="48CDBE69">
        <w:rPr>
          <w:rFonts w:eastAsia="Calibri" w:cs="Calibri"/>
        </w:rPr>
        <w:t>By outfitting these key locations with essential supplies and equipment, such as solar panels</w:t>
      </w:r>
      <w:r w:rsidR="53B70A35" w:rsidRPr="48CDBE69">
        <w:rPr>
          <w:rFonts w:eastAsia="Calibri" w:cs="Calibri"/>
        </w:rPr>
        <w:t>,</w:t>
      </w:r>
      <w:r w:rsidRPr="48CDBE69">
        <w:rPr>
          <w:rFonts w:eastAsia="Calibri" w:cs="Calibri"/>
        </w:rPr>
        <w:t xml:space="preserve"> battery </w:t>
      </w:r>
      <w:r w:rsidR="143AECD4" w:rsidRPr="48CDBE69">
        <w:rPr>
          <w:rFonts w:eastAsia="Calibri" w:cs="Calibri"/>
        </w:rPr>
        <w:t xml:space="preserve">and water </w:t>
      </w:r>
      <w:r w:rsidRPr="48CDBE69">
        <w:rPr>
          <w:rFonts w:eastAsia="Calibri" w:cs="Calibri"/>
        </w:rPr>
        <w:t>storage</w:t>
      </w:r>
      <w:r w:rsidR="0AC31557" w:rsidRPr="48CDBE69">
        <w:rPr>
          <w:rFonts w:eastAsia="Calibri" w:cs="Calibri"/>
        </w:rPr>
        <w:t>,</w:t>
      </w:r>
      <w:r w:rsidRPr="48CDBE69">
        <w:rPr>
          <w:rFonts w:eastAsia="Calibri" w:cs="Calibri"/>
        </w:rPr>
        <w:t xml:space="preserve"> and satellite communication equipment, communities can </w:t>
      </w:r>
      <w:r w:rsidR="2F442EC9" w:rsidRPr="48CDBE69">
        <w:rPr>
          <w:rFonts w:eastAsia="Calibri" w:cs="Calibri"/>
        </w:rPr>
        <w:t>better live through disruption from hazard events</w:t>
      </w:r>
      <w:r w:rsidR="33EE06D9" w:rsidRPr="48CDBE69">
        <w:rPr>
          <w:rFonts w:eastAsia="Calibri" w:cs="Calibri"/>
        </w:rPr>
        <w:t xml:space="preserve"> and support each other during a crisis</w:t>
      </w:r>
      <w:r w:rsidR="2F442EC9" w:rsidRPr="48CDBE69">
        <w:rPr>
          <w:rFonts w:eastAsia="Calibri" w:cs="Calibri"/>
        </w:rPr>
        <w:t>.</w:t>
      </w:r>
    </w:p>
    <w:p w14:paraId="1D5964CA" w14:textId="14A75F41" w:rsidR="52B76403" w:rsidRDefault="57C5B9F5" w:rsidP="007015C7">
      <w:pPr>
        <w:pStyle w:val="BodyText"/>
        <w:rPr>
          <w:rFonts w:eastAsia="Calibri" w:cs="Calibri"/>
        </w:rPr>
      </w:pPr>
      <w:r w:rsidRPr="48CDBE69">
        <w:t xml:space="preserve">While solar panels alone can help reduce a building's everyday energy costs, pairing them with battery </w:t>
      </w:r>
      <w:r w:rsidR="11900CC5" w:rsidRPr="48CDBE69">
        <w:t>and water</w:t>
      </w:r>
      <w:r w:rsidRPr="48CDBE69">
        <w:t xml:space="preserve"> storage and satellite communications ensures these hubs can serve as safe </w:t>
      </w:r>
      <w:r w:rsidRPr="48CDBE69">
        <w:lastRenderedPageBreak/>
        <w:t xml:space="preserve">emergency shelters with lighting, heating, refrigeration and reliable communications when communities need them most. </w:t>
      </w:r>
      <w:r w:rsidR="0DD47C47" w:rsidRPr="48CDBE69">
        <w:rPr>
          <w:rFonts w:eastAsia="Calibri" w:cs="Calibri"/>
        </w:rPr>
        <w:t xml:space="preserve">This </w:t>
      </w:r>
      <w:r w:rsidR="131A650C" w:rsidRPr="48CDBE69">
        <w:rPr>
          <w:rFonts w:eastAsia="Calibri" w:cs="Calibri"/>
        </w:rPr>
        <w:t>kind of</w:t>
      </w:r>
      <w:r w:rsidR="0DD47C47" w:rsidRPr="48CDBE69">
        <w:rPr>
          <w:rFonts w:eastAsia="Calibri" w:cs="Calibri"/>
        </w:rPr>
        <w:t xml:space="preserve"> focused planning is a cost-effective, high-impact way to mitigate the effects of hazards and build a more resilient New Zealand.</w:t>
      </w:r>
    </w:p>
    <w:p w14:paraId="4C42DFA2" w14:textId="77777777" w:rsidR="00123274" w:rsidRDefault="00123274" w:rsidP="69FEF511">
      <w:pPr>
        <w:pStyle w:val="Heading3"/>
      </w:pPr>
      <w:r w:rsidRPr="69FEF511">
        <w:t>Learning from international models</w:t>
      </w:r>
    </w:p>
    <w:p w14:paraId="3C8A24D1" w14:textId="6F8CEAB3" w:rsidR="00123274" w:rsidRPr="005B0CED" w:rsidRDefault="1B4A4B90" w:rsidP="69FEF511">
      <w:pPr>
        <w:pStyle w:val="BodyText"/>
      </w:pPr>
      <w:r w:rsidRPr="69FEF511">
        <w:t>New Zealand can also learn from international examples of all-of-society approaches. In response to growing security concerns, Sweden has revitalised its total defence concept – increasing budgets for civil and military preparedness, clarifying roles and responsibilities, and emphasising the importance of stockpiling essential supplies. Public awareness is central to this approach. Sweden has distributed a national brochure to every household, offering practical checklists and guidance on how to prepare for events like armed conflict or severe weather.</w:t>
      </w:r>
      <w:r w:rsidR="00123274" w:rsidRPr="69FEF511">
        <w:rPr>
          <w:rStyle w:val="EndnoteReference"/>
        </w:rPr>
        <w:endnoteReference w:id="61"/>
      </w:r>
      <w:r w:rsidRPr="69FEF511">
        <w:t xml:space="preserve"> This communication reinforces the expectation that every citizen has a role to play in national resilience.</w:t>
      </w:r>
    </w:p>
    <w:p w14:paraId="1AB32D09" w14:textId="56E60092" w:rsidR="00123274" w:rsidRPr="005B0CED" w:rsidRDefault="1B4A4B90" w:rsidP="69FEF511">
      <w:pPr>
        <w:pStyle w:val="BodyText"/>
      </w:pPr>
      <w:r w:rsidRPr="69FEF511">
        <w:t>The United Kingdom’s Strategic Defence Review echoes this approach</w:t>
      </w:r>
      <w:r w:rsidR="00123274" w:rsidRPr="69FEF511">
        <w:rPr>
          <w:rStyle w:val="EndnoteReference"/>
        </w:rPr>
        <w:endnoteReference w:id="62"/>
      </w:r>
      <w:r w:rsidRPr="69FEF511">
        <w:t>. It includes a two-year programme of public outreach to explain current threats, future trends and the role of society in national defence. It also highlights the importance of public–private cooperation to protect critical infrastructure and improve readiness – including through legislation and better use of reserve forces.</w:t>
      </w:r>
    </w:p>
    <w:p w14:paraId="53B44920" w14:textId="309257EF" w:rsidR="00123274" w:rsidRPr="005B0CED" w:rsidRDefault="00123274" w:rsidP="69FEF511">
      <w:pPr>
        <w:pStyle w:val="BodyText"/>
      </w:pPr>
      <w:r w:rsidRPr="69FEF511">
        <w:t xml:space="preserve">While these strategies reflect different national contexts, the core lesson is universal: public engagement is essential to national resilience. New Zealand could adopt a similar approach to those described above – distributing a national preparedness guide tailored to our unique hazard landscape and launching a public outreach campaign to build awareness and capability </w:t>
      </w:r>
      <w:r w:rsidR="00672070">
        <w:t>through</w:t>
      </w:r>
      <w:r w:rsidR="00672070" w:rsidRPr="69FEF511">
        <w:t xml:space="preserve"> </w:t>
      </w:r>
      <w:r w:rsidRPr="69FEF511">
        <w:t>relevant channels and platforms.</w:t>
      </w:r>
    </w:p>
    <w:p w14:paraId="18045429" w14:textId="50B0D2B4" w:rsidR="00E84D9B" w:rsidRPr="005B0CED" w:rsidRDefault="004748D9" w:rsidP="69FEF511">
      <w:pPr>
        <w:pStyle w:val="Heading2"/>
      </w:pPr>
      <w:bookmarkStart w:id="35" w:name="_Toc202529468"/>
      <w:bookmarkStart w:id="36" w:name="_Toc214435304"/>
      <w:r w:rsidRPr="69FEF511">
        <w:t>Using s</w:t>
      </w:r>
      <w:r w:rsidR="00877919" w:rsidRPr="69FEF511">
        <w:t>cience</w:t>
      </w:r>
      <w:r w:rsidRPr="69FEF511">
        <w:t xml:space="preserve">, </w:t>
      </w:r>
      <w:r w:rsidR="00877919" w:rsidRPr="69FEF511">
        <w:t>data</w:t>
      </w:r>
      <w:r w:rsidRPr="69FEF511">
        <w:t xml:space="preserve"> and modelling</w:t>
      </w:r>
      <w:bookmarkEnd w:id="35"/>
      <w:bookmarkEnd w:id="36"/>
    </w:p>
    <w:p w14:paraId="3ADE4ADF" w14:textId="533DB377" w:rsidR="00BB4B3F" w:rsidRDefault="00BB4B3F" w:rsidP="69FEF511">
      <w:pPr>
        <w:pStyle w:val="Heading3"/>
      </w:pPr>
      <w:r w:rsidRPr="69FEF511">
        <w:t>Understanding hazards and their effects</w:t>
      </w:r>
    </w:p>
    <w:p w14:paraId="791D679B" w14:textId="1D310915" w:rsidR="00E84D9B" w:rsidRPr="005B0CED" w:rsidRDefault="00E84D9B" w:rsidP="69FEF511">
      <w:pPr>
        <w:pStyle w:val="BodyText"/>
      </w:pPr>
      <w:r w:rsidRPr="69FEF511">
        <w:t xml:space="preserve">Understanding </w:t>
      </w:r>
      <w:r w:rsidR="009601A4" w:rsidRPr="69FEF511">
        <w:t xml:space="preserve">the </w:t>
      </w:r>
      <w:r w:rsidRPr="69FEF511">
        <w:t xml:space="preserve">hazards </w:t>
      </w:r>
      <w:r w:rsidR="009601A4" w:rsidRPr="69FEF511">
        <w:t>we face</w:t>
      </w:r>
      <w:r w:rsidRPr="69FEF511">
        <w:t xml:space="preserve"> is the first step towards building resilience. Without a clear picture of the hazards we face, it is difficult to plan, prioritise or act effectively. Science and data are essential to New Zealand better understanding how to prepare for and proactively manage hazards.</w:t>
      </w:r>
    </w:p>
    <w:p w14:paraId="781CA6C8" w14:textId="3FF0BACE" w:rsidR="00E84D9B" w:rsidRPr="005B0CED" w:rsidRDefault="3E35A564" w:rsidP="69FEF511">
      <w:pPr>
        <w:pStyle w:val="BodyText"/>
      </w:pPr>
      <w:r w:rsidRPr="69FEF511">
        <w:t xml:space="preserve">New Zealand has already made progress. Tools like </w:t>
      </w:r>
      <w:hyperlink r:id="rId34">
        <w:proofErr w:type="spellStart"/>
        <w:r w:rsidRPr="69FEF511">
          <w:rPr>
            <w:rStyle w:val="Hyperlink"/>
          </w:rPr>
          <w:t>RiskScape</w:t>
        </w:r>
        <w:proofErr w:type="spellEnd"/>
      </w:hyperlink>
      <w:r w:rsidR="6610A7AA" w:rsidRPr="69FEF511">
        <w:t>,</w:t>
      </w:r>
      <w:r w:rsidR="00A87090" w:rsidRPr="69FEF511">
        <w:rPr>
          <w:rStyle w:val="EndnoteReference"/>
        </w:rPr>
        <w:endnoteReference w:id="63"/>
      </w:r>
      <w:r w:rsidRPr="69FEF511">
        <w:t xml:space="preserve"> future sea</w:t>
      </w:r>
      <w:r w:rsidR="12116B81" w:rsidRPr="69FEF511">
        <w:t>-</w:t>
      </w:r>
      <w:r w:rsidRPr="69FEF511">
        <w:t>level</w:t>
      </w:r>
      <w:r w:rsidR="12116B81" w:rsidRPr="69FEF511">
        <w:t>-</w:t>
      </w:r>
      <w:r w:rsidRPr="69FEF511">
        <w:t>rise maps and climate projections are helping to visualise and quantify risk. A major step forward is the Natural Hazards and Resilience Platform</w:t>
      </w:r>
      <w:r w:rsidR="6610A7AA" w:rsidRPr="69FEF511">
        <w:t>,</w:t>
      </w:r>
      <w:r w:rsidR="00A87090" w:rsidRPr="69FEF511">
        <w:rPr>
          <w:rStyle w:val="EndnoteReference"/>
        </w:rPr>
        <w:endnoteReference w:id="64"/>
      </w:r>
      <w:r w:rsidRPr="69FEF511">
        <w:t xml:space="preserve"> </w:t>
      </w:r>
      <w:r w:rsidR="6610A7AA" w:rsidRPr="69FEF511">
        <w:t xml:space="preserve">which </w:t>
      </w:r>
      <w:r w:rsidRPr="69FEF511">
        <w:t xml:space="preserve">brings together researchers, practitioners and communities to improve how we understand, manage and communicate natural hazard risks. </w:t>
      </w:r>
      <w:r w:rsidR="3F2E9E24" w:rsidRPr="69FEF511">
        <w:t>The platform</w:t>
      </w:r>
      <w:r w:rsidRPr="69FEF511">
        <w:t xml:space="preserve"> focuses on delivering science that is directly usable by decision-makers</w:t>
      </w:r>
      <w:r w:rsidR="3F2E9E24" w:rsidRPr="69FEF511">
        <w:t xml:space="preserve"> – </w:t>
      </w:r>
      <w:r w:rsidRPr="69FEF511">
        <w:t>from local councils to infrastructure providers</w:t>
      </w:r>
      <w:r w:rsidR="3F2E9E24" w:rsidRPr="69FEF511">
        <w:t xml:space="preserve"> –</w:t>
      </w:r>
      <w:r w:rsidRPr="69FEF511">
        <w:t xml:space="preserve"> and supports a more integrated, systems-based approach to resilience.</w:t>
      </w:r>
    </w:p>
    <w:p w14:paraId="70CFD48B" w14:textId="762A738C" w:rsidR="00BD748F" w:rsidRDefault="57D7678D" w:rsidP="69FEF511">
      <w:pPr>
        <w:pStyle w:val="BodyText"/>
      </w:pPr>
      <w:r>
        <w:t xml:space="preserve">However, making decisions in this space is rarely straightforward. Evidence is often lacking, inconclusive or inaccessible, especially when it comes to identifying which resilience measures will work best in different contexts. This uncertainty should not prevent </w:t>
      </w:r>
      <w:r w:rsidR="74EBE29E">
        <w:t>action,</w:t>
      </w:r>
      <w:r w:rsidR="3092F9EF">
        <w:t xml:space="preserve"> </w:t>
      </w:r>
      <w:r>
        <w:t>but it does mean we need to monitor, learn and adapt as we go. Building resilience requires a mindset of continuous improvement, where decisions are informed by the best available data, but also flexible enough to evolve as new insights emerge.</w:t>
      </w:r>
    </w:p>
    <w:p w14:paraId="779ED2C7" w14:textId="7A4600CE" w:rsidR="009601A4" w:rsidRDefault="009601A4" w:rsidP="69FEF511">
      <w:pPr>
        <w:pStyle w:val="Heading3"/>
      </w:pPr>
      <w:r w:rsidRPr="69FEF511">
        <w:lastRenderedPageBreak/>
        <w:t>Opportunities to improve understanding</w:t>
      </w:r>
    </w:p>
    <w:p w14:paraId="7E37420F" w14:textId="09B4C90E" w:rsidR="00E84D9B" w:rsidRPr="005B0CED" w:rsidRDefault="00E84D9B" w:rsidP="69FEF511">
      <w:pPr>
        <w:pStyle w:val="BodyText"/>
      </w:pPr>
      <w:r w:rsidRPr="69FEF511">
        <w:t>To build on this foundation, New Zealand has several key opportunities</w:t>
      </w:r>
      <w:r w:rsidR="003C25F4" w:rsidRPr="69FEF511">
        <w:t xml:space="preserve"> – namely, to</w:t>
      </w:r>
      <w:r w:rsidRPr="69FEF511">
        <w:t>:</w:t>
      </w:r>
    </w:p>
    <w:p w14:paraId="28EE3FF2" w14:textId="09ADC6F7" w:rsidR="00E84D9B" w:rsidRPr="007A541E" w:rsidRDefault="003C25F4" w:rsidP="69FEF511">
      <w:pPr>
        <w:pStyle w:val="Bullet"/>
        <w:rPr>
          <w:rFonts w:eastAsiaTheme="minorEastAsia"/>
        </w:rPr>
      </w:pPr>
      <w:r w:rsidRPr="69FEF511">
        <w:rPr>
          <w:rFonts w:eastAsiaTheme="minorEastAsia"/>
        </w:rPr>
        <w:t>m</w:t>
      </w:r>
      <w:r w:rsidR="00E84D9B" w:rsidRPr="69FEF511">
        <w:rPr>
          <w:rFonts w:eastAsiaTheme="minorEastAsia"/>
        </w:rPr>
        <w:t>ake hazard risk data more accessible, through improved data-sharing platforms and agreements</w:t>
      </w:r>
    </w:p>
    <w:p w14:paraId="5718028D" w14:textId="65E47E7E" w:rsidR="00E84D9B" w:rsidRPr="007A541E" w:rsidRDefault="003C25F4" w:rsidP="69FEF511">
      <w:pPr>
        <w:pStyle w:val="Bullet"/>
        <w:rPr>
          <w:rFonts w:eastAsiaTheme="minorEastAsia"/>
        </w:rPr>
      </w:pPr>
      <w:r w:rsidRPr="69FEF511">
        <w:rPr>
          <w:rFonts w:eastAsiaTheme="minorEastAsia"/>
        </w:rPr>
        <w:t>i</w:t>
      </w:r>
      <w:r w:rsidR="00E84D9B" w:rsidRPr="69FEF511">
        <w:rPr>
          <w:rFonts w:eastAsiaTheme="minorEastAsia"/>
        </w:rPr>
        <w:t>mprove the quality and usability of data, by developing clear standards and consistent methods for data collection, generation and application</w:t>
      </w:r>
    </w:p>
    <w:p w14:paraId="4F26BAAE" w14:textId="476DAEF7" w:rsidR="00E84D9B" w:rsidRPr="007A541E" w:rsidRDefault="003C25F4" w:rsidP="69FEF511">
      <w:pPr>
        <w:pStyle w:val="Bullet"/>
        <w:rPr>
          <w:rFonts w:eastAsiaTheme="minorEastAsia"/>
        </w:rPr>
      </w:pPr>
      <w:r w:rsidRPr="69FEF511">
        <w:rPr>
          <w:rFonts w:eastAsiaTheme="minorEastAsia"/>
        </w:rPr>
        <w:t>g</w:t>
      </w:r>
      <w:r w:rsidR="00E84D9B" w:rsidRPr="69FEF511">
        <w:rPr>
          <w:rFonts w:eastAsiaTheme="minorEastAsia"/>
        </w:rPr>
        <w:t xml:space="preserve">row technical expertise and risk-communication capability, including by integrating diverse knowledge systems </w:t>
      </w:r>
      <w:r w:rsidRPr="69FEF511">
        <w:t>–</w:t>
      </w:r>
      <w:r w:rsidR="00E84D9B" w:rsidRPr="69FEF511">
        <w:rPr>
          <w:rFonts w:eastAsiaTheme="minorEastAsia"/>
        </w:rPr>
        <w:t xml:space="preserve"> such as science and </w:t>
      </w:r>
      <w:proofErr w:type="spellStart"/>
      <w:r w:rsidRPr="69FEF511">
        <w:rPr>
          <w:rFonts w:eastAsiaTheme="minorEastAsia"/>
        </w:rPr>
        <w:t>m</w:t>
      </w:r>
      <w:r w:rsidR="00E84D9B" w:rsidRPr="69FEF511">
        <w:rPr>
          <w:rFonts w:eastAsiaTheme="minorEastAsia"/>
        </w:rPr>
        <w:t>ātauranga</w:t>
      </w:r>
      <w:proofErr w:type="spellEnd"/>
      <w:r w:rsidR="00E84D9B" w:rsidRPr="69FEF511">
        <w:rPr>
          <w:rFonts w:eastAsiaTheme="minorEastAsia"/>
        </w:rPr>
        <w:t xml:space="preserve"> Māori </w:t>
      </w:r>
      <w:r w:rsidRPr="69FEF511">
        <w:rPr>
          <w:rFonts w:eastAsiaTheme="minorEastAsia"/>
        </w:rPr>
        <w:t>–</w:t>
      </w:r>
      <w:r w:rsidR="00E84D9B" w:rsidRPr="69FEF511">
        <w:rPr>
          <w:rFonts w:eastAsiaTheme="minorEastAsia"/>
        </w:rPr>
        <w:t xml:space="preserve"> and building the skills to translate complex data into actionable insights.</w:t>
      </w:r>
    </w:p>
    <w:p w14:paraId="1BD48ECA" w14:textId="77862071" w:rsidR="00E84D9B" w:rsidRPr="00C05128" w:rsidRDefault="00E84D9B" w:rsidP="00C05128">
      <w:pPr>
        <w:pStyle w:val="BodyText"/>
      </w:pPr>
      <w:r w:rsidRPr="00C05128">
        <w:t>Realising these opportunities will require increased and sustained investment</w:t>
      </w:r>
      <w:r w:rsidR="00B47437" w:rsidRPr="00C05128">
        <w:t>, b</w:t>
      </w:r>
      <w:r w:rsidRPr="00C05128">
        <w:t>ut the payoff is significant: better decisions, more targeted investments and a stronger, more informed public.</w:t>
      </w:r>
    </w:p>
    <w:p w14:paraId="15F89C86" w14:textId="79DD83DD" w:rsidR="00877919" w:rsidRDefault="2DB87A20" w:rsidP="69FEF511">
      <w:pPr>
        <w:pStyle w:val="Heading2"/>
      </w:pPr>
      <w:bookmarkStart w:id="37" w:name="_Toc202529469"/>
      <w:bookmarkStart w:id="38" w:name="_Toc214435305"/>
      <w:r>
        <w:t>Harnessing t</w:t>
      </w:r>
      <w:r w:rsidR="004748D9">
        <w:t>echnology and AI</w:t>
      </w:r>
      <w:bookmarkEnd w:id="37"/>
      <w:bookmarkEnd w:id="38"/>
    </w:p>
    <w:p w14:paraId="322803B2" w14:textId="0E2CC982" w:rsidR="0015412B" w:rsidRDefault="0015412B" w:rsidP="69FEF511">
      <w:pPr>
        <w:pStyle w:val="BodyText"/>
      </w:pPr>
      <w:r w:rsidRPr="69FEF511">
        <w:t>AI is rapidly emerging as a powerful tool in build</w:t>
      </w:r>
      <w:r w:rsidR="00651302" w:rsidRPr="69FEF511">
        <w:t>ing</w:t>
      </w:r>
      <w:r w:rsidRPr="69FEF511">
        <w:t xml:space="preserve"> resilience to hazards. </w:t>
      </w:r>
      <w:r w:rsidR="00061BD0" w:rsidRPr="69FEF511">
        <w:t>AI is helping to shift hazard management from reactive to proactive, enabling smarter, faster and more inclusive approaches to risk anticipation, impact assessment and response planning.</w:t>
      </w:r>
    </w:p>
    <w:p w14:paraId="442298DC" w14:textId="6F978CDA" w:rsidR="0015412B" w:rsidRDefault="0015412B" w:rsidP="69FEF511">
      <w:pPr>
        <w:pStyle w:val="Heading3"/>
      </w:pPr>
      <w:r w:rsidRPr="69FEF511">
        <w:t xml:space="preserve">Anticipating </w:t>
      </w:r>
      <w:r w:rsidR="009C6011" w:rsidRPr="69FEF511">
        <w:t>h</w:t>
      </w:r>
      <w:r w:rsidRPr="69FEF511">
        <w:t>azards</w:t>
      </w:r>
    </w:p>
    <w:p w14:paraId="66D5AD38" w14:textId="77777777" w:rsidR="00131800" w:rsidRDefault="2147E39D" w:rsidP="69FEF511">
      <w:pPr>
        <w:pStyle w:val="BodyText"/>
      </w:pPr>
      <w:r w:rsidRPr="69FEF511">
        <w:t>AI is transforming how to detect and anticipate hazard events</w:t>
      </w:r>
      <w:r w:rsidR="545080F0" w:rsidRPr="69FEF511">
        <w:t xml:space="preserve">, </w:t>
      </w:r>
      <w:r w:rsidRPr="69FEF511">
        <w:t>often before they escalate. These innovations are helping to move from reactive to proactive hazard management.</w:t>
      </w:r>
      <w:r w:rsidR="066AEC30" w:rsidRPr="69FEF511">
        <w:t xml:space="preserve"> Tools like</w:t>
      </w:r>
      <w:r w:rsidR="480A2961" w:rsidRPr="69FEF511">
        <w:t xml:space="preserve"> </w:t>
      </w:r>
      <w:proofErr w:type="spellStart"/>
      <w:r w:rsidRPr="69FEF511">
        <w:t>QuakeFlow</w:t>
      </w:r>
      <w:proofErr w:type="spellEnd"/>
      <w:r w:rsidRPr="69FEF511">
        <w:t xml:space="preserve"> analyse seismic data to detect tiny tremors that traditional systems miss, offering early insights into fault stress and potential earthquake activity</w:t>
      </w:r>
      <w:r w:rsidR="53614E03" w:rsidRPr="69FEF511">
        <w:t>.</w:t>
      </w:r>
      <w:r w:rsidR="0015412B" w:rsidRPr="69FEF511">
        <w:rPr>
          <w:rStyle w:val="EndnoteReference"/>
        </w:rPr>
        <w:endnoteReference w:id="65"/>
      </w:r>
      <w:r w:rsidR="4EA87297" w:rsidRPr="69FEF511">
        <w:t xml:space="preserve"> </w:t>
      </w:r>
      <w:r w:rsidRPr="69FEF511">
        <w:t>Smartphone-based earthquake alerts</w:t>
      </w:r>
      <w:r w:rsidR="4EA87297" w:rsidRPr="69FEF511">
        <w:t>, such as</w:t>
      </w:r>
      <w:r w:rsidRPr="69FEF511">
        <w:t xml:space="preserve"> Google’s Android system use crowdsourced data</w:t>
      </w:r>
      <w:r w:rsidR="3FAD56BB" w:rsidRPr="69FEF511">
        <w:t xml:space="preserve"> to</w:t>
      </w:r>
      <w:r w:rsidRPr="69FEF511">
        <w:t xml:space="preserve"> detect shaking and send out warnings within seconds.</w:t>
      </w:r>
      <w:r w:rsidR="0015412B" w:rsidRPr="69FEF511">
        <w:rPr>
          <w:rStyle w:val="EndnoteReference"/>
        </w:rPr>
        <w:endnoteReference w:id="66"/>
      </w:r>
      <w:r w:rsidR="3FAD56BB" w:rsidRPr="69FEF511">
        <w:t xml:space="preserve"> </w:t>
      </w:r>
    </w:p>
    <w:p w14:paraId="4B26BB9F" w14:textId="77777777" w:rsidR="00131800" w:rsidRDefault="3FAD56BB" w:rsidP="69FEF511">
      <w:pPr>
        <w:pStyle w:val="BodyText"/>
      </w:pPr>
      <w:r w:rsidRPr="69FEF511">
        <w:t>AI also</w:t>
      </w:r>
      <w:r w:rsidR="640534B8" w:rsidRPr="69FEF511">
        <w:t xml:space="preserve"> enhances t</w:t>
      </w:r>
      <w:r w:rsidR="2147E39D" w:rsidRPr="69FEF511">
        <w:t>sunami forecasting</w:t>
      </w:r>
      <w:r w:rsidR="640534B8" w:rsidRPr="69FEF511">
        <w:t xml:space="preserve"> by</w:t>
      </w:r>
      <w:r w:rsidR="2147E39D" w:rsidRPr="69FEF511">
        <w:t xml:space="preserve"> rapidly process</w:t>
      </w:r>
      <w:r w:rsidR="640534B8" w:rsidRPr="69FEF511">
        <w:t>ing</w:t>
      </w:r>
      <w:r w:rsidR="2147E39D" w:rsidRPr="69FEF511">
        <w:t xml:space="preserve"> seismic and oceanographic data</w:t>
      </w:r>
      <w:r w:rsidR="00A27BBD" w:rsidRPr="69FEF511">
        <w:rPr>
          <w:rStyle w:val="EndnoteReference"/>
        </w:rPr>
        <w:endnoteReference w:id="67"/>
      </w:r>
      <w:r w:rsidR="5F39556F" w:rsidRPr="69FEF511">
        <w:t>, and monitors</w:t>
      </w:r>
      <w:r w:rsidR="2147E39D" w:rsidRPr="69FEF511">
        <w:t xml:space="preserve"> </w:t>
      </w:r>
      <w:r w:rsidR="5F39556F" w:rsidRPr="69FEF511">
        <w:t>v</w:t>
      </w:r>
      <w:r w:rsidR="2147E39D" w:rsidRPr="69FEF511">
        <w:t xml:space="preserve">olcanic activity </w:t>
      </w:r>
      <w:r w:rsidR="5F39556F" w:rsidRPr="69FEF511">
        <w:t>by scanning</w:t>
      </w:r>
      <w:r w:rsidR="2147E39D" w:rsidRPr="69FEF511">
        <w:t xml:space="preserve"> satellite and ground data to detect subtle land movements that may signal an impending eruption</w:t>
      </w:r>
      <w:r w:rsidR="0563D3C9" w:rsidRPr="69FEF511">
        <w:t>.</w:t>
      </w:r>
      <w:r w:rsidR="0015412B" w:rsidRPr="69FEF511">
        <w:rPr>
          <w:rStyle w:val="EndnoteReference"/>
        </w:rPr>
        <w:endnoteReference w:id="68"/>
      </w:r>
      <w:r w:rsidR="0081D7A3" w:rsidRPr="69FEF511">
        <w:t xml:space="preserve"> </w:t>
      </w:r>
    </w:p>
    <w:p w14:paraId="47780078" w14:textId="49A49CF8" w:rsidR="0015412B" w:rsidRDefault="0081D7A3" w:rsidP="69FEF511">
      <w:pPr>
        <w:pStyle w:val="BodyText"/>
      </w:pPr>
      <w:r w:rsidRPr="69FEF511">
        <w:t xml:space="preserve">In the health domain, AI supports early disease </w:t>
      </w:r>
      <w:r w:rsidR="2147E39D" w:rsidRPr="69FEF511">
        <w:t>surveillance</w:t>
      </w:r>
      <w:r w:rsidRPr="69FEF511">
        <w:t xml:space="preserve"> by analysing </w:t>
      </w:r>
      <w:r w:rsidR="79C6DB6B" w:rsidRPr="69FEF511">
        <w:t>environmental and health data to</w:t>
      </w:r>
      <w:r w:rsidR="2147E39D" w:rsidRPr="69FEF511">
        <w:t xml:space="preserve"> detect early signs of outbreaks, supporting faster public health responses</w:t>
      </w:r>
      <w:r w:rsidR="0563D3C9" w:rsidRPr="69FEF511">
        <w:t>.</w:t>
      </w:r>
      <w:r w:rsidR="0015412B" w:rsidRPr="69FEF511">
        <w:rPr>
          <w:rStyle w:val="EndnoteReference"/>
        </w:rPr>
        <w:endnoteReference w:id="69"/>
      </w:r>
      <w:r w:rsidR="0563D3C9" w:rsidRPr="69FEF511">
        <w:rPr>
          <w:vertAlign w:val="superscript"/>
        </w:rPr>
        <w:t>,</w:t>
      </w:r>
      <w:r w:rsidR="0015412B" w:rsidRPr="69FEF511">
        <w:rPr>
          <w:rStyle w:val="EndnoteReference"/>
        </w:rPr>
        <w:endnoteReference w:id="70"/>
      </w:r>
    </w:p>
    <w:p w14:paraId="61B6DE1F" w14:textId="3E89AA36" w:rsidR="0015412B" w:rsidRDefault="0015412B" w:rsidP="69FEF511">
      <w:pPr>
        <w:pStyle w:val="Heading3"/>
      </w:pPr>
      <w:r w:rsidRPr="69FEF511">
        <w:t xml:space="preserve">Understanding </w:t>
      </w:r>
      <w:r w:rsidR="00FD119C" w:rsidRPr="69FEF511">
        <w:t>i</w:t>
      </w:r>
      <w:r w:rsidRPr="69FEF511">
        <w:t>mpact</w:t>
      </w:r>
    </w:p>
    <w:p w14:paraId="12485513" w14:textId="24650B33" w:rsidR="00AE15DB" w:rsidRDefault="596D674A" w:rsidP="69FEF511">
      <w:pPr>
        <w:pStyle w:val="BodyText"/>
      </w:pPr>
      <w:r w:rsidRPr="69FEF511">
        <w:t xml:space="preserve">Before events occur, AI can </w:t>
      </w:r>
      <w:r w:rsidR="256EE41A" w:rsidRPr="69FEF511">
        <w:t>assess</w:t>
      </w:r>
      <w:r w:rsidRPr="69FEF511">
        <w:t xml:space="preserve"> factors like building age, construction quality, soil type and proximity to fault lines to </w:t>
      </w:r>
      <w:r w:rsidR="28438E42" w:rsidRPr="69FEF511">
        <w:t>identify high-risk areas</w:t>
      </w:r>
      <w:r w:rsidR="23005651" w:rsidRPr="69FEF511">
        <w:t xml:space="preserve"> and inform</w:t>
      </w:r>
      <w:r w:rsidRPr="69FEF511">
        <w:t xml:space="preserve"> urban planning.</w:t>
      </w:r>
      <w:r w:rsidR="001B3360" w:rsidRPr="69FEF511">
        <w:rPr>
          <w:rStyle w:val="EndnoteReference"/>
        </w:rPr>
        <w:endnoteReference w:id="71"/>
      </w:r>
      <w:r w:rsidR="7E4422C5" w:rsidRPr="69FEF511">
        <w:t xml:space="preserve"> </w:t>
      </w:r>
      <w:r w:rsidR="1F87AB21" w:rsidRPr="69FEF511">
        <w:t>AI-powered climate projections enhance risk assessment by generating localized forecasts that help identify vulnerabilities and guide targeted resilience planning</w:t>
      </w:r>
      <w:r w:rsidR="0411F052" w:rsidRPr="69FEF511">
        <w:t>.</w:t>
      </w:r>
      <w:r w:rsidR="00B85EEE" w:rsidRPr="69FEF511">
        <w:rPr>
          <w:rStyle w:val="EndnoteReference"/>
          <w:rFonts w:eastAsia="Yu Mincho" w:cs="Calibri"/>
        </w:rPr>
        <w:endnoteReference w:id="72"/>
      </w:r>
    </w:p>
    <w:p w14:paraId="44B9CE1F" w14:textId="6E418597" w:rsidR="0015412B" w:rsidRPr="005B0CED" w:rsidRDefault="6276176F" w:rsidP="69FEF511">
      <w:pPr>
        <w:pStyle w:val="BodyText"/>
      </w:pPr>
      <w:r w:rsidRPr="69FEF511">
        <w:t xml:space="preserve">After disasters, AI </w:t>
      </w:r>
      <w:r w:rsidR="2147E39D" w:rsidRPr="69FEF511">
        <w:t>can analyse satellite imagery and drone data to rapidly assess</w:t>
      </w:r>
      <w:r w:rsidR="05972D4C" w:rsidRPr="69FEF511">
        <w:t xml:space="preserve"> damage to</w:t>
      </w:r>
      <w:r w:rsidR="2147E39D" w:rsidRPr="69FEF511">
        <w:t xml:space="preserve"> building</w:t>
      </w:r>
      <w:r w:rsidR="05972D4C" w:rsidRPr="69FEF511">
        <w:t>s and infrastructure, guiding emergency response.</w:t>
      </w:r>
      <w:r w:rsidR="004A5A21" w:rsidRPr="003E71B2">
        <w:rPr>
          <w:rStyle w:val="EndnoteReference"/>
        </w:rPr>
        <w:endnoteReference w:id="73"/>
      </w:r>
      <w:r w:rsidR="05972D4C" w:rsidRPr="003E71B2">
        <w:t xml:space="preserve"> </w:t>
      </w:r>
      <w:r w:rsidR="41B04C87" w:rsidRPr="69FEF511">
        <w:t>In s</w:t>
      </w:r>
      <w:r w:rsidR="2147E39D" w:rsidRPr="69FEF511">
        <w:t xml:space="preserve">earch and rescue </w:t>
      </w:r>
      <w:r w:rsidR="41B04C87" w:rsidRPr="69FEF511">
        <w:t xml:space="preserve">operations </w:t>
      </w:r>
      <w:r w:rsidR="2147E39D" w:rsidRPr="69FEF511">
        <w:t>AI-powered sound analysis can distinguish human calls for help from background noise, guiding rescue teams searching through rubble.</w:t>
      </w:r>
      <w:r w:rsidR="0015412B" w:rsidRPr="69FEF511">
        <w:rPr>
          <w:rStyle w:val="EndnoteReference"/>
        </w:rPr>
        <w:endnoteReference w:id="74"/>
      </w:r>
    </w:p>
    <w:p w14:paraId="602A2200" w14:textId="0B6AC5CB" w:rsidR="0015412B" w:rsidRPr="008B5EEB" w:rsidRDefault="0015412B" w:rsidP="69FEF511">
      <w:pPr>
        <w:pStyle w:val="Heading3"/>
        <w:rPr>
          <w:rFonts w:eastAsia="Times New Roman"/>
        </w:rPr>
      </w:pPr>
      <w:r w:rsidRPr="69FEF511">
        <w:rPr>
          <w:rFonts w:eastAsia="Times New Roman"/>
        </w:rPr>
        <w:t xml:space="preserve">Enabling </w:t>
      </w:r>
      <w:r w:rsidR="005A7EEF" w:rsidRPr="69FEF511">
        <w:rPr>
          <w:rFonts w:eastAsia="Times New Roman"/>
        </w:rPr>
        <w:t>p</w:t>
      </w:r>
      <w:r w:rsidRPr="69FEF511">
        <w:rPr>
          <w:rFonts w:eastAsia="Times New Roman"/>
        </w:rPr>
        <w:t xml:space="preserve">eople and </w:t>
      </w:r>
      <w:r w:rsidR="005A7EEF" w:rsidRPr="69FEF511">
        <w:rPr>
          <w:rFonts w:eastAsia="Times New Roman"/>
        </w:rPr>
        <w:t>s</w:t>
      </w:r>
      <w:r w:rsidRPr="69FEF511">
        <w:rPr>
          <w:rFonts w:eastAsia="Times New Roman"/>
        </w:rPr>
        <w:t>ystems</w:t>
      </w:r>
    </w:p>
    <w:p w14:paraId="30B3D001" w14:textId="6FF5AF66" w:rsidR="00E54E9A" w:rsidRDefault="2147E39D" w:rsidP="69FEF511">
      <w:pPr>
        <w:pStyle w:val="BodyText"/>
      </w:pPr>
      <w:r w:rsidRPr="69FEF511">
        <w:t xml:space="preserve">AI </w:t>
      </w:r>
      <w:r w:rsidR="1DBAC0DA" w:rsidRPr="69FEF511">
        <w:t xml:space="preserve">can </w:t>
      </w:r>
      <w:r w:rsidRPr="69FEF511">
        <w:t>also help to strengthen the systems and services that support hazard resilience</w:t>
      </w:r>
      <w:r w:rsidR="25DF8289" w:rsidRPr="69FEF511">
        <w:t>.</w:t>
      </w:r>
      <w:r w:rsidR="009B5BD5" w:rsidRPr="69FEF511">
        <w:rPr>
          <w:rStyle w:val="EndnoteReference"/>
        </w:rPr>
        <w:endnoteReference w:id="75"/>
      </w:r>
      <w:r w:rsidRPr="69FEF511">
        <w:t xml:space="preserve"> Together, these applications help ensure that both people and systems are ready to respond effectively when hazards strike</w:t>
      </w:r>
      <w:r w:rsidR="7883BD83" w:rsidRPr="69FEF511">
        <w:t>. Digital twins</w:t>
      </w:r>
      <w:r w:rsidR="6454E390" w:rsidRPr="69FEF511">
        <w:t xml:space="preserve"> – </w:t>
      </w:r>
      <w:r w:rsidR="7883BD83" w:rsidRPr="69FEF511">
        <w:t xml:space="preserve">virtual models of real-world environments like </w:t>
      </w:r>
      <w:r w:rsidR="7883BD83" w:rsidRPr="69FEF511">
        <w:lastRenderedPageBreak/>
        <w:t>transport networks or urban areas</w:t>
      </w:r>
      <w:r w:rsidR="6454E390" w:rsidRPr="69FEF511">
        <w:t xml:space="preserve"> – </w:t>
      </w:r>
      <w:r w:rsidR="7883BD83" w:rsidRPr="69FEF511">
        <w:t>allow planners to simulate disaster scenarios, test resilience strategies and make informed decisions, as seen in earthquake response efforts in Türkiye</w:t>
      </w:r>
      <w:r w:rsidR="005E14E7" w:rsidRPr="69FEF511">
        <w:rPr>
          <w:rStyle w:val="EndnoteReference"/>
        </w:rPr>
        <w:endnoteReference w:id="76"/>
      </w:r>
      <w:r w:rsidR="7883BD83" w:rsidRPr="69FEF511">
        <w:t xml:space="preserve"> and flood-ready infrastructure in the United States</w:t>
      </w:r>
      <w:r w:rsidR="42C2E63E" w:rsidRPr="69FEF511">
        <w:t>.</w:t>
      </w:r>
      <w:r w:rsidR="005300EF" w:rsidRPr="69FEF511">
        <w:rPr>
          <w:rStyle w:val="EndnoteReference"/>
        </w:rPr>
        <w:endnoteReference w:id="77"/>
      </w:r>
      <w:r w:rsidR="7883BD83" w:rsidRPr="69FEF511">
        <w:t xml:space="preserve"> </w:t>
      </w:r>
    </w:p>
    <w:p w14:paraId="3709C60A" w14:textId="1A6FBE25" w:rsidR="00CF2FC8" w:rsidRDefault="00E54E9A" w:rsidP="69FEF511">
      <w:pPr>
        <w:pStyle w:val="BodyText"/>
      </w:pPr>
      <w:r w:rsidRPr="69FEF511">
        <w:t xml:space="preserve">These tools </w:t>
      </w:r>
      <w:r w:rsidR="00133058" w:rsidRPr="69FEF511">
        <w:t xml:space="preserve">can </w:t>
      </w:r>
      <w:r w:rsidRPr="69FEF511">
        <w:t>also support cross-agency planning and community engagement by visualising local risks and fostering collaborative decision-making. AI enhances this capability by translating complex hazard data into plain language, delivering tailored messages to diverse communities and improving access to trusted information through inclusive tools like chatbots and voice assistants.</w:t>
      </w:r>
    </w:p>
    <w:p w14:paraId="4B674B97" w14:textId="2B2EF299" w:rsidR="0015412B" w:rsidRPr="00D25780" w:rsidRDefault="7883BD83" w:rsidP="69FEF511">
      <w:pPr>
        <w:pStyle w:val="BodyText"/>
      </w:pPr>
      <w:r w:rsidRPr="69FEF511">
        <w:t>These innovations align with the Public Service Commission’s goals for digital transformation and smarter, user-centred public services</w:t>
      </w:r>
      <w:r w:rsidR="42C2E63E" w:rsidRPr="69FEF511">
        <w:t>.</w:t>
      </w:r>
      <w:r w:rsidR="00CF2FC8" w:rsidRPr="69FEF511">
        <w:rPr>
          <w:rStyle w:val="EndnoteReference"/>
        </w:rPr>
        <w:endnoteReference w:id="78"/>
      </w:r>
      <w:r w:rsidRPr="69FEF511">
        <w:t xml:space="preserve"> As AI capabilities grow, New Zealand must consider how to harness these technologies across sectors to ensure readiness and resilience in the face of future hazards.</w:t>
      </w:r>
    </w:p>
    <w:p w14:paraId="25FD29D8" w14:textId="09FD83B2" w:rsidR="00877919" w:rsidRPr="005B0CED" w:rsidRDefault="2F7170FA" w:rsidP="69FEF511">
      <w:pPr>
        <w:pStyle w:val="Heading2"/>
      </w:pPr>
      <w:bookmarkStart w:id="39" w:name="_Toc202529470"/>
      <w:bookmarkStart w:id="40" w:name="_Toc214435306"/>
      <w:r w:rsidRPr="69FEF511">
        <w:t>Designing more resilient infrastructure</w:t>
      </w:r>
      <w:bookmarkEnd w:id="39"/>
      <w:bookmarkEnd w:id="40"/>
    </w:p>
    <w:p w14:paraId="7C3AF777" w14:textId="4BDE4D7F" w:rsidR="00877919" w:rsidRDefault="1EB8D68F" w:rsidP="69FEF511">
      <w:pPr>
        <w:pStyle w:val="BodyText"/>
        <w:rPr>
          <w:rFonts w:cs="Calibri"/>
        </w:rPr>
      </w:pPr>
      <w:r w:rsidRPr="69FEF511">
        <w:rPr>
          <w:rFonts w:cs="Calibri"/>
        </w:rPr>
        <w:t>Resilient infrastructure is critical to ensure people are safe</w:t>
      </w:r>
      <w:r w:rsidR="2CC87539" w:rsidRPr="69FEF511">
        <w:rPr>
          <w:rFonts w:cs="Calibri"/>
        </w:rPr>
        <w:t>,</w:t>
      </w:r>
      <w:r w:rsidR="310FBCD4" w:rsidRPr="69FEF511">
        <w:rPr>
          <w:rFonts w:cs="Calibri"/>
        </w:rPr>
        <w:t xml:space="preserve"> </w:t>
      </w:r>
      <w:r w:rsidRPr="69FEF511">
        <w:rPr>
          <w:rFonts w:cs="Calibri"/>
        </w:rPr>
        <w:t xml:space="preserve">can access essential </w:t>
      </w:r>
      <w:r w:rsidR="4BA99999" w:rsidRPr="2827F97F">
        <w:rPr>
          <w:rFonts w:cs="Calibri"/>
        </w:rPr>
        <w:t xml:space="preserve">goods and </w:t>
      </w:r>
      <w:r w:rsidRPr="69FEF511">
        <w:rPr>
          <w:rFonts w:cs="Calibri"/>
        </w:rPr>
        <w:t xml:space="preserve">services and </w:t>
      </w:r>
      <w:r w:rsidR="310FBCD4" w:rsidRPr="69FEF511">
        <w:rPr>
          <w:rFonts w:cs="Calibri"/>
        </w:rPr>
        <w:t xml:space="preserve">that </w:t>
      </w:r>
      <w:r w:rsidRPr="69FEF511">
        <w:rPr>
          <w:rFonts w:cs="Calibri"/>
        </w:rPr>
        <w:t>the economy can handle disruptions.</w:t>
      </w:r>
      <w:r w:rsidR="00D00970" w:rsidRPr="69FEF511">
        <w:rPr>
          <w:rStyle w:val="FootnoteReference"/>
          <w:rFonts w:cs="Calibri"/>
        </w:rPr>
        <w:footnoteReference w:id="10"/>
      </w:r>
      <w:r w:rsidRPr="69FEF511">
        <w:rPr>
          <w:rFonts w:cs="Calibri"/>
        </w:rPr>
        <w:t xml:space="preserve"> However, New Zealand faces a significant infrastructure deficit.</w:t>
      </w:r>
      <w:r w:rsidR="000406CC" w:rsidRPr="69FEF511">
        <w:rPr>
          <w:rStyle w:val="FootnoteReference"/>
          <w:rFonts w:cs="Calibri"/>
        </w:rPr>
        <w:footnoteReference w:id="11"/>
      </w:r>
      <w:r w:rsidRPr="69FEF511">
        <w:rPr>
          <w:rFonts w:cs="Calibri"/>
        </w:rPr>
        <w:t xml:space="preserve"> If current trends continue, the shortfall is projected to reach $210</w:t>
      </w:r>
      <w:r w:rsidR="310FBCD4" w:rsidRPr="69FEF511">
        <w:rPr>
          <w:rFonts w:cs="Calibri"/>
        </w:rPr>
        <w:t> </w:t>
      </w:r>
      <w:r w:rsidRPr="69FEF511">
        <w:rPr>
          <w:rFonts w:cs="Calibri"/>
        </w:rPr>
        <w:t>billion by 2050.</w:t>
      </w:r>
      <w:r w:rsidR="00877919" w:rsidRPr="69FEF511">
        <w:rPr>
          <w:rStyle w:val="EndnoteReference"/>
          <w:rFonts w:cs="Calibri"/>
        </w:rPr>
        <w:endnoteReference w:id="79"/>
      </w:r>
      <w:r w:rsidRPr="69FEF511">
        <w:rPr>
          <w:rFonts w:cs="Calibri"/>
        </w:rPr>
        <w:t xml:space="preserve"> Addressing this infrastructure deficit in a fiscally responsible way will require innovation</w:t>
      </w:r>
      <w:r w:rsidR="310FBCD4" w:rsidRPr="69FEF511">
        <w:rPr>
          <w:rFonts w:cs="Calibri"/>
        </w:rPr>
        <w:t xml:space="preserve"> –</w:t>
      </w:r>
      <w:r w:rsidRPr="69FEF511">
        <w:rPr>
          <w:rFonts w:cs="Calibri"/>
        </w:rPr>
        <w:t xml:space="preserve"> not only in the types of infrastructure we build, but also in the frameworks we use to prioritise, evaluate and deliver investment.</w:t>
      </w:r>
    </w:p>
    <w:p w14:paraId="701B8957" w14:textId="26BEC0D7" w:rsidR="00EF24D3" w:rsidRPr="007015C7" w:rsidRDefault="3C037096" w:rsidP="69FEF511">
      <w:pPr>
        <w:pStyle w:val="BodyText"/>
      </w:pPr>
      <w:r w:rsidRPr="007015C7">
        <w:t>A resilien</w:t>
      </w:r>
      <w:r w:rsidR="7302014D" w:rsidRPr="007015C7">
        <w:t xml:space="preserve">ce-focused </w:t>
      </w:r>
      <w:r w:rsidRPr="007015C7">
        <w:t xml:space="preserve">approach means </w:t>
      </w:r>
      <w:r w:rsidR="0B50FD5F" w:rsidRPr="007015C7">
        <w:t>planning for a range of hazards – such as floods</w:t>
      </w:r>
      <w:r w:rsidR="0C526299" w:rsidRPr="007015C7">
        <w:t xml:space="preserve">, </w:t>
      </w:r>
      <w:r w:rsidR="0B50FD5F" w:rsidRPr="007015C7">
        <w:t>droughts</w:t>
      </w:r>
      <w:r w:rsidR="35B4295F" w:rsidRPr="007015C7">
        <w:t xml:space="preserve"> or pandemics</w:t>
      </w:r>
      <w:r w:rsidR="0B50FD5F" w:rsidRPr="007015C7">
        <w:t xml:space="preserve"> – by </w:t>
      </w:r>
      <w:r w:rsidR="38082E6F" w:rsidRPr="007015C7">
        <w:t>prioritising</w:t>
      </w:r>
      <w:r w:rsidR="0B50FD5F" w:rsidRPr="007015C7">
        <w:t xml:space="preserve"> infrastructure like flood protection and water storage</w:t>
      </w:r>
      <w:r w:rsidR="4CA43FFB" w:rsidRPr="007015C7">
        <w:t xml:space="preserve"> that safeguard both communities and food production. It also means strengthening the systems that keep food supply chains running during crises, recognising these as critical lifelines. </w:t>
      </w:r>
      <w:r w:rsidR="256043EF" w:rsidRPr="007015C7">
        <w:t>A resilience-focused approach could also see an emphasis on developing</w:t>
      </w:r>
      <w:r w:rsidR="55228E58" w:rsidRPr="007015C7">
        <w:t xml:space="preserve"> </w:t>
      </w:r>
      <w:r w:rsidR="6AB831AA" w:rsidRPr="007015C7">
        <w:t xml:space="preserve">backup infrastructure </w:t>
      </w:r>
      <w:r w:rsidR="4D438B2E" w:rsidRPr="007015C7">
        <w:t>that can fu</w:t>
      </w:r>
      <w:r w:rsidR="7A79D8F1" w:rsidRPr="007015C7">
        <w:t>nction when primary systems fail</w:t>
      </w:r>
      <w:r w:rsidR="3D36ED87" w:rsidRPr="007015C7">
        <w:t>.</w:t>
      </w:r>
      <w:r w:rsidR="7A79D8F1" w:rsidRPr="007015C7">
        <w:t xml:space="preserve"> This could include distributed food production, local energy generation</w:t>
      </w:r>
      <w:r w:rsidR="54FC5695" w:rsidRPr="007015C7">
        <w:t xml:space="preserve"> </w:t>
      </w:r>
      <w:r w:rsidR="7A79D8F1" w:rsidRPr="007015C7">
        <w:t>an</w:t>
      </w:r>
      <w:r w:rsidR="54FC5695" w:rsidRPr="007015C7">
        <w:t>d</w:t>
      </w:r>
      <w:r w:rsidR="7A79D8F1" w:rsidRPr="007015C7">
        <w:t xml:space="preserve"> resilient inter-island shipping.</w:t>
      </w:r>
    </w:p>
    <w:p w14:paraId="7D3492AD" w14:textId="550D84E7" w:rsidR="00877919" w:rsidRPr="00CD1D75" w:rsidRDefault="0CCC4E20" w:rsidP="69FEF511">
      <w:pPr>
        <w:pStyle w:val="BodyText"/>
        <w:rPr>
          <w:rFonts w:cs="Calibri"/>
        </w:rPr>
      </w:pPr>
      <w:r w:rsidRPr="2FC04E29">
        <w:rPr>
          <w:rFonts w:cs="Calibri"/>
        </w:rPr>
        <w:t xml:space="preserve">Designing and building more resilient infrastructure </w:t>
      </w:r>
      <w:r w:rsidR="00877919" w:rsidRPr="69FEF511">
        <w:rPr>
          <w:rFonts w:cs="Calibri"/>
        </w:rPr>
        <w:t xml:space="preserve">means embracing </w:t>
      </w:r>
      <w:r w:rsidR="11ACFB8F" w:rsidRPr="2FC04E29">
        <w:rPr>
          <w:rFonts w:cs="Calibri"/>
        </w:rPr>
        <w:t>the</w:t>
      </w:r>
      <w:r w:rsidR="00877919" w:rsidRPr="69FEF511">
        <w:rPr>
          <w:rFonts w:cs="Calibri"/>
        </w:rPr>
        <w:t xml:space="preserve"> full spectrum of </w:t>
      </w:r>
      <w:r w:rsidR="11ACFB8F" w:rsidRPr="2FC04E29">
        <w:rPr>
          <w:rFonts w:cs="Calibri"/>
        </w:rPr>
        <w:t>options available</w:t>
      </w:r>
      <w:r w:rsidR="27DA6477" w:rsidRPr="2FC04E29">
        <w:rPr>
          <w:rFonts w:cs="Calibri"/>
        </w:rPr>
        <w:t>.</w:t>
      </w:r>
      <w:r w:rsidR="00877919" w:rsidRPr="69FEF511">
        <w:rPr>
          <w:rFonts w:cs="Calibri"/>
        </w:rPr>
        <w:t xml:space="preserve"> These include using advanced materials, integrating technology to monitor infrastructure performance, rethinking how maintenance is planned and delivered, and designing systems that can be upgraded over time. Resilience must be built into infrastructure from the outset </w:t>
      </w:r>
      <w:r w:rsidR="003D42AF" w:rsidRPr="69FEF511">
        <w:rPr>
          <w:rFonts w:cs="Calibri"/>
        </w:rPr>
        <w:t>–</w:t>
      </w:r>
      <w:r w:rsidR="00877919" w:rsidRPr="69FEF511">
        <w:rPr>
          <w:rFonts w:cs="Calibri"/>
        </w:rPr>
        <w:t xml:space="preserve"> not added as an afterthought. Two specific examples of resilient infrastructure are discussed below.</w:t>
      </w:r>
    </w:p>
    <w:p w14:paraId="64EC0030" w14:textId="5ACD5882" w:rsidR="00877919" w:rsidRPr="005B0CED" w:rsidRDefault="00877919" w:rsidP="69FEF511">
      <w:pPr>
        <w:pStyle w:val="Heading3"/>
      </w:pPr>
      <w:r w:rsidRPr="69FEF511">
        <w:t>Nature-based solutions</w:t>
      </w:r>
    </w:p>
    <w:p w14:paraId="4CD02FB1" w14:textId="6314584C" w:rsidR="00877919" w:rsidRPr="00B13570" w:rsidRDefault="20ABECF2" w:rsidP="00131E4D">
      <w:pPr>
        <w:pStyle w:val="BodyText"/>
        <w:rPr>
          <w:rStyle w:val="BodyTextChar"/>
          <w:rFonts w:cstheme="majorBidi"/>
          <w:b/>
          <w:bCs/>
          <w:sz w:val="28"/>
        </w:rPr>
      </w:pPr>
      <w:r w:rsidRPr="69FEF511">
        <w:t xml:space="preserve">One approach is the use of nature-based solutions </w:t>
      </w:r>
      <w:r w:rsidR="7BE1135E" w:rsidRPr="69FEF511">
        <w:t>–</w:t>
      </w:r>
      <w:r w:rsidRPr="69FEF511">
        <w:t xml:space="preserve"> infrastructure that blends natural systems with green technology to reduce risk, restore ecosystems and strengthen community resilience. These solutions can be more cost-effective than traditional infrastructure, particularly in reducing flood risk, and often come with a range of co-benefits.</w:t>
      </w:r>
      <w:r w:rsidR="00877919" w:rsidRPr="69FEF511">
        <w:rPr>
          <w:rStyle w:val="EndnoteReference"/>
          <w:rFonts w:cs="Calibri"/>
        </w:rPr>
        <w:endnoteReference w:id="80"/>
      </w:r>
    </w:p>
    <w:p w14:paraId="69C2759C" w14:textId="05C10BA0" w:rsidR="00877919" w:rsidRPr="00B13570" w:rsidRDefault="1EB8D68F" w:rsidP="00C05128">
      <w:pPr>
        <w:pStyle w:val="BodyText"/>
        <w:rPr>
          <w:rStyle w:val="BodyTextChar"/>
        </w:rPr>
      </w:pPr>
      <w:r w:rsidRPr="69FEF511">
        <w:t xml:space="preserve">Examples include engineered wetlands to manage stormwater, afforestation to stabilise landscapes, and urban features like green roofs and rain gardens. These approaches not only reduce hazard impacts but also improve biodiversity, air and water quality, and community </w:t>
      </w:r>
      <w:r w:rsidRPr="69FEF511">
        <w:lastRenderedPageBreak/>
        <w:t xml:space="preserve">wellbeing. In New Zealand, there is a unique opportunity to develop nature-based solutions informed by </w:t>
      </w:r>
      <w:proofErr w:type="spellStart"/>
      <w:r w:rsidR="20106366" w:rsidRPr="69FEF511">
        <w:t>m</w:t>
      </w:r>
      <w:r w:rsidRPr="69FEF511">
        <w:t>ātauranga</w:t>
      </w:r>
      <w:proofErr w:type="spellEnd"/>
      <w:r w:rsidRPr="69FEF511">
        <w:t xml:space="preserve"> Māori, ensuring they are well</w:t>
      </w:r>
      <w:r w:rsidR="20106366" w:rsidRPr="69FEF511">
        <w:t xml:space="preserve"> </w:t>
      </w:r>
      <w:r w:rsidRPr="69FEF511">
        <w:t>integrated into the landscape and deliver broader cultural and environmental benefits.</w:t>
      </w:r>
      <w:r w:rsidR="00877919" w:rsidRPr="69FEF511">
        <w:rPr>
          <w:rStyle w:val="EndnoteReference"/>
          <w:rFonts w:cs="Calibri"/>
        </w:rPr>
        <w:endnoteReference w:id="81"/>
      </w:r>
    </w:p>
    <w:p w14:paraId="20586A60" w14:textId="73D82786" w:rsidR="0FC0F508" w:rsidRDefault="4845A094" w:rsidP="007015C7">
      <w:pPr>
        <w:pStyle w:val="BodyText"/>
      </w:pPr>
      <w:r w:rsidRPr="03F9E619">
        <w:t xml:space="preserve">Nature-based, or green-blue solutions can have a direct impact on the safety and wellbeing of New Zealanders. This includes the Te </w:t>
      </w:r>
      <w:proofErr w:type="spellStart"/>
      <w:r w:rsidRPr="03F9E619">
        <w:t>Ararata</w:t>
      </w:r>
      <w:proofErr w:type="spellEnd"/>
      <w:r w:rsidRPr="03F9E619">
        <w:t xml:space="preserve"> </w:t>
      </w:r>
      <w:r w:rsidR="54BC7789" w:rsidRPr="03F9E619">
        <w:t>project in Auckland, developed by Auckland Council as part of their Making Space for Water programme that was co-funded with central government after the North Island Weather Events.</w:t>
      </w:r>
      <w:r w:rsidR="0FC0F508" w:rsidRPr="007015C7">
        <w:rPr>
          <w:rStyle w:val="EndnoteReference"/>
          <w:rFonts w:eastAsia="Calibri" w:cs="Calibri"/>
        </w:rPr>
        <w:endnoteReference w:id="82"/>
      </w:r>
      <w:r w:rsidR="54BC7789" w:rsidRPr="03F9E619">
        <w:t xml:space="preserve"> This project includes work </w:t>
      </w:r>
      <w:r w:rsidR="1A049FEA" w:rsidRPr="03F9E619">
        <w:t xml:space="preserve">on </w:t>
      </w:r>
      <w:r w:rsidR="2226E61A" w:rsidRPr="03F9E619">
        <w:t>a series of waterways and parks that allows room for flooding – undertaken alongside purchasing and removing houses that were most at risk</w:t>
      </w:r>
      <w:r w:rsidR="476FD328" w:rsidRPr="03F9E619">
        <w:t>, and a stream restoration pilot project.</w:t>
      </w:r>
    </w:p>
    <w:p w14:paraId="6426D97B" w14:textId="3B63C510" w:rsidR="00877919" w:rsidRPr="005B0CED" w:rsidRDefault="00F35F8A" w:rsidP="69FEF511">
      <w:pPr>
        <w:pStyle w:val="Heading3"/>
      </w:pPr>
      <w:r w:rsidRPr="69FEF511">
        <w:t>Battery storage</w:t>
      </w:r>
    </w:p>
    <w:p w14:paraId="41722E88" w14:textId="44761566" w:rsidR="00877919" w:rsidRPr="00CD1D75" w:rsidRDefault="00877919" w:rsidP="69FEF511">
      <w:pPr>
        <w:pStyle w:val="BodyText"/>
      </w:pPr>
      <w:r w:rsidRPr="69FEF511">
        <w:t xml:space="preserve">A reliable electricity supply is critical to New Zealand’s resilience. It powers essential services, supports economic activity and enables communities to function during crises. As climate-related disruptions become more frequent, targeted investment in energy infrastructure </w:t>
      </w:r>
      <w:r w:rsidR="003D42AF" w:rsidRPr="69FEF511">
        <w:t>–</w:t>
      </w:r>
      <w:r w:rsidRPr="69FEF511">
        <w:t xml:space="preserve"> particularly battery energy storage systems </w:t>
      </w:r>
      <w:r w:rsidR="253C2292" w:rsidRPr="69FEF511">
        <w:t>(BESS)</w:t>
      </w:r>
      <w:r w:rsidRPr="69FEF511">
        <w:t xml:space="preserve"> </w:t>
      </w:r>
      <w:r w:rsidR="003D42AF" w:rsidRPr="69FEF511">
        <w:t>–</w:t>
      </w:r>
      <w:r w:rsidRPr="69FEF511">
        <w:t xml:space="preserve"> offers a powerful way to strengthen resilience while delivering everyday benefits. </w:t>
      </w:r>
    </w:p>
    <w:p w14:paraId="546FF1FE" w14:textId="62204E05" w:rsidR="00877919" w:rsidRPr="00CD1D75" w:rsidRDefault="3B369BEF" w:rsidP="007015C7">
      <w:pPr>
        <w:pStyle w:val="BodyText"/>
      </w:pPr>
      <w:r w:rsidRPr="69FEF511">
        <w:rPr>
          <w:rFonts w:eastAsia="Calibri"/>
        </w:rPr>
        <w:t xml:space="preserve">BESS range </w:t>
      </w:r>
      <w:r w:rsidR="5C76E5FF" w:rsidRPr="69FEF511">
        <w:rPr>
          <w:rFonts w:eastAsia="Calibri"/>
        </w:rPr>
        <w:t xml:space="preserve">in size </w:t>
      </w:r>
      <w:r w:rsidRPr="69FEF511">
        <w:rPr>
          <w:rFonts w:eastAsia="Calibri"/>
        </w:rPr>
        <w:t>from small residential units to large</w:t>
      </w:r>
      <w:r w:rsidR="5C76E5FF" w:rsidRPr="69FEF511">
        <w:rPr>
          <w:rFonts w:eastAsia="Calibri"/>
        </w:rPr>
        <w:t xml:space="preserve">, utility-scale </w:t>
      </w:r>
      <w:r w:rsidRPr="69FEF511">
        <w:rPr>
          <w:rFonts w:eastAsia="Calibri"/>
        </w:rPr>
        <w:t>systems</w:t>
      </w:r>
      <w:r w:rsidR="5C76E5FF" w:rsidRPr="69FEF511">
        <w:rPr>
          <w:rFonts w:eastAsia="Calibri"/>
        </w:rPr>
        <w:t>.</w:t>
      </w:r>
      <w:r w:rsidRPr="69FEF511">
        <w:t xml:space="preserve"> </w:t>
      </w:r>
      <w:r w:rsidR="0F042F01" w:rsidRPr="69FEF511">
        <w:t>They</w:t>
      </w:r>
      <w:r w:rsidR="1EB8D68F" w:rsidRPr="69FEF511">
        <w:t xml:space="preserve"> can stabilise the grid, reduce energy costs and provide backup power during emergencies. A leading example </w:t>
      </w:r>
      <w:r w:rsidR="00D9BA52" w:rsidRPr="69FEF511">
        <w:t xml:space="preserve">of a large-scale system </w:t>
      </w:r>
      <w:r w:rsidR="1EB8D68F" w:rsidRPr="69FEF511">
        <w:t xml:space="preserve">is the </w:t>
      </w:r>
      <w:proofErr w:type="spellStart"/>
      <w:r w:rsidR="1EB8D68F" w:rsidRPr="69FEF511">
        <w:t>Hornsdale</w:t>
      </w:r>
      <w:proofErr w:type="spellEnd"/>
      <w:r w:rsidR="1EB8D68F" w:rsidRPr="69FEF511">
        <w:t xml:space="preserve"> Power Reserve in South Australia</w:t>
      </w:r>
      <w:r w:rsidR="3C88EF58" w:rsidRPr="69FEF511">
        <w:t>,</w:t>
      </w:r>
      <w:r w:rsidR="1EB8D68F" w:rsidRPr="69FEF511">
        <w:t xml:space="preserve"> </w:t>
      </w:r>
      <w:r w:rsidR="3C88EF58" w:rsidRPr="69FEF511">
        <w:t>which was built</w:t>
      </w:r>
      <w:r w:rsidR="3C1645C8">
        <w:t xml:space="preserve"> </w:t>
      </w:r>
      <w:r w:rsidR="1EB8D68F" w:rsidRPr="69FEF511">
        <w:t>in response to a state-wide blackout caused by severe weather</w:t>
      </w:r>
      <w:r w:rsidR="78AF005B" w:rsidRPr="69FEF511">
        <w:t xml:space="preserve">. </w:t>
      </w:r>
      <w:r w:rsidR="1EB8D68F" w:rsidRPr="69FEF511">
        <w:t>In its first two years of operation, it helped reduce power prices by an estimated AU$150 million and provided critical support when South Australia was temporarily disconnected from the national grid.</w:t>
      </w:r>
      <w:r w:rsidR="00877919" w:rsidRPr="00525F33">
        <w:rPr>
          <w:rStyle w:val="EndnoteReference"/>
          <w:rFonts w:cs="Calibri"/>
        </w:rPr>
        <w:endnoteReference w:id="83"/>
      </w:r>
    </w:p>
    <w:p w14:paraId="65A38E43" w14:textId="764EB343" w:rsidR="00877919" w:rsidRPr="00CD1D75" w:rsidRDefault="1EB8D68F" w:rsidP="69FEF511">
      <w:pPr>
        <w:pStyle w:val="BodyText"/>
      </w:pPr>
      <w:r w:rsidRPr="69FEF511">
        <w:t>New Zealand is</w:t>
      </w:r>
      <w:r w:rsidR="53A0C9A7" w:rsidRPr="69FEF511">
        <w:t xml:space="preserve"> </w:t>
      </w:r>
      <w:r w:rsidRPr="69FEF511">
        <w:t xml:space="preserve">beginning to follow suit </w:t>
      </w:r>
      <w:r w:rsidR="4A648E89" w:rsidRPr="69FEF511">
        <w:t xml:space="preserve">with large systems like the one </w:t>
      </w:r>
      <w:r w:rsidRPr="69FEF511">
        <w:t xml:space="preserve">recently opened in </w:t>
      </w:r>
      <w:proofErr w:type="spellStart"/>
      <w:r w:rsidRPr="69FEF511">
        <w:t>Ruakākā</w:t>
      </w:r>
      <w:proofErr w:type="spellEnd"/>
      <w:r w:rsidR="63F98982" w:rsidRPr="69FEF511">
        <w:t>,</w:t>
      </w:r>
      <w:r w:rsidRPr="69FEF511">
        <w:t xml:space="preserve"> </w:t>
      </w:r>
      <w:r w:rsidR="63F98982" w:rsidRPr="69FEF511">
        <w:t>which</w:t>
      </w:r>
      <w:r w:rsidRPr="69FEF511">
        <w:t xml:space="preserve"> will enhance energy resilience in Northland</w:t>
      </w:r>
      <w:r w:rsidR="1B221DD2" w:rsidRPr="69FEF511">
        <w:t xml:space="preserve"> –</w:t>
      </w:r>
      <w:r w:rsidRPr="69FEF511">
        <w:t xml:space="preserve"> a region that has experienced repeated disruptions.</w:t>
      </w:r>
      <w:r w:rsidR="00877919" w:rsidRPr="00525F33">
        <w:rPr>
          <w:rStyle w:val="EndnoteReference"/>
          <w:rFonts w:cs="Calibri"/>
        </w:rPr>
        <w:endnoteReference w:id="84"/>
      </w:r>
      <w:r w:rsidRPr="69FEF511">
        <w:t xml:space="preserve"> Additional measures are </w:t>
      </w:r>
      <w:r w:rsidR="7F3F99FD" w:rsidRPr="69FEF511">
        <w:t xml:space="preserve">also </w:t>
      </w:r>
      <w:r w:rsidRPr="69FEF511">
        <w:t xml:space="preserve">under investigation, including the potential for Northland to operate as an energy </w:t>
      </w:r>
      <w:r w:rsidR="0063F3EC" w:rsidRPr="69FEF511">
        <w:t>‘</w:t>
      </w:r>
      <w:r w:rsidRPr="69FEF511">
        <w:t>island</w:t>
      </w:r>
      <w:r w:rsidR="0063F3EC" w:rsidRPr="69FEF511">
        <w:t>’</w:t>
      </w:r>
      <w:r w:rsidRPr="69FEF511">
        <w:t xml:space="preserve"> </w:t>
      </w:r>
      <w:r w:rsidR="39B03636" w:rsidRPr="69FEF511">
        <w:t>–</w:t>
      </w:r>
      <w:r w:rsidRPr="69FEF511">
        <w:t xml:space="preserve"> running independently from local supply for up to three days if the national grid is compromised.</w:t>
      </w:r>
    </w:p>
    <w:p w14:paraId="2CF92453" w14:textId="08647B7D" w:rsidR="3E9E975D" w:rsidRDefault="3E9E975D" w:rsidP="007015C7">
      <w:pPr>
        <w:pStyle w:val="BodyText"/>
        <w:rPr>
          <w:rFonts w:eastAsia="Calibri"/>
        </w:rPr>
      </w:pPr>
      <w:r w:rsidRPr="69FEF511">
        <w:rPr>
          <w:rFonts w:eastAsia="Calibri"/>
        </w:rPr>
        <w:t>Smaller, local battery storage systems, such as those in homes, could also deliver significant advantages in a crisis and be deployed more quickly. For individual households, a home battery</w:t>
      </w:r>
      <w:r w:rsidR="329407EA" w:rsidRPr="69FEF511">
        <w:rPr>
          <w:rFonts w:eastAsia="Calibri"/>
        </w:rPr>
        <w:t xml:space="preserve"> could</w:t>
      </w:r>
      <w:r w:rsidRPr="69FEF511">
        <w:rPr>
          <w:rFonts w:eastAsia="Calibri"/>
        </w:rPr>
        <w:t xml:space="preserve"> </w:t>
      </w:r>
      <w:r w:rsidR="7887E209" w:rsidRPr="69FEF511">
        <w:rPr>
          <w:rFonts w:eastAsia="Calibri"/>
        </w:rPr>
        <w:t>enable</w:t>
      </w:r>
      <w:r w:rsidRPr="69FEF511">
        <w:rPr>
          <w:rFonts w:eastAsia="Calibri"/>
        </w:rPr>
        <w:t xml:space="preserve"> them to keep food chilled, cook meals and communicate when paired with satellite internet. Crucially, it </w:t>
      </w:r>
      <w:r w:rsidR="41EE4B80" w:rsidRPr="69FEF511">
        <w:rPr>
          <w:rFonts w:eastAsia="Calibri"/>
        </w:rPr>
        <w:t xml:space="preserve">would </w:t>
      </w:r>
      <w:r w:rsidRPr="69FEF511">
        <w:rPr>
          <w:rFonts w:eastAsia="Calibri"/>
        </w:rPr>
        <w:t xml:space="preserve">also </w:t>
      </w:r>
      <w:r w:rsidR="59F83BE6" w:rsidRPr="69FEF511">
        <w:rPr>
          <w:rFonts w:eastAsia="Calibri"/>
        </w:rPr>
        <w:t>reduce</w:t>
      </w:r>
      <w:r w:rsidRPr="69FEF511">
        <w:rPr>
          <w:rFonts w:eastAsia="Calibri"/>
        </w:rPr>
        <w:t xml:space="preserve"> the demand on emergency and medical services by supporting medically dependent households that rely on electricity for devices like home dialysis and breathing support.</w:t>
      </w:r>
    </w:p>
    <w:p w14:paraId="4E959D3F" w14:textId="4B8597F5" w:rsidR="00877919" w:rsidRPr="00CD1D75" w:rsidRDefault="00877919" w:rsidP="69FEF511">
      <w:pPr>
        <w:pStyle w:val="BodyText"/>
        <w:rPr>
          <w:rFonts w:cs="Calibri"/>
        </w:rPr>
      </w:pPr>
      <w:r w:rsidRPr="69FEF511">
        <w:rPr>
          <w:rFonts w:cs="Calibri"/>
        </w:rPr>
        <w:t xml:space="preserve">These investments demonstrate how energy resilience can be built into the system </w:t>
      </w:r>
      <w:r w:rsidR="15D4FCA5" w:rsidRPr="69FEF511">
        <w:rPr>
          <w:rFonts w:cs="Calibri"/>
        </w:rPr>
        <w:t>at multiple scales</w:t>
      </w:r>
      <w:r w:rsidRPr="69FEF511">
        <w:rPr>
          <w:rFonts w:cs="Calibri"/>
        </w:rPr>
        <w:t xml:space="preserve"> </w:t>
      </w:r>
      <w:r w:rsidR="003D42AF" w:rsidRPr="69FEF511">
        <w:rPr>
          <w:rFonts w:cs="Calibri"/>
        </w:rPr>
        <w:t>–</w:t>
      </w:r>
      <w:r w:rsidRPr="69FEF511">
        <w:rPr>
          <w:rFonts w:cs="Calibri"/>
        </w:rPr>
        <w:t xml:space="preserve"> </w:t>
      </w:r>
      <w:r w:rsidR="7A0F67CD" w:rsidRPr="69FEF511">
        <w:rPr>
          <w:rFonts w:cs="Calibri"/>
        </w:rPr>
        <w:t>from individual homes to regional networks</w:t>
      </w:r>
      <w:r w:rsidR="71EA5117" w:rsidRPr="69FEF511">
        <w:rPr>
          <w:rFonts w:cs="Calibri"/>
        </w:rPr>
        <w:t xml:space="preserve"> – </w:t>
      </w:r>
      <w:r w:rsidRPr="69FEF511">
        <w:rPr>
          <w:rFonts w:cs="Calibri"/>
        </w:rPr>
        <w:t xml:space="preserve">not only to respond to emergencies, but </w:t>
      </w:r>
      <w:r w:rsidR="461E54E7" w:rsidRPr="69FEF511">
        <w:rPr>
          <w:rFonts w:cs="Calibri"/>
        </w:rPr>
        <w:t xml:space="preserve">also </w:t>
      </w:r>
      <w:r w:rsidRPr="69FEF511">
        <w:rPr>
          <w:rFonts w:cs="Calibri"/>
        </w:rPr>
        <w:t>to improve performance, reduce costs and support regional development every day.</w:t>
      </w:r>
    </w:p>
    <w:p w14:paraId="2C9704A9" w14:textId="6EB9FF49" w:rsidR="00877919" w:rsidRPr="001D663C" w:rsidRDefault="004748D9" w:rsidP="69FEF511">
      <w:pPr>
        <w:pStyle w:val="Heading2"/>
      </w:pPr>
      <w:bookmarkStart w:id="41" w:name="_Toc202529471"/>
      <w:bookmarkStart w:id="42" w:name="_Toc214435307"/>
      <w:r w:rsidRPr="69FEF511">
        <w:t>Funding and investment strategies</w:t>
      </w:r>
      <w:bookmarkEnd w:id="41"/>
      <w:bookmarkEnd w:id="42"/>
    </w:p>
    <w:p w14:paraId="4598414F" w14:textId="59983807" w:rsidR="002F0BD0" w:rsidRDefault="002F0BD0" w:rsidP="69FEF511">
      <w:pPr>
        <w:pStyle w:val="Heading3"/>
      </w:pPr>
      <w:r w:rsidRPr="69FEF511">
        <w:t>Funding and investment strategies</w:t>
      </w:r>
    </w:p>
    <w:p w14:paraId="74528872" w14:textId="47564C91" w:rsidR="00877919" w:rsidRPr="00CD1D75" w:rsidRDefault="00877919" w:rsidP="69FEF511">
      <w:pPr>
        <w:pStyle w:val="BodyText"/>
        <w:rPr>
          <w:rFonts w:cs="Calibri"/>
        </w:rPr>
      </w:pPr>
      <w:r w:rsidRPr="69FEF511">
        <w:rPr>
          <w:rFonts w:cs="Calibri"/>
        </w:rPr>
        <w:t xml:space="preserve">New Zealand has finite national resources and always aims for its investments to provide the best return possible. One way </w:t>
      </w:r>
      <w:r w:rsidR="00F35F8A" w:rsidRPr="69FEF511">
        <w:rPr>
          <w:rFonts w:cs="Calibri"/>
        </w:rPr>
        <w:t>to unlock greater value from</w:t>
      </w:r>
      <w:r w:rsidRPr="69FEF511">
        <w:rPr>
          <w:rFonts w:cs="Calibri"/>
        </w:rPr>
        <w:t xml:space="preserve"> resilience investment is to prioritise measures that </w:t>
      </w:r>
      <w:r w:rsidR="00F35F8A" w:rsidRPr="69FEF511">
        <w:rPr>
          <w:rFonts w:cs="Calibri"/>
        </w:rPr>
        <w:t>reduce the impact of the most</w:t>
      </w:r>
      <w:r w:rsidRPr="69FEF511">
        <w:rPr>
          <w:rFonts w:cs="Calibri"/>
        </w:rPr>
        <w:t xml:space="preserve"> damaging potential </w:t>
      </w:r>
      <w:r w:rsidR="00F35F8A" w:rsidRPr="69FEF511">
        <w:rPr>
          <w:rFonts w:cs="Calibri"/>
        </w:rPr>
        <w:t>hazards</w:t>
      </w:r>
      <w:r w:rsidRPr="69FEF511">
        <w:rPr>
          <w:rFonts w:cs="Calibri"/>
        </w:rPr>
        <w:t>.</w:t>
      </w:r>
    </w:p>
    <w:p w14:paraId="389A95EC" w14:textId="6D4AA988" w:rsidR="00877919" w:rsidRPr="00CD1D75" w:rsidRDefault="1EB8D68F" w:rsidP="69FEF511">
      <w:pPr>
        <w:pStyle w:val="BodyText"/>
        <w:rPr>
          <w:rFonts w:cs="Calibri"/>
        </w:rPr>
      </w:pPr>
      <w:r w:rsidRPr="69FEF511">
        <w:rPr>
          <w:rFonts w:cs="Calibri"/>
        </w:rPr>
        <w:t xml:space="preserve">Although there is a broad consensus that proactive investment in resilience delivers positive outcomes, deciding where and how to invest for the greatest return is complex. Hazards are inherently uncertain – we do not always know where and when they will strike. Infrastructure </w:t>
      </w:r>
      <w:r w:rsidRPr="69FEF511">
        <w:rPr>
          <w:rFonts w:cs="Calibri"/>
        </w:rPr>
        <w:lastRenderedPageBreak/>
        <w:t xml:space="preserve">systems are interconnected, and the costs of resilience are often shared across central and local government, the private sector and communities. These factors can </w:t>
      </w:r>
      <w:r w:rsidR="3353EDE3" w:rsidRPr="69FEF511">
        <w:rPr>
          <w:rFonts w:cs="Calibri"/>
        </w:rPr>
        <w:t>make</w:t>
      </w:r>
      <w:r w:rsidRPr="69FEF511">
        <w:rPr>
          <w:rFonts w:cs="Calibri"/>
        </w:rPr>
        <w:t xml:space="preserve"> traditional cost-benefit analysis </w:t>
      </w:r>
      <w:r w:rsidR="3353EDE3" w:rsidRPr="69FEF511">
        <w:rPr>
          <w:rFonts w:cs="Calibri"/>
        </w:rPr>
        <w:t>difficult to apply</w:t>
      </w:r>
      <w:r w:rsidRPr="69FEF511">
        <w:rPr>
          <w:rFonts w:cs="Calibri"/>
        </w:rPr>
        <w:t>.</w:t>
      </w:r>
      <w:r w:rsidR="00877919" w:rsidRPr="69FEF511">
        <w:rPr>
          <w:rStyle w:val="EndnoteReference"/>
          <w:rFonts w:cs="Calibri"/>
        </w:rPr>
        <w:endnoteReference w:id="85"/>
      </w:r>
    </w:p>
    <w:p w14:paraId="3FECFCA3" w14:textId="6D73D12C" w:rsidR="00BD748F" w:rsidRDefault="71D77C8E" w:rsidP="69FEF511">
      <w:pPr>
        <w:pStyle w:val="BodyText"/>
        <w:rPr>
          <w:rFonts w:cs="Calibri"/>
        </w:rPr>
      </w:pPr>
      <w:r w:rsidRPr="69FEF511">
        <w:rPr>
          <w:rFonts w:cs="Calibri"/>
        </w:rPr>
        <w:t>B</w:t>
      </w:r>
      <w:r w:rsidR="00BD748F" w:rsidRPr="69FEF511">
        <w:rPr>
          <w:rFonts w:cs="Calibri"/>
        </w:rPr>
        <w:t xml:space="preserve">alancing affordability and equity </w:t>
      </w:r>
      <w:proofErr w:type="gramStart"/>
      <w:r w:rsidR="00BD748F" w:rsidRPr="69FEF511">
        <w:rPr>
          <w:rFonts w:cs="Calibri"/>
        </w:rPr>
        <w:t>is</w:t>
      </w:r>
      <w:proofErr w:type="gramEnd"/>
      <w:r w:rsidR="00BD748F" w:rsidRPr="69FEF511">
        <w:rPr>
          <w:rFonts w:cs="Calibri"/>
        </w:rPr>
        <w:t xml:space="preserve"> </w:t>
      </w:r>
      <w:r w:rsidR="78C8A3C6" w:rsidRPr="69FEF511">
        <w:rPr>
          <w:rFonts w:cs="Calibri"/>
        </w:rPr>
        <w:t xml:space="preserve">also </w:t>
      </w:r>
      <w:r w:rsidR="00BD748F" w:rsidRPr="69FEF511">
        <w:rPr>
          <w:rFonts w:cs="Calibri"/>
        </w:rPr>
        <w:t>critical. Careful consideration must be given to how the costs and benefits of resilience initiatives are distributed. This means weighing public and private benefits</w:t>
      </w:r>
      <w:r w:rsidR="00C07CE8" w:rsidRPr="69FEF511">
        <w:rPr>
          <w:rFonts w:cs="Calibri"/>
        </w:rPr>
        <w:t>,</w:t>
      </w:r>
      <w:r w:rsidR="00BD748F" w:rsidRPr="69FEF511">
        <w:rPr>
          <w:rFonts w:cs="Calibri"/>
        </w:rPr>
        <w:t xml:space="preserve"> to avoid placing disproportionate burdens on vulnerable communities or future generations. Achieving sustainable resilience requires a clear understanding of the long-term economic returns on investment, ensuring efforts are both impactful and financially viable across society.</w:t>
      </w:r>
    </w:p>
    <w:p w14:paraId="00DD4AA4" w14:textId="79FC6AD9" w:rsidR="002F0BD0" w:rsidRDefault="002F0BD0" w:rsidP="69FEF511">
      <w:pPr>
        <w:pStyle w:val="Heading3"/>
      </w:pPr>
      <w:r w:rsidRPr="69FEF511">
        <w:t>New approaches to valuing resilience</w:t>
      </w:r>
    </w:p>
    <w:p w14:paraId="1D764000" w14:textId="7620B146" w:rsidR="00877919" w:rsidRPr="00CD1D75" w:rsidRDefault="447C2553" w:rsidP="69FEF511">
      <w:pPr>
        <w:pStyle w:val="BodyText"/>
        <w:rPr>
          <w:rFonts w:cs="Calibri"/>
        </w:rPr>
      </w:pPr>
      <w:r>
        <w:t>To address the complexity of valuing resilience, new approaches are emerging that better capture its full worth,</w:t>
      </w:r>
      <w:r w:rsidR="12AA787F" w:rsidRPr="3EB3CEA5">
        <w:rPr>
          <w:rFonts w:cs="Calibri"/>
        </w:rPr>
        <w:t xml:space="preserve"> including intangible benefits like avoided disruption, social cohesion, long-term confidence </w:t>
      </w:r>
      <w:r w:rsidR="7DD78A3A" w:rsidRPr="3EB3CEA5">
        <w:rPr>
          <w:rFonts w:cs="Calibri"/>
        </w:rPr>
        <w:t>and avoiding</w:t>
      </w:r>
      <w:r w:rsidR="12AA787F" w:rsidRPr="3EB3CEA5">
        <w:rPr>
          <w:rFonts w:cs="Calibri"/>
        </w:rPr>
        <w:t xml:space="preserve"> potential maladaptation.</w:t>
      </w:r>
      <w:r w:rsidR="03448A3B" w:rsidRPr="3EB3CEA5">
        <w:rPr>
          <w:rStyle w:val="FootnoteReference"/>
        </w:rPr>
        <w:footnoteReference w:id="12"/>
      </w:r>
      <w:r w:rsidR="00CB0DFD">
        <w:rPr>
          <w:rFonts w:cs="Calibri"/>
        </w:rPr>
        <w:t xml:space="preserve"> </w:t>
      </w:r>
      <w:r w:rsidR="04CEBB00" w:rsidRPr="3EB3CEA5">
        <w:rPr>
          <w:rFonts w:cs="Calibri"/>
        </w:rPr>
        <w:t>Examples of such approaches are described below.</w:t>
      </w:r>
    </w:p>
    <w:p w14:paraId="5C81FB7E" w14:textId="2E01A99D" w:rsidR="00877919" w:rsidRPr="00CD1D75" w:rsidRDefault="1EB8D68F" w:rsidP="69FEF511">
      <w:pPr>
        <w:pStyle w:val="Bullet"/>
        <w:rPr>
          <w:rFonts w:cs="Calibri"/>
        </w:rPr>
      </w:pPr>
      <w:r w:rsidRPr="69FEF511">
        <w:rPr>
          <w:rFonts w:cs="Calibri"/>
        </w:rPr>
        <w:t>One approach is the</w:t>
      </w:r>
      <w:r w:rsidRPr="69FEF511">
        <w:rPr>
          <w:rFonts w:cs="Calibri"/>
          <w:b/>
          <w:bCs/>
        </w:rPr>
        <w:t xml:space="preserve"> ‘</w:t>
      </w:r>
      <w:r w:rsidR="6C86AD3D" w:rsidRPr="69FEF511">
        <w:rPr>
          <w:rFonts w:cs="Calibri"/>
          <w:b/>
          <w:bCs/>
        </w:rPr>
        <w:t>t</w:t>
      </w:r>
      <w:r w:rsidRPr="69FEF511">
        <w:rPr>
          <w:rFonts w:cs="Calibri"/>
          <w:b/>
          <w:bCs/>
        </w:rPr>
        <w:t xml:space="preserve">riple </w:t>
      </w:r>
      <w:r w:rsidR="6C86AD3D" w:rsidRPr="69FEF511">
        <w:rPr>
          <w:rFonts w:cs="Calibri"/>
          <w:b/>
          <w:bCs/>
        </w:rPr>
        <w:t>d</w:t>
      </w:r>
      <w:r w:rsidRPr="69FEF511">
        <w:rPr>
          <w:rFonts w:cs="Calibri"/>
          <w:b/>
          <w:bCs/>
        </w:rPr>
        <w:t xml:space="preserve">ividend of </w:t>
      </w:r>
      <w:r w:rsidR="6C86AD3D" w:rsidRPr="69FEF511">
        <w:rPr>
          <w:rFonts w:cs="Calibri"/>
          <w:b/>
          <w:bCs/>
        </w:rPr>
        <w:t>r</w:t>
      </w:r>
      <w:r w:rsidRPr="69FEF511">
        <w:rPr>
          <w:rFonts w:cs="Calibri"/>
          <w:b/>
          <w:bCs/>
        </w:rPr>
        <w:t>esilience’</w:t>
      </w:r>
      <w:r w:rsidRPr="69FEF511">
        <w:rPr>
          <w:rFonts w:cs="Calibri"/>
        </w:rPr>
        <w:t>, which measures how resilience investments can deliver three types of benefit: avoiding losses, unlocking economic opportunities and delivering wider benefits.</w:t>
      </w:r>
      <w:r w:rsidR="00877919" w:rsidRPr="69FEF511">
        <w:rPr>
          <w:rStyle w:val="EndnoteReference"/>
          <w:rFonts w:cs="Calibri"/>
        </w:rPr>
        <w:endnoteReference w:id="86"/>
      </w:r>
      <w:r w:rsidRPr="69FEF511">
        <w:rPr>
          <w:rFonts w:cs="Calibri"/>
        </w:rPr>
        <w:t xml:space="preserve"> This approach </w:t>
      </w:r>
      <w:r w:rsidR="31B95F7A" w:rsidRPr="69FEF511">
        <w:rPr>
          <w:rFonts w:cs="Calibri"/>
        </w:rPr>
        <w:t>highlights</w:t>
      </w:r>
      <w:r w:rsidRPr="69FEF511">
        <w:rPr>
          <w:rFonts w:cs="Calibri"/>
        </w:rPr>
        <w:t xml:space="preserve"> the value of acting early, even if a disaster does not happen right away. For example, building protection for a coastal town might not only safeguard homes, but also boost tourism and attract new investment by giving people more confidence in the area’s future.</w:t>
      </w:r>
      <w:r w:rsidR="00877919" w:rsidRPr="69FEF511">
        <w:rPr>
          <w:rStyle w:val="EndnoteReference"/>
          <w:rFonts w:cs="Calibri"/>
        </w:rPr>
        <w:endnoteReference w:id="87"/>
      </w:r>
    </w:p>
    <w:p w14:paraId="0199F329" w14:textId="74A0E754" w:rsidR="00877919" w:rsidRPr="00C82FCE" w:rsidRDefault="1EB8D68F" w:rsidP="69FEF511">
      <w:pPr>
        <w:pStyle w:val="Bullet"/>
        <w:rPr>
          <w:rStyle w:val="EndnoteReference"/>
          <w:rFonts w:eastAsiaTheme="minorEastAsia"/>
          <w:vertAlign w:val="baseline"/>
        </w:rPr>
      </w:pPr>
      <w:r w:rsidRPr="69FEF511">
        <w:t>Other methods include additional decision-support tools such as multi-criteria analysis or scenario planning</w:t>
      </w:r>
      <w:r w:rsidR="1C218C6F" w:rsidRPr="69FEF511">
        <w:t>. More</w:t>
      </w:r>
      <w:r w:rsidRPr="69FEF511">
        <w:t xml:space="preserve"> complex </w:t>
      </w:r>
      <w:r w:rsidRPr="69FEF511">
        <w:rPr>
          <w:b/>
          <w:bCs/>
        </w:rPr>
        <w:t>tools</w:t>
      </w:r>
      <w:r w:rsidR="4C81865F" w:rsidRPr="69FEF511">
        <w:rPr>
          <w:b/>
          <w:bCs/>
        </w:rPr>
        <w:t>,</w:t>
      </w:r>
      <w:r w:rsidRPr="69FEF511">
        <w:rPr>
          <w:b/>
          <w:bCs/>
        </w:rPr>
        <w:t xml:space="preserve"> like the New Zealand-developed MERIT</w:t>
      </w:r>
      <w:r w:rsidRPr="69FEF511">
        <w:t xml:space="preserve"> – a dynamic economics model </w:t>
      </w:r>
      <w:r w:rsidR="1B3EEC67" w:rsidRPr="69FEF511">
        <w:t xml:space="preserve">– </w:t>
      </w:r>
      <w:r w:rsidR="320D9266" w:rsidRPr="69FEF511">
        <w:t>can be used</w:t>
      </w:r>
      <w:r w:rsidRPr="69FEF511">
        <w:t xml:space="preserve"> to test the economic consequences of different resilience</w:t>
      </w:r>
      <w:r w:rsidR="348FE0A3" w:rsidRPr="69FEF511">
        <w:t>-</w:t>
      </w:r>
      <w:r w:rsidRPr="69FEF511">
        <w:t>building measures.</w:t>
      </w:r>
      <w:r w:rsidR="00877919" w:rsidRPr="69FEF511">
        <w:rPr>
          <w:rStyle w:val="EndnoteReference"/>
        </w:rPr>
        <w:endnoteReference w:id="88"/>
      </w:r>
      <w:r w:rsidRPr="69FEF511">
        <w:t xml:space="preserve"> </w:t>
      </w:r>
    </w:p>
    <w:p w14:paraId="0A120BF8" w14:textId="227BF3DA" w:rsidR="00877919" w:rsidRPr="00CD1D75" w:rsidRDefault="1EB8D68F" w:rsidP="69FEF511">
      <w:pPr>
        <w:pStyle w:val="Bullet"/>
        <w:rPr>
          <w:rFonts w:cs="Calibri"/>
        </w:rPr>
      </w:pPr>
      <w:r w:rsidRPr="69FEF511">
        <w:rPr>
          <w:rFonts w:cs="Calibri"/>
        </w:rPr>
        <w:t>Australia has developed broad frameworks like the</w:t>
      </w:r>
      <w:r w:rsidRPr="00C76303">
        <w:rPr>
          <w:rFonts w:cs="Calibri"/>
        </w:rPr>
        <w:t xml:space="preserve"> </w:t>
      </w:r>
      <w:r w:rsidRPr="69FEF511">
        <w:rPr>
          <w:rFonts w:cs="Calibri"/>
          <w:b/>
          <w:bCs/>
        </w:rPr>
        <w:t>‘Enabling Resilience Investment Framework’</w:t>
      </w:r>
      <w:r w:rsidR="348FE0A3" w:rsidRPr="69FEF511">
        <w:rPr>
          <w:rFonts w:cs="Calibri"/>
        </w:rPr>
        <w:t>,</w:t>
      </w:r>
      <w:r w:rsidR="00877919" w:rsidRPr="69FEF511">
        <w:rPr>
          <w:rStyle w:val="EndnoteReference"/>
          <w:rFonts w:cs="Calibri"/>
        </w:rPr>
        <w:endnoteReference w:id="89"/>
      </w:r>
      <w:r w:rsidRPr="69FEF511">
        <w:rPr>
          <w:rFonts w:cs="Calibri"/>
        </w:rPr>
        <w:t xml:space="preserve"> </w:t>
      </w:r>
      <w:r w:rsidR="348FE0A3" w:rsidRPr="69FEF511">
        <w:rPr>
          <w:rFonts w:cs="Calibri"/>
        </w:rPr>
        <w:t xml:space="preserve">which </w:t>
      </w:r>
      <w:r w:rsidRPr="69FEF511">
        <w:rPr>
          <w:rFonts w:cs="Calibri"/>
        </w:rPr>
        <w:t>can be used to create place-based risk mitigation options</w:t>
      </w:r>
      <w:r w:rsidR="348FE0A3" w:rsidRPr="69FEF511">
        <w:rPr>
          <w:rFonts w:cs="Calibri"/>
        </w:rPr>
        <w:t>. Australia has also developed</w:t>
      </w:r>
      <w:r w:rsidRPr="69FEF511">
        <w:rPr>
          <w:rFonts w:cs="Calibri"/>
        </w:rPr>
        <w:t xml:space="preserve"> hazard-specific models. In addition, </w:t>
      </w:r>
      <w:r w:rsidRPr="69FEF511">
        <w:rPr>
          <w:rFonts w:cs="Calibri"/>
          <w:b/>
          <w:bCs/>
        </w:rPr>
        <w:t>Queensland’s Economic Assessment Framework</w:t>
      </w:r>
      <w:r w:rsidRPr="69FEF511">
        <w:rPr>
          <w:rFonts w:cs="Calibri"/>
        </w:rPr>
        <w:t xml:space="preserve"> of Flood Risk Management Projects was developed to compare and prioritise flood risk management projects.</w:t>
      </w:r>
      <w:r w:rsidR="00877919" w:rsidRPr="69FEF511">
        <w:rPr>
          <w:rStyle w:val="EndnoteReference"/>
          <w:rFonts w:cs="Calibri"/>
        </w:rPr>
        <w:endnoteReference w:id="90"/>
      </w:r>
    </w:p>
    <w:p w14:paraId="7161D2AD" w14:textId="0846C72B" w:rsidR="00877919" w:rsidRPr="000A2894" w:rsidRDefault="12AA787F" w:rsidP="00C05128">
      <w:pPr>
        <w:pStyle w:val="BodyText"/>
      </w:pPr>
      <w:r w:rsidRPr="48CDBE69">
        <w:t xml:space="preserve">These tools highlight the opportunity for New Zealand to use existing knowledge and improved data to make smarter, more transparent investment decisions </w:t>
      </w:r>
      <w:r w:rsidR="1DF4D012" w:rsidRPr="48CDBE69">
        <w:t>–</w:t>
      </w:r>
      <w:r w:rsidRPr="48CDBE69">
        <w:t xml:space="preserve"> and to ensure that resilience is not just a cost, but a catalyst for long-term value.</w:t>
      </w:r>
    </w:p>
    <w:p w14:paraId="67EE8F25" w14:textId="77777777" w:rsidR="00D46737" w:rsidRPr="00D46737" w:rsidRDefault="00D46737" w:rsidP="00D46737">
      <w:pPr>
        <w:pStyle w:val="BodyText"/>
      </w:pPr>
      <w:bookmarkStart w:id="43" w:name="_Toc202529473"/>
      <w:r w:rsidRPr="00D46737">
        <w:br w:type="page"/>
      </w:r>
    </w:p>
    <w:p w14:paraId="369B0309" w14:textId="10A01266" w:rsidR="00E84D9B" w:rsidRPr="005B0CED" w:rsidRDefault="00877919" w:rsidP="69FEF511">
      <w:pPr>
        <w:pStyle w:val="Heading1"/>
      </w:pPr>
      <w:bookmarkStart w:id="44" w:name="_Toc214435308"/>
      <w:r w:rsidRPr="69FEF511">
        <w:lastRenderedPageBreak/>
        <w:t xml:space="preserve">Section 5: </w:t>
      </w:r>
      <w:r w:rsidR="00FD227E" w:rsidRPr="69FEF511">
        <w:t>Closing remarks</w:t>
      </w:r>
      <w:bookmarkEnd w:id="43"/>
      <w:bookmarkEnd w:id="44"/>
    </w:p>
    <w:p w14:paraId="73D0343A" w14:textId="19A6181B" w:rsidR="00E84D9B" w:rsidRPr="005B0CED" w:rsidRDefault="00E84D9B" w:rsidP="69FEF511">
      <w:pPr>
        <w:pStyle w:val="BodyText"/>
      </w:pPr>
      <w:r>
        <w:t xml:space="preserve">New Zealand faces growing challenges from hazards, but </w:t>
      </w:r>
      <w:r w:rsidR="5960CD33">
        <w:t xml:space="preserve">our </w:t>
      </w:r>
      <w:r>
        <w:t>resilience efforts are not starting from scratch. Across government, communities, iwi, businesses and science, momentum is building. We are developing better tools and information, smarter policies and stronger partnerships. We are learning from past events and preparing for those yet to come.</w:t>
      </w:r>
    </w:p>
    <w:p w14:paraId="15708B9C" w14:textId="2B268619" w:rsidR="00E84D9B" w:rsidRPr="005B0CED" w:rsidRDefault="00E84D9B" w:rsidP="69FEF511">
      <w:pPr>
        <w:pStyle w:val="BodyText"/>
      </w:pPr>
      <w:r w:rsidRPr="69FEF511">
        <w:t xml:space="preserve">However, </w:t>
      </w:r>
      <w:r w:rsidR="003A2F78" w:rsidRPr="69FEF511">
        <w:t xml:space="preserve">national </w:t>
      </w:r>
      <w:r w:rsidRPr="69FEF511">
        <w:t>resilience is a long game. It requires sustained investment, strategic long-term thinking, working together, and the courage to make difficult decisions today for a safer and more prosperous tomorrow.</w:t>
      </w:r>
    </w:p>
    <w:p w14:paraId="19A8A0F0" w14:textId="61E1E747" w:rsidR="00E84D9B" w:rsidRPr="005B0CED" w:rsidRDefault="00E84D9B" w:rsidP="69FEF511">
      <w:pPr>
        <w:pStyle w:val="BodyText"/>
      </w:pPr>
      <w:r w:rsidRPr="69FEF511">
        <w:t xml:space="preserve">Enhancing our </w:t>
      </w:r>
      <w:r w:rsidR="003A2F78" w:rsidRPr="69FEF511">
        <w:t xml:space="preserve">national </w:t>
      </w:r>
      <w:r w:rsidRPr="69FEF511">
        <w:t xml:space="preserve">resilience will help us mitigate the consequences of disasters, and capture an array of economic, social and environmental benefits. It will give our people and economy the opportunity to thrive </w:t>
      </w:r>
      <w:r w:rsidR="00AC19E1" w:rsidRPr="69FEF511">
        <w:t xml:space="preserve">– </w:t>
      </w:r>
      <w:r w:rsidRPr="69FEF511">
        <w:t>not just when conditions are easy, but also when they are</w:t>
      </w:r>
      <w:r w:rsidR="00A109BC" w:rsidRPr="69FEF511">
        <w:t> </w:t>
      </w:r>
      <w:r w:rsidRPr="69FEF511">
        <w:t>hard.</w:t>
      </w:r>
    </w:p>
    <w:p w14:paraId="7532D2AD" w14:textId="3120127D" w:rsidR="00E84D9B" w:rsidRPr="005B0CED" w:rsidRDefault="00E84D9B" w:rsidP="69FEF511">
      <w:pPr>
        <w:pStyle w:val="BodyText"/>
      </w:pPr>
      <w:r w:rsidRPr="69FEF511">
        <w:t xml:space="preserve">Achieving a more resilient future will demand </w:t>
      </w:r>
      <w:r w:rsidR="008D30BF" w:rsidRPr="69FEF511">
        <w:t xml:space="preserve">a </w:t>
      </w:r>
      <w:r w:rsidRPr="69FEF511">
        <w:t>broad approach. It will include investing in robust infrastructure tha</w:t>
      </w:r>
      <w:r w:rsidR="008D30BF" w:rsidRPr="69FEF511">
        <w:t>t</w:t>
      </w:r>
      <w:r w:rsidRPr="69FEF511">
        <w:t xml:space="preserve"> can withstand disruptions, fostering communities that are equipped to support one another, and harnessing the power of new technologies to help us anticipate and adapt to change.</w:t>
      </w:r>
    </w:p>
    <w:p w14:paraId="6EDC7D5F" w14:textId="52F79A1C" w:rsidR="13A25B68" w:rsidRPr="007015C7" w:rsidRDefault="4108ED39" w:rsidP="0E01CE3D">
      <w:pPr>
        <w:pStyle w:val="BodyText"/>
      </w:pPr>
      <w:r>
        <w:t>But</w:t>
      </w:r>
      <w:r w:rsidR="68131C81">
        <w:t xml:space="preserve"> national</w:t>
      </w:r>
      <w:r>
        <w:t xml:space="preserve"> </w:t>
      </w:r>
      <w:r w:rsidR="31BAE153">
        <w:t>resilience</w:t>
      </w:r>
      <w:r>
        <w:t xml:space="preserve"> is not just about large-scale investments; it also demands that everyone plays their part.</w:t>
      </w:r>
      <w:r w:rsidR="15FC4857">
        <w:t xml:space="preserve"> </w:t>
      </w:r>
      <w:r>
        <w:t xml:space="preserve">Every individual has a crucial role in national resilience, whether </w:t>
      </w:r>
      <w:r w:rsidR="31BAE153">
        <w:t xml:space="preserve">through </w:t>
      </w:r>
      <w:r>
        <w:t>assembling an emergency kit, knowing evacuation routes, participating in community preparedness planning, or making informed choices above where they live. When each of us contributes, we collectively build a better future for all.</w:t>
      </w:r>
      <w:bookmarkEnd w:id="5"/>
    </w:p>
    <w:p w14:paraId="230B15B6" w14:textId="600FF242" w:rsidR="13A25B68" w:rsidRDefault="13A25B68" w:rsidP="0E01CE3D">
      <w:r>
        <w:br w:type="page"/>
      </w:r>
    </w:p>
    <w:p w14:paraId="426166EB" w14:textId="0B1142A1" w:rsidR="13A25B68" w:rsidRDefault="13A25B68" w:rsidP="00B80786">
      <w:pPr>
        <w:pStyle w:val="Heading1"/>
      </w:pPr>
      <w:bookmarkStart w:id="45" w:name="_Toc214435309"/>
      <w:r w:rsidRPr="69FEF511">
        <w:lastRenderedPageBreak/>
        <w:t>Annex 1: National Risk Register 2025</w:t>
      </w:r>
      <w:bookmarkEnd w:id="45"/>
    </w:p>
    <w:tbl>
      <w:tblPr>
        <w:tblStyle w:val="TableGridLight"/>
        <w:tblW w:w="0" w:type="auto"/>
        <w:tblBorders>
          <w:insideH w:val="single" w:sz="8" w:space="0" w:color="1B556B"/>
          <w:insideV w:val="single" w:sz="8" w:space="0" w:color="1B556B"/>
        </w:tblBorders>
        <w:tblLayout w:type="fixed"/>
        <w:tblLook w:val="04A0" w:firstRow="1" w:lastRow="0" w:firstColumn="1" w:lastColumn="0" w:noHBand="0" w:noVBand="1"/>
      </w:tblPr>
      <w:tblGrid>
        <w:gridCol w:w="1958"/>
        <w:gridCol w:w="6547"/>
      </w:tblGrid>
      <w:tr w:rsidR="61054953" w14:paraId="2D5755CD" w14:textId="77777777" w:rsidTr="00746AD6">
        <w:trPr>
          <w:trHeight w:val="105"/>
          <w:tblHeader/>
        </w:trPr>
        <w:tc>
          <w:tcPr>
            <w:tcW w:w="1958" w:type="dxa"/>
            <w:tcBorders>
              <w:bottom w:val="single" w:sz="4" w:space="0" w:color="1B556B"/>
            </w:tcBorders>
            <w:shd w:val="clear" w:color="auto" w:fill="1B556B"/>
            <w:tcMar>
              <w:left w:w="108" w:type="dxa"/>
              <w:right w:w="108" w:type="dxa"/>
            </w:tcMar>
          </w:tcPr>
          <w:p w14:paraId="7F507DD1" w14:textId="5AFC8346" w:rsidR="61054953" w:rsidRDefault="2B19C8F8" w:rsidP="00B80786">
            <w:pPr>
              <w:pStyle w:val="TableText"/>
              <w:rPr>
                <w:rFonts w:ascii="Arial" w:eastAsia="Arial" w:hAnsi="Arial" w:cs="Arial"/>
                <w:b/>
                <w:bCs/>
                <w:color w:val="000000" w:themeColor="text1"/>
                <w:szCs w:val="18"/>
              </w:rPr>
            </w:pPr>
            <w:r w:rsidRPr="00B80786">
              <w:rPr>
                <w:b/>
                <w:color w:val="FFFFFF" w:themeColor="background1"/>
              </w:rPr>
              <w:t>National Risks</w:t>
            </w:r>
          </w:p>
        </w:tc>
        <w:tc>
          <w:tcPr>
            <w:tcW w:w="6547" w:type="dxa"/>
            <w:tcBorders>
              <w:bottom w:val="single" w:sz="4" w:space="0" w:color="1B556B"/>
            </w:tcBorders>
            <w:shd w:val="clear" w:color="auto" w:fill="1B556B"/>
            <w:tcMar>
              <w:left w:w="108" w:type="dxa"/>
              <w:right w:w="108" w:type="dxa"/>
            </w:tcMar>
          </w:tcPr>
          <w:p w14:paraId="165EBF38" w14:textId="136785DF" w:rsidR="61054953" w:rsidRDefault="2B19C8F8" w:rsidP="00B80786">
            <w:pPr>
              <w:pStyle w:val="TableText"/>
              <w:rPr>
                <w:rFonts w:ascii="Arial" w:eastAsia="Arial" w:hAnsi="Arial" w:cs="Arial"/>
                <w:b/>
                <w:bCs/>
                <w:color w:val="000000" w:themeColor="text1"/>
                <w:szCs w:val="18"/>
              </w:rPr>
            </w:pPr>
            <w:r w:rsidRPr="00B80786">
              <w:rPr>
                <w:b/>
                <w:color w:val="FFFFFF" w:themeColor="background1"/>
              </w:rPr>
              <w:t>Description (</w:t>
            </w:r>
            <w:r w:rsidR="00482760">
              <w:rPr>
                <w:b/>
                <w:color w:val="FFFFFF" w:themeColor="background1"/>
              </w:rPr>
              <w:t>w</w:t>
            </w:r>
            <w:r w:rsidRPr="00B80786">
              <w:rPr>
                <w:b/>
                <w:color w:val="FFFFFF" w:themeColor="background1"/>
              </w:rPr>
              <w:t xml:space="preserve">ebsite) </w:t>
            </w:r>
          </w:p>
        </w:tc>
      </w:tr>
      <w:tr w:rsidR="61054953" w14:paraId="50A3A2F9" w14:textId="77777777" w:rsidTr="00746AD6">
        <w:trPr>
          <w:trHeight w:val="390"/>
        </w:trPr>
        <w:tc>
          <w:tcPr>
            <w:tcW w:w="1958" w:type="dxa"/>
            <w:tcBorders>
              <w:top w:val="single" w:sz="4" w:space="0" w:color="1B556B"/>
              <w:bottom w:val="single" w:sz="4" w:space="0" w:color="1B556B"/>
              <w:right w:val="single" w:sz="4" w:space="0" w:color="1B556B"/>
            </w:tcBorders>
            <w:tcMar>
              <w:left w:w="108" w:type="dxa"/>
              <w:right w:w="108" w:type="dxa"/>
            </w:tcMar>
          </w:tcPr>
          <w:p w14:paraId="704855A7" w14:textId="32DBCD56" w:rsidR="2D15A54E" w:rsidRDefault="2D15A54E" w:rsidP="00B80786">
            <w:pPr>
              <w:pStyle w:val="TableText"/>
              <w:rPr>
                <w:rFonts w:ascii="Arial" w:eastAsia="Arial" w:hAnsi="Arial" w:cs="Arial"/>
                <w:szCs w:val="18"/>
              </w:rPr>
            </w:pPr>
            <w:r w:rsidRPr="00B80786">
              <w:rPr>
                <w:b/>
              </w:rPr>
              <w:t>Act of foreign interference or espionage targeting New Zealand</w:t>
            </w:r>
          </w:p>
        </w:tc>
        <w:tc>
          <w:tcPr>
            <w:tcW w:w="6547" w:type="dxa"/>
            <w:tcBorders>
              <w:top w:val="single" w:sz="4" w:space="0" w:color="1B556B"/>
              <w:left w:val="single" w:sz="4" w:space="0" w:color="1B556B"/>
              <w:bottom w:val="single" w:sz="4" w:space="0" w:color="1B556B"/>
            </w:tcBorders>
            <w:tcMar>
              <w:left w:w="108" w:type="dxa"/>
              <w:right w:w="108" w:type="dxa"/>
            </w:tcMar>
          </w:tcPr>
          <w:p w14:paraId="2EEB89FF" w14:textId="6116AA24" w:rsidR="2D15A54E" w:rsidRPr="2D15A54E" w:rsidRDefault="2D15A54E" w:rsidP="00B80786">
            <w:pPr>
              <w:pStyle w:val="TableText"/>
              <w:rPr>
                <w:rFonts w:ascii="Arial" w:eastAsia="Arial" w:hAnsi="Arial" w:cs="Arial"/>
                <w:szCs w:val="18"/>
              </w:rPr>
            </w:pPr>
            <w:r w:rsidRPr="00B80786">
              <w:t>Foreign interference is defined as an act by a foreign state, or its proxy, that is intended to influence, disrupt or subvert a New Zealand national interest by deceptive, coercive or corruptive means. By its nature, foreign interference can be difficult to discern and can take many forms (</w:t>
            </w:r>
            <w:proofErr w:type="spellStart"/>
            <w:r w:rsidR="00482760">
              <w:t>eg</w:t>
            </w:r>
            <w:proofErr w:type="spellEnd"/>
            <w:r w:rsidR="00482760">
              <w:t>,</w:t>
            </w:r>
            <w:r w:rsidRPr="00B80786">
              <w:t xml:space="preserve"> control or harassment of communities that whakapapa to foreign states, foreign information manipulation and interference, or cultivating relationships of influence or dependence that can be leveraged, such as with government officials).</w:t>
            </w:r>
          </w:p>
        </w:tc>
      </w:tr>
      <w:tr w:rsidR="61054953" w14:paraId="4051F67B" w14:textId="77777777" w:rsidTr="00746AD6">
        <w:trPr>
          <w:trHeight w:val="255"/>
        </w:trPr>
        <w:tc>
          <w:tcPr>
            <w:tcW w:w="1958" w:type="dxa"/>
            <w:tcBorders>
              <w:top w:val="single" w:sz="4" w:space="0" w:color="1B556B"/>
              <w:bottom w:val="single" w:sz="4" w:space="0" w:color="1B556B"/>
              <w:right w:val="single" w:sz="4" w:space="0" w:color="1B556B"/>
            </w:tcBorders>
            <w:tcMar>
              <w:left w:w="108" w:type="dxa"/>
              <w:right w:w="108" w:type="dxa"/>
            </w:tcMar>
          </w:tcPr>
          <w:p w14:paraId="604A6407" w14:textId="15B531EA" w:rsidR="2D15A54E" w:rsidRDefault="2D15A54E" w:rsidP="00B80786">
            <w:pPr>
              <w:pStyle w:val="TableText"/>
              <w:rPr>
                <w:rFonts w:ascii="Arial" w:eastAsia="Arial" w:hAnsi="Arial" w:cs="Arial"/>
                <w:szCs w:val="18"/>
              </w:rPr>
            </w:pPr>
            <w:r w:rsidRPr="00B80786">
              <w:rPr>
                <w:b/>
              </w:rPr>
              <w:t>Armed conflict</w:t>
            </w:r>
          </w:p>
        </w:tc>
        <w:tc>
          <w:tcPr>
            <w:tcW w:w="6547" w:type="dxa"/>
            <w:tcBorders>
              <w:top w:val="single" w:sz="4" w:space="0" w:color="1B556B"/>
              <w:left w:val="single" w:sz="4" w:space="0" w:color="1B556B"/>
              <w:bottom w:val="single" w:sz="4" w:space="0" w:color="1B556B"/>
            </w:tcBorders>
            <w:tcMar>
              <w:left w:w="108" w:type="dxa"/>
              <w:right w:w="108" w:type="dxa"/>
            </w:tcMar>
          </w:tcPr>
          <w:p w14:paraId="68AB02AE" w14:textId="1D622A8E" w:rsidR="2D15A54E" w:rsidRPr="2D15A54E" w:rsidRDefault="2D15A54E" w:rsidP="00B80786">
            <w:pPr>
              <w:pStyle w:val="TableText"/>
              <w:rPr>
                <w:rFonts w:ascii="Arial" w:eastAsia="Arial" w:hAnsi="Arial" w:cs="Arial"/>
                <w:szCs w:val="18"/>
              </w:rPr>
            </w:pPr>
            <w:r w:rsidRPr="00B80786">
              <w:t>Armed conflict can be broadly understood as situations in which two or more opposing groups (either state actors or non-state actors) use organised armed violence to pursue their objectives at the expense of others. New Zealand’s interests can be put at risk by a wide range of actual and potential armed conflicts. This risk focuses on armed conflicts the New Zealand Government decides to commit national capabilities to protect, preserve and promote our interests to, particularly including the New Zealand Defence Force.</w:t>
            </w:r>
          </w:p>
        </w:tc>
      </w:tr>
      <w:tr w:rsidR="61054953" w14:paraId="6CF55DF8" w14:textId="77777777" w:rsidTr="00746AD6">
        <w:trPr>
          <w:trHeight w:val="735"/>
        </w:trPr>
        <w:tc>
          <w:tcPr>
            <w:tcW w:w="1958" w:type="dxa"/>
            <w:tcBorders>
              <w:top w:val="single" w:sz="4" w:space="0" w:color="1B556B"/>
              <w:bottom w:val="single" w:sz="4" w:space="0" w:color="1B556B"/>
              <w:right w:val="single" w:sz="4" w:space="0" w:color="1B556B"/>
            </w:tcBorders>
            <w:tcMar>
              <w:left w:w="108" w:type="dxa"/>
              <w:right w:w="108" w:type="dxa"/>
            </w:tcMar>
          </w:tcPr>
          <w:p w14:paraId="7C70FBFC" w14:textId="25A0946B" w:rsidR="2D15A54E" w:rsidRDefault="2D15A54E" w:rsidP="00B80786">
            <w:pPr>
              <w:pStyle w:val="TableText"/>
              <w:rPr>
                <w:rFonts w:ascii="Arial" w:eastAsia="Arial" w:hAnsi="Arial" w:cs="Arial"/>
                <w:szCs w:val="18"/>
              </w:rPr>
            </w:pPr>
            <w:r w:rsidRPr="00B80786">
              <w:rPr>
                <w:b/>
              </w:rPr>
              <w:t>Communicable disease outbreak</w:t>
            </w:r>
          </w:p>
        </w:tc>
        <w:tc>
          <w:tcPr>
            <w:tcW w:w="6547" w:type="dxa"/>
            <w:tcBorders>
              <w:top w:val="single" w:sz="4" w:space="0" w:color="1B556B"/>
              <w:left w:val="single" w:sz="4" w:space="0" w:color="1B556B"/>
              <w:bottom w:val="single" w:sz="4" w:space="0" w:color="1B556B"/>
            </w:tcBorders>
            <w:tcMar>
              <w:left w:w="108" w:type="dxa"/>
              <w:right w:w="108" w:type="dxa"/>
            </w:tcMar>
          </w:tcPr>
          <w:p w14:paraId="2DB2184C" w14:textId="46714124" w:rsidR="2D15A54E" w:rsidRPr="2D15A54E" w:rsidRDefault="2D15A54E" w:rsidP="00B80786">
            <w:pPr>
              <w:pStyle w:val="TableText"/>
              <w:rPr>
                <w:rFonts w:ascii="Arial" w:eastAsia="Arial" w:hAnsi="Arial" w:cs="Arial"/>
                <w:szCs w:val="18"/>
              </w:rPr>
            </w:pPr>
            <w:r w:rsidRPr="00B80786">
              <w:t>Communicable diseases are diseases that spread from one person to another or from an animal to a person. Communicable disease outbreaks, particularly epidemics or pandemics, can result in large-scale health emergencies</w:t>
            </w:r>
            <w:r w:rsidR="00C271E8">
              <w:t>.</w:t>
            </w:r>
          </w:p>
        </w:tc>
      </w:tr>
      <w:tr w:rsidR="61054953" w14:paraId="0BF3BA4F" w14:textId="77777777" w:rsidTr="00746AD6">
        <w:trPr>
          <w:trHeight w:val="360"/>
        </w:trPr>
        <w:tc>
          <w:tcPr>
            <w:tcW w:w="1958" w:type="dxa"/>
            <w:tcBorders>
              <w:top w:val="single" w:sz="4" w:space="0" w:color="1B556B"/>
              <w:bottom w:val="single" w:sz="4" w:space="0" w:color="1B556B"/>
              <w:right w:val="single" w:sz="4" w:space="0" w:color="1B556B"/>
            </w:tcBorders>
            <w:tcMar>
              <w:left w:w="108" w:type="dxa"/>
              <w:right w:w="108" w:type="dxa"/>
            </w:tcMar>
          </w:tcPr>
          <w:p w14:paraId="0F4DD81F" w14:textId="3983C51C" w:rsidR="2D15A54E" w:rsidRDefault="2D15A54E" w:rsidP="00B80786">
            <w:pPr>
              <w:pStyle w:val="TableText"/>
              <w:rPr>
                <w:rFonts w:ascii="Arial" w:eastAsia="Arial" w:hAnsi="Arial" w:cs="Arial"/>
                <w:szCs w:val="18"/>
              </w:rPr>
            </w:pPr>
            <w:r w:rsidRPr="00B80786">
              <w:rPr>
                <w:b/>
              </w:rPr>
              <w:t xml:space="preserve">Deliberate interference, disruption or destruction of space assets, infrastructure or services upon which New Zealand </w:t>
            </w:r>
            <w:r w:rsidR="00A05C38" w:rsidRPr="00B80786">
              <w:rPr>
                <w:b/>
              </w:rPr>
              <w:t>rel</w:t>
            </w:r>
            <w:r w:rsidR="00A05C38">
              <w:rPr>
                <w:b/>
              </w:rPr>
              <w:t>ies</w:t>
            </w:r>
          </w:p>
        </w:tc>
        <w:tc>
          <w:tcPr>
            <w:tcW w:w="6547" w:type="dxa"/>
            <w:tcBorders>
              <w:top w:val="single" w:sz="4" w:space="0" w:color="1B556B"/>
              <w:left w:val="single" w:sz="4" w:space="0" w:color="1B556B"/>
              <w:bottom w:val="single" w:sz="4" w:space="0" w:color="1B556B"/>
            </w:tcBorders>
            <w:tcMar>
              <w:left w:w="108" w:type="dxa"/>
              <w:right w:w="108" w:type="dxa"/>
            </w:tcMar>
          </w:tcPr>
          <w:p w14:paraId="0DCAF3AF" w14:textId="62621A2D" w:rsidR="2D15A54E" w:rsidRPr="2D15A54E" w:rsidRDefault="2D15A54E" w:rsidP="00B80786">
            <w:pPr>
              <w:pStyle w:val="TableText"/>
              <w:rPr>
                <w:rFonts w:ascii="Arial" w:eastAsia="Arial" w:hAnsi="Arial" w:cs="Arial"/>
                <w:szCs w:val="18"/>
              </w:rPr>
            </w:pPr>
            <w:r w:rsidRPr="00B80786">
              <w:t xml:space="preserve">Deliberate interference, disruption or destruction of space assets, infrastructure (whether space or ground-based) or services can threaten the essential services that underpin our daily life – such as communications, navigation and financial transactions </w:t>
            </w:r>
            <w:r w:rsidR="00A05C38">
              <w:t>–</w:t>
            </w:r>
            <w:r w:rsidRPr="00B80786">
              <w:t xml:space="preserve"> and undermine our national security interests. Disruption or destruction can occur from remote or direct physical interference with space systems through a range of means, including active targeting.</w:t>
            </w:r>
          </w:p>
        </w:tc>
      </w:tr>
      <w:tr w:rsidR="61054953" w14:paraId="75178824" w14:textId="77777777" w:rsidTr="00746AD6">
        <w:trPr>
          <w:trHeight w:val="210"/>
        </w:trPr>
        <w:tc>
          <w:tcPr>
            <w:tcW w:w="1958" w:type="dxa"/>
            <w:tcBorders>
              <w:top w:val="single" w:sz="4" w:space="0" w:color="1B556B"/>
              <w:bottom w:val="single" w:sz="4" w:space="0" w:color="1B556B"/>
              <w:right w:val="single" w:sz="4" w:space="0" w:color="1B556B"/>
            </w:tcBorders>
            <w:tcMar>
              <w:left w:w="108" w:type="dxa"/>
              <w:right w:w="108" w:type="dxa"/>
            </w:tcMar>
          </w:tcPr>
          <w:p w14:paraId="3021F705" w14:textId="7EC095DB" w:rsidR="2D15A54E" w:rsidRDefault="2D15A54E" w:rsidP="00B80786">
            <w:pPr>
              <w:pStyle w:val="TableText"/>
              <w:rPr>
                <w:rFonts w:ascii="Arial" w:eastAsia="Arial" w:hAnsi="Arial" w:cs="Arial"/>
                <w:szCs w:val="18"/>
              </w:rPr>
            </w:pPr>
            <w:r w:rsidRPr="00B80786">
              <w:rPr>
                <w:b/>
              </w:rPr>
              <w:t>Drought</w:t>
            </w:r>
          </w:p>
        </w:tc>
        <w:tc>
          <w:tcPr>
            <w:tcW w:w="6547" w:type="dxa"/>
            <w:tcBorders>
              <w:top w:val="single" w:sz="4" w:space="0" w:color="1B556B"/>
              <w:left w:val="single" w:sz="4" w:space="0" w:color="1B556B"/>
              <w:bottom w:val="single" w:sz="4" w:space="0" w:color="1B556B"/>
            </w:tcBorders>
            <w:tcMar>
              <w:left w:w="108" w:type="dxa"/>
              <w:right w:w="108" w:type="dxa"/>
            </w:tcMar>
          </w:tcPr>
          <w:p w14:paraId="43908714" w14:textId="072AD1A3" w:rsidR="2D15A54E" w:rsidRPr="2D15A54E" w:rsidRDefault="2D15A54E" w:rsidP="00B80786">
            <w:pPr>
              <w:pStyle w:val="TableText"/>
              <w:rPr>
                <w:rFonts w:ascii="Arial" w:eastAsia="Arial" w:hAnsi="Arial" w:cs="Arial"/>
                <w:szCs w:val="18"/>
              </w:rPr>
            </w:pPr>
            <w:r w:rsidRPr="00B80786">
              <w:t>Drought is an extended period of unusually dry conditions or below normal rainfall affecting plant growth, and food and fibre production.</w:t>
            </w:r>
          </w:p>
        </w:tc>
      </w:tr>
      <w:tr w:rsidR="61054953" w14:paraId="0C75E6E6" w14:textId="77777777" w:rsidTr="00746AD6">
        <w:trPr>
          <w:trHeight w:val="480"/>
        </w:trPr>
        <w:tc>
          <w:tcPr>
            <w:tcW w:w="1958" w:type="dxa"/>
            <w:tcBorders>
              <w:top w:val="single" w:sz="4" w:space="0" w:color="1B556B"/>
              <w:bottom w:val="single" w:sz="4" w:space="0" w:color="1B556B"/>
              <w:right w:val="single" w:sz="4" w:space="0" w:color="1B556B"/>
            </w:tcBorders>
            <w:tcMar>
              <w:left w:w="108" w:type="dxa"/>
              <w:right w:w="108" w:type="dxa"/>
            </w:tcMar>
          </w:tcPr>
          <w:p w14:paraId="4A02D078" w14:textId="3D41F4C9" w:rsidR="2D15A54E" w:rsidRDefault="2D15A54E" w:rsidP="00B80786">
            <w:pPr>
              <w:pStyle w:val="TableText"/>
              <w:rPr>
                <w:rFonts w:ascii="Arial" w:eastAsia="Arial" w:hAnsi="Arial" w:cs="Arial"/>
                <w:szCs w:val="18"/>
              </w:rPr>
            </w:pPr>
            <w:r w:rsidRPr="00B80786">
              <w:rPr>
                <w:b/>
              </w:rPr>
              <w:t>Earthquake</w:t>
            </w:r>
          </w:p>
        </w:tc>
        <w:tc>
          <w:tcPr>
            <w:tcW w:w="6547" w:type="dxa"/>
            <w:tcBorders>
              <w:top w:val="single" w:sz="4" w:space="0" w:color="1B556B"/>
              <w:left w:val="single" w:sz="4" w:space="0" w:color="1B556B"/>
              <w:bottom w:val="single" w:sz="4" w:space="0" w:color="1B556B"/>
            </w:tcBorders>
            <w:tcMar>
              <w:left w:w="108" w:type="dxa"/>
              <w:right w:w="108" w:type="dxa"/>
            </w:tcMar>
          </w:tcPr>
          <w:p w14:paraId="5C1DA2EC" w14:textId="3473581E" w:rsidR="2D15A54E" w:rsidRPr="2D15A54E" w:rsidRDefault="2D15A54E" w:rsidP="00B80786">
            <w:pPr>
              <w:pStyle w:val="TableText"/>
              <w:rPr>
                <w:rFonts w:ascii="Arial" w:eastAsia="Arial" w:hAnsi="Arial" w:cs="Arial"/>
                <w:szCs w:val="18"/>
              </w:rPr>
            </w:pPr>
            <w:r w:rsidRPr="00B80786">
              <w:t>An earthquake is a natural event caused by the release of strain energy in the Earth’s crust, resulting in strong and sometimes extremely violent ground shaking. Secondary effects can include landslides, liquefaction, building collapse, fire and tsunami.</w:t>
            </w:r>
          </w:p>
        </w:tc>
      </w:tr>
      <w:tr w:rsidR="61054953" w14:paraId="31F32591" w14:textId="77777777" w:rsidTr="00746AD6">
        <w:trPr>
          <w:trHeight w:val="960"/>
        </w:trPr>
        <w:tc>
          <w:tcPr>
            <w:tcW w:w="1958" w:type="dxa"/>
            <w:tcBorders>
              <w:top w:val="single" w:sz="4" w:space="0" w:color="1B556B"/>
              <w:bottom w:val="single" w:sz="4" w:space="0" w:color="1B556B"/>
              <w:right w:val="single" w:sz="4" w:space="0" w:color="1B556B"/>
            </w:tcBorders>
            <w:tcMar>
              <w:left w:w="108" w:type="dxa"/>
              <w:right w:w="108" w:type="dxa"/>
            </w:tcMar>
          </w:tcPr>
          <w:p w14:paraId="7AEF1801" w14:textId="710D303B" w:rsidR="2D15A54E" w:rsidRDefault="2D15A54E" w:rsidP="00B80786">
            <w:pPr>
              <w:pStyle w:val="TableText"/>
              <w:rPr>
                <w:rFonts w:ascii="Arial" w:eastAsia="Arial" w:hAnsi="Arial" w:cs="Arial"/>
                <w:szCs w:val="18"/>
              </w:rPr>
            </w:pPr>
            <w:r w:rsidRPr="00B80786">
              <w:rPr>
                <w:b/>
              </w:rPr>
              <w:t>Failure or disruption of a major financial mechanism or institution</w:t>
            </w:r>
          </w:p>
        </w:tc>
        <w:tc>
          <w:tcPr>
            <w:tcW w:w="6547" w:type="dxa"/>
            <w:tcBorders>
              <w:top w:val="single" w:sz="4" w:space="0" w:color="1B556B"/>
              <w:left w:val="single" w:sz="4" w:space="0" w:color="1B556B"/>
              <w:bottom w:val="single" w:sz="4" w:space="0" w:color="1B556B"/>
            </w:tcBorders>
            <w:tcMar>
              <w:left w:w="108" w:type="dxa"/>
              <w:right w:w="108" w:type="dxa"/>
            </w:tcMar>
          </w:tcPr>
          <w:p w14:paraId="1EBF673B" w14:textId="3D3E2A07" w:rsidR="2D15A54E" w:rsidRPr="2D15A54E" w:rsidRDefault="2D15A54E" w:rsidP="00B80786">
            <w:pPr>
              <w:pStyle w:val="TableText"/>
              <w:rPr>
                <w:rFonts w:ascii="Arial" w:eastAsia="Arial" w:hAnsi="Arial" w:cs="Arial"/>
                <w:szCs w:val="18"/>
              </w:rPr>
            </w:pPr>
            <w:r w:rsidRPr="00B80786">
              <w:t>The failure or disruption of a major financial mechanism or institution (such as a major registered bank or large insurer), resulting in a sudden loss of a large portion of its nominal value, causing disruption to the provision of credit, transactional banking, insured risks or the payment and settlement process.</w:t>
            </w:r>
          </w:p>
        </w:tc>
      </w:tr>
      <w:tr w:rsidR="61054953" w14:paraId="5A050BCF" w14:textId="77777777" w:rsidTr="00746AD6">
        <w:trPr>
          <w:trHeight w:val="585"/>
        </w:trPr>
        <w:tc>
          <w:tcPr>
            <w:tcW w:w="1958" w:type="dxa"/>
            <w:tcBorders>
              <w:top w:val="single" w:sz="4" w:space="0" w:color="1B556B"/>
              <w:bottom w:val="single" w:sz="4" w:space="0" w:color="1B556B"/>
              <w:right w:val="single" w:sz="4" w:space="0" w:color="1B556B"/>
            </w:tcBorders>
            <w:tcMar>
              <w:left w:w="108" w:type="dxa"/>
              <w:right w:w="108" w:type="dxa"/>
            </w:tcMar>
          </w:tcPr>
          <w:p w14:paraId="2A1C493F" w14:textId="220040BF" w:rsidR="2D15A54E" w:rsidRDefault="2D15A54E" w:rsidP="00B80786">
            <w:pPr>
              <w:pStyle w:val="TableText"/>
              <w:rPr>
                <w:rFonts w:ascii="Arial" w:eastAsia="Arial" w:hAnsi="Arial" w:cs="Arial"/>
                <w:szCs w:val="18"/>
              </w:rPr>
            </w:pPr>
            <w:r w:rsidRPr="00B80786">
              <w:rPr>
                <w:b/>
              </w:rPr>
              <w:t>Major cyber incident</w:t>
            </w:r>
          </w:p>
        </w:tc>
        <w:tc>
          <w:tcPr>
            <w:tcW w:w="6547" w:type="dxa"/>
            <w:tcBorders>
              <w:top w:val="single" w:sz="4" w:space="0" w:color="1B556B"/>
              <w:left w:val="single" w:sz="4" w:space="0" w:color="1B556B"/>
              <w:bottom w:val="single" w:sz="4" w:space="0" w:color="1B556B"/>
            </w:tcBorders>
            <w:tcMar>
              <w:left w:w="108" w:type="dxa"/>
              <w:right w:w="108" w:type="dxa"/>
            </w:tcMar>
          </w:tcPr>
          <w:p w14:paraId="7EC31F6A" w14:textId="1ADE5161" w:rsidR="2D15A54E" w:rsidRPr="2D15A54E" w:rsidRDefault="2D15A54E" w:rsidP="00B80786">
            <w:pPr>
              <w:pStyle w:val="TableText"/>
              <w:rPr>
                <w:rFonts w:ascii="Arial" w:eastAsia="Arial" w:hAnsi="Arial" w:cs="Arial"/>
                <w:szCs w:val="18"/>
              </w:rPr>
            </w:pPr>
            <w:r w:rsidRPr="00B80786">
              <w:t>A major cyber incident is an activity or event that threatens or affects the confidentiality, availability and integrity of New Zealand’s data and information infrastructures. Threats can come from malicious, state-sponsored actors, as well as organised criminal groups and individuals.</w:t>
            </w:r>
          </w:p>
        </w:tc>
      </w:tr>
      <w:tr w:rsidR="61054953" w14:paraId="30E837B6" w14:textId="77777777" w:rsidTr="00746AD6">
        <w:trPr>
          <w:trHeight w:val="480"/>
        </w:trPr>
        <w:tc>
          <w:tcPr>
            <w:tcW w:w="1958" w:type="dxa"/>
            <w:tcBorders>
              <w:top w:val="single" w:sz="4" w:space="0" w:color="1B556B"/>
              <w:bottom w:val="single" w:sz="4" w:space="0" w:color="1B556B"/>
              <w:right w:val="single" w:sz="4" w:space="0" w:color="1B556B"/>
            </w:tcBorders>
            <w:tcMar>
              <w:left w:w="108" w:type="dxa"/>
              <w:right w:w="108" w:type="dxa"/>
            </w:tcMar>
          </w:tcPr>
          <w:p w14:paraId="47124234" w14:textId="4E48FDD5" w:rsidR="2D15A54E" w:rsidRPr="2D15A54E" w:rsidRDefault="2D15A54E" w:rsidP="00B80786">
            <w:pPr>
              <w:pStyle w:val="TableText"/>
              <w:rPr>
                <w:rFonts w:ascii="Arial" w:eastAsia="Arial" w:hAnsi="Arial" w:cs="Arial"/>
                <w:b/>
                <w:bCs/>
                <w:szCs w:val="18"/>
              </w:rPr>
            </w:pPr>
            <w:r w:rsidRPr="00B80786">
              <w:rPr>
                <w:b/>
              </w:rPr>
              <w:t>Major maritime security incident</w:t>
            </w:r>
          </w:p>
        </w:tc>
        <w:tc>
          <w:tcPr>
            <w:tcW w:w="6547" w:type="dxa"/>
            <w:tcBorders>
              <w:top w:val="single" w:sz="4" w:space="0" w:color="1B556B"/>
              <w:left w:val="single" w:sz="4" w:space="0" w:color="1B556B"/>
              <w:bottom w:val="single" w:sz="4" w:space="0" w:color="1B556B"/>
            </w:tcBorders>
            <w:tcMar>
              <w:left w:w="108" w:type="dxa"/>
              <w:right w:w="108" w:type="dxa"/>
            </w:tcMar>
          </w:tcPr>
          <w:p w14:paraId="073E702E" w14:textId="25084B1F" w:rsidR="2D15A54E" w:rsidRPr="2D15A54E" w:rsidRDefault="2D15A54E" w:rsidP="00B80786">
            <w:pPr>
              <w:pStyle w:val="TableText"/>
              <w:rPr>
                <w:rFonts w:ascii="Arial" w:eastAsia="Arial" w:hAnsi="Arial" w:cs="Arial"/>
                <w:szCs w:val="18"/>
              </w:rPr>
            </w:pPr>
            <w:r w:rsidRPr="00B80786">
              <w:t>A major maritime security incident refers to illegal or unwelcome behaviour in New</w:t>
            </w:r>
            <w:r w:rsidR="007C0271">
              <w:t> </w:t>
            </w:r>
            <w:r w:rsidRPr="00B80786">
              <w:t>Zealand’s maritime area</w:t>
            </w:r>
            <w:r w:rsidR="00B93AF0">
              <w:t xml:space="preserve"> </w:t>
            </w:r>
            <w:r w:rsidRPr="00B80786">
              <w:t>of</w:t>
            </w:r>
            <w:r w:rsidR="00B93AF0">
              <w:t xml:space="preserve"> </w:t>
            </w:r>
            <w:r w:rsidRPr="00B80786">
              <w:t>interest by a state or non-state actor that threatens New Zealand’s maritime interests. This includes deliberate territorial incursions and other non-approved activities, such as resource exploitation.</w:t>
            </w:r>
          </w:p>
        </w:tc>
      </w:tr>
      <w:tr w:rsidR="61054953" w14:paraId="1EE89273" w14:textId="77777777" w:rsidTr="00746AD6">
        <w:trPr>
          <w:trHeight w:val="480"/>
        </w:trPr>
        <w:tc>
          <w:tcPr>
            <w:tcW w:w="1958" w:type="dxa"/>
            <w:tcBorders>
              <w:top w:val="single" w:sz="4" w:space="0" w:color="1B556B"/>
              <w:bottom w:val="single" w:sz="4" w:space="0" w:color="1B556B"/>
              <w:right w:val="single" w:sz="4" w:space="0" w:color="1B556B"/>
            </w:tcBorders>
            <w:tcMar>
              <w:left w:w="108" w:type="dxa"/>
              <w:right w:w="108" w:type="dxa"/>
            </w:tcMar>
          </w:tcPr>
          <w:p w14:paraId="668FBE1D" w14:textId="03AC1806" w:rsidR="2D15A54E" w:rsidRDefault="2D15A54E" w:rsidP="00B80786">
            <w:pPr>
              <w:pStyle w:val="TableText"/>
              <w:rPr>
                <w:rFonts w:ascii="Arial" w:eastAsia="Arial" w:hAnsi="Arial" w:cs="Arial"/>
                <w:szCs w:val="18"/>
              </w:rPr>
            </w:pPr>
            <w:r w:rsidRPr="00B80786">
              <w:rPr>
                <w:b/>
              </w:rPr>
              <w:t xml:space="preserve">Major threat to Pacific </w:t>
            </w:r>
            <w:r w:rsidR="00B93AF0">
              <w:rPr>
                <w:b/>
              </w:rPr>
              <w:t>r</w:t>
            </w:r>
            <w:r w:rsidRPr="00B80786">
              <w:rPr>
                <w:b/>
              </w:rPr>
              <w:t xml:space="preserve">egional </w:t>
            </w:r>
            <w:r w:rsidR="00B93AF0">
              <w:rPr>
                <w:b/>
              </w:rPr>
              <w:t>s</w:t>
            </w:r>
            <w:r w:rsidRPr="00B80786">
              <w:rPr>
                <w:b/>
              </w:rPr>
              <w:t>tability</w:t>
            </w:r>
          </w:p>
        </w:tc>
        <w:tc>
          <w:tcPr>
            <w:tcW w:w="6547" w:type="dxa"/>
            <w:tcBorders>
              <w:top w:val="single" w:sz="4" w:space="0" w:color="1B556B"/>
              <w:left w:val="single" w:sz="4" w:space="0" w:color="1B556B"/>
              <w:bottom w:val="single" w:sz="4" w:space="0" w:color="1B556B"/>
            </w:tcBorders>
            <w:tcMar>
              <w:left w:w="108" w:type="dxa"/>
              <w:right w:w="108" w:type="dxa"/>
            </w:tcMar>
          </w:tcPr>
          <w:p w14:paraId="4447427D" w14:textId="0643CB7D" w:rsidR="2D15A54E" w:rsidRPr="2D15A54E" w:rsidRDefault="2D15A54E" w:rsidP="00B80786">
            <w:pPr>
              <w:pStyle w:val="TableText"/>
              <w:rPr>
                <w:rFonts w:ascii="Arial" w:eastAsia="Arial" w:hAnsi="Arial" w:cs="Arial"/>
                <w:szCs w:val="18"/>
              </w:rPr>
            </w:pPr>
            <w:r w:rsidRPr="00B80786">
              <w:t>New Zealand’s national security relies on a stable, resilient and prosperous Pacific. Instability in the region – whether due to social, political, economic or environmental drivers – is likely to require deployment of New Zealand capabilities to preserve and protect our regional, bilateral and national interests and obligations.</w:t>
            </w:r>
          </w:p>
        </w:tc>
      </w:tr>
      <w:tr w:rsidR="61054953" w14:paraId="5BB5B53A" w14:textId="77777777" w:rsidTr="00746AD6">
        <w:trPr>
          <w:trHeight w:val="480"/>
        </w:trPr>
        <w:tc>
          <w:tcPr>
            <w:tcW w:w="1958" w:type="dxa"/>
            <w:tcBorders>
              <w:top w:val="single" w:sz="4" w:space="0" w:color="1B556B"/>
              <w:bottom w:val="single" w:sz="4" w:space="0" w:color="1B556B"/>
              <w:right w:val="single" w:sz="4" w:space="0" w:color="1B556B"/>
            </w:tcBorders>
            <w:tcMar>
              <w:left w:w="108" w:type="dxa"/>
              <w:right w:w="108" w:type="dxa"/>
            </w:tcMar>
          </w:tcPr>
          <w:p w14:paraId="6F8F61BB" w14:textId="7CB3195E" w:rsidR="2D15A54E" w:rsidRDefault="2D15A54E" w:rsidP="00B80786">
            <w:pPr>
              <w:pStyle w:val="TableText"/>
              <w:rPr>
                <w:rFonts w:ascii="Arial" w:eastAsia="Arial" w:hAnsi="Arial" w:cs="Arial"/>
                <w:szCs w:val="18"/>
              </w:rPr>
            </w:pPr>
            <w:r w:rsidRPr="00B80786">
              <w:rPr>
                <w:b/>
              </w:rPr>
              <w:lastRenderedPageBreak/>
              <w:t xml:space="preserve">Major </w:t>
            </w:r>
            <w:r w:rsidR="00281230">
              <w:rPr>
                <w:b/>
              </w:rPr>
              <w:t>t</w:t>
            </w:r>
            <w:r w:rsidRPr="00B80786">
              <w:rPr>
                <w:b/>
              </w:rPr>
              <w:t xml:space="preserve">rade </w:t>
            </w:r>
            <w:r w:rsidR="00281230">
              <w:rPr>
                <w:b/>
              </w:rPr>
              <w:t>d</w:t>
            </w:r>
            <w:r w:rsidRPr="00B80786">
              <w:rPr>
                <w:b/>
              </w:rPr>
              <w:t>isruption</w:t>
            </w:r>
          </w:p>
        </w:tc>
        <w:tc>
          <w:tcPr>
            <w:tcW w:w="6547" w:type="dxa"/>
            <w:tcBorders>
              <w:top w:val="single" w:sz="4" w:space="0" w:color="1B556B"/>
              <w:left w:val="single" w:sz="4" w:space="0" w:color="1B556B"/>
              <w:bottom w:val="single" w:sz="4" w:space="0" w:color="1B556B"/>
            </w:tcBorders>
            <w:tcMar>
              <w:left w:w="108" w:type="dxa"/>
              <w:right w:w="108" w:type="dxa"/>
            </w:tcMar>
          </w:tcPr>
          <w:p w14:paraId="11BEC348" w14:textId="7BE2EAE9" w:rsidR="2D15A54E" w:rsidRPr="2D15A54E" w:rsidRDefault="2D15A54E" w:rsidP="00B80786">
            <w:pPr>
              <w:pStyle w:val="TableText"/>
              <w:rPr>
                <w:rFonts w:ascii="Arial" w:eastAsia="Arial" w:hAnsi="Arial" w:cs="Arial"/>
              </w:rPr>
            </w:pPr>
            <w:r w:rsidRPr="00B80786">
              <w:t>Trade disruption occurs when barriers arise preventing or reducing New Zealand traders’ access to export markets for goods and services and/</w:t>
            </w:r>
            <w:r>
              <w:t>or</w:t>
            </w:r>
            <w:r w:rsidRPr="00B80786">
              <w:t xml:space="preserve"> hindering access to critical imports. Many natural, economic and political factors could cause this, including market access risks, biosecurity threats, a major shock to multiple countries such as a pandemic, global financial crisis or armed conflict, and risks to the safe transport of goods to and from New Zealand.</w:t>
            </w:r>
          </w:p>
        </w:tc>
      </w:tr>
      <w:tr w:rsidR="61054953" w14:paraId="03655E8D" w14:textId="77777777" w:rsidTr="00AC343A">
        <w:trPr>
          <w:trHeight w:val="753"/>
        </w:trPr>
        <w:tc>
          <w:tcPr>
            <w:tcW w:w="1958" w:type="dxa"/>
            <w:tcBorders>
              <w:top w:val="single" w:sz="4" w:space="0" w:color="1B556B"/>
              <w:bottom w:val="single" w:sz="4" w:space="0" w:color="1B556B"/>
              <w:right w:val="single" w:sz="4" w:space="0" w:color="1B556B"/>
            </w:tcBorders>
            <w:tcMar>
              <w:left w:w="108" w:type="dxa"/>
              <w:right w:w="108" w:type="dxa"/>
            </w:tcMar>
          </w:tcPr>
          <w:p w14:paraId="50F48D9D" w14:textId="67474C43" w:rsidR="2D15A54E" w:rsidRDefault="2D15A54E" w:rsidP="00B80786">
            <w:pPr>
              <w:pStyle w:val="TableText"/>
              <w:rPr>
                <w:rFonts w:ascii="Arial" w:eastAsia="Arial" w:hAnsi="Arial" w:cs="Arial"/>
                <w:szCs w:val="18"/>
              </w:rPr>
            </w:pPr>
            <w:r w:rsidRPr="00B80786">
              <w:rPr>
                <w:b/>
              </w:rPr>
              <w:t>Maritime mass arrival</w:t>
            </w:r>
          </w:p>
        </w:tc>
        <w:tc>
          <w:tcPr>
            <w:tcW w:w="6547" w:type="dxa"/>
            <w:tcBorders>
              <w:top w:val="single" w:sz="4" w:space="0" w:color="1B556B"/>
              <w:left w:val="single" w:sz="4" w:space="0" w:color="1B556B"/>
              <w:bottom w:val="single" w:sz="4" w:space="0" w:color="1B556B"/>
            </w:tcBorders>
            <w:tcMar>
              <w:left w:w="108" w:type="dxa"/>
              <w:right w:w="108" w:type="dxa"/>
            </w:tcMar>
          </w:tcPr>
          <w:p w14:paraId="75926BB1" w14:textId="64A3D242" w:rsidR="2D15A54E" w:rsidRPr="2D15A54E" w:rsidRDefault="2D15A54E" w:rsidP="00B80786">
            <w:pPr>
              <w:pStyle w:val="TableText"/>
              <w:rPr>
                <w:rFonts w:ascii="Arial" w:eastAsia="Arial" w:hAnsi="Arial" w:cs="Arial"/>
                <w:szCs w:val="18"/>
              </w:rPr>
            </w:pPr>
            <w:r w:rsidRPr="00B80786">
              <w:t>A mass arrival is when over 30 people, who do not have permission to enter New Zealand, arrive on board one craft or more at the same time, excluding scheduled international services.</w:t>
            </w:r>
          </w:p>
        </w:tc>
      </w:tr>
      <w:tr w:rsidR="61054953" w14:paraId="68F49B60" w14:textId="77777777" w:rsidTr="00746AD6">
        <w:trPr>
          <w:trHeight w:val="390"/>
        </w:trPr>
        <w:tc>
          <w:tcPr>
            <w:tcW w:w="1958" w:type="dxa"/>
            <w:tcBorders>
              <w:top w:val="single" w:sz="4" w:space="0" w:color="1B556B"/>
              <w:bottom w:val="single" w:sz="4" w:space="0" w:color="1B556B"/>
              <w:right w:val="single" w:sz="4" w:space="0" w:color="1B556B"/>
            </w:tcBorders>
            <w:tcMar>
              <w:left w:w="108" w:type="dxa"/>
              <w:right w:w="108" w:type="dxa"/>
            </w:tcMar>
          </w:tcPr>
          <w:p w14:paraId="6BCCE621" w14:textId="379401A3" w:rsidR="2D15A54E" w:rsidRDefault="2D15A54E" w:rsidP="00B80786">
            <w:pPr>
              <w:pStyle w:val="TableText"/>
              <w:rPr>
                <w:rFonts w:ascii="Arial" w:eastAsia="Arial" w:hAnsi="Arial" w:cs="Arial"/>
                <w:szCs w:val="18"/>
              </w:rPr>
            </w:pPr>
            <w:r w:rsidRPr="00B80786">
              <w:rPr>
                <w:b/>
              </w:rPr>
              <w:t>Pest or disease incursion</w:t>
            </w:r>
          </w:p>
        </w:tc>
        <w:tc>
          <w:tcPr>
            <w:tcW w:w="6547" w:type="dxa"/>
            <w:tcBorders>
              <w:top w:val="single" w:sz="4" w:space="0" w:color="1B556B"/>
              <w:left w:val="single" w:sz="4" w:space="0" w:color="1B556B"/>
              <w:bottom w:val="single" w:sz="4" w:space="0" w:color="1B556B"/>
            </w:tcBorders>
            <w:tcMar>
              <w:left w:w="108" w:type="dxa"/>
              <w:right w:w="108" w:type="dxa"/>
            </w:tcMar>
          </w:tcPr>
          <w:p w14:paraId="3D5299D2" w14:textId="39FC5D8B" w:rsidR="2D15A54E" w:rsidRPr="2D15A54E" w:rsidRDefault="2D15A54E" w:rsidP="00B80786">
            <w:pPr>
              <w:pStyle w:val="TableText"/>
              <w:rPr>
                <w:rFonts w:ascii="Arial" w:eastAsia="Arial" w:hAnsi="Arial" w:cs="Arial"/>
                <w:szCs w:val="18"/>
              </w:rPr>
            </w:pPr>
            <w:r w:rsidRPr="00B80786">
              <w:t>An incursion by an agricultural, environmental or aquatic pest or disease-causing organism, or their vectors, presenting a biosecurity risk to New Zealand.</w:t>
            </w:r>
          </w:p>
        </w:tc>
      </w:tr>
      <w:tr w:rsidR="61054953" w14:paraId="7C3F6B2F" w14:textId="77777777" w:rsidTr="00746AD6">
        <w:trPr>
          <w:trHeight w:val="975"/>
        </w:trPr>
        <w:tc>
          <w:tcPr>
            <w:tcW w:w="1958" w:type="dxa"/>
            <w:tcBorders>
              <w:top w:val="single" w:sz="4" w:space="0" w:color="1B556B"/>
              <w:bottom w:val="single" w:sz="4" w:space="0" w:color="1B556B"/>
              <w:right w:val="single" w:sz="4" w:space="0" w:color="1B556B"/>
            </w:tcBorders>
            <w:tcMar>
              <w:left w:w="108" w:type="dxa"/>
              <w:right w:w="108" w:type="dxa"/>
            </w:tcMar>
          </w:tcPr>
          <w:p w14:paraId="6E2D97EA" w14:textId="440F8F73" w:rsidR="2D15A54E" w:rsidRDefault="2D15A54E" w:rsidP="00B80786">
            <w:pPr>
              <w:pStyle w:val="TableText"/>
              <w:rPr>
                <w:rFonts w:ascii="Arial" w:eastAsia="Arial" w:hAnsi="Arial" w:cs="Arial"/>
                <w:szCs w:val="18"/>
              </w:rPr>
            </w:pPr>
            <w:r w:rsidRPr="00B80786">
              <w:rPr>
                <w:b/>
              </w:rPr>
              <w:t>Radiological substance incident</w:t>
            </w:r>
          </w:p>
        </w:tc>
        <w:tc>
          <w:tcPr>
            <w:tcW w:w="6547" w:type="dxa"/>
            <w:tcBorders>
              <w:top w:val="single" w:sz="4" w:space="0" w:color="1B556B"/>
              <w:left w:val="single" w:sz="4" w:space="0" w:color="1B556B"/>
              <w:bottom w:val="single" w:sz="4" w:space="0" w:color="1B556B"/>
            </w:tcBorders>
            <w:tcMar>
              <w:left w:w="108" w:type="dxa"/>
              <w:right w:w="108" w:type="dxa"/>
            </w:tcMar>
          </w:tcPr>
          <w:p w14:paraId="470B37E9" w14:textId="6D06E3D5" w:rsidR="2D15A54E" w:rsidRPr="2D15A54E" w:rsidRDefault="2D15A54E" w:rsidP="00B80786">
            <w:pPr>
              <w:pStyle w:val="TableText"/>
              <w:rPr>
                <w:rFonts w:ascii="Arial" w:eastAsia="Arial" w:hAnsi="Arial" w:cs="Arial"/>
                <w:szCs w:val="18"/>
              </w:rPr>
            </w:pPr>
            <w:r w:rsidRPr="00B80786">
              <w:t>A radiological or hazardous substance incident refers to an unplanned or uncontrolled release of hazardous material (such as chemical agents, corrosive materials, explosives, flammable gases/liquids, non-flammable gases, organic peroxides, oxidisers, radioactive material, toxic and infectious substances and unexploded ordinances) that could have adverse effects on people, property and the natural environment.</w:t>
            </w:r>
          </w:p>
        </w:tc>
      </w:tr>
      <w:tr w:rsidR="61054953" w14:paraId="57BD1D87" w14:textId="77777777" w:rsidTr="00746AD6">
        <w:trPr>
          <w:trHeight w:val="585"/>
        </w:trPr>
        <w:tc>
          <w:tcPr>
            <w:tcW w:w="1958" w:type="dxa"/>
            <w:tcBorders>
              <w:top w:val="single" w:sz="4" w:space="0" w:color="1B556B"/>
              <w:bottom w:val="single" w:sz="4" w:space="0" w:color="1B556B"/>
              <w:right w:val="single" w:sz="4" w:space="0" w:color="1B556B"/>
            </w:tcBorders>
            <w:tcMar>
              <w:left w:w="108" w:type="dxa"/>
              <w:right w:w="108" w:type="dxa"/>
            </w:tcMar>
          </w:tcPr>
          <w:p w14:paraId="6B5A8395" w14:textId="23FF0253" w:rsidR="2D15A54E" w:rsidRDefault="2D15A54E" w:rsidP="00B80786">
            <w:pPr>
              <w:pStyle w:val="TableText"/>
              <w:rPr>
                <w:rFonts w:ascii="Arial" w:eastAsia="Arial" w:hAnsi="Arial" w:cs="Arial"/>
                <w:szCs w:val="18"/>
              </w:rPr>
            </w:pPr>
            <w:r w:rsidRPr="00B80786">
              <w:rPr>
                <w:b/>
              </w:rPr>
              <w:t>Severe weather and flooding</w:t>
            </w:r>
          </w:p>
        </w:tc>
        <w:tc>
          <w:tcPr>
            <w:tcW w:w="6547" w:type="dxa"/>
            <w:tcBorders>
              <w:top w:val="single" w:sz="4" w:space="0" w:color="1B556B"/>
              <w:left w:val="single" w:sz="4" w:space="0" w:color="1B556B"/>
              <w:bottom w:val="single" w:sz="4" w:space="0" w:color="1B556B"/>
            </w:tcBorders>
            <w:tcMar>
              <w:left w:w="108" w:type="dxa"/>
              <w:right w:w="108" w:type="dxa"/>
            </w:tcMar>
          </w:tcPr>
          <w:p w14:paraId="6CD9A516" w14:textId="3A5FBF7E" w:rsidR="2D15A54E" w:rsidRPr="2D15A54E" w:rsidRDefault="2D15A54E" w:rsidP="00B80786">
            <w:pPr>
              <w:pStyle w:val="TableText"/>
              <w:rPr>
                <w:rFonts w:ascii="Arial" w:eastAsia="Arial" w:hAnsi="Arial" w:cs="Arial"/>
              </w:rPr>
            </w:pPr>
            <w:r w:rsidRPr="00B80786">
              <w:t>Severe weather refers to the occurrence of strong winds (including tornadoes) and/or heavy or prolonged rain and/or snow and/or coastal storm surges. Severe weather can cause flooding and landslides.</w:t>
            </w:r>
          </w:p>
        </w:tc>
      </w:tr>
      <w:tr w:rsidR="61054953" w14:paraId="31CEE335" w14:textId="77777777" w:rsidTr="00746AD6">
        <w:trPr>
          <w:trHeight w:val="300"/>
        </w:trPr>
        <w:tc>
          <w:tcPr>
            <w:tcW w:w="1958" w:type="dxa"/>
            <w:tcBorders>
              <w:top w:val="single" w:sz="4" w:space="0" w:color="1B556B"/>
              <w:bottom w:val="single" w:sz="4" w:space="0" w:color="1B556B"/>
              <w:right w:val="single" w:sz="4" w:space="0" w:color="1B556B"/>
            </w:tcBorders>
            <w:tcMar>
              <w:left w:w="108" w:type="dxa"/>
              <w:right w:w="108" w:type="dxa"/>
            </w:tcMar>
          </w:tcPr>
          <w:p w14:paraId="5C65C8E9" w14:textId="0908F1F0" w:rsidR="2D15A54E" w:rsidRDefault="2D15A54E" w:rsidP="00B80786">
            <w:pPr>
              <w:pStyle w:val="TableText"/>
              <w:rPr>
                <w:rFonts w:ascii="Arial" w:eastAsia="Arial" w:hAnsi="Arial" w:cs="Arial"/>
                <w:szCs w:val="18"/>
              </w:rPr>
            </w:pPr>
            <w:r w:rsidRPr="00B80786">
              <w:rPr>
                <w:b/>
              </w:rPr>
              <w:t>Significant disruption or failure of critical infrastructure</w:t>
            </w:r>
          </w:p>
        </w:tc>
        <w:tc>
          <w:tcPr>
            <w:tcW w:w="6547" w:type="dxa"/>
            <w:tcBorders>
              <w:top w:val="single" w:sz="4" w:space="0" w:color="1B556B"/>
              <w:left w:val="single" w:sz="4" w:space="0" w:color="1B556B"/>
              <w:bottom w:val="single" w:sz="4" w:space="0" w:color="1B556B"/>
            </w:tcBorders>
            <w:tcMar>
              <w:left w:w="108" w:type="dxa"/>
              <w:right w:w="108" w:type="dxa"/>
            </w:tcMar>
          </w:tcPr>
          <w:p w14:paraId="2697380B" w14:textId="73D0A742" w:rsidR="2D15A54E" w:rsidRDefault="2D15A54E" w:rsidP="00B80786">
            <w:pPr>
              <w:pStyle w:val="TableText"/>
              <w:rPr>
                <w:rFonts w:ascii="Arial" w:eastAsia="Arial" w:hAnsi="Arial" w:cs="Arial"/>
                <w:szCs w:val="18"/>
              </w:rPr>
            </w:pPr>
            <w:r w:rsidRPr="00B80786">
              <w:t xml:space="preserve">Significant disruption to, or loss of: </w:t>
            </w:r>
          </w:p>
          <w:p w14:paraId="79217AC3" w14:textId="784B4F61" w:rsidR="2D15A54E" w:rsidRDefault="2D15A54E" w:rsidP="00ED0445">
            <w:pPr>
              <w:pStyle w:val="TableBullet"/>
              <w:rPr>
                <w:rFonts w:ascii="Arial" w:eastAsia="Arial" w:hAnsi="Arial"/>
                <w:szCs w:val="18"/>
              </w:rPr>
            </w:pPr>
            <w:r w:rsidRPr="00B80786">
              <w:t>water infrastructure or services. This includes impacts to drinking water and wastewater networks and services</w:t>
            </w:r>
          </w:p>
          <w:p w14:paraId="43DBF721" w14:textId="39266783" w:rsidR="2D15A54E" w:rsidRDefault="2D15A54E" w:rsidP="00ED0445">
            <w:pPr>
              <w:pStyle w:val="TableBullet"/>
              <w:rPr>
                <w:rFonts w:ascii="Arial" w:eastAsia="Arial" w:hAnsi="Arial"/>
                <w:szCs w:val="18"/>
              </w:rPr>
            </w:pPr>
            <w:r w:rsidRPr="00B80786">
              <w:t xml:space="preserve">telecommunications major infrastructure or services. This includes impacts to our satellite, telephone and radio communications </w:t>
            </w:r>
          </w:p>
          <w:p w14:paraId="0FFF367C" w14:textId="487E2D91" w:rsidR="2D15A54E" w:rsidRDefault="2D15A54E" w:rsidP="00ED0445">
            <w:pPr>
              <w:pStyle w:val="TableBullet"/>
              <w:rPr>
                <w:rFonts w:ascii="Arial" w:eastAsia="Arial" w:hAnsi="Arial"/>
                <w:szCs w:val="18"/>
              </w:rPr>
            </w:pPr>
            <w:r w:rsidRPr="00B80786">
              <w:t>transport infrastructure or services. This includes impacts to transport physical infrastructure and assets, networks, enabling services, operators and systems that underpin regional, national and international connectivity and accessibility</w:t>
            </w:r>
          </w:p>
          <w:p w14:paraId="3E38821F" w14:textId="36C3BF63" w:rsidR="2D15A54E" w:rsidRPr="2D15A54E" w:rsidRDefault="2D15A54E" w:rsidP="00ED0445">
            <w:pPr>
              <w:pStyle w:val="TableBullet"/>
              <w:rPr>
                <w:rFonts w:ascii="Arial" w:eastAsia="Arial" w:hAnsi="Arial"/>
                <w:szCs w:val="18"/>
              </w:rPr>
            </w:pPr>
            <w:r w:rsidRPr="00B80786">
              <w:t xml:space="preserve">energy infrastructure or services. This includes impacts to electricity, natural gas, and liquid fuel supplies. </w:t>
            </w:r>
          </w:p>
        </w:tc>
      </w:tr>
      <w:tr w:rsidR="61054953" w14:paraId="1782D7E4" w14:textId="77777777" w:rsidTr="00746AD6">
        <w:trPr>
          <w:trHeight w:val="390"/>
        </w:trPr>
        <w:tc>
          <w:tcPr>
            <w:tcW w:w="1958" w:type="dxa"/>
            <w:tcBorders>
              <w:top w:val="single" w:sz="4" w:space="0" w:color="1B556B"/>
              <w:bottom w:val="single" w:sz="4" w:space="0" w:color="1B556B"/>
              <w:right w:val="single" w:sz="4" w:space="0" w:color="1B556B"/>
            </w:tcBorders>
            <w:tcMar>
              <w:left w:w="108" w:type="dxa"/>
              <w:right w:w="108" w:type="dxa"/>
            </w:tcMar>
          </w:tcPr>
          <w:p w14:paraId="0470E2AF" w14:textId="361385A8" w:rsidR="2D15A54E" w:rsidRDefault="2D15A54E" w:rsidP="00B80786">
            <w:pPr>
              <w:pStyle w:val="TableText"/>
              <w:rPr>
                <w:rFonts w:ascii="Arial" w:eastAsia="Arial" w:hAnsi="Arial" w:cs="Arial"/>
                <w:szCs w:val="18"/>
              </w:rPr>
            </w:pPr>
            <w:r w:rsidRPr="00B80786">
              <w:rPr>
                <w:b/>
              </w:rPr>
              <w:t>Space weather</w:t>
            </w:r>
          </w:p>
        </w:tc>
        <w:tc>
          <w:tcPr>
            <w:tcW w:w="6547" w:type="dxa"/>
            <w:tcBorders>
              <w:top w:val="single" w:sz="4" w:space="0" w:color="1B556B"/>
              <w:left w:val="single" w:sz="4" w:space="0" w:color="1B556B"/>
              <w:bottom w:val="single" w:sz="4" w:space="0" w:color="1B556B"/>
            </w:tcBorders>
            <w:tcMar>
              <w:left w:w="108" w:type="dxa"/>
              <w:right w:w="108" w:type="dxa"/>
            </w:tcMar>
          </w:tcPr>
          <w:p w14:paraId="1D4F7983" w14:textId="6C82AE39" w:rsidR="2D15A54E" w:rsidRPr="2D15A54E" w:rsidRDefault="2D15A54E" w:rsidP="00B80786">
            <w:pPr>
              <w:pStyle w:val="TableText"/>
              <w:rPr>
                <w:rFonts w:ascii="Arial" w:eastAsia="Arial" w:hAnsi="Arial" w:cs="Arial"/>
                <w:szCs w:val="18"/>
              </w:rPr>
            </w:pPr>
            <w:r w:rsidRPr="00B80786">
              <w:t>Space weather refers to variable conditions on the sun and in the space environment that can impact Earth’s magnetic field. A space weather event can cause severe geomagnetic disturbance that could negatively impact information and communications technology, global navigation satellite systems and other critical infrastructure.</w:t>
            </w:r>
          </w:p>
        </w:tc>
      </w:tr>
      <w:tr w:rsidR="61054953" w14:paraId="25C31A07" w14:textId="77777777" w:rsidTr="00746AD6">
        <w:trPr>
          <w:trHeight w:val="675"/>
        </w:trPr>
        <w:tc>
          <w:tcPr>
            <w:tcW w:w="1958" w:type="dxa"/>
            <w:tcBorders>
              <w:top w:val="single" w:sz="4" w:space="0" w:color="1B556B"/>
              <w:bottom w:val="single" w:sz="4" w:space="0" w:color="1B556B"/>
              <w:right w:val="single" w:sz="4" w:space="0" w:color="1B556B"/>
            </w:tcBorders>
            <w:tcMar>
              <w:left w:w="108" w:type="dxa"/>
              <w:right w:w="108" w:type="dxa"/>
            </w:tcMar>
          </w:tcPr>
          <w:p w14:paraId="77E48C27" w14:textId="25FB3EB2" w:rsidR="2D15A54E" w:rsidRDefault="2D15A54E" w:rsidP="00B80786">
            <w:pPr>
              <w:pStyle w:val="TableText"/>
              <w:rPr>
                <w:rFonts w:ascii="Arial" w:eastAsia="Arial" w:hAnsi="Arial" w:cs="Arial"/>
                <w:szCs w:val="18"/>
              </w:rPr>
            </w:pPr>
            <w:r w:rsidRPr="00B80786">
              <w:rPr>
                <w:b/>
              </w:rPr>
              <w:t>Technological disruption due to adoption or misuse of emerging, critical and sensitive technologies (ECST)</w:t>
            </w:r>
          </w:p>
        </w:tc>
        <w:tc>
          <w:tcPr>
            <w:tcW w:w="6547" w:type="dxa"/>
            <w:tcBorders>
              <w:top w:val="single" w:sz="4" w:space="0" w:color="1B556B"/>
              <w:left w:val="single" w:sz="4" w:space="0" w:color="1B556B"/>
              <w:bottom w:val="single" w:sz="4" w:space="0" w:color="1B556B"/>
            </w:tcBorders>
            <w:tcMar>
              <w:left w:w="108" w:type="dxa"/>
              <w:right w:w="108" w:type="dxa"/>
            </w:tcMar>
          </w:tcPr>
          <w:p w14:paraId="52793875" w14:textId="210F2AFE" w:rsidR="00BB3119" w:rsidRDefault="2D15A54E" w:rsidP="00B80786">
            <w:pPr>
              <w:pStyle w:val="TableText"/>
            </w:pPr>
            <w:r w:rsidRPr="00B80786">
              <w:t>ECST captures a range of technology areas, including artificial intelligence (AI), autonomous systems, biotechnologies and quantum technologies. While ECST can bring significant benefits to New Zealand’s economy, national security and wellbeing, their adoption and potential misuse can pose national security and broader ethical concerns. These include</w:t>
            </w:r>
            <w:r w:rsidR="00BB3119">
              <w:t>:</w:t>
            </w:r>
          </w:p>
          <w:p w14:paraId="73385EBE" w14:textId="540DBF6C" w:rsidR="00BC364D" w:rsidRDefault="2D15A54E" w:rsidP="00F434BD">
            <w:pPr>
              <w:pStyle w:val="TableBullet"/>
            </w:pPr>
            <w:r w:rsidRPr="00B80786">
              <w:t xml:space="preserve">the use of AI to automate cyberattacks or generate and/or share disinformation </w:t>
            </w:r>
          </w:p>
          <w:p w14:paraId="307FEF3F" w14:textId="181E8DBB" w:rsidR="00BC364D" w:rsidRDefault="2D15A54E" w:rsidP="00F434BD">
            <w:pPr>
              <w:pStyle w:val="TableBullet"/>
            </w:pPr>
            <w:r w:rsidRPr="00B80786">
              <w:t>the use of advanced biotechnology for malicious purposes</w:t>
            </w:r>
          </w:p>
          <w:p w14:paraId="0445DFE9" w14:textId="3E65FE36" w:rsidR="00BC364D" w:rsidRDefault="2D15A54E" w:rsidP="00F434BD">
            <w:pPr>
              <w:pStyle w:val="TableBullet"/>
            </w:pPr>
            <w:r w:rsidRPr="00B80786">
              <w:t>the use of quantum technology to break current encryption methods</w:t>
            </w:r>
          </w:p>
          <w:p w14:paraId="3B88E626" w14:textId="2B212794" w:rsidR="2D15A54E" w:rsidRPr="2D15A54E" w:rsidRDefault="2D15A54E" w:rsidP="00F434BD">
            <w:pPr>
              <w:pStyle w:val="TableBullet"/>
              <w:rPr>
                <w:rFonts w:ascii="Arial" w:eastAsia="Arial" w:hAnsi="Arial"/>
                <w:szCs w:val="18"/>
              </w:rPr>
            </w:pPr>
            <w:r w:rsidRPr="00B80786">
              <w:t>the exploitation of next generation communication networks to intercept or manipulate data.</w:t>
            </w:r>
          </w:p>
        </w:tc>
      </w:tr>
      <w:tr w:rsidR="61054953" w14:paraId="13946344" w14:textId="77777777" w:rsidTr="00746AD6">
        <w:trPr>
          <w:trHeight w:val="585"/>
        </w:trPr>
        <w:tc>
          <w:tcPr>
            <w:tcW w:w="1958" w:type="dxa"/>
            <w:tcBorders>
              <w:top w:val="single" w:sz="4" w:space="0" w:color="1B556B"/>
              <w:bottom w:val="single" w:sz="4" w:space="0" w:color="1B556B"/>
              <w:right w:val="single" w:sz="4" w:space="0" w:color="1B556B"/>
            </w:tcBorders>
            <w:tcMar>
              <w:left w:w="108" w:type="dxa"/>
              <w:right w:w="108" w:type="dxa"/>
            </w:tcMar>
          </w:tcPr>
          <w:p w14:paraId="60E4892A" w14:textId="32A10323" w:rsidR="2D15A54E" w:rsidRDefault="2D15A54E" w:rsidP="00B80786">
            <w:pPr>
              <w:pStyle w:val="TableText"/>
              <w:rPr>
                <w:rFonts w:ascii="Arial" w:eastAsia="Arial" w:hAnsi="Arial" w:cs="Arial"/>
                <w:szCs w:val="18"/>
              </w:rPr>
            </w:pPr>
            <w:r w:rsidRPr="00B80786">
              <w:rPr>
                <w:b/>
              </w:rPr>
              <w:t>Terrorist attack</w:t>
            </w:r>
          </w:p>
        </w:tc>
        <w:tc>
          <w:tcPr>
            <w:tcW w:w="6547" w:type="dxa"/>
            <w:tcBorders>
              <w:top w:val="single" w:sz="4" w:space="0" w:color="1B556B"/>
              <w:left w:val="single" w:sz="4" w:space="0" w:color="1B556B"/>
              <w:bottom w:val="single" w:sz="4" w:space="0" w:color="1B556B"/>
            </w:tcBorders>
            <w:tcMar>
              <w:left w:w="108" w:type="dxa"/>
              <w:right w:w="108" w:type="dxa"/>
            </w:tcMar>
          </w:tcPr>
          <w:p w14:paraId="6AD35395" w14:textId="68E5CA02" w:rsidR="2D15A54E" w:rsidRPr="2D15A54E" w:rsidRDefault="2D15A54E" w:rsidP="00B80786">
            <w:pPr>
              <w:pStyle w:val="TableText"/>
              <w:rPr>
                <w:rFonts w:ascii="Arial" w:eastAsia="Arial" w:hAnsi="Arial" w:cs="Arial"/>
                <w:szCs w:val="18"/>
              </w:rPr>
            </w:pPr>
            <w:r w:rsidRPr="00B80786">
              <w:t xml:space="preserve">Under New Zealand law, a terrorist act is defined as an ideologically, politically or religiously motivated act – including, but not limited to, those causing death or serious bodily injury – intended to intimidate a population, or to coerce or force the </w:t>
            </w:r>
            <w:r w:rsidR="00BC364D">
              <w:t>G</w:t>
            </w:r>
            <w:r w:rsidRPr="00B80786">
              <w:t>overnment to do or not do certain things.</w:t>
            </w:r>
          </w:p>
        </w:tc>
      </w:tr>
      <w:tr w:rsidR="61054953" w14:paraId="7517BE86" w14:textId="77777777" w:rsidTr="00746AD6">
        <w:trPr>
          <w:trHeight w:val="480"/>
        </w:trPr>
        <w:tc>
          <w:tcPr>
            <w:tcW w:w="1958" w:type="dxa"/>
            <w:tcBorders>
              <w:top w:val="single" w:sz="4" w:space="0" w:color="1B556B"/>
              <w:bottom w:val="single" w:sz="4" w:space="0" w:color="1B556B"/>
              <w:right w:val="single" w:sz="4" w:space="0" w:color="1B556B"/>
            </w:tcBorders>
            <w:tcMar>
              <w:left w:w="108" w:type="dxa"/>
              <w:right w:w="108" w:type="dxa"/>
            </w:tcMar>
          </w:tcPr>
          <w:p w14:paraId="0D45A0C2" w14:textId="660232B3" w:rsidR="2D15A54E" w:rsidRDefault="2D15A54E" w:rsidP="00B80786">
            <w:pPr>
              <w:pStyle w:val="TableText"/>
              <w:rPr>
                <w:rFonts w:ascii="Arial" w:eastAsia="Arial" w:hAnsi="Arial" w:cs="Arial"/>
                <w:szCs w:val="18"/>
              </w:rPr>
            </w:pPr>
            <w:r w:rsidRPr="00B80786">
              <w:rPr>
                <w:b/>
              </w:rPr>
              <w:lastRenderedPageBreak/>
              <w:t>Transnational organised criminal activity</w:t>
            </w:r>
          </w:p>
        </w:tc>
        <w:tc>
          <w:tcPr>
            <w:tcW w:w="6547" w:type="dxa"/>
            <w:tcBorders>
              <w:top w:val="single" w:sz="4" w:space="0" w:color="1B556B"/>
              <w:left w:val="single" w:sz="4" w:space="0" w:color="1B556B"/>
              <w:bottom w:val="single" w:sz="4" w:space="0" w:color="1B556B"/>
            </w:tcBorders>
            <w:tcMar>
              <w:left w:w="108" w:type="dxa"/>
              <w:right w:w="108" w:type="dxa"/>
            </w:tcMar>
          </w:tcPr>
          <w:p w14:paraId="5CBE7A5B" w14:textId="3911F782" w:rsidR="2D15A54E" w:rsidRPr="2D15A54E" w:rsidRDefault="2D15A54E" w:rsidP="00B80786">
            <w:pPr>
              <w:pStyle w:val="TableText"/>
              <w:rPr>
                <w:rFonts w:ascii="Arial" w:eastAsia="Arial" w:hAnsi="Arial" w:cs="Arial"/>
                <w:szCs w:val="18"/>
              </w:rPr>
            </w:pPr>
            <w:r w:rsidRPr="00B80786">
              <w:t>Transnational organised crime refers to planned and systematic criminal activity, committed by a group or network, that has the objective of gaining profit, power or influence.</w:t>
            </w:r>
          </w:p>
        </w:tc>
      </w:tr>
      <w:tr w:rsidR="61054953" w14:paraId="40FFF44D" w14:textId="77777777" w:rsidTr="00746AD6">
        <w:trPr>
          <w:trHeight w:val="780"/>
        </w:trPr>
        <w:tc>
          <w:tcPr>
            <w:tcW w:w="1958" w:type="dxa"/>
            <w:tcBorders>
              <w:top w:val="single" w:sz="4" w:space="0" w:color="1B556B"/>
              <w:bottom w:val="single" w:sz="4" w:space="0" w:color="1B556B"/>
              <w:right w:val="single" w:sz="4" w:space="0" w:color="1B556B"/>
            </w:tcBorders>
            <w:tcMar>
              <w:left w:w="108" w:type="dxa"/>
              <w:right w:w="108" w:type="dxa"/>
            </w:tcMar>
          </w:tcPr>
          <w:p w14:paraId="3317CA18" w14:textId="6AD0EB28" w:rsidR="2D15A54E" w:rsidRDefault="2D15A54E" w:rsidP="00B80786">
            <w:pPr>
              <w:pStyle w:val="TableText"/>
              <w:rPr>
                <w:rFonts w:ascii="Arial" w:eastAsia="Arial" w:hAnsi="Arial" w:cs="Arial"/>
                <w:szCs w:val="18"/>
              </w:rPr>
            </w:pPr>
            <w:r w:rsidRPr="00B80786">
              <w:rPr>
                <w:b/>
              </w:rPr>
              <w:t>Tsunami</w:t>
            </w:r>
          </w:p>
        </w:tc>
        <w:tc>
          <w:tcPr>
            <w:tcW w:w="6547" w:type="dxa"/>
            <w:tcBorders>
              <w:top w:val="single" w:sz="4" w:space="0" w:color="1B556B"/>
              <w:left w:val="single" w:sz="4" w:space="0" w:color="1B556B"/>
              <w:bottom w:val="single" w:sz="4" w:space="0" w:color="1B556B"/>
            </w:tcBorders>
            <w:tcMar>
              <w:left w:w="108" w:type="dxa"/>
              <w:right w:w="108" w:type="dxa"/>
            </w:tcMar>
          </w:tcPr>
          <w:p w14:paraId="08157439" w14:textId="55046B79" w:rsidR="2D15A54E" w:rsidRPr="2D15A54E" w:rsidRDefault="2D15A54E" w:rsidP="00B80786">
            <w:pPr>
              <w:pStyle w:val="TableText"/>
              <w:rPr>
                <w:rFonts w:ascii="Arial" w:eastAsia="Arial" w:hAnsi="Arial" w:cs="Arial"/>
                <w:szCs w:val="18"/>
              </w:rPr>
            </w:pPr>
            <w:r w:rsidRPr="00B80786">
              <w:t>Tsunami is a natural event consisting of a series of waves generated when a large volume of water in the sea, or in a lake, is rapidly displaced. This could be caused by a large submarine or coastal earthquake, underwater or terrestrial landslide, volcanic eruption or meteorite splashdown.</w:t>
            </w:r>
          </w:p>
        </w:tc>
      </w:tr>
      <w:tr w:rsidR="61054953" w14:paraId="37DC4304" w14:textId="77777777" w:rsidTr="00746AD6">
        <w:trPr>
          <w:trHeight w:val="585"/>
        </w:trPr>
        <w:tc>
          <w:tcPr>
            <w:tcW w:w="1958" w:type="dxa"/>
            <w:tcBorders>
              <w:top w:val="single" w:sz="4" w:space="0" w:color="1B556B"/>
              <w:bottom w:val="single" w:sz="4" w:space="0" w:color="1B556B"/>
              <w:right w:val="single" w:sz="4" w:space="0" w:color="1B556B"/>
            </w:tcBorders>
            <w:tcMar>
              <w:left w:w="108" w:type="dxa"/>
              <w:right w:w="108" w:type="dxa"/>
            </w:tcMar>
          </w:tcPr>
          <w:p w14:paraId="36EAEF3C" w14:textId="6D0A8FA8" w:rsidR="2D15A54E" w:rsidRDefault="2D15A54E" w:rsidP="00B80786">
            <w:pPr>
              <w:pStyle w:val="TableText"/>
              <w:rPr>
                <w:rFonts w:ascii="Arial" w:eastAsia="Arial" w:hAnsi="Arial" w:cs="Arial"/>
                <w:szCs w:val="18"/>
              </w:rPr>
            </w:pPr>
            <w:r w:rsidRPr="00B80786">
              <w:rPr>
                <w:b/>
              </w:rPr>
              <w:t>Vector</w:t>
            </w:r>
            <w:r w:rsidR="00FA5284">
              <w:rPr>
                <w:b/>
              </w:rPr>
              <w:t>-</w:t>
            </w:r>
            <w:r w:rsidRPr="00B80786">
              <w:rPr>
                <w:b/>
              </w:rPr>
              <w:t>borne disease outbreak</w:t>
            </w:r>
          </w:p>
        </w:tc>
        <w:tc>
          <w:tcPr>
            <w:tcW w:w="6547" w:type="dxa"/>
            <w:tcBorders>
              <w:top w:val="single" w:sz="4" w:space="0" w:color="1B556B"/>
              <w:left w:val="single" w:sz="4" w:space="0" w:color="1B556B"/>
              <w:bottom w:val="single" w:sz="4" w:space="0" w:color="1B556B"/>
            </w:tcBorders>
            <w:tcMar>
              <w:left w:w="108" w:type="dxa"/>
              <w:right w:w="108" w:type="dxa"/>
            </w:tcMar>
          </w:tcPr>
          <w:p w14:paraId="10950BB1" w14:textId="7C450985" w:rsidR="2D15A54E" w:rsidRPr="2D15A54E" w:rsidRDefault="2D15A54E" w:rsidP="00B80786">
            <w:pPr>
              <w:pStyle w:val="TableText"/>
              <w:rPr>
                <w:rFonts w:ascii="Arial" w:eastAsia="Arial" w:hAnsi="Arial" w:cs="Arial"/>
                <w:szCs w:val="18"/>
              </w:rPr>
            </w:pPr>
            <w:r w:rsidRPr="00B80786">
              <w:t>Vector-borne disease outbreaks relate to the establishment of a competent disease vector (</w:t>
            </w:r>
            <w:proofErr w:type="spellStart"/>
            <w:r w:rsidR="00FA5284">
              <w:t>eg</w:t>
            </w:r>
            <w:proofErr w:type="spellEnd"/>
            <w:r w:rsidR="00FA5284">
              <w:t>,</w:t>
            </w:r>
            <w:r w:rsidRPr="00B80786">
              <w:t xml:space="preserve"> exotic mosquito) followed by transmission of an arboviral disease which in severe cases could have significant impacts on public health.</w:t>
            </w:r>
          </w:p>
        </w:tc>
      </w:tr>
      <w:tr w:rsidR="61054953" w14:paraId="46AB9863" w14:textId="77777777" w:rsidTr="00746AD6">
        <w:trPr>
          <w:trHeight w:val="75"/>
        </w:trPr>
        <w:tc>
          <w:tcPr>
            <w:tcW w:w="1958" w:type="dxa"/>
            <w:tcBorders>
              <w:top w:val="single" w:sz="4" w:space="0" w:color="1B556B"/>
              <w:bottom w:val="single" w:sz="4" w:space="0" w:color="1B556B"/>
              <w:right w:val="single" w:sz="4" w:space="0" w:color="1B556B"/>
            </w:tcBorders>
            <w:tcMar>
              <w:left w:w="108" w:type="dxa"/>
              <w:right w:w="108" w:type="dxa"/>
            </w:tcMar>
          </w:tcPr>
          <w:p w14:paraId="12FED42B" w14:textId="488C6272" w:rsidR="2D15A54E" w:rsidRPr="2D15A54E" w:rsidRDefault="2D15A54E" w:rsidP="00B80786">
            <w:pPr>
              <w:pStyle w:val="TableText"/>
              <w:rPr>
                <w:rFonts w:ascii="Arial" w:eastAsia="Arial" w:hAnsi="Arial" w:cs="Arial"/>
                <w:b/>
                <w:bCs/>
                <w:szCs w:val="18"/>
              </w:rPr>
            </w:pPr>
            <w:r w:rsidRPr="00B80786">
              <w:rPr>
                <w:b/>
              </w:rPr>
              <w:t>Violent protest or public disorder event</w:t>
            </w:r>
          </w:p>
        </w:tc>
        <w:tc>
          <w:tcPr>
            <w:tcW w:w="6547" w:type="dxa"/>
            <w:tcBorders>
              <w:top w:val="single" w:sz="4" w:space="0" w:color="1B556B"/>
              <w:left w:val="single" w:sz="4" w:space="0" w:color="1B556B"/>
              <w:bottom w:val="single" w:sz="4" w:space="0" w:color="1B556B"/>
            </w:tcBorders>
            <w:tcMar>
              <w:left w:w="108" w:type="dxa"/>
              <w:right w:w="108" w:type="dxa"/>
            </w:tcMar>
          </w:tcPr>
          <w:p w14:paraId="1CD2DB77" w14:textId="2FB9086A" w:rsidR="2D15A54E" w:rsidRPr="2D15A54E" w:rsidRDefault="2D15A54E" w:rsidP="00B80786">
            <w:pPr>
              <w:pStyle w:val="TableText"/>
              <w:rPr>
                <w:rFonts w:ascii="Arial" w:eastAsia="Arial" w:hAnsi="Arial" w:cs="Arial"/>
              </w:rPr>
            </w:pPr>
            <w:r w:rsidRPr="00B80786">
              <w:t>Significant and persistent unlawful mass disorder/activity arising from an event or mass act of civil disobedience (such as a riot) in which participants may become violent and hostile towards authority and/</w:t>
            </w:r>
            <w:r>
              <w:t>or</w:t>
            </w:r>
            <w:r w:rsidRPr="00B80786">
              <w:t xml:space="preserve"> their actions impact the functioning of key institutions and infrastructure. This is distinct from lawful protest activity and non-violent civil disobedience, which may have elements of minor short-term disorder or disruption.</w:t>
            </w:r>
          </w:p>
        </w:tc>
      </w:tr>
      <w:tr w:rsidR="4B939925" w14:paraId="63CE527C" w14:textId="77777777" w:rsidTr="00746AD6">
        <w:trPr>
          <w:trHeight w:val="75"/>
        </w:trPr>
        <w:tc>
          <w:tcPr>
            <w:tcW w:w="1958" w:type="dxa"/>
            <w:tcBorders>
              <w:top w:val="single" w:sz="4" w:space="0" w:color="1B556B"/>
              <w:bottom w:val="single" w:sz="4" w:space="0" w:color="1B556B"/>
              <w:right w:val="single" w:sz="4" w:space="0" w:color="1B556B"/>
            </w:tcBorders>
            <w:tcMar>
              <w:left w:w="108" w:type="dxa"/>
              <w:right w:w="108" w:type="dxa"/>
            </w:tcMar>
          </w:tcPr>
          <w:p w14:paraId="7008941F" w14:textId="1B9264AA" w:rsidR="4B939925" w:rsidRDefault="4B939925" w:rsidP="00B80786">
            <w:pPr>
              <w:pStyle w:val="TableText"/>
              <w:rPr>
                <w:rFonts w:ascii="Arial" w:eastAsia="Arial" w:hAnsi="Arial" w:cs="Arial"/>
                <w:szCs w:val="18"/>
              </w:rPr>
            </w:pPr>
            <w:r w:rsidRPr="00B80786">
              <w:rPr>
                <w:b/>
              </w:rPr>
              <w:t>Volcanic activity</w:t>
            </w:r>
          </w:p>
        </w:tc>
        <w:tc>
          <w:tcPr>
            <w:tcW w:w="6547" w:type="dxa"/>
            <w:tcBorders>
              <w:top w:val="single" w:sz="4" w:space="0" w:color="1B556B"/>
              <w:left w:val="single" w:sz="4" w:space="0" w:color="1B556B"/>
              <w:bottom w:val="single" w:sz="4" w:space="0" w:color="1B556B"/>
            </w:tcBorders>
            <w:tcMar>
              <w:left w:w="108" w:type="dxa"/>
              <w:right w:w="108" w:type="dxa"/>
            </w:tcMar>
          </w:tcPr>
          <w:p w14:paraId="17413A25" w14:textId="0BA4EA9D" w:rsidR="4B939925" w:rsidRDefault="4B939925" w:rsidP="00B80786">
            <w:pPr>
              <w:pStyle w:val="TableText"/>
              <w:rPr>
                <w:rFonts w:ascii="Arial" w:eastAsia="Arial" w:hAnsi="Arial" w:cs="Arial"/>
                <w:szCs w:val="18"/>
              </w:rPr>
            </w:pPr>
            <w:r w:rsidRPr="00B80786">
              <w:t>Volcanic activity includes either a volcanic eruption or sustained levels of volcanic unrest, which may or may not be a precursor to an eruption. Volcanic hazards include ash fall, lava flows, pyroclastic flows (superheated ash and gases), ballistic ejecta, lahars (ash and mudflows) and toxic gas emissions.</w:t>
            </w:r>
          </w:p>
        </w:tc>
      </w:tr>
      <w:tr w:rsidR="4B939925" w14:paraId="5EF7A940" w14:textId="77777777" w:rsidTr="00746AD6">
        <w:trPr>
          <w:trHeight w:val="75"/>
        </w:trPr>
        <w:tc>
          <w:tcPr>
            <w:tcW w:w="1958" w:type="dxa"/>
            <w:tcBorders>
              <w:top w:val="single" w:sz="4" w:space="0" w:color="1B556B"/>
              <w:bottom w:val="single" w:sz="4" w:space="0" w:color="1B556B"/>
              <w:right w:val="single" w:sz="4" w:space="0" w:color="1B556B"/>
            </w:tcBorders>
            <w:tcMar>
              <w:left w:w="108" w:type="dxa"/>
              <w:right w:w="108" w:type="dxa"/>
            </w:tcMar>
          </w:tcPr>
          <w:p w14:paraId="114F8B6E" w14:textId="399D0311" w:rsidR="3BB4ADCE" w:rsidRDefault="3BB4ADCE" w:rsidP="00B80786">
            <w:pPr>
              <w:pStyle w:val="TableText"/>
              <w:rPr>
                <w:rFonts w:ascii="Arial" w:eastAsia="Arial" w:hAnsi="Arial" w:cs="Arial"/>
                <w:szCs w:val="18"/>
              </w:rPr>
            </w:pPr>
            <w:r w:rsidRPr="00B80786">
              <w:rPr>
                <w:b/>
              </w:rPr>
              <w:t>Wildfire</w:t>
            </w:r>
          </w:p>
        </w:tc>
        <w:tc>
          <w:tcPr>
            <w:tcW w:w="6547" w:type="dxa"/>
            <w:tcBorders>
              <w:top w:val="single" w:sz="4" w:space="0" w:color="1B556B"/>
              <w:left w:val="single" w:sz="4" w:space="0" w:color="1B556B"/>
              <w:bottom w:val="single" w:sz="4" w:space="0" w:color="1B556B"/>
            </w:tcBorders>
            <w:tcMar>
              <w:left w:w="108" w:type="dxa"/>
              <w:right w:w="108" w:type="dxa"/>
            </w:tcMar>
          </w:tcPr>
          <w:p w14:paraId="2B0C31A7" w14:textId="5C901E35" w:rsidR="4B939925" w:rsidRDefault="4B939925" w:rsidP="00B80786">
            <w:pPr>
              <w:pStyle w:val="TableText"/>
              <w:rPr>
                <w:rFonts w:ascii="Arial" w:eastAsia="Arial" w:hAnsi="Arial" w:cs="Arial"/>
                <w:szCs w:val="18"/>
              </w:rPr>
            </w:pPr>
            <w:r w:rsidRPr="00B80786">
              <w:t xml:space="preserve">Wildfire is an unwanted, uncontrolled fire which occurs within an area of combustible vegetation, often moving rapidly across the landscape. Although wildfires most commonly occur in rural areas, they may </w:t>
            </w:r>
            <w:r w:rsidR="006E752E" w:rsidRPr="00B80786">
              <w:t xml:space="preserve">also </w:t>
            </w:r>
            <w:r w:rsidRPr="00B80786">
              <w:t>occur within urban environments.</w:t>
            </w:r>
          </w:p>
        </w:tc>
      </w:tr>
    </w:tbl>
    <w:p w14:paraId="183236B1" w14:textId="6D69DE51" w:rsidR="34172EC5" w:rsidRDefault="34172EC5" w:rsidP="69FEF511">
      <w:pPr>
        <w:pStyle w:val="BodyText"/>
      </w:pPr>
    </w:p>
    <w:p w14:paraId="3186667D" w14:textId="77777777" w:rsidR="00E84D9B" w:rsidRPr="005B0CED" w:rsidRDefault="00E84D9B" w:rsidP="69FEF511">
      <w:pPr>
        <w:pStyle w:val="BodyText"/>
      </w:pPr>
      <w:r w:rsidRPr="69FEF511">
        <w:br w:type="page"/>
      </w:r>
    </w:p>
    <w:p w14:paraId="59CCB394" w14:textId="77777777" w:rsidR="00E84D9B" w:rsidRDefault="00E84D9B" w:rsidP="69FEF511">
      <w:pPr>
        <w:pStyle w:val="Heading1"/>
      </w:pPr>
      <w:bookmarkStart w:id="46" w:name="_How_to_have"/>
      <w:bookmarkStart w:id="47" w:name="_Toc202529474"/>
      <w:bookmarkStart w:id="48" w:name="_Toc214435310"/>
      <w:bookmarkEnd w:id="46"/>
      <w:r w:rsidRPr="69FEF511">
        <w:lastRenderedPageBreak/>
        <w:t>References</w:t>
      </w:r>
      <w:bookmarkEnd w:id="47"/>
      <w:bookmarkEnd w:id="48"/>
    </w:p>
    <w:sectPr w:rsidR="00E84D9B" w:rsidSect="001307A3">
      <w:footerReference w:type="even" r:id="rId35"/>
      <w:footerReference w:type="default" r:id="rId36"/>
      <w:footnotePr>
        <w:numFmt w:val="lowerRoman"/>
      </w:footnotePr>
      <w:endnotePr>
        <w:numFmt w:val="decimal"/>
      </w:endnotePr>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4ADC3" w14:textId="77777777" w:rsidR="001762BA" w:rsidRDefault="001762BA" w:rsidP="00E84D9B">
      <w:pPr>
        <w:spacing w:before="0" w:after="0" w:line="240" w:lineRule="auto"/>
      </w:pPr>
      <w:r>
        <w:separator/>
      </w:r>
    </w:p>
  </w:endnote>
  <w:endnote w:type="continuationSeparator" w:id="0">
    <w:p w14:paraId="4888A781" w14:textId="77777777" w:rsidR="001762BA" w:rsidRDefault="001762BA" w:rsidP="00E84D9B">
      <w:pPr>
        <w:spacing w:before="0" w:after="0" w:line="240" w:lineRule="auto"/>
      </w:pPr>
      <w:r>
        <w:continuationSeparator/>
      </w:r>
    </w:p>
  </w:endnote>
  <w:endnote w:type="continuationNotice" w:id="1">
    <w:p w14:paraId="2F591C80" w14:textId="77777777" w:rsidR="001762BA" w:rsidRDefault="001762BA">
      <w:pPr>
        <w:spacing w:before="0" w:after="0" w:line="240" w:lineRule="auto"/>
      </w:pPr>
    </w:p>
  </w:endnote>
  <w:endnote w:id="2">
    <w:p w14:paraId="5C6D3ED0" w14:textId="13772DA9" w:rsidR="004C3F6B" w:rsidRDefault="004C3F6B" w:rsidP="00EA6A1D">
      <w:pPr>
        <w:pStyle w:val="EndnoteText"/>
        <w:ind w:left="426" w:hanging="426"/>
        <w:jc w:val="left"/>
      </w:pPr>
      <w:r>
        <w:rPr>
          <w:rStyle w:val="EndnoteReference"/>
        </w:rPr>
        <w:endnoteRef/>
      </w:r>
      <w:r>
        <w:t xml:space="preserve"> </w:t>
      </w:r>
      <w:r>
        <w:tab/>
      </w:r>
      <w:r w:rsidR="00FC74F5">
        <w:t xml:space="preserve">World Population Review. </w:t>
      </w:r>
      <w:hyperlink r:id="rId1" w:history="1">
        <w:r w:rsidRPr="00FC74F5">
          <w:rPr>
            <w:rStyle w:val="Hyperlink"/>
            <w:i/>
          </w:rPr>
          <w:t>Natural Disaster Risk by Country 2025</w:t>
        </w:r>
      </w:hyperlink>
      <w:r w:rsidR="00FC74F5">
        <w:t>. Retrieved 28 July 2025.</w:t>
      </w:r>
      <w:r w:rsidRPr="004C3F6B">
        <w:t xml:space="preserve"> </w:t>
      </w:r>
    </w:p>
  </w:endnote>
  <w:endnote w:id="3">
    <w:p w14:paraId="1671A54C" w14:textId="77799F21" w:rsidR="00E84D9B" w:rsidRPr="00804AE8" w:rsidRDefault="00E84D9B" w:rsidP="00804AE8">
      <w:pPr>
        <w:pStyle w:val="References"/>
        <w:ind w:left="426" w:hanging="426"/>
        <w:rPr>
          <w:rFonts w:cs="Calibri"/>
          <w:szCs w:val="20"/>
        </w:rPr>
      </w:pPr>
      <w:r w:rsidRPr="00804AE8">
        <w:rPr>
          <w:rStyle w:val="EndnoteReference"/>
          <w:rFonts w:cs="Calibri"/>
          <w:szCs w:val="20"/>
        </w:rPr>
        <w:endnoteRef/>
      </w:r>
      <w:r w:rsidRPr="00804AE8">
        <w:rPr>
          <w:rFonts w:cs="Calibri"/>
          <w:szCs w:val="20"/>
        </w:rPr>
        <w:t xml:space="preserve"> </w:t>
      </w:r>
      <w:r w:rsidR="0049166A" w:rsidRPr="00804AE8">
        <w:rPr>
          <w:rFonts w:cs="Calibri"/>
          <w:szCs w:val="20"/>
        </w:rPr>
        <w:tab/>
      </w:r>
      <w:r w:rsidRPr="00804AE8">
        <w:rPr>
          <w:rFonts w:cs="Calibri"/>
          <w:szCs w:val="20"/>
        </w:rPr>
        <w:t>IAG</w:t>
      </w:r>
      <w:r w:rsidR="009A7611" w:rsidRPr="00804AE8">
        <w:rPr>
          <w:rFonts w:cs="Calibri"/>
          <w:szCs w:val="20"/>
        </w:rPr>
        <w:t>.</w:t>
      </w:r>
      <w:r w:rsidRPr="00804AE8">
        <w:rPr>
          <w:rFonts w:cs="Calibri"/>
          <w:szCs w:val="20"/>
        </w:rPr>
        <w:t xml:space="preserve"> 2025. </w:t>
      </w:r>
      <w:hyperlink r:id="rId2" w:history="1">
        <w:r w:rsidR="00C20A92" w:rsidRPr="00804AE8">
          <w:rPr>
            <w:rStyle w:val="Hyperlink"/>
            <w:rFonts w:cs="Calibri"/>
            <w:i/>
            <w:iCs/>
            <w:szCs w:val="20"/>
          </w:rPr>
          <w:t>New Zealand Wild Weather Tracker</w:t>
        </w:r>
      </w:hyperlink>
      <w:r w:rsidR="00950556" w:rsidRPr="00804AE8">
        <w:rPr>
          <w:rFonts w:cs="Calibri"/>
          <w:szCs w:val="20"/>
        </w:rPr>
        <w:t>. Auckland: IAG.</w:t>
      </w:r>
    </w:p>
  </w:endnote>
  <w:endnote w:id="4">
    <w:p w14:paraId="77AE42E3" w14:textId="1E4BC67C" w:rsidR="6B118FC4" w:rsidRDefault="6B118FC4" w:rsidP="00EA6A1D">
      <w:pPr>
        <w:pStyle w:val="EndnoteText"/>
        <w:tabs>
          <w:tab w:val="left" w:pos="426"/>
        </w:tabs>
        <w:jc w:val="left"/>
      </w:pPr>
      <w:r w:rsidRPr="6B118FC4">
        <w:rPr>
          <w:rStyle w:val="EndnoteReference"/>
        </w:rPr>
        <w:endnoteRef/>
      </w:r>
      <w:r>
        <w:t xml:space="preserve"> </w:t>
      </w:r>
      <w:r w:rsidR="00EA6A1D">
        <w:tab/>
      </w:r>
      <w:r>
        <w:t xml:space="preserve">Department of Prime Minister and Cabinet. 2024. </w:t>
      </w:r>
      <w:r w:rsidRPr="6B118FC4">
        <w:t xml:space="preserve">2024 National risks public survey significant </w:t>
      </w:r>
      <w:r w:rsidR="00EA6A1D">
        <w:tab/>
      </w:r>
      <w:r w:rsidRPr="6B118FC4">
        <w:t xml:space="preserve">hazards key findings summary. </w:t>
      </w:r>
      <w:hyperlink r:id="rId3" w:history="1">
        <w:r w:rsidR="00616D2C" w:rsidRPr="004C1F0E">
          <w:rPr>
            <w:rStyle w:val="Hyperlink"/>
          </w:rPr>
          <w:t>https://www.dpmc.govt.nz/sites/default/files/2024-09/2024-</w:t>
        </w:r>
        <w:r w:rsidR="00616D2C" w:rsidRPr="004C1F0E">
          <w:rPr>
            <w:rStyle w:val="Hyperlink"/>
          </w:rPr>
          <w:tab/>
          <w:t>National-Risks-Public-Survey-Significant-Hazards-Key-Findings-Summary.pdf</w:t>
        </w:r>
      </w:hyperlink>
      <w:r w:rsidR="00F52944">
        <w:t>.</w:t>
      </w:r>
    </w:p>
  </w:endnote>
  <w:endnote w:id="5">
    <w:p w14:paraId="20DF1F9D" w14:textId="62C20486" w:rsidR="00E84D9B" w:rsidRPr="00804AE8" w:rsidRDefault="00E84D9B" w:rsidP="00804AE8">
      <w:pPr>
        <w:pStyle w:val="References"/>
        <w:ind w:left="426" w:hanging="426"/>
        <w:rPr>
          <w:rFonts w:cs="Calibri"/>
          <w:szCs w:val="20"/>
        </w:rPr>
      </w:pPr>
      <w:r w:rsidRPr="00804AE8">
        <w:rPr>
          <w:rStyle w:val="EndnoteReference"/>
          <w:rFonts w:cs="Calibri"/>
          <w:szCs w:val="20"/>
        </w:rPr>
        <w:endnoteRef/>
      </w:r>
      <w:r w:rsidRPr="00804AE8">
        <w:rPr>
          <w:rFonts w:cs="Calibri"/>
          <w:szCs w:val="20"/>
        </w:rPr>
        <w:t xml:space="preserve"> </w:t>
      </w:r>
      <w:r w:rsidR="0049166A" w:rsidRPr="00804AE8">
        <w:rPr>
          <w:rFonts w:cs="Calibri"/>
          <w:szCs w:val="20"/>
        </w:rPr>
        <w:tab/>
      </w:r>
      <w:r w:rsidR="00716026" w:rsidRPr="00804AE8">
        <w:rPr>
          <w:rFonts w:cs="Calibri"/>
          <w:szCs w:val="20"/>
          <w:lang w:val="en-US"/>
        </w:rPr>
        <w:t xml:space="preserve">Department of the Prime Minister and Cabinet. </w:t>
      </w:r>
      <w:hyperlink r:id="rId4" w:history="1">
        <w:r w:rsidRPr="00804AE8">
          <w:rPr>
            <w:rStyle w:val="Hyperlink"/>
            <w:rFonts w:cs="Calibri"/>
            <w:i/>
            <w:szCs w:val="20"/>
            <w:lang w:val="en-US"/>
          </w:rPr>
          <w:t>New Zealand's National Risks</w:t>
        </w:r>
      </w:hyperlink>
      <w:r w:rsidRPr="00804AE8">
        <w:rPr>
          <w:rFonts w:cs="Calibri"/>
          <w:szCs w:val="20"/>
          <w:lang w:val="en-US"/>
        </w:rPr>
        <w:t xml:space="preserve">. Retrieved </w:t>
      </w:r>
      <w:r w:rsidR="002679E4" w:rsidRPr="00804AE8">
        <w:rPr>
          <w:rFonts w:cs="Calibri"/>
          <w:szCs w:val="20"/>
          <w:lang w:val="en-US"/>
        </w:rPr>
        <w:t>7</w:t>
      </w:r>
      <w:r w:rsidR="009C55D2" w:rsidRPr="00804AE8">
        <w:rPr>
          <w:rFonts w:cs="Calibri"/>
          <w:szCs w:val="20"/>
          <w:lang w:val="en-US"/>
        </w:rPr>
        <w:t xml:space="preserve"> July </w:t>
      </w:r>
      <w:r w:rsidRPr="00804AE8">
        <w:rPr>
          <w:rFonts w:cs="Calibri"/>
          <w:szCs w:val="20"/>
          <w:lang w:val="en-US"/>
        </w:rPr>
        <w:t>2025.</w:t>
      </w:r>
    </w:p>
  </w:endnote>
  <w:endnote w:id="6">
    <w:p w14:paraId="2ACC9D0F" w14:textId="203531A4" w:rsidR="00E84D9B" w:rsidRPr="00804AE8" w:rsidRDefault="00E84D9B" w:rsidP="00804AE8">
      <w:pPr>
        <w:pStyle w:val="References"/>
        <w:ind w:left="426" w:hanging="426"/>
        <w:rPr>
          <w:rFonts w:cs="Calibri"/>
          <w:szCs w:val="20"/>
        </w:rPr>
      </w:pPr>
      <w:r w:rsidRPr="00804AE8">
        <w:rPr>
          <w:rStyle w:val="EndnoteReference"/>
          <w:rFonts w:cs="Calibri"/>
          <w:szCs w:val="20"/>
        </w:rPr>
        <w:endnoteRef/>
      </w:r>
      <w:r w:rsidRPr="00804AE8">
        <w:rPr>
          <w:rFonts w:cs="Calibri"/>
          <w:szCs w:val="20"/>
        </w:rPr>
        <w:t xml:space="preserve"> </w:t>
      </w:r>
      <w:r w:rsidR="0049166A" w:rsidRPr="00804AE8">
        <w:rPr>
          <w:rFonts w:cs="Calibri"/>
          <w:szCs w:val="20"/>
        </w:rPr>
        <w:tab/>
      </w:r>
      <w:r w:rsidR="00567A58" w:rsidRPr="00804AE8">
        <w:rPr>
          <w:rFonts w:cs="Calibri"/>
          <w:szCs w:val="20"/>
        </w:rPr>
        <w:t>Aotearoa New Zealand Royal Commission</w:t>
      </w:r>
      <w:r w:rsidR="00E45745" w:rsidRPr="00804AE8">
        <w:rPr>
          <w:rFonts w:cs="Calibri"/>
          <w:szCs w:val="20"/>
        </w:rPr>
        <w:t xml:space="preserve"> of Inquiry into COVID-19 Lessons Learned</w:t>
      </w:r>
      <w:r w:rsidR="006021A4" w:rsidRPr="00804AE8">
        <w:rPr>
          <w:rFonts w:cs="Calibri"/>
          <w:szCs w:val="20"/>
        </w:rPr>
        <w:t>.</w:t>
      </w:r>
      <w:r w:rsidR="00D354CA" w:rsidRPr="00804AE8">
        <w:rPr>
          <w:rFonts w:cs="Calibri"/>
          <w:szCs w:val="20"/>
        </w:rPr>
        <w:t xml:space="preserve"> 2024.</w:t>
      </w:r>
      <w:r w:rsidR="006021A4" w:rsidRPr="00804AE8">
        <w:rPr>
          <w:rFonts w:cs="Calibri"/>
          <w:szCs w:val="20"/>
        </w:rPr>
        <w:t xml:space="preserve"> </w:t>
      </w:r>
      <w:hyperlink r:id="rId5" w:history="1">
        <w:r w:rsidR="00567A58" w:rsidRPr="00B16C01">
          <w:rPr>
            <w:rStyle w:val="Hyperlink"/>
            <w:i/>
          </w:rPr>
          <w:t>COVID</w:t>
        </w:r>
        <w:r w:rsidR="00C80610" w:rsidRPr="00B16C01">
          <w:rPr>
            <w:rStyle w:val="Hyperlink"/>
            <w:i/>
          </w:rPr>
          <w:t>-19 Lessons Learned Main Report: Part 3 – Moving Forward</w:t>
        </w:r>
      </w:hyperlink>
      <w:r w:rsidR="00E45745" w:rsidRPr="00804AE8">
        <w:rPr>
          <w:rFonts w:cs="Calibri"/>
          <w:szCs w:val="20"/>
        </w:rPr>
        <w:t>.</w:t>
      </w:r>
      <w:r w:rsidR="00C80610" w:rsidRPr="00804AE8">
        <w:rPr>
          <w:rFonts w:cs="Calibri"/>
          <w:szCs w:val="20"/>
        </w:rPr>
        <w:t xml:space="preserve"> p</w:t>
      </w:r>
      <w:r w:rsidR="003F1B3A" w:rsidRPr="00804AE8">
        <w:rPr>
          <w:rFonts w:cs="Calibri"/>
          <w:szCs w:val="20"/>
        </w:rPr>
        <w:t xml:space="preserve"> </w:t>
      </w:r>
      <w:r w:rsidR="00C80610" w:rsidRPr="00804AE8">
        <w:rPr>
          <w:rFonts w:cs="Calibri"/>
          <w:szCs w:val="20"/>
        </w:rPr>
        <w:t>170</w:t>
      </w:r>
      <w:r w:rsidR="003F1B3A" w:rsidRPr="00804AE8">
        <w:rPr>
          <w:rFonts w:cs="Calibri"/>
          <w:szCs w:val="20"/>
        </w:rPr>
        <w:t>.</w:t>
      </w:r>
    </w:p>
  </w:endnote>
  <w:endnote w:id="7">
    <w:p w14:paraId="06B205D2" w14:textId="13D7BAA3" w:rsidR="00E84D9B" w:rsidRPr="00804AE8" w:rsidRDefault="00E84D9B" w:rsidP="00804AE8">
      <w:pPr>
        <w:pStyle w:val="References"/>
        <w:ind w:left="426" w:hanging="426"/>
        <w:rPr>
          <w:rFonts w:cs="Calibri"/>
          <w:szCs w:val="20"/>
        </w:rPr>
      </w:pPr>
      <w:r w:rsidRPr="00804AE8">
        <w:rPr>
          <w:rStyle w:val="EndnoteReference"/>
          <w:rFonts w:cs="Calibri"/>
          <w:szCs w:val="20"/>
        </w:rPr>
        <w:endnoteRef/>
      </w:r>
      <w:r w:rsidRPr="00804AE8">
        <w:rPr>
          <w:rFonts w:cs="Calibri"/>
          <w:szCs w:val="20"/>
        </w:rPr>
        <w:t xml:space="preserve"> </w:t>
      </w:r>
      <w:r w:rsidR="0049166A" w:rsidRPr="00804AE8">
        <w:rPr>
          <w:rFonts w:cs="Calibri"/>
          <w:szCs w:val="20"/>
        </w:rPr>
        <w:tab/>
      </w:r>
      <w:r w:rsidR="00E21249" w:rsidRPr="00804AE8">
        <w:rPr>
          <w:rFonts w:cs="Calibri"/>
          <w:szCs w:val="20"/>
        </w:rPr>
        <w:t>Aotearoa New Zealand Royal Commission of Inquiry into COVID-19 Lessons Learned.</w:t>
      </w:r>
      <w:r w:rsidR="00D354CA" w:rsidRPr="00804AE8">
        <w:rPr>
          <w:rFonts w:cs="Calibri"/>
          <w:szCs w:val="20"/>
        </w:rPr>
        <w:t xml:space="preserve"> 2024.</w:t>
      </w:r>
      <w:r w:rsidR="00E21249" w:rsidRPr="00804AE8">
        <w:rPr>
          <w:rFonts w:cs="Calibri"/>
          <w:szCs w:val="20"/>
        </w:rPr>
        <w:t xml:space="preserve"> </w:t>
      </w:r>
      <w:hyperlink r:id="rId6" w:history="1">
        <w:r w:rsidR="00E21249" w:rsidRPr="00804AE8">
          <w:rPr>
            <w:rStyle w:val="Hyperlink"/>
            <w:rFonts w:cs="Calibri"/>
            <w:i/>
            <w:iCs/>
            <w:szCs w:val="20"/>
          </w:rPr>
          <w:t>COVID-19 Lessons Learned Main Report: Part 3 – Moving Forward</w:t>
        </w:r>
      </w:hyperlink>
      <w:r w:rsidR="00E21249" w:rsidRPr="00804AE8">
        <w:rPr>
          <w:rFonts w:cs="Calibri"/>
          <w:szCs w:val="20"/>
        </w:rPr>
        <w:t>. p 170.</w:t>
      </w:r>
    </w:p>
  </w:endnote>
  <w:endnote w:id="8">
    <w:p w14:paraId="7695F3B2" w14:textId="20CBCF77" w:rsidR="00E84D9B" w:rsidRPr="00804AE8" w:rsidRDefault="00E84D9B" w:rsidP="00804AE8">
      <w:pPr>
        <w:pStyle w:val="References"/>
        <w:ind w:left="426" w:hanging="426"/>
        <w:rPr>
          <w:rFonts w:eastAsia="Aptos" w:cs="Calibri"/>
          <w:szCs w:val="20"/>
        </w:rPr>
      </w:pPr>
      <w:r w:rsidRPr="00804AE8">
        <w:rPr>
          <w:rStyle w:val="EndnoteReference"/>
          <w:rFonts w:cs="Calibri"/>
          <w:szCs w:val="20"/>
        </w:rPr>
        <w:endnoteRef/>
      </w:r>
      <w:r w:rsidRPr="00804AE8">
        <w:rPr>
          <w:rFonts w:cs="Calibri"/>
          <w:szCs w:val="20"/>
        </w:rPr>
        <w:t xml:space="preserve"> </w:t>
      </w:r>
      <w:r w:rsidR="006E6146" w:rsidRPr="00804AE8">
        <w:rPr>
          <w:rFonts w:cs="Calibri"/>
          <w:szCs w:val="20"/>
        </w:rPr>
        <w:tab/>
      </w:r>
      <w:r w:rsidR="000432B0" w:rsidRPr="00804AE8">
        <w:rPr>
          <w:rFonts w:cs="Calibri"/>
          <w:szCs w:val="20"/>
        </w:rPr>
        <w:t xml:space="preserve">AF8 (Alpine Fault Magnitude 8). </w:t>
      </w:r>
      <w:hyperlink r:id="rId7" w:history="1">
        <w:r w:rsidR="000432B0" w:rsidRPr="00804AE8">
          <w:rPr>
            <w:rStyle w:val="Hyperlink"/>
            <w:rFonts w:cs="Calibri"/>
            <w:i/>
            <w:iCs/>
            <w:szCs w:val="20"/>
          </w:rPr>
          <w:t>What is AF8?</w:t>
        </w:r>
      </w:hyperlink>
      <w:r w:rsidR="002C1244" w:rsidRPr="00804AE8">
        <w:rPr>
          <w:rFonts w:cs="Calibri"/>
          <w:szCs w:val="20"/>
        </w:rPr>
        <w:t>.</w:t>
      </w:r>
      <w:r w:rsidR="000432B0" w:rsidRPr="00804AE8">
        <w:rPr>
          <w:rFonts w:cs="Calibri"/>
          <w:szCs w:val="20"/>
        </w:rPr>
        <w:t xml:space="preserve"> Retrieved </w:t>
      </w:r>
      <w:r w:rsidR="002679E4" w:rsidRPr="00804AE8">
        <w:rPr>
          <w:rFonts w:cs="Calibri"/>
          <w:szCs w:val="20"/>
        </w:rPr>
        <w:t>7</w:t>
      </w:r>
      <w:r w:rsidR="000432B0" w:rsidRPr="00804AE8">
        <w:rPr>
          <w:rFonts w:cs="Calibri"/>
          <w:szCs w:val="20"/>
        </w:rPr>
        <w:t xml:space="preserve"> July 2025. </w:t>
      </w:r>
    </w:p>
  </w:endnote>
  <w:endnote w:id="9">
    <w:p w14:paraId="71B2EC85" w14:textId="45E2BB68" w:rsidR="00E84D9B" w:rsidRPr="00804AE8" w:rsidRDefault="00E84D9B" w:rsidP="00804AE8">
      <w:pPr>
        <w:pStyle w:val="References"/>
        <w:ind w:left="426" w:hanging="426"/>
        <w:rPr>
          <w:rFonts w:cs="Calibri"/>
          <w:szCs w:val="20"/>
        </w:rPr>
      </w:pPr>
      <w:r w:rsidRPr="00804AE8">
        <w:rPr>
          <w:rStyle w:val="EndnoteReference"/>
          <w:rFonts w:cs="Calibri"/>
          <w:szCs w:val="20"/>
        </w:rPr>
        <w:endnoteRef/>
      </w:r>
      <w:r w:rsidRPr="00804AE8">
        <w:rPr>
          <w:rFonts w:cs="Calibri"/>
          <w:szCs w:val="20"/>
        </w:rPr>
        <w:t xml:space="preserve"> </w:t>
      </w:r>
      <w:r w:rsidR="006E6146" w:rsidRPr="00804AE8">
        <w:rPr>
          <w:rFonts w:cs="Calibri"/>
          <w:szCs w:val="20"/>
        </w:rPr>
        <w:tab/>
      </w:r>
      <w:r w:rsidRPr="00804AE8">
        <w:rPr>
          <w:rFonts w:cs="Calibri"/>
          <w:szCs w:val="20"/>
        </w:rPr>
        <w:t>Pizer</w:t>
      </w:r>
      <w:r w:rsidR="00E87F29" w:rsidRPr="00804AE8">
        <w:rPr>
          <w:rFonts w:cs="Calibri"/>
          <w:szCs w:val="20"/>
        </w:rPr>
        <w:t xml:space="preserve"> C</w:t>
      </w:r>
      <w:r w:rsidRPr="00804AE8">
        <w:rPr>
          <w:rFonts w:cs="Calibri"/>
          <w:szCs w:val="20"/>
        </w:rPr>
        <w:t>, Clark</w:t>
      </w:r>
      <w:r w:rsidR="00E87F29" w:rsidRPr="00804AE8">
        <w:rPr>
          <w:rFonts w:cs="Calibri"/>
          <w:szCs w:val="20"/>
        </w:rPr>
        <w:t xml:space="preserve"> K</w:t>
      </w:r>
      <w:r w:rsidRPr="00804AE8">
        <w:rPr>
          <w:rFonts w:cs="Calibri"/>
          <w:szCs w:val="20"/>
        </w:rPr>
        <w:t>, Howarth</w:t>
      </w:r>
      <w:r w:rsidR="00E87F29" w:rsidRPr="00804AE8">
        <w:rPr>
          <w:rFonts w:cs="Calibri"/>
          <w:szCs w:val="20"/>
        </w:rPr>
        <w:t xml:space="preserve"> J</w:t>
      </w:r>
      <w:r w:rsidRPr="00804AE8">
        <w:rPr>
          <w:rFonts w:cs="Calibri"/>
          <w:szCs w:val="20"/>
        </w:rPr>
        <w:t>, Garrett</w:t>
      </w:r>
      <w:r w:rsidR="00E87F29" w:rsidRPr="00804AE8">
        <w:rPr>
          <w:rFonts w:cs="Calibri"/>
          <w:szCs w:val="20"/>
        </w:rPr>
        <w:t xml:space="preserve"> E</w:t>
      </w:r>
      <w:r w:rsidRPr="00804AE8">
        <w:rPr>
          <w:rFonts w:cs="Calibri"/>
          <w:szCs w:val="20"/>
        </w:rPr>
        <w:t>, Wang</w:t>
      </w:r>
      <w:r w:rsidR="00E87F29" w:rsidRPr="00804AE8">
        <w:rPr>
          <w:rFonts w:cs="Calibri"/>
          <w:szCs w:val="20"/>
        </w:rPr>
        <w:t xml:space="preserve"> X</w:t>
      </w:r>
      <w:r w:rsidRPr="00804AE8">
        <w:rPr>
          <w:rFonts w:cs="Calibri"/>
          <w:szCs w:val="20"/>
        </w:rPr>
        <w:t>, Rhoades</w:t>
      </w:r>
      <w:r w:rsidR="00E87F29" w:rsidRPr="00804AE8">
        <w:rPr>
          <w:rFonts w:cs="Calibri"/>
          <w:szCs w:val="20"/>
        </w:rPr>
        <w:t xml:space="preserve"> D</w:t>
      </w:r>
      <w:r w:rsidRPr="00804AE8">
        <w:rPr>
          <w:rFonts w:cs="Calibri"/>
          <w:szCs w:val="20"/>
        </w:rPr>
        <w:t>, Woodroffe</w:t>
      </w:r>
      <w:r w:rsidR="00E87F29" w:rsidRPr="00804AE8">
        <w:rPr>
          <w:rFonts w:cs="Calibri"/>
          <w:szCs w:val="20"/>
        </w:rPr>
        <w:t xml:space="preserve"> S</w:t>
      </w:r>
      <w:r w:rsidR="00371F0B" w:rsidRPr="00804AE8">
        <w:rPr>
          <w:rFonts w:cs="Calibri"/>
          <w:szCs w:val="20"/>
        </w:rPr>
        <w:t>. 2021.</w:t>
      </w:r>
      <w:r w:rsidRPr="00804AE8">
        <w:rPr>
          <w:rFonts w:cs="Calibri"/>
          <w:szCs w:val="20"/>
        </w:rPr>
        <w:t xml:space="preserve"> Paleotsunamis on the Southern Hikurangi Subduction Zone, New Zealand, Show Regular Recurrence of Large Subduction Earthquakes. </w:t>
      </w:r>
      <w:r w:rsidRPr="00804AE8">
        <w:rPr>
          <w:rFonts w:cs="Calibri"/>
          <w:i/>
          <w:iCs/>
          <w:szCs w:val="20"/>
        </w:rPr>
        <w:t>The Seismic Record</w:t>
      </w:r>
      <w:r w:rsidRPr="00804AE8">
        <w:rPr>
          <w:rFonts w:cs="Calibri"/>
          <w:szCs w:val="20"/>
        </w:rPr>
        <w:t xml:space="preserve"> 1(2): 75–84. </w:t>
      </w:r>
      <w:hyperlink r:id="rId8" w:history="1">
        <w:r w:rsidR="00774E6F" w:rsidRPr="00804AE8">
          <w:rPr>
            <w:rStyle w:val="Hyperlink"/>
            <w:rFonts w:cs="Calibri"/>
            <w:szCs w:val="20"/>
          </w:rPr>
          <w:t>https://doi.org/10.1785/0320210012</w:t>
        </w:r>
      </w:hyperlink>
      <w:r w:rsidR="00774E6F" w:rsidRPr="00804AE8">
        <w:rPr>
          <w:rFonts w:cs="Calibri"/>
          <w:szCs w:val="20"/>
        </w:rPr>
        <w:t xml:space="preserve"> </w:t>
      </w:r>
    </w:p>
  </w:endnote>
  <w:endnote w:id="10">
    <w:p w14:paraId="7828AA11" w14:textId="263C60F2" w:rsidR="00E84D9B" w:rsidRPr="00804AE8" w:rsidRDefault="00E84D9B" w:rsidP="00804AE8">
      <w:pPr>
        <w:pStyle w:val="References"/>
        <w:ind w:left="426" w:hanging="426"/>
        <w:rPr>
          <w:rFonts w:cs="Calibri"/>
          <w:szCs w:val="20"/>
        </w:rPr>
      </w:pPr>
      <w:r w:rsidRPr="00804AE8">
        <w:rPr>
          <w:rStyle w:val="EndnoteReference"/>
          <w:rFonts w:cs="Calibri"/>
          <w:szCs w:val="20"/>
        </w:rPr>
        <w:endnoteRef/>
      </w:r>
      <w:r w:rsidRPr="00804AE8">
        <w:rPr>
          <w:rFonts w:cs="Calibri"/>
          <w:szCs w:val="20"/>
        </w:rPr>
        <w:t xml:space="preserve"> </w:t>
      </w:r>
      <w:r w:rsidR="006E6146" w:rsidRPr="00804AE8">
        <w:rPr>
          <w:rFonts w:cs="Calibri"/>
          <w:szCs w:val="20"/>
        </w:rPr>
        <w:tab/>
      </w:r>
      <w:r w:rsidRPr="00804AE8">
        <w:rPr>
          <w:rFonts w:cs="Calibri"/>
          <w:szCs w:val="20"/>
        </w:rPr>
        <w:t>Rhoades D</w:t>
      </w:r>
      <w:r w:rsidR="00072A86" w:rsidRPr="00804AE8">
        <w:rPr>
          <w:rFonts w:cs="Calibri"/>
          <w:szCs w:val="20"/>
        </w:rPr>
        <w:t>A</w:t>
      </w:r>
      <w:r w:rsidRPr="00804AE8">
        <w:rPr>
          <w:rFonts w:cs="Calibri"/>
          <w:szCs w:val="20"/>
        </w:rPr>
        <w:t>, Van Dissen R</w:t>
      </w:r>
      <w:r w:rsidR="00072A86" w:rsidRPr="00804AE8">
        <w:rPr>
          <w:rFonts w:cs="Calibri"/>
          <w:szCs w:val="20"/>
        </w:rPr>
        <w:t>J</w:t>
      </w:r>
      <w:r w:rsidRPr="00804AE8">
        <w:rPr>
          <w:rFonts w:cs="Calibri"/>
          <w:szCs w:val="20"/>
        </w:rPr>
        <w:t>, Langridge R</w:t>
      </w:r>
      <w:r w:rsidR="00072A86" w:rsidRPr="00804AE8">
        <w:rPr>
          <w:rFonts w:cs="Calibri"/>
          <w:szCs w:val="20"/>
        </w:rPr>
        <w:t>M</w:t>
      </w:r>
      <w:r w:rsidRPr="00804AE8">
        <w:rPr>
          <w:rFonts w:cs="Calibri"/>
          <w:szCs w:val="20"/>
        </w:rPr>
        <w:t>, Little T</w:t>
      </w:r>
      <w:r w:rsidR="00072A86" w:rsidRPr="00804AE8">
        <w:rPr>
          <w:rFonts w:cs="Calibri"/>
          <w:szCs w:val="20"/>
        </w:rPr>
        <w:t>A</w:t>
      </w:r>
      <w:r w:rsidRPr="00804AE8">
        <w:rPr>
          <w:rFonts w:cs="Calibri"/>
          <w:szCs w:val="20"/>
        </w:rPr>
        <w:t>, Ninis D, Smith E</w:t>
      </w:r>
      <w:r w:rsidR="00072A86" w:rsidRPr="00804AE8">
        <w:rPr>
          <w:rFonts w:cs="Calibri"/>
          <w:szCs w:val="20"/>
        </w:rPr>
        <w:t>GC</w:t>
      </w:r>
      <w:r w:rsidRPr="00804AE8">
        <w:rPr>
          <w:rFonts w:cs="Calibri"/>
          <w:szCs w:val="20"/>
        </w:rPr>
        <w:t>, Robinson R. 2011. Re-evaluation of conditional probability of rupture of the Wellington</w:t>
      </w:r>
      <w:r w:rsidR="00CF5FCC" w:rsidRPr="00804AE8">
        <w:rPr>
          <w:rFonts w:cs="Calibri"/>
          <w:szCs w:val="20"/>
        </w:rPr>
        <w:t>–</w:t>
      </w:r>
      <w:r w:rsidRPr="00804AE8">
        <w:rPr>
          <w:rFonts w:cs="Calibri"/>
          <w:szCs w:val="20"/>
        </w:rPr>
        <w:t xml:space="preserve">Hutt Valley segment of the Wellington Fault. </w:t>
      </w:r>
      <w:r w:rsidRPr="00804AE8">
        <w:rPr>
          <w:rFonts w:cs="Calibri"/>
          <w:i/>
          <w:iCs/>
          <w:szCs w:val="20"/>
        </w:rPr>
        <w:t>Bulletin of the New Zealand Society for Earthquake Engineering</w:t>
      </w:r>
      <w:r w:rsidRPr="00804AE8">
        <w:rPr>
          <w:rFonts w:cs="Calibri"/>
          <w:szCs w:val="20"/>
        </w:rPr>
        <w:t xml:space="preserve"> 44(2), 77–86. </w:t>
      </w:r>
      <w:hyperlink r:id="rId9" w:history="1">
        <w:r w:rsidR="006D724A" w:rsidRPr="00804AE8">
          <w:rPr>
            <w:rStyle w:val="Hyperlink"/>
            <w:rFonts w:cs="Calibri"/>
            <w:szCs w:val="20"/>
          </w:rPr>
          <w:t>https://doi.org/10.5459/bnzsee.44.2.77-86</w:t>
        </w:r>
      </w:hyperlink>
      <w:r w:rsidR="006D724A" w:rsidRPr="00804AE8">
        <w:rPr>
          <w:rFonts w:cs="Calibri"/>
          <w:szCs w:val="20"/>
        </w:rPr>
        <w:t xml:space="preserve"> </w:t>
      </w:r>
    </w:p>
  </w:endnote>
  <w:endnote w:id="11">
    <w:p w14:paraId="4B1142D7" w14:textId="755FE76C" w:rsidR="00E84D9B" w:rsidRPr="00804AE8" w:rsidRDefault="00E84D9B" w:rsidP="00804AE8">
      <w:pPr>
        <w:pStyle w:val="References"/>
        <w:ind w:left="426" w:hanging="426"/>
        <w:rPr>
          <w:rFonts w:cs="Calibri"/>
          <w:szCs w:val="20"/>
        </w:rPr>
      </w:pPr>
      <w:r w:rsidRPr="00804AE8">
        <w:rPr>
          <w:rStyle w:val="EndnoteReference"/>
          <w:rFonts w:cs="Calibri"/>
          <w:szCs w:val="20"/>
        </w:rPr>
        <w:endnoteRef/>
      </w:r>
      <w:r w:rsidRPr="00804AE8">
        <w:rPr>
          <w:rFonts w:cs="Calibri"/>
          <w:szCs w:val="20"/>
        </w:rPr>
        <w:t xml:space="preserve"> </w:t>
      </w:r>
      <w:r w:rsidR="006E6146" w:rsidRPr="00804AE8">
        <w:rPr>
          <w:rFonts w:cs="Calibri"/>
          <w:szCs w:val="20"/>
        </w:rPr>
        <w:tab/>
      </w:r>
      <w:r w:rsidRPr="00804AE8">
        <w:rPr>
          <w:rFonts w:cs="Calibri"/>
          <w:szCs w:val="20"/>
        </w:rPr>
        <w:t>GNS Science</w:t>
      </w:r>
      <w:r w:rsidR="003A5157" w:rsidRPr="00804AE8">
        <w:rPr>
          <w:rFonts w:cs="Calibri"/>
          <w:szCs w:val="20"/>
        </w:rPr>
        <w:t>.</w:t>
      </w:r>
      <w:r w:rsidRPr="00804AE8">
        <w:rPr>
          <w:rFonts w:cs="Calibri"/>
          <w:szCs w:val="20"/>
        </w:rPr>
        <w:t xml:space="preserve"> </w:t>
      </w:r>
      <w:hyperlink r:id="rId10" w:history="1">
        <w:r w:rsidRPr="00804AE8">
          <w:rPr>
            <w:rStyle w:val="Hyperlink"/>
            <w:rFonts w:cs="Calibri"/>
            <w:i/>
            <w:iCs/>
            <w:szCs w:val="20"/>
          </w:rPr>
          <w:t>Tsunami in New Zealand</w:t>
        </w:r>
      </w:hyperlink>
      <w:r w:rsidR="00092827" w:rsidRPr="00804AE8">
        <w:rPr>
          <w:rFonts w:cs="Calibri"/>
          <w:szCs w:val="20"/>
        </w:rPr>
        <w:t>.</w:t>
      </w:r>
      <w:r w:rsidRPr="00804AE8">
        <w:rPr>
          <w:rFonts w:cs="Calibri"/>
          <w:szCs w:val="20"/>
        </w:rPr>
        <w:t xml:space="preserve"> </w:t>
      </w:r>
      <w:r w:rsidR="00092827" w:rsidRPr="00804AE8">
        <w:rPr>
          <w:rFonts w:cs="Calibri"/>
          <w:szCs w:val="20"/>
        </w:rPr>
        <w:t xml:space="preserve">Retrieved </w:t>
      </w:r>
      <w:r w:rsidR="002679E4" w:rsidRPr="00804AE8">
        <w:rPr>
          <w:rFonts w:cs="Calibri"/>
          <w:szCs w:val="20"/>
        </w:rPr>
        <w:t>7</w:t>
      </w:r>
      <w:r w:rsidR="00092827" w:rsidRPr="00804AE8">
        <w:rPr>
          <w:rFonts w:cs="Calibri"/>
          <w:szCs w:val="20"/>
        </w:rPr>
        <w:t xml:space="preserve"> July 2025.</w:t>
      </w:r>
    </w:p>
  </w:endnote>
  <w:endnote w:id="12">
    <w:p w14:paraId="703E04E6" w14:textId="7B3E0D52" w:rsidR="00E84D9B" w:rsidRPr="00804AE8" w:rsidRDefault="00E84D9B" w:rsidP="00804AE8">
      <w:pPr>
        <w:pStyle w:val="References"/>
        <w:ind w:left="426" w:hanging="426"/>
        <w:rPr>
          <w:rFonts w:cs="Calibri"/>
          <w:szCs w:val="20"/>
        </w:rPr>
      </w:pPr>
      <w:r w:rsidRPr="00804AE8">
        <w:rPr>
          <w:rStyle w:val="EndnoteReference"/>
          <w:rFonts w:cs="Calibri"/>
          <w:szCs w:val="20"/>
        </w:rPr>
        <w:endnoteRef/>
      </w:r>
      <w:r w:rsidRPr="00804AE8">
        <w:rPr>
          <w:rFonts w:cs="Calibri"/>
          <w:szCs w:val="20"/>
        </w:rPr>
        <w:t xml:space="preserve"> </w:t>
      </w:r>
      <w:r w:rsidR="006E6146" w:rsidRPr="00804AE8">
        <w:rPr>
          <w:rFonts w:cs="Calibri"/>
          <w:szCs w:val="20"/>
        </w:rPr>
        <w:tab/>
      </w:r>
      <w:r w:rsidRPr="00804AE8">
        <w:rPr>
          <w:rFonts w:cs="Calibri"/>
          <w:szCs w:val="20"/>
        </w:rPr>
        <w:t>Taranaki Emergency Management</w:t>
      </w:r>
      <w:r w:rsidR="003F0D92" w:rsidRPr="00804AE8">
        <w:rPr>
          <w:rFonts w:cs="Calibri"/>
          <w:szCs w:val="20"/>
        </w:rPr>
        <w:t>.</w:t>
      </w:r>
      <w:r w:rsidRPr="00804AE8">
        <w:rPr>
          <w:rFonts w:cs="Calibri"/>
          <w:szCs w:val="20"/>
        </w:rPr>
        <w:t xml:space="preserve"> </w:t>
      </w:r>
      <w:hyperlink r:id="rId11" w:history="1">
        <w:r w:rsidRPr="00804AE8">
          <w:rPr>
            <w:rStyle w:val="Hyperlink"/>
            <w:rFonts w:cs="Calibri"/>
            <w:i/>
            <w:iCs/>
            <w:szCs w:val="20"/>
          </w:rPr>
          <w:t>Volcanic Activity</w:t>
        </w:r>
      </w:hyperlink>
      <w:r w:rsidR="00D643EC" w:rsidRPr="00804AE8">
        <w:rPr>
          <w:rFonts w:cs="Calibri"/>
          <w:szCs w:val="20"/>
        </w:rPr>
        <w:t xml:space="preserve">. Retrieved </w:t>
      </w:r>
      <w:r w:rsidR="00495D17" w:rsidRPr="00804AE8">
        <w:rPr>
          <w:rFonts w:cs="Calibri"/>
          <w:szCs w:val="20"/>
        </w:rPr>
        <w:t>7</w:t>
      </w:r>
      <w:r w:rsidR="00D643EC" w:rsidRPr="00804AE8">
        <w:rPr>
          <w:rFonts w:cs="Calibri"/>
          <w:szCs w:val="20"/>
        </w:rPr>
        <w:t xml:space="preserve"> July 2025. </w:t>
      </w:r>
    </w:p>
  </w:endnote>
  <w:endnote w:id="13">
    <w:p w14:paraId="164EE0BF" w14:textId="169202FF" w:rsidR="00E84D9B" w:rsidRPr="00D535FC" w:rsidRDefault="00E84D9B" w:rsidP="00804AE8">
      <w:pPr>
        <w:pStyle w:val="References"/>
        <w:ind w:left="426" w:hanging="426"/>
      </w:pPr>
      <w:r w:rsidRPr="00804AE8">
        <w:rPr>
          <w:rStyle w:val="EndnoteReference"/>
          <w:rFonts w:cs="Calibri"/>
          <w:szCs w:val="20"/>
        </w:rPr>
        <w:endnoteRef/>
      </w:r>
      <w:r w:rsidRPr="00D535FC">
        <w:t xml:space="preserve"> </w:t>
      </w:r>
      <w:r w:rsidR="006E6146">
        <w:tab/>
      </w:r>
      <w:r w:rsidRPr="00D535FC">
        <w:t>Deligne</w:t>
      </w:r>
      <w:r w:rsidR="005D6132">
        <w:t xml:space="preserve"> N</w:t>
      </w:r>
      <w:r w:rsidR="00E25C79">
        <w:t>I</w:t>
      </w:r>
      <w:r w:rsidRPr="00D535FC">
        <w:t>, Fitzgerald</w:t>
      </w:r>
      <w:r w:rsidR="005D6132">
        <w:t xml:space="preserve"> RH</w:t>
      </w:r>
      <w:r w:rsidRPr="00D535FC">
        <w:t>, Blake</w:t>
      </w:r>
      <w:r w:rsidR="005D6132">
        <w:t xml:space="preserve"> DM</w:t>
      </w:r>
      <w:r w:rsidRPr="00D535FC">
        <w:t>, Davies</w:t>
      </w:r>
      <w:r w:rsidR="005D6132">
        <w:t xml:space="preserve"> AJ</w:t>
      </w:r>
      <w:r w:rsidRPr="00D535FC">
        <w:t>, Hayes</w:t>
      </w:r>
      <w:r w:rsidR="005D6132">
        <w:t xml:space="preserve"> JL</w:t>
      </w:r>
      <w:r w:rsidRPr="00D535FC">
        <w:t>, Stewart</w:t>
      </w:r>
      <w:r w:rsidR="005D6132">
        <w:t xml:space="preserve"> C</w:t>
      </w:r>
      <w:r w:rsidRPr="00D535FC">
        <w:t>, Wilson</w:t>
      </w:r>
      <w:r w:rsidR="005D6132">
        <w:t xml:space="preserve"> G</w:t>
      </w:r>
      <w:r w:rsidRPr="00D535FC">
        <w:t>, Wilson</w:t>
      </w:r>
      <w:r w:rsidR="005D6132">
        <w:t xml:space="preserve"> TM</w:t>
      </w:r>
      <w:r w:rsidRPr="00D535FC">
        <w:t>, Castelino</w:t>
      </w:r>
      <w:r w:rsidR="005D6132">
        <w:t xml:space="preserve"> R</w:t>
      </w:r>
      <w:r w:rsidRPr="00D535FC">
        <w:t>, Kennedy</w:t>
      </w:r>
      <w:r w:rsidR="005D6132">
        <w:t xml:space="preserve"> BM</w:t>
      </w:r>
      <w:r w:rsidRPr="00D535FC">
        <w:t>, Muspratt</w:t>
      </w:r>
      <w:r w:rsidR="005D6132">
        <w:t xml:space="preserve"> S</w:t>
      </w:r>
      <w:r w:rsidRPr="00D535FC">
        <w:t>, Woods</w:t>
      </w:r>
      <w:r w:rsidR="005D6132">
        <w:t xml:space="preserve"> R. 2017.</w:t>
      </w:r>
      <w:r w:rsidRPr="00D535FC">
        <w:t xml:space="preserve"> Investigating the consequences of urban volcanism using a scenario approach I: Development and application of a hypothetical eruption in the Auckland Volcanic Field, New Zealand</w:t>
      </w:r>
      <w:r w:rsidR="009B6C6E">
        <w:t>.</w:t>
      </w:r>
      <w:r w:rsidRPr="00D535FC">
        <w:t xml:space="preserve"> </w:t>
      </w:r>
      <w:r w:rsidRPr="005D6132">
        <w:rPr>
          <w:i/>
        </w:rPr>
        <w:t>J</w:t>
      </w:r>
      <w:r w:rsidR="009B6C6E" w:rsidRPr="005D6132">
        <w:rPr>
          <w:i/>
        </w:rPr>
        <w:t>ournal of</w:t>
      </w:r>
      <w:r w:rsidRPr="005D6132">
        <w:rPr>
          <w:i/>
        </w:rPr>
        <w:t xml:space="preserve"> Volcanol</w:t>
      </w:r>
      <w:r w:rsidR="009B6C6E" w:rsidRPr="005D6132">
        <w:rPr>
          <w:i/>
        </w:rPr>
        <w:t>ogy and</w:t>
      </w:r>
      <w:r w:rsidRPr="005D6132">
        <w:rPr>
          <w:i/>
        </w:rPr>
        <w:t xml:space="preserve"> Geotherm</w:t>
      </w:r>
      <w:r w:rsidR="009B6C6E" w:rsidRPr="005D6132">
        <w:rPr>
          <w:i/>
        </w:rPr>
        <w:t>al</w:t>
      </w:r>
      <w:r w:rsidRPr="005D6132">
        <w:rPr>
          <w:i/>
        </w:rPr>
        <w:t xml:space="preserve"> Res</w:t>
      </w:r>
      <w:r w:rsidR="009B6C6E" w:rsidRPr="005D6132">
        <w:rPr>
          <w:i/>
        </w:rPr>
        <w:t>earch</w:t>
      </w:r>
      <w:r w:rsidRPr="00D535FC">
        <w:t xml:space="preserve"> 336</w:t>
      </w:r>
      <w:r w:rsidR="007C5DC6">
        <w:t>:</w:t>
      </w:r>
      <w:r w:rsidR="00E25C79">
        <w:t xml:space="preserve"> 192–208.</w:t>
      </w:r>
      <w:r w:rsidRPr="00D535FC">
        <w:t xml:space="preserve"> </w:t>
      </w:r>
      <w:hyperlink r:id="rId12" w:history="1">
        <w:r w:rsidR="008C33C8" w:rsidRPr="00F8523D">
          <w:rPr>
            <w:rStyle w:val="Hyperlink"/>
          </w:rPr>
          <w:t>https://doi.org/10.1016/j.jvolgeores.2017.02.023</w:t>
        </w:r>
      </w:hyperlink>
      <w:r w:rsidR="008C33C8">
        <w:t xml:space="preserve"> </w:t>
      </w:r>
    </w:p>
  </w:endnote>
  <w:endnote w:id="14">
    <w:p w14:paraId="71FB58BB" w14:textId="3B225477" w:rsidR="00E84D9B" w:rsidRPr="00D535FC" w:rsidRDefault="00E84D9B" w:rsidP="00804AE8">
      <w:pPr>
        <w:pStyle w:val="References"/>
        <w:ind w:left="426" w:hanging="426"/>
      </w:pPr>
      <w:r w:rsidRPr="00804AE8">
        <w:rPr>
          <w:rStyle w:val="EndnoteReference"/>
          <w:rFonts w:cs="Calibri"/>
          <w:szCs w:val="20"/>
        </w:rPr>
        <w:endnoteRef/>
      </w:r>
      <w:r w:rsidRPr="00D535FC">
        <w:t xml:space="preserve"> </w:t>
      </w:r>
      <w:r w:rsidR="006E6146">
        <w:tab/>
      </w:r>
      <w:r w:rsidR="00241011" w:rsidRPr="00D535FC">
        <w:t>Deligne</w:t>
      </w:r>
      <w:r w:rsidR="00241011">
        <w:t xml:space="preserve"> NI</w:t>
      </w:r>
      <w:r w:rsidR="00241011" w:rsidRPr="00D535FC">
        <w:t>, Fitzgerald</w:t>
      </w:r>
      <w:r w:rsidR="00241011">
        <w:t xml:space="preserve"> RH</w:t>
      </w:r>
      <w:r w:rsidR="00241011" w:rsidRPr="00D535FC">
        <w:t>, Blake</w:t>
      </w:r>
      <w:r w:rsidR="00241011">
        <w:t xml:space="preserve"> DM</w:t>
      </w:r>
      <w:r w:rsidR="00241011" w:rsidRPr="00D535FC">
        <w:t>, Davies</w:t>
      </w:r>
      <w:r w:rsidR="00241011">
        <w:t xml:space="preserve"> AJ</w:t>
      </w:r>
      <w:r w:rsidR="00241011" w:rsidRPr="00D535FC">
        <w:t>, Hayes</w:t>
      </w:r>
      <w:r w:rsidR="00241011">
        <w:t xml:space="preserve"> JL</w:t>
      </w:r>
      <w:r w:rsidR="00241011" w:rsidRPr="00D535FC">
        <w:t>, Stewart</w:t>
      </w:r>
      <w:r w:rsidR="00241011">
        <w:t xml:space="preserve"> C</w:t>
      </w:r>
      <w:r w:rsidR="00241011" w:rsidRPr="00D535FC">
        <w:t>, Wilson</w:t>
      </w:r>
      <w:r w:rsidR="00241011">
        <w:t xml:space="preserve"> G</w:t>
      </w:r>
      <w:r w:rsidR="00241011" w:rsidRPr="00D535FC">
        <w:t>, Wilson</w:t>
      </w:r>
      <w:r w:rsidR="00241011">
        <w:t xml:space="preserve"> TM</w:t>
      </w:r>
      <w:r w:rsidR="00241011" w:rsidRPr="00D535FC">
        <w:t>, Castelino</w:t>
      </w:r>
      <w:r w:rsidR="00241011">
        <w:t xml:space="preserve"> R</w:t>
      </w:r>
      <w:r w:rsidR="00241011" w:rsidRPr="00D535FC">
        <w:t>, Kennedy</w:t>
      </w:r>
      <w:r w:rsidR="00241011">
        <w:t xml:space="preserve"> BM</w:t>
      </w:r>
      <w:r w:rsidR="00241011" w:rsidRPr="00D535FC">
        <w:t>, Muspratt</w:t>
      </w:r>
      <w:r w:rsidR="00241011">
        <w:t xml:space="preserve"> S</w:t>
      </w:r>
      <w:r w:rsidR="00241011" w:rsidRPr="00D535FC">
        <w:t>, Woods</w:t>
      </w:r>
      <w:r w:rsidR="00241011">
        <w:t xml:space="preserve"> R. 2017.</w:t>
      </w:r>
      <w:r w:rsidR="00241011" w:rsidRPr="00D535FC">
        <w:t xml:space="preserve"> Investigating the consequences of urban volcanism using a scenario approach I: Development and application of a hypothetical eruption in the Auckland Volcanic Field, New Zealand</w:t>
      </w:r>
      <w:r w:rsidR="00241011">
        <w:t>.</w:t>
      </w:r>
      <w:r w:rsidR="00241011" w:rsidRPr="00D535FC">
        <w:t xml:space="preserve"> </w:t>
      </w:r>
      <w:r w:rsidR="00241011" w:rsidRPr="005D6132">
        <w:rPr>
          <w:i/>
        </w:rPr>
        <w:t>Journal of Volcanology and Geothermal Research</w:t>
      </w:r>
      <w:r w:rsidR="00241011" w:rsidRPr="00D535FC">
        <w:t xml:space="preserve"> 336</w:t>
      </w:r>
      <w:r w:rsidR="007C5DC6">
        <w:t>:</w:t>
      </w:r>
      <w:r w:rsidR="00241011">
        <w:t xml:space="preserve"> 192–208.</w:t>
      </w:r>
      <w:r w:rsidR="00241011" w:rsidRPr="00D535FC">
        <w:t xml:space="preserve"> </w:t>
      </w:r>
      <w:hyperlink r:id="rId13" w:history="1">
        <w:r w:rsidR="00241011" w:rsidRPr="00F8523D">
          <w:rPr>
            <w:rStyle w:val="Hyperlink"/>
          </w:rPr>
          <w:t>https://doi.org/10.1016/j.jvolgeores.2017.02.023</w:t>
        </w:r>
      </w:hyperlink>
      <w:r w:rsidR="00241011">
        <w:t xml:space="preserve">; </w:t>
      </w:r>
      <w:r w:rsidRPr="00D535FC">
        <w:rPr>
          <w:rFonts w:eastAsia="Aptos"/>
        </w:rPr>
        <w:t>Blake</w:t>
      </w:r>
      <w:r w:rsidR="00034505">
        <w:rPr>
          <w:rFonts w:eastAsia="Aptos"/>
        </w:rPr>
        <w:t xml:space="preserve"> DM</w:t>
      </w:r>
      <w:r w:rsidRPr="00D535FC">
        <w:rPr>
          <w:rFonts w:eastAsia="Aptos"/>
        </w:rPr>
        <w:t>, Deligne</w:t>
      </w:r>
      <w:r w:rsidR="00034505">
        <w:rPr>
          <w:rFonts w:eastAsia="Aptos"/>
        </w:rPr>
        <w:t xml:space="preserve"> NI</w:t>
      </w:r>
      <w:r w:rsidRPr="00D535FC">
        <w:rPr>
          <w:rFonts w:eastAsia="Aptos"/>
        </w:rPr>
        <w:t>, Wilson</w:t>
      </w:r>
      <w:r w:rsidR="00034505">
        <w:rPr>
          <w:rFonts w:eastAsia="Aptos"/>
        </w:rPr>
        <w:t xml:space="preserve"> TM</w:t>
      </w:r>
      <w:r w:rsidRPr="00D535FC">
        <w:rPr>
          <w:rFonts w:eastAsia="Aptos"/>
        </w:rPr>
        <w:t>, Lindsay</w:t>
      </w:r>
      <w:r w:rsidR="00034505">
        <w:rPr>
          <w:rFonts w:eastAsia="Aptos"/>
        </w:rPr>
        <w:t xml:space="preserve"> JM</w:t>
      </w:r>
      <w:r w:rsidRPr="00D535FC">
        <w:rPr>
          <w:rFonts w:eastAsia="Aptos"/>
        </w:rPr>
        <w:t>, Woods</w:t>
      </w:r>
      <w:r w:rsidR="00034505">
        <w:rPr>
          <w:rFonts w:eastAsia="Aptos"/>
        </w:rPr>
        <w:t xml:space="preserve"> R. 2017.</w:t>
      </w:r>
      <w:r w:rsidR="006F21C8">
        <w:rPr>
          <w:rFonts w:eastAsia="Aptos"/>
        </w:rPr>
        <w:t xml:space="preserve"> </w:t>
      </w:r>
      <w:r w:rsidRPr="00D535FC">
        <w:rPr>
          <w:rFonts w:eastAsia="Aptos"/>
        </w:rPr>
        <w:t xml:space="preserve">Investigating the consequences of urban volcanism using a scenario </w:t>
      </w:r>
      <w:r w:rsidRPr="00B16C01">
        <w:rPr>
          <w:rFonts w:eastAsia="Aptos"/>
        </w:rPr>
        <w:t>approach II</w:t>
      </w:r>
      <w:r w:rsidRPr="00034505">
        <w:rPr>
          <w:rFonts w:eastAsia="Aptos"/>
        </w:rPr>
        <w:t>:</w:t>
      </w:r>
      <w:r w:rsidRPr="00D535FC">
        <w:rPr>
          <w:rFonts w:eastAsia="Aptos"/>
        </w:rPr>
        <w:t xml:space="preserve"> Insights into transportation network damage and functionality</w:t>
      </w:r>
      <w:r w:rsidR="007C5DC6">
        <w:rPr>
          <w:rFonts w:eastAsia="Aptos"/>
        </w:rPr>
        <w:t>.</w:t>
      </w:r>
      <w:r w:rsidRPr="00D535FC">
        <w:rPr>
          <w:rFonts w:eastAsia="Aptos"/>
        </w:rPr>
        <w:t xml:space="preserve"> </w:t>
      </w:r>
      <w:r w:rsidRPr="00B179B1">
        <w:rPr>
          <w:rFonts w:eastAsia="Aptos"/>
          <w:i/>
        </w:rPr>
        <w:t>Journal of Volcanology and Geothermal Research</w:t>
      </w:r>
      <w:r w:rsidR="007C5DC6">
        <w:rPr>
          <w:rFonts w:eastAsia="Aptos"/>
          <w:i/>
        </w:rPr>
        <w:t xml:space="preserve"> </w:t>
      </w:r>
      <w:r w:rsidRPr="00D535FC">
        <w:rPr>
          <w:rFonts w:eastAsia="Aptos"/>
        </w:rPr>
        <w:t>340</w:t>
      </w:r>
      <w:r w:rsidR="007C5DC6">
        <w:rPr>
          <w:rFonts w:eastAsia="Aptos"/>
        </w:rPr>
        <w:t>:</w:t>
      </w:r>
      <w:r w:rsidRPr="00D535FC">
        <w:rPr>
          <w:rFonts w:eastAsia="Aptos"/>
        </w:rPr>
        <w:t xml:space="preserve"> 92</w:t>
      </w:r>
      <w:r w:rsidR="007C5DC6">
        <w:rPr>
          <w:rFonts w:eastAsia="Aptos"/>
        </w:rPr>
        <w:t>–</w:t>
      </w:r>
      <w:r w:rsidRPr="00D535FC">
        <w:rPr>
          <w:rFonts w:eastAsia="Aptos"/>
        </w:rPr>
        <w:t>116</w:t>
      </w:r>
      <w:r w:rsidR="007C5DC6">
        <w:rPr>
          <w:rFonts w:eastAsia="Aptos"/>
        </w:rPr>
        <w:t>.</w:t>
      </w:r>
      <w:r w:rsidRPr="00D535FC">
        <w:rPr>
          <w:rFonts w:eastAsia="Aptos"/>
        </w:rPr>
        <w:t xml:space="preserve"> </w:t>
      </w:r>
      <w:hyperlink r:id="rId14" w:history="1">
        <w:r w:rsidR="00241011" w:rsidRPr="00F8523D">
          <w:rPr>
            <w:rStyle w:val="Hyperlink"/>
            <w:rFonts w:eastAsia="Aptos"/>
          </w:rPr>
          <w:t>https://doi.org/10.1016/j.jvolgeores.2017.04.010</w:t>
        </w:r>
      </w:hyperlink>
    </w:p>
  </w:endnote>
  <w:endnote w:id="15">
    <w:p w14:paraId="2CF2D724" w14:textId="46BFE344" w:rsidR="039C8EC5" w:rsidRDefault="039C8EC5" w:rsidP="00804AE8">
      <w:pPr>
        <w:pStyle w:val="EndnoteText"/>
        <w:ind w:left="426" w:hanging="426"/>
      </w:pPr>
      <w:r w:rsidRPr="039C8EC5">
        <w:rPr>
          <w:rStyle w:val="EndnoteReference"/>
        </w:rPr>
        <w:endnoteRef/>
      </w:r>
      <w:r>
        <w:t xml:space="preserve"> </w:t>
      </w:r>
      <w:r w:rsidR="00B80786">
        <w:tab/>
      </w:r>
      <w:hyperlink r:id="rId15">
        <w:r w:rsidRPr="039C8EC5">
          <w:rPr>
            <w:rStyle w:val="Hyperlink"/>
          </w:rPr>
          <w:t>Anticipating future Volcanic Explosivity Index (VEI) 7 eruptions and their chilling impacts | Geosphere | GeoScienceWorld</w:t>
        </w:r>
      </w:hyperlink>
    </w:p>
  </w:endnote>
  <w:endnote w:id="16">
    <w:p w14:paraId="701C7B57" w14:textId="79C7E6D1" w:rsidR="00632F37" w:rsidRPr="00D535FC" w:rsidRDefault="00632F37" w:rsidP="00804AE8">
      <w:pPr>
        <w:pStyle w:val="References"/>
        <w:ind w:left="426" w:hanging="426"/>
      </w:pPr>
      <w:r w:rsidRPr="00804AE8">
        <w:rPr>
          <w:rStyle w:val="EndnoteReference"/>
          <w:rFonts w:cs="Calibri"/>
          <w:szCs w:val="20"/>
        </w:rPr>
        <w:endnoteRef/>
      </w:r>
      <w:r w:rsidRPr="00D535FC">
        <w:t xml:space="preserve"> </w:t>
      </w:r>
      <w:r>
        <w:tab/>
        <w:t xml:space="preserve">IPCC, 2023. </w:t>
      </w:r>
      <w:hyperlink r:id="rId16" w:history="1">
        <w:r w:rsidRPr="00B16C01">
          <w:rPr>
            <w:rStyle w:val="Hyperlink"/>
            <w:i/>
          </w:rPr>
          <w:t>Climate Change 2023: Synthesis Report. Contribution of Working Groups I, II and III to the Sixth</w:t>
        </w:r>
        <w:r>
          <w:rPr>
            <w:rStyle w:val="Hyperlink"/>
            <w:i/>
          </w:rPr>
          <w:t xml:space="preserve"> </w:t>
        </w:r>
        <w:r w:rsidRPr="00B16C01">
          <w:rPr>
            <w:rStyle w:val="Hyperlink"/>
            <w:i/>
          </w:rPr>
          <w:t>Assessment Report of the Intergovernmental Panel on Climate Change</w:t>
        </w:r>
      </w:hyperlink>
      <w:r>
        <w:t xml:space="preserve"> [Core Writing Team, H. Lee and J. Romero (eds.)]. Geneva, Switzerland: IPCC. </w:t>
      </w:r>
      <w:hyperlink r:id="rId17" w:history="1">
        <w:r w:rsidRPr="00F8523D">
          <w:rPr>
            <w:rStyle w:val="Hyperlink"/>
          </w:rPr>
          <w:t>https://doi.org/</w:t>
        </w:r>
        <w:r w:rsidRPr="00D95FC7">
          <w:rPr>
            <w:rStyle w:val="Hyperlink"/>
          </w:rPr>
          <w:t>10.59327/IPCC/AR6-9789291691647</w:t>
        </w:r>
      </w:hyperlink>
    </w:p>
  </w:endnote>
  <w:endnote w:id="17">
    <w:p w14:paraId="0FB49AD7" w14:textId="77777777" w:rsidR="00632F37" w:rsidRPr="00D535FC" w:rsidRDefault="00632F37" w:rsidP="00804AE8">
      <w:pPr>
        <w:pStyle w:val="References"/>
        <w:ind w:left="426" w:hanging="426"/>
      </w:pPr>
      <w:r w:rsidRPr="00804AE8">
        <w:rPr>
          <w:rStyle w:val="EndnoteReference"/>
          <w:rFonts w:cs="Calibri"/>
          <w:szCs w:val="20"/>
        </w:rPr>
        <w:endnoteRef/>
      </w:r>
      <w:r w:rsidRPr="00D535FC">
        <w:t xml:space="preserve"> </w:t>
      </w:r>
      <w:r>
        <w:tab/>
        <w:t xml:space="preserve">Victoria University of Wellington Chair in the Economics of Disasters and Climate Change. </w:t>
      </w:r>
      <w:hyperlink r:id="rId18" w:history="1">
        <w:r w:rsidRPr="00B16C01">
          <w:rPr>
            <w:rStyle w:val="Hyperlink"/>
            <w:i/>
          </w:rPr>
          <w:t>Whakahura – extreme events and the emergence of climate change</w:t>
        </w:r>
      </w:hyperlink>
      <w:r>
        <w:t>. Retrieved 7 July 2025.</w:t>
      </w:r>
    </w:p>
  </w:endnote>
  <w:endnote w:id="18">
    <w:p w14:paraId="637EB6D9" w14:textId="69D47117" w:rsidR="00632F37" w:rsidRPr="00785A65" w:rsidRDefault="00632F37" w:rsidP="00804AE8">
      <w:pPr>
        <w:pStyle w:val="References"/>
        <w:ind w:left="426" w:hanging="426"/>
      </w:pPr>
      <w:r>
        <w:rPr>
          <w:rStyle w:val="EndnoteReference"/>
        </w:rPr>
        <w:endnoteRef/>
      </w:r>
      <w:r>
        <w:t xml:space="preserve"> </w:t>
      </w:r>
      <w:r>
        <w:tab/>
        <w:t xml:space="preserve">Department of the Prime Minister and Cabinet, National Emergency Management Agency. 2023. </w:t>
      </w:r>
      <w:hyperlink r:id="rId19" w:history="1">
        <w:r w:rsidRPr="00B16C01">
          <w:rPr>
            <w:rStyle w:val="Hyperlink"/>
            <w:i/>
          </w:rPr>
          <w:t>Proactive Release: Briefing to the Incoming Minister for Emergency Management and Recovery (NEMA)</w:t>
        </w:r>
      </w:hyperlink>
      <w:r>
        <w:t>.</w:t>
      </w:r>
    </w:p>
  </w:endnote>
  <w:endnote w:id="19">
    <w:p w14:paraId="732618B8" w14:textId="6BB15DD6" w:rsidR="00632F37" w:rsidRDefault="00632F37" w:rsidP="00804AE8">
      <w:pPr>
        <w:pStyle w:val="References"/>
        <w:ind w:left="426" w:hanging="426"/>
      </w:pPr>
      <w:r>
        <w:rPr>
          <w:rStyle w:val="EndnoteReference"/>
        </w:rPr>
        <w:endnoteRef/>
      </w:r>
      <w:r>
        <w:t xml:space="preserve"> </w:t>
      </w:r>
      <w:r>
        <w:tab/>
      </w:r>
      <w:r>
        <w:rPr>
          <w:i/>
        </w:rPr>
        <w:t>UN</w:t>
      </w:r>
      <w:r w:rsidRPr="00B16C01">
        <w:rPr>
          <w:i/>
        </w:rPr>
        <w:t xml:space="preserve"> News</w:t>
      </w:r>
      <w:r>
        <w:t xml:space="preserve">. 2025. </w:t>
      </w:r>
      <w:hyperlink r:id="rId20" w:history="1">
        <w:r>
          <w:rPr>
            <w:rStyle w:val="Hyperlink"/>
          </w:rPr>
          <w:t>Real cost of disasters is 10 times higher than previously thought, says UN</w:t>
        </w:r>
      </w:hyperlink>
      <w:r>
        <w:t>. 27 May</w:t>
      </w:r>
      <w:r w:rsidR="00BC20C0">
        <w:t xml:space="preserve"> </w:t>
      </w:r>
      <w:r w:rsidR="00367C20">
        <w:t>2025</w:t>
      </w:r>
      <w:r>
        <w:t>.</w:t>
      </w:r>
    </w:p>
  </w:endnote>
  <w:endnote w:id="20">
    <w:p w14:paraId="178F42BB" w14:textId="77777777" w:rsidR="00632F37" w:rsidRDefault="00632F37" w:rsidP="00804AE8">
      <w:pPr>
        <w:pStyle w:val="References"/>
        <w:ind w:left="426" w:hanging="426"/>
      </w:pPr>
      <w:r>
        <w:rPr>
          <w:rStyle w:val="EndnoteReference"/>
        </w:rPr>
        <w:endnoteRef/>
      </w:r>
      <w:r>
        <w:t xml:space="preserve"> </w:t>
      </w:r>
      <w:r>
        <w:tab/>
        <w:t xml:space="preserve">White A, Comendant C, Yee D, Moore D. 2025. </w:t>
      </w:r>
      <w:hyperlink r:id="rId21" w:history="1">
        <w:r w:rsidRPr="00B16C01">
          <w:rPr>
            <w:rStyle w:val="Hyperlink"/>
            <w:i/>
          </w:rPr>
          <w:t>Natural hazards-related public spending in New Zealand</w:t>
        </w:r>
      </w:hyperlink>
      <w:r>
        <w:t xml:space="preserve">. Prepared for IAG by Sapere Research Group. </w:t>
      </w:r>
    </w:p>
  </w:endnote>
  <w:endnote w:id="21">
    <w:p w14:paraId="4341F816" w14:textId="3FFC5983" w:rsidR="00E84D9B" w:rsidRPr="00D535FC" w:rsidRDefault="00E84D9B" w:rsidP="00804AE8">
      <w:pPr>
        <w:pStyle w:val="References"/>
        <w:ind w:left="426" w:hanging="426"/>
      </w:pPr>
      <w:r w:rsidRPr="00804AE8">
        <w:rPr>
          <w:rStyle w:val="EndnoteReference"/>
          <w:rFonts w:cs="Calibri"/>
          <w:szCs w:val="20"/>
        </w:rPr>
        <w:endnoteRef/>
      </w:r>
      <w:r w:rsidRPr="00D535FC">
        <w:t xml:space="preserve"> </w:t>
      </w:r>
      <w:r w:rsidR="006F21C8">
        <w:tab/>
      </w:r>
      <w:r w:rsidRPr="00D535FC">
        <w:rPr>
          <w:rFonts w:eastAsia="Arial"/>
        </w:rPr>
        <w:t xml:space="preserve">National Institute of Water and Atmospheric Research. </w:t>
      </w:r>
      <w:hyperlink r:id="rId22" w:history="1">
        <w:r w:rsidRPr="00804AE8">
          <w:rPr>
            <w:rStyle w:val="Hyperlink"/>
            <w:rFonts w:cs="Calibri"/>
            <w:i/>
            <w:szCs w:val="20"/>
          </w:rPr>
          <w:t>Marine geological hazards</w:t>
        </w:r>
      </w:hyperlink>
      <w:r w:rsidRPr="00D535FC">
        <w:t xml:space="preserve">. Retrieved 7 </w:t>
      </w:r>
      <w:r w:rsidR="007C5DC6">
        <w:t xml:space="preserve">July </w:t>
      </w:r>
      <w:r w:rsidRPr="00D535FC">
        <w:t>2025</w:t>
      </w:r>
      <w:r w:rsidR="00A3532A">
        <w:t>.</w:t>
      </w:r>
    </w:p>
  </w:endnote>
  <w:endnote w:id="22">
    <w:p w14:paraId="54D741A7" w14:textId="6191557A" w:rsidR="00E84D9B" w:rsidRPr="00D535FC" w:rsidRDefault="00E84D9B" w:rsidP="00804AE8">
      <w:pPr>
        <w:pStyle w:val="References"/>
        <w:ind w:left="426" w:hanging="426"/>
      </w:pPr>
      <w:r w:rsidRPr="00804AE8">
        <w:rPr>
          <w:rStyle w:val="EndnoteReference"/>
          <w:rFonts w:cs="Calibri"/>
          <w:szCs w:val="20"/>
        </w:rPr>
        <w:endnoteRef/>
      </w:r>
      <w:r w:rsidRPr="00D535FC">
        <w:t xml:space="preserve"> </w:t>
      </w:r>
      <w:r w:rsidR="006F21C8">
        <w:tab/>
      </w:r>
      <w:r w:rsidRPr="00D535FC">
        <w:rPr>
          <w:rFonts w:eastAsia="Arial"/>
        </w:rPr>
        <w:t xml:space="preserve">The Observatory of Economic Complexity. </w:t>
      </w:r>
      <w:hyperlink r:id="rId23" w:history="1">
        <w:r w:rsidR="00354849" w:rsidRPr="00804AE8">
          <w:rPr>
            <w:rStyle w:val="Hyperlink"/>
            <w:rFonts w:cs="Calibri"/>
            <w:i/>
            <w:szCs w:val="20"/>
          </w:rPr>
          <w:t>New Zealand</w:t>
        </w:r>
      </w:hyperlink>
      <w:r w:rsidRPr="00D535FC">
        <w:t xml:space="preserve">. Retrieved 7 </w:t>
      </w:r>
      <w:r w:rsidR="00354849">
        <w:t xml:space="preserve">July </w:t>
      </w:r>
      <w:r w:rsidRPr="00D535FC">
        <w:t>2025.</w:t>
      </w:r>
    </w:p>
  </w:endnote>
  <w:endnote w:id="23">
    <w:p w14:paraId="1E6C728A" w14:textId="2CB34B32" w:rsidR="00E84D9B" w:rsidRPr="00D535FC" w:rsidRDefault="00E84D9B" w:rsidP="00804AE8">
      <w:pPr>
        <w:pStyle w:val="References"/>
        <w:ind w:left="426" w:hanging="426"/>
      </w:pPr>
      <w:r w:rsidRPr="00804AE8">
        <w:rPr>
          <w:rStyle w:val="EndnoteReference"/>
          <w:rFonts w:cs="Calibri"/>
          <w:szCs w:val="20"/>
        </w:rPr>
        <w:endnoteRef/>
      </w:r>
      <w:r w:rsidRPr="00D535FC">
        <w:t xml:space="preserve"> </w:t>
      </w:r>
      <w:r w:rsidR="006F21C8">
        <w:tab/>
      </w:r>
      <w:r w:rsidRPr="00D535FC">
        <w:t xml:space="preserve">Harvard Growth Lab, </w:t>
      </w:r>
      <w:hyperlink r:id="rId24" w:history="1">
        <w:r w:rsidRPr="00B16C01">
          <w:rPr>
            <w:rStyle w:val="Hyperlink"/>
            <w:i/>
          </w:rPr>
          <w:t>Country and Product Complexity Rankings</w:t>
        </w:r>
      </w:hyperlink>
      <w:r w:rsidR="000921EC">
        <w:t>. Retrieved 7 July 2025.</w:t>
      </w:r>
    </w:p>
  </w:endnote>
  <w:endnote w:id="24">
    <w:p w14:paraId="4172D31A" w14:textId="19983076" w:rsidR="00E84D9B" w:rsidRPr="00D535FC" w:rsidRDefault="00E84D9B" w:rsidP="00804AE8">
      <w:pPr>
        <w:pStyle w:val="References"/>
        <w:ind w:left="426" w:hanging="426"/>
      </w:pPr>
      <w:r w:rsidRPr="00804AE8">
        <w:rPr>
          <w:rStyle w:val="EndnoteReference"/>
          <w:rFonts w:cs="Calibri"/>
          <w:szCs w:val="20"/>
        </w:rPr>
        <w:endnoteRef/>
      </w:r>
      <w:r w:rsidRPr="00D535FC">
        <w:t xml:space="preserve"> </w:t>
      </w:r>
      <w:r w:rsidR="006F21C8">
        <w:tab/>
      </w:r>
      <w:r w:rsidR="003F03DC">
        <w:t>Lu B.</w:t>
      </w:r>
      <w:r w:rsidR="00E042F4">
        <w:t xml:space="preserve"> </w:t>
      </w:r>
      <w:r w:rsidR="00E042F4" w:rsidRPr="00D535FC">
        <w:t>2023</w:t>
      </w:r>
      <w:r w:rsidR="00D65086">
        <w:t>.</w:t>
      </w:r>
      <w:r w:rsidR="003F03DC">
        <w:t xml:space="preserve"> </w:t>
      </w:r>
      <w:r w:rsidRPr="00D535FC">
        <w:t>Developments in the agricultural sector</w:t>
      </w:r>
      <w:r w:rsidR="00E042F4">
        <w:t>.</w:t>
      </w:r>
      <w:r w:rsidRPr="00D535FC">
        <w:t xml:space="preserve"> </w:t>
      </w:r>
      <w:r w:rsidR="00E042F4">
        <w:t xml:space="preserve">In: Reserve Bank of New Zealand. </w:t>
      </w:r>
      <w:hyperlink r:id="rId25" w:history="1">
        <w:r w:rsidR="00E042F4" w:rsidRPr="00B16C01">
          <w:rPr>
            <w:rStyle w:val="Hyperlink"/>
            <w:i/>
          </w:rPr>
          <w:t>November 2023 Financial Stability Report</w:t>
        </w:r>
      </w:hyperlink>
      <w:r w:rsidR="00E042F4">
        <w:t xml:space="preserve">. </w:t>
      </w:r>
      <w:r w:rsidR="00301DD8">
        <w:t>26 October.</w:t>
      </w:r>
    </w:p>
  </w:endnote>
  <w:endnote w:id="25">
    <w:p w14:paraId="43FDA1DF" w14:textId="479FB4CE" w:rsidR="46C76630" w:rsidRDefault="46C76630" w:rsidP="00B4333D">
      <w:pPr>
        <w:pStyle w:val="References"/>
        <w:tabs>
          <w:tab w:val="left" w:pos="426"/>
        </w:tabs>
      </w:pPr>
      <w:r w:rsidRPr="46C76630">
        <w:rPr>
          <w:rStyle w:val="EndnoteReference"/>
          <w:rFonts w:cs="Calibri"/>
        </w:rPr>
        <w:endnoteRef/>
      </w:r>
      <w:r>
        <w:t xml:space="preserve"> </w:t>
      </w:r>
      <w:r>
        <w:tab/>
        <w:t>Melia N, Dean S, Pearce HG, Harrington L, Frame DJ, Strand T. 2022. Aotearoa New Zealand’s 21st-</w:t>
      </w:r>
      <w:r w:rsidR="00B4333D">
        <w:tab/>
      </w:r>
      <w:r>
        <w:t xml:space="preserve">Century Wildfire Climate. </w:t>
      </w:r>
      <w:r w:rsidRPr="46C76630">
        <w:rPr>
          <w:i/>
          <w:iCs/>
        </w:rPr>
        <w:t>Earth’s Future</w:t>
      </w:r>
      <w:r>
        <w:t xml:space="preserve"> 10(6): e2022EF002853. </w:t>
      </w:r>
      <w:r w:rsidR="00B4333D">
        <w:tab/>
      </w:r>
      <w:hyperlink r:id="rId26">
        <w:r w:rsidRPr="46C76630">
          <w:rPr>
            <w:rStyle w:val="Hyperlink"/>
            <w:rFonts w:cs="Calibri"/>
          </w:rPr>
          <w:t>https://doi.org/10.1029/2022EF002853</w:t>
        </w:r>
      </w:hyperlink>
      <w:r>
        <w:t xml:space="preserve"> </w:t>
      </w:r>
    </w:p>
  </w:endnote>
  <w:endnote w:id="26">
    <w:p w14:paraId="37E06A00" w14:textId="727D922B" w:rsidR="00E84D9B" w:rsidRPr="00D535FC" w:rsidRDefault="00E84D9B" w:rsidP="00804AE8">
      <w:pPr>
        <w:pStyle w:val="References"/>
        <w:ind w:left="426" w:hanging="426"/>
      </w:pPr>
      <w:r w:rsidRPr="00804AE8">
        <w:rPr>
          <w:rStyle w:val="EndnoteReference"/>
          <w:rFonts w:cs="Calibri"/>
          <w:szCs w:val="20"/>
        </w:rPr>
        <w:endnoteRef/>
      </w:r>
      <w:r w:rsidRPr="00D535FC">
        <w:t xml:space="preserve"> </w:t>
      </w:r>
      <w:r w:rsidR="006F21C8">
        <w:tab/>
      </w:r>
      <w:r w:rsidRPr="00D535FC">
        <w:t>Department of Conservation</w:t>
      </w:r>
      <w:r w:rsidR="002D2851">
        <w:t>. 2020.</w:t>
      </w:r>
      <w:r w:rsidRPr="00D535FC">
        <w:t xml:space="preserve"> </w:t>
      </w:r>
      <w:hyperlink r:id="rId27" w:history="1">
        <w:r w:rsidRPr="00B16C01">
          <w:rPr>
            <w:rStyle w:val="Hyperlink"/>
            <w:i/>
          </w:rPr>
          <w:t>Biodiversity in Aotearo</w:t>
        </w:r>
        <w:r w:rsidR="00DB668D" w:rsidRPr="00B16C01">
          <w:rPr>
            <w:rStyle w:val="Hyperlink"/>
            <w:i/>
          </w:rPr>
          <w:t>a: an overview of state, trends and pressures</w:t>
        </w:r>
        <w:r w:rsidRPr="00B16C01">
          <w:rPr>
            <w:rStyle w:val="Hyperlink"/>
            <w:i/>
          </w:rPr>
          <w:t xml:space="preserve"> 2020</w:t>
        </w:r>
      </w:hyperlink>
      <w:r w:rsidR="00750D1E">
        <w:t>.</w:t>
      </w:r>
      <w:r w:rsidRPr="00D535FC">
        <w:t xml:space="preserve"> </w:t>
      </w:r>
      <w:r w:rsidR="002D2851">
        <w:t>Wellington: Department of Conservation.</w:t>
      </w:r>
    </w:p>
  </w:endnote>
  <w:endnote w:id="27">
    <w:p w14:paraId="7869A7F6" w14:textId="20C541F8" w:rsidR="00E84D9B" w:rsidRPr="00D535FC" w:rsidRDefault="00E84D9B" w:rsidP="00804AE8">
      <w:pPr>
        <w:pStyle w:val="References"/>
        <w:ind w:left="426" w:hanging="426"/>
      </w:pPr>
      <w:r w:rsidRPr="00804AE8">
        <w:rPr>
          <w:rStyle w:val="EndnoteReference"/>
          <w:rFonts w:cs="Calibri"/>
          <w:szCs w:val="20"/>
        </w:rPr>
        <w:endnoteRef/>
      </w:r>
      <w:r w:rsidRPr="00D535FC">
        <w:t xml:space="preserve"> </w:t>
      </w:r>
      <w:r w:rsidR="006F21C8">
        <w:tab/>
      </w:r>
      <w:r w:rsidRPr="00D535FC">
        <w:rPr>
          <w:rFonts w:eastAsia="Arial"/>
        </w:rPr>
        <w:t>Reserve Bank of New Zealand</w:t>
      </w:r>
      <w:r w:rsidR="006E2D13">
        <w:rPr>
          <w:rFonts w:eastAsia="Arial"/>
        </w:rPr>
        <w:t>.</w:t>
      </w:r>
      <w:r w:rsidRPr="00D535FC">
        <w:rPr>
          <w:rFonts w:eastAsia="Arial"/>
        </w:rPr>
        <w:t xml:space="preserve"> 2021</w:t>
      </w:r>
      <w:r w:rsidR="006E2D13">
        <w:rPr>
          <w:rFonts w:eastAsia="Arial"/>
        </w:rPr>
        <w:t>.</w:t>
      </w:r>
      <w:r w:rsidRPr="00D535FC">
        <w:rPr>
          <w:rFonts w:eastAsia="Arial"/>
        </w:rPr>
        <w:t xml:space="preserve"> </w:t>
      </w:r>
      <w:hyperlink r:id="rId28" w:history="1">
        <w:r w:rsidRPr="00804AE8">
          <w:rPr>
            <w:rStyle w:val="Hyperlink"/>
            <w:rFonts w:cs="Calibri"/>
            <w:i/>
            <w:szCs w:val="20"/>
          </w:rPr>
          <w:t>Climate Changed: 2021 and Beyond</w:t>
        </w:r>
      </w:hyperlink>
      <w:r w:rsidR="006E2D13">
        <w:rPr>
          <w:rFonts w:eastAsia="Arial"/>
        </w:rPr>
        <w:t>. Wellington: Reserve Bank of New Zealand</w:t>
      </w:r>
      <w:r w:rsidR="00327676">
        <w:rPr>
          <w:rFonts w:eastAsia="Arial"/>
        </w:rPr>
        <w:t>;</w:t>
      </w:r>
      <w:r w:rsidR="006E2D13">
        <w:rPr>
          <w:rFonts w:eastAsia="Arial"/>
        </w:rPr>
        <w:t xml:space="preserve"> </w:t>
      </w:r>
      <w:r w:rsidR="00010F41">
        <w:rPr>
          <w:rFonts w:eastAsia="Arial"/>
        </w:rPr>
        <w:t>The</w:t>
      </w:r>
      <w:r w:rsidRPr="00D535FC">
        <w:rPr>
          <w:rFonts w:eastAsia="Arial"/>
        </w:rPr>
        <w:t xml:space="preserve"> Treasury</w:t>
      </w:r>
      <w:r w:rsidR="00010F41">
        <w:rPr>
          <w:rFonts w:eastAsia="Arial"/>
        </w:rPr>
        <w:t xml:space="preserve">, </w:t>
      </w:r>
      <w:r w:rsidRPr="00D535FC">
        <w:rPr>
          <w:rFonts w:eastAsia="Arial"/>
        </w:rPr>
        <w:t>Ministry for the Environment</w:t>
      </w:r>
      <w:r w:rsidR="00010F41">
        <w:rPr>
          <w:rFonts w:eastAsia="Arial"/>
        </w:rPr>
        <w:t xml:space="preserve">. </w:t>
      </w:r>
      <w:r w:rsidRPr="00D535FC">
        <w:rPr>
          <w:rFonts w:eastAsia="Arial"/>
        </w:rPr>
        <w:t xml:space="preserve">2023. </w:t>
      </w:r>
      <w:hyperlink r:id="rId29" w:history="1">
        <w:r w:rsidRPr="00804AE8">
          <w:rPr>
            <w:rStyle w:val="Hyperlink"/>
            <w:rFonts w:cs="Calibri"/>
            <w:i/>
            <w:szCs w:val="20"/>
          </w:rPr>
          <w:t>Ngā Kōrero Āhuarangi Me Te Ōhanga: Climate Economic and Fiscal Assessment 2023</w:t>
        </w:r>
      </w:hyperlink>
      <w:r w:rsidRPr="00D535FC">
        <w:t>.</w:t>
      </w:r>
      <w:r w:rsidR="00D73A30">
        <w:t xml:space="preserve"> Wellington: The Treasury.</w:t>
      </w:r>
    </w:p>
  </w:endnote>
  <w:endnote w:id="28">
    <w:p w14:paraId="085D826E" w14:textId="527C46AB" w:rsidR="00E84D9B" w:rsidRPr="00D535FC" w:rsidRDefault="00E84D9B" w:rsidP="00804AE8">
      <w:pPr>
        <w:pStyle w:val="References"/>
        <w:ind w:left="426" w:hanging="426"/>
      </w:pPr>
      <w:r w:rsidRPr="00804AE8">
        <w:rPr>
          <w:rStyle w:val="EndnoteReference"/>
          <w:rFonts w:cs="Calibri"/>
          <w:szCs w:val="20"/>
        </w:rPr>
        <w:endnoteRef/>
      </w:r>
      <w:r w:rsidRPr="00D535FC">
        <w:t xml:space="preserve"> </w:t>
      </w:r>
      <w:r w:rsidR="006F21C8">
        <w:tab/>
      </w:r>
      <w:r w:rsidRPr="00D535FC">
        <w:t xml:space="preserve">National Institute of Water and Atmospheric Research. </w:t>
      </w:r>
      <w:hyperlink r:id="rId30" w:history="1">
        <w:r w:rsidRPr="00804AE8">
          <w:rPr>
            <w:rStyle w:val="Hyperlink"/>
            <w:rFonts w:cs="Calibri"/>
            <w:i/>
            <w:szCs w:val="20"/>
          </w:rPr>
          <w:t>Climate change and possible impacts for New Zealand</w:t>
        </w:r>
      </w:hyperlink>
      <w:r w:rsidRPr="00D535FC">
        <w:t xml:space="preserve">. Retrieved 7 </w:t>
      </w:r>
      <w:r w:rsidR="00B30AA3">
        <w:t xml:space="preserve">July </w:t>
      </w:r>
      <w:r w:rsidRPr="00D535FC">
        <w:t>2025.</w:t>
      </w:r>
    </w:p>
  </w:endnote>
  <w:endnote w:id="29">
    <w:p w14:paraId="06616565" w14:textId="225197E3" w:rsidR="00E84D9B" w:rsidRPr="00D535FC" w:rsidRDefault="00E84D9B" w:rsidP="00804AE8">
      <w:pPr>
        <w:pStyle w:val="References"/>
        <w:ind w:left="426" w:hanging="426"/>
      </w:pPr>
      <w:r w:rsidRPr="00804AE8">
        <w:rPr>
          <w:rStyle w:val="EndnoteReference"/>
          <w:rFonts w:cs="Calibri"/>
          <w:szCs w:val="20"/>
        </w:rPr>
        <w:endnoteRef/>
      </w:r>
      <w:r w:rsidRPr="00D535FC">
        <w:t xml:space="preserve"> </w:t>
      </w:r>
      <w:r w:rsidR="006F21C8">
        <w:tab/>
      </w:r>
      <w:r w:rsidRPr="00D535FC">
        <w:rPr>
          <w:rFonts w:eastAsia="Arial"/>
        </w:rPr>
        <w:t>Population Reference Bureau</w:t>
      </w:r>
      <w:r w:rsidR="00B30AA3">
        <w:rPr>
          <w:rFonts w:eastAsia="Arial"/>
        </w:rPr>
        <w:t>.</w:t>
      </w:r>
      <w:r w:rsidRPr="00D535FC">
        <w:rPr>
          <w:rFonts w:eastAsia="Arial"/>
        </w:rPr>
        <w:t xml:space="preserve"> </w:t>
      </w:r>
      <w:hyperlink r:id="rId31" w:history="1">
        <w:r w:rsidRPr="00804AE8">
          <w:rPr>
            <w:rStyle w:val="Hyperlink"/>
            <w:rFonts w:cs="Calibri"/>
            <w:i/>
            <w:szCs w:val="20"/>
          </w:rPr>
          <w:t>Projected Population mid-2035 (millions)</w:t>
        </w:r>
      </w:hyperlink>
      <w:r w:rsidRPr="00D535FC">
        <w:t xml:space="preserve">. Retrieved 7 </w:t>
      </w:r>
      <w:r w:rsidR="00B30AA3">
        <w:t xml:space="preserve">July </w:t>
      </w:r>
      <w:r w:rsidRPr="00D535FC">
        <w:t>2025</w:t>
      </w:r>
      <w:r w:rsidR="00D73A30">
        <w:rPr>
          <w:rFonts w:eastAsia="Arial"/>
        </w:rPr>
        <w:t>;</w:t>
      </w:r>
      <w:r w:rsidRPr="00D535FC">
        <w:rPr>
          <w:rFonts w:eastAsia="Arial"/>
        </w:rPr>
        <w:t xml:space="preserve"> Te Ara Ahunga</w:t>
      </w:r>
      <w:r w:rsidR="003E5C2E">
        <w:rPr>
          <w:rFonts w:eastAsia="Arial"/>
        </w:rPr>
        <w:t xml:space="preserve"> Ora | Retirement Commission</w:t>
      </w:r>
      <w:r w:rsidRPr="00D535FC">
        <w:rPr>
          <w:rFonts w:eastAsia="Arial"/>
        </w:rPr>
        <w:t xml:space="preserve">. </w:t>
      </w:r>
      <w:hyperlink r:id="rId32" w:history="1">
        <w:r w:rsidRPr="00804AE8">
          <w:rPr>
            <w:rStyle w:val="Hyperlink"/>
            <w:rFonts w:cs="Calibri"/>
            <w:i/>
            <w:szCs w:val="20"/>
          </w:rPr>
          <w:t>Older People</w:t>
        </w:r>
      </w:hyperlink>
      <w:r w:rsidRPr="00D535FC">
        <w:t xml:space="preserve">. Retrieved </w:t>
      </w:r>
      <w:r w:rsidR="00D73A30">
        <w:t xml:space="preserve">7 July </w:t>
      </w:r>
      <w:r w:rsidRPr="00D535FC">
        <w:t>2025</w:t>
      </w:r>
      <w:r w:rsidRPr="00D535FC">
        <w:rPr>
          <w:rFonts w:eastAsia="Arial"/>
        </w:rPr>
        <w:t xml:space="preserve">; Worldometer. </w:t>
      </w:r>
      <w:hyperlink r:id="rId33" w:anchor="google_vignette" w:history="1">
        <w:r w:rsidR="003E5C2E" w:rsidRPr="00804AE8">
          <w:rPr>
            <w:rStyle w:val="Hyperlink"/>
            <w:rFonts w:cs="Calibri"/>
            <w:i/>
            <w:szCs w:val="20"/>
          </w:rPr>
          <w:t>New Zealand Population (Live)</w:t>
        </w:r>
      </w:hyperlink>
      <w:r w:rsidRPr="00D535FC">
        <w:t xml:space="preserve">. Retrieved 7 </w:t>
      </w:r>
      <w:r w:rsidR="003E5C2E">
        <w:t xml:space="preserve">July </w:t>
      </w:r>
      <w:r w:rsidRPr="00D535FC">
        <w:t>2025.</w:t>
      </w:r>
    </w:p>
  </w:endnote>
  <w:endnote w:id="30">
    <w:p w14:paraId="617B8657" w14:textId="1697C0F6" w:rsidR="00E84D9B" w:rsidRPr="00D535FC" w:rsidRDefault="00E84D9B" w:rsidP="00804AE8">
      <w:pPr>
        <w:pStyle w:val="References"/>
        <w:ind w:left="426" w:hanging="426"/>
      </w:pPr>
      <w:r w:rsidRPr="00804AE8">
        <w:rPr>
          <w:rStyle w:val="EndnoteReference"/>
          <w:rFonts w:cs="Calibri"/>
          <w:szCs w:val="20"/>
        </w:rPr>
        <w:endnoteRef/>
      </w:r>
      <w:r w:rsidRPr="00D535FC">
        <w:t xml:space="preserve"> </w:t>
      </w:r>
      <w:r w:rsidR="006F21C8">
        <w:tab/>
      </w:r>
      <w:r w:rsidRPr="00D535FC">
        <w:rPr>
          <w:rFonts w:eastAsia="Arial"/>
        </w:rPr>
        <w:t>Tuohy</w:t>
      </w:r>
      <w:r w:rsidR="003D5950">
        <w:rPr>
          <w:rFonts w:eastAsia="Arial"/>
        </w:rPr>
        <w:t xml:space="preserve"> RJ.</w:t>
      </w:r>
      <w:r w:rsidRPr="00D535FC">
        <w:rPr>
          <w:rFonts w:eastAsia="Arial"/>
        </w:rPr>
        <w:t xml:space="preserve"> 2010. </w:t>
      </w:r>
      <w:hyperlink r:id="rId34" w:history="1">
        <w:r w:rsidRPr="00804AE8">
          <w:rPr>
            <w:rStyle w:val="Hyperlink"/>
            <w:rFonts w:cs="Calibri"/>
            <w:i/>
            <w:szCs w:val="20"/>
          </w:rPr>
          <w:t>Improving disaster preparedness of older adults living in the community</w:t>
        </w:r>
      </w:hyperlink>
      <w:r w:rsidRPr="00D535FC">
        <w:t>.</w:t>
      </w:r>
      <w:r w:rsidR="00D97742">
        <w:rPr>
          <w:rFonts w:eastAsia="Arial"/>
        </w:rPr>
        <w:t xml:space="preserve"> GNS Science Report 2010/07.</w:t>
      </w:r>
      <w:r w:rsidR="0046336B">
        <w:rPr>
          <w:rFonts w:eastAsia="Arial"/>
        </w:rPr>
        <w:t xml:space="preserve"> Institute of Geological and Nuclear Sciences Limited;</w:t>
      </w:r>
      <w:r w:rsidRPr="00D535FC">
        <w:rPr>
          <w:rFonts w:eastAsia="Arial"/>
        </w:rPr>
        <w:t xml:space="preserve"> </w:t>
      </w:r>
      <w:r w:rsidR="00C612C2">
        <w:rPr>
          <w:rFonts w:eastAsia="Arial"/>
        </w:rPr>
        <w:t xml:space="preserve">Social Wellbeing Agency. </w:t>
      </w:r>
      <w:r w:rsidRPr="00D535FC">
        <w:rPr>
          <w:rFonts w:eastAsia="Arial"/>
        </w:rPr>
        <w:t xml:space="preserve">2023. </w:t>
      </w:r>
      <w:hyperlink r:id="rId35" w:history="1">
        <w:r w:rsidRPr="00804AE8">
          <w:rPr>
            <w:rStyle w:val="Hyperlink"/>
            <w:rFonts w:cs="Calibri"/>
            <w:i/>
            <w:szCs w:val="20"/>
          </w:rPr>
          <w:t>Older people experiencing vulnerability and multiple disadvantage</w:t>
        </w:r>
        <w:r w:rsidR="0046336B" w:rsidRPr="00804AE8">
          <w:rPr>
            <w:rStyle w:val="Hyperlink"/>
            <w:rFonts w:cs="Calibri"/>
            <w:i/>
            <w:szCs w:val="20"/>
          </w:rPr>
          <w:t xml:space="preserve"> in New Zealand</w:t>
        </w:r>
        <w:r w:rsidRPr="00804AE8">
          <w:rPr>
            <w:rStyle w:val="Hyperlink"/>
            <w:rFonts w:cs="Calibri"/>
            <w:i/>
            <w:szCs w:val="20"/>
          </w:rPr>
          <w:t>: A report on the needs of older people (65+) in health, housing, finance, social connection, and access</w:t>
        </w:r>
      </w:hyperlink>
      <w:r w:rsidRPr="00D535FC">
        <w:t>.</w:t>
      </w:r>
      <w:r w:rsidR="00B41F79">
        <w:t xml:space="preserve"> </w:t>
      </w:r>
      <w:r w:rsidR="00C612C2">
        <w:t xml:space="preserve">Wellington: </w:t>
      </w:r>
      <w:r w:rsidR="00B41F79">
        <w:t xml:space="preserve">Social Wellbeing Agency | Toi Hau Tāngata, Ministry of Social Development. </w:t>
      </w:r>
    </w:p>
  </w:endnote>
  <w:endnote w:id="31">
    <w:p w14:paraId="6C923B1F" w14:textId="77777777" w:rsidR="005122A8" w:rsidRPr="00346973" w:rsidRDefault="005122A8" w:rsidP="00804AE8">
      <w:pPr>
        <w:pStyle w:val="References"/>
        <w:ind w:left="426" w:hanging="426"/>
      </w:pPr>
      <w:r w:rsidRPr="00804AE8">
        <w:rPr>
          <w:rStyle w:val="EndnoteReference"/>
          <w:rFonts w:cs="Calibri"/>
          <w:szCs w:val="20"/>
        </w:rPr>
        <w:endnoteRef/>
      </w:r>
      <w:r w:rsidRPr="00D535FC">
        <w:t xml:space="preserve"> </w:t>
      </w:r>
      <w:r>
        <w:tab/>
      </w:r>
      <w:r w:rsidRPr="00D535FC">
        <w:rPr>
          <w:rFonts w:eastAsia="Arial"/>
        </w:rPr>
        <w:t>Uitto</w:t>
      </w:r>
      <w:r>
        <w:rPr>
          <w:rFonts w:eastAsia="Arial"/>
        </w:rPr>
        <w:t xml:space="preserve"> JI.</w:t>
      </w:r>
      <w:r w:rsidRPr="00D535FC">
        <w:rPr>
          <w:rFonts w:eastAsia="Arial"/>
        </w:rPr>
        <w:t xml:space="preserve"> 1998. </w:t>
      </w:r>
      <w:r w:rsidRPr="00B16C01">
        <w:t>The geography of disaster vulnerability in megacities: A theoretical framework</w:t>
      </w:r>
      <w:r w:rsidRPr="00D535FC">
        <w:t>.</w:t>
      </w:r>
      <w:r>
        <w:t xml:space="preserve"> </w:t>
      </w:r>
      <w:r>
        <w:rPr>
          <w:i/>
        </w:rPr>
        <w:t xml:space="preserve">Applied Geography </w:t>
      </w:r>
      <w:r>
        <w:t xml:space="preserve">18(1): 7–16. </w:t>
      </w:r>
      <w:hyperlink r:id="rId36" w:history="1">
        <w:r w:rsidRPr="00F8523D">
          <w:rPr>
            <w:rStyle w:val="Hyperlink"/>
          </w:rPr>
          <w:t>https://doi.org/10.1016/S0143-6228(97)00041-6</w:t>
        </w:r>
      </w:hyperlink>
      <w:r>
        <w:t>;</w:t>
      </w:r>
      <w:r w:rsidRPr="00D535FC">
        <w:rPr>
          <w:rFonts w:eastAsia="Arial"/>
        </w:rPr>
        <w:t xml:space="preserve"> Xu </w:t>
      </w:r>
      <w:r>
        <w:rPr>
          <w:rFonts w:eastAsia="Arial"/>
        </w:rPr>
        <w:t>J</w:t>
      </w:r>
      <w:r w:rsidRPr="00D535FC">
        <w:rPr>
          <w:rFonts w:eastAsia="Arial"/>
        </w:rPr>
        <w:t>,</w:t>
      </w:r>
      <w:r>
        <w:rPr>
          <w:rFonts w:eastAsia="Arial"/>
        </w:rPr>
        <w:t xml:space="preserve"> Wang Z, Shen F, Ouyand C, Tu Y. </w:t>
      </w:r>
      <w:r w:rsidRPr="00D535FC">
        <w:rPr>
          <w:rFonts w:eastAsia="Arial"/>
        </w:rPr>
        <w:t xml:space="preserve">2016. </w:t>
      </w:r>
      <w:r w:rsidRPr="00B16C01">
        <w:t>Natural disasters and social conflict: A systematic literature review</w:t>
      </w:r>
      <w:r w:rsidRPr="00D535FC">
        <w:t>.</w:t>
      </w:r>
      <w:r>
        <w:t xml:space="preserve"> </w:t>
      </w:r>
      <w:r>
        <w:rPr>
          <w:i/>
        </w:rPr>
        <w:t>International Journal of Disaster Risk Reduction</w:t>
      </w:r>
      <w:r>
        <w:t xml:space="preserve"> 17: 38–48. </w:t>
      </w:r>
      <w:hyperlink r:id="rId37" w:history="1">
        <w:r w:rsidRPr="00F8523D">
          <w:rPr>
            <w:rStyle w:val="Hyperlink"/>
          </w:rPr>
          <w:t>https://doi.org/10.1016/j.ijdrr.2016.04.001</w:t>
        </w:r>
      </w:hyperlink>
      <w:r>
        <w:t xml:space="preserve"> </w:t>
      </w:r>
    </w:p>
  </w:endnote>
  <w:endnote w:id="32">
    <w:p w14:paraId="63625984" w14:textId="71EB5CCC" w:rsidR="006A7E2B" w:rsidRDefault="006A7E2B" w:rsidP="00804AE8">
      <w:pPr>
        <w:pStyle w:val="EndnoteText"/>
        <w:ind w:left="426" w:hanging="426"/>
      </w:pPr>
      <w:r>
        <w:rPr>
          <w:rStyle w:val="EndnoteReference"/>
        </w:rPr>
        <w:endnoteRef/>
      </w:r>
      <w:r>
        <w:t xml:space="preserve"> </w:t>
      </w:r>
      <w:r w:rsidR="00B80786">
        <w:tab/>
      </w:r>
      <w:r w:rsidR="00FA4488" w:rsidRPr="00B80786">
        <w:rPr>
          <w:rFonts w:eastAsia="Arial"/>
        </w:rPr>
        <w:t xml:space="preserve">GNS Science. 2025. Planning for Extreme Wildfire. </w:t>
      </w:r>
      <w:r w:rsidR="00B1652B" w:rsidRPr="00B80786">
        <w:rPr>
          <w:rFonts w:eastAsia="Arial"/>
        </w:rPr>
        <w:t>GNS Science Policy Brief 2025/01.</w:t>
      </w:r>
      <w:r w:rsidR="003E2A41" w:rsidRPr="00B80786">
        <w:rPr>
          <w:rFonts w:eastAsia="Arial"/>
        </w:rPr>
        <w:t xml:space="preserve"> Retrieved 10 September 2025</w:t>
      </w:r>
      <w:r w:rsidR="00411D8A">
        <w:rPr>
          <w:rFonts w:eastAsia="Arial"/>
        </w:rPr>
        <w:t>.</w:t>
      </w:r>
    </w:p>
  </w:endnote>
  <w:endnote w:id="33">
    <w:p w14:paraId="05AADFD8" w14:textId="1913CA34" w:rsidR="00E84D9B" w:rsidRPr="00D535FC" w:rsidRDefault="00E84D9B" w:rsidP="00804AE8">
      <w:pPr>
        <w:pStyle w:val="References"/>
        <w:ind w:left="426" w:hanging="426"/>
      </w:pPr>
      <w:r w:rsidRPr="00804AE8">
        <w:rPr>
          <w:rStyle w:val="EndnoteReference"/>
          <w:rFonts w:cs="Calibri"/>
          <w:szCs w:val="20"/>
        </w:rPr>
        <w:endnoteRef/>
      </w:r>
      <w:r w:rsidRPr="00D535FC">
        <w:t xml:space="preserve"> </w:t>
      </w:r>
      <w:r w:rsidR="006F21C8">
        <w:tab/>
      </w:r>
      <w:r w:rsidR="00AB4848">
        <w:t>Environmental Health Intelligence New Zealand.</w:t>
      </w:r>
      <w:r w:rsidRPr="00D535FC">
        <w:t xml:space="preserve"> 2024. </w:t>
      </w:r>
      <w:hyperlink r:id="rId38" w:history="1">
        <w:r w:rsidRPr="00B16C01">
          <w:rPr>
            <w:rStyle w:val="Hyperlink"/>
            <w:i/>
          </w:rPr>
          <w:t>Social vulnerability to the impacts of climate-related hazards in Aotearoa New Zealand</w:t>
        </w:r>
      </w:hyperlink>
      <w:r w:rsidRPr="00D535FC">
        <w:t xml:space="preserve">. </w:t>
      </w:r>
      <w:r w:rsidR="00AE0ED6">
        <w:t xml:space="preserve">Prepared for He Pou a Rangi Climate Change </w:t>
      </w:r>
      <w:r w:rsidR="004F07F9">
        <w:t>Commission</w:t>
      </w:r>
      <w:r w:rsidR="00AE0ED6">
        <w:t xml:space="preserve"> by </w:t>
      </w:r>
      <w:r w:rsidRPr="00D535FC">
        <w:t>Environmental Health Intelligence New Zealand, Massey University.</w:t>
      </w:r>
    </w:p>
  </w:endnote>
  <w:endnote w:id="34">
    <w:p w14:paraId="075A0537" w14:textId="674659C9" w:rsidR="00E84D9B" w:rsidRDefault="00E84D9B" w:rsidP="00804AE8">
      <w:pPr>
        <w:pStyle w:val="References"/>
        <w:ind w:left="426" w:hanging="426"/>
      </w:pPr>
      <w:r>
        <w:rPr>
          <w:rStyle w:val="EndnoteReference"/>
        </w:rPr>
        <w:endnoteRef/>
      </w:r>
      <w:r>
        <w:t xml:space="preserve"> </w:t>
      </w:r>
      <w:r w:rsidR="006F21C8">
        <w:tab/>
      </w:r>
      <w:r w:rsidR="006F531D">
        <w:t xml:space="preserve">European Commission. </w:t>
      </w:r>
      <w:hyperlink r:id="rId39" w:history="1">
        <w:r w:rsidR="00E4150F" w:rsidRPr="00B16C01">
          <w:rPr>
            <w:rStyle w:val="Hyperlink"/>
            <w:i/>
          </w:rPr>
          <w:t>Information manipulation and misinformation. A threat for EU civil protection and humanitarian aid</w:t>
        </w:r>
      </w:hyperlink>
      <w:r w:rsidR="006F531D">
        <w:t>.</w:t>
      </w:r>
      <w:r w:rsidR="00E4150F">
        <w:t xml:space="preserve"> Retrieved 7 July 2025.</w:t>
      </w:r>
    </w:p>
  </w:endnote>
  <w:endnote w:id="35">
    <w:p w14:paraId="01D0CBD9" w14:textId="285E45CD" w:rsidR="00E84D9B" w:rsidRPr="00D535FC" w:rsidRDefault="00E84D9B" w:rsidP="00804AE8">
      <w:pPr>
        <w:pStyle w:val="References"/>
        <w:ind w:left="426" w:hanging="426"/>
      </w:pPr>
      <w:r w:rsidRPr="00804AE8">
        <w:rPr>
          <w:rStyle w:val="EndnoteReference"/>
          <w:rFonts w:cs="Calibri"/>
          <w:szCs w:val="20"/>
        </w:rPr>
        <w:endnoteRef/>
      </w:r>
      <w:r w:rsidRPr="00D535FC">
        <w:t xml:space="preserve"> </w:t>
      </w:r>
      <w:r w:rsidR="006F21C8">
        <w:tab/>
      </w:r>
      <w:r w:rsidR="006052DA">
        <w:t>United Nations Office for Disaster Risk Reduction.</w:t>
      </w:r>
      <w:r w:rsidR="00DB7D38">
        <w:rPr>
          <w:rFonts w:eastAsia="Arial"/>
        </w:rPr>
        <w:t xml:space="preserve"> </w:t>
      </w:r>
      <w:r w:rsidRPr="00D535FC">
        <w:rPr>
          <w:rFonts w:eastAsia="Arial"/>
        </w:rPr>
        <w:t xml:space="preserve">2017. </w:t>
      </w:r>
      <w:hyperlink r:id="rId40" w:history="1">
        <w:r w:rsidRPr="00804AE8">
          <w:rPr>
            <w:rStyle w:val="Hyperlink"/>
            <w:rFonts w:cs="Calibri"/>
            <w:i/>
            <w:iCs/>
            <w:szCs w:val="20"/>
          </w:rPr>
          <w:t>Words into Action Guidelines: National Disaster Risk Assessment</w:t>
        </w:r>
        <w:r w:rsidR="00DB7D38" w:rsidRPr="00B16C01">
          <w:rPr>
            <w:rStyle w:val="Hyperlink"/>
            <w:i/>
          </w:rPr>
          <w:t>. Governance System, Methodologies and Use of Results</w:t>
        </w:r>
      </w:hyperlink>
      <w:r w:rsidR="004472E7">
        <w:rPr>
          <w:rFonts w:eastAsia="Arial"/>
        </w:rPr>
        <w:t xml:space="preserve">; </w:t>
      </w:r>
      <w:r w:rsidRPr="00D535FC">
        <w:rPr>
          <w:rFonts w:eastAsia="Arial"/>
        </w:rPr>
        <w:t>Organisation for Economic Co-</w:t>
      </w:r>
      <w:r w:rsidR="008318AA">
        <w:rPr>
          <w:rFonts w:eastAsia="Arial"/>
        </w:rPr>
        <w:t>o</w:t>
      </w:r>
      <w:r w:rsidRPr="00D535FC">
        <w:rPr>
          <w:rFonts w:eastAsia="Arial"/>
        </w:rPr>
        <w:t>peration and Development</w:t>
      </w:r>
      <w:r w:rsidR="008318AA">
        <w:rPr>
          <w:rFonts w:eastAsia="Arial"/>
        </w:rPr>
        <w:t xml:space="preserve">. </w:t>
      </w:r>
      <w:r w:rsidRPr="00D535FC">
        <w:rPr>
          <w:rFonts w:eastAsia="Arial"/>
        </w:rPr>
        <w:t xml:space="preserve">2022. </w:t>
      </w:r>
      <w:hyperlink r:id="rId41">
        <w:r w:rsidRPr="00804AE8">
          <w:rPr>
            <w:rStyle w:val="Hyperlink"/>
            <w:rFonts w:cs="Calibri"/>
            <w:i/>
            <w:szCs w:val="20"/>
          </w:rPr>
          <w:t>The Impact of Natural Hazards on Hazardous Installations</w:t>
        </w:r>
      </w:hyperlink>
      <w:r w:rsidRPr="00D535FC">
        <w:t>.</w:t>
      </w:r>
    </w:p>
  </w:endnote>
  <w:endnote w:id="36">
    <w:p w14:paraId="11DED628" w14:textId="7796FBEF" w:rsidR="16C8B4AB" w:rsidRDefault="16C8B4AB" w:rsidP="00804AE8">
      <w:pPr>
        <w:pStyle w:val="EndnoteText"/>
        <w:ind w:left="426" w:hanging="426"/>
      </w:pPr>
      <w:r w:rsidRPr="16C8B4AB">
        <w:rPr>
          <w:rStyle w:val="EndnoteReference"/>
        </w:rPr>
        <w:endnoteRef/>
      </w:r>
      <w:r>
        <w:t xml:space="preserve"> </w:t>
      </w:r>
      <w:r w:rsidR="00411D8A">
        <w:tab/>
      </w:r>
      <w:r w:rsidRPr="16C8B4AB">
        <w:rPr>
          <w:rFonts w:eastAsia="Arial"/>
          <w:color w:val="000000" w:themeColor="text1"/>
        </w:rPr>
        <w:t xml:space="preserve">Noy I. 2025. </w:t>
      </w:r>
      <w:r w:rsidRPr="16C8B4AB">
        <w:rPr>
          <w:rFonts w:cs="Calibri"/>
        </w:rPr>
        <w:t>NZ has no dedicated database to track losses from weather disasters – without it, we’re planning i</w:t>
      </w:r>
      <w:r w:rsidRPr="16C8B4AB">
        <w:rPr>
          <w:rFonts w:eastAsia="Arial"/>
          <w:color w:val="000000" w:themeColor="text1"/>
        </w:rPr>
        <w:t xml:space="preserve"> Noy I. 2025. </w:t>
      </w:r>
      <w:hyperlink r:id="rId42">
        <w:r w:rsidRPr="16C8B4AB">
          <w:rPr>
            <w:rStyle w:val="Hyperlink"/>
            <w:rFonts w:cs="Calibri"/>
          </w:rPr>
          <w:t>NZ has no dedicated database to track losses from weather disasters – without it, we’re planning in the dark</w:t>
        </w:r>
      </w:hyperlink>
      <w:r w:rsidRPr="16C8B4AB">
        <w:rPr>
          <w:i/>
        </w:rPr>
        <w:t>. The Conversation</w:t>
      </w:r>
      <w:r>
        <w:t>. 18 March.</w:t>
      </w:r>
      <w:r w:rsidRPr="16C8B4AB">
        <w:rPr>
          <w:rFonts w:cs="Calibri"/>
        </w:rPr>
        <w:t xml:space="preserve"> n the dark</w:t>
      </w:r>
      <w:r w:rsidRPr="16C8B4AB">
        <w:rPr>
          <w:i/>
        </w:rPr>
        <w:t>. The Conversation</w:t>
      </w:r>
      <w:r>
        <w:t>. 18 March.</w:t>
      </w:r>
    </w:p>
  </w:endnote>
  <w:endnote w:id="37">
    <w:p w14:paraId="392FA371" w14:textId="78F08014" w:rsidR="00912B3F" w:rsidRDefault="00912B3F" w:rsidP="00411D8A">
      <w:pPr>
        <w:pStyle w:val="EndnoteText"/>
        <w:spacing w:before="0" w:after="120"/>
        <w:ind w:left="425" w:hanging="425"/>
      </w:pPr>
      <w:r>
        <w:rPr>
          <w:rStyle w:val="EndnoteReference"/>
        </w:rPr>
        <w:endnoteRef/>
      </w:r>
      <w:r w:rsidR="00B80786">
        <w:tab/>
      </w:r>
      <w:r w:rsidRPr="00804AE8">
        <w:rPr>
          <w:rFonts w:eastAsia="Calibri" w:cs="Calibri"/>
          <w:color w:val="000000" w:themeColor="text1"/>
          <w:szCs w:val="20"/>
        </w:rPr>
        <w:t xml:space="preserve">New Zealand Government. 2024. </w:t>
      </w:r>
      <w:hyperlink r:id="rId43">
        <w:r w:rsidRPr="00804AE8">
          <w:rPr>
            <w:rStyle w:val="Hyperlink"/>
            <w:rFonts w:eastAsia="Calibri" w:cs="Calibri"/>
            <w:i/>
            <w:iCs/>
            <w:szCs w:val="20"/>
          </w:rPr>
          <w:t>Environment Committee Inquiry into Climate Adaptation: Summary of Submissions</w:t>
        </w:r>
      </w:hyperlink>
      <w:r w:rsidRPr="00804AE8">
        <w:rPr>
          <w:rFonts w:eastAsia="Calibri" w:cs="Calibri"/>
          <w:szCs w:val="20"/>
        </w:rPr>
        <w:t>. Wellington: New Zealand Government.</w:t>
      </w:r>
    </w:p>
  </w:endnote>
  <w:endnote w:id="38">
    <w:p w14:paraId="3A4AE1AA" w14:textId="4F685B04" w:rsidR="00912B3F" w:rsidRPr="00804AE8" w:rsidRDefault="00912B3F" w:rsidP="00411D8A">
      <w:pPr>
        <w:spacing w:before="0" w:line="276" w:lineRule="auto"/>
        <w:ind w:left="426" w:hanging="426"/>
        <w:jc w:val="left"/>
        <w:rPr>
          <w:rFonts w:cs="Calibri"/>
          <w:sz w:val="20"/>
          <w:szCs w:val="20"/>
        </w:rPr>
      </w:pPr>
      <w:r w:rsidRPr="00804AE8">
        <w:rPr>
          <w:rStyle w:val="EndnoteReference"/>
          <w:rFonts w:cs="Calibri"/>
          <w:sz w:val="20"/>
          <w:szCs w:val="20"/>
        </w:rPr>
        <w:endnoteRef/>
      </w:r>
      <w:r w:rsidR="00B80786">
        <w:rPr>
          <w:rFonts w:cs="Calibri"/>
          <w:sz w:val="20"/>
          <w:szCs w:val="20"/>
        </w:rPr>
        <w:tab/>
      </w:r>
      <w:r w:rsidR="007D5FD8" w:rsidRPr="00804AE8">
        <w:rPr>
          <w:rFonts w:eastAsia="Calibri" w:cs="Calibri"/>
          <w:sz w:val="20"/>
          <w:szCs w:val="20"/>
        </w:rPr>
        <w:t xml:space="preserve">Office of the Prime Minister’s Chief Science Advisor. 2016. </w:t>
      </w:r>
      <w:hyperlink r:id="rId44">
        <w:r w:rsidR="007D5FD8" w:rsidRPr="00804AE8">
          <w:rPr>
            <w:rStyle w:val="Hyperlink"/>
            <w:rFonts w:eastAsia="Calibri" w:cs="Calibri"/>
            <w:i/>
            <w:iCs/>
            <w:sz w:val="20"/>
            <w:szCs w:val="20"/>
          </w:rPr>
          <w:t>Making decisions in the face of uncertainty: Understanding Risk, Part 1, May 2016</w:t>
        </w:r>
      </w:hyperlink>
      <w:r w:rsidR="007D5FD8" w:rsidRPr="00804AE8">
        <w:rPr>
          <w:rFonts w:eastAsia="Calibri" w:cs="Calibri"/>
          <w:sz w:val="20"/>
          <w:szCs w:val="20"/>
        </w:rPr>
        <w:t>. Auckland: Office of the Prime Minister’s Chief Science Advisor.</w:t>
      </w:r>
    </w:p>
  </w:endnote>
  <w:endnote w:id="39">
    <w:p w14:paraId="3B289934" w14:textId="3ABA7FEC" w:rsidR="00381BB1" w:rsidRDefault="00381BB1" w:rsidP="00411D8A">
      <w:pPr>
        <w:pStyle w:val="EndnoteText"/>
        <w:spacing w:before="0" w:after="120" w:line="240" w:lineRule="atLeast"/>
        <w:ind w:left="425" w:hanging="425"/>
      </w:pPr>
      <w:r>
        <w:rPr>
          <w:rStyle w:val="EndnoteReference"/>
        </w:rPr>
        <w:endnoteRef/>
      </w:r>
      <w:r w:rsidR="00B80786">
        <w:tab/>
      </w:r>
      <w:r w:rsidRPr="00804AE8">
        <w:rPr>
          <w:rFonts w:eastAsia="Calibri" w:cs="Calibri"/>
          <w:szCs w:val="20"/>
        </w:rPr>
        <w:t xml:space="preserve">Natural Hazards Commission | Toka Tū Ake. </w:t>
      </w:r>
      <w:hyperlink r:id="rId45">
        <w:r w:rsidRPr="00804AE8">
          <w:rPr>
            <w:rStyle w:val="Hyperlink"/>
            <w:rFonts w:eastAsia="Calibri" w:cs="Calibri"/>
            <w:szCs w:val="20"/>
          </w:rPr>
          <w:t>Natu</w:t>
        </w:r>
        <w:r w:rsidRPr="00804AE8">
          <w:rPr>
            <w:rStyle w:val="Hyperlink"/>
            <w:rFonts w:eastAsia="Calibri" w:cs="Calibri"/>
            <w:i/>
            <w:iCs/>
            <w:szCs w:val="20"/>
          </w:rPr>
          <w:t>ral Hazards Portal: Natural hazards in your area</w:t>
        </w:r>
      </w:hyperlink>
      <w:r w:rsidRPr="00804AE8">
        <w:rPr>
          <w:rFonts w:eastAsia="Calibri" w:cs="Calibri"/>
          <w:szCs w:val="20"/>
        </w:rPr>
        <w:t>. Retrieved 7 July 2025.</w:t>
      </w:r>
    </w:p>
  </w:endnote>
  <w:endnote w:id="40">
    <w:p w14:paraId="169BB3CB" w14:textId="30A58F37" w:rsidR="00B61AB1" w:rsidRPr="00804AE8" w:rsidRDefault="00B61AB1" w:rsidP="00804AE8">
      <w:pPr>
        <w:spacing w:before="0" w:line="276" w:lineRule="auto"/>
        <w:ind w:left="426" w:hanging="426"/>
        <w:rPr>
          <w:rFonts w:cs="Calibri"/>
          <w:sz w:val="20"/>
          <w:szCs w:val="20"/>
        </w:rPr>
      </w:pPr>
      <w:r w:rsidRPr="00804AE8">
        <w:rPr>
          <w:rStyle w:val="EndnoteReference"/>
          <w:rFonts w:cs="Calibri"/>
          <w:sz w:val="20"/>
          <w:szCs w:val="20"/>
        </w:rPr>
        <w:endnoteRef/>
      </w:r>
      <w:r w:rsidR="00B80786">
        <w:rPr>
          <w:rFonts w:cs="Calibri"/>
          <w:sz w:val="20"/>
          <w:szCs w:val="20"/>
        </w:rPr>
        <w:tab/>
      </w:r>
      <w:r w:rsidRPr="00804AE8">
        <w:rPr>
          <w:rFonts w:eastAsia="Calibri" w:cs="Calibri"/>
          <w:sz w:val="20"/>
          <w:szCs w:val="20"/>
        </w:rPr>
        <w:t xml:space="preserve">Nicholls K, Yankanna A, Nguyen C, Wild D. 2024. </w:t>
      </w:r>
      <w:hyperlink r:id="rId46">
        <w:r w:rsidRPr="00804AE8">
          <w:rPr>
            <w:rStyle w:val="Hyperlink"/>
            <w:rFonts w:eastAsia="Calibri" w:cs="Calibri"/>
            <w:sz w:val="20"/>
            <w:szCs w:val="20"/>
          </w:rPr>
          <w:t>General Insurance Industry Stress Test Results</w:t>
        </w:r>
      </w:hyperlink>
      <w:r w:rsidRPr="00804AE8">
        <w:rPr>
          <w:rFonts w:eastAsia="Calibri" w:cs="Calibri"/>
          <w:sz w:val="20"/>
          <w:szCs w:val="20"/>
        </w:rPr>
        <w:t xml:space="preserve">. </w:t>
      </w:r>
      <w:r w:rsidRPr="00804AE8">
        <w:rPr>
          <w:rFonts w:eastAsia="Calibri" w:cs="Calibri"/>
          <w:i/>
          <w:iCs/>
          <w:sz w:val="20"/>
          <w:szCs w:val="20"/>
        </w:rPr>
        <w:t>Reserve Bank of New Zealand Bulletin</w:t>
      </w:r>
      <w:r w:rsidRPr="00804AE8">
        <w:rPr>
          <w:rFonts w:eastAsia="Calibri" w:cs="Calibri"/>
          <w:sz w:val="20"/>
          <w:szCs w:val="20"/>
        </w:rPr>
        <w:t xml:space="preserve"> 88(2): 1–25; Carvalho PA, Baker B, Farquharson A. 2022. </w:t>
      </w:r>
      <w:hyperlink r:id="rId47">
        <w:r w:rsidRPr="00804AE8">
          <w:rPr>
            <w:rStyle w:val="Hyperlink"/>
            <w:rFonts w:eastAsia="Calibri" w:cs="Calibri"/>
            <w:i/>
            <w:iCs/>
            <w:sz w:val="20"/>
            <w:szCs w:val="20"/>
          </w:rPr>
          <w:t>Housing as an Investment Asset in New Zealand: Looking at risk-adjusted portfolio choices</w:t>
        </w:r>
      </w:hyperlink>
      <w:r w:rsidRPr="00804AE8">
        <w:rPr>
          <w:rFonts w:eastAsia="Calibri" w:cs="Calibri"/>
          <w:sz w:val="20"/>
          <w:szCs w:val="20"/>
        </w:rPr>
        <w:t>. Reserve Bank of New Zealand Analytical Note Series. Wellington: Reserve Bank of New Zealand.</w:t>
      </w:r>
      <w:r w:rsidRPr="00804AE8">
        <w:rPr>
          <w:rFonts w:eastAsia="Calibri" w:cs="Calibri"/>
          <w:i/>
          <w:iCs/>
          <w:sz w:val="20"/>
          <w:szCs w:val="20"/>
        </w:rPr>
        <w:t xml:space="preserve"> </w:t>
      </w:r>
    </w:p>
  </w:endnote>
  <w:endnote w:id="41">
    <w:p w14:paraId="66DF1FA2" w14:textId="2D82D1FC" w:rsidR="00372FE0" w:rsidRPr="00804AE8" w:rsidRDefault="00372FE0" w:rsidP="00804AE8">
      <w:pPr>
        <w:spacing w:before="0" w:line="276" w:lineRule="auto"/>
        <w:ind w:left="426" w:hanging="426"/>
        <w:rPr>
          <w:rFonts w:cs="Calibri"/>
          <w:sz w:val="20"/>
          <w:szCs w:val="20"/>
        </w:rPr>
      </w:pPr>
      <w:r w:rsidRPr="00804AE8">
        <w:rPr>
          <w:rStyle w:val="EndnoteReference"/>
          <w:rFonts w:cs="Calibri"/>
          <w:sz w:val="20"/>
          <w:szCs w:val="20"/>
        </w:rPr>
        <w:endnoteRef/>
      </w:r>
      <w:r w:rsidR="00B80786">
        <w:rPr>
          <w:rFonts w:cs="Calibri"/>
          <w:sz w:val="20"/>
          <w:szCs w:val="20"/>
        </w:rPr>
        <w:tab/>
      </w:r>
      <w:r w:rsidRPr="00804AE8">
        <w:rPr>
          <w:rFonts w:eastAsia="Calibri" w:cs="Calibri"/>
          <w:sz w:val="20"/>
          <w:szCs w:val="20"/>
        </w:rPr>
        <w:t>Newton K. 2024.</w:t>
      </w:r>
      <w:hyperlink r:id="rId48">
        <w:r w:rsidRPr="00804AE8">
          <w:rPr>
            <w:rStyle w:val="Hyperlink"/>
            <w:rFonts w:eastAsia="Calibri" w:cs="Calibri"/>
            <w:sz w:val="20"/>
            <w:szCs w:val="20"/>
          </w:rPr>
          <w:t>Treasury data shows insurers honing in on flood-risk properties</w:t>
        </w:r>
      </w:hyperlink>
      <w:r w:rsidRPr="00804AE8">
        <w:rPr>
          <w:rFonts w:eastAsia="Calibri" w:cs="Calibri"/>
          <w:sz w:val="20"/>
          <w:szCs w:val="20"/>
        </w:rPr>
        <w:t xml:space="preserve">. </w:t>
      </w:r>
      <w:r w:rsidRPr="00804AE8">
        <w:rPr>
          <w:rFonts w:eastAsia="Calibri" w:cs="Calibri"/>
          <w:i/>
          <w:iCs/>
          <w:sz w:val="20"/>
          <w:szCs w:val="20"/>
        </w:rPr>
        <w:t>RNZ</w:t>
      </w:r>
      <w:r w:rsidRPr="00804AE8">
        <w:rPr>
          <w:rFonts w:eastAsia="Calibri" w:cs="Calibri"/>
          <w:sz w:val="20"/>
          <w:szCs w:val="20"/>
        </w:rPr>
        <w:t xml:space="preserve"> 24 July; Insurance Council of New Zealand. 2025. </w:t>
      </w:r>
      <w:hyperlink r:id="rId49">
        <w:r w:rsidRPr="00804AE8">
          <w:rPr>
            <w:rStyle w:val="Hyperlink"/>
            <w:rFonts w:eastAsia="Calibri" w:cs="Calibri"/>
            <w:i/>
            <w:iCs/>
            <w:sz w:val="20"/>
            <w:szCs w:val="20"/>
          </w:rPr>
          <w:t>Annual Review 2024</w:t>
        </w:r>
        <w:r w:rsidRPr="00804AE8">
          <w:rPr>
            <w:rStyle w:val="Hyperlink"/>
            <w:rFonts w:eastAsia="Calibri" w:cs="Calibri"/>
            <w:sz w:val="20"/>
            <w:szCs w:val="20"/>
          </w:rPr>
          <w:t>.</w:t>
        </w:r>
      </w:hyperlink>
    </w:p>
  </w:endnote>
  <w:endnote w:id="42">
    <w:p w14:paraId="2A48CD4E" w14:textId="3C576617" w:rsidR="007147D5" w:rsidRDefault="007147D5" w:rsidP="00804AE8">
      <w:pPr>
        <w:pStyle w:val="EndnoteText"/>
        <w:ind w:left="426" w:hanging="426"/>
      </w:pPr>
      <w:r>
        <w:rPr>
          <w:rStyle w:val="EndnoteReference"/>
        </w:rPr>
        <w:endnoteRef/>
      </w:r>
      <w:r w:rsidR="00B80786">
        <w:tab/>
      </w:r>
      <w:r w:rsidRPr="00804AE8">
        <w:rPr>
          <w:rFonts w:eastAsia="Calibri" w:cs="Calibri"/>
          <w:szCs w:val="20"/>
        </w:rPr>
        <w:t xml:space="preserve">Ministry for the Environment. 2025. </w:t>
      </w:r>
      <w:hyperlink r:id="rId50">
        <w:r w:rsidRPr="00804AE8">
          <w:rPr>
            <w:rStyle w:val="Hyperlink"/>
            <w:rFonts w:eastAsia="Calibri" w:cs="Calibri"/>
            <w:szCs w:val="20"/>
          </w:rPr>
          <w:t>A proposed approach for New Zealand's adaptation framework.</w:t>
        </w:r>
      </w:hyperlink>
      <w:r w:rsidRPr="00804AE8">
        <w:rPr>
          <w:rFonts w:eastAsia="Calibri" w:cs="Calibri"/>
          <w:szCs w:val="20"/>
        </w:rPr>
        <w:t xml:space="preserve"> Wellington: Ministry for the Environment.</w:t>
      </w:r>
    </w:p>
  </w:endnote>
  <w:endnote w:id="43">
    <w:p w14:paraId="0A6A6921" w14:textId="7FF44BA8" w:rsidR="0068639B" w:rsidRDefault="0068639B" w:rsidP="00804AE8">
      <w:pPr>
        <w:pStyle w:val="EndnoteText"/>
        <w:ind w:left="426" w:hanging="426"/>
      </w:pPr>
      <w:r>
        <w:rPr>
          <w:rStyle w:val="EndnoteReference"/>
        </w:rPr>
        <w:endnoteRef/>
      </w:r>
      <w:r>
        <w:t xml:space="preserve"> </w:t>
      </w:r>
      <w:r w:rsidR="00B80786">
        <w:tab/>
      </w:r>
      <w:r w:rsidR="00B07662" w:rsidRPr="00804AE8">
        <w:rPr>
          <w:rFonts w:eastAsia="Calibri" w:cs="Calibri"/>
          <w:szCs w:val="20"/>
        </w:rPr>
        <w:t xml:space="preserve">Storey B, Owen S, Noy I, Zammit C. 2020. </w:t>
      </w:r>
      <w:hyperlink r:id="rId51">
        <w:r w:rsidR="00B07662" w:rsidRPr="00804AE8">
          <w:rPr>
            <w:rStyle w:val="Hyperlink"/>
            <w:rFonts w:eastAsia="Calibri" w:cs="Calibri"/>
            <w:i/>
            <w:iCs/>
            <w:szCs w:val="20"/>
          </w:rPr>
          <w:t>Insurance Retreat: Sea level rise and the withdrawal of residential insurance in Aotearoa New Zealand</w:t>
        </w:r>
      </w:hyperlink>
      <w:r w:rsidR="00B07662" w:rsidRPr="00804AE8">
        <w:rPr>
          <w:rFonts w:eastAsia="Calibri" w:cs="Calibri"/>
          <w:szCs w:val="20"/>
        </w:rPr>
        <w:t>. Prepared for the Ministry of Business, Innovation and Employment through the Deep South National Science Challenge.</w:t>
      </w:r>
    </w:p>
  </w:endnote>
  <w:endnote w:id="44">
    <w:p w14:paraId="20BA39DA" w14:textId="5A075AED" w:rsidR="005F1C82" w:rsidRDefault="005F1C82" w:rsidP="000C099F">
      <w:pPr>
        <w:pStyle w:val="EndnoteText"/>
        <w:spacing w:before="0" w:after="120"/>
        <w:ind w:left="425" w:hanging="425"/>
      </w:pPr>
      <w:r>
        <w:rPr>
          <w:rStyle w:val="EndnoteReference"/>
        </w:rPr>
        <w:endnoteRef/>
      </w:r>
      <w:r>
        <w:t xml:space="preserve"> </w:t>
      </w:r>
      <w:r w:rsidR="00B80786">
        <w:tab/>
      </w:r>
      <w:r w:rsidRPr="00804AE8">
        <w:rPr>
          <w:rFonts w:eastAsia="Calibri" w:cs="Calibri"/>
          <w:szCs w:val="20"/>
        </w:rPr>
        <w:t xml:space="preserve">Storey B, Owen S, Zammit C, Noy, I. 2024. Insurance retreat in residential properties from future sea level rise in Aotearoa New Zealand. </w:t>
      </w:r>
      <w:r w:rsidRPr="00804AE8">
        <w:rPr>
          <w:rFonts w:eastAsia="Calibri" w:cs="Calibri"/>
          <w:i/>
          <w:iCs/>
          <w:szCs w:val="20"/>
        </w:rPr>
        <w:t xml:space="preserve">Climatic Change </w:t>
      </w:r>
      <w:r w:rsidRPr="00804AE8">
        <w:rPr>
          <w:rFonts w:eastAsia="Calibri" w:cs="Calibri"/>
          <w:szCs w:val="20"/>
        </w:rPr>
        <w:t xml:space="preserve">177: 44. </w:t>
      </w:r>
      <w:hyperlink r:id="rId52">
        <w:r w:rsidRPr="00804AE8">
          <w:rPr>
            <w:rStyle w:val="Hyperlink"/>
            <w:rFonts w:eastAsia="Calibri" w:cs="Calibri"/>
            <w:szCs w:val="20"/>
          </w:rPr>
          <w:t>https://doi.org/10.1007/s10584-024-03699-1</w:t>
        </w:r>
      </w:hyperlink>
    </w:p>
  </w:endnote>
  <w:endnote w:id="45">
    <w:p w14:paraId="65611C0D" w14:textId="67380957" w:rsidR="00683DD3" w:rsidRPr="00804AE8" w:rsidRDefault="00683DD3" w:rsidP="00804AE8">
      <w:pPr>
        <w:spacing w:before="0" w:line="276" w:lineRule="auto"/>
        <w:ind w:left="426" w:hanging="426"/>
        <w:rPr>
          <w:rFonts w:cs="Calibri"/>
          <w:sz w:val="20"/>
          <w:szCs w:val="20"/>
        </w:rPr>
      </w:pPr>
      <w:r w:rsidRPr="00804AE8">
        <w:rPr>
          <w:rStyle w:val="EndnoteReference"/>
          <w:rFonts w:cs="Calibri"/>
          <w:sz w:val="20"/>
          <w:szCs w:val="20"/>
        </w:rPr>
        <w:endnoteRef/>
      </w:r>
      <w:r w:rsidRPr="00804AE8">
        <w:rPr>
          <w:rFonts w:cs="Calibri"/>
          <w:sz w:val="20"/>
          <w:szCs w:val="20"/>
        </w:rPr>
        <w:t xml:space="preserve"> </w:t>
      </w:r>
      <w:r w:rsidR="00B80786">
        <w:rPr>
          <w:rFonts w:cs="Calibri"/>
          <w:sz w:val="20"/>
          <w:szCs w:val="20"/>
        </w:rPr>
        <w:tab/>
      </w:r>
      <w:hyperlink r:id="rId53">
        <w:r w:rsidRPr="00804AE8">
          <w:rPr>
            <w:rStyle w:val="Hyperlink"/>
            <w:rFonts w:eastAsia="Calibri" w:cs="Calibri"/>
            <w:sz w:val="20"/>
            <w:szCs w:val="20"/>
          </w:rPr>
          <w:t>The future of insurance cover for weather-related natural disasters</w:t>
        </w:r>
      </w:hyperlink>
      <w:r w:rsidRPr="00804AE8">
        <w:rPr>
          <w:rFonts w:eastAsia="Calibri" w:cs="Calibri"/>
          <w:sz w:val="20"/>
          <w:szCs w:val="20"/>
        </w:rPr>
        <w:t xml:space="preserve">. In: MinterEllisionRuddWatts </w:t>
      </w:r>
      <w:r w:rsidRPr="00804AE8">
        <w:rPr>
          <w:rFonts w:eastAsia="Calibri" w:cs="Calibri"/>
          <w:i/>
          <w:iCs/>
          <w:sz w:val="20"/>
          <w:szCs w:val="20"/>
        </w:rPr>
        <w:t>Cover to Cover</w:t>
      </w:r>
      <w:r w:rsidRPr="00804AE8">
        <w:rPr>
          <w:rFonts w:eastAsia="Calibri" w:cs="Calibri"/>
          <w:sz w:val="20"/>
          <w:szCs w:val="20"/>
        </w:rPr>
        <w:t xml:space="preserve"> Issue 29. pp 17–19.</w:t>
      </w:r>
    </w:p>
  </w:endnote>
  <w:endnote w:id="46">
    <w:p w14:paraId="5988937F" w14:textId="77777777" w:rsidR="0082730D" w:rsidRPr="00D535FC" w:rsidRDefault="0082730D" w:rsidP="00804AE8">
      <w:pPr>
        <w:pStyle w:val="References"/>
        <w:ind w:left="426" w:hanging="426"/>
      </w:pPr>
      <w:r w:rsidRPr="00804AE8">
        <w:rPr>
          <w:rStyle w:val="EndnoteReference"/>
          <w:rFonts w:cs="Calibri"/>
          <w:szCs w:val="20"/>
        </w:rPr>
        <w:endnoteRef/>
      </w:r>
      <w:r w:rsidRPr="00D535FC">
        <w:t xml:space="preserve"> </w:t>
      </w:r>
      <w:r>
        <w:tab/>
      </w:r>
      <w:r w:rsidRPr="00D535FC">
        <w:rPr>
          <w:rFonts w:eastAsia="Arial"/>
        </w:rPr>
        <w:t>HM Treasury</w:t>
      </w:r>
      <w:r>
        <w:rPr>
          <w:rFonts w:eastAsia="Arial"/>
        </w:rPr>
        <w:t>.</w:t>
      </w:r>
      <w:r w:rsidRPr="00D535FC">
        <w:rPr>
          <w:rFonts w:eastAsia="Arial"/>
        </w:rPr>
        <w:t xml:space="preserve"> 2020. </w:t>
      </w:r>
      <w:hyperlink r:id="rId54" w:history="1">
        <w:r w:rsidRPr="00804AE8">
          <w:rPr>
            <w:rStyle w:val="Hyperlink"/>
            <w:rFonts w:cs="Calibri"/>
            <w:i/>
            <w:iCs/>
            <w:szCs w:val="20"/>
          </w:rPr>
          <w:t>Government as insurer of last resort: managing contingent liabilities in the public sector</w:t>
        </w:r>
      </w:hyperlink>
      <w:r w:rsidRPr="00D535FC">
        <w:t>.</w:t>
      </w:r>
      <w:r>
        <w:t xml:space="preserve"> United Kingdom: HM Treasury.</w:t>
      </w:r>
    </w:p>
  </w:endnote>
  <w:endnote w:id="47">
    <w:p w14:paraId="678F477A" w14:textId="5FB47B5B" w:rsidR="0082730D" w:rsidRPr="000C099F" w:rsidRDefault="0082730D" w:rsidP="00804AE8">
      <w:pPr>
        <w:pStyle w:val="References"/>
        <w:ind w:left="426" w:hanging="426"/>
        <w:rPr>
          <w:lang w:val="en-GB"/>
        </w:rPr>
      </w:pPr>
      <w:r w:rsidRPr="00804AE8">
        <w:rPr>
          <w:rStyle w:val="EndnoteReference"/>
          <w:rFonts w:cs="Calibri"/>
          <w:szCs w:val="20"/>
        </w:rPr>
        <w:endnoteRef/>
      </w:r>
      <w:r w:rsidRPr="00D535FC">
        <w:t xml:space="preserve"> </w:t>
      </w:r>
      <w:r>
        <w:tab/>
      </w:r>
      <w:r w:rsidRPr="00375A7E">
        <w:rPr>
          <w:lang w:val="en-GB"/>
        </w:rPr>
        <w:t>Including but not limited to:</w:t>
      </w:r>
      <w:r>
        <w:rPr>
          <w:lang w:val="en-GB"/>
        </w:rPr>
        <w:t xml:space="preserve"> Department of Internal Affairs. 2024.</w:t>
      </w:r>
      <w:r w:rsidRPr="00D535FC">
        <w:rPr>
          <w:lang w:val="en-GB"/>
        </w:rPr>
        <w:t xml:space="preserve"> </w:t>
      </w:r>
      <w:hyperlink r:id="rId55" w:history="1">
        <w:r w:rsidRPr="00804AE8">
          <w:rPr>
            <w:rStyle w:val="Hyperlink"/>
            <w:rFonts w:cs="Calibri"/>
            <w:i/>
            <w:szCs w:val="20"/>
          </w:rPr>
          <w:t>Report of the Government Inquiry into the Response to the North Island Severe Weather Events</w:t>
        </w:r>
      </w:hyperlink>
      <w:r w:rsidR="00681BC1">
        <w:t>. Wellington: Department of Internal Affairs</w:t>
      </w:r>
      <w:r>
        <w:t xml:space="preserve">; Ministry of Civil Defence. 2017. </w:t>
      </w:r>
      <w:hyperlink r:id="rId56" w:history="1">
        <w:r w:rsidRPr="00804AE8">
          <w:rPr>
            <w:rStyle w:val="Hyperlink"/>
            <w:rFonts w:cs="Calibri"/>
            <w:i/>
            <w:szCs w:val="20"/>
          </w:rPr>
          <w:t>Ministerial Review: Better Responses to Natural Disasters and Other Emergencies in New Zealand</w:t>
        </w:r>
      </w:hyperlink>
      <w:r w:rsidR="00737640">
        <w:t xml:space="preserve">. </w:t>
      </w:r>
      <w:r w:rsidR="00BE6F8B">
        <w:t xml:space="preserve">Wellington: </w:t>
      </w:r>
      <w:r w:rsidR="00737640">
        <w:t>Department of the Prime Minister and Cabinet</w:t>
      </w:r>
      <w:r>
        <w:t>; Ministerial Inquiry into Land Uses in Tairawhiti and Wairoa. 2023.</w:t>
      </w:r>
      <w:r w:rsidRPr="00D535FC">
        <w:rPr>
          <w:i/>
        </w:rPr>
        <w:t xml:space="preserve"> </w:t>
      </w:r>
      <w:hyperlink r:id="rId57" w:history="1">
        <w:r w:rsidRPr="00804AE8">
          <w:rPr>
            <w:rStyle w:val="Hyperlink"/>
            <w:rFonts w:cs="Calibri"/>
            <w:i/>
            <w:szCs w:val="20"/>
          </w:rPr>
          <w:t>Outrage to optimism: Report of the Ministerial Inquiry into land uses associated with the mobilisation of woody debris (including forestry slash) and sediment in Tairawhiti/Gisborne District and Wairoa District</w:t>
        </w:r>
      </w:hyperlink>
      <w:r w:rsidR="005773F7">
        <w:t>. Wellington: Ministry for the Environment</w:t>
      </w:r>
      <w:r>
        <w:t>; Bush International Consulting. 2023.</w:t>
      </w:r>
      <w:r w:rsidRPr="00D535FC">
        <w:rPr>
          <w:i/>
        </w:rPr>
        <w:t xml:space="preserve"> </w:t>
      </w:r>
      <w:hyperlink r:id="rId58" w:history="1">
        <w:r w:rsidRPr="00804AE8">
          <w:rPr>
            <w:rStyle w:val="Hyperlink"/>
            <w:rFonts w:cs="Calibri"/>
            <w:i/>
            <w:szCs w:val="20"/>
          </w:rPr>
          <w:t>Auckland flood response review: Independent, external review of events, January 27–29, 2023</w:t>
        </w:r>
      </w:hyperlink>
      <w:r w:rsidR="00E84FE0">
        <w:t>. Auckland: Auckland Council</w:t>
      </w:r>
      <w:r>
        <w:t>; Bush International Consulting. 2024.</w:t>
      </w:r>
      <w:r w:rsidRPr="00D535FC">
        <w:rPr>
          <w:i/>
        </w:rPr>
        <w:t xml:space="preserve"> </w:t>
      </w:r>
      <w:hyperlink r:id="rId59" w:history="1">
        <w:r w:rsidRPr="00804AE8">
          <w:rPr>
            <w:rStyle w:val="Hyperlink"/>
            <w:rFonts w:cs="Calibri"/>
            <w:i/>
            <w:szCs w:val="20"/>
          </w:rPr>
          <w:t>Hawke's Bay Civil Defence and Emergency Management Group Response to Cyclone Gabrielle</w:t>
        </w:r>
      </w:hyperlink>
      <w:r w:rsidR="00F8628E">
        <w:t>. Hawke’s Bay: Hawke’s Bay Emergency Management</w:t>
      </w:r>
      <w:r>
        <w:t xml:space="preserve">; </w:t>
      </w:r>
      <w:r w:rsidRPr="00804AE8">
        <w:rPr>
          <w:rFonts w:cs="Calibri"/>
          <w:szCs w:val="20"/>
        </w:rPr>
        <w:t xml:space="preserve">Royal Commission of Inquiry into COVID-19 Lessons Learned. 2024. </w:t>
      </w:r>
      <w:hyperlink r:id="rId60" w:history="1">
        <w:r w:rsidRPr="00804AE8">
          <w:rPr>
            <w:rStyle w:val="Hyperlink"/>
            <w:rFonts w:cs="Calibri"/>
            <w:i/>
            <w:iCs/>
            <w:szCs w:val="20"/>
          </w:rPr>
          <w:t>COVID-19 Lessons Learned Main Report</w:t>
        </w:r>
      </w:hyperlink>
      <w:r w:rsidR="00A7732D">
        <w:t>.</w:t>
      </w:r>
      <w:r w:rsidR="009F3762">
        <w:t xml:space="preserve"> </w:t>
      </w:r>
      <w:r w:rsidR="00A7732D">
        <w:t xml:space="preserve">Wellington: </w:t>
      </w:r>
      <w:r w:rsidR="009F3762" w:rsidRPr="00804AE8">
        <w:rPr>
          <w:rFonts w:cs="Calibri"/>
          <w:szCs w:val="20"/>
        </w:rPr>
        <w:t>Royal Commission of Inquiry into COVID-19 Lessons Learned</w:t>
      </w:r>
      <w:r w:rsidRPr="00804AE8">
        <w:rPr>
          <w:rFonts w:cs="Calibri"/>
          <w:szCs w:val="20"/>
        </w:rPr>
        <w:t>; Review into the Future for Local Government. 2023.</w:t>
      </w:r>
      <w:r w:rsidRPr="00D535FC">
        <w:rPr>
          <w:i/>
        </w:rPr>
        <w:t xml:space="preserve"> </w:t>
      </w:r>
      <w:hyperlink r:id="rId61" w:history="1">
        <w:r w:rsidRPr="00804AE8">
          <w:rPr>
            <w:rStyle w:val="Hyperlink"/>
            <w:rFonts w:cs="Calibri"/>
            <w:i/>
            <w:szCs w:val="20"/>
          </w:rPr>
          <w:t>He piki tūranga, he piki kōtuku – The future for local government</w:t>
        </w:r>
      </w:hyperlink>
      <w:r w:rsidR="002F03BC">
        <w:t>. Wellington: Department of Internal Affairs</w:t>
      </w:r>
      <w:r>
        <w:t xml:space="preserve">; National Emergency Management Agency. 2024. </w:t>
      </w:r>
      <w:hyperlink r:id="rId62" w:history="1">
        <w:r w:rsidRPr="00804AE8">
          <w:rPr>
            <w:rStyle w:val="Hyperlink"/>
            <w:rFonts w:cs="Calibri"/>
            <w:i/>
            <w:szCs w:val="20"/>
          </w:rPr>
          <w:t>2023 North Island Severe Weather Events: NEMA's Internal Operational Lessons Report</w:t>
        </w:r>
      </w:hyperlink>
      <w:r w:rsidRPr="00D535FC">
        <w:t>.</w:t>
      </w:r>
      <w:r w:rsidR="003E6B4F">
        <w:t xml:space="preserve"> Wellington: National Emergency Management Agency.</w:t>
      </w:r>
    </w:p>
  </w:endnote>
  <w:endnote w:id="48">
    <w:p w14:paraId="7EB5F313" w14:textId="5EFDF19A" w:rsidR="0082730D" w:rsidRPr="00D535FC" w:rsidRDefault="0082730D" w:rsidP="00804AE8">
      <w:pPr>
        <w:pStyle w:val="References"/>
        <w:ind w:left="426" w:hanging="426"/>
      </w:pPr>
      <w:r w:rsidRPr="00804AE8">
        <w:rPr>
          <w:rStyle w:val="EndnoteReference"/>
          <w:rFonts w:cs="Calibri"/>
          <w:szCs w:val="20"/>
        </w:rPr>
        <w:endnoteRef/>
      </w:r>
      <w:r w:rsidRPr="00D535FC">
        <w:t xml:space="preserve"> </w:t>
      </w:r>
      <w:r>
        <w:tab/>
      </w:r>
      <w:r w:rsidRPr="00D535FC">
        <w:rPr>
          <w:rFonts w:eastAsia="Calibri"/>
        </w:rPr>
        <w:t xml:space="preserve">Insurance Council of New Zealand. </w:t>
      </w:r>
      <w:hyperlink r:id="rId63" w:history="1">
        <w:r w:rsidRPr="00804AE8">
          <w:rPr>
            <w:rStyle w:val="Hyperlink"/>
            <w:rFonts w:cs="Calibri"/>
            <w:i/>
            <w:szCs w:val="20"/>
          </w:rPr>
          <w:t>Cost of natural disasters</w:t>
        </w:r>
      </w:hyperlink>
      <w:r w:rsidRPr="00D535FC">
        <w:t xml:space="preserve">. Retrieved 7 </w:t>
      </w:r>
      <w:r>
        <w:t>July</w:t>
      </w:r>
      <w:r w:rsidRPr="00D535FC">
        <w:t xml:space="preserve"> 2025</w:t>
      </w:r>
      <w:r w:rsidR="005E77F5">
        <w:t>.</w:t>
      </w:r>
    </w:p>
  </w:endnote>
  <w:endnote w:id="49">
    <w:p w14:paraId="253B255A" w14:textId="776D00B8" w:rsidR="0082730D" w:rsidRPr="00A8022B" w:rsidRDefault="0082730D" w:rsidP="00804AE8">
      <w:pPr>
        <w:pStyle w:val="References"/>
        <w:ind w:left="426" w:hanging="426"/>
      </w:pPr>
      <w:r w:rsidRPr="00804AE8">
        <w:rPr>
          <w:rStyle w:val="EndnoteReference"/>
          <w:rFonts w:cs="Calibri"/>
          <w:szCs w:val="20"/>
        </w:rPr>
        <w:endnoteRef/>
      </w:r>
      <w:r w:rsidRPr="00D535FC">
        <w:t xml:space="preserve"> </w:t>
      </w:r>
      <w:r>
        <w:tab/>
      </w:r>
      <w:r w:rsidRPr="00654AAF">
        <w:t xml:space="preserve">Sharifi A. 2021. </w:t>
      </w:r>
      <w:r w:rsidRPr="00B16C01">
        <w:t>Co-benefits and synergies between urban climate change mitigation and adaptation measures: A literature review</w:t>
      </w:r>
      <w:r w:rsidRPr="00654AAF">
        <w:t xml:space="preserve">. </w:t>
      </w:r>
      <w:r w:rsidRPr="00000A06">
        <w:rPr>
          <w:i/>
        </w:rPr>
        <w:t>Science of the Total Environment</w:t>
      </w:r>
      <w:r w:rsidRPr="00654AAF">
        <w:t xml:space="preserve"> 750: 141642. </w:t>
      </w:r>
      <w:hyperlink r:id="rId64" w:history="1">
        <w:r w:rsidRPr="0004468A">
          <w:rPr>
            <w:color w:val="32809C"/>
          </w:rPr>
          <w:t>https://doi.org/10.1016/j.scitotenv.2020.141642</w:t>
        </w:r>
      </w:hyperlink>
    </w:p>
  </w:endnote>
  <w:endnote w:id="50">
    <w:p w14:paraId="013AE3A1" w14:textId="1B18545F" w:rsidR="006D7DA3" w:rsidRPr="00D535FC" w:rsidRDefault="006D7DA3" w:rsidP="00804AE8">
      <w:pPr>
        <w:pStyle w:val="References"/>
        <w:ind w:left="426" w:hanging="426"/>
      </w:pPr>
      <w:r w:rsidRPr="00804AE8">
        <w:rPr>
          <w:rStyle w:val="EndnoteReference"/>
          <w:rFonts w:cs="Calibri"/>
          <w:szCs w:val="20"/>
        </w:rPr>
        <w:endnoteRef/>
      </w:r>
      <w:r w:rsidRPr="00D535FC">
        <w:t xml:space="preserve"> </w:t>
      </w:r>
      <w:r w:rsidR="006F21C8">
        <w:tab/>
      </w:r>
      <w:r w:rsidR="00EF05B8">
        <w:t>For more information, s</w:t>
      </w:r>
      <w:r w:rsidRPr="00D535FC">
        <w:t xml:space="preserve">ee </w:t>
      </w:r>
      <w:r w:rsidR="00EF05B8">
        <w:t xml:space="preserve">Department of the Prime Minister and Cabinet. </w:t>
      </w:r>
      <w:hyperlink r:id="rId65" w:history="1">
        <w:r w:rsidRPr="00804AE8">
          <w:rPr>
            <w:rStyle w:val="Hyperlink"/>
            <w:rFonts w:cs="Calibri"/>
            <w:i/>
            <w:szCs w:val="20"/>
          </w:rPr>
          <w:t>National Risk and Resilience Framework</w:t>
        </w:r>
      </w:hyperlink>
      <w:r w:rsidRPr="00D535FC">
        <w:t xml:space="preserve">. Retrieved 7 </w:t>
      </w:r>
      <w:r w:rsidR="00EF05B8">
        <w:t xml:space="preserve">July </w:t>
      </w:r>
      <w:r w:rsidRPr="00D535FC">
        <w:t>2025.</w:t>
      </w:r>
    </w:p>
  </w:endnote>
  <w:endnote w:id="51">
    <w:p w14:paraId="4B3B53A8" w14:textId="23791F5E" w:rsidR="006D7DA3" w:rsidRPr="00D535FC" w:rsidRDefault="006D7DA3" w:rsidP="00804AE8">
      <w:pPr>
        <w:pStyle w:val="References"/>
        <w:ind w:left="426" w:hanging="426"/>
      </w:pPr>
      <w:r w:rsidRPr="00804AE8">
        <w:rPr>
          <w:rStyle w:val="EndnoteReference"/>
          <w:rFonts w:cs="Calibri"/>
          <w:szCs w:val="20"/>
        </w:rPr>
        <w:endnoteRef/>
      </w:r>
      <w:r w:rsidRPr="00D535FC">
        <w:t xml:space="preserve"> </w:t>
      </w:r>
      <w:r w:rsidR="006F21C8">
        <w:tab/>
      </w:r>
      <w:r w:rsidR="009161BE">
        <w:t xml:space="preserve">For more information, see Ministry for the Environment. 2022. </w:t>
      </w:r>
      <w:hyperlink r:id="rId66" w:history="1">
        <w:r w:rsidR="00971B6A" w:rsidRPr="00971B6A">
          <w:rPr>
            <w:rStyle w:val="Hyperlink"/>
            <w:i/>
          </w:rPr>
          <w:t>Aotearoa New Zealand’s first national adaptation plan</w:t>
        </w:r>
      </w:hyperlink>
      <w:r w:rsidR="00971B6A">
        <w:rPr>
          <w:i/>
        </w:rPr>
        <w:t xml:space="preserve">. </w:t>
      </w:r>
      <w:r w:rsidR="00971B6A">
        <w:t>Wellington: Ministry for the Environment</w:t>
      </w:r>
      <w:r w:rsidRPr="00D535FC">
        <w:t>.</w:t>
      </w:r>
    </w:p>
  </w:endnote>
  <w:endnote w:id="52">
    <w:p w14:paraId="3E052867" w14:textId="7EE551B0" w:rsidR="006D7DA3" w:rsidRPr="00D535FC" w:rsidRDefault="006D7DA3" w:rsidP="00804AE8">
      <w:pPr>
        <w:pStyle w:val="References"/>
        <w:ind w:left="426" w:hanging="426"/>
      </w:pPr>
      <w:r w:rsidRPr="00804AE8">
        <w:rPr>
          <w:rStyle w:val="EndnoteReference"/>
          <w:rFonts w:cs="Calibri"/>
          <w:szCs w:val="20"/>
        </w:rPr>
        <w:endnoteRef/>
      </w:r>
      <w:r w:rsidRPr="00D535FC">
        <w:t xml:space="preserve"> </w:t>
      </w:r>
      <w:r w:rsidR="006F21C8">
        <w:tab/>
      </w:r>
      <w:r w:rsidR="00057E2C">
        <w:t>For more information, see Ministry for the Environment.</w:t>
      </w:r>
      <w:r w:rsidR="00057E2C" w:rsidRPr="00D535FC">
        <w:t xml:space="preserve"> </w:t>
      </w:r>
      <w:hyperlink r:id="rId67" w:history="1">
        <w:r w:rsidRPr="00804AE8">
          <w:rPr>
            <w:rStyle w:val="Hyperlink"/>
            <w:rFonts w:cs="Calibri"/>
            <w:i/>
            <w:szCs w:val="20"/>
          </w:rPr>
          <w:t>Adaptation framework</w:t>
        </w:r>
      </w:hyperlink>
      <w:r w:rsidRPr="00D535FC">
        <w:t xml:space="preserve">. </w:t>
      </w:r>
      <w:r w:rsidRPr="00D535FC">
        <w:rPr>
          <w:lang w:val="en-GB"/>
        </w:rPr>
        <w:t xml:space="preserve">Retrieved 7 </w:t>
      </w:r>
      <w:r w:rsidR="00057E2C">
        <w:rPr>
          <w:lang w:val="en-GB"/>
        </w:rPr>
        <w:t xml:space="preserve">July </w:t>
      </w:r>
      <w:r w:rsidRPr="00D535FC">
        <w:rPr>
          <w:lang w:val="en-GB"/>
        </w:rPr>
        <w:t>2025.</w:t>
      </w:r>
    </w:p>
  </w:endnote>
  <w:endnote w:id="53">
    <w:p w14:paraId="66EBCA96" w14:textId="31433068" w:rsidR="001C1649" w:rsidRPr="00D535FC" w:rsidRDefault="001C1649" w:rsidP="00804AE8">
      <w:pPr>
        <w:pStyle w:val="EndnoteText"/>
        <w:ind w:left="426" w:hanging="426"/>
        <w:jc w:val="left"/>
      </w:pPr>
      <w:r w:rsidRPr="00804AE8">
        <w:rPr>
          <w:rStyle w:val="EndnoteReference"/>
          <w:rFonts w:cs="Calibri"/>
          <w:szCs w:val="20"/>
        </w:rPr>
        <w:endnoteRef/>
      </w:r>
      <w:r w:rsidRPr="00D535FC">
        <w:t xml:space="preserve"> </w:t>
      </w:r>
      <w:r w:rsidR="00FC58E1">
        <w:tab/>
      </w:r>
      <w:r w:rsidR="00660711">
        <w:t>For more information, see Department of the Prime Minister and Cabinet. 2024.</w:t>
      </w:r>
      <w:r w:rsidR="00660711" w:rsidRPr="00D535FC">
        <w:t xml:space="preserve"> </w:t>
      </w:r>
      <w:hyperlink r:id="rId68" w:history="1">
        <w:r w:rsidR="00660711" w:rsidRPr="00804AE8">
          <w:rPr>
            <w:rStyle w:val="Hyperlink"/>
            <w:rFonts w:cs="Calibri"/>
            <w:i/>
            <w:szCs w:val="20"/>
          </w:rPr>
          <w:t>Strengthening disaster resilience and emergency management</w:t>
        </w:r>
      </w:hyperlink>
      <w:r w:rsidR="00660711" w:rsidRPr="00D535FC">
        <w:t>.</w:t>
      </w:r>
      <w:r w:rsidR="00660711">
        <w:t xml:space="preserve"> Wellington: Department of the Prime Minister and Cabinet.</w:t>
      </w:r>
      <w:r w:rsidR="00660711" w:rsidRPr="00D535FC">
        <w:t xml:space="preserve"> </w:t>
      </w:r>
      <w:r>
        <w:t xml:space="preserve"> </w:t>
      </w:r>
    </w:p>
  </w:endnote>
  <w:endnote w:id="54">
    <w:p w14:paraId="7EC7CE28" w14:textId="43F01646" w:rsidR="006D7DA3" w:rsidRPr="00D535FC" w:rsidRDefault="006D7DA3" w:rsidP="00804AE8">
      <w:pPr>
        <w:pStyle w:val="References"/>
        <w:ind w:left="426" w:hanging="426"/>
      </w:pPr>
      <w:r w:rsidRPr="00804AE8">
        <w:rPr>
          <w:rStyle w:val="EndnoteReference"/>
          <w:rFonts w:cs="Calibri"/>
          <w:szCs w:val="20"/>
        </w:rPr>
        <w:endnoteRef/>
      </w:r>
      <w:r w:rsidRPr="00D535FC">
        <w:t xml:space="preserve"> </w:t>
      </w:r>
      <w:r w:rsidR="006F21C8">
        <w:tab/>
      </w:r>
      <w:r w:rsidR="007F47E4">
        <w:t>For more information, see Ministry of Health. 2024.</w:t>
      </w:r>
      <w:r w:rsidR="007F47E4" w:rsidRPr="00D535FC">
        <w:t xml:space="preserve"> </w:t>
      </w:r>
      <w:hyperlink r:id="rId69" w:history="1">
        <w:r w:rsidRPr="00804AE8">
          <w:rPr>
            <w:rStyle w:val="Hyperlink"/>
            <w:rFonts w:cs="Calibri"/>
            <w:i/>
            <w:szCs w:val="20"/>
          </w:rPr>
          <w:t>New Zealand Pandemic Plan: A framework for action</w:t>
        </w:r>
      </w:hyperlink>
      <w:r w:rsidR="007F47E4">
        <w:t>. Wellington: Ministry of Health.</w:t>
      </w:r>
      <w:r w:rsidRPr="00D535FC">
        <w:t xml:space="preserve"> </w:t>
      </w:r>
    </w:p>
  </w:endnote>
  <w:endnote w:id="55">
    <w:p w14:paraId="523CC36D" w14:textId="68B3C290" w:rsidR="006D7DA3" w:rsidRPr="007F47E4" w:rsidRDefault="006D7DA3" w:rsidP="00804AE8">
      <w:pPr>
        <w:pStyle w:val="References"/>
        <w:ind w:left="426" w:hanging="426"/>
        <w:rPr>
          <w:lang w:val="mi-NZ"/>
        </w:rPr>
      </w:pPr>
      <w:r w:rsidRPr="00804AE8">
        <w:rPr>
          <w:rStyle w:val="EndnoteReference"/>
          <w:rFonts w:cs="Calibri"/>
          <w:szCs w:val="20"/>
        </w:rPr>
        <w:endnoteRef/>
      </w:r>
      <w:r w:rsidRPr="00D535FC">
        <w:t xml:space="preserve"> </w:t>
      </w:r>
      <w:r w:rsidR="006F21C8">
        <w:tab/>
      </w:r>
      <w:r w:rsidR="00E82A0C">
        <w:t>Natural Hazards Commission | To</w:t>
      </w:r>
      <w:r w:rsidR="008B354B">
        <w:t xml:space="preserve">ka Tū Ake. </w:t>
      </w:r>
      <w:hyperlink r:id="rId70" w:history="1">
        <w:r w:rsidRPr="00804AE8">
          <w:rPr>
            <w:rStyle w:val="Hyperlink"/>
            <w:rFonts w:cs="Calibri"/>
            <w:i/>
            <w:iCs/>
            <w:szCs w:val="20"/>
          </w:rPr>
          <w:t>Natural Hazards Portal: Home</w:t>
        </w:r>
      </w:hyperlink>
      <w:r w:rsidR="007F47E4">
        <w:t>. Retrieved 7 July 2025.</w:t>
      </w:r>
    </w:p>
  </w:endnote>
  <w:endnote w:id="56">
    <w:p w14:paraId="1043DFC7" w14:textId="295DBD08" w:rsidR="69FEF511" w:rsidRDefault="69FEF511" w:rsidP="00B80786">
      <w:pPr>
        <w:pStyle w:val="EndnoteText"/>
        <w:ind w:left="426" w:hanging="426"/>
      </w:pPr>
      <w:r w:rsidRPr="69FEF511">
        <w:rPr>
          <w:rStyle w:val="EndnoteReference"/>
        </w:rPr>
        <w:endnoteRef/>
      </w:r>
      <w:r w:rsidR="00B80786">
        <w:tab/>
      </w:r>
      <w:hyperlink r:id="rId71" w:history="1">
        <w:r w:rsidRPr="69FEF511">
          <w:rPr>
            <w:rStyle w:val="Hyperlink"/>
          </w:rPr>
          <w:t>https://waikatotainui.com/wp-content/uploads/2020/11/FY21-Amohia-Ake-WT-Iwi-Resilience-Plan-Final-ext.pdf</w:t>
        </w:r>
      </w:hyperlink>
      <w:r w:rsidR="000C099F">
        <w:t>.</w:t>
      </w:r>
    </w:p>
  </w:endnote>
  <w:endnote w:id="57">
    <w:p w14:paraId="5AF966B7" w14:textId="5CE99043" w:rsidR="69FEF511" w:rsidRDefault="69FEF511" w:rsidP="00B80786">
      <w:pPr>
        <w:pStyle w:val="EndnoteText"/>
        <w:ind w:left="426" w:hanging="426"/>
      </w:pPr>
      <w:r w:rsidRPr="69FEF511">
        <w:rPr>
          <w:rStyle w:val="EndnoteReference"/>
        </w:rPr>
        <w:endnoteRef/>
      </w:r>
      <w:r>
        <w:t xml:space="preserve"> </w:t>
      </w:r>
      <w:r w:rsidR="00B80786">
        <w:tab/>
      </w:r>
      <w:hyperlink r:id="rId72" w:history="1">
        <w:r w:rsidRPr="000C099F">
          <w:rPr>
            <w:rStyle w:val="Hyperlink"/>
          </w:rPr>
          <w:t>https://maketuclimateplan.iwi.nz/wp-content/uploads/2023/11/Maketu-Climate-Change-Adaptation-Plan-He-Toka-Tu-Moana-Mo-Maketu.pdf</w:t>
        </w:r>
      </w:hyperlink>
      <w:r w:rsidR="000C099F">
        <w:t>.</w:t>
      </w:r>
    </w:p>
  </w:endnote>
  <w:endnote w:id="58">
    <w:p w14:paraId="7B586065" w14:textId="715650C1" w:rsidR="69FEF511" w:rsidRDefault="69FEF511" w:rsidP="00B80786">
      <w:pPr>
        <w:pStyle w:val="EndnoteText"/>
        <w:ind w:left="426" w:hanging="426"/>
      </w:pPr>
      <w:r w:rsidRPr="69FEF511">
        <w:rPr>
          <w:rStyle w:val="EndnoteReference"/>
        </w:rPr>
        <w:endnoteRef/>
      </w:r>
      <w:r>
        <w:t xml:space="preserve"> </w:t>
      </w:r>
      <w:r w:rsidR="00B80786">
        <w:tab/>
      </w:r>
      <w:hyperlink r:id="rId73" w:history="1">
        <w:r w:rsidRPr="000C099F">
          <w:rPr>
            <w:rStyle w:val="Hyperlink"/>
          </w:rPr>
          <w:t>https://www.ngatirarua.iwi.nz/content/files/2025/01/Nga-ti-Ra-rua-Climate-Strategy.pdf</w:t>
        </w:r>
      </w:hyperlink>
      <w:r w:rsidR="000C099F">
        <w:t>.</w:t>
      </w:r>
    </w:p>
  </w:endnote>
  <w:endnote w:id="59">
    <w:p w14:paraId="4476A0A5" w14:textId="36DEC1DA" w:rsidR="69FEF511" w:rsidRDefault="69FEF511" w:rsidP="00B80786">
      <w:pPr>
        <w:pStyle w:val="EndnoteText"/>
        <w:ind w:left="426" w:hanging="426"/>
      </w:pPr>
      <w:r w:rsidRPr="69FEF511">
        <w:rPr>
          <w:rStyle w:val="EndnoteReference"/>
        </w:rPr>
        <w:endnoteRef/>
      </w:r>
      <w:r>
        <w:t xml:space="preserve"> </w:t>
      </w:r>
      <w:r w:rsidR="00B80786">
        <w:tab/>
      </w:r>
      <w:hyperlink r:id="rId74" w:history="1">
        <w:r w:rsidRPr="000C099F">
          <w:rPr>
            <w:rStyle w:val="Hyperlink"/>
          </w:rPr>
          <w:t>https://www.gns.cri.nz/news/iwi-partnership-protects-community-from-natural-hazards</w:t>
        </w:r>
      </w:hyperlink>
      <w:r w:rsidR="000C099F">
        <w:t>.</w:t>
      </w:r>
    </w:p>
  </w:endnote>
  <w:endnote w:id="60">
    <w:p w14:paraId="6A65F33A" w14:textId="04492EA6" w:rsidR="2827F97F" w:rsidRDefault="2827F97F" w:rsidP="00B80786">
      <w:pPr>
        <w:pStyle w:val="EndnoteText"/>
        <w:ind w:left="426" w:hanging="426"/>
      </w:pPr>
      <w:r w:rsidRPr="2827F97F">
        <w:rPr>
          <w:rStyle w:val="EndnoteReference"/>
        </w:rPr>
        <w:endnoteRef/>
      </w:r>
      <w:r>
        <w:t xml:space="preserve"> </w:t>
      </w:r>
      <w:r w:rsidR="00B80786">
        <w:tab/>
      </w:r>
      <w:r>
        <w:t xml:space="preserve">Auckland Council. 2022. Watercare Citizens’ Assembly. What should be the next source (or sources) of water for Auckland? </w:t>
      </w:r>
      <w:hyperlink r:id="rId75" w:history="1">
        <w:r w:rsidRPr="2827F97F">
          <w:rPr>
            <w:rStyle w:val="Hyperlink"/>
          </w:rPr>
          <w:t>https://www.knowledgeauckland.org.nz/publications/watercare-citizens-assembly-what-should-be-the-next-source-or-sources-of-water-for-auckland/</w:t>
        </w:r>
      </w:hyperlink>
      <w:r w:rsidR="000C099F">
        <w:t>.</w:t>
      </w:r>
    </w:p>
  </w:endnote>
  <w:endnote w:id="61">
    <w:p w14:paraId="6B8447BC" w14:textId="77777777" w:rsidR="00123274" w:rsidRPr="00D535FC" w:rsidRDefault="00123274" w:rsidP="00804AE8">
      <w:pPr>
        <w:pStyle w:val="References"/>
        <w:ind w:left="426" w:hanging="426"/>
      </w:pPr>
      <w:r w:rsidRPr="00804AE8">
        <w:rPr>
          <w:rStyle w:val="EndnoteReference"/>
          <w:rFonts w:cs="Calibri"/>
          <w:szCs w:val="20"/>
        </w:rPr>
        <w:endnoteRef/>
      </w:r>
      <w:r>
        <w:tab/>
      </w:r>
      <w:r w:rsidRPr="00D535FC">
        <w:t>The Swedish Civil Contingencies Agency</w:t>
      </w:r>
      <w:r>
        <w:t xml:space="preserve">. 2024. </w:t>
      </w:r>
      <w:hyperlink r:id="rId76" w:history="1">
        <w:r w:rsidRPr="00B16C01">
          <w:rPr>
            <w:rStyle w:val="Hyperlink"/>
            <w:i/>
          </w:rPr>
          <w:t>In Case of Crisis and War</w:t>
        </w:r>
      </w:hyperlink>
      <w:r>
        <w:t>. Sweden: MSB.</w:t>
      </w:r>
    </w:p>
  </w:endnote>
  <w:endnote w:id="62">
    <w:p w14:paraId="4CC0E777" w14:textId="62E52C0E" w:rsidR="00123274" w:rsidRDefault="00123274" w:rsidP="00804AE8">
      <w:pPr>
        <w:pStyle w:val="EndnoteText"/>
        <w:ind w:left="426" w:hanging="426"/>
        <w:jc w:val="left"/>
      </w:pPr>
      <w:r>
        <w:rPr>
          <w:rStyle w:val="EndnoteReference"/>
        </w:rPr>
        <w:endnoteRef/>
      </w:r>
      <w:r>
        <w:t xml:space="preserve"> </w:t>
      </w:r>
      <w:r>
        <w:tab/>
      </w:r>
      <w:r w:rsidRPr="0030619E">
        <w:t xml:space="preserve">United Kingdom Ministry of Defence. 2025. </w:t>
      </w:r>
      <w:hyperlink r:id="rId77" w:tgtFrame="_blank" w:tooltip="https://assets.publishing.service.gov.uk/media/683d89f181deb72cce2680a5/the_strategic_defence_review_2025_-_making_britain_safer_-_secure_at_home__strong_abroad.pdf" w:history="1">
        <w:r w:rsidRPr="00C20B81">
          <w:rPr>
            <w:rStyle w:val="Hyperlink"/>
            <w:i/>
          </w:rPr>
          <w:t>Strategic Defence Review, Making Britain Safer: secure  at home, strong abroad</w:t>
        </w:r>
      </w:hyperlink>
      <w:r w:rsidRPr="0030619E">
        <w:t>. United Kingdom: Ministry of Defence.</w:t>
      </w:r>
    </w:p>
  </w:endnote>
  <w:endnote w:id="63">
    <w:p w14:paraId="32B438AB" w14:textId="26596B04" w:rsidR="00A87090" w:rsidRPr="008A5F75" w:rsidRDefault="00A87090" w:rsidP="00804AE8">
      <w:pPr>
        <w:pStyle w:val="References"/>
        <w:ind w:left="426" w:hanging="426"/>
      </w:pPr>
      <w:r>
        <w:rPr>
          <w:rStyle w:val="EndnoteReference"/>
        </w:rPr>
        <w:endnoteRef/>
      </w:r>
      <w:r>
        <w:t xml:space="preserve"> </w:t>
      </w:r>
      <w:r w:rsidR="006F21C8">
        <w:tab/>
      </w:r>
      <w:r w:rsidR="00AD506A">
        <w:t xml:space="preserve">National Institute of Water and Atmospheric Research, Institute of Geological and Nuclear Sciences </w:t>
      </w:r>
      <w:r w:rsidR="00AD506A" w:rsidRPr="008A5F75">
        <w:t xml:space="preserve">Ltd. </w:t>
      </w:r>
      <w:hyperlink r:id="rId78" w:history="1">
        <w:r w:rsidR="00AD506A" w:rsidRPr="008A5F75">
          <w:rPr>
            <w:rStyle w:val="Hyperlink"/>
            <w:i/>
          </w:rPr>
          <w:t>RiskScape</w:t>
        </w:r>
      </w:hyperlink>
      <w:r w:rsidR="00AD506A" w:rsidRPr="008A5F75">
        <w:t>. Retrieved 7 July 2025.</w:t>
      </w:r>
    </w:p>
  </w:endnote>
  <w:endnote w:id="64">
    <w:p w14:paraId="55429BC9" w14:textId="24616576" w:rsidR="00A87090" w:rsidRDefault="00A87090" w:rsidP="00804AE8">
      <w:pPr>
        <w:pStyle w:val="References"/>
        <w:ind w:left="426" w:hanging="426"/>
      </w:pPr>
      <w:r w:rsidRPr="008A5F75">
        <w:rPr>
          <w:rStyle w:val="EndnoteReference"/>
        </w:rPr>
        <w:endnoteRef/>
      </w:r>
      <w:r w:rsidRPr="008A5F75">
        <w:t xml:space="preserve"> </w:t>
      </w:r>
      <w:r w:rsidR="006F21C8" w:rsidRPr="008A5F75">
        <w:tab/>
      </w:r>
      <w:r w:rsidR="00CD61AE" w:rsidRPr="008A5F75">
        <w:t xml:space="preserve">GNS Science. </w:t>
      </w:r>
      <w:hyperlink r:id="rId79" w:history="1">
        <w:r w:rsidR="00751515" w:rsidRPr="008A5F75">
          <w:rPr>
            <w:rStyle w:val="Hyperlink"/>
            <w:i/>
          </w:rPr>
          <w:t>Natural Hazards and Resilience Platform</w:t>
        </w:r>
      </w:hyperlink>
      <w:r w:rsidR="00751515" w:rsidRPr="008A5F75">
        <w:t>. Retrieved 7 July 2025.</w:t>
      </w:r>
      <w:hyperlink r:id="rId80" w:history="1">
        <w:r w:rsidRPr="008A5F75">
          <w:rPr>
            <w:rStyle w:val="Hyperlink"/>
          </w:rPr>
          <w:t>https://www.gns.cri.nz/research-projects/natural-hazards-and-resilience-platform/</w:t>
        </w:r>
      </w:hyperlink>
      <w:r w:rsidR="000C099F">
        <w:t>.</w:t>
      </w:r>
    </w:p>
  </w:endnote>
  <w:endnote w:id="65">
    <w:p w14:paraId="0E6AB948" w14:textId="5DD331D5" w:rsidR="0015412B" w:rsidRPr="00804AE8" w:rsidRDefault="0015412B" w:rsidP="00804AE8">
      <w:pPr>
        <w:pStyle w:val="EndnoteText"/>
        <w:ind w:left="426" w:hanging="426"/>
        <w:jc w:val="left"/>
        <w:rPr>
          <w:rFonts w:cs="Calibri"/>
          <w:szCs w:val="20"/>
        </w:rPr>
      </w:pPr>
      <w:r w:rsidRPr="00804AE8">
        <w:rPr>
          <w:rStyle w:val="EndnoteReference"/>
          <w:rFonts w:cs="Calibri"/>
          <w:szCs w:val="20"/>
        </w:rPr>
        <w:endnoteRef/>
      </w:r>
      <w:r w:rsidRPr="00804AE8">
        <w:rPr>
          <w:rFonts w:cs="Calibri"/>
          <w:szCs w:val="20"/>
        </w:rPr>
        <w:t xml:space="preserve"> </w:t>
      </w:r>
      <w:r w:rsidR="00480422" w:rsidRPr="00804AE8">
        <w:rPr>
          <w:rFonts w:cs="Calibri"/>
          <w:szCs w:val="20"/>
        </w:rPr>
        <w:tab/>
      </w:r>
      <w:r w:rsidR="00480422" w:rsidRPr="00A27EB5">
        <w:rPr>
          <w:i/>
        </w:rPr>
        <w:t>Reuters</w:t>
      </w:r>
      <w:r w:rsidR="00480422">
        <w:t xml:space="preserve">. 2025. </w:t>
      </w:r>
      <w:hyperlink r:id="rId81">
        <w:r w:rsidR="00480422" w:rsidRPr="00804AE8">
          <w:rPr>
            <w:rStyle w:val="Hyperlink"/>
            <w:rFonts w:cs="Calibri"/>
            <w:szCs w:val="20"/>
          </w:rPr>
          <w:t>AI is shaking up the hidden world of earthquake forecasting</w:t>
        </w:r>
      </w:hyperlink>
      <w:r w:rsidR="00480422">
        <w:t>. 1 April</w:t>
      </w:r>
      <w:r w:rsidR="000C099F">
        <w:t xml:space="preserve"> 2025.</w:t>
      </w:r>
    </w:p>
  </w:endnote>
  <w:endnote w:id="66">
    <w:p w14:paraId="2F52C79D" w14:textId="1A543E11" w:rsidR="0015412B" w:rsidRPr="00804AE8" w:rsidRDefault="0015412B" w:rsidP="00804AE8">
      <w:pPr>
        <w:pStyle w:val="EndnoteText"/>
        <w:ind w:left="426" w:hanging="426"/>
        <w:jc w:val="left"/>
        <w:rPr>
          <w:rFonts w:cs="Calibri"/>
          <w:szCs w:val="20"/>
        </w:rPr>
      </w:pPr>
      <w:r w:rsidRPr="00804AE8">
        <w:rPr>
          <w:rStyle w:val="EndnoteReference"/>
          <w:rFonts w:cs="Calibri"/>
          <w:szCs w:val="20"/>
        </w:rPr>
        <w:endnoteRef/>
      </w:r>
      <w:r w:rsidRPr="00804AE8">
        <w:rPr>
          <w:rFonts w:cs="Calibri"/>
          <w:szCs w:val="20"/>
        </w:rPr>
        <w:t xml:space="preserve"> </w:t>
      </w:r>
      <w:r w:rsidR="006E5B39" w:rsidRPr="00804AE8">
        <w:rPr>
          <w:rFonts w:cs="Calibri"/>
          <w:szCs w:val="20"/>
        </w:rPr>
        <w:tab/>
      </w:r>
      <w:r w:rsidR="006E5B39">
        <w:t xml:space="preserve">Google Crisis Response. </w:t>
      </w:r>
      <w:hyperlink r:id="rId82">
        <w:r w:rsidR="006E5B39" w:rsidRPr="00804AE8">
          <w:rPr>
            <w:rStyle w:val="Hyperlink"/>
            <w:rFonts w:cs="Calibri"/>
            <w:i/>
            <w:iCs/>
            <w:szCs w:val="20"/>
          </w:rPr>
          <w:t>Android early earthquake warnings</w:t>
        </w:r>
      </w:hyperlink>
      <w:r w:rsidR="006E5B39">
        <w:t>. Retrieved 7 July 2025.</w:t>
      </w:r>
    </w:p>
  </w:endnote>
  <w:endnote w:id="67">
    <w:p w14:paraId="0D7D705A" w14:textId="77777777" w:rsidR="00A27BBD" w:rsidRPr="00804AE8" w:rsidRDefault="00A27BBD" w:rsidP="00804AE8">
      <w:pPr>
        <w:pStyle w:val="EndnoteText"/>
        <w:ind w:left="426" w:hanging="426"/>
        <w:jc w:val="left"/>
        <w:rPr>
          <w:rFonts w:cs="Calibri"/>
          <w:szCs w:val="20"/>
        </w:rPr>
      </w:pPr>
      <w:r w:rsidRPr="00804AE8">
        <w:rPr>
          <w:rStyle w:val="EndnoteReference"/>
          <w:rFonts w:cs="Calibri"/>
          <w:szCs w:val="20"/>
        </w:rPr>
        <w:endnoteRef/>
      </w:r>
      <w:r w:rsidRPr="00804AE8">
        <w:rPr>
          <w:rFonts w:cs="Calibri"/>
          <w:szCs w:val="20"/>
        </w:rPr>
        <w:t xml:space="preserve"> ﷟</w:t>
      </w:r>
      <w:r w:rsidRPr="00804AE8">
        <w:rPr>
          <w:rFonts w:cs="Calibri"/>
          <w:szCs w:val="20"/>
        </w:rPr>
        <w:tab/>
      </w:r>
      <w:r>
        <w:t xml:space="preserve">Innoreports. Science &amp; Tech. 2023. </w:t>
      </w:r>
      <w:hyperlink r:id="rId83" w:anchor=":~:text=AI%2DPowered%20Tsunami%20Early%20Warning,EN" w:history="1">
        <w:r w:rsidRPr="00804AE8">
          <w:rPr>
            <w:rStyle w:val="Hyperlink"/>
            <w:rFonts w:cs="Calibri"/>
            <w:i/>
            <w:iCs/>
            <w:szCs w:val="20"/>
          </w:rPr>
          <w:t>AI-Powered Tsunami Early Warning System Enhances Safety</w:t>
        </w:r>
      </w:hyperlink>
      <w:r>
        <w:t>. Retrieved 7 July 2025.</w:t>
      </w:r>
    </w:p>
  </w:endnote>
  <w:endnote w:id="68">
    <w:p w14:paraId="19863975" w14:textId="2D783AE9" w:rsidR="0015412B" w:rsidRPr="00804AE8" w:rsidRDefault="0015412B" w:rsidP="00804AE8">
      <w:pPr>
        <w:pStyle w:val="EndnoteText"/>
        <w:ind w:left="426" w:hanging="426"/>
        <w:jc w:val="left"/>
        <w:rPr>
          <w:rFonts w:cs="Calibri"/>
          <w:szCs w:val="20"/>
        </w:rPr>
      </w:pPr>
      <w:r w:rsidRPr="00804AE8">
        <w:rPr>
          <w:rStyle w:val="EndnoteReference"/>
          <w:rFonts w:cs="Calibri"/>
          <w:szCs w:val="20"/>
        </w:rPr>
        <w:endnoteRef/>
      </w:r>
      <w:r w:rsidRPr="00804AE8">
        <w:rPr>
          <w:rFonts w:cs="Calibri"/>
          <w:szCs w:val="20"/>
        </w:rPr>
        <w:t xml:space="preserve"> </w:t>
      </w:r>
      <w:r w:rsidR="00654AAF" w:rsidRPr="00804AE8">
        <w:rPr>
          <w:rFonts w:cs="Calibri"/>
          <w:szCs w:val="20"/>
        </w:rPr>
        <w:tab/>
      </w:r>
      <w:r w:rsidR="00AD7D79" w:rsidRPr="00804AE8">
        <w:rPr>
          <w:rFonts w:cs="Calibri"/>
          <w:szCs w:val="20"/>
        </w:rPr>
        <w:t>Liu X, Zhang Y, Shan X, Wang Z, Gong W, Zhang G</w:t>
      </w:r>
      <w:r w:rsidR="003A399C" w:rsidRPr="00804AE8">
        <w:rPr>
          <w:rFonts w:cs="Calibri"/>
          <w:szCs w:val="20"/>
        </w:rPr>
        <w:t xml:space="preserve">. 2025. </w:t>
      </w:r>
      <w:r w:rsidRPr="00804AE8">
        <w:rPr>
          <w:rFonts w:cs="Calibri"/>
          <w:szCs w:val="20"/>
        </w:rPr>
        <w:t>Deep Learning for Automatic Detection of Volcanic and Earthquake-Related InSAR Deformation</w:t>
      </w:r>
      <w:r w:rsidR="00B9422F" w:rsidRPr="003A2F7B">
        <w:t>.</w:t>
      </w:r>
      <w:r w:rsidR="00B9422F">
        <w:t xml:space="preserve"> </w:t>
      </w:r>
      <w:r w:rsidR="00B9422F">
        <w:rPr>
          <w:i/>
        </w:rPr>
        <w:t>Remote Sensing</w:t>
      </w:r>
      <w:r w:rsidR="00B21146">
        <w:rPr>
          <w:i/>
        </w:rPr>
        <w:t xml:space="preserve"> </w:t>
      </w:r>
      <w:r w:rsidR="002F0281" w:rsidRPr="00EA560B">
        <w:t>17(4)</w:t>
      </w:r>
      <w:r w:rsidR="002C7CE3" w:rsidRPr="00EA560B">
        <w:t>: 686</w:t>
      </w:r>
      <w:r w:rsidR="00852BCD" w:rsidRPr="00EA560B">
        <w:t xml:space="preserve">. </w:t>
      </w:r>
      <w:hyperlink r:id="rId84" w:history="1">
        <w:r w:rsidR="003A2F7B" w:rsidRPr="009F2465">
          <w:rPr>
            <w:rStyle w:val="Hyperlink"/>
          </w:rPr>
          <w:t>https://doi.org/10.3390/rs17040686</w:t>
        </w:r>
      </w:hyperlink>
      <w:r w:rsidR="003A2F7B" w:rsidRPr="009F2465">
        <w:t xml:space="preserve"> </w:t>
      </w:r>
    </w:p>
  </w:endnote>
  <w:endnote w:id="69">
    <w:p w14:paraId="4D57018A" w14:textId="6432F1F1" w:rsidR="0015412B" w:rsidRPr="00804AE8" w:rsidRDefault="0015412B" w:rsidP="00804AE8">
      <w:pPr>
        <w:pStyle w:val="EndnoteText"/>
        <w:ind w:left="426" w:hanging="426"/>
        <w:jc w:val="left"/>
        <w:rPr>
          <w:rFonts w:cs="Calibri"/>
          <w:szCs w:val="20"/>
        </w:rPr>
      </w:pPr>
      <w:r w:rsidRPr="00804AE8">
        <w:rPr>
          <w:rStyle w:val="EndnoteReference"/>
          <w:rFonts w:cs="Calibri"/>
          <w:szCs w:val="20"/>
        </w:rPr>
        <w:endnoteRef/>
      </w:r>
      <w:r w:rsidRPr="00804AE8">
        <w:rPr>
          <w:rFonts w:cs="Calibri"/>
          <w:szCs w:val="20"/>
        </w:rPr>
        <w:t xml:space="preserve"> </w:t>
      </w:r>
      <w:r w:rsidR="00654AAF" w:rsidRPr="00804AE8">
        <w:rPr>
          <w:rFonts w:cs="Calibri"/>
          <w:szCs w:val="20"/>
        </w:rPr>
        <w:tab/>
      </w:r>
      <w:r w:rsidR="00810C74">
        <w:t xml:space="preserve">Suvvari TK, Kandi V. 2024. </w:t>
      </w:r>
      <w:r w:rsidR="00810C74" w:rsidRPr="00D25780">
        <w:t>Artificial intelligence enhanced infectious disease surveillance - A call for global collaboration</w:t>
      </w:r>
      <w:r w:rsidR="00810C74" w:rsidRPr="00804AE8">
        <w:rPr>
          <w:rFonts w:cs="Calibri"/>
          <w:szCs w:val="20"/>
        </w:rPr>
        <w:t xml:space="preserve">. </w:t>
      </w:r>
      <w:r w:rsidR="00810C74" w:rsidRPr="00804AE8">
        <w:rPr>
          <w:rFonts w:cs="Calibri"/>
          <w:i/>
          <w:iCs/>
          <w:szCs w:val="20"/>
        </w:rPr>
        <w:t>New Microbes and New Infections</w:t>
      </w:r>
      <w:r w:rsidR="00810C74" w:rsidRPr="00804AE8">
        <w:rPr>
          <w:rFonts w:cs="Calibri"/>
          <w:szCs w:val="20"/>
        </w:rPr>
        <w:t xml:space="preserve"> 62: 101494. </w:t>
      </w:r>
      <w:hyperlink r:id="rId85" w:history="1">
        <w:r w:rsidR="00810C74" w:rsidRPr="00804AE8">
          <w:rPr>
            <w:rStyle w:val="Hyperlink"/>
            <w:rFonts w:cs="Calibri"/>
            <w:szCs w:val="20"/>
          </w:rPr>
          <w:t>https://doi.org/10.3390/buildings14103255</w:t>
        </w:r>
      </w:hyperlink>
      <w:r w:rsidR="00DB79B2" w:rsidRPr="00DB79B2" w:rsidDel="00DB79B2">
        <w:rPr>
          <w:highlight w:val="yellow"/>
        </w:rPr>
        <w:t xml:space="preserve"> </w:t>
      </w:r>
    </w:p>
  </w:endnote>
  <w:endnote w:id="70">
    <w:p w14:paraId="1DE2E247" w14:textId="1178A942" w:rsidR="0015412B" w:rsidRPr="00804AE8" w:rsidRDefault="0015412B" w:rsidP="00804AE8">
      <w:pPr>
        <w:pStyle w:val="EndnoteText"/>
        <w:ind w:left="426" w:hanging="426"/>
        <w:jc w:val="left"/>
        <w:rPr>
          <w:rFonts w:cs="Calibri"/>
          <w:szCs w:val="20"/>
        </w:rPr>
      </w:pPr>
      <w:r w:rsidRPr="00804AE8">
        <w:rPr>
          <w:rStyle w:val="EndnoteReference"/>
          <w:rFonts w:cs="Calibri"/>
          <w:szCs w:val="20"/>
        </w:rPr>
        <w:endnoteRef/>
      </w:r>
      <w:r w:rsidRPr="00804AE8">
        <w:rPr>
          <w:rFonts w:cs="Calibri"/>
          <w:szCs w:val="20"/>
        </w:rPr>
        <w:t xml:space="preserve"> </w:t>
      </w:r>
      <w:r w:rsidR="00C35932" w:rsidRPr="00804AE8">
        <w:rPr>
          <w:rFonts w:cs="Calibri"/>
          <w:szCs w:val="20"/>
        </w:rPr>
        <w:tab/>
      </w:r>
      <w:r w:rsidR="00722A8A">
        <w:t xml:space="preserve">MacIntyre CR, Limitation S, Quigley A. 2022. </w:t>
      </w:r>
      <w:r w:rsidR="00722A8A" w:rsidRPr="00D25780">
        <w:t>Preventing the next pandemic: Use of artificial intelligence for epidemic monitoring and alerts</w:t>
      </w:r>
      <w:r w:rsidR="00722A8A" w:rsidRPr="00804AE8">
        <w:rPr>
          <w:rFonts w:cs="Calibri"/>
          <w:szCs w:val="20"/>
        </w:rPr>
        <w:t xml:space="preserve">. </w:t>
      </w:r>
      <w:r w:rsidR="00722A8A" w:rsidRPr="00804AE8">
        <w:rPr>
          <w:rFonts w:cs="Calibri"/>
          <w:i/>
          <w:iCs/>
          <w:szCs w:val="20"/>
        </w:rPr>
        <w:t>Cell Reports Medicine</w:t>
      </w:r>
      <w:r w:rsidR="00722A8A" w:rsidRPr="00804AE8">
        <w:rPr>
          <w:rFonts w:cs="Calibri"/>
          <w:szCs w:val="20"/>
        </w:rPr>
        <w:t xml:space="preserve"> 3(12): 100867. </w:t>
      </w:r>
      <w:hyperlink r:id="rId86" w:history="1">
        <w:r w:rsidR="00722A8A" w:rsidRPr="00804AE8">
          <w:rPr>
            <w:rStyle w:val="Hyperlink"/>
            <w:rFonts w:cs="Calibri"/>
            <w:szCs w:val="20"/>
          </w:rPr>
          <w:t>https://doi.org/10.1016/j.xcrm.2022.100867</w:t>
        </w:r>
      </w:hyperlink>
    </w:p>
  </w:endnote>
  <w:endnote w:id="71">
    <w:p w14:paraId="716A719C" w14:textId="5FB3E02E" w:rsidR="001B3360" w:rsidRPr="00804AE8" w:rsidRDefault="001B3360" w:rsidP="00804AE8">
      <w:pPr>
        <w:pStyle w:val="EndnoteText"/>
        <w:ind w:left="426" w:hanging="426"/>
        <w:jc w:val="left"/>
        <w:rPr>
          <w:rFonts w:cs="Calibri"/>
          <w:szCs w:val="20"/>
        </w:rPr>
      </w:pPr>
      <w:r w:rsidRPr="00F1490B">
        <w:rPr>
          <w:rStyle w:val="EndnoteReference"/>
          <w:rFonts w:cs="Calibri"/>
          <w:szCs w:val="20"/>
        </w:rPr>
        <w:endnoteRef/>
      </w:r>
      <w:r w:rsidRPr="00F1490B">
        <w:rPr>
          <w:rFonts w:cs="Calibri"/>
          <w:szCs w:val="20"/>
        </w:rPr>
        <w:t xml:space="preserve"> </w:t>
      </w:r>
      <w:r w:rsidRPr="00F1490B">
        <w:rPr>
          <w:rFonts w:cs="Calibri"/>
          <w:szCs w:val="20"/>
        </w:rPr>
        <w:tab/>
      </w:r>
      <w:r w:rsidR="001C4E4D" w:rsidRPr="00F1490B">
        <w:t>Alzahrani</w:t>
      </w:r>
      <w:r w:rsidR="00412CC5" w:rsidRPr="00F1490B">
        <w:t xml:space="preserve">, A. &amp; Alshammari, M. 2024. </w:t>
      </w:r>
      <w:r w:rsidR="00917A92" w:rsidRPr="00F1490B">
        <w:t xml:space="preserve">Artificial intelligence in earthquake-resilient building design: A systematic review. </w:t>
      </w:r>
      <w:r w:rsidR="006378F9" w:rsidRPr="00F1490B">
        <w:t>Buildings, 14(10)</w:t>
      </w:r>
      <w:r w:rsidR="007D6E89" w:rsidRPr="00F1490B">
        <w:t xml:space="preserve"> 32</w:t>
      </w:r>
      <w:r w:rsidR="008B688E" w:rsidRPr="00F1490B">
        <w:t xml:space="preserve">55. </w:t>
      </w:r>
      <w:hyperlink r:id="rId87" w:history="1">
        <w:r w:rsidR="001C4E4D" w:rsidRPr="00F1490B">
          <w:rPr>
            <w:rStyle w:val="Hyperlink"/>
            <w:rFonts w:cs="Calibri"/>
            <w:szCs w:val="20"/>
          </w:rPr>
          <w:t>AI-in-Risk-Assessment-and-Disaster-Preparedness-for-Building-Structures.pdf</w:t>
        </w:r>
      </w:hyperlink>
      <w:r w:rsidR="006F44D2">
        <w:t>.</w:t>
      </w:r>
    </w:p>
  </w:endnote>
  <w:endnote w:id="72">
    <w:p w14:paraId="67928800" w14:textId="77777777" w:rsidR="00B85EEE" w:rsidRPr="00804AE8" w:rsidRDefault="00B85EEE" w:rsidP="00804AE8">
      <w:pPr>
        <w:ind w:left="426" w:hanging="426"/>
        <w:jc w:val="left"/>
        <w:rPr>
          <w:rFonts w:eastAsia="Yu Mincho" w:cs="Calibri"/>
          <w:sz w:val="20"/>
          <w:szCs w:val="20"/>
        </w:rPr>
      </w:pPr>
      <w:r w:rsidRPr="00804AE8">
        <w:rPr>
          <w:rStyle w:val="EndnoteReference"/>
          <w:rFonts w:eastAsia="Yu Mincho" w:cs="Calibri"/>
          <w:sz w:val="20"/>
          <w:szCs w:val="20"/>
        </w:rPr>
        <w:endnoteRef/>
      </w:r>
      <w:r w:rsidRPr="00804AE8">
        <w:rPr>
          <w:rFonts w:eastAsia="Yu Mincho" w:cs="Calibri"/>
          <w:sz w:val="20"/>
          <w:szCs w:val="20"/>
        </w:rPr>
        <w:t xml:space="preserve"> </w:t>
      </w:r>
      <w:r w:rsidRPr="00804AE8">
        <w:rPr>
          <w:rFonts w:eastAsia="Yu Mincho" w:cs="Calibri"/>
          <w:sz w:val="20"/>
          <w:szCs w:val="20"/>
        </w:rPr>
        <w:tab/>
      </w:r>
      <w:r w:rsidRPr="00654AAF">
        <w:rPr>
          <w:rFonts w:eastAsia="Yu Mincho"/>
          <w:sz w:val="20"/>
          <w:szCs w:val="20"/>
        </w:rPr>
        <w:t xml:space="preserve">National Institute of Water and Atmospheric Research. </w:t>
      </w:r>
      <w:hyperlink r:id="rId88">
        <w:r w:rsidRPr="00804AE8">
          <w:rPr>
            <w:rStyle w:val="Hyperlink"/>
            <w:rFonts w:eastAsia="Yu Mincho" w:cs="Calibri"/>
            <w:i/>
            <w:iCs/>
            <w:sz w:val="20"/>
            <w:szCs w:val="20"/>
          </w:rPr>
          <w:t>High-resolution climate projections using physics and AI</w:t>
        </w:r>
      </w:hyperlink>
      <w:r w:rsidRPr="00654AAF">
        <w:rPr>
          <w:sz w:val="20"/>
          <w:szCs w:val="20"/>
        </w:rPr>
        <w:t>. Retrieved 7 July 2025</w:t>
      </w:r>
      <w:r w:rsidRPr="00654AAF">
        <w:rPr>
          <w:rFonts w:eastAsia="Yu Mincho"/>
          <w:sz w:val="20"/>
          <w:szCs w:val="20"/>
        </w:rPr>
        <w:t xml:space="preserve">; Riedel K. 2024. </w:t>
      </w:r>
      <w:hyperlink r:id="rId89">
        <w:r w:rsidRPr="00804AE8">
          <w:rPr>
            <w:rStyle w:val="Hyperlink"/>
            <w:rFonts w:eastAsia="Yu Mincho" w:cs="Calibri"/>
            <w:i/>
            <w:iCs/>
            <w:sz w:val="20"/>
            <w:szCs w:val="20"/>
          </w:rPr>
          <w:t>Impact-based forecasts and warnings</w:t>
        </w:r>
      </w:hyperlink>
      <w:r w:rsidRPr="00654AAF">
        <w:rPr>
          <w:sz w:val="20"/>
          <w:szCs w:val="20"/>
        </w:rPr>
        <w:t>. Prepared for the Ministry of Business, Innovation, and Employment by NIWA through the Resilience to Nature’s Challenges – Kia manawaroa – Ngā Ākina o Te Ao Tūroa National Science Challenge.</w:t>
      </w:r>
    </w:p>
  </w:endnote>
  <w:endnote w:id="73">
    <w:p w14:paraId="62AEDC40" w14:textId="1FFB6D1A" w:rsidR="004A5A21" w:rsidRPr="00DD1623" w:rsidRDefault="004A5A21" w:rsidP="00B80786">
      <w:pPr>
        <w:pStyle w:val="EndnoteText"/>
        <w:ind w:left="426" w:hanging="426"/>
      </w:pPr>
      <w:r>
        <w:rPr>
          <w:rStyle w:val="EndnoteReference"/>
        </w:rPr>
        <w:endnoteRef/>
      </w:r>
      <w:r w:rsidR="00F1490B">
        <w:tab/>
      </w:r>
      <w:r w:rsidR="005639D1" w:rsidRPr="00B80786">
        <w:t>Estêvão JMC. 2024. Effectiveness of Generative A</w:t>
      </w:r>
      <w:r w:rsidR="00BE249D" w:rsidRPr="00B80786">
        <w:t xml:space="preserve">I for </w:t>
      </w:r>
      <w:r w:rsidR="00DD1623" w:rsidRPr="00B80786">
        <w:t xml:space="preserve">Post-Earthquake Damage Assessment. </w:t>
      </w:r>
      <w:r w:rsidR="00DD1623" w:rsidRPr="00B80786">
        <w:rPr>
          <w:i/>
        </w:rPr>
        <w:t>Buildings</w:t>
      </w:r>
      <w:r w:rsidR="00DD1623" w:rsidRPr="00B80786">
        <w:t xml:space="preserve"> 14(10): 3255. </w:t>
      </w:r>
      <w:hyperlink r:id="rId90" w:history="1">
        <w:r w:rsidR="00744ABE" w:rsidRPr="00B80786">
          <w:rPr>
            <w:rStyle w:val="Hyperlink"/>
            <w:color w:val="auto"/>
          </w:rPr>
          <w:t>Effectiveness of Generative AI for Post-Earthquake Damage Assessment</w:t>
        </w:r>
      </w:hyperlink>
      <w:r w:rsidR="006F44D2">
        <w:t>.</w:t>
      </w:r>
    </w:p>
  </w:endnote>
  <w:endnote w:id="74">
    <w:p w14:paraId="00E64551" w14:textId="3121D599" w:rsidR="0015412B" w:rsidRPr="00804AE8" w:rsidRDefault="0015412B" w:rsidP="00804AE8">
      <w:pPr>
        <w:pStyle w:val="EndnoteText"/>
        <w:ind w:left="426" w:hanging="426"/>
        <w:jc w:val="left"/>
        <w:rPr>
          <w:rFonts w:cs="Calibri"/>
          <w:szCs w:val="20"/>
        </w:rPr>
      </w:pPr>
      <w:r w:rsidRPr="00804AE8">
        <w:rPr>
          <w:rStyle w:val="EndnoteReference"/>
          <w:rFonts w:cs="Calibri"/>
          <w:szCs w:val="20"/>
        </w:rPr>
        <w:endnoteRef/>
      </w:r>
      <w:r w:rsidRPr="00804AE8">
        <w:rPr>
          <w:rFonts w:cs="Calibri"/>
          <w:szCs w:val="20"/>
        </w:rPr>
        <w:t xml:space="preserve"> </w:t>
      </w:r>
      <w:r w:rsidR="00C35932" w:rsidRPr="00804AE8">
        <w:rPr>
          <w:rFonts w:cs="Calibri"/>
          <w:szCs w:val="20"/>
        </w:rPr>
        <w:tab/>
      </w:r>
      <w:r w:rsidR="00C35932">
        <w:t xml:space="preserve">Premachandra C, Kunisada Y. 2023. GAN Based Audio Noise Suppression for Victim Detection at Disaster Sites With UAV. </w:t>
      </w:r>
      <w:r w:rsidR="00C35932">
        <w:rPr>
          <w:rStyle w:val="Emphasis"/>
        </w:rPr>
        <w:t xml:space="preserve">IEEE Transactions on Services Computing </w:t>
      </w:r>
      <w:r w:rsidR="00C35932">
        <w:t xml:space="preserve">17(1): 183–193. </w:t>
      </w:r>
      <w:hyperlink r:id="rId91" w:history="1">
        <w:r w:rsidR="00C35932" w:rsidRPr="00F8523D">
          <w:rPr>
            <w:rStyle w:val="Hyperlink"/>
          </w:rPr>
          <w:t>http://dx.doi.org/10.1109/TSC.2023.3338488</w:t>
        </w:r>
      </w:hyperlink>
    </w:p>
  </w:endnote>
  <w:endnote w:id="75">
    <w:p w14:paraId="7ACAC7DD" w14:textId="1512A991" w:rsidR="009B5BD5" w:rsidRDefault="009B5BD5" w:rsidP="00804AE8">
      <w:pPr>
        <w:pStyle w:val="EndnoteText"/>
        <w:ind w:left="426" w:hanging="426"/>
        <w:jc w:val="left"/>
      </w:pPr>
      <w:r>
        <w:rPr>
          <w:rStyle w:val="EndnoteReference"/>
        </w:rPr>
        <w:endnoteRef/>
      </w:r>
      <w:r>
        <w:t xml:space="preserve"> </w:t>
      </w:r>
      <w:r>
        <w:tab/>
        <w:t xml:space="preserve">Ministry of Business, Innovation &amp; Employment. 2025. </w:t>
      </w:r>
      <w:hyperlink r:id="rId92" w:history="1">
        <w:r w:rsidRPr="00B16C01">
          <w:rPr>
            <w:rStyle w:val="Hyperlink"/>
            <w:i/>
          </w:rPr>
          <w:t>New Zealand’s AI Strategy: Investing with confidence</w:t>
        </w:r>
      </w:hyperlink>
      <w:r>
        <w:t>. Retrieved 8 July 2025.</w:t>
      </w:r>
    </w:p>
  </w:endnote>
  <w:endnote w:id="76">
    <w:p w14:paraId="16638D8D" w14:textId="77777777" w:rsidR="005E14E7" w:rsidRDefault="005E14E7" w:rsidP="00804AE8">
      <w:pPr>
        <w:pStyle w:val="EndnoteText"/>
        <w:ind w:left="426" w:hanging="426"/>
        <w:jc w:val="left"/>
      </w:pPr>
      <w:r>
        <w:rPr>
          <w:rStyle w:val="EndnoteReference"/>
        </w:rPr>
        <w:endnoteRef/>
      </w:r>
      <w:r>
        <w:t xml:space="preserve"> </w:t>
      </w:r>
      <w:r>
        <w:tab/>
        <w:t xml:space="preserve">Korkmaz M, Zulfikar AC, Demirkesen S. 2024. </w:t>
      </w:r>
      <w:r w:rsidRPr="00D25780">
        <w:t>Leveraging Digital Twins as a Common Operating Picture for Disaster Management: Case of Seismic Hazards</w:t>
      </w:r>
      <w:r>
        <w:t xml:space="preserve">. </w:t>
      </w:r>
      <w:r>
        <w:rPr>
          <w:i/>
        </w:rPr>
        <w:t>International Journal of Geo-Information</w:t>
      </w:r>
      <w:r>
        <w:t xml:space="preserve"> 13(12): 430. </w:t>
      </w:r>
      <w:hyperlink r:id="rId93" w:history="1">
        <w:r w:rsidRPr="00F8523D">
          <w:rPr>
            <w:rStyle w:val="Hyperlink"/>
          </w:rPr>
          <w:t>https://doi.org/10.3390/ijgi13120430</w:t>
        </w:r>
      </w:hyperlink>
    </w:p>
  </w:endnote>
  <w:endnote w:id="77">
    <w:p w14:paraId="4CDC07A7" w14:textId="77777777" w:rsidR="005300EF" w:rsidRDefault="005300EF" w:rsidP="006F44D2">
      <w:pPr>
        <w:pStyle w:val="EndnoteText"/>
        <w:ind w:left="425" w:hanging="425"/>
        <w:jc w:val="left"/>
      </w:pPr>
      <w:r>
        <w:rPr>
          <w:rStyle w:val="EndnoteReference"/>
        </w:rPr>
        <w:endnoteRef/>
      </w:r>
      <w:r>
        <w:t xml:space="preserve"> </w:t>
      </w:r>
      <w:r>
        <w:tab/>
        <w:t xml:space="preserve">Razavi H, Titidezh O, Asgary A, Bonakdari H. 2024. Building Resilient Smart Cities: The Role of Digital Twins and Generative AI in Disaster Management Strategy. In: S Pourroostaei Ardakani, A Cheshmehzangi (eds) </w:t>
      </w:r>
      <w:r w:rsidRPr="00D25780">
        <w:rPr>
          <w:i/>
        </w:rPr>
        <w:t>Digital Twin Computing for Urban Intelligence</w:t>
      </w:r>
      <w:r>
        <w:t xml:space="preserve">. Urban Sustainability. Singapore: Springer. pp 95–118. </w:t>
      </w:r>
      <w:hyperlink r:id="rId94" w:history="1">
        <w:r w:rsidRPr="00F8523D">
          <w:rPr>
            <w:rStyle w:val="Hyperlink"/>
          </w:rPr>
          <w:t>https://doi.org/10.1007/978-981-97-8483-7_5</w:t>
        </w:r>
      </w:hyperlink>
      <w:r>
        <w:t xml:space="preserve"> </w:t>
      </w:r>
    </w:p>
  </w:endnote>
  <w:endnote w:id="78">
    <w:p w14:paraId="5811112E" w14:textId="77777777" w:rsidR="00CF2FC8" w:rsidRDefault="00CF2FC8" w:rsidP="006F44D2">
      <w:pPr>
        <w:pStyle w:val="EndnoteText"/>
        <w:spacing w:before="0" w:after="120"/>
        <w:ind w:left="425" w:hanging="425"/>
        <w:jc w:val="left"/>
      </w:pPr>
      <w:r>
        <w:rPr>
          <w:rStyle w:val="EndnoteReference"/>
        </w:rPr>
        <w:endnoteRef/>
      </w:r>
      <w:r w:rsidRPr="00B200C5">
        <w:tab/>
        <w:t xml:space="preserve">Digital.Govt.NZ. </w:t>
      </w:r>
      <w:hyperlink r:id="rId95" w:history="1">
        <w:r w:rsidRPr="00B16C01">
          <w:rPr>
            <w:rStyle w:val="Hyperlink"/>
            <w:i/>
          </w:rPr>
          <w:t>Public Service AI framework</w:t>
        </w:r>
      </w:hyperlink>
      <w:r>
        <w:t xml:space="preserve">. Retrieved 8 July 2025. </w:t>
      </w:r>
    </w:p>
  </w:endnote>
  <w:endnote w:id="79">
    <w:p w14:paraId="0B7105D3" w14:textId="799D53CA" w:rsidR="00877919" w:rsidRPr="00D535FC" w:rsidRDefault="00877919" w:rsidP="00804AE8">
      <w:pPr>
        <w:pStyle w:val="References"/>
        <w:ind w:left="426" w:hanging="426"/>
      </w:pPr>
      <w:r w:rsidRPr="00804AE8">
        <w:rPr>
          <w:rStyle w:val="EndnoteReference"/>
          <w:rFonts w:cs="Calibri"/>
          <w:szCs w:val="20"/>
        </w:rPr>
        <w:endnoteRef/>
      </w:r>
      <w:r w:rsidRPr="00D535FC">
        <w:t xml:space="preserve"> </w:t>
      </w:r>
      <w:r w:rsidR="00BC7141">
        <w:tab/>
      </w:r>
      <w:r w:rsidRPr="00D535FC">
        <w:t>Hon Chris Bishop</w:t>
      </w:r>
      <w:r w:rsidR="00A54F15">
        <w:t xml:space="preserve">. 2025. </w:t>
      </w:r>
      <w:hyperlink r:id="rId96" w:history="1">
        <w:r w:rsidRPr="00A54F15">
          <w:rPr>
            <w:rStyle w:val="Hyperlink"/>
          </w:rPr>
          <w:t>Speech to NZ Infrastructure Investment Summit</w:t>
        </w:r>
      </w:hyperlink>
      <w:r w:rsidR="00A54F15">
        <w:t xml:space="preserve">. </w:t>
      </w:r>
      <w:r w:rsidR="00A54F15">
        <w:rPr>
          <w:i/>
        </w:rPr>
        <w:t xml:space="preserve">Beehive.govt.nz </w:t>
      </w:r>
      <w:r w:rsidRPr="00D535FC">
        <w:t>13 March</w:t>
      </w:r>
      <w:r w:rsidR="00A54F15">
        <w:t>.</w:t>
      </w:r>
    </w:p>
  </w:endnote>
  <w:endnote w:id="80">
    <w:p w14:paraId="09F92D66" w14:textId="2E70B5AE" w:rsidR="00877919" w:rsidRPr="00D535FC" w:rsidRDefault="00877919" w:rsidP="00804AE8">
      <w:pPr>
        <w:pStyle w:val="References"/>
        <w:ind w:left="426" w:hanging="426"/>
      </w:pPr>
      <w:r w:rsidRPr="00804AE8">
        <w:rPr>
          <w:rStyle w:val="EndnoteReference"/>
          <w:rFonts w:cs="Calibri"/>
          <w:szCs w:val="20"/>
        </w:rPr>
        <w:endnoteRef/>
      </w:r>
      <w:r w:rsidRPr="00D535FC">
        <w:t xml:space="preserve"> </w:t>
      </w:r>
      <w:r w:rsidR="00BC7141">
        <w:tab/>
      </w:r>
      <w:r w:rsidR="002E1E49">
        <w:t>Griffiths</w:t>
      </w:r>
      <w:r w:rsidR="00CB694B">
        <w:t xml:space="preserve"> </w:t>
      </w:r>
      <w:r w:rsidR="002E1E49">
        <w:t>J</w:t>
      </w:r>
      <w:r w:rsidR="00CB694B">
        <w:t>,</w:t>
      </w:r>
      <w:r w:rsidR="002E1E49">
        <w:t xml:space="preserve"> Semadeni-Davies</w:t>
      </w:r>
      <w:r w:rsidR="00CB694B">
        <w:t xml:space="preserve"> </w:t>
      </w:r>
      <w:r w:rsidR="00770CFB">
        <w:t xml:space="preserve">A, </w:t>
      </w:r>
      <w:r w:rsidR="002E1E49">
        <w:t>Borne</w:t>
      </w:r>
      <w:r w:rsidR="00770CFB">
        <w:t xml:space="preserve"> K,</w:t>
      </w:r>
      <w:r w:rsidR="002E1E49">
        <w:t xml:space="preserve"> Tanner</w:t>
      </w:r>
      <w:r w:rsidR="00770CFB">
        <w:t xml:space="preserve"> C</w:t>
      </w:r>
      <w:r w:rsidR="002E1E49">
        <w:t xml:space="preserve">. </w:t>
      </w:r>
      <w:r w:rsidR="006A2FC2">
        <w:t xml:space="preserve">2024. </w:t>
      </w:r>
      <w:hyperlink r:id="rId97" w:history="1">
        <w:r w:rsidR="002E1E49" w:rsidRPr="00B16C01">
          <w:rPr>
            <w:rStyle w:val="Hyperlink"/>
            <w:i/>
          </w:rPr>
          <w:t>Nature-based solutions for flood management: Literature Review</w:t>
        </w:r>
      </w:hyperlink>
      <w:r w:rsidR="002E1E49">
        <w:t>. NIWA report prepared for Envirolink.</w:t>
      </w:r>
      <w:r w:rsidR="00412416">
        <w:t xml:space="preserve"> Christchurch: Envirolink.</w:t>
      </w:r>
    </w:p>
  </w:endnote>
  <w:endnote w:id="81">
    <w:p w14:paraId="374F48F1" w14:textId="03AC07B9" w:rsidR="00877919" w:rsidRPr="00D535FC" w:rsidRDefault="00877919" w:rsidP="00804AE8">
      <w:pPr>
        <w:pStyle w:val="References"/>
        <w:ind w:left="426" w:hanging="426"/>
      </w:pPr>
      <w:r w:rsidRPr="00804AE8">
        <w:rPr>
          <w:rStyle w:val="EndnoteReference"/>
          <w:rFonts w:cs="Calibri"/>
          <w:szCs w:val="20"/>
        </w:rPr>
        <w:endnoteRef/>
      </w:r>
      <w:r w:rsidRPr="00D535FC">
        <w:t xml:space="preserve"> </w:t>
      </w:r>
      <w:r w:rsidR="00BC7141">
        <w:tab/>
      </w:r>
      <w:r w:rsidRPr="00D535FC">
        <w:t>Boffa Miskell</w:t>
      </w:r>
      <w:r w:rsidR="00347C04">
        <w:t xml:space="preserve"> Ltd. 2024.</w:t>
      </w:r>
      <w:r w:rsidRPr="00D535FC">
        <w:t xml:space="preserve"> </w:t>
      </w:r>
      <w:hyperlink r:id="rId98" w:history="1">
        <w:r w:rsidR="0025755E" w:rsidRPr="00B16C01">
          <w:rPr>
            <w:rStyle w:val="Hyperlink"/>
            <w:i/>
          </w:rPr>
          <w:t>Nature-based Solutions for Climate Adaptation: Roadmap for scaling use in Aotearoa New Zealand</w:t>
        </w:r>
      </w:hyperlink>
      <w:r w:rsidR="0025755E">
        <w:t xml:space="preserve">. Prepared for the Ministry for the Environment by </w:t>
      </w:r>
      <w:r w:rsidR="00A579F1">
        <w:t xml:space="preserve">Boffa Miskell Ltd. </w:t>
      </w:r>
    </w:p>
  </w:endnote>
  <w:endnote w:id="82">
    <w:p w14:paraId="6612BF69" w14:textId="0E88B6AF" w:rsidR="48CDBE69" w:rsidRDefault="48CDBE69" w:rsidP="00F1490B">
      <w:pPr>
        <w:pStyle w:val="EndnoteText"/>
        <w:ind w:left="426" w:hanging="426"/>
        <w:jc w:val="left"/>
      </w:pPr>
      <w:r w:rsidRPr="48CDBE69">
        <w:rPr>
          <w:rStyle w:val="EndnoteReference"/>
        </w:rPr>
        <w:endnoteRef/>
      </w:r>
      <w:r>
        <w:t xml:space="preserve"> </w:t>
      </w:r>
      <w:r w:rsidR="00F1490B">
        <w:tab/>
      </w:r>
      <w:r>
        <w:t>Auckland Council. 2025. https://ourauckland.aucklandcouncil.govt.nz/media-centre/2025/april/ground-broken-on-the-first-making-space-for-water-flood-resilience-projects/</w:t>
      </w:r>
    </w:p>
  </w:endnote>
  <w:endnote w:id="83">
    <w:p w14:paraId="77AE29CD" w14:textId="233D7F48" w:rsidR="00877919" w:rsidRPr="00D535FC" w:rsidRDefault="00877919" w:rsidP="00804AE8">
      <w:pPr>
        <w:pStyle w:val="References"/>
        <w:ind w:left="426" w:hanging="426"/>
      </w:pPr>
      <w:r w:rsidRPr="00804AE8">
        <w:rPr>
          <w:rStyle w:val="EndnoteReference"/>
          <w:rFonts w:cs="Calibri"/>
          <w:szCs w:val="20"/>
        </w:rPr>
        <w:endnoteRef/>
      </w:r>
      <w:r w:rsidRPr="00D535FC">
        <w:t xml:space="preserve"> </w:t>
      </w:r>
      <w:r w:rsidR="00BC7141">
        <w:tab/>
      </w:r>
      <w:r w:rsidRPr="00D535FC">
        <w:t>Aurecon</w:t>
      </w:r>
      <w:r w:rsidR="00572DB5">
        <w:t>.</w:t>
      </w:r>
      <w:r w:rsidRPr="00D535FC">
        <w:t xml:space="preserve"> </w:t>
      </w:r>
      <w:hyperlink r:id="rId99" w:history="1">
        <w:r w:rsidRPr="00B16C01">
          <w:rPr>
            <w:rStyle w:val="Hyperlink"/>
            <w:i/>
          </w:rPr>
          <w:t>Hornsdale Power Reserve</w:t>
        </w:r>
      </w:hyperlink>
      <w:r w:rsidR="00572DB5">
        <w:rPr>
          <w:i/>
        </w:rPr>
        <w:t>.</w:t>
      </w:r>
      <w:r w:rsidRPr="00D535FC">
        <w:t xml:space="preserve"> </w:t>
      </w:r>
      <w:r w:rsidR="00397DB0">
        <w:t>Retrieved 7 July 2025.</w:t>
      </w:r>
    </w:p>
  </w:endnote>
  <w:endnote w:id="84">
    <w:p w14:paraId="6F869F05" w14:textId="47ADDA51" w:rsidR="00877919" w:rsidRPr="00D535FC" w:rsidRDefault="00877919" w:rsidP="00804AE8">
      <w:pPr>
        <w:pStyle w:val="References"/>
        <w:ind w:left="426" w:hanging="426"/>
      </w:pPr>
      <w:r w:rsidRPr="00804AE8">
        <w:rPr>
          <w:rStyle w:val="EndnoteReference"/>
          <w:rFonts w:cs="Calibri"/>
          <w:szCs w:val="20"/>
        </w:rPr>
        <w:endnoteRef/>
      </w:r>
      <w:r w:rsidRPr="00D535FC">
        <w:t xml:space="preserve"> </w:t>
      </w:r>
      <w:r w:rsidR="00BC7141">
        <w:tab/>
      </w:r>
      <w:r w:rsidRPr="00D535FC">
        <w:t>Meridian Energy</w:t>
      </w:r>
      <w:r w:rsidR="00397DB0">
        <w:t xml:space="preserve">. </w:t>
      </w:r>
      <w:hyperlink r:id="rId100" w:history="1">
        <w:r w:rsidRPr="00B16C01">
          <w:rPr>
            <w:rStyle w:val="Hyperlink"/>
            <w:i/>
          </w:rPr>
          <w:t>Completion of Ruakākā Battery Energy Storage System</w:t>
        </w:r>
      </w:hyperlink>
      <w:r w:rsidR="00262362">
        <w:t>. Retrieved 7 July 2025.</w:t>
      </w:r>
    </w:p>
  </w:endnote>
  <w:endnote w:id="85">
    <w:p w14:paraId="50DC3B48" w14:textId="67398C4C" w:rsidR="00877919" w:rsidRPr="00D535FC" w:rsidRDefault="00877919" w:rsidP="00804AE8">
      <w:pPr>
        <w:pStyle w:val="References"/>
        <w:ind w:left="426" w:hanging="426"/>
      </w:pPr>
      <w:r w:rsidRPr="00804AE8">
        <w:rPr>
          <w:rStyle w:val="EndnoteReference"/>
          <w:rFonts w:cs="Calibri"/>
          <w:szCs w:val="20"/>
        </w:rPr>
        <w:endnoteRef/>
      </w:r>
      <w:r w:rsidRPr="00D535FC">
        <w:t xml:space="preserve"> </w:t>
      </w:r>
      <w:r w:rsidR="00BC7141">
        <w:tab/>
      </w:r>
      <w:r w:rsidRPr="00D535FC">
        <w:t>Wise RM, Capon T, Lin BB</w:t>
      </w:r>
      <w:r w:rsidR="00262362">
        <w:t>,</w:t>
      </w:r>
      <w:r w:rsidRPr="00D535FC">
        <w:t xml:space="preserve"> </w:t>
      </w:r>
      <w:r w:rsidR="00E60FC8">
        <w:t>Stafford-Smith M</w:t>
      </w:r>
      <w:r w:rsidRPr="00D535FC">
        <w:t>.</w:t>
      </w:r>
      <w:r w:rsidR="00E60FC8">
        <w:t xml:space="preserve"> 2022.</w:t>
      </w:r>
      <w:r w:rsidRPr="00D535FC">
        <w:t xml:space="preserve"> Pragmatic cost</w:t>
      </w:r>
      <w:r w:rsidR="00CF5FCC">
        <w:t>-</w:t>
      </w:r>
      <w:r w:rsidRPr="00D535FC">
        <w:t xml:space="preserve">benefit analysis for infrastructure resilience. </w:t>
      </w:r>
      <w:r w:rsidR="00E60FC8">
        <w:rPr>
          <w:i/>
        </w:rPr>
        <w:t>Nature Climate Change</w:t>
      </w:r>
      <w:r w:rsidRPr="00D535FC">
        <w:t xml:space="preserve"> 12</w:t>
      </w:r>
      <w:r w:rsidR="00E60FC8">
        <w:t>:</w:t>
      </w:r>
      <w:r w:rsidRPr="00D535FC">
        <w:t xml:space="preserve"> 881–883. </w:t>
      </w:r>
      <w:hyperlink r:id="rId101" w:history="1">
        <w:r w:rsidR="00262362" w:rsidRPr="00F8523D">
          <w:rPr>
            <w:rStyle w:val="Hyperlink"/>
          </w:rPr>
          <w:t>https://doi.org/10.1038/s41558-022-01468-5</w:t>
        </w:r>
      </w:hyperlink>
      <w:r w:rsidR="00262362">
        <w:t xml:space="preserve"> </w:t>
      </w:r>
    </w:p>
  </w:endnote>
  <w:endnote w:id="86">
    <w:p w14:paraId="22AE5F42" w14:textId="557EC971" w:rsidR="00877919" w:rsidRPr="00D535FC" w:rsidRDefault="00877919" w:rsidP="00804AE8">
      <w:pPr>
        <w:pStyle w:val="References"/>
        <w:ind w:left="426" w:hanging="426"/>
      </w:pPr>
      <w:r w:rsidRPr="00804AE8">
        <w:rPr>
          <w:rStyle w:val="EndnoteReference"/>
          <w:rFonts w:cs="Calibri"/>
          <w:szCs w:val="20"/>
        </w:rPr>
        <w:endnoteRef/>
      </w:r>
      <w:r w:rsidRPr="00D535FC">
        <w:t xml:space="preserve"> </w:t>
      </w:r>
      <w:r w:rsidR="00BC7141">
        <w:tab/>
      </w:r>
      <w:r w:rsidRPr="00D535FC">
        <w:t>Tanner</w:t>
      </w:r>
      <w:r w:rsidR="00722134">
        <w:t xml:space="preserve"> T,</w:t>
      </w:r>
      <w:r w:rsidRPr="00D535FC">
        <w:t xml:space="preserve"> Reid</w:t>
      </w:r>
      <w:r w:rsidR="00722134">
        <w:t xml:space="preserve"> RCJ,</w:t>
      </w:r>
      <w:r w:rsidRPr="00D535FC">
        <w:t xml:space="preserve"> Wilkinson</w:t>
      </w:r>
      <w:r w:rsidR="00722134">
        <w:t xml:space="preserve"> E,</w:t>
      </w:r>
      <w:r w:rsidRPr="00D535FC">
        <w:t xml:space="preserve"> Rajput</w:t>
      </w:r>
      <w:r w:rsidR="00722134">
        <w:t xml:space="preserve"> </w:t>
      </w:r>
      <w:r w:rsidR="003C27E1">
        <w:t>S,</w:t>
      </w:r>
      <w:r w:rsidRPr="00D535FC">
        <w:t xml:space="preserve"> Surminski</w:t>
      </w:r>
      <w:r w:rsidR="003C27E1">
        <w:t xml:space="preserve"> S,</w:t>
      </w:r>
      <w:r w:rsidRPr="00D535FC">
        <w:t xml:space="preserve"> Maruyama Rentschler</w:t>
      </w:r>
      <w:r w:rsidR="003C27E1">
        <w:t xml:space="preserve"> JE</w:t>
      </w:r>
      <w:r w:rsidRPr="00D535FC">
        <w:t>.</w:t>
      </w:r>
      <w:r w:rsidR="003C27E1">
        <w:t xml:space="preserve"> 2018.</w:t>
      </w:r>
      <w:r w:rsidR="00567A58">
        <w:t xml:space="preserve"> </w:t>
      </w:r>
      <w:hyperlink r:id="rId102" w:history="1">
        <w:r w:rsidRPr="00B16C01">
          <w:rPr>
            <w:rStyle w:val="Hyperlink"/>
            <w:i/>
          </w:rPr>
          <w:t>The triple dividend of resilience: realizing development goals through the multiple benefits of disaster risk management (English)</w:t>
        </w:r>
      </w:hyperlink>
      <w:r w:rsidRPr="00D535FC">
        <w:t>. Washington, DC: World Bank Group.</w:t>
      </w:r>
    </w:p>
  </w:endnote>
  <w:endnote w:id="87">
    <w:p w14:paraId="16892BC3" w14:textId="63B3F10F" w:rsidR="00877919" w:rsidRPr="00D535FC" w:rsidRDefault="00877919" w:rsidP="00804AE8">
      <w:pPr>
        <w:pStyle w:val="References"/>
        <w:ind w:left="426" w:hanging="426"/>
      </w:pPr>
      <w:r w:rsidRPr="00804AE8">
        <w:rPr>
          <w:rStyle w:val="EndnoteReference"/>
          <w:rFonts w:cs="Calibri"/>
          <w:szCs w:val="20"/>
        </w:rPr>
        <w:endnoteRef/>
      </w:r>
      <w:r w:rsidRPr="00D535FC">
        <w:t xml:space="preserve"> </w:t>
      </w:r>
      <w:r w:rsidR="00C029BB">
        <w:tab/>
      </w:r>
      <w:r w:rsidRPr="00D535FC">
        <w:t>Rözer</w:t>
      </w:r>
      <w:r w:rsidR="00FC15DA">
        <w:t xml:space="preserve"> V</w:t>
      </w:r>
      <w:r w:rsidRPr="00D535FC">
        <w:t>, Surminski</w:t>
      </w:r>
      <w:r w:rsidR="00FC15DA">
        <w:t xml:space="preserve"> S</w:t>
      </w:r>
      <w:r w:rsidRPr="00D535FC">
        <w:t>, Laurien</w:t>
      </w:r>
      <w:r w:rsidR="00FC15DA">
        <w:t xml:space="preserve"> F</w:t>
      </w:r>
      <w:r w:rsidRPr="00D535FC">
        <w:t>, McQuistan</w:t>
      </w:r>
      <w:r w:rsidR="00FC15DA">
        <w:t xml:space="preserve"> C</w:t>
      </w:r>
      <w:r w:rsidRPr="00D535FC">
        <w:t>, Mechler</w:t>
      </w:r>
      <w:r w:rsidR="00FC15DA">
        <w:t xml:space="preserve"> R. 2023.</w:t>
      </w:r>
      <w:r w:rsidRPr="00D535FC">
        <w:t xml:space="preserve"> Multiple resilience dividends at the community level: A comparative study of disaster risk reduction interventions in different countries</w:t>
      </w:r>
      <w:r w:rsidR="00FC15DA">
        <w:t xml:space="preserve">. </w:t>
      </w:r>
      <w:r w:rsidRPr="00B16C01">
        <w:rPr>
          <w:i/>
        </w:rPr>
        <w:t>Climate Risk Management</w:t>
      </w:r>
      <w:r w:rsidRPr="00D535FC">
        <w:t xml:space="preserve"> 40</w:t>
      </w:r>
      <w:r w:rsidR="00FC15DA">
        <w:t>:</w:t>
      </w:r>
      <w:r w:rsidRPr="00D535FC">
        <w:t xml:space="preserve"> 100518</w:t>
      </w:r>
      <w:r w:rsidR="00FC15DA">
        <w:t>.</w:t>
      </w:r>
      <w:r w:rsidR="00322EE1" w:rsidRPr="00322EE1">
        <w:t xml:space="preserve"> </w:t>
      </w:r>
      <w:hyperlink r:id="rId103" w:history="1">
        <w:r w:rsidR="00322EE1" w:rsidRPr="00F8523D">
          <w:rPr>
            <w:rStyle w:val="Hyperlink"/>
          </w:rPr>
          <w:t>https://doi.org/10.1016/j.crm.2023.100518</w:t>
        </w:r>
      </w:hyperlink>
    </w:p>
  </w:endnote>
  <w:endnote w:id="88">
    <w:p w14:paraId="2760A7F1" w14:textId="399536ED" w:rsidR="00877919" w:rsidRPr="00D535FC" w:rsidRDefault="00877919" w:rsidP="00804AE8">
      <w:pPr>
        <w:pStyle w:val="References"/>
        <w:ind w:left="426" w:hanging="426"/>
      </w:pPr>
      <w:r w:rsidRPr="00804AE8">
        <w:rPr>
          <w:rStyle w:val="EndnoteReference"/>
          <w:rFonts w:cs="Calibri"/>
          <w:szCs w:val="20"/>
        </w:rPr>
        <w:endnoteRef/>
      </w:r>
      <w:r w:rsidRPr="00D535FC">
        <w:t xml:space="preserve"> </w:t>
      </w:r>
      <w:r w:rsidR="00C029BB">
        <w:tab/>
      </w:r>
      <w:r w:rsidRPr="00D535FC">
        <w:t>McDonald</w:t>
      </w:r>
      <w:r w:rsidR="00322EE1">
        <w:t xml:space="preserve"> N</w:t>
      </w:r>
      <w:r w:rsidRPr="00D535FC">
        <w:t>, Timar</w:t>
      </w:r>
      <w:r w:rsidR="00322EE1">
        <w:t xml:space="preserve"> L</w:t>
      </w:r>
      <w:r w:rsidRPr="00D535FC">
        <w:t xml:space="preserve">, McDonald </w:t>
      </w:r>
      <w:r w:rsidR="00322EE1">
        <w:t xml:space="preserve">G, </w:t>
      </w:r>
      <w:r w:rsidRPr="00D535FC">
        <w:t>Murray</w:t>
      </w:r>
      <w:r w:rsidR="00322EE1">
        <w:t xml:space="preserve"> C. 2020.</w:t>
      </w:r>
      <w:r w:rsidRPr="00D535FC">
        <w:t xml:space="preserve"> </w:t>
      </w:r>
      <w:r w:rsidR="00322EE1" w:rsidRPr="00D535FC">
        <w:t xml:space="preserve">Better resilience evaluation: </w:t>
      </w:r>
      <w:r w:rsidR="00322EE1">
        <w:t>R</w:t>
      </w:r>
      <w:r w:rsidR="00322EE1" w:rsidRPr="00D535FC">
        <w:t>eflections on investments in seismic resilience for infrastructure</w:t>
      </w:r>
      <w:r w:rsidR="00322EE1">
        <w:t xml:space="preserve">. </w:t>
      </w:r>
      <w:r w:rsidRPr="00B16C01">
        <w:rPr>
          <w:i/>
        </w:rPr>
        <w:t>Bulletin of the New Zealand Society for Earthquake Engineering</w:t>
      </w:r>
      <w:r w:rsidRPr="00D535FC">
        <w:t xml:space="preserve"> 53</w:t>
      </w:r>
      <w:r w:rsidR="00322EE1">
        <w:t>(4</w:t>
      </w:r>
      <w:r w:rsidR="00DD4DC1">
        <w:t xml:space="preserve">): 203–214. </w:t>
      </w:r>
      <w:hyperlink r:id="rId104" w:history="1">
        <w:r w:rsidR="00DD4DC1" w:rsidRPr="00F8523D">
          <w:rPr>
            <w:rStyle w:val="Hyperlink"/>
          </w:rPr>
          <w:t>https://doi.org/10.5459/bnzsee.53.4.203-214</w:t>
        </w:r>
      </w:hyperlink>
    </w:p>
  </w:endnote>
  <w:endnote w:id="89">
    <w:p w14:paraId="421782B2" w14:textId="7FBF9AAB" w:rsidR="00877919" w:rsidRPr="00D535FC" w:rsidRDefault="00877919" w:rsidP="00804AE8">
      <w:pPr>
        <w:pStyle w:val="References"/>
        <w:ind w:left="426" w:hanging="426"/>
      </w:pPr>
      <w:r w:rsidRPr="00804AE8">
        <w:rPr>
          <w:rStyle w:val="EndnoteReference"/>
          <w:rFonts w:cs="Calibri"/>
          <w:szCs w:val="20"/>
        </w:rPr>
        <w:endnoteRef/>
      </w:r>
      <w:r w:rsidRPr="00D535FC">
        <w:t xml:space="preserve"> </w:t>
      </w:r>
      <w:r w:rsidR="00C029BB">
        <w:tab/>
      </w:r>
      <w:r w:rsidRPr="00D535FC">
        <w:t>Wise R, Marinopoulos J, O’Connell D, Mesic N, Tieman G, Gorddard R, Chan J, Flett D, Lee A, Box P, Meharg S</w:t>
      </w:r>
      <w:r w:rsidR="00265C7F">
        <w:t xml:space="preserve">, </w:t>
      </w:r>
      <w:r w:rsidRPr="00D535FC">
        <w:t>Helfgott A</w:t>
      </w:r>
      <w:r w:rsidR="00265C7F">
        <w:t xml:space="preserve">. </w:t>
      </w:r>
      <w:r w:rsidRPr="00D535FC">
        <w:t>2022</w:t>
      </w:r>
      <w:r w:rsidR="00265C7F">
        <w:t>.</w:t>
      </w:r>
      <w:r w:rsidRPr="00D535FC">
        <w:t xml:space="preserve"> </w:t>
      </w:r>
      <w:r w:rsidR="00B52144">
        <w:t xml:space="preserve">Guidance for applying the </w:t>
      </w:r>
      <w:r w:rsidRPr="00D535FC">
        <w:t xml:space="preserve">Enabling Resilience Investment </w:t>
      </w:r>
      <w:r w:rsidR="00B52144">
        <w:t xml:space="preserve">Framework: Building </w:t>
      </w:r>
      <w:r w:rsidR="00A173B0">
        <w:t>national capability for Enabling Resilience Investment.</w:t>
      </w:r>
      <w:r w:rsidRPr="00D535FC">
        <w:t xml:space="preserve"> </w:t>
      </w:r>
      <w:r w:rsidR="00A173B0">
        <w:t xml:space="preserve">Australia: </w:t>
      </w:r>
      <w:r w:rsidRPr="00D535FC">
        <w:t xml:space="preserve">CSIRO. </w:t>
      </w:r>
      <w:hyperlink r:id="rId105" w:history="1">
        <w:r w:rsidR="00A173B0" w:rsidRPr="00F8523D">
          <w:rPr>
            <w:rStyle w:val="Hyperlink"/>
          </w:rPr>
          <w:t>https://doi.org/10.25919/vkh4-mh60</w:t>
        </w:r>
      </w:hyperlink>
    </w:p>
  </w:endnote>
  <w:endnote w:id="90">
    <w:p w14:paraId="1389E9A4" w14:textId="0E2865B7" w:rsidR="00877919" w:rsidRDefault="00877919" w:rsidP="00804AE8">
      <w:pPr>
        <w:pStyle w:val="References"/>
        <w:ind w:left="426" w:hanging="426"/>
      </w:pPr>
      <w:r w:rsidRPr="00804AE8">
        <w:rPr>
          <w:rStyle w:val="EndnoteReference"/>
          <w:rFonts w:cs="Calibri"/>
          <w:szCs w:val="20"/>
        </w:rPr>
        <w:endnoteRef/>
      </w:r>
      <w:r w:rsidRPr="00D535FC">
        <w:t xml:space="preserve"> </w:t>
      </w:r>
      <w:r w:rsidR="00C029BB">
        <w:tab/>
      </w:r>
      <w:r w:rsidRPr="00D535FC">
        <w:t>State of Queensland (Queensland Reconstruction Authority)</w:t>
      </w:r>
      <w:r w:rsidR="00876098">
        <w:t>. 2021.</w:t>
      </w:r>
      <w:r w:rsidRPr="00D535FC">
        <w:t xml:space="preserve"> </w:t>
      </w:r>
      <w:hyperlink r:id="rId106" w:history="1">
        <w:r w:rsidRPr="00B16C01">
          <w:rPr>
            <w:rStyle w:val="Hyperlink"/>
            <w:i/>
          </w:rPr>
          <w:t>Economic Assessment Framework of Flood Risk Mitigation Projects</w:t>
        </w:r>
      </w:hyperlink>
      <w:r w:rsidR="00876098">
        <w:rPr>
          <w:i/>
        </w:rPr>
        <w:t>.</w:t>
      </w:r>
      <w:r w:rsidR="00BF3224">
        <w:t xml:space="preserve"> Queensland: Queensland Reconstruction Authority.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25C9D" w14:textId="77777777" w:rsidR="00E84D9B" w:rsidRDefault="00E84D9B">
    <w:pPr>
      <w:spacing w:before="0" w:after="0" w:line="240" w:lineRule="auto"/>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40AA4" w14:textId="77777777" w:rsidR="002D7D9F" w:rsidRDefault="002D7D9F" w:rsidP="00E453C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D9A46" w14:textId="77777777" w:rsidR="002D7D9F" w:rsidRDefault="002D7D9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5A566" w14:textId="3F645A82" w:rsidR="00405F2F" w:rsidRDefault="00405F2F">
    <w:pPr>
      <w:pStyle w:val="Footereven"/>
    </w:pPr>
    <w:r w:rsidRPr="004F458A">
      <w:rPr>
        <w:b/>
      </w:rPr>
      <w:fldChar w:fldCharType="begin"/>
    </w:r>
    <w:r w:rsidRPr="004F458A">
      <w:instrText xml:space="preserve"> PAGE </w:instrText>
    </w:r>
    <w:r w:rsidRPr="004F458A">
      <w:rPr>
        <w:b/>
      </w:rPr>
      <w:fldChar w:fldCharType="separate"/>
    </w:r>
    <w:r>
      <w:rPr>
        <w:noProof/>
      </w:rPr>
      <w:t>8</w:t>
    </w:r>
    <w:r w:rsidRPr="004F458A">
      <w:rPr>
        <w:b/>
      </w:rPr>
      <w:fldChar w:fldCharType="end"/>
    </w:r>
    <w:r>
      <w:tab/>
    </w:r>
    <w:r w:rsidR="00A041A5" w:rsidRPr="001307A3">
      <w:t>Building New Zealand’s Long-</w:t>
    </w:r>
    <w:r w:rsidR="000074DB">
      <w:t>t</w:t>
    </w:r>
    <w:r w:rsidR="00A041A5" w:rsidRPr="001307A3">
      <w:t>erm Resilience to Hazards: Long-</w:t>
    </w:r>
    <w:r w:rsidR="000074DB">
      <w:t>t</w:t>
    </w:r>
    <w:r w:rsidR="00A041A5" w:rsidRPr="001307A3">
      <w:t>erm Insights Briefing</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67084" w14:textId="6CA2DF7B" w:rsidR="00405F2F" w:rsidRDefault="001307A3" w:rsidP="00E453C7">
    <w:pPr>
      <w:pStyle w:val="Footerodd"/>
    </w:pPr>
    <w:r w:rsidRPr="001307A3">
      <w:tab/>
      <w:t>Building New Zealand’s Long-</w:t>
    </w:r>
    <w:r w:rsidR="000074DB">
      <w:t>t</w:t>
    </w:r>
    <w:r w:rsidRPr="001307A3">
      <w:t>erm Resilience to Hazards: Long-</w:t>
    </w:r>
    <w:r w:rsidR="000074DB">
      <w:t>t</w:t>
    </w:r>
    <w:r w:rsidRPr="001307A3">
      <w:t>erm Insights Briefing</w:t>
    </w:r>
    <w:r w:rsidR="00405F2F">
      <w:tab/>
    </w:r>
    <w:r w:rsidR="00405F2F">
      <w:rPr>
        <w:noProof/>
      </w:rPr>
      <w:fldChar w:fldCharType="begin"/>
    </w:r>
    <w:r w:rsidR="00405F2F">
      <w:instrText xml:space="preserve"> PAGE   \* MERGEFORMAT </w:instrText>
    </w:r>
    <w:r w:rsidR="00405F2F">
      <w:fldChar w:fldCharType="separate"/>
    </w:r>
    <w:r w:rsidR="00405F2F">
      <w:rPr>
        <w:noProof/>
      </w:rPr>
      <w:t>7</w:t>
    </w:r>
    <w:r w:rsidR="00405F2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0F57CD" w14:textId="77777777" w:rsidR="001762BA" w:rsidRDefault="001762BA" w:rsidP="00E84D9B">
      <w:pPr>
        <w:spacing w:before="0" w:after="0" w:line="240" w:lineRule="auto"/>
      </w:pPr>
      <w:r>
        <w:separator/>
      </w:r>
    </w:p>
  </w:footnote>
  <w:footnote w:type="continuationSeparator" w:id="0">
    <w:p w14:paraId="456361C9" w14:textId="77777777" w:rsidR="001762BA" w:rsidRDefault="001762BA" w:rsidP="00E84D9B">
      <w:pPr>
        <w:spacing w:before="0" w:after="0" w:line="240" w:lineRule="auto"/>
      </w:pPr>
      <w:r>
        <w:continuationSeparator/>
      </w:r>
    </w:p>
  </w:footnote>
  <w:footnote w:type="continuationNotice" w:id="1">
    <w:p w14:paraId="1383077E" w14:textId="77777777" w:rsidR="001762BA" w:rsidRDefault="001762BA">
      <w:pPr>
        <w:spacing w:before="0" w:after="0" w:line="240" w:lineRule="auto"/>
      </w:pPr>
    </w:p>
  </w:footnote>
  <w:footnote w:id="2">
    <w:p w14:paraId="05EA6AEF" w14:textId="54067617" w:rsidR="0AAFDAA4" w:rsidRDefault="0AAFDAA4" w:rsidP="0AAFDAA4">
      <w:pPr>
        <w:pStyle w:val="FootnoteText"/>
      </w:pPr>
      <w:r w:rsidRPr="0AAFDAA4">
        <w:rPr>
          <w:rStyle w:val="FootnoteReference"/>
        </w:rPr>
        <w:footnoteRef/>
      </w:r>
      <w:r w:rsidR="6B118FC4">
        <w:t xml:space="preserve"> </w:t>
      </w:r>
      <w:r w:rsidR="00F47B0E">
        <w:tab/>
      </w:r>
      <w:r w:rsidR="6B118FC4">
        <w:t>We note some people and communities, such as M</w:t>
      </w:r>
      <w:r w:rsidR="6B118FC4" w:rsidRPr="0AAFDAA4">
        <w:rPr>
          <w:lang w:val="mi-NZ"/>
        </w:rPr>
        <w:t xml:space="preserve">āori, Pasifika, rural, disabled and low-income communities, </w:t>
      </w:r>
      <w:r w:rsidR="6B118FC4">
        <w:t>are more inherently exposed and vulnerable to hazards than others due to existing disparities and conditions.</w:t>
      </w:r>
    </w:p>
  </w:footnote>
  <w:footnote w:id="3">
    <w:p w14:paraId="12183131" w14:textId="06A6F8E9" w:rsidR="00AA009D" w:rsidRDefault="00AA009D">
      <w:pPr>
        <w:pStyle w:val="FootnoteText"/>
      </w:pPr>
      <w:r>
        <w:rPr>
          <w:rStyle w:val="FootnoteReference"/>
        </w:rPr>
        <w:footnoteRef/>
      </w:r>
      <w:r>
        <w:t xml:space="preserve"> </w:t>
      </w:r>
      <w:r w:rsidR="008549B2">
        <w:tab/>
      </w:r>
      <w:r w:rsidR="00F36707">
        <w:t>This m</w:t>
      </w:r>
      <w:r w:rsidR="008549B2">
        <w:t>eans leveraging the collective knowledge, understanding and resources of all parts of the country.</w:t>
      </w:r>
    </w:p>
  </w:footnote>
  <w:footnote w:id="4">
    <w:p w14:paraId="27C076D5" w14:textId="7F6DF2C5" w:rsidR="00F5405B" w:rsidRDefault="00F5405B">
      <w:pPr>
        <w:pStyle w:val="FootnoteText"/>
      </w:pPr>
      <w:r>
        <w:rPr>
          <w:rStyle w:val="FootnoteReference"/>
        </w:rPr>
        <w:footnoteRef/>
      </w:r>
      <w:r w:rsidR="6B118FC4">
        <w:t xml:space="preserve"> </w:t>
      </w:r>
      <w:r w:rsidR="00F47B0E">
        <w:tab/>
      </w:r>
      <w:r w:rsidR="6B118FC4">
        <w:t>According to the World Economic Forum, companies report that their current adaptation and resilience investments could yield between $2 and $19 for every $1 invested. (World Economic Forum: The Cost of Inaction: A CEO Guide to Navigating Climate Risk Annual Report 2024)</w:t>
      </w:r>
      <w:r w:rsidR="00E859DF">
        <w:t>.</w:t>
      </w:r>
    </w:p>
  </w:footnote>
  <w:footnote w:id="5">
    <w:p w14:paraId="78130DF0" w14:textId="5346D804" w:rsidR="00D10E8C" w:rsidRDefault="00D10E8C">
      <w:pPr>
        <w:pStyle w:val="FootnoteText"/>
      </w:pPr>
      <w:r>
        <w:rPr>
          <w:rStyle w:val="FootnoteReference"/>
        </w:rPr>
        <w:footnoteRef/>
      </w:r>
      <w:r w:rsidR="48CDBE69">
        <w:t xml:space="preserve"> </w:t>
      </w:r>
      <w:r w:rsidR="00772521">
        <w:tab/>
      </w:r>
      <w:r w:rsidR="48CDBE69">
        <w:t xml:space="preserve">The National Risk Register includes 14 hazards </w:t>
      </w:r>
      <w:r w:rsidDel="48CDBE69">
        <w:t xml:space="preserve">and </w:t>
      </w:r>
      <w:r w:rsidR="2D15A54E">
        <w:t>11</w:t>
      </w:r>
      <w:r w:rsidDel="48CDBE69">
        <w:t xml:space="preserve"> </w:t>
      </w:r>
      <w:r w:rsidR="48CDBE69">
        <w:t>national security threats</w:t>
      </w:r>
      <w:r w:rsidDel="48CDBE69">
        <w:t>.</w:t>
      </w:r>
    </w:p>
  </w:footnote>
  <w:footnote w:id="6">
    <w:p w14:paraId="3962A31B" w14:textId="793B601C" w:rsidR="0304C947" w:rsidRDefault="0304C947" w:rsidP="0304C947">
      <w:pPr>
        <w:pStyle w:val="FootnoteText"/>
      </w:pPr>
      <w:r w:rsidRPr="0304C947">
        <w:rPr>
          <w:rStyle w:val="FootnoteReference"/>
        </w:rPr>
        <w:footnoteRef/>
      </w:r>
      <w:r>
        <w:t xml:space="preserve"> </w:t>
      </w:r>
      <w:r w:rsidR="00F47B0E">
        <w:tab/>
      </w:r>
      <w:r w:rsidRPr="0304C947">
        <w:rPr>
          <w:rFonts w:eastAsia="Calibri" w:cs="Calibri"/>
          <w:szCs w:val="19"/>
        </w:rPr>
        <w:t>In 2023, a Long-term Insights Briefing was published on New Zealand’s changing national security landscape and opportunities for the future. This briefing was led by the Department of the Prime Minister and Cabinet and the Ministry of Foreign Affairs and Trade on behalf of the Security and Intelligence Board.</w:t>
      </w:r>
    </w:p>
  </w:footnote>
  <w:footnote w:id="7">
    <w:p w14:paraId="2AC45738" w14:textId="530D0B71" w:rsidR="5D57F249" w:rsidRDefault="5D57F249" w:rsidP="5D57F249">
      <w:pPr>
        <w:pStyle w:val="FootnoteText"/>
      </w:pPr>
      <w:r w:rsidRPr="5D57F249">
        <w:rPr>
          <w:rStyle w:val="FootnoteReference"/>
        </w:rPr>
        <w:footnoteRef/>
      </w:r>
      <w:r>
        <w:t xml:space="preserve"> </w:t>
      </w:r>
      <w:r w:rsidR="005E7C9A">
        <w:tab/>
      </w:r>
      <w:r>
        <w:t>Volcanic Explosivity Index</w:t>
      </w:r>
      <w:r w:rsidR="00A966A3">
        <w:t>.</w:t>
      </w:r>
    </w:p>
  </w:footnote>
  <w:footnote w:id="8">
    <w:p w14:paraId="558000B8" w14:textId="21D39099" w:rsidR="00772521" w:rsidRDefault="00772521">
      <w:pPr>
        <w:pStyle w:val="FootnoteText"/>
      </w:pPr>
      <w:r>
        <w:rPr>
          <w:rStyle w:val="FootnoteReference"/>
        </w:rPr>
        <w:footnoteRef/>
      </w:r>
      <w:r>
        <w:t xml:space="preserve"> </w:t>
      </w:r>
      <w:r w:rsidR="00D63535">
        <w:tab/>
        <w:t xml:space="preserve">Solar maximum is the period of highest activity during the </w:t>
      </w:r>
      <w:r w:rsidR="000074DB">
        <w:t>s</w:t>
      </w:r>
      <w:r w:rsidR="00D63535">
        <w:t>un</w:t>
      </w:r>
      <w:r w:rsidR="000074DB">
        <w:t>’</w:t>
      </w:r>
      <w:r w:rsidR="00D63535">
        <w:t>s roughly 11-year solar cycle.</w:t>
      </w:r>
    </w:p>
  </w:footnote>
  <w:footnote w:id="9">
    <w:p w14:paraId="0178F787" w14:textId="624FE181" w:rsidR="48CDBE69" w:rsidRDefault="48CDBE69" w:rsidP="00884241">
      <w:pPr>
        <w:pStyle w:val="EndnoteText"/>
        <w:tabs>
          <w:tab w:val="left" w:pos="284"/>
        </w:tabs>
        <w:jc w:val="left"/>
        <w:rPr>
          <w:rFonts w:cs="Calibri"/>
        </w:rPr>
      </w:pPr>
      <w:r w:rsidRPr="48CDBE69">
        <w:rPr>
          <w:rStyle w:val="FootnoteReference"/>
        </w:rPr>
        <w:footnoteRef/>
      </w:r>
      <w:r w:rsidR="6B118FC4">
        <w:t xml:space="preserve"> </w:t>
      </w:r>
      <w:r w:rsidR="00C05128">
        <w:tab/>
      </w:r>
      <w:r w:rsidR="6B118FC4" w:rsidRPr="6B118FC4">
        <w:t>More i</w:t>
      </w:r>
      <w:r w:rsidR="6B118FC4" w:rsidRPr="48CDBE69">
        <w:t xml:space="preserve">nformation can be found </w:t>
      </w:r>
      <w:r w:rsidR="6B118FC4" w:rsidRPr="00841F01">
        <w:rPr>
          <w:rFonts w:cs="Calibri"/>
          <w:sz w:val="19"/>
          <w:szCs w:val="19"/>
        </w:rPr>
        <w:t xml:space="preserve">at </w:t>
      </w:r>
      <w:hyperlink r:id="rId1" w:history="1">
        <w:r w:rsidR="00884241" w:rsidRPr="004C1F0E">
          <w:rPr>
            <w:rStyle w:val="Hyperlink"/>
            <w:rFonts w:eastAsia="Aptos" w:cs="Calibri"/>
            <w:sz w:val="19"/>
            <w:szCs w:val="19"/>
          </w:rPr>
          <w:t>https://www.dpmc.govt.nz/our-programmes/risk-and-</w:t>
        </w:r>
        <w:r w:rsidR="00884241" w:rsidRPr="004C1F0E">
          <w:rPr>
            <w:rStyle w:val="Hyperlink"/>
            <w:rFonts w:eastAsia="Aptos" w:cs="Calibri"/>
            <w:sz w:val="19"/>
            <w:szCs w:val="19"/>
          </w:rPr>
          <w:tab/>
          <w:t>resilience/national-risk-and-resilience-framework</w:t>
        </w:r>
      </w:hyperlink>
      <w:r w:rsidR="0041220D" w:rsidRPr="00841F01">
        <w:rPr>
          <w:sz w:val="19"/>
          <w:szCs w:val="19"/>
        </w:rPr>
        <w:t>.</w:t>
      </w:r>
    </w:p>
  </w:footnote>
  <w:footnote w:id="10">
    <w:p w14:paraId="08131482" w14:textId="6A2BAE55" w:rsidR="00D00970" w:rsidRDefault="00D00970">
      <w:pPr>
        <w:pStyle w:val="FootnoteText"/>
      </w:pPr>
      <w:r>
        <w:rPr>
          <w:rStyle w:val="FootnoteReference"/>
        </w:rPr>
        <w:footnoteRef/>
      </w:r>
      <w:r>
        <w:t xml:space="preserve"> </w:t>
      </w:r>
      <w:r w:rsidR="002B10BB">
        <w:tab/>
      </w:r>
      <w:r w:rsidR="00CE62C9">
        <w:t>The New Zealand Infrastructure Commission is the Government’s independent advisor on infrastructure. It released a draft National Infrastructure Plan that the Government will respond to in 2026.</w:t>
      </w:r>
    </w:p>
  </w:footnote>
  <w:footnote w:id="11">
    <w:p w14:paraId="4C545AC4" w14:textId="4C5EEFEF" w:rsidR="000406CC" w:rsidRDefault="000406CC">
      <w:pPr>
        <w:pStyle w:val="FootnoteText"/>
      </w:pPr>
      <w:r>
        <w:rPr>
          <w:rStyle w:val="FootnoteReference"/>
        </w:rPr>
        <w:footnoteRef/>
      </w:r>
      <w:r>
        <w:t xml:space="preserve"> </w:t>
      </w:r>
      <w:r>
        <w:tab/>
      </w:r>
      <w:r w:rsidR="00775CBC">
        <w:t>The gap between the existing state of infrastructure and the level of infrastructure needed to adequately support the population, economy and public services.</w:t>
      </w:r>
    </w:p>
  </w:footnote>
  <w:footnote w:id="12">
    <w:p w14:paraId="222D4215" w14:textId="28F85B52" w:rsidR="3EB3CEA5" w:rsidRDefault="3EB3CEA5" w:rsidP="007015C7">
      <w:pPr>
        <w:pStyle w:val="FootnoteText"/>
      </w:pPr>
      <w:r w:rsidRPr="3EB3CEA5">
        <w:rPr>
          <w:rStyle w:val="FootnoteReference"/>
        </w:rPr>
        <w:footnoteRef/>
      </w:r>
      <w:r>
        <w:t xml:space="preserve"> </w:t>
      </w:r>
      <w:r w:rsidR="007015C7">
        <w:tab/>
      </w:r>
      <w:r>
        <w:t xml:space="preserve">Maladaptation is where actions taken to increase resilience inadvertently result in more significant negative consequences </w:t>
      </w:r>
      <w:r w:rsidR="00A05480">
        <w:t>– for example,</w:t>
      </w:r>
      <w:r>
        <w:t xml:space="preserve"> a seawall is built to protect homes against high tides and storms, but acts as a dam for stormwater and flooding.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rPr>
      <w:id w:val="-920411836"/>
      <w:docPartObj>
        <w:docPartGallery w:val="Watermarks"/>
        <w:docPartUnique/>
      </w:docPartObj>
    </w:sdtPr>
    <w:sdtContent>
      <w:p w14:paraId="245978C7" w14:textId="77777777" w:rsidR="00E84D9B" w:rsidRPr="00DE7BF8" w:rsidRDefault="00000000">
        <w:pPr>
          <w:pStyle w:val="Header"/>
          <w:jc w:val="left"/>
          <w:rPr>
            <w:rFonts w:ascii="Calibri" w:hAnsi="Calibri"/>
          </w:rPr>
        </w:pPr>
        <w:r>
          <w:rPr>
            <w:rFonts w:ascii="Calibri" w:hAnsi="Calibri"/>
            <w:noProof/>
          </w:rPr>
          <w:pict w14:anchorId="0A095D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4F497" w14:textId="77777777" w:rsidR="002D7D9F" w:rsidRDefault="002D7D9F" w:rsidP="00E453C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72F75" w14:textId="77777777" w:rsidR="002D7D9F" w:rsidRDefault="002D7D9F">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C7C13"/>
    <w:multiLevelType w:val="hybridMultilevel"/>
    <w:tmpl w:val="4FEA4DDC"/>
    <w:lvl w:ilvl="0" w:tplc="4880C186">
      <w:start w:val="1"/>
      <w:numFmt w:val="bullet"/>
      <w:lvlText w:val=""/>
      <w:lvlJc w:val="left"/>
      <w:pPr>
        <w:ind w:left="720" w:hanging="360"/>
      </w:pPr>
      <w:rPr>
        <w:rFonts w:ascii="Symbol" w:hAnsi="Symbol"/>
      </w:rPr>
    </w:lvl>
    <w:lvl w:ilvl="1" w:tplc="E6EC7706">
      <w:start w:val="1"/>
      <w:numFmt w:val="bullet"/>
      <w:lvlText w:val=""/>
      <w:lvlJc w:val="left"/>
      <w:pPr>
        <w:ind w:left="720" w:hanging="360"/>
      </w:pPr>
      <w:rPr>
        <w:rFonts w:ascii="Symbol" w:hAnsi="Symbol"/>
      </w:rPr>
    </w:lvl>
    <w:lvl w:ilvl="2" w:tplc="8ECCB376">
      <w:start w:val="1"/>
      <w:numFmt w:val="bullet"/>
      <w:lvlText w:val=""/>
      <w:lvlJc w:val="left"/>
      <w:pPr>
        <w:ind w:left="720" w:hanging="360"/>
      </w:pPr>
      <w:rPr>
        <w:rFonts w:ascii="Symbol" w:hAnsi="Symbol"/>
      </w:rPr>
    </w:lvl>
    <w:lvl w:ilvl="3" w:tplc="4D9481C6">
      <w:start w:val="1"/>
      <w:numFmt w:val="bullet"/>
      <w:lvlText w:val=""/>
      <w:lvlJc w:val="left"/>
      <w:pPr>
        <w:ind w:left="720" w:hanging="360"/>
      </w:pPr>
      <w:rPr>
        <w:rFonts w:ascii="Symbol" w:hAnsi="Symbol"/>
      </w:rPr>
    </w:lvl>
    <w:lvl w:ilvl="4" w:tplc="2E0CD644">
      <w:start w:val="1"/>
      <w:numFmt w:val="bullet"/>
      <w:lvlText w:val=""/>
      <w:lvlJc w:val="left"/>
      <w:pPr>
        <w:ind w:left="720" w:hanging="360"/>
      </w:pPr>
      <w:rPr>
        <w:rFonts w:ascii="Symbol" w:hAnsi="Symbol"/>
      </w:rPr>
    </w:lvl>
    <w:lvl w:ilvl="5" w:tplc="9BA0C3B6">
      <w:start w:val="1"/>
      <w:numFmt w:val="bullet"/>
      <w:lvlText w:val=""/>
      <w:lvlJc w:val="left"/>
      <w:pPr>
        <w:ind w:left="720" w:hanging="360"/>
      </w:pPr>
      <w:rPr>
        <w:rFonts w:ascii="Symbol" w:hAnsi="Symbol"/>
      </w:rPr>
    </w:lvl>
    <w:lvl w:ilvl="6" w:tplc="AC301FE0">
      <w:start w:val="1"/>
      <w:numFmt w:val="bullet"/>
      <w:lvlText w:val=""/>
      <w:lvlJc w:val="left"/>
      <w:pPr>
        <w:ind w:left="720" w:hanging="360"/>
      </w:pPr>
      <w:rPr>
        <w:rFonts w:ascii="Symbol" w:hAnsi="Symbol"/>
      </w:rPr>
    </w:lvl>
    <w:lvl w:ilvl="7" w:tplc="3084B2BC">
      <w:start w:val="1"/>
      <w:numFmt w:val="bullet"/>
      <w:lvlText w:val=""/>
      <w:lvlJc w:val="left"/>
      <w:pPr>
        <w:ind w:left="720" w:hanging="360"/>
      </w:pPr>
      <w:rPr>
        <w:rFonts w:ascii="Symbol" w:hAnsi="Symbol"/>
      </w:rPr>
    </w:lvl>
    <w:lvl w:ilvl="8" w:tplc="4B6E284E">
      <w:start w:val="1"/>
      <w:numFmt w:val="bullet"/>
      <w:lvlText w:val=""/>
      <w:lvlJc w:val="left"/>
      <w:pPr>
        <w:ind w:left="720" w:hanging="360"/>
      </w:pPr>
      <w:rPr>
        <w:rFonts w:ascii="Symbol" w:hAnsi="Symbol"/>
      </w:rPr>
    </w:lvl>
  </w:abstractNum>
  <w:abstractNum w:abstractNumId="1"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7662168"/>
    <w:multiLevelType w:val="hybridMultilevel"/>
    <w:tmpl w:val="FFFFFFFF"/>
    <w:lvl w:ilvl="0" w:tplc="70AE49C4">
      <w:start w:val="1"/>
      <w:numFmt w:val="bullet"/>
      <w:lvlText w:val="·"/>
      <w:lvlJc w:val="left"/>
      <w:pPr>
        <w:ind w:left="720" w:hanging="360"/>
      </w:pPr>
      <w:rPr>
        <w:rFonts w:ascii="Symbol" w:hAnsi="Symbol" w:hint="default"/>
      </w:rPr>
    </w:lvl>
    <w:lvl w:ilvl="1" w:tplc="5CA48B42">
      <w:start w:val="1"/>
      <w:numFmt w:val="bullet"/>
      <w:lvlText w:val="o"/>
      <w:lvlJc w:val="left"/>
      <w:pPr>
        <w:ind w:left="1440" w:hanging="360"/>
      </w:pPr>
      <w:rPr>
        <w:rFonts w:ascii="Courier New" w:hAnsi="Courier New" w:hint="default"/>
      </w:rPr>
    </w:lvl>
    <w:lvl w:ilvl="2" w:tplc="E6AABF7C">
      <w:start w:val="1"/>
      <w:numFmt w:val="bullet"/>
      <w:lvlText w:val=""/>
      <w:lvlJc w:val="left"/>
      <w:pPr>
        <w:ind w:left="2160" w:hanging="360"/>
      </w:pPr>
      <w:rPr>
        <w:rFonts w:ascii="Wingdings" w:hAnsi="Wingdings" w:hint="default"/>
      </w:rPr>
    </w:lvl>
    <w:lvl w:ilvl="3" w:tplc="94BEAA10">
      <w:start w:val="1"/>
      <w:numFmt w:val="bullet"/>
      <w:lvlText w:val=""/>
      <w:lvlJc w:val="left"/>
      <w:pPr>
        <w:ind w:left="2880" w:hanging="360"/>
      </w:pPr>
      <w:rPr>
        <w:rFonts w:ascii="Symbol" w:hAnsi="Symbol" w:hint="default"/>
      </w:rPr>
    </w:lvl>
    <w:lvl w:ilvl="4" w:tplc="D9261E12">
      <w:start w:val="1"/>
      <w:numFmt w:val="bullet"/>
      <w:lvlText w:val="o"/>
      <w:lvlJc w:val="left"/>
      <w:pPr>
        <w:ind w:left="3600" w:hanging="360"/>
      </w:pPr>
      <w:rPr>
        <w:rFonts w:ascii="Courier New" w:hAnsi="Courier New" w:hint="default"/>
      </w:rPr>
    </w:lvl>
    <w:lvl w:ilvl="5" w:tplc="E7B81188">
      <w:start w:val="1"/>
      <w:numFmt w:val="bullet"/>
      <w:lvlText w:val=""/>
      <w:lvlJc w:val="left"/>
      <w:pPr>
        <w:ind w:left="4320" w:hanging="360"/>
      </w:pPr>
      <w:rPr>
        <w:rFonts w:ascii="Wingdings" w:hAnsi="Wingdings" w:hint="default"/>
      </w:rPr>
    </w:lvl>
    <w:lvl w:ilvl="6" w:tplc="EFAAD4EA">
      <w:start w:val="1"/>
      <w:numFmt w:val="bullet"/>
      <w:lvlText w:val=""/>
      <w:lvlJc w:val="left"/>
      <w:pPr>
        <w:ind w:left="5040" w:hanging="360"/>
      </w:pPr>
      <w:rPr>
        <w:rFonts w:ascii="Symbol" w:hAnsi="Symbol" w:hint="default"/>
      </w:rPr>
    </w:lvl>
    <w:lvl w:ilvl="7" w:tplc="B41E5256">
      <w:start w:val="1"/>
      <w:numFmt w:val="bullet"/>
      <w:lvlText w:val="o"/>
      <w:lvlJc w:val="left"/>
      <w:pPr>
        <w:ind w:left="5760" w:hanging="360"/>
      </w:pPr>
      <w:rPr>
        <w:rFonts w:ascii="Courier New" w:hAnsi="Courier New" w:hint="default"/>
      </w:rPr>
    </w:lvl>
    <w:lvl w:ilvl="8" w:tplc="1A94F5C0">
      <w:start w:val="1"/>
      <w:numFmt w:val="bullet"/>
      <w:lvlText w:val=""/>
      <w:lvlJc w:val="left"/>
      <w:pPr>
        <w:ind w:left="6480" w:hanging="360"/>
      </w:pPr>
      <w:rPr>
        <w:rFonts w:ascii="Wingdings" w:hAnsi="Wingdings" w:hint="default"/>
      </w:rPr>
    </w:lvl>
  </w:abstractNum>
  <w:abstractNum w:abstractNumId="3"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4"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0B50189E"/>
    <w:multiLevelType w:val="hybridMultilevel"/>
    <w:tmpl w:val="FFFFFFFF"/>
    <w:styleLink w:val="Style3"/>
    <w:lvl w:ilvl="0" w:tplc="A29CC99E">
      <w:start w:val="1"/>
      <w:numFmt w:val="bullet"/>
      <w:lvlText w:val=""/>
      <w:lvlJc w:val="left"/>
      <w:pPr>
        <w:ind w:left="720" w:hanging="360"/>
      </w:pPr>
      <w:rPr>
        <w:rFonts w:ascii="Symbol" w:hAnsi="Symbol" w:hint="default"/>
      </w:rPr>
    </w:lvl>
    <w:lvl w:ilvl="1" w:tplc="53045274">
      <w:start w:val="1"/>
      <w:numFmt w:val="bullet"/>
      <w:lvlText w:val="o"/>
      <w:lvlJc w:val="left"/>
      <w:pPr>
        <w:ind w:left="1440" w:hanging="360"/>
      </w:pPr>
      <w:rPr>
        <w:rFonts w:ascii="Courier New" w:hAnsi="Courier New" w:hint="default"/>
      </w:rPr>
    </w:lvl>
    <w:lvl w:ilvl="2" w:tplc="AB264756">
      <w:start w:val="1"/>
      <w:numFmt w:val="bullet"/>
      <w:lvlText w:val=""/>
      <w:lvlJc w:val="left"/>
      <w:pPr>
        <w:ind w:left="2160" w:hanging="360"/>
      </w:pPr>
      <w:rPr>
        <w:rFonts w:ascii="Wingdings" w:hAnsi="Wingdings" w:hint="default"/>
      </w:rPr>
    </w:lvl>
    <w:lvl w:ilvl="3" w:tplc="0E8C8A78">
      <w:start w:val="1"/>
      <w:numFmt w:val="bullet"/>
      <w:lvlText w:val=""/>
      <w:lvlJc w:val="left"/>
      <w:pPr>
        <w:ind w:left="2880" w:hanging="360"/>
      </w:pPr>
      <w:rPr>
        <w:rFonts w:ascii="Symbol" w:hAnsi="Symbol" w:hint="default"/>
      </w:rPr>
    </w:lvl>
    <w:lvl w:ilvl="4" w:tplc="BE845B12">
      <w:start w:val="1"/>
      <w:numFmt w:val="bullet"/>
      <w:lvlText w:val="o"/>
      <w:lvlJc w:val="left"/>
      <w:pPr>
        <w:ind w:left="3600" w:hanging="360"/>
      </w:pPr>
      <w:rPr>
        <w:rFonts w:ascii="Courier New" w:hAnsi="Courier New" w:hint="default"/>
      </w:rPr>
    </w:lvl>
    <w:lvl w:ilvl="5" w:tplc="4414237A">
      <w:start w:val="1"/>
      <w:numFmt w:val="bullet"/>
      <w:lvlText w:val=""/>
      <w:lvlJc w:val="left"/>
      <w:pPr>
        <w:ind w:left="4320" w:hanging="360"/>
      </w:pPr>
      <w:rPr>
        <w:rFonts w:ascii="Wingdings" w:hAnsi="Wingdings" w:hint="default"/>
      </w:rPr>
    </w:lvl>
    <w:lvl w:ilvl="6" w:tplc="723607AC">
      <w:start w:val="1"/>
      <w:numFmt w:val="bullet"/>
      <w:lvlText w:val=""/>
      <w:lvlJc w:val="left"/>
      <w:pPr>
        <w:ind w:left="5040" w:hanging="360"/>
      </w:pPr>
      <w:rPr>
        <w:rFonts w:ascii="Symbol" w:hAnsi="Symbol" w:hint="default"/>
      </w:rPr>
    </w:lvl>
    <w:lvl w:ilvl="7" w:tplc="98707BA6">
      <w:start w:val="1"/>
      <w:numFmt w:val="bullet"/>
      <w:lvlText w:val="o"/>
      <w:lvlJc w:val="left"/>
      <w:pPr>
        <w:ind w:left="5760" w:hanging="360"/>
      </w:pPr>
      <w:rPr>
        <w:rFonts w:ascii="Courier New" w:hAnsi="Courier New" w:hint="default"/>
      </w:rPr>
    </w:lvl>
    <w:lvl w:ilvl="8" w:tplc="22C2E306">
      <w:start w:val="1"/>
      <w:numFmt w:val="bullet"/>
      <w:lvlText w:val=""/>
      <w:lvlJc w:val="left"/>
      <w:pPr>
        <w:ind w:left="6480" w:hanging="360"/>
      </w:pPr>
      <w:rPr>
        <w:rFonts w:ascii="Wingdings" w:hAnsi="Wingdings" w:hint="default"/>
      </w:rPr>
    </w:lvl>
  </w:abstractNum>
  <w:abstractNum w:abstractNumId="6" w15:restartNumberingAfterBreak="0">
    <w:nsid w:val="0F82970E"/>
    <w:multiLevelType w:val="hybridMultilevel"/>
    <w:tmpl w:val="FFFFFFFF"/>
    <w:lvl w:ilvl="0" w:tplc="40F8C9BC">
      <w:start w:val="1"/>
      <w:numFmt w:val="bullet"/>
      <w:lvlText w:val="·"/>
      <w:lvlJc w:val="left"/>
      <w:pPr>
        <w:ind w:left="720" w:hanging="360"/>
      </w:pPr>
      <w:rPr>
        <w:rFonts w:ascii="Symbol" w:hAnsi="Symbol" w:hint="default"/>
      </w:rPr>
    </w:lvl>
    <w:lvl w:ilvl="1" w:tplc="BA06FBEA">
      <w:start w:val="1"/>
      <w:numFmt w:val="bullet"/>
      <w:lvlText w:val="o"/>
      <w:lvlJc w:val="left"/>
      <w:pPr>
        <w:ind w:left="1440" w:hanging="360"/>
      </w:pPr>
      <w:rPr>
        <w:rFonts w:ascii="Courier New" w:hAnsi="Courier New" w:hint="default"/>
      </w:rPr>
    </w:lvl>
    <w:lvl w:ilvl="2" w:tplc="D53AB23C">
      <w:start w:val="1"/>
      <w:numFmt w:val="bullet"/>
      <w:lvlText w:val=""/>
      <w:lvlJc w:val="left"/>
      <w:pPr>
        <w:ind w:left="2160" w:hanging="360"/>
      </w:pPr>
      <w:rPr>
        <w:rFonts w:ascii="Wingdings" w:hAnsi="Wingdings" w:hint="default"/>
      </w:rPr>
    </w:lvl>
    <w:lvl w:ilvl="3" w:tplc="4FC23070">
      <w:start w:val="1"/>
      <w:numFmt w:val="bullet"/>
      <w:lvlText w:val=""/>
      <w:lvlJc w:val="left"/>
      <w:pPr>
        <w:ind w:left="2880" w:hanging="360"/>
      </w:pPr>
      <w:rPr>
        <w:rFonts w:ascii="Symbol" w:hAnsi="Symbol" w:hint="default"/>
      </w:rPr>
    </w:lvl>
    <w:lvl w:ilvl="4" w:tplc="C67870B6">
      <w:start w:val="1"/>
      <w:numFmt w:val="bullet"/>
      <w:lvlText w:val="o"/>
      <w:lvlJc w:val="left"/>
      <w:pPr>
        <w:ind w:left="3600" w:hanging="360"/>
      </w:pPr>
      <w:rPr>
        <w:rFonts w:ascii="Courier New" w:hAnsi="Courier New" w:hint="default"/>
      </w:rPr>
    </w:lvl>
    <w:lvl w:ilvl="5" w:tplc="7E4A81D8">
      <w:start w:val="1"/>
      <w:numFmt w:val="bullet"/>
      <w:lvlText w:val=""/>
      <w:lvlJc w:val="left"/>
      <w:pPr>
        <w:ind w:left="4320" w:hanging="360"/>
      </w:pPr>
      <w:rPr>
        <w:rFonts w:ascii="Wingdings" w:hAnsi="Wingdings" w:hint="default"/>
      </w:rPr>
    </w:lvl>
    <w:lvl w:ilvl="6" w:tplc="DDFA59B2">
      <w:start w:val="1"/>
      <w:numFmt w:val="bullet"/>
      <w:lvlText w:val=""/>
      <w:lvlJc w:val="left"/>
      <w:pPr>
        <w:ind w:left="5040" w:hanging="360"/>
      </w:pPr>
      <w:rPr>
        <w:rFonts w:ascii="Symbol" w:hAnsi="Symbol" w:hint="default"/>
      </w:rPr>
    </w:lvl>
    <w:lvl w:ilvl="7" w:tplc="8ACC2848">
      <w:start w:val="1"/>
      <w:numFmt w:val="bullet"/>
      <w:lvlText w:val="o"/>
      <w:lvlJc w:val="left"/>
      <w:pPr>
        <w:ind w:left="5760" w:hanging="360"/>
      </w:pPr>
      <w:rPr>
        <w:rFonts w:ascii="Courier New" w:hAnsi="Courier New" w:hint="default"/>
      </w:rPr>
    </w:lvl>
    <w:lvl w:ilvl="8" w:tplc="B562152A">
      <w:start w:val="1"/>
      <w:numFmt w:val="bullet"/>
      <w:lvlText w:val=""/>
      <w:lvlJc w:val="left"/>
      <w:pPr>
        <w:ind w:left="6480" w:hanging="360"/>
      </w:pPr>
      <w:rPr>
        <w:rFonts w:ascii="Wingdings" w:hAnsi="Wingdings" w:hint="default"/>
      </w:rPr>
    </w:lvl>
  </w:abstractNum>
  <w:abstractNum w:abstractNumId="7"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2629955"/>
    <w:multiLevelType w:val="hybridMultilevel"/>
    <w:tmpl w:val="FFFFFFFF"/>
    <w:lvl w:ilvl="0" w:tplc="506A64E8">
      <w:start w:val="1"/>
      <w:numFmt w:val="bullet"/>
      <w:lvlText w:val="·"/>
      <w:lvlJc w:val="left"/>
      <w:pPr>
        <w:ind w:left="720" w:hanging="360"/>
      </w:pPr>
      <w:rPr>
        <w:rFonts w:ascii="Symbol" w:hAnsi="Symbol" w:hint="default"/>
      </w:rPr>
    </w:lvl>
    <w:lvl w:ilvl="1" w:tplc="822A0F10">
      <w:start w:val="1"/>
      <w:numFmt w:val="bullet"/>
      <w:lvlText w:val="o"/>
      <w:lvlJc w:val="left"/>
      <w:pPr>
        <w:ind w:left="1440" w:hanging="360"/>
      </w:pPr>
      <w:rPr>
        <w:rFonts w:ascii="Courier New" w:hAnsi="Courier New" w:hint="default"/>
      </w:rPr>
    </w:lvl>
    <w:lvl w:ilvl="2" w:tplc="4ED0DCFC">
      <w:start w:val="1"/>
      <w:numFmt w:val="bullet"/>
      <w:lvlText w:val=""/>
      <w:lvlJc w:val="left"/>
      <w:pPr>
        <w:ind w:left="2160" w:hanging="360"/>
      </w:pPr>
      <w:rPr>
        <w:rFonts w:ascii="Wingdings" w:hAnsi="Wingdings" w:hint="default"/>
      </w:rPr>
    </w:lvl>
    <w:lvl w:ilvl="3" w:tplc="60F89730">
      <w:start w:val="1"/>
      <w:numFmt w:val="bullet"/>
      <w:lvlText w:val=""/>
      <w:lvlJc w:val="left"/>
      <w:pPr>
        <w:ind w:left="2880" w:hanging="360"/>
      </w:pPr>
      <w:rPr>
        <w:rFonts w:ascii="Symbol" w:hAnsi="Symbol" w:hint="default"/>
      </w:rPr>
    </w:lvl>
    <w:lvl w:ilvl="4" w:tplc="A7CE2992">
      <w:start w:val="1"/>
      <w:numFmt w:val="bullet"/>
      <w:lvlText w:val="o"/>
      <w:lvlJc w:val="left"/>
      <w:pPr>
        <w:ind w:left="3600" w:hanging="360"/>
      </w:pPr>
      <w:rPr>
        <w:rFonts w:ascii="Courier New" w:hAnsi="Courier New" w:hint="default"/>
      </w:rPr>
    </w:lvl>
    <w:lvl w:ilvl="5" w:tplc="234A1AF6">
      <w:start w:val="1"/>
      <w:numFmt w:val="bullet"/>
      <w:lvlText w:val=""/>
      <w:lvlJc w:val="left"/>
      <w:pPr>
        <w:ind w:left="4320" w:hanging="360"/>
      </w:pPr>
      <w:rPr>
        <w:rFonts w:ascii="Wingdings" w:hAnsi="Wingdings" w:hint="default"/>
      </w:rPr>
    </w:lvl>
    <w:lvl w:ilvl="6" w:tplc="AC7800CC">
      <w:start w:val="1"/>
      <w:numFmt w:val="bullet"/>
      <w:lvlText w:val=""/>
      <w:lvlJc w:val="left"/>
      <w:pPr>
        <w:ind w:left="5040" w:hanging="360"/>
      </w:pPr>
      <w:rPr>
        <w:rFonts w:ascii="Symbol" w:hAnsi="Symbol" w:hint="default"/>
      </w:rPr>
    </w:lvl>
    <w:lvl w:ilvl="7" w:tplc="FDE4A94A">
      <w:start w:val="1"/>
      <w:numFmt w:val="bullet"/>
      <w:lvlText w:val="o"/>
      <w:lvlJc w:val="left"/>
      <w:pPr>
        <w:ind w:left="5760" w:hanging="360"/>
      </w:pPr>
      <w:rPr>
        <w:rFonts w:ascii="Courier New" w:hAnsi="Courier New" w:hint="default"/>
      </w:rPr>
    </w:lvl>
    <w:lvl w:ilvl="8" w:tplc="00EA6568">
      <w:start w:val="1"/>
      <w:numFmt w:val="bullet"/>
      <w:lvlText w:val=""/>
      <w:lvlJc w:val="left"/>
      <w:pPr>
        <w:ind w:left="6480" w:hanging="360"/>
      </w:pPr>
      <w:rPr>
        <w:rFonts w:ascii="Wingdings" w:hAnsi="Wingdings" w:hint="default"/>
      </w:rPr>
    </w:lvl>
  </w:abstractNum>
  <w:abstractNum w:abstractNumId="9" w15:restartNumberingAfterBreak="0">
    <w:nsid w:val="185CC908"/>
    <w:multiLevelType w:val="hybridMultilevel"/>
    <w:tmpl w:val="FFFFFFFF"/>
    <w:lvl w:ilvl="0" w:tplc="A29CC99E">
      <w:start w:val="1"/>
      <w:numFmt w:val="bullet"/>
      <w:lvlText w:val=""/>
      <w:lvlJc w:val="left"/>
      <w:pPr>
        <w:ind w:left="720" w:hanging="360"/>
      </w:pPr>
      <w:rPr>
        <w:rFonts w:ascii="Symbol" w:hAnsi="Symbol" w:hint="default"/>
      </w:rPr>
    </w:lvl>
    <w:lvl w:ilvl="1" w:tplc="53045274">
      <w:start w:val="1"/>
      <w:numFmt w:val="bullet"/>
      <w:lvlText w:val="o"/>
      <w:lvlJc w:val="left"/>
      <w:pPr>
        <w:ind w:left="1440" w:hanging="360"/>
      </w:pPr>
      <w:rPr>
        <w:rFonts w:ascii="Courier New" w:hAnsi="Courier New" w:hint="default"/>
      </w:rPr>
    </w:lvl>
    <w:lvl w:ilvl="2" w:tplc="AB264756">
      <w:start w:val="1"/>
      <w:numFmt w:val="bullet"/>
      <w:lvlText w:val=""/>
      <w:lvlJc w:val="left"/>
      <w:pPr>
        <w:ind w:left="2160" w:hanging="360"/>
      </w:pPr>
      <w:rPr>
        <w:rFonts w:ascii="Wingdings" w:hAnsi="Wingdings" w:hint="default"/>
      </w:rPr>
    </w:lvl>
    <w:lvl w:ilvl="3" w:tplc="0E8C8A78">
      <w:start w:val="1"/>
      <w:numFmt w:val="bullet"/>
      <w:lvlText w:val=""/>
      <w:lvlJc w:val="left"/>
      <w:pPr>
        <w:ind w:left="2880" w:hanging="360"/>
      </w:pPr>
      <w:rPr>
        <w:rFonts w:ascii="Symbol" w:hAnsi="Symbol" w:hint="default"/>
      </w:rPr>
    </w:lvl>
    <w:lvl w:ilvl="4" w:tplc="BE845B12">
      <w:start w:val="1"/>
      <w:numFmt w:val="bullet"/>
      <w:lvlText w:val="o"/>
      <w:lvlJc w:val="left"/>
      <w:pPr>
        <w:ind w:left="3600" w:hanging="360"/>
      </w:pPr>
      <w:rPr>
        <w:rFonts w:ascii="Courier New" w:hAnsi="Courier New" w:hint="default"/>
      </w:rPr>
    </w:lvl>
    <w:lvl w:ilvl="5" w:tplc="4414237A">
      <w:start w:val="1"/>
      <w:numFmt w:val="bullet"/>
      <w:lvlText w:val=""/>
      <w:lvlJc w:val="left"/>
      <w:pPr>
        <w:ind w:left="4320" w:hanging="360"/>
      </w:pPr>
      <w:rPr>
        <w:rFonts w:ascii="Wingdings" w:hAnsi="Wingdings" w:hint="default"/>
      </w:rPr>
    </w:lvl>
    <w:lvl w:ilvl="6" w:tplc="723607AC">
      <w:start w:val="1"/>
      <w:numFmt w:val="bullet"/>
      <w:lvlText w:val=""/>
      <w:lvlJc w:val="left"/>
      <w:pPr>
        <w:ind w:left="5040" w:hanging="360"/>
      </w:pPr>
      <w:rPr>
        <w:rFonts w:ascii="Symbol" w:hAnsi="Symbol" w:hint="default"/>
      </w:rPr>
    </w:lvl>
    <w:lvl w:ilvl="7" w:tplc="98707BA6">
      <w:start w:val="1"/>
      <w:numFmt w:val="bullet"/>
      <w:lvlText w:val="o"/>
      <w:lvlJc w:val="left"/>
      <w:pPr>
        <w:ind w:left="5760" w:hanging="360"/>
      </w:pPr>
      <w:rPr>
        <w:rFonts w:ascii="Courier New" w:hAnsi="Courier New" w:hint="default"/>
      </w:rPr>
    </w:lvl>
    <w:lvl w:ilvl="8" w:tplc="22C2E306">
      <w:start w:val="1"/>
      <w:numFmt w:val="bullet"/>
      <w:lvlText w:val=""/>
      <w:lvlJc w:val="left"/>
      <w:pPr>
        <w:ind w:left="6480" w:hanging="360"/>
      </w:pPr>
      <w:rPr>
        <w:rFonts w:ascii="Wingdings" w:hAnsi="Wingdings" w:hint="default"/>
      </w:rPr>
    </w:lvl>
  </w:abstractNum>
  <w:abstractNum w:abstractNumId="10"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11"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2"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3"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4" w15:restartNumberingAfterBreak="0">
    <w:nsid w:val="225541FB"/>
    <w:multiLevelType w:val="multilevel"/>
    <w:tmpl w:val="B5F4000A"/>
    <w:lvl w:ilvl="0">
      <w:start w:val="1"/>
      <w:numFmt w:val="decimal"/>
      <w:pStyle w:val="Questions"/>
      <w:lvlText w:val="%1."/>
      <w:lvlJc w:val="left"/>
      <w:pPr>
        <w:ind w:left="396" w:hanging="396"/>
      </w:pPr>
      <w:rPr>
        <w:rFonts w:asciiTheme="minorHAnsi" w:hAnsiTheme="minorHAnsi" w:cstheme="minorHAnsi" w:hint="default"/>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CD7703E"/>
    <w:multiLevelType w:val="hybridMultilevel"/>
    <w:tmpl w:val="FFFFFFFF"/>
    <w:styleLink w:val="Style1"/>
    <w:lvl w:ilvl="0" w:tplc="638A0854">
      <w:start w:val="1"/>
      <w:numFmt w:val="bullet"/>
      <w:lvlText w:val=""/>
      <w:lvlJc w:val="left"/>
      <w:pPr>
        <w:ind w:left="720" w:hanging="360"/>
      </w:pPr>
      <w:rPr>
        <w:rFonts w:ascii="Symbol" w:hAnsi="Symbol" w:hint="default"/>
      </w:rPr>
    </w:lvl>
    <w:lvl w:ilvl="1" w:tplc="C290AC4A">
      <w:start w:val="1"/>
      <w:numFmt w:val="bullet"/>
      <w:lvlText w:val="o"/>
      <w:lvlJc w:val="left"/>
      <w:pPr>
        <w:ind w:left="1440" w:hanging="360"/>
      </w:pPr>
      <w:rPr>
        <w:rFonts w:ascii="Courier New" w:hAnsi="Courier New" w:hint="default"/>
      </w:rPr>
    </w:lvl>
    <w:lvl w:ilvl="2" w:tplc="3C04BD6A">
      <w:start w:val="1"/>
      <w:numFmt w:val="bullet"/>
      <w:lvlText w:val=""/>
      <w:lvlJc w:val="left"/>
      <w:pPr>
        <w:ind w:left="2160" w:hanging="360"/>
      </w:pPr>
      <w:rPr>
        <w:rFonts w:ascii="Wingdings" w:hAnsi="Wingdings" w:hint="default"/>
      </w:rPr>
    </w:lvl>
    <w:lvl w:ilvl="3" w:tplc="1B747110">
      <w:start w:val="1"/>
      <w:numFmt w:val="bullet"/>
      <w:lvlText w:val=""/>
      <w:lvlJc w:val="left"/>
      <w:pPr>
        <w:ind w:left="2880" w:hanging="360"/>
      </w:pPr>
      <w:rPr>
        <w:rFonts w:ascii="Symbol" w:hAnsi="Symbol" w:hint="default"/>
      </w:rPr>
    </w:lvl>
    <w:lvl w:ilvl="4" w:tplc="FB0CC636">
      <w:start w:val="1"/>
      <w:numFmt w:val="bullet"/>
      <w:lvlText w:val="o"/>
      <w:lvlJc w:val="left"/>
      <w:pPr>
        <w:ind w:left="3600" w:hanging="360"/>
      </w:pPr>
      <w:rPr>
        <w:rFonts w:ascii="Courier New" w:hAnsi="Courier New" w:hint="default"/>
      </w:rPr>
    </w:lvl>
    <w:lvl w:ilvl="5" w:tplc="9BD496DA">
      <w:start w:val="1"/>
      <w:numFmt w:val="bullet"/>
      <w:lvlText w:val=""/>
      <w:lvlJc w:val="left"/>
      <w:pPr>
        <w:ind w:left="4320" w:hanging="360"/>
      </w:pPr>
      <w:rPr>
        <w:rFonts w:ascii="Wingdings" w:hAnsi="Wingdings" w:hint="default"/>
      </w:rPr>
    </w:lvl>
    <w:lvl w:ilvl="6" w:tplc="9466A834">
      <w:start w:val="1"/>
      <w:numFmt w:val="bullet"/>
      <w:lvlText w:val=""/>
      <w:lvlJc w:val="left"/>
      <w:pPr>
        <w:ind w:left="5040" w:hanging="360"/>
      </w:pPr>
      <w:rPr>
        <w:rFonts w:ascii="Symbol" w:hAnsi="Symbol" w:hint="default"/>
      </w:rPr>
    </w:lvl>
    <w:lvl w:ilvl="7" w:tplc="7C0691E4">
      <w:start w:val="1"/>
      <w:numFmt w:val="bullet"/>
      <w:lvlText w:val="o"/>
      <w:lvlJc w:val="left"/>
      <w:pPr>
        <w:ind w:left="5760" w:hanging="360"/>
      </w:pPr>
      <w:rPr>
        <w:rFonts w:ascii="Courier New" w:hAnsi="Courier New" w:hint="default"/>
      </w:rPr>
    </w:lvl>
    <w:lvl w:ilvl="8" w:tplc="689C93F4">
      <w:start w:val="1"/>
      <w:numFmt w:val="bullet"/>
      <w:lvlText w:val=""/>
      <w:lvlJc w:val="left"/>
      <w:pPr>
        <w:ind w:left="6480" w:hanging="360"/>
      </w:pPr>
      <w:rPr>
        <w:rFonts w:ascii="Wingdings" w:hAnsi="Wingdings" w:hint="default"/>
      </w:rPr>
    </w:lvl>
  </w:abstractNum>
  <w:abstractNum w:abstractNumId="18"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9" w15:restartNumberingAfterBreak="0">
    <w:nsid w:val="2E6F201E"/>
    <w:multiLevelType w:val="multilevel"/>
    <w:tmpl w:val="4C18AA5C"/>
    <w:numStyleLink w:val="Style2"/>
  </w:abstractNum>
  <w:abstractNum w:abstractNumId="20"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21"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FD01492"/>
    <w:multiLevelType w:val="hybridMultilevel"/>
    <w:tmpl w:val="FFFFFFFF"/>
    <w:lvl w:ilvl="0" w:tplc="638A0854">
      <w:start w:val="1"/>
      <w:numFmt w:val="bullet"/>
      <w:lvlText w:val=""/>
      <w:lvlJc w:val="left"/>
      <w:pPr>
        <w:ind w:left="720" w:hanging="360"/>
      </w:pPr>
      <w:rPr>
        <w:rFonts w:ascii="Symbol" w:hAnsi="Symbol" w:hint="default"/>
      </w:rPr>
    </w:lvl>
    <w:lvl w:ilvl="1" w:tplc="C290AC4A">
      <w:start w:val="1"/>
      <w:numFmt w:val="bullet"/>
      <w:lvlText w:val="o"/>
      <w:lvlJc w:val="left"/>
      <w:pPr>
        <w:ind w:left="1440" w:hanging="360"/>
      </w:pPr>
      <w:rPr>
        <w:rFonts w:ascii="Courier New" w:hAnsi="Courier New" w:hint="default"/>
      </w:rPr>
    </w:lvl>
    <w:lvl w:ilvl="2" w:tplc="3C04BD6A">
      <w:start w:val="1"/>
      <w:numFmt w:val="bullet"/>
      <w:lvlText w:val=""/>
      <w:lvlJc w:val="left"/>
      <w:pPr>
        <w:ind w:left="2160" w:hanging="360"/>
      </w:pPr>
      <w:rPr>
        <w:rFonts w:ascii="Wingdings" w:hAnsi="Wingdings" w:hint="default"/>
      </w:rPr>
    </w:lvl>
    <w:lvl w:ilvl="3" w:tplc="1B747110">
      <w:start w:val="1"/>
      <w:numFmt w:val="bullet"/>
      <w:lvlText w:val=""/>
      <w:lvlJc w:val="left"/>
      <w:pPr>
        <w:ind w:left="2880" w:hanging="360"/>
      </w:pPr>
      <w:rPr>
        <w:rFonts w:ascii="Symbol" w:hAnsi="Symbol" w:hint="default"/>
      </w:rPr>
    </w:lvl>
    <w:lvl w:ilvl="4" w:tplc="FB0CC636">
      <w:start w:val="1"/>
      <w:numFmt w:val="bullet"/>
      <w:lvlText w:val="o"/>
      <w:lvlJc w:val="left"/>
      <w:pPr>
        <w:ind w:left="3600" w:hanging="360"/>
      </w:pPr>
      <w:rPr>
        <w:rFonts w:ascii="Courier New" w:hAnsi="Courier New" w:hint="default"/>
      </w:rPr>
    </w:lvl>
    <w:lvl w:ilvl="5" w:tplc="9BD496DA">
      <w:start w:val="1"/>
      <w:numFmt w:val="bullet"/>
      <w:lvlText w:val=""/>
      <w:lvlJc w:val="left"/>
      <w:pPr>
        <w:ind w:left="4320" w:hanging="360"/>
      </w:pPr>
      <w:rPr>
        <w:rFonts w:ascii="Wingdings" w:hAnsi="Wingdings" w:hint="default"/>
      </w:rPr>
    </w:lvl>
    <w:lvl w:ilvl="6" w:tplc="9466A834">
      <w:start w:val="1"/>
      <w:numFmt w:val="bullet"/>
      <w:lvlText w:val=""/>
      <w:lvlJc w:val="left"/>
      <w:pPr>
        <w:ind w:left="5040" w:hanging="360"/>
      </w:pPr>
      <w:rPr>
        <w:rFonts w:ascii="Symbol" w:hAnsi="Symbol" w:hint="default"/>
      </w:rPr>
    </w:lvl>
    <w:lvl w:ilvl="7" w:tplc="7C0691E4">
      <w:start w:val="1"/>
      <w:numFmt w:val="bullet"/>
      <w:lvlText w:val="o"/>
      <w:lvlJc w:val="left"/>
      <w:pPr>
        <w:ind w:left="5760" w:hanging="360"/>
      </w:pPr>
      <w:rPr>
        <w:rFonts w:ascii="Courier New" w:hAnsi="Courier New" w:hint="default"/>
      </w:rPr>
    </w:lvl>
    <w:lvl w:ilvl="8" w:tplc="689C93F4">
      <w:start w:val="1"/>
      <w:numFmt w:val="bullet"/>
      <w:lvlText w:val=""/>
      <w:lvlJc w:val="left"/>
      <w:pPr>
        <w:ind w:left="6480" w:hanging="360"/>
      </w:pPr>
      <w:rPr>
        <w:rFonts w:ascii="Wingdings" w:hAnsi="Wingdings" w:hint="default"/>
      </w:rPr>
    </w:lvl>
  </w:abstractNum>
  <w:abstractNum w:abstractNumId="26"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30"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32"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A0464E1"/>
    <w:multiLevelType w:val="hybridMultilevel"/>
    <w:tmpl w:val="FFFFFFFF"/>
    <w:lvl w:ilvl="0" w:tplc="B3FA0E44">
      <w:start w:val="1"/>
      <w:numFmt w:val="bullet"/>
      <w:lvlText w:val=""/>
      <w:lvlJc w:val="left"/>
      <w:pPr>
        <w:ind w:left="720" w:hanging="360"/>
      </w:pPr>
      <w:rPr>
        <w:rFonts w:ascii="Symbol" w:hAnsi="Symbol" w:hint="default"/>
      </w:rPr>
    </w:lvl>
    <w:lvl w:ilvl="1" w:tplc="C7EC22F8">
      <w:start w:val="1"/>
      <w:numFmt w:val="bullet"/>
      <w:lvlText w:val="o"/>
      <w:lvlJc w:val="left"/>
      <w:pPr>
        <w:ind w:left="1440" w:hanging="360"/>
      </w:pPr>
      <w:rPr>
        <w:rFonts w:ascii="Courier New" w:hAnsi="Courier New" w:hint="default"/>
      </w:rPr>
    </w:lvl>
    <w:lvl w:ilvl="2" w:tplc="114849EC">
      <w:start w:val="1"/>
      <w:numFmt w:val="bullet"/>
      <w:lvlText w:val=""/>
      <w:lvlJc w:val="left"/>
      <w:pPr>
        <w:ind w:left="2160" w:hanging="360"/>
      </w:pPr>
      <w:rPr>
        <w:rFonts w:ascii="Wingdings" w:hAnsi="Wingdings" w:hint="default"/>
      </w:rPr>
    </w:lvl>
    <w:lvl w:ilvl="3" w:tplc="42E49D48">
      <w:start w:val="1"/>
      <w:numFmt w:val="bullet"/>
      <w:lvlText w:val=""/>
      <w:lvlJc w:val="left"/>
      <w:pPr>
        <w:ind w:left="2880" w:hanging="360"/>
      </w:pPr>
      <w:rPr>
        <w:rFonts w:ascii="Symbol" w:hAnsi="Symbol" w:hint="default"/>
      </w:rPr>
    </w:lvl>
    <w:lvl w:ilvl="4" w:tplc="5CAEDA5C">
      <w:start w:val="1"/>
      <w:numFmt w:val="bullet"/>
      <w:lvlText w:val="o"/>
      <w:lvlJc w:val="left"/>
      <w:pPr>
        <w:ind w:left="3600" w:hanging="360"/>
      </w:pPr>
      <w:rPr>
        <w:rFonts w:ascii="Courier New" w:hAnsi="Courier New" w:hint="default"/>
      </w:rPr>
    </w:lvl>
    <w:lvl w:ilvl="5" w:tplc="993294E4">
      <w:start w:val="1"/>
      <w:numFmt w:val="bullet"/>
      <w:lvlText w:val=""/>
      <w:lvlJc w:val="left"/>
      <w:pPr>
        <w:ind w:left="4320" w:hanging="360"/>
      </w:pPr>
      <w:rPr>
        <w:rFonts w:ascii="Wingdings" w:hAnsi="Wingdings" w:hint="default"/>
      </w:rPr>
    </w:lvl>
    <w:lvl w:ilvl="6" w:tplc="94786664">
      <w:start w:val="1"/>
      <w:numFmt w:val="bullet"/>
      <w:lvlText w:val=""/>
      <w:lvlJc w:val="left"/>
      <w:pPr>
        <w:ind w:left="5040" w:hanging="360"/>
      </w:pPr>
      <w:rPr>
        <w:rFonts w:ascii="Symbol" w:hAnsi="Symbol" w:hint="default"/>
      </w:rPr>
    </w:lvl>
    <w:lvl w:ilvl="7" w:tplc="73A4C88E">
      <w:start w:val="1"/>
      <w:numFmt w:val="bullet"/>
      <w:lvlText w:val="o"/>
      <w:lvlJc w:val="left"/>
      <w:pPr>
        <w:ind w:left="5760" w:hanging="360"/>
      </w:pPr>
      <w:rPr>
        <w:rFonts w:ascii="Courier New" w:hAnsi="Courier New" w:hint="default"/>
      </w:rPr>
    </w:lvl>
    <w:lvl w:ilvl="8" w:tplc="657A97B4">
      <w:start w:val="1"/>
      <w:numFmt w:val="bullet"/>
      <w:lvlText w:val=""/>
      <w:lvlJc w:val="left"/>
      <w:pPr>
        <w:ind w:left="6480" w:hanging="360"/>
      </w:pPr>
      <w:rPr>
        <w:rFonts w:ascii="Wingdings" w:hAnsi="Wingdings" w:hint="default"/>
      </w:rPr>
    </w:lvl>
  </w:abstractNum>
  <w:abstractNum w:abstractNumId="34"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C2078E9"/>
    <w:multiLevelType w:val="hybridMultilevel"/>
    <w:tmpl w:val="B5B2E2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5F6E3F5E"/>
    <w:multiLevelType w:val="hybridMultilevel"/>
    <w:tmpl w:val="FFFFFFFF"/>
    <w:lvl w:ilvl="0" w:tplc="A66281BE">
      <w:start w:val="1"/>
      <w:numFmt w:val="bullet"/>
      <w:lvlText w:val="·"/>
      <w:lvlJc w:val="left"/>
      <w:pPr>
        <w:ind w:left="720" w:hanging="360"/>
      </w:pPr>
      <w:rPr>
        <w:rFonts w:ascii="Symbol" w:hAnsi="Symbol" w:hint="default"/>
      </w:rPr>
    </w:lvl>
    <w:lvl w:ilvl="1" w:tplc="DEDE6680">
      <w:start w:val="1"/>
      <w:numFmt w:val="bullet"/>
      <w:lvlText w:val="o"/>
      <w:lvlJc w:val="left"/>
      <w:pPr>
        <w:ind w:left="1440" w:hanging="360"/>
      </w:pPr>
      <w:rPr>
        <w:rFonts w:ascii="Courier New" w:hAnsi="Courier New" w:hint="default"/>
      </w:rPr>
    </w:lvl>
    <w:lvl w:ilvl="2" w:tplc="D4962F24">
      <w:start w:val="1"/>
      <w:numFmt w:val="bullet"/>
      <w:lvlText w:val=""/>
      <w:lvlJc w:val="left"/>
      <w:pPr>
        <w:ind w:left="2160" w:hanging="360"/>
      </w:pPr>
      <w:rPr>
        <w:rFonts w:ascii="Wingdings" w:hAnsi="Wingdings" w:hint="default"/>
      </w:rPr>
    </w:lvl>
    <w:lvl w:ilvl="3" w:tplc="CE9CE35A">
      <w:start w:val="1"/>
      <w:numFmt w:val="bullet"/>
      <w:lvlText w:val=""/>
      <w:lvlJc w:val="left"/>
      <w:pPr>
        <w:ind w:left="2880" w:hanging="360"/>
      </w:pPr>
      <w:rPr>
        <w:rFonts w:ascii="Symbol" w:hAnsi="Symbol" w:hint="default"/>
      </w:rPr>
    </w:lvl>
    <w:lvl w:ilvl="4" w:tplc="7D5231EC">
      <w:start w:val="1"/>
      <w:numFmt w:val="bullet"/>
      <w:lvlText w:val="o"/>
      <w:lvlJc w:val="left"/>
      <w:pPr>
        <w:ind w:left="3600" w:hanging="360"/>
      </w:pPr>
      <w:rPr>
        <w:rFonts w:ascii="Courier New" w:hAnsi="Courier New" w:hint="default"/>
      </w:rPr>
    </w:lvl>
    <w:lvl w:ilvl="5" w:tplc="A25E9BF6">
      <w:start w:val="1"/>
      <w:numFmt w:val="bullet"/>
      <w:lvlText w:val=""/>
      <w:lvlJc w:val="left"/>
      <w:pPr>
        <w:ind w:left="4320" w:hanging="360"/>
      </w:pPr>
      <w:rPr>
        <w:rFonts w:ascii="Wingdings" w:hAnsi="Wingdings" w:hint="default"/>
      </w:rPr>
    </w:lvl>
    <w:lvl w:ilvl="6" w:tplc="AAAACB68">
      <w:start w:val="1"/>
      <w:numFmt w:val="bullet"/>
      <w:lvlText w:val=""/>
      <w:lvlJc w:val="left"/>
      <w:pPr>
        <w:ind w:left="5040" w:hanging="360"/>
      </w:pPr>
      <w:rPr>
        <w:rFonts w:ascii="Symbol" w:hAnsi="Symbol" w:hint="default"/>
      </w:rPr>
    </w:lvl>
    <w:lvl w:ilvl="7" w:tplc="DB7CA25C">
      <w:start w:val="1"/>
      <w:numFmt w:val="bullet"/>
      <w:lvlText w:val="o"/>
      <w:lvlJc w:val="left"/>
      <w:pPr>
        <w:ind w:left="5760" w:hanging="360"/>
      </w:pPr>
      <w:rPr>
        <w:rFonts w:ascii="Courier New" w:hAnsi="Courier New" w:hint="default"/>
      </w:rPr>
    </w:lvl>
    <w:lvl w:ilvl="8" w:tplc="27C05EC0">
      <w:start w:val="1"/>
      <w:numFmt w:val="bullet"/>
      <w:lvlText w:val=""/>
      <w:lvlJc w:val="left"/>
      <w:pPr>
        <w:ind w:left="6480" w:hanging="360"/>
      </w:pPr>
      <w:rPr>
        <w:rFonts w:ascii="Wingdings" w:hAnsi="Wingdings" w:hint="default"/>
      </w:rPr>
    </w:lvl>
  </w:abstractNum>
  <w:abstractNum w:abstractNumId="37"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5831E3A"/>
    <w:multiLevelType w:val="hybridMultilevel"/>
    <w:tmpl w:val="FFFFFFFF"/>
    <w:lvl w:ilvl="0" w:tplc="8C9E2958">
      <w:start w:val="1"/>
      <w:numFmt w:val="bullet"/>
      <w:lvlText w:val=""/>
      <w:lvlJc w:val="left"/>
      <w:pPr>
        <w:ind w:left="720" w:hanging="360"/>
      </w:pPr>
      <w:rPr>
        <w:rFonts w:ascii="Symbol" w:hAnsi="Symbol" w:hint="default"/>
      </w:rPr>
    </w:lvl>
    <w:lvl w:ilvl="1" w:tplc="5E3A2BA8">
      <w:start w:val="1"/>
      <w:numFmt w:val="bullet"/>
      <w:lvlText w:val="o"/>
      <w:lvlJc w:val="left"/>
      <w:pPr>
        <w:ind w:left="1440" w:hanging="360"/>
      </w:pPr>
      <w:rPr>
        <w:rFonts w:ascii="Courier New" w:hAnsi="Courier New" w:hint="default"/>
      </w:rPr>
    </w:lvl>
    <w:lvl w:ilvl="2" w:tplc="21B46B50">
      <w:start w:val="1"/>
      <w:numFmt w:val="bullet"/>
      <w:lvlText w:val=""/>
      <w:lvlJc w:val="left"/>
      <w:pPr>
        <w:ind w:left="2160" w:hanging="360"/>
      </w:pPr>
      <w:rPr>
        <w:rFonts w:ascii="Wingdings" w:hAnsi="Wingdings" w:hint="default"/>
      </w:rPr>
    </w:lvl>
    <w:lvl w:ilvl="3" w:tplc="51A6CCC4">
      <w:start w:val="1"/>
      <w:numFmt w:val="bullet"/>
      <w:lvlText w:val=""/>
      <w:lvlJc w:val="left"/>
      <w:pPr>
        <w:ind w:left="2880" w:hanging="360"/>
      </w:pPr>
      <w:rPr>
        <w:rFonts w:ascii="Symbol" w:hAnsi="Symbol" w:hint="default"/>
      </w:rPr>
    </w:lvl>
    <w:lvl w:ilvl="4" w:tplc="2FDA3AE0">
      <w:start w:val="1"/>
      <w:numFmt w:val="bullet"/>
      <w:lvlText w:val="o"/>
      <w:lvlJc w:val="left"/>
      <w:pPr>
        <w:ind w:left="3600" w:hanging="360"/>
      </w:pPr>
      <w:rPr>
        <w:rFonts w:ascii="Courier New" w:hAnsi="Courier New" w:hint="default"/>
      </w:rPr>
    </w:lvl>
    <w:lvl w:ilvl="5" w:tplc="37AE85AC">
      <w:start w:val="1"/>
      <w:numFmt w:val="bullet"/>
      <w:lvlText w:val=""/>
      <w:lvlJc w:val="left"/>
      <w:pPr>
        <w:ind w:left="4320" w:hanging="360"/>
      </w:pPr>
      <w:rPr>
        <w:rFonts w:ascii="Wingdings" w:hAnsi="Wingdings" w:hint="default"/>
      </w:rPr>
    </w:lvl>
    <w:lvl w:ilvl="6" w:tplc="8482149A">
      <w:start w:val="1"/>
      <w:numFmt w:val="bullet"/>
      <w:lvlText w:val=""/>
      <w:lvlJc w:val="left"/>
      <w:pPr>
        <w:ind w:left="5040" w:hanging="360"/>
      </w:pPr>
      <w:rPr>
        <w:rFonts w:ascii="Symbol" w:hAnsi="Symbol" w:hint="default"/>
      </w:rPr>
    </w:lvl>
    <w:lvl w:ilvl="7" w:tplc="C6A0906E">
      <w:start w:val="1"/>
      <w:numFmt w:val="bullet"/>
      <w:lvlText w:val="o"/>
      <w:lvlJc w:val="left"/>
      <w:pPr>
        <w:ind w:left="5760" w:hanging="360"/>
      </w:pPr>
      <w:rPr>
        <w:rFonts w:ascii="Courier New" w:hAnsi="Courier New" w:hint="default"/>
      </w:rPr>
    </w:lvl>
    <w:lvl w:ilvl="8" w:tplc="75F47A16">
      <w:start w:val="1"/>
      <w:numFmt w:val="bullet"/>
      <w:lvlText w:val=""/>
      <w:lvlJc w:val="left"/>
      <w:pPr>
        <w:ind w:left="6480" w:hanging="360"/>
      </w:pPr>
      <w:rPr>
        <w:rFonts w:ascii="Wingdings" w:hAnsi="Wingdings" w:hint="default"/>
      </w:rPr>
    </w:lvl>
  </w:abstractNum>
  <w:abstractNum w:abstractNumId="39"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40" w15:restartNumberingAfterBreak="0">
    <w:nsid w:val="67969979"/>
    <w:multiLevelType w:val="multilevel"/>
    <w:tmpl w:val="4C18AA5C"/>
    <w:styleLink w:val="Style2"/>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lvlText w:val="%1.%2.%3.%4.%5.%6"/>
      <w:lvlJc w:val="left"/>
      <w:pPr>
        <w:tabs>
          <w:tab w:val="num" w:pos="3419"/>
        </w:tabs>
        <w:ind w:left="3419" w:hanging="1151"/>
      </w:pPr>
      <w:rPr>
        <w:rFonts w:hint="default"/>
      </w:rPr>
    </w:lvl>
    <w:lvl w:ilvl="6">
      <w:start w:val="1"/>
      <w:numFmt w:val="decimal"/>
      <w:lvlText w:val="%1.%2.%3.%4.%5.%6.%7"/>
      <w:lvlJc w:val="left"/>
      <w:pPr>
        <w:tabs>
          <w:tab w:val="num" w:pos="3566"/>
        </w:tabs>
        <w:ind w:left="3566" w:hanging="1298"/>
      </w:pPr>
      <w:rPr>
        <w:rFonts w:hint="default"/>
      </w:rPr>
    </w:lvl>
    <w:lvl w:ilvl="7">
      <w:start w:val="1"/>
      <w:numFmt w:val="decimal"/>
      <w:lvlText w:val="%1.%2.%3.%4.%5.%6.%7.%8"/>
      <w:lvlJc w:val="left"/>
      <w:pPr>
        <w:tabs>
          <w:tab w:val="num" w:pos="3708"/>
        </w:tabs>
        <w:ind w:left="3708" w:hanging="1440"/>
      </w:pPr>
      <w:rPr>
        <w:rFonts w:hint="default"/>
      </w:rPr>
    </w:lvl>
    <w:lvl w:ilvl="8">
      <w:start w:val="1"/>
      <w:numFmt w:val="decimal"/>
      <w:lvlText w:val="%1.%2.%3.%4.%5.%6.%7.%8.%9"/>
      <w:lvlJc w:val="left"/>
      <w:pPr>
        <w:tabs>
          <w:tab w:val="num" w:pos="3850"/>
        </w:tabs>
        <w:ind w:left="3850" w:hanging="1582"/>
      </w:pPr>
      <w:rPr>
        <w:rFonts w:hint="default"/>
      </w:rPr>
    </w:lvl>
  </w:abstractNum>
  <w:abstractNum w:abstractNumId="41"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C042717"/>
    <w:multiLevelType w:val="multilevel"/>
    <w:tmpl w:val="FFFFFFFF"/>
    <w:numStyleLink w:val="Style1"/>
  </w:abstractNum>
  <w:abstractNum w:abstractNumId="43"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4"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16cid:durableId="1287734805">
    <w:abstractNumId w:val="31"/>
  </w:num>
  <w:num w:numId="2" w16cid:durableId="550508225">
    <w:abstractNumId w:val="26"/>
  </w:num>
  <w:num w:numId="3" w16cid:durableId="1425766684">
    <w:abstractNumId w:val="24"/>
  </w:num>
  <w:num w:numId="4" w16cid:durableId="1911882459">
    <w:abstractNumId w:val="12"/>
  </w:num>
  <w:num w:numId="5" w16cid:durableId="1551771677">
    <w:abstractNumId w:val="14"/>
  </w:num>
  <w:num w:numId="6" w16cid:durableId="1087504908">
    <w:abstractNumId w:val="13"/>
  </w:num>
  <w:num w:numId="7" w16cid:durableId="1386685485">
    <w:abstractNumId w:val="29"/>
  </w:num>
  <w:num w:numId="8" w16cid:durableId="490759308">
    <w:abstractNumId w:val="28"/>
  </w:num>
  <w:num w:numId="9" w16cid:durableId="1473670967">
    <w:abstractNumId w:val="45"/>
  </w:num>
  <w:num w:numId="10" w16cid:durableId="493759981">
    <w:abstractNumId w:val="4"/>
  </w:num>
  <w:num w:numId="11" w16cid:durableId="301086276">
    <w:abstractNumId w:val="43"/>
  </w:num>
  <w:num w:numId="12" w16cid:durableId="572738154">
    <w:abstractNumId w:val="20"/>
  </w:num>
  <w:num w:numId="13" w16cid:durableId="1879198282">
    <w:abstractNumId w:val="3"/>
  </w:num>
  <w:num w:numId="14" w16cid:durableId="1780947756">
    <w:abstractNumId w:val="6"/>
  </w:num>
  <w:num w:numId="15" w16cid:durableId="1243249370">
    <w:abstractNumId w:val="40"/>
  </w:num>
  <w:num w:numId="16" w16cid:durableId="6587330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50383420">
    <w:abstractNumId w:val="5"/>
  </w:num>
  <w:num w:numId="18" w16cid:durableId="881482801">
    <w:abstractNumId w:val="17"/>
  </w:num>
  <w:num w:numId="19" w16cid:durableId="1193418831">
    <w:abstractNumId w:val="0"/>
  </w:num>
  <w:num w:numId="20" w16cid:durableId="475536074">
    <w:abstractNumId w:val="9"/>
  </w:num>
  <w:num w:numId="21" w16cid:durableId="1411585834">
    <w:abstractNumId w:val="25"/>
  </w:num>
  <w:num w:numId="22" w16cid:durableId="423303102">
    <w:abstractNumId w:val="33"/>
  </w:num>
  <w:num w:numId="23" w16cid:durableId="860045875">
    <w:abstractNumId w:val="38"/>
  </w:num>
  <w:num w:numId="24" w16cid:durableId="1591236753">
    <w:abstractNumId w:val="36"/>
  </w:num>
  <w:num w:numId="25" w16cid:durableId="305093503">
    <w:abstractNumId w:val="8"/>
  </w:num>
  <w:num w:numId="26" w16cid:durableId="1120883841">
    <w:abstractNumId w:val="18"/>
  </w:num>
  <w:num w:numId="27" w16cid:durableId="1355688731">
    <w:abstractNumId w:val="35"/>
  </w:num>
  <w:num w:numId="28" w16cid:durableId="1408841756">
    <w:abstractNumId w:val="2"/>
  </w:num>
  <w:num w:numId="29" w16cid:durableId="1780644263">
    <w:abstractNumId w:val="46"/>
  </w:num>
  <w:num w:numId="30" w16cid:durableId="75578449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46122079">
    <w:abstractNumId w:val="39"/>
  </w:num>
  <w:num w:numId="32" w16cid:durableId="692726843">
    <w:abstractNumId w:val="42"/>
  </w:num>
  <w:num w:numId="33" w16cid:durableId="1042708549">
    <w:abstractNumId w:val="27"/>
  </w:num>
  <w:num w:numId="34" w16cid:durableId="186607318">
    <w:abstractNumId w:val="16"/>
  </w:num>
  <w:num w:numId="35" w16cid:durableId="1298028674">
    <w:abstractNumId w:val="41"/>
  </w:num>
  <w:num w:numId="36" w16cid:durableId="1714497002">
    <w:abstractNumId w:val="32"/>
  </w:num>
  <w:num w:numId="37" w16cid:durableId="1578855986">
    <w:abstractNumId w:val="19"/>
  </w:num>
  <w:num w:numId="38" w16cid:durableId="1280450312">
    <w:abstractNumId w:val="34"/>
  </w:num>
  <w:num w:numId="39" w16cid:durableId="1656294421">
    <w:abstractNumId w:val="10"/>
  </w:num>
  <w:num w:numId="40" w16cid:durableId="1326085640">
    <w:abstractNumId w:val="30"/>
  </w:num>
  <w:num w:numId="41" w16cid:durableId="2049603977">
    <w:abstractNumId w:val="21"/>
  </w:num>
  <w:num w:numId="42" w16cid:durableId="551038796">
    <w:abstractNumId w:val="44"/>
  </w:num>
  <w:num w:numId="43" w16cid:durableId="12147515">
    <w:abstractNumId w:val="37"/>
  </w:num>
  <w:num w:numId="44" w16cid:durableId="1624921217">
    <w:abstractNumId w:val="1"/>
  </w:num>
  <w:num w:numId="45" w16cid:durableId="1263996075">
    <w:abstractNumId w:val="23"/>
  </w:num>
  <w:num w:numId="46" w16cid:durableId="1108433268">
    <w:abstractNumId w:val="15"/>
  </w:num>
  <w:num w:numId="47" w16cid:durableId="143670352">
    <w:abstractNumId w:val="7"/>
  </w:num>
  <w:num w:numId="48" w16cid:durableId="2057313044">
    <w:abstractNumId w:val="11"/>
  </w:num>
  <w:num w:numId="49" w16cid:durableId="1818911177">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linkStyles/>
  <w:defaultTabStop w:val="720"/>
  <w:evenAndOddHeaders/>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D9B"/>
    <w:rsid w:val="00000354"/>
    <w:rsid w:val="00000A06"/>
    <w:rsid w:val="00000C80"/>
    <w:rsid w:val="00000F72"/>
    <w:rsid w:val="00001484"/>
    <w:rsid w:val="00001F3F"/>
    <w:rsid w:val="00002986"/>
    <w:rsid w:val="00002ABC"/>
    <w:rsid w:val="00002CF3"/>
    <w:rsid w:val="000031E4"/>
    <w:rsid w:val="000032BB"/>
    <w:rsid w:val="0000350F"/>
    <w:rsid w:val="0000368E"/>
    <w:rsid w:val="00003692"/>
    <w:rsid w:val="000037CF"/>
    <w:rsid w:val="00003F1F"/>
    <w:rsid w:val="00004345"/>
    <w:rsid w:val="0000481C"/>
    <w:rsid w:val="00004A67"/>
    <w:rsid w:val="00004D98"/>
    <w:rsid w:val="00004DC3"/>
    <w:rsid w:val="00005527"/>
    <w:rsid w:val="00005764"/>
    <w:rsid w:val="00005C20"/>
    <w:rsid w:val="0000705C"/>
    <w:rsid w:val="000074DB"/>
    <w:rsid w:val="00010F41"/>
    <w:rsid w:val="000111FD"/>
    <w:rsid w:val="00011DCA"/>
    <w:rsid w:val="00012009"/>
    <w:rsid w:val="000129BB"/>
    <w:rsid w:val="00012EAE"/>
    <w:rsid w:val="00014624"/>
    <w:rsid w:val="000161BD"/>
    <w:rsid w:val="000161CF"/>
    <w:rsid w:val="00016628"/>
    <w:rsid w:val="00016A8C"/>
    <w:rsid w:val="00016B99"/>
    <w:rsid w:val="00017065"/>
    <w:rsid w:val="00017714"/>
    <w:rsid w:val="00017D11"/>
    <w:rsid w:val="000207D3"/>
    <w:rsid w:val="00020AB6"/>
    <w:rsid w:val="00020B49"/>
    <w:rsid w:val="00022538"/>
    <w:rsid w:val="000242AB"/>
    <w:rsid w:val="0002464B"/>
    <w:rsid w:val="00024A03"/>
    <w:rsid w:val="000268DA"/>
    <w:rsid w:val="000269FE"/>
    <w:rsid w:val="00026FFD"/>
    <w:rsid w:val="00027208"/>
    <w:rsid w:val="00027470"/>
    <w:rsid w:val="00027DFB"/>
    <w:rsid w:val="0003046B"/>
    <w:rsid w:val="00030841"/>
    <w:rsid w:val="000312BC"/>
    <w:rsid w:val="0003200D"/>
    <w:rsid w:val="0003298C"/>
    <w:rsid w:val="00032A6B"/>
    <w:rsid w:val="00032C65"/>
    <w:rsid w:val="00033AE3"/>
    <w:rsid w:val="00033C2F"/>
    <w:rsid w:val="00034505"/>
    <w:rsid w:val="000348A4"/>
    <w:rsid w:val="00034C36"/>
    <w:rsid w:val="00034C3B"/>
    <w:rsid w:val="00035155"/>
    <w:rsid w:val="000353A6"/>
    <w:rsid w:val="000356FF"/>
    <w:rsid w:val="00035851"/>
    <w:rsid w:val="0003612C"/>
    <w:rsid w:val="000364A2"/>
    <w:rsid w:val="0003651A"/>
    <w:rsid w:val="00036584"/>
    <w:rsid w:val="00036771"/>
    <w:rsid w:val="00036FFD"/>
    <w:rsid w:val="000372FF"/>
    <w:rsid w:val="0003731C"/>
    <w:rsid w:val="000377FF"/>
    <w:rsid w:val="000406CC"/>
    <w:rsid w:val="00040825"/>
    <w:rsid w:val="00040BCA"/>
    <w:rsid w:val="000412AA"/>
    <w:rsid w:val="0004136A"/>
    <w:rsid w:val="000422E0"/>
    <w:rsid w:val="00042FC3"/>
    <w:rsid w:val="000432B0"/>
    <w:rsid w:val="00043E35"/>
    <w:rsid w:val="00043EBB"/>
    <w:rsid w:val="00043EF0"/>
    <w:rsid w:val="0004468A"/>
    <w:rsid w:val="00044E55"/>
    <w:rsid w:val="0004575C"/>
    <w:rsid w:val="00045DFB"/>
    <w:rsid w:val="0004651F"/>
    <w:rsid w:val="00047AD0"/>
    <w:rsid w:val="00047D40"/>
    <w:rsid w:val="0005035D"/>
    <w:rsid w:val="00050380"/>
    <w:rsid w:val="000506F0"/>
    <w:rsid w:val="0005077A"/>
    <w:rsid w:val="00050ACC"/>
    <w:rsid w:val="00050B9A"/>
    <w:rsid w:val="00052A3F"/>
    <w:rsid w:val="00052C18"/>
    <w:rsid w:val="00053272"/>
    <w:rsid w:val="0005371E"/>
    <w:rsid w:val="000538DB"/>
    <w:rsid w:val="0005404E"/>
    <w:rsid w:val="00054572"/>
    <w:rsid w:val="000548C1"/>
    <w:rsid w:val="00054B27"/>
    <w:rsid w:val="00056381"/>
    <w:rsid w:val="00056914"/>
    <w:rsid w:val="00056C96"/>
    <w:rsid w:val="00057E2C"/>
    <w:rsid w:val="00060B3A"/>
    <w:rsid w:val="0006141F"/>
    <w:rsid w:val="000616F4"/>
    <w:rsid w:val="00061BD0"/>
    <w:rsid w:val="000627D7"/>
    <w:rsid w:val="00062D48"/>
    <w:rsid w:val="0006325F"/>
    <w:rsid w:val="00063328"/>
    <w:rsid w:val="000647E9"/>
    <w:rsid w:val="000649B2"/>
    <w:rsid w:val="00064BF4"/>
    <w:rsid w:val="00065348"/>
    <w:rsid w:val="00065AA6"/>
    <w:rsid w:val="00065C66"/>
    <w:rsid w:val="000662CD"/>
    <w:rsid w:val="000668CF"/>
    <w:rsid w:val="0007092F"/>
    <w:rsid w:val="00070978"/>
    <w:rsid w:val="00070F73"/>
    <w:rsid w:val="00071E4D"/>
    <w:rsid w:val="00072023"/>
    <w:rsid w:val="000725D7"/>
    <w:rsid w:val="0007274A"/>
    <w:rsid w:val="00072A86"/>
    <w:rsid w:val="00072F9F"/>
    <w:rsid w:val="0007308F"/>
    <w:rsid w:val="0007344C"/>
    <w:rsid w:val="0007363D"/>
    <w:rsid w:val="00074632"/>
    <w:rsid w:val="0007478E"/>
    <w:rsid w:val="000747D3"/>
    <w:rsid w:val="00074E0A"/>
    <w:rsid w:val="00074EFC"/>
    <w:rsid w:val="00075277"/>
    <w:rsid w:val="000756B0"/>
    <w:rsid w:val="0007595B"/>
    <w:rsid w:val="00076385"/>
    <w:rsid w:val="000764E7"/>
    <w:rsid w:val="00076886"/>
    <w:rsid w:val="00077A84"/>
    <w:rsid w:val="00077AD6"/>
    <w:rsid w:val="00077E4E"/>
    <w:rsid w:val="000801CA"/>
    <w:rsid w:val="00080239"/>
    <w:rsid w:val="0008035D"/>
    <w:rsid w:val="000807BD"/>
    <w:rsid w:val="0008181D"/>
    <w:rsid w:val="00081AD3"/>
    <w:rsid w:val="00081F10"/>
    <w:rsid w:val="00082096"/>
    <w:rsid w:val="00082454"/>
    <w:rsid w:val="00083DB4"/>
    <w:rsid w:val="00083EFA"/>
    <w:rsid w:val="000846EB"/>
    <w:rsid w:val="00085123"/>
    <w:rsid w:val="00085360"/>
    <w:rsid w:val="000855AB"/>
    <w:rsid w:val="00085703"/>
    <w:rsid w:val="00086332"/>
    <w:rsid w:val="0008647D"/>
    <w:rsid w:val="00086623"/>
    <w:rsid w:val="00086928"/>
    <w:rsid w:val="00086EF8"/>
    <w:rsid w:val="000875A4"/>
    <w:rsid w:val="00087AC4"/>
    <w:rsid w:val="00087D91"/>
    <w:rsid w:val="0009024B"/>
    <w:rsid w:val="000904D4"/>
    <w:rsid w:val="0009052B"/>
    <w:rsid w:val="000909A9"/>
    <w:rsid w:val="00090A53"/>
    <w:rsid w:val="00090B39"/>
    <w:rsid w:val="00090E6B"/>
    <w:rsid w:val="000921EC"/>
    <w:rsid w:val="000923EF"/>
    <w:rsid w:val="00092827"/>
    <w:rsid w:val="00092C92"/>
    <w:rsid w:val="000936AF"/>
    <w:rsid w:val="00093B4E"/>
    <w:rsid w:val="00093C91"/>
    <w:rsid w:val="000946B6"/>
    <w:rsid w:val="0009541E"/>
    <w:rsid w:val="00095AA4"/>
    <w:rsid w:val="00095CE0"/>
    <w:rsid w:val="00095E83"/>
    <w:rsid w:val="00096166"/>
    <w:rsid w:val="000961A0"/>
    <w:rsid w:val="000965AF"/>
    <w:rsid w:val="0009664A"/>
    <w:rsid w:val="0009667C"/>
    <w:rsid w:val="00096D39"/>
    <w:rsid w:val="00096F3C"/>
    <w:rsid w:val="00096F57"/>
    <w:rsid w:val="00097331"/>
    <w:rsid w:val="000978B4"/>
    <w:rsid w:val="000A0736"/>
    <w:rsid w:val="000A08D9"/>
    <w:rsid w:val="000A09AD"/>
    <w:rsid w:val="000A0EE6"/>
    <w:rsid w:val="000A0F43"/>
    <w:rsid w:val="000A13FB"/>
    <w:rsid w:val="000A1CE6"/>
    <w:rsid w:val="000A1FFE"/>
    <w:rsid w:val="000A283B"/>
    <w:rsid w:val="000A2894"/>
    <w:rsid w:val="000A2D85"/>
    <w:rsid w:val="000A2EE2"/>
    <w:rsid w:val="000A3C95"/>
    <w:rsid w:val="000A482D"/>
    <w:rsid w:val="000A489A"/>
    <w:rsid w:val="000A60A3"/>
    <w:rsid w:val="000A6975"/>
    <w:rsid w:val="000A6B96"/>
    <w:rsid w:val="000A732D"/>
    <w:rsid w:val="000A73C0"/>
    <w:rsid w:val="000A74ED"/>
    <w:rsid w:val="000A7520"/>
    <w:rsid w:val="000A7A2B"/>
    <w:rsid w:val="000A7B65"/>
    <w:rsid w:val="000B0D59"/>
    <w:rsid w:val="000B1397"/>
    <w:rsid w:val="000B3BB5"/>
    <w:rsid w:val="000B45E5"/>
    <w:rsid w:val="000B460A"/>
    <w:rsid w:val="000B4AD3"/>
    <w:rsid w:val="000B5B42"/>
    <w:rsid w:val="000B5C09"/>
    <w:rsid w:val="000B5D5F"/>
    <w:rsid w:val="000B6050"/>
    <w:rsid w:val="000B69EC"/>
    <w:rsid w:val="000B6A29"/>
    <w:rsid w:val="000B6A65"/>
    <w:rsid w:val="000B782A"/>
    <w:rsid w:val="000B7E50"/>
    <w:rsid w:val="000C099F"/>
    <w:rsid w:val="000C1B23"/>
    <w:rsid w:val="000C2FA8"/>
    <w:rsid w:val="000C31E0"/>
    <w:rsid w:val="000C3777"/>
    <w:rsid w:val="000C3F9A"/>
    <w:rsid w:val="000C4270"/>
    <w:rsid w:val="000C4D7A"/>
    <w:rsid w:val="000C4EC8"/>
    <w:rsid w:val="000C5329"/>
    <w:rsid w:val="000C6616"/>
    <w:rsid w:val="000C78B5"/>
    <w:rsid w:val="000D004E"/>
    <w:rsid w:val="000D00EE"/>
    <w:rsid w:val="000D0561"/>
    <w:rsid w:val="000D0BC6"/>
    <w:rsid w:val="000D0CF1"/>
    <w:rsid w:val="000D0F05"/>
    <w:rsid w:val="000D159D"/>
    <w:rsid w:val="000D2864"/>
    <w:rsid w:val="000D298D"/>
    <w:rsid w:val="000D33CD"/>
    <w:rsid w:val="000D38B8"/>
    <w:rsid w:val="000D4192"/>
    <w:rsid w:val="000D48B1"/>
    <w:rsid w:val="000D49F1"/>
    <w:rsid w:val="000D5850"/>
    <w:rsid w:val="000D5940"/>
    <w:rsid w:val="000D5A26"/>
    <w:rsid w:val="000D63AF"/>
    <w:rsid w:val="000D76DE"/>
    <w:rsid w:val="000D7A68"/>
    <w:rsid w:val="000E2D23"/>
    <w:rsid w:val="000E359B"/>
    <w:rsid w:val="000E3A9F"/>
    <w:rsid w:val="000E3BA5"/>
    <w:rsid w:val="000E3E23"/>
    <w:rsid w:val="000E473C"/>
    <w:rsid w:val="000E4BA9"/>
    <w:rsid w:val="000E4FC5"/>
    <w:rsid w:val="000E50F7"/>
    <w:rsid w:val="000E5822"/>
    <w:rsid w:val="000E5ECF"/>
    <w:rsid w:val="000E6085"/>
    <w:rsid w:val="000E6337"/>
    <w:rsid w:val="000E657E"/>
    <w:rsid w:val="000E7558"/>
    <w:rsid w:val="000F0565"/>
    <w:rsid w:val="000F0ACF"/>
    <w:rsid w:val="000F0DE5"/>
    <w:rsid w:val="000F1AB9"/>
    <w:rsid w:val="000F1AF0"/>
    <w:rsid w:val="000F1EC0"/>
    <w:rsid w:val="000F2636"/>
    <w:rsid w:val="000F2FCE"/>
    <w:rsid w:val="000F3357"/>
    <w:rsid w:val="000F36D8"/>
    <w:rsid w:val="000F377B"/>
    <w:rsid w:val="000F3B53"/>
    <w:rsid w:val="000F3DDD"/>
    <w:rsid w:val="000F3EBC"/>
    <w:rsid w:val="000F4442"/>
    <w:rsid w:val="000F490D"/>
    <w:rsid w:val="000F4DD5"/>
    <w:rsid w:val="000F4EA4"/>
    <w:rsid w:val="000F504E"/>
    <w:rsid w:val="000F53BF"/>
    <w:rsid w:val="000F57CE"/>
    <w:rsid w:val="000F581D"/>
    <w:rsid w:val="000F679D"/>
    <w:rsid w:val="000F6964"/>
    <w:rsid w:val="000F6F8F"/>
    <w:rsid w:val="000F793E"/>
    <w:rsid w:val="000F7CE8"/>
    <w:rsid w:val="0010036B"/>
    <w:rsid w:val="00100D69"/>
    <w:rsid w:val="00100DD5"/>
    <w:rsid w:val="00101246"/>
    <w:rsid w:val="00101B8F"/>
    <w:rsid w:val="00101BDE"/>
    <w:rsid w:val="00102094"/>
    <w:rsid w:val="0010236D"/>
    <w:rsid w:val="00102643"/>
    <w:rsid w:val="00103C6C"/>
    <w:rsid w:val="0010405E"/>
    <w:rsid w:val="00104122"/>
    <w:rsid w:val="001041D6"/>
    <w:rsid w:val="001042DF"/>
    <w:rsid w:val="001044E8"/>
    <w:rsid w:val="001047F9"/>
    <w:rsid w:val="00105606"/>
    <w:rsid w:val="00105E7F"/>
    <w:rsid w:val="001060DA"/>
    <w:rsid w:val="00107416"/>
    <w:rsid w:val="00107A2D"/>
    <w:rsid w:val="00107B3E"/>
    <w:rsid w:val="00107EB4"/>
    <w:rsid w:val="00110112"/>
    <w:rsid w:val="001102E1"/>
    <w:rsid w:val="001106E8"/>
    <w:rsid w:val="00110AAC"/>
    <w:rsid w:val="001115F4"/>
    <w:rsid w:val="00111865"/>
    <w:rsid w:val="00111B28"/>
    <w:rsid w:val="001127B3"/>
    <w:rsid w:val="001134F6"/>
    <w:rsid w:val="00113A50"/>
    <w:rsid w:val="00113DBD"/>
    <w:rsid w:val="0011600D"/>
    <w:rsid w:val="00116457"/>
    <w:rsid w:val="00116605"/>
    <w:rsid w:val="0011697D"/>
    <w:rsid w:val="00116E71"/>
    <w:rsid w:val="00117189"/>
    <w:rsid w:val="001200AE"/>
    <w:rsid w:val="00120E9C"/>
    <w:rsid w:val="00121034"/>
    <w:rsid w:val="001211A0"/>
    <w:rsid w:val="001214FC"/>
    <w:rsid w:val="00121FC2"/>
    <w:rsid w:val="00122078"/>
    <w:rsid w:val="001224A7"/>
    <w:rsid w:val="00123274"/>
    <w:rsid w:val="00123B49"/>
    <w:rsid w:val="00124FFC"/>
    <w:rsid w:val="00125229"/>
    <w:rsid w:val="001257FD"/>
    <w:rsid w:val="00125B1A"/>
    <w:rsid w:val="00125BB3"/>
    <w:rsid w:val="00125DFD"/>
    <w:rsid w:val="001269F8"/>
    <w:rsid w:val="00126A0F"/>
    <w:rsid w:val="00126F97"/>
    <w:rsid w:val="00127086"/>
    <w:rsid w:val="00127152"/>
    <w:rsid w:val="00127436"/>
    <w:rsid w:val="00127543"/>
    <w:rsid w:val="00127F92"/>
    <w:rsid w:val="0013030B"/>
    <w:rsid w:val="001307A3"/>
    <w:rsid w:val="00130961"/>
    <w:rsid w:val="00130A2B"/>
    <w:rsid w:val="00131383"/>
    <w:rsid w:val="001317D5"/>
    <w:rsid w:val="00131800"/>
    <w:rsid w:val="00131D25"/>
    <w:rsid w:val="00131E4D"/>
    <w:rsid w:val="00132D3A"/>
    <w:rsid w:val="00133058"/>
    <w:rsid w:val="001330E8"/>
    <w:rsid w:val="00133489"/>
    <w:rsid w:val="001340DF"/>
    <w:rsid w:val="001340EE"/>
    <w:rsid w:val="00134475"/>
    <w:rsid w:val="001355B2"/>
    <w:rsid w:val="00135821"/>
    <w:rsid w:val="001364A0"/>
    <w:rsid w:val="001372BB"/>
    <w:rsid w:val="00137DDB"/>
    <w:rsid w:val="00140EC5"/>
    <w:rsid w:val="001419A9"/>
    <w:rsid w:val="00141E80"/>
    <w:rsid w:val="00143356"/>
    <w:rsid w:val="00143CF0"/>
    <w:rsid w:val="00144119"/>
    <w:rsid w:val="00144B70"/>
    <w:rsid w:val="00145067"/>
    <w:rsid w:val="00145D46"/>
    <w:rsid w:val="00146BA5"/>
    <w:rsid w:val="00146DE0"/>
    <w:rsid w:val="00147053"/>
    <w:rsid w:val="001507CF"/>
    <w:rsid w:val="00150960"/>
    <w:rsid w:val="00151539"/>
    <w:rsid w:val="0015155A"/>
    <w:rsid w:val="00151CFA"/>
    <w:rsid w:val="00151E29"/>
    <w:rsid w:val="00151F68"/>
    <w:rsid w:val="001526CE"/>
    <w:rsid w:val="00152D88"/>
    <w:rsid w:val="00153050"/>
    <w:rsid w:val="001530D1"/>
    <w:rsid w:val="00153775"/>
    <w:rsid w:val="00153B90"/>
    <w:rsid w:val="0015412B"/>
    <w:rsid w:val="001544BD"/>
    <w:rsid w:val="00154512"/>
    <w:rsid w:val="001549CB"/>
    <w:rsid w:val="001552E8"/>
    <w:rsid w:val="001552F3"/>
    <w:rsid w:val="001559F1"/>
    <w:rsid w:val="00155FDE"/>
    <w:rsid w:val="00156346"/>
    <w:rsid w:val="001566B1"/>
    <w:rsid w:val="00156A1B"/>
    <w:rsid w:val="00156ACE"/>
    <w:rsid w:val="001570C0"/>
    <w:rsid w:val="0016003B"/>
    <w:rsid w:val="00162A1E"/>
    <w:rsid w:val="00162CA2"/>
    <w:rsid w:val="00162D8D"/>
    <w:rsid w:val="00163251"/>
    <w:rsid w:val="00163A29"/>
    <w:rsid w:val="00164301"/>
    <w:rsid w:val="00164417"/>
    <w:rsid w:val="001645FD"/>
    <w:rsid w:val="00164CEF"/>
    <w:rsid w:val="00164FF8"/>
    <w:rsid w:val="0016637F"/>
    <w:rsid w:val="00167192"/>
    <w:rsid w:val="001676B3"/>
    <w:rsid w:val="00167834"/>
    <w:rsid w:val="001713AD"/>
    <w:rsid w:val="001716AA"/>
    <w:rsid w:val="00171BE3"/>
    <w:rsid w:val="001735A7"/>
    <w:rsid w:val="0017388D"/>
    <w:rsid w:val="00173F3A"/>
    <w:rsid w:val="001750AC"/>
    <w:rsid w:val="00175223"/>
    <w:rsid w:val="001753A9"/>
    <w:rsid w:val="00175B90"/>
    <w:rsid w:val="00175C3F"/>
    <w:rsid w:val="00175E41"/>
    <w:rsid w:val="00176162"/>
    <w:rsid w:val="001761E1"/>
    <w:rsid w:val="001762BA"/>
    <w:rsid w:val="00176566"/>
    <w:rsid w:val="00176B82"/>
    <w:rsid w:val="00176F22"/>
    <w:rsid w:val="00177580"/>
    <w:rsid w:val="00180194"/>
    <w:rsid w:val="001801AD"/>
    <w:rsid w:val="00180B74"/>
    <w:rsid w:val="00181564"/>
    <w:rsid w:val="0018265F"/>
    <w:rsid w:val="00183754"/>
    <w:rsid w:val="00183BFD"/>
    <w:rsid w:val="00184028"/>
    <w:rsid w:val="00184225"/>
    <w:rsid w:val="00184693"/>
    <w:rsid w:val="0018479B"/>
    <w:rsid w:val="00184C35"/>
    <w:rsid w:val="00184F1A"/>
    <w:rsid w:val="00185090"/>
    <w:rsid w:val="00185409"/>
    <w:rsid w:val="00185822"/>
    <w:rsid w:val="00186350"/>
    <w:rsid w:val="00186FED"/>
    <w:rsid w:val="001871E7"/>
    <w:rsid w:val="001879C5"/>
    <w:rsid w:val="001879E9"/>
    <w:rsid w:val="001900D4"/>
    <w:rsid w:val="0019029D"/>
    <w:rsid w:val="001905B5"/>
    <w:rsid w:val="00190815"/>
    <w:rsid w:val="00190A91"/>
    <w:rsid w:val="00191115"/>
    <w:rsid w:val="00191305"/>
    <w:rsid w:val="00191A5D"/>
    <w:rsid w:val="001924E6"/>
    <w:rsid w:val="001926BD"/>
    <w:rsid w:val="00192A9D"/>
    <w:rsid w:val="00192F13"/>
    <w:rsid w:val="001932EA"/>
    <w:rsid w:val="00193994"/>
    <w:rsid w:val="00193FEA"/>
    <w:rsid w:val="001945E5"/>
    <w:rsid w:val="001945EF"/>
    <w:rsid w:val="001948A2"/>
    <w:rsid w:val="00194D60"/>
    <w:rsid w:val="00195437"/>
    <w:rsid w:val="001961EA"/>
    <w:rsid w:val="00196DE3"/>
    <w:rsid w:val="00197D11"/>
    <w:rsid w:val="00197F10"/>
    <w:rsid w:val="001A1222"/>
    <w:rsid w:val="001A15FD"/>
    <w:rsid w:val="001A1D72"/>
    <w:rsid w:val="001A1E54"/>
    <w:rsid w:val="001A1EE8"/>
    <w:rsid w:val="001A249F"/>
    <w:rsid w:val="001A24AB"/>
    <w:rsid w:val="001A24BF"/>
    <w:rsid w:val="001A2826"/>
    <w:rsid w:val="001A2836"/>
    <w:rsid w:val="001A2913"/>
    <w:rsid w:val="001A297D"/>
    <w:rsid w:val="001A29F9"/>
    <w:rsid w:val="001A2A41"/>
    <w:rsid w:val="001A2D2F"/>
    <w:rsid w:val="001A3D0C"/>
    <w:rsid w:val="001A3FBD"/>
    <w:rsid w:val="001A40E6"/>
    <w:rsid w:val="001A415C"/>
    <w:rsid w:val="001A45C6"/>
    <w:rsid w:val="001A4AEB"/>
    <w:rsid w:val="001A534A"/>
    <w:rsid w:val="001A5554"/>
    <w:rsid w:val="001A5891"/>
    <w:rsid w:val="001A58A7"/>
    <w:rsid w:val="001A5B55"/>
    <w:rsid w:val="001A5BAB"/>
    <w:rsid w:val="001A66A1"/>
    <w:rsid w:val="001A66BC"/>
    <w:rsid w:val="001A696F"/>
    <w:rsid w:val="001B0439"/>
    <w:rsid w:val="001B0C10"/>
    <w:rsid w:val="001B12C1"/>
    <w:rsid w:val="001B1BB4"/>
    <w:rsid w:val="001B3360"/>
    <w:rsid w:val="001B398C"/>
    <w:rsid w:val="001B3A63"/>
    <w:rsid w:val="001B3C35"/>
    <w:rsid w:val="001B515F"/>
    <w:rsid w:val="001B58BA"/>
    <w:rsid w:val="001B713C"/>
    <w:rsid w:val="001B75F7"/>
    <w:rsid w:val="001B79E7"/>
    <w:rsid w:val="001C1418"/>
    <w:rsid w:val="001C157E"/>
    <w:rsid w:val="001C1649"/>
    <w:rsid w:val="001C17D5"/>
    <w:rsid w:val="001C18AF"/>
    <w:rsid w:val="001C19AD"/>
    <w:rsid w:val="001C24D3"/>
    <w:rsid w:val="001C2578"/>
    <w:rsid w:val="001C2E5C"/>
    <w:rsid w:val="001C39B2"/>
    <w:rsid w:val="001C4376"/>
    <w:rsid w:val="001C4B23"/>
    <w:rsid w:val="001C4E4D"/>
    <w:rsid w:val="001C4F02"/>
    <w:rsid w:val="001C5110"/>
    <w:rsid w:val="001C5864"/>
    <w:rsid w:val="001C6768"/>
    <w:rsid w:val="001C79FC"/>
    <w:rsid w:val="001C7C7E"/>
    <w:rsid w:val="001C7EFB"/>
    <w:rsid w:val="001D07CE"/>
    <w:rsid w:val="001D0BAB"/>
    <w:rsid w:val="001D21F1"/>
    <w:rsid w:val="001D2204"/>
    <w:rsid w:val="001D3FC3"/>
    <w:rsid w:val="001D48B2"/>
    <w:rsid w:val="001D4DDF"/>
    <w:rsid w:val="001D4FC0"/>
    <w:rsid w:val="001D5C33"/>
    <w:rsid w:val="001D663C"/>
    <w:rsid w:val="001D6BBE"/>
    <w:rsid w:val="001D7499"/>
    <w:rsid w:val="001D752B"/>
    <w:rsid w:val="001D7683"/>
    <w:rsid w:val="001D7A2A"/>
    <w:rsid w:val="001D7B7C"/>
    <w:rsid w:val="001E0382"/>
    <w:rsid w:val="001E072B"/>
    <w:rsid w:val="001E168C"/>
    <w:rsid w:val="001E1C01"/>
    <w:rsid w:val="001E1C08"/>
    <w:rsid w:val="001E1C85"/>
    <w:rsid w:val="001E2269"/>
    <w:rsid w:val="001E25A4"/>
    <w:rsid w:val="001E2E66"/>
    <w:rsid w:val="001E303C"/>
    <w:rsid w:val="001E366E"/>
    <w:rsid w:val="001E3ADE"/>
    <w:rsid w:val="001E4137"/>
    <w:rsid w:val="001E464A"/>
    <w:rsid w:val="001E4FAD"/>
    <w:rsid w:val="001E5174"/>
    <w:rsid w:val="001E51B7"/>
    <w:rsid w:val="001E64DF"/>
    <w:rsid w:val="001E6F5C"/>
    <w:rsid w:val="001E7008"/>
    <w:rsid w:val="001E723B"/>
    <w:rsid w:val="001E7375"/>
    <w:rsid w:val="001E7A64"/>
    <w:rsid w:val="001E7EFA"/>
    <w:rsid w:val="001F036B"/>
    <w:rsid w:val="001F0AB5"/>
    <w:rsid w:val="001F0EDA"/>
    <w:rsid w:val="001F1C8A"/>
    <w:rsid w:val="001F1CF2"/>
    <w:rsid w:val="001F22B6"/>
    <w:rsid w:val="001F280F"/>
    <w:rsid w:val="001F29E9"/>
    <w:rsid w:val="001F3360"/>
    <w:rsid w:val="001F3660"/>
    <w:rsid w:val="001F3745"/>
    <w:rsid w:val="001F5121"/>
    <w:rsid w:val="001F5BD7"/>
    <w:rsid w:val="001F5FC9"/>
    <w:rsid w:val="001F62F7"/>
    <w:rsid w:val="001F6F3A"/>
    <w:rsid w:val="001F7128"/>
    <w:rsid w:val="001F7DBD"/>
    <w:rsid w:val="0020040B"/>
    <w:rsid w:val="002009B6"/>
    <w:rsid w:val="00200FE2"/>
    <w:rsid w:val="0020157D"/>
    <w:rsid w:val="00201798"/>
    <w:rsid w:val="00201E8B"/>
    <w:rsid w:val="00202326"/>
    <w:rsid w:val="00202AD2"/>
    <w:rsid w:val="00203F77"/>
    <w:rsid w:val="00204070"/>
    <w:rsid w:val="002041AD"/>
    <w:rsid w:val="002045A2"/>
    <w:rsid w:val="00204F3A"/>
    <w:rsid w:val="00205203"/>
    <w:rsid w:val="0020662A"/>
    <w:rsid w:val="00207055"/>
    <w:rsid w:val="00207651"/>
    <w:rsid w:val="00207A66"/>
    <w:rsid w:val="00210B93"/>
    <w:rsid w:val="00211057"/>
    <w:rsid w:val="00211EA9"/>
    <w:rsid w:val="00212451"/>
    <w:rsid w:val="0021248E"/>
    <w:rsid w:val="002128D8"/>
    <w:rsid w:val="0021317D"/>
    <w:rsid w:val="002134BD"/>
    <w:rsid w:val="002139C9"/>
    <w:rsid w:val="00213F5E"/>
    <w:rsid w:val="00213F72"/>
    <w:rsid w:val="00214D57"/>
    <w:rsid w:val="00215511"/>
    <w:rsid w:val="00215870"/>
    <w:rsid w:val="002158C0"/>
    <w:rsid w:val="002168B9"/>
    <w:rsid w:val="00216CF7"/>
    <w:rsid w:val="00217081"/>
    <w:rsid w:val="002176FC"/>
    <w:rsid w:val="00220033"/>
    <w:rsid w:val="00220064"/>
    <w:rsid w:val="00220F89"/>
    <w:rsid w:val="0022126C"/>
    <w:rsid w:val="002216E7"/>
    <w:rsid w:val="002218E0"/>
    <w:rsid w:val="00221E6B"/>
    <w:rsid w:val="002220A2"/>
    <w:rsid w:val="00222690"/>
    <w:rsid w:val="0022287D"/>
    <w:rsid w:val="00222BCC"/>
    <w:rsid w:val="00222E9C"/>
    <w:rsid w:val="00223122"/>
    <w:rsid w:val="00223FC5"/>
    <w:rsid w:val="002241E8"/>
    <w:rsid w:val="00224EAE"/>
    <w:rsid w:val="00224ECE"/>
    <w:rsid w:val="00224FF4"/>
    <w:rsid w:val="00225598"/>
    <w:rsid w:val="00225716"/>
    <w:rsid w:val="002258BF"/>
    <w:rsid w:val="002266FD"/>
    <w:rsid w:val="00230DFA"/>
    <w:rsid w:val="00231198"/>
    <w:rsid w:val="00232BEA"/>
    <w:rsid w:val="002334AB"/>
    <w:rsid w:val="00233984"/>
    <w:rsid w:val="002341EC"/>
    <w:rsid w:val="0023420C"/>
    <w:rsid w:val="002356AD"/>
    <w:rsid w:val="00235C8F"/>
    <w:rsid w:val="00236792"/>
    <w:rsid w:val="002368F0"/>
    <w:rsid w:val="002369A7"/>
    <w:rsid w:val="00236E1A"/>
    <w:rsid w:val="00236F9F"/>
    <w:rsid w:val="00237C56"/>
    <w:rsid w:val="00237EB0"/>
    <w:rsid w:val="002401C3"/>
    <w:rsid w:val="00240568"/>
    <w:rsid w:val="002406AE"/>
    <w:rsid w:val="00240911"/>
    <w:rsid w:val="00240B38"/>
    <w:rsid w:val="00240CF6"/>
    <w:rsid w:val="00241011"/>
    <w:rsid w:val="00241DC8"/>
    <w:rsid w:val="00243465"/>
    <w:rsid w:val="002444A7"/>
    <w:rsid w:val="00245330"/>
    <w:rsid w:val="0024554B"/>
    <w:rsid w:val="00245EA4"/>
    <w:rsid w:val="00246200"/>
    <w:rsid w:val="00246563"/>
    <w:rsid w:val="0024657F"/>
    <w:rsid w:val="00246EA7"/>
    <w:rsid w:val="002476AC"/>
    <w:rsid w:val="00250574"/>
    <w:rsid w:val="0025126A"/>
    <w:rsid w:val="0025150D"/>
    <w:rsid w:val="002518F1"/>
    <w:rsid w:val="002519BA"/>
    <w:rsid w:val="002521D6"/>
    <w:rsid w:val="002524F1"/>
    <w:rsid w:val="00252944"/>
    <w:rsid w:val="00252C81"/>
    <w:rsid w:val="00253133"/>
    <w:rsid w:val="00253F31"/>
    <w:rsid w:val="00254A13"/>
    <w:rsid w:val="00255573"/>
    <w:rsid w:val="00255E59"/>
    <w:rsid w:val="00256389"/>
    <w:rsid w:val="0025748B"/>
    <w:rsid w:val="0025755E"/>
    <w:rsid w:val="00260061"/>
    <w:rsid w:val="002603AE"/>
    <w:rsid w:val="00260D7F"/>
    <w:rsid w:val="00260FB0"/>
    <w:rsid w:val="0026132B"/>
    <w:rsid w:val="00261563"/>
    <w:rsid w:val="00262362"/>
    <w:rsid w:val="00262ABA"/>
    <w:rsid w:val="00262DD4"/>
    <w:rsid w:val="002642DC"/>
    <w:rsid w:val="002644E0"/>
    <w:rsid w:val="00264C13"/>
    <w:rsid w:val="00264DC1"/>
    <w:rsid w:val="00264F4D"/>
    <w:rsid w:val="00265A63"/>
    <w:rsid w:val="00265C7F"/>
    <w:rsid w:val="00266413"/>
    <w:rsid w:val="002668C0"/>
    <w:rsid w:val="00266C2D"/>
    <w:rsid w:val="00266DD5"/>
    <w:rsid w:val="002670E5"/>
    <w:rsid w:val="00267397"/>
    <w:rsid w:val="002679E4"/>
    <w:rsid w:val="00267A9E"/>
    <w:rsid w:val="00270598"/>
    <w:rsid w:val="00270E78"/>
    <w:rsid w:val="00271123"/>
    <w:rsid w:val="00272605"/>
    <w:rsid w:val="002730D0"/>
    <w:rsid w:val="0027363B"/>
    <w:rsid w:val="00273AEC"/>
    <w:rsid w:val="00273B1C"/>
    <w:rsid w:val="002748E1"/>
    <w:rsid w:val="00276E12"/>
    <w:rsid w:val="002771E5"/>
    <w:rsid w:val="002775D3"/>
    <w:rsid w:val="0028024B"/>
    <w:rsid w:val="0028121D"/>
    <w:rsid w:val="00281230"/>
    <w:rsid w:val="00281951"/>
    <w:rsid w:val="0028217C"/>
    <w:rsid w:val="002822B4"/>
    <w:rsid w:val="002822C3"/>
    <w:rsid w:val="002825C7"/>
    <w:rsid w:val="00282CF9"/>
    <w:rsid w:val="00282D98"/>
    <w:rsid w:val="00283D7B"/>
    <w:rsid w:val="00284159"/>
    <w:rsid w:val="00284622"/>
    <w:rsid w:val="00284AD1"/>
    <w:rsid w:val="00285364"/>
    <w:rsid w:val="002858F8"/>
    <w:rsid w:val="0028603A"/>
    <w:rsid w:val="002861F7"/>
    <w:rsid w:val="00286593"/>
    <w:rsid w:val="00286995"/>
    <w:rsid w:val="00287095"/>
    <w:rsid w:val="00290352"/>
    <w:rsid w:val="00290B64"/>
    <w:rsid w:val="00290EDF"/>
    <w:rsid w:val="00291F57"/>
    <w:rsid w:val="00291F77"/>
    <w:rsid w:val="00292256"/>
    <w:rsid w:val="00292554"/>
    <w:rsid w:val="002934C1"/>
    <w:rsid w:val="00293582"/>
    <w:rsid w:val="00293BFE"/>
    <w:rsid w:val="00294032"/>
    <w:rsid w:val="00294475"/>
    <w:rsid w:val="00294632"/>
    <w:rsid w:val="00294A1E"/>
    <w:rsid w:val="00295A31"/>
    <w:rsid w:val="00296350"/>
    <w:rsid w:val="0029644D"/>
    <w:rsid w:val="0029713D"/>
    <w:rsid w:val="002972EA"/>
    <w:rsid w:val="0029737C"/>
    <w:rsid w:val="0029745E"/>
    <w:rsid w:val="002976D0"/>
    <w:rsid w:val="002A05BD"/>
    <w:rsid w:val="002A0A71"/>
    <w:rsid w:val="002A0D46"/>
    <w:rsid w:val="002A12E3"/>
    <w:rsid w:val="002A22CA"/>
    <w:rsid w:val="002A2414"/>
    <w:rsid w:val="002A277F"/>
    <w:rsid w:val="002A293F"/>
    <w:rsid w:val="002A4BDD"/>
    <w:rsid w:val="002A4E9F"/>
    <w:rsid w:val="002A4F39"/>
    <w:rsid w:val="002A58E2"/>
    <w:rsid w:val="002A6084"/>
    <w:rsid w:val="002A6173"/>
    <w:rsid w:val="002A6309"/>
    <w:rsid w:val="002B0092"/>
    <w:rsid w:val="002B0990"/>
    <w:rsid w:val="002B0E76"/>
    <w:rsid w:val="002B0EEE"/>
    <w:rsid w:val="002B10BB"/>
    <w:rsid w:val="002B187E"/>
    <w:rsid w:val="002B1CE9"/>
    <w:rsid w:val="002B1D3C"/>
    <w:rsid w:val="002B2156"/>
    <w:rsid w:val="002B2381"/>
    <w:rsid w:val="002B2FCA"/>
    <w:rsid w:val="002B34B6"/>
    <w:rsid w:val="002B3F27"/>
    <w:rsid w:val="002B47E5"/>
    <w:rsid w:val="002B54CD"/>
    <w:rsid w:val="002B5E71"/>
    <w:rsid w:val="002B61D0"/>
    <w:rsid w:val="002B6659"/>
    <w:rsid w:val="002B7775"/>
    <w:rsid w:val="002C1244"/>
    <w:rsid w:val="002C1350"/>
    <w:rsid w:val="002C19D7"/>
    <w:rsid w:val="002C19DF"/>
    <w:rsid w:val="002C2673"/>
    <w:rsid w:val="002C2831"/>
    <w:rsid w:val="002C2B2D"/>
    <w:rsid w:val="002C2CCF"/>
    <w:rsid w:val="002C312D"/>
    <w:rsid w:val="002C36F8"/>
    <w:rsid w:val="002C3BB0"/>
    <w:rsid w:val="002C3BDC"/>
    <w:rsid w:val="002C3CE0"/>
    <w:rsid w:val="002C3EC3"/>
    <w:rsid w:val="002C40F2"/>
    <w:rsid w:val="002C44FA"/>
    <w:rsid w:val="002C45DF"/>
    <w:rsid w:val="002C45E3"/>
    <w:rsid w:val="002C4CA2"/>
    <w:rsid w:val="002C5249"/>
    <w:rsid w:val="002C547D"/>
    <w:rsid w:val="002C595A"/>
    <w:rsid w:val="002C59B6"/>
    <w:rsid w:val="002C5CD0"/>
    <w:rsid w:val="002C5D18"/>
    <w:rsid w:val="002C5FE1"/>
    <w:rsid w:val="002C60C6"/>
    <w:rsid w:val="002C61C9"/>
    <w:rsid w:val="002C6626"/>
    <w:rsid w:val="002C6F30"/>
    <w:rsid w:val="002C6FEB"/>
    <w:rsid w:val="002C71A3"/>
    <w:rsid w:val="002C7287"/>
    <w:rsid w:val="002C7715"/>
    <w:rsid w:val="002C7CE3"/>
    <w:rsid w:val="002D008A"/>
    <w:rsid w:val="002D0093"/>
    <w:rsid w:val="002D0156"/>
    <w:rsid w:val="002D0753"/>
    <w:rsid w:val="002D0826"/>
    <w:rsid w:val="002D0E72"/>
    <w:rsid w:val="002D1B73"/>
    <w:rsid w:val="002D2851"/>
    <w:rsid w:val="002D3A8E"/>
    <w:rsid w:val="002D4A5F"/>
    <w:rsid w:val="002D5524"/>
    <w:rsid w:val="002D5556"/>
    <w:rsid w:val="002D569E"/>
    <w:rsid w:val="002D5D60"/>
    <w:rsid w:val="002D666E"/>
    <w:rsid w:val="002D67D4"/>
    <w:rsid w:val="002D6FC7"/>
    <w:rsid w:val="002D70FD"/>
    <w:rsid w:val="002D7331"/>
    <w:rsid w:val="002D741F"/>
    <w:rsid w:val="002D7765"/>
    <w:rsid w:val="002D7A58"/>
    <w:rsid w:val="002D7D9F"/>
    <w:rsid w:val="002E0755"/>
    <w:rsid w:val="002E1414"/>
    <w:rsid w:val="002E1717"/>
    <w:rsid w:val="002E1E49"/>
    <w:rsid w:val="002E25EA"/>
    <w:rsid w:val="002E2C54"/>
    <w:rsid w:val="002E2FAD"/>
    <w:rsid w:val="002E3170"/>
    <w:rsid w:val="002E3312"/>
    <w:rsid w:val="002E352E"/>
    <w:rsid w:val="002E5B10"/>
    <w:rsid w:val="002E7048"/>
    <w:rsid w:val="002E7163"/>
    <w:rsid w:val="002F01E4"/>
    <w:rsid w:val="002F0281"/>
    <w:rsid w:val="002F03BC"/>
    <w:rsid w:val="002F0980"/>
    <w:rsid w:val="002F0BD0"/>
    <w:rsid w:val="002F0DEF"/>
    <w:rsid w:val="002F11D3"/>
    <w:rsid w:val="002F1BA2"/>
    <w:rsid w:val="002F1F17"/>
    <w:rsid w:val="002F275F"/>
    <w:rsid w:val="002F2CA2"/>
    <w:rsid w:val="002F3773"/>
    <w:rsid w:val="002F47A9"/>
    <w:rsid w:val="002F50F5"/>
    <w:rsid w:val="002F5276"/>
    <w:rsid w:val="002F5D5F"/>
    <w:rsid w:val="002F6094"/>
    <w:rsid w:val="002F6216"/>
    <w:rsid w:val="002F69DE"/>
    <w:rsid w:val="002F6CA5"/>
    <w:rsid w:val="002F700F"/>
    <w:rsid w:val="002F71E7"/>
    <w:rsid w:val="002F752A"/>
    <w:rsid w:val="002F7F74"/>
    <w:rsid w:val="00300284"/>
    <w:rsid w:val="0030092E"/>
    <w:rsid w:val="00300F90"/>
    <w:rsid w:val="00301DD8"/>
    <w:rsid w:val="00301E24"/>
    <w:rsid w:val="0030209D"/>
    <w:rsid w:val="0030261A"/>
    <w:rsid w:val="00302808"/>
    <w:rsid w:val="00302E0C"/>
    <w:rsid w:val="00302F21"/>
    <w:rsid w:val="003033A7"/>
    <w:rsid w:val="003041C8"/>
    <w:rsid w:val="00304A34"/>
    <w:rsid w:val="00305DE2"/>
    <w:rsid w:val="0030619E"/>
    <w:rsid w:val="0030669E"/>
    <w:rsid w:val="003067C9"/>
    <w:rsid w:val="00307274"/>
    <w:rsid w:val="00307871"/>
    <w:rsid w:val="00311082"/>
    <w:rsid w:val="003113FB"/>
    <w:rsid w:val="003120E4"/>
    <w:rsid w:val="00312CAC"/>
    <w:rsid w:val="00313318"/>
    <w:rsid w:val="00313CB4"/>
    <w:rsid w:val="003146AB"/>
    <w:rsid w:val="00314BE4"/>
    <w:rsid w:val="003151A7"/>
    <w:rsid w:val="00315A09"/>
    <w:rsid w:val="00315D9E"/>
    <w:rsid w:val="00316DBE"/>
    <w:rsid w:val="00316F28"/>
    <w:rsid w:val="003170C1"/>
    <w:rsid w:val="003176AB"/>
    <w:rsid w:val="00317D7F"/>
    <w:rsid w:val="00320D7C"/>
    <w:rsid w:val="00321414"/>
    <w:rsid w:val="00321CF2"/>
    <w:rsid w:val="003225B0"/>
    <w:rsid w:val="00322655"/>
    <w:rsid w:val="00322ACC"/>
    <w:rsid w:val="00322C0C"/>
    <w:rsid w:val="00322EE1"/>
    <w:rsid w:val="00323444"/>
    <w:rsid w:val="00323527"/>
    <w:rsid w:val="00323B2D"/>
    <w:rsid w:val="00324116"/>
    <w:rsid w:val="00324933"/>
    <w:rsid w:val="00324A29"/>
    <w:rsid w:val="00325033"/>
    <w:rsid w:val="00325169"/>
    <w:rsid w:val="0032674A"/>
    <w:rsid w:val="00326C18"/>
    <w:rsid w:val="00326ECC"/>
    <w:rsid w:val="003272B1"/>
    <w:rsid w:val="003275F1"/>
    <w:rsid w:val="00327676"/>
    <w:rsid w:val="00330093"/>
    <w:rsid w:val="003301B5"/>
    <w:rsid w:val="003307CC"/>
    <w:rsid w:val="00330B8A"/>
    <w:rsid w:val="00331639"/>
    <w:rsid w:val="00331B0B"/>
    <w:rsid w:val="00331B8A"/>
    <w:rsid w:val="00331D04"/>
    <w:rsid w:val="00332BB7"/>
    <w:rsid w:val="00332D85"/>
    <w:rsid w:val="0033510E"/>
    <w:rsid w:val="00335855"/>
    <w:rsid w:val="003359C6"/>
    <w:rsid w:val="00335ADE"/>
    <w:rsid w:val="00335E70"/>
    <w:rsid w:val="0033623F"/>
    <w:rsid w:val="00336F22"/>
    <w:rsid w:val="00337220"/>
    <w:rsid w:val="003379F1"/>
    <w:rsid w:val="00337DF3"/>
    <w:rsid w:val="00337ECE"/>
    <w:rsid w:val="00337FAA"/>
    <w:rsid w:val="0033B7B9"/>
    <w:rsid w:val="003401E4"/>
    <w:rsid w:val="00341A59"/>
    <w:rsid w:val="00341DA7"/>
    <w:rsid w:val="0034274E"/>
    <w:rsid w:val="00342B92"/>
    <w:rsid w:val="0034338B"/>
    <w:rsid w:val="003439BC"/>
    <w:rsid w:val="003439BD"/>
    <w:rsid w:val="003464FB"/>
    <w:rsid w:val="003465F1"/>
    <w:rsid w:val="00346774"/>
    <w:rsid w:val="00346973"/>
    <w:rsid w:val="00347C04"/>
    <w:rsid w:val="00347D6E"/>
    <w:rsid w:val="003483B9"/>
    <w:rsid w:val="0035125A"/>
    <w:rsid w:val="003518BD"/>
    <w:rsid w:val="003518D3"/>
    <w:rsid w:val="00351DF0"/>
    <w:rsid w:val="0035256E"/>
    <w:rsid w:val="00353439"/>
    <w:rsid w:val="003538F9"/>
    <w:rsid w:val="00354849"/>
    <w:rsid w:val="00354CAF"/>
    <w:rsid w:val="0035526E"/>
    <w:rsid w:val="003562D6"/>
    <w:rsid w:val="00356670"/>
    <w:rsid w:val="003569AC"/>
    <w:rsid w:val="00357101"/>
    <w:rsid w:val="00357E2A"/>
    <w:rsid w:val="00360C60"/>
    <w:rsid w:val="00361A18"/>
    <w:rsid w:val="003620DD"/>
    <w:rsid w:val="00362169"/>
    <w:rsid w:val="003623CF"/>
    <w:rsid w:val="0036276E"/>
    <w:rsid w:val="00363ACA"/>
    <w:rsid w:val="003645DB"/>
    <w:rsid w:val="003647DE"/>
    <w:rsid w:val="00364831"/>
    <w:rsid w:val="00364C66"/>
    <w:rsid w:val="003651AD"/>
    <w:rsid w:val="00365586"/>
    <w:rsid w:val="00365A1E"/>
    <w:rsid w:val="00365CDF"/>
    <w:rsid w:val="003675B7"/>
    <w:rsid w:val="00367C20"/>
    <w:rsid w:val="003708F5"/>
    <w:rsid w:val="0037095B"/>
    <w:rsid w:val="00370BBA"/>
    <w:rsid w:val="003710E2"/>
    <w:rsid w:val="0037163F"/>
    <w:rsid w:val="00371712"/>
    <w:rsid w:val="00371894"/>
    <w:rsid w:val="00371F0B"/>
    <w:rsid w:val="00371F88"/>
    <w:rsid w:val="00372300"/>
    <w:rsid w:val="00372399"/>
    <w:rsid w:val="00372866"/>
    <w:rsid w:val="00372FE0"/>
    <w:rsid w:val="003734A6"/>
    <w:rsid w:val="00373C77"/>
    <w:rsid w:val="00373E5B"/>
    <w:rsid w:val="00374199"/>
    <w:rsid w:val="00374C08"/>
    <w:rsid w:val="00375A7E"/>
    <w:rsid w:val="00376883"/>
    <w:rsid w:val="003768FA"/>
    <w:rsid w:val="0037693A"/>
    <w:rsid w:val="0037733D"/>
    <w:rsid w:val="00377478"/>
    <w:rsid w:val="00380005"/>
    <w:rsid w:val="0038019F"/>
    <w:rsid w:val="003802F1"/>
    <w:rsid w:val="00381BB1"/>
    <w:rsid w:val="00382785"/>
    <w:rsid w:val="0038423F"/>
    <w:rsid w:val="0038435D"/>
    <w:rsid w:val="00384E4B"/>
    <w:rsid w:val="00385823"/>
    <w:rsid w:val="003866E7"/>
    <w:rsid w:val="003869C7"/>
    <w:rsid w:val="0038786F"/>
    <w:rsid w:val="00390E85"/>
    <w:rsid w:val="003913A7"/>
    <w:rsid w:val="00391BF6"/>
    <w:rsid w:val="00391F5D"/>
    <w:rsid w:val="00392BF1"/>
    <w:rsid w:val="00393FDD"/>
    <w:rsid w:val="0039468C"/>
    <w:rsid w:val="00394A0D"/>
    <w:rsid w:val="0039590E"/>
    <w:rsid w:val="00395EDF"/>
    <w:rsid w:val="003966C8"/>
    <w:rsid w:val="00397535"/>
    <w:rsid w:val="00397C18"/>
    <w:rsid w:val="00397C77"/>
    <w:rsid w:val="00397DB0"/>
    <w:rsid w:val="003A12CD"/>
    <w:rsid w:val="003A1B85"/>
    <w:rsid w:val="003A2582"/>
    <w:rsid w:val="003A2F78"/>
    <w:rsid w:val="003A2F7B"/>
    <w:rsid w:val="003A3377"/>
    <w:rsid w:val="003A33A8"/>
    <w:rsid w:val="003A34F4"/>
    <w:rsid w:val="003A399C"/>
    <w:rsid w:val="003A3DA8"/>
    <w:rsid w:val="003A5157"/>
    <w:rsid w:val="003A5A19"/>
    <w:rsid w:val="003A5F40"/>
    <w:rsid w:val="003A6130"/>
    <w:rsid w:val="003A6966"/>
    <w:rsid w:val="003A6A9B"/>
    <w:rsid w:val="003A6AE6"/>
    <w:rsid w:val="003A74D6"/>
    <w:rsid w:val="003A7679"/>
    <w:rsid w:val="003A76B6"/>
    <w:rsid w:val="003A7D26"/>
    <w:rsid w:val="003B00D1"/>
    <w:rsid w:val="003B044E"/>
    <w:rsid w:val="003B0A5B"/>
    <w:rsid w:val="003B0CD1"/>
    <w:rsid w:val="003B106C"/>
    <w:rsid w:val="003B10B8"/>
    <w:rsid w:val="003B14BD"/>
    <w:rsid w:val="003B1D42"/>
    <w:rsid w:val="003B1D51"/>
    <w:rsid w:val="003B20B7"/>
    <w:rsid w:val="003B2155"/>
    <w:rsid w:val="003B217F"/>
    <w:rsid w:val="003B2356"/>
    <w:rsid w:val="003B2386"/>
    <w:rsid w:val="003B241F"/>
    <w:rsid w:val="003B381B"/>
    <w:rsid w:val="003B4D36"/>
    <w:rsid w:val="003B5178"/>
    <w:rsid w:val="003B54AA"/>
    <w:rsid w:val="003B5A9D"/>
    <w:rsid w:val="003B60A1"/>
    <w:rsid w:val="003B6733"/>
    <w:rsid w:val="003B7B19"/>
    <w:rsid w:val="003C00F9"/>
    <w:rsid w:val="003C0179"/>
    <w:rsid w:val="003C0B13"/>
    <w:rsid w:val="003C0EC4"/>
    <w:rsid w:val="003C19A7"/>
    <w:rsid w:val="003C1A29"/>
    <w:rsid w:val="003C25F4"/>
    <w:rsid w:val="003C27E1"/>
    <w:rsid w:val="003C285E"/>
    <w:rsid w:val="003C2905"/>
    <w:rsid w:val="003C2A9A"/>
    <w:rsid w:val="003C2DD2"/>
    <w:rsid w:val="003C3DE3"/>
    <w:rsid w:val="003C41FF"/>
    <w:rsid w:val="003C44E7"/>
    <w:rsid w:val="003C612B"/>
    <w:rsid w:val="003C656F"/>
    <w:rsid w:val="003C65C6"/>
    <w:rsid w:val="003C6873"/>
    <w:rsid w:val="003C6A3D"/>
    <w:rsid w:val="003C6E21"/>
    <w:rsid w:val="003C6EEA"/>
    <w:rsid w:val="003C73F5"/>
    <w:rsid w:val="003C7B98"/>
    <w:rsid w:val="003C7C9E"/>
    <w:rsid w:val="003D0029"/>
    <w:rsid w:val="003D0090"/>
    <w:rsid w:val="003D05BE"/>
    <w:rsid w:val="003D0717"/>
    <w:rsid w:val="003D0878"/>
    <w:rsid w:val="003D0A95"/>
    <w:rsid w:val="003D0C9D"/>
    <w:rsid w:val="003D1029"/>
    <w:rsid w:val="003D1288"/>
    <w:rsid w:val="003D16EC"/>
    <w:rsid w:val="003D1BC3"/>
    <w:rsid w:val="003D255D"/>
    <w:rsid w:val="003D2798"/>
    <w:rsid w:val="003D2E44"/>
    <w:rsid w:val="003D2E5E"/>
    <w:rsid w:val="003D315F"/>
    <w:rsid w:val="003D331F"/>
    <w:rsid w:val="003D3499"/>
    <w:rsid w:val="003D35ED"/>
    <w:rsid w:val="003D3BB7"/>
    <w:rsid w:val="003D3BC6"/>
    <w:rsid w:val="003D3C03"/>
    <w:rsid w:val="003D3DB0"/>
    <w:rsid w:val="003D42AF"/>
    <w:rsid w:val="003D4AF1"/>
    <w:rsid w:val="003D5950"/>
    <w:rsid w:val="003D624B"/>
    <w:rsid w:val="003D6464"/>
    <w:rsid w:val="003D6A7A"/>
    <w:rsid w:val="003D7177"/>
    <w:rsid w:val="003D758B"/>
    <w:rsid w:val="003D7A3B"/>
    <w:rsid w:val="003DFFB1"/>
    <w:rsid w:val="003E0775"/>
    <w:rsid w:val="003E0FF6"/>
    <w:rsid w:val="003E111E"/>
    <w:rsid w:val="003E114E"/>
    <w:rsid w:val="003E147C"/>
    <w:rsid w:val="003E2953"/>
    <w:rsid w:val="003E2A41"/>
    <w:rsid w:val="003E31D6"/>
    <w:rsid w:val="003E3324"/>
    <w:rsid w:val="003E33D4"/>
    <w:rsid w:val="003E3BC9"/>
    <w:rsid w:val="003E42DA"/>
    <w:rsid w:val="003E4A7C"/>
    <w:rsid w:val="003E4B47"/>
    <w:rsid w:val="003E504D"/>
    <w:rsid w:val="003E55B6"/>
    <w:rsid w:val="003E5848"/>
    <w:rsid w:val="003E5C2E"/>
    <w:rsid w:val="003E6B4F"/>
    <w:rsid w:val="003E6CBD"/>
    <w:rsid w:val="003E71B2"/>
    <w:rsid w:val="003E72F5"/>
    <w:rsid w:val="003E7896"/>
    <w:rsid w:val="003E7BA7"/>
    <w:rsid w:val="003F02D4"/>
    <w:rsid w:val="003F03DC"/>
    <w:rsid w:val="003F0D22"/>
    <w:rsid w:val="003F0D92"/>
    <w:rsid w:val="003F141A"/>
    <w:rsid w:val="003F15EE"/>
    <w:rsid w:val="003F1B3A"/>
    <w:rsid w:val="003F2429"/>
    <w:rsid w:val="003F26C2"/>
    <w:rsid w:val="003F285A"/>
    <w:rsid w:val="003F2BC5"/>
    <w:rsid w:val="003F322A"/>
    <w:rsid w:val="003F347B"/>
    <w:rsid w:val="003F34EC"/>
    <w:rsid w:val="003F36CA"/>
    <w:rsid w:val="003F3717"/>
    <w:rsid w:val="003F4294"/>
    <w:rsid w:val="003F42B0"/>
    <w:rsid w:val="003F47B4"/>
    <w:rsid w:val="003F48EA"/>
    <w:rsid w:val="003F491A"/>
    <w:rsid w:val="003F51D8"/>
    <w:rsid w:val="003F6184"/>
    <w:rsid w:val="003F649B"/>
    <w:rsid w:val="003F68FA"/>
    <w:rsid w:val="003F6983"/>
    <w:rsid w:val="003F6BFB"/>
    <w:rsid w:val="003F7072"/>
    <w:rsid w:val="003F795E"/>
    <w:rsid w:val="00400ABB"/>
    <w:rsid w:val="00400ABC"/>
    <w:rsid w:val="00402361"/>
    <w:rsid w:val="00402393"/>
    <w:rsid w:val="00402854"/>
    <w:rsid w:val="00403040"/>
    <w:rsid w:val="004035B4"/>
    <w:rsid w:val="0040383E"/>
    <w:rsid w:val="00403D93"/>
    <w:rsid w:val="00403F1E"/>
    <w:rsid w:val="00404961"/>
    <w:rsid w:val="004051ED"/>
    <w:rsid w:val="00405D60"/>
    <w:rsid w:val="00405F2F"/>
    <w:rsid w:val="00406132"/>
    <w:rsid w:val="0040631C"/>
    <w:rsid w:val="00406B7B"/>
    <w:rsid w:val="00406D0A"/>
    <w:rsid w:val="00407B21"/>
    <w:rsid w:val="00407D37"/>
    <w:rsid w:val="00411005"/>
    <w:rsid w:val="00411421"/>
    <w:rsid w:val="004114E8"/>
    <w:rsid w:val="00411D8A"/>
    <w:rsid w:val="00411E4F"/>
    <w:rsid w:val="0041220D"/>
    <w:rsid w:val="00412416"/>
    <w:rsid w:val="004124D7"/>
    <w:rsid w:val="004127A2"/>
    <w:rsid w:val="0041280C"/>
    <w:rsid w:val="00412CC5"/>
    <w:rsid w:val="00412DDB"/>
    <w:rsid w:val="004138E4"/>
    <w:rsid w:val="00413992"/>
    <w:rsid w:val="00414BDD"/>
    <w:rsid w:val="00414CBA"/>
    <w:rsid w:val="00415361"/>
    <w:rsid w:val="0041545B"/>
    <w:rsid w:val="004155C4"/>
    <w:rsid w:val="00415CD2"/>
    <w:rsid w:val="00415DE6"/>
    <w:rsid w:val="00415F15"/>
    <w:rsid w:val="00416BC5"/>
    <w:rsid w:val="00417A17"/>
    <w:rsid w:val="00417A77"/>
    <w:rsid w:val="00417DAD"/>
    <w:rsid w:val="0042063F"/>
    <w:rsid w:val="0042076F"/>
    <w:rsid w:val="00420BDC"/>
    <w:rsid w:val="0042182E"/>
    <w:rsid w:val="004223AA"/>
    <w:rsid w:val="00422787"/>
    <w:rsid w:val="004236D6"/>
    <w:rsid w:val="00423C51"/>
    <w:rsid w:val="00423D37"/>
    <w:rsid w:val="00424837"/>
    <w:rsid w:val="004248F3"/>
    <w:rsid w:val="00425745"/>
    <w:rsid w:val="00426066"/>
    <w:rsid w:val="0042622A"/>
    <w:rsid w:val="00426674"/>
    <w:rsid w:val="00426D7E"/>
    <w:rsid w:val="0042700C"/>
    <w:rsid w:val="004275CA"/>
    <w:rsid w:val="00430D01"/>
    <w:rsid w:val="00432288"/>
    <w:rsid w:val="004322BF"/>
    <w:rsid w:val="004325F5"/>
    <w:rsid w:val="004326D1"/>
    <w:rsid w:val="00433AFA"/>
    <w:rsid w:val="00433D74"/>
    <w:rsid w:val="00434688"/>
    <w:rsid w:val="004353EC"/>
    <w:rsid w:val="004355AF"/>
    <w:rsid w:val="004356CC"/>
    <w:rsid w:val="00435F18"/>
    <w:rsid w:val="004362F1"/>
    <w:rsid w:val="004377B3"/>
    <w:rsid w:val="0043E0E3"/>
    <w:rsid w:val="00440211"/>
    <w:rsid w:val="004407AD"/>
    <w:rsid w:val="00440E2F"/>
    <w:rsid w:val="00441BCA"/>
    <w:rsid w:val="004420BE"/>
    <w:rsid w:val="004421CB"/>
    <w:rsid w:val="00442BC0"/>
    <w:rsid w:val="00444B60"/>
    <w:rsid w:val="00444C7C"/>
    <w:rsid w:val="00445678"/>
    <w:rsid w:val="00445842"/>
    <w:rsid w:val="004466DE"/>
    <w:rsid w:val="004472E7"/>
    <w:rsid w:val="004475DC"/>
    <w:rsid w:val="00450104"/>
    <w:rsid w:val="00450287"/>
    <w:rsid w:val="00450549"/>
    <w:rsid w:val="00450B5A"/>
    <w:rsid w:val="00450FAA"/>
    <w:rsid w:val="0045208E"/>
    <w:rsid w:val="00452F24"/>
    <w:rsid w:val="004543B1"/>
    <w:rsid w:val="004544DC"/>
    <w:rsid w:val="004545A6"/>
    <w:rsid w:val="00454964"/>
    <w:rsid w:val="00454CE0"/>
    <w:rsid w:val="00455E45"/>
    <w:rsid w:val="00455EFB"/>
    <w:rsid w:val="00455F3A"/>
    <w:rsid w:val="004560DE"/>
    <w:rsid w:val="00456BFD"/>
    <w:rsid w:val="00457DA1"/>
    <w:rsid w:val="00457FBE"/>
    <w:rsid w:val="0046033B"/>
    <w:rsid w:val="00460468"/>
    <w:rsid w:val="00461845"/>
    <w:rsid w:val="00461A17"/>
    <w:rsid w:val="00461D54"/>
    <w:rsid w:val="0046233C"/>
    <w:rsid w:val="004623B9"/>
    <w:rsid w:val="0046263D"/>
    <w:rsid w:val="0046336B"/>
    <w:rsid w:val="0046367E"/>
    <w:rsid w:val="00463F48"/>
    <w:rsid w:val="0046466E"/>
    <w:rsid w:val="004649B2"/>
    <w:rsid w:val="00464A23"/>
    <w:rsid w:val="00464F22"/>
    <w:rsid w:val="00465E70"/>
    <w:rsid w:val="00466575"/>
    <w:rsid w:val="00466B10"/>
    <w:rsid w:val="00467824"/>
    <w:rsid w:val="004704AF"/>
    <w:rsid w:val="004712EF"/>
    <w:rsid w:val="00471412"/>
    <w:rsid w:val="00471638"/>
    <w:rsid w:val="004716E3"/>
    <w:rsid w:val="004717C3"/>
    <w:rsid w:val="004718F1"/>
    <w:rsid w:val="00472820"/>
    <w:rsid w:val="00472CFE"/>
    <w:rsid w:val="00473D60"/>
    <w:rsid w:val="004748B6"/>
    <w:rsid w:val="004748D9"/>
    <w:rsid w:val="004749CD"/>
    <w:rsid w:val="00474A16"/>
    <w:rsid w:val="00474FB1"/>
    <w:rsid w:val="00475266"/>
    <w:rsid w:val="0047564F"/>
    <w:rsid w:val="0047578D"/>
    <w:rsid w:val="00475FB3"/>
    <w:rsid w:val="00476015"/>
    <w:rsid w:val="004761A1"/>
    <w:rsid w:val="00477B85"/>
    <w:rsid w:val="00477D1F"/>
    <w:rsid w:val="00477DCF"/>
    <w:rsid w:val="00480071"/>
    <w:rsid w:val="00480422"/>
    <w:rsid w:val="004808AE"/>
    <w:rsid w:val="0048145D"/>
    <w:rsid w:val="00481BBC"/>
    <w:rsid w:val="004823D2"/>
    <w:rsid w:val="00482454"/>
    <w:rsid w:val="00482455"/>
    <w:rsid w:val="00482760"/>
    <w:rsid w:val="00482B4E"/>
    <w:rsid w:val="0048314A"/>
    <w:rsid w:val="00483A1C"/>
    <w:rsid w:val="004840DF"/>
    <w:rsid w:val="0048484E"/>
    <w:rsid w:val="00485119"/>
    <w:rsid w:val="00486390"/>
    <w:rsid w:val="00486573"/>
    <w:rsid w:val="00486E36"/>
    <w:rsid w:val="00486FCB"/>
    <w:rsid w:val="004876A2"/>
    <w:rsid w:val="00490053"/>
    <w:rsid w:val="0049166A"/>
    <w:rsid w:val="004925A6"/>
    <w:rsid w:val="00492637"/>
    <w:rsid w:val="00492874"/>
    <w:rsid w:val="0049289F"/>
    <w:rsid w:val="00492AED"/>
    <w:rsid w:val="00492CDD"/>
    <w:rsid w:val="00492D44"/>
    <w:rsid w:val="00492D9F"/>
    <w:rsid w:val="00493595"/>
    <w:rsid w:val="00493B6F"/>
    <w:rsid w:val="00493FDC"/>
    <w:rsid w:val="004940B8"/>
    <w:rsid w:val="004941F3"/>
    <w:rsid w:val="0049507C"/>
    <w:rsid w:val="004954BE"/>
    <w:rsid w:val="004957A7"/>
    <w:rsid w:val="00495A6B"/>
    <w:rsid w:val="00495D17"/>
    <w:rsid w:val="004965C3"/>
    <w:rsid w:val="00496716"/>
    <w:rsid w:val="00497440"/>
    <w:rsid w:val="004A1358"/>
    <w:rsid w:val="004A23C9"/>
    <w:rsid w:val="004A2460"/>
    <w:rsid w:val="004A34E5"/>
    <w:rsid w:val="004A3D3F"/>
    <w:rsid w:val="004A45F1"/>
    <w:rsid w:val="004A483E"/>
    <w:rsid w:val="004A5407"/>
    <w:rsid w:val="004A593E"/>
    <w:rsid w:val="004A59CF"/>
    <w:rsid w:val="004A5A21"/>
    <w:rsid w:val="004A5E30"/>
    <w:rsid w:val="004A69BF"/>
    <w:rsid w:val="004A77FE"/>
    <w:rsid w:val="004A7965"/>
    <w:rsid w:val="004B207F"/>
    <w:rsid w:val="004B2ABE"/>
    <w:rsid w:val="004B316B"/>
    <w:rsid w:val="004B4B0E"/>
    <w:rsid w:val="004B4F03"/>
    <w:rsid w:val="004B52F4"/>
    <w:rsid w:val="004B710D"/>
    <w:rsid w:val="004B733C"/>
    <w:rsid w:val="004B75D2"/>
    <w:rsid w:val="004C02CA"/>
    <w:rsid w:val="004C0F91"/>
    <w:rsid w:val="004C32E6"/>
    <w:rsid w:val="004C3AFC"/>
    <w:rsid w:val="004C3F6B"/>
    <w:rsid w:val="004C41F3"/>
    <w:rsid w:val="004C4F9B"/>
    <w:rsid w:val="004C522A"/>
    <w:rsid w:val="004C542F"/>
    <w:rsid w:val="004C5876"/>
    <w:rsid w:val="004C6154"/>
    <w:rsid w:val="004C66BE"/>
    <w:rsid w:val="004C6D00"/>
    <w:rsid w:val="004C73CC"/>
    <w:rsid w:val="004C75E6"/>
    <w:rsid w:val="004D048A"/>
    <w:rsid w:val="004D056E"/>
    <w:rsid w:val="004D07A3"/>
    <w:rsid w:val="004D0D6B"/>
    <w:rsid w:val="004D1712"/>
    <w:rsid w:val="004D1B2D"/>
    <w:rsid w:val="004D1DD0"/>
    <w:rsid w:val="004D1F0B"/>
    <w:rsid w:val="004D21CA"/>
    <w:rsid w:val="004D2390"/>
    <w:rsid w:val="004D249A"/>
    <w:rsid w:val="004D2578"/>
    <w:rsid w:val="004D2733"/>
    <w:rsid w:val="004D27C9"/>
    <w:rsid w:val="004D27D7"/>
    <w:rsid w:val="004D2F84"/>
    <w:rsid w:val="004D327C"/>
    <w:rsid w:val="004D34C3"/>
    <w:rsid w:val="004D4893"/>
    <w:rsid w:val="004D5242"/>
    <w:rsid w:val="004D608E"/>
    <w:rsid w:val="004D7397"/>
    <w:rsid w:val="004D77EB"/>
    <w:rsid w:val="004E058B"/>
    <w:rsid w:val="004E0BBF"/>
    <w:rsid w:val="004E0CA7"/>
    <w:rsid w:val="004E13E4"/>
    <w:rsid w:val="004E1AF6"/>
    <w:rsid w:val="004E1F15"/>
    <w:rsid w:val="004E1F30"/>
    <w:rsid w:val="004E21E3"/>
    <w:rsid w:val="004E242F"/>
    <w:rsid w:val="004E2635"/>
    <w:rsid w:val="004E3A5F"/>
    <w:rsid w:val="004E5131"/>
    <w:rsid w:val="004E7876"/>
    <w:rsid w:val="004E7AF9"/>
    <w:rsid w:val="004E7DEF"/>
    <w:rsid w:val="004E7E92"/>
    <w:rsid w:val="004E7FEF"/>
    <w:rsid w:val="004F07F9"/>
    <w:rsid w:val="004F0C6D"/>
    <w:rsid w:val="004F0E2A"/>
    <w:rsid w:val="004F1B1B"/>
    <w:rsid w:val="004F33CC"/>
    <w:rsid w:val="004F485B"/>
    <w:rsid w:val="004F56D7"/>
    <w:rsid w:val="004F5A1F"/>
    <w:rsid w:val="004F6177"/>
    <w:rsid w:val="004F654C"/>
    <w:rsid w:val="004F6854"/>
    <w:rsid w:val="004F7276"/>
    <w:rsid w:val="004F7F1B"/>
    <w:rsid w:val="00500250"/>
    <w:rsid w:val="005003E1"/>
    <w:rsid w:val="0050071B"/>
    <w:rsid w:val="005008A9"/>
    <w:rsid w:val="005009B4"/>
    <w:rsid w:val="00500A22"/>
    <w:rsid w:val="00500A75"/>
    <w:rsid w:val="0050137A"/>
    <w:rsid w:val="00502892"/>
    <w:rsid w:val="00503ACB"/>
    <w:rsid w:val="00503F68"/>
    <w:rsid w:val="0050402C"/>
    <w:rsid w:val="00504BF1"/>
    <w:rsid w:val="00504DE8"/>
    <w:rsid w:val="00504F37"/>
    <w:rsid w:val="00505338"/>
    <w:rsid w:val="00505E3E"/>
    <w:rsid w:val="00506091"/>
    <w:rsid w:val="0050614E"/>
    <w:rsid w:val="0050640F"/>
    <w:rsid w:val="00506648"/>
    <w:rsid w:val="005073CA"/>
    <w:rsid w:val="005079F3"/>
    <w:rsid w:val="00507C70"/>
    <w:rsid w:val="0051056A"/>
    <w:rsid w:val="00510C1C"/>
    <w:rsid w:val="00510E4A"/>
    <w:rsid w:val="005116F5"/>
    <w:rsid w:val="005122A8"/>
    <w:rsid w:val="00512501"/>
    <w:rsid w:val="005128FE"/>
    <w:rsid w:val="00512C5A"/>
    <w:rsid w:val="00512FC0"/>
    <w:rsid w:val="005138C9"/>
    <w:rsid w:val="00513937"/>
    <w:rsid w:val="0051446B"/>
    <w:rsid w:val="005145C7"/>
    <w:rsid w:val="00514B5A"/>
    <w:rsid w:val="00515497"/>
    <w:rsid w:val="00515602"/>
    <w:rsid w:val="00515B93"/>
    <w:rsid w:val="00515E41"/>
    <w:rsid w:val="00515E8A"/>
    <w:rsid w:val="00517A62"/>
    <w:rsid w:val="00520599"/>
    <w:rsid w:val="00520724"/>
    <w:rsid w:val="00521455"/>
    <w:rsid w:val="00521EFB"/>
    <w:rsid w:val="00522CDC"/>
    <w:rsid w:val="00523D8F"/>
    <w:rsid w:val="00525501"/>
    <w:rsid w:val="0052567B"/>
    <w:rsid w:val="005259D2"/>
    <w:rsid w:val="00525F33"/>
    <w:rsid w:val="00526928"/>
    <w:rsid w:val="005269AA"/>
    <w:rsid w:val="00526F9F"/>
    <w:rsid w:val="00527021"/>
    <w:rsid w:val="0052E2EB"/>
    <w:rsid w:val="005300EF"/>
    <w:rsid w:val="005302F8"/>
    <w:rsid w:val="00530737"/>
    <w:rsid w:val="00530D8A"/>
    <w:rsid w:val="005317D5"/>
    <w:rsid w:val="005318FE"/>
    <w:rsid w:val="00531AD5"/>
    <w:rsid w:val="005323F0"/>
    <w:rsid w:val="00532B25"/>
    <w:rsid w:val="00532E40"/>
    <w:rsid w:val="005331A7"/>
    <w:rsid w:val="005332F9"/>
    <w:rsid w:val="005333E4"/>
    <w:rsid w:val="0053388C"/>
    <w:rsid w:val="00534220"/>
    <w:rsid w:val="005344F5"/>
    <w:rsid w:val="00534B4B"/>
    <w:rsid w:val="00534DDE"/>
    <w:rsid w:val="005352A0"/>
    <w:rsid w:val="00535AC9"/>
    <w:rsid w:val="00535C79"/>
    <w:rsid w:val="00536090"/>
    <w:rsid w:val="005360B2"/>
    <w:rsid w:val="00537956"/>
    <w:rsid w:val="00537F3A"/>
    <w:rsid w:val="00537F8B"/>
    <w:rsid w:val="00540504"/>
    <w:rsid w:val="00540868"/>
    <w:rsid w:val="00540B82"/>
    <w:rsid w:val="00540C57"/>
    <w:rsid w:val="00541896"/>
    <w:rsid w:val="00541F7E"/>
    <w:rsid w:val="00541FFA"/>
    <w:rsid w:val="0054321B"/>
    <w:rsid w:val="005436E4"/>
    <w:rsid w:val="00543BCD"/>
    <w:rsid w:val="005449AE"/>
    <w:rsid w:val="00544DC7"/>
    <w:rsid w:val="00545D97"/>
    <w:rsid w:val="00546A8D"/>
    <w:rsid w:val="005470D8"/>
    <w:rsid w:val="0054718A"/>
    <w:rsid w:val="00547E69"/>
    <w:rsid w:val="00550B34"/>
    <w:rsid w:val="00551241"/>
    <w:rsid w:val="00551A2B"/>
    <w:rsid w:val="00551D4A"/>
    <w:rsid w:val="00552066"/>
    <w:rsid w:val="00552165"/>
    <w:rsid w:val="00552744"/>
    <w:rsid w:val="00552775"/>
    <w:rsid w:val="00553093"/>
    <w:rsid w:val="0055381B"/>
    <w:rsid w:val="00553A0E"/>
    <w:rsid w:val="00554218"/>
    <w:rsid w:val="005548B3"/>
    <w:rsid w:val="00554ACE"/>
    <w:rsid w:val="005552F4"/>
    <w:rsid w:val="005558C8"/>
    <w:rsid w:val="00555B8C"/>
    <w:rsid w:val="00555C78"/>
    <w:rsid w:val="00555FF3"/>
    <w:rsid w:val="005561B6"/>
    <w:rsid w:val="005577BE"/>
    <w:rsid w:val="0055795C"/>
    <w:rsid w:val="00557AC6"/>
    <w:rsid w:val="00557D2F"/>
    <w:rsid w:val="00557DE0"/>
    <w:rsid w:val="00557EF6"/>
    <w:rsid w:val="0056056C"/>
    <w:rsid w:val="00560756"/>
    <w:rsid w:val="00562571"/>
    <w:rsid w:val="00562657"/>
    <w:rsid w:val="0056276D"/>
    <w:rsid w:val="0056294C"/>
    <w:rsid w:val="00562BB4"/>
    <w:rsid w:val="005633C7"/>
    <w:rsid w:val="0056342C"/>
    <w:rsid w:val="00563931"/>
    <w:rsid w:val="00563959"/>
    <w:rsid w:val="005639D1"/>
    <w:rsid w:val="0056433E"/>
    <w:rsid w:val="00564597"/>
    <w:rsid w:val="00564BEF"/>
    <w:rsid w:val="005655EB"/>
    <w:rsid w:val="00565B02"/>
    <w:rsid w:val="00565CA2"/>
    <w:rsid w:val="00565CE8"/>
    <w:rsid w:val="00565FEF"/>
    <w:rsid w:val="00566E65"/>
    <w:rsid w:val="00567A58"/>
    <w:rsid w:val="00567DC7"/>
    <w:rsid w:val="00570A94"/>
    <w:rsid w:val="00570AAD"/>
    <w:rsid w:val="00571668"/>
    <w:rsid w:val="00571A03"/>
    <w:rsid w:val="00571DCD"/>
    <w:rsid w:val="00572861"/>
    <w:rsid w:val="00572C13"/>
    <w:rsid w:val="00572D75"/>
    <w:rsid w:val="00572DB5"/>
    <w:rsid w:val="00573601"/>
    <w:rsid w:val="0057455B"/>
    <w:rsid w:val="00574D2F"/>
    <w:rsid w:val="00574D7E"/>
    <w:rsid w:val="00575B7B"/>
    <w:rsid w:val="00575B95"/>
    <w:rsid w:val="00575CC6"/>
    <w:rsid w:val="00575F2F"/>
    <w:rsid w:val="005763C2"/>
    <w:rsid w:val="005767E2"/>
    <w:rsid w:val="005772C1"/>
    <w:rsid w:val="005773F7"/>
    <w:rsid w:val="00577563"/>
    <w:rsid w:val="00577E0D"/>
    <w:rsid w:val="005803DD"/>
    <w:rsid w:val="0058053E"/>
    <w:rsid w:val="00580E2A"/>
    <w:rsid w:val="00581272"/>
    <w:rsid w:val="00582080"/>
    <w:rsid w:val="005825DF"/>
    <w:rsid w:val="00582D37"/>
    <w:rsid w:val="0058358B"/>
    <w:rsid w:val="005840D2"/>
    <w:rsid w:val="00584791"/>
    <w:rsid w:val="00584DE7"/>
    <w:rsid w:val="00584F3B"/>
    <w:rsid w:val="00585871"/>
    <w:rsid w:val="00585B6E"/>
    <w:rsid w:val="00586B20"/>
    <w:rsid w:val="00586CFD"/>
    <w:rsid w:val="005871AF"/>
    <w:rsid w:val="0058760B"/>
    <w:rsid w:val="00587BB2"/>
    <w:rsid w:val="00590274"/>
    <w:rsid w:val="00590479"/>
    <w:rsid w:val="00590906"/>
    <w:rsid w:val="00590FA3"/>
    <w:rsid w:val="005910E5"/>
    <w:rsid w:val="00591657"/>
    <w:rsid w:val="00591E1F"/>
    <w:rsid w:val="00591F0C"/>
    <w:rsid w:val="00592823"/>
    <w:rsid w:val="00592B1D"/>
    <w:rsid w:val="00593BD5"/>
    <w:rsid w:val="00593ED4"/>
    <w:rsid w:val="00594113"/>
    <w:rsid w:val="0059450A"/>
    <w:rsid w:val="005949CC"/>
    <w:rsid w:val="00594E61"/>
    <w:rsid w:val="00595163"/>
    <w:rsid w:val="0059638D"/>
    <w:rsid w:val="00596EBA"/>
    <w:rsid w:val="00596FF6"/>
    <w:rsid w:val="005973A4"/>
    <w:rsid w:val="005A0049"/>
    <w:rsid w:val="005A02D8"/>
    <w:rsid w:val="005A0941"/>
    <w:rsid w:val="005A0C6D"/>
    <w:rsid w:val="005A0ED0"/>
    <w:rsid w:val="005A143B"/>
    <w:rsid w:val="005A1456"/>
    <w:rsid w:val="005A192C"/>
    <w:rsid w:val="005A1C1C"/>
    <w:rsid w:val="005A1D94"/>
    <w:rsid w:val="005A24E5"/>
    <w:rsid w:val="005A378D"/>
    <w:rsid w:val="005A38D4"/>
    <w:rsid w:val="005A40B3"/>
    <w:rsid w:val="005A54B0"/>
    <w:rsid w:val="005A54D5"/>
    <w:rsid w:val="005A76CB"/>
    <w:rsid w:val="005A7B53"/>
    <w:rsid w:val="005A7D13"/>
    <w:rsid w:val="005A7EEF"/>
    <w:rsid w:val="005A7FFC"/>
    <w:rsid w:val="005B0CED"/>
    <w:rsid w:val="005B1424"/>
    <w:rsid w:val="005B1E14"/>
    <w:rsid w:val="005B2A66"/>
    <w:rsid w:val="005B2C13"/>
    <w:rsid w:val="005B32C0"/>
    <w:rsid w:val="005B3935"/>
    <w:rsid w:val="005B4119"/>
    <w:rsid w:val="005B47A1"/>
    <w:rsid w:val="005B4B42"/>
    <w:rsid w:val="005B4BD8"/>
    <w:rsid w:val="005B4E9D"/>
    <w:rsid w:val="005B525B"/>
    <w:rsid w:val="005B52B9"/>
    <w:rsid w:val="005B58DD"/>
    <w:rsid w:val="005B5D63"/>
    <w:rsid w:val="005B5DCF"/>
    <w:rsid w:val="005B66A4"/>
    <w:rsid w:val="005B71DF"/>
    <w:rsid w:val="005B7243"/>
    <w:rsid w:val="005B7739"/>
    <w:rsid w:val="005C0F8C"/>
    <w:rsid w:val="005C383F"/>
    <w:rsid w:val="005C3A2A"/>
    <w:rsid w:val="005C476B"/>
    <w:rsid w:val="005C4DC8"/>
    <w:rsid w:val="005C4E76"/>
    <w:rsid w:val="005C4F71"/>
    <w:rsid w:val="005C5A9D"/>
    <w:rsid w:val="005C5B4C"/>
    <w:rsid w:val="005C5D52"/>
    <w:rsid w:val="005C6A1E"/>
    <w:rsid w:val="005C6E5C"/>
    <w:rsid w:val="005C75DD"/>
    <w:rsid w:val="005C7717"/>
    <w:rsid w:val="005D05AA"/>
    <w:rsid w:val="005D0F82"/>
    <w:rsid w:val="005D1ACB"/>
    <w:rsid w:val="005D22E2"/>
    <w:rsid w:val="005D276D"/>
    <w:rsid w:val="005D2DF6"/>
    <w:rsid w:val="005D376B"/>
    <w:rsid w:val="005D3B49"/>
    <w:rsid w:val="005D4A84"/>
    <w:rsid w:val="005D4B45"/>
    <w:rsid w:val="005D4E15"/>
    <w:rsid w:val="005D4EE3"/>
    <w:rsid w:val="005D5E8A"/>
    <w:rsid w:val="005D6126"/>
    <w:rsid w:val="005D6132"/>
    <w:rsid w:val="005D6153"/>
    <w:rsid w:val="005D6F2B"/>
    <w:rsid w:val="005E027C"/>
    <w:rsid w:val="005E14E7"/>
    <w:rsid w:val="005E1599"/>
    <w:rsid w:val="005E1734"/>
    <w:rsid w:val="005E2F5E"/>
    <w:rsid w:val="005E3BD2"/>
    <w:rsid w:val="005E3C1B"/>
    <w:rsid w:val="005E412C"/>
    <w:rsid w:val="005E57C0"/>
    <w:rsid w:val="005E59F3"/>
    <w:rsid w:val="005E5A3C"/>
    <w:rsid w:val="005E5D4F"/>
    <w:rsid w:val="005E5F49"/>
    <w:rsid w:val="005E637A"/>
    <w:rsid w:val="005E6394"/>
    <w:rsid w:val="005E6481"/>
    <w:rsid w:val="005E64CB"/>
    <w:rsid w:val="005E65DF"/>
    <w:rsid w:val="005E680D"/>
    <w:rsid w:val="005E6DE8"/>
    <w:rsid w:val="005E6E3B"/>
    <w:rsid w:val="005E7173"/>
    <w:rsid w:val="005E7182"/>
    <w:rsid w:val="005E725B"/>
    <w:rsid w:val="005E75F2"/>
    <w:rsid w:val="005E77F5"/>
    <w:rsid w:val="005E7C9A"/>
    <w:rsid w:val="005F07CB"/>
    <w:rsid w:val="005F089A"/>
    <w:rsid w:val="005F13EB"/>
    <w:rsid w:val="005F1621"/>
    <w:rsid w:val="005F1C82"/>
    <w:rsid w:val="005F1FCF"/>
    <w:rsid w:val="005F2AD1"/>
    <w:rsid w:val="005F2E19"/>
    <w:rsid w:val="005F3B20"/>
    <w:rsid w:val="005F4722"/>
    <w:rsid w:val="005F4A69"/>
    <w:rsid w:val="005F4C4A"/>
    <w:rsid w:val="005F55F0"/>
    <w:rsid w:val="005F5761"/>
    <w:rsid w:val="005F67C8"/>
    <w:rsid w:val="005F7584"/>
    <w:rsid w:val="005F7653"/>
    <w:rsid w:val="00600116"/>
    <w:rsid w:val="00600537"/>
    <w:rsid w:val="006017D4"/>
    <w:rsid w:val="00601C39"/>
    <w:rsid w:val="006021A4"/>
    <w:rsid w:val="00602350"/>
    <w:rsid w:val="006036EA"/>
    <w:rsid w:val="006046BC"/>
    <w:rsid w:val="0060495D"/>
    <w:rsid w:val="006052DA"/>
    <w:rsid w:val="0060576E"/>
    <w:rsid w:val="00605F0C"/>
    <w:rsid w:val="00605FA7"/>
    <w:rsid w:val="006061CA"/>
    <w:rsid w:val="006062C9"/>
    <w:rsid w:val="00606699"/>
    <w:rsid w:val="006067AE"/>
    <w:rsid w:val="0060729D"/>
    <w:rsid w:val="006074EF"/>
    <w:rsid w:val="0061021F"/>
    <w:rsid w:val="00610411"/>
    <w:rsid w:val="006105CB"/>
    <w:rsid w:val="00610B06"/>
    <w:rsid w:val="0061140E"/>
    <w:rsid w:val="00611CCA"/>
    <w:rsid w:val="00614684"/>
    <w:rsid w:val="006152A4"/>
    <w:rsid w:val="00616010"/>
    <w:rsid w:val="00616D2C"/>
    <w:rsid w:val="006202DB"/>
    <w:rsid w:val="00620D31"/>
    <w:rsid w:val="006216DF"/>
    <w:rsid w:val="006223C7"/>
    <w:rsid w:val="00622675"/>
    <w:rsid w:val="00622B4A"/>
    <w:rsid w:val="00624246"/>
    <w:rsid w:val="006244BF"/>
    <w:rsid w:val="00624635"/>
    <w:rsid w:val="0062501B"/>
    <w:rsid w:val="006259D5"/>
    <w:rsid w:val="0062609E"/>
    <w:rsid w:val="0062664F"/>
    <w:rsid w:val="006267AD"/>
    <w:rsid w:val="00626DFB"/>
    <w:rsid w:val="006272C7"/>
    <w:rsid w:val="00627D6E"/>
    <w:rsid w:val="00630B94"/>
    <w:rsid w:val="00630EB5"/>
    <w:rsid w:val="00631359"/>
    <w:rsid w:val="00631F07"/>
    <w:rsid w:val="00631F12"/>
    <w:rsid w:val="00631FC1"/>
    <w:rsid w:val="0063223C"/>
    <w:rsid w:val="006325FF"/>
    <w:rsid w:val="00632F37"/>
    <w:rsid w:val="006338BC"/>
    <w:rsid w:val="00634278"/>
    <w:rsid w:val="0063585E"/>
    <w:rsid w:val="00636405"/>
    <w:rsid w:val="00636700"/>
    <w:rsid w:val="006373D9"/>
    <w:rsid w:val="006378F9"/>
    <w:rsid w:val="0063F3EC"/>
    <w:rsid w:val="00640278"/>
    <w:rsid w:val="00640A2F"/>
    <w:rsid w:val="00640C1B"/>
    <w:rsid w:val="00640D2A"/>
    <w:rsid w:val="00640D7F"/>
    <w:rsid w:val="00640EBA"/>
    <w:rsid w:val="00641F09"/>
    <w:rsid w:val="00642304"/>
    <w:rsid w:val="00642D27"/>
    <w:rsid w:val="00643174"/>
    <w:rsid w:val="006432CB"/>
    <w:rsid w:val="00643C7E"/>
    <w:rsid w:val="0064447E"/>
    <w:rsid w:val="00645959"/>
    <w:rsid w:val="00645A72"/>
    <w:rsid w:val="00645BE3"/>
    <w:rsid w:val="00646626"/>
    <w:rsid w:val="00646C19"/>
    <w:rsid w:val="00647A44"/>
    <w:rsid w:val="00647B94"/>
    <w:rsid w:val="0065091F"/>
    <w:rsid w:val="00651302"/>
    <w:rsid w:val="00651AB5"/>
    <w:rsid w:val="00651BDD"/>
    <w:rsid w:val="006524F9"/>
    <w:rsid w:val="006529CB"/>
    <w:rsid w:val="00652E02"/>
    <w:rsid w:val="00653185"/>
    <w:rsid w:val="006534E7"/>
    <w:rsid w:val="0065357E"/>
    <w:rsid w:val="0065430F"/>
    <w:rsid w:val="00654535"/>
    <w:rsid w:val="00654A40"/>
    <w:rsid w:val="00654AAF"/>
    <w:rsid w:val="00654BD8"/>
    <w:rsid w:val="0065579E"/>
    <w:rsid w:val="00655CA5"/>
    <w:rsid w:val="00655EBE"/>
    <w:rsid w:val="00656170"/>
    <w:rsid w:val="0065629B"/>
    <w:rsid w:val="006564C1"/>
    <w:rsid w:val="00657B06"/>
    <w:rsid w:val="00657CF1"/>
    <w:rsid w:val="006601CA"/>
    <w:rsid w:val="006603FD"/>
    <w:rsid w:val="00660466"/>
    <w:rsid w:val="00660711"/>
    <w:rsid w:val="006607FE"/>
    <w:rsid w:val="00660CB9"/>
    <w:rsid w:val="006613A8"/>
    <w:rsid w:val="00662ED9"/>
    <w:rsid w:val="00663937"/>
    <w:rsid w:val="00663C64"/>
    <w:rsid w:val="00663D35"/>
    <w:rsid w:val="00663E45"/>
    <w:rsid w:val="00664517"/>
    <w:rsid w:val="006649A9"/>
    <w:rsid w:val="00665155"/>
    <w:rsid w:val="0066538E"/>
    <w:rsid w:val="00665AAD"/>
    <w:rsid w:val="00665C27"/>
    <w:rsid w:val="00665F6F"/>
    <w:rsid w:val="00667198"/>
    <w:rsid w:val="00667ABB"/>
    <w:rsid w:val="00670E74"/>
    <w:rsid w:val="00671160"/>
    <w:rsid w:val="0067176E"/>
    <w:rsid w:val="0067197B"/>
    <w:rsid w:val="00672070"/>
    <w:rsid w:val="006722B7"/>
    <w:rsid w:val="00672F7A"/>
    <w:rsid w:val="00673106"/>
    <w:rsid w:val="00673A17"/>
    <w:rsid w:val="00673BDD"/>
    <w:rsid w:val="006748FC"/>
    <w:rsid w:val="00674C0D"/>
    <w:rsid w:val="00675305"/>
    <w:rsid w:val="0067599D"/>
    <w:rsid w:val="00675C03"/>
    <w:rsid w:val="00675F5A"/>
    <w:rsid w:val="006762D9"/>
    <w:rsid w:val="00677532"/>
    <w:rsid w:val="00677BB4"/>
    <w:rsid w:val="00677C9D"/>
    <w:rsid w:val="00677D7B"/>
    <w:rsid w:val="00681BC1"/>
    <w:rsid w:val="0068305C"/>
    <w:rsid w:val="006833BF"/>
    <w:rsid w:val="00683517"/>
    <w:rsid w:val="00683DD3"/>
    <w:rsid w:val="00684286"/>
    <w:rsid w:val="00684415"/>
    <w:rsid w:val="006846B1"/>
    <w:rsid w:val="0068547F"/>
    <w:rsid w:val="00685A8E"/>
    <w:rsid w:val="00685B5B"/>
    <w:rsid w:val="0068639B"/>
    <w:rsid w:val="00686B26"/>
    <w:rsid w:val="00686D02"/>
    <w:rsid w:val="00690B71"/>
    <w:rsid w:val="006914B8"/>
    <w:rsid w:val="0069196A"/>
    <w:rsid w:val="00692D63"/>
    <w:rsid w:val="00693DE1"/>
    <w:rsid w:val="006941DE"/>
    <w:rsid w:val="006943A3"/>
    <w:rsid w:val="00694508"/>
    <w:rsid w:val="00696073"/>
    <w:rsid w:val="00696A36"/>
    <w:rsid w:val="006A000E"/>
    <w:rsid w:val="006A0BEC"/>
    <w:rsid w:val="006A0C58"/>
    <w:rsid w:val="006A0DF4"/>
    <w:rsid w:val="006A1611"/>
    <w:rsid w:val="006A1B95"/>
    <w:rsid w:val="006A20EB"/>
    <w:rsid w:val="006A2676"/>
    <w:rsid w:val="006A2FC2"/>
    <w:rsid w:val="006A335E"/>
    <w:rsid w:val="006A4A2C"/>
    <w:rsid w:val="006A4B79"/>
    <w:rsid w:val="006A51CA"/>
    <w:rsid w:val="006A59AB"/>
    <w:rsid w:val="006A6C0E"/>
    <w:rsid w:val="006A7156"/>
    <w:rsid w:val="006A7AB1"/>
    <w:rsid w:val="006A7E12"/>
    <w:rsid w:val="006A7E2B"/>
    <w:rsid w:val="006B04A6"/>
    <w:rsid w:val="006B18DC"/>
    <w:rsid w:val="006B1AA2"/>
    <w:rsid w:val="006B24B2"/>
    <w:rsid w:val="006B266B"/>
    <w:rsid w:val="006B26CA"/>
    <w:rsid w:val="006B3988"/>
    <w:rsid w:val="006B3B4A"/>
    <w:rsid w:val="006B3B9E"/>
    <w:rsid w:val="006B4223"/>
    <w:rsid w:val="006B433A"/>
    <w:rsid w:val="006B4395"/>
    <w:rsid w:val="006B4419"/>
    <w:rsid w:val="006B45C6"/>
    <w:rsid w:val="006B4959"/>
    <w:rsid w:val="006B561F"/>
    <w:rsid w:val="006B56A0"/>
    <w:rsid w:val="006B5A9F"/>
    <w:rsid w:val="006B602B"/>
    <w:rsid w:val="006B60A0"/>
    <w:rsid w:val="006B6725"/>
    <w:rsid w:val="006B6B9E"/>
    <w:rsid w:val="006B6C95"/>
    <w:rsid w:val="006B6E32"/>
    <w:rsid w:val="006B6FD4"/>
    <w:rsid w:val="006B7C19"/>
    <w:rsid w:val="006B7D7B"/>
    <w:rsid w:val="006B7F7F"/>
    <w:rsid w:val="006B7F9B"/>
    <w:rsid w:val="006C0866"/>
    <w:rsid w:val="006C16E9"/>
    <w:rsid w:val="006C1CA5"/>
    <w:rsid w:val="006C1CE1"/>
    <w:rsid w:val="006C1F67"/>
    <w:rsid w:val="006C3310"/>
    <w:rsid w:val="006C39EE"/>
    <w:rsid w:val="006C3CBA"/>
    <w:rsid w:val="006C4365"/>
    <w:rsid w:val="006C468F"/>
    <w:rsid w:val="006C5408"/>
    <w:rsid w:val="006C57BE"/>
    <w:rsid w:val="006D0659"/>
    <w:rsid w:val="006D06C2"/>
    <w:rsid w:val="006D0817"/>
    <w:rsid w:val="006D0A0B"/>
    <w:rsid w:val="006D1314"/>
    <w:rsid w:val="006D220F"/>
    <w:rsid w:val="006D2271"/>
    <w:rsid w:val="006D26F2"/>
    <w:rsid w:val="006D2EC7"/>
    <w:rsid w:val="006D32B3"/>
    <w:rsid w:val="006D3B7F"/>
    <w:rsid w:val="006D3FF5"/>
    <w:rsid w:val="006D4945"/>
    <w:rsid w:val="006D6BE7"/>
    <w:rsid w:val="006D6D1F"/>
    <w:rsid w:val="006D6DB7"/>
    <w:rsid w:val="006D724A"/>
    <w:rsid w:val="006D7542"/>
    <w:rsid w:val="006D7DA3"/>
    <w:rsid w:val="006E04B8"/>
    <w:rsid w:val="006E06AB"/>
    <w:rsid w:val="006E0753"/>
    <w:rsid w:val="006E0A89"/>
    <w:rsid w:val="006E0BAC"/>
    <w:rsid w:val="006E1789"/>
    <w:rsid w:val="006E1A06"/>
    <w:rsid w:val="006E1D34"/>
    <w:rsid w:val="006E2D13"/>
    <w:rsid w:val="006E465D"/>
    <w:rsid w:val="006E4832"/>
    <w:rsid w:val="006E4A1B"/>
    <w:rsid w:val="006E4C3B"/>
    <w:rsid w:val="006E4E51"/>
    <w:rsid w:val="006E5241"/>
    <w:rsid w:val="006E5B39"/>
    <w:rsid w:val="006E5DA1"/>
    <w:rsid w:val="006E6146"/>
    <w:rsid w:val="006E671B"/>
    <w:rsid w:val="006E6D44"/>
    <w:rsid w:val="006E752E"/>
    <w:rsid w:val="006E7BB0"/>
    <w:rsid w:val="006F040B"/>
    <w:rsid w:val="006F0685"/>
    <w:rsid w:val="006F19A9"/>
    <w:rsid w:val="006F21C8"/>
    <w:rsid w:val="006F2A6C"/>
    <w:rsid w:val="006F3A5D"/>
    <w:rsid w:val="006F3CFB"/>
    <w:rsid w:val="006F3DC0"/>
    <w:rsid w:val="006F4420"/>
    <w:rsid w:val="006F44D2"/>
    <w:rsid w:val="006F5012"/>
    <w:rsid w:val="006F5263"/>
    <w:rsid w:val="006F531D"/>
    <w:rsid w:val="006F5BCB"/>
    <w:rsid w:val="006F636A"/>
    <w:rsid w:val="006F7565"/>
    <w:rsid w:val="006F7567"/>
    <w:rsid w:val="006F7E1A"/>
    <w:rsid w:val="00700072"/>
    <w:rsid w:val="0070043A"/>
    <w:rsid w:val="00700441"/>
    <w:rsid w:val="0070058B"/>
    <w:rsid w:val="00700860"/>
    <w:rsid w:val="00700D1E"/>
    <w:rsid w:val="00700DBC"/>
    <w:rsid w:val="00700DE3"/>
    <w:rsid w:val="007015C7"/>
    <w:rsid w:val="00701C61"/>
    <w:rsid w:val="00702552"/>
    <w:rsid w:val="0070366D"/>
    <w:rsid w:val="00704141"/>
    <w:rsid w:val="00704297"/>
    <w:rsid w:val="00704AA1"/>
    <w:rsid w:val="00704D8F"/>
    <w:rsid w:val="00704F0F"/>
    <w:rsid w:val="007051AB"/>
    <w:rsid w:val="007056A3"/>
    <w:rsid w:val="00707002"/>
    <w:rsid w:val="00707B1E"/>
    <w:rsid w:val="00707FC3"/>
    <w:rsid w:val="00710316"/>
    <w:rsid w:val="00710DF5"/>
    <w:rsid w:val="00711004"/>
    <w:rsid w:val="007114EC"/>
    <w:rsid w:val="00713BD4"/>
    <w:rsid w:val="00713DEE"/>
    <w:rsid w:val="007142E6"/>
    <w:rsid w:val="007147D5"/>
    <w:rsid w:val="00714903"/>
    <w:rsid w:val="0071494C"/>
    <w:rsid w:val="00716026"/>
    <w:rsid w:val="0072150B"/>
    <w:rsid w:val="00721887"/>
    <w:rsid w:val="00721B50"/>
    <w:rsid w:val="00722134"/>
    <w:rsid w:val="0072232B"/>
    <w:rsid w:val="007228FE"/>
    <w:rsid w:val="00722A8A"/>
    <w:rsid w:val="00722EB3"/>
    <w:rsid w:val="00723977"/>
    <w:rsid w:val="0072433C"/>
    <w:rsid w:val="00724760"/>
    <w:rsid w:val="00724A5C"/>
    <w:rsid w:val="00724AFA"/>
    <w:rsid w:val="00724CF2"/>
    <w:rsid w:val="007254C4"/>
    <w:rsid w:val="00725CBE"/>
    <w:rsid w:val="00725D6B"/>
    <w:rsid w:val="007263ED"/>
    <w:rsid w:val="0072643A"/>
    <w:rsid w:val="007266FE"/>
    <w:rsid w:val="0072718A"/>
    <w:rsid w:val="0072745D"/>
    <w:rsid w:val="00727BA9"/>
    <w:rsid w:val="00730976"/>
    <w:rsid w:val="00730F5A"/>
    <w:rsid w:val="007312E1"/>
    <w:rsid w:val="0073169D"/>
    <w:rsid w:val="00731E4E"/>
    <w:rsid w:val="00732443"/>
    <w:rsid w:val="00732F89"/>
    <w:rsid w:val="00733044"/>
    <w:rsid w:val="00733506"/>
    <w:rsid w:val="00733ADA"/>
    <w:rsid w:val="0073578B"/>
    <w:rsid w:val="00736156"/>
    <w:rsid w:val="00736369"/>
    <w:rsid w:val="00737640"/>
    <w:rsid w:val="00737C18"/>
    <w:rsid w:val="00737E45"/>
    <w:rsid w:val="00737F96"/>
    <w:rsid w:val="007407B1"/>
    <w:rsid w:val="00740F45"/>
    <w:rsid w:val="00741338"/>
    <w:rsid w:val="00743391"/>
    <w:rsid w:val="007433CA"/>
    <w:rsid w:val="00743A8C"/>
    <w:rsid w:val="00743CE2"/>
    <w:rsid w:val="00743EC4"/>
    <w:rsid w:val="00744ABE"/>
    <w:rsid w:val="00745747"/>
    <w:rsid w:val="00745884"/>
    <w:rsid w:val="00745BE5"/>
    <w:rsid w:val="00745CC9"/>
    <w:rsid w:val="00745D16"/>
    <w:rsid w:val="00745D5C"/>
    <w:rsid w:val="00746AD6"/>
    <w:rsid w:val="00747BC2"/>
    <w:rsid w:val="00750480"/>
    <w:rsid w:val="00750830"/>
    <w:rsid w:val="00750D1E"/>
    <w:rsid w:val="00751515"/>
    <w:rsid w:val="0075153D"/>
    <w:rsid w:val="007517E9"/>
    <w:rsid w:val="00751C6C"/>
    <w:rsid w:val="0075227F"/>
    <w:rsid w:val="00752331"/>
    <w:rsid w:val="0075293C"/>
    <w:rsid w:val="007533F1"/>
    <w:rsid w:val="00754C95"/>
    <w:rsid w:val="007555B1"/>
    <w:rsid w:val="00755D49"/>
    <w:rsid w:val="007564DB"/>
    <w:rsid w:val="00756C89"/>
    <w:rsid w:val="0075715A"/>
    <w:rsid w:val="00757ADC"/>
    <w:rsid w:val="00757FCF"/>
    <w:rsid w:val="00760A0A"/>
    <w:rsid w:val="0076153D"/>
    <w:rsid w:val="00761D33"/>
    <w:rsid w:val="00762096"/>
    <w:rsid w:val="0076295B"/>
    <w:rsid w:val="00762A35"/>
    <w:rsid w:val="0076321D"/>
    <w:rsid w:val="00763A63"/>
    <w:rsid w:val="00763FE8"/>
    <w:rsid w:val="007643D2"/>
    <w:rsid w:val="007643F6"/>
    <w:rsid w:val="0076478F"/>
    <w:rsid w:val="007649BC"/>
    <w:rsid w:val="00764CE8"/>
    <w:rsid w:val="00765E08"/>
    <w:rsid w:val="00766025"/>
    <w:rsid w:val="00766A49"/>
    <w:rsid w:val="00766E2E"/>
    <w:rsid w:val="00767892"/>
    <w:rsid w:val="00767A26"/>
    <w:rsid w:val="00767AD0"/>
    <w:rsid w:val="00767E5A"/>
    <w:rsid w:val="00770478"/>
    <w:rsid w:val="00770CFB"/>
    <w:rsid w:val="00770D0E"/>
    <w:rsid w:val="00770EA9"/>
    <w:rsid w:val="007712F7"/>
    <w:rsid w:val="00771536"/>
    <w:rsid w:val="007715D0"/>
    <w:rsid w:val="00771A60"/>
    <w:rsid w:val="00771D81"/>
    <w:rsid w:val="00772470"/>
    <w:rsid w:val="0077248D"/>
    <w:rsid w:val="00772521"/>
    <w:rsid w:val="00772725"/>
    <w:rsid w:val="00772A6A"/>
    <w:rsid w:val="00772C7E"/>
    <w:rsid w:val="007739F6"/>
    <w:rsid w:val="0077405E"/>
    <w:rsid w:val="007743E9"/>
    <w:rsid w:val="00774401"/>
    <w:rsid w:val="00774731"/>
    <w:rsid w:val="0077473C"/>
    <w:rsid w:val="007749C3"/>
    <w:rsid w:val="00774E6F"/>
    <w:rsid w:val="00775230"/>
    <w:rsid w:val="00775CBC"/>
    <w:rsid w:val="0077665E"/>
    <w:rsid w:val="0077674B"/>
    <w:rsid w:val="00777CC0"/>
    <w:rsid w:val="00780574"/>
    <w:rsid w:val="007805E8"/>
    <w:rsid w:val="007812D5"/>
    <w:rsid w:val="00781392"/>
    <w:rsid w:val="007813B4"/>
    <w:rsid w:val="007817CA"/>
    <w:rsid w:val="00781E83"/>
    <w:rsid w:val="007823CE"/>
    <w:rsid w:val="007826DD"/>
    <w:rsid w:val="0078283F"/>
    <w:rsid w:val="0078326E"/>
    <w:rsid w:val="007852F0"/>
    <w:rsid w:val="00785A65"/>
    <w:rsid w:val="00785C79"/>
    <w:rsid w:val="00785CE3"/>
    <w:rsid w:val="00786530"/>
    <w:rsid w:val="0078663C"/>
    <w:rsid w:val="00786D13"/>
    <w:rsid w:val="00786E8C"/>
    <w:rsid w:val="00787404"/>
    <w:rsid w:val="00787646"/>
    <w:rsid w:val="00787C60"/>
    <w:rsid w:val="00787DDF"/>
    <w:rsid w:val="00788B95"/>
    <w:rsid w:val="00790631"/>
    <w:rsid w:val="00791156"/>
    <w:rsid w:val="00791589"/>
    <w:rsid w:val="007915B2"/>
    <w:rsid w:val="0079194A"/>
    <w:rsid w:val="00791AAE"/>
    <w:rsid w:val="00791DE5"/>
    <w:rsid w:val="007926F8"/>
    <w:rsid w:val="00792FF5"/>
    <w:rsid w:val="0079327C"/>
    <w:rsid w:val="00793A4D"/>
    <w:rsid w:val="00793C76"/>
    <w:rsid w:val="00793CA5"/>
    <w:rsid w:val="0079452A"/>
    <w:rsid w:val="0079497A"/>
    <w:rsid w:val="007949D5"/>
    <w:rsid w:val="00794E99"/>
    <w:rsid w:val="00794F61"/>
    <w:rsid w:val="00795683"/>
    <w:rsid w:val="00796C40"/>
    <w:rsid w:val="00797993"/>
    <w:rsid w:val="007A06F6"/>
    <w:rsid w:val="007A072D"/>
    <w:rsid w:val="007A0785"/>
    <w:rsid w:val="007A18FB"/>
    <w:rsid w:val="007A25E3"/>
    <w:rsid w:val="007A286F"/>
    <w:rsid w:val="007A2870"/>
    <w:rsid w:val="007A28C0"/>
    <w:rsid w:val="007A2E7F"/>
    <w:rsid w:val="007A34A0"/>
    <w:rsid w:val="007A3B68"/>
    <w:rsid w:val="007A3F09"/>
    <w:rsid w:val="007A4173"/>
    <w:rsid w:val="007A50F8"/>
    <w:rsid w:val="007A541E"/>
    <w:rsid w:val="007A5A6C"/>
    <w:rsid w:val="007A5BC6"/>
    <w:rsid w:val="007A6118"/>
    <w:rsid w:val="007A62D5"/>
    <w:rsid w:val="007A653B"/>
    <w:rsid w:val="007A6628"/>
    <w:rsid w:val="007A7F5D"/>
    <w:rsid w:val="007A7FA3"/>
    <w:rsid w:val="007A7FFA"/>
    <w:rsid w:val="007B0BD3"/>
    <w:rsid w:val="007B1BDD"/>
    <w:rsid w:val="007B2054"/>
    <w:rsid w:val="007B2073"/>
    <w:rsid w:val="007B21BD"/>
    <w:rsid w:val="007B2370"/>
    <w:rsid w:val="007B2748"/>
    <w:rsid w:val="007B30A7"/>
    <w:rsid w:val="007B3535"/>
    <w:rsid w:val="007B43B9"/>
    <w:rsid w:val="007B444C"/>
    <w:rsid w:val="007B4A8E"/>
    <w:rsid w:val="007B4E07"/>
    <w:rsid w:val="007B5254"/>
    <w:rsid w:val="007B53DA"/>
    <w:rsid w:val="007B54E8"/>
    <w:rsid w:val="007B5610"/>
    <w:rsid w:val="007B568B"/>
    <w:rsid w:val="007B5DB9"/>
    <w:rsid w:val="007B715B"/>
    <w:rsid w:val="007B7230"/>
    <w:rsid w:val="007B7B8C"/>
    <w:rsid w:val="007B7F47"/>
    <w:rsid w:val="007C0271"/>
    <w:rsid w:val="007C0795"/>
    <w:rsid w:val="007C0D23"/>
    <w:rsid w:val="007C1116"/>
    <w:rsid w:val="007C13A5"/>
    <w:rsid w:val="007C15F6"/>
    <w:rsid w:val="007C1720"/>
    <w:rsid w:val="007C1C7A"/>
    <w:rsid w:val="007C1DF5"/>
    <w:rsid w:val="007C2836"/>
    <w:rsid w:val="007C2C4C"/>
    <w:rsid w:val="007C3CA8"/>
    <w:rsid w:val="007C3ED4"/>
    <w:rsid w:val="007C5DC6"/>
    <w:rsid w:val="007C6754"/>
    <w:rsid w:val="007C73F7"/>
    <w:rsid w:val="007C774A"/>
    <w:rsid w:val="007C7C85"/>
    <w:rsid w:val="007D018B"/>
    <w:rsid w:val="007D06FD"/>
    <w:rsid w:val="007D0C1E"/>
    <w:rsid w:val="007D100E"/>
    <w:rsid w:val="007D1954"/>
    <w:rsid w:val="007D1C0A"/>
    <w:rsid w:val="007D2FF2"/>
    <w:rsid w:val="007D38E8"/>
    <w:rsid w:val="007D3ABF"/>
    <w:rsid w:val="007D3B1E"/>
    <w:rsid w:val="007D406E"/>
    <w:rsid w:val="007D43DE"/>
    <w:rsid w:val="007D4E4E"/>
    <w:rsid w:val="007D5962"/>
    <w:rsid w:val="007D5AE3"/>
    <w:rsid w:val="007D5F2E"/>
    <w:rsid w:val="007D5FD8"/>
    <w:rsid w:val="007D60F0"/>
    <w:rsid w:val="007D6182"/>
    <w:rsid w:val="007D62D7"/>
    <w:rsid w:val="007D683C"/>
    <w:rsid w:val="007D6E89"/>
    <w:rsid w:val="007D7220"/>
    <w:rsid w:val="007D7546"/>
    <w:rsid w:val="007D7787"/>
    <w:rsid w:val="007D7AFC"/>
    <w:rsid w:val="007E045A"/>
    <w:rsid w:val="007E092F"/>
    <w:rsid w:val="007E0A14"/>
    <w:rsid w:val="007E0FBA"/>
    <w:rsid w:val="007E1538"/>
    <w:rsid w:val="007E1E80"/>
    <w:rsid w:val="007E1F98"/>
    <w:rsid w:val="007E2EEA"/>
    <w:rsid w:val="007E2F41"/>
    <w:rsid w:val="007E389C"/>
    <w:rsid w:val="007E3D4B"/>
    <w:rsid w:val="007E527B"/>
    <w:rsid w:val="007E52AA"/>
    <w:rsid w:val="007E53B8"/>
    <w:rsid w:val="007E59AC"/>
    <w:rsid w:val="007E6468"/>
    <w:rsid w:val="007E651E"/>
    <w:rsid w:val="007E661D"/>
    <w:rsid w:val="007E6C94"/>
    <w:rsid w:val="007E701C"/>
    <w:rsid w:val="007E70B2"/>
    <w:rsid w:val="007E71ED"/>
    <w:rsid w:val="007E73E1"/>
    <w:rsid w:val="007E77DA"/>
    <w:rsid w:val="007F01D7"/>
    <w:rsid w:val="007F2438"/>
    <w:rsid w:val="007F3514"/>
    <w:rsid w:val="007F36C4"/>
    <w:rsid w:val="007F39B5"/>
    <w:rsid w:val="007F39FB"/>
    <w:rsid w:val="007F3F75"/>
    <w:rsid w:val="007F47E4"/>
    <w:rsid w:val="007F4822"/>
    <w:rsid w:val="007F4C21"/>
    <w:rsid w:val="007F5466"/>
    <w:rsid w:val="007F6482"/>
    <w:rsid w:val="007F6C55"/>
    <w:rsid w:val="007F6C87"/>
    <w:rsid w:val="007F7A04"/>
    <w:rsid w:val="0080062C"/>
    <w:rsid w:val="00800B31"/>
    <w:rsid w:val="00800C80"/>
    <w:rsid w:val="00800E5D"/>
    <w:rsid w:val="008026BF"/>
    <w:rsid w:val="00802FC2"/>
    <w:rsid w:val="008037B2"/>
    <w:rsid w:val="00804390"/>
    <w:rsid w:val="008047D3"/>
    <w:rsid w:val="00804AE8"/>
    <w:rsid w:val="00804F0F"/>
    <w:rsid w:val="00805334"/>
    <w:rsid w:val="00806516"/>
    <w:rsid w:val="00806904"/>
    <w:rsid w:val="00807152"/>
    <w:rsid w:val="00807CB8"/>
    <w:rsid w:val="008102BB"/>
    <w:rsid w:val="00810C74"/>
    <w:rsid w:val="0081295D"/>
    <w:rsid w:val="00812971"/>
    <w:rsid w:val="00812A2F"/>
    <w:rsid w:val="00812CE6"/>
    <w:rsid w:val="00813167"/>
    <w:rsid w:val="00814386"/>
    <w:rsid w:val="00814627"/>
    <w:rsid w:val="00814AD6"/>
    <w:rsid w:val="008155DA"/>
    <w:rsid w:val="008158CE"/>
    <w:rsid w:val="00815ABE"/>
    <w:rsid w:val="00816003"/>
    <w:rsid w:val="00816090"/>
    <w:rsid w:val="00816150"/>
    <w:rsid w:val="008163AB"/>
    <w:rsid w:val="00816481"/>
    <w:rsid w:val="008164CF"/>
    <w:rsid w:val="00816A23"/>
    <w:rsid w:val="00816D2C"/>
    <w:rsid w:val="00817462"/>
    <w:rsid w:val="008178F0"/>
    <w:rsid w:val="00817BFA"/>
    <w:rsid w:val="00817C62"/>
    <w:rsid w:val="00817D4B"/>
    <w:rsid w:val="0081D7A3"/>
    <w:rsid w:val="00820E9E"/>
    <w:rsid w:val="00821087"/>
    <w:rsid w:val="008215E2"/>
    <w:rsid w:val="00821D05"/>
    <w:rsid w:val="00822775"/>
    <w:rsid w:val="0082300B"/>
    <w:rsid w:val="0082343D"/>
    <w:rsid w:val="00823A85"/>
    <w:rsid w:val="00824AA5"/>
    <w:rsid w:val="0082514A"/>
    <w:rsid w:val="008255A6"/>
    <w:rsid w:val="008264FA"/>
    <w:rsid w:val="008267F4"/>
    <w:rsid w:val="00826E80"/>
    <w:rsid w:val="0082730D"/>
    <w:rsid w:val="00827FBA"/>
    <w:rsid w:val="00830968"/>
    <w:rsid w:val="00830DBD"/>
    <w:rsid w:val="008318AA"/>
    <w:rsid w:val="00832835"/>
    <w:rsid w:val="00832D43"/>
    <w:rsid w:val="008331AF"/>
    <w:rsid w:val="00833908"/>
    <w:rsid w:val="00834105"/>
    <w:rsid w:val="0083579D"/>
    <w:rsid w:val="008357CF"/>
    <w:rsid w:val="00835CCA"/>
    <w:rsid w:val="00836447"/>
    <w:rsid w:val="0083784B"/>
    <w:rsid w:val="00837915"/>
    <w:rsid w:val="0084021E"/>
    <w:rsid w:val="008404A2"/>
    <w:rsid w:val="00840809"/>
    <w:rsid w:val="00840B1D"/>
    <w:rsid w:val="0084198E"/>
    <w:rsid w:val="00841E8B"/>
    <w:rsid w:val="00841F01"/>
    <w:rsid w:val="008436B9"/>
    <w:rsid w:val="00843C34"/>
    <w:rsid w:val="008442B3"/>
    <w:rsid w:val="0084462A"/>
    <w:rsid w:val="00844B27"/>
    <w:rsid w:val="0084512E"/>
    <w:rsid w:val="0084515D"/>
    <w:rsid w:val="0084572D"/>
    <w:rsid w:val="00845A62"/>
    <w:rsid w:val="00846E94"/>
    <w:rsid w:val="00846E9B"/>
    <w:rsid w:val="008470A5"/>
    <w:rsid w:val="008472AB"/>
    <w:rsid w:val="008500A8"/>
    <w:rsid w:val="00850170"/>
    <w:rsid w:val="008510BF"/>
    <w:rsid w:val="008514AB"/>
    <w:rsid w:val="008516D4"/>
    <w:rsid w:val="00852BCD"/>
    <w:rsid w:val="00852F60"/>
    <w:rsid w:val="00853109"/>
    <w:rsid w:val="00853130"/>
    <w:rsid w:val="00853892"/>
    <w:rsid w:val="008549B2"/>
    <w:rsid w:val="00854AC0"/>
    <w:rsid w:val="00855548"/>
    <w:rsid w:val="00855D33"/>
    <w:rsid w:val="0085641A"/>
    <w:rsid w:val="00857316"/>
    <w:rsid w:val="0085737F"/>
    <w:rsid w:val="008579A3"/>
    <w:rsid w:val="00857BD8"/>
    <w:rsid w:val="0086034D"/>
    <w:rsid w:val="00861167"/>
    <w:rsid w:val="00861387"/>
    <w:rsid w:val="00861789"/>
    <w:rsid w:val="008619A4"/>
    <w:rsid w:val="00862DF8"/>
    <w:rsid w:val="00862E49"/>
    <w:rsid w:val="00863065"/>
    <w:rsid w:val="00863CA7"/>
    <w:rsid w:val="00863F22"/>
    <w:rsid w:val="008642F8"/>
    <w:rsid w:val="0086449B"/>
    <w:rsid w:val="00864744"/>
    <w:rsid w:val="00864928"/>
    <w:rsid w:val="00865116"/>
    <w:rsid w:val="008653EF"/>
    <w:rsid w:val="0086563B"/>
    <w:rsid w:val="00865C05"/>
    <w:rsid w:val="00865F5A"/>
    <w:rsid w:val="00866BD6"/>
    <w:rsid w:val="0086722C"/>
    <w:rsid w:val="008672CA"/>
    <w:rsid w:val="008673CE"/>
    <w:rsid w:val="00867734"/>
    <w:rsid w:val="0086792E"/>
    <w:rsid w:val="0087011C"/>
    <w:rsid w:val="0087024B"/>
    <w:rsid w:val="0087124F"/>
    <w:rsid w:val="0087159B"/>
    <w:rsid w:val="0087284A"/>
    <w:rsid w:val="00872EF9"/>
    <w:rsid w:val="00872F53"/>
    <w:rsid w:val="00874178"/>
    <w:rsid w:val="00874592"/>
    <w:rsid w:val="00874E77"/>
    <w:rsid w:val="008759CF"/>
    <w:rsid w:val="00875A2E"/>
    <w:rsid w:val="00876098"/>
    <w:rsid w:val="008762B5"/>
    <w:rsid w:val="00877212"/>
    <w:rsid w:val="0087747D"/>
    <w:rsid w:val="00877919"/>
    <w:rsid w:val="008803AD"/>
    <w:rsid w:val="00880B74"/>
    <w:rsid w:val="0088109A"/>
    <w:rsid w:val="0088164F"/>
    <w:rsid w:val="00881679"/>
    <w:rsid w:val="00881893"/>
    <w:rsid w:val="0088217B"/>
    <w:rsid w:val="00883EFA"/>
    <w:rsid w:val="00884241"/>
    <w:rsid w:val="00884A73"/>
    <w:rsid w:val="0088632F"/>
    <w:rsid w:val="00886F1A"/>
    <w:rsid w:val="008870AC"/>
    <w:rsid w:val="00887902"/>
    <w:rsid w:val="008879E1"/>
    <w:rsid w:val="0089005E"/>
    <w:rsid w:val="0089044A"/>
    <w:rsid w:val="00890A78"/>
    <w:rsid w:val="00891262"/>
    <w:rsid w:val="00891839"/>
    <w:rsid w:val="008919B7"/>
    <w:rsid w:val="008929C1"/>
    <w:rsid w:val="0089495D"/>
    <w:rsid w:val="00894C5E"/>
    <w:rsid w:val="008951B1"/>
    <w:rsid w:val="008958C2"/>
    <w:rsid w:val="00895C6B"/>
    <w:rsid w:val="008973C7"/>
    <w:rsid w:val="00897558"/>
    <w:rsid w:val="0089794D"/>
    <w:rsid w:val="00897984"/>
    <w:rsid w:val="00897B1D"/>
    <w:rsid w:val="00897B3C"/>
    <w:rsid w:val="00897F4E"/>
    <w:rsid w:val="008A1494"/>
    <w:rsid w:val="008A1CE6"/>
    <w:rsid w:val="008A1F89"/>
    <w:rsid w:val="008A2A9A"/>
    <w:rsid w:val="008A3053"/>
    <w:rsid w:val="008A36CD"/>
    <w:rsid w:val="008A3F00"/>
    <w:rsid w:val="008A4126"/>
    <w:rsid w:val="008A4B88"/>
    <w:rsid w:val="008A5035"/>
    <w:rsid w:val="008A5F75"/>
    <w:rsid w:val="008A65F2"/>
    <w:rsid w:val="008A6FDC"/>
    <w:rsid w:val="008A788A"/>
    <w:rsid w:val="008A7E3C"/>
    <w:rsid w:val="008B0AA0"/>
    <w:rsid w:val="008B177D"/>
    <w:rsid w:val="008B18A2"/>
    <w:rsid w:val="008B18D7"/>
    <w:rsid w:val="008B19D1"/>
    <w:rsid w:val="008B25CE"/>
    <w:rsid w:val="008B2609"/>
    <w:rsid w:val="008B2E16"/>
    <w:rsid w:val="008B354B"/>
    <w:rsid w:val="008B3935"/>
    <w:rsid w:val="008B402C"/>
    <w:rsid w:val="008B4D2A"/>
    <w:rsid w:val="008B52F9"/>
    <w:rsid w:val="008B5801"/>
    <w:rsid w:val="008B59C1"/>
    <w:rsid w:val="008B5B75"/>
    <w:rsid w:val="008B6313"/>
    <w:rsid w:val="008B688E"/>
    <w:rsid w:val="008B6BDC"/>
    <w:rsid w:val="008C046E"/>
    <w:rsid w:val="008C0545"/>
    <w:rsid w:val="008C08CE"/>
    <w:rsid w:val="008C0C70"/>
    <w:rsid w:val="008C0C7D"/>
    <w:rsid w:val="008C0D4F"/>
    <w:rsid w:val="008C1083"/>
    <w:rsid w:val="008C112F"/>
    <w:rsid w:val="008C1260"/>
    <w:rsid w:val="008C19B7"/>
    <w:rsid w:val="008C1C9F"/>
    <w:rsid w:val="008C24DD"/>
    <w:rsid w:val="008C2581"/>
    <w:rsid w:val="008C259C"/>
    <w:rsid w:val="008C2693"/>
    <w:rsid w:val="008C33C8"/>
    <w:rsid w:val="008C4213"/>
    <w:rsid w:val="008C4264"/>
    <w:rsid w:val="008C44C3"/>
    <w:rsid w:val="008C59A2"/>
    <w:rsid w:val="008C5CA6"/>
    <w:rsid w:val="008C603C"/>
    <w:rsid w:val="008C6195"/>
    <w:rsid w:val="008C686F"/>
    <w:rsid w:val="008C6AE9"/>
    <w:rsid w:val="008C6AEA"/>
    <w:rsid w:val="008C7166"/>
    <w:rsid w:val="008C774A"/>
    <w:rsid w:val="008D02AA"/>
    <w:rsid w:val="008D050A"/>
    <w:rsid w:val="008D096B"/>
    <w:rsid w:val="008D0D41"/>
    <w:rsid w:val="008D0DA4"/>
    <w:rsid w:val="008D0F15"/>
    <w:rsid w:val="008D11D0"/>
    <w:rsid w:val="008D2006"/>
    <w:rsid w:val="008D21AF"/>
    <w:rsid w:val="008D21E3"/>
    <w:rsid w:val="008D24FF"/>
    <w:rsid w:val="008D2560"/>
    <w:rsid w:val="008D2678"/>
    <w:rsid w:val="008D2E58"/>
    <w:rsid w:val="008D30BF"/>
    <w:rsid w:val="008D31FD"/>
    <w:rsid w:val="008D3A05"/>
    <w:rsid w:val="008D3DCD"/>
    <w:rsid w:val="008D4F23"/>
    <w:rsid w:val="008D517A"/>
    <w:rsid w:val="008D5331"/>
    <w:rsid w:val="008D5379"/>
    <w:rsid w:val="008D59FF"/>
    <w:rsid w:val="008D5E04"/>
    <w:rsid w:val="008D627E"/>
    <w:rsid w:val="008D67BA"/>
    <w:rsid w:val="008D6A64"/>
    <w:rsid w:val="008D6F19"/>
    <w:rsid w:val="008D710B"/>
    <w:rsid w:val="008D75D0"/>
    <w:rsid w:val="008D7633"/>
    <w:rsid w:val="008D7C9C"/>
    <w:rsid w:val="008E01F5"/>
    <w:rsid w:val="008E0430"/>
    <w:rsid w:val="008E0796"/>
    <w:rsid w:val="008E0A8D"/>
    <w:rsid w:val="008E11A4"/>
    <w:rsid w:val="008E15A9"/>
    <w:rsid w:val="008E1C0D"/>
    <w:rsid w:val="008E24EE"/>
    <w:rsid w:val="008E302C"/>
    <w:rsid w:val="008E3801"/>
    <w:rsid w:val="008E398A"/>
    <w:rsid w:val="008E3E47"/>
    <w:rsid w:val="008E4383"/>
    <w:rsid w:val="008E4411"/>
    <w:rsid w:val="008E4800"/>
    <w:rsid w:val="008E509D"/>
    <w:rsid w:val="008E5270"/>
    <w:rsid w:val="008E59A8"/>
    <w:rsid w:val="008E5B7B"/>
    <w:rsid w:val="008E5CF8"/>
    <w:rsid w:val="008E6159"/>
    <w:rsid w:val="008E6A69"/>
    <w:rsid w:val="008E6EA2"/>
    <w:rsid w:val="008E7354"/>
    <w:rsid w:val="008E7745"/>
    <w:rsid w:val="008E7787"/>
    <w:rsid w:val="008E77A4"/>
    <w:rsid w:val="008F0181"/>
    <w:rsid w:val="008F0C70"/>
    <w:rsid w:val="008F0D25"/>
    <w:rsid w:val="008F0EE4"/>
    <w:rsid w:val="008F0F18"/>
    <w:rsid w:val="008F1103"/>
    <w:rsid w:val="008F1B8E"/>
    <w:rsid w:val="008F1DB9"/>
    <w:rsid w:val="008F223F"/>
    <w:rsid w:val="008F23B1"/>
    <w:rsid w:val="008F23B8"/>
    <w:rsid w:val="008F2548"/>
    <w:rsid w:val="008F2D8B"/>
    <w:rsid w:val="008F33AF"/>
    <w:rsid w:val="008F3488"/>
    <w:rsid w:val="008F360D"/>
    <w:rsid w:val="008F3D65"/>
    <w:rsid w:val="008F5394"/>
    <w:rsid w:val="008F616C"/>
    <w:rsid w:val="008F6F7B"/>
    <w:rsid w:val="008FBAE1"/>
    <w:rsid w:val="008FDC70"/>
    <w:rsid w:val="0090159F"/>
    <w:rsid w:val="0090277A"/>
    <w:rsid w:val="009027C3"/>
    <w:rsid w:val="00903FC8"/>
    <w:rsid w:val="009047E5"/>
    <w:rsid w:val="00904A87"/>
    <w:rsid w:val="00904AFE"/>
    <w:rsid w:val="00905402"/>
    <w:rsid w:val="00906222"/>
    <w:rsid w:val="0090622F"/>
    <w:rsid w:val="0090671C"/>
    <w:rsid w:val="00907B46"/>
    <w:rsid w:val="009101FD"/>
    <w:rsid w:val="00910786"/>
    <w:rsid w:val="00910E4C"/>
    <w:rsid w:val="0091130C"/>
    <w:rsid w:val="009115C1"/>
    <w:rsid w:val="0091183D"/>
    <w:rsid w:val="00911861"/>
    <w:rsid w:val="009123EF"/>
    <w:rsid w:val="00912B3F"/>
    <w:rsid w:val="00912E43"/>
    <w:rsid w:val="00913234"/>
    <w:rsid w:val="0091333A"/>
    <w:rsid w:val="009134A7"/>
    <w:rsid w:val="009138A8"/>
    <w:rsid w:val="00914A45"/>
    <w:rsid w:val="00914CD8"/>
    <w:rsid w:val="009160F7"/>
    <w:rsid w:val="009161BE"/>
    <w:rsid w:val="00916468"/>
    <w:rsid w:val="00916547"/>
    <w:rsid w:val="00916FD1"/>
    <w:rsid w:val="00917592"/>
    <w:rsid w:val="00917829"/>
    <w:rsid w:val="00917841"/>
    <w:rsid w:val="00917A92"/>
    <w:rsid w:val="00920AEA"/>
    <w:rsid w:val="00920C37"/>
    <w:rsid w:val="00920EBD"/>
    <w:rsid w:val="00921C76"/>
    <w:rsid w:val="0092211B"/>
    <w:rsid w:val="009226F6"/>
    <w:rsid w:val="00922C07"/>
    <w:rsid w:val="00923BB2"/>
    <w:rsid w:val="00923F5F"/>
    <w:rsid w:val="009243F5"/>
    <w:rsid w:val="00925474"/>
    <w:rsid w:val="0092598E"/>
    <w:rsid w:val="00925A96"/>
    <w:rsid w:val="00925BFB"/>
    <w:rsid w:val="00927278"/>
    <w:rsid w:val="009278CA"/>
    <w:rsid w:val="00927C4D"/>
    <w:rsid w:val="00930510"/>
    <w:rsid w:val="00930AB1"/>
    <w:rsid w:val="00930E17"/>
    <w:rsid w:val="00930E97"/>
    <w:rsid w:val="00930F17"/>
    <w:rsid w:val="009319FF"/>
    <w:rsid w:val="00932378"/>
    <w:rsid w:val="00934094"/>
    <w:rsid w:val="009349AD"/>
    <w:rsid w:val="00934FF8"/>
    <w:rsid w:val="00935051"/>
    <w:rsid w:val="00935466"/>
    <w:rsid w:val="009356C6"/>
    <w:rsid w:val="00935922"/>
    <w:rsid w:val="009364F7"/>
    <w:rsid w:val="009370FD"/>
    <w:rsid w:val="00940EEC"/>
    <w:rsid w:val="00941473"/>
    <w:rsid w:val="009415D7"/>
    <w:rsid w:val="00941C3A"/>
    <w:rsid w:val="00941ED3"/>
    <w:rsid w:val="0094276E"/>
    <w:rsid w:val="009428A9"/>
    <w:rsid w:val="00942909"/>
    <w:rsid w:val="00942D01"/>
    <w:rsid w:val="00942F66"/>
    <w:rsid w:val="00943488"/>
    <w:rsid w:val="009435B4"/>
    <w:rsid w:val="00943DDA"/>
    <w:rsid w:val="00944267"/>
    <w:rsid w:val="00945E74"/>
    <w:rsid w:val="00945F21"/>
    <w:rsid w:val="00946433"/>
    <w:rsid w:val="00946526"/>
    <w:rsid w:val="00946620"/>
    <w:rsid w:val="00946FC0"/>
    <w:rsid w:val="00947A30"/>
    <w:rsid w:val="0095027F"/>
    <w:rsid w:val="00950556"/>
    <w:rsid w:val="00950779"/>
    <w:rsid w:val="00950C69"/>
    <w:rsid w:val="009510E4"/>
    <w:rsid w:val="00951A23"/>
    <w:rsid w:val="00951F30"/>
    <w:rsid w:val="009522B8"/>
    <w:rsid w:val="009525CF"/>
    <w:rsid w:val="00952DF6"/>
    <w:rsid w:val="0095324D"/>
    <w:rsid w:val="00954A47"/>
    <w:rsid w:val="00954C60"/>
    <w:rsid w:val="00956FD0"/>
    <w:rsid w:val="00957099"/>
    <w:rsid w:val="0095730E"/>
    <w:rsid w:val="00957938"/>
    <w:rsid w:val="00957978"/>
    <w:rsid w:val="009601A4"/>
    <w:rsid w:val="0096033B"/>
    <w:rsid w:val="00960A8D"/>
    <w:rsid w:val="009611DD"/>
    <w:rsid w:val="009623B8"/>
    <w:rsid w:val="00962B99"/>
    <w:rsid w:val="00963B82"/>
    <w:rsid w:val="00963E49"/>
    <w:rsid w:val="0096480E"/>
    <w:rsid w:val="00965284"/>
    <w:rsid w:val="00965300"/>
    <w:rsid w:val="00965EB4"/>
    <w:rsid w:val="009661E8"/>
    <w:rsid w:val="009667E3"/>
    <w:rsid w:val="009670CB"/>
    <w:rsid w:val="00967712"/>
    <w:rsid w:val="0096B1E7"/>
    <w:rsid w:val="0097055A"/>
    <w:rsid w:val="00970B5F"/>
    <w:rsid w:val="00970C67"/>
    <w:rsid w:val="00970E2D"/>
    <w:rsid w:val="00970FE2"/>
    <w:rsid w:val="00971469"/>
    <w:rsid w:val="00971474"/>
    <w:rsid w:val="009719E2"/>
    <w:rsid w:val="00971B6A"/>
    <w:rsid w:val="00972BD8"/>
    <w:rsid w:val="00972DE6"/>
    <w:rsid w:val="009734CB"/>
    <w:rsid w:val="00974712"/>
    <w:rsid w:val="00974AF5"/>
    <w:rsid w:val="00974DC3"/>
    <w:rsid w:val="00975A94"/>
    <w:rsid w:val="00976A49"/>
    <w:rsid w:val="00976A9A"/>
    <w:rsid w:val="009771F4"/>
    <w:rsid w:val="009777BF"/>
    <w:rsid w:val="00977D84"/>
    <w:rsid w:val="00980447"/>
    <w:rsid w:val="0098067B"/>
    <w:rsid w:val="00980D88"/>
    <w:rsid w:val="00981355"/>
    <w:rsid w:val="0098195A"/>
    <w:rsid w:val="00983028"/>
    <w:rsid w:val="009842C6"/>
    <w:rsid w:val="00984412"/>
    <w:rsid w:val="00984C74"/>
    <w:rsid w:val="00986911"/>
    <w:rsid w:val="00986A1C"/>
    <w:rsid w:val="00986C06"/>
    <w:rsid w:val="00986F7E"/>
    <w:rsid w:val="00987874"/>
    <w:rsid w:val="00987F56"/>
    <w:rsid w:val="00987F58"/>
    <w:rsid w:val="0099016A"/>
    <w:rsid w:val="00990409"/>
    <w:rsid w:val="00991270"/>
    <w:rsid w:val="009916AB"/>
    <w:rsid w:val="00992175"/>
    <w:rsid w:val="009925DF"/>
    <w:rsid w:val="009927FA"/>
    <w:rsid w:val="00993B41"/>
    <w:rsid w:val="00993E61"/>
    <w:rsid w:val="009941A4"/>
    <w:rsid w:val="009946F5"/>
    <w:rsid w:val="00994948"/>
    <w:rsid w:val="0099673B"/>
    <w:rsid w:val="00996C4D"/>
    <w:rsid w:val="00996F25"/>
    <w:rsid w:val="00997590"/>
    <w:rsid w:val="0099781F"/>
    <w:rsid w:val="0099789C"/>
    <w:rsid w:val="00997CD5"/>
    <w:rsid w:val="009A0377"/>
    <w:rsid w:val="009A05C0"/>
    <w:rsid w:val="009A0763"/>
    <w:rsid w:val="009A0E60"/>
    <w:rsid w:val="009A116E"/>
    <w:rsid w:val="009A146B"/>
    <w:rsid w:val="009A152F"/>
    <w:rsid w:val="009A1756"/>
    <w:rsid w:val="009A26EA"/>
    <w:rsid w:val="009A293F"/>
    <w:rsid w:val="009A2AE7"/>
    <w:rsid w:val="009A4D77"/>
    <w:rsid w:val="009A525A"/>
    <w:rsid w:val="009A5893"/>
    <w:rsid w:val="009A640A"/>
    <w:rsid w:val="009A677D"/>
    <w:rsid w:val="009A701E"/>
    <w:rsid w:val="009A7611"/>
    <w:rsid w:val="009A796E"/>
    <w:rsid w:val="009A7AA3"/>
    <w:rsid w:val="009A7AAE"/>
    <w:rsid w:val="009A7B3F"/>
    <w:rsid w:val="009A7BC5"/>
    <w:rsid w:val="009A7C2A"/>
    <w:rsid w:val="009B0B21"/>
    <w:rsid w:val="009B0BCB"/>
    <w:rsid w:val="009B201F"/>
    <w:rsid w:val="009B26A5"/>
    <w:rsid w:val="009B2BEB"/>
    <w:rsid w:val="009B2ED0"/>
    <w:rsid w:val="009B3AFE"/>
    <w:rsid w:val="009B3FAB"/>
    <w:rsid w:val="009B44E0"/>
    <w:rsid w:val="009B4AC0"/>
    <w:rsid w:val="009B505D"/>
    <w:rsid w:val="009B580D"/>
    <w:rsid w:val="009B591F"/>
    <w:rsid w:val="009B5A4D"/>
    <w:rsid w:val="009B5BD5"/>
    <w:rsid w:val="009B6113"/>
    <w:rsid w:val="009B67C9"/>
    <w:rsid w:val="009B6C6E"/>
    <w:rsid w:val="009B6E45"/>
    <w:rsid w:val="009B6FE6"/>
    <w:rsid w:val="009B76D5"/>
    <w:rsid w:val="009B78CB"/>
    <w:rsid w:val="009C0623"/>
    <w:rsid w:val="009C0D1B"/>
    <w:rsid w:val="009C16D8"/>
    <w:rsid w:val="009C19D6"/>
    <w:rsid w:val="009C1CAF"/>
    <w:rsid w:val="009C23C0"/>
    <w:rsid w:val="009C263A"/>
    <w:rsid w:val="009C2E04"/>
    <w:rsid w:val="009C32A3"/>
    <w:rsid w:val="009C3ECA"/>
    <w:rsid w:val="009C4219"/>
    <w:rsid w:val="009C4334"/>
    <w:rsid w:val="009C440F"/>
    <w:rsid w:val="009C4712"/>
    <w:rsid w:val="009C4D67"/>
    <w:rsid w:val="009C526B"/>
    <w:rsid w:val="009C55D2"/>
    <w:rsid w:val="009C571E"/>
    <w:rsid w:val="009C5A2A"/>
    <w:rsid w:val="009C6011"/>
    <w:rsid w:val="009C6042"/>
    <w:rsid w:val="009C6567"/>
    <w:rsid w:val="009C6872"/>
    <w:rsid w:val="009C69F0"/>
    <w:rsid w:val="009C6ED7"/>
    <w:rsid w:val="009C72D9"/>
    <w:rsid w:val="009C7633"/>
    <w:rsid w:val="009C7DC9"/>
    <w:rsid w:val="009D00D4"/>
    <w:rsid w:val="009D0257"/>
    <w:rsid w:val="009D044F"/>
    <w:rsid w:val="009D059A"/>
    <w:rsid w:val="009D0E53"/>
    <w:rsid w:val="009D1A45"/>
    <w:rsid w:val="009D2340"/>
    <w:rsid w:val="009D2537"/>
    <w:rsid w:val="009D2571"/>
    <w:rsid w:val="009D2790"/>
    <w:rsid w:val="009D36E7"/>
    <w:rsid w:val="009D3D4F"/>
    <w:rsid w:val="009D3E79"/>
    <w:rsid w:val="009D4157"/>
    <w:rsid w:val="009D528E"/>
    <w:rsid w:val="009D52FD"/>
    <w:rsid w:val="009D58FF"/>
    <w:rsid w:val="009D5A86"/>
    <w:rsid w:val="009D6376"/>
    <w:rsid w:val="009D6F39"/>
    <w:rsid w:val="009D6FE5"/>
    <w:rsid w:val="009D7331"/>
    <w:rsid w:val="009D7A2A"/>
    <w:rsid w:val="009E00B2"/>
    <w:rsid w:val="009E02AC"/>
    <w:rsid w:val="009E04BB"/>
    <w:rsid w:val="009E04D2"/>
    <w:rsid w:val="009E0CDA"/>
    <w:rsid w:val="009E111C"/>
    <w:rsid w:val="009E1680"/>
    <w:rsid w:val="009E17CD"/>
    <w:rsid w:val="009E1C18"/>
    <w:rsid w:val="009E27AB"/>
    <w:rsid w:val="009E29DA"/>
    <w:rsid w:val="009E2ACA"/>
    <w:rsid w:val="009E2FA1"/>
    <w:rsid w:val="009E2FB6"/>
    <w:rsid w:val="009E3998"/>
    <w:rsid w:val="009E3BFC"/>
    <w:rsid w:val="009E3D6C"/>
    <w:rsid w:val="009E4A82"/>
    <w:rsid w:val="009E4D4E"/>
    <w:rsid w:val="009E5228"/>
    <w:rsid w:val="009E6161"/>
    <w:rsid w:val="009E624F"/>
    <w:rsid w:val="009E6320"/>
    <w:rsid w:val="009E69D3"/>
    <w:rsid w:val="009E71FF"/>
    <w:rsid w:val="009F04B2"/>
    <w:rsid w:val="009F12E6"/>
    <w:rsid w:val="009F187A"/>
    <w:rsid w:val="009F2465"/>
    <w:rsid w:val="009F2551"/>
    <w:rsid w:val="009F2C85"/>
    <w:rsid w:val="009F2E77"/>
    <w:rsid w:val="009F327C"/>
    <w:rsid w:val="009F3762"/>
    <w:rsid w:val="009F453C"/>
    <w:rsid w:val="009F4612"/>
    <w:rsid w:val="009F4669"/>
    <w:rsid w:val="009F4D26"/>
    <w:rsid w:val="009F55F2"/>
    <w:rsid w:val="009F5678"/>
    <w:rsid w:val="009F5FDD"/>
    <w:rsid w:val="009F66F2"/>
    <w:rsid w:val="00A00488"/>
    <w:rsid w:val="00A00E4F"/>
    <w:rsid w:val="00A01030"/>
    <w:rsid w:val="00A01137"/>
    <w:rsid w:val="00A0118D"/>
    <w:rsid w:val="00A0192D"/>
    <w:rsid w:val="00A01A8B"/>
    <w:rsid w:val="00A01FEF"/>
    <w:rsid w:val="00A02DEE"/>
    <w:rsid w:val="00A034A1"/>
    <w:rsid w:val="00A03BCE"/>
    <w:rsid w:val="00A041A5"/>
    <w:rsid w:val="00A04824"/>
    <w:rsid w:val="00A04AEC"/>
    <w:rsid w:val="00A05480"/>
    <w:rsid w:val="00A05943"/>
    <w:rsid w:val="00A05C38"/>
    <w:rsid w:val="00A05CF3"/>
    <w:rsid w:val="00A06323"/>
    <w:rsid w:val="00A06411"/>
    <w:rsid w:val="00A06781"/>
    <w:rsid w:val="00A06AD7"/>
    <w:rsid w:val="00A07CC4"/>
    <w:rsid w:val="00A1011B"/>
    <w:rsid w:val="00A101C5"/>
    <w:rsid w:val="00A109BC"/>
    <w:rsid w:val="00A10C77"/>
    <w:rsid w:val="00A1170C"/>
    <w:rsid w:val="00A1181D"/>
    <w:rsid w:val="00A11956"/>
    <w:rsid w:val="00A135B6"/>
    <w:rsid w:val="00A136AF"/>
    <w:rsid w:val="00A139CE"/>
    <w:rsid w:val="00A13CE9"/>
    <w:rsid w:val="00A13D2E"/>
    <w:rsid w:val="00A14885"/>
    <w:rsid w:val="00A148A3"/>
    <w:rsid w:val="00A151D0"/>
    <w:rsid w:val="00A152FD"/>
    <w:rsid w:val="00A1576C"/>
    <w:rsid w:val="00A15C66"/>
    <w:rsid w:val="00A16109"/>
    <w:rsid w:val="00A1696B"/>
    <w:rsid w:val="00A16B97"/>
    <w:rsid w:val="00A173B0"/>
    <w:rsid w:val="00A1753B"/>
    <w:rsid w:val="00A177EE"/>
    <w:rsid w:val="00A17881"/>
    <w:rsid w:val="00A1A711"/>
    <w:rsid w:val="00A20E96"/>
    <w:rsid w:val="00A22018"/>
    <w:rsid w:val="00A220D4"/>
    <w:rsid w:val="00A222EE"/>
    <w:rsid w:val="00A22A2B"/>
    <w:rsid w:val="00A22C8E"/>
    <w:rsid w:val="00A2383B"/>
    <w:rsid w:val="00A239A8"/>
    <w:rsid w:val="00A24D07"/>
    <w:rsid w:val="00A252B4"/>
    <w:rsid w:val="00A25475"/>
    <w:rsid w:val="00A260BD"/>
    <w:rsid w:val="00A263F6"/>
    <w:rsid w:val="00A26B76"/>
    <w:rsid w:val="00A26DE5"/>
    <w:rsid w:val="00A270F3"/>
    <w:rsid w:val="00A2755B"/>
    <w:rsid w:val="00A27BBD"/>
    <w:rsid w:val="00A27EB5"/>
    <w:rsid w:val="00A27FD6"/>
    <w:rsid w:val="00A301D4"/>
    <w:rsid w:val="00A30281"/>
    <w:rsid w:val="00A30300"/>
    <w:rsid w:val="00A3052F"/>
    <w:rsid w:val="00A30F77"/>
    <w:rsid w:val="00A31219"/>
    <w:rsid w:val="00A3222F"/>
    <w:rsid w:val="00A324CB"/>
    <w:rsid w:val="00A332A0"/>
    <w:rsid w:val="00A3375F"/>
    <w:rsid w:val="00A347EC"/>
    <w:rsid w:val="00A34815"/>
    <w:rsid w:val="00A3516F"/>
    <w:rsid w:val="00A3532A"/>
    <w:rsid w:val="00A35471"/>
    <w:rsid w:val="00A3550B"/>
    <w:rsid w:val="00A36EFB"/>
    <w:rsid w:val="00A36F14"/>
    <w:rsid w:val="00A374F8"/>
    <w:rsid w:val="00A37E60"/>
    <w:rsid w:val="00A37FCF"/>
    <w:rsid w:val="00A40968"/>
    <w:rsid w:val="00A40B0E"/>
    <w:rsid w:val="00A40B76"/>
    <w:rsid w:val="00A40F2D"/>
    <w:rsid w:val="00A410AC"/>
    <w:rsid w:val="00A41B98"/>
    <w:rsid w:val="00A42221"/>
    <w:rsid w:val="00A43147"/>
    <w:rsid w:val="00A4472F"/>
    <w:rsid w:val="00A45D33"/>
    <w:rsid w:val="00A46182"/>
    <w:rsid w:val="00A46A0B"/>
    <w:rsid w:val="00A47E7E"/>
    <w:rsid w:val="00A50930"/>
    <w:rsid w:val="00A50F18"/>
    <w:rsid w:val="00A519A7"/>
    <w:rsid w:val="00A51A75"/>
    <w:rsid w:val="00A52605"/>
    <w:rsid w:val="00A52C4D"/>
    <w:rsid w:val="00A532D5"/>
    <w:rsid w:val="00A5341D"/>
    <w:rsid w:val="00A5361D"/>
    <w:rsid w:val="00A5455B"/>
    <w:rsid w:val="00A545DD"/>
    <w:rsid w:val="00A5480F"/>
    <w:rsid w:val="00A54C34"/>
    <w:rsid w:val="00A54E9A"/>
    <w:rsid w:val="00A54F15"/>
    <w:rsid w:val="00A558A8"/>
    <w:rsid w:val="00A55A3B"/>
    <w:rsid w:val="00A55D9E"/>
    <w:rsid w:val="00A57347"/>
    <w:rsid w:val="00A5756B"/>
    <w:rsid w:val="00A57981"/>
    <w:rsid w:val="00A579F1"/>
    <w:rsid w:val="00A60E96"/>
    <w:rsid w:val="00A61C72"/>
    <w:rsid w:val="00A61F9C"/>
    <w:rsid w:val="00A624D9"/>
    <w:rsid w:val="00A62EC7"/>
    <w:rsid w:val="00A65792"/>
    <w:rsid w:val="00A669CB"/>
    <w:rsid w:val="00A66B34"/>
    <w:rsid w:val="00A66BD7"/>
    <w:rsid w:val="00A66FFA"/>
    <w:rsid w:val="00A67A35"/>
    <w:rsid w:val="00A67CA6"/>
    <w:rsid w:val="00A7060A"/>
    <w:rsid w:val="00A71AF1"/>
    <w:rsid w:val="00A71B5C"/>
    <w:rsid w:val="00A72865"/>
    <w:rsid w:val="00A73009"/>
    <w:rsid w:val="00A7315C"/>
    <w:rsid w:val="00A734A7"/>
    <w:rsid w:val="00A74D9E"/>
    <w:rsid w:val="00A74EBD"/>
    <w:rsid w:val="00A7686B"/>
    <w:rsid w:val="00A77178"/>
    <w:rsid w:val="00A7732D"/>
    <w:rsid w:val="00A77696"/>
    <w:rsid w:val="00A7785C"/>
    <w:rsid w:val="00A77B29"/>
    <w:rsid w:val="00A80053"/>
    <w:rsid w:val="00A8022B"/>
    <w:rsid w:val="00A80334"/>
    <w:rsid w:val="00A80522"/>
    <w:rsid w:val="00A80600"/>
    <w:rsid w:val="00A81E0B"/>
    <w:rsid w:val="00A82B11"/>
    <w:rsid w:val="00A82FDB"/>
    <w:rsid w:val="00A82FEC"/>
    <w:rsid w:val="00A83D55"/>
    <w:rsid w:val="00A83E16"/>
    <w:rsid w:val="00A83E72"/>
    <w:rsid w:val="00A8432B"/>
    <w:rsid w:val="00A8482A"/>
    <w:rsid w:val="00A84D5D"/>
    <w:rsid w:val="00A851B1"/>
    <w:rsid w:val="00A853CC"/>
    <w:rsid w:val="00A86236"/>
    <w:rsid w:val="00A867F7"/>
    <w:rsid w:val="00A86BA7"/>
    <w:rsid w:val="00A87090"/>
    <w:rsid w:val="00A8717C"/>
    <w:rsid w:val="00A87384"/>
    <w:rsid w:val="00A875E3"/>
    <w:rsid w:val="00A876CE"/>
    <w:rsid w:val="00A9001B"/>
    <w:rsid w:val="00A90C4C"/>
    <w:rsid w:val="00A9114C"/>
    <w:rsid w:val="00A91515"/>
    <w:rsid w:val="00A9159C"/>
    <w:rsid w:val="00A9197C"/>
    <w:rsid w:val="00A91F1E"/>
    <w:rsid w:val="00A9218E"/>
    <w:rsid w:val="00A9220A"/>
    <w:rsid w:val="00A92B41"/>
    <w:rsid w:val="00A92C89"/>
    <w:rsid w:val="00A94703"/>
    <w:rsid w:val="00A952E3"/>
    <w:rsid w:val="00A95309"/>
    <w:rsid w:val="00A962E8"/>
    <w:rsid w:val="00A966A3"/>
    <w:rsid w:val="00AA009D"/>
    <w:rsid w:val="00AA12D7"/>
    <w:rsid w:val="00AA1357"/>
    <w:rsid w:val="00AA168F"/>
    <w:rsid w:val="00AA1708"/>
    <w:rsid w:val="00AA1C3D"/>
    <w:rsid w:val="00AA2303"/>
    <w:rsid w:val="00AA2675"/>
    <w:rsid w:val="00AA29E5"/>
    <w:rsid w:val="00AA2AAC"/>
    <w:rsid w:val="00AA2F0F"/>
    <w:rsid w:val="00AA4302"/>
    <w:rsid w:val="00AA46F1"/>
    <w:rsid w:val="00AA4C1D"/>
    <w:rsid w:val="00AA54A3"/>
    <w:rsid w:val="00AA563E"/>
    <w:rsid w:val="00AA584D"/>
    <w:rsid w:val="00AA5A6D"/>
    <w:rsid w:val="00AA6A2C"/>
    <w:rsid w:val="00AA6B29"/>
    <w:rsid w:val="00AA6DDC"/>
    <w:rsid w:val="00AA71AE"/>
    <w:rsid w:val="00AA7544"/>
    <w:rsid w:val="00AA7970"/>
    <w:rsid w:val="00AA7A17"/>
    <w:rsid w:val="00AB084E"/>
    <w:rsid w:val="00AB142F"/>
    <w:rsid w:val="00AB15E8"/>
    <w:rsid w:val="00AB357C"/>
    <w:rsid w:val="00AB4107"/>
    <w:rsid w:val="00AB4848"/>
    <w:rsid w:val="00AB4AED"/>
    <w:rsid w:val="00AB4FB5"/>
    <w:rsid w:val="00AB6A13"/>
    <w:rsid w:val="00AB6A49"/>
    <w:rsid w:val="00AB6DA8"/>
    <w:rsid w:val="00AB6DCA"/>
    <w:rsid w:val="00AB727E"/>
    <w:rsid w:val="00AB75BC"/>
    <w:rsid w:val="00AB78D2"/>
    <w:rsid w:val="00AB7A05"/>
    <w:rsid w:val="00AC0804"/>
    <w:rsid w:val="00AC110F"/>
    <w:rsid w:val="00AC19E1"/>
    <w:rsid w:val="00AC204E"/>
    <w:rsid w:val="00AC223B"/>
    <w:rsid w:val="00AC22AA"/>
    <w:rsid w:val="00AC26B5"/>
    <w:rsid w:val="00AC2CC0"/>
    <w:rsid w:val="00AC303C"/>
    <w:rsid w:val="00AC343A"/>
    <w:rsid w:val="00AC365D"/>
    <w:rsid w:val="00AC3A0B"/>
    <w:rsid w:val="00AC3E91"/>
    <w:rsid w:val="00AC40A2"/>
    <w:rsid w:val="00AC4346"/>
    <w:rsid w:val="00AC4449"/>
    <w:rsid w:val="00AC5008"/>
    <w:rsid w:val="00AC54C9"/>
    <w:rsid w:val="00AC55D9"/>
    <w:rsid w:val="00AC6228"/>
    <w:rsid w:val="00AC63AC"/>
    <w:rsid w:val="00AC65B4"/>
    <w:rsid w:val="00AC65C5"/>
    <w:rsid w:val="00AC7412"/>
    <w:rsid w:val="00AD0C4C"/>
    <w:rsid w:val="00AD16A5"/>
    <w:rsid w:val="00AD1F8B"/>
    <w:rsid w:val="00AD27B4"/>
    <w:rsid w:val="00AD326D"/>
    <w:rsid w:val="00AD3FEC"/>
    <w:rsid w:val="00AD401B"/>
    <w:rsid w:val="00AD476E"/>
    <w:rsid w:val="00AD4A56"/>
    <w:rsid w:val="00AD4F8D"/>
    <w:rsid w:val="00AD4FC6"/>
    <w:rsid w:val="00AD506A"/>
    <w:rsid w:val="00AD54E4"/>
    <w:rsid w:val="00AD588B"/>
    <w:rsid w:val="00AD591A"/>
    <w:rsid w:val="00AD5E8D"/>
    <w:rsid w:val="00AD5F23"/>
    <w:rsid w:val="00AD6CC8"/>
    <w:rsid w:val="00AD6E08"/>
    <w:rsid w:val="00AD6F24"/>
    <w:rsid w:val="00AD701C"/>
    <w:rsid w:val="00AD72A9"/>
    <w:rsid w:val="00AD7922"/>
    <w:rsid w:val="00AD7C9A"/>
    <w:rsid w:val="00AD7D79"/>
    <w:rsid w:val="00AD7FEB"/>
    <w:rsid w:val="00AE03FA"/>
    <w:rsid w:val="00AE0595"/>
    <w:rsid w:val="00AE0825"/>
    <w:rsid w:val="00AE0ED6"/>
    <w:rsid w:val="00AE0ED7"/>
    <w:rsid w:val="00AE15DB"/>
    <w:rsid w:val="00AE1802"/>
    <w:rsid w:val="00AE224D"/>
    <w:rsid w:val="00AE2B98"/>
    <w:rsid w:val="00AE2EFB"/>
    <w:rsid w:val="00AE3F88"/>
    <w:rsid w:val="00AE3FE4"/>
    <w:rsid w:val="00AE42C2"/>
    <w:rsid w:val="00AE4401"/>
    <w:rsid w:val="00AE4834"/>
    <w:rsid w:val="00AE4921"/>
    <w:rsid w:val="00AE4ED0"/>
    <w:rsid w:val="00AE52F0"/>
    <w:rsid w:val="00AE6658"/>
    <w:rsid w:val="00AE6776"/>
    <w:rsid w:val="00AE6DF8"/>
    <w:rsid w:val="00AE6F48"/>
    <w:rsid w:val="00AE7A41"/>
    <w:rsid w:val="00AF0456"/>
    <w:rsid w:val="00AF04EB"/>
    <w:rsid w:val="00AF05CC"/>
    <w:rsid w:val="00AF0A78"/>
    <w:rsid w:val="00AF0C44"/>
    <w:rsid w:val="00AF1037"/>
    <w:rsid w:val="00AF1099"/>
    <w:rsid w:val="00AF1DFE"/>
    <w:rsid w:val="00AF1E5E"/>
    <w:rsid w:val="00AF1F21"/>
    <w:rsid w:val="00AF357F"/>
    <w:rsid w:val="00AF3614"/>
    <w:rsid w:val="00AF3C77"/>
    <w:rsid w:val="00AF3CF0"/>
    <w:rsid w:val="00AF41E6"/>
    <w:rsid w:val="00AF4979"/>
    <w:rsid w:val="00AF58B0"/>
    <w:rsid w:val="00AF5BC8"/>
    <w:rsid w:val="00AF6237"/>
    <w:rsid w:val="00AF6422"/>
    <w:rsid w:val="00AF6E2B"/>
    <w:rsid w:val="00AF7290"/>
    <w:rsid w:val="00AF7542"/>
    <w:rsid w:val="00B002CE"/>
    <w:rsid w:val="00B0098F"/>
    <w:rsid w:val="00B01BA3"/>
    <w:rsid w:val="00B01EC7"/>
    <w:rsid w:val="00B024D3"/>
    <w:rsid w:val="00B02ADA"/>
    <w:rsid w:val="00B02C19"/>
    <w:rsid w:val="00B03614"/>
    <w:rsid w:val="00B03893"/>
    <w:rsid w:val="00B03F62"/>
    <w:rsid w:val="00B04D34"/>
    <w:rsid w:val="00B05AB8"/>
    <w:rsid w:val="00B0675A"/>
    <w:rsid w:val="00B06B0B"/>
    <w:rsid w:val="00B07662"/>
    <w:rsid w:val="00B10628"/>
    <w:rsid w:val="00B10D90"/>
    <w:rsid w:val="00B110BA"/>
    <w:rsid w:val="00B110D5"/>
    <w:rsid w:val="00B11CB9"/>
    <w:rsid w:val="00B1260D"/>
    <w:rsid w:val="00B12CB6"/>
    <w:rsid w:val="00B13570"/>
    <w:rsid w:val="00B136D8"/>
    <w:rsid w:val="00B1389C"/>
    <w:rsid w:val="00B142EF"/>
    <w:rsid w:val="00B144FD"/>
    <w:rsid w:val="00B14A52"/>
    <w:rsid w:val="00B14E39"/>
    <w:rsid w:val="00B15BA4"/>
    <w:rsid w:val="00B1652B"/>
    <w:rsid w:val="00B16C01"/>
    <w:rsid w:val="00B179B1"/>
    <w:rsid w:val="00B200C5"/>
    <w:rsid w:val="00B21146"/>
    <w:rsid w:val="00B21406"/>
    <w:rsid w:val="00B21B00"/>
    <w:rsid w:val="00B21B88"/>
    <w:rsid w:val="00B21FDF"/>
    <w:rsid w:val="00B2206D"/>
    <w:rsid w:val="00B2259D"/>
    <w:rsid w:val="00B22A89"/>
    <w:rsid w:val="00B24A26"/>
    <w:rsid w:val="00B24B7D"/>
    <w:rsid w:val="00B255FD"/>
    <w:rsid w:val="00B257D1"/>
    <w:rsid w:val="00B2595A"/>
    <w:rsid w:val="00B25AD0"/>
    <w:rsid w:val="00B2658E"/>
    <w:rsid w:val="00B266DE"/>
    <w:rsid w:val="00B26CE9"/>
    <w:rsid w:val="00B26D2F"/>
    <w:rsid w:val="00B27342"/>
    <w:rsid w:val="00B278D7"/>
    <w:rsid w:val="00B27A88"/>
    <w:rsid w:val="00B30458"/>
    <w:rsid w:val="00B3079C"/>
    <w:rsid w:val="00B3084F"/>
    <w:rsid w:val="00B30AA3"/>
    <w:rsid w:val="00B30EB8"/>
    <w:rsid w:val="00B3154A"/>
    <w:rsid w:val="00B31BB1"/>
    <w:rsid w:val="00B31BCB"/>
    <w:rsid w:val="00B32575"/>
    <w:rsid w:val="00B331BF"/>
    <w:rsid w:val="00B331CE"/>
    <w:rsid w:val="00B33581"/>
    <w:rsid w:val="00B3397B"/>
    <w:rsid w:val="00B34C98"/>
    <w:rsid w:val="00B367D4"/>
    <w:rsid w:val="00B36A28"/>
    <w:rsid w:val="00B36C29"/>
    <w:rsid w:val="00B3FF33"/>
    <w:rsid w:val="00B4006D"/>
    <w:rsid w:val="00B40100"/>
    <w:rsid w:val="00B4042E"/>
    <w:rsid w:val="00B40BCE"/>
    <w:rsid w:val="00B40BFA"/>
    <w:rsid w:val="00B41178"/>
    <w:rsid w:val="00B413C8"/>
    <w:rsid w:val="00B41445"/>
    <w:rsid w:val="00B41BF1"/>
    <w:rsid w:val="00B41C3F"/>
    <w:rsid w:val="00B41ECA"/>
    <w:rsid w:val="00B41ED9"/>
    <w:rsid w:val="00B41F79"/>
    <w:rsid w:val="00B42240"/>
    <w:rsid w:val="00B4254A"/>
    <w:rsid w:val="00B425F4"/>
    <w:rsid w:val="00B429CE"/>
    <w:rsid w:val="00B42B04"/>
    <w:rsid w:val="00B4321B"/>
    <w:rsid w:val="00B4333D"/>
    <w:rsid w:val="00B43598"/>
    <w:rsid w:val="00B4386C"/>
    <w:rsid w:val="00B4450D"/>
    <w:rsid w:val="00B4458A"/>
    <w:rsid w:val="00B453D6"/>
    <w:rsid w:val="00B45A55"/>
    <w:rsid w:val="00B4628C"/>
    <w:rsid w:val="00B4666F"/>
    <w:rsid w:val="00B46D08"/>
    <w:rsid w:val="00B47437"/>
    <w:rsid w:val="00B4758B"/>
    <w:rsid w:val="00B47CEA"/>
    <w:rsid w:val="00B50FB4"/>
    <w:rsid w:val="00B51041"/>
    <w:rsid w:val="00B512B8"/>
    <w:rsid w:val="00B51786"/>
    <w:rsid w:val="00B52144"/>
    <w:rsid w:val="00B524CC"/>
    <w:rsid w:val="00B5264A"/>
    <w:rsid w:val="00B5267A"/>
    <w:rsid w:val="00B53232"/>
    <w:rsid w:val="00B53482"/>
    <w:rsid w:val="00B53973"/>
    <w:rsid w:val="00B54908"/>
    <w:rsid w:val="00B55A24"/>
    <w:rsid w:val="00B56367"/>
    <w:rsid w:val="00B56573"/>
    <w:rsid w:val="00B56B06"/>
    <w:rsid w:val="00B56D55"/>
    <w:rsid w:val="00B579B0"/>
    <w:rsid w:val="00B6008D"/>
    <w:rsid w:val="00B600D1"/>
    <w:rsid w:val="00B60353"/>
    <w:rsid w:val="00B60D52"/>
    <w:rsid w:val="00B61581"/>
    <w:rsid w:val="00B61638"/>
    <w:rsid w:val="00B61A40"/>
    <w:rsid w:val="00B61AB1"/>
    <w:rsid w:val="00B624A5"/>
    <w:rsid w:val="00B628DD"/>
    <w:rsid w:val="00B62AC7"/>
    <w:rsid w:val="00B6314C"/>
    <w:rsid w:val="00B64810"/>
    <w:rsid w:val="00B64BCA"/>
    <w:rsid w:val="00B665CF"/>
    <w:rsid w:val="00B66939"/>
    <w:rsid w:val="00B67B99"/>
    <w:rsid w:val="00B7002F"/>
    <w:rsid w:val="00B70444"/>
    <w:rsid w:val="00B70D26"/>
    <w:rsid w:val="00B70E6B"/>
    <w:rsid w:val="00B71228"/>
    <w:rsid w:val="00B71552"/>
    <w:rsid w:val="00B7197F"/>
    <w:rsid w:val="00B71B58"/>
    <w:rsid w:val="00B71EF0"/>
    <w:rsid w:val="00B7224B"/>
    <w:rsid w:val="00B726FD"/>
    <w:rsid w:val="00B72899"/>
    <w:rsid w:val="00B72EC3"/>
    <w:rsid w:val="00B7323F"/>
    <w:rsid w:val="00B735EA"/>
    <w:rsid w:val="00B739EC"/>
    <w:rsid w:val="00B73BFC"/>
    <w:rsid w:val="00B73C1D"/>
    <w:rsid w:val="00B74696"/>
    <w:rsid w:val="00B74D5F"/>
    <w:rsid w:val="00B75116"/>
    <w:rsid w:val="00B75457"/>
    <w:rsid w:val="00B7547B"/>
    <w:rsid w:val="00B757D6"/>
    <w:rsid w:val="00B75832"/>
    <w:rsid w:val="00B75D52"/>
    <w:rsid w:val="00B76A12"/>
    <w:rsid w:val="00B7A28B"/>
    <w:rsid w:val="00B80032"/>
    <w:rsid w:val="00B80190"/>
    <w:rsid w:val="00B80786"/>
    <w:rsid w:val="00B81D32"/>
    <w:rsid w:val="00B81F2E"/>
    <w:rsid w:val="00B823F6"/>
    <w:rsid w:val="00B8276F"/>
    <w:rsid w:val="00B82A62"/>
    <w:rsid w:val="00B83C4F"/>
    <w:rsid w:val="00B842F3"/>
    <w:rsid w:val="00B84535"/>
    <w:rsid w:val="00B8483B"/>
    <w:rsid w:val="00B84DF8"/>
    <w:rsid w:val="00B855FD"/>
    <w:rsid w:val="00B859DC"/>
    <w:rsid w:val="00B85C29"/>
    <w:rsid w:val="00B85EEE"/>
    <w:rsid w:val="00B85F8B"/>
    <w:rsid w:val="00B860C9"/>
    <w:rsid w:val="00B864D4"/>
    <w:rsid w:val="00B86D7D"/>
    <w:rsid w:val="00B86E9D"/>
    <w:rsid w:val="00B87955"/>
    <w:rsid w:val="00B87E95"/>
    <w:rsid w:val="00B9061E"/>
    <w:rsid w:val="00B90825"/>
    <w:rsid w:val="00B909DD"/>
    <w:rsid w:val="00B9117B"/>
    <w:rsid w:val="00B917DE"/>
    <w:rsid w:val="00B91826"/>
    <w:rsid w:val="00B91B47"/>
    <w:rsid w:val="00B925C9"/>
    <w:rsid w:val="00B929AC"/>
    <w:rsid w:val="00B92BB7"/>
    <w:rsid w:val="00B9354B"/>
    <w:rsid w:val="00B93552"/>
    <w:rsid w:val="00B9367D"/>
    <w:rsid w:val="00B93AF0"/>
    <w:rsid w:val="00B94103"/>
    <w:rsid w:val="00B9422F"/>
    <w:rsid w:val="00B94599"/>
    <w:rsid w:val="00B94F2D"/>
    <w:rsid w:val="00B954B2"/>
    <w:rsid w:val="00B956A0"/>
    <w:rsid w:val="00B960B3"/>
    <w:rsid w:val="00B9630D"/>
    <w:rsid w:val="00B9641C"/>
    <w:rsid w:val="00B96B48"/>
    <w:rsid w:val="00B97AB8"/>
    <w:rsid w:val="00B97C8D"/>
    <w:rsid w:val="00BA0648"/>
    <w:rsid w:val="00BA1082"/>
    <w:rsid w:val="00BA279E"/>
    <w:rsid w:val="00BA30C8"/>
    <w:rsid w:val="00BA3652"/>
    <w:rsid w:val="00BA3705"/>
    <w:rsid w:val="00BA45C3"/>
    <w:rsid w:val="00BA46B2"/>
    <w:rsid w:val="00BA4DC8"/>
    <w:rsid w:val="00BA4F4B"/>
    <w:rsid w:val="00BA5130"/>
    <w:rsid w:val="00BA53D1"/>
    <w:rsid w:val="00BA5A50"/>
    <w:rsid w:val="00BA5D26"/>
    <w:rsid w:val="00BA65D2"/>
    <w:rsid w:val="00BA670A"/>
    <w:rsid w:val="00BA70A1"/>
    <w:rsid w:val="00BB064F"/>
    <w:rsid w:val="00BB0CF1"/>
    <w:rsid w:val="00BB131F"/>
    <w:rsid w:val="00BB185E"/>
    <w:rsid w:val="00BB2401"/>
    <w:rsid w:val="00BB2D6D"/>
    <w:rsid w:val="00BB2EEE"/>
    <w:rsid w:val="00BB2F13"/>
    <w:rsid w:val="00BB3119"/>
    <w:rsid w:val="00BB43DB"/>
    <w:rsid w:val="00BB46E6"/>
    <w:rsid w:val="00BB4895"/>
    <w:rsid w:val="00BB4B3F"/>
    <w:rsid w:val="00BB4C81"/>
    <w:rsid w:val="00BB57ED"/>
    <w:rsid w:val="00BB5B4D"/>
    <w:rsid w:val="00BB665F"/>
    <w:rsid w:val="00BB68F9"/>
    <w:rsid w:val="00BB7025"/>
    <w:rsid w:val="00BB788C"/>
    <w:rsid w:val="00BB7FD8"/>
    <w:rsid w:val="00BC05FC"/>
    <w:rsid w:val="00BC0A06"/>
    <w:rsid w:val="00BC11AB"/>
    <w:rsid w:val="00BC17FD"/>
    <w:rsid w:val="00BC20C0"/>
    <w:rsid w:val="00BC20E9"/>
    <w:rsid w:val="00BC26A4"/>
    <w:rsid w:val="00BC2C8A"/>
    <w:rsid w:val="00BC2DD1"/>
    <w:rsid w:val="00BC3410"/>
    <w:rsid w:val="00BC364D"/>
    <w:rsid w:val="00BC43B9"/>
    <w:rsid w:val="00BC4525"/>
    <w:rsid w:val="00BC471C"/>
    <w:rsid w:val="00BC4ADF"/>
    <w:rsid w:val="00BC4B9B"/>
    <w:rsid w:val="00BC52B1"/>
    <w:rsid w:val="00BC55AC"/>
    <w:rsid w:val="00BC593C"/>
    <w:rsid w:val="00BC598D"/>
    <w:rsid w:val="00BC5C25"/>
    <w:rsid w:val="00BC5D21"/>
    <w:rsid w:val="00BC6997"/>
    <w:rsid w:val="00BC6A50"/>
    <w:rsid w:val="00BC7141"/>
    <w:rsid w:val="00BC755C"/>
    <w:rsid w:val="00BC77F8"/>
    <w:rsid w:val="00BC7BC9"/>
    <w:rsid w:val="00BD0E4E"/>
    <w:rsid w:val="00BD26E3"/>
    <w:rsid w:val="00BD2701"/>
    <w:rsid w:val="00BD298A"/>
    <w:rsid w:val="00BD2E87"/>
    <w:rsid w:val="00BD322E"/>
    <w:rsid w:val="00BD51FE"/>
    <w:rsid w:val="00BD5791"/>
    <w:rsid w:val="00BD5BF1"/>
    <w:rsid w:val="00BD61EC"/>
    <w:rsid w:val="00BD6640"/>
    <w:rsid w:val="00BD6C17"/>
    <w:rsid w:val="00BD7322"/>
    <w:rsid w:val="00BD748F"/>
    <w:rsid w:val="00BD7875"/>
    <w:rsid w:val="00BE0666"/>
    <w:rsid w:val="00BE17E1"/>
    <w:rsid w:val="00BE2345"/>
    <w:rsid w:val="00BE249D"/>
    <w:rsid w:val="00BE27B0"/>
    <w:rsid w:val="00BE2AEF"/>
    <w:rsid w:val="00BE32B1"/>
    <w:rsid w:val="00BE3667"/>
    <w:rsid w:val="00BE379D"/>
    <w:rsid w:val="00BE3CBD"/>
    <w:rsid w:val="00BE4ACC"/>
    <w:rsid w:val="00BE4BAA"/>
    <w:rsid w:val="00BE562C"/>
    <w:rsid w:val="00BE5ABE"/>
    <w:rsid w:val="00BE5AC7"/>
    <w:rsid w:val="00BE61DD"/>
    <w:rsid w:val="00BE6714"/>
    <w:rsid w:val="00BE6B61"/>
    <w:rsid w:val="00BE6F52"/>
    <w:rsid w:val="00BE6F8B"/>
    <w:rsid w:val="00BE72B4"/>
    <w:rsid w:val="00BE7795"/>
    <w:rsid w:val="00BF004E"/>
    <w:rsid w:val="00BF0099"/>
    <w:rsid w:val="00BF031A"/>
    <w:rsid w:val="00BF1073"/>
    <w:rsid w:val="00BF1142"/>
    <w:rsid w:val="00BF19A6"/>
    <w:rsid w:val="00BF1C72"/>
    <w:rsid w:val="00BF256E"/>
    <w:rsid w:val="00BF26A0"/>
    <w:rsid w:val="00BF2A1A"/>
    <w:rsid w:val="00BF3224"/>
    <w:rsid w:val="00BF335E"/>
    <w:rsid w:val="00BF3D52"/>
    <w:rsid w:val="00BF4926"/>
    <w:rsid w:val="00BF4A33"/>
    <w:rsid w:val="00BF5057"/>
    <w:rsid w:val="00BF51CE"/>
    <w:rsid w:val="00BF555F"/>
    <w:rsid w:val="00BF57C8"/>
    <w:rsid w:val="00BF60C2"/>
    <w:rsid w:val="00BF628D"/>
    <w:rsid w:val="00BF6A6C"/>
    <w:rsid w:val="00BF6B01"/>
    <w:rsid w:val="00BF6F64"/>
    <w:rsid w:val="00BF71B5"/>
    <w:rsid w:val="00BF7B53"/>
    <w:rsid w:val="00BF7C2D"/>
    <w:rsid w:val="00BF7DC9"/>
    <w:rsid w:val="00C003E7"/>
    <w:rsid w:val="00C01351"/>
    <w:rsid w:val="00C029BB"/>
    <w:rsid w:val="00C03034"/>
    <w:rsid w:val="00C031B1"/>
    <w:rsid w:val="00C032FD"/>
    <w:rsid w:val="00C03A55"/>
    <w:rsid w:val="00C0429D"/>
    <w:rsid w:val="00C04676"/>
    <w:rsid w:val="00C04D85"/>
    <w:rsid w:val="00C04F81"/>
    <w:rsid w:val="00C05128"/>
    <w:rsid w:val="00C05581"/>
    <w:rsid w:val="00C05649"/>
    <w:rsid w:val="00C05F61"/>
    <w:rsid w:val="00C066EA"/>
    <w:rsid w:val="00C073CB"/>
    <w:rsid w:val="00C07CE8"/>
    <w:rsid w:val="00C07D09"/>
    <w:rsid w:val="00C10386"/>
    <w:rsid w:val="00C1063D"/>
    <w:rsid w:val="00C10B0B"/>
    <w:rsid w:val="00C10FBA"/>
    <w:rsid w:val="00C12A88"/>
    <w:rsid w:val="00C138CF"/>
    <w:rsid w:val="00C138DA"/>
    <w:rsid w:val="00C1393D"/>
    <w:rsid w:val="00C14E3B"/>
    <w:rsid w:val="00C156AF"/>
    <w:rsid w:val="00C15DD6"/>
    <w:rsid w:val="00C16B55"/>
    <w:rsid w:val="00C171AB"/>
    <w:rsid w:val="00C17248"/>
    <w:rsid w:val="00C173CB"/>
    <w:rsid w:val="00C1743F"/>
    <w:rsid w:val="00C177C8"/>
    <w:rsid w:val="00C17C2D"/>
    <w:rsid w:val="00C20075"/>
    <w:rsid w:val="00C206C0"/>
    <w:rsid w:val="00C20A92"/>
    <w:rsid w:val="00C20B81"/>
    <w:rsid w:val="00C20BAD"/>
    <w:rsid w:val="00C214B5"/>
    <w:rsid w:val="00C21523"/>
    <w:rsid w:val="00C218F5"/>
    <w:rsid w:val="00C238B5"/>
    <w:rsid w:val="00C23A42"/>
    <w:rsid w:val="00C23E56"/>
    <w:rsid w:val="00C2409A"/>
    <w:rsid w:val="00C24BA2"/>
    <w:rsid w:val="00C25B84"/>
    <w:rsid w:val="00C2602E"/>
    <w:rsid w:val="00C263B0"/>
    <w:rsid w:val="00C263C9"/>
    <w:rsid w:val="00C269D8"/>
    <w:rsid w:val="00C26E42"/>
    <w:rsid w:val="00C271E8"/>
    <w:rsid w:val="00C273F4"/>
    <w:rsid w:val="00C3022A"/>
    <w:rsid w:val="00C30B85"/>
    <w:rsid w:val="00C30D82"/>
    <w:rsid w:val="00C31A4B"/>
    <w:rsid w:val="00C31A99"/>
    <w:rsid w:val="00C31EFF"/>
    <w:rsid w:val="00C31F47"/>
    <w:rsid w:val="00C32648"/>
    <w:rsid w:val="00C32659"/>
    <w:rsid w:val="00C32B3E"/>
    <w:rsid w:val="00C32C03"/>
    <w:rsid w:val="00C32D44"/>
    <w:rsid w:val="00C33017"/>
    <w:rsid w:val="00C334BE"/>
    <w:rsid w:val="00C3356B"/>
    <w:rsid w:val="00C33616"/>
    <w:rsid w:val="00C33F26"/>
    <w:rsid w:val="00C342A4"/>
    <w:rsid w:val="00C34981"/>
    <w:rsid w:val="00C34F20"/>
    <w:rsid w:val="00C35462"/>
    <w:rsid w:val="00C35932"/>
    <w:rsid w:val="00C362DC"/>
    <w:rsid w:val="00C36464"/>
    <w:rsid w:val="00C36618"/>
    <w:rsid w:val="00C3798A"/>
    <w:rsid w:val="00C37DA3"/>
    <w:rsid w:val="00C37FC7"/>
    <w:rsid w:val="00C423BD"/>
    <w:rsid w:val="00C42DAB"/>
    <w:rsid w:val="00C4320E"/>
    <w:rsid w:val="00C43ABB"/>
    <w:rsid w:val="00C43F22"/>
    <w:rsid w:val="00C44013"/>
    <w:rsid w:val="00C44024"/>
    <w:rsid w:val="00C4404E"/>
    <w:rsid w:val="00C440FA"/>
    <w:rsid w:val="00C441FC"/>
    <w:rsid w:val="00C44667"/>
    <w:rsid w:val="00C44EBF"/>
    <w:rsid w:val="00C45E8C"/>
    <w:rsid w:val="00C4612A"/>
    <w:rsid w:val="00C46E03"/>
    <w:rsid w:val="00C47645"/>
    <w:rsid w:val="00C47A3A"/>
    <w:rsid w:val="00C527B6"/>
    <w:rsid w:val="00C5291B"/>
    <w:rsid w:val="00C52B46"/>
    <w:rsid w:val="00C53002"/>
    <w:rsid w:val="00C530D1"/>
    <w:rsid w:val="00C53789"/>
    <w:rsid w:val="00C53964"/>
    <w:rsid w:val="00C54069"/>
    <w:rsid w:val="00C54125"/>
    <w:rsid w:val="00C54AF4"/>
    <w:rsid w:val="00C54B46"/>
    <w:rsid w:val="00C54DD1"/>
    <w:rsid w:val="00C554AE"/>
    <w:rsid w:val="00C5555C"/>
    <w:rsid w:val="00C55A29"/>
    <w:rsid w:val="00C561EF"/>
    <w:rsid w:val="00C562A9"/>
    <w:rsid w:val="00C57211"/>
    <w:rsid w:val="00C5726C"/>
    <w:rsid w:val="00C572F9"/>
    <w:rsid w:val="00C6039D"/>
    <w:rsid w:val="00C6080B"/>
    <w:rsid w:val="00C60826"/>
    <w:rsid w:val="00C60CD6"/>
    <w:rsid w:val="00C612C2"/>
    <w:rsid w:val="00C61405"/>
    <w:rsid w:val="00C6249D"/>
    <w:rsid w:val="00C62984"/>
    <w:rsid w:val="00C62B1A"/>
    <w:rsid w:val="00C634DC"/>
    <w:rsid w:val="00C63508"/>
    <w:rsid w:val="00C63E3A"/>
    <w:rsid w:val="00C63F91"/>
    <w:rsid w:val="00C64116"/>
    <w:rsid w:val="00C646FD"/>
    <w:rsid w:val="00C64787"/>
    <w:rsid w:val="00C64BCF"/>
    <w:rsid w:val="00C64D32"/>
    <w:rsid w:val="00C65814"/>
    <w:rsid w:val="00C65F1E"/>
    <w:rsid w:val="00C66CD1"/>
    <w:rsid w:val="00C6714F"/>
    <w:rsid w:val="00C677FA"/>
    <w:rsid w:val="00C67909"/>
    <w:rsid w:val="00C67B31"/>
    <w:rsid w:val="00C700FC"/>
    <w:rsid w:val="00C702E8"/>
    <w:rsid w:val="00C7090A"/>
    <w:rsid w:val="00C70D3C"/>
    <w:rsid w:val="00C72C5A"/>
    <w:rsid w:val="00C736CB"/>
    <w:rsid w:val="00C7371D"/>
    <w:rsid w:val="00C738FB"/>
    <w:rsid w:val="00C73EDB"/>
    <w:rsid w:val="00C74370"/>
    <w:rsid w:val="00C74E59"/>
    <w:rsid w:val="00C76303"/>
    <w:rsid w:val="00C76593"/>
    <w:rsid w:val="00C76925"/>
    <w:rsid w:val="00C76AD3"/>
    <w:rsid w:val="00C76E9D"/>
    <w:rsid w:val="00C77114"/>
    <w:rsid w:val="00C771C7"/>
    <w:rsid w:val="00C772A1"/>
    <w:rsid w:val="00C77BE9"/>
    <w:rsid w:val="00C80134"/>
    <w:rsid w:val="00C80610"/>
    <w:rsid w:val="00C809A7"/>
    <w:rsid w:val="00C81207"/>
    <w:rsid w:val="00C8176C"/>
    <w:rsid w:val="00C819C5"/>
    <w:rsid w:val="00C81AB7"/>
    <w:rsid w:val="00C81CAD"/>
    <w:rsid w:val="00C81F56"/>
    <w:rsid w:val="00C8206E"/>
    <w:rsid w:val="00C8239B"/>
    <w:rsid w:val="00C82FCE"/>
    <w:rsid w:val="00C83E2F"/>
    <w:rsid w:val="00C83E4B"/>
    <w:rsid w:val="00C8442A"/>
    <w:rsid w:val="00C84C82"/>
    <w:rsid w:val="00C84F39"/>
    <w:rsid w:val="00C85515"/>
    <w:rsid w:val="00C855C2"/>
    <w:rsid w:val="00C85DFA"/>
    <w:rsid w:val="00C85E30"/>
    <w:rsid w:val="00C85FA3"/>
    <w:rsid w:val="00C86582"/>
    <w:rsid w:val="00C86647"/>
    <w:rsid w:val="00C870DF"/>
    <w:rsid w:val="00C874C4"/>
    <w:rsid w:val="00C87670"/>
    <w:rsid w:val="00C87F72"/>
    <w:rsid w:val="00C90326"/>
    <w:rsid w:val="00C90D23"/>
    <w:rsid w:val="00C90EB4"/>
    <w:rsid w:val="00C917FD"/>
    <w:rsid w:val="00C92D1D"/>
    <w:rsid w:val="00C93147"/>
    <w:rsid w:val="00C94AF0"/>
    <w:rsid w:val="00C94BEF"/>
    <w:rsid w:val="00C94FAB"/>
    <w:rsid w:val="00C95C1D"/>
    <w:rsid w:val="00C95C43"/>
    <w:rsid w:val="00C9646B"/>
    <w:rsid w:val="00C96DFD"/>
    <w:rsid w:val="00C976BB"/>
    <w:rsid w:val="00C97DCA"/>
    <w:rsid w:val="00CA0154"/>
    <w:rsid w:val="00CA016E"/>
    <w:rsid w:val="00CA0801"/>
    <w:rsid w:val="00CA09E2"/>
    <w:rsid w:val="00CA0AB2"/>
    <w:rsid w:val="00CA12DD"/>
    <w:rsid w:val="00CA18B6"/>
    <w:rsid w:val="00CA1C9F"/>
    <w:rsid w:val="00CA1DA8"/>
    <w:rsid w:val="00CA1E0C"/>
    <w:rsid w:val="00CA1F35"/>
    <w:rsid w:val="00CA200D"/>
    <w:rsid w:val="00CA20B6"/>
    <w:rsid w:val="00CA23D2"/>
    <w:rsid w:val="00CA2853"/>
    <w:rsid w:val="00CA289B"/>
    <w:rsid w:val="00CA391F"/>
    <w:rsid w:val="00CA3AA4"/>
    <w:rsid w:val="00CA3D58"/>
    <w:rsid w:val="00CA411C"/>
    <w:rsid w:val="00CA4342"/>
    <w:rsid w:val="00CA479A"/>
    <w:rsid w:val="00CA505C"/>
    <w:rsid w:val="00CA519A"/>
    <w:rsid w:val="00CA5753"/>
    <w:rsid w:val="00CA5E16"/>
    <w:rsid w:val="00CA6D10"/>
    <w:rsid w:val="00CA743C"/>
    <w:rsid w:val="00CA758D"/>
    <w:rsid w:val="00CA75DE"/>
    <w:rsid w:val="00CA7CE4"/>
    <w:rsid w:val="00CB08EB"/>
    <w:rsid w:val="00CB0D02"/>
    <w:rsid w:val="00CB0DFD"/>
    <w:rsid w:val="00CB10D2"/>
    <w:rsid w:val="00CB13E9"/>
    <w:rsid w:val="00CB1851"/>
    <w:rsid w:val="00CB193A"/>
    <w:rsid w:val="00CB1A91"/>
    <w:rsid w:val="00CB1FFD"/>
    <w:rsid w:val="00CB2E15"/>
    <w:rsid w:val="00CB3138"/>
    <w:rsid w:val="00CB3406"/>
    <w:rsid w:val="00CB5322"/>
    <w:rsid w:val="00CB55A9"/>
    <w:rsid w:val="00CB5C7D"/>
    <w:rsid w:val="00CB65CA"/>
    <w:rsid w:val="00CB6925"/>
    <w:rsid w:val="00CB694B"/>
    <w:rsid w:val="00CB6A88"/>
    <w:rsid w:val="00CB6BC6"/>
    <w:rsid w:val="00CB6E85"/>
    <w:rsid w:val="00CC066C"/>
    <w:rsid w:val="00CC0913"/>
    <w:rsid w:val="00CC0954"/>
    <w:rsid w:val="00CC1DDA"/>
    <w:rsid w:val="00CC1FE2"/>
    <w:rsid w:val="00CC261A"/>
    <w:rsid w:val="00CC278E"/>
    <w:rsid w:val="00CC2F7B"/>
    <w:rsid w:val="00CC307A"/>
    <w:rsid w:val="00CC377A"/>
    <w:rsid w:val="00CC3861"/>
    <w:rsid w:val="00CC44AD"/>
    <w:rsid w:val="00CC478C"/>
    <w:rsid w:val="00CC5233"/>
    <w:rsid w:val="00CC5597"/>
    <w:rsid w:val="00CC5A32"/>
    <w:rsid w:val="00CC5CC3"/>
    <w:rsid w:val="00CC5D50"/>
    <w:rsid w:val="00CC60CC"/>
    <w:rsid w:val="00CC6595"/>
    <w:rsid w:val="00CC66AD"/>
    <w:rsid w:val="00CC66FF"/>
    <w:rsid w:val="00CC7175"/>
    <w:rsid w:val="00CC7318"/>
    <w:rsid w:val="00CC7EAE"/>
    <w:rsid w:val="00CD00EE"/>
    <w:rsid w:val="00CD03EE"/>
    <w:rsid w:val="00CD0B42"/>
    <w:rsid w:val="00CD0EE7"/>
    <w:rsid w:val="00CD0F68"/>
    <w:rsid w:val="00CD17DF"/>
    <w:rsid w:val="00CD1D75"/>
    <w:rsid w:val="00CD20A1"/>
    <w:rsid w:val="00CD22B3"/>
    <w:rsid w:val="00CD3712"/>
    <w:rsid w:val="00CD5202"/>
    <w:rsid w:val="00CD5D47"/>
    <w:rsid w:val="00CD61AE"/>
    <w:rsid w:val="00CD6711"/>
    <w:rsid w:val="00CD67D2"/>
    <w:rsid w:val="00CD6853"/>
    <w:rsid w:val="00CD6D78"/>
    <w:rsid w:val="00CD6FF7"/>
    <w:rsid w:val="00CD7139"/>
    <w:rsid w:val="00CD73E8"/>
    <w:rsid w:val="00CD7B28"/>
    <w:rsid w:val="00CD7C11"/>
    <w:rsid w:val="00CD7FE7"/>
    <w:rsid w:val="00CE02D6"/>
    <w:rsid w:val="00CE0671"/>
    <w:rsid w:val="00CE0925"/>
    <w:rsid w:val="00CE1A52"/>
    <w:rsid w:val="00CE1AFB"/>
    <w:rsid w:val="00CE1EA6"/>
    <w:rsid w:val="00CE22CB"/>
    <w:rsid w:val="00CE3807"/>
    <w:rsid w:val="00CE3A8A"/>
    <w:rsid w:val="00CE4344"/>
    <w:rsid w:val="00CE4428"/>
    <w:rsid w:val="00CE4C35"/>
    <w:rsid w:val="00CE4C6B"/>
    <w:rsid w:val="00CE62C9"/>
    <w:rsid w:val="00CE6910"/>
    <w:rsid w:val="00CE6D3E"/>
    <w:rsid w:val="00CE6D8C"/>
    <w:rsid w:val="00CE7F75"/>
    <w:rsid w:val="00CF104B"/>
    <w:rsid w:val="00CF1976"/>
    <w:rsid w:val="00CF1D8F"/>
    <w:rsid w:val="00CF24F3"/>
    <w:rsid w:val="00CF2B74"/>
    <w:rsid w:val="00CF2C2A"/>
    <w:rsid w:val="00CF2E32"/>
    <w:rsid w:val="00CF2FC8"/>
    <w:rsid w:val="00CF32D2"/>
    <w:rsid w:val="00CF3A43"/>
    <w:rsid w:val="00CF53DD"/>
    <w:rsid w:val="00CF5933"/>
    <w:rsid w:val="00CF5B9C"/>
    <w:rsid w:val="00CF5C37"/>
    <w:rsid w:val="00CF5E9B"/>
    <w:rsid w:val="00CF5FCC"/>
    <w:rsid w:val="00CF6837"/>
    <w:rsid w:val="00CF7104"/>
    <w:rsid w:val="00CF7954"/>
    <w:rsid w:val="00D005D8"/>
    <w:rsid w:val="00D006A0"/>
    <w:rsid w:val="00D007FA"/>
    <w:rsid w:val="00D00820"/>
    <w:rsid w:val="00D00970"/>
    <w:rsid w:val="00D01E4C"/>
    <w:rsid w:val="00D02131"/>
    <w:rsid w:val="00D026BC"/>
    <w:rsid w:val="00D0275B"/>
    <w:rsid w:val="00D02B94"/>
    <w:rsid w:val="00D031F8"/>
    <w:rsid w:val="00D04625"/>
    <w:rsid w:val="00D04A6E"/>
    <w:rsid w:val="00D04C66"/>
    <w:rsid w:val="00D0549E"/>
    <w:rsid w:val="00D05820"/>
    <w:rsid w:val="00D05EF5"/>
    <w:rsid w:val="00D06061"/>
    <w:rsid w:val="00D063E9"/>
    <w:rsid w:val="00D06421"/>
    <w:rsid w:val="00D068AE"/>
    <w:rsid w:val="00D06B71"/>
    <w:rsid w:val="00D109F5"/>
    <w:rsid w:val="00D10A17"/>
    <w:rsid w:val="00D10E64"/>
    <w:rsid w:val="00D10E8C"/>
    <w:rsid w:val="00D1198B"/>
    <w:rsid w:val="00D11C40"/>
    <w:rsid w:val="00D1243A"/>
    <w:rsid w:val="00D12519"/>
    <w:rsid w:val="00D14044"/>
    <w:rsid w:val="00D1484E"/>
    <w:rsid w:val="00D14CA0"/>
    <w:rsid w:val="00D150A0"/>
    <w:rsid w:val="00D16869"/>
    <w:rsid w:val="00D16BAE"/>
    <w:rsid w:val="00D16DC7"/>
    <w:rsid w:val="00D17202"/>
    <w:rsid w:val="00D21693"/>
    <w:rsid w:val="00D21CB1"/>
    <w:rsid w:val="00D22ED2"/>
    <w:rsid w:val="00D23013"/>
    <w:rsid w:val="00D2419D"/>
    <w:rsid w:val="00D243F4"/>
    <w:rsid w:val="00D247FA"/>
    <w:rsid w:val="00D24D7F"/>
    <w:rsid w:val="00D25E3D"/>
    <w:rsid w:val="00D265DE"/>
    <w:rsid w:val="00D26636"/>
    <w:rsid w:val="00D26744"/>
    <w:rsid w:val="00D26E78"/>
    <w:rsid w:val="00D2746A"/>
    <w:rsid w:val="00D275A2"/>
    <w:rsid w:val="00D27624"/>
    <w:rsid w:val="00D30B55"/>
    <w:rsid w:val="00D31007"/>
    <w:rsid w:val="00D310FD"/>
    <w:rsid w:val="00D31AEC"/>
    <w:rsid w:val="00D31B7D"/>
    <w:rsid w:val="00D31BDC"/>
    <w:rsid w:val="00D320C3"/>
    <w:rsid w:val="00D32878"/>
    <w:rsid w:val="00D32992"/>
    <w:rsid w:val="00D33659"/>
    <w:rsid w:val="00D3367E"/>
    <w:rsid w:val="00D33684"/>
    <w:rsid w:val="00D3383B"/>
    <w:rsid w:val="00D34349"/>
    <w:rsid w:val="00D343D5"/>
    <w:rsid w:val="00D354CA"/>
    <w:rsid w:val="00D35AAA"/>
    <w:rsid w:val="00D37251"/>
    <w:rsid w:val="00D37A0A"/>
    <w:rsid w:val="00D37AFD"/>
    <w:rsid w:val="00D418B9"/>
    <w:rsid w:val="00D41A85"/>
    <w:rsid w:val="00D41CC5"/>
    <w:rsid w:val="00D4260F"/>
    <w:rsid w:val="00D43211"/>
    <w:rsid w:val="00D4513F"/>
    <w:rsid w:val="00D45182"/>
    <w:rsid w:val="00D452CF"/>
    <w:rsid w:val="00D45866"/>
    <w:rsid w:val="00D46130"/>
    <w:rsid w:val="00D46192"/>
    <w:rsid w:val="00D46737"/>
    <w:rsid w:val="00D467B8"/>
    <w:rsid w:val="00D4685F"/>
    <w:rsid w:val="00D46CBC"/>
    <w:rsid w:val="00D47274"/>
    <w:rsid w:val="00D47668"/>
    <w:rsid w:val="00D47919"/>
    <w:rsid w:val="00D5063E"/>
    <w:rsid w:val="00D50DC9"/>
    <w:rsid w:val="00D51115"/>
    <w:rsid w:val="00D511E5"/>
    <w:rsid w:val="00D5142F"/>
    <w:rsid w:val="00D52490"/>
    <w:rsid w:val="00D5380C"/>
    <w:rsid w:val="00D53E6D"/>
    <w:rsid w:val="00D54187"/>
    <w:rsid w:val="00D545DE"/>
    <w:rsid w:val="00D545F5"/>
    <w:rsid w:val="00D546C5"/>
    <w:rsid w:val="00D54783"/>
    <w:rsid w:val="00D54A24"/>
    <w:rsid w:val="00D54D6C"/>
    <w:rsid w:val="00D55B61"/>
    <w:rsid w:val="00D55BD3"/>
    <w:rsid w:val="00D56211"/>
    <w:rsid w:val="00D5661A"/>
    <w:rsid w:val="00D5738E"/>
    <w:rsid w:val="00D57AB6"/>
    <w:rsid w:val="00D60351"/>
    <w:rsid w:val="00D60940"/>
    <w:rsid w:val="00D60D3F"/>
    <w:rsid w:val="00D61190"/>
    <w:rsid w:val="00D617FB"/>
    <w:rsid w:val="00D61824"/>
    <w:rsid w:val="00D6238A"/>
    <w:rsid w:val="00D62641"/>
    <w:rsid w:val="00D62887"/>
    <w:rsid w:val="00D62A14"/>
    <w:rsid w:val="00D62C08"/>
    <w:rsid w:val="00D62EC8"/>
    <w:rsid w:val="00D63535"/>
    <w:rsid w:val="00D63C74"/>
    <w:rsid w:val="00D6424C"/>
    <w:rsid w:val="00D643EC"/>
    <w:rsid w:val="00D64556"/>
    <w:rsid w:val="00D65086"/>
    <w:rsid w:val="00D65138"/>
    <w:rsid w:val="00D655A4"/>
    <w:rsid w:val="00D6597A"/>
    <w:rsid w:val="00D666C4"/>
    <w:rsid w:val="00D668EC"/>
    <w:rsid w:val="00D66C89"/>
    <w:rsid w:val="00D6712A"/>
    <w:rsid w:val="00D67400"/>
    <w:rsid w:val="00D67A4C"/>
    <w:rsid w:val="00D7062A"/>
    <w:rsid w:val="00D70CB0"/>
    <w:rsid w:val="00D70DDD"/>
    <w:rsid w:val="00D70F8D"/>
    <w:rsid w:val="00D710CE"/>
    <w:rsid w:val="00D71DA4"/>
    <w:rsid w:val="00D72599"/>
    <w:rsid w:val="00D72654"/>
    <w:rsid w:val="00D7333D"/>
    <w:rsid w:val="00D73A30"/>
    <w:rsid w:val="00D73D85"/>
    <w:rsid w:val="00D74202"/>
    <w:rsid w:val="00D74AE7"/>
    <w:rsid w:val="00D75163"/>
    <w:rsid w:val="00D75792"/>
    <w:rsid w:val="00D760E2"/>
    <w:rsid w:val="00D765FC"/>
    <w:rsid w:val="00D7692A"/>
    <w:rsid w:val="00D77447"/>
    <w:rsid w:val="00D774CC"/>
    <w:rsid w:val="00D7784F"/>
    <w:rsid w:val="00D806D6"/>
    <w:rsid w:val="00D810A7"/>
    <w:rsid w:val="00D8137C"/>
    <w:rsid w:val="00D81593"/>
    <w:rsid w:val="00D81F74"/>
    <w:rsid w:val="00D820B2"/>
    <w:rsid w:val="00D82D8F"/>
    <w:rsid w:val="00D82DEE"/>
    <w:rsid w:val="00D83B23"/>
    <w:rsid w:val="00D8410C"/>
    <w:rsid w:val="00D84293"/>
    <w:rsid w:val="00D84D02"/>
    <w:rsid w:val="00D852A6"/>
    <w:rsid w:val="00D857E5"/>
    <w:rsid w:val="00D85CF3"/>
    <w:rsid w:val="00D863EC"/>
    <w:rsid w:val="00D86699"/>
    <w:rsid w:val="00D8675F"/>
    <w:rsid w:val="00D86A1B"/>
    <w:rsid w:val="00D871E1"/>
    <w:rsid w:val="00D87742"/>
    <w:rsid w:val="00D87EBF"/>
    <w:rsid w:val="00D9012A"/>
    <w:rsid w:val="00D90647"/>
    <w:rsid w:val="00D90785"/>
    <w:rsid w:val="00D90DF9"/>
    <w:rsid w:val="00D90F55"/>
    <w:rsid w:val="00D911CA"/>
    <w:rsid w:val="00D916E0"/>
    <w:rsid w:val="00D91B1E"/>
    <w:rsid w:val="00D9262E"/>
    <w:rsid w:val="00D92EE6"/>
    <w:rsid w:val="00D9314C"/>
    <w:rsid w:val="00D938A3"/>
    <w:rsid w:val="00D93D5E"/>
    <w:rsid w:val="00D9412F"/>
    <w:rsid w:val="00D949EE"/>
    <w:rsid w:val="00D95125"/>
    <w:rsid w:val="00D9581C"/>
    <w:rsid w:val="00D95888"/>
    <w:rsid w:val="00D95D5F"/>
    <w:rsid w:val="00D95FC7"/>
    <w:rsid w:val="00D964AB"/>
    <w:rsid w:val="00D970E9"/>
    <w:rsid w:val="00D97742"/>
    <w:rsid w:val="00D97914"/>
    <w:rsid w:val="00D9BA52"/>
    <w:rsid w:val="00D9ED62"/>
    <w:rsid w:val="00DA0665"/>
    <w:rsid w:val="00DA0F45"/>
    <w:rsid w:val="00DA18DE"/>
    <w:rsid w:val="00DA1A4F"/>
    <w:rsid w:val="00DA2000"/>
    <w:rsid w:val="00DA2839"/>
    <w:rsid w:val="00DA3731"/>
    <w:rsid w:val="00DA39B9"/>
    <w:rsid w:val="00DA3ADE"/>
    <w:rsid w:val="00DA4922"/>
    <w:rsid w:val="00DA51DE"/>
    <w:rsid w:val="00DA554A"/>
    <w:rsid w:val="00DA60F2"/>
    <w:rsid w:val="00DA6828"/>
    <w:rsid w:val="00DA6F8B"/>
    <w:rsid w:val="00DA731A"/>
    <w:rsid w:val="00DA760C"/>
    <w:rsid w:val="00DA7AC9"/>
    <w:rsid w:val="00DB1EB5"/>
    <w:rsid w:val="00DB21C5"/>
    <w:rsid w:val="00DB2856"/>
    <w:rsid w:val="00DB2A66"/>
    <w:rsid w:val="00DB33A2"/>
    <w:rsid w:val="00DB39CE"/>
    <w:rsid w:val="00DB4343"/>
    <w:rsid w:val="00DB44A4"/>
    <w:rsid w:val="00DB45A5"/>
    <w:rsid w:val="00DB5203"/>
    <w:rsid w:val="00DB602B"/>
    <w:rsid w:val="00DB668D"/>
    <w:rsid w:val="00DB66FA"/>
    <w:rsid w:val="00DB79B2"/>
    <w:rsid w:val="00DB7D38"/>
    <w:rsid w:val="00DB7D8E"/>
    <w:rsid w:val="00DC0443"/>
    <w:rsid w:val="00DC07BA"/>
    <w:rsid w:val="00DC160C"/>
    <w:rsid w:val="00DC16F4"/>
    <w:rsid w:val="00DC251C"/>
    <w:rsid w:val="00DC2B18"/>
    <w:rsid w:val="00DC33E3"/>
    <w:rsid w:val="00DC355C"/>
    <w:rsid w:val="00DC36C6"/>
    <w:rsid w:val="00DC4308"/>
    <w:rsid w:val="00DC44E4"/>
    <w:rsid w:val="00DC4743"/>
    <w:rsid w:val="00DC4F51"/>
    <w:rsid w:val="00DC5636"/>
    <w:rsid w:val="00DC56D0"/>
    <w:rsid w:val="00DC56D4"/>
    <w:rsid w:val="00DC586E"/>
    <w:rsid w:val="00DC58EA"/>
    <w:rsid w:val="00DC5DB1"/>
    <w:rsid w:val="00DC6551"/>
    <w:rsid w:val="00DC6B2D"/>
    <w:rsid w:val="00DC70CC"/>
    <w:rsid w:val="00DC727F"/>
    <w:rsid w:val="00DC75D3"/>
    <w:rsid w:val="00DD10DB"/>
    <w:rsid w:val="00DD1623"/>
    <w:rsid w:val="00DD21CB"/>
    <w:rsid w:val="00DD260E"/>
    <w:rsid w:val="00DD2668"/>
    <w:rsid w:val="00DD28C3"/>
    <w:rsid w:val="00DD29F0"/>
    <w:rsid w:val="00DD3A9D"/>
    <w:rsid w:val="00DD4216"/>
    <w:rsid w:val="00DD4DC1"/>
    <w:rsid w:val="00DD58BF"/>
    <w:rsid w:val="00DD5DE3"/>
    <w:rsid w:val="00DD6B11"/>
    <w:rsid w:val="00DD7053"/>
    <w:rsid w:val="00DD7786"/>
    <w:rsid w:val="00DE003C"/>
    <w:rsid w:val="00DE075C"/>
    <w:rsid w:val="00DE0EEF"/>
    <w:rsid w:val="00DE0F86"/>
    <w:rsid w:val="00DE1577"/>
    <w:rsid w:val="00DE2576"/>
    <w:rsid w:val="00DE29AC"/>
    <w:rsid w:val="00DE2ABD"/>
    <w:rsid w:val="00DE3817"/>
    <w:rsid w:val="00DE3D0E"/>
    <w:rsid w:val="00DE3D7C"/>
    <w:rsid w:val="00DE4075"/>
    <w:rsid w:val="00DE40E6"/>
    <w:rsid w:val="00DE42B2"/>
    <w:rsid w:val="00DE46F8"/>
    <w:rsid w:val="00DE4AA9"/>
    <w:rsid w:val="00DE5B08"/>
    <w:rsid w:val="00DE60DE"/>
    <w:rsid w:val="00DE6147"/>
    <w:rsid w:val="00DE6D93"/>
    <w:rsid w:val="00DE72DB"/>
    <w:rsid w:val="00DF0478"/>
    <w:rsid w:val="00DF0B93"/>
    <w:rsid w:val="00DF10BE"/>
    <w:rsid w:val="00DF129E"/>
    <w:rsid w:val="00DF1725"/>
    <w:rsid w:val="00DF1DDC"/>
    <w:rsid w:val="00DF1FBA"/>
    <w:rsid w:val="00DF2885"/>
    <w:rsid w:val="00DF29E0"/>
    <w:rsid w:val="00DF32CF"/>
    <w:rsid w:val="00DF360A"/>
    <w:rsid w:val="00DF4122"/>
    <w:rsid w:val="00DF493E"/>
    <w:rsid w:val="00DF4CA7"/>
    <w:rsid w:val="00DF4CE3"/>
    <w:rsid w:val="00DF6EEA"/>
    <w:rsid w:val="00DF770D"/>
    <w:rsid w:val="00E00A59"/>
    <w:rsid w:val="00E011CD"/>
    <w:rsid w:val="00E01E21"/>
    <w:rsid w:val="00E02354"/>
    <w:rsid w:val="00E02CE8"/>
    <w:rsid w:val="00E02D03"/>
    <w:rsid w:val="00E02E09"/>
    <w:rsid w:val="00E0397E"/>
    <w:rsid w:val="00E03C8A"/>
    <w:rsid w:val="00E042F4"/>
    <w:rsid w:val="00E04DB8"/>
    <w:rsid w:val="00E056F3"/>
    <w:rsid w:val="00E05EAF"/>
    <w:rsid w:val="00E06197"/>
    <w:rsid w:val="00E06E7A"/>
    <w:rsid w:val="00E0713D"/>
    <w:rsid w:val="00E072EC"/>
    <w:rsid w:val="00E076E8"/>
    <w:rsid w:val="00E07FE4"/>
    <w:rsid w:val="00E10978"/>
    <w:rsid w:val="00E12AB9"/>
    <w:rsid w:val="00E13093"/>
    <w:rsid w:val="00E131E3"/>
    <w:rsid w:val="00E133FD"/>
    <w:rsid w:val="00E13EE7"/>
    <w:rsid w:val="00E142C4"/>
    <w:rsid w:val="00E14F78"/>
    <w:rsid w:val="00E1582A"/>
    <w:rsid w:val="00E15F61"/>
    <w:rsid w:val="00E15F63"/>
    <w:rsid w:val="00E163C0"/>
    <w:rsid w:val="00E16814"/>
    <w:rsid w:val="00E16D4E"/>
    <w:rsid w:val="00E17179"/>
    <w:rsid w:val="00E17857"/>
    <w:rsid w:val="00E17A58"/>
    <w:rsid w:val="00E17C4A"/>
    <w:rsid w:val="00E20385"/>
    <w:rsid w:val="00E209B3"/>
    <w:rsid w:val="00E20FA4"/>
    <w:rsid w:val="00E21249"/>
    <w:rsid w:val="00E217A6"/>
    <w:rsid w:val="00E218E1"/>
    <w:rsid w:val="00E2278F"/>
    <w:rsid w:val="00E23A43"/>
    <w:rsid w:val="00E23E25"/>
    <w:rsid w:val="00E2578B"/>
    <w:rsid w:val="00E25C79"/>
    <w:rsid w:val="00E2604D"/>
    <w:rsid w:val="00E266DF"/>
    <w:rsid w:val="00E26C8F"/>
    <w:rsid w:val="00E27D00"/>
    <w:rsid w:val="00E27D65"/>
    <w:rsid w:val="00E3021B"/>
    <w:rsid w:val="00E304AA"/>
    <w:rsid w:val="00E305C9"/>
    <w:rsid w:val="00E3083B"/>
    <w:rsid w:val="00E3088A"/>
    <w:rsid w:val="00E30F57"/>
    <w:rsid w:val="00E31412"/>
    <w:rsid w:val="00E324D9"/>
    <w:rsid w:val="00E32B3E"/>
    <w:rsid w:val="00E32D1D"/>
    <w:rsid w:val="00E32DEE"/>
    <w:rsid w:val="00E3375C"/>
    <w:rsid w:val="00E33E5A"/>
    <w:rsid w:val="00E34488"/>
    <w:rsid w:val="00E34551"/>
    <w:rsid w:val="00E3470E"/>
    <w:rsid w:val="00E347EE"/>
    <w:rsid w:val="00E34B17"/>
    <w:rsid w:val="00E34C07"/>
    <w:rsid w:val="00E359A6"/>
    <w:rsid w:val="00E365C3"/>
    <w:rsid w:val="00E36B78"/>
    <w:rsid w:val="00E37DE4"/>
    <w:rsid w:val="00E37FB1"/>
    <w:rsid w:val="00E40C0C"/>
    <w:rsid w:val="00E41294"/>
    <w:rsid w:val="00E4150F"/>
    <w:rsid w:val="00E41DE2"/>
    <w:rsid w:val="00E42258"/>
    <w:rsid w:val="00E428A8"/>
    <w:rsid w:val="00E42B5B"/>
    <w:rsid w:val="00E4345D"/>
    <w:rsid w:val="00E4351C"/>
    <w:rsid w:val="00E437CE"/>
    <w:rsid w:val="00E437FA"/>
    <w:rsid w:val="00E438A8"/>
    <w:rsid w:val="00E439BD"/>
    <w:rsid w:val="00E44A25"/>
    <w:rsid w:val="00E44B93"/>
    <w:rsid w:val="00E450E0"/>
    <w:rsid w:val="00E453C7"/>
    <w:rsid w:val="00E455F9"/>
    <w:rsid w:val="00E45745"/>
    <w:rsid w:val="00E45ED4"/>
    <w:rsid w:val="00E4739F"/>
    <w:rsid w:val="00E4744B"/>
    <w:rsid w:val="00E4759B"/>
    <w:rsid w:val="00E4790A"/>
    <w:rsid w:val="00E47BA0"/>
    <w:rsid w:val="00E47E65"/>
    <w:rsid w:val="00E505AF"/>
    <w:rsid w:val="00E51310"/>
    <w:rsid w:val="00E52BE5"/>
    <w:rsid w:val="00E53EB4"/>
    <w:rsid w:val="00E5478F"/>
    <w:rsid w:val="00E54AB4"/>
    <w:rsid w:val="00E54E9A"/>
    <w:rsid w:val="00E55152"/>
    <w:rsid w:val="00E55479"/>
    <w:rsid w:val="00E5565D"/>
    <w:rsid w:val="00E56409"/>
    <w:rsid w:val="00E56483"/>
    <w:rsid w:val="00E56627"/>
    <w:rsid w:val="00E578C2"/>
    <w:rsid w:val="00E601A4"/>
    <w:rsid w:val="00E60C1B"/>
    <w:rsid w:val="00E60FC8"/>
    <w:rsid w:val="00E612FB"/>
    <w:rsid w:val="00E61CFF"/>
    <w:rsid w:val="00E61E7D"/>
    <w:rsid w:val="00E6210A"/>
    <w:rsid w:val="00E6268C"/>
    <w:rsid w:val="00E629E9"/>
    <w:rsid w:val="00E62C31"/>
    <w:rsid w:val="00E62E4D"/>
    <w:rsid w:val="00E62F1B"/>
    <w:rsid w:val="00E62FD5"/>
    <w:rsid w:val="00E6354C"/>
    <w:rsid w:val="00E64F1F"/>
    <w:rsid w:val="00E652DE"/>
    <w:rsid w:val="00E66373"/>
    <w:rsid w:val="00E663C4"/>
    <w:rsid w:val="00E663C6"/>
    <w:rsid w:val="00E663C8"/>
    <w:rsid w:val="00E66FEA"/>
    <w:rsid w:val="00E6715E"/>
    <w:rsid w:val="00E67FAD"/>
    <w:rsid w:val="00E70769"/>
    <w:rsid w:val="00E71063"/>
    <w:rsid w:val="00E713CA"/>
    <w:rsid w:val="00E714BA"/>
    <w:rsid w:val="00E71BD1"/>
    <w:rsid w:val="00E72717"/>
    <w:rsid w:val="00E727DE"/>
    <w:rsid w:val="00E72D2C"/>
    <w:rsid w:val="00E7331C"/>
    <w:rsid w:val="00E73BE8"/>
    <w:rsid w:val="00E73E0B"/>
    <w:rsid w:val="00E744B6"/>
    <w:rsid w:val="00E7499E"/>
    <w:rsid w:val="00E74D9E"/>
    <w:rsid w:val="00E74E4D"/>
    <w:rsid w:val="00E756C9"/>
    <w:rsid w:val="00E76065"/>
    <w:rsid w:val="00E76F0F"/>
    <w:rsid w:val="00E775CE"/>
    <w:rsid w:val="00E776B4"/>
    <w:rsid w:val="00E778B3"/>
    <w:rsid w:val="00E77F53"/>
    <w:rsid w:val="00E802FB"/>
    <w:rsid w:val="00E806D5"/>
    <w:rsid w:val="00E80BF6"/>
    <w:rsid w:val="00E81C61"/>
    <w:rsid w:val="00E81C71"/>
    <w:rsid w:val="00E82972"/>
    <w:rsid w:val="00E82A0C"/>
    <w:rsid w:val="00E82B5F"/>
    <w:rsid w:val="00E83396"/>
    <w:rsid w:val="00E8382D"/>
    <w:rsid w:val="00E83DD4"/>
    <w:rsid w:val="00E83F90"/>
    <w:rsid w:val="00E841C4"/>
    <w:rsid w:val="00E8437A"/>
    <w:rsid w:val="00E84490"/>
    <w:rsid w:val="00E84D9B"/>
    <w:rsid w:val="00E84F64"/>
    <w:rsid w:val="00E84FE0"/>
    <w:rsid w:val="00E859DF"/>
    <w:rsid w:val="00E863E3"/>
    <w:rsid w:val="00E86BF5"/>
    <w:rsid w:val="00E870E0"/>
    <w:rsid w:val="00E873D5"/>
    <w:rsid w:val="00E87F29"/>
    <w:rsid w:val="00E90414"/>
    <w:rsid w:val="00E9065E"/>
    <w:rsid w:val="00E90D81"/>
    <w:rsid w:val="00E91D28"/>
    <w:rsid w:val="00E92B12"/>
    <w:rsid w:val="00E93288"/>
    <w:rsid w:val="00E93344"/>
    <w:rsid w:val="00E93405"/>
    <w:rsid w:val="00E93C32"/>
    <w:rsid w:val="00E94793"/>
    <w:rsid w:val="00E950A2"/>
    <w:rsid w:val="00E956CE"/>
    <w:rsid w:val="00E95E35"/>
    <w:rsid w:val="00E962B3"/>
    <w:rsid w:val="00E96BA6"/>
    <w:rsid w:val="00E96D7D"/>
    <w:rsid w:val="00E96E9B"/>
    <w:rsid w:val="00E97BA1"/>
    <w:rsid w:val="00EA005B"/>
    <w:rsid w:val="00EA0527"/>
    <w:rsid w:val="00EA079A"/>
    <w:rsid w:val="00EA1183"/>
    <w:rsid w:val="00EA1AC4"/>
    <w:rsid w:val="00EA1BB0"/>
    <w:rsid w:val="00EA24DF"/>
    <w:rsid w:val="00EA2A2C"/>
    <w:rsid w:val="00EA2A92"/>
    <w:rsid w:val="00EA2A94"/>
    <w:rsid w:val="00EA2BCD"/>
    <w:rsid w:val="00EA2BFD"/>
    <w:rsid w:val="00EA2E7D"/>
    <w:rsid w:val="00EA32A5"/>
    <w:rsid w:val="00EA32AB"/>
    <w:rsid w:val="00EA3A3A"/>
    <w:rsid w:val="00EA40B0"/>
    <w:rsid w:val="00EA40BF"/>
    <w:rsid w:val="00EA4DE8"/>
    <w:rsid w:val="00EA5130"/>
    <w:rsid w:val="00EA555F"/>
    <w:rsid w:val="00EA560B"/>
    <w:rsid w:val="00EA6A1D"/>
    <w:rsid w:val="00EA6CEF"/>
    <w:rsid w:val="00EA7158"/>
    <w:rsid w:val="00EA7846"/>
    <w:rsid w:val="00EB0699"/>
    <w:rsid w:val="00EB0F91"/>
    <w:rsid w:val="00EB12E1"/>
    <w:rsid w:val="00EB1688"/>
    <w:rsid w:val="00EB1E8C"/>
    <w:rsid w:val="00EB2215"/>
    <w:rsid w:val="00EB24CA"/>
    <w:rsid w:val="00EB27EE"/>
    <w:rsid w:val="00EB2AA1"/>
    <w:rsid w:val="00EB2D8B"/>
    <w:rsid w:val="00EB3425"/>
    <w:rsid w:val="00EB3AC0"/>
    <w:rsid w:val="00EB417E"/>
    <w:rsid w:val="00EB41DE"/>
    <w:rsid w:val="00EB4449"/>
    <w:rsid w:val="00EB48BE"/>
    <w:rsid w:val="00EB4E07"/>
    <w:rsid w:val="00EB4F5A"/>
    <w:rsid w:val="00EB5099"/>
    <w:rsid w:val="00EB5524"/>
    <w:rsid w:val="00EB568E"/>
    <w:rsid w:val="00EB5C11"/>
    <w:rsid w:val="00EB69D5"/>
    <w:rsid w:val="00EB6BF1"/>
    <w:rsid w:val="00EB6E30"/>
    <w:rsid w:val="00EB73B5"/>
    <w:rsid w:val="00EB7726"/>
    <w:rsid w:val="00EC11DF"/>
    <w:rsid w:val="00EC12B1"/>
    <w:rsid w:val="00EC1A16"/>
    <w:rsid w:val="00EC1F07"/>
    <w:rsid w:val="00EC2DFB"/>
    <w:rsid w:val="00EC37A6"/>
    <w:rsid w:val="00EC4512"/>
    <w:rsid w:val="00EC46D0"/>
    <w:rsid w:val="00EC4C82"/>
    <w:rsid w:val="00EC579F"/>
    <w:rsid w:val="00EC5BC7"/>
    <w:rsid w:val="00EC5C52"/>
    <w:rsid w:val="00EC611A"/>
    <w:rsid w:val="00EC71C6"/>
    <w:rsid w:val="00EC78D0"/>
    <w:rsid w:val="00ED0445"/>
    <w:rsid w:val="00ED06DE"/>
    <w:rsid w:val="00ED0E32"/>
    <w:rsid w:val="00ED1708"/>
    <w:rsid w:val="00ED1A4B"/>
    <w:rsid w:val="00ED1DB5"/>
    <w:rsid w:val="00ED2019"/>
    <w:rsid w:val="00ED22E8"/>
    <w:rsid w:val="00ED2FF8"/>
    <w:rsid w:val="00ED3285"/>
    <w:rsid w:val="00ED3391"/>
    <w:rsid w:val="00ED340B"/>
    <w:rsid w:val="00ED3BAC"/>
    <w:rsid w:val="00ED46C6"/>
    <w:rsid w:val="00ED4A04"/>
    <w:rsid w:val="00ED629E"/>
    <w:rsid w:val="00ED64C6"/>
    <w:rsid w:val="00ED6AB2"/>
    <w:rsid w:val="00ED6E49"/>
    <w:rsid w:val="00ED71C1"/>
    <w:rsid w:val="00ED72A4"/>
    <w:rsid w:val="00ED74E8"/>
    <w:rsid w:val="00ED7ECB"/>
    <w:rsid w:val="00EE0165"/>
    <w:rsid w:val="00EE04C6"/>
    <w:rsid w:val="00EE0563"/>
    <w:rsid w:val="00EE05C2"/>
    <w:rsid w:val="00EE1156"/>
    <w:rsid w:val="00EE2F15"/>
    <w:rsid w:val="00EE2FD2"/>
    <w:rsid w:val="00EE3635"/>
    <w:rsid w:val="00EE37A2"/>
    <w:rsid w:val="00EE3F3C"/>
    <w:rsid w:val="00EE4E2D"/>
    <w:rsid w:val="00EE565C"/>
    <w:rsid w:val="00EE5739"/>
    <w:rsid w:val="00EE595C"/>
    <w:rsid w:val="00EE5B36"/>
    <w:rsid w:val="00EE64EC"/>
    <w:rsid w:val="00EE673B"/>
    <w:rsid w:val="00EE6D23"/>
    <w:rsid w:val="00EE7039"/>
    <w:rsid w:val="00EE71DD"/>
    <w:rsid w:val="00EE798B"/>
    <w:rsid w:val="00EE7FCE"/>
    <w:rsid w:val="00EF0042"/>
    <w:rsid w:val="00EF02F8"/>
    <w:rsid w:val="00EF05B8"/>
    <w:rsid w:val="00EF099D"/>
    <w:rsid w:val="00EF21A5"/>
    <w:rsid w:val="00EF2345"/>
    <w:rsid w:val="00EF24D3"/>
    <w:rsid w:val="00EF4151"/>
    <w:rsid w:val="00EF42B0"/>
    <w:rsid w:val="00EF4B74"/>
    <w:rsid w:val="00EF5237"/>
    <w:rsid w:val="00EF58D5"/>
    <w:rsid w:val="00EF5D0E"/>
    <w:rsid w:val="00EF687D"/>
    <w:rsid w:val="00EF6959"/>
    <w:rsid w:val="00EF6BBE"/>
    <w:rsid w:val="00EF79C5"/>
    <w:rsid w:val="00EF7F5E"/>
    <w:rsid w:val="00F00259"/>
    <w:rsid w:val="00F0040D"/>
    <w:rsid w:val="00F0084F"/>
    <w:rsid w:val="00F00999"/>
    <w:rsid w:val="00F01153"/>
    <w:rsid w:val="00F0149F"/>
    <w:rsid w:val="00F02F97"/>
    <w:rsid w:val="00F036EE"/>
    <w:rsid w:val="00F0389D"/>
    <w:rsid w:val="00F04AEE"/>
    <w:rsid w:val="00F04E81"/>
    <w:rsid w:val="00F05A57"/>
    <w:rsid w:val="00F06211"/>
    <w:rsid w:val="00F0631D"/>
    <w:rsid w:val="00F0642E"/>
    <w:rsid w:val="00F06534"/>
    <w:rsid w:val="00F06D0F"/>
    <w:rsid w:val="00F072F1"/>
    <w:rsid w:val="00F073C7"/>
    <w:rsid w:val="00F07D5A"/>
    <w:rsid w:val="00F07FB7"/>
    <w:rsid w:val="00F1069E"/>
    <w:rsid w:val="00F111A0"/>
    <w:rsid w:val="00F11A8A"/>
    <w:rsid w:val="00F124CF"/>
    <w:rsid w:val="00F125AA"/>
    <w:rsid w:val="00F12B8F"/>
    <w:rsid w:val="00F132BB"/>
    <w:rsid w:val="00F1348D"/>
    <w:rsid w:val="00F136B6"/>
    <w:rsid w:val="00F13D3C"/>
    <w:rsid w:val="00F1441F"/>
    <w:rsid w:val="00F14437"/>
    <w:rsid w:val="00F14575"/>
    <w:rsid w:val="00F1490B"/>
    <w:rsid w:val="00F14E7B"/>
    <w:rsid w:val="00F14EAF"/>
    <w:rsid w:val="00F15768"/>
    <w:rsid w:val="00F17051"/>
    <w:rsid w:val="00F17439"/>
    <w:rsid w:val="00F17C54"/>
    <w:rsid w:val="00F17F57"/>
    <w:rsid w:val="00F20233"/>
    <w:rsid w:val="00F208CA"/>
    <w:rsid w:val="00F21136"/>
    <w:rsid w:val="00F21265"/>
    <w:rsid w:val="00F217E7"/>
    <w:rsid w:val="00F227E0"/>
    <w:rsid w:val="00F2370F"/>
    <w:rsid w:val="00F23E39"/>
    <w:rsid w:val="00F24360"/>
    <w:rsid w:val="00F24577"/>
    <w:rsid w:val="00F2495B"/>
    <w:rsid w:val="00F25B14"/>
    <w:rsid w:val="00F26368"/>
    <w:rsid w:val="00F26724"/>
    <w:rsid w:val="00F27983"/>
    <w:rsid w:val="00F3030E"/>
    <w:rsid w:val="00F30A1A"/>
    <w:rsid w:val="00F30D27"/>
    <w:rsid w:val="00F311A3"/>
    <w:rsid w:val="00F3204A"/>
    <w:rsid w:val="00F324FF"/>
    <w:rsid w:val="00F329F9"/>
    <w:rsid w:val="00F33A7B"/>
    <w:rsid w:val="00F33E76"/>
    <w:rsid w:val="00F3480D"/>
    <w:rsid w:val="00F3554F"/>
    <w:rsid w:val="00F355F2"/>
    <w:rsid w:val="00F35863"/>
    <w:rsid w:val="00F35A80"/>
    <w:rsid w:val="00F35F8A"/>
    <w:rsid w:val="00F36609"/>
    <w:rsid w:val="00F36707"/>
    <w:rsid w:val="00F36BBE"/>
    <w:rsid w:val="00F40F38"/>
    <w:rsid w:val="00F411D3"/>
    <w:rsid w:val="00F411D4"/>
    <w:rsid w:val="00F419F6"/>
    <w:rsid w:val="00F42002"/>
    <w:rsid w:val="00F42918"/>
    <w:rsid w:val="00F42B60"/>
    <w:rsid w:val="00F42E34"/>
    <w:rsid w:val="00F434BD"/>
    <w:rsid w:val="00F43964"/>
    <w:rsid w:val="00F441C5"/>
    <w:rsid w:val="00F448CF"/>
    <w:rsid w:val="00F449A6"/>
    <w:rsid w:val="00F453EB"/>
    <w:rsid w:val="00F4541D"/>
    <w:rsid w:val="00F45B00"/>
    <w:rsid w:val="00F464A9"/>
    <w:rsid w:val="00F47501"/>
    <w:rsid w:val="00F47596"/>
    <w:rsid w:val="00F47B0E"/>
    <w:rsid w:val="00F47EA2"/>
    <w:rsid w:val="00F47F51"/>
    <w:rsid w:val="00F5013B"/>
    <w:rsid w:val="00F50481"/>
    <w:rsid w:val="00F5057F"/>
    <w:rsid w:val="00F512A2"/>
    <w:rsid w:val="00F5167C"/>
    <w:rsid w:val="00F51773"/>
    <w:rsid w:val="00F51B3A"/>
    <w:rsid w:val="00F51C7E"/>
    <w:rsid w:val="00F51CB0"/>
    <w:rsid w:val="00F51CF4"/>
    <w:rsid w:val="00F51FE3"/>
    <w:rsid w:val="00F520D4"/>
    <w:rsid w:val="00F523DA"/>
    <w:rsid w:val="00F52556"/>
    <w:rsid w:val="00F525EE"/>
    <w:rsid w:val="00F52944"/>
    <w:rsid w:val="00F530AE"/>
    <w:rsid w:val="00F53B75"/>
    <w:rsid w:val="00F5405B"/>
    <w:rsid w:val="00F548D3"/>
    <w:rsid w:val="00F549A7"/>
    <w:rsid w:val="00F54B9A"/>
    <w:rsid w:val="00F54F88"/>
    <w:rsid w:val="00F5598E"/>
    <w:rsid w:val="00F55A9B"/>
    <w:rsid w:val="00F55F62"/>
    <w:rsid w:val="00F55FEC"/>
    <w:rsid w:val="00F5666C"/>
    <w:rsid w:val="00F568DF"/>
    <w:rsid w:val="00F56B5C"/>
    <w:rsid w:val="00F56F58"/>
    <w:rsid w:val="00F571F4"/>
    <w:rsid w:val="00F573A2"/>
    <w:rsid w:val="00F57848"/>
    <w:rsid w:val="00F60AAE"/>
    <w:rsid w:val="00F610FB"/>
    <w:rsid w:val="00F614C5"/>
    <w:rsid w:val="00F618B0"/>
    <w:rsid w:val="00F61F7A"/>
    <w:rsid w:val="00F61FE2"/>
    <w:rsid w:val="00F62706"/>
    <w:rsid w:val="00F62E69"/>
    <w:rsid w:val="00F62F08"/>
    <w:rsid w:val="00F636F5"/>
    <w:rsid w:val="00F63729"/>
    <w:rsid w:val="00F63C02"/>
    <w:rsid w:val="00F65207"/>
    <w:rsid w:val="00F65A96"/>
    <w:rsid w:val="00F661F9"/>
    <w:rsid w:val="00F6683F"/>
    <w:rsid w:val="00F6689B"/>
    <w:rsid w:val="00F66970"/>
    <w:rsid w:val="00F66FB1"/>
    <w:rsid w:val="00F672B0"/>
    <w:rsid w:val="00F7162D"/>
    <w:rsid w:val="00F718DC"/>
    <w:rsid w:val="00F71914"/>
    <w:rsid w:val="00F71BDB"/>
    <w:rsid w:val="00F72352"/>
    <w:rsid w:val="00F7256A"/>
    <w:rsid w:val="00F726E3"/>
    <w:rsid w:val="00F72908"/>
    <w:rsid w:val="00F72946"/>
    <w:rsid w:val="00F72983"/>
    <w:rsid w:val="00F72E90"/>
    <w:rsid w:val="00F7392E"/>
    <w:rsid w:val="00F748F2"/>
    <w:rsid w:val="00F75286"/>
    <w:rsid w:val="00F76037"/>
    <w:rsid w:val="00F766CA"/>
    <w:rsid w:val="00F76E0E"/>
    <w:rsid w:val="00F77146"/>
    <w:rsid w:val="00F7717C"/>
    <w:rsid w:val="00F773B2"/>
    <w:rsid w:val="00F779A2"/>
    <w:rsid w:val="00F80E33"/>
    <w:rsid w:val="00F81341"/>
    <w:rsid w:val="00F81CA4"/>
    <w:rsid w:val="00F81EE2"/>
    <w:rsid w:val="00F820F0"/>
    <w:rsid w:val="00F82327"/>
    <w:rsid w:val="00F82575"/>
    <w:rsid w:val="00F83603"/>
    <w:rsid w:val="00F8445E"/>
    <w:rsid w:val="00F84477"/>
    <w:rsid w:val="00F8599A"/>
    <w:rsid w:val="00F85ECC"/>
    <w:rsid w:val="00F85F25"/>
    <w:rsid w:val="00F8628E"/>
    <w:rsid w:val="00F87112"/>
    <w:rsid w:val="00F87132"/>
    <w:rsid w:val="00F87554"/>
    <w:rsid w:val="00F8795A"/>
    <w:rsid w:val="00F8795C"/>
    <w:rsid w:val="00F87C55"/>
    <w:rsid w:val="00F87F64"/>
    <w:rsid w:val="00F90A08"/>
    <w:rsid w:val="00F91863"/>
    <w:rsid w:val="00F91CFF"/>
    <w:rsid w:val="00F9286E"/>
    <w:rsid w:val="00F929F3"/>
    <w:rsid w:val="00F92AD7"/>
    <w:rsid w:val="00F93BCD"/>
    <w:rsid w:val="00F93CB5"/>
    <w:rsid w:val="00F93EB1"/>
    <w:rsid w:val="00F94A9F"/>
    <w:rsid w:val="00F9535F"/>
    <w:rsid w:val="00F95947"/>
    <w:rsid w:val="00F95D6F"/>
    <w:rsid w:val="00F95DA2"/>
    <w:rsid w:val="00F96AA3"/>
    <w:rsid w:val="00F96E9A"/>
    <w:rsid w:val="00F97935"/>
    <w:rsid w:val="00F97946"/>
    <w:rsid w:val="00F97F39"/>
    <w:rsid w:val="00FA19CA"/>
    <w:rsid w:val="00FA1DA9"/>
    <w:rsid w:val="00FA2880"/>
    <w:rsid w:val="00FA2BB5"/>
    <w:rsid w:val="00FA2C1F"/>
    <w:rsid w:val="00FA2D97"/>
    <w:rsid w:val="00FA34C0"/>
    <w:rsid w:val="00FA4488"/>
    <w:rsid w:val="00FA49B3"/>
    <w:rsid w:val="00FA4DFC"/>
    <w:rsid w:val="00FA4FF5"/>
    <w:rsid w:val="00FA5284"/>
    <w:rsid w:val="00FA58F2"/>
    <w:rsid w:val="00FA69DA"/>
    <w:rsid w:val="00FA70C0"/>
    <w:rsid w:val="00FA70F1"/>
    <w:rsid w:val="00FA77FC"/>
    <w:rsid w:val="00FA7969"/>
    <w:rsid w:val="00FA7DE8"/>
    <w:rsid w:val="00FA7FD3"/>
    <w:rsid w:val="00FB0400"/>
    <w:rsid w:val="00FB05C5"/>
    <w:rsid w:val="00FB0E31"/>
    <w:rsid w:val="00FB1C50"/>
    <w:rsid w:val="00FB1E09"/>
    <w:rsid w:val="00FB2FAC"/>
    <w:rsid w:val="00FB3932"/>
    <w:rsid w:val="00FB3C64"/>
    <w:rsid w:val="00FB3D4B"/>
    <w:rsid w:val="00FB3F18"/>
    <w:rsid w:val="00FB42AC"/>
    <w:rsid w:val="00FB4A90"/>
    <w:rsid w:val="00FB5884"/>
    <w:rsid w:val="00FB5A00"/>
    <w:rsid w:val="00FB5A3F"/>
    <w:rsid w:val="00FB5F21"/>
    <w:rsid w:val="00FB5F3C"/>
    <w:rsid w:val="00FB6342"/>
    <w:rsid w:val="00FB695A"/>
    <w:rsid w:val="00FB6FE1"/>
    <w:rsid w:val="00FC079D"/>
    <w:rsid w:val="00FC132D"/>
    <w:rsid w:val="00FC14D3"/>
    <w:rsid w:val="00FC15DA"/>
    <w:rsid w:val="00FC19E8"/>
    <w:rsid w:val="00FC1D8E"/>
    <w:rsid w:val="00FC1DC8"/>
    <w:rsid w:val="00FC2388"/>
    <w:rsid w:val="00FC36DA"/>
    <w:rsid w:val="00FC3E7B"/>
    <w:rsid w:val="00FC4517"/>
    <w:rsid w:val="00FC464F"/>
    <w:rsid w:val="00FC511B"/>
    <w:rsid w:val="00FC51C5"/>
    <w:rsid w:val="00FC54E8"/>
    <w:rsid w:val="00FC5626"/>
    <w:rsid w:val="00FC58E1"/>
    <w:rsid w:val="00FC6079"/>
    <w:rsid w:val="00FC614B"/>
    <w:rsid w:val="00FC68EA"/>
    <w:rsid w:val="00FC691B"/>
    <w:rsid w:val="00FC6B52"/>
    <w:rsid w:val="00FC6E85"/>
    <w:rsid w:val="00FC6F42"/>
    <w:rsid w:val="00FC73CE"/>
    <w:rsid w:val="00FC74F5"/>
    <w:rsid w:val="00FC7792"/>
    <w:rsid w:val="00FC791C"/>
    <w:rsid w:val="00FD078C"/>
    <w:rsid w:val="00FD0985"/>
    <w:rsid w:val="00FD0C21"/>
    <w:rsid w:val="00FD0FC2"/>
    <w:rsid w:val="00FD119C"/>
    <w:rsid w:val="00FD15F5"/>
    <w:rsid w:val="00FD227E"/>
    <w:rsid w:val="00FD32E7"/>
    <w:rsid w:val="00FD359E"/>
    <w:rsid w:val="00FD3874"/>
    <w:rsid w:val="00FD3883"/>
    <w:rsid w:val="00FD3CF2"/>
    <w:rsid w:val="00FD43A9"/>
    <w:rsid w:val="00FD48FE"/>
    <w:rsid w:val="00FD4B9A"/>
    <w:rsid w:val="00FD545A"/>
    <w:rsid w:val="00FD7D60"/>
    <w:rsid w:val="00FD7E1B"/>
    <w:rsid w:val="00FD7F2A"/>
    <w:rsid w:val="00FE041B"/>
    <w:rsid w:val="00FE08E6"/>
    <w:rsid w:val="00FE102E"/>
    <w:rsid w:val="00FE149D"/>
    <w:rsid w:val="00FE1E18"/>
    <w:rsid w:val="00FE2C95"/>
    <w:rsid w:val="00FE2D68"/>
    <w:rsid w:val="00FE33F1"/>
    <w:rsid w:val="00FE369B"/>
    <w:rsid w:val="00FE3D76"/>
    <w:rsid w:val="00FE4045"/>
    <w:rsid w:val="00FE429A"/>
    <w:rsid w:val="00FE4448"/>
    <w:rsid w:val="00FE4D65"/>
    <w:rsid w:val="00FE4EF8"/>
    <w:rsid w:val="00FE5634"/>
    <w:rsid w:val="00FE5886"/>
    <w:rsid w:val="00FE5A96"/>
    <w:rsid w:val="00FE619A"/>
    <w:rsid w:val="00FE727C"/>
    <w:rsid w:val="00FE7625"/>
    <w:rsid w:val="00FE7BCF"/>
    <w:rsid w:val="00FE7D1C"/>
    <w:rsid w:val="00FF04E7"/>
    <w:rsid w:val="00FF078E"/>
    <w:rsid w:val="00FF0B3D"/>
    <w:rsid w:val="00FF0BD9"/>
    <w:rsid w:val="00FF14CB"/>
    <w:rsid w:val="00FF1757"/>
    <w:rsid w:val="00FF189B"/>
    <w:rsid w:val="00FF1CFC"/>
    <w:rsid w:val="00FF225A"/>
    <w:rsid w:val="00FF2DBA"/>
    <w:rsid w:val="00FF30A9"/>
    <w:rsid w:val="00FF33E2"/>
    <w:rsid w:val="00FF34EB"/>
    <w:rsid w:val="00FF3636"/>
    <w:rsid w:val="00FF3F25"/>
    <w:rsid w:val="00FF43E4"/>
    <w:rsid w:val="00FF45F3"/>
    <w:rsid w:val="00FF469D"/>
    <w:rsid w:val="00FF48A3"/>
    <w:rsid w:val="00FF48FA"/>
    <w:rsid w:val="00FF4C66"/>
    <w:rsid w:val="00FF4CB7"/>
    <w:rsid w:val="00FF6074"/>
    <w:rsid w:val="00FF6D25"/>
    <w:rsid w:val="00FF6D67"/>
    <w:rsid w:val="00FF72CC"/>
    <w:rsid w:val="00FFF929"/>
    <w:rsid w:val="010A3B60"/>
    <w:rsid w:val="010AEAA0"/>
    <w:rsid w:val="0123D239"/>
    <w:rsid w:val="01258E51"/>
    <w:rsid w:val="013A5316"/>
    <w:rsid w:val="0145C28D"/>
    <w:rsid w:val="015C3523"/>
    <w:rsid w:val="01617FFF"/>
    <w:rsid w:val="01653DC0"/>
    <w:rsid w:val="016612A8"/>
    <w:rsid w:val="016A3F94"/>
    <w:rsid w:val="01726BB2"/>
    <w:rsid w:val="0173E4BB"/>
    <w:rsid w:val="0176E02D"/>
    <w:rsid w:val="017A2DB4"/>
    <w:rsid w:val="017CA526"/>
    <w:rsid w:val="01863127"/>
    <w:rsid w:val="018FC888"/>
    <w:rsid w:val="01940D01"/>
    <w:rsid w:val="019C3A40"/>
    <w:rsid w:val="01A9097A"/>
    <w:rsid w:val="01B7187A"/>
    <w:rsid w:val="01BADFD6"/>
    <w:rsid w:val="01C68071"/>
    <w:rsid w:val="01D57D7F"/>
    <w:rsid w:val="01E2E5B9"/>
    <w:rsid w:val="01E707CE"/>
    <w:rsid w:val="020C24A0"/>
    <w:rsid w:val="020E646F"/>
    <w:rsid w:val="0224554D"/>
    <w:rsid w:val="022B400B"/>
    <w:rsid w:val="02370579"/>
    <w:rsid w:val="02402A6F"/>
    <w:rsid w:val="02441BF1"/>
    <w:rsid w:val="02450C5B"/>
    <w:rsid w:val="0249F65F"/>
    <w:rsid w:val="024F6E33"/>
    <w:rsid w:val="02502C5E"/>
    <w:rsid w:val="02541C11"/>
    <w:rsid w:val="025FF444"/>
    <w:rsid w:val="027D1759"/>
    <w:rsid w:val="027F4332"/>
    <w:rsid w:val="0280BAD3"/>
    <w:rsid w:val="02879741"/>
    <w:rsid w:val="02896AFF"/>
    <w:rsid w:val="028D7527"/>
    <w:rsid w:val="028ECF21"/>
    <w:rsid w:val="028F0A7B"/>
    <w:rsid w:val="028FDBD2"/>
    <w:rsid w:val="028FFC7F"/>
    <w:rsid w:val="029CCD1A"/>
    <w:rsid w:val="02A1BF03"/>
    <w:rsid w:val="02A4B473"/>
    <w:rsid w:val="02DCFF49"/>
    <w:rsid w:val="02E7AB7F"/>
    <w:rsid w:val="02EC2399"/>
    <w:rsid w:val="02FD171B"/>
    <w:rsid w:val="02FE88B1"/>
    <w:rsid w:val="0302789D"/>
    <w:rsid w:val="0304C947"/>
    <w:rsid w:val="030DEB5D"/>
    <w:rsid w:val="0323414B"/>
    <w:rsid w:val="032CA4AC"/>
    <w:rsid w:val="03448A3B"/>
    <w:rsid w:val="03602706"/>
    <w:rsid w:val="03639A23"/>
    <w:rsid w:val="0364F70D"/>
    <w:rsid w:val="037016E1"/>
    <w:rsid w:val="0371AD8D"/>
    <w:rsid w:val="037320E9"/>
    <w:rsid w:val="0377B638"/>
    <w:rsid w:val="038C3B9D"/>
    <w:rsid w:val="039A5195"/>
    <w:rsid w:val="039C8EC5"/>
    <w:rsid w:val="03BD7419"/>
    <w:rsid w:val="03C2F72A"/>
    <w:rsid w:val="03C88E69"/>
    <w:rsid w:val="03CC2A62"/>
    <w:rsid w:val="03D80995"/>
    <w:rsid w:val="03D82A08"/>
    <w:rsid w:val="03E5E85C"/>
    <w:rsid w:val="03F6D05A"/>
    <w:rsid w:val="03F7DFA6"/>
    <w:rsid w:val="03F9E619"/>
    <w:rsid w:val="03FFA67B"/>
    <w:rsid w:val="04018BD7"/>
    <w:rsid w:val="0408C465"/>
    <w:rsid w:val="0411F052"/>
    <w:rsid w:val="04139BAF"/>
    <w:rsid w:val="0418D073"/>
    <w:rsid w:val="0418D0FD"/>
    <w:rsid w:val="04396F97"/>
    <w:rsid w:val="0446A32A"/>
    <w:rsid w:val="045498BD"/>
    <w:rsid w:val="047F66AD"/>
    <w:rsid w:val="04835E69"/>
    <w:rsid w:val="04859CE5"/>
    <w:rsid w:val="048B34D1"/>
    <w:rsid w:val="04A62E86"/>
    <w:rsid w:val="04BAEF83"/>
    <w:rsid w:val="04BB984A"/>
    <w:rsid w:val="04C5A9B6"/>
    <w:rsid w:val="04C5D1A6"/>
    <w:rsid w:val="04C78B76"/>
    <w:rsid w:val="04CEBB00"/>
    <w:rsid w:val="04D1D386"/>
    <w:rsid w:val="04DA8C05"/>
    <w:rsid w:val="04DD6D45"/>
    <w:rsid w:val="04E9872D"/>
    <w:rsid w:val="04EFDF0B"/>
    <w:rsid w:val="04FC10BE"/>
    <w:rsid w:val="0505C377"/>
    <w:rsid w:val="051A2332"/>
    <w:rsid w:val="052E6023"/>
    <w:rsid w:val="05339E23"/>
    <w:rsid w:val="0535B70C"/>
    <w:rsid w:val="05516E8F"/>
    <w:rsid w:val="0552BACE"/>
    <w:rsid w:val="055D2657"/>
    <w:rsid w:val="0563D3C9"/>
    <w:rsid w:val="056C08EC"/>
    <w:rsid w:val="05796032"/>
    <w:rsid w:val="057EC17B"/>
    <w:rsid w:val="058D948C"/>
    <w:rsid w:val="058FF8FF"/>
    <w:rsid w:val="05922A60"/>
    <w:rsid w:val="05972D4C"/>
    <w:rsid w:val="05B1129B"/>
    <w:rsid w:val="05B7ED33"/>
    <w:rsid w:val="05B7FBDD"/>
    <w:rsid w:val="05D0EEF2"/>
    <w:rsid w:val="05E998FF"/>
    <w:rsid w:val="05EA66AB"/>
    <w:rsid w:val="05EA7D54"/>
    <w:rsid w:val="05FB34F4"/>
    <w:rsid w:val="0636807A"/>
    <w:rsid w:val="0636C207"/>
    <w:rsid w:val="066AEC30"/>
    <w:rsid w:val="06775474"/>
    <w:rsid w:val="06795240"/>
    <w:rsid w:val="067AD870"/>
    <w:rsid w:val="068BFEF7"/>
    <w:rsid w:val="0695D6E6"/>
    <w:rsid w:val="069BF21F"/>
    <w:rsid w:val="06A07E57"/>
    <w:rsid w:val="06AF76E8"/>
    <w:rsid w:val="06BC5AB2"/>
    <w:rsid w:val="06C713C2"/>
    <w:rsid w:val="06CB58F7"/>
    <w:rsid w:val="06CBCEC7"/>
    <w:rsid w:val="06D72DAF"/>
    <w:rsid w:val="06D8BF82"/>
    <w:rsid w:val="06E1D19B"/>
    <w:rsid w:val="06E25797"/>
    <w:rsid w:val="06F30444"/>
    <w:rsid w:val="07083907"/>
    <w:rsid w:val="070BE3E8"/>
    <w:rsid w:val="070E174E"/>
    <w:rsid w:val="07256EBD"/>
    <w:rsid w:val="072D28E7"/>
    <w:rsid w:val="073DFE61"/>
    <w:rsid w:val="074ADE05"/>
    <w:rsid w:val="074FA120"/>
    <w:rsid w:val="0764A237"/>
    <w:rsid w:val="077497F3"/>
    <w:rsid w:val="077DF914"/>
    <w:rsid w:val="078EAC46"/>
    <w:rsid w:val="079C931F"/>
    <w:rsid w:val="07B481F2"/>
    <w:rsid w:val="07B9B7B5"/>
    <w:rsid w:val="07BEB6C7"/>
    <w:rsid w:val="07EE14DF"/>
    <w:rsid w:val="07F1E380"/>
    <w:rsid w:val="07FFE779"/>
    <w:rsid w:val="080592E9"/>
    <w:rsid w:val="08112140"/>
    <w:rsid w:val="0827AB40"/>
    <w:rsid w:val="083072EA"/>
    <w:rsid w:val="083E150C"/>
    <w:rsid w:val="08400686"/>
    <w:rsid w:val="0846AA3F"/>
    <w:rsid w:val="0847F45B"/>
    <w:rsid w:val="084E8ADE"/>
    <w:rsid w:val="0852C16D"/>
    <w:rsid w:val="087407FB"/>
    <w:rsid w:val="087E6E30"/>
    <w:rsid w:val="088B399E"/>
    <w:rsid w:val="089053AE"/>
    <w:rsid w:val="08A2D752"/>
    <w:rsid w:val="08AAB5E5"/>
    <w:rsid w:val="08BD1F3C"/>
    <w:rsid w:val="08D0E6F7"/>
    <w:rsid w:val="08D4512A"/>
    <w:rsid w:val="08D7770B"/>
    <w:rsid w:val="08E4FC24"/>
    <w:rsid w:val="0904FE4F"/>
    <w:rsid w:val="09089210"/>
    <w:rsid w:val="090B1AEC"/>
    <w:rsid w:val="091361EE"/>
    <w:rsid w:val="091A73EC"/>
    <w:rsid w:val="0923AEC9"/>
    <w:rsid w:val="0924ABEE"/>
    <w:rsid w:val="09368C96"/>
    <w:rsid w:val="09431071"/>
    <w:rsid w:val="0946037C"/>
    <w:rsid w:val="0955A3DA"/>
    <w:rsid w:val="096FB0B3"/>
    <w:rsid w:val="098F1D80"/>
    <w:rsid w:val="09A55B44"/>
    <w:rsid w:val="09A8F869"/>
    <w:rsid w:val="09ACB840"/>
    <w:rsid w:val="09B62BC2"/>
    <w:rsid w:val="09BD070B"/>
    <w:rsid w:val="09DA5C89"/>
    <w:rsid w:val="09DF5C46"/>
    <w:rsid w:val="09E2513C"/>
    <w:rsid w:val="09FF69C9"/>
    <w:rsid w:val="0A054B8A"/>
    <w:rsid w:val="0A0F2E33"/>
    <w:rsid w:val="0A1700EE"/>
    <w:rsid w:val="0A18548F"/>
    <w:rsid w:val="0A1DF5B8"/>
    <w:rsid w:val="0A26CE35"/>
    <w:rsid w:val="0A2B171F"/>
    <w:rsid w:val="0A3779EC"/>
    <w:rsid w:val="0A44C0CA"/>
    <w:rsid w:val="0A5D9308"/>
    <w:rsid w:val="0A5EEA97"/>
    <w:rsid w:val="0A6D1EB4"/>
    <w:rsid w:val="0A71F749"/>
    <w:rsid w:val="0A78CBDD"/>
    <w:rsid w:val="0A803F73"/>
    <w:rsid w:val="0A87C09D"/>
    <w:rsid w:val="0A915375"/>
    <w:rsid w:val="0A989938"/>
    <w:rsid w:val="0A9BC71F"/>
    <w:rsid w:val="0AAFDAA4"/>
    <w:rsid w:val="0AB0B8D2"/>
    <w:rsid w:val="0ABFA68E"/>
    <w:rsid w:val="0AC31557"/>
    <w:rsid w:val="0AC9628F"/>
    <w:rsid w:val="0ADF9925"/>
    <w:rsid w:val="0AE80A18"/>
    <w:rsid w:val="0AEC34EE"/>
    <w:rsid w:val="0AEC6FE5"/>
    <w:rsid w:val="0AF43FC8"/>
    <w:rsid w:val="0AF46531"/>
    <w:rsid w:val="0AFEAB01"/>
    <w:rsid w:val="0B184150"/>
    <w:rsid w:val="0B31B050"/>
    <w:rsid w:val="0B388E5B"/>
    <w:rsid w:val="0B3AA2B5"/>
    <w:rsid w:val="0B3D9F93"/>
    <w:rsid w:val="0B50FD5F"/>
    <w:rsid w:val="0B68BF2B"/>
    <w:rsid w:val="0B6F427C"/>
    <w:rsid w:val="0B793EC4"/>
    <w:rsid w:val="0BA0DAF7"/>
    <w:rsid w:val="0BAF3144"/>
    <w:rsid w:val="0BAF9789"/>
    <w:rsid w:val="0BB717AC"/>
    <w:rsid w:val="0BC8380C"/>
    <w:rsid w:val="0BD256EF"/>
    <w:rsid w:val="0BDB8177"/>
    <w:rsid w:val="0BFA1246"/>
    <w:rsid w:val="0BFCC303"/>
    <w:rsid w:val="0C03A2D5"/>
    <w:rsid w:val="0C074A0E"/>
    <w:rsid w:val="0C0C7B16"/>
    <w:rsid w:val="0C145ACF"/>
    <w:rsid w:val="0C19C410"/>
    <w:rsid w:val="0C278B52"/>
    <w:rsid w:val="0C4C58ED"/>
    <w:rsid w:val="0C4DDC97"/>
    <w:rsid w:val="0C526299"/>
    <w:rsid w:val="0C52EEA0"/>
    <w:rsid w:val="0C5F7654"/>
    <w:rsid w:val="0C79E3A2"/>
    <w:rsid w:val="0C97B6D0"/>
    <w:rsid w:val="0CAFAAAE"/>
    <w:rsid w:val="0CB1D23B"/>
    <w:rsid w:val="0CCC4E20"/>
    <w:rsid w:val="0CE5AF04"/>
    <w:rsid w:val="0CF29B84"/>
    <w:rsid w:val="0D07A024"/>
    <w:rsid w:val="0D19BC4E"/>
    <w:rsid w:val="0D38F3B1"/>
    <w:rsid w:val="0D4364F3"/>
    <w:rsid w:val="0D5CF005"/>
    <w:rsid w:val="0D5E1281"/>
    <w:rsid w:val="0D790E32"/>
    <w:rsid w:val="0D8A96EF"/>
    <w:rsid w:val="0DAA7D9D"/>
    <w:rsid w:val="0DAED6E9"/>
    <w:rsid w:val="0DB7DDDD"/>
    <w:rsid w:val="0DBD5BBD"/>
    <w:rsid w:val="0DBF3F98"/>
    <w:rsid w:val="0DC86FBB"/>
    <w:rsid w:val="0DCAA083"/>
    <w:rsid w:val="0DD15D47"/>
    <w:rsid w:val="0DD47C47"/>
    <w:rsid w:val="0DD63E8B"/>
    <w:rsid w:val="0DDA6157"/>
    <w:rsid w:val="0DDD7DC2"/>
    <w:rsid w:val="0DE7EB35"/>
    <w:rsid w:val="0DEDDD41"/>
    <w:rsid w:val="0DF3A9D5"/>
    <w:rsid w:val="0E01CE3D"/>
    <w:rsid w:val="0E0A5E9E"/>
    <w:rsid w:val="0E0B7BFC"/>
    <w:rsid w:val="0E363FD5"/>
    <w:rsid w:val="0E39F342"/>
    <w:rsid w:val="0E3A2EC1"/>
    <w:rsid w:val="0E3AFE08"/>
    <w:rsid w:val="0E3B41BD"/>
    <w:rsid w:val="0E3F6995"/>
    <w:rsid w:val="0E4C1B27"/>
    <w:rsid w:val="0E4CAE3F"/>
    <w:rsid w:val="0E4DF124"/>
    <w:rsid w:val="0E6B90C6"/>
    <w:rsid w:val="0E87273F"/>
    <w:rsid w:val="0E88BE06"/>
    <w:rsid w:val="0E91AFDF"/>
    <w:rsid w:val="0E9A42A9"/>
    <w:rsid w:val="0E9F01D2"/>
    <w:rsid w:val="0EA4A2D1"/>
    <w:rsid w:val="0EA61431"/>
    <w:rsid w:val="0EA7A670"/>
    <w:rsid w:val="0EAC1A23"/>
    <w:rsid w:val="0EAD1B98"/>
    <w:rsid w:val="0EB69C83"/>
    <w:rsid w:val="0ED26C38"/>
    <w:rsid w:val="0ED8C57A"/>
    <w:rsid w:val="0EDD02ED"/>
    <w:rsid w:val="0EE20E7D"/>
    <w:rsid w:val="0EEABD97"/>
    <w:rsid w:val="0EEF50CD"/>
    <w:rsid w:val="0EF410F6"/>
    <w:rsid w:val="0EFCCFED"/>
    <w:rsid w:val="0F042F01"/>
    <w:rsid w:val="0F137F99"/>
    <w:rsid w:val="0F164755"/>
    <w:rsid w:val="0F1BB77F"/>
    <w:rsid w:val="0F2320E1"/>
    <w:rsid w:val="0F27388A"/>
    <w:rsid w:val="0F490FC0"/>
    <w:rsid w:val="0F4F9F73"/>
    <w:rsid w:val="0F572009"/>
    <w:rsid w:val="0F83907E"/>
    <w:rsid w:val="0F87EC25"/>
    <w:rsid w:val="0F94A354"/>
    <w:rsid w:val="0FAFAD28"/>
    <w:rsid w:val="0FC0F508"/>
    <w:rsid w:val="0FCE19A2"/>
    <w:rsid w:val="0FD57128"/>
    <w:rsid w:val="0FD9A974"/>
    <w:rsid w:val="0FD9B0B0"/>
    <w:rsid w:val="0FDD80D7"/>
    <w:rsid w:val="0FE119B5"/>
    <w:rsid w:val="100E7721"/>
    <w:rsid w:val="10152005"/>
    <w:rsid w:val="10261D34"/>
    <w:rsid w:val="1026B2F0"/>
    <w:rsid w:val="103FDB64"/>
    <w:rsid w:val="1044B8F6"/>
    <w:rsid w:val="1044C60A"/>
    <w:rsid w:val="105CD84C"/>
    <w:rsid w:val="106D0792"/>
    <w:rsid w:val="107082E0"/>
    <w:rsid w:val="1078844E"/>
    <w:rsid w:val="1079994B"/>
    <w:rsid w:val="1087239D"/>
    <w:rsid w:val="108A3CF9"/>
    <w:rsid w:val="10BB5838"/>
    <w:rsid w:val="10C19A06"/>
    <w:rsid w:val="10C5664C"/>
    <w:rsid w:val="10D96451"/>
    <w:rsid w:val="10E6F4FE"/>
    <w:rsid w:val="10ECDF88"/>
    <w:rsid w:val="10F0768D"/>
    <w:rsid w:val="10F3384E"/>
    <w:rsid w:val="111945FB"/>
    <w:rsid w:val="111D5176"/>
    <w:rsid w:val="11277243"/>
    <w:rsid w:val="11542CE6"/>
    <w:rsid w:val="115E7B07"/>
    <w:rsid w:val="1163F9F9"/>
    <w:rsid w:val="116A624C"/>
    <w:rsid w:val="118451D2"/>
    <w:rsid w:val="11900CC5"/>
    <w:rsid w:val="11934760"/>
    <w:rsid w:val="119A7019"/>
    <w:rsid w:val="11ACFB8F"/>
    <w:rsid w:val="11B623D9"/>
    <w:rsid w:val="11C45F14"/>
    <w:rsid w:val="11C49FA0"/>
    <w:rsid w:val="11C9450F"/>
    <w:rsid w:val="11D74D75"/>
    <w:rsid w:val="120597D5"/>
    <w:rsid w:val="120B0015"/>
    <w:rsid w:val="12116B81"/>
    <w:rsid w:val="121D70CD"/>
    <w:rsid w:val="121FC078"/>
    <w:rsid w:val="122FCBBB"/>
    <w:rsid w:val="1230FCEB"/>
    <w:rsid w:val="1231F0FD"/>
    <w:rsid w:val="123EA3D8"/>
    <w:rsid w:val="1240DCE8"/>
    <w:rsid w:val="1248F452"/>
    <w:rsid w:val="124A0871"/>
    <w:rsid w:val="12505FE6"/>
    <w:rsid w:val="1251744C"/>
    <w:rsid w:val="12574CBE"/>
    <w:rsid w:val="12996F4A"/>
    <w:rsid w:val="12999519"/>
    <w:rsid w:val="12AA787F"/>
    <w:rsid w:val="12D31F71"/>
    <w:rsid w:val="12DBD2C1"/>
    <w:rsid w:val="12EFC541"/>
    <w:rsid w:val="12EFFDB3"/>
    <w:rsid w:val="12F74668"/>
    <w:rsid w:val="12FF7795"/>
    <w:rsid w:val="1301556B"/>
    <w:rsid w:val="1317BAC7"/>
    <w:rsid w:val="131898FF"/>
    <w:rsid w:val="131A650C"/>
    <w:rsid w:val="131BB19B"/>
    <w:rsid w:val="132782C4"/>
    <w:rsid w:val="1329E8E4"/>
    <w:rsid w:val="132F5D2E"/>
    <w:rsid w:val="133D22A2"/>
    <w:rsid w:val="133F2139"/>
    <w:rsid w:val="1346F3E6"/>
    <w:rsid w:val="134B2593"/>
    <w:rsid w:val="1369E1D5"/>
    <w:rsid w:val="138ECF47"/>
    <w:rsid w:val="13987A3F"/>
    <w:rsid w:val="139C76C2"/>
    <w:rsid w:val="13A25B68"/>
    <w:rsid w:val="13BB3724"/>
    <w:rsid w:val="13C2A9E8"/>
    <w:rsid w:val="13C963A6"/>
    <w:rsid w:val="13F505A6"/>
    <w:rsid w:val="13F80C89"/>
    <w:rsid w:val="13FB5378"/>
    <w:rsid w:val="140F5785"/>
    <w:rsid w:val="14130E20"/>
    <w:rsid w:val="1432B6BB"/>
    <w:rsid w:val="143AECD4"/>
    <w:rsid w:val="144D3808"/>
    <w:rsid w:val="14582DF7"/>
    <w:rsid w:val="1460E1DE"/>
    <w:rsid w:val="14617B99"/>
    <w:rsid w:val="1495C689"/>
    <w:rsid w:val="14A28E11"/>
    <w:rsid w:val="14CDBA1D"/>
    <w:rsid w:val="14DBC7AB"/>
    <w:rsid w:val="14DDA3E2"/>
    <w:rsid w:val="14E42CBD"/>
    <w:rsid w:val="14E7657E"/>
    <w:rsid w:val="14EE77E1"/>
    <w:rsid w:val="14F46EE1"/>
    <w:rsid w:val="1519F337"/>
    <w:rsid w:val="152AD614"/>
    <w:rsid w:val="153968A5"/>
    <w:rsid w:val="15472901"/>
    <w:rsid w:val="15547176"/>
    <w:rsid w:val="1569E24A"/>
    <w:rsid w:val="1578BF8D"/>
    <w:rsid w:val="15A912C2"/>
    <w:rsid w:val="15B7877D"/>
    <w:rsid w:val="15C685A1"/>
    <w:rsid w:val="15D4FCA5"/>
    <w:rsid w:val="15E0E804"/>
    <w:rsid w:val="15FC4857"/>
    <w:rsid w:val="16053309"/>
    <w:rsid w:val="1607FE81"/>
    <w:rsid w:val="1617D5AC"/>
    <w:rsid w:val="162E4638"/>
    <w:rsid w:val="16415528"/>
    <w:rsid w:val="16619379"/>
    <w:rsid w:val="1673875D"/>
    <w:rsid w:val="1679A508"/>
    <w:rsid w:val="1679F68E"/>
    <w:rsid w:val="168123C2"/>
    <w:rsid w:val="16828BF8"/>
    <w:rsid w:val="16889F9C"/>
    <w:rsid w:val="1690A70A"/>
    <w:rsid w:val="1692072B"/>
    <w:rsid w:val="1695492E"/>
    <w:rsid w:val="169742E3"/>
    <w:rsid w:val="16981F0F"/>
    <w:rsid w:val="169C0409"/>
    <w:rsid w:val="16A917D4"/>
    <w:rsid w:val="16ADA55E"/>
    <w:rsid w:val="16C6053E"/>
    <w:rsid w:val="16C8B4AB"/>
    <w:rsid w:val="16C9D3CD"/>
    <w:rsid w:val="16D44C52"/>
    <w:rsid w:val="16E17BE5"/>
    <w:rsid w:val="16F19745"/>
    <w:rsid w:val="16F6F4B9"/>
    <w:rsid w:val="16FC1FF6"/>
    <w:rsid w:val="170BD992"/>
    <w:rsid w:val="17199AA0"/>
    <w:rsid w:val="1725CE1D"/>
    <w:rsid w:val="17295858"/>
    <w:rsid w:val="1733951E"/>
    <w:rsid w:val="1738F8D2"/>
    <w:rsid w:val="1753E40A"/>
    <w:rsid w:val="1764293C"/>
    <w:rsid w:val="176EFE3E"/>
    <w:rsid w:val="17817DE4"/>
    <w:rsid w:val="1789BE89"/>
    <w:rsid w:val="17935E6E"/>
    <w:rsid w:val="17995A4E"/>
    <w:rsid w:val="17A21A77"/>
    <w:rsid w:val="17A98729"/>
    <w:rsid w:val="17ABE96A"/>
    <w:rsid w:val="17C0AB5F"/>
    <w:rsid w:val="17C2ECEE"/>
    <w:rsid w:val="17CDB955"/>
    <w:rsid w:val="17D6F2D9"/>
    <w:rsid w:val="17DFC909"/>
    <w:rsid w:val="17EB1634"/>
    <w:rsid w:val="17F205BD"/>
    <w:rsid w:val="17FDC0DF"/>
    <w:rsid w:val="17FF217B"/>
    <w:rsid w:val="18083DC1"/>
    <w:rsid w:val="1819EF20"/>
    <w:rsid w:val="181DD4D4"/>
    <w:rsid w:val="182E1072"/>
    <w:rsid w:val="18312145"/>
    <w:rsid w:val="18360361"/>
    <w:rsid w:val="1837A954"/>
    <w:rsid w:val="183D454A"/>
    <w:rsid w:val="185040B2"/>
    <w:rsid w:val="185C037B"/>
    <w:rsid w:val="185F3767"/>
    <w:rsid w:val="186B0E67"/>
    <w:rsid w:val="187EBC2B"/>
    <w:rsid w:val="1881004D"/>
    <w:rsid w:val="18870469"/>
    <w:rsid w:val="18880D89"/>
    <w:rsid w:val="18B48B63"/>
    <w:rsid w:val="18BBCFD3"/>
    <w:rsid w:val="18C30F4D"/>
    <w:rsid w:val="18C79A5F"/>
    <w:rsid w:val="18DAB9FE"/>
    <w:rsid w:val="18E102D1"/>
    <w:rsid w:val="190312E7"/>
    <w:rsid w:val="1904CFA9"/>
    <w:rsid w:val="190A2A50"/>
    <w:rsid w:val="190E0AE7"/>
    <w:rsid w:val="191FFCED"/>
    <w:rsid w:val="1933B900"/>
    <w:rsid w:val="193907BB"/>
    <w:rsid w:val="193E3F81"/>
    <w:rsid w:val="1951D6BD"/>
    <w:rsid w:val="1965A4BA"/>
    <w:rsid w:val="197DE5D8"/>
    <w:rsid w:val="199977AE"/>
    <w:rsid w:val="199A4C75"/>
    <w:rsid w:val="19A27716"/>
    <w:rsid w:val="19A63EDB"/>
    <w:rsid w:val="19A99507"/>
    <w:rsid w:val="19BFF6A6"/>
    <w:rsid w:val="19C4F6B1"/>
    <w:rsid w:val="19C8A3B7"/>
    <w:rsid w:val="19CC463E"/>
    <w:rsid w:val="19D90523"/>
    <w:rsid w:val="19F1A0BE"/>
    <w:rsid w:val="19F68213"/>
    <w:rsid w:val="19FA94D5"/>
    <w:rsid w:val="19FAE8D9"/>
    <w:rsid w:val="19FE462C"/>
    <w:rsid w:val="19FFF010"/>
    <w:rsid w:val="1A049FEA"/>
    <w:rsid w:val="1A08C006"/>
    <w:rsid w:val="1A188B9A"/>
    <w:rsid w:val="1A29B314"/>
    <w:rsid w:val="1A34560F"/>
    <w:rsid w:val="1A406988"/>
    <w:rsid w:val="1A4F7E4A"/>
    <w:rsid w:val="1A5C2892"/>
    <w:rsid w:val="1A5FA1C1"/>
    <w:rsid w:val="1A7164B7"/>
    <w:rsid w:val="1A7262CE"/>
    <w:rsid w:val="1A728E2C"/>
    <w:rsid w:val="1A7CAE21"/>
    <w:rsid w:val="1A7D8BF2"/>
    <w:rsid w:val="1A9556C9"/>
    <w:rsid w:val="1A9AE2CF"/>
    <w:rsid w:val="1A9B7B6A"/>
    <w:rsid w:val="1AA3F8FF"/>
    <w:rsid w:val="1AA496D4"/>
    <w:rsid w:val="1AAB82A7"/>
    <w:rsid w:val="1AAC41F4"/>
    <w:rsid w:val="1AB6B465"/>
    <w:rsid w:val="1AC3C73E"/>
    <w:rsid w:val="1ACA63E8"/>
    <w:rsid w:val="1ACE1724"/>
    <w:rsid w:val="1AD46970"/>
    <w:rsid w:val="1AED82E0"/>
    <w:rsid w:val="1AF0CF89"/>
    <w:rsid w:val="1B0118F3"/>
    <w:rsid w:val="1B135B81"/>
    <w:rsid w:val="1B221DD2"/>
    <w:rsid w:val="1B29B4E1"/>
    <w:rsid w:val="1B3E137B"/>
    <w:rsid w:val="1B3EEC67"/>
    <w:rsid w:val="1B4A4B90"/>
    <w:rsid w:val="1B5777CA"/>
    <w:rsid w:val="1B59D04C"/>
    <w:rsid w:val="1B5DD7B8"/>
    <w:rsid w:val="1B668174"/>
    <w:rsid w:val="1B853C22"/>
    <w:rsid w:val="1B931DF3"/>
    <w:rsid w:val="1B998134"/>
    <w:rsid w:val="1B9FAB09"/>
    <w:rsid w:val="1BA42915"/>
    <w:rsid w:val="1BB73ECC"/>
    <w:rsid w:val="1BC275D7"/>
    <w:rsid w:val="1BCB26A2"/>
    <w:rsid w:val="1BCC50EF"/>
    <w:rsid w:val="1BCCBB32"/>
    <w:rsid w:val="1BE47F78"/>
    <w:rsid w:val="1BF6AC89"/>
    <w:rsid w:val="1C187447"/>
    <w:rsid w:val="1C218C6F"/>
    <w:rsid w:val="1C249968"/>
    <w:rsid w:val="1C24CB31"/>
    <w:rsid w:val="1C2A5018"/>
    <w:rsid w:val="1C2C7664"/>
    <w:rsid w:val="1C39C660"/>
    <w:rsid w:val="1C3B626D"/>
    <w:rsid w:val="1C3B7A7F"/>
    <w:rsid w:val="1C431FFC"/>
    <w:rsid w:val="1C4C4075"/>
    <w:rsid w:val="1C4FC559"/>
    <w:rsid w:val="1C52D482"/>
    <w:rsid w:val="1C5F11EE"/>
    <w:rsid w:val="1C5FE188"/>
    <w:rsid w:val="1C7646EF"/>
    <w:rsid w:val="1C7689A6"/>
    <w:rsid w:val="1C7EA1B4"/>
    <w:rsid w:val="1C80FEA8"/>
    <w:rsid w:val="1C847333"/>
    <w:rsid w:val="1C92BD2D"/>
    <w:rsid w:val="1C92FE67"/>
    <w:rsid w:val="1C9762C5"/>
    <w:rsid w:val="1C9B6432"/>
    <w:rsid w:val="1CA42701"/>
    <w:rsid w:val="1CA5805C"/>
    <w:rsid w:val="1CA8E034"/>
    <w:rsid w:val="1CACE04B"/>
    <w:rsid w:val="1CB02FD6"/>
    <w:rsid w:val="1CB32B63"/>
    <w:rsid w:val="1CB45872"/>
    <w:rsid w:val="1CB59088"/>
    <w:rsid w:val="1CB74CB7"/>
    <w:rsid w:val="1CC2268D"/>
    <w:rsid w:val="1CD82F45"/>
    <w:rsid w:val="1CE15A1C"/>
    <w:rsid w:val="1CE28A99"/>
    <w:rsid w:val="1CF3D914"/>
    <w:rsid w:val="1CFB5377"/>
    <w:rsid w:val="1D162667"/>
    <w:rsid w:val="1D1A494F"/>
    <w:rsid w:val="1D3EEE4A"/>
    <w:rsid w:val="1D57257A"/>
    <w:rsid w:val="1D59CC86"/>
    <w:rsid w:val="1D62A8E0"/>
    <w:rsid w:val="1D7BAEBD"/>
    <w:rsid w:val="1D7D10DD"/>
    <w:rsid w:val="1D856363"/>
    <w:rsid w:val="1D8CEF30"/>
    <w:rsid w:val="1D98CC96"/>
    <w:rsid w:val="1D9D4050"/>
    <w:rsid w:val="1DA309AE"/>
    <w:rsid w:val="1DAC1BDD"/>
    <w:rsid w:val="1DB68577"/>
    <w:rsid w:val="1DBAC0DA"/>
    <w:rsid w:val="1DC7A64C"/>
    <w:rsid w:val="1DCFE4DA"/>
    <w:rsid w:val="1DD7026A"/>
    <w:rsid w:val="1DDABB23"/>
    <w:rsid w:val="1DF4D012"/>
    <w:rsid w:val="1DF4F53A"/>
    <w:rsid w:val="1E0938B3"/>
    <w:rsid w:val="1E109363"/>
    <w:rsid w:val="1E10A34B"/>
    <w:rsid w:val="1E16C2F1"/>
    <w:rsid w:val="1E2242B5"/>
    <w:rsid w:val="1E30F6CB"/>
    <w:rsid w:val="1E357E54"/>
    <w:rsid w:val="1E590D3F"/>
    <w:rsid w:val="1E5B9B32"/>
    <w:rsid w:val="1E710D64"/>
    <w:rsid w:val="1E7CF9E2"/>
    <w:rsid w:val="1E81897C"/>
    <w:rsid w:val="1E9EBAF1"/>
    <w:rsid w:val="1EA5D689"/>
    <w:rsid w:val="1EA75553"/>
    <w:rsid w:val="1EA85381"/>
    <w:rsid w:val="1EB7FAFC"/>
    <w:rsid w:val="1EB8D68F"/>
    <w:rsid w:val="1EC61D35"/>
    <w:rsid w:val="1ECEBF05"/>
    <w:rsid w:val="1ECEF767"/>
    <w:rsid w:val="1ED5C6B5"/>
    <w:rsid w:val="1EE12998"/>
    <w:rsid w:val="1EE62E12"/>
    <w:rsid w:val="1EE9E8F0"/>
    <w:rsid w:val="1EEB0964"/>
    <w:rsid w:val="1EF4FF34"/>
    <w:rsid w:val="1EFEA905"/>
    <w:rsid w:val="1EFF43FE"/>
    <w:rsid w:val="1F0B1B36"/>
    <w:rsid w:val="1F1C6A70"/>
    <w:rsid w:val="1F27FD54"/>
    <w:rsid w:val="1F2F2629"/>
    <w:rsid w:val="1F3044D8"/>
    <w:rsid w:val="1F351E6B"/>
    <w:rsid w:val="1F364F22"/>
    <w:rsid w:val="1F3A7E9D"/>
    <w:rsid w:val="1F4B70A6"/>
    <w:rsid w:val="1F651165"/>
    <w:rsid w:val="1F6878FB"/>
    <w:rsid w:val="1F6C9FFB"/>
    <w:rsid w:val="1F6CF0CD"/>
    <w:rsid w:val="1F84AF23"/>
    <w:rsid w:val="1F87AB21"/>
    <w:rsid w:val="1F895998"/>
    <w:rsid w:val="1FA05D8F"/>
    <w:rsid w:val="1FAA4717"/>
    <w:rsid w:val="1FB8E9E8"/>
    <w:rsid w:val="1FD6B2DA"/>
    <w:rsid w:val="1FD7F7B8"/>
    <w:rsid w:val="1FDC4E6D"/>
    <w:rsid w:val="2006D777"/>
    <w:rsid w:val="200EA313"/>
    <w:rsid w:val="20106366"/>
    <w:rsid w:val="20374828"/>
    <w:rsid w:val="2038D6F8"/>
    <w:rsid w:val="204874CE"/>
    <w:rsid w:val="2055FA86"/>
    <w:rsid w:val="20695163"/>
    <w:rsid w:val="2077174D"/>
    <w:rsid w:val="207B558E"/>
    <w:rsid w:val="207EF345"/>
    <w:rsid w:val="20851AED"/>
    <w:rsid w:val="20888D36"/>
    <w:rsid w:val="20A0BB8B"/>
    <w:rsid w:val="20AABF13"/>
    <w:rsid w:val="20AADFD3"/>
    <w:rsid w:val="20ABECF2"/>
    <w:rsid w:val="20B43959"/>
    <w:rsid w:val="20BB6BE5"/>
    <w:rsid w:val="20BD10B6"/>
    <w:rsid w:val="20C68D24"/>
    <w:rsid w:val="20CD047A"/>
    <w:rsid w:val="20DC1286"/>
    <w:rsid w:val="20EC8E5F"/>
    <w:rsid w:val="20ED6A0B"/>
    <w:rsid w:val="20F046A7"/>
    <w:rsid w:val="20FFE5F5"/>
    <w:rsid w:val="21178872"/>
    <w:rsid w:val="211A4C3B"/>
    <w:rsid w:val="2137E4BD"/>
    <w:rsid w:val="214327BB"/>
    <w:rsid w:val="2144BED2"/>
    <w:rsid w:val="2147E39D"/>
    <w:rsid w:val="2162DA75"/>
    <w:rsid w:val="216BC733"/>
    <w:rsid w:val="217AD0E0"/>
    <w:rsid w:val="218A1A2B"/>
    <w:rsid w:val="21914F6E"/>
    <w:rsid w:val="2197E0AB"/>
    <w:rsid w:val="219E9DB4"/>
    <w:rsid w:val="21C4DBE4"/>
    <w:rsid w:val="21C6BDE7"/>
    <w:rsid w:val="21E7808F"/>
    <w:rsid w:val="21FBD5EA"/>
    <w:rsid w:val="2213F0DB"/>
    <w:rsid w:val="2226E61A"/>
    <w:rsid w:val="222A6108"/>
    <w:rsid w:val="2237402F"/>
    <w:rsid w:val="223C19AD"/>
    <w:rsid w:val="2247A7EF"/>
    <w:rsid w:val="224A1998"/>
    <w:rsid w:val="224A4A5C"/>
    <w:rsid w:val="224C20E2"/>
    <w:rsid w:val="2251F7F7"/>
    <w:rsid w:val="22580556"/>
    <w:rsid w:val="225AFAE6"/>
    <w:rsid w:val="225BD1A1"/>
    <w:rsid w:val="2262A6CC"/>
    <w:rsid w:val="2276604B"/>
    <w:rsid w:val="227AAEBB"/>
    <w:rsid w:val="227E21BA"/>
    <w:rsid w:val="22870CFF"/>
    <w:rsid w:val="228C3703"/>
    <w:rsid w:val="228EAC94"/>
    <w:rsid w:val="229EC827"/>
    <w:rsid w:val="22A41D37"/>
    <w:rsid w:val="22A47C36"/>
    <w:rsid w:val="22B44A43"/>
    <w:rsid w:val="22CF06A7"/>
    <w:rsid w:val="22E84795"/>
    <w:rsid w:val="23005651"/>
    <w:rsid w:val="2302CD8B"/>
    <w:rsid w:val="2312E5F3"/>
    <w:rsid w:val="23144002"/>
    <w:rsid w:val="231B76BF"/>
    <w:rsid w:val="23270C8A"/>
    <w:rsid w:val="23274A2D"/>
    <w:rsid w:val="2328D6B3"/>
    <w:rsid w:val="232FB934"/>
    <w:rsid w:val="23470A89"/>
    <w:rsid w:val="2348CBFC"/>
    <w:rsid w:val="234BA624"/>
    <w:rsid w:val="235BA5BB"/>
    <w:rsid w:val="2366C4BE"/>
    <w:rsid w:val="237A19C3"/>
    <w:rsid w:val="237A5B9D"/>
    <w:rsid w:val="237D0168"/>
    <w:rsid w:val="238649B4"/>
    <w:rsid w:val="239B8A79"/>
    <w:rsid w:val="239FE9AB"/>
    <w:rsid w:val="23ADF184"/>
    <w:rsid w:val="23B472F6"/>
    <w:rsid w:val="23BF61E3"/>
    <w:rsid w:val="23D4B802"/>
    <w:rsid w:val="23D9FD9A"/>
    <w:rsid w:val="2417E840"/>
    <w:rsid w:val="241B34FB"/>
    <w:rsid w:val="242391CF"/>
    <w:rsid w:val="24352C1F"/>
    <w:rsid w:val="244BE631"/>
    <w:rsid w:val="2467D0F8"/>
    <w:rsid w:val="2477B2AC"/>
    <w:rsid w:val="247AFFC8"/>
    <w:rsid w:val="2481747A"/>
    <w:rsid w:val="24918AEA"/>
    <w:rsid w:val="24926EE3"/>
    <w:rsid w:val="2498C645"/>
    <w:rsid w:val="24A79083"/>
    <w:rsid w:val="24AEA92E"/>
    <w:rsid w:val="24CEF2B6"/>
    <w:rsid w:val="24D01BA0"/>
    <w:rsid w:val="24ECFC56"/>
    <w:rsid w:val="24FE249B"/>
    <w:rsid w:val="250069EE"/>
    <w:rsid w:val="25034210"/>
    <w:rsid w:val="2508B48A"/>
    <w:rsid w:val="250E9581"/>
    <w:rsid w:val="250FD325"/>
    <w:rsid w:val="2510820A"/>
    <w:rsid w:val="25160B76"/>
    <w:rsid w:val="251DD977"/>
    <w:rsid w:val="2521E6E3"/>
    <w:rsid w:val="25340020"/>
    <w:rsid w:val="253C2292"/>
    <w:rsid w:val="253D7053"/>
    <w:rsid w:val="254D4E01"/>
    <w:rsid w:val="254EE3A0"/>
    <w:rsid w:val="2556927C"/>
    <w:rsid w:val="256043EF"/>
    <w:rsid w:val="256EE41A"/>
    <w:rsid w:val="257A2EA8"/>
    <w:rsid w:val="2585C0A8"/>
    <w:rsid w:val="258C7458"/>
    <w:rsid w:val="258C9DDB"/>
    <w:rsid w:val="2594057B"/>
    <w:rsid w:val="2594D8DD"/>
    <w:rsid w:val="25A9808F"/>
    <w:rsid w:val="25AD4D8F"/>
    <w:rsid w:val="25B3FA76"/>
    <w:rsid w:val="25BA504F"/>
    <w:rsid w:val="25BA6ACB"/>
    <w:rsid w:val="25BEB0E2"/>
    <w:rsid w:val="25CCE85B"/>
    <w:rsid w:val="25D1BBB4"/>
    <w:rsid w:val="25D284FB"/>
    <w:rsid w:val="25DF8289"/>
    <w:rsid w:val="25E35A0C"/>
    <w:rsid w:val="25EFA398"/>
    <w:rsid w:val="25F80E1E"/>
    <w:rsid w:val="25F9E042"/>
    <w:rsid w:val="25FA848F"/>
    <w:rsid w:val="25FFD178"/>
    <w:rsid w:val="26032C61"/>
    <w:rsid w:val="26147085"/>
    <w:rsid w:val="2614E6CD"/>
    <w:rsid w:val="262133E9"/>
    <w:rsid w:val="262FFAF4"/>
    <w:rsid w:val="2631B97B"/>
    <w:rsid w:val="26352A04"/>
    <w:rsid w:val="2653548E"/>
    <w:rsid w:val="265B28AF"/>
    <w:rsid w:val="265E635A"/>
    <w:rsid w:val="267B0C48"/>
    <w:rsid w:val="2688F688"/>
    <w:rsid w:val="269DB1D3"/>
    <w:rsid w:val="26A8B55C"/>
    <w:rsid w:val="26AAA23A"/>
    <w:rsid w:val="26ADB498"/>
    <w:rsid w:val="26BB8AA4"/>
    <w:rsid w:val="26CE350C"/>
    <w:rsid w:val="26DBBECF"/>
    <w:rsid w:val="26FCDE8C"/>
    <w:rsid w:val="2703BC4D"/>
    <w:rsid w:val="27195EE8"/>
    <w:rsid w:val="27200D8F"/>
    <w:rsid w:val="2735BC1C"/>
    <w:rsid w:val="27419F61"/>
    <w:rsid w:val="2745CE42"/>
    <w:rsid w:val="275184A0"/>
    <w:rsid w:val="275614CF"/>
    <w:rsid w:val="276C9ECF"/>
    <w:rsid w:val="276FE774"/>
    <w:rsid w:val="277B381B"/>
    <w:rsid w:val="277EB933"/>
    <w:rsid w:val="27830BD0"/>
    <w:rsid w:val="278EB38C"/>
    <w:rsid w:val="278F0F51"/>
    <w:rsid w:val="2790A4A7"/>
    <w:rsid w:val="27AC60CB"/>
    <w:rsid w:val="27ACFF9F"/>
    <w:rsid w:val="27D66D8F"/>
    <w:rsid w:val="27DA6477"/>
    <w:rsid w:val="27E6637C"/>
    <w:rsid w:val="27E84F1A"/>
    <w:rsid w:val="27EB5186"/>
    <w:rsid w:val="27EFE660"/>
    <w:rsid w:val="27FCB7F9"/>
    <w:rsid w:val="280BC2A3"/>
    <w:rsid w:val="28249EE9"/>
    <w:rsid w:val="2827F97F"/>
    <w:rsid w:val="2829FAE0"/>
    <w:rsid w:val="282EBC96"/>
    <w:rsid w:val="28310D15"/>
    <w:rsid w:val="2831190D"/>
    <w:rsid w:val="283F4AD2"/>
    <w:rsid w:val="2840EEB2"/>
    <w:rsid w:val="28438E42"/>
    <w:rsid w:val="284E8D23"/>
    <w:rsid w:val="285070A7"/>
    <w:rsid w:val="28529083"/>
    <w:rsid w:val="285C6603"/>
    <w:rsid w:val="286C7008"/>
    <w:rsid w:val="289100B2"/>
    <w:rsid w:val="289D6B30"/>
    <w:rsid w:val="28A14837"/>
    <w:rsid w:val="28A6FFB0"/>
    <w:rsid w:val="28B25754"/>
    <w:rsid w:val="28D2F697"/>
    <w:rsid w:val="28E0B635"/>
    <w:rsid w:val="28FF03B5"/>
    <w:rsid w:val="290DDC15"/>
    <w:rsid w:val="290F4BFC"/>
    <w:rsid w:val="2925EF0F"/>
    <w:rsid w:val="2926E921"/>
    <w:rsid w:val="29285875"/>
    <w:rsid w:val="29347614"/>
    <w:rsid w:val="29462105"/>
    <w:rsid w:val="296D62AB"/>
    <w:rsid w:val="298191C6"/>
    <w:rsid w:val="2987FD7E"/>
    <w:rsid w:val="299059A0"/>
    <w:rsid w:val="29A11C99"/>
    <w:rsid w:val="29A2178B"/>
    <w:rsid w:val="29A8D864"/>
    <w:rsid w:val="29B06C0C"/>
    <w:rsid w:val="29B662BF"/>
    <w:rsid w:val="29BFB589"/>
    <w:rsid w:val="29CC0BF5"/>
    <w:rsid w:val="29CE8DB4"/>
    <w:rsid w:val="29D45973"/>
    <w:rsid w:val="29DE60CE"/>
    <w:rsid w:val="29E77E07"/>
    <w:rsid w:val="29FDFA1F"/>
    <w:rsid w:val="2A01CEE7"/>
    <w:rsid w:val="2A03D35E"/>
    <w:rsid w:val="2A05097A"/>
    <w:rsid w:val="2A13B9BE"/>
    <w:rsid w:val="2A23A2DB"/>
    <w:rsid w:val="2A24D63E"/>
    <w:rsid w:val="2A25A3C1"/>
    <w:rsid w:val="2A2656A2"/>
    <w:rsid w:val="2A2A1242"/>
    <w:rsid w:val="2A2F4BE7"/>
    <w:rsid w:val="2A35BC65"/>
    <w:rsid w:val="2A3C258C"/>
    <w:rsid w:val="2A3D0E89"/>
    <w:rsid w:val="2A469E63"/>
    <w:rsid w:val="2A7B836D"/>
    <w:rsid w:val="2A7F28AC"/>
    <w:rsid w:val="2A7F3B51"/>
    <w:rsid w:val="2A84CF60"/>
    <w:rsid w:val="2A8D1172"/>
    <w:rsid w:val="2A94CB2C"/>
    <w:rsid w:val="2A9B1A72"/>
    <w:rsid w:val="2A9BC1EF"/>
    <w:rsid w:val="2AA260ED"/>
    <w:rsid w:val="2AA72AEC"/>
    <w:rsid w:val="2AB37506"/>
    <w:rsid w:val="2ABDCECC"/>
    <w:rsid w:val="2ABEBE2C"/>
    <w:rsid w:val="2AD9BE39"/>
    <w:rsid w:val="2AE5EBC1"/>
    <w:rsid w:val="2B0A1318"/>
    <w:rsid w:val="2B0C21A6"/>
    <w:rsid w:val="2B19C8F8"/>
    <w:rsid w:val="2B1B6067"/>
    <w:rsid w:val="2B2053E3"/>
    <w:rsid w:val="2B21362C"/>
    <w:rsid w:val="2B341A8D"/>
    <w:rsid w:val="2B5ABBF5"/>
    <w:rsid w:val="2B7FF630"/>
    <w:rsid w:val="2B94AD9D"/>
    <w:rsid w:val="2BDD1BA8"/>
    <w:rsid w:val="2BEF967F"/>
    <w:rsid w:val="2BF5A6D2"/>
    <w:rsid w:val="2BFBB53A"/>
    <w:rsid w:val="2C115FD3"/>
    <w:rsid w:val="2C1E0925"/>
    <w:rsid w:val="2C232A7A"/>
    <w:rsid w:val="2C2CD249"/>
    <w:rsid w:val="2C3F2956"/>
    <w:rsid w:val="2C48AE67"/>
    <w:rsid w:val="2C772FF2"/>
    <w:rsid w:val="2C791AC9"/>
    <w:rsid w:val="2CADB9CD"/>
    <w:rsid w:val="2CC04434"/>
    <w:rsid w:val="2CC6DE7E"/>
    <w:rsid w:val="2CC87539"/>
    <w:rsid w:val="2CCD3BBF"/>
    <w:rsid w:val="2CDD4117"/>
    <w:rsid w:val="2CDDFAA2"/>
    <w:rsid w:val="2CDFA41F"/>
    <w:rsid w:val="2CE5AD33"/>
    <w:rsid w:val="2CEC2EAF"/>
    <w:rsid w:val="2CFEF3CE"/>
    <w:rsid w:val="2D15A54E"/>
    <w:rsid w:val="2D1F6CB7"/>
    <w:rsid w:val="2D21B953"/>
    <w:rsid w:val="2D27C1FD"/>
    <w:rsid w:val="2D3DE670"/>
    <w:rsid w:val="2D4D910B"/>
    <w:rsid w:val="2D5427E0"/>
    <w:rsid w:val="2D5E93B3"/>
    <w:rsid w:val="2D66AF4D"/>
    <w:rsid w:val="2D670361"/>
    <w:rsid w:val="2D6C082E"/>
    <w:rsid w:val="2D7EAA94"/>
    <w:rsid w:val="2D89DBF2"/>
    <w:rsid w:val="2D98FDF9"/>
    <w:rsid w:val="2DA99519"/>
    <w:rsid w:val="2DB1A59B"/>
    <w:rsid w:val="2DB87A20"/>
    <w:rsid w:val="2DC3A58E"/>
    <w:rsid w:val="2DC7AB85"/>
    <w:rsid w:val="2DCD9B55"/>
    <w:rsid w:val="2DD04AFD"/>
    <w:rsid w:val="2DD101EC"/>
    <w:rsid w:val="2DD81C84"/>
    <w:rsid w:val="2DE481ED"/>
    <w:rsid w:val="2E066ECE"/>
    <w:rsid w:val="2E0D6200"/>
    <w:rsid w:val="2E1F3944"/>
    <w:rsid w:val="2E247D9D"/>
    <w:rsid w:val="2E26136C"/>
    <w:rsid w:val="2E41514D"/>
    <w:rsid w:val="2E42FC29"/>
    <w:rsid w:val="2E447CB4"/>
    <w:rsid w:val="2E63B46C"/>
    <w:rsid w:val="2E6BB1F9"/>
    <w:rsid w:val="2E7EBE41"/>
    <w:rsid w:val="2E92A9D6"/>
    <w:rsid w:val="2EA03E2B"/>
    <w:rsid w:val="2EAB219D"/>
    <w:rsid w:val="2EAC5D78"/>
    <w:rsid w:val="2EB1DC9F"/>
    <w:rsid w:val="2EB4B1A1"/>
    <w:rsid w:val="2EBA0CF4"/>
    <w:rsid w:val="2EC6FB30"/>
    <w:rsid w:val="2ED44995"/>
    <w:rsid w:val="2EDCEF57"/>
    <w:rsid w:val="2EDF0A5E"/>
    <w:rsid w:val="2EDF7B29"/>
    <w:rsid w:val="2EE5D679"/>
    <w:rsid w:val="2EF1329F"/>
    <w:rsid w:val="2F0E106E"/>
    <w:rsid w:val="2F1412FF"/>
    <w:rsid w:val="2F2109D8"/>
    <w:rsid w:val="2F3DCB72"/>
    <w:rsid w:val="2F442EC9"/>
    <w:rsid w:val="2F4A8A0F"/>
    <w:rsid w:val="2F553262"/>
    <w:rsid w:val="2F601413"/>
    <w:rsid w:val="2F709FDF"/>
    <w:rsid w:val="2F7170FA"/>
    <w:rsid w:val="2F730254"/>
    <w:rsid w:val="2F97FF46"/>
    <w:rsid w:val="2F9D04C1"/>
    <w:rsid w:val="2FB119A6"/>
    <w:rsid w:val="2FB233FA"/>
    <w:rsid w:val="2FB300E0"/>
    <w:rsid w:val="2FC04E29"/>
    <w:rsid w:val="2FC567B5"/>
    <w:rsid w:val="2FCAC0DB"/>
    <w:rsid w:val="2FCC9828"/>
    <w:rsid w:val="2FD4E7B5"/>
    <w:rsid w:val="2FE62A7C"/>
    <w:rsid w:val="2FE7EE58"/>
    <w:rsid w:val="2FEF19D3"/>
    <w:rsid w:val="2FF3A558"/>
    <w:rsid w:val="2FF8BBE2"/>
    <w:rsid w:val="300DDFF2"/>
    <w:rsid w:val="301275E7"/>
    <w:rsid w:val="302B1F14"/>
    <w:rsid w:val="303DB6EB"/>
    <w:rsid w:val="303EA20E"/>
    <w:rsid w:val="304009DB"/>
    <w:rsid w:val="3041D317"/>
    <w:rsid w:val="3042231E"/>
    <w:rsid w:val="30564F70"/>
    <w:rsid w:val="30582A31"/>
    <w:rsid w:val="3092F9EF"/>
    <w:rsid w:val="3094BF42"/>
    <w:rsid w:val="309BC7BA"/>
    <w:rsid w:val="309C1A91"/>
    <w:rsid w:val="309FC7A8"/>
    <w:rsid w:val="30A3F034"/>
    <w:rsid w:val="30A8F9DA"/>
    <w:rsid w:val="30BA7901"/>
    <w:rsid w:val="30CC2D12"/>
    <w:rsid w:val="30F60308"/>
    <w:rsid w:val="30FC15A1"/>
    <w:rsid w:val="310BD826"/>
    <w:rsid w:val="310FBCD4"/>
    <w:rsid w:val="3112CF9B"/>
    <w:rsid w:val="31161A14"/>
    <w:rsid w:val="3116F700"/>
    <w:rsid w:val="3120119F"/>
    <w:rsid w:val="312CC2B3"/>
    <w:rsid w:val="31391A5D"/>
    <w:rsid w:val="313EFD6F"/>
    <w:rsid w:val="3155B3B1"/>
    <w:rsid w:val="315803CF"/>
    <w:rsid w:val="31657E09"/>
    <w:rsid w:val="3179260D"/>
    <w:rsid w:val="319505EE"/>
    <w:rsid w:val="31982842"/>
    <w:rsid w:val="319EA244"/>
    <w:rsid w:val="319EC731"/>
    <w:rsid w:val="31A4C6F0"/>
    <w:rsid w:val="31B95F7A"/>
    <w:rsid w:val="31BAE153"/>
    <w:rsid w:val="31D03F7E"/>
    <w:rsid w:val="31D4A274"/>
    <w:rsid w:val="320C20B0"/>
    <w:rsid w:val="320D9266"/>
    <w:rsid w:val="32111944"/>
    <w:rsid w:val="3220F6BF"/>
    <w:rsid w:val="3223FD11"/>
    <w:rsid w:val="32397546"/>
    <w:rsid w:val="32438639"/>
    <w:rsid w:val="324DC185"/>
    <w:rsid w:val="32531C67"/>
    <w:rsid w:val="3281DFCC"/>
    <w:rsid w:val="329407EA"/>
    <w:rsid w:val="329853C4"/>
    <w:rsid w:val="3299CAF5"/>
    <w:rsid w:val="32A4B390"/>
    <w:rsid w:val="32AEF81E"/>
    <w:rsid w:val="32B042B4"/>
    <w:rsid w:val="32CB4723"/>
    <w:rsid w:val="32DC1239"/>
    <w:rsid w:val="32DDC715"/>
    <w:rsid w:val="32E368C7"/>
    <w:rsid w:val="32F030BD"/>
    <w:rsid w:val="32F5FCF7"/>
    <w:rsid w:val="32F6CF36"/>
    <w:rsid w:val="32FD5524"/>
    <w:rsid w:val="3316405C"/>
    <w:rsid w:val="33234962"/>
    <w:rsid w:val="3336D3FF"/>
    <w:rsid w:val="33534D95"/>
    <w:rsid w:val="3353EDE3"/>
    <w:rsid w:val="3358153B"/>
    <w:rsid w:val="335AA4E2"/>
    <w:rsid w:val="335E5CD2"/>
    <w:rsid w:val="33707D40"/>
    <w:rsid w:val="3372D42E"/>
    <w:rsid w:val="3378580E"/>
    <w:rsid w:val="33943104"/>
    <w:rsid w:val="339803A4"/>
    <w:rsid w:val="33A6C3E5"/>
    <w:rsid w:val="33EE06D9"/>
    <w:rsid w:val="33F69748"/>
    <w:rsid w:val="33FBBA62"/>
    <w:rsid w:val="33FD5027"/>
    <w:rsid w:val="340D3503"/>
    <w:rsid w:val="34164D2B"/>
    <w:rsid w:val="34172EC5"/>
    <w:rsid w:val="3431E53F"/>
    <w:rsid w:val="3432AF40"/>
    <w:rsid w:val="343E054E"/>
    <w:rsid w:val="3450B317"/>
    <w:rsid w:val="34542A8B"/>
    <w:rsid w:val="34775846"/>
    <w:rsid w:val="3480C6BB"/>
    <w:rsid w:val="348FE0A3"/>
    <w:rsid w:val="34A42FAD"/>
    <w:rsid w:val="34B73E06"/>
    <w:rsid w:val="34BF19EE"/>
    <w:rsid w:val="34D3CA20"/>
    <w:rsid w:val="34EC61B6"/>
    <w:rsid w:val="34F50FE5"/>
    <w:rsid w:val="350FCDEC"/>
    <w:rsid w:val="351368F0"/>
    <w:rsid w:val="3534E3E7"/>
    <w:rsid w:val="353A1341"/>
    <w:rsid w:val="354521CD"/>
    <w:rsid w:val="3551B656"/>
    <w:rsid w:val="355FD0FE"/>
    <w:rsid w:val="35747FC6"/>
    <w:rsid w:val="3592BB44"/>
    <w:rsid w:val="3593D973"/>
    <w:rsid w:val="35962D34"/>
    <w:rsid w:val="35976AE2"/>
    <w:rsid w:val="35A8DA89"/>
    <w:rsid w:val="35AB61AC"/>
    <w:rsid w:val="35AD56AB"/>
    <w:rsid w:val="35B4295F"/>
    <w:rsid w:val="35B6A87A"/>
    <w:rsid w:val="35BC7FE8"/>
    <w:rsid w:val="35CBABDF"/>
    <w:rsid w:val="35DA72D4"/>
    <w:rsid w:val="35DB0A8E"/>
    <w:rsid w:val="35EDB428"/>
    <w:rsid w:val="35FC4D57"/>
    <w:rsid w:val="36111CB5"/>
    <w:rsid w:val="3613CAB1"/>
    <w:rsid w:val="361C8886"/>
    <w:rsid w:val="362711EF"/>
    <w:rsid w:val="362A5F6B"/>
    <w:rsid w:val="363C88AD"/>
    <w:rsid w:val="363DC314"/>
    <w:rsid w:val="363EC7C8"/>
    <w:rsid w:val="36408298"/>
    <w:rsid w:val="3653BCD3"/>
    <w:rsid w:val="36561666"/>
    <w:rsid w:val="36598AB2"/>
    <w:rsid w:val="365EFB59"/>
    <w:rsid w:val="366DCC3D"/>
    <w:rsid w:val="367AD03B"/>
    <w:rsid w:val="367D7761"/>
    <w:rsid w:val="36812932"/>
    <w:rsid w:val="36915A30"/>
    <w:rsid w:val="3695C32E"/>
    <w:rsid w:val="3699BC4B"/>
    <w:rsid w:val="369ABC3F"/>
    <w:rsid w:val="36AC6473"/>
    <w:rsid w:val="36B6CF26"/>
    <w:rsid w:val="36BC6079"/>
    <w:rsid w:val="36BD609A"/>
    <w:rsid w:val="36C3392C"/>
    <w:rsid w:val="36C921E1"/>
    <w:rsid w:val="36D4BCAB"/>
    <w:rsid w:val="36D6B316"/>
    <w:rsid w:val="36DFC52C"/>
    <w:rsid w:val="36E59203"/>
    <w:rsid w:val="36F02258"/>
    <w:rsid w:val="36F4E824"/>
    <w:rsid w:val="36F7F0A1"/>
    <w:rsid w:val="36F966BF"/>
    <w:rsid w:val="3708BC65"/>
    <w:rsid w:val="37122174"/>
    <w:rsid w:val="371479E2"/>
    <w:rsid w:val="3723A8EB"/>
    <w:rsid w:val="37305ECE"/>
    <w:rsid w:val="3732E401"/>
    <w:rsid w:val="373A8591"/>
    <w:rsid w:val="37536CAD"/>
    <w:rsid w:val="3760378A"/>
    <w:rsid w:val="376549E1"/>
    <w:rsid w:val="37808019"/>
    <w:rsid w:val="3781FAEA"/>
    <w:rsid w:val="37947C3E"/>
    <w:rsid w:val="3799B852"/>
    <w:rsid w:val="37A0FF71"/>
    <w:rsid w:val="37BF1C52"/>
    <w:rsid w:val="37CA3DA1"/>
    <w:rsid w:val="37CB1D57"/>
    <w:rsid w:val="37D53300"/>
    <w:rsid w:val="37DA1C0F"/>
    <w:rsid w:val="37E84C0C"/>
    <w:rsid w:val="37F3C2B5"/>
    <w:rsid w:val="37F8E412"/>
    <w:rsid w:val="37FC4030"/>
    <w:rsid w:val="37FDB4BB"/>
    <w:rsid w:val="38082E6F"/>
    <w:rsid w:val="3811E040"/>
    <w:rsid w:val="38131834"/>
    <w:rsid w:val="381DFE5B"/>
    <w:rsid w:val="3822D1EB"/>
    <w:rsid w:val="38239F24"/>
    <w:rsid w:val="38346FC9"/>
    <w:rsid w:val="38363825"/>
    <w:rsid w:val="383B8A13"/>
    <w:rsid w:val="3843B170"/>
    <w:rsid w:val="384B3DEF"/>
    <w:rsid w:val="384BDA1D"/>
    <w:rsid w:val="386C4092"/>
    <w:rsid w:val="38771D50"/>
    <w:rsid w:val="38779635"/>
    <w:rsid w:val="3879B61F"/>
    <w:rsid w:val="3894F2A7"/>
    <w:rsid w:val="3896ADAF"/>
    <w:rsid w:val="3896D461"/>
    <w:rsid w:val="3897DAF6"/>
    <w:rsid w:val="389C8371"/>
    <w:rsid w:val="38AFF196"/>
    <w:rsid w:val="38BD1738"/>
    <w:rsid w:val="38C88297"/>
    <w:rsid w:val="38C9FF71"/>
    <w:rsid w:val="38D30929"/>
    <w:rsid w:val="38E25E15"/>
    <w:rsid w:val="38F58268"/>
    <w:rsid w:val="38FEB20E"/>
    <w:rsid w:val="39008173"/>
    <w:rsid w:val="39024A00"/>
    <w:rsid w:val="390813E0"/>
    <w:rsid w:val="391864D7"/>
    <w:rsid w:val="3918FF6B"/>
    <w:rsid w:val="391E4E9F"/>
    <w:rsid w:val="3927FC92"/>
    <w:rsid w:val="393538FD"/>
    <w:rsid w:val="393A20CB"/>
    <w:rsid w:val="394C5FCC"/>
    <w:rsid w:val="39522B58"/>
    <w:rsid w:val="396A1496"/>
    <w:rsid w:val="397556B1"/>
    <w:rsid w:val="3976ED4C"/>
    <w:rsid w:val="3977F672"/>
    <w:rsid w:val="39782111"/>
    <w:rsid w:val="397C153C"/>
    <w:rsid w:val="3988C894"/>
    <w:rsid w:val="398E1114"/>
    <w:rsid w:val="3997FBF0"/>
    <w:rsid w:val="39AFC376"/>
    <w:rsid w:val="39B03636"/>
    <w:rsid w:val="39B118E7"/>
    <w:rsid w:val="39B80149"/>
    <w:rsid w:val="39C70DB8"/>
    <w:rsid w:val="39D7E488"/>
    <w:rsid w:val="39FD46AD"/>
    <w:rsid w:val="3A006CB4"/>
    <w:rsid w:val="3A0191C7"/>
    <w:rsid w:val="3A152765"/>
    <w:rsid w:val="3A1D99F7"/>
    <w:rsid w:val="3A36DA12"/>
    <w:rsid w:val="3A50D13E"/>
    <w:rsid w:val="3A589D56"/>
    <w:rsid w:val="3A5E9812"/>
    <w:rsid w:val="3A726D82"/>
    <w:rsid w:val="3A800356"/>
    <w:rsid w:val="3A821BA1"/>
    <w:rsid w:val="3A938707"/>
    <w:rsid w:val="3AA9C36F"/>
    <w:rsid w:val="3AAB5BBA"/>
    <w:rsid w:val="3AB92120"/>
    <w:rsid w:val="3ABA8F0F"/>
    <w:rsid w:val="3ABEFB1C"/>
    <w:rsid w:val="3AC91CC3"/>
    <w:rsid w:val="3AE02101"/>
    <w:rsid w:val="3AFDB54A"/>
    <w:rsid w:val="3AFF7597"/>
    <w:rsid w:val="3B0388BC"/>
    <w:rsid w:val="3B158CFF"/>
    <w:rsid w:val="3B1DFC0C"/>
    <w:rsid w:val="3B27DFCC"/>
    <w:rsid w:val="3B369BEF"/>
    <w:rsid w:val="3B3CC053"/>
    <w:rsid w:val="3B57079E"/>
    <w:rsid w:val="3B5BF424"/>
    <w:rsid w:val="3B635161"/>
    <w:rsid w:val="3B682427"/>
    <w:rsid w:val="3B6D2641"/>
    <w:rsid w:val="3B6FABBD"/>
    <w:rsid w:val="3B78EFFC"/>
    <w:rsid w:val="3B879D65"/>
    <w:rsid w:val="3B8F5E8B"/>
    <w:rsid w:val="3B969E72"/>
    <w:rsid w:val="3B9ECF23"/>
    <w:rsid w:val="3BB4ADCE"/>
    <w:rsid w:val="3BBADACA"/>
    <w:rsid w:val="3BBEA7E3"/>
    <w:rsid w:val="3BC318F2"/>
    <w:rsid w:val="3BF4E409"/>
    <w:rsid w:val="3C037096"/>
    <w:rsid w:val="3C0A3B6F"/>
    <w:rsid w:val="3C1645C8"/>
    <w:rsid w:val="3C1B9638"/>
    <w:rsid w:val="3C23C10E"/>
    <w:rsid w:val="3C2C16D6"/>
    <w:rsid w:val="3C2CDAC0"/>
    <w:rsid w:val="3C3C657E"/>
    <w:rsid w:val="3C4A755E"/>
    <w:rsid w:val="3C5CF4D1"/>
    <w:rsid w:val="3C5F3047"/>
    <w:rsid w:val="3C6546E1"/>
    <w:rsid w:val="3C6B7799"/>
    <w:rsid w:val="3C749F9F"/>
    <w:rsid w:val="3C8366F3"/>
    <w:rsid w:val="3C88EF58"/>
    <w:rsid w:val="3C8CED14"/>
    <w:rsid w:val="3C901584"/>
    <w:rsid w:val="3C9A86A8"/>
    <w:rsid w:val="3C9BC4B0"/>
    <w:rsid w:val="3CA09390"/>
    <w:rsid w:val="3CA0CA4E"/>
    <w:rsid w:val="3CBF353F"/>
    <w:rsid w:val="3CC54EB8"/>
    <w:rsid w:val="3CCE9EF7"/>
    <w:rsid w:val="3CD2C3EB"/>
    <w:rsid w:val="3CD9CDE2"/>
    <w:rsid w:val="3CDA8D12"/>
    <w:rsid w:val="3CE898D9"/>
    <w:rsid w:val="3CF4B6D3"/>
    <w:rsid w:val="3CF53C91"/>
    <w:rsid w:val="3D0B00DB"/>
    <w:rsid w:val="3D129277"/>
    <w:rsid w:val="3D20EB22"/>
    <w:rsid w:val="3D24DAF8"/>
    <w:rsid w:val="3D2B9ACF"/>
    <w:rsid w:val="3D35E580"/>
    <w:rsid w:val="3D36ED87"/>
    <w:rsid w:val="3D3C3452"/>
    <w:rsid w:val="3D4534A5"/>
    <w:rsid w:val="3D47C491"/>
    <w:rsid w:val="3D51BF32"/>
    <w:rsid w:val="3D5A4C74"/>
    <w:rsid w:val="3D5E50B0"/>
    <w:rsid w:val="3D616738"/>
    <w:rsid w:val="3DD0551E"/>
    <w:rsid w:val="3DD4B0E4"/>
    <w:rsid w:val="3DDD1516"/>
    <w:rsid w:val="3DF22656"/>
    <w:rsid w:val="3E08B129"/>
    <w:rsid w:val="3E0F65EB"/>
    <w:rsid w:val="3E15C42A"/>
    <w:rsid w:val="3E23E6CC"/>
    <w:rsid w:val="3E2D0CD2"/>
    <w:rsid w:val="3E31ABE9"/>
    <w:rsid w:val="3E35A564"/>
    <w:rsid w:val="3E3EC92E"/>
    <w:rsid w:val="3E4498D4"/>
    <w:rsid w:val="3E48A55C"/>
    <w:rsid w:val="3E4B1A6D"/>
    <w:rsid w:val="3E4B3F87"/>
    <w:rsid w:val="3E4CD214"/>
    <w:rsid w:val="3E5E2C60"/>
    <w:rsid w:val="3E82977E"/>
    <w:rsid w:val="3E85FE37"/>
    <w:rsid w:val="3E8634FE"/>
    <w:rsid w:val="3E9E975D"/>
    <w:rsid w:val="3EA205CF"/>
    <w:rsid w:val="3EA6D4D4"/>
    <w:rsid w:val="3EB3CEA5"/>
    <w:rsid w:val="3EB6AA74"/>
    <w:rsid w:val="3EC7E35C"/>
    <w:rsid w:val="3ED8066C"/>
    <w:rsid w:val="3ED95A12"/>
    <w:rsid w:val="3EE94B8B"/>
    <w:rsid w:val="3EF7F502"/>
    <w:rsid w:val="3EFBC572"/>
    <w:rsid w:val="3EFE4079"/>
    <w:rsid w:val="3F03C9CE"/>
    <w:rsid w:val="3F0C513E"/>
    <w:rsid w:val="3F2E9E24"/>
    <w:rsid w:val="3F4823BC"/>
    <w:rsid w:val="3F511DA1"/>
    <w:rsid w:val="3F52115A"/>
    <w:rsid w:val="3F536CAE"/>
    <w:rsid w:val="3F568B90"/>
    <w:rsid w:val="3F569E9D"/>
    <w:rsid w:val="3F56D3F0"/>
    <w:rsid w:val="3F5DA7C0"/>
    <w:rsid w:val="3F5F727C"/>
    <w:rsid w:val="3F68CA7A"/>
    <w:rsid w:val="3F6D0E65"/>
    <w:rsid w:val="3F7BA879"/>
    <w:rsid w:val="3F848F08"/>
    <w:rsid w:val="3F883E33"/>
    <w:rsid w:val="3F9E7988"/>
    <w:rsid w:val="3F9F3DAD"/>
    <w:rsid w:val="3FA5F157"/>
    <w:rsid w:val="3FA64332"/>
    <w:rsid w:val="3FAD56BB"/>
    <w:rsid w:val="3FBB16E5"/>
    <w:rsid w:val="3FBDE664"/>
    <w:rsid w:val="3FBE23FC"/>
    <w:rsid w:val="3FBEFB3F"/>
    <w:rsid w:val="3FC8A725"/>
    <w:rsid w:val="3FD2AEF1"/>
    <w:rsid w:val="3FD9DE44"/>
    <w:rsid w:val="3FFB0531"/>
    <w:rsid w:val="40046318"/>
    <w:rsid w:val="40148AEB"/>
    <w:rsid w:val="401AF8AE"/>
    <w:rsid w:val="40245569"/>
    <w:rsid w:val="403AD4E1"/>
    <w:rsid w:val="40437094"/>
    <w:rsid w:val="4043B4E3"/>
    <w:rsid w:val="4049EC20"/>
    <w:rsid w:val="404D20AE"/>
    <w:rsid w:val="40591A77"/>
    <w:rsid w:val="405A27DC"/>
    <w:rsid w:val="405E6DFD"/>
    <w:rsid w:val="406C087A"/>
    <w:rsid w:val="406C3ABC"/>
    <w:rsid w:val="406C66C3"/>
    <w:rsid w:val="4076E40C"/>
    <w:rsid w:val="408157A3"/>
    <w:rsid w:val="409759D7"/>
    <w:rsid w:val="409EEE2F"/>
    <w:rsid w:val="40A20357"/>
    <w:rsid w:val="40ACCF11"/>
    <w:rsid w:val="40C3F092"/>
    <w:rsid w:val="40D692B2"/>
    <w:rsid w:val="40E11C31"/>
    <w:rsid w:val="40E5D25E"/>
    <w:rsid w:val="40F56D5E"/>
    <w:rsid w:val="40F96DF5"/>
    <w:rsid w:val="4108ED39"/>
    <w:rsid w:val="4133428B"/>
    <w:rsid w:val="41371D27"/>
    <w:rsid w:val="4137FCBA"/>
    <w:rsid w:val="41422FA7"/>
    <w:rsid w:val="4144FF2A"/>
    <w:rsid w:val="4146B007"/>
    <w:rsid w:val="41567E33"/>
    <w:rsid w:val="415ABEEF"/>
    <w:rsid w:val="4164C259"/>
    <w:rsid w:val="416FFC91"/>
    <w:rsid w:val="416FFFF4"/>
    <w:rsid w:val="418559DF"/>
    <w:rsid w:val="4198E2C2"/>
    <w:rsid w:val="41A20B70"/>
    <w:rsid w:val="41A493D0"/>
    <w:rsid w:val="41AF66C1"/>
    <w:rsid w:val="41B04C87"/>
    <w:rsid w:val="41B405E4"/>
    <w:rsid w:val="41BDC9AA"/>
    <w:rsid w:val="41C1284E"/>
    <w:rsid w:val="41C85890"/>
    <w:rsid w:val="41CDDDAB"/>
    <w:rsid w:val="41CE4482"/>
    <w:rsid w:val="41EE4B80"/>
    <w:rsid w:val="41F773B1"/>
    <w:rsid w:val="42135E0C"/>
    <w:rsid w:val="42142B2F"/>
    <w:rsid w:val="422B95A2"/>
    <w:rsid w:val="42337A27"/>
    <w:rsid w:val="42396AB2"/>
    <w:rsid w:val="424418E0"/>
    <w:rsid w:val="42492B6C"/>
    <w:rsid w:val="424CED0A"/>
    <w:rsid w:val="424E65F6"/>
    <w:rsid w:val="42525BC0"/>
    <w:rsid w:val="4253A20E"/>
    <w:rsid w:val="4267B0DE"/>
    <w:rsid w:val="426B40A4"/>
    <w:rsid w:val="427D69DF"/>
    <w:rsid w:val="428158C8"/>
    <w:rsid w:val="429451AA"/>
    <w:rsid w:val="4299F73F"/>
    <w:rsid w:val="42AA9709"/>
    <w:rsid w:val="42B5D0CB"/>
    <w:rsid w:val="42C2E63E"/>
    <w:rsid w:val="42C7F5D3"/>
    <w:rsid w:val="42CCC558"/>
    <w:rsid w:val="42D784CE"/>
    <w:rsid w:val="42E5F1E2"/>
    <w:rsid w:val="42E73F69"/>
    <w:rsid w:val="42F6A4C5"/>
    <w:rsid w:val="43016341"/>
    <w:rsid w:val="4309F3AD"/>
    <w:rsid w:val="4312D011"/>
    <w:rsid w:val="4322737B"/>
    <w:rsid w:val="432722F2"/>
    <w:rsid w:val="432BBDDC"/>
    <w:rsid w:val="432E7E97"/>
    <w:rsid w:val="4355C7C4"/>
    <w:rsid w:val="435DFD76"/>
    <w:rsid w:val="437E2FAF"/>
    <w:rsid w:val="4384C474"/>
    <w:rsid w:val="438B0DE1"/>
    <w:rsid w:val="438D7370"/>
    <w:rsid w:val="438E530F"/>
    <w:rsid w:val="4399FDFA"/>
    <w:rsid w:val="43A91544"/>
    <w:rsid w:val="43B8880B"/>
    <w:rsid w:val="43CB0EC4"/>
    <w:rsid w:val="43E75372"/>
    <w:rsid w:val="43E875E8"/>
    <w:rsid w:val="43FBB1E4"/>
    <w:rsid w:val="43FEF6CC"/>
    <w:rsid w:val="4405FEB6"/>
    <w:rsid w:val="440A5CD0"/>
    <w:rsid w:val="441C7B17"/>
    <w:rsid w:val="4424D498"/>
    <w:rsid w:val="442DE381"/>
    <w:rsid w:val="442E917E"/>
    <w:rsid w:val="4446EAFA"/>
    <w:rsid w:val="44599C5B"/>
    <w:rsid w:val="445B1EF0"/>
    <w:rsid w:val="446D31D4"/>
    <w:rsid w:val="4479AF75"/>
    <w:rsid w:val="447C2553"/>
    <w:rsid w:val="4484B794"/>
    <w:rsid w:val="4486DC2C"/>
    <w:rsid w:val="4493107D"/>
    <w:rsid w:val="449A6522"/>
    <w:rsid w:val="449C0A9A"/>
    <w:rsid w:val="449D0913"/>
    <w:rsid w:val="44A15C03"/>
    <w:rsid w:val="44A4E38C"/>
    <w:rsid w:val="44A8EEB2"/>
    <w:rsid w:val="44BB4A27"/>
    <w:rsid w:val="44CD9D33"/>
    <w:rsid w:val="44E1F376"/>
    <w:rsid w:val="44E3A3B3"/>
    <w:rsid w:val="44F4DB9F"/>
    <w:rsid w:val="450824D8"/>
    <w:rsid w:val="452BAD6B"/>
    <w:rsid w:val="452DD6CD"/>
    <w:rsid w:val="452F584B"/>
    <w:rsid w:val="453EF8BA"/>
    <w:rsid w:val="4555F819"/>
    <w:rsid w:val="456044A4"/>
    <w:rsid w:val="456294A1"/>
    <w:rsid w:val="456CFEFC"/>
    <w:rsid w:val="457E4D46"/>
    <w:rsid w:val="458F6A97"/>
    <w:rsid w:val="4590AEAB"/>
    <w:rsid w:val="45A2051E"/>
    <w:rsid w:val="45AFF69E"/>
    <w:rsid w:val="45B22758"/>
    <w:rsid w:val="45BCB2F0"/>
    <w:rsid w:val="45C16B5A"/>
    <w:rsid w:val="45C24F7E"/>
    <w:rsid w:val="45C8EE65"/>
    <w:rsid w:val="45D37800"/>
    <w:rsid w:val="45DF8A17"/>
    <w:rsid w:val="45E39FCB"/>
    <w:rsid w:val="45F49A9B"/>
    <w:rsid w:val="460B30AF"/>
    <w:rsid w:val="461777C4"/>
    <w:rsid w:val="4618964C"/>
    <w:rsid w:val="461E54E7"/>
    <w:rsid w:val="461EB51E"/>
    <w:rsid w:val="4621FDDD"/>
    <w:rsid w:val="46265EF4"/>
    <w:rsid w:val="4632211B"/>
    <w:rsid w:val="4639BAF1"/>
    <w:rsid w:val="463B81A0"/>
    <w:rsid w:val="4647E964"/>
    <w:rsid w:val="464ADFE8"/>
    <w:rsid w:val="4667F1DE"/>
    <w:rsid w:val="4668240A"/>
    <w:rsid w:val="468845E7"/>
    <w:rsid w:val="469082E8"/>
    <w:rsid w:val="469E4A99"/>
    <w:rsid w:val="46B677DC"/>
    <w:rsid w:val="46C28926"/>
    <w:rsid w:val="46C38951"/>
    <w:rsid w:val="46C76630"/>
    <w:rsid w:val="46EC27B7"/>
    <w:rsid w:val="46F3D3F4"/>
    <w:rsid w:val="46F97379"/>
    <w:rsid w:val="4703226F"/>
    <w:rsid w:val="47037834"/>
    <w:rsid w:val="4720E691"/>
    <w:rsid w:val="473792D4"/>
    <w:rsid w:val="473EF913"/>
    <w:rsid w:val="474A352E"/>
    <w:rsid w:val="4751653C"/>
    <w:rsid w:val="4757942A"/>
    <w:rsid w:val="475B4150"/>
    <w:rsid w:val="476617C2"/>
    <w:rsid w:val="476EEA82"/>
    <w:rsid w:val="476FA20F"/>
    <w:rsid w:val="476FD328"/>
    <w:rsid w:val="47748AB1"/>
    <w:rsid w:val="477E7F38"/>
    <w:rsid w:val="479450EC"/>
    <w:rsid w:val="47A38C1C"/>
    <w:rsid w:val="47B28C76"/>
    <w:rsid w:val="47B35E81"/>
    <w:rsid w:val="47BEF63C"/>
    <w:rsid w:val="47C3A01F"/>
    <w:rsid w:val="47C8C219"/>
    <w:rsid w:val="47CFEA8E"/>
    <w:rsid w:val="47DD1C06"/>
    <w:rsid w:val="47E15B4B"/>
    <w:rsid w:val="47ED25B5"/>
    <w:rsid w:val="47F9FEA9"/>
    <w:rsid w:val="48095AE7"/>
    <w:rsid w:val="480A2961"/>
    <w:rsid w:val="48205A00"/>
    <w:rsid w:val="48426A01"/>
    <w:rsid w:val="484287F6"/>
    <w:rsid w:val="4845A094"/>
    <w:rsid w:val="484EDB92"/>
    <w:rsid w:val="484EDEE1"/>
    <w:rsid w:val="48539137"/>
    <w:rsid w:val="4856EE31"/>
    <w:rsid w:val="485AA909"/>
    <w:rsid w:val="485ACC17"/>
    <w:rsid w:val="486B680A"/>
    <w:rsid w:val="48728679"/>
    <w:rsid w:val="4879B35C"/>
    <w:rsid w:val="488BAF43"/>
    <w:rsid w:val="48A827AB"/>
    <w:rsid w:val="48A95697"/>
    <w:rsid w:val="48AE43A4"/>
    <w:rsid w:val="48CA19CA"/>
    <w:rsid w:val="48CDBE69"/>
    <w:rsid w:val="48D2F711"/>
    <w:rsid w:val="48F087E5"/>
    <w:rsid w:val="48F5BE0B"/>
    <w:rsid w:val="49002545"/>
    <w:rsid w:val="49086A77"/>
    <w:rsid w:val="490F52FE"/>
    <w:rsid w:val="491B2C2F"/>
    <w:rsid w:val="491B9159"/>
    <w:rsid w:val="4925C121"/>
    <w:rsid w:val="49289F3D"/>
    <w:rsid w:val="492A1DEF"/>
    <w:rsid w:val="492E7555"/>
    <w:rsid w:val="493114E0"/>
    <w:rsid w:val="493D20F5"/>
    <w:rsid w:val="49417BAC"/>
    <w:rsid w:val="49547215"/>
    <w:rsid w:val="4958B092"/>
    <w:rsid w:val="495D330A"/>
    <w:rsid w:val="49886895"/>
    <w:rsid w:val="498CF16C"/>
    <w:rsid w:val="499380AB"/>
    <w:rsid w:val="4993AEEE"/>
    <w:rsid w:val="49968714"/>
    <w:rsid w:val="4999ADCB"/>
    <w:rsid w:val="49A5DBAD"/>
    <w:rsid w:val="49A90B72"/>
    <w:rsid w:val="49AD223C"/>
    <w:rsid w:val="49B0AF25"/>
    <w:rsid w:val="49B81A4C"/>
    <w:rsid w:val="49D84F78"/>
    <w:rsid w:val="49E3182B"/>
    <w:rsid w:val="49EC9900"/>
    <w:rsid w:val="4A0DF490"/>
    <w:rsid w:val="4A1066E7"/>
    <w:rsid w:val="4A204F1B"/>
    <w:rsid w:val="4A2BDE07"/>
    <w:rsid w:val="4A4EB548"/>
    <w:rsid w:val="4A5132FA"/>
    <w:rsid w:val="4A61DFD8"/>
    <w:rsid w:val="4A62BD70"/>
    <w:rsid w:val="4A648E89"/>
    <w:rsid w:val="4A87FEFB"/>
    <w:rsid w:val="4A8FA5BD"/>
    <w:rsid w:val="4AA6607B"/>
    <w:rsid w:val="4AAE50CF"/>
    <w:rsid w:val="4AB04605"/>
    <w:rsid w:val="4AB40EA9"/>
    <w:rsid w:val="4AC68FCC"/>
    <w:rsid w:val="4ACA11E4"/>
    <w:rsid w:val="4ADDDB4B"/>
    <w:rsid w:val="4AF4D187"/>
    <w:rsid w:val="4AF549A5"/>
    <w:rsid w:val="4AF72B1F"/>
    <w:rsid w:val="4AFE6639"/>
    <w:rsid w:val="4B068F9D"/>
    <w:rsid w:val="4B070474"/>
    <w:rsid w:val="4B099693"/>
    <w:rsid w:val="4B0CED37"/>
    <w:rsid w:val="4B118CB1"/>
    <w:rsid w:val="4B160E99"/>
    <w:rsid w:val="4B24A5CB"/>
    <w:rsid w:val="4B4C6149"/>
    <w:rsid w:val="4B67486B"/>
    <w:rsid w:val="4B695FE1"/>
    <w:rsid w:val="4B6E8C9F"/>
    <w:rsid w:val="4B771305"/>
    <w:rsid w:val="4B8032DB"/>
    <w:rsid w:val="4B874219"/>
    <w:rsid w:val="4B8F3835"/>
    <w:rsid w:val="4B939925"/>
    <w:rsid w:val="4BA74130"/>
    <w:rsid w:val="4BA86AF1"/>
    <w:rsid w:val="4BA99999"/>
    <w:rsid w:val="4BB20532"/>
    <w:rsid w:val="4BBB7742"/>
    <w:rsid w:val="4BD62833"/>
    <w:rsid w:val="4BDEDE16"/>
    <w:rsid w:val="4BDF7131"/>
    <w:rsid w:val="4C040922"/>
    <w:rsid w:val="4C13E783"/>
    <w:rsid w:val="4C13F51C"/>
    <w:rsid w:val="4C17698E"/>
    <w:rsid w:val="4C22C7F4"/>
    <w:rsid w:val="4C3185B4"/>
    <w:rsid w:val="4C46DF72"/>
    <w:rsid w:val="4C655492"/>
    <w:rsid w:val="4C6A54DB"/>
    <w:rsid w:val="4C6AC299"/>
    <w:rsid w:val="4C7CEC20"/>
    <w:rsid w:val="4C81865F"/>
    <w:rsid w:val="4C8378D3"/>
    <w:rsid w:val="4C9B7F1E"/>
    <w:rsid w:val="4C9F5147"/>
    <w:rsid w:val="4CA43FFB"/>
    <w:rsid w:val="4CAC3760"/>
    <w:rsid w:val="4CB227AC"/>
    <w:rsid w:val="4CCA3D2C"/>
    <w:rsid w:val="4CCFB8DE"/>
    <w:rsid w:val="4CD36894"/>
    <w:rsid w:val="4CD58048"/>
    <w:rsid w:val="4CD71AD7"/>
    <w:rsid w:val="4CD7FD8D"/>
    <w:rsid w:val="4CF8EF85"/>
    <w:rsid w:val="4D06B966"/>
    <w:rsid w:val="4D0B2175"/>
    <w:rsid w:val="4D0ED1EC"/>
    <w:rsid w:val="4D1EA8A1"/>
    <w:rsid w:val="4D1FB96D"/>
    <w:rsid w:val="4D2CC695"/>
    <w:rsid w:val="4D3F24EC"/>
    <w:rsid w:val="4D438B2E"/>
    <w:rsid w:val="4D5BD96C"/>
    <w:rsid w:val="4D5C854F"/>
    <w:rsid w:val="4D60435F"/>
    <w:rsid w:val="4D6DC035"/>
    <w:rsid w:val="4D6FC84A"/>
    <w:rsid w:val="4D73B675"/>
    <w:rsid w:val="4D742E27"/>
    <w:rsid w:val="4D79F570"/>
    <w:rsid w:val="4D8235FD"/>
    <w:rsid w:val="4D826764"/>
    <w:rsid w:val="4D84C396"/>
    <w:rsid w:val="4D8A109C"/>
    <w:rsid w:val="4DA6F52C"/>
    <w:rsid w:val="4DB875F9"/>
    <w:rsid w:val="4DBE82B1"/>
    <w:rsid w:val="4DCE4640"/>
    <w:rsid w:val="4DE570D5"/>
    <w:rsid w:val="4DFFA565"/>
    <w:rsid w:val="4E033A26"/>
    <w:rsid w:val="4E0C9D4C"/>
    <w:rsid w:val="4E0D93A9"/>
    <w:rsid w:val="4E0F773C"/>
    <w:rsid w:val="4E130BEE"/>
    <w:rsid w:val="4E134F5E"/>
    <w:rsid w:val="4E1C9FE8"/>
    <w:rsid w:val="4E26DE1F"/>
    <w:rsid w:val="4E2BA1F3"/>
    <w:rsid w:val="4E39C59C"/>
    <w:rsid w:val="4E5C0A85"/>
    <w:rsid w:val="4E6F7807"/>
    <w:rsid w:val="4EA075EF"/>
    <w:rsid w:val="4EA87297"/>
    <w:rsid w:val="4EB5473F"/>
    <w:rsid w:val="4EC55DE2"/>
    <w:rsid w:val="4ED1A2F6"/>
    <w:rsid w:val="4ED85410"/>
    <w:rsid w:val="4EE565B9"/>
    <w:rsid w:val="4EF2B3BA"/>
    <w:rsid w:val="4F199A40"/>
    <w:rsid w:val="4F1B2BE0"/>
    <w:rsid w:val="4F2C37DD"/>
    <w:rsid w:val="4F2EBB18"/>
    <w:rsid w:val="4F3FFB86"/>
    <w:rsid w:val="4F488842"/>
    <w:rsid w:val="4F5326A5"/>
    <w:rsid w:val="4F5EC768"/>
    <w:rsid w:val="4F613FCD"/>
    <w:rsid w:val="4F652F26"/>
    <w:rsid w:val="4F6EBEA0"/>
    <w:rsid w:val="4F736D44"/>
    <w:rsid w:val="4F8EBDBA"/>
    <w:rsid w:val="4F9EFDD5"/>
    <w:rsid w:val="4FA2299C"/>
    <w:rsid w:val="4FA3C7B8"/>
    <w:rsid w:val="4FADA3ED"/>
    <w:rsid w:val="4FB395A4"/>
    <w:rsid w:val="4FB6B6CB"/>
    <w:rsid w:val="4FD7CDF2"/>
    <w:rsid w:val="4FDFEA06"/>
    <w:rsid w:val="4FEED1A6"/>
    <w:rsid w:val="4FF1D87A"/>
    <w:rsid w:val="4FFA3077"/>
    <w:rsid w:val="5022EDC0"/>
    <w:rsid w:val="502FCDDB"/>
    <w:rsid w:val="5032A705"/>
    <w:rsid w:val="5049B43E"/>
    <w:rsid w:val="505D6B98"/>
    <w:rsid w:val="505FCA54"/>
    <w:rsid w:val="506840C8"/>
    <w:rsid w:val="5068B4E7"/>
    <w:rsid w:val="506B606A"/>
    <w:rsid w:val="506F1C51"/>
    <w:rsid w:val="50892380"/>
    <w:rsid w:val="508A8257"/>
    <w:rsid w:val="5092D5D4"/>
    <w:rsid w:val="50A5CD7E"/>
    <w:rsid w:val="50B10D5B"/>
    <w:rsid w:val="50B5F8C9"/>
    <w:rsid w:val="50B731AB"/>
    <w:rsid w:val="50BE37E8"/>
    <w:rsid w:val="50E50BFF"/>
    <w:rsid w:val="50EAB455"/>
    <w:rsid w:val="50FED658"/>
    <w:rsid w:val="510C2AC4"/>
    <w:rsid w:val="512F4677"/>
    <w:rsid w:val="51314FF7"/>
    <w:rsid w:val="513CA047"/>
    <w:rsid w:val="513F0AF7"/>
    <w:rsid w:val="5151D732"/>
    <w:rsid w:val="5155A1CA"/>
    <w:rsid w:val="5155C368"/>
    <w:rsid w:val="51561343"/>
    <w:rsid w:val="515AB78C"/>
    <w:rsid w:val="515EC724"/>
    <w:rsid w:val="5171578D"/>
    <w:rsid w:val="5173F258"/>
    <w:rsid w:val="5179CECE"/>
    <w:rsid w:val="517A6D27"/>
    <w:rsid w:val="518064D6"/>
    <w:rsid w:val="518FEC3E"/>
    <w:rsid w:val="5195FBA7"/>
    <w:rsid w:val="51A3453C"/>
    <w:rsid w:val="51AF3AC9"/>
    <w:rsid w:val="51B48D20"/>
    <w:rsid w:val="51B7835E"/>
    <w:rsid w:val="51BAB837"/>
    <w:rsid w:val="51BD2194"/>
    <w:rsid w:val="51BDE502"/>
    <w:rsid w:val="51DB843F"/>
    <w:rsid w:val="51EAFE0A"/>
    <w:rsid w:val="51FF278E"/>
    <w:rsid w:val="520FD035"/>
    <w:rsid w:val="52198B4A"/>
    <w:rsid w:val="5234485B"/>
    <w:rsid w:val="52349F03"/>
    <w:rsid w:val="5234FD3F"/>
    <w:rsid w:val="5242C01C"/>
    <w:rsid w:val="5250EAF3"/>
    <w:rsid w:val="527D9D73"/>
    <w:rsid w:val="5284B1FC"/>
    <w:rsid w:val="5286AB3E"/>
    <w:rsid w:val="528A6FB3"/>
    <w:rsid w:val="5290029B"/>
    <w:rsid w:val="5292DD23"/>
    <w:rsid w:val="529A4AB7"/>
    <w:rsid w:val="529D831A"/>
    <w:rsid w:val="52A2BFCE"/>
    <w:rsid w:val="52A7C17F"/>
    <w:rsid w:val="52A8105D"/>
    <w:rsid w:val="52B276D5"/>
    <w:rsid w:val="52B76403"/>
    <w:rsid w:val="52C88AB9"/>
    <w:rsid w:val="52CA49F4"/>
    <w:rsid w:val="52D31DE6"/>
    <w:rsid w:val="52D6952F"/>
    <w:rsid w:val="52D89A18"/>
    <w:rsid w:val="52E45BB3"/>
    <w:rsid w:val="52E6063C"/>
    <w:rsid w:val="52E6BEE7"/>
    <w:rsid w:val="52ED99A0"/>
    <w:rsid w:val="52EE7C2D"/>
    <w:rsid w:val="52F3000B"/>
    <w:rsid w:val="52F928BA"/>
    <w:rsid w:val="52F9F147"/>
    <w:rsid w:val="53106861"/>
    <w:rsid w:val="531DC4EC"/>
    <w:rsid w:val="532157BC"/>
    <w:rsid w:val="532AEF9F"/>
    <w:rsid w:val="5335587D"/>
    <w:rsid w:val="533628FA"/>
    <w:rsid w:val="533909D4"/>
    <w:rsid w:val="533A5B44"/>
    <w:rsid w:val="533FD145"/>
    <w:rsid w:val="53416F9C"/>
    <w:rsid w:val="53435550"/>
    <w:rsid w:val="535AA047"/>
    <w:rsid w:val="5360F9F9"/>
    <w:rsid w:val="53614E03"/>
    <w:rsid w:val="5361EBC7"/>
    <w:rsid w:val="536CC49B"/>
    <w:rsid w:val="537029CE"/>
    <w:rsid w:val="537DEAB8"/>
    <w:rsid w:val="537E75E4"/>
    <w:rsid w:val="539795A2"/>
    <w:rsid w:val="53A0C9A7"/>
    <w:rsid w:val="53B1B1C9"/>
    <w:rsid w:val="53B70A35"/>
    <w:rsid w:val="53BAFD33"/>
    <w:rsid w:val="53BC4C60"/>
    <w:rsid w:val="53CD5416"/>
    <w:rsid w:val="53D4EFAB"/>
    <w:rsid w:val="53DCBA81"/>
    <w:rsid w:val="53E8CE76"/>
    <w:rsid w:val="53F960CA"/>
    <w:rsid w:val="54109C0E"/>
    <w:rsid w:val="541624E1"/>
    <w:rsid w:val="54163719"/>
    <w:rsid w:val="541DCF48"/>
    <w:rsid w:val="541DE1FA"/>
    <w:rsid w:val="54255849"/>
    <w:rsid w:val="542ABD58"/>
    <w:rsid w:val="542C0C10"/>
    <w:rsid w:val="545080F0"/>
    <w:rsid w:val="545ADE39"/>
    <w:rsid w:val="545AFC4C"/>
    <w:rsid w:val="547A7426"/>
    <w:rsid w:val="547BB16C"/>
    <w:rsid w:val="5480D71B"/>
    <w:rsid w:val="5484EFE3"/>
    <w:rsid w:val="54871C5F"/>
    <w:rsid w:val="54877D7A"/>
    <w:rsid w:val="548DC4A0"/>
    <w:rsid w:val="5490E86A"/>
    <w:rsid w:val="5497AE9A"/>
    <w:rsid w:val="54A999D2"/>
    <w:rsid w:val="54A9EBAC"/>
    <w:rsid w:val="54BC7789"/>
    <w:rsid w:val="54C09797"/>
    <w:rsid w:val="54C0F0AC"/>
    <w:rsid w:val="54CC41F8"/>
    <w:rsid w:val="54E20357"/>
    <w:rsid w:val="54E3AAFC"/>
    <w:rsid w:val="54E893A7"/>
    <w:rsid w:val="54F1C820"/>
    <w:rsid w:val="54FC5695"/>
    <w:rsid w:val="54FEF49C"/>
    <w:rsid w:val="5501BB62"/>
    <w:rsid w:val="550A77F5"/>
    <w:rsid w:val="550C074D"/>
    <w:rsid w:val="5511CD72"/>
    <w:rsid w:val="551F4DB7"/>
    <w:rsid w:val="55228E58"/>
    <w:rsid w:val="5525E181"/>
    <w:rsid w:val="5526ED1B"/>
    <w:rsid w:val="552AA9C1"/>
    <w:rsid w:val="5536F80E"/>
    <w:rsid w:val="55392C7D"/>
    <w:rsid w:val="554D4F1F"/>
    <w:rsid w:val="554DDBF4"/>
    <w:rsid w:val="555C6B57"/>
    <w:rsid w:val="5562ED2F"/>
    <w:rsid w:val="558E2702"/>
    <w:rsid w:val="55A0B588"/>
    <w:rsid w:val="55A24539"/>
    <w:rsid w:val="55A27E10"/>
    <w:rsid w:val="55AE4899"/>
    <w:rsid w:val="55BA252B"/>
    <w:rsid w:val="55BF9E28"/>
    <w:rsid w:val="55CA0501"/>
    <w:rsid w:val="5618AA35"/>
    <w:rsid w:val="562252F6"/>
    <w:rsid w:val="5628AB3D"/>
    <w:rsid w:val="56395156"/>
    <w:rsid w:val="564B64C7"/>
    <w:rsid w:val="56552AD6"/>
    <w:rsid w:val="565A5E45"/>
    <w:rsid w:val="565D36C7"/>
    <w:rsid w:val="565DBC71"/>
    <w:rsid w:val="56691945"/>
    <w:rsid w:val="567978E8"/>
    <w:rsid w:val="5680AE9C"/>
    <w:rsid w:val="56865822"/>
    <w:rsid w:val="568EAE87"/>
    <w:rsid w:val="56A62EBB"/>
    <w:rsid w:val="56A67667"/>
    <w:rsid w:val="56D36786"/>
    <w:rsid w:val="56D9B1DD"/>
    <w:rsid w:val="56E34D70"/>
    <w:rsid w:val="56E5E1F3"/>
    <w:rsid w:val="56ED42AF"/>
    <w:rsid w:val="56F5A8B2"/>
    <w:rsid w:val="56FA78AA"/>
    <w:rsid w:val="56FFB0AF"/>
    <w:rsid w:val="571CFF30"/>
    <w:rsid w:val="571D05DA"/>
    <w:rsid w:val="572087CB"/>
    <w:rsid w:val="574C7DE4"/>
    <w:rsid w:val="574E5F88"/>
    <w:rsid w:val="576A2FB3"/>
    <w:rsid w:val="577BA034"/>
    <w:rsid w:val="577BCA41"/>
    <w:rsid w:val="579B3126"/>
    <w:rsid w:val="57B39D6E"/>
    <w:rsid w:val="57BA253F"/>
    <w:rsid w:val="57C5B9F5"/>
    <w:rsid w:val="57D17DA4"/>
    <w:rsid w:val="57D1B215"/>
    <w:rsid w:val="57D32250"/>
    <w:rsid w:val="57D7678D"/>
    <w:rsid w:val="57E727A2"/>
    <w:rsid w:val="57F11B43"/>
    <w:rsid w:val="57FF62E3"/>
    <w:rsid w:val="58083E28"/>
    <w:rsid w:val="5830E06D"/>
    <w:rsid w:val="583D0C52"/>
    <w:rsid w:val="583F0E9D"/>
    <w:rsid w:val="584AA50E"/>
    <w:rsid w:val="58514071"/>
    <w:rsid w:val="58540A94"/>
    <w:rsid w:val="585412D8"/>
    <w:rsid w:val="5854EB31"/>
    <w:rsid w:val="585B59BA"/>
    <w:rsid w:val="585DC42C"/>
    <w:rsid w:val="586A5515"/>
    <w:rsid w:val="586C07F9"/>
    <w:rsid w:val="586ED597"/>
    <w:rsid w:val="5873FE7B"/>
    <w:rsid w:val="5878BC56"/>
    <w:rsid w:val="5878C78D"/>
    <w:rsid w:val="587CDC7D"/>
    <w:rsid w:val="58828132"/>
    <w:rsid w:val="588B65CB"/>
    <w:rsid w:val="58975428"/>
    <w:rsid w:val="58AE7D1A"/>
    <w:rsid w:val="58B4D80C"/>
    <w:rsid w:val="58BF40D8"/>
    <w:rsid w:val="58CE1AF1"/>
    <w:rsid w:val="58DD5606"/>
    <w:rsid w:val="58E866A5"/>
    <w:rsid w:val="58F473D9"/>
    <w:rsid w:val="58FB8A50"/>
    <w:rsid w:val="58FC8F1B"/>
    <w:rsid w:val="590919EC"/>
    <w:rsid w:val="590FF70D"/>
    <w:rsid w:val="5914B3E7"/>
    <w:rsid w:val="5918615F"/>
    <w:rsid w:val="591B520E"/>
    <w:rsid w:val="592126E1"/>
    <w:rsid w:val="59329FB6"/>
    <w:rsid w:val="593C6E9C"/>
    <w:rsid w:val="593E75AA"/>
    <w:rsid w:val="594A20CF"/>
    <w:rsid w:val="595B7233"/>
    <w:rsid w:val="5960CD33"/>
    <w:rsid w:val="596D674A"/>
    <w:rsid w:val="597950DC"/>
    <w:rsid w:val="598000DA"/>
    <w:rsid w:val="5983C5DC"/>
    <w:rsid w:val="5984EBE1"/>
    <w:rsid w:val="5993EC20"/>
    <w:rsid w:val="5995CE74"/>
    <w:rsid w:val="59A19E6B"/>
    <w:rsid w:val="59C85CED"/>
    <w:rsid w:val="59CAD594"/>
    <w:rsid w:val="59D93095"/>
    <w:rsid w:val="59D9A043"/>
    <w:rsid w:val="59DE5A65"/>
    <w:rsid w:val="59E77138"/>
    <w:rsid w:val="59F83BE6"/>
    <w:rsid w:val="5A16AC6F"/>
    <w:rsid w:val="5A2278C2"/>
    <w:rsid w:val="5A31FCC0"/>
    <w:rsid w:val="5A503B4C"/>
    <w:rsid w:val="5A52BA7A"/>
    <w:rsid w:val="5A547378"/>
    <w:rsid w:val="5A66EADE"/>
    <w:rsid w:val="5A73EABA"/>
    <w:rsid w:val="5A752635"/>
    <w:rsid w:val="5A7BEAF1"/>
    <w:rsid w:val="5A851C29"/>
    <w:rsid w:val="5A853F13"/>
    <w:rsid w:val="5A8F56D7"/>
    <w:rsid w:val="5A95282F"/>
    <w:rsid w:val="5A98D3EC"/>
    <w:rsid w:val="5A9A40EF"/>
    <w:rsid w:val="5A9D16EB"/>
    <w:rsid w:val="5AA0C72E"/>
    <w:rsid w:val="5AB3F18D"/>
    <w:rsid w:val="5AC69515"/>
    <w:rsid w:val="5ACB6FD0"/>
    <w:rsid w:val="5AD66B44"/>
    <w:rsid w:val="5AD98431"/>
    <w:rsid w:val="5AE3A729"/>
    <w:rsid w:val="5AEBC5C6"/>
    <w:rsid w:val="5AED73CD"/>
    <w:rsid w:val="5AF2A708"/>
    <w:rsid w:val="5AFB10CD"/>
    <w:rsid w:val="5AFD6AE8"/>
    <w:rsid w:val="5B09B28F"/>
    <w:rsid w:val="5B1BD814"/>
    <w:rsid w:val="5B1CA23D"/>
    <w:rsid w:val="5B2913E7"/>
    <w:rsid w:val="5B413626"/>
    <w:rsid w:val="5B4851FC"/>
    <w:rsid w:val="5B485389"/>
    <w:rsid w:val="5B485993"/>
    <w:rsid w:val="5B4B81DC"/>
    <w:rsid w:val="5B4BB37C"/>
    <w:rsid w:val="5B59B678"/>
    <w:rsid w:val="5B74FF0E"/>
    <w:rsid w:val="5B76DBFD"/>
    <w:rsid w:val="5B7F575D"/>
    <w:rsid w:val="5B8922B4"/>
    <w:rsid w:val="5B8C80AA"/>
    <w:rsid w:val="5B989D0D"/>
    <w:rsid w:val="5B9C6CDA"/>
    <w:rsid w:val="5BAF82CD"/>
    <w:rsid w:val="5BB0FC17"/>
    <w:rsid w:val="5BCA333E"/>
    <w:rsid w:val="5BD5B896"/>
    <w:rsid w:val="5BDDA577"/>
    <w:rsid w:val="5BDEBC7F"/>
    <w:rsid w:val="5C01BAC8"/>
    <w:rsid w:val="5C10D630"/>
    <w:rsid w:val="5C2D20EA"/>
    <w:rsid w:val="5C34CC3D"/>
    <w:rsid w:val="5C543C93"/>
    <w:rsid w:val="5C5CFB6E"/>
    <w:rsid w:val="5C66E25F"/>
    <w:rsid w:val="5C76E5FF"/>
    <w:rsid w:val="5C7F8306"/>
    <w:rsid w:val="5C83EBA3"/>
    <w:rsid w:val="5C928D1C"/>
    <w:rsid w:val="5C95FCD5"/>
    <w:rsid w:val="5CB13309"/>
    <w:rsid w:val="5CB59AA3"/>
    <w:rsid w:val="5CC3DA20"/>
    <w:rsid w:val="5CC9F2B8"/>
    <w:rsid w:val="5CCA9573"/>
    <w:rsid w:val="5CCC3119"/>
    <w:rsid w:val="5CCC52EF"/>
    <w:rsid w:val="5CCC780E"/>
    <w:rsid w:val="5CD072DF"/>
    <w:rsid w:val="5CE9D8A0"/>
    <w:rsid w:val="5CEEB65B"/>
    <w:rsid w:val="5D1AA365"/>
    <w:rsid w:val="5D28C5BD"/>
    <w:rsid w:val="5D4565E1"/>
    <w:rsid w:val="5D4B00C5"/>
    <w:rsid w:val="5D51A66C"/>
    <w:rsid w:val="5D51DDAC"/>
    <w:rsid w:val="5D5799D6"/>
    <w:rsid w:val="5D57F249"/>
    <w:rsid w:val="5D5B30B8"/>
    <w:rsid w:val="5D9C836D"/>
    <w:rsid w:val="5DAB9718"/>
    <w:rsid w:val="5DB1982D"/>
    <w:rsid w:val="5DB4684B"/>
    <w:rsid w:val="5DBF0A2E"/>
    <w:rsid w:val="5DC5179C"/>
    <w:rsid w:val="5DC96B4B"/>
    <w:rsid w:val="5DE1B2D9"/>
    <w:rsid w:val="5DEE1204"/>
    <w:rsid w:val="5DF195D5"/>
    <w:rsid w:val="5E0A8401"/>
    <w:rsid w:val="5E0D2C6B"/>
    <w:rsid w:val="5E221535"/>
    <w:rsid w:val="5E29D1D5"/>
    <w:rsid w:val="5E2E1A86"/>
    <w:rsid w:val="5E2E4874"/>
    <w:rsid w:val="5E33FA7D"/>
    <w:rsid w:val="5E3B6649"/>
    <w:rsid w:val="5E4BED8B"/>
    <w:rsid w:val="5E52A8A6"/>
    <w:rsid w:val="5E52F211"/>
    <w:rsid w:val="5E57F7B7"/>
    <w:rsid w:val="5E596442"/>
    <w:rsid w:val="5E5BD428"/>
    <w:rsid w:val="5E5FE28E"/>
    <w:rsid w:val="5E8F91C4"/>
    <w:rsid w:val="5E9A924E"/>
    <w:rsid w:val="5E9CA947"/>
    <w:rsid w:val="5EAC0196"/>
    <w:rsid w:val="5EB6C79C"/>
    <w:rsid w:val="5EBF24B2"/>
    <w:rsid w:val="5ED1FA70"/>
    <w:rsid w:val="5EE63AB2"/>
    <w:rsid w:val="5EF4E388"/>
    <w:rsid w:val="5F062356"/>
    <w:rsid w:val="5F163034"/>
    <w:rsid w:val="5F163827"/>
    <w:rsid w:val="5F16AB9A"/>
    <w:rsid w:val="5F19197F"/>
    <w:rsid w:val="5F1C6AAE"/>
    <w:rsid w:val="5F216439"/>
    <w:rsid w:val="5F27B7A2"/>
    <w:rsid w:val="5F28B793"/>
    <w:rsid w:val="5F39556F"/>
    <w:rsid w:val="5F3F2689"/>
    <w:rsid w:val="5F500AD7"/>
    <w:rsid w:val="5F57DA9B"/>
    <w:rsid w:val="5F6F1BE1"/>
    <w:rsid w:val="5F700F70"/>
    <w:rsid w:val="5F709A54"/>
    <w:rsid w:val="5F7A1B6D"/>
    <w:rsid w:val="5F7BD3A4"/>
    <w:rsid w:val="5F7FD9B6"/>
    <w:rsid w:val="5F82DCF7"/>
    <w:rsid w:val="5F8BFC77"/>
    <w:rsid w:val="5F96EF85"/>
    <w:rsid w:val="5FB1993B"/>
    <w:rsid w:val="5FB642FA"/>
    <w:rsid w:val="5FB75650"/>
    <w:rsid w:val="5FCF2C51"/>
    <w:rsid w:val="5FD1B83D"/>
    <w:rsid w:val="5FD8ABD5"/>
    <w:rsid w:val="5FDC8922"/>
    <w:rsid w:val="5FE1BCB3"/>
    <w:rsid w:val="5FE64387"/>
    <w:rsid w:val="5FE9C81C"/>
    <w:rsid w:val="5FECA8FE"/>
    <w:rsid w:val="5FF700BC"/>
    <w:rsid w:val="5FF72B1F"/>
    <w:rsid w:val="5FF872E9"/>
    <w:rsid w:val="60086A28"/>
    <w:rsid w:val="601A78BD"/>
    <w:rsid w:val="604A3943"/>
    <w:rsid w:val="60528126"/>
    <w:rsid w:val="60625465"/>
    <w:rsid w:val="606283EC"/>
    <w:rsid w:val="60A236D3"/>
    <w:rsid w:val="60B188DA"/>
    <w:rsid w:val="60B326EC"/>
    <w:rsid w:val="60B5FFAA"/>
    <w:rsid w:val="60B9FF60"/>
    <w:rsid w:val="60C266EB"/>
    <w:rsid w:val="60D5E81A"/>
    <w:rsid w:val="60E545BA"/>
    <w:rsid w:val="60E888FD"/>
    <w:rsid w:val="60FCDD30"/>
    <w:rsid w:val="61054953"/>
    <w:rsid w:val="61086348"/>
    <w:rsid w:val="610BFC3E"/>
    <w:rsid w:val="611FE412"/>
    <w:rsid w:val="61216EC3"/>
    <w:rsid w:val="612A6DCC"/>
    <w:rsid w:val="612E43CB"/>
    <w:rsid w:val="613CFBFF"/>
    <w:rsid w:val="6142FAA7"/>
    <w:rsid w:val="6148C82E"/>
    <w:rsid w:val="614F649F"/>
    <w:rsid w:val="615AEBB5"/>
    <w:rsid w:val="615D81E5"/>
    <w:rsid w:val="6167402D"/>
    <w:rsid w:val="6174319E"/>
    <w:rsid w:val="6175CEA6"/>
    <w:rsid w:val="617B51FF"/>
    <w:rsid w:val="618FB01B"/>
    <w:rsid w:val="619CFE2D"/>
    <w:rsid w:val="61A56633"/>
    <w:rsid w:val="61B1CA58"/>
    <w:rsid w:val="61B59346"/>
    <w:rsid w:val="61D19AE0"/>
    <w:rsid w:val="61D29CFF"/>
    <w:rsid w:val="61D91713"/>
    <w:rsid w:val="61E0BBE9"/>
    <w:rsid w:val="61EDFBC7"/>
    <w:rsid w:val="61EFDC36"/>
    <w:rsid w:val="61F4989A"/>
    <w:rsid w:val="6207813A"/>
    <w:rsid w:val="6207FDA2"/>
    <w:rsid w:val="620A36C4"/>
    <w:rsid w:val="620B69FE"/>
    <w:rsid w:val="6216BCEA"/>
    <w:rsid w:val="621E68CE"/>
    <w:rsid w:val="62288FF3"/>
    <w:rsid w:val="6228A881"/>
    <w:rsid w:val="6234C0C1"/>
    <w:rsid w:val="6239306B"/>
    <w:rsid w:val="62420F54"/>
    <w:rsid w:val="624A88D0"/>
    <w:rsid w:val="624A9884"/>
    <w:rsid w:val="624D5235"/>
    <w:rsid w:val="62611212"/>
    <w:rsid w:val="6266FA56"/>
    <w:rsid w:val="626A7272"/>
    <w:rsid w:val="627091F5"/>
    <w:rsid w:val="6276176F"/>
    <w:rsid w:val="627BAE9E"/>
    <w:rsid w:val="627C2BAA"/>
    <w:rsid w:val="629180DF"/>
    <w:rsid w:val="62946FA5"/>
    <w:rsid w:val="62A2A0F1"/>
    <w:rsid w:val="62D103F3"/>
    <w:rsid w:val="62D2CFF8"/>
    <w:rsid w:val="62D36E81"/>
    <w:rsid w:val="62EB4157"/>
    <w:rsid w:val="62EE8B70"/>
    <w:rsid w:val="62F3C946"/>
    <w:rsid w:val="6306F582"/>
    <w:rsid w:val="631A6A52"/>
    <w:rsid w:val="631B9654"/>
    <w:rsid w:val="6328BBED"/>
    <w:rsid w:val="632F1FBB"/>
    <w:rsid w:val="6345F4AA"/>
    <w:rsid w:val="6354A135"/>
    <w:rsid w:val="6372706F"/>
    <w:rsid w:val="637512FA"/>
    <w:rsid w:val="63A2712D"/>
    <w:rsid w:val="63C1F198"/>
    <w:rsid w:val="63C2FE6F"/>
    <w:rsid w:val="63CAEED0"/>
    <w:rsid w:val="63CF65DF"/>
    <w:rsid w:val="63D8B7A3"/>
    <w:rsid w:val="63F98982"/>
    <w:rsid w:val="63FA9544"/>
    <w:rsid w:val="640534B8"/>
    <w:rsid w:val="6412E45C"/>
    <w:rsid w:val="6414613F"/>
    <w:rsid w:val="641B39B9"/>
    <w:rsid w:val="641C340C"/>
    <w:rsid w:val="641F5248"/>
    <w:rsid w:val="642B23DA"/>
    <w:rsid w:val="644ABED0"/>
    <w:rsid w:val="644CF045"/>
    <w:rsid w:val="6454E390"/>
    <w:rsid w:val="64651A88"/>
    <w:rsid w:val="646BC813"/>
    <w:rsid w:val="6470010A"/>
    <w:rsid w:val="6471BFDB"/>
    <w:rsid w:val="647348BB"/>
    <w:rsid w:val="64767D85"/>
    <w:rsid w:val="647C1920"/>
    <w:rsid w:val="6497322E"/>
    <w:rsid w:val="64986B29"/>
    <w:rsid w:val="649D3016"/>
    <w:rsid w:val="64A05C47"/>
    <w:rsid w:val="64B7A162"/>
    <w:rsid w:val="64B899F9"/>
    <w:rsid w:val="64C54D1D"/>
    <w:rsid w:val="64C6B593"/>
    <w:rsid w:val="64D7612F"/>
    <w:rsid w:val="64DEEEB9"/>
    <w:rsid w:val="64F21BD7"/>
    <w:rsid w:val="64FDB04F"/>
    <w:rsid w:val="65032095"/>
    <w:rsid w:val="650B54A7"/>
    <w:rsid w:val="650E7546"/>
    <w:rsid w:val="6517B364"/>
    <w:rsid w:val="6523445C"/>
    <w:rsid w:val="65234A82"/>
    <w:rsid w:val="65359928"/>
    <w:rsid w:val="6535F903"/>
    <w:rsid w:val="65376E6C"/>
    <w:rsid w:val="653D690A"/>
    <w:rsid w:val="653EB98B"/>
    <w:rsid w:val="65405002"/>
    <w:rsid w:val="65451E30"/>
    <w:rsid w:val="65585359"/>
    <w:rsid w:val="656AED74"/>
    <w:rsid w:val="656B4ADC"/>
    <w:rsid w:val="6579F67F"/>
    <w:rsid w:val="657BA1EC"/>
    <w:rsid w:val="6586FF39"/>
    <w:rsid w:val="6589222C"/>
    <w:rsid w:val="65972249"/>
    <w:rsid w:val="65989074"/>
    <w:rsid w:val="65996B35"/>
    <w:rsid w:val="6599EC8D"/>
    <w:rsid w:val="65A0BF0D"/>
    <w:rsid w:val="65B0A51F"/>
    <w:rsid w:val="65B53483"/>
    <w:rsid w:val="65BC6111"/>
    <w:rsid w:val="65C66C64"/>
    <w:rsid w:val="65CC349F"/>
    <w:rsid w:val="65E4A81C"/>
    <w:rsid w:val="6610A7AA"/>
    <w:rsid w:val="66156DC0"/>
    <w:rsid w:val="6625358A"/>
    <w:rsid w:val="664E59C2"/>
    <w:rsid w:val="665116AA"/>
    <w:rsid w:val="6651ACB6"/>
    <w:rsid w:val="6657B764"/>
    <w:rsid w:val="667021CB"/>
    <w:rsid w:val="6679C86C"/>
    <w:rsid w:val="6689C596"/>
    <w:rsid w:val="668DDA75"/>
    <w:rsid w:val="66A64034"/>
    <w:rsid w:val="66BADF1A"/>
    <w:rsid w:val="66CD5048"/>
    <w:rsid w:val="66D125BF"/>
    <w:rsid w:val="66E79B7D"/>
    <w:rsid w:val="66FC302C"/>
    <w:rsid w:val="671650F8"/>
    <w:rsid w:val="6718D4B2"/>
    <w:rsid w:val="6719AE25"/>
    <w:rsid w:val="671AAA60"/>
    <w:rsid w:val="672516AA"/>
    <w:rsid w:val="67252EA1"/>
    <w:rsid w:val="674A2CE7"/>
    <w:rsid w:val="674F2781"/>
    <w:rsid w:val="67671A73"/>
    <w:rsid w:val="67811B29"/>
    <w:rsid w:val="6781C8C5"/>
    <w:rsid w:val="6792710E"/>
    <w:rsid w:val="67938D63"/>
    <w:rsid w:val="6795786E"/>
    <w:rsid w:val="67A4C526"/>
    <w:rsid w:val="67BF0CEC"/>
    <w:rsid w:val="67C05763"/>
    <w:rsid w:val="67D31A26"/>
    <w:rsid w:val="67D44C1F"/>
    <w:rsid w:val="67FC3B15"/>
    <w:rsid w:val="6800B34E"/>
    <w:rsid w:val="680263D0"/>
    <w:rsid w:val="680B7F07"/>
    <w:rsid w:val="68131C81"/>
    <w:rsid w:val="682B9739"/>
    <w:rsid w:val="68348CFB"/>
    <w:rsid w:val="684ABE2F"/>
    <w:rsid w:val="685D8189"/>
    <w:rsid w:val="686A58BE"/>
    <w:rsid w:val="686C2F80"/>
    <w:rsid w:val="686FB630"/>
    <w:rsid w:val="6871D399"/>
    <w:rsid w:val="687BF2B7"/>
    <w:rsid w:val="688ECDC3"/>
    <w:rsid w:val="688F2490"/>
    <w:rsid w:val="689FC52F"/>
    <w:rsid w:val="68A08FC9"/>
    <w:rsid w:val="68A39EA0"/>
    <w:rsid w:val="68A8BB56"/>
    <w:rsid w:val="68BF48A8"/>
    <w:rsid w:val="68C474FA"/>
    <w:rsid w:val="68E349E8"/>
    <w:rsid w:val="69204242"/>
    <w:rsid w:val="692B39D7"/>
    <w:rsid w:val="692B9D69"/>
    <w:rsid w:val="694B9570"/>
    <w:rsid w:val="69532DAE"/>
    <w:rsid w:val="695AA4E3"/>
    <w:rsid w:val="695DB568"/>
    <w:rsid w:val="696A40D6"/>
    <w:rsid w:val="696DA810"/>
    <w:rsid w:val="69707FF8"/>
    <w:rsid w:val="69926490"/>
    <w:rsid w:val="69928ABF"/>
    <w:rsid w:val="69950531"/>
    <w:rsid w:val="699A6EBC"/>
    <w:rsid w:val="699E4A07"/>
    <w:rsid w:val="69A19CEF"/>
    <w:rsid w:val="69A52C44"/>
    <w:rsid w:val="69A5D319"/>
    <w:rsid w:val="69AA73B9"/>
    <w:rsid w:val="69AE5D0B"/>
    <w:rsid w:val="69C56DF0"/>
    <w:rsid w:val="69C6AED4"/>
    <w:rsid w:val="69FEF511"/>
    <w:rsid w:val="6A06B5DF"/>
    <w:rsid w:val="6A0F831B"/>
    <w:rsid w:val="6A292206"/>
    <w:rsid w:val="6A2E7BBC"/>
    <w:rsid w:val="6A308334"/>
    <w:rsid w:val="6A31D97E"/>
    <w:rsid w:val="6A34D235"/>
    <w:rsid w:val="6A414228"/>
    <w:rsid w:val="6A4728E9"/>
    <w:rsid w:val="6A4E3574"/>
    <w:rsid w:val="6A54DA70"/>
    <w:rsid w:val="6A6D5BD1"/>
    <w:rsid w:val="6A7DC17D"/>
    <w:rsid w:val="6A866BB8"/>
    <w:rsid w:val="6A870E75"/>
    <w:rsid w:val="6AB831AA"/>
    <w:rsid w:val="6ACA41D9"/>
    <w:rsid w:val="6ACFE93E"/>
    <w:rsid w:val="6AD0B46B"/>
    <w:rsid w:val="6AD292E3"/>
    <w:rsid w:val="6ADFDD88"/>
    <w:rsid w:val="6AE2BA26"/>
    <w:rsid w:val="6AE5985E"/>
    <w:rsid w:val="6AEEFC93"/>
    <w:rsid w:val="6AF59FD5"/>
    <w:rsid w:val="6B07B39A"/>
    <w:rsid w:val="6B0E768A"/>
    <w:rsid w:val="6B118FC4"/>
    <w:rsid w:val="6B1A58D3"/>
    <w:rsid w:val="6B29743E"/>
    <w:rsid w:val="6B2B9C13"/>
    <w:rsid w:val="6B330D1F"/>
    <w:rsid w:val="6B35FAC8"/>
    <w:rsid w:val="6B422A78"/>
    <w:rsid w:val="6B461D7F"/>
    <w:rsid w:val="6B504BC0"/>
    <w:rsid w:val="6B50CF7E"/>
    <w:rsid w:val="6B75AB43"/>
    <w:rsid w:val="6B7F9AB1"/>
    <w:rsid w:val="6B83EEE5"/>
    <w:rsid w:val="6B8FCCD1"/>
    <w:rsid w:val="6B9D631F"/>
    <w:rsid w:val="6BA0712D"/>
    <w:rsid w:val="6BA84C0A"/>
    <w:rsid w:val="6BAEEE12"/>
    <w:rsid w:val="6BBC1A18"/>
    <w:rsid w:val="6BBCBC56"/>
    <w:rsid w:val="6BCD90ED"/>
    <w:rsid w:val="6BD2ED55"/>
    <w:rsid w:val="6BF06892"/>
    <w:rsid w:val="6C004162"/>
    <w:rsid w:val="6C038961"/>
    <w:rsid w:val="6C2D771C"/>
    <w:rsid w:val="6C37758A"/>
    <w:rsid w:val="6C38E601"/>
    <w:rsid w:val="6C41BD69"/>
    <w:rsid w:val="6C50C8E6"/>
    <w:rsid w:val="6C533A96"/>
    <w:rsid w:val="6C5D8C37"/>
    <w:rsid w:val="6C6AC7C9"/>
    <w:rsid w:val="6C6AD15D"/>
    <w:rsid w:val="6C7301E0"/>
    <w:rsid w:val="6C86AD3D"/>
    <w:rsid w:val="6C899BAC"/>
    <w:rsid w:val="6CADC91E"/>
    <w:rsid w:val="6CB3C27D"/>
    <w:rsid w:val="6CB78750"/>
    <w:rsid w:val="6CBCFF34"/>
    <w:rsid w:val="6CBF3AFE"/>
    <w:rsid w:val="6CBFDC8B"/>
    <w:rsid w:val="6CCD2971"/>
    <w:rsid w:val="6CD18E56"/>
    <w:rsid w:val="6CD816E3"/>
    <w:rsid w:val="6CE34B1E"/>
    <w:rsid w:val="6CE61DCB"/>
    <w:rsid w:val="6CE898D8"/>
    <w:rsid w:val="6CEB26A3"/>
    <w:rsid w:val="6CEEBC1D"/>
    <w:rsid w:val="6CFAFF15"/>
    <w:rsid w:val="6D022A56"/>
    <w:rsid w:val="6D114F7A"/>
    <w:rsid w:val="6D18CFD5"/>
    <w:rsid w:val="6D22A5ED"/>
    <w:rsid w:val="6D3EFFA0"/>
    <w:rsid w:val="6D51FD5F"/>
    <w:rsid w:val="6D52DC3D"/>
    <w:rsid w:val="6D57D0DD"/>
    <w:rsid w:val="6D5E4A2F"/>
    <w:rsid w:val="6D73E07C"/>
    <w:rsid w:val="6D8009E2"/>
    <w:rsid w:val="6D9EA920"/>
    <w:rsid w:val="6DAE7FC5"/>
    <w:rsid w:val="6DBC8F8E"/>
    <w:rsid w:val="6DBEEAB8"/>
    <w:rsid w:val="6DC3A9B4"/>
    <w:rsid w:val="6DC84358"/>
    <w:rsid w:val="6DCECD58"/>
    <w:rsid w:val="6DF5D093"/>
    <w:rsid w:val="6E03874A"/>
    <w:rsid w:val="6E0C7EE8"/>
    <w:rsid w:val="6E139FCC"/>
    <w:rsid w:val="6E18CE31"/>
    <w:rsid w:val="6E19E9FC"/>
    <w:rsid w:val="6E2B4DC3"/>
    <w:rsid w:val="6E2D7B5D"/>
    <w:rsid w:val="6E34B59C"/>
    <w:rsid w:val="6E3AFEE4"/>
    <w:rsid w:val="6E544505"/>
    <w:rsid w:val="6E59C467"/>
    <w:rsid w:val="6E5A64F7"/>
    <w:rsid w:val="6E713257"/>
    <w:rsid w:val="6E71F240"/>
    <w:rsid w:val="6E8B6F9A"/>
    <w:rsid w:val="6E974FF8"/>
    <w:rsid w:val="6EA791BC"/>
    <w:rsid w:val="6EAA294C"/>
    <w:rsid w:val="6EAE3C12"/>
    <w:rsid w:val="6EBBF64E"/>
    <w:rsid w:val="6ECA800A"/>
    <w:rsid w:val="6ED1AB76"/>
    <w:rsid w:val="6EE7D41E"/>
    <w:rsid w:val="6EEC7545"/>
    <w:rsid w:val="6EED68C6"/>
    <w:rsid w:val="6EF109B5"/>
    <w:rsid w:val="6EFCFFFC"/>
    <w:rsid w:val="6F03BB69"/>
    <w:rsid w:val="6F14EB13"/>
    <w:rsid w:val="6F2D26F1"/>
    <w:rsid w:val="6F47C4AA"/>
    <w:rsid w:val="6F54DC03"/>
    <w:rsid w:val="6F582E5C"/>
    <w:rsid w:val="6F71C18B"/>
    <w:rsid w:val="6F7C53EA"/>
    <w:rsid w:val="6F7CEAB2"/>
    <w:rsid w:val="6F81E31C"/>
    <w:rsid w:val="6F826AFD"/>
    <w:rsid w:val="6F8FA7AE"/>
    <w:rsid w:val="6F9B236D"/>
    <w:rsid w:val="6F9F7050"/>
    <w:rsid w:val="6FB45897"/>
    <w:rsid w:val="6FB9B9E3"/>
    <w:rsid w:val="6FBE4CB5"/>
    <w:rsid w:val="6FC2D105"/>
    <w:rsid w:val="6FD33F13"/>
    <w:rsid w:val="6FD4A0C4"/>
    <w:rsid w:val="6FDA5073"/>
    <w:rsid w:val="6FE5A38D"/>
    <w:rsid w:val="6FE89BD0"/>
    <w:rsid w:val="6FED094E"/>
    <w:rsid w:val="6FF2CB0F"/>
    <w:rsid w:val="700D25F7"/>
    <w:rsid w:val="70126CD9"/>
    <w:rsid w:val="701B7C87"/>
    <w:rsid w:val="701B835A"/>
    <w:rsid w:val="702122C0"/>
    <w:rsid w:val="70218C41"/>
    <w:rsid w:val="703095E7"/>
    <w:rsid w:val="70383271"/>
    <w:rsid w:val="7041D330"/>
    <w:rsid w:val="706122F9"/>
    <w:rsid w:val="7069BD47"/>
    <w:rsid w:val="70784DF4"/>
    <w:rsid w:val="70862482"/>
    <w:rsid w:val="708C26A0"/>
    <w:rsid w:val="708F9840"/>
    <w:rsid w:val="709C6E5C"/>
    <w:rsid w:val="70AFB136"/>
    <w:rsid w:val="70B49486"/>
    <w:rsid w:val="70C42C5E"/>
    <w:rsid w:val="70D05B31"/>
    <w:rsid w:val="70D093CB"/>
    <w:rsid w:val="70DC1EA4"/>
    <w:rsid w:val="70E9F235"/>
    <w:rsid w:val="7108C29B"/>
    <w:rsid w:val="710D8A5A"/>
    <w:rsid w:val="71135676"/>
    <w:rsid w:val="7119137A"/>
    <w:rsid w:val="711990B1"/>
    <w:rsid w:val="7136E9EC"/>
    <w:rsid w:val="7138800F"/>
    <w:rsid w:val="7151DFA2"/>
    <w:rsid w:val="715298ED"/>
    <w:rsid w:val="715B80D3"/>
    <w:rsid w:val="7160A0C7"/>
    <w:rsid w:val="7170761A"/>
    <w:rsid w:val="71784455"/>
    <w:rsid w:val="717D093A"/>
    <w:rsid w:val="718DF2A7"/>
    <w:rsid w:val="7190FF9D"/>
    <w:rsid w:val="71A0C2B9"/>
    <w:rsid w:val="71AE219A"/>
    <w:rsid w:val="71C25DB2"/>
    <w:rsid w:val="71CA8677"/>
    <w:rsid w:val="71D77C8E"/>
    <w:rsid w:val="71DA51B1"/>
    <w:rsid w:val="71EA5117"/>
    <w:rsid w:val="71F2A391"/>
    <w:rsid w:val="71F621D5"/>
    <w:rsid w:val="720026C8"/>
    <w:rsid w:val="7201A257"/>
    <w:rsid w:val="7223453D"/>
    <w:rsid w:val="724C3946"/>
    <w:rsid w:val="72500515"/>
    <w:rsid w:val="72539745"/>
    <w:rsid w:val="72565320"/>
    <w:rsid w:val="725DCB87"/>
    <w:rsid w:val="7265AFE2"/>
    <w:rsid w:val="726ACF07"/>
    <w:rsid w:val="7275DB9F"/>
    <w:rsid w:val="727B736E"/>
    <w:rsid w:val="72889EF4"/>
    <w:rsid w:val="728F0758"/>
    <w:rsid w:val="72A2A1AB"/>
    <w:rsid w:val="72B90FE0"/>
    <w:rsid w:val="72C4C847"/>
    <w:rsid w:val="72C8EEEF"/>
    <w:rsid w:val="72C90E2D"/>
    <w:rsid w:val="72C9CBE8"/>
    <w:rsid w:val="72C9D11F"/>
    <w:rsid w:val="72D0C435"/>
    <w:rsid w:val="72EF86EF"/>
    <w:rsid w:val="72FD56CD"/>
    <w:rsid w:val="7302014D"/>
    <w:rsid w:val="73065A0A"/>
    <w:rsid w:val="73152410"/>
    <w:rsid w:val="731A005E"/>
    <w:rsid w:val="73224D03"/>
    <w:rsid w:val="732E85A6"/>
    <w:rsid w:val="7338C224"/>
    <w:rsid w:val="7342D89D"/>
    <w:rsid w:val="7361B385"/>
    <w:rsid w:val="73684B2B"/>
    <w:rsid w:val="736DDFA5"/>
    <w:rsid w:val="7375176D"/>
    <w:rsid w:val="73798427"/>
    <w:rsid w:val="7389E9CE"/>
    <w:rsid w:val="739B441B"/>
    <w:rsid w:val="73A0DCE7"/>
    <w:rsid w:val="73A0F9B7"/>
    <w:rsid w:val="73A9563C"/>
    <w:rsid w:val="73ADB232"/>
    <w:rsid w:val="73B2A6C0"/>
    <w:rsid w:val="73C7F131"/>
    <w:rsid w:val="73CAD1EC"/>
    <w:rsid w:val="73DFAF5D"/>
    <w:rsid w:val="73F0AD0A"/>
    <w:rsid w:val="73F44561"/>
    <w:rsid w:val="73F7CCA3"/>
    <w:rsid w:val="73F9A638"/>
    <w:rsid w:val="7406A7EB"/>
    <w:rsid w:val="7415799B"/>
    <w:rsid w:val="7417AB8A"/>
    <w:rsid w:val="742D318A"/>
    <w:rsid w:val="743346D4"/>
    <w:rsid w:val="743B892B"/>
    <w:rsid w:val="744C4B60"/>
    <w:rsid w:val="744CFB1D"/>
    <w:rsid w:val="7461F21F"/>
    <w:rsid w:val="7478DCAE"/>
    <w:rsid w:val="74939F49"/>
    <w:rsid w:val="749BF7E1"/>
    <w:rsid w:val="74A94943"/>
    <w:rsid w:val="74B8BD75"/>
    <w:rsid w:val="74D2D82A"/>
    <w:rsid w:val="74DAF9F2"/>
    <w:rsid w:val="74E09BA3"/>
    <w:rsid w:val="74E12A71"/>
    <w:rsid w:val="74E998D1"/>
    <w:rsid w:val="74EBE29E"/>
    <w:rsid w:val="74ED13BF"/>
    <w:rsid w:val="75042D6B"/>
    <w:rsid w:val="75058E5D"/>
    <w:rsid w:val="750A090C"/>
    <w:rsid w:val="750F870D"/>
    <w:rsid w:val="75104C15"/>
    <w:rsid w:val="7514A89F"/>
    <w:rsid w:val="751EFC3A"/>
    <w:rsid w:val="7521D0EA"/>
    <w:rsid w:val="754821B7"/>
    <w:rsid w:val="7550DD19"/>
    <w:rsid w:val="756EF578"/>
    <w:rsid w:val="75725AA6"/>
    <w:rsid w:val="7582E1B5"/>
    <w:rsid w:val="75A08C01"/>
    <w:rsid w:val="75AD959D"/>
    <w:rsid w:val="75BCDB99"/>
    <w:rsid w:val="75C1689C"/>
    <w:rsid w:val="75D663BC"/>
    <w:rsid w:val="75F1D9E8"/>
    <w:rsid w:val="75F3D88C"/>
    <w:rsid w:val="75FC4EF2"/>
    <w:rsid w:val="7608A307"/>
    <w:rsid w:val="76090ED9"/>
    <w:rsid w:val="762B4B0F"/>
    <w:rsid w:val="763CD16F"/>
    <w:rsid w:val="7642037A"/>
    <w:rsid w:val="76508958"/>
    <w:rsid w:val="76512429"/>
    <w:rsid w:val="7652BD23"/>
    <w:rsid w:val="7664067B"/>
    <w:rsid w:val="766666FA"/>
    <w:rsid w:val="76681476"/>
    <w:rsid w:val="766E4847"/>
    <w:rsid w:val="767326B8"/>
    <w:rsid w:val="76745024"/>
    <w:rsid w:val="767A1CC5"/>
    <w:rsid w:val="767EC206"/>
    <w:rsid w:val="768E603F"/>
    <w:rsid w:val="769851AE"/>
    <w:rsid w:val="769D9801"/>
    <w:rsid w:val="76C8EEBE"/>
    <w:rsid w:val="76D38393"/>
    <w:rsid w:val="76D63DA9"/>
    <w:rsid w:val="76DCDC4B"/>
    <w:rsid w:val="7705EF81"/>
    <w:rsid w:val="77151CF5"/>
    <w:rsid w:val="7723C6E5"/>
    <w:rsid w:val="77248CAB"/>
    <w:rsid w:val="77282369"/>
    <w:rsid w:val="7732E235"/>
    <w:rsid w:val="774BCCA7"/>
    <w:rsid w:val="775C3245"/>
    <w:rsid w:val="776E150E"/>
    <w:rsid w:val="7770D2FB"/>
    <w:rsid w:val="777D2FCA"/>
    <w:rsid w:val="778A66C5"/>
    <w:rsid w:val="778CAF4F"/>
    <w:rsid w:val="778DB367"/>
    <w:rsid w:val="77B1ACA3"/>
    <w:rsid w:val="77CF1E2C"/>
    <w:rsid w:val="77D74324"/>
    <w:rsid w:val="77E0521F"/>
    <w:rsid w:val="77E0CCCF"/>
    <w:rsid w:val="77F524BE"/>
    <w:rsid w:val="77F61567"/>
    <w:rsid w:val="78051AF8"/>
    <w:rsid w:val="78055A4A"/>
    <w:rsid w:val="7817B332"/>
    <w:rsid w:val="781E7F36"/>
    <w:rsid w:val="782368B1"/>
    <w:rsid w:val="78260CF7"/>
    <w:rsid w:val="78323161"/>
    <w:rsid w:val="7844D36C"/>
    <w:rsid w:val="784B5630"/>
    <w:rsid w:val="7850601B"/>
    <w:rsid w:val="785562A5"/>
    <w:rsid w:val="7862686A"/>
    <w:rsid w:val="788099E5"/>
    <w:rsid w:val="7883BD83"/>
    <w:rsid w:val="7887E209"/>
    <w:rsid w:val="78880701"/>
    <w:rsid w:val="78942F02"/>
    <w:rsid w:val="7899F3AB"/>
    <w:rsid w:val="789AA875"/>
    <w:rsid w:val="78A9EAC3"/>
    <w:rsid w:val="78AF005B"/>
    <w:rsid w:val="78B4DC47"/>
    <w:rsid w:val="78B82A40"/>
    <w:rsid w:val="78C1795D"/>
    <w:rsid w:val="78C8A3C6"/>
    <w:rsid w:val="78D3C7E8"/>
    <w:rsid w:val="78DEB4FE"/>
    <w:rsid w:val="78E0CD0B"/>
    <w:rsid w:val="78F98ED0"/>
    <w:rsid w:val="79058CDC"/>
    <w:rsid w:val="790BD9EB"/>
    <w:rsid w:val="791477B4"/>
    <w:rsid w:val="79261EC9"/>
    <w:rsid w:val="7929BFA7"/>
    <w:rsid w:val="792DD753"/>
    <w:rsid w:val="793EEC96"/>
    <w:rsid w:val="793EF951"/>
    <w:rsid w:val="794199C6"/>
    <w:rsid w:val="7946CBCE"/>
    <w:rsid w:val="794B1E2E"/>
    <w:rsid w:val="794CF459"/>
    <w:rsid w:val="794ECE0B"/>
    <w:rsid w:val="796B515D"/>
    <w:rsid w:val="797051BB"/>
    <w:rsid w:val="79725E72"/>
    <w:rsid w:val="7988390A"/>
    <w:rsid w:val="798CA378"/>
    <w:rsid w:val="79C1690B"/>
    <w:rsid w:val="79C6DB6B"/>
    <w:rsid w:val="79CD519D"/>
    <w:rsid w:val="79ECEE2B"/>
    <w:rsid w:val="79F79BE7"/>
    <w:rsid w:val="7A05BCFD"/>
    <w:rsid w:val="7A0B4522"/>
    <w:rsid w:val="7A0F67CD"/>
    <w:rsid w:val="7A160690"/>
    <w:rsid w:val="7A1C27EE"/>
    <w:rsid w:val="7A229A94"/>
    <w:rsid w:val="7A25F660"/>
    <w:rsid w:val="7A277A1C"/>
    <w:rsid w:val="7A45A120"/>
    <w:rsid w:val="7A4F6843"/>
    <w:rsid w:val="7A57F20D"/>
    <w:rsid w:val="7A61FE3F"/>
    <w:rsid w:val="7A62BA74"/>
    <w:rsid w:val="7A78F657"/>
    <w:rsid w:val="7A79D8F1"/>
    <w:rsid w:val="7A7BEECD"/>
    <w:rsid w:val="7A81CD86"/>
    <w:rsid w:val="7A839E41"/>
    <w:rsid w:val="7A8A4772"/>
    <w:rsid w:val="7AA1528F"/>
    <w:rsid w:val="7AA559F8"/>
    <w:rsid w:val="7AB051B0"/>
    <w:rsid w:val="7AD1495C"/>
    <w:rsid w:val="7AE49BCB"/>
    <w:rsid w:val="7AE549D8"/>
    <w:rsid w:val="7AEA8EC4"/>
    <w:rsid w:val="7AED4927"/>
    <w:rsid w:val="7B0511D2"/>
    <w:rsid w:val="7B07B1DD"/>
    <w:rsid w:val="7B0A6FDD"/>
    <w:rsid w:val="7B31473A"/>
    <w:rsid w:val="7B371088"/>
    <w:rsid w:val="7B47FA01"/>
    <w:rsid w:val="7B5A98AF"/>
    <w:rsid w:val="7B604E58"/>
    <w:rsid w:val="7B60E5D6"/>
    <w:rsid w:val="7B6FAE4C"/>
    <w:rsid w:val="7B8391F4"/>
    <w:rsid w:val="7B90765D"/>
    <w:rsid w:val="7BA5F11A"/>
    <w:rsid w:val="7BB5778F"/>
    <w:rsid w:val="7BBA32BE"/>
    <w:rsid w:val="7BBB96F5"/>
    <w:rsid w:val="7BDE6AE8"/>
    <w:rsid w:val="7BDEA754"/>
    <w:rsid w:val="7BE1135E"/>
    <w:rsid w:val="7BF49194"/>
    <w:rsid w:val="7BF76BA2"/>
    <w:rsid w:val="7BF8DAA6"/>
    <w:rsid w:val="7C022DCC"/>
    <w:rsid w:val="7C0FDEC3"/>
    <w:rsid w:val="7C14EF01"/>
    <w:rsid w:val="7C17E7F8"/>
    <w:rsid w:val="7C298377"/>
    <w:rsid w:val="7C3549A5"/>
    <w:rsid w:val="7C43B68D"/>
    <w:rsid w:val="7C45C809"/>
    <w:rsid w:val="7C479951"/>
    <w:rsid w:val="7C56467E"/>
    <w:rsid w:val="7C663BA1"/>
    <w:rsid w:val="7C672D28"/>
    <w:rsid w:val="7C756AAA"/>
    <w:rsid w:val="7C9D0556"/>
    <w:rsid w:val="7CA08477"/>
    <w:rsid w:val="7CA0F484"/>
    <w:rsid w:val="7CA79A97"/>
    <w:rsid w:val="7CB88BB9"/>
    <w:rsid w:val="7CBB4620"/>
    <w:rsid w:val="7CC794B8"/>
    <w:rsid w:val="7CCA7BFF"/>
    <w:rsid w:val="7CDC4538"/>
    <w:rsid w:val="7CE1923B"/>
    <w:rsid w:val="7CE5D2DB"/>
    <w:rsid w:val="7CE70BC8"/>
    <w:rsid w:val="7CE7F76E"/>
    <w:rsid w:val="7CEAFD0D"/>
    <w:rsid w:val="7CFD1F3B"/>
    <w:rsid w:val="7D06CC6D"/>
    <w:rsid w:val="7D0C7B77"/>
    <w:rsid w:val="7D1F1861"/>
    <w:rsid w:val="7D2A7979"/>
    <w:rsid w:val="7D2E2369"/>
    <w:rsid w:val="7D3AE3F6"/>
    <w:rsid w:val="7D3E4ECE"/>
    <w:rsid w:val="7D4A612A"/>
    <w:rsid w:val="7D5ECC26"/>
    <w:rsid w:val="7D61CD74"/>
    <w:rsid w:val="7D6608D6"/>
    <w:rsid w:val="7D7B5A6F"/>
    <w:rsid w:val="7D7B67C8"/>
    <w:rsid w:val="7D8A59D5"/>
    <w:rsid w:val="7DA344A5"/>
    <w:rsid w:val="7DB6D5A6"/>
    <w:rsid w:val="7DD3A70E"/>
    <w:rsid w:val="7DD78A3A"/>
    <w:rsid w:val="7DD7FF97"/>
    <w:rsid w:val="7DDB15DF"/>
    <w:rsid w:val="7DF8229E"/>
    <w:rsid w:val="7DFDC873"/>
    <w:rsid w:val="7E08A4F8"/>
    <w:rsid w:val="7E0EB9DF"/>
    <w:rsid w:val="7E3A520C"/>
    <w:rsid w:val="7E3B3018"/>
    <w:rsid w:val="7E4422C5"/>
    <w:rsid w:val="7E526A5F"/>
    <w:rsid w:val="7E5A5774"/>
    <w:rsid w:val="7E6A7663"/>
    <w:rsid w:val="7E6BFDA5"/>
    <w:rsid w:val="7E6D4481"/>
    <w:rsid w:val="7E9B844B"/>
    <w:rsid w:val="7EAC2368"/>
    <w:rsid w:val="7EAE508B"/>
    <w:rsid w:val="7EB299E6"/>
    <w:rsid w:val="7ED71224"/>
    <w:rsid w:val="7EDB5A33"/>
    <w:rsid w:val="7EDB8717"/>
    <w:rsid w:val="7EDBBA38"/>
    <w:rsid w:val="7EFFD036"/>
    <w:rsid w:val="7F09758D"/>
    <w:rsid w:val="7F0B5C09"/>
    <w:rsid w:val="7F0F6684"/>
    <w:rsid w:val="7F1D82BC"/>
    <w:rsid w:val="7F3F99FD"/>
    <w:rsid w:val="7F49A45C"/>
    <w:rsid w:val="7F67FFEC"/>
    <w:rsid w:val="7F77B3C3"/>
    <w:rsid w:val="7F7F3F03"/>
    <w:rsid w:val="7F82841C"/>
    <w:rsid w:val="7F87028C"/>
    <w:rsid w:val="7F893D0F"/>
    <w:rsid w:val="7F8B4513"/>
    <w:rsid w:val="7F8D8873"/>
    <w:rsid w:val="7F97173E"/>
    <w:rsid w:val="7F97C10D"/>
    <w:rsid w:val="7FB3B453"/>
    <w:rsid w:val="7FB43D17"/>
    <w:rsid w:val="7FCC3460"/>
    <w:rsid w:val="7FCDBA15"/>
    <w:rsid w:val="7FD325F5"/>
    <w:rsid w:val="7FDAB509"/>
    <w:rsid w:val="7FDBF658"/>
    <w:rsid w:val="7FDCF8DE"/>
    <w:rsid w:val="7FE80233"/>
    <w:rsid w:val="7FEA0E98"/>
    <w:rsid w:val="7FF35CA5"/>
    <w:rsid w:val="7FF7C68F"/>
    <w:rsid w:val="7FFCA666"/>
    <w:rsid w:val="7FFDD089"/>
    <w:rsid w:val="7FFF6DB4"/>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0002EA"/>
  <w15:chartTrackingRefBased/>
  <w15:docId w15:val="{91547A54-001A-4CC6-A3A7-90159A925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55F2"/>
    <w:pPr>
      <w:spacing w:before="120" w:after="120" w:line="280" w:lineRule="atLeast"/>
      <w:jc w:val="both"/>
    </w:pPr>
    <w:rPr>
      <w:rFonts w:ascii="Calibri" w:eastAsiaTheme="minorEastAsia" w:hAnsi="Calibri"/>
      <w:kern w:val="0"/>
      <w:lang w:eastAsia="en-NZ"/>
      <w14:ligatures w14:val="none"/>
    </w:rPr>
  </w:style>
  <w:style w:type="paragraph" w:styleId="Heading1">
    <w:name w:val="heading 1"/>
    <w:basedOn w:val="Normal"/>
    <w:next w:val="BodyText"/>
    <w:link w:val="Heading1Char"/>
    <w:qFormat/>
    <w:rsid w:val="00F355F2"/>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F355F2"/>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F355F2"/>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F355F2"/>
    <w:pPr>
      <w:outlineLvl w:val="3"/>
    </w:pPr>
    <w:rPr>
      <w:sz w:val="24"/>
    </w:rPr>
  </w:style>
  <w:style w:type="paragraph" w:styleId="Heading5">
    <w:name w:val="heading 5"/>
    <w:basedOn w:val="Normal"/>
    <w:next w:val="BodyText"/>
    <w:link w:val="Heading5Char"/>
    <w:qFormat/>
    <w:rsid w:val="00F355F2"/>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F355F2"/>
    <w:pPr>
      <w:numPr>
        <w:ilvl w:val="5"/>
        <w:numId w:val="12"/>
      </w:numPr>
      <w:tabs>
        <w:tab w:val="clear" w:pos="3419"/>
      </w:tabs>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F355F2"/>
    <w:pPr>
      <w:numPr>
        <w:ilvl w:val="6"/>
        <w:numId w:val="12"/>
      </w:numPr>
      <w:tabs>
        <w:tab w:val="clear" w:pos="3566"/>
      </w:tabs>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F355F2"/>
    <w:pPr>
      <w:numPr>
        <w:ilvl w:val="7"/>
        <w:numId w:val="12"/>
      </w:numPr>
      <w:tabs>
        <w:tab w:val="clear" w:pos="3708"/>
      </w:tabs>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F355F2"/>
    <w:pPr>
      <w:numPr>
        <w:ilvl w:val="8"/>
        <w:numId w:val="12"/>
      </w:numPr>
      <w:tabs>
        <w:tab w:val="clear" w:pos="851"/>
        <w:tab w:val="clear" w:pos="3850"/>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55F2"/>
    <w:rPr>
      <w:rFonts w:ascii="Georgia" w:eastAsiaTheme="majorEastAsia" w:hAnsi="Georgia" w:cstheme="majorBidi"/>
      <w:b/>
      <w:bCs/>
      <w:color w:val="1B556B"/>
      <w:kern w:val="0"/>
      <w:sz w:val="48"/>
      <w:szCs w:val="28"/>
      <w:lang w:eastAsia="en-NZ"/>
      <w14:ligatures w14:val="none"/>
    </w:rPr>
  </w:style>
  <w:style w:type="character" w:customStyle="1" w:styleId="Heading2Char">
    <w:name w:val="Heading 2 Char"/>
    <w:basedOn w:val="DefaultParagraphFont"/>
    <w:link w:val="Heading2"/>
    <w:rsid w:val="00F355F2"/>
    <w:rPr>
      <w:rFonts w:ascii="Georgia" w:eastAsiaTheme="majorEastAsia" w:hAnsi="Georgia" w:cstheme="majorBidi"/>
      <w:b/>
      <w:bCs/>
      <w:color w:val="1B556B"/>
      <w:kern w:val="0"/>
      <w:sz w:val="36"/>
      <w:szCs w:val="26"/>
      <w:lang w:eastAsia="en-NZ"/>
      <w14:ligatures w14:val="none"/>
    </w:rPr>
  </w:style>
  <w:style w:type="character" w:customStyle="1" w:styleId="Heading3Char">
    <w:name w:val="Heading 3 Char"/>
    <w:basedOn w:val="DefaultParagraphFont"/>
    <w:link w:val="Heading3"/>
    <w:rsid w:val="00F355F2"/>
    <w:rPr>
      <w:rFonts w:ascii="Georgia" w:eastAsiaTheme="majorEastAsia" w:hAnsi="Georgia" w:cstheme="majorBidi"/>
      <w:b/>
      <w:bCs/>
      <w:kern w:val="0"/>
      <w:sz w:val="28"/>
      <w:lang w:eastAsia="en-NZ"/>
      <w14:ligatures w14:val="none"/>
    </w:rPr>
  </w:style>
  <w:style w:type="character" w:customStyle="1" w:styleId="Heading4Char">
    <w:name w:val="Heading 4 Char"/>
    <w:basedOn w:val="DefaultParagraphFont"/>
    <w:link w:val="Heading4"/>
    <w:rsid w:val="00F355F2"/>
    <w:rPr>
      <w:rFonts w:ascii="Georgia" w:eastAsiaTheme="majorEastAsia" w:hAnsi="Georgia" w:cstheme="majorBidi"/>
      <w:b/>
      <w:bCs/>
      <w:kern w:val="0"/>
      <w:sz w:val="24"/>
      <w:lang w:eastAsia="en-NZ"/>
      <w14:ligatures w14:val="none"/>
    </w:rPr>
  </w:style>
  <w:style w:type="character" w:customStyle="1" w:styleId="Heading5Char">
    <w:name w:val="Heading 5 Char"/>
    <w:basedOn w:val="DefaultParagraphFont"/>
    <w:link w:val="Heading5"/>
    <w:rsid w:val="00F355F2"/>
    <w:rPr>
      <w:rFonts w:ascii="Calibri" w:eastAsiaTheme="majorEastAsia" w:hAnsi="Calibri" w:cstheme="majorBidi"/>
      <w:i/>
      <w:kern w:val="0"/>
      <w:sz w:val="24"/>
      <w:lang w:eastAsia="en-NZ"/>
      <w14:ligatures w14:val="none"/>
    </w:rPr>
  </w:style>
  <w:style w:type="character" w:customStyle="1" w:styleId="Heading6Char">
    <w:name w:val="Heading 6 Char"/>
    <w:basedOn w:val="DefaultParagraphFont"/>
    <w:link w:val="Heading6"/>
    <w:semiHidden/>
    <w:rsid w:val="00F355F2"/>
    <w:rPr>
      <w:rFonts w:ascii="Times New Roman" w:eastAsia="Times New Roman" w:hAnsi="Times New Roman" w:cs="Times New Roman"/>
      <w:b/>
      <w:kern w:val="0"/>
      <w:szCs w:val="20"/>
      <w:lang w:val="en-AU"/>
      <w14:ligatures w14:val="none"/>
    </w:rPr>
  </w:style>
  <w:style w:type="character" w:customStyle="1" w:styleId="Heading7Char">
    <w:name w:val="Heading 7 Char"/>
    <w:basedOn w:val="DefaultParagraphFont"/>
    <w:link w:val="Heading7"/>
    <w:semiHidden/>
    <w:rsid w:val="00F355F2"/>
    <w:rPr>
      <w:rFonts w:ascii="Times New Roman" w:eastAsia="Times New Roman" w:hAnsi="Times New Roman" w:cs="Times New Roman"/>
      <w:kern w:val="0"/>
      <w:szCs w:val="20"/>
      <w:lang w:val="en-AU"/>
      <w14:ligatures w14:val="none"/>
    </w:rPr>
  </w:style>
  <w:style w:type="character" w:customStyle="1" w:styleId="Heading8Char">
    <w:name w:val="Heading 8 Char"/>
    <w:basedOn w:val="DefaultParagraphFont"/>
    <w:link w:val="Heading8"/>
    <w:semiHidden/>
    <w:rsid w:val="00F355F2"/>
    <w:rPr>
      <w:rFonts w:ascii="Times New Roman" w:eastAsia="Times New Roman" w:hAnsi="Times New Roman" w:cs="Times New Roman"/>
      <w:i/>
      <w:kern w:val="0"/>
      <w:szCs w:val="20"/>
      <w:lang w:val="en-AU"/>
      <w14:ligatures w14:val="none"/>
    </w:rPr>
  </w:style>
  <w:style w:type="character" w:customStyle="1" w:styleId="Heading9Char">
    <w:name w:val="Heading 9 Char"/>
    <w:basedOn w:val="DefaultParagraphFont"/>
    <w:link w:val="Heading9"/>
    <w:semiHidden/>
    <w:rsid w:val="00F355F2"/>
    <w:rPr>
      <w:rFonts w:ascii="Arial" w:eastAsia="Times New Roman" w:hAnsi="Arial" w:cs="Times New Roman"/>
      <w:b/>
      <w:color w:val="FFFFFF"/>
      <w:kern w:val="28"/>
      <w:sz w:val="2"/>
      <w:szCs w:val="20"/>
      <w:lang w:val="en-AU"/>
      <w14:ligatures w14:val="none"/>
    </w:rPr>
  </w:style>
  <w:style w:type="paragraph" w:styleId="Title">
    <w:name w:val="Title"/>
    <w:basedOn w:val="Normal"/>
    <w:link w:val="TitleChar"/>
    <w:uiPriority w:val="2"/>
    <w:rsid w:val="00F355F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F355F2"/>
    <w:rPr>
      <w:rFonts w:ascii="Georgia" w:eastAsiaTheme="minorEastAsia" w:hAnsi="Georgia"/>
      <w:b/>
      <w:color w:val="1B556B"/>
      <w:kern w:val="0"/>
      <w:sz w:val="56"/>
      <w:lang w:eastAsia="en-NZ"/>
      <w14:ligatures w14:val="none"/>
    </w:rPr>
  </w:style>
  <w:style w:type="paragraph" w:styleId="Subtitle">
    <w:name w:val="Subtitle"/>
    <w:basedOn w:val="Title"/>
    <w:link w:val="SubtitleChar"/>
    <w:uiPriority w:val="2"/>
    <w:rsid w:val="00F355F2"/>
    <w:pPr>
      <w:spacing w:before="600" w:line="240" w:lineRule="auto"/>
    </w:pPr>
    <w:rPr>
      <w:sz w:val="36"/>
      <w:szCs w:val="36"/>
    </w:rPr>
  </w:style>
  <w:style w:type="character" w:customStyle="1" w:styleId="SubtitleChar">
    <w:name w:val="Subtitle Char"/>
    <w:basedOn w:val="DefaultParagraphFont"/>
    <w:link w:val="Subtitle"/>
    <w:uiPriority w:val="2"/>
    <w:rsid w:val="00F355F2"/>
    <w:rPr>
      <w:rFonts w:ascii="Georgia" w:eastAsiaTheme="minorEastAsia" w:hAnsi="Georgia"/>
      <w:b/>
      <w:color w:val="1B556B"/>
      <w:kern w:val="0"/>
      <w:sz w:val="36"/>
      <w:szCs w:val="36"/>
      <w:lang w:eastAsia="en-NZ"/>
      <w14:ligatures w14:val="none"/>
    </w:rPr>
  </w:style>
  <w:style w:type="paragraph" w:styleId="Quote">
    <w:name w:val="Quote"/>
    <w:basedOn w:val="Normal"/>
    <w:next w:val="BodyText"/>
    <w:link w:val="QuoteChar"/>
    <w:uiPriority w:val="1"/>
    <w:qFormat/>
    <w:rsid w:val="00F355F2"/>
    <w:pPr>
      <w:spacing w:before="60" w:after="60"/>
      <w:ind w:left="567" w:right="567"/>
      <w:jc w:val="left"/>
    </w:pPr>
    <w:rPr>
      <w:sz w:val="20"/>
    </w:rPr>
  </w:style>
  <w:style w:type="character" w:customStyle="1" w:styleId="QuoteChar">
    <w:name w:val="Quote Char"/>
    <w:basedOn w:val="DefaultParagraphFont"/>
    <w:link w:val="Quote"/>
    <w:uiPriority w:val="1"/>
    <w:rsid w:val="00F355F2"/>
    <w:rPr>
      <w:rFonts w:ascii="Calibri" w:eastAsiaTheme="minorEastAsia" w:hAnsi="Calibri"/>
      <w:kern w:val="0"/>
      <w:sz w:val="20"/>
      <w:lang w:eastAsia="en-NZ"/>
      <w14:ligatures w14:val="none"/>
    </w:rPr>
  </w:style>
  <w:style w:type="paragraph" w:styleId="ListParagraph">
    <w:name w:val="List Paragraph"/>
    <w:basedOn w:val="Normal"/>
    <w:uiPriority w:val="34"/>
    <w:qFormat/>
    <w:rsid w:val="00F355F2"/>
    <w:pPr>
      <w:spacing w:before="0" w:after="0" w:line="240" w:lineRule="auto"/>
      <w:ind w:left="720"/>
      <w:contextualSpacing/>
    </w:pPr>
    <w:rPr>
      <w:rFonts w:ascii="Times New Roman" w:hAnsi="Times New Roman"/>
      <w:szCs w:val="20"/>
      <w:lang w:eastAsia="en-GB"/>
    </w:rPr>
  </w:style>
  <w:style w:type="character" w:styleId="IntenseEmphasis">
    <w:name w:val="Intense Emphasis"/>
    <w:basedOn w:val="DefaultParagraphFont"/>
    <w:uiPriority w:val="21"/>
    <w:qFormat/>
    <w:rsid w:val="00E84D9B"/>
    <w:rPr>
      <w:i/>
      <w:iCs/>
      <w:color w:val="0F4761" w:themeColor="accent1" w:themeShade="BF"/>
    </w:rPr>
  </w:style>
  <w:style w:type="paragraph" w:styleId="IntenseQuote">
    <w:name w:val="Intense Quote"/>
    <w:basedOn w:val="Normal"/>
    <w:next w:val="Normal"/>
    <w:link w:val="IntenseQuoteChar"/>
    <w:uiPriority w:val="30"/>
    <w:qFormat/>
    <w:rsid w:val="00E84D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84D9B"/>
    <w:rPr>
      <w:i/>
      <w:iCs/>
      <w:color w:val="0F4761" w:themeColor="accent1" w:themeShade="BF"/>
    </w:rPr>
  </w:style>
  <w:style w:type="character" w:styleId="IntenseReference">
    <w:name w:val="Intense Reference"/>
    <w:basedOn w:val="DefaultParagraphFont"/>
    <w:uiPriority w:val="32"/>
    <w:qFormat/>
    <w:rsid w:val="00E84D9B"/>
    <w:rPr>
      <w:b/>
      <w:bCs/>
      <w:smallCaps/>
      <w:color w:val="0F4761" w:themeColor="accent1" w:themeShade="BF"/>
      <w:spacing w:val="5"/>
    </w:rPr>
  </w:style>
  <w:style w:type="paragraph" w:styleId="BodyText">
    <w:name w:val="Body Text"/>
    <w:basedOn w:val="Normal"/>
    <w:link w:val="BodyTextChar"/>
    <w:qFormat/>
    <w:rsid w:val="00F355F2"/>
    <w:pPr>
      <w:jc w:val="left"/>
    </w:pPr>
  </w:style>
  <w:style w:type="character" w:customStyle="1" w:styleId="BodyTextChar">
    <w:name w:val="Body Text Char"/>
    <w:basedOn w:val="DefaultParagraphFont"/>
    <w:link w:val="BodyText"/>
    <w:rsid w:val="00F355F2"/>
    <w:rPr>
      <w:rFonts w:ascii="Calibri" w:eastAsiaTheme="minorEastAsia" w:hAnsi="Calibri"/>
      <w:kern w:val="0"/>
      <w:lang w:eastAsia="en-NZ"/>
      <w14:ligatures w14:val="none"/>
    </w:rPr>
  </w:style>
  <w:style w:type="table" w:styleId="TableGrid">
    <w:name w:val="Table Grid"/>
    <w:aliases w:val="RS Table Grid a"/>
    <w:basedOn w:val="TableNormal"/>
    <w:uiPriority w:val="59"/>
    <w:rsid w:val="00F355F2"/>
    <w:pPr>
      <w:spacing w:after="0" w:line="240" w:lineRule="auto"/>
      <w:jc w:val="both"/>
    </w:pPr>
    <w:rPr>
      <w:rFonts w:ascii="Times New Roman" w:eastAsia="Times New Roman" w:hAnsi="Times New Roman" w:cs="Times New Roman"/>
      <w:kern w:val="0"/>
      <w:sz w:val="20"/>
      <w:szCs w:val="20"/>
      <w:lang w:eastAsia="en-NZ"/>
      <w14:ligatures w14:val="none"/>
    </w:rPr>
    <w:tblPr/>
  </w:style>
  <w:style w:type="paragraph" w:styleId="Header">
    <w:name w:val="header"/>
    <w:basedOn w:val="Normal"/>
    <w:link w:val="HeaderChar"/>
    <w:semiHidden/>
    <w:rsid w:val="00F355F2"/>
    <w:pPr>
      <w:jc w:val="center"/>
    </w:pPr>
    <w:rPr>
      <w:rFonts w:ascii="Arial" w:hAnsi="Arial"/>
      <w:sz w:val="16"/>
    </w:rPr>
  </w:style>
  <w:style w:type="character" w:customStyle="1" w:styleId="HeaderChar">
    <w:name w:val="Header Char"/>
    <w:basedOn w:val="DefaultParagraphFont"/>
    <w:link w:val="Header"/>
    <w:semiHidden/>
    <w:rsid w:val="00F355F2"/>
    <w:rPr>
      <w:rFonts w:ascii="Arial" w:eastAsiaTheme="minorEastAsia" w:hAnsi="Arial"/>
      <w:kern w:val="0"/>
      <w:sz w:val="16"/>
      <w:lang w:eastAsia="en-NZ"/>
      <w14:ligatures w14:val="none"/>
    </w:rPr>
  </w:style>
  <w:style w:type="paragraph" w:customStyle="1" w:styleId="Bullet">
    <w:name w:val="Bullet"/>
    <w:basedOn w:val="Normal"/>
    <w:link w:val="BulletChar"/>
    <w:qFormat/>
    <w:rsid w:val="00F355F2"/>
    <w:pPr>
      <w:numPr>
        <w:numId w:val="3"/>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355F2"/>
  </w:style>
  <w:style w:type="paragraph" w:customStyle="1" w:styleId="Sub-list">
    <w:name w:val="Sub-list"/>
    <w:basedOn w:val="Normal"/>
    <w:qFormat/>
    <w:rsid w:val="00F355F2"/>
    <w:pPr>
      <w:numPr>
        <w:numId w:val="2"/>
      </w:numPr>
      <w:tabs>
        <w:tab w:val="clear" w:pos="397"/>
        <w:tab w:val="left" w:pos="794"/>
      </w:tabs>
      <w:spacing w:before="0"/>
      <w:ind w:left="794" w:hanging="397"/>
      <w:jc w:val="left"/>
    </w:pPr>
  </w:style>
  <w:style w:type="paragraph" w:customStyle="1" w:styleId="Figureheading">
    <w:name w:val="Figure heading"/>
    <w:basedOn w:val="Normal"/>
    <w:next w:val="BodyText"/>
    <w:qFormat/>
    <w:rsid w:val="00F355F2"/>
    <w:pPr>
      <w:keepNext/>
      <w:ind w:left="1134" w:hanging="1134"/>
      <w:jc w:val="left"/>
    </w:pPr>
    <w:rPr>
      <w:b/>
      <w:sz w:val="20"/>
    </w:rPr>
  </w:style>
  <w:style w:type="character" w:styleId="FootnoteReference">
    <w:name w:val="footnote reference"/>
    <w:semiHidden/>
    <w:rsid w:val="00F355F2"/>
    <w:rPr>
      <w:rFonts w:ascii="Calibri" w:hAnsi="Calibri"/>
      <w:color w:val="183C47"/>
      <w:sz w:val="22"/>
      <w:vertAlign w:val="superscript"/>
    </w:rPr>
  </w:style>
  <w:style w:type="paragraph" w:styleId="FootnoteText">
    <w:name w:val="footnote text"/>
    <w:basedOn w:val="Normal"/>
    <w:link w:val="FootnoteTextChar"/>
    <w:uiPriority w:val="99"/>
    <w:rsid w:val="00F355F2"/>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F355F2"/>
    <w:rPr>
      <w:rFonts w:ascii="Calibri" w:eastAsiaTheme="minorEastAsia" w:hAnsi="Calibri"/>
      <w:kern w:val="0"/>
      <w:sz w:val="19"/>
      <w:lang w:eastAsia="en-NZ"/>
      <w14:ligatures w14:val="none"/>
    </w:rPr>
  </w:style>
  <w:style w:type="character" w:styleId="Hyperlink">
    <w:name w:val="Hyperlink"/>
    <w:uiPriority w:val="99"/>
    <w:qFormat/>
    <w:rsid w:val="00F355F2"/>
    <w:rPr>
      <w:color w:val="32809C"/>
      <w:u w:val="none"/>
    </w:rPr>
  </w:style>
  <w:style w:type="paragraph" w:customStyle="1" w:styleId="Imprint">
    <w:name w:val="Imprint"/>
    <w:basedOn w:val="Normal"/>
    <w:uiPriority w:val="3"/>
    <w:rsid w:val="00F355F2"/>
    <w:pPr>
      <w:jc w:val="left"/>
    </w:pPr>
  </w:style>
  <w:style w:type="paragraph" w:customStyle="1" w:styleId="References">
    <w:name w:val="References"/>
    <w:basedOn w:val="Normal"/>
    <w:uiPriority w:val="1"/>
    <w:qFormat/>
    <w:rsid w:val="00F355F2"/>
    <w:pPr>
      <w:spacing w:before="0" w:line="260" w:lineRule="atLeast"/>
      <w:jc w:val="left"/>
    </w:pPr>
    <w:rPr>
      <w:sz w:val="20"/>
    </w:rPr>
  </w:style>
  <w:style w:type="paragraph" w:customStyle="1" w:styleId="Tableheading">
    <w:name w:val="Table heading"/>
    <w:basedOn w:val="Normal"/>
    <w:next w:val="Normal"/>
    <w:qFormat/>
    <w:rsid w:val="00F355F2"/>
    <w:pPr>
      <w:keepNext/>
      <w:ind w:left="1134" w:hanging="1134"/>
      <w:jc w:val="left"/>
    </w:pPr>
    <w:rPr>
      <w:b/>
      <w:sz w:val="20"/>
    </w:rPr>
  </w:style>
  <w:style w:type="paragraph" w:customStyle="1" w:styleId="TableText">
    <w:name w:val="TableText"/>
    <w:basedOn w:val="Normal"/>
    <w:link w:val="TableTextChar"/>
    <w:qFormat/>
    <w:rsid w:val="00F355F2"/>
    <w:pPr>
      <w:spacing w:before="60" w:after="60" w:line="240" w:lineRule="atLeast"/>
      <w:jc w:val="left"/>
    </w:pPr>
    <w:rPr>
      <w:sz w:val="18"/>
    </w:rPr>
  </w:style>
  <w:style w:type="paragraph" w:customStyle="1" w:styleId="TableTextbold">
    <w:name w:val="TableText bold"/>
    <w:basedOn w:val="TableText"/>
    <w:link w:val="TableTextboldChar"/>
    <w:rsid w:val="00F355F2"/>
    <w:rPr>
      <w:b/>
    </w:rPr>
  </w:style>
  <w:style w:type="paragraph" w:styleId="TOC1">
    <w:name w:val="toc 1"/>
    <w:basedOn w:val="Normal"/>
    <w:next w:val="Normal"/>
    <w:uiPriority w:val="39"/>
    <w:rsid w:val="00F355F2"/>
    <w:pPr>
      <w:tabs>
        <w:tab w:val="right" w:pos="8505"/>
      </w:tabs>
      <w:spacing w:before="280" w:after="0" w:line="240" w:lineRule="auto"/>
      <w:ind w:left="567" w:right="567" w:hanging="567"/>
      <w:jc w:val="left"/>
    </w:pPr>
  </w:style>
  <w:style w:type="paragraph" w:styleId="TOC2">
    <w:name w:val="toc 2"/>
    <w:basedOn w:val="Normal"/>
    <w:next w:val="Normal"/>
    <w:uiPriority w:val="39"/>
    <w:rsid w:val="00F355F2"/>
    <w:pPr>
      <w:tabs>
        <w:tab w:val="right" w:pos="8505"/>
      </w:tabs>
      <w:spacing w:before="60" w:after="60" w:line="240" w:lineRule="auto"/>
      <w:ind w:left="1134" w:right="567" w:hanging="567"/>
      <w:jc w:val="left"/>
    </w:pPr>
  </w:style>
  <w:style w:type="paragraph" w:customStyle="1" w:styleId="Glossary">
    <w:name w:val="Glossary"/>
    <w:basedOn w:val="Normal"/>
    <w:uiPriority w:val="1"/>
    <w:qFormat/>
    <w:rsid w:val="00F355F2"/>
    <w:pPr>
      <w:tabs>
        <w:tab w:val="left" w:pos="2835"/>
      </w:tabs>
      <w:spacing w:after="0"/>
      <w:jc w:val="left"/>
    </w:pPr>
  </w:style>
  <w:style w:type="paragraph" w:customStyle="1" w:styleId="Footerodd">
    <w:name w:val="Footer odd"/>
    <w:basedOn w:val="Normal"/>
    <w:uiPriority w:val="2"/>
    <w:rsid w:val="00F355F2"/>
    <w:pPr>
      <w:tabs>
        <w:tab w:val="right" w:pos="7938"/>
        <w:tab w:val="right" w:pos="8505"/>
      </w:tabs>
      <w:jc w:val="left"/>
    </w:pPr>
    <w:rPr>
      <w:sz w:val="16"/>
    </w:rPr>
  </w:style>
  <w:style w:type="paragraph" w:customStyle="1" w:styleId="Footereven">
    <w:name w:val="Footer even"/>
    <w:basedOn w:val="Normal"/>
    <w:uiPriority w:val="2"/>
    <w:rsid w:val="00F355F2"/>
    <w:pPr>
      <w:tabs>
        <w:tab w:val="left" w:pos="567"/>
      </w:tabs>
    </w:pPr>
    <w:rPr>
      <w:sz w:val="16"/>
    </w:rPr>
  </w:style>
  <w:style w:type="paragraph" w:styleId="TableofFigures">
    <w:name w:val="table of figures"/>
    <w:basedOn w:val="Normal"/>
    <w:next w:val="Normal"/>
    <w:uiPriority w:val="99"/>
    <w:rsid w:val="00F355F2"/>
    <w:pPr>
      <w:spacing w:before="0"/>
      <w:ind w:left="1134" w:right="567" w:hanging="1134"/>
      <w:jc w:val="left"/>
    </w:pPr>
  </w:style>
  <w:style w:type="character" w:styleId="CommentReference">
    <w:name w:val="annotation reference"/>
    <w:basedOn w:val="DefaultParagraphFont"/>
    <w:uiPriority w:val="99"/>
    <w:semiHidden/>
    <w:rsid w:val="00F355F2"/>
    <w:rPr>
      <w:sz w:val="16"/>
      <w:szCs w:val="16"/>
    </w:rPr>
  </w:style>
  <w:style w:type="character" w:customStyle="1" w:styleId="BulletChar">
    <w:name w:val="Bullet Char"/>
    <w:basedOn w:val="DefaultParagraphFont"/>
    <w:link w:val="Bullet"/>
    <w:locked/>
    <w:rsid w:val="00F355F2"/>
    <w:rPr>
      <w:rFonts w:ascii="Calibri" w:eastAsia="Times New Roman" w:hAnsi="Calibri" w:cs="Times New Roman"/>
      <w:kern w:val="0"/>
      <w:szCs w:val="20"/>
      <w:lang w:eastAsia="en-NZ"/>
      <w14:ligatures w14:val="none"/>
    </w:rPr>
  </w:style>
  <w:style w:type="paragraph" w:customStyle="1" w:styleId="Greenheading-casestudytables">
    <w:name w:val="Green heading - case study tables"/>
    <w:basedOn w:val="Greentext-casestudytables"/>
    <w:next w:val="Greentext-casestudytables"/>
    <w:uiPriority w:val="1"/>
    <w:semiHidden/>
    <w:rsid w:val="00F355F2"/>
    <w:pPr>
      <w:keepNext/>
      <w:spacing w:before="240" w:after="0"/>
    </w:pPr>
    <w:rPr>
      <w:rFonts w:eastAsia="Times New Roman"/>
      <w:b/>
      <w:color w:val="1B556B"/>
      <w:sz w:val="22"/>
    </w:rPr>
  </w:style>
  <w:style w:type="paragraph" w:customStyle="1" w:styleId="Boxtext">
    <w:name w:val="Box text"/>
    <w:basedOn w:val="Normal"/>
    <w:uiPriority w:val="1"/>
    <w:qFormat/>
    <w:rsid w:val="00F355F2"/>
    <w:pPr>
      <w:spacing w:line="260" w:lineRule="atLeast"/>
      <w:ind w:left="284" w:right="284"/>
      <w:jc w:val="left"/>
    </w:pPr>
    <w:rPr>
      <w:color w:val="1B556B"/>
      <w:sz w:val="20"/>
    </w:rPr>
  </w:style>
  <w:style w:type="paragraph" w:customStyle="1" w:styleId="Boxbullet">
    <w:name w:val="Box bullet"/>
    <w:basedOn w:val="Boxtext"/>
    <w:uiPriority w:val="1"/>
    <w:qFormat/>
    <w:rsid w:val="00F355F2"/>
    <w:pPr>
      <w:numPr>
        <w:numId w:val="1"/>
      </w:numPr>
      <w:tabs>
        <w:tab w:val="left" w:pos="680"/>
      </w:tabs>
      <w:spacing w:before="0"/>
      <w:ind w:left="681" w:hanging="397"/>
    </w:pPr>
    <w:rPr>
      <w:rFonts w:cs="Times New Roman"/>
      <w:szCs w:val="20"/>
    </w:rPr>
  </w:style>
  <w:style w:type="paragraph" w:customStyle="1" w:styleId="Boxheading">
    <w:name w:val="Box heading"/>
    <w:basedOn w:val="Boxtext"/>
    <w:next w:val="Boxtext"/>
    <w:uiPriority w:val="1"/>
    <w:qFormat/>
    <w:rsid w:val="00F355F2"/>
    <w:pPr>
      <w:keepNext/>
      <w:spacing w:before="240" w:after="0"/>
    </w:pPr>
    <w:rPr>
      <w:rFonts w:cs="Times New Roman"/>
      <w:b/>
      <w:sz w:val="22"/>
      <w:szCs w:val="20"/>
    </w:rPr>
  </w:style>
  <w:style w:type="paragraph" w:customStyle="1" w:styleId="Boxsub-bullet">
    <w:name w:val="Box sub-bullet"/>
    <w:basedOn w:val="Boxtext"/>
    <w:uiPriority w:val="1"/>
    <w:qFormat/>
    <w:rsid w:val="00F355F2"/>
    <w:pPr>
      <w:numPr>
        <w:numId w:val="4"/>
      </w:numPr>
      <w:spacing w:before="0"/>
    </w:pPr>
    <w:rPr>
      <w:rFonts w:cs="Times New Roman"/>
      <w:szCs w:val="20"/>
    </w:rPr>
  </w:style>
  <w:style w:type="paragraph" w:styleId="CommentText">
    <w:name w:val="annotation text"/>
    <w:basedOn w:val="Normal"/>
    <w:link w:val="CommentTextChar"/>
    <w:uiPriority w:val="99"/>
    <w:rsid w:val="00E84D9B"/>
    <w:pPr>
      <w:spacing w:line="240" w:lineRule="auto"/>
    </w:pPr>
    <w:rPr>
      <w:sz w:val="20"/>
      <w:szCs w:val="20"/>
    </w:rPr>
  </w:style>
  <w:style w:type="character" w:customStyle="1" w:styleId="CommentTextChar">
    <w:name w:val="Comment Text Char"/>
    <w:basedOn w:val="DefaultParagraphFont"/>
    <w:link w:val="CommentText"/>
    <w:uiPriority w:val="99"/>
    <w:rsid w:val="00E84D9B"/>
    <w:rPr>
      <w:rFonts w:ascii="Calibri" w:eastAsiaTheme="minorEastAsia" w:hAnsi="Calibri"/>
      <w:kern w:val="0"/>
      <w:sz w:val="20"/>
      <w:szCs w:val="20"/>
      <w:lang w:eastAsia="en-NZ"/>
    </w:rPr>
  </w:style>
  <w:style w:type="paragraph" w:customStyle="1" w:styleId="Title-Mori">
    <w:name w:val="Title - Māori"/>
    <w:basedOn w:val="Normal"/>
    <w:qFormat/>
    <w:rsid w:val="00E84D9B"/>
    <w:pPr>
      <w:spacing w:before="0" w:line="680" w:lineRule="exact"/>
      <w:jc w:val="left"/>
    </w:pPr>
    <w:rPr>
      <w:rFonts w:ascii="Georgia" w:hAnsi="Georgia"/>
      <w:b/>
      <w:bCs/>
      <w:color w:val="FFFFFF" w:themeColor="background1"/>
      <w:sz w:val="56"/>
      <w:szCs w:val="56"/>
    </w:rPr>
  </w:style>
  <w:style w:type="character" w:customStyle="1" w:styleId="TableTextboldChar">
    <w:name w:val="TableText bold Char"/>
    <w:basedOn w:val="DefaultParagraphFont"/>
    <w:link w:val="TableTextbold"/>
    <w:rsid w:val="00E84D9B"/>
    <w:rPr>
      <w:rFonts w:ascii="Calibri" w:eastAsiaTheme="minorEastAsia" w:hAnsi="Calibri"/>
      <w:b/>
      <w:kern w:val="0"/>
      <w:sz w:val="18"/>
      <w:lang w:eastAsia="en-NZ"/>
      <w14:ligatures w14:val="none"/>
    </w:rPr>
  </w:style>
  <w:style w:type="character" w:customStyle="1" w:styleId="TableTextChar">
    <w:name w:val="TableText Char"/>
    <w:link w:val="TableText"/>
    <w:rsid w:val="00E84D9B"/>
    <w:rPr>
      <w:rFonts w:ascii="Calibri" w:eastAsiaTheme="minorEastAsia" w:hAnsi="Calibri"/>
      <w:kern w:val="0"/>
      <w:sz w:val="18"/>
      <w:lang w:eastAsia="en-NZ"/>
      <w14:ligatures w14:val="none"/>
    </w:rPr>
  </w:style>
  <w:style w:type="paragraph" w:customStyle="1" w:styleId="AppendixH2">
    <w:name w:val="Appendix H2"/>
    <w:basedOn w:val="Heading2"/>
    <w:uiPriority w:val="1"/>
    <w:qFormat/>
    <w:rsid w:val="00E84D9B"/>
    <w:pPr>
      <w:spacing w:line="440" w:lineRule="atLeast"/>
    </w:pPr>
  </w:style>
  <w:style w:type="paragraph" w:customStyle="1" w:styleId="Questions">
    <w:name w:val="Questions"/>
    <w:basedOn w:val="Boxtext"/>
    <w:qFormat/>
    <w:rsid w:val="00E84D9B"/>
    <w:pPr>
      <w:numPr>
        <w:numId w:val="5"/>
      </w:numPr>
    </w:pPr>
    <w:rPr>
      <w:rFonts w:cs="Times New Roman"/>
      <w:color w:val="auto"/>
      <w:szCs w:val="20"/>
    </w:rPr>
  </w:style>
  <w:style w:type="paragraph" w:styleId="EndnoteText">
    <w:name w:val="endnote text"/>
    <w:basedOn w:val="Normal"/>
    <w:link w:val="EndnoteTextChar"/>
    <w:uiPriority w:val="99"/>
    <w:rsid w:val="00F355F2"/>
    <w:pPr>
      <w:spacing w:after="60"/>
    </w:pPr>
    <w:rPr>
      <w:sz w:val="20"/>
    </w:rPr>
  </w:style>
  <w:style w:type="character" w:customStyle="1" w:styleId="EndnoteTextChar">
    <w:name w:val="Endnote Text Char"/>
    <w:basedOn w:val="DefaultParagraphFont"/>
    <w:link w:val="EndnoteText"/>
    <w:uiPriority w:val="99"/>
    <w:rsid w:val="00F355F2"/>
    <w:rPr>
      <w:rFonts w:ascii="Calibri" w:eastAsiaTheme="minorEastAsia" w:hAnsi="Calibri"/>
      <w:kern w:val="0"/>
      <w:sz w:val="20"/>
      <w:lang w:eastAsia="en-NZ"/>
      <w14:ligatures w14:val="none"/>
    </w:rPr>
  </w:style>
  <w:style w:type="character" w:styleId="EndnoteReference">
    <w:name w:val="endnote reference"/>
    <w:basedOn w:val="DefaultParagraphFont"/>
    <w:uiPriority w:val="99"/>
    <w:semiHidden/>
    <w:unhideWhenUsed/>
    <w:rsid w:val="00F355F2"/>
    <w:rPr>
      <w:vertAlign w:val="superscript"/>
    </w:rPr>
  </w:style>
  <w:style w:type="character" w:customStyle="1" w:styleId="normaltextrun">
    <w:name w:val="normaltextrun"/>
    <w:basedOn w:val="DefaultParagraphFont"/>
    <w:rsid w:val="00E84D9B"/>
  </w:style>
  <w:style w:type="character" w:customStyle="1" w:styleId="eop">
    <w:name w:val="eop"/>
    <w:basedOn w:val="DefaultParagraphFont"/>
    <w:rsid w:val="00E84D9B"/>
  </w:style>
  <w:style w:type="character" w:customStyle="1" w:styleId="superscript">
    <w:name w:val="superscript"/>
    <w:basedOn w:val="DefaultParagraphFont"/>
    <w:rsid w:val="00E84D9B"/>
  </w:style>
  <w:style w:type="paragraph" w:customStyle="1" w:styleId="paragraph">
    <w:name w:val="paragraph"/>
    <w:basedOn w:val="Normal"/>
    <w:rsid w:val="00E84D9B"/>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E84D9B"/>
    <w:rPr>
      <w:color w:val="605E5C"/>
      <w:shd w:val="clear" w:color="auto" w:fill="E1DFDD"/>
    </w:rPr>
  </w:style>
  <w:style w:type="paragraph" w:styleId="CommentSubject">
    <w:name w:val="annotation subject"/>
    <w:basedOn w:val="Normal"/>
    <w:link w:val="CommentSubjectChar"/>
    <w:uiPriority w:val="99"/>
    <w:semiHidden/>
    <w:rsid w:val="00F355F2"/>
    <w:rPr>
      <w:b/>
      <w:bCs/>
      <w:sz w:val="20"/>
    </w:rPr>
  </w:style>
  <w:style w:type="character" w:customStyle="1" w:styleId="CommentSubjectChar">
    <w:name w:val="Comment Subject Char"/>
    <w:basedOn w:val="DefaultParagraphFont"/>
    <w:link w:val="CommentSubject"/>
    <w:uiPriority w:val="99"/>
    <w:semiHidden/>
    <w:rsid w:val="00F355F2"/>
    <w:rPr>
      <w:rFonts w:ascii="Calibri" w:eastAsiaTheme="minorEastAsia" w:hAnsi="Calibri"/>
      <w:b/>
      <w:bCs/>
      <w:kern w:val="0"/>
      <w:sz w:val="20"/>
      <w:lang w:eastAsia="en-NZ"/>
      <w14:ligatures w14:val="none"/>
    </w:rPr>
  </w:style>
  <w:style w:type="paragraph" w:styleId="Footer">
    <w:name w:val="footer"/>
    <w:basedOn w:val="Normal"/>
    <w:link w:val="FooterChar"/>
    <w:semiHidden/>
    <w:rsid w:val="00F355F2"/>
    <w:pPr>
      <w:tabs>
        <w:tab w:val="center" w:pos="4153"/>
        <w:tab w:val="right" w:pos="8306"/>
      </w:tabs>
    </w:pPr>
  </w:style>
  <w:style w:type="character" w:customStyle="1" w:styleId="FooterChar">
    <w:name w:val="Footer Char"/>
    <w:basedOn w:val="DefaultParagraphFont"/>
    <w:link w:val="Footer"/>
    <w:semiHidden/>
    <w:rsid w:val="00F355F2"/>
    <w:rPr>
      <w:rFonts w:ascii="Calibri" w:eastAsiaTheme="minorEastAsia" w:hAnsi="Calibri"/>
      <w:kern w:val="0"/>
      <w:lang w:eastAsia="en-NZ"/>
      <w14:ligatures w14:val="none"/>
    </w:rPr>
  </w:style>
  <w:style w:type="paragraph" w:styleId="Revision">
    <w:name w:val="Revision"/>
    <w:hidden/>
    <w:uiPriority w:val="99"/>
    <w:semiHidden/>
    <w:rsid w:val="00F355F2"/>
    <w:pPr>
      <w:spacing w:after="0" w:line="240" w:lineRule="auto"/>
    </w:pPr>
    <w:rPr>
      <w:rFonts w:ascii="Times New Roman" w:eastAsia="Times New Roman" w:hAnsi="Times New Roman" w:cs="Times New Roman"/>
      <w:kern w:val="0"/>
      <w:szCs w:val="20"/>
      <w14:ligatures w14:val="none"/>
    </w:rPr>
  </w:style>
  <w:style w:type="paragraph" w:customStyle="1" w:styleId="Note">
    <w:name w:val="Note"/>
    <w:basedOn w:val="BodyText"/>
    <w:next w:val="Normal"/>
    <w:uiPriority w:val="1"/>
    <w:qFormat/>
    <w:rsid w:val="00F355F2"/>
    <w:rPr>
      <w:sz w:val="18"/>
    </w:rPr>
  </w:style>
  <w:style w:type="paragraph" w:customStyle="1" w:styleId="Source">
    <w:name w:val="Source"/>
    <w:basedOn w:val="Normal"/>
    <w:next w:val="Normal"/>
    <w:uiPriority w:val="1"/>
    <w:qFormat/>
    <w:rsid w:val="00F355F2"/>
    <w:pPr>
      <w:tabs>
        <w:tab w:val="left" w:pos="680"/>
      </w:tabs>
      <w:jc w:val="left"/>
    </w:pPr>
    <w:rPr>
      <w:sz w:val="18"/>
    </w:rPr>
  </w:style>
  <w:style w:type="paragraph" w:customStyle="1" w:styleId="Captions">
    <w:name w:val="Captions"/>
    <w:basedOn w:val="Note"/>
    <w:next w:val="Normal"/>
    <w:semiHidden/>
    <w:rsid w:val="00F355F2"/>
    <w:pPr>
      <w:tabs>
        <w:tab w:val="left" w:pos="851"/>
      </w:tabs>
    </w:pPr>
  </w:style>
  <w:style w:type="paragraph" w:customStyle="1" w:styleId="Numberedparagraph">
    <w:name w:val="Numbered paragraph"/>
    <w:basedOn w:val="Normal"/>
    <w:uiPriority w:val="1"/>
    <w:qFormat/>
    <w:rsid w:val="00F355F2"/>
    <w:pPr>
      <w:numPr>
        <w:numId w:val="16"/>
      </w:numPr>
      <w:spacing w:before="0"/>
      <w:jc w:val="left"/>
    </w:pPr>
  </w:style>
  <w:style w:type="paragraph" w:customStyle="1" w:styleId="Sub-lista">
    <w:name w:val="Sub-list a"/>
    <w:aliases w:val="b"/>
    <w:basedOn w:val="Normal"/>
    <w:uiPriority w:val="2"/>
    <w:rsid w:val="00F355F2"/>
    <w:pPr>
      <w:numPr>
        <w:numId w:val="6"/>
      </w:numPr>
      <w:spacing w:before="0"/>
      <w:ind w:left="794" w:hanging="397"/>
      <w:jc w:val="left"/>
    </w:pPr>
  </w:style>
  <w:style w:type="paragraph" w:styleId="TOC3">
    <w:name w:val="toc 3"/>
    <w:basedOn w:val="Normal"/>
    <w:next w:val="Normal"/>
    <w:autoRedefine/>
    <w:semiHidden/>
    <w:rsid w:val="00F355F2"/>
    <w:pPr>
      <w:ind w:left="440"/>
    </w:pPr>
  </w:style>
  <w:style w:type="paragraph" w:customStyle="1" w:styleId="Sub-listi">
    <w:name w:val="Sub-list i"/>
    <w:aliases w:val="ii"/>
    <w:basedOn w:val="BodyText"/>
    <w:semiHidden/>
    <w:rsid w:val="00F355F2"/>
    <w:pPr>
      <w:numPr>
        <w:numId w:val="7"/>
      </w:numPr>
      <w:spacing w:before="60" w:after="60"/>
    </w:pPr>
  </w:style>
  <w:style w:type="paragraph" w:customStyle="1" w:styleId="TableBullet">
    <w:name w:val="TableBullet"/>
    <w:basedOn w:val="Normal"/>
    <w:qFormat/>
    <w:rsid w:val="00F355F2"/>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F355F2"/>
    <w:pPr>
      <w:numPr>
        <w:numId w:val="9"/>
      </w:numPr>
      <w:ind w:left="568" w:hanging="284"/>
    </w:pPr>
  </w:style>
  <w:style w:type="paragraph" w:styleId="BalloonText">
    <w:name w:val="Balloon Text"/>
    <w:basedOn w:val="Normal"/>
    <w:link w:val="BalloonTextChar"/>
    <w:semiHidden/>
    <w:unhideWhenUsed/>
    <w:rsid w:val="00F355F2"/>
    <w:rPr>
      <w:rFonts w:ascii="Tahoma" w:hAnsi="Tahoma"/>
      <w:sz w:val="16"/>
      <w:szCs w:val="16"/>
    </w:rPr>
  </w:style>
  <w:style w:type="character" w:customStyle="1" w:styleId="BalloonTextChar">
    <w:name w:val="Balloon Text Char"/>
    <w:basedOn w:val="DefaultParagraphFont"/>
    <w:link w:val="BalloonText"/>
    <w:semiHidden/>
    <w:rsid w:val="00F355F2"/>
    <w:rPr>
      <w:rFonts w:ascii="Tahoma" w:eastAsiaTheme="minorEastAsia" w:hAnsi="Tahoma"/>
      <w:kern w:val="0"/>
      <w:sz w:val="16"/>
      <w:szCs w:val="16"/>
      <w:lang w:eastAsia="en-NZ"/>
      <w14:ligatures w14:val="none"/>
    </w:rPr>
  </w:style>
  <w:style w:type="paragraph" w:styleId="z-BottomofForm">
    <w:name w:val="HTML Bottom of Form"/>
    <w:basedOn w:val="Normal"/>
    <w:next w:val="Normal"/>
    <w:link w:val="z-BottomofFormChar"/>
    <w:hidden/>
    <w:uiPriority w:val="99"/>
    <w:semiHidden/>
    <w:unhideWhenUsed/>
    <w:rsid w:val="00F355F2"/>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F355F2"/>
    <w:rPr>
      <w:rFonts w:ascii="Arial" w:eastAsia="Calibri" w:hAnsi="Arial"/>
      <w:vanish/>
      <w:kern w:val="0"/>
      <w:sz w:val="16"/>
      <w:szCs w:val="16"/>
      <w:lang w:val="en-US" w:eastAsia="en-NZ"/>
      <w14:ligatures w14:val="none"/>
    </w:rPr>
  </w:style>
  <w:style w:type="paragraph" w:styleId="z-TopofForm">
    <w:name w:val="HTML Top of Form"/>
    <w:basedOn w:val="Normal"/>
    <w:next w:val="Normal"/>
    <w:link w:val="z-TopofFormChar"/>
    <w:hidden/>
    <w:uiPriority w:val="99"/>
    <w:semiHidden/>
    <w:unhideWhenUsed/>
    <w:rsid w:val="00F355F2"/>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F355F2"/>
    <w:rPr>
      <w:rFonts w:ascii="Arial" w:eastAsia="Calibri" w:hAnsi="Arial"/>
      <w:vanish/>
      <w:kern w:val="0"/>
      <w:sz w:val="16"/>
      <w:szCs w:val="16"/>
      <w:lang w:val="en-US" w:eastAsia="en-NZ"/>
      <w14:ligatures w14:val="none"/>
    </w:rPr>
  </w:style>
  <w:style w:type="table" w:styleId="MediumShading1-Accent2">
    <w:name w:val="Medium Shading 1 Accent 2"/>
    <w:basedOn w:val="TableNormal"/>
    <w:uiPriority w:val="63"/>
    <w:rsid w:val="00F355F2"/>
    <w:pPr>
      <w:spacing w:after="0" w:line="240" w:lineRule="auto"/>
    </w:pPr>
    <w:rPr>
      <w:kern w:val="0"/>
      <w14:ligatures w14:val="none"/>
    </w:rPr>
    <w:tblPr>
      <w:tblStyleRowBandSize w:val="1"/>
      <w:tblStyleColBandSize w:val="1"/>
    </w:tblPr>
    <w:tcPr>
      <w:shd w:val="clear" w:color="auto" w:fill="F9DBCC" w:themeFill="accent2" w:themeFillTint="3F"/>
    </w:tc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F355F2"/>
    <w:pPr>
      <w:spacing w:after="0" w:line="240" w:lineRule="auto"/>
    </w:pPr>
    <w:rPr>
      <w:kern w:val="0"/>
      <w14:ligatures w14:val="none"/>
    </w:rPr>
    <w:tblPr>
      <w:tblStyleRowBandSize w:val="1"/>
      <w:tblStyleColBandSize w:val="1"/>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Grid-Accent5">
    <w:name w:val="Light Grid Accent 5"/>
    <w:basedOn w:val="TableNormal"/>
    <w:uiPriority w:val="62"/>
    <w:rsid w:val="00F355F2"/>
    <w:pPr>
      <w:spacing w:after="0" w:line="240" w:lineRule="auto"/>
    </w:pPr>
    <w:rPr>
      <w:kern w:val="0"/>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customStyle="1" w:styleId="LightGrid-Accent11">
    <w:name w:val="Light Grid - Accent 11"/>
    <w:basedOn w:val="TableNormal"/>
    <w:uiPriority w:val="62"/>
    <w:rsid w:val="00F355F2"/>
    <w:pPr>
      <w:spacing w:after="0" w:line="240" w:lineRule="auto"/>
    </w:pPr>
    <w:rPr>
      <w:kern w:val="0"/>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customStyle="1" w:styleId="LightShading-Accent11">
    <w:name w:val="Light Shading - Accent 11"/>
    <w:basedOn w:val="TableNormal"/>
    <w:uiPriority w:val="60"/>
    <w:rsid w:val="00F355F2"/>
    <w:pPr>
      <w:spacing w:after="0" w:line="240" w:lineRule="auto"/>
    </w:pPr>
    <w:rPr>
      <w:color w:val="0F4761" w:themeColor="accent1" w:themeShade="BF"/>
      <w:kern w:val="0"/>
      <w14:ligatures w14:val="none"/>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customStyle="1" w:styleId="LightList-Accent11">
    <w:name w:val="Light List - Accent 11"/>
    <w:basedOn w:val="TableNormal"/>
    <w:uiPriority w:val="61"/>
    <w:rsid w:val="00F355F2"/>
    <w:pPr>
      <w:spacing w:after="0" w:line="240" w:lineRule="auto"/>
    </w:pPr>
    <w:rPr>
      <w:kern w:val="0"/>
      <w14:ligatures w14:val="none"/>
    </w:rPr>
    <w:tblPr>
      <w:tblStyleRowBandSize w:val="1"/>
      <w:tblStyleColBandSize w:val="1"/>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character" w:styleId="Strong">
    <w:name w:val="Strong"/>
    <w:basedOn w:val="DefaultParagraphFont"/>
    <w:uiPriority w:val="22"/>
    <w:qFormat/>
    <w:rsid w:val="00F355F2"/>
    <w:rPr>
      <w:b/>
      <w:bCs/>
    </w:rPr>
  </w:style>
  <w:style w:type="paragraph" w:customStyle="1" w:styleId="Boxa">
    <w:name w:val="Box a"/>
    <w:aliases w:val="b list"/>
    <w:basedOn w:val="Sub-listi"/>
    <w:semiHidden/>
    <w:qFormat/>
    <w:rsid w:val="00F355F2"/>
    <w:pPr>
      <w:numPr>
        <w:ilvl w:val="1"/>
        <w:numId w:val="13"/>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FollowedHyperlink">
    <w:name w:val="FollowedHyperlink"/>
    <w:basedOn w:val="DefaultParagraphFont"/>
    <w:uiPriority w:val="99"/>
    <w:semiHidden/>
    <w:rsid w:val="00F355F2"/>
    <w:rPr>
      <w:color w:val="96607D" w:themeColor="followedHyperlink"/>
      <w:u w:val="none"/>
    </w:rPr>
  </w:style>
  <w:style w:type="paragraph" w:customStyle="1" w:styleId="BoxBullet0">
    <w:name w:val="Box Bullet"/>
    <w:basedOn w:val="Normal"/>
    <w:semiHidden/>
    <w:rsid w:val="00F355F2"/>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0">
    <w:name w:val="BoxHeading"/>
    <w:basedOn w:val="Normal"/>
    <w:next w:val="Normal"/>
    <w:semiHidden/>
    <w:rsid w:val="00F355F2"/>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paragraph" w:styleId="TOC4">
    <w:name w:val="toc 4"/>
    <w:basedOn w:val="Normal"/>
    <w:next w:val="Normal"/>
    <w:semiHidden/>
    <w:rsid w:val="00F355F2"/>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F355F2"/>
    <w:pPr>
      <w:spacing w:before="0" w:after="200" w:line="240" w:lineRule="auto"/>
    </w:pPr>
    <w:rPr>
      <w:rFonts w:ascii="Times New Roman" w:eastAsia="Times New Roman" w:hAnsi="Times New Roman" w:cs="Times New Roman"/>
      <w:b/>
      <w:bCs/>
      <w:color w:val="156082" w:themeColor="accent1"/>
      <w:sz w:val="18"/>
      <w:szCs w:val="18"/>
      <w:lang w:eastAsia="en-US"/>
    </w:rPr>
  </w:style>
  <w:style w:type="paragraph" w:customStyle="1" w:styleId="Casestudyheading">
    <w:name w:val="Case study heading"/>
    <w:basedOn w:val="BodyText"/>
    <w:uiPriority w:val="1"/>
    <w:semiHidden/>
    <w:qFormat/>
    <w:rsid w:val="00F355F2"/>
    <w:pPr>
      <w:keepNext/>
      <w:spacing w:line="240" w:lineRule="auto"/>
      <w:ind w:left="284"/>
    </w:pPr>
    <w:rPr>
      <w:b/>
      <w:caps/>
      <w:color w:val="FFFFFF" w:themeColor="background1"/>
    </w:rPr>
  </w:style>
  <w:style w:type="table" w:styleId="LightShading-Accent1">
    <w:name w:val="Light Shading Accent 1"/>
    <w:basedOn w:val="TableNormal"/>
    <w:uiPriority w:val="60"/>
    <w:rsid w:val="00F355F2"/>
    <w:pPr>
      <w:spacing w:after="0" w:line="240" w:lineRule="auto"/>
    </w:pPr>
    <w:rPr>
      <w:rFonts w:eastAsiaTheme="minorEastAsia"/>
      <w:color w:val="0F4761" w:themeColor="accent1" w:themeShade="BF"/>
      <w:kern w:val="0"/>
      <w:lang w:val="en-US"/>
      <w14:ligatures w14:val="none"/>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List-Accent3">
    <w:name w:val="Light List Accent 3"/>
    <w:basedOn w:val="TableNormal"/>
    <w:uiPriority w:val="61"/>
    <w:rsid w:val="00F355F2"/>
    <w:pPr>
      <w:spacing w:after="0" w:line="240" w:lineRule="auto"/>
    </w:pPr>
    <w:rPr>
      <w:rFonts w:eastAsiaTheme="minorEastAsia"/>
      <w:kern w:val="0"/>
      <w:lang w:val="en-US"/>
      <w14:ligatures w14:val="none"/>
    </w:rPr>
    <w:tblPr>
      <w:tblStyleRowBandSize w:val="1"/>
      <w:tblStyleColBandSize w:val="1"/>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numbering" w:customStyle="1" w:styleId="Style1">
    <w:name w:val="Style1"/>
    <w:uiPriority w:val="99"/>
    <w:rsid w:val="00F355F2"/>
    <w:pPr>
      <w:numPr>
        <w:numId w:val="18"/>
      </w:numPr>
    </w:pPr>
  </w:style>
  <w:style w:type="numbering" w:customStyle="1" w:styleId="Style2">
    <w:name w:val="Style2"/>
    <w:uiPriority w:val="99"/>
    <w:rsid w:val="00F355F2"/>
    <w:pPr>
      <w:numPr>
        <w:numId w:val="15"/>
      </w:numPr>
    </w:pPr>
  </w:style>
  <w:style w:type="paragraph" w:customStyle="1" w:styleId="Greenbullet-casestudytables">
    <w:name w:val="Green bullet - case study tables"/>
    <w:basedOn w:val="Greentext-casestudytables"/>
    <w:uiPriority w:val="1"/>
    <w:semiHidden/>
    <w:rsid w:val="00F355F2"/>
    <w:pPr>
      <w:numPr>
        <w:numId w:val="10"/>
      </w:numPr>
      <w:spacing w:before="0"/>
      <w:ind w:left="681" w:hanging="397"/>
    </w:pPr>
  </w:style>
  <w:style w:type="paragraph" w:customStyle="1" w:styleId="Greentext-casestudytables">
    <w:name w:val="Green text - case study tables"/>
    <w:basedOn w:val="BodyText"/>
    <w:uiPriority w:val="1"/>
    <w:semiHidden/>
    <w:rsid w:val="00F355F2"/>
    <w:pPr>
      <w:spacing w:line="260" w:lineRule="atLeast"/>
      <w:ind w:left="284" w:right="284"/>
    </w:pPr>
    <w:rPr>
      <w:color w:val="0F7B7D"/>
      <w:sz w:val="20"/>
    </w:rPr>
  </w:style>
  <w:style w:type="numbering" w:customStyle="1" w:styleId="Style3">
    <w:name w:val="Style3"/>
    <w:uiPriority w:val="99"/>
    <w:rsid w:val="00F355F2"/>
    <w:pPr>
      <w:numPr>
        <w:numId w:val="17"/>
      </w:numPr>
    </w:pPr>
  </w:style>
  <w:style w:type="paragraph" w:customStyle="1" w:styleId="Greensub-bullet-casestudytables">
    <w:name w:val="Green sub-bullet - case study tables"/>
    <w:basedOn w:val="Greentext-casestudytables"/>
    <w:uiPriority w:val="1"/>
    <w:semiHidden/>
    <w:qFormat/>
    <w:rsid w:val="00F355F2"/>
    <w:pPr>
      <w:numPr>
        <w:numId w:val="11"/>
      </w:numPr>
      <w:spacing w:before="0"/>
      <w:ind w:left="1077" w:hanging="397"/>
    </w:pPr>
  </w:style>
  <w:style w:type="character" w:customStyle="1" w:styleId="c-bibliographic-informationvalue">
    <w:name w:val="c-bibliographic-information__value"/>
    <w:basedOn w:val="DefaultParagraphFont"/>
    <w:rsid w:val="00184225"/>
  </w:style>
  <w:style w:type="character" w:styleId="Emphasis">
    <w:name w:val="Emphasis"/>
    <w:basedOn w:val="DefaultParagraphFont"/>
    <w:uiPriority w:val="20"/>
    <w:qFormat/>
    <w:rsid w:val="007F7A04"/>
    <w:rPr>
      <w:i/>
      <w:iCs/>
    </w:rPr>
  </w:style>
  <w:style w:type="character" w:customStyle="1" w:styleId="hgkelc">
    <w:name w:val="hgkelc"/>
    <w:basedOn w:val="DefaultParagraphFont"/>
    <w:rsid w:val="00A82FDB"/>
  </w:style>
  <w:style w:type="character" w:styleId="Mention">
    <w:name w:val="Mention"/>
    <w:basedOn w:val="DefaultParagraphFont"/>
    <w:uiPriority w:val="99"/>
    <w:unhideWhenUsed/>
    <w:rsid w:val="00313CB4"/>
    <w:rPr>
      <w:color w:val="2B579A"/>
      <w:shd w:val="clear" w:color="auto" w:fill="E1DFDD"/>
    </w:rPr>
  </w:style>
  <w:style w:type="paragraph" w:styleId="NormalWeb">
    <w:name w:val="Normal (Web)"/>
    <w:basedOn w:val="Normal"/>
    <w:uiPriority w:val="99"/>
    <w:semiHidden/>
    <w:unhideWhenUsed/>
    <w:rsid w:val="008E4383"/>
    <w:pPr>
      <w:spacing w:before="100" w:beforeAutospacing="1" w:after="100" w:afterAutospacing="1" w:line="240" w:lineRule="auto"/>
      <w:jc w:val="left"/>
    </w:pPr>
    <w:rPr>
      <w:rFonts w:ascii="Times New Roman" w:eastAsia="Times New Roman" w:hAnsi="Times New Roman" w:cs="Times New Roman"/>
      <w:sz w:val="24"/>
      <w:szCs w:val="24"/>
    </w:rPr>
  </w:style>
  <w:style w:type="table" w:styleId="TableGridLight">
    <w:name w:val="Grid Table Light"/>
    <w:basedOn w:val="TableNormal"/>
    <w:uiPriority w:val="40"/>
    <w:rsid w:val="000B5B42"/>
    <w:pPr>
      <w:spacing w:after="0" w:line="240" w:lineRule="auto"/>
    </w:pPr>
    <w:tblPr/>
  </w:style>
  <w:style w:type="paragraph" w:styleId="NoSpacing">
    <w:name w:val="No Spacing"/>
    <w:uiPriority w:val="1"/>
    <w:qFormat/>
    <w:rsid w:val="0304C94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978667">
      <w:bodyDiv w:val="1"/>
      <w:marLeft w:val="0"/>
      <w:marRight w:val="0"/>
      <w:marTop w:val="0"/>
      <w:marBottom w:val="0"/>
      <w:divBdr>
        <w:top w:val="none" w:sz="0" w:space="0" w:color="auto"/>
        <w:left w:val="none" w:sz="0" w:space="0" w:color="auto"/>
        <w:bottom w:val="none" w:sz="0" w:space="0" w:color="auto"/>
        <w:right w:val="none" w:sz="0" w:space="0" w:color="auto"/>
      </w:divBdr>
    </w:div>
    <w:div w:id="257059945">
      <w:bodyDiv w:val="1"/>
      <w:marLeft w:val="0"/>
      <w:marRight w:val="0"/>
      <w:marTop w:val="0"/>
      <w:marBottom w:val="0"/>
      <w:divBdr>
        <w:top w:val="none" w:sz="0" w:space="0" w:color="auto"/>
        <w:left w:val="none" w:sz="0" w:space="0" w:color="auto"/>
        <w:bottom w:val="none" w:sz="0" w:space="0" w:color="auto"/>
        <w:right w:val="none" w:sz="0" w:space="0" w:color="auto"/>
      </w:divBdr>
      <w:divsChild>
        <w:div w:id="1018779758">
          <w:marLeft w:val="0"/>
          <w:marRight w:val="0"/>
          <w:marTop w:val="0"/>
          <w:marBottom w:val="0"/>
          <w:divBdr>
            <w:top w:val="none" w:sz="0" w:space="0" w:color="auto"/>
            <w:left w:val="none" w:sz="0" w:space="0" w:color="auto"/>
            <w:bottom w:val="none" w:sz="0" w:space="0" w:color="auto"/>
            <w:right w:val="none" w:sz="0" w:space="0" w:color="auto"/>
          </w:divBdr>
        </w:div>
      </w:divsChild>
    </w:div>
    <w:div w:id="404188818">
      <w:bodyDiv w:val="1"/>
      <w:marLeft w:val="0"/>
      <w:marRight w:val="0"/>
      <w:marTop w:val="0"/>
      <w:marBottom w:val="0"/>
      <w:divBdr>
        <w:top w:val="none" w:sz="0" w:space="0" w:color="auto"/>
        <w:left w:val="none" w:sz="0" w:space="0" w:color="auto"/>
        <w:bottom w:val="none" w:sz="0" w:space="0" w:color="auto"/>
        <w:right w:val="none" w:sz="0" w:space="0" w:color="auto"/>
      </w:divBdr>
    </w:div>
    <w:div w:id="556864440">
      <w:bodyDiv w:val="1"/>
      <w:marLeft w:val="0"/>
      <w:marRight w:val="0"/>
      <w:marTop w:val="0"/>
      <w:marBottom w:val="0"/>
      <w:divBdr>
        <w:top w:val="none" w:sz="0" w:space="0" w:color="auto"/>
        <w:left w:val="none" w:sz="0" w:space="0" w:color="auto"/>
        <w:bottom w:val="none" w:sz="0" w:space="0" w:color="auto"/>
        <w:right w:val="none" w:sz="0" w:space="0" w:color="auto"/>
      </w:divBdr>
    </w:div>
    <w:div w:id="832916020">
      <w:bodyDiv w:val="1"/>
      <w:marLeft w:val="0"/>
      <w:marRight w:val="0"/>
      <w:marTop w:val="0"/>
      <w:marBottom w:val="0"/>
      <w:divBdr>
        <w:top w:val="none" w:sz="0" w:space="0" w:color="auto"/>
        <w:left w:val="none" w:sz="0" w:space="0" w:color="auto"/>
        <w:bottom w:val="none" w:sz="0" w:space="0" w:color="auto"/>
        <w:right w:val="none" w:sz="0" w:space="0" w:color="auto"/>
      </w:divBdr>
    </w:div>
    <w:div w:id="1131052359">
      <w:bodyDiv w:val="1"/>
      <w:marLeft w:val="0"/>
      <w:marRight w:val="0"/>
      <w:marTop w:val="0"/>
      <w:marBottom w:val="0"/>
      <w:divBdr>
        <w:top w:val="none" w:sz="0" w:space="0" w:color="auto"/>
        <w:left w:val="none" w:sz="0" w:space="0" w:color="auto"/>
        <w:bottom w:val="none" w:sz="0" w:space="0" w:color="auto"/>
        <w:right w:val="none" w:sz="0" w:space="0" w:color="auto"/>
      </w:divBdr>
    </w:div>
    <w:div w:id="1613854420">
      <w:bodyDiv w:val="1"/>
      <w:marLeft w:val="0"/>
      <w:marRight w:val="0"/>
      <w:marTop w:val="0"/>
      <w:marBottom w:val="0"/>
      <w:divBdr>
        <w:top w:val="none" w:sz="0" w:space="0" w:color="auto"/>
        <w:left w:val="none" w:sz="0" w:space="0" w:color="auto"/>
        <w:bottom w:val="none" w:sz="0" w:space="0" w:color="auto"/>
        <w:right w:val="none" w:sz="0" w:space="0" w:color="auto"/>
      </w:divBdr>
    </w:div>
    <w:div w:id="1673024880">
      <w:bodyDiv w:val="1"/>
      <w:marLeft w:val="0"/>
      <w:marRight w:val="0"/>
      <w:marTop w:val="0"/>
      <w:marBottom w:val="0"/>
      <w:divBdr>
        <w:top w:val="none" w:sz="0" w:space="0" w:color="auto"/>
        <w:left w:val="none" w:sz="0" w:space="0" w:color="auto"/>
        <w:bottom w:val="none" w:sz="0" w:space="0" w:color="auto"/>
        <w:right w:val="none" w:sz="0" w:space="0" w:color="auto"/>
      </w:divBdr>
    </w:div>
    <w:div w:id="1711761138">
      <w:bodyDiv w:val="1"/>
      <w:marLeft w:val="0"/>
      <w:marRight w:val="0"/>
      <w:marTop w:val="0"/>
      <w:marBottom w:val="0"/>
      <w:divBdr>
        <w:top w:val="none" w:sz="0" w:space="0" w:color="auto"/>
        <w:left w:val="none" w:sz="0" w:space="0" w:color="auto"/>
        <w:bottom w:val="none" w:sz="0" w:space="0" w:color="auto"/>
        <w:right w:val="none" w:sz="0" w:space="0" w:color="auto"/>
      </w:divBdr>
    </w:div>
    <w:div w:id="1730375475">
      <w:bodyDiv w:val="1"/>
      <w:marLeft w:val="0"/>
      <w:marRight w:val="0"/>
      <w:marTop w:val="0"/>
      <w:marBottom w:val="0"/>
      <w:divBdr>
        <w:top w:val="none" w:sz="0" w:space="0" w:color="auto"/>
        <w:left w:val="none" w:sz="0" w:space="0" w:color="auto"/>
        <w:bottom w:val="none" w:sz="0" w:space="0" w:color="auto"/>
        <w:right w:val="none" w:sz="0" w:space="0" w:color="auto"/>
      </w:divBdr>
    </w:div>
    <w:div w:id="1870799060">
      <w:bodyDiv w:val="1"/>
      <w:marLeft w:val="0"/>
      <w:marRight w:val="0"/>
      <w:marTop w:val="0"/>
      <w:marBottom w:val="0"/>
      <w:divBdr>
        <w:top w:val="none" w:sz="0" w:space="0" w:color="auto"/>
        <w:left w:val="none" w:sz="0" w:space="0" w:color="auto"/>
        <w:bottom w:val="none" w:sz="0" w:space="0" w:color="auto"/>
        <w:right w:val="none" w:sz="0" w:space="0" w:color="auto"/>
      </w:divBdr>
    </w:div>
    <w:div w:id="1890457308">
      <w:bodyDiv w:val="1"/>
      <w:marLeft w:val="0"/>
      <w:marRight w:val="0"/>
      <w:marTop w:val="0"/>
      <w:marBottom w:val="0"/>
      <w:divBdr>
        <w:top w:val="none" w:sz="0" w:space="0" w:color="auto"/>
        <w:left w:val="none" w:sz="0" w:space="0" w:color="auto"/>
        <w:bottom w:val="none" w:sz="0" w:space="0" w:color="auto"/>
        <w:right w:val="none" w:sz="0" w:space="0" w:color="auto"/>
      </w:divBdr>
    </w:div>
    <w:div w:id="1930769406">
      <w:bodyDiv w:val="1"/>
      <w:marLeft w:val="0"/>
      <w:marRight w:val="0"/>
      <w:marTop w:val="0"/>
      <w:marBottom w:val="0"/>
      <w:divBdr>
        <w:top w:val="none" w:sz="0" w:space="0" w:color="auto"/>
        <w:left w:val="none" w:sz="0" w:space="0" w:color="auto"/>
        <w:bottom w:val="none" w:sz="0" w:space="0" w:color="auto"/>
        <w:right w:val="none" w:sz="0" w:space="0" w:color="auto"/>
      </w:divBdr>
    </w:div>
    <w:div w:id="2067215087">
      <w:bodyDiv w:val="1"/>
      <w:marLeft w:val="0"/>
      <w:marRight w:val="0"/>
      <w:marTop w:val="0"/>
      <w:marBottom w:val="0"/>
      <w:divBdr>
        <w:top w:val="none" w:sz="0" w:space="0" w:color="auto"/>
        <w:left w:val="none" w:sz="0" w:space="0" w:color="auto"/>
        <w:bottom w:val="none" w:sz="0" w:space="0" w:color="auto"/>
        <w:right w:val="none" w:sz="0" w:space="0" w:color="auto"/>
      </w:divBdr>
      <w:divsChild>
        <w:div w:id="1216357412">
          <w:marLeft w:val="0"/>
          <w:marRight w:val="0"/>
          <w:marTop w:val="0"/>
          <w:marBottom w:val="0"/>
          <w:divBdr>
            <w:top w:val="none" w:sz="0" w:space="0" w:color="auto"/>
            <w:left w:val="none" w:sz="0" w:space="0" w:color="auto"/>
            <w:bottom w:val="none" w:sz="0" w:space="0" w:color="auto"/>
            <w:right w:val="none" w:sz="0" w:space="0" w:color="auto"/>
          </w:divBdr>
        </w:div>
      </w:divsChild>
    </w:div>
    <w:div w:id="2082629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svg"/><Relationship Id="rId39" Type="http://schemas.microsoft.com/office/2020/10/relationships/intelligence" Target="intelligence2.xml"/><Relationship Id="rId21" Type="http://schemas.openxmlformats.org/officeDocument/2006/relationships/image" Target="media/image4.png"/><Relationship Id="rId34" Type="http://schemas.openxmlformats.org/officeDocument/2006/relationships/hyperlink" Target="https://www.riskscape.org.nz/"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hyperlink" Target="https://www.naturalhazardsportal.govt.nz/s/?gad_source=1&amp;gad_campaignid=21450577859&amp;gclid=EAIaIQobChMI4vb0qMPFjQMVbNIWBR144RRmEAAYASAAEgJHr_D_BwE&amp;gclsrc=aw.d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svg"/><Relationship Id="rId32" Type="http://schemas.openxmlformats.org/officeDocument/2006/relationships/image" Target="media/image15.sv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svg"/><Relationship Id="rId36"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svg"/><Relationship Id="rId27" Type="http://schemas.openxmlformats.org/officeDocument/2006/relationships/image" Target="media/image10.png"/><Relationship Id="rId30" Type="http://schemas.openxmlformats.org/officeDocument/2006/relationships/image" Target="media/image13.svg"/><Relationship Id="rId35" Type="http://schemas.openxmlformats.org/officeDocument/2006/relationships/footer" Target="footer4.xml"/><Relationship Id="rId8" Type="http://schemas.openxmlformats.org/officeDocument/2006/relationships/settings" Target="settings.xml"/><Relationship Id="rId3" Type="http://schemas.openxmlformats.org/officeDocument/2006/relationships/customXml" Target="../customXml/item3.xml"/></Relationships>
</file>

<file path=word/_rels/endnotes.xml.rels><?xml version="1.0" encoding="UTF-8" standalone="yes"?>
<Relationships xmlns="http://schemas.openxmlformats.org/package/2006/relationships"><Relationship Id="rId26" Type="http://schemas.openxmlformats.org/officeDocument/2006/relationships/hyperlink" Target="https://doi.org/10.1029/2022EF002853" TargetMode="External"/><Relationship Id="rId21" Type="http://schemas.openxmlformats.org/officeDocument/2006/relationships/hyperlink" Target="https://www.iag.co.nz/content/dam/corporate-iag/iag-nz/nz/en/documents/corporate/natural-hazards-public-spending-nz-final.pdf" TargetMode="External"/><Relationship Id="rId42" Type="http://schemas.openxmlformats.org/officeDocument/2006/relationships/hyperlink" Target="https://theconversation.com/nz-has-no-dedicated-database-to-track-losses-from-weather-disasters-without-it-were-planning-in-the-dark-251224?utm_source=clipboard&amp;utm_medium=bylinecopy_url_button" TargetMode="External"/><Relationship Id="rId47" Type="http://schemas.openxmlformats.org/officeDocument/2006/relationships/hyperlink" Target="https://www.rbnz.govt.nz/-/media/project/sites/rbnz/files/publications/analytical-notes/2022/an2022-07.pdf" TargetMode="External"/><Relationship Id="rId63" Type="http://schemas.openxmlformats.org/officeDocument/2006/relationships/hyperlink" Target="https://www.icnz.org.nz/industry/cost-of-natural-disasters/" TargetMode="External"/><Relationship Id="rId68" Type="http://schemas.openxmlformats.org/officeDocument/2006/relationships/hyperlink" Target="https://www.dpmc.govt.nz/sites/default/files/2024-10/Strengthening-disaster-resilience-and-emergency-management.pdf" TargetMode="External"/><Relationship Id="rId84" Type="http://schemas.openxmlformats.org/officeDocument/2006/relationships/hyperlink" Target="https://doi.org/10.3390/rs17040686" TargetMode="External"/><Relationship Id="rId89" Type="http://schemas.openxmlformats.org/officeDocument/2006/relationships/hyperlink" Target="https://resiliencechallenge.nz/wp-content/uploads/Policy-Brief_IBFW-FINAL.pdf" TargetMode="External"/><Relationship Id="rId16" Type="http://schemas.openxmlformats.org/officeDocument/2006/relationships/hyperlink" Target="https://www.ipcc.ch/report/ar6/syr/downloads/report/IPCC_AR6_SYR_LongerReport.pdf" TargetMode="External"/><Relationship Id="rId11" Type="http://schemas.openxmlformats.org/officeDocument/2006/relationships/hyperlink" Target="https://taranakiem.govt.nz/hazards/volcanic-activity" TargetMode="External"/><Relationship Id="rId32" Type="http://schemas.openxmlformats.org/officeDocument/2006/relationships/hyperlink" Target="https://retirement.govt.nz/policy-and-research/older-people" TargetMode="External"/><Relationship Id="rId37" Type="http://schemas.openxmlformats.org/officeDocument/2006/relationships/hyperlink" Target="https://doi.org/10.1016/j.ijdrr.2016.04.001" TargetMode="External"/><Relationship Id="rId53" Type="http://schemas.openxmlformats.org/officeDocument/2006/relationships/hyperlink" Target="https://merwprodblob.blob.core.windows.net/media/media/merw/merw_media/insights%20-%20content/minterellisonruddwatts-cover-to-cover-issue-29-secured.pdf?ext=.pdf" TargetMode="External"/><Relationship Id="rId58" Type="http://schemas.openxmlformats.org/officeDocument/2006/relationships/hyperlink" Target="https://ourauckland.aucklandcouncil.govt.nz/media/je3potln/auckland-flood-response-review_january-27-29-2023.pdf" TargetMode="External"/><Relationship Id="rId74" Type="http://schemas.openxmlformats.org/officeDocument/2006/relationships/hyperlink" Target="https://www.gns.cri.nz/news/iwi-partnership-protects-community-from-natural-hazards" TargetMode="External"/><Relationship Id="rId79" Type="http://schemas.openxmlformats.org/officeDocument/2006/relationships/hyperlink" Target="https://www.gns.cri.nz/research-projects/natural-hazards-and-resilience-platform/" TargetMode="External"/><Relationship Id="rId102" Type="http://schemas.openxmlformats.org/officeDocument/2006/relationships/hyperlink" Target="https://documents.worldbank.org/en/publication/documents-reports/documentdetail/993161515193991394" TargetMode="External"/><Relationship Id="rId5" Type="http://schemas.openxmlformats.org/officeDocument/2006/relationships/hyperlink" Target="https://www.covid19lessons.royalcommission.nz/reports-lessons-learned/main-report/part-three-moving-forward" TargetMode="External"/><Relationship Id="rId90" Type="http://schemas.openxmlformats.org/officeDocument/2006/relationships/hyperlink" Target="https://www.mdpi.com/2075-5309/14/10/3255" TargetMode="External"/><Relationship Id="rId95" Type="http://schemas.openxmlformats.org/officeDocument/2006/relationships/hyperlink" Target="https://www.digital.govt.nz/standards-and-guidance/technology-and-architecture/artificial-intelligence/public-service-artificial-intelligence-framework" TargetMode="External"/><Relationship Id="rId22" Type="http://schemas.openxmlformats.org/officeDocument/2006/relationships/hyperlink" Target="https://niwa.co.nz/hazards/marine-geological-hazards" TargetMode="External"/><Relationship Id="rId27" Type="http://schemas.openxmlformats.org/officeDocument/2006/relationships/hyperlink" Target="https://www.doc.govt.nz/globalassets/documents/conservation/biodiversity/anzbs-2020-biodiversity-report.pdf" TargetMode="External"/><Relationship Id="rId43" Type="http://schemas.openxmlformats.org/officeDocument/2006/relationships/hyperlink" Target="https://www.parliament.nz/resource/en-NZ/54SCFIN_ADV_f4a021af-6284-4959-1470-08dc7066ff1a_FIN879/eba89262969c6dbc0f5103a54834db5cf94dbdb5" TargetMode="External"/><Relationship Id="rId48" Type="http://schemas.openxmlformats.org/officeDocument/2006/relationships/hyperlink" Target="https://www.rnz.co.nz/news/in-depth/522988/treasury-data-shows-insurers-honing-in-on-flood-risk-properties" TargetMode="External"/><Relationship Id="rId64" Type="http://schemas.openxmlformats.org/officeDocument/2006/relationships/hyperlink" Target="https://doi.org/10.1016/j.scitotenv.2020.141642" TargetMode="External"/><Relationship Id="rId69" Type="http://schemas.openxmlformats.org/officeDocument/2006/relationships/hyperlink" Target="https://www.health.govt.nz/system/files/2024-07/interim_nz_pandemic_plan_v2.pdf" TargetMode="External"/><Relationship Id="rId80" Type="http://schemas.openxmlformats.org/officeDocument/2006/relationships/hyperlink" Target="https://www.gns.cri.nz/research-projects/natural-hazards-and-resilience-platform/" TargetMode="External"/><Relationship Id="rId85" Type="http://schemas.openxmlformats.org/officeDocument/2006/relationships/hyperlink" Target="https://doi.org/10.3390/buildings14103255" TargetMode="External"/><Relationship Id="rId12" Type="http://schemas.openxmlformats.org/officeDocument/2006/relationships/hyperlink" Target="https://doi.org/10.1016/j.jvolgeores.2017.02.023" TargetMode="External"/><Relationship Id="rId17" Type="http://schemas.openxmlformats.org/officeDocument/2006/relationships/hyperlink" Target="https://doi.org/10.59327/IPCC/AR6-9789291691647" TargetMode="External"/><Relationship Id="rId33" Type="http://schemas.openxmlformats.org/officeDocument/2006/relationships/hyperlink" Target="https://www.worldometers.info/world-population/new-zealand-population/" TargetMode="External"/><Relationship Id="rId38" Type="http://schemas.openxmlformats.org/officeDocument/2006/relationships/hyperlink" Target="https://www.climatecommission.govt.nz/assets/Monitoring-and-reporting/NAPPA-2024/3.a-EHINZ_Social-vulnerability-to-the-impacts-of-climate-related-hazards.pdf" TargetMode="External"/><Relationship Id="rId59" Type="http://schemas.openxmlformats.org/officeDocument/2006/relationships/hyperlink" Target="https://www.hbemergency.govt.nz/assets/Uploads/HBCDEM-Response-to-Cyclone-Gabrielle-Final-Report.pdf" TargetMode="External"/><Relationship Id="rId103" Type="http://schemas.openxmlformats.org/officeDocument/2006/relationships/hyperlink" Target="https://doi.org/10.1016/j.crm.2023.100518" TargetMode="External"/><Relationship Id="rId20" Type="http://schemas.openxmlformats.org/officeDocument/2006/relationships/hyperlink" Target="https://news.un.org/en/story/2025/05/1163716" TargetMode="External"/><Relationship Id="rId41" Type="http://schemas.openxmlformats.org/officeDocument/2006/relationships/hyperlink" Target="https://www.oecd.org/content/dam/oecd/en/topics/policy-sub-issues/chemical-accident-prevention-preparedness-and-response/impact-of-natural-hazards-on-hazardous-installations.pdf" TargetMode="External"/><Relationship Id="rId54" Type="http://schemas.openxmlformats.org/officeDocument/2006/relationships/hyperlink" Target="https://assets.publishing.service.gov.uk/media/5e67c54e86650c727b2f46d6/06022020_Government_as_Insurer_of_Last_Resort_report__Final_clean_.pdf" TargetMode="External"/><Relationship Id="rId62" Type="http://schemas.openxmlformats.org/officeDocument/2006/relationships/hyperlink" Target="https://www.civildefence.govt.nz/assets/Uploads/documents/publications/May-2024-NISWE-NEMA-Internal-Operational-Lessons-Report-FINAL.pdf" TargetMode="External"/><Relationship Id="rId70" Type="http://schemas.openxmlformats.org/officeDocument/2006/relationships/hyperlink" Target="https://www.naturalhazardsportal.govt.nz/s/" TargetMode="External"/><Relationship Id="rId75" Type="http://schemas.openxmlformats.org/officeDocument/2006/relationships/hyperlink" Target="https://www.knowledgeauckland.org.nz/publications/watercare-citizens-assembly-what-should-be-the-next-source-or-sources-of-water-for-auckland/" TargetMode="External"/><Relationship Id="rId83" Type="http://schemas.openxmlformats.org/officeDocument/2006/relationships/hyperlink" Target="https://www.innovations-report.com/science-tech/information-technology/creating-a-tsunami-early-warning-system/" TargetMode="External"/><Relationship Id="rId88" Type="http://schemas.openxmlformats.org/officeDocument/2006/relationships/hyperlink" Target="https://niwa.co.nz/climate-and-weather/high-resolution-climate-projections-using-physics-and-ai" TargetMode="External"/><Relationship Id="rId91" Type="http://schemas.openxmlformats.org/officeDocument/2006/relationships/hyperlink" Target="http://dx.doi.org/10.1109/TSC.2023.3338488" TargetMode="External"/><Relationship Id="rId96" Type="http://schemas.openxmlformats.org/officeDocument/2006/relationships/hyperlink" Target="https://www.beehive.govt.nz/speech/speech-nz-infrastructure-investment-summit" TargetMode="External"/><Relationship Id="rId1" Type="http://schemas.openxmlformats.org/officeDocument/2006/relationships/hyperlink" Target="https://worldpopulationreview.com/country-rankings/natural-disaster-risk-by-country" TargetMode="External"/><Relationship Id="rId6" Type="http://schemas.openxmlformats.org/officeDocument/2006/relationships/hyperlink" Target="https://www.covid19lessons.royalcommission.nz/reports-lessons-learned/main-report/part-three-moving-forward" TargetMode="External"/><Relationship Id="rId15" Type="http://schemas.openxmlformats.org/officeDocument/2006/relationships/hyperlink" Target="https://pubs.geoscienceworld.org/gsa/geosphere/article/14/2/572/529016/Anticipating-future-Volcanic-Explosivity-Index-VEI" TargetMode="External"/><Relationship Id="rId23" Type="http://schemas.openxmlformats.org/officeDocument/2006/relationships/hyperlink" Target="https://oec.world/en/profile/country/nzl?eciRankingsMethodology=eciTrade" TargetMode="External"/><Relationship Id="rId28" Type="http://schemas.openxmlformats.org/officeDocument/2006/relationships/hyperlink" Target="https://www.rbnz.govt.nz/-/media/project/sites/rbnz/files/financial-stability/climate-change/climate-change-report-2021.pdf" TargetMode="External"/><Relationship Id="rId36" Type="http://schemas.openxmlformats.org/officeDocument/2006/relationships/hyperlink" Target="https://doi.org/10.1016/S0143-6228(97)00041-6" TargetMode="External"/><Relationship Id="rId49" Type="http://schemas.openxmlformats.org/officeDocument/2006/relationships/hyperlink" Target="https://www.icnz.org.nz/wp-content/uploads/2025/05/ICNZ-Annual-Report-Layout-2024-5.pdf" TargetMode="External"/><Relationship Id="rId57" Type="http://schemas.openxmlformats.org/officeDocument/2006/relationships/hyperlink" Target="https://environment.govt.nz/assets/Outrage-to-Optimism-CORRECTED-17.05.pdf" TargetMode="External"/><Relationship Id="rId106" Type="http://schemas.openxmlformats.org/officeDocument/2006/relationships/hyperlink" Target="https://www.qra.qld.gov.au/sites/default/files/2021-05/economic_assessment_framework_of_flood_management_projects_2021_0.pdf" TargetMode="External"/><Relationship Id="rId10" Type="http://schemas.openxmlformats.org/officeDocument/2006/relationships/hyperlink" Target="https://www.gns.cri.nz/our-science/natural-hazards-and-risks/tsunami/tsunami-in-new-zealand/" TargetMode="External"/><Relationship Id="rId31" Type="http://schemas.openxmlformats.org/officeDocument/2006/relationships/hyperlink" Target="https://www.prb.org/international/indicator/population-2035/table" TargetMode="External"/><Relationship Id="rId44" Type="http://schemas.openxmlformats.org/officeDocument/2006/relationships/hyperlink" Target="https://www.dpmc.govt.nz/sites/default/files/2021-10/pmcsa-Risk-Series-Paper-1_final_2.pdf" TargetMode="External"/><Relationship Id="rId52" Type="http://schemas.openxmlformats.org/officeDocument/2006/relationships/hyperlink" Target="https://doi.org/10.1007/s10584-024-03699-1" TargetMode="External"/><Relationship Id="rId60" Type="http://schemas.openxmlformats.org/officeDocument/2006/relationships/hyperlink" Target="https://www.covid19lessons.royalcommission.nz/reports-lessons-learned/main-report/part-three-moving-forward" TargetMode="External"/><Relationship Id="rId65" Type="http://schemas.openxmlformats.org/officeDocument/2006/relationships/hyperlink" Target="https://www.dpmc.govt.nz/our-programmes/risk-and-resilience/national-risk-and-resilience-framework" TargetMode="External"/><Relationship Id="rId73" Type="http://schemas.openxmlformats.org/officeDocument/2006/relationships/hyperlink" Target="https://www.ngatirarua.iwi.nz/content/files/2025/01/Nga-ti-Ra-rua-Climate-Strategy.pdf" TargetMode="External"/><Relationship Id="rId78" Type="http://schemas.openxmlformats.org/officeDocument/2006/relationships/hyperlink" Target="https://www.riskscape.org.nz/" TargetMode="External"/><Relationship Id="rId81" Type="http://schemas.openxmlformats.org/officeDocument/2006/relationships/hyperlink" Target="https://www.deccanherald.com/world/ai-is-shaking-up-the-hidden-world-of-earthquake-forecasting-3470801" TargetMode="External"/><Relationship Id="rId86" Type="http://schemas.openxmlformats.org/officeDocument/2006/relationships/hyperlink" Target="https://doi.org/10.1016/j.xcrm.2022.100867" TargetMode="External"/><Relationship Id="rId94" Type="http://schemas.openxmlformats.org/officeDocument/2006/relationships/hyperlink" Target="https://doi.org/10.1007/978-981-97-8483-7_5" TargetMode="External"/><Relationship Id="rId99" Type="http://schemas.openxmlformats.org/officeDocument/2006/relationships/hyperlink" Target="https://www.aurecongroup.com/projects/energy/hornsdale-power-reserve" TargetMode="External"/><Relationship Id="rId101" Type="http://schemas.openxmlformats.org/officeDocument/2006/relationships/hyperlink" Target="https://doi.org/10.1038/s41558-022-01468-5" TargetMode="External"/><Relationship Id="rId4" Type="http://schemas.openxmlformats.org/officeDocument/2006/relationships/hyperlink" Target="https://www.dpmc.govt.nz/our-programmes/risk-and-resilience/national-risk-and-resilience-framework/new-zealands-national-risks" TargetMode="External"/><Relationship Id="rId9" Type="http://schemas.openxmlformats.org/officeDocument/2006/relationships/hyperlink" Target="https://doi.org/10.5459/bnzsee.44.2.77-86" TargetMode="External"/><Relationship Id="rId13" Type="http://schemas.openxmlformats.org/officeDocument/2006/relationships/hyperlink" Target="https://doi.org/10.1016/j.jvolgeores.2017.02.023" TargetMode="External"/><Relationship Id="rId18" Type="http://schemas.openxmlformats.org/officeDocument/2006/relationships/hyperlink" Target="https://www.wgtn.ac.nz/cedcc/research/whakahura" TargetMode="External"/><Relationship Id="rId39" Type="http://schemas.openxmlformats.org/officeDocument/2006/relationships/hyperlink" Target="https://civil-protection-humanitarian-aid.ec.europa.eu/resources-campaigns/information-manipulation-and-misinformation_en" TargetMode="External"/><Relationship Id="rId34" Type="http://schemas.openxmlformats.org/officeDocument/2006/relationships/hyperlink" Target="https://www.naturalhazards.govt.nz/assets/Publications-Resources/1793-disaster-preparedness-older-adults.pdf" TargetMode="External"/><Relationship Id="rId50" Type="http://schemas.openxmlformats.org/officeDocument/2006/relationships/hyperlink" Target="https://environment.govt.nz/publications/adaptation-framework-a-proposed-approach-for-new-zealand/" TargetMode="External"/><Relationship Id="rId55" Type="http://schemas.openxmlformats.org/officeDocument/2006/relationships/hyperlink" Target="https://www.dia.govt.nz/diawebsite.nsf/Files/Government-Inquiry-into-Severe-Weather-Events/$file/Report-of-the-Government-Inquiry-into-the-Response-to-the-North-Island-Severe-Weather-Events.pdf" TargetMode="External"/><Relationship Id="rId76" Type="http://schemas.openxmlformats.org/officeDocument/2006/relationships/hyperlink" Target="https://rib.msb.se/filer/pdf/30874.pdf" TargetMode="External"/><Relationship Id="rId97" Type="http://schemas.openxmlformats.org/officeDocument/2006/relationships/hyperlink" Target="https://www.envirolink.govt.nz/assets/Envirolink/2419-TSDC191-Nature-based-solutions-for-flood-management.pdf" TargetMode="External"/><Relationship Id="rId104" Type="http://schemas.openxmlformats.org/officeDocument/2006/relationships/hyperlink" Target="https://doi.org/10.5459/bnzsee.53.4.203-214" TargetMode="External"/><Relationship Id="rId7" Type="http://schemas.openxmlformats.org/officeDocument/2006/relationships/hyperlink" Target="https://af8.org.nz/what-is-af8" TargetMode="External"/><Relationship Id="rId71" Type="http://schemas.openxmlformats.org/officeDocument/2006/relationships/hyperlink" Target="https://waikatotainui.com/wp-content/uploads/2020/11/FY21-Amohia-Ake-WT-Iwi-Resilience-Plan-Final-ext.pdf" TargetMode="External"/><Relationship Id="rId92" Type="http://schemas.openxmlformats.org/officeDocument/2006/relationships/hyperlink" Target="https://www.mbie.govt.nz/business-and-employment/economic-growth/digital-policy/new-zealands-ai-strategy-investing-with-confidence" TargetMode="External"/><Relationship Id="rId2" Type="http://schemas.openxmlformats.org/officeDocument/2006/relationships/hyperlink" Target="https://www.iag.co.nz/content/dam/global/shared/en/documents/nz-wild-weather-tracker-issue-7-may-2025.pdf" TargetMode="External"/><Relationship Id="rId29" Type="http://schemas.openxmlformats.org/officeDocument/2006/relationships/hyperlink" Target="https://www.treasury.govt.nz/sites/default/files/2023-04/cefa23.pdf" TargetMode="External"/><Relationship Id="rId24" Type="http://schemas.openxmlformats.org/officeDocument/2006/relationships/hyperlink" Target="https://atlas.hks.harvard.edu/rankings" TargetMode="External"/><Relationship Id="rId40" Type="http://schemas.openxmlformats.org/officeDocument/2006/relationships/hyperlink" Target="https://www.unisdr.org/files/52828_nationaldisasterriskassessmentwiagu.pdf" TargetMode="External"/><Relationship Id="rId45" Type="http://schemas.openxmlformats.org/officeDocument/2006/relationships/hyperlink" Target="https://www.naturalhazardsportal.govt.nz/s/natural-hazard-risk/natural-hazards-in-your-area" TargetMode="External"/><Relationship Id="rId66" Type="http://schemas.openxmlformats.org/officeDocument/2006/relationships/hyperlink" Target="https://environment.govt.nz/assets/publications/climate-change/MFE-AoG-20664-GF-National-Adaptation-Plan-2022-WEB.pdf" TargetMode="External"/><Relationship Id="rId87" Type="http://schemas.openxmlformats.org/officeDocument/2006/relationships/hyperlink" Target="https://www.researchgate.net/profile/Emma-Oye/publication/390314460_AI_in_Risk_Assessment_and_Disaster_Preparedness_for_Building_Structures/links/67e977c549e91c0feac8afe6/AI-in-Risk-Assessment-and-Disaster-Preparedness-for-Building-Structures.pdf" TargetMode="External"/><Relationship Id="rId61" Type="http://schemas.openxmlformats.org/officeDocument/2006/relationships/hyperlink" Target="https://www.dia.govt.nz/diawebsite.nsf/Files/Future-for-Local-Government/$file/Te-Arotake_Final-report.pdf" TargetMode="External"/><Relationship Id="rId82" Type="http://schemas.openxmlformats.org/officeDocument/2006/relationships/hyperlink" Target="https://crisisresponse.google/android-alerts/" TargetMode="External"/><Relationship Id="rId19" Type="http://schemas.openxmlformats.org/officeDocument/2006/relationships/hyperlink" Target="https://www.dpmc.govt.nz/sites/default/files/2024-02/bim-2023-nema.pdf" TargetMode="External"/><Relationship Id="rId14" Type="http://schemas.openxmlformats.org/officeDocument/2006/relationships/hyperlink" Target="https://doi.org/10.1016/j.jvolgeores.2017.04.010" TargetMode="External"/><Relationship Id="rId30" Type="http://schemas.openxmlformats.org/officeDocument/2006/relationships/hyperlink" Target="https://niwa.co.nz/climate-change-information-climate-solvers/climate-change-and-possible-impacts-new-zealand" TargetMode="External"/><Relationship Id="rId35" Type="http://schemas.openxmlformats.org/officeDocument/2006/relationships/hyperlink" Target="https://www.msd.govt.nz/documents/about-msd-and-our-work/publications-resources/research/older-people-experiencing-vulnerability-and-multiple-disadvantage-in-new-zealand/older-people-vulnerability-and-multiple-disadvantage-june.pdf" TargetMode="External"/><Relationship Id="rId56" Type="http://schemas.openxmlformats.org/officeDocument/2006/relationships/hyperlink" Target="https://www.dpmc.govt.nz/sites/default/files/2018-01/ministerial-review-better-responses-natural-disaster-other-emergencies.pdf" TargetMode="External"/><Relationship Id="rId77" Type="http://schemas.openxmlformats.org/officeDocument/2006/relationships/hyperlink" Target="https://assets.publishing.service.gov.uk/media/683d89f181deb72cce2680a5/The_Strategic_Defence_Review_2025_-_Making_Britain_Safer_-_secure_at_home__strong_abroad.pdf" TargetMode="External"/><Relationship Id="rId100" Type="http://schemas.openxmlformats.org/officeDocument/2006/relationships/hyperlink" Target="https://www.meridianenergy.co.nz/news-and-events/completion-of-ruakaka-battery-energy-storage-system" TargetMode="External"/><Relationship Id="rId105" Type="http://schemas.openxmlformats.org/officeDocument/2006/relationships/hyperlink" Target="https://doi.org/10.25919/vkh4-mh60" TargetMode="External"/><Relationship Id="rId8" Type="http://schemas.openxmlformats.org/officeDocument/2006/relationships/hyperlink" Target="https://doi.org/10.1785/0320210012" TargetMode="External"/><Relationship Id="rId51" Type="http://schemas.openxmlformats.org/officeDocument/2006/relationships/hyperlink" Target="https://deepsouthchallenge.co.nz/wp-content/uploads/2021/01/Insurance-Retreat-December-2020-Final-Report.pdf" TargetMode="External"/><Relationship Id="rId72" Type="http://schemas.openxmlformats.org/officeDocument/2006/relationships/hyperlink" Target="https://maketuclimateplan.iwi.nz/wp-content/uploads/2023/11/Maketu-Climate-Change-Adaptation-Plan-He-Toka-Tu-Moana-Mo-Maketu.pdf" TargetMode="External"/><Relationship Id="rId93" Type="http://schemas.openxmlformats.org/officeDocument/2006/relationships/hyperlink" Target="https://doi.org/10.3390/ijgi13120430" TargetMode="External"/><Relationship Id="rId98" Type="http://schemas.openxmlformats.org/officeDocument/2006/relationships/hyperlink" Target="https://www.boffamiskell.co.nz/storage/uploads/e68f25b2-99a2-4485-825a-c64d7d32361b/Nature-based-Solutions-Roadmap-for-Climate-Adaptation_compresses.pdf" TargetMode="External"/><Relationship Id="rId3" Type="http://schemas.openxmlformats.org/officeDocument/2006/relationships/hyperlink" Target="https://www.dpmc.govt.nz/sites/default/files/2024-09/2024-%09National-Risks-Public-Survey-Significant-Hazards-Key-Findings-Summary.pdf" TargetMode="External"/><Relationship Id="rId25" Type="http://schemas.openxmlformats.org/officeDocument/2006/relationships/hyperlink" Target="https://www.rbnz.govt.nz/hub/publications/financial-stability-report/2023/nov-2023/fsr-nov-23-special-topic-3" TargetMode="External"/><Relationship Id="rId46" Type="http://schemas.openxmlformats.org/officeDocument/2006/relationships/hyperlink" Target="https://www.rbnz.govt.nz/-/media/project/sites/rbnz/files/publications/bulletins/2025/general-insurance-industry-stress-test-results-bulletin.pdf" TargetMode="External"/><Relationship Id="rId67" Type="http://schemas.openxmlformats.org/officeDocument/2006/relationships/hyperlink" Target="https://environment.govt.nz/what-government-is-doing/areas-of-work/climate-change/adapting-to-climate-change/adaptation-framewor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dpmc.govt.nz/our-programmes/risk-and-%09resilience/national-risk-and-resilience-framewor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lshK\OneDrive%20-%20ministryforenvironment\Desktop\Quick%20access%20files\Templates%20renames\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6" ma:contentTypeDescription="Create a new document." ma:contentTypeScope="" ma:versionID="7a0168cdcd1b095e3b127ad5e9f4c8a5">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1b6beacb487e4eea2e0565a85d9c240e"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58a6f171-52cb-4404-b47d-af1c8daf8fd1" xsi:nil="true"/>
    <_dlc_DocId xmlns="58a6f171-52cb-4404-b47d-af1c8daf8fd1">ECM-1122293896-127751</_dlc_DocId>
    <_dlc_DocIdUrl xmlns="58a6f171-52cb-4404-b47d-af1c8daf8fd1">
      <Url>https://ministryforenvironment.sharepoint.com/sites/ECM-ER-Comms/_layouts/15/DocIdRedir.aspx?ID=ECM-1122293896-127751</Url>
      <Description>ECM-1122293896-127751</Description>
    </_dlc_DocIdUrl>
    <lcf76f155ced4ddcb4097134ff3c332f xmlns="4a94300e-a927-4b92-9d3a-682523035cb6">
      <Terms xmlns="http://schemas.microsoft.com/office/infopath/2007/PartnerControls"/>
    </lcf76f155ced4ddcb4097134ff3c332f>
    <Legacy_x0020_DocID xmlns="4a94300e-a927-4b92-9d3a-682523035cb6" xsi:nil="true"/>
    <Year xmlns="4a94300e-a927-4b92-9d3a-682523035cb6"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DD6C79-61A2-49C7-B055-59113EEEFE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2B115B-853B-470C-AB61-91D99DFCC3BA}">
  <ds:schemaRefs>
    <ds:schemaRef ds:uri="http://schemas.microsoft.com/sharepoint/events"/>
  </ds:schemaRefs>
</ds:datastoreItem>
</file>

<file path=customXml/itemProps3.xml><?xml version="1.0" encoding="utf-8"?>
<ds:datastoreItem xmlns:ds="http://schemas.openxmlformats.org/officeDocument/2006/customXml" ds:itemID="{B91CAAC5-D4CD-4EF1-A77E-6420A961533E}">
  <ds:schemaRefs>
    <ds:schemaRef ds:uri="http://schemas.microsoft.com/sharepoint/v3/contenttype/forms"/>
  </ds:schemaRefs>
</ds:datastoreItem>
</file>

<file path=customXml/itemProps4.xml><?xml version="1.0" encoding="utf-8"?>
<ds:datastoreItem xmlns:ds="http://schemas.openxmlformats.org/officeDocument/2006/customXml" ds:itemID="{08A8FABC-98DC-4425-8FE9-82540A063E88}">
  <ds:schemaRefs>
    <ds:schemaRef ds:uri="http://schemas.microsoft.com/office/2006/metadata/properties"/>
    <ds:schemaRef ds:uri="http://schemas.microsoft.com/office/infopath/2007/PartnerControls"/>
    <ds:schemaRef ds:uri="http://schemas.microsoft.com/sharepoint/v3"/>
    <ds:schemaRef ds:uri="58a6f171-52cb-4404-b47d-af1c8daf8fd1"/>
    <ds:schemaRef ds:uri="4a94300e-a927-4b92-9d3a-682523035cb6"/>
    <ds:schemaRef ds:uri="http://schemas.microsoft.com/sharepoint/v4"/>
  </ds:schemaRefs>
</ds:datastoreItem>
</file>

<file path=customXml/itemProps5.xml><?xml version="1.0" encoding="utf-8"?>
<ds:datastoreItem xmlns:ds="http://schemas.openxmlformats.org/officeDocument/2006/customXml" ds:itemID="{05D9E37F-D9DA-4569-83C7-721228634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Template>
  <TotalTime>21</TotalTime>
  <Pages>35</Pages>
  <Words>10782</Words>
  <Characters>63940</Characters>
  <Application>Microsoft Office Word</Application>
  <DocSecurity>0</DocSecurity>
  <Lines>1162</Lines>
  <Paragraphs>391</Paragraphs>
  <ScaleCrop>false</ScaleCrop>
  <HeadingPairs>
    <vt:vector size="2" baseType="variant">
      <vt:variant>
        <vt:lpstr>Title</vt:lpstr>
      </vt:variant>
      <vt:variant>
        <vt:i4>1</vt:i4>
      </vt:variant>
    </vt:vector>
  </HeadingPairs>
  <TitlesOfParts>
    <vt:vector size="1" baseType="lpstr">
      <vt:lpstr/>
    </vt:vector>
  </TitlesOfParts>
  <Company>Central Agencies Shared Services</Company>
  <LinksUpToDate>false</LinksUpToDate>
  <CharactersWithSpaces>74331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Ranger [DPMC]</dc:creator>
  <cp:keywords/>
  <dc:description/>
  <cp:lastModifiedBy>Linda Stirling</cp:lastModifiedBy>
  <cp:revision>8</cp:revision>
  <cp:lastPrinted>2025-11-18T20:30:00Z</cp:lastPrinted>
  <dcterms:created xsi:type="dcterms:W3CDTF">2025-11-16T20:08:00Z</dcterms:created>
  <dcterms:modified xsi:type="dcterms:W3CDTF">2025-11-18T20:46:00Z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2025-07-02T00:22:22Z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2b9c50d3-6d91-4597-89b2-6e854f6e22df</vt:lpwstr>
  </property>
  <property fmtid="{D5CDD505-2E9C-101B-9397-08002B2CF9AE}" pid="8" name="MSIP_Label_52dda6cc-d61d-4fd2-bf18-9b3017d931cc_ContentBits">
    <vt:lpwstr>0</vt:lpwstr>
  </property>
  <property fmtid="{D5CDD505-2E9C-101B-9397-08002B2CF9AE}" pid="9" name="MSIP_Label_52dda6cc-d61d-4fd2-bf18-9b3017d931cc_Tag">
    <vt:lpwstr>10, 0, 1, 1</vt:lpwstr>
  </property>
  <property fmtid="{D5CDD505-2E9C-101B-9397-08002B2CF9AE}" pid="10" name="ContentTypeId">
    <vt:lpwstr>0x010100EA5FB0BEBF7DE54D9F252D8A06C053F7</vt:lpwstr>
  </property>
  <property fmtid="{D5CDD505-2E9C-101B-9397-08002B2CF9AE}" pid="11" name="Document Status">
    <vt:lpwstr>2;#Working|d06a98b1-1a97-4ea9-8f1a-99c9398f1724</vt:lpwstr>
  </property>
  <property fmtid="{D5CDD505-2E9C-101B-9397-08002B2CF9AE}" pid="12" name="Information Type">
    <vt:lpwstr/>
  </property>
  <property fmtid="{D5CDD505-2E9C-101B-9397-08002B2CF9AE}" pid="13" name="Region">
    <vt:lpwstr/>
  </property>
  <property fmtid="{D5CDD505-2E9C-101B-9397-08002B2CF9AE}" pid="14" name="MediaServiceImageTags">
    <vt:lpwstr/>
  </property>
  <property fmtid="{D5CDD505-2E9C-101B-9397-08002B2CF9AE}" pid="15" name="Information_x0020_Type">
    <vt:lpwstr/>
  </property>
  <property fmtid="{D5CDD505-2E9C-101B-9397-08002B2CF9AE}" pid="16" name="FY">
    <vt:lpwstr/>
  </property>
  <property fmtid="{D5CDD505-2E9C-101B-9397-08002B2CF9AE}" pid="17" name="Document_x0020_Status">
    <vt:lpwstr>2;#Working|d06a98b1-1a97-4ea9-8f1a-99c9398f1724</vt:lpwstr>
  </property>
  <property fmtid="{D5CDD505-2E9C-101B-9397-08002B2CF9AE}" pid="18" name="Portfolio">
    <vt:lpwstr/>
  </property>
  <property fmtid="{D5CDD505-2E9C-101B-9397-08002B2CF9AE}" pid="19" name="iManageFooter">
    <vt:lpwstr/>
  </property>
  <property fmtid="{D5CDD505-2E9C-101B-9397-08002B2CF9AE}" pid="20" name="CASS.imProfileDatabase">
    <vt:lpwstr>0</vt:lpwstr>
  </property>
  <property fmtid="{D5CDD505-2E9C-101B-9397-08002B2CF9AE}" pid="21" name="CASS.imProfileDocNum">
    <vt:r8>0</vt:r8>
  </property>
  <property fmtid="{D5CDD505-2E9C-101B-9397-08002B2CF9AE}" pid="22" name="CASS.imProfileVersion">
    <vt:i4>0</vt:i4>
  </property>
  <property fmtid="{D5CDD505-2E9C-101B-9397-08002B2CF9AE}" pid="23" name="CASS.imProfileDescription">
    <vt:lpwstr>0</vt:lpwstr>
  </property>
  <property fmtid="{D5CDD505-2E9C-101B-9397-08002B2CF9AE}" pid="24" name="CASS.imProfileAuthor">
    <vt:lpwstr/>
  </property>
  <property fmtid="{D5CDD505-2E9C-101B-9397-08002B2CF9AE}" pid="25" name="CASS.imProfileAuthorDescription">
    <vt:lpwstr/>
  </property>
  <property fmtid="{D5CDD505-2E9C-101B-9397-08002B2CF9AE}" pid="26" name="CASS.imProfileCustom3">
    <vt:lpwstr/>
  </property>
  <property fmtid="{D5CDD505-2E9C-101B-9397-08002B2CF9AE}" pid="27" name="CASS.imProfileCustom6">
    <vt:lpwstr/>
  </property>
  <property fmtid="{D5CDD505-2E9C-101B-9397-08002B2CF9AE}" pid="28" name="docLang">
    <vt:lpwstr>en</vt:lpwstr>
  </property>
  <property fmtid="{D5CDD505-2E9C-101B-9397-08002B2CF9AE}" pid="29" name="_dlc_DocIdItemGuid">
    <vt:lpwstr>1aa9292c-002e-42d0-b387-e641b2a96174</vt:lpwstr>
  </property>
</Properties>
</file>