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C0235" w14:textId="2E76CFEE" w:rsidR="0080531E" w:rsidRPr="006B77BB" w:rsidRDefault="000F3497" w:rsidP="0003640E">
      <w:pPr>
        <w:pStyle w:val="BodyText"/>
      </w:pPr>
      <w:r>
        <w:rPr>
          <w:noProof/>
        </w:rPr>
        <w:drawing>
          <wp:anchor distT="0" distB="0" distL="114300" distR="114300" simplePos="0" relativeHeight="251658240" behindDoc="0" locked="0" layoutInCell="1" allowOverlap="1" wp14:anchorId="1F139702" wp14:editId="3956A529">
            <wp:simplePos x="0" y="0"/>
            <wp:positionH relativeFrom="column">
              <wp:posOffset>-1073208</wp:posOffset>
            </wp:positionH>
            <wp:positionV relativeFrom="paragraph">
              <wp:posOffset>-3600450</wp:posOffset>
            </wp:positionV>
            <wp:extent cx="7546516" cy="10674927"/>
            <wp:effectExtent l="0" t="0" r="0" b="0"/>
            <wp:wrapNone/>
            <wp:docPr id="1" name="Picture 1" descr="A green field with trees and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een field with trees and a building&#10;&#10;Description automatically generated with medium confidence"/>
                    <pic:cNvPicPr/>
                  </pic:nvPicPr>
                  <pic:blipFill>
                    <a:blip r:embed="rId12"/>
                    <a:stretch>
                      <a:fillRect/>
                    </a:stretch>
                  </pic:blipFill>
                  <pic:spPr>
                    <a:xfrm>
                      <a:off x="0" y="0"/>
                      <a:ext cx="7551300" cy="10681694"/>
                    </a:xfrm>
                    <a:prstGeom prst="rect">
                      <a:avLst/>
                    </a:prstGeom>
                  </pic:spPr>
                </pic:pic>
              </a:graphicData>
            </a:graphic>
            <wp14:sizeRelH relativeFrom="page">
              <wp14:pctWidth>0</wp14:pctWidth>
            </wp14:sizeRelH>
            <wp14:sizeRelV relativeFrom="page">
              <wp14:pctHeight>0</wp14:pctHeight>
            </wp14:sizeRelV>
          </wp:anchor>
        </w:drawing>
      </w:r>
    </w:p>
    <w:p w14:paraId="56DD9BDF" w14:textId="77777777" w:rsidR="0003640E" w:rsidRPr="006B77BB" w:rsidRDefault="0003640E" w:rsidP="0003640E">
      <w:pPr>
        <w:pStyle w:val="BodyText"/>
      </w:pPr>
    </w:p>
    <w:p w14:paraId="0EB19427" w14:textId="77777777" w:rsidR="0003640E" w:rsidRPr="006B77BB" w:rsidRDefault="0003640E" w:rsidP="0080531E">
      <w:pPr>
        <w:jc w:val="left"/>
        <w:rPr>
          <w:color w:val="FF0000"/>
        </w:rPr>
        <w:sectPr w:rsidR="0003640E" w:rsidRPr="006B77BB" w:rsidSect="00B86F2A">
          <w:headerReference w:type="default" r:id="rId13"/>
          <w:footerReference w:type="default" r:id="rId14"/>
          <w:pgSz w:w="11907" w:h="16840" w:code="9"/>
          <w:pgMar w:top="5670" w:right="1701" w:bottom="1701" w:left="1701" w:header="567" w:footer="1134" w:gutter="0"/>
          <w:cols w:space="720"/>
        </w:sectPr>
      </w:pPr>
    </w:p>
    <w:p w14:paraId="4D8D6359" w14:textId="77777777" w:rsidR="00452EC4" w:rsidRPr="006B77BB" w:rsidRDefault="00452EC4" w:rsidP="00775F57">
      <w:pPr>
        <w:pStyle w:val="Imprint"/>
        <w:spacing w:before="0" w:after="0"/>
        <w:rPr>
          <w:b/>
        </w:rPr>
      </w:pPr>
      <w:r w:rsidRPr="006B77BB">
        <w:rPr>
          <w:b/>
        </w:rPr>
        <w:lastRenderedPageBreak/>
        <w:t>Disclaimer</w:t>
      </w:r>
    </w:p>
    <w:p w14:paraId="466FA79B" w14:textId="77777777" w:rsidR="00AC4FD2" w:rsidRDefault="00AC4FD2" w:rsidP="00AC4FD2">
      <w:pPr>
        <w:pStyle w:val="Imprint"/>
      </w:pPr>
      <w:r>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447DB58F" w14:textId="77777777" w:rsidR="00AC4FD2" w:rsidRDefault="00AC4FD2" w:rsidP="00AC4FD2">
      <w:pPr>
        <w:pStyle w:val="Bullet"/>
      </w:pPr>
      <w:r>
        <w:t xml:space="preserve">the information does not alter the laws of New Zealand, other official guidelines, or requirements </w:t>
      </w:r>
    </w:p>
    <w:p w14:paraId="25AAF708" w14:textId="77777777" w:rsidR="00AC4FD2" w:rsidRDefault="00AC4FD2" w:rsidP="00AC4FD2">
      <w:pPr>
        <w:pStyle w:val="Bullet"/>
      </w:pPr>
      <w:r>
        <w:t xml:space="preserve">it does not constitute legal advice, and users should take specific advice from qualified professionals before taking any action based on information in this publication </w:t>
      </w:r>
    </w:p>
    <w:p w14:paraId="2AD3BDB5" w14:textId="77777777" w:rsidR="00AC4FD2" w:rsidRDefault="00AC4FD2" w:rsidP="00AC4FD2">
      <w:pPr>
        <w:pStyle w:val="Bullet"/>
      </w:pPr>
      <w:r>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w:t>
      </w:r>
      <w:proofErr w:type="gramStart"/>
      <w:r>
        <w:t>publication</w:t>
      </w:r>
      <w:proofErr w:type="gramEnd"/>
      <w:r>
        <w:t xml:space="preserve"> </w:t>
      </w:r>
    </w:p>
    <w:p w14:paraId="18218D64" w14:textId="77777777" w:rsidR="00AC4FD2" w:rsidRPr="006B77BB" w:rsidRDefault="00AC4FD2" w:rsidP="00AC4FD2">
      <w:pPr>
        <w:pStyle w:val="Bullet"/>
      </w:pPr>
      <w:r>
        <w:t>all references to websites, organisations or people not within the Ministry are for convenience only and should not be taken as endorsement of those websites or information contained in those websites nor of organisations or people referred to.</w:t>
      </w:r>
    </w:p>
    <w:p w14:paraId="7CD85F28" w14:textId="77777777" w:rsidR="00AC4FD2" w:rsidRPr="006B77BB" w:rsidRDefault="00AC4FD2" w:rsidP="00AC4FD2">
      <w:pPr>
        <w:pStyle w:val="Imprint"/>
      </w:pPr>
      <w:r w:rsidRPr="006B77BB">
        <w:t xml:space="preserve">This document may be cited as: Ministry for the Environment. </w:t>
      </w:r>
      <w:r>
        <w:t>2023</w:t>
      </w:r>
      <w:r w:rsidRPr="006B77BB">
        <w:t xml:space="preserve">. </w:t>
      </w:r>
      <w:r>
        <w:rPr>
          <w:i/>
        </w:rPr>
        <w:t>Managing the use and development of highly productive land: Potential amendments to the NPS-HPL – Discussion document</w:t>
      </w:r>
      <w:r w:rsidRPr="006B77BB">
        <w:t>. Wellington: Ministry for the Environment.</w:t>
      </w:r>
    </w:p>
    <w:p w14:paraId="2E403CA4" w14:textId="77777777" w:rsidR="00760C00" w:rsidRDefault="00760C00" w:rsidP="0080531E">
      <w:pPr>
        <w:pStyle w:val="Imprint"/>
      </w:pPr>
    </w:p>
    <w:p w14:paraId="6699800C" w14:textId="77777777" w:rsidR="00AC4FD2" w:rsidRDefault="00AC4FD2" w:rsidP="0080531E">
      <w:pPr>
        <w:pStyle w:val="Imprint"/>
      </w:pPr>
    </w:p>
    <w:p w14:paraId="0151DEB3" w14:textId="77777777" w:rsidR="00AC4FD2" w:rsidRDefault="00AC4FD2" w:rsidP="0080531E">
      <w:pPr>
        <w:pStyle w:val="Imprint"/>
      </w:pPr>
    </w:p>
    <w:p w14:paraId="71631F1D" w14:textId="77777777" w:rsidR="00457135" w:rsidRDefault="00457135" w:rsidP="0080531E">
      <w:pPr>
        <w:pStyle w:val="Imprint"/>
      </w:pPr>
    </w:p>
    <w:p w14:paraId="02AD9CF1" w14:textId="77777777" w:rsidR="00563317" w:rsidRDefault="00563317" w:rsidP="0080531E">
      <w:pPr>
        <w:pStyle w:val="Imprint"/>
      </w:pPr>
    </w:p>
    <w:p w14:paraId="596A7156" w14:textId="77777777" w:rsidR="00130A41" w:rsidRDefault="00130A41" w:rsidP="0080531E">
      <w:pPr>
        <w:pStyle w:val="Imprint"/>
      </w:pPr>
    </w:p>
    <w:p w14:paraId="638ADB64" w14:textId="77777777" w:rsidR="00130A41" w:rsidRDefault="00130A41" w:rsidP="0080531E">
      <w:pPr>
        <w:pStyle w:val="Imprint"/>
      </w:pPr>
    </w:p>
    <w:p w14:paraId="610F726E" w14:textId="77777777" w:rsidR="00457135" w:rsidRPr="006B77BB" w:rsidRDefault="00457135" w:rsidP="0080531E">
      <w:pPr>
        <w:pStyle w:val="Imprint"/>
      </w:pPr>
    </w:p>
    <w:p w14:paraId="468B24A5" w14:textId="77777777" w:rsidR="00AC4FD2" w:rsidRPr="006B77BB" w:rsidRDefault="00AC4FD2" w:rsidP="00AC4FD2">
      <w:pPr>
        <w:pStyle w:val="Imprint"/>
      </w:pPr>
      <w:r w:rsidRPr="006B77BB">
        <w:t xml:space="preserve">Published in </w:t>
      </w:r>
      <w:r>
        <w:t xml:space="preserve">September 2023 </w:t>
      </w:r>
      <w:r w:rsidRPr="006B77BB">
        <w:t>by the</w:t>
      </w:r>
      <w:r w:rsidRPr="006B77BB">
        <w:br/>
        <w:t xml:space="preserve">Ministry for the Environment </w:t>
      </w:r>
      <w:r w:rsidRPr="006B77BB">
        <w:br/>
      </w:r>
      <w:proofErr w:type="spellStart"/>
      <w:r w:rsidRPr="006B77BB">
        <w:t>Manatū</w:t>
      </w:r>
      <w:proofErr w:type="spellEnd"/>
      <w:r w:rsidRPr="006B77BB">
        <w:t xml:space="preserve"> </w:t>
      </w:r>
      <w:proofErr w:type="spellStart"/>
      <w:r>
        <w:t>m</w:t>
      </w:r>
      <w:r w:rsidRPr="006B77BB">
        <w:t>ō</w:t>
      </w:r>
      <w:proofErr w:type="spellEnd"/>
      <w:r w:rsidRPr="006B77BB">
        <w:t xml:space="preserve"> </w:t>
      </w:r>
      <w:proofErr w:type="spellStart"/>
      <w:r>
        <w:t>t</w:t>
      </w:r>
      <w:r w:rsidRPr="006B77BB">
        <w:t>e</w:t>
      </w:r>
      <w:proofErr w:type="spellEnd"/>
      <w:r w:rsidRPr="006B77BB">
        <w:t xml:space="preserve"> </w:t>
      </w:r>
      <w:proofErr w:type="spellStart"/>
      <w:r w:rsidRPr="006B77BB">
        <w:t>Taiao</w:t>
      </w:r>
      <w:proofErr w:type="spellEnd"/>
      <w:r w:rsidRPr="006B77BB">
        <w:br/>
        <w:t>PO Box 10362, Wellington 6143, New Zealand</w:t>
      </w:r>
      <w:r>
        <w:br/>
      </w:r>
      <w:hyperlink r:id="rId15" w:history="1">
        <w:r w:rsidRPr="005A5193">
          <w:rPr>
            <w:rStyle w:val="Hyperlink"/>
          </w:rPr>
          <w:t>environment.govt.nz</w:t>
        </w:r>
      </w:hyperlink>
    </w:p>
    <w:p w14:paraId="6309A77B" w14:textId="77777777" w:rsidR="00AC4FD2" w:rsidRPr="006B77BB" w:rsidRDefault="00AC4FD2" w:rsidP="00AC4FD2">
      <w:pPr>
        <w:pStyle w:val="Imprint"/>
        <w:tabs>
          <w:tab w:val="left" w:pos="720"/>
        </w:tabs>
        <w:ind w:left="720" w:hanging="720"/>
      </w:pPr>
      <w:r w:rsidRPr="006B77BB">
        <w:t xml:space="preserve">ISBN: </w:t>
      </w:r>
      <w:r>
        <w:tab/>
      </w:r>
      <w:r w:rsidRPr="00B6198C">
        <w:t>978-1-991077-86-8</w:t>
      </w:r>
      <w:r w:rsidRPr="006B77BB">
        <w:t xml:space="preserve"> (online)</w:t>
      </w:r>
    </w:p>
    <w:p w14:paraId="046AF5D9" w14:textId="07DDD778" w:rsidR="00AC4FD2" w:rsidRPr="006B77BB" w:rsidRDefault="00AC4FD2" w:rsidP="00AC4FD2">
      <w:pPr>
        <w:pStyle w:val="Imprint"/>
        <w:ind w:left="720" w:hanging="720"/>
      </w:pPr>
      <w:r w:rsidRPr="006B77BB">
        <w:t xml:space="preserve">Publication number: </w:t>
      </w:r>
      <w:r>
        <w:t xml:space="preserve">ME </w:t>
      </w:r>
      <w:r w:rsidR="008115D6">
        <w:t>1</w:t>
      </w:r>
      <w:r w:rsidR="008115D6">
        <w:t>802</w:t>
      </w:r>
    </w:p>
    <w:p w14:paraId="16664958" w14:textId="77777777" w:rsidR="00AC4FD2" w:rsidRPr="006B77BB" w:rsidRDefault="00AC4FD2" w:rsidP="00AC4FD2">
      <w:pPr>
        <w:pStyle w:val="Imprint"/>
        <w:spacing w:after="80"/>
      </w:pPr>
      <w:r w:rsidRPr="006B77BB">
        <w:t xml:space="preserve">© Crown copyright New Zealand </w:t>
      </w:r>
      <w:r>
        <w:t>2023</w:t>
      </w:r>
    </w:p>
    <w:p w14:paraId="43D95433" w14:textId="77777777" w:rsidR="0080531E" w:rsidRPr="00A84FE1" w:rsidRDefault="0080531E" w:rsidP="00A84FE1">
      <w:pPr>
        <w:sectPr w:rsidR="0080531E" w:rsidRPr="00A84FE1" w:rsidSect="008A7498">
          <w:headerReference w:type="even" r:id="rId16"/>
          <w:headerReference w:type="default" r:id="rId17"/>
          <w:footerReference w:type="even" r:id="rId18"/>
          <w:footerReference w:type="default" r:id="rId19"/>
          <w:pgSz w:w="11907" w:h="16840" w:code="9"/>
          <w:pgMar w:top="1134" w:right="1701" w:bottom="1134" w:left="1701" w:header="567" w:footer="567" w:gutter="0"/>
          <w:pgNumType w:fmt="lowerRoman"/>
          <w:cols w:space="720"/>
        </w:sectPr>
      </w:pPr>
    </w:p>
    <w:p w14:paraId="037FFE8D" w14:textId="77777777" w:rsidR="0080531E" w:rsidRPr="00F06E0B" w:rsidRDefault="0080531E" w:rsidP="00585FD0">
      <w:pPr>
        <w:pStyle w:val="Heading"/>
      </w:pPr>
      <w:r w:rsidRPr="00F06E0B">
        <w:lastRenderedPageBreak/>
        <w:t>Contents</w:t>
      </w:r>
    </w:p>
    <w:p w14:paraId="4C65B8CA" w14:textId="68278485" w:rsidR="006B0813" w:rsidRDefault="00775F57">
      <w:pPr>
        <w:pStyle w:val="TOC1"/>
        <w:rPr>
          <w:rFonts w:asciiTheme="minorHAnsi" w:hAnsiTheme="minorHAnsi"/>
          <w:noProof/>
          <w:kern w:val="2"/>
          <w14:ligatures w14:val="standardContextual"/>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144381355" w:history="1">
        <w:r w:rsidR="006B0813" w:rsidRPr="00CD69AA">
          <w:rPr>
            <w:rStyle w:val="Hyperlink"/>
            <w:noProof/>
          </w:rPr>
          <w:t>Executive summary</w:t>
        </w:r>
        <w:r w:rsidR="006B0813">
          <w:rPr>
            <w:noProof/>
            <w:webHidden/>
          </w:rPr>
          <w:tab/>
        </w:r>
        <w:r w:rsidR="006B0813">
          <w:rPr>
            <w:noProof/>
            <w:webHidden/>
          </w:rPr>
          <w:fldChar w:fldCharType="begin"/>
        </w:r>
        <w:r w:rsidR="006B0813">
          <w:rPr>
            <w:noProof/>
            <w:webHidden/>
          </w:rPr>
          <w:instrText xml:space="preserve"> PAGEREF _Toc144381355 \h </w:instrText>
        </w:r>
        <w:r w:rsidR="006B0813">
          <w:rPr>
            <w:noProof/>
            <w:webHidden/>
          </w:rPr>
        </w:r>
        <w:r w:rsidR="006B0813">
          <w:rPr>
            <w:noProof/>
            <w:webHidden/>
          </w:rPr>
          <w:fldChar w:fldCharType="separate"/>
        </w:r>
        <w:r w:rsidR="006B0813">
          <w:rPr>
            <w:noProof/>
            <w:webHidden/>
          </w:rPr>
          <w:t>4</w:t>
        </w:r>
        <w:r w:rsidR="006B0813">
          <w:rPr>
            <w:noProof/>
            <w:webHidden/>
          </w:rPr>
          <w:fldChar w:fldCharType="end"/>
        </w:r>
      </w:hyperlink>
    </w:p>
    <w:p w14:paraId="756EEEC1" w14:textId="52E5528A" w:rsidR="006B0813" w:rsidRDefault="008115D6">
      <w:pPr>
        <w:pStyle w:val="TOC2"/>
        <w:rPr>
          <w:rFonts w:asciiTheme="minorHAnsi" w:hAnsiTheme="minorHAnsi"/>
          <w:noProof/>
          <w:kern w:val="2"/>
          <w14:ligatures w14:val="standardContextual"/>
        </w:rPr>
      </w:pPr>
      <w:hyperlink w:anchor="_Toc144381356" w:history="1">
        <w:r w:rsidR="006B0813" w:rsidRPr="00CD69AA">
          <w:rPr>
            <w:rStyle w:val="Hyperlink"/>
            <w:noProof/>
          </w:rPr>
          <w:t>Issue 1: no clear pathway for new specified infrastructure is provided</w:t>
        </w:r>
        <w:r w:rsidR="006B0813">
          <w:rPr>
            <w:noProof/>
            <w:webHidden/>
          </w:rPr>
          <w:tab/>
        </w:r>
        <w:r w:rsidR="006B0813">
          <w:rPr>
            <w:noProof/>
            <w:webHidden/>
          </w:rPr>
          <w:fldChar w:fldCharType="begin"/>
        </w:r>
        <w:r w:rsidR="006B0813">
          <w:rPr>
            <w:noProof/>
            <w:webHidden/>
          </w:rPr>
          <w:instrText xml:space="preserve"> PAGEREF _Toc144381356 \h </w:instrText>
        </w:r>
        <w:r w:rsidR="006B0813">
          <w:rPr>
            <w:noProof/>
            <w:webHidden/>
          </w:rPr>
        </w:r>
        <w:r w:rsidR="006B0813">
          <w:rPr>
            <w:noProof/>
            <w:webHidden/>
          </w:rPr>
          <w:fldChar w:fldCharType="separate"/>
        </w:r>
        <w:r w:rsidR="006B0813">
          <w:rPr>
            <w:noProof/>
            <w:webHidden/>
          </w:rPr>
          <w:t>4</w:t>
        </w:r>
        <w:r w:rsidR="006B0813">
          <w:rPr>
            <w:noProof/>
            <w:webHidden/>
          </w:rPr>
          <w:fldChar w:fldCharType="end"/>
        </w:r>
      </w:hyperlink>
    </w:p>
    <w:p w14:paraId="3BCA45FE" w14:textId="08A59C97" w:rsidR="006B0813" w:rsidRDefault="008115D6">
      <w:pPr>
        <w:pStyle w:val="TOC2"/>
        <w:rPr>
          <w:rFonts w:asciiTheme="minorHAnsi" w:hAnsiTheme="minorHAnsi"/>
          <w:noProof/>
          <w:kern w:val="2"/>
          <w14:ligatures w14:val="standardContextual"/>
        </w:rPr>
      </w:pPr>
      <w:hyperlink w:anchor="_Toc144381357" w:history="1">
        <w:r w:rsidR="006B0813" w:rsidRPr="00CD69AA">
          <w:rPr>
            <w:rStyle w:val="Hyperlink"/>
            <w:noProof/>
          </w:rPr>
          <w:t>Issue 2: no clear pathway for new intensive indoor primary production and greenhouses</w:t>
        </w:r>
        <w:r w:rsidR="006B0813">
          <w:rPr>
            <w:noProof/>
            <w:webHidden/>
          </w:rPr>
          <w:tab/>
        </w:r>
        <w:r w:rsidR="006B0813">
          <w:rPr>
            <w:noProof/>
            <w:webHidden/>
          </w:rPr>
          <w:fldChar w:fldCharType="begin"/>
        </w:r>
        <w:r w:rsidR="006B0813">
          <w:rPr>
            <w:noProof/>
            <w:webHidden/>
          </w:rPr>
          <w:instrText xml:space="preserve"> PAGEREF _Toc144381357 \h </w:instrText>
        </w:r>
        <w:r w:rsidR="006B0813">
          <w:rPr>
            <w:noProof/>
            <w:webHidden/>
          </w:rPr>
        </w:r>
        <w:r w:rsidR="006B0813">
          <w:rPr>
            <w:noProof/>
            <w:webHidden/>
          </w:rPr>
          <w:fldChar w:fldCharType="separate"/>
        </w:r>
        <w:r w:rsidR="006B0813">
          <w:rPr>
            <w:noProof/>
            <w:webHidden/>
          </w:rPr>
          <w:t>5</w:t>
        </w:r>
        <w:r w:rsidR="006B0813">
          <w:rPr>
            <w:noProof/>
            <w:webHidden/>
          </w:rPr>
          <w:fldChar w:fldCharType="end"/>
        </w:r>
      </w:hyperlink>
    </w:p>
    <w:p w14:paraId="59EC000E" w14:textId="74D20296" w:rsidR="006B0813" w:rsidRDefault="008115D6">
      <w:pPr>
        <w:pStyle w:val="TOC1"/>
        <w:rPr>
          <w:rFonts w:asciiTheme="minorHAnsi" w:hAnsiTheme="minorHAnsi"/>
          <w:noProof/>
          <w:kern w:val="2"/>
          <w14:ligatures w14:val="standardContextual"/>
        </w:rPr>
      </w:pPr>
      <w:hyperlink w:anchor="_Toc144381358" w:history="1">
        <w:r w:rsidR="006B0813" w:rsidRPr="00CD69AA">
          <w:rPr>
            <w:rStyle w:val="Hyperlink"/>
            <w:noProof/>
          </w:rPr>
          <w:t>About the National Policy Statement for Highly Productive Land</w:t>
        </w:r>
        <w:r w:rsidR="006B0813">
          <w:rPr>
            <w:noProof/>
            <w:webHidden/>
          </w:rPr>
          <w:tab/>
        </w:r>
        <w:r w:rsidR="006B0813">
          <w:rPr>
            <w:noProof/>
            <w:webHidden/>
          </w:rPr>
          <w:fldChar w:fldCharType="begin"/>
        </w:r>
        <w:r w:rsidR="006B0813">
          <w:rPr>
            <w:noProof/>
            <w:webHidden/>
          </w:rPr>
          <w:instrText xml:space="preserve"> PAGEREF _Toc144381358 \h </w:instrText>
        </w:r>
        <w:r w:rsidR="006B0813">
          <w:rPr>
            <w:noProof/>
            <w:webHidden/>
          </w:rPr>
        </w:r>
        <w:r w:rsidR="006B0813">
          <w:rPr>
            <w:noProof/>
            <w:webHidden/>
          </w:rPr>
          <w:fldChar w:fldCharType="separate"/>
        </w:r>
        <w:r w:rsidR="006B0813">
          <w:rPr>
            <w:noProof/>
            <w:webHidden/>
          </w:rPr>
          <w:t>6</w:t>
        </w:r>
        <w:r w:rsidR="006B0813">
          <w:rPr>
            <w:noProof/>
            <w:webHidden/>
          </w:rPr>
          <w:fldChar w:fldCharType="end"/>
        </w:r>
      </w:hyperlink>
    </w:p>
    <w:p w14:paraId="4DCB10AC" w14:textId="17C9A32C" w:rsidR="006B0813" w:rsidRDefault="008115D6">
      <w:pPr>
        <w:pStyle w:val="TOC1"/>
        <w:rPr>
          <w:rFonts w:asciiTheme="minorHAnsi" w:hAnsiTheme="minorHAnsi"/>
          <w:noProof/>
          <w:kern w:val="2"/>
          <w14:ligatures w14:val="standardContextual"/>
        </w:rPr>
      </w:pPr>
      <w:hyperlink w:anchor="_Toc144381359" w:history="1">
        <w:r w:rsidR="006B0813" w:rsidRPr="00CD69AA">
          <w:rPr>
            <w:rStyle w:val="Hyperlink"/>
            <w:noProof/>
          </w:rPr>
          <w:t>Purpose of this document</w:t>
        </w:r>
        <w:r w:rsidR="006B0813">
          <w:rPr>
            <w:noProof/>
            <w:webHidden/>
          </w:rPr>
          <w:tab/>
        </w:r>
        <w:r w:rsidR="006B0813">
          <w:rPr>
            <w:noProof/>
            <w:webHidden/>
          </w:rPr>
          <w:fldChar w:fldCharType="begin"/>
        </w:r>
        <w:r w:rsidR="006B0813">
          <w:rPr>
            <w:noProof/>
            <w:webHidden/>
          </w:rPr>
          <w:instrText xml:space="preserve"> PAGEREF _Toc144381359 \h </w:instrText>
        </w:r>
        <w:r w:rsidR="006B0813">
          <w:rPr>
            <w:noProof/>
            <w:webHidden/>
          </w:rPr>
        </w:r>
        <w:r w:rsidR="006B0813">
          <w:rPr>
            <w:noProof/>
            <w:webHidden/>
          </w:rPr>
          <w:fldChar w:fldCharType="separate"/>
        </w:r>
        <w:r w:rsidR="006B0813">
          <w:rPr>
            <w:noProof/>
            <w:webHidden/>
          </w:rPr>
          <w:t>8</w:t>
        </w:r>
        <w:r w:rsidR="006B0813">
          <w:rPr>
            <w:noProof/>
            <w:webHidden/>
          </w:rPr>
          <w:fldChar w:fldCharType="end"/>
        </w:r>
      </w:hyperlink>
    </w:p>
    <w:p w14:paraId="024B6C6E" w14:textId="3CA0D849" w:rsidR="006B0813" w:rsidRDefault="008115D6">
      <w:pPr>
        <w:pStyle w:val="TOC2"/>
        <w:rPr>
          <w:rFonts w:asciiTheme="minorHAnsi" w:hAnsiTheme="minorHAnsi"/>
          <w:noProof/>
          <w:kern w:val="2"/>
          <w14:ligatures w14:val="standardContextual"/>
        </w:rPr>
      </w:pPr>
      <w:hyperlink w:anchor="_Toc144381360" w:history="1">
        <w:r w:rsidR="006B0813" w:rsidRPr="00CD69AA">
          <w:rPr>
            <w:rStyle w:val="Hyperlink"/>
            <w:noProof/>
          </w:rPr>
          <w:t>Implementation of the NPS-HPL</w:t>
        </w:r>
        <w:r w:rsidR="006B0813">
          <w:rPr>
            <w:noProof/>
            <w:webHidden/>
          </w:rPr>
          <w:tab/>
        </w:r>
        <w:r w:rsidR="006B0813">
          <w:rPr>
            <w:noProof/>
            <w:webHidden/>
          </w:rPr>
          <w:fldChar w:fldCharType="begin"/>
        </w:r>
        <w:r w:rsidR="006B0813">
          <w:rPr>
            <w:noProof/>
            <w:webHidden/>
          </w:rPr>
          <w:instrText xml:space="preserve"> PAGEREF _Toc144381360 \h </w:instrText>
        </w:r>
        <w:r w:rsidR="006B0813">
          <w:rPr>
            <w:noProof/>
            <w:webHidden/>
          </w:rPr>
        </w:r>
        <w:r w:rsidR="006B0813">
          <w:rPr>
            <w:noProof/>
            <w:webHidden/>
          </w:rPr>
          <w:fldChar w:fldCharType="separate"/>
        </w:r>
        <w:r w:rsidR="006B0813">
          <w:rPr>
            <w:noProof/>
            <w:webHidden/>
          </w:rPr>
          <w:t>8</w:t>
        </w:r>
        <w:r w:rsidR="006B0813">
          <w:rPr>
            <w:noProof/>
            <w:webHidden/>
          </w:rPr>
          <w:fldChar w:fldCharType="end"/>
        </w:r>
      </w:hyperlink>
    </w:p>
    <w:p w14:paraId="228B788D" w14:textId="17AE41B3" w:rsidR="006B0813" w:rsidRDefault="008115D6">
      <w:pPr>
        <w:pStyle w:val="TOC1"/>
        <w:rPr>
          <w:rFonts w:asciiTheme="minorHAnsi" w:hAnsiTheme="minorHAnsi"/>
          <w:noProof/>
          <w:kern w:val="2"/>
          <w14:ligatures w14:val="standardContextual"/>
        </w:rPr>
      </w:pPr>
      <w:hyperlink w:anchor="_Toc144381361" w:history="1">
        <w:r w:rsidR="006B0813" w:rsidRPr="00CD69AA">
          <w:rPr>
            <w:rStyle w:val="Hyperlink"/>
            <w:noProof/>
          </w:rPr>
          <w:t>Issue 1: Providing for new specified infrastructure</w:t>
        </w:r>
        <w:r w:rsidR="006B0813">
          <w:rPr>
            <w:noProof/>
            <w:webHidden/>
          </w:rPr>
          <w:tab/>
        </w:r>
        <w:r w:rsidR="006B0813">
          <w:rPr>
            <w:noProof/>
            <w:webHidden/>
          </w:rPr>
          <w:fldChar w:fldCharType="begin"/>
        </w:r>
        <w:r w:rsidR="006B0813">
          <w:rPr>
            <w:noProof/>
            <w:webHidden/>
          </w:rPr>
          <w:instrText xml:space="preserve"> PAGEREF _Toc144381361 \h </w:instrText>
        </w:r>
        <w:r w:rsidR="006B0813">
          <w:rPr>
            <w:noProof/>
            <w:webHidden/>
          </w:rPr>
        </w:r>
        <w:r w:rsidR="006B0813">
          <w:rPr>
            <w:noProof/>
            <w:webHidden/>
          </w:rPr>
          <w:fldChar w:fldCharType="separate"/>
        </w:r>
        <w:r w:rsidR="006B0813">
          <w:rPr>
            <w:noProof/>
            <w:webHidden/>
          </w:rPr>
          <w:t>9</w:t>
        </w:r>
        <w:r w:rsidR="006B0813">
          <w:rPr>
            <w:noProof/>
            <w:webHidden/>
          </w:rPr>
          <w:fldChar w:fldCharType="end"/>
        </w:r>
      </w:hyperlink>
    </w:p>
    <w:p w14:paraId="5B9C82BA" w14:textId="5574A322" w:rsidR="006B0813" w:rsidRDefault="008115D6">
      <w:pPr>
        <w:pStyle w:val="TOC2"/>
        <w:rPr>
          <w:rFonts w:asciiTheme="minorHAnsi" w:hAnsiTheme="minorHAnsi"/>
          <w:noProof/>
          <w:kern w:val="2"/>
          <w14:ligatures w14:val="standardContextual"/>
        </w:rPr>
      </w:pPr>
      <w:hyperlink w:anchor="_Toc144381362" w:history="1">
        <w:r w:rsidR="006B0813" w:rsidRPr="00CD69AA">
          <w:rPr>
            <w:rStyle w:val="Hyperlink"/>
            <w:noProof/>
          </w:rPr>
          <w:t>About this issue</w:t>
        </w:r>
        <w:r w:rsidR="006B0813">
          <w:rPr>
            <w:noProof/>
            <w:webHidden/>
          </w:rPr>
          <w:tab/>
        </w:r>
        <w:r w:rsidR="006B0813">
          <w:rPr>
            <w:noProof/>
            <w:webHidden/>
          </w:rPr>
          <w:fldChar w:fldCharType="begin"/>
        </w:r>
        <w:r w:rsidR="006B0813">
          <w:rPr>
            <w:noProof/>
            <w:webHidden/>
          </w:rPr>
          <w:instrText xml:space="preserve"> PAGEREF _Toc144381362 \h </w:instrText>
        </w:r>
        <w:r w:rsidR="006B0813">
          <w:rPr>
            <w:noProof/>
            <w:webHidden/>
          </w:rPr>
        </w:r>
        <w:r w:rsidR="006B0813">
          <w:rPr>
            <w:noProof/>
            <w:webHidden/>
          </w:rPr>
          <w:fldChar w:fldCharType="separate"/>
        </w:r>
        <w:r w:rsidR="006B0813">
          <w:rPr>
            <w:noProof/>
            <w:webHidden/>
          </w:rPr>
          <w:t>9</w:t>
        </w:r>
        <w:r w:rsidR="006B0813">
          <w:rPr>
            <w:noProof/>
            <w:webHidden/>
          </w:rPr>
          <w:fldChar w:fldCharType="end"/>
        </w:r>
      </w:hyperlink>
    </w:p>
    <w:p w14:paraId="1E5011AF" w14:textId="13BE093B" w:rsidR="006B0813" w:rsidRDefault="008115D6">
      <w:pPr>
        <w:pStyle w:val="TOC2"/>
        <w:rPr>
          <w:rFonts w:asciiTheme="minorHAnsi" w:hAnsiTheme="minorHAnsi"/>
          <w:noProof/>
          <w:kern w:val="2"/>
          <w14:ligatures w14:val="standardContextual"/>
        </w:rPr>
      </w:pPr>
      <w:hyperlink w:anchor="_Toc144381363" w:history="1">
        <w:r w:rsidR="006B0813" w:rsidRPr="00CD69AA">
          <w:rPr>
            <w:rStyle w:val="Hyperlink"/>
            <w:noProof/>
          </w:rPr>
          <w:t>Proposed options</w:t>
        </w:r>
        <w:r w:rsidR="006B0813">
          <w:rPr>
            <w:noProof/>
            <w:webHidden/>
          </w:rPr>
          <w:tab/>
        </w:r>
        <w:r w:rsidR="006B0813">
          <w:rPr>
            <w:noProof/>
            <w:webHidden/>
          </w:rPr>
          <w:fldChar w:fldCharType="begin"/>
        </w:r>
        <w:r w:rsidR="006B0813">
          <w:rPr>
            <w:noProof/>
            <w:webHidden/>
          </w:rPr>
          <w:instrText xml:space="preserve"> PAGEREF _Toc144381363 \h </w:instrText>
        </w:r>
        <w:r w:rsidR="006B0813">
          <w:rPr>
            <w:noProof/>
            <w:webHidden/>
          </w:rPr>
        </w:r>
        <w:r w:rsidR="006B0813">
          <w:rPr>
            <w:noProof/>
            <w:webHidden/>
          </w:rPr>
          <w:fldChar w:fldCharType="separate"/>
        </w:r>
        <w:r w:rsidR="006B0813">
          <w:rPr>
            <w:noProof/>
            <w:webHidden/>
          </w:rPr>
          <w:t>10</w:t>
        </w:r>
        <w:r w:rsidR="006B0813">
          <w:rPr>
            <w:noProof/>
            <w:webHidden/>
          </w:rPr>
          <w:fldChar w:fldCharType="end"/>
        </w:r>
      </w:hyperlink>
    </w:p>
    <w:p w14:paraId="00C32093" w14:textId="4FA0DB78" w:rsidR="006B0813" w:rsidRDefault="008115D6">
      <w:pPr>
        <w:pStyle w:val="TOC1"/>
        <w:rPr>
          <w:rFonts w:asciiTheme="minorHAnsi" w:hAnsiTheme="minorHAnsi"/>
          <w:noProof/>
          <w:kern w:val="2"/>
          <w14:ligatures w14:val="standardContextual"/>
        </w:rPr>
      </w:pPr>
      <w:hyperlink w:anchor="_Toc144381364" w:history="1">
        <w:r w:rsidR="006B0813" w:rsidRPr="00CD69AA">
          <w:rPr>
            <w:rStyle w:val="Hyperlink"/>
            <w:noProof/>
          </w:rPr>
          <w:t>Issue 2: Intensive indoor primary production and greenhouses</w:t>
        </w:r>
        <w:r w:rsidR="006B0813">
          <w:rPr>
            <w:noProof/>
            <w:webHidden/>
          </w:rPr>
          <w:tab/>
        </w:r>
        <w:r w:rsidR="006B0813">
          <w:rPr>
            <w:noProof/>
            <w:webHidden/>
          </w:rPr>
          <w:fldChar w:fldCharType="begin"/>
        </w:r>
        <w:r w:rsidR="006B0813">
          <w:rPr>
            <w:noProof/>
            <w:webHidden/>
          </w:rPr>
          <w:instrText xml:space="preserve"> PAGEREF _Toc144381364 \h </w:instrText>
        </w:r>
        <w:r w:rsidR="006B0813">
          <w:rPr>
            <w:noProof/>
            <w:webHidden/>
          </w:rPr>
        </w:r>
        <w:r w:rsidR="006B0813">
          <w:rPr>
            <w:noProof/>
            <w:webHidden/>
          </w:rPr>
          <w:fldChar w:fldCharType="separate"/>
        </w:r>
        <w:r w:rsidR="006B0813">
          <w:rPr>
            <w:noProof/>
            <w:webHidden/>
          </w:rPr>
          <w:t>13</w:t>
        </w:r>
        <w:r w:rsidR="006B0813">
          <w:rPr>
            <w:noProof/>
            <w:webHidden/>
          </w:rPr>
          <w:fldChar w:fldCharType="end"/>
        </w:r>
      </w:hyperlink>
    </w:p>
    <w:p w14:paraId="58C54B24" w14:textId="0B974044" w:rsidR="006B0813" w:rsidRDefault="008115D6">
      <w:pPr>
        <w:pStyle w:val="TOC2"/>
        <w:rPr>
          <w:rFonts w:asciiTheme="minorHAnsi" w:hAnsiTheme="minorHAnsi"/>
          <w:noProof/>
          <w:kern w:val="2"/>
          <w14:ligatures w14:val="standardContextual"/>
        </w:rPr>
      </w:pPr>
      <w:hyperlink w:anchor="_Toc144381365" w:history="1">
        <w:r w:rsidR="006B0813" w:rsidRPr="00CD69AA">
          <w:rPr>
            <w:rStyle w:val="Hyperlink"/>
            <w:noProof/>
          </w:rPr>
          <w:t>About this issue</w:t>
        </w:r>
        <w:r w:rsidR="006B0813">
          <w:rPr>
            <w:noProof/>
            <w:webHidden/>
          </w:rPr>
          <w:tab/>
        </w:r>
        <w:r w:rsidR="006B0813">
          <w:rPr>
            <w:noProof/>
            <w:webHidden/>
          </w:rPr>
          <w:fldChar w:fldCharType="begin"/>
        </w:r>
        <w:r w:rsidR="006B0813">
          <w:rPr>
            <w:noProof/>
            <w:webHidden/>
          </w:rPr>
          <w:instrText xml:space="preserve"> PAGEREF _Toc144381365 \h </w:instrText>
        </w:r>
        <w:r w:rsidR="006B0813">
          <w:rPr>
            <w:noProof/>
            <w:webHidden/>
          </w:rPr>
        </w:r>
        <w:r w:rsidR="006B0813">
          <w:rPr>
            <w:noProof/>
            <w:webHidden/>
          </w:rPr>
          <w:fldChar w:fldCharType="separate"/>
        </w:r>
        <w:r w:rsidR="006B0813">
          <w:rPr>
            <w:noProof/>
            <w:webHidden/>
          </w:rPr>
          <w:t>13</w:t>
        </w:r>
        <w:r w:rsidR="006B0813">
          <w:rPr>
            <w:noProof/>
            <w:webHidden/>
          </w:rPr>
          <w:fldChar w:fldCharType="end"/>
        </w:r>
      </w:hyperlink>
    </w:p>
    <w:p w14:paraId="23E09692" w14:textId="1888481D" w:rsidR="006B0813" w:rsidRDefault="008115D6">
      <w:pPr>
        <w:pStyle w:val="TOC2"/>
        <w:rPr>
          <w:rFonts w:asciiTheme="minorHAnsi" w:hAnsiTheme="minorHAnsi"/>
          <w:noProof/>
          <w:kern w:val="2"/>
          <w14:ligatures w14:val="standardContextual"/>
        </w:rPr>
      </w:pPr>
      <w:hyperlink w:anchor="_Toc144381366" w:history="1">
        <w:r w:rsidR="006B0813" w:rsidRPr="00CD69AA">
          <w:rPr>
            <w:rStyle w:val="Hyperlink"/>
            <w:noProof/>
          </w:rPr>
          <w:t>Proposed options</w:t>
        </w:r>
        <w:r w:rsidR="006B0813">
          <w:rPr>
            <w:noProof/>
            <w:webHidden/>
          </w:rPr>
          <w:tab/>
        </w:r>
        <w:r w:rsidR="006B0813">
          <w:rPr>
            <w:noProof/>
            <w:webHidden/>
          </w:rPr>
          <w:fldChar w:fldCharType="begin"/>
        </w:r>
        <w:r w:rsidR="006B0813">
          <w:rPr>
            <w:noProof/>
            <w:webHidden/>
          </w:rPr>
          <w:instrText xml:space="preserve"> PAGEREF _Toc144381366 \h </w:instrText>
        </w:r>
        <w:r w:rsidR="006B0813">
          <w:rPr>
            <w:noProof/>
            <w:webHidden/>
          </w:rPr>
        </w:r>
        <w:r w:rsidR="006B0813">
          <w:rPr>
            <w:noProof/>
            <w:webHidden/>
          </w:rPr>
          <w:fldChar w:fldCharType="separate"/>
        </w:r>
        <w:r w:rsidR="006B0813">
          <w:rPr>
            <w:noProof/>
            <w:webHidden/>
          </w:rPr>
          <w:t>17</w:t>
        </w:r>
        <w:r w:rsidR="006B0813">
          <w:rPr>
            <w:noProof/>
            <w:webHidden/>
          </w:rPr>
          <w:fldChar w:fldCharType="end"/>
        </w:r>
      </w:hyperlink>
    </w:p>
    <w:p w14:paraId="79FD32F5" w14:textId="5C38DED1" w:rsidR="006B0813" w:rsidRDefault="008115D6">
      <w:pPr>
        <w:pStyle w:val="TOC1"/>
        <w:rPr>
          <w:rFonts w:asciiTheme="minorHAnsi" w:hAnsiTheme="minorHAnsi"/>
          <w:noProof/>
          <w:kern w:val="2"/>
          <w14:ligatures w14:val="standardContextual"/>
        </w:rPr>
      </w:pPr>
      <w:hyperlink w:anchor="_Toc144381367" w:history="1">
        <w:r w:rsidR="006B0813" w:rsidRPr="00CD69AA">
          <w:rPr>
            <w:rStyle w:val="Hyperlink"/>
            <w:noProof/>
          </w:rPr>
          <w:t>Making a submission</w:t>
        </w:r>
        <w:r w:rsidR="006B0813">
          <w:rPr>
            <w:noProof/>
            <w:webHidden/>
          </w:rPr>
          <w:tab/>
        </w:r>
        <w:r w:rsidR="006B0813">
          <w:rPr>
            <w:noProof/>
            <w:webHidden/>
          </w:rPr>
          <w:fldChar w:fldCharType="begin"/>
        </w:r>
        <w:r w:rsidR="006B0813">
          <w:rPr>
            <w:noProof/>
            <w:webHidden/>
          </w:rPr>
          <w:instrText xml:space="preserve"> PAGEREF _Toc144381367 \h </w:instrText>
        </w:r>
        <w:r w:rsidR="006B0813">
          <w:rPr>
            <w:noProof/>
            <w:webHidden/>
          </w:rPr>
        </w:r>
        <w:r w:rsidR="006B0813">
          <w:rPr>
            <w:noProof/>
            <w:webHidden/>
          </w:rPr>
          <w:fldChar w:fldCharType="separate"/>
        </w:r>
        <w:r w:rsidR="006B0813">
          <w:rPr>
            <w:noProof/>
            <w:webHidden/>
          </w:rPr>
          <w:t>19</w:t>
        </w:r>
        <w:r w:rsidR="006B0813">
          <w:rPr>
            <w:noProof/>
            <w:webHidden/>
          </w:rPr>
          <w:fldChar w:fldCharType="end"/>
        </w:r>
      </w:hyperlink>
    </w:p>
    <w:p w14:paraId="0198CBA2" w14:textId="79439D9D" w:rsidR="006B0813" w:rsidRDefault="008115D6">
      <w:pPr>
        <w:pStyle w:val="TOC2"/>
        <w:rPr>
          <w:rFonts w:asciiTheme="minorHAnsi" w:hAnsiTheme="minorHAnsi"/>
          <w:noProof/>
          <w:kern w:val="2"/>
          <w14:ligatures w14:val="standardContextual"/>
        </w:rPr>
      </w:pPr>
      <w:hyperlink w:anchor="_Toc144381368" w:history="1">
        <w:r w:rsidR="006B0813" w:rsidRPr="00CD69AA">
          <w:rPr>
            <w:rStyle w:val="Hyperlink"/>
            <w:noProof/>
          </w:rPr>
          <w:t>How to provide feedback</w:t>
        </w:r>
        <w:r w:rsidR="006B0813">
          <w:rPr>
            <w:noProof/>
            <w:webHidden/>
          </w:rPr>
          <w:tab/>
        </w:r>
        <w:r w:rsidR="006B0813">
          <w:rPr>
            <w:noProof/>
            <w:webHidden/>
          </w:rPr>
          <w:fldChar w:fldCharType="begin"/>
        </w:r>
        <w:r w:rsidR="006B0813">
          <w:rPr>
            <w:noProof/>
            <w:webHidden/>
          </w:rPr>
          <w:instrText xml:space="preserve"> PAGEREF _Toc144381368 \h </w:instrText>
        </w:r>
        <w:r w:rsidR="006B0813">
          <w:rPr>
            <w:noProof/>
            <w:webHidden/>
          </w:rPr>
        </w:r>
        <w:r w:rsidR="006B0813">
          <w:rPr>
            <w:noProof/>
            <w:webHidden/>
          </w:rPr>
          <w:fldChar w:fldCharType="separate"/>
        </w:r>
        <w:r w:rsidR="006B0813">
          <w:rPr>
            <w:noProof/>
            <w:webHidden/>
          </w:rPr>
          <w:t>19</w:t>
        </w:r>
        <w:r w:rsidR="006B0813">
          <w:rPr>
            <w:noProof/>
            <w:webHidden/>
          </w:rPr>
          <w:fldChar w:fldCharType="end"/>
        </w:r>
      </w:hyperlink>
    </w:p>
    <w:p w14:paraId="5DC8A53F" w14:textId="76DF39AA" w:rsidR="006B0813" w:rsidRDefault="008115D6">
      <w:pPr>
        <w:pStyle w:val="TOC2"/>
        <w:rPr>
          <w:rFonts w:asciiTheme="minorHAnsi" w:hAnsiTheme="minorHAnsi"/>
          <w:noProof/>
          <w:kern w:val="2"/>
          <w14:ligatures w14:val="standardContextual"/>
        </w:rPr>
      </w:pPr>
      <w:hyperlink w:anchor="_Toc144381369" w:history="1">
        <w:r w:rsidR="006B0813" w:rsidRPr="00CD69AA">
          <w:rPr>
            <w:rStyle w:val="Hyperlink"/>
            <w:noProof/>
          </w:rPr>
          <w:t>Feedback sought</w:t>
        </w:r>
        <w:r w:rsidR="006B0813">
          <w:rPr>
            <w:noProof/>
            <w:webHidden/>
          </w:rPr>
          <w:tab/>
        </w:r>
        <w:r w:rsidR="006B0813">
          <w:rPr>
            <w:noProof/>
            <w:webHidden/>
          </w:rPr>
          <w:fldChar w:fldCharType="begin"/>
        </w:r>
        <w:r w:rsidR="006B0813">
          <w:rPr>
            <w:noProof/>
            <w:webHidden/>
          </w:rPr>
          <w:instrText xml:space="preserve"> PAGEREF _Toc144381369 \h </w:instrText>
        </w:r>
        <w:r w:rsidR="006B0813">
          <w:rPr>
            <w:noProof/>
            <w:webHidden/>
          </w:rPr>
        </w:r>
        <w:r w:rsidR="006B0813">
          <w:rPr>
            <w:noProof/>
            <w:webHidden/>
          </w:rPr>
          <w:fldChar w:fldCharType="separate"/>
        </w:r>
        <w:r w:rsidR="006B0813">
          <w:rPr>
            <w:noProof/>
            <w:webHidden/>
          </w:rPr>
          <w:t>19</w:t>
        </w:r>
        <w:r w:rsidR="006B0813">
          <w:rPr>
            <w:noProof/>
            <w:webHidden/>
          </w:rPr>
          <w:fldChar w:fldCharType="end"/>
        </w:r>
      </w:hyperlink>
    </w:p>
    <w:p w14:paraId="75783FD8" w14:textId="6BF9A1D0" w:rsidR="006B0813" w:rsidRDefault="008115D6">
      <w:pPr>
        <w:pStyle w:val="TOC2"/>
        <w:rPr>
          <w:rFonts w:asciiTheme="minorHAnsi" w:hAnsiTheme="minorHAnsi"/>
          <w:noProof/>
          <w:kern w:val="2"/>
          <w14:ligatures w14:val="standardContextual"/>
        </w:rPr>
      </w:pPr>
      <w:hyperlink w:anchor="_Toc144381370" w:history="1">
        <w:r w:rsidR="006B0813" w:rsidRPr="00CD69AA">
          <w:rPr>
            <w:rStyle w:val="Hyperlink"/>
            <w:noProof/>
          </w:rPr>
          <w:t>Publishing and releasing submissions</w:t>
        </w:r>
        <w:r w:rsidR="006B0813">
          <w:rPr>
            <w:noProof/>
            <w:webHidden/>
          </w:rPr>
          <w:tab/>
        </w:r>
        <w:r w:rsidR="006B0813">
          <w:rPr>
            <w:noProof/>
            <w:webHidden/>
          </w:rPr>
          <w:fldChar w:fldCharType="begin"/>
        </w:r>
        <w:r w:rsidR="006B0813">
          <w:rPr>
            <w:noProof/>
            <w:webHidden/>
          </w:rPr>
          <w:instrText xml:space="preserve"> PAGEREF _Toc144381370 \h </w:instrText>
        </w:r>
        <w:r w:rsidR="006B0813">
          <w:rPr>
            <w:noProof/>
            <w:webHidden/>
          </w:rPr>
        </w:r>
        <w:r w:rsidR="006B0813">
          <w:rPr>
            <w:noProof/>
            <w:webHidden/>
          </w:rPr>
          <w:fldChar w:fldCharType="separate"/>
        </w:r>
        <w:r w:rsidR="006B0813">
          <w:rPr>
            <w:noProof/>
            <w:webHidden/>
          </w:rPr>
          <w:t>20</w:t>
        </w:r>
        <w:r w:rsidR="006B0813">
          <w:rPr>
            <w:noProof/>
            <w:webHidden/>
          </w:rPr>
          <w:fldChar w:fldCharType="end"/>
        </w:r>
      </w:hyperlink>
    </w:p>
    <w:p w14:paraId="2A1FD9CD" w14:textId="21364498" w:rsidR="0080531E" w:rsidRPr="006B77BB" w:rsidRDefault="00775F57" w:rsidP="002B4778">
      <w:pPr>
        <w:pStyle w:val="Glossary"/>
      </w:pPr>
      <w:r w:rsidRPr="006B77BB">
        <w:rPr>
          <w:color w:val="0092CF"/>
        </w:rPr>
        <w:fldChar w:fldCharType="end"/>
      </w:r>
    </w:p>
    <w:p w14:paraId="22F35BA0" w14:textId="77777777" w:rsidR="00796A6F" w:rsidRPr="00554B30" w:rsidRDefault="00796A6F" w:rsidP="00554B30">
      <w:r w:rsidRPr="00554B30">
        <w:br w:type="page"/>
      </w:r>
    </w:p>
    <w:p w14:paraId="49937038" w14:textId="77777777" w:rsidR="00202231" w:rsidRDefault="00202231" w:rsidP="00202231">
      <w:pPr>
        <w:pStyle w:val="Heading1"/>
      </w:pPr>
      <w:bookmarkStart w:id="0" w:name="_Toc144210848"/>
      <w:bookmarkStart w:id="1" w:name="_Toc144381355"/>
      <w:bookmarkStart w:id="2" w:name="_Toc345760336"/>
      <w:r w:rsidRPr="00FB33A1">
        <w:lastRenderedPageBreak/>
        <w:t xml:space="preserve">Executive </w:t>
      </w:r>
      <w:r>
        <w:t>summary</w:t>
      </w:r>
      <w:bookmarkEnd w:id="0"/>
      <w:bookmarkEnd w:id="1"/>
      <w:r w:rsidRPr="00FB33A1">
        <w:t xml:space="preserve"> </w:t>
      </w:r>
    </w:p>
    <w:p w14:paraId="7E78049A" w14:textId="77777777" w:rsidR="00202231" w:rsidRDefault="00202231" w:rsidP="00202231">
      <w:pPr>
        <w:pStyle w:val="BodyText"/>
      </w:pPr>
      <w:bookmarkStart w:id="3" w:name="_Toc144210849"/>
      <w:r w:rsidRPr="147F11D7">
        <w:t xml:space="preserve">The Government is seeking feedback from </w:t>
      </w:r>
      <w:r w:rsidRPr="2CC5E3F5">
        <w:rPr>
          <w:bCs/>
        </w:rPr>
        <w:t xml:space="preserve">iwi, local government, </w:t>
      </w:r>
      <w:r w:rsidRPr="147F11D7">
        <w:t>interested organisations and individuals on potential amendments to the National Policy Statement for Highly Productive Land</w:t>
      </w:r>
      <w:r>
        <w:t xml:space="preserve"> (NPS-HPL)</w:t>
      </w:r>
      <w:r w:rsidRPr="147F11D7">
        <w:t xml:space="preserve">. </w:t>
      </w:r>
    </w:p>
    <w:p w14:paraId="5D5577A9" w14:textId="77777777" w:rsidR="00202231" w:rsidRDefault="00202231" w:rsidP="00202231">
      <w:pPr>
        <w:pStyle w:val="BodyText"/>
      </w:pPr>
      <w:r w:rsidRPr="57DF60CB">
        <w:t xml:space="preserve">The objective of the NPS-HPL is to protect </w:t>
      </w:r>
      <w:r>
        <w:t>highly productive land (</w:t>
      </w:r>
      <w:r w:rsidRPr="57DF60CB">
        <w:t>HPL</w:t>
      </w:r>
      <w:r>
        <w:t>)</w:t>
      </w:r>
      <w:r w:rsidRPr="57DF60CB">
        <w:t xml:space="preserve"> </w:t>
      </w:r>
      <w:r>
        <w:t xml:space="preserve">so it can be </w:t>
      </w:r>
      <w:r w:rsidRPr="57DF60CB">
        <w:t>use</w:t>
      </w:r>
      <w:r>
        <w:t xml:space="preserve">d for </w:t>
      </w:r>
      <w:r w:rsidRPr="003247BE">
        <w:t>land-based</w:t>
      </w:r>
      <w:r w:rsidRPr="57DF60CB">
        <w:t xml:space="preserve"> primary production. T</w:t>
      </w:r>
      <w:r>
        <w:t xml:space="preserve">o do this, the </w:t>
      </w:r>
      <w:r w:rsidRPr="57DF60CB">
        <w:t xml:space="preserve">NPS-HPL </w:t>
      </w:r>
      <w:r w:rsidRPr="66FA5664">
        <w:t>restricts</w:t>
      </w:r>
      <w:r w:rsidRPr="57DF60CB">
        <w:t xml:space="preserve"> inappropriate use, development or subdivision of HPL.</w:t>
      </w:r>
    </w:p>
    <w:p w14:paraId="32DC8801" w14:textId="77777777" w:rsidR="00202231" w:rsidRDefault="00202231" w:rsidP="00202231">
      <w:pPr>
        <w:pStyle w:val="BodyText"/>
      </w:pPr>
      <w:r>
        <w:t xml:space="preserve">The </w:t>
      </w:r>
      <w:r w:rsidRPr="7FEDF33A">
        <w:t xml:space="preserve">NPS-HPL came into </w:t>
      </w:r>
      <w:r>
        <w:t xml:space="preserve">effect in </w:t>
      </w:r>
      <w:r w:rsidRPr="7FEDF33A">
        <w:t>October 2022</w:t>
      </w:r>
      <w:r>
        <w:t>. Since then</w:t>
      </w:r>
      <w:r w:rsidRPr="7FEDF33A">
        <w:t xml:space="preserve">, </w:t>
      </w:r>
      <w:r>
        <w:t xml:space="preserve">stakeholders have raised </w:t>
      </w:r>
      <w:r w:rsidRPr="7FEDF33A">
        <w:t xml:space="preserve">two issues about </w:t>
      </w:r>
      <w:r>
        <w:t>its</w:t>
      </w:r>
      <w:r w:rsidRPr="7FEDF33A">
        <w:t xml:space="preserve"> restrictions on </w:t>
      </w:r>
      <w:r w:rsidRPr="003247BE">
        <w:t>non</w:t>
      </w:r>
      <w:r>
        <w:t>-</w:t>
      </w:r>
      <w:r w:rsidRPr="003247BE">
        <w:t>land-based</w:t>
      </w:r>
      <w:r w:rsidRPr="7FEDF33A">
        <w:t xml:space="preserve"> uses and </w:t>
      </w:r>
      <w:r w:rsidRPr="7FEDF33A" w:rsidDel="002B4927">
        <w:t xml:space="preserve">development. </w:t>
      </w:r>
      <w:r w:rsidRPr="0758FAEE">
        <w:t xml:space="preserve">These are:  </w:t>
      </w:r>
    </w:p>
    <w:p w14:paraId="515A60A2" w14:textId="77777777" w:rsidR="00202231" w:rsidRDefault="00202231" w:rsidP="00202231">
      <w:pPr>
        <w:pStyle w:val="Numberedparagraph"/>
        <w:numPr>
          <w:ilvl w:val="0"/>
          <w:numId w:val="38"/>
        </w:numPr>
      </w:pPr>
      <w:r w:rsidRPr="67DDA0F7">
        <w:rPr>
          <w:rStyle w:val="normaltextrun"/>
          <w:rFonts w:eastAsia="Calibri" w:cs="Calibri"/>
          <w:color w:val="000000" w:themeColor="text1"/>
        </w:rPr>
        <w:t xml:space="preserve">The lack of a clear </w:t>
      </w:r>
      <w:r>
        <w:rPr>
          <w:rStyle w:val="normaltextrun"/>
          <w:rFonts w:eastAsia="Calibri" w:cs="Calibri"/>
          <w:color w:val="000000" w:themeColor="text1"/>
        </w:rPr>
        <w:t>consent</w:t>
      </w:r>
      <w:r w:rsidRPr="67DDA0F7">
        <w:rPr>
          <w:rStyle w:val="normaltextrun"/>
          <w:rFonts w:eastAsia="Calibri" w:cs="Calibri"/>
          <w:color w:val="000000" w:themeColor="text1"/>
        </w:rPr>
        <w:t xml:space="preserve"> pathway for construction of new specified infrastructure on HPL in clause 3.9(2)(j)(</w:t>
      </w:r>
      <w:proofErr w:type="spellStart"/>
      <w:r w:rsidRPr="67DDA0F7">
        <w:rPr>
          <w:rStyle w:val="normaltextrun"/>
          <w:rFonts w:eastAsia="Calibri" w:cs="Calibri"/>
          <w:color w:val="000000" w:themeColor="text1"/>
        </w:rPr>
        <w:t>i</w:t>
      </w:r>
      <w:proofErr w:type="spellEnd"/>
      <w:r w:rsidRPr="67DDA0F7">
        <w:rPr>
          <w:rStyle w:val="normaltextrun"/>
          <w:rFonts w:eastAsia="Calibri" w:cs="Calibri"/>
          <w:color w:val="000000" w:themeColor="text1"/>
        </w:rPr>
        <w:t>)</w:t>
      </w:r>
      <w:r>
        <w:rPr>
          <w:rStyle w:val="normaltextrun"/>
          <w:rFonts w:eastAsia="Calibri" w:cs="Calibri"/>
          <w:color w:val="000000" w:themeColor="text1"/>
        </w:rPr>
        <w:t>.</w:t>
      </w:r>
    </w:p>
    <w:p w14:paraId="133A11A1" w14:textId="77777777" w:rsidR="00202231" w:rsidRDefault="00202231" w:rsidP="00202231">
      <w:pPr>
        <w:pStyle w:val="Numberedparagraph"/>
        <w:numPr>
          <w:ilvl w:val="0"/>
          <w:numId w:val="38"/>
        </w:numPr>
        <w:rPr>
          <w:rStyle w:val="normaltextrun"/>
          <w:rFonts w:eastAsia="Calibri" w:cs="Calibri"/>
          <w:color w:val="000000" w:themeColor="text1"/>
        </w:rPr>
      </w:pPr>
      <w:r w:rsidRPr="67DDA0F7">
        <w:rPr>
          <w:rStyle w:val="normaltextrun"/>
          <w:rFonts w:eastAsia="Calibri" w:cs="Calibri"/>
          <w:color w:val="000000" w:themeColor="text1"/>
        </w:rPr>
        <w:t xml:space="preserve">The </w:t>
      </w:r>
      <w:r w:rsidRPr="290FA620">
        <w:rPr>
          <w:rStyle w:val="normaltextrun"/>
          <w:rFonts w:eastAsia="Calibri" w:cs="Calibri"/>
          <w:color w:val="000000" w:themeColor="text1"/>
        </w:rPr>
        <w:t>lack</w:t>
      </w:r>
      <w:r w:rsidRPr="67DDA0F7">
        <w:rPr>
          <w:rStyle w:val="normaltextrun"/>
          <w:rFonts w:eastAsia="Calibri" w:cs="Calibri"/>
          <w:color w:val="000000" w:themeColor="text1"/>
        </w:rPr>
        <w:t xml:space="preserve"> of a clear </w:t>
      </w:r>
      <w:r>
        <w:rPr>
          <w:rStyle w:val="normaltextrun"/>
          <w:rFonts w:eastAsia="Calibri" w:cs="Calibri"/>
          <w:color w:val="000000" w:themeColor="text1"/>
        </w:rPr>
        <w:t>consent</w:t>
      </w:r>
      <w:r w:rsidRPr="67DDA0F7">
        <w:rPr>
          <w:rStyle w:val="normaltextrun"/>
          <w:rFonts w:eastAsia="Calibri" w:cs="Calibri"/>
          <w:color w:val="000000" w:themeColor="text1"/>
        </w:rPr>
        <w:t xml:space="preserve"> pathway for develop</w:t>
      </w:r>
      <w:r>
        <w:rPr>
          <w:rStyle w:val="normaltextrun"/>
          <w:rFonts w:eastAsia="Calibri" w:cs="Calibri"/>
          <w:color w:val="000000" w:themeColor="text1"/>
        </w:rPr>
        <w:t>ing</w:t>
      </w:r>
      <w:r w:rsidRPr="67DDA0F7">
        <w:rPr>
          <w:rStyle w:val="normaltextrun"/>
          <w:rFonts w:eastAsia="Calibri" w:cs="Calibri"/>
          <w:color w:val="000000" w:themeColor="text1"/>
        </w:rPr>
        <w:t xml:space="preserve"> and relocat</w:t>
      </w:r>
      <w:r>
        <w:rPr>
          <w:rStyle w:val="normaltextrun"/>
          <w:rFonts w:eastAsia="Calibri" w:cs="Calibri"/>
          <w:color w:val="000000" w:themeColor="text1"/>
        </w:rPr>
        <w:t>ing</w:t>
      </w:r>
      <w:r w:rsidRPr="67DDA0F7">
        <w:rPr>
          <w:rStyle w:val="normaltextrun"/>
          <w:rFonts w:eastAsia="Calibri" w:cs="Calibri"/>
          <w:color w:val="000000" w:themeColor="text1"/>
        </w:rPr>
        <w:t xml:space="preserve"> intensive indoor primary production and greenhouses </w:t>
      </w:r>
      <w:r w:rsidRPr="0758FAEE">
        <w:rPr>
          <w:rStyle w:val="normaltextrun"/>
          <w:rFonts w:eastAsia="Calibri" w:cs="Calibri"/>
          <w:color w:val="000000" w:themeColor="text1"/>
        </w:rPr>
        <w:t>on HPL.</w:t>
      </w:r>
    </w:p>
    <w:p w14:paraId="35C2FABF" w14:textId="77777777" w:rsidR="00202231" w:rsidDel="002B4927" w:rsidRDefault="00202231" w:rsidP="00202231">
      <w:pPr>
        <w:pStyle w:val="BodyText"/>
        <w:rPr>
          <w:rStyle w:val="normaltextrun"/>
          <w:rFonts w:eastAsia="Calibri" w:cs="Calibri"/>
          <w:color w:val="000000" w:themeColor="text1"/>
        </w:rPr>
      </w:pPr>
      <w:r w:rsidRPr="7FEDF33A">
        <w:rPr>
          <w:rStyle w:val="normaltextrun"/>
          <w:rFonts w:cs="Calibri"/>
          <w:color w:val="000000" w:themeColor="text1"/>
        </w:rPr>
        <w:t>The Ministry for the Environment (MfE) and the Ministry for Primary Industries (MPI)</w:t>
      </w:r>
      <w:r w:rsidRPr="7FEDF33A">
        <w:rPr>
          <w:rFonts w:eastAsia="Calibri" w:cs="Calibri"/>
        </w:rPr>
        <w:t xml:space="preserve"> </w:t>
      </w:r>
      <w:r>
        <w:rPr>
          <w:rFonts w:eastAsia="Calibri" w:cs="Calibri"/>
        </w:rPr>
        <w:t>consider</w:t>
      </w:r>
      <w:r w:rsidRPr="005A392D">
        <w:rPr>
          <w:rFonts w:eastAsia="Calibri" w:cs="Calibri"/>
        </w:rPr>
        <w:t xml:space="preserve"> </w:t>
      </w:r>
      <w:r>
        <w:rPr>
          <w:rFonts w:eastAsia="Calibri" w:cs="Calibri"/>
        </w:rPr>
        <w:t xml:space="preserve">these two issues </w:t>
      </w:r>
      <w:r w:rsidRPr="7FEDF33A">
        <w:rPr>
          <w:rFonts w:eastAsia="Calibri" w:cs="Calibri"/>
        </w:rPr>
        <w:t>warrant further consideration and consultation.</w:t>
      </w:r>
    </w:p>
    <w:p w14:paraId="141A4024" w14:textId="77777777" w:rsidR="00202231" w:rsidRPr="00015D78" w:rsidRDefault="00202231" w:rsidP="00202231">
      <w:pPr>
        <w:pStyle w:val="BodyText"/>
        <w:rPr>
          <w:color w:val="6CA2C4"/>
        </w:rPr>
      </w:pPr>
      <w:r w:rsidRPr="7FEDF33A">
        <w:rPr>
          <w:rFonts w:eastAsia="Calibri" w:cs="Calibri"/>
        </w:rPr>
        <w:t>The</w:t>
      </w:r>
      <w:r>
        <w:rPr>
          <w:rFonts w:eastAsia="Calibri" w:cs="Calibri"/>
        </w:rPr>
        <w:t xml:space="preserve"> issues are </w:t>
      </w:r>
      <w:r w:rsidRPr="7657AAE3">
        <w:rPr>
          <w:rFonts w:eastAsia="Calibri" w:cs="Calibri"/>
        </w:rPr>
        <w:t>considered separate policy matters</w:t>
      </w:r>
      <w:r>
        <w:rPr>
          <w:rFonts w:eastAsia="Calibri" w:cs="Calibri"/>
        </w:rPr>
        <w:t xml:space="preserve"> so are </w:t>
      </w:r>
      <w:r w:rsidRPr="7FEDF33A">
        <w:rPr>
          <w:rFonts w:eastAsia="Calibri" w:cs="Calibri"/>
        </w:rPr>
        <w:t xml:space="preserve">discussed separately </w:t>
      </w:r>
      <w:r>
        <w:rPr>
          <w:rFonts w:eastAsia="Calibri" w:cs="Calibri"/>
        </w:rPr>
        <w:t>in</w:t>
      </w:r>
      <w:r w:rsidRPr="7FEDF33A">
        <w:rPr>
          <w:rFonts w:eastAsia="Calibri" w:cs="Calibri"/>
        </w:rPr>
        <w:t xml:space="preserve"> this document. </w:t>
      </w:r>
    </w:p>
    <w:p w14:paraId="27E3CAC5" w14:textId="5C5EA3D4" w:rsidR="0080531E" w:rsidRPr="00F06E0B" w:rsidRDefault="00202231" w:rsidP="0066352E">
      <w:pPr>
        <w:pStyle w:val="Heading2"/>
      </w:pPr>
      <w:bookmarkStart w:id="4" w:name="_Toc144381356"/>
      <w:r w:rsidRPr="7FEDF33A">
        <w:t xml:space="preserve">Issue 1: </w:t>
      </w:r>
      <w:r>
        <w:t>no clear</w:t>
      </w:r>
      <w:r w:rsidRPr="003247BE">
        <w:t xml:space="preserve"> </w:t>
      </w:r>
      <w:r w:rsidRPr="7FEDF33A">
        <w:t>pathway for new specified infrastructure</w:t>
      </w:r>
      <w:r w:rsidRPr="00681175">
        <w:t xml:space="preserve"> </w:t>
      </w:r>
      <w:r w:rsidRPr="7FEDF33A">
        <w:t>is provided</w:t>
      </w:r>
      <w:bookmarkEnd w:id="3"/>
      <w:bookmarkEnd w:id="4"/>
    </w:p>
    <w:p w14:paraId="6FF8C402" w14:textId="77777777" w:rsidR="00202231" w:rsidRDefault="00202231" w:rsidP="00202231">
      <w:pPr>
        <w:pStyle w:val="BodyText"/>
        <w:rPr>
          <w:rFonts w:eastAsia="Calibri" w:cs="Calibri"/>
          <w:color w:val="000000" w:themeColor="text1"/>
        </w:rPr>
      </w:pPr>
      <w:r>
        <w:rPr>
          <w:rFonts w:eastAsia="Calibri" w:cs="Calibri"/>
          <w:color w:val="000000" w:themeColor="text1"/>
        </w:rPr>
        <w:t>A</w:t>
      </w:r>
      <w:r w:rsidRPr="67DDA0F7">
        <w:rPr>
          <w:rFonts w:eastAsia="Calibri" w:cs="Calibri"/>
          <w:color w:val="000000" w:themeColor="text1"/>
        </w:rPr>
        <w:t>s worded</w:t>
      </w:r>
      <w:r>
        <w:rPr>
          <w:rFonts w:eastAsia="Calibri" w:cs="Calibri"/>
          <w:color w:val="000000" w:themeColor="text1"/>
        </w:rPr>
        <w:t>, t</w:t>
      </w:r>
      <w:r w:rsidRPr="67DDA0F7">
        <w:rPr>
          <w:rFonts w:eastAsia="Calibri" w:cs="Calibri"/>
          <w:color w:val="000000" w:themeColor="text1"/>
        </w:rPr>
        <w:t xml:space="preserve">he NPS-HPL </w:t>
      </w:r>
      <w:r>
        <w:rPr>
          <w:rFonts w:eastAsia="Calibri" w:cs="Calibri"/>
          <w:color w:val="000000" w:themeColor="text1"/>
        </w:rPr>
        <w:t xml:space="preserve">does not provide </w:t>
      </w:r>
      <w:r>
        <w:t>a clear consent pathway</w:t>
      </w:r>
      <w:r w:rsidRPr="67DDA0F7">
        <w:rPr>
          <w:rFonts w:eastAsia="Calibri" w:cs="Calibri"/>
          <w:color w:val="000000" w:themeColor="text1"/>
        </w:rPr>
        <w:t xml:space="preserve"> </w:t>
      </w:r>
      <w:r>
        <w:rPr>
          <w:rFonts w:eastAsia="Calibri" w:cs="Calibri"/>
          <w:color w:val="000000" w:themeColor="text1"/>
        </w:rPr>
        <w:t xml:space="preserve">for </w:t>
      </w:r>
      <w:r>
        <w:t xml:space="preserve">any person, company or organisation wishing to undertake development of new specified infrastructure on HPL, if they </w:t>
      </w:r>
      <w:r w:rsidRPr="0057085A">
        <w:t>are</w:t>
      </w:r>
      <w:r>
        <w:t xml:space="preserve"> not a requiring authority under the </w:t>
      </w:r>
      <w:r w:rsidRPr="67DDA0F7">
        <w:rPr>
          <w:rStyle w:val="normaltextrun"/>
          <w:rFonts w:eastAsia="Calibri" w:cs="Calibri"/>
          <w:color w:val="000000" w:themeColor="text1"/>
        </w:rPr>
        <w:t>Resource Management Act 1991 (RMA)</w:t>
      </w:r>
      <w:r>
        <w:t xml:space="preserve">. This </w:t>
      </w:r>
      <w:r w:rsidRPr="67DDA0F7">
        <w:rPr>
          <w:rStyle w:val="normaltextrun"/>
          <w:rFonts w:eastAsia="Calibri" w:cs="Calibri"/>
          <w:color w:val="000000" w:themeColor="text1"/>
        </w:rPr>
        <w:t xml:space="preserve">limits </w:t>
      </w:r>
      <w:r w:rsidRPr="003247BE">
        <w:rPr>
          <w:rStyle w:val="normaltextrun"/>
          <w:rFonts w:eastAsia="Calibri" w:cs="Calibri"/>
          <w:color w:val="000000" w:themeColor="text1"/>
        </w:rPr>
        <w:t>the ability to construct</w:t>
      </w:r>
      <w:r w:rsidRPr="67DDA0F7">
        <w:rPr>
          <w:rStyle w:val="normaltextrun"/>
          <w:rFonts w:eastAsia="Calibri" w:cs="Calibri"/>
          <w:color w:val="000000" w:themeColor="text1"/>
        </w:rPr>
        <w:t xml:space="preserve"> new specified infrastructure on HPL at pace</w:t>
      </w:r>
      <w:r>
        <w:rPr>
          <w:rStyle w:val="normaltextrun"/>
          <w:rFonts w:eastAsia="Calibri" w:cs="Calibri"/>
          <w:color w:val="000000" w:themeColor="text1"/>
        </w:rPr>
        <w:t>. It also limits</w:t>
      </w:r>
      <w:r w:rsidRPr="67DDA0F7">
        <w:rPr>
          <w:rStyle w:val="normaltextrun"/>
          <w:rFonts w:eastAsia="Calibri" w:cs="Calibri"/>
          <w:color w:val="000000" w:themeColor="text1"/>
        </w:rPr>
        <w:t xml:space="preserve"> certain providers</w:t>
      </w:r>
      <w:r>
        <w:rPr>
          <w:rStyle w:val="normaltextrun"/>
          <w:rFonts w:eastAsia="Calibri" w:cs="Calibri"/>
          <w:color w:val="000000" w:themeColor="text1"/>
        </w:rPr>
        <w:t>,</w:t>
      </w:r>
      <w:r w:rsidRPr="67DDA0F7">
        <w:rPr>
          <w:rStyle w:val="normaltextrun"/>
          <w:rFonts w:eastAsia="Calibri" w:cs="Calibri"/>
          <w:color w:val="000000" w:themeColor="text1"/>
        </w:rPr>
        <w:t xml:space="preserve"> such as renewable electricity generators or </w:t>
      </w:r>
      <w:r w:rsidRPr="003247BE">
        <w:rPr>
          <w:rStyle w:val="normaltextrun"/>
          <w:rFonts w:eastAsia="Calibri" w:cs="Calibri"/>
          <w:color w:val="000000" w:themeColor="text1"/>
        </w:rPr>
        <w:t>install</w:t>
      </w:r>
      <w:r w:rsidRPr="0057085A">
        <w:rPr>
          <w:rStyle w:val="normaltextrun"/>
          <w:rFonts w:eastAsia="Calibri" w:cs="Calibri"/>
          <w:color w:val="000000" w:themeColor="text1"/>
        </w:rPr>
        <w:t>ers</w:t>
      </w:r>
      <w:r w:rsidRPr="003247BE">
        <w:rPr>
          <w:rStyle w:val="normaltextrun"/>
          <w:rFonts w:eastAsia="Calibri" w:cs="Calibri"/>
          <w:color w:val="000000" w:themeColor="text1"/>
        </w:rPr>
        <w:t xml:space="preserve"> of fibre for broadband</w:t>
      </w:r>
      <w:r>
        <w:rPr>
          <w:rStyle w:val="normaltextrun"/>
          <w:rFonts w:eastAsia="Calibri" w:cs="Calibri"/>
          <w:color w:val="000000" w:themeColor="text1"/>
        </w:rPr>
        <w:t>, who are not requiring authorities</w:t>
      </w:r>
      <w:r w:rsidRPr="67DDA0F7">
        <w:rPr>
          <w:rStyle w:val="normaltextrun"/>
          <w:rFonts w:eastAsia="Calibri" w:cs="Calibri"/>
          <w:color w:val="000000" w:themeColor="text1"/>
        </w:rPr>
        <w:t>.</w:t>
      </w:r>
      <w:r w:rsidRPr="67DDA0F7">
        <w:rPr>
          <w:rFonts w:eastAsia="Calibri" w:cs="Calibri"/>
          <w:color w:val="000000" w:themeColor="text1"/>
        </w:rPr>
        <w:t xml:space="preserve"> </w:t>
      </w:r>
    </w:p>
    <w:p w14:paraId="35846B93" w14:textId="77777777" w:rsidR="00202231" w:rsidRDefault="00202231" w:rsidP="00202231">
      <w:pPr>
        <w:pStyle w:val="Heading3"/>
      </w:pPr>
      <w:bookmarkStart w:id="5" w:name="_Toc144210850"/>
      <w:r w:rsidRPr="035C5BAC">
        <w:t>Preferred option to provide for the construction of new specified infrastructure</w:t>
      </w:r>
      <w:bookmarkEnd w:id="5"/>
    </w:p>
    <w:p w14:paraId="341FC124" w14:textId="77777777" w:rsidR="00202231" w:rsidRPr="00890F2C" w:rsidRDefault="00202231" w:rsidP="00202231">
      <w:pPr>
        <w:pStyle w:val="BodyText"/>
      </w:pPr>
      <w:r w:rsidRPr="00890F2C">
        <w:t>The preferred option for addressing the lack of clarity in clause 3.9(2)(j)(</w:t>
      </w:r>
      <w:proofErr w:type="spellStart"/>
      <w:r w:rsidRPr="00890F2C">
        <w:t>i</w:t>
      </w:r>
      <w:proofErr w:type="spellEnd"/>
      <w:r w:rsidRPr="00890F2C">
        <w:t xml:space="preserve">) is to include the word ‘construction’. This would provide a clear </w:t>
      </w:r>
      <w:r w:rsidRPr="00890F2C">
        <w:rPr>
          <w:rStyle w:val="normaltextrun"/>
        </w:rPr>
        <w:t xml:space="preserve">consent </w:t>
      </w:r>
      <w:r w:rsidRPr="00890F2C">
        <w:t xml:space="preserve">pathway for the construction of new specified infrastructure on HPL. </w:t>
      </w:r>
    </w:p>
    <w:p w14:paraId="41415AA5" w14:textId="77777777" w:rsidR="00202231" w:rsidRPr="00890F2C" w:rsidRDefault="00202231" w:rsidP="00202231">
      <w:pPr>
        <w:pStyle w:val="BodyText"/>
      </w:pPr>
      <w:r w:rsidRPr="00890F2C">
        <w:t xml:space="preserve">The pathway would be subject to the existing checks and balances in clause 3.9, to ensure the need to locate infrastructure on HPL is weighed up against the potential loss of available HPL. </w:t>
      </w:r>
      <w:r>
        <w:t>This</w:t>
      </w:r>
      <w:r w:rsidRPr="00890F2C">
        <w:t xml:space="preserve"> amendment may result in further losses of HPL to infrastructure, </w:t>
      </w:r>
      <w:proofErr w:type="gramStart"/>
      <w:r w:rsidRPr="00890F2C">
        <w:t>in particular to</w:t>
      </w:r>
      <w:proofErr w:type="gramEnd"/>
      <w:r w:rsidRPr="00890F2C">
        <w:t xml:space="preserve"> solar farms. </w:t>
      </w:r>
    </w:p>
    <w:p w14:paraId="033F3A3F" w14:textId="77777777" w:rsidR="00202231" w:rsidRDefault="00202231" w:rsidP="00202231">
      <w:pPr>
        <w:pStyle w:val="Heading2"/>
      </w:pPr>
      <w:bookmarkStart w:id="6" w:name="_Toc144210851"/>
      <w:bookmarkStart w:id="7" w:name="_Toc144381357"/>
      <w:r w:rsidRPr="7FEDF33A">
        <w:lastRenderedPageBreak/>
        <w:t>Issue 2: no clear pathway for new intensive indoor primary production and greenhouses</w:t>
      </w:r>
      <w:bookmarkEnd w:id="6"/>
      <w:bookmarkEnd w:id="7"/>
    </w:p>
    <w:p w14:paraId="2BAA2F3F" w14:textId="77777777" w:rsidR="00202231" w:rsidRPr="004D20C7" w:rsidDel="002F2989" w:rsidRDefault="00202231" w:rsidP="00202231">
      <w:pPr>
        <w:pStyle w:val="BodyText"/>
      </w:pPr>
      <w:r w:rsidRPr="67DDA0F7">
        <w:t>Th</w:t>
      </w:r>
      <w:r>
        <w:t xml:space="preserve">is </w:t>
      </w:r>
      <w:r w:rsidRPr="67DDA0F7">
        <w:t xml:space="preserve">issue </w:t>
      </w:r>
      <w:r w:rsidRPr="1A541A84">
        <w:t>was</w:t>
      </w:r>
      <w:r w:rsidRPr="67DDA0F7">
        <w:t xml:space="preserve"> raised by the primary sector. The NPS-HPL lacks a clear </w:t>
      </w:r>
      <w:r>
        <w:t>consent</w:t>
      </w:r>
      <w:r w:rsidRPr="67DDA0F7">
        <w:t xml:space="preserve"> pathway for intensive indoor primary production and greenhouses </w:t>
      </w:r>
      <w:r w:rsidRPr="007E0755">
        <w:t>to test their</w:t>
      </w:r>
      <w:r w:rsidRPr="67DDA0F7">
        <w:t xml:space="preserve"> functional or operational need to</w:t>
      </w:r>
      <w:r>
        <w:t xml:space="preserve"> be</w:t>
      </w:r>
      <w:r w:rsidRPr="67DDA0F7">
        <w:t xml:space="preserve"> locate</w:t>
      </w:r>
      <w:r>
        <w:t>d</w:t>
      </w:r>
      <w:r w:rsidRPr="67DDA0F7">
        <w:t xml:space="preserve"> on HPL</w:t>
      </w:r>
      <w:r>
        <w:t>. T</w:t>
      </w:r>
      <w:r w:rsidRPr="67DDA0F7">
        <w:t>h</w:t>
      </w:r>
      <w:r>
        <w:t>is</w:t>
      </w:r>
      <w:r w:rsidRPr="67DDA0F7">
        <w:t xml:space="preserve"> </w:t>
      </w:r>
      <w:r>
        <w:t xml:space="preserve">type of </w:t>
      </w:r>
      <w:r w:rsidRPr="39E53963">
        <w:t>production contributes</w:t>
      </w:r>
      <w:r w:rsidRPr="67DDA0F7">
        <w:t xml:space="preserve"> to a diverse and resilient primary </w:t>
      </w:r>
      <w:r w:rsidRPr="67DDA0F7" w:rsidDel="00CE1925">
        <w:t>sector</w:t>
      </w:r>
      <w:r w:rsidRPr="67DDA0F7">
        <w:t xml:space="preserve">. </w:t>
      </w:r>
    </w:p>
    <w:p w14:paraId="3AE34BBF" w14:textId="77777777" w:rsidR="00202231" w:rsidRDefault="00202231" w:rsidP="00202231">
      <w:pPr>
        <w:pStyle w:val="Heading3"/>
      </w:pPr>
      <w:bookmarkStart w:id="8" w:name="_Toc144210852"/>
      <w:r>
        <w:t>Opti</w:t>
      </w:r>
      <w:r w:rsidRPr="0ABCA569">
        <w:t>ons to provide for the development and relocation of intensive indoor primary production and greenhouses on HPL</w:t>
      </w:r>
      <w:bookmarkEnd w:id="8"/>
    </w:p>
    <w:p w14:paraId="3CDDB049" w14:textId="77777777" w:rsidR="00202231" w:rsidRPr="00FD3991" w:rsidRDefault="00202231" w:rsidP="00202231">
      <w:pPr>
        <w:pStyle w:val="BodyText"/>
      </w:pPr>
      <w:r w:rsidRPr="728616BB">
        <w:t>An option</w:t>
      </w:r>
      <w:r>
        <w:t xml:space="preserve"> </w:t>
      </w:r>
      <w:r w:rsidRPr="728616BB">
        <w:t>to provide for intensive indoor primary production and greenhouses has been assessed against retaining the NPS-HPL as written (the status quo), but</w:t>
      </w:r>
      <w:r w:rsidRPr="728616BB">
        <w:rPr>
          <w:rStyle w:val="normaltextrun"/>
          <w:rFonts w:eastAsia="Calibri" w:cs="Calibri"/>
        </w:rPr>
        <w:t xml:space="preserve"> </w:t>
      </w:r>
      <w:r w:rsidRPr="728616BB">
        <w:rPr>
          <w:rStyle w:val="normaltextrun"/>
        </w:rPr>
        <w:t>there is no preference for this option over keeping the status quo.</w:t>
      </w:r>
      <w:r w:rsidRPr="728616BB">
        <w:rPr>
          <w:rStyle w:val="normaltextrun"/>
          <w:rFonts w:eastAsia="Calibri" w:cs="Calibri"/>
        </w:rPr>
        <w:t xml:space="preserve"> Further evidence is required to justify a change from the status quo. </w:t>
      </w:r>
      <w:r>
        <w:t xml:space="preserve"> </w:t>
      </w:r>
    </w:p>
    <w:p w14:paraId="1FC0A874" w14:textId="6CD2EFB8" w:rsidR="00202231" w:rsidRDefault="00202231" w:rsidP="00202231">
      <w:pPr>
        <w:pStyle w:val="BodyText"/>
        <w:rPr>
          <w:rFonts w:ascii="Arial" w:eastAsia="Arial" w:hAnsi="Arial" w:cs="Arial"/>
        </w:rPr>
      </w:pPr>
      <w:r w:rsidRPr="4EE85A75">
        <w:rPr>
          <w:rStyle w:val="normaltextrun"/>
          <w:rFonts w:eastAsia="Calibri" w:cs="Calibri"/>
          <w:color w:val="000000" w:themeColor="text1"/>
        </w:rPr>
        <w:t xml:space="preserve">The issues raised by primary sector stakeholders warrant further consideration. Their concerns, however, must be balanced with the need to protect HPL for use in land-based primary production, both now and for future generations. </w:t>
      </w:r>
      <w:r w:rsidRPr="4EE85A75">
        <w:rPr>
          <w:rFonts w:ascii="Arial" w:eastAsia="Arial" w:hAnsi="Arial" w:cs="Arial"/>
        </w:rPr>
        <w:t xml:space="preserve"> </w:t>
      </w:r>
    </w:p>
    <w:p w14:paraId="73435B2E" w14:textId="77777777" w:rsidR="00202231" w:rsidRDefault="00202231">
      <w:pPr>
        <w:spacing w:before="0" w:after="200" w:line="276" w:lineRule="auto"/>
        <w:jc w:val="left"/>
        <w:rPr>
          <w:rFonts w:ascii="Arial" w:eastAsia="Arial" w:hAnsi="Arial" w:cs="Arial"/>
        </w:rPr>
      </w:pPr>
      <w:r>
        <w:rPr>
          <w:rFonts w:ascii="Arial" w:eastAsia="Arial" w:hAnsi="Arial" w:cs="Arial"/>
        </w:rPr>
        <w:br w:type="page"/>
      </w:r>
    </w:p>
    <w:p w14:paraId="79FC13E2" w14:textId="77777777" w:rsidR="00202231" w:rsidRDefault="00202231" w:rsidP="00202231">
      <w:pPr>
        <w:pStyle w:val="Heading1"/>
      </w:pPr>
      <w:bookmarkStart w:id="9" w:name="_Toc144210853"/>
      <w:bookmarkStart w:id="10" w:name="_Toc144381358"/>
      <w:r>
        <w:lastRenderedPageBreak/>
        <w:t>About the National Policy Statement for Highly Productive Land</w:t>
      </w:r>
      <w:bookmarkEnd w:id="9"/>
      <w:bookmarkEnd w:id="10"/>
    </w:p>
    <w:p w14:paraId="5693D14B" w14:textId="77777777" w:rsidR="00202231" w:rsidRPr="00131992" w:rsidRDefault="00202231" w:rsidP="00202231">
      <w:pPr>
        <w:pStyle w:val="BodyText"/>
      </w:pPr>
      <w:r>
        <w:t>The NPS-HPL came into effect on 17 October 2022. It states how highly productive land (HPL) should be managed under the Resource Management Act 1991 (RMA). The NPS-HPL addresses the incremental loss of HPL from urban rezoning, fragmentation of rural land for lifestyle purposes, development, and other uses that do not rely on the soil resource.</w:t>
      </w:r>
    </w:p>
    <w:p w14:paraId="2DE48067" w14:textId="617D6087" w:rsidR="00B269C3" w:rsidRDefault="00B269C3" w:rsidP="00202231">
      <w:pPr>
        <w:pStyle w:val="BodyText"/>
        <w:rPr>
          <w:rFonts w:eastAsia="Calibri" w:cs="Calibri"/>
          <w:color w:val="000000" w:themeColor="text1"/>
        </w:rPr>
      </w:pPr>
      <w:r w:rsidRPr="00B269C3">
        <w:rPr>
          <w:rFonts w:eastAsia="Calibri" w:cs="Calibri"/>
          <w:color w:val="000000" w:themeColor="text1"/>
        </w:rPr>
        <w:t xml:space="preserve">HPL is situated on some of the most inherently fertile soil and is suitable for a range of rural land use activities; it </w:t>
      </w:r>
      <w:proofErr w:type="gramStart"/>
      <w:r w:rsidRPr="00B269C3">
        <w:rPr>
          <w:rFonts w:eastAsia="Calibri" w:cs="Calibri"/>
          <w:color w:val="000000" w:themeColor="text1"/>
        </w:rPr>
        <w:t>is located in</w:t>
      </w:r>
      <w:proofErr w:type="gramEnd"/>
      <w:r w:rsidRPr="00B269C3">
        <w:rPr>
          <w:rFonts w:eastAsia="Calibri" w:cs="Calibri"/>
          <w:color w:val="000000" w:themeColor="text1"/>
        </w:rPr>
        <w:t xml:space="preserve"> areas with generally good climate and is flat </w:t>
      </w:r>
      <w:r w:rsidR="008115D6">
        <w:rPr>
          <w:rFonts w:eastAsia="Calibri" w:cs="Calibri"/>
          <w:color w:val="000000" w:themeColor="text1"/>
        </w:rPr>
        <w:t>or</w:t>
      </w:r>
      <w:r w:rsidRPr="00B269C3">
        <w:rPr>
          <w:rFonts w:eastAsia="Calibri" w:cs="Calibri"/>
          <w:color w:val="000000" w:themeColor="text1"/>
        </w:rPr>
        <w:t xml:space="preserve"> rolling. Soil is formed through a complex interaction of climate, underlying geological material, vegetation, animal grazing, management, microorganisms, topography and other factors. Land with an ideal mix of these characteristics is highly suitable for land-based primary production, as it is easier to cultivate and requires less irrigation and fertiliser</w:t>
      </w:r>
      <w:r>
        <w:rPr>
          <w:rFonts w:eastAsia="Calibri" w:cs="Calibri"/>
          <w:color w:val="000000" w:themeColor="text1"/>
        </w:rPr>
        <w:t>.</w:t>
      </w:r>
    </w:p>
    <w:p w14:paraId="0FBC1B7F" w14:textId="7BE67E90" w:rsidR="00202231" w:rsidRDefault="00202231" w:rsidP="00202231">
      <w:pPr>
        <w:pStyle w:val="BodyText"/>
        <w:rPr>
          <w:rFonts w:eastAsia="Calibri" w:cs="Calibri"/>
        </w:rPr>
      </w:pPr>
      <w:r>
        <w:t xml:space="preserve">HPL is a limited and non-renewable resource that is required for </w:t>
      </w:r>
      <w:r w:rsidRPr="00E673B9">
        <w:rPr>
          <w:rStyle w:val="normaltextrun"/>
          <w:rFonts w:eastAsia="Calibri" w:cs="Calibri"/>
          <w:color w:val="000000" w:themeColor="text1"/>
        </w:rPr>
        <w:t>land-based primary production, both now and for future generations</w:t>
      </w:r>
      <w:r w:rsidRPr="7C0AF724">
        <w:rPr>
          <w:rStyle w:val="FootnoteReference"/>
          <w:rFonts w:eastAsia="Calibri" w:cs="Calibri"/>
          <w:color w:val="000000" w:themeColor="text1"/>
        </w:rPr>
        <w:footnoteReference w:id="2"/>
      </w:r>
      <w:r w:rsidRPr="00E673B9">
        <w:rPr>
          <w:rStyle w:val="normaltextrun"/>
          <w:rFonts w:eastAsia="Calibri" w:cs="Calibri"/>
          <w:color w:val="000000" w:themeColor="text1"/>
        </w:rPr>
        <w:t>.</w:t>
      </w:r>
    </w:p>
    <w:p w14:paraId="3E77909B" w14:textId="77777777" w:rsidR="00202231" w:rsidRDefault="00202231" w:rsidP="00202231">
      <w:pPr>
        <w:pStyle w:val="BodyText"/>
        <w:rPr>
          <w:rFonts w:eastAsia="Calibri" w:cs="Calibri"/>
          <w:color w:val="000000" w:themeColor="text1"/>
        </w:rPr>
      </w:pPr>
      <w:r>
        <w:rPr>
          <w:rFonts w:eastAsia="Calibri" w:cs="Calibri"/>
        </w:rPr>
        <w:t>T</w:t>
      </w:r>
      <w:r w:rsidRPr="7FEDF33A">
        <w:rPr>
          <w:rFonts w:eastAsia="Calibri" w:cs="Calibri"/>
        </w:rPr>
        <w:t>he NPS-HPL</w:t>
      </w:r>
      <w:r>
        <w:rPr>
          <w:rFonts w:eastAsia="Calibri" w:cs="Calibri"/>
        </w:rPr>
        <w:t xml:space="preserve"> </w:t>
      </w:r>
      <w:r w:rsidRPr="584A183D">
        <w:rPr>
          <w:rFonts w:eastAsia="Calibri" w:cs="Calibri"/>
        </w:rPr>
        <w:t>categorises</w:t>
      </w:r>
      <w:r>
        <w:rPr>
          <w:rFonts w:eastAsia="Calibri" w:cs="Calibri"/>
        </w:rPr>
        <w:t xml:space="preserve"> land into</w:t>
      </w:r>
      <w:r w:rsidRPr="7FEDF33A">
        <w:rPr>
          <w:rFonts w:eastAsia="Calibri" w:cs="Calibri"/>
          <w:color w:val="000000" w:themeColor="text1"/>
        </w:rPr>
        <w:t xml:space="preserve"> eight classes based on its long-term potential for sustained primary production. </w:t>
      </w:r>
      <w:r>
        <w:rPr>
          <w:rFonts w:eastAsia="Calibri" w:cs="Calibri"/>
          <w:color w:val="000000" w:themeColor="text1"/>
        </w:rPr>
        <w:t>It uses the Land Use C</w:t>
      </w:r>
      <w:r w:rsidRPr="7FEDF33A">
        <w:rPr>
          <w:rFonts w:eastAsia="Calibri" w:cs="Calibri"/>
          <w:color w:val="000000" w:themeColor="text1"/>
        </w:rPr>
        <w:t xml:space="preserve">apability (LUC) </w:t>
      </w:r>
      <w:r>
        <w:rPr>
          <w:rFonts w:eastAsia="Calibri" w:cs="Calibri"/>
          <w:color w:val="000000" w:themeColor="text1"/>
        </w:rPr>
        <w:t>c</w:t>
      </w:r>
      <w:r w:rsidRPr="7FEDF33A">
        <w:rPr>
          <w:rFonts w:eastAsia="Calibri" w:cs="Calibri"/>
          <w:color w:val="000000" w:themeColor="text1"/>
        </w:rPr>
        <w:t xml:space="preserve">lassification </w:t>
      </w:r>
      <w:r>
        <w:rPr>
          <w:rFonts w:eastAsia="Calibri" w:cs="Calibri"/>
          <w:color w:val="000000" w:themeColor="text1"/>
        </w:rPr>
        <w:t>s</w:t>
      </w:r>
      <w:r w:rsidRPr="7FEDF33A">
        <w:rPr>
          <w:rFonts w:eastAsia="Calibri" w:cs="Calibri"/>
          <w:color w:val="000000" w:themeColor="text1"/>
        </w:rPr>
        <w:t>ystem</w:t>
      </w:r>
      <w:r>
        <w:rPr>
          <w:rFonts w:eastAsia="Calibri" w:cs="Calibri"/>
          <w:color w:val="000000" w:themeColor="text1"/>
        </w:rPr>
        <w:t xml:space="preserve"> where class</w:t>
      </w:r>
      <w:r w:rsidRPr="7FEDF33A">
        <w:rPr>
          <w:rFonts w:eastAsia="Calibri" w:cs="Calibri"/>
          <w:color w:val="000000" w:themeColor="text1"/>
        </w:rPr>
        <w:t xml:space="preserve"> 1 land is the most versatile </w:t>
      </w:r>
      <w:proofErr w:type="gramStart"/>
      <w:r w:rsidRPr="7FEDF33A">
        <w:rPr>
          <w:rFonts w:eastAsia="Calibri" w:cs="Calibri"/>
          <w:color w:val="000000" w:themeColor="text1"/>
        </w:rPr>
        <w:t>land</w:t>
      </w:r>
      <w:r>
        <w:rPr>
          <w:rFonts w:eastAsia="Calibri" w:cs="Calibri"/>
          <w:color w:val="000000" w:themeColor="text1"/>
        </w:rPr>
        <w:t>, and</w:t>
      </w:r>
      <w:proofErr w:type="gramEnd"/>
      <w:r w:rsidRPr="7FEDF33A">
        <w:rPr>
          <w:rFonts w:eastAsia="Calibri" w:cs="Calibri"/>
          <w:color w:val="000000" w:themeColor="text1"/>
        </w:rPr>
        <w:t xml:space="preserve"> </w:t>
      </w:r>
      <w:r>
        <w:rPr>
          <w:rFonts w:eastAsia="Calibri" w:cs="Calibri"/>
          <w:color w:val="000000" w:themeColor="text1"/>
        </w:rPr>
        <w:t xml:space="preserve">is </w:t>
      </w:r>
      <w:r w:rsidRPr="7FEDF33A">
        <w:rPr>
          <w:rFonts w:eastAsia="Calibri" w:cs="Calibri"/>
          <w:color w:val="000000" w:themeColor="text1"/>
        </w:rPr>
        <w:t>suitable for a wide range of primary</w:t>
      </w:r>
      <w:r>
        <w:rPr>
          <w:rFonts w:eastAsia="Calibri" w:cs="Calibri"/>
          <w:color w:val="000000" w:themeColor="text1"/>
        </w:rPr>
        <w:t>-</w:t>
      </w:r>
      <w:r w:rsidRPr="7FEDF33A">
        <w:rPr>
          <w:rFonts w:eastAsia="Calibri" w:cs="Calibri"/>
          <w:color w:val="000000" w:themeColor="text1"/>
        </w:rPr>
        <w:t xml:space="preserve">production activities. Class 8 land is the least versatile for primary production and is typically </w:t>
      </w:r>
      <w:r>
        <w:rPr>
          <w:rFonts w:eastAsia="Calibri" w:cs="Calibri"/>
          <w:color w:val="000000" w:themeColor="text1"/>
        </w:rPr>
        <w:t>set aside</w:t>
      </w:r>
      <w:r w:rsidRPr="7FEDF33A">
        <w:rPr>
          <w:rFonts w:eastAsia="Calibri" w:cs="Calibri"/>
          <w:color w:val="000000" w:themeColor="text1"/>
        </w:rPr>
        <w:t xml:space="preserve"> for conservation. </w:t>
      </w:r>
      <w:r>
        <w:rPr>
          <w:rFonts w:eastAsia="Calibri" w:cs="Calibri"/>
          <w:color w:val="000000" w:themeColor="text1"/>
        </w:rPr>
        <w:t>Land in c</w:t>
      </w:r>
      <w:r w:rsidRPr="7FEDF33A">
        <w:rPr>
          <w:rFonts w:eastAsia="Calibri" w:cs="Calibri"/>
          <w:color w:val="000000" w:themeColor="text1"/>
        </w:rPr>
        <w:t xml:space="preserve">lasses 1, 2 and 3 </w:t>
      </w:r>
      <w:r>
        <w:rPr>
          <w:rFonts w:eastAsia="Calibri" w:cs="Calibri"/>
          <w:color w:val="000000" w:themeColor="text1"/>
        </w:rPr>
        <w:t>is</w:t>
      </w:r>
      <w:r w:rsidRPr="7FEDF33A">
        <w:rPr>
          <w:rFonts w:eastAsia="Calibri" w:cs="Calibri"/>
          <w:color w:val="000000" w:themeColor="text1"/>
        </w:rPr>
        <w:t xml:space="preserve"> generally regarded as the most </w:t>
      </w:r>
      <w:r>
        <w:rPr>
          <w:rFonts w:eastAsia="Calibri" w:cs="Calibri"/>
          <w:color w:val="000000" w:themeColor="text1"/>
        </w:rPr>
        <w:t xml:space="preserve">highly productive </w:t>
      </w:r>
      <w:r w:rsidRPr="7FEDF33A">
        <w:rPr>
          <w:rFonts w:eastAsia="Calibri" w:cs="Calibri"/>
          <w:color w:val="000000" w:themeColor="text1"/>
        </w:rPr>
        <w:t xml:space="preserve">in </w:t>
      </w:r>
      <w:r>
        <w:rPr>
          <w:rFonts w:eastAsia="Calibri" w:cs="Calibri"/>
          <w:color w:val="000000" w:themeColor="text1"/>
        </w:rPr>
        <w:t xml:space="preserve">Aotearoa </w:t>
      </w:r>
      <w:r w:rsidRPr="7FEDF33A">
        <w:rPr>
          <w:rFonts w:eastAsia="Calibri" w:cs="Calibri"/>
          <w:color w:val="000000" w:themeColor="text1"/>
        </w:rPr>
        <w:t xml:space="preserve">New Zealand. </w:t>
      </w:r>
    </w:p>
    <w:p w14:paraId="0BF3705D" w14:textId="77777777" w:rsidR="00202231" w:rsidRDefault="00202231" w:rsidP="00202231">
      <w:pPr>
        <w:pStyle w:val="BodyText"/>
        <w:rPr>
          <w:rFonts w:asciiTheme="minorHAnsi" w:hAnsiTheme="minorHAnsi"/>
        </w:rPr>
      </w:pPr>
      <w:r w:rsidRPr="4EE85A75">
        <w:rPr>
          <w:rFonts w:asciiTheme="minorHAnsi" w:hAnsiTheme="minorHAnsi"/>
        </w:rPr>
        <w:t xml:space="preserve">The NPS-HPL is agnostic as to the type of land-based primary production that is undertaken on HPL and has no requirement for HPL to be used to its maximum productive capacity. </w:t>
      </w:r>
    </w:p>
    <w:p w14:paraId="152A6266" w14:textId="77777777" w:rsidR="00202231" w:rsidRPr="00656446" w:rsidRDefault="00202231" w:rsidP="00202231">
      <w:pPr>
        <w:pStyle w:val="BodyText"/>
        <w:rPr>
          <w:i/>
        </w:rPr>
      </w:pPr>
      <w:r>
        <w:t xml:space="preserve">The primary objective of the NPS-HPL is to protect the soil resource for use in land-based primary production. </w:t>
      </w:r>
      <w:r w:rsidRPr="00656446">
        <w:t xml:space="preserve">This is achieved by </w:t>
      </w:r>
      <w:r>
        <w:t>advising</w:t>
      </w:r>
      <w:r w:rsidRPr="00656446">
        <w:t xml:space="preserve"> councils on how to identify and map HPL, and </w:t>
      </w:r>
      <w:r>
        <w:t>what</w:t>
      </w:r>
      <w:r w:rsidRPr="00656446">
        <w:t xml:space="preserve"> restrictions </w:t>
      </w:r>
      <w:r>
        <w:t>should be placed</w:t>
      </w:r>
      <w:r w:rsidRPr="00656446">
        <w:t xml:space="preserve"> on its subdivision, use and development.</w:t>
      </w:r>
      <w:r>
        <w:t xml:space="preserve"> </w:t>
      </w:r>
    </w:p>
    <w:p w14:paraId="583AA1E8" w14:textId="3F6B7C1C" w:rsidR="00202231" w:rsidRDefault="00202231" w:rsidP="00202231">
      <w:pPr>
        <w:pStyle w:val="BodyText"/>
        <w:rPr>
          <w:rFonts w:eastAsia="Calibri" w:cs="Calibri"/>
        </w:rPr>
      </w:pPr>
      <w:r w:rsidRPr="00656446">
        <w:rPr>
          <w:rStyle w:val="normaltextrun"/>
          <w:rFonts w:cs="Calibri"/>
        </w:rPr>
        <w:t>The NPS-HPL</w:t>
      </w:r>
      <w:r w:rsidRPr="035C5BAC">
        <w:rPr>
          <w:rStyle w:val="normaltextrun"/>
          <w:rFonts w:cs="Calibri"/>
        </w:rPr>
        <w:t xml:space="preserve"> </w:t>
      </w:r>
      <w:r>
        <w:rPr>
          <w:rStyle w:val="normaltextrun"/>
          <w:rFonts w:cs="Calibri"/>
        </w:rPr>
        <w:t>does, however, give</w:t>
      </w:r>
      <w:r>
        <w:t xml:space="preserve"> councils some flexibility to allow for </w:t>
      </w:r>
      <w:r w:rsidRPr="00936060">
        <w:t xml:space="preserve">certain activities that are </w:t>
      </w:r>
      <w:r>
        <w:t xml:space="preserve">not land-based primary production to occur on HPL in certain circumstances. These activities </w:t>
      </w:r>
      <w:r w:rsidRPr="035C5BAC">
        <w:rPr>
          <w:rStyle w:val="normaltextrun"/>
          <w:rFonts w:cs="Calibri"/>
        </w:rPr>
        <w:t xml:space="preserve">may deliver wider cultural, social, environmental and economic benefits. </w:t>
      </w:r>
      <w:r w:rsidRPr="007E0755">
        <w:rPr>
          <w:rFonts w:eastAsia="Calibri" w:cs="Calibri"/>
          <w:color w:val="000000" w:themeColor="text1"/>
        </w:rPr>
        <w:t xml:space="preserve">Consent </w:t>
      </w:r>
      <w:r w:rsidRPr="00936060">
        <w:rPr>
          <w:rFonts w:eastAsia="Calibri" w:cs="Calibri"/>
          <w:color w:val="000000" w:themeColor="text1"/>
        </w:rPr>
        <w:t xml:space="preserve">pathways </w:t>
      </w:r>
      <w:r w:rsidRPr="00336A62">
        <w:rPr>
          <w:rFonts w:eastAsia="Calibri" w:cs="Calibri"/>
          <w:color w:val="000000" w:themeColor="text1"/>
        </w:rPr>
        <w:t xml:space="preserve">in the NPS-HPL </w:t>
      </w:r>
      <w:r>
        <w:rPr>
          <w:rFonts w:eastAsia="Calibri" w:cs="Calibri"/>
          <w:color w:val="000000" w:themeColor="text1"/>
        </w:rPr>
        <w:t>are provided for non-</w:t>
      </w:r>
      <w:r w:rsidRPr="00936060">
        <w:rPr>
          <w:rFonts w:eastAsia="Calibri" w:cs="Calibri"/>
          <w:color w:val="000000" w:themeColor="text1"/>
        </w:rPr>
        <w:t>land</w:t>
      </w:r>
      <w:r>
        <w:rPr>
          <w:rFonts w:eastAsia="Calibri" w:cs="Calibri"/>
          <w:color w:val="000000" w:themeColor="text1"/>
        </w:rPr>
        <w:t>-</w:t>
      </w:r>
      <w:r w:rsidRPr="00936060">
        <w:rPr>
          <w:rFonts w:eastAsia="Calibri" w:cs="Calibri"/>
          <w:color w:val="000000" w:themeColor="text1"/>
        </w:rPr>
        <w:t xml:space="preserve">based activities to </w:t>
      </w:r>
      <w:r>
        <w:rPr>
          <w:rFonts w:eastAsia="Calibri" w:cs="Calibri"/>
          <w:color w:val="000000" w:themeColor="text1"/>
        </w:rPr>
        <w:t>occur</w:t>
      </w:r>
      <w:r w:rsidRPr="466999FA">
        <w:rPr>
          <w:rFonts w:eastAsia="Calibri" w:cs="Calibri"/>
          <w:color w:val="000000" w:themeColor="text1"/>
        </w:rPr>
        <w:t xml:space="preserve"> on HPL, subject to specific requirements</w:t>
      </w:r>
      <w:r w:rsidRPr="0027022E">
        <w:rPr>
          <w:rFonts w:eastAsia="Calibri" w:cs="Calibri"/>
          <w:color w:val="000000" w:themeColor="text1"/>
        </w:rPr>
        <w:t xml:space="preserve"> </w:t>
      </w:r>
      <w:r w:rsidRPr="466999FA">
        <w:rPr>
          <w:rFonts w:eastAsia="Calibri" w:cs="Calibri"/>
          <w:color w:val="000000" w:themeColor="text1"/>
        </w:rPr>
        <w:t>being met</w:t>
      </w:r>
      <w:r>
        <w:rPr>
          <w:rFonts w:eastAsia="Calibri" w:cs="Calibri"/>
          <w:color w:val="000000" w:themeColor="text1"/>
        </w:rPr>
        <w:t>. These include</w:t>
      </w:r>
      <w:r w:rsidRPr="466999FA">
        <w:rPr>
          <w:rFonts w:eastAsia="Calibri" w:cs="Calibri"/>
          <w:color w:val="000000" w:themeColor="text1"/>
        </w:rPr>
        <w:t xml:space="preserve"> functional or operational tests</w:t>
      </w:r>
      <w:r w:rsidRPr="7657AAE3">
        <w:rPr>
          <w:rStyle w:val="FootnoteReference"/>
          <w:rFonts w:eastAsia="Calibri" w:cs="Calibri"/>
          <w:color w:val="000000" w:themeColor="text1"/>
          <w:sz w:val="24"/>
          <w:szCs w:val="24"/>
        </w:rPr>
        <w:footnoteReference w:id="3"/>
      </w:r>
      <w:r w:rsidRPr="466999FA">
        <w:rPr>
          <w:rFonts w:eastAsia="Calibri" w:cs="Calibri"/>
          <w:color w:val="000000" w:themeColor="text1"/>
        </w:rPr>
        <w:t>.</w:t>
      </w:r>
      <w:r>
        <w:rPr>
          <w:rFonts w:eastAsia="Calibri" w:cs="Calibri"/>
          <w:color w:val="000000" w:themeColor="text1"/>
        </w:rPr>
        <w:br w:type="page"/>
      </w:r>
      <w:r>
        <w:lastRenderedPageBreak/>
        <w:t xml:space="preserve">Subclause 3.9(2) outlines the circumstances where activities would be ‘not inappropriate’. </w:t>
      </w:r>
      <w:r w:rsidRPr="5A4DAC66">
        <w:rPr>
          <w:rFonts w:eastAsia="Calibri" w:cs="Calibri"/>
        </w:rPr>
        <w:t xml:space="preserve">These include </w:t>
      </w:r>
      <w:r w:rsidRPr="5A4DAC66">
        <w:rPr>
          <w:rFonts w:asciiTheme="minorHAnsi" w:hAnsiTheme="minorHAnsi"/>
          <w:color w:val="333333"/>
        </w:rPr>
        <w:t xml:space="preserve">maintaining, operating, upgrading and expanding </w:t>
      </w:r>
      <w:r w:rsidRPr="5A4DAC66">
        <w:rPr>
          <w:rFonts w:eastAsia="Calibri" w:cs="Calibri"/>
        </w:rPr>
        <w:t xml:space="preserve">specified infrastructure, providing public access and activities that support land-based primary production. </w:t>
      </w:r>
      <w:r>
        <w:rPr>
          <w:rFonts w:eastAsia="Calibri" w:cs="Calibri"/>
        </w:rPr>
        <w:t>Providing for</w:t>
      </w:r>
      <w:r w:rsidRPr="5A4DAC66">
        <w:rPr>
          <w:rFonts w:eastAsia="Calibri" w:cs="Calibri"/>
        </w:rPr>
        <w:t xml:space="preserve"> these activities should be balanced against the objective of the NPS-HPL.</w:t>
      </w:r>
    </w:p>
    <w:p w14:paraId="4F9E3F82" w14:textId="77777777" w:rsidR="00202231" w:rsidRDefault="00202231">
      <w:pPr>
        <w:spacing w:before="0" w:after="200" w:line="276" w:lineRule="auto"/>
        <w:jc w:val="left"/>
        <w:rPr>
          <w:rFonts w:eastAsia="Calibri" w:cs="Calibri"/>
        </w:rPr>
      </w:pPr>
      <w:r>
        <w:rPr>
          <w:rFonts w:eastAsia="Calibri" w:cs="Calibri"/>
        </w:rPr>
        <w:br w:type="page"/>
      </w:r>
    </w:p>
    <w:p w14:paraId="04F7439C" w14:textId="77777777" w:rsidR="00202231" w:rsidRDefault="00202231" w:rsidP="00202231">
      <w:pPr>
        <w:pStyle w:val="Heading1"/>
      </w:pPr>
      <w:bookmarkStart w:id="11" w:name="_Toc144210854"/>
      <w:bookmarkStart w:id="12" w:name="_Toc144381359"/>
      <w:r>
        <w:lastRenderedPageBreak/>
        <w:t xml:space="preserve">Purpose of </w:t>
      </w:r>
      <w:r w:rsidRPr="00E2271A">
        <w:t>this</w:t>
      </w:r>
      <w:r>
        <w:t xml:space="preserve"> document</w:t>
      </w:r>
      <w:bookmarkEnd w:id="11"/>
      <w:bookmarkEnd w:id="12"/>
    </w:p>
    <w:p w14:paraId="1CE961EF" w14:textId="2BC86658" w:rsidR="00202231" w:rsidRPr="00131992" w:rsidRDefault="00202231" w:rsidP="00202231">
      <w:pPr>
        <w:pStyle w:val="BodyText"/>
      </w:pPr>
      <w:r>
        <w:t xml:space="preserve">This discussion document guides public consultation on potential amendments to the NPS-HPL. It is accompanied by an </w:t>
      </w:r>
      <w:hyperlink r:id="rId20" w:history="1">
        <w:r w:rsidRPr="00012EB7">
          <w:rPr>
            <w:rStyle w:val="Hyperlink"/>
          </w:rPr>
          <w:t xml:space="preserve">interim </w:t>
        </w:r>
        <w:r w:rsidR="00067E9B" w:rsidRPr="00012EB7">
          <w:rPr>
            <w:rStyle w:val="Hyperlink"/>
          </w:rPr>
          <w:t>r</w:t>
        </w:r>
        <w:r w:rsidRPr="00012EB7">
          <w:rPr>
            <w:rStyle w:val="Hyperlink"/>
          </w:rPr>
          <w:t xml:space="preserve">egulatory </w:t>
        </w:r>
        <w:r w:rsidR="00067E9B" w:rsidRPr="00012EB7">
          <w:rPr>
            <w:rStyle w:val="Hyperlink"/>
          </w:rPr>
          <w:t>i</w:t>
        </w:r>
        <w:r w:rsidRPr="00012EB7">
          <w:rPr>
            <w:rStyle w:val="Hyperlink"/>
          </w:rPr>
          <w:t xml:space="preserve">mpact </w:t>
        </w:r>
        <w:r w:rsidR="00067E9B" w:rsidRPr="00012EB7">
          <w:rPr>
            <w:rStyle w:val="Hyperlink"/>
          </w:rPr>
          <w:t>s</w:t>
        </w:r>
        <w:r w:rsidRPr="00012EB7">
          <w:rPr>
            <w:rStyle w:val="Hyperlink"/>
          </w:rPr>
          <w:t>tatement</w:t>
        </w:r>
      </w:hyperlink>
      <w:r>
        <w:t>.</w:t>
      </w:r>
    </w:p>
    <w:p w14:paraId="405ED262" w14:textId="77777777" w:rsidR="00202231" w:rsidRPr="00131992" w:rsidDel="00950F0A" w:rsidRDefault="00202231" w:rsidP="00202231">
      <w:pPr>
        <w:pStyle w:val="BodyText"/>
      </w:pPr>
      <w:r w:rsidRPr="058096B7">
        <w:rPr>
          <w:rStyle w:val="normaltextrun"/>
        </w:rPr>
        <w:t xml:space="preserve">The potential amendments relate to </w:t>
      </w:r>
      <w:r w:rsidRPr="7657AAE3">
        <w:rPr>
          <w:rStyle w:val="normaltextrun"/>
        </w:rPr>
        <w:t xml:space="preserve">implementation </w:t>
      </w:r>
      <w:r w:rsidRPr="058096B7">
        <w:rPr>
          <w:rStyle w:val="normaltextrun"/>
        </w:rPr>
        <w:t xml:space="preserve">issues about </w:t>
      </w:r>
      <w:r w:rsidRPr="058096B7" w:rsidDel="00E56A51">
        <w:rPr>
          <w:rStyle w:val="normaltextrun"/>
        </w:rPr>
        <w:t xml:space="preserve">the </w:t>
      </w:r>
      <w:r w:rsidRPr="058096B7">
        <w:rPr>
          <w:rStyle w:val="normaltextrun"/>
        </w:rPr>
        <w:t>NPS-HPL raised by stakeholders. The Ministry for the Environment (MfE) and the Ministry for Primary Industries (MPI)</w:t>
      </w:r>
      <w:r>
        <w:t xml:space="preserve"> consider these issues need further consideration and consultation.</w:t>
      </w:r>
    </w:p>
    <w:p w14:paraId="10B9DB29" w14:textId="77777777" w:rsidR="00202231" w:rsidRPr="00131992" w:rsidRDefault="00202231" w:rsidP="00202231">
      <w:pPr>
        <w:pStyle w:val="BodyText"/>
      </w:pPr>
      <w:r>
        <w:t>This document is intended to provide background information on the issues and implications of options for amending the NPS-HPL. MfE and MPI are carrying out this public consultation to solicit further information from a wider range of stakeholders</w:t>
      </w:r>
      <w:r w:rsidDel="000750A5">
        <w:t>, including iwi partners, interested organisations and the public</w:t>
      </w:r>
      <w:r>
        <w:t xml:space="preserve">. This is to help determine whether the issues warrant amendments to the NPS-HPL or whether the current drafting and </w:t>
      </w:r>
      <w:r w:rsidRPr="058096B7">
        <w:rPr>
          <w:rStyle w:val="normaltextrun"/>
        </w:rPr>
        <w:t xml:space="preserve">consent </w:t>
      </w:r>
      <w:r>
        <w:t xml:space="preserve">pathways are fit for purpose.  </w:t>
      </w:r>
    </w:p>
    <w:p w14:paraId="45197A67" w14:textId="77777777" w:rsidR="00202231" w:rsidRPr="00E2271A" w:rsidRDefault="00202231" w:rsidP="00202231">
      <w:pPr>
        <w:pStyle w:val="Heading2"/>
        <w:rPr>
          <w:rStyle w:val="normaltextrun"/>
        </w:rPr>
      </w:pPr>
      <w:bookmarkStart w:id="13" w:name="_Toc144210855"/>
      <w:bookmarkStart w:id="14" w:name="_Toc144381360"/>
      <w:r w:rsidRPr="56D0474A">
        <w:rPr>
          <w:rStyle w:val="normaltextrun"/>
        </w:rPr>
        <w:t>Implementation of the NPS-HPL</w:t>
      </w:r>
      <w:bookmarkEnd w:id="13"/>
      <w:bookmarkEnd w:id="14"/>
    </w:p>
    <w:p w14:paraId="7D799855" w14:textId="77777777" w:rsidR="00202231" w:rsidRPr="00131992" w:rsidRDefault="00202231" w:rsidP="00202231">
      <w:pPr>
        <w:pStyle w:val="BodyText"/>
        <w:rPr>
          <w:rStyle w:val="normaltextrun"/>
        </w:rPr>
      </w:pPr>
      <w:r w:rsidRPr="00131992">
        <w:rPr>
          <w:rStyle w:val="normaltextrun"/>
        </w:rPr>
        <w:t xml:space="preserve">Two issues about the implementation of the NPS-HPL have been </w:t>
      </w:r>
      <w:r w:rsidRPr="00131992">
        <w:t>raised by stakeholders, including councils and the renewable electricity and primary production industries</w:t>
      </w:r>
      <w:r w:rsidRPr="00131992">
        <w:rPr>
          <w:rStyle w:val="normaltextrun"/>
        </w:rPr>
        <w:t xml:space="preserve">: </w:t>
      </w:r>
    </w:p>
    <w:p w14:paraId="3CD5E9B1" w14:textId="77777777" w:rsidR="00202231" w:rsidRPr="00131992" w:rsidRDefault="00202231" w:rsidP="00202231">
      <w:pPr>
        <w:pStyle w:val="Numberedparagraph"/>
        <w:numPr>
          <w:ilvl w:val="0"/>
          <w:numId w:val="39"/>
        </w:numPr>
        <w:rPr>
          <w:rStyle w:val="normaltextrun"/>
        </w:rPr>
      </w:pPr>
      <w:r w:rsidRPr="00131992">
        <w:rPr>
          <w:rStyle w:val="normaltextrun"/>
        </w:rPr>
        <w:t>The omission of a clear consent pathway for the construction of new specified infrastructure</w:t>
      </w:r>
      <w:r w:rsidRPr="00AC41BA">
        <w:rPr>
          <w:rStyle w:val="FootnoteReference"/>
          <w:color w:val="auto"/>
        </w:rPr>
        <w:footnoteReference w:id="4"/>
      </w:r>
      <w:r w:rsidRPr="00131992">
        <w:rPr>
          <w:rStyle w:val="normaltextrun"/>
        </w:rPr>
        <w:t xml:space="preserve"> in clause 3.9(2)(j)(</w:t>
      </w:r>
      <w:proofErr w:type="spellStart"/>
      <w:r w:rsidRPr="00131992">
        <w:rPr>
          <w:rStyle w:val="normaltextrun"/>
        </w:rPr>
        <w:t>i</w:t>
      </w:r>
      <w:proofErr w:type="spellEnd"/>
      <w:r w:rsidRPr="00131992">
        <w:rPr>
          <w:rStyle w:val="normaltextrun"/>
        </w:rPr>
        <w:t>). This could limit the ability to provide for necessary new specified infrastructure on HPL.</w:t>
      </w:r>
    </w:p>
    <w:p w14:paraId="75730C08" w14:textId="77777777" w:rsidR="00202231" w:rsidRPr="00131992" w:rsidRDefault="00202231" w:rsidP="00202231">
      <w:pPr>
        <w:pStyle w:val="Numberedparagraph"/>
        <w:numPr>
          <w:ilvl w:val="0"/>
          <w:numId w:val="39"/>
        </w:numPr>
        <w:rPr>
          <w:rStyle w:val="normaltextrun"/>
        </w:rPr>
      </w:pPr>
      <w:r w:rsidRPr="00131992">
        <w:rPr>
          <w:rStyle w:val="normaltextrun"/>
        </w:rPr>
        <w:t>The absence of a clear consent pathway for intensive indoor primary production and greenhouses to develop or relocate on HPL. This may make climate change adaptation more challenging for these industries</w:t>
      </w:r>
      <w:r w:rsidRPr="00AC41BA">
        <w:rPr>
          <w:rStyle w:val="FootnoteReference"/>
          <w:color w:val="auto"/>
        </w:rPr>
        <w:footnoteReference w:id="5"/>
      </w:r>
      <w:r w:rsidRPr="00131992">
        <w:rPr>
          <w:rStyle w:val="normaltextrun"/>
        </w:rPr>
        <w:t>.</w:t>
      </w:r>
    </w:p>
    <w:p w14:paraId="59A17BDA" w14:textId="77777777" w:rsidR="00202231" w:rsidRPr="00131992" w:rsidRDefault="00202231" w:rsidP="00202231">
      <w:pPr>
        <w:pStyle w:val="BodyText"/>
      </w:pPr>
      <w:r w:rsidRPr="00131992">
        <w:t xml:space="preserve">This discussion document explores the issues and sets out potential amendment options to the NPS-HPL to address them. The status quo is also an option if the current drafting and </w:t>
      </w:r>
      <w:r w:rsidRPr="00131992">
        <w:rPr>
          <w:rStyle w:val="normaltextrun"/>
        </w:rPr>
        <w:t xml:space="preserve">consent </w:t>
      </w:r>
      <w:r w:rsidRPr="00131992">
        <w:t>pathways are deemed fit for purpose.</w:t>
      </w:r>
      <w:r w:rsidRPr="00131992" w:rsidDel="005A392D">
        <w:br w:type="page"/>
      </w:r>
    </w:p>
    <w:p w14:paraId="7AF5264E" w14:textId="77777777" w:rsidR="00202231" w:rsidRPr="00DF2807" w:rsidRDefault="00202231" w:rsidP="00202231">
      <w:pPr>
        <w:pStyle w:val="Heading1"/>
      </w:pPr>
      <w:bookmarkStart w:id="15" w:name="_Toc144210856"/>
      <w:bookmarkStart w:id="16" w:name="_Toc144381361"/>
      <w:r w:rsidRPr="00984F99">
        <w:lastRenderedPageBreak/>
        <w:t>Issue 1: Providing for new</w:t>
      </w:r>
      <w:r w:rsidRPr="116FB5C3">
        <w:rPr>
          <w:rFonts w:ascii="Calibri" w:hAnsi="Calibri"/>
        </w:rPr>
        <w:t xml:space="preserve"> </w:t>
      </w:r>
      <w:r w:rsidRPr="00FA5FBC">
        <w:t>specified</w:t>
      </w:r>
      <w:r w:rsidRPr="116FB5C3">
        <w:rPr>
          <w:rFonts w:ascii="Calibri" w:hAnsi="Calibri"/>
        </w:rPr>
        <w:t xml:space="preserve"> </w:t>
      </w:r>
      <w:r w:rsidRPr="00DF2807">
        <w:t>infrastructure</w:t>
      </w:r>
      <w:bookmarkEnd w:id="15"/>
      <w:bookmarkEnd w:id="16"/>
    </w:p>
    <w:p w14:paraId="29CB6FDB" w14:textId="77777777" w:rsidR="00202231" w:rsidRPr="00C47F58" w:rsidRDefault="00202231" w:rsidP="00202231">
      <w:pPr>
        <w:pStyle w:val="Heading2"/>
      </w:pPr>
      <w:bookmarkStart w:id="17" w:name="_Toc144210857"/>
      <w:bookmarkStart w:id="18" w:name="_Toc144381362"/>
      <w:r>
        <w:t>About this issue</w:t>
      </w:r>
      <w:bookmarkEnd w:id="17"/>
      <w:bookmarkEnd w:id="18"/>
    </w:p>
    <w:p w14:paraId="7C8EDF39" w14:textId="77777777" w:rsidR="00202231" w:rsidRPr="00AC41BA" w:rsidRDefault="00202231" w:rsidP="00202231">
      <w:pPr>
        <w:pStyle w:val="BodyText"/>
        <w:rPr>
          <w:rStyle w:val="normaltextrun"/>
        </w:rPr>
      </w:pPr>
      <w:r w:rsidRPr="00AC41BA">
        <w:rPr>
          <w:rStyle w:val="normaltextrun"/>
        </w:rPr>
        <w:t xml:space="preserve">The current wording of the NPS-HPL means it is unclear if new specified infrastructure is ‘not inappropriate’ on HPL. </w:t>
      </w:r>
      <w:r w:rsidRPr="00AC41BA">
        <w:t xml:space="preserve">Specified infrastructure is defined in clause 1.3. </w:t>
      </w:r>
      <w:r w:rsidRPr="00AC41BA">
        <w:rPr>
          <w:rStyle w:val="normaltextrun"/>
        </w:rPr>
        <w:t>While the ongoing maintenance, operation, upgrade or expansion of specified infrastructure is provided for under clause 3.9(2)(j)(</w:t>
      </w:r>
      <w:proofErr w:type="spellStart"/>
      <w:r w:rsidRPr="00AC41BA">
        <w:rPr>
          <w:rStyle w:val="normaltextrun"/>
        </w:rPr>
        <w:t>i</w:t>
      </w:r>
      <w:proofErr w:type="spellEnd"/>
      <w:r w:rsidRPr="00AC41BA">
        <w:rPr>
          <w:rStyle w:val="normaltextrun"/>
        </w:rPr>
        <w:t xml:space="preserve">), the construction of new specified infrastructure is not explicitly provided for. </w:t>
      </w:r>
    </w:p>
    <w:p w14:paraId="10169688" w14:textId="77777777" w:rsidR="00202231" w:rsidRDefault="00202231" w:rsidP="00202231">
      <w:pPr>
        <w:pStyle w:val="BodyText"/>
        <w:spacing w:before="0" w:after="0" w:line="240" w:lineRule="auto"/>
        <w:rPr>
          <w:rStyle w:val="normaltextrun"/>
          <w:rFonts w:cs="Calibri"/>
        </w:rPr>
      </w:pP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2"/>
        <w:tblLook w:val="04A0" w:firstRow="1" w:lastRow="0" w:firstColumn="1" w:lastColumn="0" w:noHBand="0" w:noVBand="1"/>
      </w:tblPr>
      <w:tblGrid>
        <w:gridCol w:w="8505"/>
      </w:tblGrid>
      <w:tr w:rsidR="00202231" w:rsidRPr="00345928" w14:paraId="1770CE29" w14:textId="77777777">
        <w:tc>
          <w:tcPr>
            <w:tcW w:w="0" w:type="auto"/>
            <w:shd w:val="clear" w:color="auto" w:fill="D2DDE2"/>
          </w:tcPr>
          <w:p w14:paraId="4D998698" w14:textId="17258C88" w:rsidR="00202231" w:rsidRPr="00202231" w:rsidRDefault="00202231" w:rsidP="00562A65">
            <w:pPr>
              <w:pStyle w:val="Boxheading0"/>
            </w:pPr>
            <w:r w:rsidRPr="00202231">
              <w:t>Clause 3.9(2)(</w:t>
            </w:r>
            <w:r w:rsidR="55E1D3C4">
              <w:t>j</w:t>
            </w:r>
            <w:r w:rsidRPr="00202231">
              <w:t>)(</w:t>
            </w:r>
            <w:proofErr w:type="spellStart"/>
            <w:r w:rsidR="4FED3451">
              <w:t>i</w:t>
            </w:r>
            <w:proofErr w:type="spellEnd"/>
            <w:r w:rsidRPr="00202231">
              <w:t>) of the NPS-HPL</w:t>
            </w:r>
          </w:p>
          <w:p w14:paraId="15CD4EFC" w14:textId="77777777" w:rsidR="00202231" w:rsidRPr="00202231" w:rsidRDefault="00202231" w:rsidP="00562A65">
            <w:pPr>
              <w:pStyle w:val="Boxtext"/>
            </w:pPr>
            <w:r w:rsidRPr="00202231">
              <w:t>The gazetted text of clause 3.9(2)(j)(</w:t>
            </w:r>
            <w:proofErr w:type="spellStart"/>
            <w:r w:rsidRPr="00202231">
              <w:t>i</w:t>
            </w:r>
            <w:proofErr w:type="spellEnd"/>
            <w:r w:rsidRPr="00202231">
              <w:t>) of the NPS-HPL reads:</w:t>
            </w:r>
          </w:p>
          <w:p w14:paraId="005BE441" w14:textId="77777777" w:rsidR="00202231" w:rsidRPr="00202231" w:rsidRDefault="00202231" w:rsidP="00562A65">
            <w:pPr>
              <w:pStyle w:val="Boxtext"/>
              <w:rPr>
                <w:iCs/>
              </w:rPr>
            </w:pPr>
            <w:r w:rsidRPr="00202231">
              <w:rPr>
                <w:iCs/>
              </w:rPr>
              <w:t>(2) A use or development of highly productive land is inappropriate except where at least one of the following applies to the use or development, and the measures in subclause (3) are applied:</w:t>
            </w:r>
          </w:p>
          <w:p w14:paraId="605048C2" w14:textId="77777777" w:rsidR="00202231" w:rsidRPr="00202231" w:rsidRDefault="00202231" w:rsidP="003D01BD">
            <w:pPr>
              <w:pStyle w:val="Boxtext"/>
              <w:ind w:left="397"/>
              <w:rPr>
                <w:iCs/>
              </w:rPr>
            </w:pPr>
            <w:r w:rsidRPr="00202231">
              <w:rPr>
                <w:iCs/>
              </w:rPr>
              <w:t>(j) it is associated with one of the following, and there is a functional or operational need for the use or development to be on the highly productive land</w:t>
            </w:r>
          </w:p>
          <w:p w14:paraId="528019F6" w14:textId="098FBCFE" w:rsidR="00202231" w:rsidRPr="00562A65" w:rsidRDefault="00202231" w:rsidP="003D01BD">
            <w:pPr>
              <w:pStyle w:val="Boxtext"/>
              <w:ind w:left="794"/>
              <w:rPr>
                <w:iCs/>
                <w:color w:val="auto"/>
              </w:rPr>
            </w:pPr>
            <w:r w:rsidRPr="00202231">
              <w:rPr>
                <w:iCs/>
              </w:rPr>
              <w:t>(</w:t>
            </w:r>
            <w:proofErr w:type="spellStart"/>
            <w:r w:rsidRPr="00202231">
              <w:rPr>
                <w:iCs/>
              </w:rPr>
              <w:t>i</w:t>
            </w:r>
            <w:proofErr w:type="spellEnd"/>
            <w:r w:rsidRPr="00202231">
              <w:rPr>
                <w:iCs/>
              </w:rPr>
              <w:t>) the maintenance, operation, upgrade, or expansion of specified infrastructure</w:t>
            </w:r>
          </w:p>
        </w:tc>
      </w:tr>
    </w:tbl>
    <w:p w14:paraId="5DA1B291" w14:textId="77777777" w:rsidR="00202231" w:rsidRDefault="00202231" w:rsidP="00202231">
      <w:pPr>
        <w:pStyle w:val="BodyText"/>
        <w:spacing w:before="0" w:after="0" w:line="240" w:lineRule="auto"/>
        <w:rPr>
          <w:rStyle w:val="normaltextrun"/>
          <w:rFonts w:cs="Calibri"/>
        </w:rPr>
      </w:pPr>
    </w:p>
    <w:p w14:paraId="1F4C3CF2" w14:textId="77777777" w:rsidR="00202231" w:rsidRPr="0070565C" w:rsidRDefault="00202231" w:rsidP="00202231">
      <w:pPr>
        <w:pStyle w:val="BodyText"/>
      </w:pPr>
      <w:r>
        <w:t>Drafters intended for a</w:t>
      </w:r>
      <w:r w:rsidRPr="00DE6FB8">
        <w:t xml:space="preserve"> </w:t>
      </w:r>
      <w:r w:rsidRPr="00DE6FB8">
        <w:rPr>
          <w:rStyle w:val="normaltextrun"/>
        </w:rPr>
        <w:t xml:space="preserve">consent </w:t>
      </w:r>
      <w:r w:rsidRPr="00DE6FB8">
        <w:t xml:space="preserve">pathway for new specified infrastructure on HPL to be provided in the NPS-HPL. The exposure draft of the NPS-HPL provided this pathway, </w:t>
      </w:r>
      <w:proofErr w:type="gramStart"/>
      <w:r w:rsidRPr="00DE6FB8">
        <w:t>as long as</w:t>
      </w:r>
      <w:proofErr w:type="gramEnd"/>
      <w:r w:rsidRPr="00DE6FB8">
        <w:t xml:space="preserve"> it did not represent inappropriate development. During redrafting the word ‘development’ was removed</w:t>
      </w:r>
      <w:r>
        <w:t xml:space="preserve"> from the clause, restricting it to the </w:t>
      </w:r>
      <w:r w:rsidRPr="0070565C">
        <w:t>‘</w:t>
      </w:r>
      <w:r>
        <w:t>maintenance, operation, upgrade, or expansion of specified infrastructure’</w:t>
      </w:r>
      <w:r w:rsidRPr="0070565C">
        <w:t xml:space="preserve">. </w:t>
      </w:r>
    </w:p>
    <w:p w14:paraId="4ACAC257" w14:textId="77777777" w:rsidR="00202231" w:rsidRPr="00DE6FB8" w:rsidRDefault="00202231" w:rsidP="00202231">
      <w:pPr>
        <w:pStyle w:val="BodyText"/>
        <w:rPr>
          <w:rStyle w:val="normaltextrun"/>
        </w:rPr>
      </w:pPr>
      <w:r w:rsidRPr="00DE6FB8">
        <w:t xml:space="preserve">The </w:t>
      </w:r>
      <w:r>
        <w:t>e</w:t>
      </w:r>
      <w:r w:rsidRPr="00DE6FB8">
        <w:t>valuation under section 32 of the RMA</w:t>
      </w:r>
      <w:r w:rsidRPr="00FD3991">
        <w:rPr>
          <w:rStyle w:val="FootnoteReference"/>
          <w:color w:val="auto"/>
        </w:rPr>
        <w:footnoteReference w:id="6"/>
      </w:r>
      <w:r w:rsidRPr="00DE6FB8">
        <w:t xml:space="preserve"> that supported the NPS-HPL anticipated that new specified infrastructure could be constructed on HPL via designation or notice of requirement, as provided for under subclause 3.9(2)(h). </w:t>
      </w:r>
    </w:p>
    <w:p w14:paraId="5F8E66CF" w14:textId="77777777" w:rsidR="00202231" w:rsidRPr="00DE6FB8" w:rsidRDefault="00202231" w:rsidP="00202231">
      <w:pPr>
        <w:pStyle w:val="BodyText"/>
      </w:pPr>
      <w:r w:rsidRPr="00DE6FB8">
        <w:rPr>
          <w:rStyle w:val="normaltextrun"/>
        </w:rPr>
        <w:t>However, specified infrastructure providers that do not have designation rights under the RMA have no apparent consent pathway to develop on HPL.</w:t>
      </w:r>
      <w:r w:rsidRPr="00DE6FB8">
        <w:t xml:space="preserve"> This restriction is also problematic when infrastructure needs to be developed at pace. One recent example is developing the infrastructure needed to support clean-up and repairs in the aftermath of Cyclone Gabrielle.</w:t>
      </w:r>
    </w:p>
    <w:p w14:paraId="750AFFEB" w14:textId="77777777" w:rsidR="00202231" w:rsidRPr="00DE6FB8" w:rsidRDefault="00202231" w:rsidP="00202231">
      <w:pPr>
        <w:pStyle w:val="BodyText"/>
        <w:rPr>
          <w:rStyle w:val="normaltextrun"/>
        </w:rPr>
      </w:pPr>
      <w:r w:rsidRPr="00DE6FB8">
        <w:rPr>
          <w:rStyle w:val="normaltextrun"/>
        </w:rPr>
        <w:t>There is also a significant demand for additional renewable electricity in Aotearoa. Infrastructure to meet this demand is needed to cater for a growing population and support a low</w:t>
      </w:r>
      <w:r>
        <w:rPr>
          <w:rStyle w:val="normaltextrun"/>
        </w:rPr>
        <w:t>-</w:t>
      </w:r>
      <w:r w:rsidRPr="00DE6FB8">
        <w:rPr>
          <w:rStyle w:val="normaltextrun"/>
        </w:rPr>
        <w:t xml:space="preserve">emissions economy. The demand for solar farms is growing, and HPL is often the most suitable for these developments because it is flat, has a northern aspect and receives high solar radiation. </w:t>
      </w:r>
    </w:p>
    <w:p w14:paraId="4208C9B7" w14:textId="77777777" w:rsidR="00202231" w:rsidRPr="00DE6FB8" w:rsidRDefault="00202231" w:rsidP="00202231">
      <w:pPr>
        <w:pStyle w:val="BodyText"/>
        <w:rPr>
          <w:rStyle w:val="normaltextrun"/>
        </w:rPr>
      </w:pPr>
      <w:r w:rsidRPr="00DE6FB8">
        <w:rPr>
          <w:rStyle w:val="normaltextrun"/>
        </w:rPr>
        <w:lastRenderedPageBreak/>
        <w:t>Stakeholders in the renewable electricity generation (REG) sector, especially solar farms, have indicated that the NPS-HPL has the potential to prevent the progress of such projects, even where a functional or operational need to be located on HPL can be shown. This issue becomes apparent at the due</w:t>
      </w:r>
      <w:r>
        <w:rPr>
          <w:rStyle w:val="normaltextrun"/>
        </w:rPr>
        <w:t>-</w:t>
      </w:r>
      <w:r w:rsidRPr="00DE6FB8">
        <w:rPr>
          <w:rStyle w:val="normaltextrun"/>
        </w:rPr>
        <w:t xml:space="preserve">diligence planning stage of a development. </w:t>
      </w:r>
    </w:p>
    <w:p w14:paraId="662F4852" w14:textId="77777777" w:rsidR="00202231" w:rsidRPr="00DE6FB8" w:rsidRDefault="00202231" w:rsidP="00202231">
      <w:pPr>
        <w:pStyle w:val="BodyText"/>
        <w:rPr>
          <w:rStyle w:val="normaltextrun"/>
        </w:rPr>
      </w:pPr>
      <w:r w:rsidRPr="00DE6FB8">
        <w:rPr>
          <w:rStyle w:val="normaltextrun"/>
        </w:rPr>
        <w:t>The lack of clarity about the consent pathway for new specified infrastructure could also lead to this clause being applied inconsistently in district plans and decision-making across the country. The clause relating to specified infrastructure in the NPS-HPL is not consistent with the way other recent national direction has provided consent pathways for new specified infrastructure</w:t>
      </w:r>
      <w:r w:rsidRPr="00FD3991">
        <w:rPr>
          <w:rStyle w:val="FootnoteReference"/>
          <w:color w:val="auto"/>
        </w:rPr>
        <w:footnoteReference w:id="7"/>
      </w:r>
      <w:r w:rsidRPr="00FD3991">
        <w:rPr>
          <w:vertAlign w:val="superscript"/>
        </w:rPr>
        <w:t>.</w:t>
      </w:r>
      <w:r w:rsidRPr="00DE6FB8">
        <w:rPr>
          <w:rStyle w:val="normaltextrun"/>
        </w:rPr>
        <w:t xml:space="preserve"> An amendment is also needed to align with work that is ongoing</w:t>
      </w:r>
      <w:r>
        <w:rPr>
          <w:rStyle w:val="normaltextrun"/>
          <w:rFonts w:cs="Calibri"/>
        </w:rPr>
        <w:t xml:space="preserve"> </w:t>
      </w:r>
      <w:r w:rsidRPr="00DE6FB8">
        <w:rPr>
          <w:rStyle w:val="normaltextrun"/>
        </w:rPr>
        <w:t>to amend national guidance to provide a consistent straightforward consent pathway for REG and associated electricity transmission</w:t>
      </w:r>
      <w:r w:rsidRPr="00FD3991">
        <w:rPr>
          <w:rStyle w:val="FootnoteReference"/>
          <w:color w:val="auto"/>
        </w:rPr>
        <w:footnoteReference w:id="8"/>
      </w:r>
      <w:r w:rsidRPr="00DE6FB8">
        <w:rPr>
          <w:rStyle w:val="normaltextrun"/>
        </w:rPr>
        <w:t xml:space="preserve">. </w:t>
      </w:r>
    </w:p>
    <w:p w14:paraId="3EF65FA2" w14:textId="77777777" w:rsidR="00202231" w:rsidRPr="00DE6FB8" w:rsidRDefault="00202231" w:rsidP="00202231">
      <w:pPr>
        <w:pStyle w:val="BodyText"/>
      </w:pPr>
      <w:r w:rsidRPr="00DE6FB8">
        <w:t>As currently worded, Clause 3.9(2)(j)(</w:t>
      </w:r>
      <w:proofErr w:type="spellStart"/>
      <w:r w:rsidRPr="00DE6FB8">
        <w:t>i</w:t>
      </w:r>
      <w:proofErr w:type="spellEnd"/>
      <w:r w:rsidRPr="00DE6FB8">
        <w:t xml:space="preserve">) could inadvertently constrain or prevent new specified infrastructure from </w:t>
      </w:r>
      <w:r>
        <w:t>being established</w:t>
      </w:r>
      <w:r w:rsidRPr="00DE6FB8">
        <w:t xml:space="preserve"> where it is needed. </w:t>
      </w:r>
    </w:p>
    <w:p w14:paraId="0CBFAEA2" w14:textId="77777777" w:rsidR="00202231" w:rsidRDefault="00202231" w:rsidP="00202231">
      <w:pPr>
        <w:pStyle w:val="Heading2"/>
      </w:pPr>
      <w:bookmarkStart w:id="19" w:name="_Toc144210858"/>
      <w:bookmarkStart w:id="20" w:name="_Toc144381363"/>
      <w:r>
        <w:t>Proposed options</w:t>
      </w:r>
      <w:bookmarkEnd w:id="19"/>
      <w:bookmarkEnd w:id="20"/>
    </w:p>
    <w:p w14:paraId="309B3C18" w14:textId="77777777" w:rsidR="00202231" w:rsidRPr="005B6721" w:rsidRDefault="00202231" w:rsidP="00202231">
      <w:pPr>
        <w:pStyle w:val="BodyText"/>
        <w:rPr>
          <w:rFonts w:cs="Calibri"/>
        </w:rPr>
      </w:pPr>
      <w:r>
        <w:rPr>
          <w:rFonts w:cs="Calibri"/>
        </w:rPr>
        <w:t>The current drafting of clause 3.9(2)(j)(</w:t>
      </w:r>
      <w:proofErr w:type="spellStart"/>
      <w:r>
        <w:rPr>
          <w:rFonts w:cs="Calibri"/>
        </w:rPr>
        <w:t>i</w:t>
      </w:r>
      <w:proofErr w:type="spellEnd"/>
      <w:r>
        <w:rPr>
          <w:rFonts w:cs="Calibri"/>
        </w:rPr>
        <w:t xml:space="preserve">) could be clearer with respect to the pathway for new specified infrastructure. Two </w:t>
      </w:r>
      <w:r w:rsidRPr="005B6721">
        <w:rPr>
          <w:rFonts w:cs="Calibri"/>
        </w:rPr>
        <w:t>option</w:t>
      </w:r>
      <w:r>
        <w:rPr>
          <w:rFonts w:cs="Calibri"/>
        </w:rPr>
        <w:t>s</w:t>
      </w:r>
      <w:r w:rsidRPr="005B6721">
        <w:rPr>
          <w:rFonts w:cs="Calibri"/>
        </w:rPr>
        <w:t xml:space="preserve"> for </w:t>
      </w:r>
      <w:r>
        <w:rPr>
          <w:rFonts w:cs="Calibri"/>
        </w:rPr>
        <w:t>addressing this issue are being consulted on</w:t>
      </w:r>
      <w:r w:rsidRPr="584A183D">
        <w:rPr>
          <w:rFonts w:cs="Calibri"/>
        </w:rPr>
        <w:t>.</w:t>
      </w:r>
    </w:p>
    <w:p w14:paraId="4E5D23E2" w14:textId="77777777" w:rsidR="00202231" w:rsidRPr="005B6721" w:rsidRDefault="00202231" w:rsidP="00202231">
      <w:pPr>
        <w:pStyle w:val="Bullet"/>
      </w:pPr>
      <w:r w:rsidRPr="00371D55">
        <w:rPr>
          <w:bCs/>
        </w:rPr>
        <w:t>Option 1</w:t>
      </w:r>
      <w:r>
        <w:t xml:space="preserve">: </w:t>
      </w:r>
      <w:r w:rsidRPr="005B6721">
        <w:t>Retain the NPS-HPL as currently written</w:t>
      </w:r>
      <w:r>
        <w:t xml:space="preserve"> (status quo).</w:t>
      </w:r>
      <w:r w:rsidRPr="005B6721">
        <w:t xml:space="preserve"> </w:t>
      </w:r>
    </w:p>
    <w:p w14:paraId="663673A9" w14:textId="77777777" w:rsidR="00202231" w:rsidRPr="005B6721" w:rsidRDefault="00202231" w:rsidP="00202231">
      <w:pPr>
        <w:pStyle w:val="Bullet"/>
      </w:pPr>
      <w:r w:rsidRPr="00371D55">
        <w:rPr>
          <w:bCs/>
        </w:rPr>
        <w:t>Option 2</w:t>
      </w:r>
      <w:r w:rsidRPr="67DDA0F7">
        <w:t>: Amend clause 3.9(2)(j)(</w:t>
      </w:r>
      <w:proofErr w:type="spellStart"/>
      <w:r w:rsidRPr="67DDA0F7">
        <w:t>i</w:t>
      </w:r>
      <w:proofErr w:type="spellEnd"/>
      <w:r w:rsidRPr="67DDA0F7">
        <w:t xml:space="preserve">) to include the word ‘construction’, to make it clear that there is a potential </w:t>
      </w:r>
      <w:r>
        <w:rPr>
          <w:rStyle w:val="normaltextrun"/>
          <w:rFonts w:eastAsia="Calibri" w:cs="Calibri"/>
          <w:color w:val="000000" w:themeColor="text1"/>
        </w:rPr>
        <w:t>consent</w:t>
      </w:r>
      <w:r w:rsidRPr="67DDA0F7">
        <w:rPr>
          <w:rStyle w:val="normaltextrun"/>
          <w:rFonts w:eastAsia="Calibri" w:cs="Calibri"/>
          <w:color w:val="000000" w:themeColor="text1"/>
        </w:rPr>
        <w:t xml:space="preserve"> </w:t>
      </w:r>
      <w:r w:rsidRPr="67DDA0F7">
        <w:t>pathway for new specified infrastructure on HPL</w:t>
      </w:r>
      <w:r>
        <w:t>,</w:t>
      </w:r>
      <w:r w:rsidRPr="67DDA0F7">
        <w:t xml:space="preserve"> subject to the stated tests.</w:t>
      </w:r>
    </w:p>
    <w:p w14:paraId="51FFFD13" w14:textId="77777777" w:rsidR="00202231" w:rsidRPr="003777E3" w:rsidRDefault="00202231" w:rsidP="00202231">
      <w:pPr>
        <w:pStyle w:val="Heading3"/>
        <w:rPr>
          <w:rStyle w:val="normaltextrun"/>
          <w:rFonts w:ascii="Calibri" w:hAnsi="Calibri" w:cs="Times New Roman"/>
          <w:b w:val="0"/>
          <w:sz w:val="22"/>
        </w:rPr>
      </w:pPr>
      <w:bookmarkStart w:id="21" w:name="_Toc144210859"/>
      <w:r w:rsidRPr="00B3524A">
        <w:rPr>
          <w:rStyle w:val="normaltextrun"/>
        </w:rPr>
        <w:t>About option 1</w:t>
      </w:r>
      <w:bookmarkEnd w:id="21"/>
      <w:r w:rsidRPr="00B3524A">
        <w:rPr>
          <w:rStyle w:val="normaltextrun"/>
        </w:rPr>
        <w:t xml:space="preserve"> </w:t>
      </w:r>
    </w:p>
    <w:p w14:paraId="649CA435" w14:textId="77777777" w:rsidR="00202231" w:rsidRDefault="00202231" w:rsidP="00202231">
      <w:pPr>
        <w:pStyle w:val="BodyText"/>
      </w:pPr>
      <w:r w:rsidRPr="003777E3">
        <w:rPr>
          <w:bCs/>
        </w:rPr>
        <w:t>Option 1</w:t>
      </w:r>
      <w:r>
        <w:rPr>
          <w:bCs/>
        </w:rPr>
        <w:t>, the status quo,</w:t>
      </w:r>
      <w:r w:rsidRPr="00476454">
        <w:t xml:space="preserve"> </w:t>
      </w:r>
      <w:r>
        <w:t xml:space="preserve">retains the NPS-HPL as currently worded for specified infrastructure. </w:t>
      </w:r>
    </w:p>
    <w:p w14:paraId="68546B14" w14:textId="77777777" w:rsidR="00202231" w:rsidRDefault="00202231" w:rsidP="00202231">
      <w:pPr>
        <w:pStyle w:val="BodyText"/>
      </w:pPr>
      <w:r>
        <w:t xml:space="preserve">This option </w:t>
      </w:r>
      <w:r w:rsidRPr="00A42A82">
        <w:rPr>
          <w:b/>
          <w:bCs/>
        </w:rPr>
        <w:t>would</w:t>
      </w:r>
      <w:r>
        <w:t xml:space="preserve">: </w:t>
      </w:r>
    </w:p>
    <w:p w14:paraId="099CD8B4" w14:textId="77777777" w:rsidR="00202231" w:rsidRDefault="00202231" w:rsidP="00202231">
      <w:pPr>
        <w:pStyle w:val="Bullet"/>
      </w:pPr>
      <w:r>
        <w:t xml:space="preserve">allow time for the NPS-HPL to be given effect to </w:t>
      </w:r>
      <w:r w:rsidRPr="001907E8">
        <w:t xml:space="preserve">in plans, policy statements and </w:t>
      </w:r>
      <w:r>
        <w:t>consent</w:t>
      </w:r>
      <w:r w:rsidRPr="001907E8">
        <w:t xml:space="preserve"> decisions. </w:t>
      </w:r>
    </w:p>
    <w:p w14:paraId="61321D39" w14:textId="77777777" w:rsidR="00202231" w:rsidRDefault="00202231" w:rsidP="00202231">
      <w:pPr>
        <w:pStyle w:val="Bullet"/>
      </w:pPr>
      <w:r>
        <w:t>allow time to identify and address a</w:t>
      </w:r>
      <w:r w:rsidRPr="001907E8">
        <w:t>ny issues in a later review of the NPS-HPL or through the development of the</w:t>
      </w:r>
      <w:r>
        <w:t xml:space="preserve"> proposed National Planning Framework</w:t>
      </w:r>
    </w:p>
    <w:p w14:paraId="5A97F783" w14:textId="77777777" w:rsidR="00202231" w:rsidRDefault="00202231" w:rsidP="00202231">
      <w:pPr>
        <w:pStyle w:val="Bullet"/>
      </w:pPr>
      <w:r>
        <w:t>prevent</w:t>
      </w:r>
      <w:r w:rsidRPr="00A37A8B">
        <w:t xml:space="preserve"> further losses of HPL</w:t>
      </w:r>
      <w:proofErr w:type="gramStart"/>
      <w:r w:rsidRPr="00A37A8B">
        <w:t xml:space="preserve">, in particular, </w:t>
      </w:r>
      <w:r>
        <w:t>to</w:t>
      </w:r>
      <w:proofErr w:type="gramEnd"/>
      <w:r>
        <w:t xml:space="preserve"> </w:t>
      </w:r>
      <w:r w:rsidRPr="00A37A8B">
        <w:t>solar farms</w:t>
      </w:r>
      <w:r>
        <w:t>.</w:t>
      </w:r>
    </w:p>
    <w:p w14:paraId="12FF3455" w14:textId="77777777" w:rsidR="00202231" w:rsidRDefault="00202231" w:rsidP="00202231">
      <w:pPr>
        <w:pStyle w:val="BodyText"/>
      </w:pPr>
      <w:r>
        <w:t xml:space="preserve">This option </w:t>
      </w:r>
      <w:r w:rsidRPr="584A183D">
        <w:rPr>
          <w:b/>
        </w:rPr>
        <w:t>would</w:t>
      </w:r>
      <w:r>
        <w:t xml:space="preserve"> </w:t>
      </w:r>
      <w:r w:rsidRPr="00A42A82">
        <w:rPr>
          <w:b/>
          <w:bCs/>
        </w:rPr>
        <w:t>not</w:t>
      </w:r>
      <w:r>
        <w:t>:</w:t>
      </w:r>
    </w:p>
    <w:p w14:paraId="63876F41" w14:textId="77777777" w:rsidR="00202231" w:rsidRDefault="00202231" w:rsidP="00202231">
      <w:pPr>
        <w:pStyle w:val="Bullet"/>
      </w:pPr>
      <w:r>
        <w:t>provide a clear consent pathway for new specified infrastructure in 3.9(2)(j)(</w:t>
      </w:r>
      <w:proofErr w:type="spellStart"/>
      <w:r>
        <w:t>i</w:t>
      </w:r>
      <w:proofErr w:type="spellEnd"/>
      <w:r>
        <w:t xml:space="preserve">) </w:t>
      </w:r>
    </w:p>
    <w:p w14:paraId="5DC3EA4D" w14:textId="77777777" w:rsidR="00202231" w:rsidRDefault="00202231" w:rsidP="00202231">
      <w:pPr>
        <w:pStyle w:val="Bullet"/>
      </w:pPr>
      <w:r>
        <w:t xml:space="preserve">resolve the issues for infrastructure providers, especially those that are not requiring authorities. </w:t>
      </w:r>
    </w:p>
    <w:p w14:paraId="40007612" w14:textId="77777777" w:rsidR="00202231" w:rsidRPr="005819E3" w:rsidRDefault="00202231" w:rsidP="00202231">
      <w:pPr>
        <w:pStyle w:val="Heading3"/>
        <w:rPr>
          <w:rStyle w:val="normaltextrun"/>
          <w:rFonts w:ascii="Calibri" w:hAnsi="Calibri" w:cs="Times New Roman"/>
          <w:b w:val="0"/>
          <w:sz w:val="22"/>
        </w:rPr>
      </w:pPr>
      <w:bookmarkStart w:id="22" w:name="_Toc144210860"/>
      <w:r w:rsidRPr="005819E3">
        <w:rPr>
          <w:rStyle w:val="normaltextrun"/>
        </w:rPr>
        <w:lastRenderedPageBreak/>
        <w:t>About option 2</w:t>
      </w:r>
      <w:bookmarkEnd w:id="22"/>
      <w:r w:rsidRPr="005819E3">
        <w:rPr>
          <w:rStyle w:val="normaltextrun"/>
        </w:rPr>
        <w:t xml:space="preserve"> </w:t>
      </w:r>
    </w:p>
    <w:p w14:paraId="6CBE722B" w14:textId="77777777" w:rsidR="00202231" w:rsidRDefault="00202231" w:rsidP="00202231">
      <w:pPr>
        <w:pStyle w:val="BodyText"/>
        <w:rPr>
          <w:rStyle w:val="normaltextrun"/>
          <w:rFonts w:cs="Calibri"/>
          <w:color w:val="000000"/>
          <w:shd w:val="clear" w:color="auto" w:fill="FFFFFF"/>
        </w:rPr>
      </w:pPr>
      <w:r w:rsidRPr="00B20882">
        <w:rPr>
          <w:rStyle w:val="normaltextrun"/>
          <w:rFonts w:cs="Calibri"/>
          <w:bCs/>
          <w:color w:val="000000"/>
          <w:shd w:val="clear" w:color="auto" w:fill="FFFFFF"/>
        </w:rPr>
        <w:t xml:space="preserve">Option </w:t>
      </w:r>
      <w:r w:rsidRPr="00B20882">
        <w:rPr>
          <w:rStyle w:val="normaltextrun"/>
          <w:rFonts w:cs="Calibri"/>
          <w:bCs/>
          <w:color w:val="000000" w:themeColor="text1"/>
        </w:rPr>
        <w:t>2</w:t>
      </w:r>
      <w:r>
        <w:rPr>
          <w:rStyle w:val="normaltextrun"/>
          <w:rFonts w:cs="Calibri"/>
          <w:bCs/>
          <w:color w:val="000000" w:themeColor="text1"/>
        </w:rPr>
        <w:t>, include the word ‘construction’ in the NPS-HPL,</w:t>
      </w:r>
      <w:r w:rsidRPr="5778E9FC">
        <w:rPr>
          <w:rStyle w:val="normaltextrun"/>
          <w:rFonts w:cs="Calibri"/>
          <w:color w:val="000000" w:themeColor="text1"/>
        </w:rPr>
        <w:t xml:space="preserve"> </w:t>
      </w:r>
      <w:r>
        <w:rPr>
          <w:rStyle w:val="normaltextrun"/>
          <w:rFonts w:cs="Calibri"/>
          <w:color w:val="000000"/>
          <w:shd w:val="clear" w:color="auto" w:fill="FFFFFF"/>
        </w:rPr>
        <w:t xml:space="preserve">provides a clear </w:t>
      </w:r>
      <w:r>
        <w:rPr>
          <w:rStyle w:val="normaltextrun"/>
          <w:rFonts w:eastAsia="Calibri" w:cs="Calibri"/>
          <w:color w:val="000000" w:themeColor="text1"/>
        </w:rPr>
        <w:t>consent</w:t>
      </w:r>
      <w:r w:rsidRPr="7FEDF33A">
        <w:rPr>
          <w:rStyle w:val="normaltextrun"/>
          <w:rFonts w:eastAsia="Calibri" w:cs="Calibri"/>
          <w:color w:val="000000" w:themeColor="text1"/>
        </w:rPr>
        <w:t xml:space="preserve"> </w:t>
      </w:r>
      <w:r>
        <w:rPr>
          <w:rStyle w:val="normaltextrun"/>
          <w:rFonts w:cs="Calibri"/>
          <w:color w:val="000000"/>
          <w:shd w:val="clear" w:color="auto" w:fill="FFFFFF"/>
        </w:rPr>
        <w:t>pathway for constructing</w:t>
      </w:r>
      <w:r w:rsidDel="005819E3">
        <w:rPr>
          <w:rStyle w:val="normaltextrun"/>
          <w:rFonts w:cs="Calibri"/>
          <w:color w:val="000000"/>
          <w:shd w:val="clear" w:color="auto" w:fill="FFFFFF"/>
        </w:rPr>
        <w:t xml:space="preserve"> </w:t>
      </w:r>
      <w:r>
        <w:rPr>
          <w:rStyle w:val="normaltextrun"/>
          <w:rFonts w:cs="Calibri"/>
          <w:color w:val="000000"/>
          <w:shd w:val="clear" w:color="auto" w:fill="FFFFFF"/>
        </w:rPr>
        <w:t xml:space="preserve">new specified infrastructure on HPL. </w:t>
      </w:r>
    </w:p>
    <w:p w14:paraId="612ECF75" w14:textId="77777777" w:rsidR="00202231" w:rsidRDefault="00202231" w:rsidP="00202231">
      <w:pPr>
        <w:pStyle w:val="BodyText"/>
        <w:rPr>
          <w:rStyle w:val="normaltextrun"/>
          <w:rFonts w:cs="Calibri"/>
          <w:color w:val="000000" w:themeColor="text1"/>
        </w:rPr>
      </w:pPr>
      <w:r>
        <w:rPr>
          <w:rStyle w:val="normaltextrun"/>
          <w:rFonts w:cs="Calibri"/>
          <w:color w:val="000000"/>
          <w:shd w:val="clear" w:color="auto" w:fill="FFFFFF"/>
        </w:rPr>
        <w:t>This option aligns with the original intent of</w:t>
      </w:r>
      <w:r w:rsidRPr="5ADAE341">
        <w:rPr>
          <w:rStyle w:val="normaltextrun"/>
          <w:rFonts w:cs="Calibri"/>
          <w:color w:val="000000" w:themeColor="text1"/>
        </w:rPr>
        <w:t xml:space="preserve"> the NPS-HPL</w:t>
      </w:r>
      <w:r>
        <w:rPr>
          <w:rStyle w:val="normaltextrun"/>
          <w:rFonts w:cs="Calibri"/>
          <w:color w:val="000000"/>
          <w:shd w:val="clear" w:color="auto" w:fill="FFFFFF"/>
        </w:rPr>
        <w:t>. It does not, however, mean that new specified infrastructure is now permitted on HPL. Being listed as an activity that is ‘not inappropriate’ means that councils are able to provide a consent pathway for new specified infrastructure on HPL through their district plans. This allows decision-makers to consider the merits of proposals through the consent process.</w:t>
      </w:r>
      <w:r w:rsidRPr="50F196DE" w:rsidDel="3AA81E0F">
        <w:rPr>
          <w:rStyle w:val="normaltextrun"/>
          <w:rFonts w:cs="Calibri"/>
          <w:color w:val="000000" w:themeColor="text1"/>
        </w:rPr>
        <w:t xml:space="preserve"> </w:t>
      </w:r>
    </w:p>
    <w:p w14:paraId="5BD9B4D0" w14:textId="77777777" w:rsidR="00202231" w:rsidRPr="00D755F4" w:rsidRDefault="00202231" w:rsidP="00202231">
      <w:pPr>
        <w:pStyle w:val="BodyText"/>
        <w:rPr>
          <w:rStyle w:val="normaltextrun"/>
          <w:rFonts w:cs="Calibri"/>
          <w:color w:val="000000"/>
          <w:shd w:val="clear" w:color="auto" w:fill="FFFFFF"/>
        </w:rPr>
      </w:pPr>
      <w:r>
        <w:rPr>
          <w:rStyle w:val="normaltextrun"/>
          <w:rFonts w:cs="Calibri"/>
          <w:color w:val="000000" w:themeColor="text1"/>
        </w:rPr>
        <w:t>U</w:t>
      </w:r>
      <w:r>
        <w:rPr>
          <w:rStyle w:val="normaltextrun"/>
          <w:rFonts w:cs="Calibri"/>
          <w:color w:val="000000"/>
          <w:shd w:val="clear" w:color="auto" w:fill="FFFFFF"/>
        </w:rPr>
        <w:t>nder clause 3.9(2)(j) applicants would still be required to demonstrate that the construction of new specified infrastructure:</w:t>
      </w:r>
    </w:p>
    <w:p w14:paraId="49FA6C53" w14:textId="77777777" w:rsidR="00202231" w:rsidRPr="002E6ECB" w:rsidRDefault="00202231" w:rsidP="00202231">
      <w:pPr>
        <w:pStyle w:val="Numberedparagraph"/>
        <w:numPr>
          <w:ilvl w:val="0"/>
          <w:numId w:val="42"/>
        </w:numPr>
        <w:rPr>
          <w:rStyle w:val="normaltextrun"/>
        </w:rPr>
      </w:pPr>
      <w:r w:rsidRPr="002E6ECB">
        <w:rPr>
          <w:rStyle w:val="normaltextrun"/>
        </w:rPr>
        <w:t>meets the definition of specified infrastructure (clause 1.3)</w:t>
      </w:r>
    </w:p>
    <w:p w14:paraId="271A810C" w14:textId="77777777" w:rsidR="00202231" w:rsidRPr="002E6ECB" w:rsidRDefault="00202231" w:rsidP="00202231">
      <w:pPr>
        <w:pStyle w:val="Numberedparagraph"/>
        <w:numPr>
          <w:ilvl w:val="0"/>
          <w:numId w:val="42"/>
        </w:numPr>
        <w:rPr>
          <w:rStyle w:val="normaltextrun"/>
        </w:rPr>
      </w:pPr>
      <w:r w:rsidRPr="002E6ECB">
        <w:rPr>
          <w:rStyle w:val="normaltextrun"/>
        </w:rPr>
        <w:t>demonstrates a functional or operational need to be located on HPL (clause 3.9(2)(j))</w:t>
      </w:r>
    </w:p>
    <w:p w14:paraId="3ED57B7B" w14:textId="77777777" w:rsidR="00202231" w:rsidRPr="002E6ECB" w:rsidRDefault="00202231" w:rsidP="00202231">
      <w:pPr>
        <w:pStyle w:val="Numberedparagraph"/>
        <w:numPr>
          <w:ilvl w:val="0"/>
          <w:numId w:val="42"/>
        </w:numPr>
        <w:rPr>
          <w:rStyle w:val="normaltextrun"/>
        </w:rPr>
      </w:pPr>
      <w:r w:rsidRPr="002E6ECB">
        <w:rPr>
          <w:rStyle w:val="normaltextrun"/>
        </w:rPr>
        <w:t>minimises or mitigates any actual loss or potential cumulative loss of the availability and productive capacity of HPL in their district (clause 3.9(3)(a)).</w:t>
      </w:r>
    </w:p>
    <w:p w14:paraId="1EEEFA86" w14:textId="77777777" w:rsidR="00202231" w:rsidRPr="004E4069" w:rsidRDefault="00202231" w:rsidP="00202231">
      <w:pPr>
        <w:pStyle w:val="BodyText"/>
        <w:rPr>
          <w:rStyle w:val="normaltextrun"/>
        </w:rPr>
      </w:pPr>
      <w:r w:rsidRPr="004E4069">
        <w:rPr>
          <w:rStyle w:val="normaltextrun"/>
        </w:rPr>
        <w:t>These three tests ensure that proposals for new specified infrastructure on HPL would still be subject to a robust consideration of the need to use HPL. The tests also determine whether the proposal is consistent with the objective and policy framework of the NPS-HPL.</w:t>
      </w:r>
    </w:p>
    <w:p w14:paraId="510D9C2E" w14:textId="77777777" w:rsidR="00202231" w:rsidRPr="004E4069" w:rsidRDefault="00202231" w:rsidP="00202231">
      <w:pPr>
        <w:pStyle w:val="BodyText"/>
        <w:rPr>
          <w:rStyle w:val="normaltextrun"/>
        </w:rPr>
      </w:pPr>
      <w:r w:rsidRPr="004E4069">
        <w:t xml:space="preserve">Most infrastructure operators or providers have designation powers under the RMA, so already have a pathway to establish on HPL under clause 3.9(2)(h). However, this route is not readily available to all infrastructure providers, especially REG </w:t>
      </w:r>
      <w:r>
        <w:t>and broadband</w:t>
      </w:r>
      <w:r w:rsidRPr="004E4069">
        <w:t xml:space="preserve"> developers. The amendment would mainly provide a development pathway for REG development on HPL and infrastructure that is need</w:t>
      </w:r>
      <w:r>
        <w:t>ed</w:t>
      </w:r>
      <w:r w:rsidRPr="004E4069">
        <w:t xml:space="preserve"> at pace. </w:t>
      </w:r>
    </w:p>
    <w:p w14:paraId="122D5EB7" w14:textId="77777777" w:rsidR="00202231" w:rsidRPr="00A37A8B" w:rsidRDefault="00202231" w:rsidP="00202231">
      <w:pPr>
        <w:pStyle w:val="Heading4"/>
        <w:rPr>
          <w:rStyle w:val="normaltextrun"/>
        </w:rPr>
      </w:pPr>
      <w:r w:rsidRPr="00A37A8B">
        <w:rPr>
          <w:rStyle w:val="normaltextrun"/>
        </w:rPr>
        <w:t>Solar farming on HPL</w:t>
      </w:r>
    </w:p>
    <w:p w14:paraId="71974953" w14:textId="77777777" w:rsidR="00202231" w:rsidRPr="004E4069" w:rsidRDefault="00202231" w:rsidP="00202231">
      <w:pPr>
        <w:pStyle w:val="BodyText"/>
      </w:pPr>
      <w:r>
        <w:t xml:space="preserve">Option 2 would make it easier to establish infrastructure, especially solar farms or other REG, on HPL rather than on lower-grade rural land (LUC &gt; 3), industrial or urban areas. Rural land is generally cheaper and more readily available and HPL is easier to develop for solar panels given its flat topography and proximity to transmission networks and energy demand (urban centres). Although solar farming does not significantly affect the soil resource, it does decrease the potential land-based primary production of HPL by limiting it to activities such as grazing sheep under and around the panels. </w:t>
      </w:r>
    </w:p>
    <w:p w14:paraId="53E4F3DB" w14:textId="77777777" w:rsidR="00202231" w:rsidRPr="004E4069" w:rsidRDefault="00202231" w:rsidP="00202231">
      <w:pPr>
        <w:pStyle w:val="BodyText"/>
        <w:rPr>
          <w:rStyle w:val="normaltextrun"/>
        </w:rPr>
      </w:pPr>
      <w:r w:rsidRPr="004E4069">
        <w:t xml:space="preserve">Given the high value of electricity generation infrastructure and </w:t>
      </w:r>
      <w:r>
        <w:t xml:space="preserve">the </w:t>
      </w:r>
      <w:r w:rsidRPr="004E4069">
        <w:t xml:space="preserve">demand for renewable </w:t>
      </w:r>
      <w:r w:rsidRPr="004E4069" w:rsidDel="007F2447">
        <w:t>electricity</w:t>
      </w:r>
      <w:r w:rsidRPr="004E4069">
        <w:t>,</w:t>
      </w:r>
      <w:r w:rsidRPr="004E4069" w:rsidDel="007F2447">
        <w:t xml:space="preserve"> </w:t>
      </w:r>
      <w:r w:rsidRPr="004E4069">
        <w:t xml:space="preserve">it </w:t>
      </w:r>
      <w:r>
        <w:t>is</w:t>
      </w:r>
      <w:r w:rsidRPr="004E4069">
        <w:t xml:space="preserve"> unlikely that land used for solar farming will be returned to solely land-based primary productive use in the foreseeable future. However, </w:t>
      </w:r>
      <w:r>
        <w:t>calculations</w:t>
      </w:r>
      <w:r w:rsidRPr="005439D5">
        <w:rPr>
          <w:rStyle w:val="CommentReference"/>
          <w:sz w:val="24"/>
          <w:szCs w:val="24"/>
        </w:rPr>
        <w:t xml:space="preserve"> </w:t>
      </w:r>
      <w:r w:rsidRPr="005439D5">
        <w:rPr>
          <w:rStyle w:val="CommentReference"/>
        </w:rPr>
        <w:t>b</w:t>
      </w:r>
      <w:r>
        <w:t xml:space="preserve">ased on available published data suggest that </w:t>
      </w:r>
      <w:r w:rsidRPr="004E4069">
        <w:t>the</w:t>
      </w:r>
      <w:r w:rsidRPr="004E4069" w:rsidDel="007F2447">
        <w:t xml:space="preserve"> </w:t>
      </w:r>
      <w:r w:rsidRPr="004E4069">
        <w:t xml:space="preserve">amount of HPL </w:t>
      </w:r>
      <w:r>
        <w:t>needed</w:t>
      </w:r>
      <w:r w:rsidRPr="004E4069">
        <w:t xml:space="preserve"> for solar farms </w:t>
      </w:r>
      <w:r>
        <w:t xml:space="preserve">is likely to be </w:t>
      </w:r>
      <w:r w:rsidRPr="00FD3991">
        <w:t xml:space="preserve">less than </w:t>
      </w:r>
      <w:r>
        <w:t>1 per cent</w:t>
      </w:r>
      <w:r>
        <w:rPr>
          <w:rStyle w:val="FootnoteReference"/>
        </w:rPr>
        <w:footnoteReference w:id="9"/>
      </w:r>
      <w:r w:rsidRPr="00FD3991">
        <w:t xml:space="preserve"> of</w:t>
      </w:r>
      <w:r>
        <w:t xml:space="preserve"> the total</w:t>
      </w:r>
      <w:r w:rsidRPr="00FD3991">
        <w:t xml:space="preserve"> HPL in Aotearoa</w:t>
      </w:r>
      <w:r w:rsidRPr="004E4069">
        <w:t>.</w:t>
      </w:r>
      <w:r>
        <w:t xml:space="preserve"> Territorial authorities are also required by the NPS-HPL to ensure that the loss or potential cumulative loss of the availability and productive capacity of HPL in their district from specified infrastructure development is minimised or mitigated. </w:t>
      </w:r>
      <w:r w:rsidRPr="004E4069">
        <w:t xml:space="preserve"> </w:t>
      </w:r>
    </w:p>
    <w:p w14:paraId="116BF865" w14:textId="77777777" w:rsidR="00202231" w:rsidRPr="00B8400F" w:rsidRDefault="00202231" w:rsidP="00202231">
      <w:pPr>
        <w:pStyle w:val="Heading3"/>
      </w:pPr>
      <w:bookmarkStart w:id="23" w:name="_Toc144210861"/>
      <w:r w:rsidRPr="00A37A8B">
        <w:lastRenderedPageBreak/>
        <w:t>Option 2 is r</w:t>
      </w:r>
      <w:r w:rsidRPr="00B8400F">
        <w:t>ecommended</w:t>
      </w:r>
      <w:bookmarkEnd w:id="23"/>
      <w:r w:rsidRPr="00B8400F">
        <w:t xml:space="preserve"> </w:t>
      </w:r>
    </w:p>
    <w:p w14:paraId="7624FA61" w14:textId="77777777" w:rsidR="00202231" w:rsidRPr="00976969" w:rsidRDefault="00202231" w:rsidP="00202231">
      <w:pPr>
        <w:pStyle w:val="BodyText"/>
        <w:rPr>
          <w:rStyle w:val="normaltextrun"/>
          <w:rFonts w:cs="Calibri"/>
          <w:color w:val="000000"/>
          <w:shd w:val="clear" w:color="auto" w:fill="FFFFFF"/>
        </w:rPr>
      </w:pPr>
      <w:r w:rsidRPr="00976969">
        <w:rPr>
          <w:rStyle w:val="normaltextrun"/>
          <w:rFonts w:cs="Calibri"/>
          <w:color w:val="000000"/>
          <w:shd w:val="clear" w:color="auto" w:fill="FFFFFF"/>
        </w:rPr>
        <w:t>The change outlined in</w:t>
      </w:r>
      <w:r w:rsidRPr="004A2F0A">
        <w:rPr>
          <w:rStyle w:val="normaltextrun"/>
          <w:rFonts w:cs="Calibri"/>
          <w:color w:val="000000"/>
          <w:shd w:val="clear" w:color="auto" w:fill="FFFFFF"/>
        </w:rPr>
        <w:t xml:space="preserve"> </w:t>
      </w:r>
      <w:r>
        <w:rPr>
          <w:rStyle w:val="normaltextrun"/>
          <w:rFonts w:cs="Calibri"/>
          <w:bCs/>
          <w:color w:val="000000"/>
          <w:shd w:val="clear" w:color="auto" w:fill="FFFFFF"/>
        </w:rPr>
        <w:t>o</w:t>
      </w:r>
      <w:r w:rsidRPr="00F800AF">
        <w:rPr>
          <w:rStyle w:val="normaltextrun"/>
          <w:rFonts w:cs="Calibri"/>
          <w:bCs/>
          <w:color w:val="000000"/>
          <w:shd w:val="clear" w:color="auto" w:fill="FFFFFF"/>
        </w:rPr>
        <w:t>ption 2</w:t>
      </w:r>
      <w:r w:rsidRPr="004A2F0A">
        <w:rPr>
          <w:rStyle w:val="normaltextrun"/>
          <w:rFonts w:cs="Calibri"/>
          <w:b/>
          <w:bCs/>
          <w:color w:val="000000"/>
          <w:shd w:val="clear" w:color="auto" w:fill="FFFFFF"/>
        </w:rPr>
        <w:t xml:space="preserve"> </w:t>
      </w:r>
      <w:r w:rsidRPr="00976969">
        <w:rPr>
          <w:rStyle w:val="normaltextrun"/>
          <w:rFonts w:cs="Calibri"/>
          <w:color w:val="000000"/>
          <w:shd w:val="clear" w:color="auto" w:fill="FFFFFF"/>
        </w:rPr>
        <w:t>is considered necessary because it:</w:t>
      </w:r>
    </w:p>
    <w:p w14:paraId="03A64438" w14:textId="77777777" w:rsidR="00202231" w:rsidRPr="008D2AB2" w:rsidRDefault="00202231" w:rsidP="00202231">
      <w:pPr>
        <w:pStyle w:val="Bullet"/>
        <w:rPr>
          <w:rStyle w:val="normaltextrun"/>
          <w:rFonts w:cs="Calibri"/>
          <w:color w:val="000000"/>
          <w:shd w:val="clear" w:color="auto" w:fill="FFFFFF"/>
        </w:rPr>
      </w:pPr>
      <w:r w:rsidRPr="67DDA0F7">
        <w:t xml:space="preserve">provides </w:t>
      </w:r>
      <w:r>
        <w:t xml:space="preserve">a </w:t>
      </w:r>
      <w:r w:rsidRPr="67DDA0F7">
        <w:t xml:space="preserve">pathway for new specified infrastructure to establish on HPL, especially </w:t>
      </w:r>
      <w:r>
        <w:t xml:space="preserve">for construction of new infrastructure </w:t>
      </w:r>
      <w:r w:rsidRPr="67DDA0F7">
        <w:t>that cannot be designated or is needed at</w:t>
      </w:r>
      <w:r>
        <w:t xml:space="preserve"> </w:t>
      </w:r>
      <w:r w:rsidRPr="67DDA0F7">
        <w:t>pace</w:t>
      </w:r>
    </w:p>
    <w:p w14:paraId="1C93B7E4" w14:textId="77777777" w:rsidR="00202231" w:rsidRPr="008D2AB2" w:rsidRDefault="00202231" w:rsidP="00202231">
      <w:pPr>
        <w:pStyle w:val="Bullet"/>
        <w:rPr>
          <w:rFonts w:cs="Calibri"/>
          <w:color w:val="000000"/>
          <w:sz w:val="28"/>
          <w:szCs w:val="28"/>
          <w:shd w:val="clear" w:color="auto" w:fill="FFFFFF"/>
        </w:rPr>
      </w:pPr>
      <w:r w:rsidRPr="7FEDF33A">
        <w:t xml:space="preserve">achieves a balance between a nationally consistent approach to managing and protecting HPL, and </w:t>
      </w:r>
      <w:r>
        <w:t>providing for</w:t>
      </w:r>
      <w:r w:rsidRPr="7FEDF33A">
        <w:t xml:space="preserve"> local needs </w:t>
      </w:r>
      <w:r>
        <w:t xml:space="preserve">and </w:t>
      </w:r>
      <w:r w:rsidRPr="7FEDF33A">
        <w:t>context to be considered and incorporated into policy and decision</w:t>
      </w:r>
      <w:r>
        <w:t>-</w:t>
      </w:r>
      <w:r w:rsidRPr="7FEDF33A">
        <w:t>making</w:t>
      </w:r>
    </w:p>
    <w:p w14:paraId="6A026B5C" w14:textId="77777777" w:rsidR="00202231" w:rsidRPr="008E7099" w:rsidRDefault="00202231" w:rsidP="00202231">
      <w:pPr>
        <w:pStyle w:val="Bullet"/>
        <w:rPr>
          <w:rStyle w:val="normaltextrun"/>
          <w:rFonts w:cs="Calibri"/>
          <w:color w:val="000000"/>
          <w:shd w:val="clear" w:color="auto" w:fill="FFFFFF"/>
        </w:rPr>
      </w:pPr>
      <w:r w:rsidRPr="7FEDF33A">
        <w:rPr>
          <w:rStyle w:val="normaltextrun"/>
          <w:rFonts w:cs="Calibri"/>
          <w:color w:val="000000" w:themeColor="text1"/>
        </w:rPr>
        <w:t>will improve alignment with other national direction</w:t>
      </w:r>
    </w:p>
    <w:p w14:paraId="79DD97D6" w14:textId="77777777" w:rsidR="00202231" w:rsidRPr="008D2AB2" w:rsidRDefault="00202231" w:rsidP="00202231">
      <w:pPr>
        <w:pStyle w:val="Bullet"/>
        <w:rPr>
          <w:rFonts w:cs="Calibri"/>
          <w:color w:val="000000"/>
          <w:sz w:val="28"/>
          <w:szCs w:val="28"/>
          <w:shd w:val="clear" w:color="auto" w:fill="FFFFFF"/>
        </w:rPr>
      </w:pPr>
      <w:r w:rsidRPr="67DDA0F7">
        <w:rPr>
          <w:rFonts w:eastAsia="Calibri"/>
          <w:color w:val="000000" w:themeColor="text1"/>
        </w:rPr>
        <w:t>provides scope for councils to address the increased demand for REG on HPL</w:t>
      </w:r>
    </w:p>
    <w:p w14:paraId="4516F0C4" w14:textId="77777777" w:rsidR="00202231" w:rsidRDefault="00202231" w:rsidP="00202231">
      <w:pPr>
        <w:pStyle w:val="Bullet"/>
        <w:rPr>
          <w:rStyle w:val="normaltextrun"/>
          <w:rFonts w:cs="Calibri"/>
          <w:color w:val="000000"/>
          <w:sz w:val="28"/>
          <w:szCs w:val="28"/>
          <w:shd w:val="clear" w:color="auto" w:fill="FFFFFF"/>
        </w:rPr>
      </w:pPr>
      <w:r w:rsidRPr="008E7099">
        <w:rPr>
          <w:rStyle w:val="normaltextrun"/>
          <w:rFonts w:cs="Calibri"/>
          <w:color w:val="000000"/>
          <w:shd w:val="clear" w:color="auto" w:fill="FFFFFF"/>
        </w:rPr>
        <w:t xml:space="preserve">only </w:t>
      </w:r>
      <w:r>
        <w:rPr>
          <w:rStyle w:val="normaltextrun"/>
          <w:rFonts w:cs="Calibri"/>
          <w:color w:val="000000"/>
          <w:shd w:val="clear" w:color="auto" w:fill="FFFFFF"/>
        </w:rPr>
        <w:t xml:space="preserve">relates to </w:t>
      </w:r>
      <w:r w:rsidRPr="008E7099">
        <w:rPr>
          <w:rStyle w:val="normaltextrun"/>
          <w:rFonts w:cs="Calibri"/>
          <w:color w:val="000000"/>
          <w:shd w:val="clear" w:color="auto" w:fill="FFFFFF"/>
        </w:rPr>
        <w:t>specified infrastructure</w:t>
      </w:r>
      <w:r>
        <w:rPr>
          <w:rStyle w:val="normaltextrun"/>
          <w:rFonts w:cs="Calibri"/>
          <w:color w:val="000000"/>
          <w:shd w:val="clear" w:color="auto" w:fill="FFFFFF"/>
        </w:rPr>
        <w:t xml:space="preserve"> in subclause </w:t>
      </w:r>
      <w:r w:rsidRPr="008E7099">
        <w:rPr>
          <w:rStyle w:val="normaltextrun"/>
          <w:rFonts w:cs="Calibri"/>
          <w:color w:val="000000"/>
          <w:shd w:val="clear" w:color="auto" w:fill="FFFFFF"/>
        </w:rPr>
        <w:t>3.9(2)(j)(</w:t>
      </w:r>
      <w:proofErr w:type="spellStart"/>
      <w:r w:rsidRPr="008E7099">
        <w:rPr>
          <w:rStyle w:val="normaltextrun"/>
          <w:rFonts w:cs="Calibri"/>
          <w:color w:val="000000"/>
          <w:shd w:val="clear" w:color="auto" w:fill="FFFFFF"/>
        </w:rPr>
        <w:t>i</w:t>
      </w:r>
      <w:proofErr w:type="spellEnd"/>
      <w:r w:rsidRPr="008E7099">
        <w:rPr>
          <w:rStyle w:val="normaltextrun"/>
          <w:rFonts w:cs="Calibri"/>
          <w:color w:val="000000"/>
          <w:shd w:val="clear" w:color="auto" w:fill="FFFFFF"/>
        </w:rPr>
        <w:t xml:space="preserve">), </w:t>
      </w:r>
      <w:r>
        <w:rPr>
          <w:rStyle w:val="normaltextrun"/>
          <w:rFonts w:cs="Calibri"/>
          <w:color w:val="000000" w:themeColor="text1"/>
        </w:rPr>
        <w:t>and does not require any</w:t>
      </w:r>
      <w:r w:rsidRPr="008E7099">
        <w:rPr>
          <w:rStyle w:val="normaltextrun"/>
          <w:rFonts w:cs="Calibri"/>
          <w:color w:val="000000"/>
          <w:shd w:val="clear" w:color="auto" w:fill="FFFFFF"/>
        </w:rPr>
        <w:t xml:space="preserve"> consequential </w:t>
      </w:r>
      <w:r>
        <w:rPr>
          <w:rStyle w:val="normaltextrun"/>
          <w:rFonts w:cs="Calibri"/>
          <w:color w:val="000000"/>
          <w:shd w:val="clear" w:color="auto" w:fill="FFFFFF"/>
        </w:rPr>
        <w:t>amendments</w:t>
      </w:r>
      <w:r w:rsidRPr="008E7099">
        <w:rPr>
          <w:rStyle w:val="normaltextrun"/>
          <w:rFonts w:cs="Calibri"/>
          <w:color w:val="000000"/>
          <w:shd w:val="clear" w:color="auto" w:fill="FFFFFF"/>
        </w:rPr>
        <w:t xml:space="preserve"> to other sub-clauses</w:t>
      </w:r>
    </w:p>
    <w:p w14:paraId="1C1F6B25" w14:textId="77777777" w:rsidR="00202231" w:rsidRPr="004F69C4" w:rsidRDefault="00202231" w:rsidP="00202231">
      <w:pPr>
        <w:pStyle w:val="Bullet"/>
      </w:pPr>
      <w:r w:rsidRPr="26144738">
        <w:rPr>
          <w:rStyle w:val="normaltextrun"/>
          <w:rFonts w:cs="Calibri"/>
          <w:color w:val="000000" w:themeColor="text1"/>
        </w:rPr>
        <w:t>i</w:t>
      </w:r>
      <w:r w:rsidRPr="00284AA0">
        <w:rPr>
          <w:rStyle w:val="normaltextrun"/>
          <w:rFonts w:cs="Calibri"/>
          <w:color w:val="000000"/>
          <w:shd w:val="clear" w:color="auto" w:fill="FFFFFF"/>
        </w:rPr>
        <w:t>s the simplest method to address the issue.</w:t>
      </w:r>
    </w:p>
    <w:p w14:paraId="7C5E190B" w14:textId="77777777" w:rsidR="00202231" w:rsidRPr="004E4069" w:rsidRDefault="00202231" w:rsidP="00202231">
      <w:pPr>
        <w:pStyle w:val="BodyText"/>
      </w:pPr>
      <w:r w:rsidRPr="004E4069">
        <w:t>This amendment may result in a greater loss of HPL or less HPL being available for land-based primary production, than if the NPS-HPL is retain</w:t>
      </w:r>
      <w:r>
        <w:t>ed</w:t>
      </w:r>
      <w:r w:rsidRPr="004E4069">
        <w:t xml:space="preserve"> as currently written.</w:t>
      </w:r>
    </w:p>
    <w:p w14:paraId="40F3BA73" w14:textId="77777777" w:rsidR="00202231" w:rsidRDefault="00202231" w:rsidP="00202231">
      <w:pPr>
        <w:pStyle w:val="BodyText"/>
        <w:spacing w:before="0" w:after="0" w:line="240" w:lineRule="auto"/>
      </w:pP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2"/>
        <w:tblLook w:val="04A0" w:firstRow="1" w:lastRow="0" w:firstColumn="1" w:lastColumn="0" w:noHBand="0" w:noVBand="1"/>
      </w:tblPr>
      <w:tblGrid>
        <w:gridCol w:w="8505"/>
      </w:tblGrid>
      <w:tr w:rsidR="00202231" w:rsidRPr="00345928" w14:paraId="40858ED9" w14:textId="77777777">
        <w:trPr>
          <w:trHeight w:val="2420"/>
        </w:trPr>
        <w:tc>
          <w:tcPr>
            <w:tcW w:w="0" w:type="auto"/>
            <w:shd w:val="clear" w:color="auto" w:fill="D2DDE2"/>
          </w:tcPr>
          <w:p w14:paraId="6144A691" w14:textId="77777777" w:rsidR="00202231" w:rsidRPr="00202231" w:rsidRDefault="00202231" w:rsidP="0013604E">
            <w:pPr>
              <w:pStyle w:val="Boxheading0"/>
            </w:pPr>
            <w:r w:rsidRPr="00202231">
              <w:t>Potential amendment of the NPS-HPL to provide for the development of new specified infrastructure</w:t>
            </w:r>
          </w:p>
          <w:p w14:paraId="21B6EBE2" w14:textId="77777777" w:rsidR="00202231" w:rsidRPr="00202231" w:rsidRDefault="00202231" w:rsidP="0013604E">
            <w:pPr>
              <w:pStyle w:val="Boxtext"/>
            </w:pPr>
            <w:r w:rsidRPr="00202231">
              <w:t>The preferred option is to amend the NPS-HPL to clarify how new specified infrastructure should be provided for on HPL. Feedback is sought on the proposed option 2:</w:t>
            </w:r>
          </w:p>
          <w:p w14:paraId="01840377" w14:textId="77777777" w:rsidR="00202231" w:rsidRPr="00FA5B92" w:rsidRDefault="00202231" w:rsidP="0013604E">
            <w:pPr>
              <w:pStyle w:val="Boxtext"/>
              <w:rPr>
                <w:color w:val="DA6C28" w:themeColor="accent6"/>
                <w:szCs w:val="24"/>
              </w:rPr>
            </w:pPr>
            <w:r w:rsidRPr="00202231">
              <w:rPr>
                <w:szCs w:val="24"/>
              </w:rPr>
              <w:t>Amend clause 3.9(2)(j)(</w:t>
            </w:r>
            <w:proofErr w:type="spellStart"/>
            <w:r w:rsidRPr="00202231">
              <w:rPr>
                <w:szCs w:val="24"/>
              </w:rPr>
              <w:t>i</w:t>
            </w:r>
            <w:proofErr w:type="spellEnd"/>
            <w:r w:rsidRPr="00202231">
              <w:rPr>
                <w:szCs w:val="24"/>
              </w:rPr>
              <w:t>) to provide a consent pathway for the use and development of new specified infrastructure by including the word ‘construction’.</w:t>
            </w:r>
            <w:r w:rsidRPr="00202231">
              <w:t xml:space="preserve"> </w:t>
            </w:r>
          </w:p>
        </w:tc>
      </w:tr>
    </w:tbl>
    <w:p w14:paraId="6ACF8D0D" w14:textId="77777777" w:rsidR="00202231" w:rsidRPr="004A766D" w:rsidRDefault="00202231" w:rsidP="004A766D">
      <w:pPr>
        <w:pStyle w:val="BodyText"/>
      </w:pPr>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473"/>
        <w:gridCol w:w="8032"/>
      </w:tblGrid>
      <w:tr w:rsidR="00202231" w:rsidRPr="006B77BB" w14:paraId="6E8583B6" w14:textId="77777777" w:rsidTr="00202231">
        <w:trPr>
          <w:tblHeader/>
        </w:trPr>
        <w:tc>
          <w:tcPr>
            <w:tcW w:w="5000" w:type="pct"/>
            <w:gridSpan w:val="2"/>
            <w:shd w:val="clear" w:color="auto" w:fill="1B556B" w:themeFill="text2"/>
          </w:tcPr>
          <w:p w14:paraId="376310BA" w14:textId="77777777" w:rsidR="00202231" w:rsidRPr="00202231" w:rsidRDefault="00202231" w:rsidP="00202231">
            <w:pPr>
              <w:pStyle w:val="Tableheading"/>
              <w:rPr>
                <w:color w:val="FFFFFF" w:themeColor="background1"/>
              </w:rPr>
            </w:pPr>
            <w:r w:rsidRPr="00202231">
              <w:rPr>
                <w:color w:val="FFFFFF" w:themeColor="background1"/>
              </w:rPr>
              <w:t xml:space="preserve">Consultation questions: Specified infrastructure </w:t>
            </w:r>
          </w:p>
        </w:tc>
      </w:tr>
      <w:tr w:rsidR="00202231" w:rsidRPr="006B77BB" w14:paraId="050BE2FC" w14:textId="77777777">
        <w:tc>
          <w:tcPr>
            <w:tcW w:w="278" w:type="pct"/>
            <w:shd w:val="clear" w:color="auto" w:fill="auto"/>
          </w:tcPr>
          <w:p w14:paraId="131ADCA6" w14:textId="77777777" w:rsidR="00202231" w:rsidRPr="003772F5" w:rsidRDefault="00202231">
            <w:pPr>
              <w:pStyle w:val="TableText"/>
            </w:pPr>
            <w:r w:rsidRPr="003772F5">
              <w:t>1</w:t>
            </w:r>
          </w:p>
        </w:tc>
        <w:tc>
          <w:tcPr>
            <w:tcW w:w="4722" w:type="pct"/>
            <w:shd w:val="clear" w:color="auto" w:fill="auto"/>
          </w:tcPr>
          <w:p w14:paraId="088F85C7" w14:textId="77777777" w:rsidR="00202231" w:rsidRPr="003772F5" w:rsidRDefault="00202231">
            <w:pPr>
              <w:pStyle w:val="TableText"/>
            </w:pPr>
            <w:r w:rsidRPr="003772F5">
              <w:t>Are you aware of any other issues that could impede the development of new specified infrastructure on HPL?</w:t>
            </w:r>
          </w:p>
        </w:tc>
      </w:tr>
      <w:tr w:rsidR="00202231" w:rsidRPr="006B77BB" w14:paraId="09286681" w14:textId="77777777">
        <w:tc>
          <w:tcPr>
            <w:tcW w:w="278" w:type="pct"/>
            <w:shd w:val="clear" w:color="auto" w:fill="auto"/>
          </w:tcPr>
          <w:p w14:paraId="340FA029" w14:textId="77777777" w:rsidR="00202231" w:rsidRPr="003772F5" w:rsidRDefault="00202231">
            <w:pPr>
              <w:pStyle w:val="TableText"/>
            </w:pPr>
            <w:r w:rsidRPr="003772F5">
              <w:t>2</w:t>
            </w:r>
          </w:p>
        </w:tc>
        <w:tc>
          <w:tcPr>
            <w:tcW w:w="4722" w:type="pct"/>
            <w:shd w:val="clear" w:color="auto" w:fill="auto"/>
          </w:tcPr>
          <w:p w14:paraId="56800ABA" w14:textId="77777777" w:rsidR="00202231" w:rsidRPr="003772F5" w:rsidRDefault="00202231">
            <w:pPr>
              <w:pStyle w:val="TableText"/>
            </w:pPr>
            <w:r w:rsidRPr="003772F5">
              <w:t xml:space="preserve">Do you think the NPS-HPL requires an amendment to provide for the construction of new specified infrastructure on HPL? </w:t>
            </w:r>
          </w:p>
        </w:tc>
      </w:tr>
      <w:tr w:rsidR="00202231" w:rsidRPr="006B77BB" w14:paraId="370A6ABC" w14:textId="77777777">
        <w:tc>
          <w:tcPr>
            <w:tcW w:w="278" w:type="pct"/>
            <w:shd w:val="clear" w:color="auto" w:fill="auto"/>
          </w:tcPr>
          <w:p w14:paraId="6DF109AC" w14:textId="77777777" w:rsidR="00202231" w:rsidRPr="003772F5" w:rsidRDefault="00202231">
            <w:pPr>
              <w:pStyle w:val="TableText"/>
            </w:pPr>
            <w:r w:rsidRPr="003772F5">
              <w:t>3</w:t>
            </w:r>
          </w:p>
        </w:tc>
        <w:tc>
          <w:tcPr>
            <w:tcW w:w="4722" w:type="pct"/>
            <w:shd w:val="clear" w:color="auto" w:fill="auto"/>
          </w:tcPr>
          <w:p w14:paraId="530D0F22" w14:textId="77777777" w:rsidR="00202231" w:rsidRPr="003772F5" w:rsidRDefault="00202231">
            <w:pPr>
              <w:pStyle w:val="TableText"/>
            </w:pPr>
            <w:r w:rsidRPr="003772F5">
              <w:t>Do you think the proposed amendment to clause 3.9(2)(j)(</w:t>
            </w:r>
            <w:proofErr w:type="spellStart"/>
            <w:r w:rsidRPr="003772F5">
              <w:t>i</w:t>
            </w:r>
            <w:proofErr w:type="spellEnd"/>
            <w:r w:rsidRPr="003772F5">
              <w:t>) – adding ‘construction’ – will resolve the issues?</w:t>
            </w:r>
          </w:p>
        </w:tc>
      </w:tr>
      <w:tr w:rsidR="00202231" w:rsidRPr="006B77BB" w14:paraId="2FE1AC90" w14:textId="77777777">
        <w:tc>
          <w:tcPr>
            <w:tcW w:w="278" w:type="pct"/>
            <w:shd w:val="clear" w:color="auto" w:fill="auto"/>
          </w:tcPr>
          <w:p w14:paraId="25AD90E8" w14:textId="77777777" w:rsidR="00202231" w:rsidRPr="003772F5" w:rsidRDefault="00202231">
            <w:pPr>
              <w:pStyle w:val="TableText"/>
            </w:pPr>
            <w:r w:rsidRPr="003772F5">
              <w:t>4</w:t>
            </w:r>
          </w:p>
        </w:tc>
        <w:tc>
          <w:tcPr>
            <w:tcW w:w="4722" w:type="pct"/>
            <w:shd w:val="clear" w:color="auto" w:fill="auto"/>
          </w:tcPr>
          <w:p w14:paraId="0E9CC942" w14:textId="77777777" w:rsidR="00202231" w:rsidRPr="003772F5" w:rsidRDefault="00202231">
            <w:pPr>
              <w:pStyle w:val="TableText"/>
            </w:pPr>
            <w:r w:rsidRPr="003772F5">
              <w:t>Which option do you prefer? Why?</w:t>
            </w:r>
          </w:p>
        </w:tc>
      </w:tr>
    </w:tbl>
    <w:p w14:paraId="7FA5E401" w14:textId="77777777" w:rsidR="00202231" w:rsidRPr="00A14597" w:rsidRDefault="00202231" w:rsidP="00202231">
      <w:pPr>
        <w:pStyle w:val="BodyText"/>
        <w:spacing w:before="0" w:after="0" w:line="240" w:lineRule="auto"/>
      </w:pPr>
    </w:p>
    <w:p w14:paraId="1A28F672" w14:textId="77777777" w:rsidR="00202231" w:rsidRDefault="00202231" w:rsidP="00202231">
      <w:pPr>
        <w:spacing w:before="0" w:after="200" w:line="0" w:lineRule="auto"/>
        <w:jc w:val="left"/>
        <w:rPr>
          <w:rFonts w:ascii="Georgia" w:eastAsiaTheme="majorEastAsia" w:hAnsi="Georgia" w:cstheme="majorBidi"/>
          <w:b/>
          <w:color w:val="1B556B"/>
          <w:sz w:val="48"/>
          <w:szCs w:val="48"/>
        </w:rPr>
      </w:pPr>
      <w:r>
        <w:br w:type="page"/>
      </w:r>
    </w:p>
    <w:p w14:paraId="0C5CC6BE" w14:textId="77777777" w:rsidR="00202231" w:rsidRDefault="00202231" w:rsidP="00202231">
      <w:pPr>
        <w:pStyle w:val="Heading1"/>
      </w:pPr>
      <w:bookmarkStart w:id="24" w:name="_Toc144210862"/>
      <w:bookmarkStart w:id="25" w:name="_Toc144381364"/>
      <w:r>
        <w:lastRenderedPageBreak/>
        <w:t>Issue 2: Intensive indoor primary production and greenhouses</w:t>
      </w:r>
      <w:bookmarkEnd w:id="24"/>
      <w:bookmarkEnd w:id="25"/>
      <w:r w:rsidDel="002B4927">
        <w:t xml:space="preserve"> </w:t>
      </w:r>
    </w:p>
    <w:p w14:paraId="5E412536" w14:textId="77777777" w:rsidR="00202231" w:rsidRPr="007E0755" w:rsidRDefault="00202231" w:rsidP="00202231">
      <w:pPr>
        <w:pStyle w:val="Heading2"/>
        <w:rPr>
          <w:rStyle w:val="normaltextrun"/>
        </w:rPr>
      </w:pPr>
      <w:bookmarkStart w:id="26" w:name="_Toc144210863"/>
      <w:bookmarkStart w:id="27" w:name="_Toc144381365"/>
      <w:r w:rsidRPr="007E0755">
        <w:rPr>
          <w:rStyle w:val="normaltextrun"/>
        </w:rPr>
        <w:t xml:space="preserve">About </w:t>
      </w:r>
      <w:r w:rsidRPr="00EB29CC">
        <w:rPr>
          <w:rStyle w:val="normaltextrun"/>
        </w:rPr>
        <w:t>this</w:t>
      </w:r>
      <w:r w:rsidRPr="007E0755">
        <w:rPr>
          <w:rStyle w:val="normaltextrun"/>
        </w:rPr>
        <w:t xml:space="preserve"> issue</w:t>
      </w:r>
      <w:bookmarkEnd w:id="26"/>
      <w:bookmarkEnd w:id="27"/>
    </w:p>
    <w:p w14:paraId="043D7FAF" w14:textId="77777777" w:rsidR="00202231" w:rsidRDefault="00202231" w:rsidP="00202231">
      <w:pPr>
        <w:pStyle w:val="BodyText"/>
      </w:pPr>
      <w:r>
        <w:t xml:space="preserve">The development of new </w:t>
      </w:r>
      <w:r w:rsidRPr="557D771D">
        <w:t>intensive</w:t>
      </w:r>
      <w:r w:rsidRPr="7FEDF33A">
        <w:t xml:space="preserve"> indoor primary production and greenhouses on HPL do</w:t>
      </w:r>
      <w:r>
        <w:t>es</w:t>
      </w:r>
      <w:r w:rsidRPr="7FEDF33A">
        <w:t xml:space="preserve"> not have a clear </w:t>
      </w:r>
      <w:r>
        <w:t>consent</w:t>
      </w:r>
      <w:r w:rsidRPr="7FEDF33A">
        <w:t xml:space="preserve"> pathway, even if the</w:t>
      </w:r>
      <w:r>
        <w:t xml:space="preserve">re </w:t>
      </w:r>
      <w:r w:rsidRPr="03E93D5E">
        <w:t>may be</w:t>
      </w:r>
      <w:r w:rsidRPr="7FEDF33A" w:rsidDel="003B652D">
        <w:t xml:space="preserve"> </w:t>
      </w:r>
      <w:r w:rsidRPr="7FEDF33A">
        <w:t xml:space="preserve">functional or operational need to </w:t>
      </w:r>
      <w:r>
        <w:t xml:space="preserve">be </w:t>
      </w:r>
      <w:r w:rsidRPr="7FEDF33A">
        <w:t>locate</w:t>
      </w:r>
      <w:r>
        <w:t>d</w:t>
      </w:r>
      <w:r w:rsidRPr="7FEDF33A">
        <w:t xml:space="preserve"> on HPL. </w:t>
      </w:r>
    </w:p>
    <w:p w14:paraId="465801BD" w14:textId="77777777" w:rsidR="00202231" w:rsidRDefault="00202231" w:rsidP="00202231">
      <w:pPr>
        <w:pStyle w:val="BodyText"/>
      </w:pPr>
      <w:r w:rsidRPr="7FEDF33A">
        <w:rPr>
          <w:color w:val="000000" w:themeColor="text1"/>
        </w:rPr>
        <w:t>The definition of land-based primary production</w:t>
      </w:r>
      <w:r w:rsidRPr="7FEDF33A">
        <w:rPr>
          <w:color w:val="183C47"/>
          <w:vertAlign w:val="superscript"/>
        </w:rPr>
        <w:t xml:space="preserve"> </w:t>
      </w:r>
      <w:r w:rsidRPr="7FEDF33A">
        <w:rPr>
          <w:color w:val="000000" w:themeColor="text1"/>
        </w:rPr>
        <w:t xml:space="preserve">in the NPS-HPL has been drafted </w:t>
      </w:r>
      <w:r>
        <w:rPr>
          <w:color w:val="000000" w:themeColor="text1"/>
        </w:rPr>
        <w:t xml:space="preserve">to </w:t>
      </w:r>
      <w:r w:rsidRPr="7FEDF33A">
        <w:rPr>
          <w:color w:val="000000" w:themeColor="text1"/>
        </w:rPr>
        <w:t>prioritise</w:t>
      </w:r>
      <w:r>
        <w:rPr>
          <w:color w:val="000000" w:themeColor="text1"/>
        </w:rPr>
        <w:t xml:space="preserve"> HPL </w:t>
      </w:r>
      <w:r w:rsidRPr="7FEDF33A" w:rsidDel="00C84134">
        <w:rPr>
          <w:color w:val="000000" w:themeColor="text1"/>
        </w:rPr>
        <w:t xml:space="preserve">for use </w:t>
      </w:r>
      <w:r w:rsidRPr="7FEDF33A">
        <w:rPr>
          <w:color w:val="000000" w:themeColor="text1"/>
        </w:rPr>
        <w:t>in land-based primary production</w:t>
      </w:r>
      <w:r>
        <w:rPr>
          <w:color w:val="000000" w:themeColor="text1"/>
        </w:rPr>
        <w:t>,</w:t>
      </w:r>
      <w:r w:rsidRPr="7FEDF33A" w:rsidDel="005B7826">
        <w:rPr>
          <w:color w:val="000000" w:themeColor="text1"/>
        </w:rPr>
        <w:t xml:space="preserve"> </w:t>
      </w:r>
      <w:r w:rsidRPr="7FEDF33A">
        <w:rPr>
          <w:color w:val="000000" w:themeColor="text1"/>
        </w:rPr>
        <w:t xml:space="preserve">activities </w:t>
      </w:r>
      <w:r>
        <w:rPr>
          <w:color w:val="000000" w:themeColor="text1"/>
        </w:rPr>
        <w:t xml:space="preserve">that </w:t>
      </w:r>
      <w:r w:rsidRPr="7FEDF33A">
        <w:rPr>
          <w:color w:val="000000" w:themeColor="text1"/>
        </w:rPr>
        <w:t xml:space="preserve">use and rely on the soil. </w:t>
      </w:r>
      <w:r>
        <w:t>T</w:t>
      </w:r>
      <w:r w:rsidRPr="7FEDF33A">
        <w:t xml:space="preserve">he National Planning </w:t>
      </w:r>
      <w:r w:rsidRPr="7FEDF33A" w:rsidDel="005B7826">
        <w:t>Standards</w:t>
      </w:r>
      <w:r>
        <w:t xml:space="preserve">, however, </w:t>
      </w:r>
      <w:r w:rsidRPr="7FEDF33A">
        <w:t xml:space="preserve">provide a wider scope </w:t>
      </w:r>
      <w:r>
        <w:t>for</w:t>
      </w:r>
      <w:r w:rsidRPr="7FEDF33A">
        <w:t xml:space="preserve"> activities </w:t>
      </w:r>
      <w:r>
        <w:t>defined</w:t>
      </w:r>
      <w:r w:rsidRPr="7FEDF33A">
        <w:t xml:space="preserve"> as ‘primary production’</w:t>
      </w:r>
      <w:r w:rsidRPr="7FEDF33A">
        <w:rPr>
          <w:rStyle w:val="FootnoteReference"/>
          <w:rFonts w:eastAsia="Calibri" w:cs="Calibri"/>
          <w:sz w:val="24"/>
          <w:szCs w:val="24"/>
        </w:rPr>
        <w:footnoteReference w:id="10"/>
      </w:r>
      <w:r w:rsidRPr="7FEDF33A">
        <w:rPr>
          <w:rStyle w:val="FootnoteReference"/>
          <w:rFonts w:eastAsia="Calibri" w:cs="Calibri"/>
          <w:sz w:val="24"/>
          <w:szCs w:val="24"/>
        </w:rPr>
        <w:t>.</w:t>
      </w:r>
    </w:p>
    <w:p w14:paraId="39478D19" w14:textId="77777777" w:rsidR="00202231" w:rsidRPr="003B652D" w:rsidDel="004A304A" w:rsidRDefault="00202231" w:rsidP="00202231">
      <w:pPr>
        <w:pStyle w:val="BodyText"/>
      </w:pPr>
      <w:r w:rsidRPr="003B652D">
        <w:rPr>
          <w:color w:val="000000" w:themeColor="text1"/>
        </w:rPr>
        <w:t xml:space="preserve">The NPS-HPL’s narrower definition recognises that activities that do not rely on the soil could be located on non-HPL. Some of these activities (excluded in the NPS-HPL) are provided for in the </w:t>
      </w:r>
      <w:r w:rsidRPr="5843BAE6">
        <w:t>National Planning Standards</w:t>
      </w:r>
      <w:r w:rsidRPr="196EE8F0">
        <w:rPr>
          <w:rStyle w:val="FootnoteReference"/>
        </w:rPr>
        <w:footnoteReference w:id="11"/>
      </w:r>
      <w:r w:rsidRPr="196EE8F0">
        <w:rPr>
          <w:color w:val="000000" w:themeColor="text1"/>
        </w:rPr>
        <w:t>.</w:t>
      </w:r>
      <w:r w:rsidRPr="5843BAE6">
        <w:rPr>
          <w:color w:val="000000" w:themeColor="text1"/>
        </w:rPr>
        <w:t xml:space="preserve"> </w:t>
      </w:r>
    </w:p>
    <w:p w14:paraId="08FCBEF8" w14:textId="77777777" w:rsidR="00202231" w:rsidRPr="003B652D" w:rsidRDefault="00202231" w:rsidP="00202231">
      <w:pPr>
        <w:pStyle w:val="BodyText"/>
      </w:pPr>
      <w:r>
        <w:t xml:space="preserve">The NPS-HPL does provide consent pathways for some non-land-based activities to be located on HPL, subject to tests. </w:t>
      </w:r>
    </w:p>
    <w:p w14:paraId="6336DD20" w14:textId="77777777" w:rsidR="00202231" w:rsidRDefault="00202231" w:rsidP="00202231">
      <w:pPr>
        <w:pStyle w:val="BodyText"/>
        <w:rPr>
          <w:color w:val="000000" w:themeColor="text1"/>
        </w:rPr>
      </w:pPr>
      <w:r w:rsidRPr="29988C62">
        <w:t xml:space="preserve">Some primary industry stakeholders have argued that </w:t>
      </w:r>
      <w:r w:rsidRPr="1642DA50">
        <w:t xml:space="preserve">the NPS-HPL </w:t>
      </w:r>
      <w:r>
        <w:t xml:space="preserve">should specifically provide </w:t>
      </w:r>
      <w:r w:rsidRPr="29988C62">
        <w:t xml:space="preserve">for their activities because they are identified in </w:t>
      </w:r>
      <w:r w:rsidRPr="29988C62" w:rsidDel="00B11E2E">
        <w:t xml:space="preserve">National Planning Standards </w:t>
      </w:r>
      <w:r w:rsidRPr="29988C62">
        <w:t xml:space="preserve">as operations that ought to occur in the rural environment. </w:t>
      </w:r>
      <w:r w:rsidRPr="29988C62">
        <w:rPr>
          <w:color w:val="000000" w:themeColor="text1"/>
        </w:rPr>
        <w:t>This is</w:t>
      </w:r>
      <w:r w:rsidRPr="29988C62" w:rsidDel="00B11E2E">
        <w:rPr>
          <w:color w:val="000000" w:themeColor="text1"/>
        </w:rPr>
        <w:t xml:space="preserve"> </w:t>
      </w:r>
      <w:r w:rsidRPr="29988C62">
        <w:rPr>
          <w:color w:val="000000" w:themeColor="text1"/>
        </w:rPr>
        <w:t>largely to address climate change risks, biosecurity issues, reverse sensitivity considerations</w:t>
      </w:r>
      <w:r w:rsidRPr="1FDE6B74">
        <w:rPr>
          <w:rStyle w:val="FootnoteReference"/>
          <w:rFonts w:eastAsia="Calibri" w:cs="Calibri"/>
          <w:color w:val="000000" w:themeColor="text1"/>
        </w:rPr>
        <w:footnoteReference w:id="12"/>
      </w:r>
      <w:r w:rsidRPr="29988C62">
        <w:rPr>
          <w:color w:val="000000" w:themeColor="text1"/>
        </w:rPr>
        <w:t xml:space="preserve">, and the need for proximity to ancillary activities. </w:t>
      </w:r>
      <w:r w:rsidRPr="686D38DC" w:rsidDel="00B11E2E">
        <w:rPr>
          <w:color w:val="000000" w:themeColor="text1"/>
        </w:rPr>
        <w:t>Furthermore</w:t>
      </w:r>
      <w:r w:rsidRPr="686D38DC" w:rsidDel="006E77AA">
        <w:rPr>
          <w:color w:val="000000" w:themeColor="text1"/>
        </w:rPr>
        <w:t xml:space="preserve">, </w:t>
      </w:r>
      <w:r w:rsidRPr="686D38DC" w:rsidDel="00B11E2E">
        <w:rPr>
          <w:color w:val="000000" w:themeColor="text1"/>
        </w:rPr>
        <w:t xml:space="preserve">for </w:t>
      </w:r>
      <w:r w:rsidRPr="686D38DC" w:rsidDel="006E77AA">
        <w:rPr>
          <w:color w:val="000000" w:themeColor="text1"/>
        </w:rPr>
        <w:t>districts where rural zones are predominantly HPL, such as Matamata-</w:t>
      </w:r>
      <w:proofErr w:type="spellStart"/>
      <w:r w:rsidRPr="686D38DC" w:rsidDel="006E77AA">
        <w:rPr>
          <w:color w:val="000000" w:themeColor="text1"/>
        </w:rPr>
        <w:t>Piako</w:t>
      </w:r>
      <w:proofErr w:type="spellEnd"/>
      <w:r w:rsidRPr="686D38DC" w:rsidDel="006E77AA">
        <w:rPr>
          <w:color w:val="000000" w:themeColor="text1"/>
        </w:rPr>
        <w:t xml:space="preserve"> and Horowhenua, </w:t>
      </w:r>
      <w:r w:rsidRPr="7657AAE3">
        <w:rPr>
          <w:color w:val="000000" w:themeColor="text1"/>
        </w:rPr>
        <w:t>some</w:t>
      </w:r>
      <w:r w:rsidRPr="058096B7" w:rsidDel="3603B3DE">
        <w:rPr>
          <w:color w:val="000000" w:themeColor="text1"/>
        </w:rPr>
        <w:t xml:space="preserve"> </w:t>
      </w:r>
      <w:r w:rsidRPr="686D38DC" w:rsidDel="00B11E2E">
        <w:rPr>
          <w:color w:val="000000" w:themeColor="text1"/>
        </w:rPr>
        <w:t xml:space="preserve">primary sector bodies </w:t>
      </w:r>
      <w:r>
        <w:t>have</w:t>
      </w:r>
      <w:r w:rsidRPr="00FD3991">
        <w:t xml:space="preserve"> </w:t>
      </w:r>
      <w:r w:rsidRPr="686D38DC" w:rsidDel="00B11E2E">
        <w:rPr>
          <w:color w:val="000000" w:themeColor="text1"/>
        </w:rPr>
        <w:t xml:space="preserve">argued </w:t>
      </w:r>
      <w:r w:rsidRPr="686D38DC" w:rsidDel="006E77AA">
        <w:rPr>
          <w:color w:val="000000" w:themeColor="text1"/>
        </w:rPr>
        <w:t xml:space="preserve">that </w:t>
      </w:r>
      <w:r w:rsidRPr="686D38DC" w:rsidDel="00B11E2E">
        <w:rPr>
          <w:color w:val="000000" w:themeColor="text1"/>
        </w:rPr>
        <w:t>they would find it difficult to establish new sites</w:t>
      </w:r>
    </w:p>
    <w:p w14:paraId="4ACDF4D5" w14:textId="77777777" w:rsidR="00202231" w:rsidRPr="00FD3991" w:rsidRDefault="00202231" w:rsidP="00202231">
      <w:pPr>
        <w:pStyle w:val="BodyText"/>
        <w:rPr>
          <w:color w:val="000000" w:themeColor="text1"/>
        </w:rPr>
      </w:pPr>
      <w:r>
        <w:t>Intensive indoor primary production and greenhouse operations could potentially result in the permanent loss of</w:t>
      </w:r>
      <w:r w:rsidRPr="00FD3991">
        <w:t xml:space="preserve"> HPL</w:t>
      </w:r>
      <w:r>
        <w:t>. This was a key consideration for these activities not being provided with a consent pathway in the development of the NPS-HPL</w:t>
      </w:r>
      <w:r w:rsidRPr="00FD3991">
        <w:t>.</w:t>
      </w:r>
    </w:p>
    <w:p w14:paraId="5A3671E9" w14:textId="77777777" w:rsidR="00202231" w:rsidRDefault="00202231" w:rsidP="00202231">
      <w:pPr>
        <w:pStyle w:val="Heading3"/>
      </w:pPr>
      <w:bookmarkStart w:id="28" w:name="_Toc144210864"/>
      <w:r>
        <w:lastRenderedPageBreak/>
        <w:t>L</w:t>
      </w:r>
      <w:r w:rsidRPr="2CC5E3F5">
        <w:t>ocati</w:t>
      </w:r>
      <w:r>
        <w:t xml:space="preserve">on of </w:t>
      </w:r>
      <w:r w:rsidRPr="2CC5E3F5">
        <w:t>intensive indoor primary production and greenhouses</w:t>
      </w:r>
      <w:bookmarkEnd w:id="28"/>
      <w:r w:rsidRPr="2CC5E3F5">
        <w:t xml:space="preserve"> </w:t>
      </w:r>
    </w:p>
    <w:p w14:paraId="75BCCC03" w14:textId="77777777" w:rsidR="00202231" w:rsidRPr="00D35354" w:rsidRDefault="00202231" w:rsidP="00202231">
      <w:pPr>
        <w:pStyle w:val="BodyText"/>
      </w:pPr>
      <w:r>
        <w:t xml:space="preserve">Under the status quo, new intensive indoor primary production and greenhouses are directed away from HPL. Primary sector stakeholders have indicated that viable options for these activities are now limited to rural-zoned areas that are not HPL. These activities are perceived to be limited, especially in districts where rural zones are predominantly HPL. Stakeholders also noted that locating intensive indoor primary production and greenhouses on land that is not LUC class 1–3 is unlikely to be economically viable. </w:t>
      </w:r>
    </w:p>
    <w:p w14:paraId="66EB7D28" w14:textId="77777777" w:rsidR="00202231" w:rsidRPr="00D35354" w:rsidRDefault="00202231" w:rsidP="00202231">
      <w:pPr>
        <w:pStyle w:val="BodyText"/>
      </w:pPr>
      <w:r w:rsidRPr="00D35354">
        <w:t>Historically, intensive indoor primary production and greenhouses have</w:t>
      </w:r>
      <w:r>
        <w:t xml:space="preserve"> been</w:t>
      </w:r>
      <w:r w:rsidRPr="00D35354">
        <w:t xml:space="preserve"> located on flat land with a suitable climate. This has often been LUC 1–3 land because:</w:t>
      </w:r>
    </w:p>
    <w:p w14:paraId="732D6149" w14:textId="77777777" w:rsidR="00202231" w:rsidRPr="00B35C07" w:rsidRDefault="00202231" w:rsidP="00202231">
      <w:pPr>
        <w:pStyle w:val="Bullet"/>
        <w:rPr>
          <w:rFonts w:eastAsia="Calibri"/>
          <w:lang w:val="en-US"/>
        </w:rPr>
      </w:pPr>
      <w:r w:rsidRPr="00B35C07">
        <w:rPr>
          <w:rFonts w:eastAsia="Calibri"/>
          <w:lang w:val="en-US"/>
        </w:rPr>
        <w:t>Flat land is cost-effective as minimal earthworks are required for cut and fill. It is also less prone to erosion and nutrient runoff</w:t>
      </w:r>
      <w:r>
        <w:rPr>
          <w:rFonts w:eastAsia="Calibri"/>
          <w:lang w:val="en-US"/>
        </w:rPr>
        <w:t>.</w:t>
      </w:r>
    </w:p>
    <w:p w14:paraId="2EFA3418" w14:textId="77777777" w:rsidR="00202231" w:rsidRPr="00B35C07" w:rsidRDefault="00202231" w:rsidP="00202231">
      <w:pPr>
        <w:pStyle w:val="Bullet"/>
        <w:rPr>
          <w:rFonts w:eastAsia="Calibri"/>
          <w:lang w:val="en-US"/>
        </w:rPr>
      </w:pPr>
      <w:r w:rsidRPr="00B35C07">
        <w:rPr>
          <w:rFonts w:eastAsia="Calibri"/>
        </w:rPr>
        <w:t>LUC class 1–3 land is near labour markets, transport routes, nutrient solution management and discharge infrastructure</w:t>
      </w:r>
      <w:r>
        <w:rPr>
          <w:rFonts w:eastAsia="Calibri"/>
        </w:rPr>
        <w:t>.</w:t>
      </w:r>
      <w:r w:rsidRPr="00B35C07">
        <w:rPr>
          <w:rFonts w:eastAsia="Calibri"/>
        </w:rPr>
        <w:t xml:space="preserve"> </w:t>
      </w:r>
    </w:p>
    <w:p w14:paraId="4FAD38E3" w14:textId="77777777" w:rsidR="00202231" w:rsidRDefault="00202231" w:rsidP="00202231">
      <w:pPr>
        <w:pStyle w:val="Bullet"/>
        <w:rPr>
          <w:rFonts w:eastAsia="Calibri"/>
          <w:lang w:val="en-US"/>
        </w:rPr>
      </w:pPr>
      <w:r>
        <w:rPr>
          <w:rFonts w:eastAsia="Calibri"/>
          <w:lang w:val="en-US"/>
        </w:rPr>
        <w:t>L</w:t>
      </w:r>
      <w:r w:rsidRPr="4D531B02">
        <w:rPr>
          <w:rFonts w:eastAsia="Calibri"/>
          <w:lang w:val="en-US"/>
        </w:rPr>
        <w:t xml:space="preserve">and </w:t>
      </w:r>
      <w:r>
        <w:rPr>
          <w:rFonts w:eastAsia="Calibri"/>
          <w:lang w:val="en-US"/>
        </w:rPr>
        <w:t xml:space="preserve">in non-rural areas may be less available and subject to </w:t>
      </w:r>
      <w:r w:rsidRPr="4D531B02">
        <w:rPr>
          <w:rFonts w:eastAsia="Calibri"/>
          <w:lang w:val="en-US"/>
        </w:rPr>
        <w:t xml:space="preserve">biosecurity risks </w:t>
      </w:r>
      <w:r>
        <w:rPr>
          <w:rFonts w:eastAsia="Calibri"/>
          <w:lang w:val="en-US"/>
        </w:rPr>
        <w:t xml:space="preserve">or </w:t>
      </w:r>
      <w:r w:rsidRPr="4D531B02">
        <w:rPr>
          <w:rFonts w:eastAsia="Calibri"/>
          <w:lang w:val="en-US"/>
        </w:rPr>
        <w:t>reverse sensitiv</w:t>
      </w:r>
      <w:r>
        <w:rPr>
          <w:rFonts w:eastAsia="Calibri"/>
          <w:lang w:val="en-US"/>
        </w:rPr>
        <w:t xml:space="preserve">ity effects, including </w:t>
      </w:r>
      <w:r w:rsidRPr="4D531B02">
        <w:rPr>
          <w:rFonts w:eastAsia="Calibri"/>
          <w:lang w:val="en-US"/>
        </w:rPr>
        <w:t>noise, light</w:t>
      </w:r>
      <w:r>
        <w:rPr>
          <w:rFonts w:eastAsia="Calibri"/>
          <w:lang w:val="en-US"/>
        </w:rPr>
        <w:t xml:space="preserve"> pollution,</w:t>
      </w:r>
      <w:r w:rsidRPr="4D531B02">
        <w:rPr>
          <w:rFonts w:eastAsia="Calibri"/>
          <w:lang w:val="en-US"/>
        </w:rPr>
        <w:t xml:space="preserve"> </w:t>
      </w:r>
      <w:proofErr w:type="spellStart"/>
      <w:proofErr w:type="gramStart"/>
      <w:r w:rsidRPr="4D531B02">
        <w:rPr>
          <w:rFonts w:eastAsia="Calibri"/>
          <w:lang w:val="en-US"/>
        </w:rPr>
        <w:t>odo</w:t>
      </w:r>
      <w:r>
        <w:rPr>
          <w:rFonts w:eastAsia="Calibri"/>
          <w:lang w:val="en-US"/>
        </w:rPr>
        <w:t>u</w:t>
      </w:r>
      <w:r w:rsidRPr="4D531B02">
        <w:rPr>
          <w:rFonts w:eastAsia="Calibri"/>
          <w:lang w:val="en-US"/>
        </w:rPr>
        <w:t>r</w:t>
      </w:r>
      <w:proofErr w:type="spellEnd"/>
      <w:proofErr w:type="gramEnd"/>
      <w:r>
        <w:rPr>
          <w:rFonts w:eastAsia="Calibri"/>
          <w:lang w:val="en-US"/>
        </w:rPr>
        <w:t xml:space="preserve"> or</w:t>
      </w:r>
      <w:r w:rsidRPr="4D531B02">
        <w:rPr>
          <w:rFonts w:eastAsia="Calibri"/>
          <w:lang w:val="en-US"/>
        </w:rPr>
        <w:t xml:space="preserve"> truck movements</w:t>
      </w:r>
      <w:r>
        <w:rPr>
          <w:rFonts w:eastAsia="Calibri"/>
          <w:lang w:val="en-US"/>
        </w:rPr>
        <w:t>.</w:t>
      </w:r>
      <w:r w:rsidRPr="4D531B02">
        <w:rPr>
          <w:rFonts w:eastAsia="Calibri"/>
          <w:lang w:val="en-US"/>
        </w:rPr>
        <w:t xml:space="preserve"> </w:t>
      </w:r>
    </w:p>
    <w:p w14:paraId="436C30D6" w14:textId="77777777" w:rsidR="00202231" w:rsidRDefault="00202231" w:rsidP="00202231">
      <w:pPr>
        <w:pStyle w:val="Bullet"/>
        <w:rPr>
          <w:rFonts w:eastAsia="Calibri"/>
          <w:lang w:val="en-US"/>
        </w:rPr>
      </w:pPr>
      <w:r>
        <w:rPr>
          <w:rFonts w:eastAsia="Calibri"/>
          <w:lang w:val="en-US"/>
        </w:rPr>
        <w:t xml:space="preserve">There are </w:t>
      </w:r>
      <w:r w:rsidRPr="4D531B02">
        <w:rPr>
          <w:rFonts w:eastAsia="Calibri"/>
          <w:lang w:val="en-US"/>
        </w:rPr>
        <w:t xml:space="preserve">limited alternatives </w:t>
      </w:r>
      <w:r>
        <w:rPr>
          <w:rFonts w:eastAsia="Calibri"/>
          <w:lang w:val="en-US"/>
        </w:rPr>
        <w:t xml:space="preserve">for these activities </w:t>
      </w:r>
      <w:r w:rsidRPr="4D531B02">
        <w:rPr>
          <w:rFonts w:eastAsia="Calibri"/>
          <w:lang w:val="en-US"/>
        </w:rPr>
        <w:t xml:space="preserve">in rural areas </w:t>
      </w:r>
      <w:r>
        <w:rPr>
          <w:rFonts w:eastAsia="Calibri"/>
          <w:lang w:val="en-US"/>
        </w:rPr>
        <w:t>surrounded by HPL.</w:t>
      </w:r>
      <w:r w:rsidRPr="4D531B02">
        <w:rPr>
          <w:rFonts w:eastAsia="Calibri"/>
          <w:lang w:val="en-US"/>
        </w:rPr>
        <w:t xml:space="preserve"> </w:t>
      </w:r>
    </w:p>
    <w:p w14:paraId="289A4973" w14:textId="77777777" w:rsidR="00202231" w:rsidRPr="00D35354" w:rsidRDefault="00202231" w:rsidP="00202231">
      <w:pPr>
        <w:pStyle w:val="BodyText"/>
        <w:rPr>
          <w:rStyle w:val="normaltextrun"/>
          <w:highlight w:val="yellow"/>
        </w:rPr>
      </w:pPr>
      <w:r w:rsidRPr="00D35354">
        <w:rPr>
          <w:rStyle w:val="normaltextrun"/>
        </w:rPr>
        <w:t xml:space="preserve">The </w:t>
      </w:r>
      <w:r w:rsidRPr="00D35354" w:rsidDel="4175457A">
        <w:rPr>
          <w:rStyle w:val="normaltextrun"/>
        </w:rPr>
        <w:t xml:space="preserve">National Planning Standards </w:t>
      </w:r>
      <w:r>
        <w:rPr>
          <w:rStyle w:val="normaltextrun"/>
        </w:rPr>
        <w:t>provide for primary production activities including</w:t>
      </w:r>
      <w:r w:rsidRPr="00D35354">
        <w:rPr>
          <w:rStyle w:val="normaltextrun"/>
        </w:rPr>
        <w:t xml:space="preserve"> </w:t>
      </w:r>
      <w:r>
        <w:rPr>
          <w:rStyle w:val="normaltextrun"/>
        </w:rPr>
        <w:t>intensive indoor</w:t>
      </w:r>
      <w:r w:rsidRPr="00D35354">
        <w:rPr>
          <w:rStyle w:val="normaltextrun"/>
        </w:rPr>
        <w:t xml:space="preserve"> primary production in the general rural zone and the rural production zone.</w:t>
      </w:r>
      <w:r w:rsidRPr="058096B7" w:rsidDel="006672BF">
        <w:rPr>
          <w:rStyle w:val="normaltextrun"/>
        </w:rPr>
        <w:t xml:space="preserve"> </w:t>
      </w:r>
      <w:r w:rsidRPr="00D35354">
        <w:rPr>
          <w:rStyle w:val="normaltextrun"/>
        </w:rPr>
        <w:t>Locating these activities in these zones recognises the need to be close to infrastructure for effective and efficient operation, as well as the need for labour and proximity to markets. Locating activities like piggeries or poultry farms in other zones (like a special purpose zone) carries biosecurity risks because of the requirements to separate farms</w:t>
      </w:r>
      <w:r w:rsidRPr="00FD3991">
        <w:rPr>
          <w:rStyle w:val="FootnoteReference"/>
          <w:color w:val="auto"/>
        </w:rPr>
        <w:footnoteReference w:id="13"/>
      </w:r>
      <w:r w:rsidRPr="00D35354">
        <w:rPr>
          <w:rStyle w:val="normaltextrun"/>
        </w:rPr>
        <w:t>. Also, locating these activities in an industrial zone would require a significant area of surrounding land to mitigate the impacts of an operation on neighbouring properties</w:t>
      </w:r>
      <w:r w:rsidRPr="00FD3991">
        <w:rPr>
          <w:rStyle w:val="FootnoteReference"/>
          <w:color w:val="auto"/>
        </w:rPr>
        <w:footnoteReference w:id="14"/>
      </w:r>
      <w:r w:rsidRPr="00D35354">
        <w:rPr>
          <w:rStyle w:val="FootnoteReference"/>
          <w:color w:val="auto"/>
          <w:vertAlign w:val="baseline"/>
        </w:rPr>
        <w:t>.</w:t>
      </w:r>
    </w:p>
    <w:p w14:paraId="42009419" w14:textId="6D10C1E0" w:rsidR="001E5671" w:rsidRDefault="00202231" w:rsidP="00202231">
      <w:pPr>
        <w:pStyle w:val="BodyText"/>
      </w:pPr>
      <w:r>
        <w:t>These industries have set up ancillary activities to ensure their operations are safe and work well. Non-land-based primary production is often synergistic but not supportive of land-based primary production.</w:t>
      </w:r>
    </w:p>
    <w:p w14:paraId="36EAA344" w14:textId="77777777" w:rsidR="001E5671" w:rsidRDefault="001E5671">
      <w:pPr>
        <w:spacing w:before="0" w:after="200" w:line="276" w:lineRule="auto"/>
        <w:jc w:val="left"/>
      </w:pPr>
      <w:r>
        <w:br w:type="page"/>
      </w:r>
    </w:p>
    <w:p w14:paraId="2B3E5C53" w14:textId="77777777" w:rsidR="00202231" w:rsidRPr="00FD3991" w:rsidRDefault="00202231" w:rsidP="00202231">
      <w:pPr>
        <w:pStyle w:val="Heading3"/>
      </w:pPr>
      <w:bookmarkStart w:id="29" w:name="_Toc144210865"/>
      <w:r w:rsidRPr="37EE3EF5">
        <w:lastRenderedPageBreak/>
        <w:t>Impacts of climate change on the primary production sector</w:t>
      </w:r>
      <w:bookmarkEnd w:id="29"/>
    </w:p>
    <w:p w14:paraId="12689C72" w14:textId="77777777" w:rsidR="00202231" w:rsidRDefault="00202231" w:rsidP="00202231">
      <w:pPr>
        <w:pStyle w:val="BodyText"/>
      </w:pPr>
      <w:r w:rsidRPr="00D35354">
        <w:t>The Food and Fibre sector reached record export revenue in 2023, with an estimated value of $55 billion.</w:t>
      </w:r>
      <w:r w:rsidRPr="00D35354">
        <w:rPr>
          <w:vertAlign w:val="superscript"/>
        </w:rPr>
        <w:footnoteReference w:id="15"/>
      </w:r>
      <w:r w:rsidRPr="00D35354">
        <w:t xml:space="preserve"> This sector, however, relies on climate-sensitive natural resources, and is particularly vulnerable to</w:t>
      </w:r>
      <w:r w:rsidRPr="50F196DE">
        <w:t xml:space="preserve"> changing climatic conditions. </w:t>
      </w:r>
      <w:r>
        <w:t>I</w:t>
      </w:r>
      <w:r w:rsidRPr="50F196DE">
        <w:t xml:space="preserve">n the </w:t>
      </w:r>
      <w:r>
        <w:t>n</w:t>
      </w:r>
      <w:r w:rsidRPr="50F196DE">
        <w:t xml:space="preserve">ational </w:t>
      </w:r>
      <w:r>
        <w:t>a</w:t>
      </w:r>
      <w:r w:rsidRPr="50F196DE">
        <w:t xml:space="preserve">daptation </w:t>
      </w:r>
      <w:r>
        <w:t>p</w:t>
      </w:r>
      <w:r w:rsidRPr="50F196DE">
        <w:t xml:space="preserve">lan </w:t>
      </w:r>
      <w:r>
        <w:t xml:space="preserve">published in </w:t>
      </w:r>
      <w:r w:rsidRPr="50F196DE">
        <w:t>2022</w:t>
      </w:r>
      <w:r>
        <w:t>, th</w:t>
      </w:r>
      <w:r w:rsidRPr="4893CA5E">
        <w:t>e</w:t>
      </w:r>
      <w:r w:rsidRPr="50F196DE">
        <w:t xml:space="preserve"> land-based primary sector </w:t>
      </w:r>
      <w:r>
        <w:t>wa</w:t>
      </w:r>
      <w:r w:rsidRPr="50F196DE">
        <w:t xml:space="preserve">s identified as one of the most vulnerable to the impacts of climate change. </w:t>
      </w:r>
    </w:p>
    <w:p w14:paraId="52466F0B" w14:textId="77777777" w:rsidR="00202231" w:rsidRDefault="00202231" w:rsidP="00202231">
      <w:pPr>
        <w:pStyle w:val="BodyText"/>
      </w:pPr>
      <w:r w:rsidRPr="50F196DE">
        <w:t xml:space="preserve">The </w:t>
      </w:r>
      <w:r>
        <w:t>n</w:t>
      </w:r>
      <w:r w:rsidRPr="50F196DE">
        <w:t xml:space="preserve">ational </w:t>
      </w:r>
      <w:r>
        <w:t>a</w:t>
      </w:r>
      <w:r w:rsidRPr="50F196DE">
        <w:t xml:space="preserve">daptation </w:t>
      </w:r>
      <w:r>
        <w:t>p</w:t>
      </w:r>
      <w:r w:rsidRPr="50F196DE">
        <w:t>lan also note</w:t>
      </w:r>
      <w:r>
        <w:t>d</w:t>
      </w:r>
      <w:r w:rsidRPr="50F196DE">
        <w:t xml:space="preserve"> </w:t>
      </w:r>
      <w:r>
        <w:t xml:space="preserve">that </w:t>
      </w:r>
      <w:r w:rsidRPr="50F196DE">
        <w:t xml:space="preserve">climate change </w:t>
      </w:r>
      <w:r>
        <w:t xml:space="preserve">is projected to cause </w:t>
      </w:r>
      <w:r w:rsidRPr="50F196DE">
        <w:t>flow</w:t>
      </w:r>
      <w:r>
        <w:t>-</w:t>
      </w:r>
      <w:r w:rsidRPr="50F196DE">
        <w:t xml:space="preserve">on effects </w:t>
      </w:r>
      <w:r>
        <w:t>to</w:t>
      </w:r>
      <w:r w:rsidRPr="50F196DE">
        <w:t xml:space="preserve"> th</w:t>
      </w:r>
      <w:r>
        <w:t>is</w:t>
      </w:r>
      <w:r w:rsidRPr="50F196DE">
        <w:t xml:space="preserve"> sector</w:t>
      </w:r>
      <w:r>
        <w:t xml:space="preserve">. Besides loss of productivity, the sector’s large </w:t>
      </w:r>
      <w:r w:rsidRPr="50F196DE">
        <w:t xml:space="preserve">workforce </w:t>
      </w:r>
      <w:r>
        <w:t>may be affected. More than</w:t>
      </w:r>
      <w:r w:rsidRPr="50F196DE">
        <w:t xml:space="preserve"> 350,000 people work </w:t>
      </w:r>
      <w:r>
        <w:t>in</w:t>
      </w:r>
      <w:r w:rsidRPr="50F196DE">
        <w:t xml:space="preserve"> primary production industries</w:t>
      </w:r>
      <w:r>
        <w:t>,</w:t>
      </w:r>
      <w:r w:rsidRPr="50F196DE">
        <w:t xml:space="preserve"> </w:t>
      </w:r>
      <w:r>
        <w:t xml:space="preserve">including </w:t>
      </w:r>
      <w:r w:rsidRPr="50F196DE">
        <w:t>Māori</w:t>
      </w:r>
      <w:r>
        <w:t xml:space="preserve"> who are</w:t>
      </w:r>
      <w:r w:rsidRPr="50F196DE">
        <w:t xml:space="preserve"> heavily </w:t>
      </w:r>
      <w:r>
        <w:t>involved in different capacities. Māori are at risk of being disproportionately affected by the effects of climate change.</w:t>
      </w:r>
    </w:p>
    <w:p w14:paraId="731EEA96" w14:textId="77777777" w:rsidR="00202231" w:rsidRDefault="00202231" w:rsidP="00202231">
      <w:pPr>
        <w:pStyle w:val="BodyText"/>
        <w:rPr>
          <w:rFonts w:eastAsia="Calibri" w:cs="Calibri"/>
        </w:rPr>
      </w:pPr>
      <w:r w:rsidRPr="50F196DE">
        <w:rPr>
          <w:rFonts w:eastAsia="Calibri" w:cs="Calibri"/>
        </w:rPr>
        <w:t xml:space="preserve">The National Climate Change Risk Assessment 2020 </w:t>
      </w:r>
      <w:r>
        <w:rPr>
          <w:rFonts w:eastAsia="Calibri" w:cs="Calibri"/>
        </w:rPr>
        <w:t>(N</w:t>
      </w:r>
      <w:r w:rsidRPr="7FEDF33A">
        <w:t>CCRA</w:t>
      </w:r>
      <w:r>
        <w:t>)</w:t>
      </w:r>
      <w:r w:rsidRPr="50F196DE">
        <w:rPr>
          <w:rFonts w:eastAsia="Calibri" w:cs="Calibri"/>
        </w:rPr>
        <w:t xml:space="preserve"> highlighted </w:t>
      </w:r>
      <w:r>
        <w:rPr>
          <w:rFonts w:eastAsia="Calibri" w:cs="Calibri"/>
        </w:rPr>
        <w:t>the i</w:t>
      </w:r>
      <w:r w:rsidRPr="50F196DE">
        <w:rPr>
          <w:rFonts w:eastAsia="Calibri" w:cs="Calibri"/>
        </w:rPr>
        <w:t xml:space="preserve">mpacts </w:t>
      </w:r>
      <w:r>
        <w:rPr>
          <w:rFonts w:eastAsia="Calibri" w:cs="Calibri"/>
        </w:rPr>
        <w:t xml:space="preserve">that </w:t>
      </w:r>
      <w:r w:rsidRPr="50F196DE">
        <w:rPr>
          <w:rFonts w:eastAsia="Calibri" w:cs="Calibri"/>
        </w:rPr>
        <w:t xml:space="preserve">climate change </w:t>
      </w:r>
      <w:r>
        <w:rPr>
          <w:rFonts w:eastAsia="Calibri" w:cs="Calibri"/>
        </w:rPr>
        <w:t xml:space="preserve">is </w:t>
      </w:r>
      <w:r w:rsidRPr="50F196DE">
        <w:rPr>
          <w:rFonts w:eastAsia="Calibri" w:cs="Calibri"/>
        </w:rPr>
        <w:t>expected to have on land-based food production. It noted that land-based primary production face</w:t>
      </w:r>
      <w:r>
        <w:rPr>
          <w:rFonts w:eastAsia="Calibri" w:cs="Calibri"/>
        </w:rPr>
        <w:t>d</w:t>
      </w:r>
      <w:r w:rsidRPr="50F196DE">
        <w:rPr>
          <w:rFonts w:eastAsia="Calibri" w:cs="Calibri"/>
        </w:rPr>
        <w:t xml:space="preserve"> </w:t>
      </w:r>
      <w:r w:rsidRPr="584A183D">
        <w:rPr>
          <w:rFonts w:eastAsia="Calibri" w:cs="Calibri"/>
        </w:rPr>
        <w:t>many</w:t>
      </w:r>
      <w:r w:rsidRPr="50F196DE">
        <w:rPr>
          <w:rFonts w:eastAsia="Calibri" w:cs="Calibri"/>
        </w:rPr>
        <w:t xml:space="preserve"> interacting challenges</w:t>
      </w:r>
      <w:r>
        <w:rPr>
          <w:rFonts w:eastAsia="Calibri" w:cs="Calibri"/>
        </w:rPr>
        <w:t xml:space="preserve">. These include </w:t>
      </w:r>
      <w:r w:rsidRPr="50F196DE">
        <w:rPr>
          <w:rFonts w:eastAsia="Calibri" w:cs="Calibri"/>
        </w:rPr>
        <w:t>water</w:t>
      </w:r>
      <w:r>
        <w:rPr>
          <w:rFonts w:eastAsia="Calibri" w:cs="Calibri"/>
        </w:rPr>
        <w:t xml:space="preserve"> scarcity, </w:t>
      </w:r>
      <w:r w:rsidRPr="50F196DE">
        <w:rPr>
          <w:rFonts w:eastAsia="Calibri" w:cs="Calibri"/>
        </w:rPr>
        <w:t xml:space="preserve">changes in </w:t>
      </w:r>
      <w:r w:rsidRPr="50F196DE">
        <w:t>seasonality</w:t>
      </w:r>
      <w:r>
        <w:t xml:space="preserve"> and</w:t>
      </w:r>
      <w:r w:rsidRPr="50F196DE">
        <w:t xml:space="preserve"> weather extremes</w:t>
      </w:r>
      <w:r>
        <w:t>, changes in</w:t>
      </w:r>
      <w:r w:rsidRPr="50F196DE" w:rsidDel="0078312D">
        <w:rPr>
          <w:rFonts w:eastAsia="Calibri" w:cs="Calibri"/>
        </w:rPr>
        <w:t xml:space="preserve"> </w:t>
      </w:r>
      <w:r w:rsidRPr="50F196DE">
        <w:t>productivity and output due to changes in mean rainfall and temperature, and changes in the distribution of invasive species.</w:t>
      </w:r>
    </w:p>
    <w:p w14:paraId="041A646C" w14:textId="77777777" w:rsidR="00202231" w:rsidRDefault="00202231" w:rsidP="00202231">
      <w:pPr>
        <w:pStyle w:val="BodyText"/>
      </w:pPr>
      <w:r w:rsidRPr="7FEDF33A">
        <w:rPr>
          <w:rStyle w:val="normaltextrun"/>
          <w:rFonts w:eastAsia="Calibri" w:cs="Calibri"/>
        </w:rPr>
        <w:t>A resilient food system provide</w:t>
      </w:r>
      <w:r>
        <w:rPr>
          <w:rStyle w:val="normaltextrun"/>
          <w:rFonts w:eastAsia="Calibri" w:cs="Calibri"/>
        </w:rPr>
        <w:t>s</w:t>
      </w:r>
      <w:r w:rsidRPr="7FEDF33A">
        <w:rPr>
          <w:rStyle w:val="normaltextrun"/>
          <w:rFonts w:eastAsia="Calibri" w:cs="Calibri"/>
        </w:rPr>
        <w:t xml:space="preserve"> New Zealanders with diverse, affordable and accessible food</w:t>
      </w:r>
      <w:r>
        <w:rPr>
          <w:rStyle w:val="normaltextrun"/>
          <w:rFonts w:eastAsia="Calibri" w:cs="Calibri"/>
        </w:rPr>
        <w:t xml:space="preserve">. The system, however, </w:t>
      </w:r>
      <w:r w:rsidRPr="7FEDF33A">
        <w:rPr>
          <w:rStyle w:val="normaltextrun"/>
          <w:rFonts w:eastAsia="Calibri" w:cs="Calibri"/>
        </w:rPr>
        <w:t xml:space="preserve">depends on the ability of different industries to adapt to climate change. </w:t>
      </w:r>
      <w:r>
        <w:rPr>
          <w:rStyle w:val="normaltextrun"/>
          <w:rFonts w:eastAsia="Calibri" w:cs="Calibri"/>
        </w:rPr>
        <w:t>B</w:t>
      </w:r>
      <w:r w:rsidRPr="7FEDF33A">
        <w:rPr>
          <w:rStyle w:val="normaltextrun"/>
          <w:rFonts w:eastAsia="Calibri" w:cs="Calibri"/>
        </w:rPr>
        <w:t>alancing productivity and environmental impacts</w:t>
      </w:r>
      <w:r>
        <w:rPr>
          <w:rStyle w:val="normaltextrun"/>
          <w:rFonts w:eastAsia="Calibri" w:cs="Calibri"/>
        </w:rPr>
        <w:t xml:space="preserve"> </w:t>
      </w:r>
      <w:proofErr w:type="gramStart"/>
      <w:r>
        <w:rPr>
          <w:rStyle w:val="normaltextrun"/>
          <w:rFonts w:eastAsia="Calibri" w:cs="Calibri"/>
        </w:rPr>
        <w:t>is</w:t>
      </w:r>
      <w:proofErr w:type="gramEnd"/>
      <w:r>
        <w:rPr>
          <w:rStyle w:val="normaltextrun"/>
          <w:rFonts w:eastAsia="Calibri" w:cs="Calibri"/>
        </w:rPr>
        <w:t xml:space="preserve"> essential, as is as having the capacity to w</w:t>
      </w:r>
      <w:r w:rsidRPr="7FEDF33A">
        <w:rPr>
          <w:rStyle w:val="normaltextrun"/>
          <w:rFonts w:eastAsia="Calibri" w:cs="Calibri"/>
        </w:rPr>
        <w:t>ithstand sudden shocks or disruptions</w:t>
      </w:r>
      <w:r>
        <w:rPr>
          <w:rStyle w:val="normaltextrun"/>
          <w:rFonts w:eastAsia="Calibri" w:cs="Calibri"/>
        </w:rPr>
        <w:t xml:space="preserve">. </w:t>
      </w:r>
      <w:r w:rsidRPr="7FEDF33A">
        <w:t>The</w:t>
      </w:r>
      <w:r w:rsidRPr="7FEDF33A" w:rsidDel="003E50A8">
        <w:t xml:space="preserve"> </w:t>
      </w:r>
      <w:r>
        <w:t>national adaptation plan</w:t>
      </w:r>
      <w:r w:rsidRPr="7FEDF33A">
        <w:t xml:space="preserve"> and </w:t>
      </w:r>
      <w:r>
        <w:t>N</w:t>
      </w:r>
      <w:r w:rsidRPr="7FEDF33A">
        <w:t xml:space="preserve">CCRA </w:t>
      </w:r>
      <w:r>
        <w:t xml:space="preserve">noted the need for the </w:t>
      </w:r>
      <w:r w:rsidRPr="7FEDF33A">
        <w:t xml:space="preserve">primary production sector to build </w:t>
      </w:r>
      <w:r>
        <w:t>its</w:t>
      </w:r>
      <w:r w:rsidRPr="7FEDF33A">
        <w:t xml:space="preserve"> resilience b</w:t>
      </w:r>
      <w:r>
        <w:t xml:space="preserve">y </w:t>
      </w:r>
      <w:r w:rsidRPr="7FEDF33A">
        <w:t>proactive</w:t>
      </w:r>
      <w:r>
        <w:t>ly</w:t>
      </w:r>
      <w:r w:rsidRPr="7FEDF33A">
        <w:t xml:space="preserve"> adapting to </w:t>
      </w:r>
      <w:r>
        <w:t xml:space="preserve">the impacts of </w:t>
      </w:r>
      <w:r w:rsidRPr="7FEDF33A">
        <w:t>climate change</w:t>
      </w:r>
      <w:r>
        <w:t>.</w:t>
      </w:r>
      <w:r w:rsidRPr="7FEDF33A">
        <w:t xml:space="preserve"> For intensive indoor primary production and greenhouse activities, adaptation could be</w:t>
      </w:r>
      <w:r>
        <w:t xml:space="preserve"> achieved by moving</w:t>
      </w:r>
      <w:r w:rsidRPr="7FEDF33A">
        <w:t xml:space="preserve"> out of high-risk areas, such as those </w:t>
      </w:r>
      <w:r>
        <w:t>damaged</w:t>
      </w:r>
      <w:r w:rsidRPr="7FEDF33A">
        <w:t xml:space="preserve"> by recent weather events (</w:t>
      </w:r>
      <w:proofErr w:type="spellStart"/>
      <w:r w:rsidRPr="7FEDF33A">
        <w:t>eg</w:t>
      </w:r>
      <w:proofErr w:type="spellEnd"/>
      <w:r>
        <w:t>,</w:t>
      </w:r>
      <w:r w:rsidRPr="7FEDF33A">
        <w:t xml:space="preserve"> flood plains)</w:t>
      </w:r>
      <w:r>
        <w:t xml:space="preserve">. </w:t>
      </w:r>
    </w:p>
    <w:p w14:paraId="038B3451" w14:textId="77777777" w:rsidR="00202231" w:rsidRDefault="00202231" w:rsidP="00202231">
      <w:pPr>
        <w:pStyle w:val="BodyText"/>
      </w:pPr>
      <w:r w:rsidRPr="7FEDF33A">
        <w:t>A key concern raised by these industries is that flexibility in how crops</w:t>
      </w:r>
      <w:r>
        <w:t xml:space="preserve"> and </w:t>
      </w:r>
      <w:r w:rsidRPr="7FEDF33A">
        <w:t>goods are produced</w:t>
      </w:r>
      <w:r>
        <w:t xml:space="preserve"> is </w:t>
      </w:r>
      <w:r w:rsidRPr="7FEDF33A">
        <w:t>require</w:t>
      </w:r>
      <w:r>
        <w:t>d</w:t>
      </w:r>
      <w:r w:rsidRPr="7FEDF33A">
        <w:t xml:space="preserve"> to adapt to climate change</w:t>
      </w:r>
      <w:r>
        <w:t>. Re</w:t>
      </w:r>
      <w:r w:rsidRPr="7FEDF33A">
        <w:t>stricting intensive indoor primary production and greenhouses on HPL reduces the flexibility to site new activities or relocate existing activit</w:t>
      </w:r>
      <w:r>
        <w:t>ies to more appropriate, future-</w:t>
      </w:r>
      <w:r w:rsidRPr="7FEDF33A">
        <w:t>proofed locations.</w:t>
      </w:r>
      <w:r>
        <w:t xml:space="preserve"> </w:t>
      </w:r>
    </w:p>
    <w:p w14:paraId="0E62B9EE" w14:textId="77777777" w:rsidR="00202231" w:rsidRDefault="00202231" w:rsidP="00202231">
      <w:pPr>
        <w:pStyle w:val="BodyText"/>
        <w:rPr>
          <w:rStyle w:val="normaltextrun"/>
          <w:rFonts w:cs="Calibri"/>
          <w:color w:val="000000" w:themeColor="text1"/>
        </w:rPr>
      </w:pPr>
      <w:r w:rsidRPr="1AD6FDEF">
        <w:t>These industries</w:t>
      </w:r>
      <w:r>
        <w:t>, l</w:t>
      </w:r>
      <w:r w:rsidRPr="7FEDF33A">
        <w:t>ike many other</w:t>
      </w:r>
      <w:r>
        <w:t>s,</w:t>
      </w:r>
      <w:r w:rsidRPr="7FEDF33A">
        <w:t xml:space="preserve"> will need to transition to renewable energy sources</w:t>
      </w:r>
      <w:r w:rsidRPr="7FEDF33A">
        <w:rPr>
          <w:rStyle w:val="normaltextrun"/>
          <w:rFonts w:cs="Calibri"/>
          <w:color w:val="000000" w:themeColor="text1"/>
        </w:rPr>
        <w:t xml:space="preserve"> </w:t>
      </w:r>
      <w:r>
        <w:rPr>
          <w:rStyle w:val="normaltextrun"/>
          <w:rFonts w:cs="Calibri"/>
          <w:color w:val="000000" w:themeColor="text1"/>
        </w:rPr>
        <w:t xml:space="preserve">as part of the </w:t>
      </w:r>
      <w:r w:rsidRPr="7FEDF33A">
        <w:rPr>
          <w:rStyle w:val="normaltextrun"/>
          <w:rFonts w:cs="Calibri"/>
          <w:color w:val="000000" w:themeColor="text1"/>
        </w:rPr>
        <w:t>Government</w:t>
      </w:r>
      <w:r>
        <w:rPr>
          <w:rStyle w:val="normaltextrun"/>
          <w:rFonts w:cs="Calibri"/>
          <w:color w:val="000000" w:themeColor="text1"/>
        </w:rPr>
        <w:t>’s</w:t>
      </w:r>
      <w:r w:rsidRPr="7FEDF33A">
        <w:rPr>
          <w:rStyle w:val="normaltextrun"/>
          <w:rFonts w:cs="Calibri"/>
          <w:color w:val="000000" w:themeColor="text1"/>
        </w:rPr>
        <w:t xml:space="preserve"> vision </w:t>
      </w:r>
      <w:r>
        <w:rPr>
          <w:rStyle w:val="normaltextrun"/>
          <w:rFonts w:cs="Calibri"/>
          <w:color w:val="000000" w:themeColor="text1"/>
        </w:rPr>
        <w:t>to be</w:t>
      </w:r>
      <w:r w:rsidRPr="7FEDF33A">
        <w:rPr>
          <w:rStyle w:val="normaltextrun"/>
          <w:rFonts w:cs="Calibri"/>
          <w:color w:val="000000" w:themeColor="text1"/>
        </w:rPr>
        <w:t xml:space="preserve"> a low</w:t>
      </w:r>
      <w:r>
        <w:rPr>
          <w:rStyle w:val="normaltextrun"/>
          <w:rFonts w:cs="Calibri"/>
          <w:color w:val="000000" w:themeColor="text1"/>
        </w:rPr>
        <w:t>-</w:t>
      </w:r>
      <w:r w:rsidRPr="7FEDF33A">
        <w:rPr>
          <w:rStyle w:val="normaltextrun"/>
          <w:rFonts w:cs="Calibri"/>
          <w:color w:val="000000" w:themeColor="text1"/>
        </w:rPr>
        <w:t xml:space="preserve">emissions economy </w:t>
      </w:r>
      <w:r>
        <w:rPr>
          <w:rStyle w:val="normaltextrun"/>
          <w:rFonts w:cs="Calibri"/>
          <w:color w:val="000000" w:themeColor="text1"/>
        </w:rPr>
        <w:t xml:space="preserve">by </w:t>
      </w:r>
      <w:r w:rsidRPr="7FEDF33A">
        <w:rPr>
          <w:rStyle w:val="normaltextrun"/>
          <w:rFonts w:cs="Calibri"/>
          <w:color w:val="000000" w:themeColor="text1"/>
        </w:rPr>
        <w:t>2050</w:t>
      </w:r>
      <w:r>
        <w:rPr>
          <w:rStyle w:val="normaltextrun"/>
          <w:rFonts w:cs="Calibri"/>
          <w:color w:val="000000" w:themeColor="text1"/>
        </w:rPr>
        <w:t xml:space="preserve"> and </w:t>
      </w:r>
      <w:r w:rsidRPr="7FEDF33A">
        <w:rPr>
          <w:rStyle w:val="normaltextrun"/>
          <w:rFonts w:cs="Calibri"/>
          <w:color w:val="000000" w:themeColor="text1"/>
        </w:rPr>
        <w:t xml:space="preserve">to support climate change response and emissions reduction targets. </w:t>
      </w:r>
    </w:p>
    <w:p w14:paraId="7C83A345" w14:textId="77777777" w:rsidR="00202231" w:rsidRDefault="00202231" w:rsidP="00202231">
      <w:pPr>
        <w:pStyle w:val="BodyText"/>
        <w:rPr>
          <w:rStyle w:val="normaltextrun"/>
          <w:rFonts w:eastAsia="Calibri" w:cs="Calibri"/>
          <w:color w:val="000000" w:themeColor="text1"/>
        </w:rPr>
      </w:pPr>
      <w:r w:rsidRPr="058096B7">
        <w:rPr>
          <w:rStyle w:val="normaltextrun"/>
          <w:rFonts w:cs="Calibri"/>
          <w:color w:val="000000" w:themeColor="text1"/>
        </w:rPr>
        <w:t xml:space="preserve">Reducing options for intensive indoor primary production activities and greenhouses on HPL could make </w:t>
      </w:r>
      <w:r>
        <w:rPr>
          <w:rStyle w:val="normaltextrun"/>
          <w:rFonts w:cs="Calibri"/>
          <w:color w:val="000000" w:themeColor="text1"/>
        </w:rPr>
        <w:t xml:space="preserve">reducing emissions </w:t>
      </w:r>
      <w:r w:rsidRPr="058096B7">
        <w:rPr>
          <w:rStyle w:val="normaltextrun"/>
          <w:rFonts w:cs="Calibri"/>
          <w:color w:val="000000" w:themeColor="text1"/>
        </w:rPr>
        <w:t>more difficult</w:t>
      </w:r>
      <w:r w:rsidRPr="584A183D">
        <w:rPr>
          <w:rStyle w:val="normaltextrun"/>
          <w:rFonts w:cs="Calibri"/>
          <w:color w:val="000000" w:themeColor="text1"/>
        </w:rPr>
        <w:t>.</w:t>
      </w:r>
      <w:r w:rsidRPr="058096B7">
        <w:rPr>
          <w:rStyle w:val="normaltextrun"/>
          <w:rFonts w:cs="Calibri"/>
          <w:color w:val="000000" w:themeColor="text1"/>
        </w:rPr>
        <w:t xml:space="preserve"> Currently, many operations </w:t>
      </w:r>
      <w:proofErr w:type="gramStart"/>
      <w:r w:rsidRPr="058096B7">
        <w:rPr>
          <w:rStyle w:val="normaltextrun"/>
          <w:rFonts w:cs="Calibri"/>
          <w:color w:val="000000" w:themeColor="text1"/>
        </w:rPr>
        <w:t>use</w:t>
      </w:r>
      <w:proofErr w:type="gramEnd"/>
      <w:r w:rsidRPr="058096B7">
        <w:rPr>
          <w:rStyle w:val="normaltextrun"/>
          <w:rFonts w:cs="Calibri"/>
          <w:color w:val="000000" w:themeColor="text1"/>
        </w:rPr>
        <w:t xml:space="preserve"> coal or gas to heat animal sheds and greenhouses</w:t>
      </w:r>
      <w:r w:rsidRPr="68AB559B">
        <w:rPr>
          <w:rStyle w:val="FootnoteReference"/>
          <w:rFonts w:cs="Calibri"/>
          <w:color w:val="000000" w:themeColor="text1"/>
        </w:rPr>
        <w:footnoteReference w:id="16"/>
      </w:r>
      <w:r w:rsidRPr="058096B7">
        <w:rPr>
          <w:rStyle w:val="normaltextrun"/>
          <w:rFonts w:cs="Calibri"/>
          <w:color w:val="000000" w:themeColor="text1"/>
        </w:rPr>
        <w:t>. These operations</w:t>
      </w:r>
      <w:r>
        <w:rPr>
          <w:rStyle w:val="normaltextrun"/>
          <w:rFonts w:cs="Calibri"/>
          <w:color w:val="000000" w:themeColor="text1"/>
        </w:rPr>
        <w:t xml:space="preserve"> </w:t>
      </w:r>
      <w:r w:rsidRPr="058096B7">
        <w:rPr>
          <w:rStyle w:val="normaltextrun"/>
          <w:rFonts w:cs="Calibri"/>
          <w:color w:val="000000" w:themeColor="text1"/>
        </w:rPr>
        <w:t xml:space="preserve">may need to relocate </w:t>
      </w:r>
      <w:r>
        <w:rPr>
          <w:rStyle w:val="normaltextrun"/>
          <w:rFonts w:cs="Calibri"/>
          <w:color w:val="000000" w:themeColor="text1"/>
        </w:rPr>
        <w:t xml:space="preserve">to </w:t>
      </w:r>
      <w:r w:rsidRPr="058096B7">
        <w:rPr>
          <w:rStyle w:val="normaltextrun"/>
          <w:rFonts w:cs="Calibri"/>
          <w:color w:val="000000" w:themeColor="text1"/>
        </w:rPr>
        <w:t xml:space="preserve">close to a source of geothermal electricity, a relatively inexpensive </w:t>
      </w:r>
      <w:r w:rsidRPr="584A183D">
        <w:rPr>
          <w:rStyle w:val="normaltextrun"/>
          <w:rFonts w:cs="Calibri"/>
          <w:color w:val="000000" w:themeColor="text1"/>
        </w:rPr>
        <w:t>source</w:t>
      </w:r>
      <w:r w:rsidRPr="058096B7">
        <w:rPr>
          <w:rStyle w:val="normaltextrun"/>
          <w:rFonts w:cs="Calibri"/>
          <w:color w:val="000000" w:themeColor="text1"/>
        </w:rPr>
        <w:t xml:space="preserve"> of renewable energy. Not being allowed to develop on HPL may make this transition more difficult.</w:t>
      </w:r>
      <w:r w:rsidRPr="058096B7">
        <w:rPr>
          <w:rFonts w:eastAsia="Calibri"/>
        </w:rPr>
        <w:t xml:space="preserve"> </w:t>
      </w:r>
    </w:p>
    <w:p w14:paraId="611B76AA" w14:textId="77777777" w:rsidR="00202231" w:rsidRPr="00A37A8B" w:rsidRDefault="00202231" w:rsidP="00202231">
      <w:pPr>
        <w:pStyle w:val="Heading3"/>
      </w:pPr>
      <w:bookmarkStart w:id="30" w:name="_Toc144210866"/>
      <w:r>
        <w:lastRenderedPageBreak/>
        <w:t>Consent pathways under the status quo</w:t>
      </w:r>
      <w:bookmarkEnd w:id="30"/>
      <w:r>
        <w:t xml:space="preserve"> </w:t>
      </w:r>
    </w:p>
    <w:p w14:paraId="75A44779" w14:textId="77777777" w:rsidR="00202231" w:rsidRPr="00D35354" w:rsidRDefault="00202231" w:rsidP="00202231">
      <w:pPr>
        <w:pStyle w:val="BodyText"/>
      </w:pPr>
      <w:r w:rsidRPr="00D35354">
        <w:t>The NPS-HPL has</w:t>
      </w:r>
      <w:r w:rsidRPr="00D35354" w:rsidDel="00883A3D">
        <w:t xml:space="preserve"> </w:t>
      </w:r>
      <w:r w:rsidRPr="00D35354">
        <w:t xml:space="preserve">several </w:t>
      </w:r>
      <w:r w:rsidRPr="00D35354" w:rsidDel="00883A3D">
        <w:t xml:space="preserve">potential </w:t>
      </w:r>
      <w:r w:rsidRPr="00D35354">
        <w:t>consent pathways that could be used when considering the development of new intensive indoor primary production and greenhouses on HPL</w:t>
      </w:r>
      <w:r w:rsidRPr="00D35354" w:rsidDel="00B65FFC">
        <w:t>, including:</w:t>
      </w:r>
    </w:p>
    <w:p w14:paraId="3A56E67E" w14:textId="77777777" w:rsidR="00202231" w:rsidRDefault="00202231" w:rsidP="00202231">
      <w:pPr>
        <w:pStyle w:val="Bullet"/>
        <w:rPr>
          <w:rFonts w:eastAsia="Calibri" w:cs="Calibri"/>
        </w:rPr>
      </w:pPr>
      <w:r w:rsidRPr="2CC5E3F5">
        <w:rPr>
          <w:rFonts w:eastAsia="Calibri" w:cs="Calibri"/>
          <w:color w:val="000000" w:themeColor="text1"/>
        </w:rPr>
        <w:t>Clause 3.9(2)(a)</w:t>
      </w:r>
      <w:r w:rsidRPr="2CC5E3F5" w:rsidDel="00883A3D">
        <w:rPr>
          <w:rFonts w:eastAsia="Calibri" w:cs="Calibri"/>
          <w:color w:val="000000" w:themeColor="text1"/>
        </w:rPr>
        <w:t xml:space="preserve"> </w:t>
      </w:r>
      <w:r w:rsidRPr="2CC5E3F5">
        <w:rPr>
          <w:rFonts w:eastAsia="Calibri" w:cs="Calibri"/>
          <w:color w:val="000000" w:themeColor="text1"/>
        </w:rPr>
        <w:t xml:space="preserve">provides for supporting activities that are </w:t>
      </w:r>
      <w:r w:rsidRPr="2CC5E3F5">
        <w:rPr>
          <w:rFonts w:eastAsia="Calibri" w:cs="Calibri"/>
        </w:rPr>
        <w:t>reasonably necessary to support land-based primary production on that land</w:t>
      </w:r>
      <w:r>
        <w:rPr>
          <w:rFonts w:eastAsia="Calibri" w:cs="Calibri"/>
        </w:rPr>
        <w:t xml:space="preserve"> (</w:t>
      </w:r>
      <w:proofErr w:type="spellStart"/>
      <w:r>
        <w:rPr>
          <w:rFonts w:eastAsia="Calibri" w:cs="Calibri"/>
        </w:rPr>
        <w:t>eg</w:t>
      </w:r>
      <w:proofErr w:type="spellEnd"/>
      <w:r>
        <w:rPr>
          <w:rFonts w:eastAsia="Calibri" w:cs="Calibri"/>
        </w:rPr>
        <w:t xml:space="preserve">, </w:t>
      </w:r>
      <w:r w:rsidRPr="2CC5E3F5">
        <w:rPr>
          <w:rFonts w:eastAsia="Calibri" w:cs="Calibri"/>
        </w:rPr>
        <w:t>equipment storage</w:t>
      </w:r>
      <w:r>
        <w:rPr>
          <w:rFonts w:eastAsia="Calibri" w:cs="Calibri"/>
        </w:rPr>
        <w:t xml:space="preserve">, </w:t>
      </w:r>
      <w:r w:rsidRPr="2CC5E3F5">
        <w:rPr>
          <w:rFonts w:eastAsia="Calibri" w:cs="Calibri"/>
        </w:rPr>
        <w:t>animal housing</w:t>
      </w:r>
      <w:r w:rsidRPr="00883A3D">
        <w:rPr>
          <w:rFonts w:eastAsia="Calibri" w:cs="Calibri"/>
        </w:rPr>
        <w:t xml:space="preserve"> </w:t>
      </w:r>
      <w:r>
        <w:rPr>
          <w:rFonts w:eastAsia="Calibri" w:cs="Calibri"/>
        </w:rPr>
        <w:t xml:space="preserve">and </w:t>
      </w:r>
      <w:r w:rsidRPr="2CC5E3F5">
        <w:rPr>
          <w:rFonts w:eastAsia="Calibri" w:cs="Calibri"/>
        </w:rPr>
        <w:t xml:space="preserve">on-site processing and packing). </w:t>
      </w:r>
    </w:p>
    <w:p w14:paraId="32D53B3A" w14:textId="77777777" w:rsidR="00202231" w:rsidRDefault="00202231" w:rsidP="00202231">
      <w:pPr>
        <w:pStyle w:val="Bullet"/>
        <w:rPr>
          <w:rFonts w:eastAsia="Calibri" w:cs="Calibri"/>
        </w:rPr>
      </w:pPr>
      <w:r w:rsidRPr="6C34B90F">
        <w:rPr>
          <w:rFonts w:eastAsia="Calibri" w:cs="Calibri"/>
          <w:color w:val="000000" w:themeColor="text1"/>
        </w:rPr>
        <w:t xml:space="preserve">Clause 3.9(2)(g) covers </w:t>
      </w:r>
      <w:r w:rsidRPr="6C34B90F">
        <w:rPr>
          <w:rFonts w:eastAsia="Calibri" w:cs="Calibri"/>
        </w:rPr>
        <w:t xml:space="preserve">small-scale or temporary land-use activity that has no impact on the productive capacity of the land. The intention is to </w:t>
      </w:r>
      <w:r>
        <w:rPr>
          <w:rFonts w:eastAsia="Calibri" w:cs="Calibri"/>
        </w:rPr>
        <w:t>provide for</w:t>
      </w:r>
      <w:r w:rsidRPr="6C34B90F">
        <w:rPr>
          <w:rFonts w:eastAsia="Calibri" w:cs="Calibri"/>
        </w:rPr>
        <w:t xml:space="preserve"> short-term activities with a defined start and end date to be considered as appropriate on HPL provided they have no impact on the productive capacity of the land. </w:t>
      </w:r>
      <w:r w:rsidRPr="6C34B90F">
        <w:rPr>
          <w:rFonts w:eastAsia="Calibri" w:cs="Calibri"/>
          <w:color w:val="000000" w:themeColor="text1"/>
        </w:rPr>
        <w:t>Home businesses and visitor accommodation (</w:t>
      </w:r>
      <w:proofErr w:type="spellStart"/>
      <w:r w:rsidRPr="6C34B90F">
        <w:rPr>
          <w:rFonts w:eastAsia="Calibri" w:cs="Calibri"/>
          <w:color w:val="000000" w:themeColor="text1"/>
        </w:rPr>
        <w:t>eg</w:t>
      </w:r>
      <w:proofErr w:type="spellEnd"/>
      <w:r w:rsidRPr="6C34B90F">
        <w:rPr>
          <w:rFonts w:eastAsia="Calibri" w:cs="Calibri"/>
          <w:color w:val="000000" w:themeColor="text1"/>
        </w:rPr>
        <w:t>, bed and breakfasts) are examples of small-scale activities. Temporary activities are likely to be short-term activities with a defined start and end date such as festivals, events and markets.</w:t>
      </w:r>
    </w:p>
    <w:p w14:paraId="394DF68A" w14:textId="77777777" w:rsidR="00202231" w:rsidRDefault="00202231" w:rsidP="00202231">
      <w:pPr>
        <w:pStyle w:val="Bullet"/>
        <w:rPr>
          <w:rFonts w:eastAsia="Calibri" w:cs="Calibri"/>
        </w:rPr>
      </w:pPr>
      <w:r w:rsidRPr="2CC5E3F5">
        <w:rPr>
          <w:rFonts w:eastAsia="Calibri" w:cs="Calibri"/>
        </w:rPr>
        <w:t>Clause 3.11 provides for the continuation of existing activities</w:t>
      </w:r>
      <w:r>
        <w:rPr>
          <w:rFonts w:eastAsia="Calibri" w:cs="Calibri"/>
        </w:rPr>
        <w:t>. It</w:t>
      </w:r>
      <w:r w:rsidRPr="2CC5E3F5">
        <w:rPr>
          <w:rFonts w:eastAsia="Calibri" w:cs="Calibri"/>
        </w:rPr>
        <w:t xml:space="preserve"> gives direction to territorial authorities on how they are required to provide for the continuation of existing activities on HPL through objectives, policies and rules in district plans.</w:t>
      </w:r>
    </w:p>
    <w:p w14:paraId="75CB58CE" w14:textId="034924F6" w:rsidR="001E5671" w:rsidRDefault="00202231" w:rsidP="002E1691">
      <w:pPr>
        <w:pStyle w:val="BodyText"/>
        <w:rPr>
          <w:rFonts w:eastAsia="Calibri" w:cs="Calibri"/>
        </w:rPr>
      </w:pPr>
      <w:r>
        <w:rPr>
          <w:rFonts w:eastAsia="Calibri" w:cs="Calibri"/>
        </w:rPr>
        <w:t xml:space="preserve">Previous </w:t>
      </w:r>
      <w:r w:rsidRPr="66C81775">
        <w:rPr>
          <w:rFonts w:eastAsia="Calibri" w:cs="Calibri"/>
        </w:rPr>
        <w:t>feedback</w:t>
      </w:r>
      <w:r w:rsidRPr="7FEDF33A">
        <w:rPr>
          <w:rFonts w:eastAsia="Calibri" w:cs="Calibri"/>
        </w:rPr>
        <w:t xml:space="preserve"> from primary sector groups found that in most circumstances</w:t>
      </w:r>
      <w:r>
        <w:rPr>
          <w:rFonts w:eastAsia="Calibri" w:cs="Calibri"/>
        </w:rPr>
        <w:t>,</w:t>
      </w:r>
      <w:r w:rsidRPr="7FEDF33A">
        <w:rPr>
          <w:rFonts w:eastAsia="Calibri" w:cs="Calibri"/>
        </w:rPr>
        <w:t xml:space="preserve"> the</w:t>
      </w:r>
      <w:r>
        <w:rPr>
          <w:rFonts w:eastAsia="Calibri" w:cs="Calibri"/>
        </w:rPr>
        <w:t xml:space="preserve"> above</w:t>
      </w:r>
      <w:r w:rsidRPr="7FEDF33A">
        <w:rPr>
          <w:rFonts w:eastAsia="Calibri" w:cs="Calibri"/>
        </w:rPr>
        <w:t xml:space="preserve"> options </w:t>
      </w:r>
      <w:r w:rsidRPr="6373EABA">
        <w:rPr>
          <w:rFonts w:eastAsia="Calibri" w:cs="Calibri"/>
        </w:rPr>
        <w:t>did</w:t>
      </w:r>
      <w:r w:rsidRPr="7FEDF33A">
        <w:rPr>
          <w:rFonts w:eastAsia="Calibri" w:cs="Calibri"/>
        </w:rPr>
        <w:t xml:space="preserve"> not provide a clear </w:t>
      </w:r>
      <w:r>
        <w:rPr>
          <w:rFonts w:eastAsia="Calibri" w:cs="Calibri"/>
        </w:rPr>
        <w:t>consent</w:t>
      </w:r>
      <w:r w:rsidRPr="7FEDF33A">
        <w:rPr>
          <w:rFonts w:eastAsia="Calibri" w:cs="Calibri"/>
        </w:rPr>
        <w:t xml:space="preserve"> pathway for </w:t>
      </w:r>
      <w:r>
        <w:rPr>
          <w:rFonts w:eastAsia="Calibri" w:cs="Calibri"/>
        </w:rPr>
        <w:t xml:space="preserve">the development of </w:t>
      </w:r>
      <w:r w:rsidRPr="7FEDF33A">
        <w:rPr>
          <w:rFonts w:eastAsia="Calibri" w:cs="Calibri"/>
        </w:rPr>
        <w:t xml:space="preserve">new intensive indoor primary production and greenhouses </w:t>
      </w:r>
      <w:r w:rsidRPr="6373EABA">
        <w:rPr>
          <w:rFonts w:eastAsia="Calibri" w:cs="Calibri"/>
        </w:rPr>
        <w:t>on HPL</w:t>
      </w:r>
      <w:r w:rsidRPr="7FEDF33A">
        <w:rPr>
          <w:rFonts w:eastAsia="Calibri" w:cs="Calibri"/>
        </w:rPr>
        <w:t xml:space="preserve">. </w:t>
      </w:r>
    </w:p>
    <w:p w14:paraId="05052CBD" w14:textId="6A9682BF" w:rsidR="00202231" w:rsidRPr="00CB73AF" w:rsidRDefault="00202231" w:rsidP="00202231">
      <w:pPr>
        <w:pStyle w:val="Heading2"/>
      </w:pPr>
      <w:bookmarkStart w:id="31" w:name="_Toc144210867"/>
      <w:bookmarkStart w:id="32" w:name="_Toc144381366"/>
      <w:r>
        <w:t>Proposed options</w:t>
      </w:r>
      <w:bookmarkEnd w:id="31"/>
      <w:bookmarkEnd w:id="32"/>
    </w:p>
    <w:p w14:paraId="32920C07" w14:textId="77777777" w:rsidR="00202231" w:rsidRPr="00D35354" w:rsidRDefault="00202231" w:rsidP="00202231">
      <w:pPr>
        <w:pStyle w:val="BodyText"/>
        <w:rPr>
          <w:rFonts w:cs="Calibri"/>
        </w:rPr>
      </w:pPr>
      <w:r>
        <w:t>There is limited evidence of the extent of this issue given the short time since the NPS-HPL came into effect.</w:t>
      </w:r>
      <w:r w:rsidRPr="7F0AC7AE">
        <w:rPr>
          <w:rStyle w:val="normaltextrun"/>
          <w:rFonts w:eastAsia="Calibri" w:cs="Calibri"/>
          <w:color w:val="000000" w:themeColor="text1"/>
        </w:rPr>
        <w:t xml:space="preserve"> MfE and MPI have no preference for the option presented (</w:t>
      </w:r>
      <w:r>
        <w:rPr>
          <w:rStyle w:val="normaltextrun"/>
          <w:rFonts w:eastAsia="Calibri" w:cs="Calibri"/>
          <w:color w:val="000000" w:themeColor="text1"/>
        </w:rPr>
        <w:t>o</w:t>
      </w:r>
      <w:r w:rsidRPr="7F0AC7AE">
        <w:rPr>
          <w:rStyle w:val="normaltextrun"/>
          <w:rFonts w:eastAsia="Calibri" w:cs="Calibri"/>
          <w:color w:val="000000" w:themeColor="text1"/>
        </w:rPr>
        <w:t>ption 2) over</w:t>
      </w:r>
      <w:r>
        <w:rPr>
          <w:rStyle w:val="normaltextrun"/>
          <w:rFonts w:eastAsia="Calibri" w:cs="Calibri"/>
          <w:color w:val="000000" w:themeColor="text1"/>
        </w:rPr>
        <w:t xml:space="preserve"> </w:t>
      </w:r>
      <w:r w:rsidRPr="1E4ECF1A">
        <w:rPr>
          <w:rStyle w:val="normaltextrun"/>
          <w:rFonts w:cs="Calibri"/>
          <w:color w:val="000000" w:themeColor="text1"/>
        </w:rPr>
        <w:t>maintaining the status quo (</w:t>
      </w:r>
      <w:r>
        <w:rPr>
          <w:rStyle w:val="normaltextrun"/>
          <w:rFonts w:cs="Calibri"/>
          <w:color w:val="000000" w:themeColor="text1"/>
        </w:rPr>
        <w:t>o</w:t>
      </w:r>
      <w:r w:rsidRPr="1E4ECF1A">
        <w:rPr>
          <w:rStyle w:val="normaltextrun"/>
          <w:rFonts w:cs="Calibri"/>
          <w:color w:val="000000" w:themeColor="text1"/>
        </w:rPr>
        <w:t>ption 1) at this time</w:t>
      </w:r>
      <w:r>
        <w:rPr>
          <w:rStyle w:val="normaltextrun"/>
          <w:rFonts w:cs="Calibri"/>
          <w:color w:val="000000" w:themeColor="text1"/>
        </w:rPr>
        <w:t>.</w:t>
      </w:r>
      <w:r w:rsidRPr="6805DDAA">
        <w:rPr>
          <w:rStyle w:val="FootnoteReference"/>
          <w:rFonts w:cs="Calibri"/>
          <w:color w:val="000000" w:themeColor="text1"/>
        </w:rPr>
        <w:footnoteReference w:id="17"/>
      </w:r>
      <w:r w:rsidRPr="7F0AC7AE">
        <w:rPr>
          <w:rStyle w:val="FootnoteReference"/>
          <w:rFonts w:cs="Calibri"/>
          <w:color w:val="000000" w:themeColor="text1"/>
        </w:rPr>
        <w:t xml:space="preserve"> </w:t>
      </w:r>
      <w:r w:rsidRPr="43892DF4">
        <w:rPr>
          <w:rStyle w:val="normaltextrun"/>
          <w:rFonts w:eastAsia="Calibri" w:cs="Calibri"/>
          <w:color w:val="000000" w:themeColor="text1"/>
        </w:rPr>
        <w:t>T</w:t>
      </w:r>
      <w:r w:rsidRPr="5A29AB18">
        <w:rPr>
          <w:rStyle w:val="normaltextrun"/>
          <w:rFonts w:eastAsia="Calibri" w:cs="Calibri"/>
          <w:color w:val="000000" w:themeColor="text1"/>
        </w:rPr>
        <w:t>he issues raised by stakeholders may have merit, but climate change resilience and supporting the food production sector need to be balanced against the need to protect HPL (a finite non-renewable resource)</w:t>
      </w:r>
      <w:r>
        <w:rPr>
          <w:rStyle w:val="normaltextrun"/>
          <w:rFonts w:eastAsia="Calibri" w:cs="Calibri"/>
          <w:color w:val="000000" w:themeColor="text1"/>
        </w:rPr>
        <w:t xml:space="preserve">. </w:t>
      </w:r>
      <w:r>
        <w:rPr>
          <w:rFonts w:cs="Calibri"/>
        </w:rPr>
        <w:t xml:space="preserve">Two </w:t>
      </w:r>
      <w:r w:rsidRPr="005B6721">
        <w:rPr>
          <w:rFonts w:cs="Calibri"/>
        </w:rPr>
        <w:t>option</w:t>
      </w:r>
      <w:r>
        <w:rPr>
          <w:rFonts w:cs="Calibri"/>
        </w:rPr>
        <w:t>s</w:t>
      </w:r>
      <w:r w:rsidRPr="005B6721">
        <w:rPr>
          <w:rFonts w:cs="Calibri"/>
        </w:rPr>
        <w:t xml:space="preserve"> for </w:t>
      </w:r>
      <w:r>
        <w:rPr>
          <w:rFonts w:cs="Calibri"/>
        </w:rPr>
        <w:t>addressing this issue are being consulted on:</w:t>
      </w:r>
    </w:p>
    <w:p w14:paraId="27E43951" w14:textId="77777777" w:rsidR="00202231" w:rsidRPr="00431397" w:rsidRDefault="00202231" w:rsidP="00202231">
      <w:pPr>
        <w:pStyle w:val="BodyText"/>
        <w:rPr>
          <w:rFonts w:cs="Calibri"/>
        </w:rPr>
      </w:pPr>
      <w:r w:rsidRPr="00423B44">
        <w:rPr>
          <w:rFonts w:cs="Calibri"/>
        </w:rPr>
        <w:t>Option 1</w:t>
      </w:r>
      <w:r w:rsidRPr="00431397">
        <w:rPr>
          <w:rFonts w:cs="Calibri"/>
        </w:rPr>
        <w:t>: Retain the NPS-HPL as currently drafted (status quo)</w:t>
      </w:r>
      <w:r>
        <w:rPr>
          <w:rFonts w:cs="Calibri"/>
        </w:rPr>
        <w:t>.</w:t>
      </w:r>
    </w:p>
    <w:p w14:paraId="7977AAEB" w14:textId="77777777" w:rsidR="00202231" w:rsidRPr="00DE77BB" w:rsidRDefault="00202231" w:rsidP="00202231">
      <w:pPr>
        <w:pStyle w:val="BodyText"/>
        <w:rPr>
          <w:rFonts w:cs="Calibri"/>
        </w:rPr>
      </w:pPr>
      <w:r w:rsidRPr="7F0AC7AE">
        <w:rPr>
          <w:rFonts w:cs="Calibri"/>
        </w:rPr>
        <w:t>Option 2</w:t>
      </w:r>
      <w:r w:rsidRPr="00431397">
        <w:rPr>
          <w:rFonts w:cs="Calibri"/>
        </w:rPr>
        <w:t xml:space="preserve">: </w:t>
      </w:r>
      <w:r w:rsidRPr="7FEDF33A">
        <w:rPr>
          <w:rFonts w:cs="Calibri"/>
        </w:rPr>
        <w:t>Provide a consent pathway for both intensive indoor primary production and greenhouses in clause 3.9 of the NPS-HPL.</w:t>
      </w:r>
    </w:p>
    <w:p w14:paraId="7EE4F90C" w14:textId="77777777" w:rsidR="00202231" w:rsidRDefault="00202231" w:rsidP="00202231">
      <w:pPr>
        <w:pStyle w:val="Heading3"/>
      </w:pPr>
      <w:bookmarkStart w:id="33" w:name="_Toc144210868"/>
      <w:r>
        <w:t>About option 1</w:t>
      </w:r>
      <w:bookmarkEnd w:id="33"/>
    </w:p>
    <w:p w14:paraId="31332EFB" w14:textId="77777777" w:rsidR="00202231" w:rsidRPr="00D35354" w:rsidRDefault="00202231" w:rsidP="00202231">
      <w:pPr>
        <w:pStyle w:val="BodyText"/>
      </w:pPr>
      <w:r>
        <w:t>Option 1, the status quo, retains the NPS-HPL as currently worded.</w:t>
      </w:r>
    </w:p>
    <w:p w14:paraId="139E2323" w14:textId="77777777" w:rsidR="00202231" w:rsidDel="0079415C" w:rsidRDefault="00202231" w:rsidP="00202231">
      <w:pPr>
        <w:pStyle w:val="BodyText"/>
        <w:rPr>
          <w:rFonts w:eastAsia="Calibri" w:cs="Calibri"/>
        </w:rPr>
      </w:pPr>
      <w:r w:rsidRPr="2CC5E3F5" w:rsidDel="0079415C">
        <w:rPr>
          <w:rFonts w:eastAsia="Calibri" w:cs="Calibri"/>
        </w:rPr>
        <w:t xml:space="preserve">HPL </w:t>
      </w:r>
      <w:r w:rsidRPr="2CC5E3F5" w:rsidDel="00304B04">
        <w:rPr>
          <w:rFonts w:eastAsia="Calibri" w:cs="Calibri"/>
        </w:rPr>
        <w:t>brings</w:t>
      </w:r>
      <w:r w:rsidRPr="50F196DE" w:rsidDel="00304B04">
        <w:rPr>
          <w:rFonts w:eastAsia="Calibri" w:cs="Calibri"/>
        </w:rPr>
        <w:t xml:space="preserve"> </w:t>
      </w:r>
      <w:r w:rsidRPr="50F196DE" w:rsidDel="0079415C">
        <w:rPr>
          <w:rFonts w:eastAsia="Calibri" w:cs="Calibri"/>
        </w:rPr>
        <w:t>significant economic benefits</w:t>
      </w:r>
      <w:r>
        <w:rPr>
          <w:rFonts w:eastAsia="Calibri" w:cs="Calibri"/>
        </w:rPr>
        <w:t>,</w:t>
      </w:r>
      <w:r w:rsidRPr="50F196DE" w:rsidDel="0079415C">
        <w:rPr>
          <w:rFonts w:eastAsia="Calibri" w:cs="Calibri"/>
        </w:rPr>
        <w:t xml:space="preserve"> including employment</w:t>
      </w:r>
      <w:r>
        <w:rPr>
          <w:rFonts w:eastAsia="Calibri" w:cs="Calibri"/>
        </w:rPr>
        <w:t>,</w:t>
      </w:r>
      <w:r w:rsidRPr="50F196DE" w:rsidDel="0079415C">
        <w:rPr>
          <w:rFonts w:eastAsia="Calibri" w:cs="Calibri"/>
        </w:rPr>
        <w:t xml:space="preserve"> for </w:t>
      </w:r>
      <w:r w:rsidRPr="50F196DE" w:rsidDel="00304B04">
        <w:rPr>
          <w:rFonts w:eastAsia="Calibri" w:cs="Calibri"/>
        </w:rPr>
        <w:t xml:space="preserve">the </w:t>
      </w:r>
      <w:r w:rsidRPr="50F196DE" w:rsidDel="0079415C">
        <w:rPr>
          <w:rFonts w:eastAsia="Calibri" w:cs="Calibri"/>
        </w:rPr>
        <w:t>communities</w:t>
      </w:r>
      <w:r w:rsidRPr="50F196DE" w:rsidDel="00304B04">
        <w:rPr>
          <w:rFonts w:eastAsia="Calibri" w:cs="Calibri"/>
        </w:rPr>
        <w:t xml:space="preserve"> that surround them, and collectively add</w:t>
      </w:r>
      <w:r>
        <w:rPr>
          <w:rFonts w:eastAsia="Calibri" w:cs="Calibri"/>
        </w:rPr>
        <w:t>s</w:t>
      </w:r>
      <w:r w:rsidRPr="50F196DE" w:rsidDel="00304B04">
        <w:rPr>
          <w:rFonts w:eastAsia="Calibri" w:cs="Calibri"/>
        </w:rPr>
        <w:t xml:space="preserve"> significant value to </w:t>
      </w:r>
      <w:r>
        <w:rPr>
          <w:rFonts w:eastAsia="Calibri" w:cs="Calibri"/>
        </w:rPr>
        <w:t xml:space="preserve">Aotearoa </w:t>
      </w:r>
      <w:r w:rsidRPr="50F196DE" w:rsidDel="00304B04">
        <w:rPr>
          <w:rFonts w:eastAsia="Calibri" w:cs="Calibri"/>
        </w:rPr>
        <w:t>New Zealand’s primary sector. In recognising the finite nature of highly productive land, keeping t</w:t>
      </w:r>
      <w:r w:rsidRPr="50F196DE" w:rsidDel="0079415C">
        <w:rPr>
          <w:rFonts w:eastAsia="Calibri" w:cs="Calibri"/>
        </w:rPr>
        <w:t xml:space="preserve">he status quo would: </w:t>
      </w:r>
    </w:p>
    <w:p w14:paraId="34B6A1EC" w14:textId="77777777" w:rsidR="00202231" w:rsidRPr="00423B44" w:rsidRDefault="00202231" w:rsidP="00202231">
      <w:pPr>
        <w:pStyle w:val="Bullet"/>
        <w:rPr>
          <w:rFonts w:eastAsia="Calibri"/>
        </w:rPr>
      </w:pPr>
      <w:r w:rsidRPr="584A183D">
        <w:rPr>
          <w:rFonts w:eastAsia="Calibri"/>
        </w:rPr>
        <w:lastRenderedPageBreak/>
        <w:t>retain</w:t>
      </w:r>
      <w:r w:rsidRPr="00F04E9D">
        <w:rPr>
          <w:rFonts w:eastAsia="Calibri"/>
        </w:rPr>
        <w:t xml:space="preserve"> the policy objective of the NPS-HPL</w:t>
      </w:r>
    </w:p>
    <w:p w14:paraId="5D6EBB04" w14:textId="77777777" w:rsidR="00202231" w:rsidRPr="00F04E9D" w:rsidRDefault="00202231" w:rsidP="00202231">
      <w:pPr>
        <w:pStyle w:val="Bullet"/>
        <w:rPr>
          <w:rFonts w:eastAsia="Calibri"/>
        </w:rPr>
      </w:pPr>
      <w:r w:rsidRPr="584A183D">
        <w:rPr>
          <w:rFonts w:eastAsia="Calibri"/>
        </w:rPr>
        <w:t xml:space="preserve">allow for </w:t>
      </w:r>
      <w:r w:rsidRPr="00F04E9D" w:rsidDel="00D7392C">
        <w:rPr>
          <w:rFonts w:eastAsia="Calibri"/>
        </w:rPr>
        <w:t xml:space="preserve">evidence </w:t>
      </w:r>
      <w:r w:rsidRPr="584A183D">
        <w:rPr>
          <w:rFonts w:eastAsia="Calibri"/>
        </w:rPr>
        <w:t>on</w:t>
      </w:r>
      <w:r>
        <w:rPr>
          <w:rFonts w:eastAsia="Calibri"/>
        </w:rPr>
        <w:t xml:space="preserve"> </w:t>
      </w:r>
      <w:r w:rsidRPr="00F04E9D">
        <w:rPr>
          <w:rFonts w:eastAsia="Calibri"/>
        </w:rPr>
        <w:t xml:space="preserve">the impacts </w:t>
      </w:r>
      <w:r>
        <w:rPr>
          <w:rFonts w:eastAsia="Calibri"/>
        </w:rPr>
        <w:t xml:space="preserve">of </w:t>
      </w:r>
      <w:r w:rsidRPr="00F04E9D">
        <w:rPr>
          <w:rFonts w:eastAsia="Calibri"/>
        </w:rPr>
        <w:t>the NPS-HPL on intensive indoor primary production and greenhouses (if any</w:t>
      </w:r>
      <w:r w:rsidRPr="584A183D">
        <w:rPr>
          <w:rFonts w:eastAsia="Calibri"/>
        </w:rPr>
        <w:t>)</w:t>
      </w:r>
      <w:r>
        <w:rPr>
          <w:rFonts w:eastAsia="Calibri"/>
        </w:rPr>
        <w:t xml:space="preserve"> to be collected; </w:t>
      </w:r>
      <w:r w:rsidRPr="584A183D">
        <w:rPr>
          <w:rFonts w:eastAsia="Calibri"/>
        </w:rPr>
        <w:t>this</w:t>
      </w:r>
      <w:r w:rsidRPr="00F04E9D">
        <w:rPr>
          <w:rFonts w:eastAsia="Calibri"/>
        </w:rPr>
        <w:t xml:space="preserve"> could be </w:t>
      </w:r>
      <w:r w:rsidRPr="7F0AC7AE">
        <w:rPr>
          <w:rFonts w:eastAsia="Calibri"/>
        </w:rPr>
        <w:t>through</w:t>
      </w:r>
      <w:r w:rsidRPr="00F04E9D">
        <w:rPr>
          <w:rFonts w:eastAsia="Calibri"/>
        </w:rPr>
        <w:t xml:space="preserve"> gathering </w:t>
      </w:r>
      <w:r>
        <w:rPr>
          <w:rFonts w:eastAsia="Calibri"/>
        </w:rPr>
        <w:t xml:space="preserve">relevant </w:t>
      </w:r>
      <w:r w:rsidRPr="00F04E9D">
        <w:rPr>
          <w:rFonts w:eastAsia="Calibri"/>
        </w:rPr>
        <w:t>case law and resource consent outcomes</w:t>
      </w:r>
    </w:p>
    <w:p w14:paraId="7C0971F3" w14:textId="77777777" w:rsidR="00202231" w:rsidRPr="00F04E9D" w:rsidRDefault="00202231" w:rsidP="00202231">
      <w:pPr>
        <w:pStyle w:val="Bullet"/>
        <w:rPr>
          <w:rFonts w:eastAsia="Calibri"/>
        </w:rPr>
      </w:pPr>
      <w:r w:rsidRPr="584A183D">
        <w:rPr>
          <w:rFonts w:eastAsia="Calibri"/>
        </w:rPr>
        <w:t>prevent</w:t>
      </w:r>
      <w:r w:rsidRPr="00F04E9D">
        <w:rPr>
          <w:rFonts w:eastAsia="Calibri"/>
        </w:rPr>
        <w:t xml:space="preserve"> intensive indoor primary production and greenhouses being develop</w:t>
      </w:r>
      <w:r>
        <w:rPr>
          <w:rFonts w:eastAsia="Calibri"/>
        </w:rPr>
        <w:t>ed</w:t>
      </w:r>
      <w:r w:rsidRPr="00F04E9D">
        <w:rPr>
          <w:rFonts w:eastAsia="Calibri"/>
        </w:rPr>
        <w:t xml:space="preserve"> on HPL in some or most circumstances</w:t>
      </w:r>
    </w:p>
    <w:p w14:paraId="11656DE4" w14:textId="77777777" w:rsidR="00202231" w:rsidRPr="00F04E9D" w:rsidRDefault="00202231" w:rsidP="00202231">
      <w:pPr>
        <w:pStyle w:val="Bullet"/>
        <w:rPr>
          <w:rFonts w:eastAsia="Calibri"/>
        </w:rPr>
      </w:pPr>
      <w:r w:rsidRPr="584A183D">
        <w:rPr>
          <w:rFonts w:eastAsia="Calibri"/>
        </w:rPr>
        <w:t>mean</w:t>
      </w:r>
      <w:r w:rsidRPr="0E6E78FC">
        <w:rPr>
          <w:rFonts w:eastAsia="Calibri"/>
        </w:rPr>
        <w:t xml:space="preserve"> </w:t>
      </w:r>
      <w:r>
        <w:rPr>
          <w:rFonts w:eastAsia="Calibri"/>
        </w:rPr>
        <w:t xml:space="preserve">a </w:t>
      </w:r>
      <w:r w:rsidRPr="0E6E78FC">
        <w:rPr>
          <w:rFonts w:eastAsia="Calibri"/>
        </w:rPr>
        <w:t xml:space="preserve">possibility of the NPS-HPL being amended in the future to provide for the development or relocation of intensive indoor primary production and greenhouses on HPL. This possibility is driven by the forecasted growth of both industries to accommodate a growing population. It also recognises the primary sector’s particular vulnerability to the impacts of climate change. </w:t>
      </w:r>
    </w:p>
    <w:p w14:paraId="7B358BFB" w14:textId="77777777" w:rsidR="00202231" w:rsidRDefault="00202231" w:rsidP="00202231">
      <w:pPr>
        <w:pStyle w:val="Heading3"/>
      </w:pPr>
      <w:bookmarkStart w:id="34" w:name="_Toc144210869"/>
      <w:r>
        <w:t xml:space="preserve">About option </w:t>
      </w:r>
      <w:r w:rsidRPr="7FEDF33A">
        <w:t>2</w:t>
      </w:r>
      <w:bookmarkEnd w:id="34"/>
      <w:r w:rsidRPr="7FEDF33A">
        <w:t xml:space="preserve"> </w:t>
      </w:r>
    </w:p>
    <w:p w14:paraId="50481950" w14:textId="77777777" w:rsidR="00202231" w:rsidRPr="00023252" w:rsidRDefault="00202231" w:rsidP="00202231">
      <w:pPr>
        <w:pStyle w:val="BodyText"/>
        <w:rPr>
          <w:rFonts w:cs="Calibri"/>
        </w:rPr>
      </w:pPr>
      <w:r>
        <w:rPr>
          <w:rFonts w:cs="Calibri"/>
        </w:rPr>
        <w:t xml:space="preserve">Option 2 </w:t>
      </w:r>
      <w:r w:rsidRPr="39CC92F5">
        <w:rPr>
          <w:rFonts w:cs="Calibri"/>
        </w:rPr>
        <w:t>provides a consent pathway for both intensive indoor primary production and greenhouses in clause 3.9(2)</w:t>
      </w:r>
    </w:p>
    <w:p w14:paraId="78FFF916" w14:textId="77777777" w:rsidR="00202231" w:rsidRDefault="00202231" w:rsidP="00202231">
      <w:pPr>
        <w:pStyle w:val="BodyText"/>
        <w:rPr>
          <w:rStyle w:val="normaltextrun"/>
          <w:rFonts w:eastAsia="Calibri" w:cs="Calibri"/>
          <w:color w:val="000000" w:themeColor="text1"/>
        </w:rPr>
      </w:pPr>
      <w:r w:rsidRPr="0E6E78FC">
        <w:rPr>
          <w:rFonts w:cs="Calibri"/>
        </w:rPr>
        <w:t xml:space="preserve">This option would </w:t>
      </w:r>
      <w:r w:rsidRPr="0E6E78FC">
        <w:rPr>
          <w:rStyle w:val="normaltextrun"/>
        </w:rPr>
        <w:t xml:space="preserve">provide a bespoke pathway for </w:t>
      </w:r>
      <w:r w:rsidRPr="584A183D">
        <w:rPr>
          <w:rStyle w:val="normaltextrun"/>
        </w:rPr>
        <w:t>developing</w:t>
      </w:r>
      <w:r w:rsidRPr="0E6E78FC">
        <w:rPr>
          <w:rStyle w:val="normaltextrun"/>
        </w:rPr>
        <w:t xml:space="preserve"> and </w:t>
      </w:r>
      <w:r w:rsidRPr="584A183D">
        <w:rPr>
          <w:rStyle w:val="normaltextrun"/>
        </w:rPr>
        <w:t>relocating</w:t>
      </w:r>
      <w:r w:rsidRPr="0E6E78FC" w:rsidDel="00F7113D">
        <w:rPr>
          <w:rStyle w:val="normaltextrun"/>
        </w:rPr>
        <w:t xml:space="preserve"> </w:t>
      </w:r>
      <w:r w:rsidRPr="0E6E78FC">
        <w:rPr>
          <w:rStyle w:val="normaltextrun"/>
        </w:rPr>
        <w:t>intensive indoor primary production and greenhouses on HPL. It would be subject to specific tests being met, such as functional or operational test</w:t>
      </w:r>
      <w:r>
        <w:rPr>
          <w:rStyle w:val="normaltextrun"/>
        </w:rPr>
        <w:t>s</w:t>
      </w:r>
      <w:r w:rsidRPr="0E6E78FC">
        <w:rPr>
          <w:rStyle w:val="normaltextrun"/>
        </w:rPr>
        <w:t xml:space="preserve">. These are </w:t>
      </w:r>
      <w:proofErr w:type="gramStart"/>
      <w:r w:rsidRPr="0E6E78FC">
        <w:rPr>
          <w:rStyle w:val="normaltextrun"/>
        </w:rPr>
        <w:t>similar to</w:t>
      </w:r>
      <w:proofErr w:type="gramEnd"/>
      <w:r w:rsidRPr="0E6E78FC">
        <w:rPr>
          <w:rStyle w:val="normaltextrun"/>
        </w:rPr>
        <w:t xml:space="preserve"> tests </w:t>
      </w:r>
      <w:r w:rsidRPr="6FB2012E">
        <w:rPr>
          <w:rStyle w:val="normaltextrun"/>
        </w:rPr>
        <w:t>required for</w:t>
      </w:r>
      <w:r w:rsidRPr="0E6E78FC">
        <w:rPr>
          <w:rStyle w:val="normaltextrun"/>
        </w:rPr>
        <w:t xml:space="preserve"> other non-land-based primary production activities in the NPS-</w:t>
      </w:r>
      <w:r w:rsidRPr="0E6E78FC">
        <w:rPr>
          <w:rStyle w:val="normaltextrun"/>
          <w:rFonts w:eastAsia="Calibri" w:cs="Calibri"/>
          <w:color w:val="000000" w:themeColor="text1"/>
        </w:rPr>
        <w:t xml:space="preserve">HPL. </w:t>
      </w:r>
    </w:p>
    <w:p w14:paraId="0F03B7D5" w14:textId="77777777" w:rsidR="00202231" w:rsidRDefault="00202231" w:rsidP="00202231">
      <w:pPr>
        <w:pStyle w:val="BodyText"/>
      </w:pPr>
      <w:r>
        <w:t xml:space="preserve">However, </w:t>
      </w:r>
      <w:r w:rsidRPr="0E6E78FC">
        <w:t xml:space="preserve">this option is </w:t>
      </w:r>
      <w:r>
        <w:t>misaligned</w:t>
      </w:r>
      <w:r w:rsidRPr="0E6E78FC">
        <w:t xml:space="preserve"> with the </w:t>
      </w:r>
      <w:r>
        <w:t xml:space="preserve">original </w:t>
      </w:r>
      <w:r w:rsidRPr="0E6E78FC">
        <w:t>intent of the NPS-HPL</w:t>
      </w:r>
      <w:r>
        <w:t>, which</w:t>
      </w:r>
      <w:r w:rsidRPr="0E6E78FC">
        <w:t xml:space="preserve"> was for intensive indoor primary production and greenhouses (primary production that is not reliant on soil) to be excluded from being considered appropriate use and development of HPL.</w:t>
      </w:r>
    </w:p>
    <w:p w14:paraId="36C5997A" w14:textId="77777777" w:rsidR="00202231" w:rsidRDefault="00202231" w:rsidP="00202231">
      <w:pPr>
        <w:rPr>
          <w:rFonts w:eastAsia="Calibri" w:cs="Calibri"/>
        </w:rPr>
      </w:pPr>
    </w:p>
    <w:tbl>
      <w:tblPr>
        <w:tblStyle w:val="TableGrid"/>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473"/>
        <w:gridCol w:w="8032"/>
      </w:tblGrid>
      <w:tr w:rsidR="00202231" w:rsidRPr="006B77BB" w14:paraId="1F828651" w14:textId="77777777" w:rsidTr="00202231">
        <w:trPr>
          <w:tblHeader/>
        </w:trPr>
        <w:tc>
          <w:tcPr>
            <w:tcW w:w="5000" w:type="pct"/>
            <w:gridSpan w:val="2"/>
            <w:shd w:val="clear" w:color="auto" w:fill="1B556B" w:themeFill="text2"/>
          </w:tcPr>
          <w:p w14:paraId="559DBDAD" w14:textId="77777777" w:rsidR="00202231" w:rsidRPr="00202231" w:rsidRDefault="00202231" w:rsidP="00202231">
            <w:pPr>
              <w:pStyle w:val="Tableheading"/>
              <w:rPr>
                <w:color w:val="FFFFFF" w:themeColor="background1"/>
              </w:rPr>
            </w:pPr>
            <w:r w:rsidRPr="00202231">
              <w:rPr>
                <w:color w:val="FFFFFF" w:themeColor="background1"/>
              </w:rPr>
              <w:t>Consultation questions: Intensive indoor primary production and greenhouses</w:t>
            </w:r>
          </w:p>
        </w:tc>
      </w:tr>
      <w:tr w:rsidR="00202231" w:rsidRPr="006B77BB" w14:paraId="0D11875A" w14:textId="77777777">
        <w:tc>
          <w:tcPr>
            <w:tcW w:w="278" w:type="pct"/>
            <w:shd w:val="clear" w:color="auto" w:fill="auto"/>
          </w:tcPr>
          <w:p w14:paraId="6D679D8D" w14:textId="77777777" w:rsidR="00202231" w:rsidRPr="003772F5" w:rsidRDefault="00202231">
            <w:pPr>
              <w:pStyle w:val="TableText"/>
            </w:pPr>
            <w:r w:rsidRPr="003772F5">
              <w:t>1</w:t>
            </w:r>
          </w:p>
        </w:tc>
        <w:tc>
          <w:tcPr>
            <w:tcW w:w="4722" w:type="pct"/>
            <w:shd w:val="clear" w:color="auto" w:fill="auto"/>
          </w:tcPr>
          <w:p w14:paraId="3B14190B" w14:textId="77777777" w:rsidR="00202231" w:rsidRPr="008259C3" w:rsidRDefault="00202231">
            <w:pPr>
              <w:pStyle w:val="TableText"/>
            </w:pPr>
            <w:r w:rsidRPr="008259C3">
              <w:t xml:space="preserve">Do you think the NPS-HPL requires an amendment to provide a consent pathway for intensive indoor primary production and greenhouses to be developed on HPL? Why? </w:t>
            </w:r>
          </w:p>
        </w:tc>
      </w:tr>
      <w:tr w:rsidR="00202231" w:rsidRPr="006B77BB" w14:paraId="3685EF5C" w14:textId="77777777">
        <w:tc>
          <w:tcPr>
            <w:tcW w:w="278" w:type="pct"/>
            <w:shd w:val="clear" w:color="auto" w:fill="auto"/>
          </w:tcPr>
          <w:p w14:paraId="74823EB1" w14:textId="77777777" w:rsidR="00202231" w:rsidRPr="003772F5" w:rsidRDefault="00202231">
            <w:pPr>
              <w:pStyle w:val="TableText"/>
            </w:pPr>
            <w:r w:rsidRPr="003772F5">
              <w:t>2</w:t>
            </w:r>
          </w:p>
        </w:tc>
        <w:tc>
          <w:tcPr>
            <w:tcW w:w="4722" w:type="pct"/>
            <w:shd w:val="clear" w:color="auto" w:fill="auto"/>
          </w:tcPr>
          <w:p w14:paraId="43ABF294" w14:textId="77777777" w:rsidR="00202231" w:rsidRPr="008259C3" w:rsidRDefault="00202231">
            <w:pPr>
              <w:pStyle w:val="TableText"/>
            </w:pPr>
            <w:r w:rsidRPr="008259C3">
              <w:t xml:space="preserve">What do you think are the risks with amending the NPS-HPL to provide for intensive indoor primary production and greenhouses on HPL? </w:t>
            </w:r>
          </w:p>
        </w:tc>
      </w:tr>
      <w:tr w:rsidR="00202231" w:rsidRPr="006B77BB" w14:paraId="0F5BA58C" w14:textId="77777777">
        <w:tc>
          <w:tcPr>
            <w:tcW w:w="278" w:type="pct"/>
            <w:shd w:val="clear" w:color="auto" w:fill="auto"/>
          </w:tcPr>
          <w:p w14:paraId="4B3C5CDC" w14:textId="77777777" w:rsidR="00202231" w:rsidRPr="003772F5" w:rsidRDefault="00202231">
            <w:pPr>
              <w:pStyle w:val="TableText"/>
            </w:pPr>
            <w:r w:rsidRPr="003772F5">
              <w:t>3</w:t>
            </w:r>
          </w:p>
        </w:tc>
        <w:tc>
          <w:tcPr>
            <w:tcW w:w="4722" w:type="pct"/>
            <w:shd w:val="clear" w:color="auto" w:fill="auto"/>
          </w:tcPr>
          <w:p w14:paraId="65C345DA" w14:textId="77777777" w:rsidR="00202231" w:rsidRPr="008259C3" w:rsidRDefault="00202231">
            <w:pPr>
              <w:pStyle w:val="TableText"/>
            </w:pPr>
            <w:r>
              <w:t xml:space="preserve">Do you support option 1 (retaining the status quo)? Why? </w:t>
            </w:r>
          </w:p>
        </w:tc>
      </w:tr>
      <w:tr w:rsidR="00202231" w:rsidRPr="006B77BB" w14:paraId="704E0BBF" w14:textId="77777777">
        <w:tc>
          <w:tcPr>
            <w:tcW w:w="278" w:type="pct"/>
            <w:shd w:val="clear" w:color="auto" w:fill="auto"/>
          </w:tcPr>
          <w:p w14:paraId="49EAAE2C" w14:textId="77777777" w:rsidR="00202231" w:rsidRPr="003772F5" w:rsidRDefault="00202231">
            <w:pPr>
              <w:pStyle w:val="TableText"/>
            </w:pPr>
            <w:r w:rsidRPr="003772F5">
              <w:t>4</w:t>
            </w:r>
          </w:p>
        </w:tc>
        <w:tc>
          <w:tcPr>
            <w:tcW w:w="4722" w:type="pct"/>
            <w:shd w:val="clear" w:color="auto" w:fill="auto"/>
          </w:tcPr>
          <w:p w14:paraId="4B289E4F" w14:textId="77777777" w:rsidR="00202231" w:rsidRPr="008259C3" w:rsidRDefault="00202231">
            <w:pPr>
              <w:pStyle w:val="TableText"/>
            </w:pPr>
            <w:r w:rsidRPr="008259C3">
              <w:t>Do you support option 2 (a pathway under clause 3.9)? Why?</w:t>
            </w:r>
          </w:p>
        </w:tc>
      </w:tr>
      <w:tr w:rsidR="00202231" w:rsidRPr="006B77BB" w14:paraId="3A261EEA" w14:textId="77777777">
        <w:tc>
          <w:tcPr>
            <w:tcW w:w="278" w:type="pct"/>
            <w:shd w:val="clear" w:color="auto" w:fill="auto"/>
          </w:tcPr>
          <w:p w14:paraId="7D25906D" w14:textId="77777777" w:rsidR="00202231" w:rsidRPr="003772F5" w:rsidRDefault="00202231">
            <w:pPr>
              <w:pStyle w:val="TableText"/>
            </w:pPr>
            <w:r>
              <w:t>5</w:t>
            </w:r>
          </w:p>
        </w:tc>
        <w:tc>
          <w:tcPr>
            <w:tcW w:w="4722" w:type="pct"/>
            <w:shd w:val="clear" w:color="auto" w:fill="auto"/>
          </w:tcPr>
          <w:p w14:paraId="2522911F" w14:textId="77777777" w:rsidR="00202231" w:rsidRPr="008259C3" w:rsidRDefault="00202231">
            <w:pPr>
              <w:pStyle w:val="TableText"/>
            </w:pPr>
            <w:r w:rsidRPr="008259C3">
              <w:t>Are there any other options we should consider?</w:t>
            </w:r>
          </w:p>
        </w:tc>
      </w:tr>
    </w:tbl>
    <w:p w14:paraId="637CC9E0" w14:textId="77777777" w:rsidR="00202231" w:rsidRDefault="00202231" w:rsidP="00202231">
      <w:pPr>
        <w:spacing w:line="0" w:lineRule="auto"/>
      </w:pPr>
      <w:r>
        <w:br w:type="page"/>
      </w:r>
    </w:p>
    <w:p w14:paraId="4697034B" w14:textId="77777777" w:rsidR="00773D95" w:rsidRDefault="00773D95" w:rsidP="004136E4">
      <w:pPr>
        <w:pStyle w:val="Heading1"/>
      </w:pPr>
      <w:bookmarkStart w:id="35" w:name="_Toc144210870"/>
      <w:bookmarkStart w:id="36" w:name="_Toc144381367"/>
      <w:r>
        <w:lastRenderedPageBreak/>
        <w:t>Making a submission</w:t>
      </w:r>
      <w:bookmarkEnd w:id="35"/>
      <w:bookmarkEnd w:id="36"/>
      <w:r>
        <w:t xml:space="preserve"> </w:t>
      </w:r>
    </w:p>
    <w:p w14:paraId="2A661C41" w14:textId="77777777" w:rsidR="00773D95" w:rsidRDefault="00773D95" w:rsidP="004136E4">
      <w:pPr>
        <w:pStyle w:val="Heading2"/>
      </w:pPr>
      <w:bookmarkStart w:id="37" w:name="_Toc144210871"/>
      <w:bookmarkStart w:id="38" w:name="_Toc144381368"/>
      <w:r>
        <w:t>How to provide feedback</w:t>
      </w:r>
      <w:bookmarkEnd w:id="37"/>
      <w:bookmarkEnd w:id="38"/>
    </w:p>
    <w:p w14:paraId="2A56B272" w14:textId="77777777" w:rsidR="00773D95" w:rsidRDefault="00773D95" w:rsidP="00773D95">
      <w:pPr>
        <w:pStyle w:val="BodyText"/>
        <w:rPr>
          <w:rStyle w:val="eop"/>
          <w:rFonts w:cs="Calibri"/>
        </w:rPr>
      </w:pPr>
      <w:r>
        <w:rPr>
          <w:rStyle w:val="normaltextrun"/>
          <w:rFonts w:cs="Calibri"/>
        </w:rPr>
        <w:t xml:space="preserve">Submissions close at 11.59pm on Tuesday </w:t>
      </w:r>
      <w:r w:rsidRPr="5F606B10">
        <w:rPr>
          <w:rStyle w:val="normaltextrun"/>
          <w:rFonts w:cs="Calibri"/>
        </w:rPr>
        <w:t>31</w:t>
      </w:r>
      <w:r>
        <w:rPr>
          <w:rStyle w:val="normaltextrun"/>
          <w:rFonts w:cs="Calibri"/>
        </w:rPr>
        <w:t xml:space="preserve"> October 2023</w:t>
      </w:r>
    </w:p>
    <w:p w14:paraId="5B08882B" w14:textId="77777777" w:rsidR="00773D95" w:rsidRPr="00E067B7" w:rsidRDefault="00773D95" w:rsidP="00773D95">
      <w:pPr>
        <w:pStyle w:val="BodyText"/>
      </w:pPr>
      <w:r>
        <w:t xml:space="preserve">The Government welcomes your feedback on this discussion document. The questions posed are a guide only and all comments are welcome. You do not have to answer </w:t>
      </w:r>
      <w:proofErr w:type="gramStart"/>
      <w:r>
        <w:t>all of</w:t>
      </w:r>
      <w:proofErr w:type="gramEnd"/>
      <w:r>
        <w:t xml:space="preserve"> the questions.</w:t>
      </w:r>
    </w:p>
    <w:p w14:paraId="715CC1C5" w14:textId="77777777" w:rsidR="00773D95" w:rsidRPr="00E067B7" w:rsidRDefault="00773D95" w:rsidP="00773D95">
      <w:pPr>
        <w:pStyle w:val="BodyText"/>
      </w:pPr>
      <w:r w:rsidRPr="00E067B7">
        <w:t>To ensure your point of view is clearly understood, you should explain your rationale and provide supporting evidence, where appropriate.</w:t>
      </w:r>
      <w:r>
        <w:t xml:space="preserve"> </w:t>
      </w:r>
    </w:p>
    <w:p w14:paraId="0E828ED7" w14:textId="4CB78F53" w:rsidR="00773D95" w:rsidRPr="00E067B7" w:rsidRDefault="00773D95" w:rsidP="00773D95">
      <w:pPr>
        <w:pStyle w:val="BodyText"/>
      </w:pPr>
      <w:r>
        <w:t xml:space="preserve">You can provide a submission through </w:t>
      </w:r>
      <w:hyperlink r:id="rId21" w:history="1">
        <w:r w:rsidRPr="00855271">
          <w:rPr>
            <w:rStyle w:val="Hyperlink"/>
            <w:szCs w:val="18"/>
          </w:rPr>
          <w:t>Citizen Space</w:t>
        </w:r>
      </w:hyperlink>
      <w:r w:rsidRPr="00E067B7">
        <w:rPr>
          <w:szCs w:val="18"/>
        </w:rPr>
        <w:t xml:space="preserve">, our consultation hub, by either </w:t>
      </w:r>
      <w:r>
        <w:rPr>
          <w:szCs w:val="18"/>
        </w:rPr>
        <w:t>filling out</w:t>
      </w:r>
      <w:r w:rsidRPr="00E067B7">
        <w:rPr>
          <w:szCs w:val="18"/>
        </w:rPr>
        <w:t xml:space="preserve"> the feedback form or by uploading your own written submission. </w:t>
      </w:r>
    </w:p>
    <w:p w14:paraId="41AE93B7" w14:textId="77777777" w:rsidR="00773D95" w:rsidRPr="00E067B7" w:rsidRDefault="00773D95" w:rsidP="00773D95">
      <w:pPr>
        <w:pStyle w:val="BodyText"/>
      </w:pPr>
      <w:r>
        <w:t xml:space="preserve">We would prefer you use the online system for making your submission. However, if you need to, mail your written submission to Water and Land Use Policy, Ministry for the Environment, PO Box 10362, Wellington 6143. </w:t>
      </w:r>
    </w:p>
    <w:p w14:paraId="6165A381" w14:textId="77777777" w:rsidR="00773D95" w:rsidRPr="00E067B7" w:rsidRDefault="00773D95" w:rsidP="00773D95">
      <w:pPr>
        <w:pStyle w:val="BodyText"/>
      </w:pPr>
      <w:r>
        <w:t xml:space="preserve">If you are emailing your submission, send it to </w:t>
      </w:r>
      <w:hyperlink r:id="rId22">
        <w:r w:rsidRPr="1FAC9CC8">
          <w:rPr>
            <w:rStyle w:val="Hyperlink"/>
            <w:rFonts w:cs="Calibri"/>
          </w:rPr>
          <w:t>highlyproductiveland@mfe.govt.nz</w:t>
        </w:r>
      </w:hyperlink>
      <w:r>
        <w:t xml:space="preserve"> as a:</w:t>
      </w:r>
    </w:p>
    <w:p w14:paraId="133E6568" w14:textId="77777777" w:rsidR="00773D95" w:rsidRPr="00E067B7" w:rsidRDefault="00773D95" w:rsidP="00773D95">
      <w:pPr>
        <w:pStyle w:val="Bullet"/>
      </w:pPr>
      <w:r>
        <w:t>PDF</w:t>
      </w:r>
    </w:p>
    <w:p w14:paraId="5BC4FC94" w14:textId="77777777" w:rsidR="00773D95" w:rsidRPr="00FD3991" w:rsidRDefault="00773D95" w:rsidP="00773D95">
      <w:pPr>
        <w:pStyle w:val="Bullet"/>
        <w:rPr>
          <w:rStyle w:val="normaltextrun"/>
        </w:rPr>
      </w:pPr>
      <w:r>
        <w:t>Microsoft Word document (2003 or later version).</w:t>
      </w:r>
    </w:p>
    <w:p w14:paraId="2F1AA3A4" w14:textId="77777777" w:rsidR="00773D95" w:rsidRPr="00E067B7" w:rsidRDefault="00773D95" w:rsidP="00773D95">
      <w:pPr>
        <w:pStyle w:val="BodyText"/>
      </w:pPr>
      <w:r>
        <w:t>Please ensure you include in your submission:</w:t>
      </w:r>
    </w:p>
    <w:p w14:paraId="2C04974E" w14:textId="77777777" w:rsidR="00773D95" w:rsidRPr="00E067B7" w:rsidRDefault="00773D95" w:rsidP="00773D95">
      <w:pPr>
        <w:pStyle w:val="Bullet"/>
      </w:pPr>
      <w:r>
        <w:t>your name or name of the organisation you represent</w:t>
      </w:r>
    </w:p>
    <w:p w14:paraId="472D652D" w14:textId="77777777" w:rsidR="00773D95" w:rsidRPr="00E067B7" w:rsidRDefault="00773D95" w:rsidP="00773D95">
      <w:pPr>
        <w:pStyle w:val="Bullet"/>
      </w:pPr>
      <w:r>
        <w:t>postal address</w:t>
      </w:r>
    </w:p>
    <w:p w14:paraId="338F4105" w14:textId="77777777" w:rsidR="00773D95" w:rsidRPr="00E067B7" w:rsidRDefault="00773D95" w:rsidP="00773D95">
      <w:pPr>
        <w:pStyle w:val="Bullet"/>
      </w:pPr>
      <w:r>
        <w:t>telephone number</w:t>
      </w:r>
    </w:p>
    <w:p w14:paraId="19BE3635" w14:textId="77777777" w:rsidR="00773D95" w:rsidRPr="00794562" w:rsidRDefault="00773D95" w:rsidP="00773D95">
      <w:pPr>
        <w:pStyle w:val="Bullet"/>
      </w:pPr>
      <w:r>
        <w:t>email address.</w:t>
      </w:r>
    </w:p>
    <w:p w14:paraId="31325D7B" w14:textId="28DE512E" w:rsidR="00773D95" w:rsidRPr="00447828" w:rsidRDefault="00773D95" w:rsidP="004136E4">
      <w:pPr>
        <w:pStyle w:val="Heading2"/>
        <w:rPr>
          <w:rStyle w:val="eop"/>
          <w:rFonts w:ascii="Times New Roman" w:hAnsi="Times New Roman" w:cs="Times New Roman"/>
          <w:b w:val="0"/>
          <w:bCs w:val="0"/>
          <w:sz w:val="22"/>
        </w:rPr>
      </w:pPr>
      <w:bookmarkStart w:id="39" w:name="_Toc144210872"/>
      <w:bookmarkStart w:id="40" w:name="_Toc144381369"/>
      <w:r>
        <w:t>Feedback sought</w:t>
      </w:r>
      <w:bookmarkEnd w:id="39"/>
      <w:bookmarkEnd w:id="40"/>
    </w:p>
    <w:p w14:paraId="7439036F" w14:textId="77777777" w:rsidR="00773D95" w:rsidRDefault="00773D95" w:rsidP="00773D95">
      <w:pPr>
        <w:pStyle w:val="BodyText"/>
      </w:pPr>
      <w:r w:rsidRPr="26144738">
        <w:t xml:space="preserve">One </w:t>
      </w:r>
      <w:r w:rsidRPr="36512A34">
        <w:t>main area</w:t>
      </w:r>
      <w:r w:rsidRPr="26144738">
        <w:t xml:space="preserve"> w</w:t>
      </w:r>
      <w:r>
        <w:t xml:space="preserve">e would like your </w:t>
      </w:r>
      <w:r w:rsidRPr="26144738" w:rsidDel="00CB73AF">
        <w:t>f</w:t>
      </w:r>
      <w:r w:rsidRPr="26144738">
        <w:t xml:space="preserve">eedback </w:t>
      </w:r>
      <w:r>
        <w:t xml:space="preserve">on </w:t>
      </w:r>
      <w:r w:rsidRPr="26144738" w:rsidDel="00F10E07">
        <w:t xml:space="preserve">is </w:t>
      </w:r>
      <w:r>
        <w:t xml:space="preserve">the </w:t>
      </w:r>
      <w:r w:rsidRPr="26144738">
        <w:t xml:space="preserve">balancing </w:t>
      </w:r>
      <w:r>
        <w:t xml:space="preserve">of </w:t>
      </w:r>
      <w:r w:rsidRPr="26144738">
        <w:t xml:space="preserve">different national priorities. The issues raised by renewable energy and primary production industries may have </w:t>
      </w:r>
      <w:proofErr w:type="gramStart"/>
      <w:r w:rsidRPr="26144738">
        <w:t>merit</w:t>
      </w:r>
      <w:r w:rsidRPr="4D949421">
        <w:t>,</w:t>
      </w:r>
      <w:r w:rsidRPr="26144738">
        <w:t xml:space="preserve"> but</w:t>
      </w:r>
      <w:proofErr w:type="gramEnd"/>
      <w:r w:rsidRPr="4D949421">
        <w:t xml:space="preserve"> </w:t>
      </w:r>
      <w:r w:rsidRPr="26144738">
        <w:t xml:space="preserve">need to be considered alongside </w:t>
      </w:r>
      <w:r>
        <w:t xml:space="preserve">the </w:t>
      </w:r>
      <w:r w:rsidRPr="36512A34">
        <w:t>protection</w:t>
      </w:r>
      <w:r>
        <w:t xml:space="preserve"> of</w:t>
      </w:r>
      <w:r w:rsidRPr="26144738">
        <w:t xml:space="preserve"> HPL for use in land-based primary production</w:t>
      </w:r>
      <w:r>
        <w:t>. This use</w:t>
      </w:r>
      <w:r w:rsidRPr="4D949421" w:rsidDel="00CB73AF">
        <w:t xml:space="preserve"> </w:t>
      </w:r>
      <w:r w:rsidRPr="4D949421">
        <w:t xml:space="preserve">has historically been given less </w:t>
      </w:r>
      <w:r w:rsidRPr="0B2F4549">
        <w:t>weight</w:t>
      </w:r>
      <w:r w:rsidRPr="4D949421">
        <w:t xml:space="preserve"> in decision</w:t>
      </w:r>
      <w:r>
        <w:t>-</w:t>
      </w:r>
      <w:r w:rsidRPr="4D949421">
        <w:t xml:space="preserve">making compared to issues such </w:t>
      </w:r>
      <w:r w:rsidRPr="4D949421" w:rsidDel="00C210AC">
        <w:t xml:space="preserve">as residential or </w:t>
      </w:r>
      <w:r w:rsidRPr="4D949421" w:rsidDel="00842941">
        <w:t>urban</w:t>
      </w:r>
      <w:r w:rsidRPr="4D949421">
        <w:t xml:space="preserve"> development</w:t>
      </w:r>
      <w:r w:rsidRPr="26144738">
        <w:t xml:space="preserve">. </w:t>
      </w:r>
    </w:p>
    <w:p w14:paraId="4A45ABAA" w14:textId="77777777" w:rsidR="00773D95" w:rsidRDefault="00773D95" w:rsidP="00773D95">
      <w:pPr>
        <w:rPr>
          <w:rFonts w:eastAsia="Calibri" w:cs="Calibri"/>
        </w:rPr>
      </w:pPr>
      <w:r w:rsidRPr="096013C1">
        <w:rPr>
          <w:rFonts w:eastAsia="Calibri" w:cs="Calibri"/>
        </w:rPr>
        <w:t>Discussion questions are included throughout the document, including specific questions about the proposed options as listed above.</w:t>
      </w:r>
    </w:p>
    <w:p w14:paraId="6DD779CA" w14:textId="455B5225" w:rsidR="00773D95" w:rsidRDefault="00773D95" w:rsidP="00773D95">
      <w:pPr>
        <w:pStyle w:val="BodyText"/>
      </w:pPr>
      <w:r>
        <w:t>Th</w:t>
      </w:r>
      <w:r w:rsidR="00D86425">
        <w:t>rough th</w:t>
      </w:r>
      <w:r>
        <w:t>e public consultation process</w:t>
      </w:r>
      <w:r w:rsidR="00D86425">
        <w:t>, we</w:t>
      </w:r>
      <w:r>
        <w:t xml:space="preserve"> aim to:</w:t>
      </w:r>
    </w:p>
    <w:p w14:paraId="7E681CD6" w14:textId="77777777" w:rsidR="00773D95" w:rsidRDefault="00773D95" w:rsidP="00773D95">
      <w:pPr>
        <w:pStyle w:val="Bullet"/>
      </w:pPr>
      <w:r>
        <w:t>gather evidence on how the NPS-HPL may be restricting activities that may have a functional or operational need to be located on HPL</w:t>
      </w:r>
    </w:p>
    <w:p w14:paraId="7B2731A7" w14:textId="77777777" w:rsidR="00773D95" w:rsidRDefault="00773D95" w:rsidP="00773D95">
      <w:pPr>
        <w:pStyle w:val="Bullet"/>
      </w:pPr>
      <w:r>
        <w:t>identify any other potential issues in relation to new specified infrastructure, intensive indoor primary production and greenhouses</w:t>
      </w:r>
    </w:p>
    <w:p w14:paraId="29A8D3DF" w14:textId="77777777" w:rsidR="00773D95" w:rsidRDefault="00773D95" w:rsidP="00773D95">
      <w:pPr>
        <w:pStyle w:val="Bullet"/>
      </w:pPr>
      <w:r>
        <w:lastRenderedPageBreak/>
        <w:t xml:space="preserve">understand the views and perspectives of a range of stakeholders to help determine whether the identified issues warrant amendments to the NPS-HPL </w:t>
      </w:r>
    </w:p>
    <w:p w14:paraId="4CD4E3C2" w14:textId="77777777" w:rsidR="00773D95" w:rsidRDefault="00773D95" w:rsidP="00773D95">
      <w:pPr>
        <w:pStyle w:val="Bullet"/>
      </w:pPr>
      <w:r>
        <w:t>test the scope, scale, and nature of the proposed options to address the issues outlined and compare them to the option of retaining the status quo.</w:t>
      </w:r>
    </w:p>
    <w:p w14:paraId="1E3269D6" w14:textId="77777777" w:rsidR="00773D95" w:rsidRDefault="00773D95" w:rsidP="00773D95">
      <w:pPr>
        <w:pStyle w:val="BodyText"/>
        <w:rPr>
          <w:rFonts w:eastAsia="Calibri"/>
        </w:rPr>
      </w:pPr>
      <w:r w:rsidRPr="035C5BAC">
        <w:rPr>
          <w:rFonts w:eastAsia="Calibri"/>
        </w:rPr>
        <w:t>When the consultation period has ended, officials will report back to the Minister for the Environment and the Minister of Agriculture on submissions received</w:t>
      </w:r>
      <w:r>
        <w:rPr>
          <w:rFonts w:eastAsia="Calibri"/>
        </w:rPr>
        <w:t>, consider the submissions</w:t>
      </w:r>
      <w:r w:rsidRPr="035C5BAC">
        <w:rPr>
          <w:rFonts w:eastAsia="Calibri"/>
        </w:rPr>
        <w:t xml:space="preserve"> and develop final policy advice.</w:t>
      </w:r>
    </w:p>
    <w:p w14:paraId="0F1300D9" w14:textId="77777777" w:rsidR="00773D95" w:rsidRDefault="00773D95" w:rsidP="004136E4">
      <w:pPr>
        <w:pStyle w:val="Heading2"/>
      </w:pPr>
      <w:bookmarkStart w:id="41" w:name="_Toc144210873"/>
      <w:bookmarkStart w:id="42" w:name="_Toc144381370"/>
      <w:r>
        <w:t>Publishing and releasing submissions</w:t>
      </w:r>
      <w:bookmarkEnd w:id="41"/>
      <w:bookmarkEnd w:id="42"/>
    </w:p>
    <w:p w14:paraId="671450F5" w14:textId="77777777" w:rsidR="00773D95" w:rsidRPr="0077005D" w:rsidRDefault="00773D95" w:rsidP="00773D95">
      <w:pPr>
        <w:pStyle w:val="BodyText"/>
        <w:rPr>
          <w:rFonts w:ascii="Segoe UI" w:eastAsia="Times New Roman" w:hAnsi="Segoe UI" w:cs="Segoe UI"/>
          <w:sz w:val="18"/>
          <w:szCs w:val="18"/>
        </w:rPr>
      </w:pPr>
      <w:r w:rsidRPr="0077005D">
        <w:rPr>
          <w:rFonts w:eastAsia="Times New Roman" w:cs="Calibri"/>
        </w:rPr>
        <w:t xml:space="preserve">All or part of any written comments (including names of submitters), may be published on the Ministry for the Environment’s website, </w:t>
      </w:r>
      <w:hyperlink r:id="rId23" w:tgtFrame="_blank" w:history="1">
        <w:r w:rsidRPr="0077005D">
          <w:rPr>
            <w:rFonts w:eastAsia="Times New Roman" w:cs="Calibri"/>
            <w:color w:val="32809C"/>
          </w:rPr>
          <w:t>environment.govt.nz</w:t>
        </w:r>
      </w:hyperlink>
      <w:r w:rsidRPr="0077005D">
        <w:rPr>
          <w:rFonts w:eastAsia="Times New Roman" w:cs="Calibri"/>
        </w:rPr>
        <w:t>. Unless you clearly specify otherwise in your submission, the Ministry will consider that you have consented to online posting of both your submission and your name.  </w:t>
      </w:r>
    </w:p>
    <w:p w14:paraId="1172B5D3" w14:textId="77777777" w:rsidR="00773D95" w:rsidRPr="0077005D" w:rsidRDefault="00773D95" w:rsidP="00773D95">
      <w:pPr>
        <w:pStyle w:val="BodyText"/>
        <w:rPr>
          <w:rFonts w:ascii="Segoe UI" w:hAnsi="Segoe UI" w:cs="Segoe UI"/>
          <w:sz w:val="18"/>
          <w:szCs w:val="18"/>
        </w:rPr>
      </w:pPr>
      <w:r w:rsidRPr="0077005D">
        <w:t xml:space="preserve">Contents of submissions may be released to the public under the </w:t>
      </w:r>
      <w:hyperlink r:id="rId24" w:tgtFrame="_blank" w:history="1">
        <w:r w:rsidRPr="0077005D">
          <w:rPr>
            <w:color w:val="32809C"/>
          </w:rPr>
          <w:t>Official Information Act 1982</w:t>
        </w:r>
      </w:hyperlink>
      <w:r w:rsidRPr="0077005D">
        <w:t xml:space="preserve"> following requests to the Ministry for the Environment (including via email). Please advise if you have any objection to the release of any information contained in a submission and, </w:t>
      </w:r>
      <w:proofErr w:type="gramStart"/>
      <w:r w:rsidRPr="0077005D">
        <w:t>in particular, which</w:t>
      </w:r>
      <w:proofErr w:type="gramEnd"/>
      <w:r w:rsidRPr="0077005D">
        <w:t xml:space="preserve"> part(s) you consider should be withheld, together with the reason(s) for withholding the information. We will </w:t>
      </w:r>
      <w:proofErr w:type="gramStart"/>
      <w:r w:rsidRPr="0077005D">
        <w:t>take into account</w:t>
      </w:r>
      <w:proofErr w:type="gramEnd"/>
      <w:r w:rsidRPr="0077005D">
        <w:t xml:space="preserve"> all such objections when responding to requests for copies of, and information on, submissions to this document under the Official Information Act.  </w:t>
      </w:r>
    </w:p>
    <w:p w14:paraId="78B62BED" w14:textId="77777777" w:rsidR="00773D95" w:rsidRDefault="00773D95" w:rsidP="00773D95">
      <w:pPr>
        <w:pStyle w:val="BodyText"/>
      </w:pPr>
      <w:r w:rsidRPr="0077005D">
        <w:t xml:space="preserve">The Privacy Act 2020 applies certain principles about the collection, use and disclosure of information about individuals by various agencies, including by the Ministry for the Environment. It governs access by individuals to information about themselves held by agencies. Any personal information you supply to the Ministry </w:t>
      </w:r>
      <w:proofErr w:type="gramStart"/>
      <w:r w:rsidRPr="0077005D">
        <w:t>in the course of</w:t>
      </w:r>
      <w:proofErr w:type="gramEnd"/>
      <w:r w:rsidRPr="0077005D">
        <w:t xml:space="preserve"> making a submission will be used by the Ministry only in relation to the matters covered by this document. Please clearly indicate in your submission if you do not wish your name to be included in any summary of submissions that the Ministry may publish.  </w:t>
      </w:r>
    </w:p>
    <w:p w14:paraId="03A0864A" w14:textId="7FC01FDA" w:rsidR="00202231" w:rsidRDefault="00773D95" w:rsidP="00773D95">
      <w:pPr>
        <w:pStyle w:val="BodyText"/>
        <w:rPr>
          <w:rStyle w:val="normaltextrun"/>
          <w:rFonts w:ascii="Georgia" w:hAnsi="Georgia" w:cs="Calibri"/>
          <w:b/>
          <w:bCs/>
          <w:sz w:val="36"/>
          <w:szCs w:val="36"/>
        </w:rPr>
      </w:pPr>
      <w:r w:rsidRPr="0077005D">
        <w:rPr>
          <w:rFonts w:eastAsia="Times New Roman" w:cs="Calibri"/>
        </w:rPr>
        <w:t xml:space="preserve">If you have any questions or want more information about the proposed changes or the submission process, please email </w:t>
      </w:r>
      <w:hyperlink r:id="rId25" w:history="1">
        <w:r w:rsidRPr="002B4E1A">
          <w:rPr>
            <w:rStyle w:val="Hyperlink"/>
            <w:rFonts w:cs="Calibri"/>
          </w:rPr>
          <w:t>highlyproductiveland@mfe.govt.nz</w:t>
        </w:r>
      </w:hyperlink>
      <w:r>
        <w:rPr>
          <w:rStyle w:val="eop"/>
          <w:rFonts w:cs="Calibri"/>
        </w:rPr>
        <w:t>.</w:t>
      </w:r>
      <w:bookmarkEnd w:id="2"/>
    </w:p>
    <w:sectPr w:rsidR="00202231" w:rsidSect="008A7498">
      <w:footerReference w:type="even" r:id="rId26"/>
      <w:footerReference w:type="default" r:id="rId27"/>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BE81E" w14:textId="77777777" w:rsidR="009E1423" w:rsidRDefault="009E1423" w:rsidP="0080531E">
      <w:pPr>
        <w:spacing w:before="0" w:after="0" w:line="240" w:lineRule="auto"/>
      </w:pPr>
      <w:r>
        <w:separator/>
      </w:r>
    </w:p>
    <w:p w14:paraId="65249E30" w14:textId="77777777" w:rsidR="009E1423" w:rsidRDefault="009E1423"/>
  </w:endnote>
  <w:endnote w:type="continuationSeparator" w:id="0">
    <w:p w14:paraId="42EB39FC" w14:textId="77777777" w:rsidR="009E1423" w:rsidRDefault="009E1423" w:rsidP="0080531E">
      <w:pPr>
        <w:spacing w:before="0" w:after="0" w:line="240" w:lineRule="auto"/>
      </w:pPr>
      <w:r>
        <w:continuationSeparator/>
      </w:r>
    </w:p>
    <w:p w14:paraId="551C6066" w14:textId="77777777" w:rsidR="009E1423" w:rsidRDefault="009E1423"/>
  </w:endnote>
  <w:endnote w:type="continuationNotice" w:id="1">
    <w:p w14:paraId="0630AD2A" w14:textId="77777777" w:rsidR="009E1423" w:rsidRDefault="009E142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624D1" w14:textId="77777777" w:rsidR="00E5210B" w:rsidRDefault="009F1D7F" w:rsidP="009F1D7F">
    <w:pPr>
      <w:spacing w:before="0" w:after="0" w:line="240" w:lineRule="auto"/>
      <w:jc w:val="left"/>
    </w:pPr>
    <w:r>
      <w:rPr>
        <w:b/>
        <w:bCs/>
        <w:noProof/>
      </w:rPr>
      <w:drawing>
        <wp:inline distT="0" distB="0" distL="0" distR="0" wp14:anchorId="0E0894C1" wp14:editId="7A3F60E3">
          <wp:extent cx="2239911" cy="538480"/>
          <wp:effectExtent l="0" t="0" r="0" b="0"/>
          <wp:docPr id="16" name="Picture 1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l="3163"/>
                  <a:stretch/>
                </pic:blipFill>
                <pic:spPr bwMode="auto">
                  <a:xfrm>
                    <a:off x="0" y="0"/>
                    <a:ext cx="2319270" cy="55755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B81C7" w14:textId="77777777" w:rsidR="00E5210B" w:rsidRDefault="00E5210B"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4824F" w14:textId="77777777" w:rsidR="00E5210B" w:rsidRDefault="00E5210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4B6C1" w14:textId="15C43CD2" w:rsidR="00E453AB" w:rsidRDefault="00E5210B" w:rsidP="00596FDD">
    <w:pPr>
      <w:pStyle w:val="Footereven"/>
      <w:jc w:val="left"/>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596FDD" w:rsidRPr="00596FDD">
      <w:t>Managing the use and development of highly productive land: Potential amendments to the NPS-HPL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7FB9F" w14:textId="245DF55E" w:rsidR="00E453AB" w:rsidRDefault="00E5210B" w:rsidP="00CD25E1">
    <w:pPr>
      <w:pStyle w:val="Footerodd"/>
    </w:pPr>
    <w:r>
      <w:tab/>
    </w:r>
    <w:r w:rsidR="00596FDD" w:rsidRPr="00596FDD">
      <w:t>Managing the use and development of highly productive land: Potential amendments to the NPS-HPL</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8319A" w14:textId="77777777" w:rsidR="009E1423" w:rsidRDefault="009E1423" w:rsidP="00CB5C5F">
      <w:pPr>
        <w:spacing w:before="0" w:after="80" w:line="240" w:lineRule="auto"/>
      </w:pPr>
      <w:r>
        <w:separator/>
      </w:r>
    </w:p>
  </w:footnote>
  <w:footnote w:type="continuationSeparator" w:id="0">
    <w:p w14:paraId="269649AD" w14:textId="77777777" w:rsidR="009E1423" w:rsidRDefault="009E1423" w:rsidP="0080531E">
      <w:pPr>
        <w:spacing w:before="0" w:after="0" w:line="240" w:lineRule="auto"/>
      </w:pPr>
      <w:r>
        <w:continuationSeparator/>
      </w:r>
    </w:p>
    <w:p w14:paraId="6E954398" w14:textId="77777777" w:rsidR="009E1423" w:rsidRDefault="009E1423"/>
  </w:footnote>
  <w:footnote w:type="continuationNotice" w:id="1">
    <w:p w14:paraId="46B12530" w14:textId="77777777" w:rsidR="009E1423" w:rsidRDefault="009E1423">
      <w:pPr>
        <w:spacing w:before="0" w:after="0" w:line="240" w:lineRule="auto"/>
      </w:pPr>
    </w:p>
  </w:footnote>
  <w:footnote w:id="2">
    <w:p w14:paraId="2514F165" w14:textId="7335B1CD" w:rsidR="00202231" w:rsidRPr="00FD3991" w:rsidRDefault="00202231" w:rsidP="00377A1D">
      <w:pPr>
        <w:spacing w:before="0" w:after="40" w:line="240" w:lineRule="auto"/>
        <w:ind w:left="284" w:hanging="284"/>
        <w:rPr>
          <w:sz w:val="18"/>
        </w:rPr>
      </w:pPr>
      <w:r w:rsidRPr="7C0AF724">
        <w:rPr>
          <w:rStyle w:val="FootnoteReference"/>
        </w:rPr>
        <w:footnoteRef/>
      </w:r>
      <w:r>
        <w:t xml:space="preserve"> </w:t>
      </w:r>
      <w:r w:rsidR="00056246" w:rsidRPr="0072065A">
        <w:rPr>
          <w:sz w:val="19"/>
          <w:lang w:val="de-DE"/>
        </w:rPr>
        <w:tab/>
      </w:r>
      <w:r w:rsidRPr="0072065A">
        <w:rPr>
          <w:sz w:val="19"/>
          <w:lang w:val="de-DE"/>
        </w:rPr>
        <w:t>Land-based primary production means production from agricultural, pastoral, horticultural or forestry activities, that is reliant on the soil resource of the land.</w:t>
      </w:r>
    </w:p>
  </w:footnote>
  <w:footnote w:id="3">
    <w:p w14:paraId="2F7D7CDE" w14:textId="6CA8C7E7" w:rsidR="00202231" w:rsidRDefault="00202231" w:rsidP="00377A1D">
      <w:pPr>
        <w:spacing w:before="0" w:after="40" w:line="240" w:lineRule="auto"/>
        <w:ind w:left="284" w:hanging="284"/>
        <w:rPr>
          <w:rFonts w:eastAsia="Calibri" w:cs="Calibri"/>
          <w:sz w:val="18"/>
          <w:szCs w:val="18"/>
        </w:rPr>
      </w:pPr>
      <w:r w:rsidRPr="70CF6BAD">
        <w:rPr>
          <w:rStyle w:val="FootnoteReference"/>
          <w:rFonts w:eastAsia="Calibri" w:cs="Calibri"/>
          <w:sz w:val="18"/>
          <w:szCs w:val="18"/>
        </w:rPr>
        <w:footnoteRef/>
      </w:r>
      <w:r w:rsidRPr="70CF6BAD">
        <w:rPr>
          <w:rFonts w:eastAsia="Calibri" w:cs="Calibri"/>
          <w:sz w:val="18"/>
          <w:szCs w:val="18"/>
        </w:rPr>
        <w:t xml:space="preserve"> </w:t>
      </w:r>
      <w:r w:rsidR="0072065A">
        <w:rPr>
          <w:rFonts w:eastAsia="Calibri" w:cs="Calibri"/>
          <w:sz w:val="18"/>
          <w:szCs w:val="18"/>
        </w:rPr>
        <w:tab/>
      </w:r>
      <w:r w:rsidRPr="0072065A">
        <w:rPr>
          <w:sz w:val="19"/>
          <w:lang w:val="de-DE"/>
        </w:rPr>
        <w:t>These tests are defined in the National Planning Standards. Functional need is the need for a proposal or activity to traverse, locate or operate in a particular environment because the activity can only occur in that environment. Operational need is the need for a proposal or activity to traverse, locate or operate in a particular environment because of technical, logistical or operational characteristics or constraints.</w:t>
      </w:r>
    </w:p>
  </w:footnote>
  <w:footnote w:id="4">
    <w:p w14:paraId="2319383B" w14:textId="296B39B0" w:rsidR="00202231" w:rsidRPr="00562A65" w:rsidRDefault="00202231" w:rsidP="00562A65">
      <w:pPr>
        <w:pStyle w:val="FootnoteText"/>
        <w:spacing w:after="40" w:line="240" w:lineRule="auto"/>
      </w:pPr>
      <w:r w:rsidRPr="56D0474A">
        <w:rPr>
          <w:rStyle w:val="FootnoteReference"/>
          <w:rFonts w:eastAsia="Calibri" w:cs="Calibri"/>
          <w:sz w:val="18"/>
          <w:szCs w:val="18"/>
        </w:rPr>
        <w:footnoteRef/>
      </w:r>
      <w:r w:rsidRPr="00FD3991">
        <w:rPr>
          <w:sz w:val="18"/>
        </w:rPr>
        <w:t xml:space="preserve"> </w:t>
      </w:r>
      <w:r w:rsidR="00562A65">
        <w:rPr>
          <w:sz w:val="18"/>
        </w:rPr>
        <w:tab/>
      </w:r>
      <w:r w:rsidRPr="00562A65">
        <w:t xml:space="preserve">Specified infrastructure means any of the following: </w:t>
      </w:r>
    </w:p>
    <w:p w14:paraId="198F07B4" w14:textId="77777777" w:rsidR="00202231" w:rsidRPr="00562A65" w:rsidRDefault="00202231" w:rsidP="00562A65">
      <w:pPr>
        <w:pStyle w:val="FootnoteText"/>
        <w:numPr>
          <w:ilvl w:val="0"/>
          <w:numId w:val="40"/>
        </w:numPr>
        <w:spacing w:after="40" w:line="240" w:lineRule="auto"/>
        <w:ind w:left="568" w:hanging="284"/>
      </w:pPr>
      <w:r w:rsidRPr="00562A65">
        <w:t>infrastructure that delivers a service operated by a lifeline utility</w:t>
      </w:r>
    </w:p>
    <w:p w14:paraId="1F2736D2" w14:textId="77777777" w:rsidR="00202231" w:rsidRPr="00562A65" w:rsidRDefault="00202231" w:rsidP="00562A65">
      <w:pPr>
        <w:pStyle w:val="FootnoteText"/>
        <w:numPr>
          <w:ilvl w:val="0"/>
          <w:numId w:val="40"/>
        </w:numPr>
        <w:spacing w:after="40" w:line="240" w:lineRule="auto"/>
        <w:ind w:left="568" w:hanging="284"/>
      </w:pPr>
      <w:r w:rsidRPr="00562A65">
        <w:t>infrastructure that is recognised as regionally or nationally significant in a National Policy Statement, New Zealand Coastal Policy Statement, regional policy statement or regional plan</w:t>
      </w:r>
    </w:p>
    <w:p w14:paraId="3E6ED322" w14:textId="77777777" w:rsidR="00202231" w:rsidRPr="00562A65" w:rsidRDefault="00202231" w:rsidP="00562A65">
      <w:pPr>
        <w:pStyle w:val="FootnoteText"/>
        <w:numPr>
          <w:ilvl w:val="0"/>
          <w:numId w:val="40"/>
        </w:numPr>
        <w:spacing w:after="40" w:line="240" w:lineRule="auto"/>
        <w:ind w:left="568" w:hanging="284"/>
      </w:pPr>
      <w:r w:rsidRPr="00562A65">
        <w:t xml:space="preserve">any public flood control, flood protection, or drainage works carried out: </w:t>
      </w:r>
    </w:p>
    <w:p w14:paraId="3CA685B6" w14:textId="77777777" w:rsidR="00202231" w:rsidRPr="00562A65" w:rsidRDefault="00202231" w:rsidP="00562A65">
      <w:pPr>
        <w:pStyle w:val="FootnoteText"/>
        <w:numPr>
          <w:ilvl w:val="1"/>
          <w:numId w:val="41"/>
        </w:numPr>
        <w:spacing w:after="40" w:line="240" w:lineRule="auto"/>
        <w:ind w:left="964" w:hanging="284"/>
      </w:pPr>
      <w:r w:rsidRPr="00562A65">
        <w:t xml:space="preserve">by or on behalf of a local authority, including works carried out for the purposes set out in section 133 of the Soil Conservation and Rivers Control Act 1941; or </w:t>
      </w:r>
    </w:p>
    <w:p w14:paraId="5B646019" w14:textId="77777777" w:rsidR="00202231" w:rsidRPr="00FD3991" w:rsidRDefault="00202231" w:rsidP="00562A65">
      <w:pPr>
        <w:pStyle w:val="FootnoteText"/>
        <w:numPr>
          <w:ilvl w:val="0"/>
          <w:numId w:val="41"/>
        </w:numPr>
        <w:spacing w:after="40" w:line="240" w:lineRule="auto"/>
        <w:ind w:left="964" w:hanging="284"/>
        <w:rPr>
          <w:sz w:val="18"/>
        </w:rPr>
      </w:pPr>
      <w:r w:rsidRPr="00562A65">
        <w:t>for the purpose of drainage, by drainage districts under the Land Drainage Act 1908</w:t>
      </w:r>
      <w:r w:rsidRPr="00FD3991">
        <w:rPr>
          <w:sz w:val="18"/>
        </w:rPr>
        <w:t xml:space="preserve"> </w:t>
      </w:r>
    </w:p>
  </w:footnote>
  <w:footnote w:id="5">
    <w:p w14:paraId="34C775C6" w14:textId="0E91A82F" w:rsidR="00202231" w:rsidRPr="00DA0787" w:rsidRDefault="00202231" w:rsidP="00562A65">
      <w:pPr>
        <w:pStyle w:val="FootnoteText"/>
        <w:rPr>
          <w:i/>
          <w:color w:val="FF0000"/>
        </w:rPr>
      </w:pPr>
      <w:r w:rsidRPr="00936060">
        <w:rPr>
          <w:rStyle w:val="FootnoteReference"/>
          <w:rFonts w:eastAsia="Calibri" w:cs="Calibri"/>
          <w:sz w:val="18"/>
          <w:szCs w:val="18"/>
        </w:rPr>
        <w:footnoteRef/>
      </w:r>
      <w:r w:rsidRPr="00FD3991">
        <w:rPr>
          <w:sz w:val="18"/>
        </w:rPr>
        <w:t xml:space="preserve"> </w:t>
      </w:r>
      <w:r w:rsidR="00562A65">
        <w:rPr>
          <w:sz w:val="18"/>
        </w:rPr>
        <w:tab/>
      </w:r>
      <w:r w:rsidRPr="00562A65">
        <w:t>Intensive indoor primary production is defined as primary production activities that principally occur within buildings and involve growing fungi, or keeping or rearing poultry or livestock (excluding calf-rearing for a specified time period) (see National Planning Standards</w:t>
      </w:r>
      <w:proofErr w:type="gramStart"/>
      <w:r w:rsidRPr="00562A65">
        <w:t>).‘</w:t>
      </w:r>
      <w:proofErr w:type="gramEnd"/>
      <w:r w:rsidRPr="00562A65">
        <w:t>Greenhouses’ is a broad term that is used to refer to structures erected to house cropping systems and for indoor growing. They include glasshouses, plastic houses, shade houses and tunnel houses. The use of a greenhouse is a rural activity but does not typically require the use of soil.</w:t>
      </w:r>
    </w:p>
  </w:footnote>
  <w:footnote w:id="6">
    <w:p w14:paraId="30834576" w14:textId="687D96A7" w:rsidR="00202231" w:rsidRDefault="00202231" w:rsidP="005F7A1B">
      <w:pPr>
        <w:pStyle w:val="FootnoteText"/>
        <w:spacing w:after="40" w:line="240" w:lineRule="auto"/>
        <w:rPr>
          <w:rFonts w:eastAsia="Calibri" w:cs="Calibri"/>
        </w:rPr>
      </w:pPr>
      <w:r w:rsidRPr="00AA1638">
        <w:rPr>
          <w:rStyle w:val="FootnoteReference"/>
          <w:rFonts w:eastAsia="Calibri" w:cs="Calibri"/>
          <w:sz w:val="18"/>
          <w:szCs w:val="18"/>
        </w:rPr>
        <w:footnoteRef/>
      </w:r>
      <w:r w:rsidRPr="1819037A">
        <w:rPr>
          <w:rFonts w:eastAsia="Calibri" w:cs="Calibri"/>
        </w:rPr>
        <w:t xml:space="preserve"> </w:t>
      </w:r>
      <w:r w:rsidR="005F7A1B">
        <w:rPr>
          <w:rFonts w:eastAsia="Calibri" w:cs="Calibri"/>
        </w:rPr>
        <w:tab/>
      </w:r>
      <w:r>
        <w:rPr>
          <w:rFonts w:eastAsia="Calibri" w:cs="Calibri"/>
        </w:rPr>
        <w:t xml:space="preserve">Ministry for the Environment. 2022. </w:t>
      </w:r>
      <w:hyperlink r:id="rId1" w:history="1">
        <w:r w:rsidRPr="00B62E41">
          <w:rPr>
            <w:rStyle w:val="Hyperlink"/>
            <w:i/>
          </w:rPr>
          <w:t>National Policy Statement for Highly Productive Land: Evaluation under section 32 of the Resource Management Act</w:t>
        </w:r>
      </w:hyperlink>
      <w:r w:rsidRPr="1819037A">
        <w:rPr>
          <w:rFonts w:eastAsia="Calibri" w:cs="Calibri"/>
        </w:rPr>
        <w:t>.</w:t>
      </w:r>
      <w:r>
        <w:rPr>
          <w:rFonts w:eastAsia="Calibri" w:cs="Calibri"/>
        </w:rPr>
        <w:t xml:space="preserve"> Wellington: Ministry for the Environment</w:t>
      </w:r>
      <w:r w:rsidR="005F7A1B">
        <w:rPr>
          <w:rFonts w:eastAsia="Calibri" w:cs="Calibri"/>
        </w:rPr>
        <w:t>.</w:t>
      </w:r>
    </w:p>
  </w:footnote>
  <w:footnote w:id="7">
    <w:p w14:paraId="370C95BC" w14:textId="480A7E64" w:rsidR="00202231" w:rsidRPr="00FD3991" w:rsidRDefault="00202231" w:rsidP="005F7A1B">
      <w:pPr>
        <w:pStyle w:val="FootnoteText"/>
        <w:rPr>
          <w:sz w:val="18"/>
        </w:rPr>
      </w:pPr>
      <w:r>
        <w:rPr>
          <w:rStyle w:val="FootnoteReference"/>
        </w:rPr>
        <w:footnoteRef/>
      </w:r>
      <w:r>
        <w:rPr>
          <w:rFonts w:eastAsia="Calibri"/>
        </w:rPr>
        <w:t xml:space="preserve"> </w:t>
      </w:r>
      <w:r w:rsidR="005F7A1B">
        <w:rPr>
          <w:rFonts w:eastAsia="Calibri"/>
        </w:rPr>
        <w:tab/>
      </w:r>
      <w:r>
        <w:rPr>
          <w:rFonts w:eastAsia="Calibri"/>
        </w:rPr>
        <w:t xml:space="preserve">Ministry for the Environment. 2023. </w:t>
      </w:r>
      <w:hyperlink r:id="rId2" w:history="1">
        <w:r w:rsidRPr="00B62E41">
          <w:rPr>
            <w:rStyle w:val="Hyperlink"/>
            <w:i/>
            <w:iCs/>
            <w:sz w:val="18"/>
          </w:rPr>
          <w:t>National Policy Statement for Freshwater Management</w:t>
        </w:r>
      </w:hyperlink>
      <w:r>
        <w:rPr>
          <w:sz w:val="18"/>
        </w:rPr>
        <w:t>. Wellington: Ministry for the Environment.</w:t>
      </w:r>
      <w:r w:rsidRPr="00FD3991">
        <w:rPr>
          <w:sz w:val="18"/>
        </w:rPr>
        <w:t xml:space="preserve"> </w:t>
      </w:r>
      <w:r>
        <w:rPr>
          <w:sz w:val="18"/>
        </w:rPr>
        <w:t>A</w:t>
      </w:r>
      <w:r w:rsidRPr="00FD3991">
        <w:rPr>
          <w:sz w:val="18"/>
        </w:rPr>
        <w:t xml:space="preserve">nd </w:t>
      </w:r>
      <w:r>
        <w:rPr>
          <w:rFonts w:eastAsia="Calibri"/>
        </w:rPr>
        <w:t xml:space="preserve">Ministry for the Environment. 2023. </w:t>
      </w:r>
      <w:hyperlink r:id="rId3" w:history="1">
        <w:r w:rsidRPr="007E70B2">
          <w:rPr>
            <w:rStyle w:val="Hyperlink"/>
            <w:i/>
            <w:iCs/>
            <w:sz w:val="18"/>
          </w:rPr>
          <w:t>National Policy Statement for Indigenous Biodiversity</w:t>
        </w:r>
      </w:hyperlink>
      <w:r>
        <w:rPr>
          <w:sz w:val="18"/>
        </w:rPr>
        <w:t>. Wellington: Ministry for the Environment.</w:t>
      </w:r>
    </w:p>
  </w:footnote>
  <w:footnote w:id="8">
    <w:p w14:paraId="78D92D47" w14:textId="35097CEE" w:rsidR="00202231" w:rsidRPr="004A1397" w:rsidRDefault="00202231" w:rsidP="005F7A1B">
      <w:pPr>
        <w:pStyle w:val="FootnoteText"/>
        <w:spacing w:after="0" w:line="240" w:lineRule="auto"/>
        <w:rPr>
          <w:rFonts w:eastAsia="Calibri" w:cs="Calibri"/>
        </w:rPr>
      </w:pPr>
      <w:r w:rsidRPr="00FD3991">
        <w:rPr>
          <w:sz w:val="18"/>
          <w:vertAlign w:val="superscript"/>
        </w:rPr>
        <w:t>7</w:t>
      </w:r>
      <w:r w:rsidRPr="00FD3991">
        <w:rPr>
          <w:sz w:val="18"/>
        </w:rPr>
        <w:t xml:space="preserve"> </w:t>
      </w:r>
      <w:r w:rsidR="005F7A1B">
        <w:rPr>
          <w:sz w:val="18"/>
        </w:rPr>
        <w:tab/>
      </w:r>
      <w:r w:rsidRPr="00FD3991">
        <w:rPr>
          <w:sz w:val="18"/>
        </w:rPr>
        <w:t>Ministry of Business, Innovation &amp; Employment</w:t>
      </w:r>
      <w:r>
        <w:rPr>
          <w:sz w:val="18"/>
        </w:rPr>
        <w:t>.</w:t>
      </w:r>
      <w:r>
        <w:rPr>
          <w:i/>
          <w:iCs/>
          <w:sz w:val="18"/>
        </w:rPr>
        <w:t xml:space="preserve"> </w:t>
      </w:r>
      <w:hyperlink r:id="rId4" w:history="1">
        <w:r w:rsidRPr="00B62E41">
          <w:rPr>
            <w:rStyle w:val="Hyperlink"/>
            <w:i/>
          </w:rPr>
          <w:t>Consenting improvements for renewable electricity generation and transmission</w:t>
        </w:r>
      </w:hyperlink>
      <w:r w:rsidRPr="00B62E41">
        <w:rPr>
          <w:sz w:val="18"/>
        </w:rPr>
        <w:t>.</w:t>
      </w:r>
      <w:r>
        <w:rPr>
          <w:sz w:val="18"/>
        </w:rPr>
        <w:t xml:space="preserve"> Retrieved 29 August 2023.</w:t>
      </w:r>
    </w:p>
  </w:footnote>
  <w:footnote w:id="9">
    <w:p w14:paraId="3EAAF0C8" w14:textId="1B9E081B" w:rsidR="00202231" w:rsidRPr="00D53F11" w:rsidRDefault="00202231" w:rsidP="0013604E">
      <w:pPr>
        <w:pStyle w:val="FootnoteText"/>
        <w:rPr>
          <w:sz w:val="18"/>
          <w:szCs w:val="18"/>
        </w:rPr>
      </w:pPr>
      <w:r w:rsidRPr="00D53F11">
        <w:rPr>
          <w:rStyle w:val="FootnoteReference"/>
          <w:sz w:val="18"/>
          <w:szCs w:val="18"/>
        </w:rPr>
        <w:footnoteRef/>
      </w:r>
      <w:r w:rsidRPr="00D53F11">
        <w:rPr>
          <w:sz w:val="18"/>
          <w:szCs w:val="18"/>
        </w:rPr>
        <w:t xml:space="preserve"> </w:t>
      </w:r>
      <w:r w:rsidR="0013604E">
        <w:rPr>
          <w:sz w:val="18"/>
          <w:szCs w:val="18"/>
        </w:rPr>
        <w:tab/>
      </w:r>
      <w:r w:rsidRPr="00D53F11">
        <w:rPr>
          <w:sz w:val="18"/>
          <w:szCs w:val="18"/>
        </w:rPr>
        <w:t>Ministry for the Environment and Ministry for Primary Industries</w:t>
      </w:r>
      <w:r>
        <w:rPr>
          <w:sz w:val="18"/>
          <w:szCs w:val="18"/>
        </w:rPr>
        <w:t xml:space="preserve">. 2023. </w:t>
      </w:r>
      <w:hyperlink r:id="rId5" w:history="1">
        <w:r w:rsidRPr="00674D52">
          <w:rPr>
            <w:rStyle w:val="Hyperlink"/>
            <w:i/>
            <w:iCs/>
            <w:sz w:val="18"/>
            <w:szCs w:val="18"/>
          </w:rPr>
          <w:t xml:space="preserve">Interim </w:t>
        </w:r>
        <w:r w:rsidR="00012EB7">
          <w:rPr>
            <w:rStyle w:val="Hyperlink"/>
            <w:i/>
            <w:iCs/>
            <w:sz w:val="18"/>
            <w:szCs w:val="18"/>
          </w:rPr>
          <w:t>r</w:t>
        </w:r>
        <w:r w:rsidRPr="00674D52">
          <w:rPr>
            <w:rStyle w:val="Hyperlink"/>
            <w:i/>
            <w:iCs/>
            <w:sz w:val="18"/>
            <w:szCs w:val="18"/>
          </w:rPr>
          <w:t xml:space="preserve">egulatory </w:t>
        </w:r>
        <w:r w:rsidR="00012EB7">
          <w:rPr>
            <w:rStyle w:val="Hyperlink"/>
            <w:i/>
            <w:iCs/>
            <w:sz w:val="18"/>
            <w:szCs w:val="18"/>
          </w:rPr>
          <w:t>i</w:t>
        </w:r>
        <w:r w:rsidRPr="00674D52">
          <w:rPr>
            <w:rStyle w:val="Hyperlink"/>
            <w:i/>
            <w:iCs/>
            <w:sz w:val="18"/>
            <w:szCs w:val="18"/>
          </w:rPr>
          <w:t xml:space="preserve">mpact </w:t>
        </w:r>
        <w:r w:rsidR="00012EB7">
          <w:rPr>
            <w:rStyle w:val="Hyperlink"/>
            <w:i/>
            <w:iCs/>
            <w:sz w:val="18"/>
            <w:szCs w:val="18"/>
          </w:rPr>
          <w:t>s</w:t>
        </w:r>
        <w:r w:rsidRPr="00674D52">
          <w:rPr>
            <w:rStyle w:val="Hyperlink"/>
            <w:i/>
            <w:iCs/>
            <w:sz w:val="18"/>
            <w:szCs w:val="18"/>
          </w:rPr>
          <w:t>tatement: Potential amendments to the National Policy Statement for Highly Productive Land</w:t>
        </w:r>
      </w:hyperlink>
      <w:r>
        <w:rPr>
          <w:sz w:val="18"/>
          <w:szCs w:val="18"/>
        </w:rPr>
        <w:t>.</w:t>
      </w:r>
      <w:r w:rsidRPr="00D53F11">
        <w:rPr>
          <w:sz w:val="18"/>
          <w:szCs w:val="18"/>
        </w:rPr>
        <w:t xml:space="preserve"> </w:t>
      </w:r>
      <w:r>
        <w:rPr>
          <w:sz w:val="18"/>
          <w:szCs w:val="18"/>
        </w:rPr>
        <w:t>Wellington: Ministry for the Environment, p 32.</w:t>
      </w:r>
      <w:r w:rsidRPr="00D53F11">
        <w:rPr>
          <w:sz w:val="18"/>
          <w:szCs w:val="18"/>
        </w:rPr>
        <w:t xml:space="preserve"> </w:t>
      </w:r>
    </w:p>
  </w:footnote>
  <w:footnote w:id="10">
    <w:p w14:paraId="1CB01D27" w14:textId="54F436E6" w:rsidR="00202231" w:rsidRPr="00B664BB" w:rsidRDefault="00202231" w:rsidP="004A766D">
      <w:pPr>
        <w:spacing w:before="0" w:after="60" w:line="240" w:lineRule="atLeast"/>
        <w:ind w:left="284" w:hanging="284"/>
        <w:rPr>
          <w:rFonts w:eastAsia="Calibri" w:cs="Calibri"/>
          <w:sz w:val="18"/>
          <w:szCs w:val="18"/>
        </w:rPr>
      </w:pPr>
      <w:r w:rsidRPr="7FEDF33A">
        <w:rPr>
          <w:rStyle w:val="FootnoteReference"/>
          <w:rFonts w:eastAsia="Calibri" w:cs="Calibri"/>
          <w:sz w:val="18"/>
          <w:szCs w:val="18"/>
        </w:rPr>
        <w:footnoteRef/>
      </w:r>
      <w:r w:rsidRPr="7FEDF33A">
        <w:rPr>
          <w:rFonts w:eastAsia="Calibri" w:cs="Calibri"/>
          <w:sz w:val="18"/>
          <w:szCs w:val="18"/>
        </w:rPr>
        <w:t xml:space="preserve"> </w:t>
      </w:r>
      <w:r w:rsidR="004A766D">
        <w:rPr>
          <w:rFonts w:eastAsia="Calibri" w:cs="Calibri"/>
          <w:sz w:val="18"/>
          <w:szCs w:val="18"/>
        </w:rPr>
        <w:tab/>
      </w:r>
      <w:r w:rsidRPr="00B664BB">
        <w:rPr>
          <w:rFonts w:eastAsia="Calibri" w:cs="Calibri"/>
          <w:sz w:val="18"/>
          <w:szCs w:val="18"/>
        </w:rPr>
        <w:t>Primary production in the National Planning Standards means:</w:t>
      </w:r>
    </w:p>
    <w:p w14:paraId="2B5B328B" w14:textId="77777777" w:rsidR="00202231" w:rsidRPr="00B664BB" w:rsidRDefault="00202231" w:rsidP="004A766D">
      <w:pPr>
        <w:spacing w:before="0" w:after="60" w:line="240" w:lineRule="atLeast"/>
        <w:ind w:left="397"/>
        <w:rPr>
          <w:rFonts w:eastAsia="Calibri" w:cs="Calibri"/>
          <w:sz w:val="18"/>
          <w:szCs w:val="18"/>
        </w:rPr>
      </w:pPr>
      <w:r w:rsidRPr="00B664BB">
        <w:rPr>
          <w:rFonts w:eastAsia="Calibri" w:cs="Calibri"/>
          <w:sz w:val="18"/>
          <w:szCs w:val="18"/>
        </w:rPr>
        <w:t xml:space="preserve">(a) any aquaculture, agricultural, pastoral, horticultural, mining, quarrying or forestry activities; and </w:t>
      </w:r>
    </w:p>
    <w:p w14:paraId="64AEBC03" w14:textId="77777777" w:rsidR="00202231" w:rsidRPr="00B664BB" w:rsidRDefault="00202231" w:rsidP="004A766D">
      <w:pPr>
        <w:spacing w:before="0" w:after="60" w:line="240" w:lineRule="atLeast"/>
        <w:ind w:left="397"/>
        <w:rPr>
          <w:rFonts w:eastAsia="Calibri" w:cs="Calibri"/>
          <w:sz w:val="18"/>
          <w:szCs w:val="18"/>
        </w:rPr>
      </w:pPr>
      <w:r w:rsidRPr="00B664BB">
        <w:rPr>
          <w:rFonts w:eastAsia="Calibri" w:cs="Calibri"/>
          <w:sz w:val="18"/>
          <w:szCs w:val="18"/>
        </w:rPr>
        <w:t>(b) includes initial processing, as an ancillary activity, of commodities that result from the listed activities in a</w:t>
      </w:r>
      <w:proofErr w:type="gramStart"/>
      <w:r w:rsidRPr="00B664BB">
        <w:rPr>
          <w:rFonts w:eastAsia="Calibri" w:cs="Calibri"/>
          <w:sz w:val="18"/>
          <w:szCs w:val="18"/>
        </w:rPr>
        <w:t>);</w:t>
      </w:r>
      <w:proofErr w:type="gramEnd"/>
    </w:p>
    <w:p w14:paraId="1E6F9DCD" w14:textId="77777777" w:rsidR="00202231" w:rsidRPr="00B664BB" w:rsidRDefault="00202231" w:rsidP="004A766D">
      <w:pPr>
        <w:spacing w:before="0" w:after="60" w:line="240" w:lineRule="atLeast"/>
        <w:ind w:left="397"/>
        <w:rPr>
          <w:rFonts w:eastAsia="Calibri" w:cs="Calibri"/>
          <w:sz w:val="18"/>
          <w:szCs w:val="18"/>
        </w:rPr>
      </w:pPr>
      <w:r w:rsidRPr="00B664BB">
        <w:rPr>
          <w:rFonts w:eastAsia="Calibri" w:cs="Calibri"/>
          <w:sz w:val="18"/>
          <w:szCs w:val="18"/>
        </w:rPr>
        <w:t xml:space="preserve">(c) includes any land and buildings used </w:t>
      </w:r>
      <w:proofErr w:type="gramStart"/>
      <w:r w:rsidRPr="00B664BB">
        <w:rPr>
          <w:rFonts w:eastAsia="Calibri" w:cs="Calibri"/>
          <w:sz w:val="18"/>
          <w:szCs w:val="18"/>
        </w:rPr>
        <w:t>for the production of</w:t>
      </w:r>
      <w:proofErr w:type="gramEnd"/>
      <w:r w:rsidRPr="00B664BB">
        <w:rPr>
          <w:rFonts w:eastAsia="Calibri" w:cs="Calibri"/>
          <w:sz w:val="18"/>
          <w:szCs w:val="18"/>
        </w:rPr>
        <w:t xml:space="preserve"> the commodities from a) and used for the initial processing of the commodities in b); but</w:t>
      </w:r>
    </w:p>
    <w:p w14:paraId="3B058BBA" w14:textId="77777777" w:rsidR="00202231" w:rsidRPr="00FD3991" w:rsidRDefault="00202231" w:rsidP="004A766D">
      <w:pPr>
        <w:pStyle w:val="FootnoteText"/>
        <w:ind w:left="397" w:firstLine="0"/>
        <w:rPr>
          <w:sz w:val="18"/>
        </w:rPr>
      </w:pPr>
      <w:r w:rsidRPr="00FD3991">
        <w:rPr>
          <w:sz w:val="18"/>
        </w:rPr>
        <w:t xml:space="preserve">(d) excludes further processing of those commodities into a different product. </w:t>
      </w:r>
    </w:p>
  </w:footnote>
  <w:footnote w:id="11">
    <w:p w14:paraId="5ECE38A2" w14:textId="093BC4A9" w:rsidR="00202231" w:rsidRDefault="00202231" w:rsidP="004A766D">
      <w:pPr>
        <w:pStyle w:val="FootnoteText"/>
        <w:rPr>
          <w:i/>
          <w:iCs/>
          <w:sz w:val="18"/>
          <w:szCs w:val="18"/>
        </w:rPr>
      </w:pPr>
      <w:r w:rsidRPr="196EE8F0">
        <w:rPr>
          <w:rStyle w:val="FootnoteReference"/>
          <w:rFonts w:eastAsia="Calibri" w:cs="Calibri"/>
          <w:sz w:val="18"/>
          <w:szCs w:val="18"/>
        </w:rPr>
        <w:footnoteRef/>
      </w:r>
      <w:r w:rsidRPr="196EE8F0">
        <w:rPr>
          <w:sz w:val="18"/>
          <w:szCs w:val="18"/>
        </w:rPr>
        <w:t xml:space="preserve"> </w:t>
      </w:r>
      <w:r w:rsidR="004A766D">
        <w:rPr>
          <w:sz w:val="18"/>
          <w:szCs w:val="18"/>
        </w:rPr>
        <w:tab/>
      </w:r>
      <w:r w:rsidRPr="196EE8F0">
        <w:rPr>
          <w:sz w:val="18"/>
          <w:szCs w:val="18"/>
        </w:rPr>
        <w:t xml:space="preserve">Primary industry stakeholders have raised that </w:t>
      </w:r>
      <w:r w:rsidRPr="65AB5259">
        <w:rPr>
          <w:sz w:val="18"/>
          <w:szCs w:val="18"/>
        </w:rPr>
        <w:t>the</w:t>
      </w:r>
      <w:r w:rsidRPr="196EE8F0">
        <w:rPr>
          <w:sz w:val="18"/>
          <w:szCs w:val="18"/>
        </w:rPr>
        <w:t xml:space="preserve"> definition of intensive indoor primary production in the National Planning Standards excludes greenhouses, thus, the matter is included as separate potential amendment.</w:t>
      </w:r>
    </w:p>
  </w:footnote>
  <w:footnote w:id="12">
    <w:p w14:paraId="285F856E" w14:textId="497ADB4C" w:rsidR="00202231" w:rsidRPr="004A1397" w:rsidRDefault="00202231" w:rsidP="004A766D">
      <w:pPr>
        <w:spacing w:before="0" w:after="60" w:line="240" w:lineRule="auto"/>
        <w:ind w:left="284" w:hanging="284"/>
        <w:rPr>
          <w:rFonts w:asciiTheme="minorHAnsi" w:eastAsia="Segoe UI" w:hAnsiTheme="minorHAnsi" w:cstheme="minorHAnsi"/>
          <w:sz w:val="18"/>
          <w:szCs w:val="18"/>
        </w:rPr>
      </w:pPr>
      <w:r w:rsidRPr="003C5639">
        <w:rPr>
          <w:rStyle w:val="FootnoteReference"/>
          <w:rFonts w:asciiTheme="minorHAnsi" w:hAnsiTheme="minorHAnsi" w:cstheme="minorHAnsi"/>
          <w:sz w:val="18"/>
          <w:szCs w:val="18"/>
        </w:rPr>
        <w:footnoteRef/>
      </w:r>
      <w:r w:rsidRPr="003C5639">
        <w:rPr>
          <w:rFonts w:asciiTheme="minorHAnsi" w:hAnsiTheme="minorHAnsi" w:cstheme="minorHAnsi"/>
          <w:sz w:val="18"/>
          <w:szCs w:val="18"/>
        </w:rPr>
        <w:t xml:space="preserve"> </w:t>
      </w:r>
      <w:r w:rsidR="004A766D">
        <w:rPr>
          <w:rFonts w:asciiTheme="minorHAnsi" w:hAnsiTheme="minorHAnsi" w:cstheme="minorHAnsi"/>
          <w:sz w:val="18"/>
          <w:szCs w:val="18"/>
        </w:rPr>
        <w:tab/>
      </w:r>
      <w:r w:rsidRPr="003C5639">
        <w:rPr>
          <w:rFonts w:asciiTheme="minorHAnsi" w:eastAsia="Segoe UI" w:hAnsiTheme="minorHAnsi" w:cstheme="minorHAnsi"/>
          <w:sz w:val="18"/>
          <w:szCs w:val="18"/>
        </w:rPr>
        <w:t>Reverse sensitivity is when a lawfully established existing activity risks receiving complaints from occupants of a new activity because of its proximity. For example, occupants of a new urban development may raise complaints about noise, dust, or smell from existing farming operations. This could result in economic and operational limitations on the farming operation.</w:t>
      </w:r>
    </w:p>
  </w:footnote>
  <w:footnote w:id="13">
    <w:p w14:paraId="738E99FC" w14:textId="41410255" w:rsidR="00202231" w:rsidRPr="00FD3991" w:rsidRDefault="00202231" w:rsidP="00BB6BB0">
      <w:pPr>
        <w:pStyle w:val="FootnoteText"/>
        <w:spacing w:line="240" w:lineRule="auto"/>
        <w:rPr>
          <w:sz w:val="18"/>
        </w:rPr>
      </w:pPr>
      <w:r w:rsidRPr="0463DE0B">
        <w:rPr>
          <w:rStyle w:val="FootnoteReference"/>
        </w:rPr>
        <w:footnoteRef/>
      </w:r>
      <w:r>
        <w:t xml:space="preserve"> </w:t>
      </w:r>
      <w:r w:rsidR="00BB6BB0">
        <w:tab/>
      </w:r>
      <w:r w:rsidRPr="00FD3991">
        <w:rPr>
          <w:sz w:val="18"/>
        </w:rPr>
        <w:t xml:space="preserve">Operations are expected to manage biosecurity risks by ensuring separation between activities, this could be through proper disposal of effluent and ensuring this does not impact surrounding farms. </w:t>
      </w:r>
    </w:p>
  </w:footnote>
  <w:footnote w:id="14">
    <w:p w14:paraId="40B64E42" w14:textId="7603421B" w:rsidR="00202231" w:rsidRPr="00FD3991" w:rsidRDefault="00202231" w:rsidP="00BB6BB0">
      <w:pPr>
        <w:pStyle w:val="FootnoteText"/>
        <w:spacing w:line="240" w:lineRule="auto"/>
        <w:rPr>
          <w:sz w:val="18"/>
        </w:rPr>
      </w:pPr>
      <w:r w:rsidRPr="00936060">
        <w:rPr>
          <w:rStyle w:val="FootnoteReference"/>
          <w:rFonts w:eastAsia="Calibri" w:cs="Calibri"/>
          <w:sz w:val="18"/>
          <w:szCs w:val="18"/>
        </w:rPr>
        <w:footnoteRef/>
      </w:r>
      <w:r w:rsidRPr="00FD3991">
        <w:t xml:space="preserve"> </w:t>
      </w:r>
      <w:r w:rsidR="00BB6BB0">
        <w:tab/>
      </w:r>
      <w:r w:rsidRPr="00FD3991">
        <w:rPr>
          <w:sz w:val="18"/>
        </w:rPr>
        <w:t>T</w:t>
      </w:r>
      <w:r w:rsidRPr="00FD3991">
        <w:rPr>
          <w:color w:val="000000" w:themeColor="text1"/>
          <w:sz w:val="18"/>
        </w:rPr>
        <w:t>he high nitrogen concentration in pig effluent means that ample land is needed to spread effluent. This depends on the size of the pig farm, its composition (breeding versus fattening), the farm’s effluent treatment system, and the regional council rules for maximum nitrogen loading per year.</w:t>
      </w:r>
    </w:p>
  </w:footnote>
  <w:footnote w:id="15">
    <w:p w14:paraId="2CE5219B" w14:textId="66684E2C" w:rsidR="00202231" w:rsidRPr="00F877F0" w:rsidRDefault="00202231" w:rsidP="00BB6BB0">
      <w:pPr>
        <w:pStyle w:val="FootnoteText"/>
        <w:spacing w:line="240" w:lineRule="auto"/>
        <w:rPr>
          <w:color w:val="000000" w:themeColor="text1"/>
        </w:rPr>
      </w:pPr>
      <w:r w:rsidRPr="00F877F0">
        <w:rPr>
          <w:rStyle w:val="FootnoteReference"/>
          <w:rFonts w:eastAsia="Calibri" w:cs="Calibri"/>
          <w:color w:val="000000" w:themeColor="text1"/>
          <w:sz w:val="18"/>
          <w:szCs w:val="18"/>
        </w:rPr>
        <w:footnoteRef/>
      </w:r>
      <w:r w:rsidRPr="00FD3991">
        <w:rPr>
          <w:color w:val="000000" w:themeColor="text1"/>
          <w:sz w:val="18"/>
        </w:rPr>
        <w:t xml:space="preserve"> </w:t>
      </w:r>
      <w:r w:rsidR="00BB6BB0">
        <w:rPr>
          <w:color w:val="000000" w:themeColor="text1"/>
          <w:sz w:val="18"/>
        </w:rPr>
        <w:tab/>
      </w:r>
      <w:r>
        <w:rPr>
          <w:color w:val="000000" w:themeColor="text1"/>
          <w:sz w:val="18"/>
        </w:rPr>
        <w:t xml:space="preserve">Ministry for Primary Industries. 2022. </w:t>
      </w:r>
      <w:hyperlink r:id="rId6" w:history="1">
        <w:r w:rsidRPr="00A83F21">
          <w:rPr>
            <w:rStyle w:val="Hyperlink"/>
            <w:i/>
            <w:iCs/>
            <w:sz w:val="18"/>
          </w:rPr>
          <w:t>Situation and Outlook for Primary Industries (SOPI) December 2022</w:t>
        </w:r>
      </w:hyperlink>
      <w:r w:rsidRPr="00A83F21">
        <w:t>.</w:t>
      </w:r>
      <w:r>
        <w:rPr>
          <w:rStyle w:val="Hyperlink"/>
          <w:color w:val="000000" w:themeColor="text1"/>
          <w:sz w:val="18"/>
        </w:rPr>
        <w:t xml:space="preserve"> Wellington: </w:t>
      </w:r>
      <w:r>
        <w:rPr>
          <w:color w:val="000000" w:themeColor="text1"/>
          <w:sz w:val="18"/>
        </w:rPr>
        <w:t>Ministry for Primary Industries.</w:t>
      </w:r>
    </w:p>
  </w:footnote>
  <w:footnote w:id="16">
    <w:p w14:paraId="6D46F2CD" w14:textId="4A8BD755" w:rsidR="00202231" w:rsidRDefault="00202231" w:rsidP="00BB6BB0">
      <w:pPr>
        <w:pStyle w:val="FootnoteText"/>
      </w:pPr>
      <w:r w:rsidRPr="00A564CD">
        <w:rPr>
          <w:rStyle w:val="FootnoteReference"/>
          <w:sz w:val="18"/>
          <w:szCs w:val="18"/>
        </w:rPr>
        <w:footnoteRef/>
      </w:r>
      <w:r>
        <w:t xml:space="preserve"> </w:t>
      </w:r>
      <w:r w:rsidR="00BB6BB0">
        <w:tab/>
      </w:r>
      <w:r w:rsidRPr="0019164A">
        <w:rPr>
          <w:sz w:val="18"/>
          <w:szCs w:val="18"/>
        </w:rPr>
        <w:t xml:space="preserve">Energy Efficiency &amp; Conservation Authority. </w:t>
      </w:r>
      <w:hyperlink r:id="rId7" w:history="1">
        <w:r w:rsidRPr="0019164A">
          <w:rPr>
            <w:rStyle w:val="Hyperlink"/>
            <w:i/>
            <w:iCs/>
            <w:sz w:val="18"/>
            <w:szCs w:val="18"/>
          </w:rPr>
          <w:t>Covered Cropping Decarbonisation Pathway</w:t>
        </w:r>
      </w:hyperlink>
      <w:r w:rsidRPr="0019164A">
        <w:rPr>
          <w:sz w:val="18"/>
          <w:szCs w:val="18"/>
        </w:rPr>
        <w:t xml:space="preserve">. </w:t>
      </w:r>
      <w:r>
        <w:rPr>
          <w:sz w:val="18"/>
          <w:szCs w:val="18"/>
        </w:rPr>
        <w:t>Retrieved 30 August 2023.</w:t>
      </w:r>
    </w:p>
  </w:footnote>
  <w:footnote w:id="17">
    <w:p w14:paraId="55DD84DA" w14:textId="1EEA58FB" w:rsidR="00202231" w:rsidRPr="00FD3991" w:rsidRDefault="00202231" w:rsidP="00FB06FF">
      <w:pPr>
        <w:pStyle w:val="FootnoteText"/>
        <w:spacing w:line="240" w:lineRule="auto"/>
        <w:rPr>
          <w:color w:val="FF0000"/>
          <w:sz w:val="18"/>
          <w:lang w:val="en-US"/>
        </w:rPr>
      </w:pPr>
      <w:r w:rsidRPr="035C5BAC">
        <w:rPr>
          <w:rStyle w:val="FootnoteReference"/>
          <w:rFonts w:eastAsia="Calibri" w:cs="Calibri"/>
          <w:sz w:val="18"/>
          <w:szCs w:val="18"/>
        </w:rPr>
        <w:footnoteRef/>
      </w:r>
      <w:r w:rsidRPr="00FD3991">
        <w:rPr>
          <w:sz w:val="18"/>
        </w:rPr>
        <w:t xml:space="preserve"> </w:t>
      </w:r>
      <w:r w:rsidR="00FB06FF">
        <w:rPr>
          <w:sz w:val="18"/>
        </w:rPr>
        <w:tab/>
      </w:r>
      <w:r w:rsidRPr="00FD3991">
        <w:rPr>
          <w:sz w:val="18"/>
        </w:rPr>
        <w:t>MPI and MfE are currently aware of two resource consents that are relevant to intensive indoor primary production and greenhouse development and relocation. 1</w:t>
      </w:r>
      <w:r>
        <w:rPr>
          <w:sz w:val="18"/>
        </w:rPr>
        <w:t>.</w:t>
      </w:r>
      <w:r w:rsidRPr="00FD3991">
        <w:rPr>
          <w:sz w:val="18"/>
        </w:rPr>
        <w:t xml:space="preserve"> </w:t>
      </w:r>
      <w:r w:rsidRPr="00FD3991">
        <w:rPr>
          <w:sz w:val="18"/>
          <w:lang w:val="en-US"/>
        </w:rPr>
        <w:t>New Zealand Hothouse has three greenhouses in the South Auckland area. Their 10</w:t>
      </w:r>
      <w:r>
        <w:rPr>
          <w:sz w:val="18"/>
          <w:lang w:val="en-US"/>
        </w:rPr>
        <w:t>-</w:t>
      </w:r>
      <w:r w:rsidRPr="00FD3991">
        <w:rPr>
          <w:sz w:val="18"/>
          <w:lang w:val="en-US"/>
        </w:rPr>
        <w:t>h</w:t>
      </w:r>
      <w:r>
        <w:rPr>
          <w:sz w:val="18"/>
          <w:lang w:val="en-US"/>
        </w:rPr>
        <w:t>ect</w:t>
      </w:r>
      <w:r w:rsidRPr="00FD3991">
        <w:rPr>
          <w:sz w:val="18"/>
          <w:lang w:val="en-US"/>
        </w:rPr>
        <w:t>a</w:t>
      </w:r>
      <w:r>
        <w:rPr>
          <w:sz w:val="18"/>
          <w:lang w:val="en-US"/>
        </w:rPr>
        <w:t>re</w:t>
      </w:r>
      <w:r w:rsidRPr="00FD3991">
        <w:rPr>
          <w:sz w:val="18"/>
          <w:lang w:val="en-US"/>
        </w:rPr>
        <w:t xml:space="preserve"> greenhouse in Drury is on a site that has been rezoned urban and acquired by a developer for industrial land use. The company is seeking to relocate to a new site. 2</w:t>
      </w:r>
      <w:r>
        <w:rPr>
          <w:sz w:val="18"/>
          <w:lang w:val="en-US"/>
        </w:rPr>
        <w:t>.</w:t>
      </w:r>
      <w:r w:rsidRPr="00FD3991">
        <w:rPr>
          <w:sz w:val="18"/>
          <w:lang w:val="en-US"/>
        </w:rPr>
        <w:t xml:space="preserve"> </w:t>
      </w:r>
      <w:proofErr w:type="spellStart"/>
      <w:r w:rsidRPr="00FD3991">
        <w:rPr>
          <w:sz w:val="18"/>
          <w:lang w:val="en-US"/>
        </w:rPr>
        <w:t>Rohe</w:t>
      </w:r>
      <w:proofErr w:type="spellEnd"/>
      <w:r w:rsidRPr="00FD3991">
        <w:rPr>
          <w:sz w:val="18"/>
          <w:lang w:val="en-US"/>
        </w:rPr>
        <w:t xml:space="preserve"> Produce has a resource consent to build two 9</w:t>
      </w:r>
      <w:r>
        <w:rPr>
          <w:sz w:val="18"/>
          <w:lang w:val="en-US"/>
        </w:rPr>
        <w:t>-</w:t>
      </w:r>
      <w:r w:rsidRPr="00FD3991">
        <w:rPr>
          <w:sz w:val="18"/>
          <w:lang w:val="en-US"/>
        </w:rPr>
        <w:t>h</w:t>
      </w:r>
      <w:r>
        <w:rPr>
          <w:sz w:val="18"/>
          <w:lang w:val="en-US"/>
        </w:rPr>
        <w:t>ect</w:t>
      </w:r>
      <w:r w:rsidRPr="00FD3991">
        <w:rPr>
          <w:sz w:val="18"/>
          <w:lang w:val="en-US"/>
        </w:rPr>
        <w:t>a</w:t>
      </w:r>
      <w:r>
        <w:rPr>
          <w:sz w:val="18"/>
          <w:lang w:val="en-US"/>
        </w:rPr>
        <w:t>re</w:t>
      </w:r>
      <w:r w:rsidRPr="00FD3991">
        <w:rPr>
          <w:sz w:val="18"/>
          <w:lang w:val="en-US"/>
        </w:rPr>
        <w:t xml:space="preserve"> greenhouses north of </w:t>
      </w:r>
      <w:proofErr w:type="spellStart"/>
      <w:r w:rsidRPr="00FD3991">
        <w:rPr>
          <w:sz w:val="18"/>
          <w:lang w:val="en-US"/>
        </w:rPr>
        <w:t>Ohaaki</w:t>
      </w:r>
      <w:proofErr w:type="spellEnd"/>
      <w:r w:rsidRPr="00FD3991">
        <w:rPr>
          <w:sz w:val="18"/>
          <w:lang w:val="en-US"/>
        </w:rPr>
        <w:t>. This site they are developing is leased from Māori</w:t>
      </w:r>
      <w:r w:rsidRPr="00FD3991">
        <w:rPr>
          <w:rFonts w:asciiTheme="minorHAnsi" w:hAnsiTheme="minorHAnsi"/>
          <w:sz w:val="18"/>
          <w:lang w:val="en-US"/>
        </w:rPr>
        <w:t xml:space="preserve">. As the site is on specified Māori land, the NPS-HPL may provide a pathway. </w:t>
      </w:r>
      <w:r w:rsidRPr="00FD3991">
        <w:rPr>
          <w:sz w:val="18"/>
          <w:lang w:val="en-US"/>
        </w:rPr>
        <w:t>Future developments may not be able to be located on specified Māori land.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C69CB" w14:textId="77777777" w:rsidR="00DE7BF8" w:rsidRPr="00DE7BF8" w:rsidRDefault="009F1D7F" w:rsidP="009F1D7F">
    <w:pPr>
      <w:pStyle w:val="Header"/>
      <w:jc w:val="left"/>
      <w:rPr>
        <w:rFonts w:ascii="Calibri" w:hAnsi="Calibri"/>
      </w:rPr>
    </w:pPr>
    <w:r>
      <w:rPr>
        <w:rFonts w:ascii="Calibri" w:hAnsi="Calibri"/>
        <w:noProof/>
      </w:rPr>
      <w:drawing>
        <wp:inline distT="0" distB="0" distL="0" distR="0" wp14:anchorId="1A19DFEA" wp14:editId="6DAFD844">
          <wp:extent cx="2117598" cy="695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3339"/>
                  <a:stretch/>
                </pic:blipFill>
                <pic:spPr bwMode="auto">
                  <a:xfrm>
                    <a:off x="0" y="0"/>
                    <a:ext cx="2117598" cy="69532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DA18B" w14:textId="77777777" w:rsidR="00E5210B" w:rsidRDefault="00E5210B" w:rsidP="0036151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B7E55" w14:textId="77777777" w:rsidR="00E5210B" w:rsidRDefault="00E52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A236425"/>
    <w:multiLevelType w:val="hybridMultilevel"/>
    <w:tmpl w:val="90BC082C"/>
    <w:lvl w:ilvl="0" w:tplc="1409001B">
      <w:start w:val="1"/>
      <w:numFmt w:val="lowerRoman"/>
      <w:lvlText w:val="%1."/>
      <w:lvlJc w:val="right"/>
      <w:pPr>
        <w:ind w:left="720" w:hanging="360"/>
      </w:pPr>
    </w:lvl>
    <w:lvl w:ilvl="1" w:tplc="1409001B">
      <w:start w:val="1"/>
      <w:numFmt w:val="lowerRoman"/>
      <w:lvlText w:val="%2."/>
      <w:lvlJc w:val="righ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6"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7"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8"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9"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4" w15:restartNumberingAfterBreak="0">
    <w:nsid w:val="2E6F201E"/>
    <w:multiLevelType w:val="multilevel"/>
    <w:tmpl w:val="C7440BB4"/>
    <w:numStyleLink w:val="Style2"/>
  </w:abstractNum>
  <w:abstractNum w:abstractNumId="15"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6"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E8D6A76"/>
    <w:multiLevelType w:val="hybridMultilevel"/>
    <w:tmpl w:val="EDFEF14C"/>
    <w:lvl w:ilvl="0" w:tplc="14090017">
      <w:start w:val="1"/>
      <w:numFmt w:val="lowerLetter"/>
      <w:lvlText w:val="%1)"/>
      <w:lvlJc w:val="left"/>
      <w:pPr>
        <w:ind w:left="1430" w:hanging="360"/>
      </w:pPr>
      <w:rPr>
        <w:rFonts w:hint="default"/>
      </w:rPr>
    </w:lvl>
    <w:lvl w:ilvl="1" w:tplc="FFFFFFFF" w:tentative="1">
      <w:start w:val="1"/>
      <w:numFmt w:val="bullet"/>
      <w:lvlText w:val="o"/>
      <w:lvlJc w:val="left"/>
      <w:pPr>
        <w:ind w:left="2150" w:hanging="360"/>
      </w:pPr>
      <w:rPr>
        <w:rFonts w:ascii="Courier New" w:hAnsi="Courier New" w:hint="default"/>
      </w:rPr>
    </w:lvl>
    <w:lvl w:ilvl="2" w:tplc="FFFFFFFF" w:tentative="1">
      <w:start w:val="1"/>
      <w:numFmt w:val="bullet"/>
      <w:lvlText w:val=""/>
      <w:lvlJc w:val="left"/>
      <w:pPr>
        <w:ind w:left="2870" w:hanging="360"/>
      </w:pPr>
      <w:rPr>
        <w:rFonts w:ascii="Wingdings" w:hAnsi="Wingdings" w:hint="default"/>
      </w:rPr>
    </w:lvl>
    <w:lvl w:ilvl="3" w:tplc="FFFFFFFF" w:tentative="1">
      <w:start w:val="1"/>
      <w:numFmt w:val="bullet"/>
      <w:lvlText w:val=""/>
      <w:lvlJc w:val="left"/>
      <w:pPr>
        <w:ind w:left="3590" w:hanging="360"/>
      </w:pPr>
      <w:rPr>
        <w:rFonts w:ascii="Symbol" w:hAnsi="Symbol" w:hint="default"/>
      </w:rPr>
    </w:lvl>
    <w:lvl w:ilvl="4" w:tplc="FFFFFFFF" w:tentative="1">
      <w:start w:val="1"/>
      <w:numFmt w:val="bullet"/>
      <w:lvlText w:val="o"/>
      <w:lvlJc w:val="left"/>
      <w:pPr>
        <w:ind w:left="4310" w:hanging="360"/>
      </w:pPr>
      <w:rPr>
        <w:rFonts w:ascii="Courier New" w:hAnsi="Courier New" w:hint="default"/>
      </w:rPr>
    </w:lvl>
    <w:lvl w:ilvl="5" w:tplc="FFFFFFFF" w:tentative="1">
      <w:start w:val="1"/>
      <w:numFmt w:val="bullet"/>
      <w:lvlText w:val=""/>
      <w:lvlJc w:val="left"/>
      <w:pPr>
        <w:ind w:left="5030" w:hanging="360"/>
      </w:pPr>
      <w:rPr>
        <w:rFonts w:ascii="Wingdings" w:hAnsi="Wingdings" w:hint="default"/>
      </w:rPr>
    </w:lvl>
    <w:lvl w:ilvl="6" w:tplc="FFFFFFFF" w:tentative="1">
      <w:start w:val="1"/>
      <w:numFmt w:val="bullet"/>
      <w:lvlText w:val=""/>
      <w:lvlJc w:val="left"/>
      <w:pPr>
        <w:ind w:left="5750" w:hanging="360"/>
      </w:pPr>
      <w:rPr>
        <w:rFonts w:ascii="Symbol" w:hAnsi="Symbol" w:hint="default"/>
      </w:rPr>
    </w:lvl>
    <w:lvl w:ilvl="7" w:tplc="FFFFFFFF" w:tentative="1">
      <w:start w:val="1"/>
      <w:numFmt w:val="bullet"/>
      <w:lvlText w:val="o"/>
      <w:lvlJc w:val="left"/>
      <w:pPr>
        <w:ind w:left="6470" w:hanging="360"/>
      </w:pPr>
      <w:rPr>
        <w:rFonts w:ascii="Courier New" w:hAnsi="Courier New" w:hint="default"/>
      </w:rPr>
    </w:lvl>
    <w:lvl w:ilvl="8" w:tplc="FFFFFFFF" w:tentative="1">
      <w:start w:val="1"/>
      <w:numFmt w:val="bullet"/>
      <w:lvlText w:val=""/>
      <w:lvlJc w:val="left"/>
      <w:pPr>
        <w:ind w:left="7190" w:hanging="360"/>
      </w:pPr>
      <w:rPr>
        <w:rFonts w:ascii="Wingdings" w:hAnsi="Wingdings" w:hint="default"/>
      </w:rPr>
    </w:lvl>
  </w:abstractNum>
  <w:abstractNum w:abstractNumId="21"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5"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27"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1"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C042717"/>
    <w:multiLevelType w:val="multilevel"/>
    <w:tmpl w:val="DCDEB9D0"/>
    <w:numStyleLink w:val="Style1"/>
  </w:abstractNum>
  <w:abstractNum w:abstractNumId="33"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5"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C3CCC6"/>
    <w:multiLevelType w:val="hybridMultilevel"/>
    <w:tmpl w:val="B44EA76E"/>
    <w:lvl w:ilvl="0" w:tplc="8FBC9E54">
      <w:start w:val="1"/>
      <w:numFmt w:val="decimal"/>
      <w:lvlText w:val="%1."/>
      <w:lvlJc w:val="left"/>
      <w:pPr>
        <w:ind w:left="720" w:hanging="360"/>
      </w:pPr>
    </w:lvl>
    <w:lvl w:ilvl="1" w:tplc="6F58F8C6">
      <w:start w:val="1"/>
      <w:numFmt w:val="lowerLetter"/>
      <w:lvlText w:val="%2."/>
      <w:lvlJc w:val="left"/>
      <w:pPr>
        <w:ind w:left="1440" w:hanging="360"/>
      </w:pPr>
    </w:lvl>
    <w:lvl w:ilvl="2" w:tplc="64E896B4">
      <w:start w:val="1"/>
      <w:numFmt w:val="lowerRoman"/>
      <w:lvlText w:val="%3."/>
      <w:lvlJc w:val="right"/>
      <w:pPr>
        <w:ind w:left="2160" w:hanging="180"/>
      </w:pPr>
    </w:lvl>
    <w:lvl w:ilvl="3" w:tplc="203AAD00">
      <w:start w:val="1"/>
      <w:numFmt w:val="decimal"/>
      <w:lvlText w:val="%4."/>
      <w:lvlJc w:val="left"/>
      <w:pPr>
        <w:ind w:left="2880" w:hanging="360"/>
      </w:pPr>
    </w:lvl>
    <w:lvl w:ilvl="4" w:tplc="7C02C032">
      <w:start w:val="1"/>
      <w:numFmt w:val="lowerLetter"/>
      <w:lvlText w:val="%5."/>
      <w:lvlJc w:val="left"/>
      <w:pPr>
        <w:ind w:left="3600" w:hanging="360"/>
      </w:pPr>
    </w:lvl>
    <w:lvl w:ilvl="5" w:tplc="E788CBCC">
      <w:start w:val="1"/>
      <w:numFmt w:val="lowerRoman"/>
      <w:lvlText w:val="%6."/>
      <w:lvlJc w:val="right"/>
      <w:pPr>
        <w:ind w:left="4320" w:hanging="180"/>
      </w:pPr>
    </w:lvl>
    <w:lvl w:ilvl="6" w:tplc="0DCA497A">
      <w:start w:val="1"/>
      <w:numFmt w:val="decimal"/>
      <w:lvlText w:val="%7."/>
      <w:lvlJc w:val="left"/>
      <w:pPr>
        <w:ind w:left="5040" w:hanging="360"/>
      </w:pPr>
    </w:lvl>
    <w:lvl w:ilvl="7" w:tplc="481A78BE">
      <w:start w:val="1"/>
      <w:numFmt w:val="lowerLetter"/>
      <w:lvlText w:val="%8."/>
      <w:lvlJc w:val="left"/>
      <w:pPr>
        <w:ind w:left="5760" w:hanging="360"/>
      </w:pPr>
    </w:lvl>
    <w:lvl w:ilvl="8" w:tplc="7C289FF8">
      <w:start w:val="1"/>
      <w:numFmt w:val="lowerRoman"/>
      <w:lvlText w:val="%9."/>
      <w:lvlJc w:val="right"/>
      <w:pPr>
        <w:ind w:left="6480" w:hanging="180"/>
      </w:pPr>
    </w:lvl>
  </w:abstractNum>
  <w:abstractNum w:abstractNumId="38"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16cid:durableId="848715540">
    <w:abstractNumId w:val="15"/>
  </w:num>
  <w:num w:numId="2" w16cid:durableId="1287734805">
    <w:abstractNumId w:val="26"/>
  </w:num>
  <w:num w:numId="3" w16cid:durableId="1538541818">
    <w:abstractNumId w:val="38"/>
  </w:num>
  <w:num w:numId="4" w16cid:durableId="550508225">
    <w:abstractNumId w:val="21"/>
  </w:num>
  <w:num w:numId="5" w16cid:durableId="745567648">
    <w:abstractNumId w:val="13"/>
  </w:num>
  <w:num w:numId="6" w16cid:durableId="2076933510">
    <w:abstractNumId w:val="8"/>
  </w:num>
  <w:num w:numId="7" w16cid:durableId="1899433097">
    <w:abstractNumId w:val="24"/>
  </w:num>
  <w:num w:numId="8" w16cid:durableId="1088233813">
    <w:abstractNumId w:val="23"/>
  </w:num>
  <w:num w:numId="9" w16cid:durableId="394550804">
    <w:abstractNumId w:val="36"/>
  </w:num>
  <w:num w:numId="10" w16cid:durableId="17093806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74602378">
    <w:abstractNumId w:val="1"/>
  </w:num>
  <w:num w:numId="12" w16cid:durableId="1912157551">
    <w:abstractNumId w:val="30"/>
  </w:num>
  <w:num w:numId="13" w16cid:durableId="797454537">
    <w:abstractNumId w:val="12"/>
  </w:num>
  <w:num w:numId="14" w16cid:durableId="284310654">
    <w:abstractNumId w:val="32"/>
  </w:num>
  <w:num w:numId="15" w16cid:durableId="1819420646">
    <w:abstractNumId w:val="22"/>
  </w:num>
  <w:num w:numId="16" w16cid:durableId="1770615197">
    <w:abstractNumId w:val="11"/>
  </w:num>
  <w:num w:numId="17" w16cid:durableId="1658604841">
    <w:abstractNumId w:val="31"/>
  </w:num>
  <w:num w:numId="18" w16cid:durableId="905535034">
    <w:abstractNumId w:val="27"/>
  </w:num>
  <w:num w:numId="19" w16cid:durableId="1465346826">
    <w:abstractNumId w:val="33"/>
  </w:num>
  <w:num w:numId="20" w16cid:durableId="676690097">
    <w:abstractNumId w:val="14"/>
  </w:num>
  <w:num w:numId="21" w16cid:durableId="2031447556">
    <w:abstractNumId w:val="28"/>
  </w:num>
  <w:num w:numId="22" w16cid:durableId="752623358">
    <w:abstractNumId w:val="5"/>
  </w:num>
  <w:num w:numId="23" w16cid:durableId="867841801">
    <w:abstractNumId w:val="25"/>
  </w:num>
  <w:num w:numId="24" w16cid:durableId="720790089">
    <w:abstractNumId w:val="16"/>
  </w:num>
  <w:num w:numId="25" w16cid:durableId="222520331">
    <w:abstractNumId w:val="35"/>
  </w:num>
  <w:num w:numId="26" w16cid:durableId="717584311">
    <w:abstractNumId w:val="29"/>
  </w:num>
  <w:num w:numId="27" w16cid:durableId="779765061">
    <w:abstractNumId w:val="0"/>
  </w:num>
  <w:num w:numId="28" w16cid:durableId="342437984">
    <w:abstractNumId w:val="18"/>
  </w:num>
  <w:num w:numId="29" w16cid:durableId="86079989">
    <w:abstractNumId w:val="9"/>
  </w:num>
  <w:num w:numId="30" w16cid:durableId="190724435">
    <w:abstractNumId w:val="3"/>
  </w:num>
  <w:num w:numId="31" w16cid:durableId="180439593">
    <w:abstractNumId w:val="2"/>
  </w:num>
  <w:num w:numId="32" w16cid:durableId="2007590403">
    <w:abstractNumId w:val="6"/>
  </w:num>
  <w:num w:numId="33" w16cid:durableId="1951621493">
    <w:abstractNumId w:val="10"/>
  </w:num>
  <w:num w:numId="34" w16cid:durableId="1425766684">
    <w:abstractNumId w:val="19"/>
  </w:num>
  <w:num w:numId="35" w16cid:durableId="11616712">
    <w:abstractNumId w:val="17"/>
  </w:num>
  <w:num w:numId="36" w16cid:durableId="1911882459">
    <w:abstractNumId w:val="7"/>
  </w:num>
  <w:num w:numId="37" w16cid:durableId="1044714646">
    <w:abstractNumId w:val="34"/>
  </w:num>
  <w:num w:numId="38" w16cid:durableId="19952593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19890536">
    <w:abstractNumId w:val="37"/>
  </w:num>
  <w:num w:numId="40" w16cid:durableId="1251282398">
    <w:abstractNumId w:val="20"/>
  </w:num>
  <w:num w:numId="41" w16cid:durableId="858856128">
    <w:abstractNumId w:val="4"/>
  </w:num>
  <w:num w:numId="42" w16cid:durableId="15937831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DateAndTime/>
  <w:proofState w:spelling="clean" w:grammar="clean"/>
  <w:trackRevisions/>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093"/>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2EB7"/>
    <w:rsid w:val="0001303C"/>
    <w:rsid w:val="00014236"/>
    <w:rsid w:val="000148F6"/>
    <w:rsid w:val="00015217"/>
    <w:rsid w:val="000159D2"/>
    <w:rsid w:val="00016264"/>
    <w:rsid w:val="00016993"/>
    <w:rsid w:val="00016CAB"/>
    <w:rsid w:val="00016CE3"/>
    <w:rsid w:val="00016E5B"/>
    <w:rsid w:val="0001749B"/>
    <w:rsid w:val="00017D75"/>
    <w:rsid w:val="00017FE5"/>
    <w:rsid w:val="00021910"/>
    <w:rsid w:val="00022E8D"/>
    <w:rsid w:val="0002348A"/>
    <w:rsid w:val="000235B5"/>
    <w:rsid w:val="00023BD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A0D"/>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0E27"/>
    <w:rsid w:val="0005144F"/>
    <w:rsid w:val="00051AF1"/>
    <w:rsid w:val="00051D42"/>
    <w:rsid w:val="000538A1"/>
    <w:rsid w:val="00055375"/>
    <w:rsid w:val="00056246"/>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67E9B"/>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132D"/>
    <w:rsid w:val="00091796"/>
    <w:rsid w:val="00091BA2"/>
    <w:rsid w:val="00091CB0"/>
    <w:rsid w:val="00094344"/>
    <w:rsid w:val="000953C6"/>
    <w:rsid w:val="000953F4"/>
    <w:rsid w:val="0009590C"/>
    <w:rsid w:val="000959E7"/>
    <w:rsid w:val="00095C45"/>
    <w:rsid w:val="00095E7D"/>
    <w:rsid w:val="000964DE"/>
    <w:rsid w:val="000972AB"/>
    <w:rsid w:val="00097B40"/>
    <w:rsid w:val="00097D0E"/>
    <w:rsid w:val="000A109B"/>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F36"/>
    <w:rsid w:val="000B1942"/>
    <w:rsid w:val="000B1BED"/>
    <w:rsid w:val="000B2240"/>
    <w:rsid w:val="000B2477"/>
    <w:rsid w:val="000B2600"/>
    <w:rsid w:val="000B36F9"/>
    <w:rsid w:val="000B4074"/>
    <w:rsid w:val="000B4732"/>
    <w:rsid w:val="000B4BCD"/>
    <w:rsid w:val="000B66DC"/>
    <w:rsid w:val="000B6D1F"/>
    <w:rsid w:val="000C062F"/>
    <w:rsid w:val="000C17E7"/>
    <w:rsid w:val="000C3270"/>
    <w:rsid w:val="000C577E"/>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497"/>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18BB"/>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7A"/>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01AD"/>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0A41"/>
    <w:rsid w:val="001310BF"/>
    <w:rsid w:val="00133E73"/>
    <w:rsid w:val="00133FDB"/>
    <w:rsid w:val="00134F4A"/>
    <w:rsid w:val="001351CB"/>
    <w:rsid w:val="00135E4E"/>
    <w:rsid w:val="0013604E"/>
    <w:rsid w:val="00136246"/>
    <w:rsid w:val="001364D4"/>
    <w:rsid w:val="001371C8"/>
    <w:rsid w:val="001372ED"/>
    <w:rsid w:val="00140FEF"/>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3E4B"/>
    <w:rsid w:val="00194BB7"/>
    <w:rsid w:val="00194CC5"/>
    <w:rsid w:val="001951B2"/>
    <w:rsid w:val="0019565D"/>
    <w:rsid w:val="00197564"/>
    <w:rsid w:val="00197EC2"/>
    <w:rsid w:val="00197ECE"/>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E91"/>
    <w:rsid w:val="001C147E"/>
    <w:rsid w:val="001C151B"/>
    <w:rsid w:val="001C19E5"/>
    <w:rsid w:val="001C3666"/>
    <w:rsid w:val="001C3800"/>
    <w:rsid w:val="001C3C7B"/>
    <w:rsid w:val="001C6122"/>
    <w:rsid w:val="001C6587"/>
    <w:rsid w:val="001C69BE"/>
    <w:rsid w:val="001C6DB5"/>
    <w:rsid w:val="001C71AC"/>
    <w:rsid w:val="001C7316"/>
    <w:rsid w:val="001C7E5C"/>
    <w:rsid w:val="001D00CC"/>
    <w:rsid w:val="001D02B8"/>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DEE"/>
    <w:rsid w:val="001E02CB"/>
    <w:rsid w:val="001E0F22"/>
    <w:rsid w:val="001E14FD"/>
    <w:rsid w:val="001E180F"/>
    <w:rsid w:val="001E1C64"/>
    <w:rsid w:val="001E1CEC"/>
    <w:rsid w:val="001E2ECB"/>
    <w:rsid w:val="001E4B64"/>
    <w:rsid w:val="001E552A"/>
    <w:rsid w:val="001E5671"/>
    <w:rsid w:val="001E57B9"/>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231"/>
    <w:rsid w:val="00202517"/>
    <w:rsid w:val="00202ADB"/>
    <w:rsid w:val="00202BB7"/>
    <w:rsid w:val="0020435B"/>
    <w:rsid w:val="00204533"/>
    <w:rsid w:val="00204F2D"/>
    <w:rsid w:val="00205566"/>
    <w:rsid w:val="002063AA"/>
    <w:rsid w:val="00210549"/>
    <w:rsid w:val="0021069E"/>
    <w:rsid w:val="00210804"/>
    <w:rsid w:val="0021088F"/>
    <w:rsid w:val="002113FE"/>
    <w:rsid w:val="00211737"/>
    <w:rsid w:val="0021181B"/>
    <w:rsid w:val="0021230F"/>
    <w:rsid w:val="002125B0"/>
    <w:rsid w:val="002125F6"/>
    <w:rsid w:val="00212A82"/>
    <w:rsid w:val="00214EA2"/>
    <w:rsid w:val="002160FA"/>
    <w:rsid w:val="002166DD"/>
    <w:rsid w:val="002168A2"/>
    <w:rsid w:val="00216AC3"/>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FE4"/>
    <w:rsid w:val="00240656"/>
    <w:rsid w:val="00241610"/>
    <w:rsid w:val="00241AED"/>
    <w:rsid w:val="00243182"/>
    <w:rsid w:val="002438E5"/>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EEE"/>
    <w:rsid w:val="00253177"/>
    <w:rsid w:val="002538B8"/>
    <w:rsid w:val="0025396F"/>
    <w:rsid w:val="00254319"/>
    <w:rsid w:val="002546A4"/>
    <w:rsid w:val="0025539F"/>
    <w:rsid w:val="00256388"/>
    <w:rsid w:val="00256E44"/>
    <w:rsid w:val="002605BF"/>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529F"/>
    <w:rsid w:val="00285687"/>
    <w:rsid w:val="00285736"/>
    <w:rsid w:val="00287649"/>
    <w:rsid w:val="00287867"/>
    <w:rsid w:val="00287DAB"/>
    <w:rsid w:val="00287FB6"/>
    <w:rsid w:val="002900C5"/>
    <w:rsid w:val="002901E0"/>
    <w:rsid w:val="0029075B"/>
    <w:rsid w:val="00290BB1"/>
    <w:rsid w:val="00291BC1"/>
    <w:rsid w:val="002933CA"/>
    <w:rsid w:val="00293A01"/>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1CF"/>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6F9A"/>
    <w:rsid w:val="002C7A02"/>
    <w:rsid w:val="002C7BD4"/>
    <w:rsid w:val="002D0107"/>
    <w:rsid w:val="002D062E"/>
    <w:rsid w:val="002D0D43"/>
    <w:rsid w:val="002D15C2"/>
    <w:rsid w:val="002D2B10"/>
    <w:rsid w:val="002D3842"/>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1691"/>
    <w:rsid w:val="002E1803"/>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687"/>
    <w:rsid w:val="002E69F5"/>
    <w:rsid w:val="002E6CAA"/>
    <w:rsid w:val="002E732D"/>
    <w:rsid w:val="002E73EC"/>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8DB"/>
    <w:rsid w:val="00301D0A"/>
    <w:rsid w:val="003027B8"/>
    <w:rsid w:val="0030293F"/>
    <w:rsid w:val="00302947"/>
    <w:rsid w:val="00302C50"/>
    <w:rsid w:val="003031C2"/>
    <w:rsid w:val="00303861"/>
    <w:rsid w:val="003049B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314B6"/>
    <w:rsid w:val="00331A20"/>
    <w:rsid w:val="00331A23"/>
    <w:rsid w:val="00331E65"/>
    <w:rsid w:val="00333107"/>
    <w:rsid w:val="0033343B"/>
    <w:rsid w:val="0033393C"/>
    <w:rsid w:val="003357EE"/>
    <w:rsid w:val="00337368"/>
    <w:rsid w:val="00337B4D"/>
    <w:rsid w:val="003407A9"/>
    <w:rsid w:val="00340BA3"/>
    <w:rsid w:val="00340BAF"/>
    <w:rsid w:val="00340C2B"/>
    <w:rsid w:val="00340F9A"/>
    <w:rsid w:val="00341018"/>
    <w:rsid w:val="00341723"/>
    <w:rsid w:val="003420D9"/>
    <w:rsid w:val="003423E0"/>
    <w:rsid w:val="0034301A"/>
    <w:rsid w:val="00343D76"/>
    <w:rsid w:val="00344DFD"/>
    <w:rsid w:val="003451D3"/>
    <w:rsid w:val="00345B64"/>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C3D"/>
    <w:rsid w:val="00360B75"/>
    <w:rsid w:val="0036151C"/>
    <w:rsid w:val="00361A9B"/>
    <w:rsid w:val="00362CCF"/>
    <w:rsid w:val="00362E78"/>
    <w:rsid w:val="003631DB"/>
    <w:rsid w:val="00364524"/>
    <w:rsid w:val="0036513A"/>
    <w:rsid w:val="00365237"/>
    <w:rsid w:val="0036559C"/>
    <w:rsid w:val="0036587E"/>
    <w:rsid w:val="003660CD"/>
    <w:rsid w:val="00366AC2"/>
    <w:rsid w:val="00366B08"/>
    <w:rsid w:val="00367496"/>
    <w:rsid w:val="003678BE"/>
    <w:rsid w:val="003700F8"/>
    <w:rsid w:val="00370949"/>
    <w:rsid w:val="0037243B"/>
    <w:rsid w:val="0037251C"/>
    <w:rsid w:val="0037272C"/>
    <w:rsid w:val="00372B9A"/>
    <w:rsid w:val="003731BF"/>
    <w:rsid w:val="00375287"/>
    <w:rsid w:val="00375791"/>
    <w:rsid w:val="00375826"/>
    <w:rsid w:val="00375994"/>
    <w:rsid w:val="00375C59"/>
    <w:rsid w:val="00375E05"/>
    <w:rsid w:val="00376BB7"/>
    <w:rsid w:val="00376EEE"/>
    <w:rsid w:val="00377A1D"/>
    <w:rsid w:val="00377BA1"/>
    <w:rsid w:val="00377FF0"/>
    <w:rsid w:val="00380616"/>
    <w:rsid w:val="00381022"/>
    <w:rsid w:val="003814B8"/>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1BD"/>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25"/>
    <w:rsid w:val="003E6B3C"/>
    <w:rsid w:val="003E6B95"/>
    <w:rsid w:val="003E70FF"/>
    <w:rsid w:val="003E7F1B"/>
    <w:rsid w:val="003F0B41"/>
    <w:rsid w:val="003F1150"/>
    <w:rsid w:val="003F1E39"/>
    <w:rsid w:val="003F229D"/>
    <w:rsid w:val="003F25F0"/>
    <w:rsid w:val="003F2D5B"/>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157"/>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6E4"/>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41C6"/>
    <w:rsid w:val="00434C5E"/>
    <w:rsid w:val="00434FB6"/>
    <w:rsid w:val="00435765"/>
    <w:rsid w:val="004360B6"/>
    <w:rsid w:val="004362E5"/>
    <w:rsid w:val="00436356"/>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0E98"/>
    <w:rsid w:val="004513A5"/>
    <w:rsid w:val="00451D50"/>
    <w:rsid w:val="00452EC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6E90"/>
    <w:rsid w:val="00457135"/>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AD0"/>
    <w:rsid w:val="00472D9C"/>
    <w:rsid w:val="00473B60"/>
    <w:rsid w:val="00475AFF"/>
    <w:rsid w:val="00475D30"/>
    <w:rsid w:val="004765F4"/>
    <w:rsid w:val="00476B4D"/>
    <w:rsid w:val="00476CBC"/>
    <w:rsid w:val="00476E6C"/>
    <w:rsid w:val="00477282"/>
    <w:rsid w:val="00477947"/>
    <w:rsid w:val="00480FA1"/>
    <w:rsid w:val="00481679"/>
    <w:rsid w:val="00481FD7"/>
    <w:rsid w:val="00482DE5"/>
    <w:rsid w:val="00483266"/>
    <w:rsid w:val="0048352E"/>
    <w:rsid w:val="004836A9"/>
    <w:rsid w:val="00483B23"/>
    <w:rsid w:val="004840D7"/>
    <w:rsid w:val="004846F4"/>
    <w:rsid w:val="00485C26"/>
    <w:rsid w:val="00485EC0"/>
    <w:rsid w:val="00486A51"/>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95C"/>
    <w:rsid w:val="004A0D1E"/>
    <w:rsid w:val="004A0E66"/>
    <w:rsid w:val="004A0EEC"/>
    <w:rsid w:val="004A130F"/>
    <w:rsid w:val="004A17EF"/>
    <w:rsid w:val="004A1BDA"/>
    <w:rsid w:val="004A22DA"/>
    <w:rsid w:val="004A2700"/>
    <w:rsid w:val="004A36C8"/>
    <w:rsid w:val="004A3721"/>
    <w:rsid w:val="004A3742"/>
    <w:rsid w:val="004A37B8"/>
    <w:rsid w:val="004A3CC2"/>
    <w:rsid w:val="004A3ED3"/>
    <w:rsid w:val="004A47BC"/>
    <w:rsid w:val="004A4AC6"/>
    <w:rsid w:val="004A766D"/>
    <w:rsid w:val="004B1199"/>
    <w:rsid w:val="004B1404"/>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4F1B"/>
    <w:rsid w:val="004C514A"/>
    <w:rsid w:val="004C645A"/>
    <w:rsid w:val="004C6572"/>
    <w:rsid w:val="004C6D4F"/>
    <w:rsid w:val="004C7541"/>
    <w:rsid w:val="004D1E71"/>
    <w:rsid w:val="004D2CDF"/>
    <w:rsid w:val="004D33CE"/>
    <w:rsid w:val="004D4AAE"/>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6CC"/>
    <w:rsid w:val="005019E0"/>
    <w:rsid w:val="0050211F"/>
    <w:rsid w:val="005022E7"/>
    <w:rsid w:val="00502A93"/>
    <w:rsid w:val="00502FAE"/>
    <w:rsid w:val="00506083"/>
    <w:rsid w:val="005068D6"/>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54D"/>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4DA0"/>
    <w:rsid w:val="005454BD"/>
    <w:rsid w:val="005457E4"/>
    <w:rsid w:val="00546C49"/>
    <w:rsid w:val="0055010B"/>
    <w:rsid w:val="00550D59"/>
    <w:rsid w:val="0055110D"/>
    <w:rsid w:val="00551F81"/>
    <w:rsid w:val="0055210F"/>
    <w:rsid w:val="00552CD7"/>
    <w:rsid w:val="005533BE"/>
    <w:rsid w:val="00554B30"/>
    <w:rsid w:val="00554FFB"/>
    <w:rsid w:val="005568DE"/>
    <w:rsid w:val="00557C50"/>
    <w:rsid w:val="005606B6"/>
    <w:rsid w:val="005608D6"/>
    <w:rsid w:val="00560F19"/>
    <w:rsid w:val="00561E6B"/>
    <w:rsid w:val="005621D2"/>
    <w:rsid w:val="005621E0"/>
    <w:rsid w:val="00562A65"/>
    <w:rsid w:val="00562D90"/>
    <w:rsid w:val="00563317"/>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8EB"/>
    <w:rsid w:val="00580D37"/>
    <w:rsid w:val="00581FA0"/>
    <w:rsid w:val="00582B90"/>
    <w:rsid w:val="00583134"/>
    <w:rsid w:val="005831A7"/>
    <w:rsid w:val="00583321"/>
    <w:rsid w:val="0058341E"/>
    <w:rsid w:val="00584F3A"/>
    <w:rsid w:val="005853AB"/>
    <w:rsid w:val="00585748"/>
    <w:rsid w:val="005859C5"/>
    <w:rsid w:val="00585C79"/>
    <w:rsid w:val="00585FD0"/>
    <w:rsid w:val="00586144"/>
    <w:rsid w:val="00587785"/>
    <w:rsid w:val="0058788D"/>
    <w:rsid w:val="00587E29"/>
    <w:rsid w:val="00587FE6"/>
    <w:rsid w:val="0059040D"/>
    <w:rsid w:val="00591698"/>
    <w:rsid w:val="00593B87"/>
    <w:rsid w:val="00593C1C"/>
    <w:rsid w:val="00593E94"/>
    <w:rsid w:val="00594143"/>
    <w:rsid w:val="00594543"/>
    <w:rsid w:val="00594612"/>
    <w:rsid w:val="00595873"/>
    <w:rsid w:val="00595CDD"/>
    <w:rsid w:val="005964BB"/>
    <w:rsid w:val="00596A70"/>
    <w:rsid w:val="00596BD3"/>
    <w:rsid w:val="00596BE7"/>
    <w:rsid w:val="00596C3E"/>
    <w:rsid w:val="00596FDD"/>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4F39"/>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698"/>
    <w:rsid w:val="005B68A7"/>
    <w:rsid w:val="005B6AC3"/>
    <w:rsid w:val="005C055E"/>
    <w:rsid w:val="005C0FA1"/>
    <w:rsid w:val="005C1187"/>
    <w:rsid w:val="005C1615"/>
    <w:rsid w:val="005C1D98"/>
    <w:rsid w:val="005C1DA5"/>
    <w:rsid w:val="005C2559"/>
    <w:rsid w:val="005C2873"/>
    <w:rsid w:val="005C34FC"/>
    <w:rsid w:val="005C3B5C"/>
    <w:rsid w:val="005C3C7F"/>
    <w:rsid w:val="005C5143"/>
    <w:rsid w:val="005C5639"/>
    <w:rsid w:val="005C5742"/>
    <w:rsid w:val="005C6CA5"/>
    <w:rsid w:val="005C760E"/>
    <w:rsid w:val="005C7B37"/>
    <w:rsid w:val="005C7E9E"/>
    <w:rsid w:val="005D18C9"/>
    <w:rsid w:val="005D1B72"/>
    <w:rsid w:val="005D2471"/>
    <w:rsid w:val="005D25A3"/>
    <w:rsid w:val="005D2779"/>
    <w:rsid w:val="005D3242"/>
    <w:rsid w:val="005D610C"/>
    <w:rsid w:val="005D74E7"/>
    <w:rsid w:val="005D7C64"/>
    <w:rsid w:val="005D7F7B"/>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C57"/>
    <w:rsid w:val="005F6774"/>
    <w:rsid w:val="005F79AA"/>
    <w:rsid w:val="005F7A1B"/>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6A3"/>
    <w:rsid w:val="00622BCE"/>
    <w:rsid w:val="00622E29"/>
    <w:rsid w:val="00623643"/>
    <w:rsid w:val="00624018"/>
    <w:rsid w:val="006240C4"/>
    <w:rsid w:val="00624B3C"/>
    <w:rsid w:val="006252C2"/>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B1"/>
    <w:rsid w:val="006404D1"/>
    <w:rsid w:val="00640F43"/>
    <w:rsid w:val="006412CA"/>
    <w:rsid w:val="006420DA"/>
    <w:rsid w:val="00642A0A"/>
    <w:rsid w:val="00643AC1"/>
    <w:rsid w:val="00643D62"/>
    <w:rsid w:val="00644A5E"/>
    <w:rsid w:val="00644A6C"/>
    <w:rsid w:val="00644D69"/>
    <w:rsid w:val="006457A8"/>
    <w:rsid w:val="00645EA0"/>
    <w:rsid w:val="00645F76"/>
    <w:rsid w:val="00646EB0"/>
    <w:rsid w:val="0064714D"/>
    <w:rsid w:val="0064727D"/>
    <w:rsid w:val="006473CE"/>
    <w:rsid w:val="00647B32"/>
    <w:rsid w:val="00647C27"/>
    <w:rsid w:val="006519E6"/>
    <w:rsid w:val="00651CDE"/>
    <w:rsid w:val="00652326"/>
    <w:rsid w:val="006524F6"/>
    <w:rsid w:val="00652907"/>
    <w:rsid w:val="00652E06"/>
    <w:rsid w:val="00653FC4"/>
    <w:rsid w:val="00654F91"/>
    <w:rsid w:val="00655361"/>
    <w:rsid w:val="00656253"/>
    <w:rsid w:val="00656799"/>
    <w:rsid w:val="00656B77"/>
    <w:rsid w:val="00656E72"/>
    <w:rsid w:val="006578A1"/>
    <w:rsid w:val="0066137B"/>
    <w:rsid w:val="0066174E"/>
    <w:rsid w:val="00661BBB"/>
    <w:rsid w:val="00661E57"/>
    <w:rsid w:val="006629E4"/>
    <w:rsid w:val="0066352E"/>
    <w:rsid w:val="00663783"/>
    <w:rsid w:val="00663E47"/>
    <w:rsid w:val="006644A7"/>
    <w:rsid w:val="00664BDE"/>
    <w:rsid w:val="0066565B"/>
    <w:rsid w:val="00665C44"/>
    <w:rsid w:val="00666284"/>
    <w:rsid w:val="006667F3"/>
    <w:rsid w:val="00667AEA"/>
    <w:rsid w:val="006704FA"/>
    <w:rsid w:val="00670687"/>
    <w:rsid w:val="00670DC5"/>
    <w:rsid w:val="00671652"/>
    <w:rsid w:val="00671FAA"/>
    <w:rsid w:val="00674D52"/>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8AA"/>
    <w:rsid w:val="00685BCF"/>
    <w:rsid w:val="006871D0"/>
    <w:rsid w:val="0068751F"/>
    <w:rsid w:val="006900D1"/>
    <w:rsid w:val="00690297"/>
    <w:rsid w:val="0069115A"/>
    <w:rsid w:val="006912F1"/>
    <w:rsid w:val="00691387"/>
    <w:rsid w:val="006927F2"/>
    <w:rsid w:val="006931E1"/>
    <w:rsid w:val="00693E3A"/>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1E83"/>
    <w:rsid w:val="006A2A12"/>
    <w:rsid w:val="006A2E9C"/>
    <w:rsid w:val="006A35E0"/>
    <w:rsid w:val="006A377F"/>
    <w:rsid w:val="006A384A"/>
    <w:rsid w:val="006A3875"/>
    <w:rsid w:val="006A3D40"/>
    <w:rsid w:val="006A561D"/>
    <w:rsid w:val="006A5A0C"/>
    <w:rsid w:val="006A5BA0"/>
    <w:rsid w:val="006A5BB1"/>
    <w:rsid w:val="006A5F88"/>
    <w:rsid w:val="006A7D95"/>
    <w:rsid w:val="006B0813"/>
    <w:rsid w:val="006B120D"/>
    <w:rsid w:val="006B13C1"/>
    <w:rsid w:val="006B2CC7"/>
    <w:rsid w:val="006B3AF9"/>
    <w:rsid w:val="006B44C5"/>
    <w:rsid w:val="006B555F"/>
    <w:rsid w:val="006B5A60"/>
    <w:rsid w:val="006B6242"/>
    <w:rsid w:val="006B62B8"/>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09AC"/>
    <w:rsid w:val="0070167E"/>
    <w:rsid w:val="00701E1B"/>
    <w:rsid w:val="00702ED0"/>
    <w:rsid w:val="00703C09"/>
    <w:rsid w:val="0070434A"/>
    <w:rsid w:val="007048C4"/>
    <w:rsid w:val="00704CC4"/>
    <w:rsid w:val="00705345"/>
    <w:rsid w:val="007059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69AC"/>
    <w:rsid w:val="007169DD"/>
    <w:rsid w:val="00717679"/>
    <w:rsid w:val="00717B67"/>
    <w:rsid w:val="0072065A"/>
    <w:rsid w:val="007206A2"/>
    <w:rsid w:val="00720B38"/>
    <w:rsid w:val="00720CA7"/>
    <w:rsid w:val="0072147B"/>
    <w:rsid w:val="0072181E"/>
    <w:rsid w:val="00721CC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42B4"/>
    <w:rsid w:val="00764C45"/>
    <w:rsid w:val="00764C7F"/>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3D95"/>
    <w:rsid w:val="00774400"/>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3D6"/>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2C3"/>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B2B"/>
    <w:rsid w:val="007B7949"/>
    <w:rsid w:val="007B7D30"/>
    <w:rsid w:val="007C0FA9"/>
    <w:rsid w:val="007C2413"/>
    <w:rsid w:val="007C25AE"/>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5D6"/>
    <w:rsid w:val="00811A39"/>
    <w:rsid w:val="0081291B"/>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034"/>
    <w:rsid w:val="0084184A"/>
    <w:rsid w:val="008423F2"/>
    <w:rsid w:val="00842A30"/>
    <w:rsid w:val="00842F71"/>
    <w:rsid w:val="00843179"/>
    <w:rsid w:val="0084386A"/>
    <w:rsid w:val="00843E0E"/>
    <w:rsid w:val="008442EA"/>
    <w:rsid w:val="00844589"/>
    <w:rsid w:val="00844794"/>
    <w:rsid w:val="00844FE7"/>
    <w:rsid w:val="00845103"/>
    <w:rsid w:val="00845969"/>
    <w:rsid w:val="00845F37"/>
    <w:rsid w:val="00845FF5"/>
    <w:rsid w:val="00846001"/>
    <w:rsid w:val="0084615D"/>
    <w:rsid w:val="0084642A"/>
    <w:rsid w:val="008465C4"/>
    <w:rsid w:val="00846710"/>
    <w:rsid w:val="008478ED"/>
    <w:rsid w:val="0085087F"/>
    <w:rsid w:val="00851728"/>
    <w:rsid w:val="00851DFF"/>
    <w:rsid w:val="00853084"/>
    <w:rsid w:val="00853142"/>
    <w:rsid w:val="008540A6"/>
    <w:rsid w:val="00854420"/>
    <w:rsid w:val="00854481"/>
    <w:rsid w:val="00855271"/>
    <w:rsid w:val="008555EF"/>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063B"/>
    <w:rsid w:val="00881511"/>
    <w:rsid w:val="00882448"/>
    <w:rsid w:val="00882F1D"/>
    <w:rsid w:val="00883A4D"/>
    <w:rsid w:val="00883B21"/>
    <w:rsid w:val="00883F8F"/>
    <w:rsid w:val="00884235"/>
    <w:rsid w:val="00885285"/>
    <w:rsid w:val="00885985"/>
    <w:rsid w:val="00886699"/>
    <w:rsid w:val="0088709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720F"/>
    <w:rsid w:val="008A7498"/>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5E54"/>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E0140"/>
    <w:rsid w:val="008E0688"/>
    <w:rsid w:val="008E0BEF"/>
    <w:rsid w:val="008E103C"/>
    <w:rsid w:val="008E266D"/>
    <w:rsid w:val="008E2F0C"/>
    <w:rsid w:val="008E3E23"/>
    <w:rsid w:val="008E547B"/>
    <w:rsid w:val="008E5DF8"/>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8F7F94"/>
    <w:rsid w:val="00900947"/>
    <w:rsid w:val="00900EB8"/>
    <w:rsid w:val="00900FBA"/>
    <w:rsid w:val="0090240E"/>
    <w:rsid w:val="00902E5B"/>
    <w:rsid w:val="00903FD9"/>
    <w:rsid w:val="00904CF5"/>
    <w:rsid w:val="00905259"/>
    <w:rsid w:val="0090556C"/>
    <w:rsid w:val="00905633"/>
    <w:rsid w:val="00905EAE"/>
    <w:rsid w:val="009060C4"/>
    <w:rsid w:val="00906C91"/>
    <w:rsid w:val="00906C95"/>
    <w:rsid w:val="0090762E"/>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264C"/>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A7E"/>
    <w:rsid w:val="00943E42"/>
    <w:rsid w:val="00943E5D"/>
    <w:rsid w:val="00944728"/>
    <w:rsid w:val="009453E8"/>
    <w:rsid w:val="00945664"/>
    <w:rsid w:val="00945AD1"/>
    <w:rsid w:val="00946ECB"/>
    <w:rsid w:val="00947268"/>
    <w:rsid w:val="0094750E"/>
    <w:rsid w:val="00947C94"/>
    <w:rsid w:val="009507C8"/>
    <w:rsid w:val="0095115E"/>
    <w:rsid w:val="0095118A"/>
    <w:rsid w:val="00952468"/>
    <w:rsid w:val="00954767"/>
    <w:rsid w:val="0095487A"/>
    <w:rsid w:val="009548FB"/>
    <w:rsid w:val="0095538B"/>
    <w:rsid w:val="009575B9"/>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D9D"/>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4E7"/>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6CB5"/>
    <w:rsid w:val="0099719E"/>
    <w:rsid w:val="009A0169"/>
    <w:rsid w:val="009A1B56"/>
    <w:rsid w:val="009A2A8A"/>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6C"/>
    <w:rsid w:val="009B71E4"/>
    <w:rsid w:val="009C04EE"/>
    <w:rsid w:val="009C0CD4"/>
    <w:rsid w:val="009C15E7"/>
    <w:rsid w:val="009C17C8"/>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CA5"/>
    <w:rsid w:val="009D7DE3"/>
    <w:rsid w:val="009E004A"/>
    <w:rsid w:val="009E066B"/>
    <w:rsid w:val="009E1423"/>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1D7F"/>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1B54"/>
    <w:rsid w:val="00A11CDC"/>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CE0"/>
    <w:rsid w:val="00A31FA9"/>
    <w:rsid w:val="00A333BF"/>
    <w:rsid w:val="00A33825"/>
    <w:rsid w:val="00A3398F"/>
    <w:rsid w:val="00A35583"/>
    <w:rsid w:val="00A363EF"/>
    <w:rsid w:val="00A36596"/>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050"/>
    <w:rsid w:val="00A45EC4"/>
    <w:rsid w:val="00A47212"/>
    <w:rsid w:val="00A474EA"/>
    <w:rsid w:val="00A501B2"/>
    <w:rsid w:val="00A5034A"/>
    <w:rsid w:val="00A50FFA"/>
    <w:rsid w:val="00A539D1"/>
    <w:rsid w:val="00A54DAE"/>
    <w:rsid w:val="00A56D3B"/>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2296"/>
    <w:rsid w:val="00A7388E"/>
    <w:rsid w:val="00A74544"/>
    <w:rsid w:val="00A74548"/>
    <w:rsid w:val="00A74DF2"/>
    <w:rsid w:val="00A74E4D"/>
    <w:rsid w:val="00A75633"/>
    <w:rsid w:val="00A7592E"/>
    <w:rsid w:val="00A76C1F"/>
    <w:rsid w:val="00A803FC"/>
    <w:rsid w:val="00A8071A"/>
    <w:rsid w:val="00A80DD9"/>
    <w:rsid w:val="00A80FCA"/>
    <w:rsid w:val="00A81CBC"/>
    <w:rsid w:val="00A82506"/>
    <w:rsid w:val="00A837CE"/>
    <w:rsid w:val="00A83DB5"/>
    <w:rsid w:val="00A83FBA"/>
    <w:rsid w:val="00A84636"/>
    <w:rsid w:val="00A84FE1"/>
    <w:rsid w:val="00A85080"/>
    <w:rsid w:val="00A85337"/>
    <w:rsid w:val="00A8626D"/>
    <w:rsid w:val="00A86406"/>
    <w:rsid w:val="00A86853"/>
    <w:rsid w:val="00A86B75"/>
    <w:rsid w:val="00A86E75"/>
    <w:rsid w:val="00A86F33"/>
    <w:rsid w:val="00A87AF0"/>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B72"/>
    <w:rsid w:val="00AC26FE"/>
    <w:rsid w:val="00AC350D"/>
    <w:rsid w:val="00AC3568"/>
    <w:rsid w:val="00AC3CF2"/>
    <w:rsid w:val="00AC47EC"/>
    <w:rsid w:val="00AC4E5D"/>
    <w:rsid w:val="00AC4FD2"/>
    <w:rsid w:val="00AC6C53"/>
    <w:rsid w:val="00AC6E85"/>
    <w:rsid w:val="00AC7284"/>
    <w:rsid w:val="00AC7CE6"/>
    <w:rsid w:val="00AD0828"/>
    <w:rsid w:val="00AD0B13"/>
    <w:rsid w:val="00AD0E69"/>
    <w:rsid w:val="00AD103D"/>
    <w:rsid w:val="00AD159C"/>
    <w:rsid w:val="00AD17FA"/>
    <w:rsid w:val="00AD19EC"/>
    <w:rsid w:val="00AD2717"/>
    <w:rsid w:val="00AD3DC4"/>
    <w:rsid w:val="00AD4FF4"/>
    <w:rsid w:val="00AD531D"/>
    <w:rsid w:val="00AD600C"/>
    <w:rsid w:val="00AD63D6"/>
    <w:rsid w:val="00AD6CD5"/>
    <w:rsid w:val="00AD733B"/>
    <w:rsid w:val="00AD7CA7"/>
    <w:rsid w:val="00AE0040"/>
    <w:rsid w:val="00AE184D"/>
    <w:rsid w:val="00AE1C03"/>
    <w:rsid w:val="00AE21DF"/>
    <w:rsid w:val="00AE23E3"/>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093"/>
    <w:rsid w:val="00B0236E"/>
    <w:rsid w:val="00B02506"/>
    <w:rsid w:val="00B02ACE"/>
    <w:rsid w:val="00B03913"/>
    <w:rsid w:val="00B04990"/>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272"/>
    <w:rsid w:val="00B224AA"/>
    <w:rsid w:val="00B22998"/>
    <w:rsid w:val="00B229FE"/>
    <w:rsid w:val="00B2302B"/>
    <w:rsid w:val="00B24363"/>
    <w:rsid w:val="00B2456E"/>
    <w:rsid w:val="00B24979"/>
    <w:rsid w:val="00B250A5"/>
    <w:rsid w:val="00B25651"/>
    <w:rsid w:val="00B26309"/>
    <w:rsid w:val="00B26937"/>
    <w:rsid w:val="00B269C3"/>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D70"/>
    <w:rsid w:val="00B41FD8"/>
    <w:rsid w:val="00B420DF"/>
    <w:rsid w:val="00B428E2"/>
    <w:rsid w:val="00B42A2C"/>
    <w:rsid w:val="00B42A5C"/>
    <w:rsid w:val="00B42A98"/>
    <w:rsid w:val="00B42C64"/>
    <w:rsid w:val="00B448DC"/>
    <w:rsid w:val="00B448EF"/>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E9D"/>
    <w:rsid w:val="00B55F80"/>
    <w:rsid w:val="00B56480"/>
    <w:rsid w:val="00B565D6"/>
    <w:rsid w:val="00B576A4"/>
    <w:rsid w:val="00B57998"/>
    <w:rsid w:val="00B57CD0"/>
    <w:rsid w:val="00B57DA9"/>
    <w:rsid w:val="00B60177"/>
    <w:rsid w:val="00B60639"/>
    <w:rsid w:val="00B62982"/>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364E"/>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6F2A"/>
    <w:rsid w:val="00B8756E"/>
    <w:rsid w:val="00B87DF9"/>
    <w:rsid w:val="00B902DA"/>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62C6"/>
    <w:rsid w:val="00BA7EEE"/>
    <w:rsid w:val="00BB2008"/>
    <w:rsid w:val="00BB29DF"/>
    <w:rsid w:val="00BB2CFC"/>
    <w:rsid w:val="00BB34DC"/>
    <w:rsid w:val="00BB35D0"/>
    <w:rsid w:val="00BB3AC4"/>
    <w:rsid w:val="00BB4999"/>
    <w:rsid w:val="00BB4BCD"/>
    <w:rsid w:val="00BB52EB"/>
    <w:rsid w:val="00BB56C7"/>
    <w:rsid w:val="00BB5B62"/>
    <w:rsid w:val="00BB6502"/>
    <w:rsid w:val="00BB6BB0"/>
    <w:rsid w:val="00BB6BCD"/>
    <w:rsid w:val="00BB70F9"/>
    <w:rsid w:val="00BB7C9B"/>
    <w:rsid w:val="00BC1527"/>
    <w:rsid w:val="00BC2306"/>
    <w:rsid w:val="00BC2F31"/>
    <w:rsid w:val="00BC4036"/>
    <w:rsid w:val="00BC4F0A"/>
    <w:rsid w:val="00BC509F"/>
    <w:rsid w:val="00BC51D2"/>
    <w:rsid w:val="00BC64BE"/>
    <w:rsid w:val="00BC7155"/>
    <w:rsid w:val="00BC7550"/>
    <w:rsid w:val="00BD0B72"/>
    <w:rsid w:val="00BD110D"/>
    <w:rsid w:val="00BD2668"/>
    <w:rsid w:val="00BD3924"/>
    <w:rsid w:val="00BD450F"/>
    <w:rsid w:val="00BD4512"/>
    <w:rsid w:val="00BD52AA"/>
    <w:rsid w:val="00BE1061"/>
    <w:rsid w:val="00BE1321"/>
    <w:rsid w:val="00BE2893"/>
    <w:rsid w:val="00BE2EB4"/>
    <w:rsid w:val="00BE2F5A"/>
    <w:rsid w:val="00BE37D3"/>
    <w:rsid w:val="00BE522A"/>
    <w:rsid w:val="00BE57B5"/>
    <w:rsid w:val="00BE7A7C"/>
    <w:rsid w:val="00BF0A44"/>
    <w:rsid w:val="00BF0CEC"/>
    <w:rsid w:val="00BF1A44"/>
    <w:rsid w:val="00BF1EDF"/>
    <w:rsid w:val="00BF487A"/>
    <w:rsid w:val="00BF4D3D"/>
    <w:rsid w:val="00BF5B8C"/>
    <w:rsid w:val="00BF66B7"/>
    <w:rsid w:val="00BF6A68"/>
    <w:rsid w:val="00BF6FC6"/>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60A0"/>
    <w:rsid w:val="00C07187"/>
    <w:rsid w:val="00C075C9"/>
    <w:rsid w:val="00C07FAD"/>
    <w:rsid w:val="00C106C4"/>
    <w:rsid w:val="00C111EA"/>
    <w:rsid w:val="00C119AD"/>
    <w:rsid w:val="00C1228D"/>
    <w:rsid w:val="00C13FED"/>
    <w:rsid w:val="00C14E7D"/>
    <w:rsid w:val="00C15722"/>
    <w:rsid w:val="00C16897"/>
    <w:rsid w:val="00C200C9"/>
    <w:rsid w:val="00C218FD"/>
    <w:rsid w:val="00C21D8E"/>
    <w:rsid w:val="00C22525"/>
    <w:rsid w:val="00C23DBB"/>
    <w:rsid w:val="00C23FE1"/>
    <w:rsid w:val="00C2410D"/>
    <w:rsid w:val="00C24BAF"/>
    <w:rsid w:val="00C25F8B"/>
    <w:rsid w:val="00C25FB5"/>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47748"/>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81"/>
    <w:rsid w:val="00C63EE8"/>
    <w:rsid w:val="00C6432E"/>
    <w:rsid w:val="00C65718"/>
    <w:rsid w:val="00C65C81"/>
    <w:rsid w:val="00C666DE"/>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77800"/>
    <w:rsid w:val="00C800DD"/>
    <w:rsid w:val="00C80920"/>
    <w:rsid w:val="00C80B03"/>
    <w:rsid w:val="00C81B57"/>
    <w:rsid w:val="00C8243F"/>
    <w:rsid w:val="00C8289B"/>
    <w:rsid w:val="00C82D54"/>
    <w:rsid w:val="00C82F3B"/>
    <w:rsid w:val="00C837C4"/>
    <w:rsid w:val="00C83829"/>
    <w:rsid w:val="00C83EDD"/>
    <w:rsid w:val="00C84BF1"/>
    <w:rsid w:val="00C84CA2"/>
    <w:rsid w:val="00C85A36"/>
    <w:rsid w:val="00C85CD1"/>
    <w:rsid w:val="00C86C56"/>
    <w:rsid w:val="00C8773E"/>
    <w:rsid w:val="00C87EDA"/>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97913"/>
    <w:rsid w:val="00CA0257"/>
    <w:rsid w:val="00CA0917"/>
    <w:rsid w:val="00CA102B"/>
    <w:rsid w:val="00CA283D"/>
    <w:rsid w:val="00CA29D1"/>
    <w:rsid w:val="00CA2DD6"/>
    <w:rsid w:val="00CA3247"/>
    <w:rsid w:val="00CA3752"/>
    <w:rsid w:val="00CA3999"/>
    <w:rsid w:val="00CA39C0"/>
    <w:rsid w:val="00CA5AD3"/>
    <w:rsid w:val="00CA62DD"/>
    <w:rsid w:val="00CA69BA"/>
    <w:rsid w:val="00CA7DE6"/>
    <w:rsid w:val="00CB0339"/>
    <w:rsid w:val="00CB110E"/>
    <w:rsid w:val="00CB11F8"/>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2F4"/>
    <w:rsid w:val="00CD25E1"/>
    <w:rsid w:val="00CD367C"/>
    <w:rsid w:val="00CD454A"/>
    <w:rsid w:val="00CD4F54"/>
    <w:rsid w:val="00CD4FFE"/>
    <w:rsid w:val="00CD57FA"/>
    <w:rsid w:val="00CD5A6E"/>
    <w:rsid w:val="00CD711F"/>
    <w:rsid w:val="00CD74A7"/>
    <w:rsid w:val="00CD79B2"/>
    <w:rsid w:val="00CE0090"/>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4AB"/>
    <w:rsid w:val="00CF2518"/>
    <w:rsid w:val="00CF2DDE"/>
    <w:rsid w:val="00CF344A"/>
    <w:rsid w:val="00CF39A0"/>
    <w:rsid w:val="00CF3D1C"/>
    <w:rsid w:val="00CF4713"/>
    <w:rsid w:val="00CF4B12"/>
    <w:rsid w:val="00CF58FE"/>
    <w:rsid w:val="00CF5EBE"/>
    <w:rsid w:val="00CF783B"/>
    <w:rsid w:val="00CF7D97"/>
    <w:rsid w:val="00CF7EEC"/>
    <w:rsid w:val="00D001C2"/>
    <w:rsid w:val="00D00779"/>
    <w:rsid w:val="00D009D8"/>
    <w:rsid w:val="00D01126"/>
    <w:rsid w:val="00D012E1"/>
    <w:rsid w:val="00D01318"/>
    <w:rsid w:val="00D01665"/>
    <w:rsid w:val="00D01D1E"/>
    <w:rsid w:val="00D01DD6"/>
    <w:rsid w:val="00D02580"/>
    <w:rsid w:val="00D03BF7"/>
    <w:rsid w:val="00D03F1E"/>
    <w:rsid w:val="00D0428E"/>
    <w:rsid w:val="00D04426"/>
    <w:rsid w:val="00D0482F"/>
    <w:rsid w:val="00D04A33"/>
    <w:rsid w:val="00D05892"/>
    <w:rsid w:val="00D06824"/>
    <w:rsid w:val="00D06C03"/>
    <w:rsid w:val="00D1037A"/>
    <w:rsid w:val="00D10D09"/>
    <w:rsid w:val="00D1163E"/>
    <w:rsid w:val="00D12362"/>
    <w:rsid w:val="00D12A4F"/>
    <w:rsid w:val="00D14C15"/>
    <w:rsid w:val="00D15CB3"/>
    <w:rsid w:val="00D15F51"/>
    <w:rsid w:val="00D16ED5"/>
    <w:rsid w:val="00D16F13"/>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27B1E"/>
    <w:rsid w:val="00D30718"/>
    <w:rsid w:val="00D322FB"/>
    <w:rsid w:val="00D32475"/>
    <w:rsid w:val="00D32EF4"/>
    <w:rsid w:val="00D33F81"/>
    <w:rsid w:val="00D34850"/>
    <w:rsid w:val="00D35060"/>
    <w:rsid w:val="00D369D4"/>
    <w:rsid w:val="00D36AD7"/>
    <w:rsid w:val="00D373E9"/>
    <w:rsid w:val="00D37C61"/>
    <w:rsid w:val="00D403FF"/>
    <w:rsid w:val="00D404C4"/>
    <w:rsid w:val="00D40C02"/>
    <w:rsid w:val="00D40CE9"/>
    <w:rsid w:val="00D42115"/>
    <w:rsid w:val="00D42EFD"/>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6916"/>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6D5"/>
    <w:rsid w:val="00D81E79"/>
    <w:rsid w:val="00D81FEA"/>
    <w:rsid w:val="00D825A5"/>
    <w:rsid w:val="00D825B7"/>
    <w:rsid w:val="00D8290E"/>
    <w:rsid w:val="00D82AD1"/>
    <w:rsid w:val="00D82E6E"/>
    <w:rsid w:val="00D83040"/>
    <w:rsid w:val="00D8323B"/>
    <w:rsid w:val="00D83489"/>
    <w:rsid w:val="00D83D13"/>
    <w:rsid w:val="00D841AC"/>
    <w:rsid w:val="00D8589D"/>
    <w:rsid w:val="00D85A81"/>
    <w:rsid w:val="00D86425"/>
    <w:rsid w:val="00D86466"/>
    <w:rsid w:val="00D86997"/>
    <w:rsid w:val="00D870E8"/>
    <w:rsid w:val="00D87423"/>
    <w:rsid w:val="00D87452"/>
    <w:rsid w:val="00D87485"/>
    <w:rsid w:val="00D907CB"/>
    <w:rsid w:val="00D91BF2"/>
    <w:rsid w:val="00D9332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1A06"/>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A2B"/>
    <w:rsid w:val="00DB6F45"/>
    <w:rsid w:val="00DB72B7"/>
    <w:rsid w:val="00DB7546"/>
    <w:rsid w:val="00DB782D"/>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3CFC"/>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1D31"/>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6113"/>
    <w:rsid w:val="00DE734E"/>
    <w:rsid w:val="00DE7887"/>
    <w:rsid w:val="00DE7BF8"/>
    <w:rsid w:val="00DF0DC3"/>
    <w:rsid w:val="00DF14F9"/>
    <w:rsid w:val="00DF1C2D"/>
    <w:rsid w:val="00DF1FAE"/>
    <w:rsid w:val="00DF2AD9"/>
    <w:rsid w:val="00DF416F"/>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6EE"/>
    <w:rsid w:val="00E2792D"/>
    <w:rsid w:val="00E30828"/>
    <w:rsid w:val="00E30B37"/>
    <w:rsid w:val="00E3109C"/>
    <w:rsid w:val="00E311D1"/>
    <w:rsid w:val="00E31C2D"/>
    <w:rsid w:val="00E32432"/>
    <w:rsid w:val="00E33B1E"/>
    <w:rsid w:val="00E34277"/>
    <w:rsid w:val="00E3621B"/>
    <w:rsid w:val="00E36F43"/>
    <w:rsid w:val="00E37F0C"/>
    <w:rsid w:val="00E40ADF"/>
    <w:rsid w:val="00E418E3"/>
    <w:rsid w:val="00E423DE"/>
    <w:rsid w:val="00E42F07"/>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543"/>
    <w:rsid w:val="00E60F14"/>
    <w:rsid w:val="00E61B23"/>
    <w:rsid w:val="00E625BE"/>
    <w:rsid w:val="00E6284B"/>
    <w:rsid w:val="00E62D07"/>
    <w:rsid w:val="00E62DF6"/>
    <w:rsid w:val="00E63A22"/>
    <w:rsid w:val="00E63B8F"/>
    <w:rsid w:val="00E646B5"/>
    <w:rsid w:val="00E65427"/>
    <w:rsid w:val="00E6543F"/>
    <w:rsid w:val="00E661C0"/>
    <w:rsid w:val="00E663F5"/>
    <w:rsid w:val="00E66E97"/>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22C4"/>
    <w:rsid w:val="00E943AE"/>
    <w:rsid w:val="00E947B0"/>
    <w:rsid w:val="00E95D82"/>
    <w:rsid w:val="00E95F21"/>
    <w:rsid w:val="00E96273"/>
    <w:rsid w:val="00E96E97"/>
    <w:rsid w:val="00E97D49"/>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E22"/>
    <w:rsid w:val="00EB693B"/>
    <w:rsid w:val="00EB7BA9"/>
    <w:rsid w:val="00EB7D75"/>
    <w:rsid w:val="00EC0B20"/>
    <w:rsid w:val="00EC0EE7"/>
    <w:rsid w:val="00EC1BCB"/>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4DB"/>
    <w:rsid w:val="00ED7966"/>
    <w:rsid w:val="00EE01CC"/>
    <w:rsid w:val="00EE04EE"/>
    <w:rsid w:val="00EE1760"/>
    <w:rsid w:val="00EE287D"/>
    <w:rsid w:val="00EE3B32"/>
    <w:rsid w:val="00EE3CFF"/>
    <w:rsid w:val="00EE3F39"/>
    <w:rsid w:val="00EE414C"/>
    <w:rsid w:val="00EE44FE"/>
    <w:rsid w:val="00EE5406"/>
    <w:rsid w:val="00EE5EF8"/>
    <w:rsid w:val="00EE6964"/>
    <w:rsid w:val="00EE6A1D"/>
    <w:rsid w:val="00EE6D18"/>
    <w:rsid w:val="00EE7E7A"/>
    <w:rsid w:val="00EF1230"/>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6E0B"/>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06F"/>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E5C"/>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143E"/>
    <w:rsid w:val="00F41CC5"/>
    <w:rsid w:val="00F41D25"/>
    <w:rsid w:val="00F42307"/>
    <w:rsid w:val="00F423C2"/>
    <w:rsid w:val="00F433F8"/>
    <w:rsid w:val="00F433FE"/>
    <w:rsid w:val="00F435C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94C"/>
    <w:rsid w:val="00F72C5F"/>
    <w:rsid w:val="00F73549"/>
    <w:rsid w:val="00F75782"/>
    <w:rsid w:val="00F80C1D"/>
    <w:rsid w:val="00F81130"/>
    <w:rsid w:val="00F818F7"/>
    <w:rsid w:val="00F81C5F"/>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192"/>
    <w:rsid w:val="00FA7699"/>
    <w:rsid w:val="00FA7BB5"/>
    <w:rsid w:val="00FA7C85"/>
    <w:rsid w:val="00FB06FF"/>
    <w:rsid w:val="00FB12D8"/>
    <w:rsid w:val="00FB176A"/>
    <w:rsid w:val="00FB1CDC"/>
    <w:rsid w:val="00FB238A"/>
    <w:rsid w:val="00FB2446"/>
    <w:rsid w:val="00FB2C81"/>
    <w:rsid w:val="00FB3BC4"/>
    <w:rsid w:val="00FB3F9C"/>
    <w:rsid w:val="00FB3FDE"/>
    <w:rsid w:val="00FB4676"/>
    <w:rsid w:val="00FB5552"/>
    <w:rsid w:val="00FB5789"/>
    <w:rsid w:val="00FB5F3A"/>
    <w:rsid w:val="00FB6382"/>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731E"/>
    <w:rsid w:val="00FD035A"/>
    <w:rsid w:val="00FD19F1"/>
    <w:rsid w:val="00FD1A7E"/>
    <w:rsid w:val="00FD2CC3"/>
    <w:rsid w:val="00FD31BF"/>
    <w:rsid w:val="00FD3CC7"/>
    <w:rsid w:val="00FD4148"/>
    <w:rsid w:val="00FD4D5B"/>
    <w:rsid w:val="00FD6453"/>
    <w:rsid w:val="00FD67FD"/>
    <w:rsid w:val="00FD7CB2"/>
    <w:rsid w:val="00FD7D46"/>
    <w:rsid w:val="00FD7D8B"/>
    <w:rsid w:val="00FE0491"/>
    <w:rsid w:val="00FE0AF2"/>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AA5"/>
    <w:rsid w:val="00FF4B07"/>
    <w:rsid w:val="00FF4BFC"/>
    <w:rsid w:val="00FF4C11"/>
    <w:rsid w:val="00FF56B9"/>
    <w:rsid w:val="00FF57E8"/>
    <w:rsid w:val="00FF58C0"/>
    <w:rsid w:val="00FF5948"/>
    <w:rsid w:val="00FF6B71"/>
    <w:rsid w:val="00FF6EDF"/>
    <w:rsid w:val="00FF6EEA"/>
    <w:rsid w:val="00FF77DF"/>
    <w:rsid w:val="00FF7ABB"/>
    <w:rsid w:val="00FF7B99"/>
    <w:rsid w:val="08850C02"/>
    <w:rsid w:val="31446EC1"/>
    <w:rsid w:val="40BDD1ED"/>
    <w:rsid w:val="48461931"/>
    <w:rsid w:val="4C071059"/>
    <w:rsid w:val="4FED3451"/>
    <w:rsid w:val="55E1D3C4"/>
    <w:rsid w:val="568298E8"/>
    <w:rsid w:val="64E525B5"/>
  </w:rsids>
  <m:mathPr>
    <m:mathFont m:val="Cambria Math"/>
    <m:brkBin m:val="before"/>
    <m:brkBinSub m:val="--"/>
    <m:smallFrac m:val="0"/>
    <m:dispDef/>
    <m:lMargin m:val="0"/>
    <m:rMargin m:val="0"/>
    <m:defJc m:val="centerGroup"/>
    <m:wrapIndent m:val="1440"/>
    <m:intLim m:val="subSup"/>
    <m:naryLim m:val="undOvr"/>
  </m:mathPr>
  <w:themeFontLang w:val="en-NZ"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F93DD7"/>
  <w14:defaultImageDpi w14:val="330"/>
  <w15:docId w15:val="{66DAE82B-DC76-47A8-A42A-3F976114A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8555EF"/>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34"/>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link w:val="NumberedparagraphChar"/>
    <w:uiPriority w:val="1"/>
    <w:qFormat/>
    <w:rsid w:val="005B6698"/>
    <w:pPr>
      <w:numPr>
        <w:numId w:val="5"/>
      </w:numPr>
      <w:spacing w:befor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rsid w:val="00C15722"/>
    <w:pPr>
      <w:numPr>
        <w:numId w:val="31"/>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3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ind w:left="681" w:hanging="397"/>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36"/>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37"/>
      </w:numPr>
      <w:spacing w:before="0"/>
      <w:ind w:left="1077" w:hanging="397"/>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uiPriority w:val="99"/>
    <w:semiHidden/>
    <w:rsid w:val="00456E90"/>
    <w:pPr>
      <w:spacing w:line="240" w:lineRule="auto"/>
    </w:pPr>
    <w:rPr>
      <w:sz w:val="20"/>
      <w:szCs w:val="20"/>
    </w:rPr>
  </w:style>
  <w:style w:type="character" w:customStyle="1" w:styleId="CommentTextChar">
    <w:name w:val="Comment Text Char"/>
    <w:basedOn w:val="DefaultParagraphFont"/>
    <w:link w:val="CommentText"/>
    <w:uiPriority w:val="99"/>
    <w:semiHidden/>
    <w:rsid w:val="00456E90"/>
    <w:rPr>
      <w:rFonts w:ascii="Calibri" w:eastAsiaTheme="minorEastAsia" w:hAnsi="Calibri"/>
      <w:sz w:val="20"/>
      <w:szCs w:val="20"/>
      <w:lang w:eastAsia="en-NZ"/>
    </w:rPr>
  </w:style>
  <w:style w:type="character" w:customStyle="1" w:styleId="NumberedparagraphChar">
    <w:name w:val="Numbered paragraph Char"/>
    <w:basedOn w:val="DefaultParagraphFont"/>
    <w:link w:val="Numberedparagraph"/>
    <w:uiPriority w:val="1"/>
    <w:rsid w:val="00202231"/>
    <w:rPr>
      <w:rFonts w:ascii="Calibri" w:eastAsiaTheme="minorEastAsia" w:hAnsi="Calibri"/>
      <w:lang w:eastAsia="en-NZ"/>
    </w:rPr>
  </w:style>
  <w:style w:type="character" w:customStyle="1" w:styleId="normaltextrun">
    <w:name w:val="normaltextrun"/>
    <w:basedOn w:val="DefaultParagraphFont"/>
    <w:rsid w:val="00202231"/>
  </w:style>
  <w:style w:type="character" w:customStyle="1" w:styleId="eop">
    <w:name w:val="eop"/>
    <w:basedOn w:val="DefaultParagraphFont"/>
    <w:rsid w:val="00773D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s://consult.environment.govt.nz/land/managing-hpl"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hyperlink" Target="mailto:highlyproductiveland@mfe.govt.nz"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environment.govt.nz/what-government-is-doing/cabinet-papers-and-regulatory-impact-statements/potential-amendments-to-the-nps-hp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legislation.govt.nz/act/public/1982/0156/latest/DLM64785.html" TargetMode="External"/><Relationship Id="rId5" Type="http://schemas.openxmlformats.org/officeDocument/2006/relationships/customXml" Target="../customXml/item5.xml"/><Relationship Id="rId15" Type="http://schemas.openxmlformats.org/officeDocument/2006/relationships/hyperlink" Target="http://www.environment.govt.nz" TargetMode="External"/><Relationship Id="rId23" Type="http://schemas.openxmlformats.org/officeDocument/2006/relationships/hyperlink" Target="http://www.environment.govt.nz/"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highlyproductiveland@mfe.govt.nz" TargetMode="External"/><Relationship Id="rId27"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environment.govt.nz/publications/national-policy-statement-for-indigenous-biodiversity/" TargetMode="External"/><Relationship Id="rId7" Type="http://schemas.openxmlformats.org/officeDocument/2006/relationships/hyperlink" Target="https://www.eeca.govt.nz/co-funding/sector-decarbonisation/covered-cropping-decarbonisation-pathway/" TargetMode="External"/><Relationship Id="rId2" Type="http://schemas.openxmlformats.org/officeDocument/2006/relationships/hyperlink" Target="https://environment.govt.nz/publications/national-policy-statement-for-freshwater-management-2020-amended-february-2023/" TargetMode="External"/><Relationship Id="rId1" Type="http://schemas.openxmlformats.org/officeDocument/2006/relationships/hyperlink" Target="https://environment.govt.nz/publications/nps-highly-productive-land-evaluation-under-section-32-of-the-resource-management-act/" TargetMode="External"/><Relationship Id="rId6" Type="http://schemas.openxmlformats.org/officeDocument/2006/relationships/hyperlink" Target="chrome-extension://efaidnbmnnnibpcajpcglclefindmkaj/https:/www.mpi.govt.nz/dmsdocument/54517-Situation-and-Outlook-for-Primary-Industries-SOPI-December-2022" TargetMode="External"/><Relationship Id="rId5" Type="http://schemas.openxmlformats.org/officeDocument/2006/relationships/hyperlink" Target="https://environment.govt.nz/what-government-is-doing/cabinet-papers-and-regulatory-impact-statements/potential-amendments-to-the-nps-hpl" TargetMode="External"/><Relationship Id="rId4" Type="http://schemas.openxmlformats.org/officeDocument/2006/relationships/hyperlink" Target="https://www.mbie.govt.nz/have-your-say/renewable-electrici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ECM-1122293896-100322</_dlc_DocId>
    <_dlc_DocIdUrl xmlns="58a6f171-52cb-4404-b47d-af1c8daf8fd1">
      <Url>https://ministryforenvironment.sharepoint.com/sites/ECM-ER-Comms/_layouts/15/DocIdRedir.aspx?ID=ECM-1122293896-100322</Url>
      <Description>ECM-1122293896-100322</Description>
    </_dlc_DocIdUrl>
    <lcf76f155ced4ddcb4097134ff3c332f xmlns="4a94300e-a927-4b92-9d3a-682523035cb6">
      <Terms xmlns="http://schemas.microsoft.com/office/infopath/2007/PartnerControls"/>
    </lcf76f155ced4ddcb4097134ff3c332f>
    <TaxCatchAll xmlns="58a6f171-52cb-4404-b47d-af1c8daf8fd1" xsi:nil="true"/>
    <SharedWithUsers xmlns="0a5b0190-e301-4766-933d-448c7c363fce">
      <UserInfo>
        <DisplayName>Nicole McGhie</DisplayName>
        <AccountId>535</AccountId>
        <AccountType/>
      </UserInfo>
      <UserInfo>
        <DisplayName>Eleanor Jamieson</DisplayName>
        <AccountId>415</AccountId>
        <AccountType/>
      </UserInfo>
      <UserInfo>
        <DisplayName>Jo Burton</DisplayName>
        <AccountId>19</AccountId>
        <AccountType/>
      </UserInfo>
      <UserInfo>
        <DisplayName>Hamiora Milne</DisplayName>
        <AccountId>93</AccountId>
        <AccountType/>
      </UserInfo>
      <UserInfo>
        <DisplayName>Meg Whitlow</DisplayName>
        <AccountId>329</AccountId>
        <AccountType/>
      </UserInfo>
      <UserInfo>
        <DisplayName>Nicolette Butler</DisplayName>
        <AccountId>217</AccountId>
        <AccountType/>
      </UserInfo>
    </SharedWithUsers>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4" ma:contentTypeDescription="Create a new document." ma:contentTypeScope="" ma:versionID="71ca4ff2c816bf98e720b531c5ba270a">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19f05a26c8dc5a9aa0303e2594aee7a9"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0CDAC4-0417-4665-BFBD-38D6177B7AAE}">
  <ds:schemaRefs>
    <ds:schemaRef ds:uri="http://schemas.microsoft.com/sharepoint/v3/contenttype/forms"/>
  </ds:schemaRefs>
</ds:datastoreItem>
</file>

<file path=customXml/itemProps2.xml><?xml version="1.0" encoding="utf-8"?>
<ds:datastoreItem xmlns:ds="http://schemas.openxmlformats.org/officeDocument/2006/customXml" ds:itemID="{A6ABE385-CC81-41C6-A3F2-1BC9449571F7}">
  <ds:schemaRefs>
    <ds:schemaRef ds:uri="http://schemas.microsoft.com/office/2006/metadata/properties"/>
    <ds:schemaRef ds:uri="http://schemas.microsoft.com/office/infopath/2007/PartnerControls"/>
    <ds:schemaRef ds:uri="4a94300e-a927-4b92-9d3a-682523035cb6"/>
    <ds:schemaRef ds:uri="http://schemas.microsoft.com/sharepoint/v3"/>
    <ds:schemaRef ds:uri="http://schemas.microsoft.com/sharepoint/v4"/>
    <ds:schemaRef ds:uri="58a6f171-52cb-4404-b47d-af1c8daf8fd1"/>
    <ds:schemaRef ds:uri="0a5b0190-e301-4766-933d-448c7c363fce"/>
  </ds:schemaRefs>
</ds:datastoreItem>
</file>

<file path=customXml/itemProps3.xml><?xml version="1.0" encoding="utf-8"?>
<ds:datastoreItem xmlns:ds="http://schemas.openxmlformats.org/officeDocument/2006/customXml" ds:itemID="{E915373F-630C-45C1-9D1D-0033FB98D60B}">
  <ds:schemaRefs>
    <ds:schemaRef ds:uri="http://schemas.microsoft.com/sharepoint/events"/>
  </ds:schemaRefs>
</ds:datastoreItem>
</file>

<file path=customXml/itemProps4.xml><?xml version="1.0" encoding="utf-8"?>
<ds:datastoreItem xmlns:ds="http://schemas.openxmlformats.org/officeDocument/2006/customXml" ds:itemID="{7574537E-2DCE-4EAD-BE2A-4F47832401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5815</Words>
  <Characters>30937</Characters>
  <Application>Microsoft Office Word</Application>
  <DocSecurity>4</DocSecurity>
  <Lines>583</Lines>
  <Paragraphs>378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36374</CharactersWithSpaces>
  <SharedDoc>false</SharedDoc>
  <HLinks>
    <vt:vector size="168" baseType="variant">
      <vt:variant>
        <vt:i4>1441913</vt:i4>
      </vt:variant>
      <vt:variant>
        <vt:i4>114</vt:i4>
      </vt:variant>
      <vt:variant>
        <vt:i4>0</vt:i4>
      </vt:variant>
      <vt:variant>
        <vt:i4>5</vt:i4>
      </vt:variant>
      <vt:variant>
        <vt:lpwstr>mailto:highlyproductiveland@mfe.govt.nz</vt:lpwstr>
      </vt:variant>
      <vt:variant>
        <vt:lpwstr/>
      </vt:variant>
      <vt:variant>
        <vt:i4>4784212</vt:i4>
      </vt:variant>
      <vt:variant>
        <vt:i4>111</vt:i4>
      </vt:variant>
      <vt:variant>
        <vt:i4>0</vt:i4>
      </vt:variant>
      <vt:variant>
        <vt:i4>5</vt:i4>
      </vt:variant>
      <vt:variant>
        <vt:lpwstr>https://www.legislation.govt.nz/act/public/1982/0156/latest/DLM64785.html</vt:lpwstr>
      </vt:variant>
      <vt:variant>
        <vt:lpwstr/>
      </vt:variant>
      <vt:variant>
        <vt:i4>7340128</vt:i4>
      </vt:variant>
      <vt:variant>
        <vt:i4>108</vt:i4>
      </vt:variant>
      <vt:variant>
        <vt:i4>0</vt:i4>
      </vt:variant>
      <vt:variant>
        <vt:i4>5</vt:i4>
      </vt:variant>
      <vt:variant>
        <vt:lpwstr>http://www.environment.govt.nz/</vt:lpwstr>
      </vt:variant>
      <vt:variant>
        <vt:lpwstr/>
      </vt:variant>
      <vt:variant>
        <vt:i4>1441913</vt:i4>
      </vt:variant>
      <vt:variant>
        <vt:i4>105</vt:i4>
      </vt:variant>
      <vt:variant>
        <vt:i4>0</vt:i4>
      </vt:variant>
      <vt:variant>
        <vt:i4>5</vt:i4>
      </vt:variant>
      <vt:variant>
        <vt:lpwstr>mailto:highlyproductiveland@mfe.govt.nz</vt:lpwstr>
      </vt:variant>
      <vt:variant>
        <vt:lpwstr/>
      </vt:variant>
      <vt:variant>
        <vt:i4>131164</vt:i4>
      </vt:variant>
      <vt:variant>
        <vt:i4>102</vt:i4>
      </vt:variant>
      <vt:variant>
        <vt:i4>0</vt:i4>
      </vt:variant>
      <vt:variant>
        <vt:i4>5</vt:i4>
      </vt:variant>
      <vt:variant>
        <vt:lpwstr>https://consult.environment.govt.nz/land/managing-hpl</vt:lpwstr>
      </vt:variant>
      <vt:variant>
        <vt:lpwstr/>
      </vt:variant>
      <vt:variant>
        <vt:i4>1441854</vt:i4>
      </vt:variant>
      <vt:variant>
        <vt:i4>95</vt:i4>
      </vt:variant>
      <vt:variant>
        <vt:i4>0</vt:i4>
      </vt:variant>
      <vt:variant>
        <vt:i4>5</vt:i4>
      </vt:variant>
      <vt:variant>
        <vt:lpwstr/>
      </vt:variant>
      <vt:variant>
        <vt:lpwstr>_Toc144381370</vt:lpwstr>
      </vt:variant>
      <vt:variant>
        <vt:i4>1507390</vt:i4>
      </vt:variant>
      <vt:variant>
        <vt:i4>89</vt:i4>
      </vt:variant>
      <vt:variant>
        <vt:i4>0</vt:i4>
      </vt:variant>
      <vt:variant>
        <vt:i4>5</vt:i4>
      </vt:variant>
      <vt:variant>
        <vt:lpwstr/>
      </vt:variant>
      <vt:variant>
        <vt:lpwstr>_Toc144381369</vt:lpwstr>
      </vt:variant>
      <vt:variant>
        <vt:i4>1507390</vt:i4>
      </vt:variant>
      <vt:variant>
        <vt:i4>83</vt:i4>
      </vt:variant>
      <vt:variant>
        <vt:i4>0</vt:i4>
      </vt:variant>
      <vt:variant>
        <vt:i4>5</vt:i4>
      </vt:variant>
      <vt:variant>
        <vt:lpwstr/>
      </vt:variant>
      <vt:variant>
        <vt:lpwstr>_Toc144381368</vt:lpwstr>
      </vt:variant>
      <vt:variant>
        <vt:i4>1507390</vt:i4>
      </vt:variant>
      <vt:variant>
        <vt:i4>77</vt:i4>
      </vt:variant>
      <vt:variant>
        <vt:i4>0</vt:i4>
      </vt:variant>
      <vt:variant>
        <vt:i4>5</vt:i4>
      </vt:variant>
      <vt:variant>
        <vt:lpwstr/>
      </vt:variant>
      <vt:variant>
        <vt:lpwstr>_Toc144381367</vt:lpwstr>
      </vt:variant>
      <vt:variant>
        <vt:i4>1507390</vt:i4>
      </vt:variant>
      <vt:variant>
        <vt:i4>71</vt:i4>
      </vt:variant>
      <vt:variant>
        <vt:i4>0</vt:i4>
      </vt:variant>
      <vt:variant>
        <vt:i4>5</vt:i4>
      </vt:variant>
      <vt:variant>
        <vt:lpwstr/>
      </vt:variant>
      <vt:variant>
        <vt:lpwstr>_Toc144381366</vt:lpwstr>
      </vt:variant>
      <vt:variant>
        <vt:i4>1507390</vt:i4>
      </vt:variant>
      <vt:variant>
        <vt:i4>65</vt:i4>
      </vt:variant>
      <vt:variant>
        <vt:i4>0</vt:i4>
      </vt:variant>
      <vt:variant>
        <vt:i4>5</vt:i4>
      </vt:variant>
      <vt:variant>
        <vt:lpwstr/>
      </vt:variant>
      <vt:variant>
        <vt:lpwstr>_Toc144381365</vt:lpwstr>
      </vt:variant>
      <vt:variant>
        <vt:i4>1507390</vt:i4>
      </vt:variant>
      <vt:variant>
        <vt:i4>59</vt:i4>
      </vt:variant>
      <vt:variant>
        <vt:i4>0</vt:i4>
      </vt:variant>
      <vt:variant>
        <vt:i4>5</vt:i4>
      </vt:variant>
      <vt:variant>
        <vt:lpwstr/>
      </vt:variant>
      <vt:variant>
        <vt:lpwstr>_Toc144381364</vt:lpwstr>
      </vt:variant>
      <vt:variant>
        <vt:i4>1507390</vt:i4>
      </vt:variant>
      <vt:variant>
        <vt:i4>53</vt:i4>
      </vt:variant>
      <vt:variant>
        <vt:i4>0</vt:i4>
      </vt:variant>
      <vt:variant>
        <vt:i4>5</vt:i4>
      </vt:variant>
      <vt:variant>
        <vt:lpwstr/>
      </vt:variant>
      <vt:variant>
        <vt:lpwstr>_Toc144381363</vt:lpwstr>
      </vt:variant>
      <vt:variant>
        <vt:i4>1507390</vt:i4>
      </vt:variant>
      <vt:variant>
        <vt:i4>47</vt:i4>
      </vt:variant>
      <vt:variant>
        <vt:i4>0</vt:i4>
      </vt:variant>
      <vt:variant>
        <vt:i4>5</vt:i4>
      </vt:variant>
      <vt:variant>
        <vt:lpwstr/>
      </vt:variant>
      <vt:variant>
        <vt:lpwstr>_Toc144381362</vt:lpwstr>
      </vt:variant>
      <vt:variant>
        <vt:i4>1507390</vt:i4>
      </vt:variant>
      <vt:variant>
        <vt:i4>41</vt:i4>
      </vt:variant>
      <vt:variant>
        <vt:i4>0</vt:i4>
      </vt:variant>
      <vt:variant>
        <vt:i4>5</vt:i4>
      </vt:variant>
      <vt:variant>
        <vt:lpwstr/>
      </vt:variant>
      <vt:variant>
        <vt:lpwstr>_Toc144381361</vt:lpwstr>
      </vt:variant>
      <vt:variant>
        <vt:i4>1507390</vt:i4>
      </vt:variant>
      <vt:variant>
        <vt:i4>35</vt:i4>
      </vt:variant>
      <vt:variant>
        <vt:i4>0</vt:i4>
      </vt:variant>
      <vt:variant>
        <vt:i4>5</vt:i4>
      </vt:variant>
      <vt:variant>
        <vt:lpwstr/>
      </vt:variant>
      <vt:variant>
        <vt:lpwstr>_Toc144381360</vt:lpwstr>
      </vt:variant>
      <vt:variant>
        <vt:i4>1310782</vt:i4>
      </vt:variant>
      <vt:variant>
        <vt:i4>29</vt:i4>
      </vt:variant>
      <vt:variant>
        <vt:i4>0</vt:i4>
      </vt:variant>
      <vt:variant>
        <vt:i4>5</vt:i4>
      </vt:variant>
      <vt:variant>
        <vt:lpwstr/>
      </vt:variant>
      <vt:variant>
        <vt:lpwstr>_Toc144381359</vt:lpwstr>
      </vt:variant>
      <vt:variant>
        <vt:i4>1310782</vt:i4>
      </vt:variant>
      <vt:variant>
        <vt:i4>23</vt:i4>
      </vt:variant>
      <vt:variant>
        <vt:i4>0</vt:i4>
      </vt:variant>
      <vt:variant>
        <vt:i4>5</vt:i4>
      </vt:variant>
      <vt:variant>
        <vt:lpwstr/>
      </vt:variant>
      <vt:variant>
        <vt:lpwstr>_Toc144381358</vt:lpwstr>
      </vt:variant>
      <vt:variant>
        <vt:i4>1310782</vt:i4>
      </vt:variant>
      <vt:variant>
        <vt:i4>17</vt:i4>
      </vt:variant>
      <vt:variant>
        <vt:i4>0</vt:i4>
      </vt:variant>
      <vt:variant>
        <vt:i4>5</vt:i4>
      </vt:variant>
      <vt:variant>
        <vt:lpwstr/>
      </vt:variant>
      <vt:variant>
        <vt:lpwstr>_Toc144381357</vt:lpwstr>
      </vt:variant>
      <vt:variant>
        <vt:i4>1310782</vt:i4>
      </vt:variant>
      <vt:variant>
        <vt:i4>11</vt:i4>
      </vt:variant>
      <vt:variant>
        <vt:i4>0</vt:i4>
      </vt:variant>
      <vt:variant>
        <vt:i4>5</vt:i4>
      </vt:variant>
      <vt:variant>
        <vt:lpwstr/>
      </vt:variant>
      <vt:variant>
        <vt:lpwstr>_Toc144381356</vt:lpwstr>
      </vt:variant>
      <vt:variant>
        <vt:i4>1310782</vt:i4>
      </vt:variant>
      <vt:variant>
        <vt:i4>5</vt:i4>
      </vt:variant>
      <vt:variant>
        <vt:i4>0</vt:i4>
      </vt:variant>
      <vt:variant>
        <vt:i4>5</vt:i4>
      </vt:variant>
      <vt:variant>
        <vt:lpwstr/>
      </vt:variant>
      <vt:variant>
        <vt:lpwstr>_Toc144381355</vt:lpwstr>
      </vt:variant>
      <vt:variant>
        <vt:i4>7340128</vt:i4>
      </vt:variant>
      <vt:variant>
        <vt:i4>0</vt:i4>
      </vt:variant>
      <vt:variant>
        <vt:i4>0</vt:i4>
      </vt:variant>
      <vt:variant>
        <vt:i4>5</vt:i4>
      </vt:variant>
      <vt:variant>
        <vt:lpwstr>http://www.environment.govt.nz/</vt:lpwstr>
      </vt:variant>
      <vt:variant>
        <vt:lpwstr/>
      </vt:variant>
      <vt:variant>
        <vt:i4>5701655</vt:i4>
      </vt:variant>
      <vt:variant>
        <vt:i4>15</vt:i4>
      </vt:variant>
      <vt:variant>
        <vt:i4>0</vt:i4>
      </vt:variant>
      <vt:variant>
        <vt:i4>5</vt:i4>
      </vt:variant>
      <vt:variant>
        <vt:lpwstr>https://www.eeca.govt.nz/co-funding/sector-decarbonisation/covered-cropping-decarbonisation-pathway/</vt:lpwstr>
      </vt:variant>
      <vt:variant>
        <vt:lpwstr/>
      </vt:variant>
      <vt:variant>
        <vt:i4>4980810</vt:i4>
      </vt:variant>
      <vt:variant>
        <vt:i4>12</vt:i4>
      </vt:variant>
      <vt:variant>
        <vt:i4>0</vt:i4>
      </vt:variant>
      <vt:variant>
        <vt:i4>5</vt:i4>
      </vt:variant>
      <vt:variant>
        <vt:lpwstr>chrome-extension://efaidnbmnnnibpcajpcglclefindmkaj/https:/www.mpi.govt.nz/dmsdocument/54517-Situation-and-Outlook-for-Primary-Industries-SOPI-December-2022</vt:lpwstr>
      </vt:variant>
      <vt:variant>
        <vt:lpwstr/>
      </vt:variant>
      <vt:variant>
        <vt:i4>5177361</vt:i4>
      </vt:variant>
      <vt:variant>
        <vt:i4>9</vt:i4>
      </vt:variant>
      <vt:variant>
        <vt:i4>0</vt:i4>
      </vt:variant>
      <vt:variant>
        <vt:i4>5</vt:i4>
      </vt:variant>
      <vt:variant>
        <vt:lpwstr>https://www.mbie.govt.nz/have-your-say/renewable-electricity/</vt:lpwstr>
      </vt:variant>
      <vt:variant>
        <vt:lpwstr/>
      </vt:variant>
      <vt:variant>
        <vt:i4>7143525</vt:i4>
      </vt:variant>
      <vt:variant>
        <vt:i4>6</vt:i4>
      </vt:variant>
      <vt:variant>
        <vt:i4>0</vt:i4>
      </vt:variant>
      <vt:variant>
        <vt:i4>5</vt:i4>
      </vt:variant>
      <vt:variant>
        <vt:lpwstr>https://environment.govt.nz/publications/national-policy-statement-for-indigenous-biodiversity/</vt:lpwstr>
      </vt:variant>
      <vt:variant>
        <vt:lpwstr/>
      </vt:variant>
      <vt:variant>
        <vt:i4>5767182</vt:i4>
      </vt:variant>
      <vt:variant>
        <vt:i4>3</vt:i4>
      </vt:variant>
      <vt:variant>
        <vt:i4>0</vt:i4>
      </vt:variant>
      <vt:variant>
        <vt:i4>5</vt:i4>
      </vt:variant>
      <vt:variant>
        <vt:lpwstr>https://environment.govt.nz/publications/national-policy-statement-for-freshwater-management-2020-amended-february-2023/</vt:lpwstr>
      </vt:variant>
      <vt:variant>
        <vt:lpwstr/>
      </vt:variant>
      <vt:variant>
        <vt:i4>2293887</vt:i4>
      </vt:variant>
      <vt:variant>
        <vt:i4>0</vt:i4>
      </vt:variant>
      <vt:variant>
        <vt:i4>0</vt:i4>
      </vt:variant>
      <vt:variant>
        <vt:i4>5</vt:i4>
      </vt:variant>
      <vt:variant>
        <vt:lpwstr>https://environment.govt.nz/publications/nps-highly-productive-land-evaluation-under-section-32-of-the-resource-management-act/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WalshK</dc:creator>
  <cp:keywords/>
  <cp:lastModifiedBy>Gemma Freeman</cp:lastModifiedBy>
  <cp:revision>2</cp:revision>
  <dcterms:created xsi:type="dcterms:W3CDTF">2023-09-14T00:25:00Z</dcterms:created>
  <dcterms:modified xsi:type="dcterms:W3CDTF">2023-09-14T00:25:00Z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_dlc_DocIdItemGuid">
    <vt:lpwstr>145ea85c-eb95-4eca-97dd-a779c2a6ee40</vt:lpwstr>
  </property>
  <property fmtid="{D5CDD505-2E9C-101B-9397-08002B2CF9AE}" pid="4" name="MSIP_Label_52dda6cc-d61d-4fd2-bf18-9b3017d931cc_Enabled">
    <vt:lpwstr>true</vt:lpwstr>
  </property>
  <property fmtid="{D5CDD505-2E9C-101B-9397-08002B2CF9AE}" pid="5" name="MSIP_Label_52dda6cc-d61d-4fd2-bf18-9b3017d931cc_SetDate">
    <vt:lpwstr>2022-01-16T22:14:40Z</vt:lpwstr>
  </property>
  <property fmtid="{D5CDD505-2E9C-101B-9397-08002B2CF9AE}" pid="6" name="MSIP_Label_52dda6cc-d61d-4fd2-bf18-9b3017d931cc_Method">
    <vt:lpwstr>Privileged</vt:lpwstr>
  </property>
  <property fmtid="{D5CDD505-2E9C-101B-9397-08002B2CF9AE}" pid="7" name="MSIP_Label_52dda6cc-d61d-4fd2-bf18-9b3017d931cc_Name">
    <vt:lpwstr>[UNCLASSIFIED]</vt:lpwstr>
  </property>
  <property fmtid="{D5CDD505-2E9C-101B-9397-08002B2CF9AE}" pid="8" name="MSIP_Label_52dda6cc-d61d-4fd2-bf18-9b3017d931cc_SiteId">
    <vt:lpwstr>761dd003-d4ff-4049-8a72-8549b20fcbb1</vt:lpwstr>
  </property>
  <property fmtid="{D5CDD505-2E9C-101B-9397-08002B2CF9AE}" pid="9" name="MSIP_Label_52dda6cc-d61d-4fd2-bf18-9b3017d931cc_ActionId">
    <vt:lpwstr>9adb5016-2886-4e41-9a13-e62dbe13137f</vt:lpwstr>
  </property>
  <property fmtid="{D5CDD505-2E9C-101B-9397-08002B2CF9AE}" pid="10" name="MSIP_Label_52dda6cc-d61d-4fd2-bf18-9b3017d931cc_ContentBits">
    <vt:lpwstr>0</vt:lpwstr>
  </property>
  <property fmtid="{D5CDD505-2E9C-101B-9397-08002B2CF9AE}" pid="11" name="MediaServiceImageTags">
    <vt:lpwstr/>
  </property>
</Properties>
</file>