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F47C6" w14:textId="7C799C93" w:rsidR="005644A8" w:rsidRPr="005644A8" w:rsidRDefault="00D75786" w:rsidP="005644A8">
      <w:pPr>
        <w:pStyle w:val="BodyText"/>
      </w:pPr>
      <w:r>
        <w:rPr>
          <w:noProof/>
        </w:rPr>
        <w:drawing>
          <wp:anchor distT="0" distB="0" distL="114300" distR="114300" simplePos="0" relativeHeight="251658240" behindDoc="0" locked="0" layoutInCell="1" allowOverlap="1" wp14:anchorId="6078B986" wp14:editId="7D961161">
            <wp:simplePos x="0" y="0"/>
            <wp:positionH relativeFrom="page">
              <wp:posOffset>9525</wp:posOffset>
            </wp:positionH>
            <wp:positionV relativeFrom="page">
              <wp:posOffset>0</wp:posOffset>
            </wp:positionV>
            <wp:extent cx="7555087" cy="10687050"/>
            <wp:effectExtent l="0" t="0" r="8255" b="0"/>
            <wp:wrapSquare wrapText="bothSides"/>
            <wp:docPr id="833095003" name="Picture 1" descr="A blue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095003" name="Picture 1" descr="A blue and white background&#10;&#10;AI-generated content may be incorrect."/>
                    <pic:cNvPicPr/>
                  </pic:nvPicPr>
                  <pic:blipFill>
                    <a:blip r:embed="rId12"/>
                    <a:stretch>
                      <a:fillRect/>
                    </a:stretch>
                  </pic:blipFill>
                  <pic:spPr>
                    <a:xfrm>
                      <a:off x="0" y="0"/>
                      <a:ext cx="7555087" cy="10687050"/>
                    </a:xfrm>
                    <a:prstGeom prst="rect">
                      <a:avLst/>
                    </a:prstGeom>
                  </pic:spPr>
                </pic:pic>
              </a:graphicData>
            </a:graphic>
            <wp14:sizeRelH relativeFrom="margin">
              <wp14:pctWidth>0</wp14:pctWidth>
            </wp14:sizeRelH>
            <wp14:sizeRelV relativeFrom="margin">
              <wp14:pctHeight>0</wp14:pctHeight>
            </wp14:sizeRelV>
          </wp:anchor>
        </w:drawing>
      </w:r>
    </w:p>
    <w:p w14:paraId="0EB19427" w14:textId="77777777" w:rsidR="0003640E" w:rsidRPr="006B77BB" w:rsidRDefault="0003640E" w:rsidP="0080531E">
      <w:pPr>
        <w:jc w:val="left"/>
        <w:rPr>
          <w:color w:val="FF0000"/>
        </w:rPr>
        <w:sectPr w:rsidR="0003640E" w:rsidRPr="006B77BB" w:rsidSect="009F3F8A">
          <w:headerReference w:type="default" r:id="rId13"/>
          <w:footerReference w:type="default" r:id="rId14"/>
          <w:pgSz w:w="11907" w:h="16840" w:code="9"/>
          <w:pgMar w:top="5670" w:right="1701" w:bottom="1701" w:left="1701" w:header="567" w:footer="1134" w:gutter="0"/>
          <w:cols w:space="720"/>
        </w:sectPr>
      </w:pPr>
    </w:p>
    <w:p w14:paraId="4D8D6359" w14:textId="77777777" w:rsidR="00452EC4" w:rsidRPr="006B77BB" w:rsidRDefault="00452EC4" w:rsidP="00775F57">
      <w:pPr>
        <w:pStyle w:val="Imprint"/>
        <w:spacing w:before="0" w:after="0"/>
        <w:rPr>
          <w:b/>
        </w:rPr>
      </w:pPr>
      <w:r w:rsidRPr="006B77BB">
        <w:rPr>
          <w:b/>
        </w:rPr>
        <w:lastRenderedPageBreak/>
        <w:t>Disclaimer</w:t>
      </w:r>
    </w:p>
    <w:p w14:paraId="7D06AFAA" w14:textId="77777777" w:rsidR="0059040D" w:rsidRDefault="0059040D" w:rsidP="0059040D">
      <w:pPr>
        <w:pStyle w:val="Imprint"/>
      </w:pPr>
      <w:r>
        <w:t xml:space="preserve">The information in this publication is, according to the Ministry for the Environment’s best efforts, accurate at the time of publication. The Ministry will make every reasonable effort to keep it current and accurate. However, users of this publication are advised that: </w:t>
      </w:r>
    </w:p>
    <w:p w14:paraId="048E1728" w14:textId="77777777" w:rsidR="0059040D" w:rsidRDefault="0059040D" w:rsidP="00D01DD6">
      <w:pPr>
        <w:pStyle w:val="Bullet"/>
      </w:pPr>
      <w:r>
        <w:t xml:space="preserve">the information does not alter the laws of New Zealand, other official guidelines, or requirements </w:t>
      </w:r>
    </w:p>
    <w:p w14:paraId="5A1AF986" w14:textId="77777777" w:rsidR="0059040D" w:rsidRDefault="0059040D" w:rsidP="00D01DD6">
      <w:pPr>
        <w:pStyle w:val="Bullet"/>
      </w:pPr>
      <w:r>
        <w:t xml:space="preserve">it does not constitute legal advice, and users should take specific advice from qualified professionals before taking any action based on information in this publication </w:t>
      </w:r>
    </w:p>
    <w:p w14:paraId="57E37906" w14:textId="77777777" w:rsidR="0059040D" w:rsidRDefault="0059040D" w:rsidP="00D01DD6">
      <w:pPr>
        <w:pStyle w:val="Bullet"/>
      </w:pPr>
      <w:r>
        <w:t xml:space="preserve">the Ministry does not accept any responsibility or liability whatsoever whether in contract, tort, equity, or otherwise for any action taken as a result of reading, or reliance placed on this publication because of having read any part, or all, of the information in this publication or for any error, or inadequacy, deficiency, flaw in, or omission from the information in this publication </w:t>
      </w:r>
    </w:p>
    <w:p w14:paraId="4CA6B1DF" w14:textId="77777777" w:rsidR="00452EC4" w:rsidRPr="006B77BB" w:rsidRDefault="0059040D" w:rsidP="00D01DD6">
      <w:pPr>
        <w:pStyle w:val="Bullet"/>
      </w:pPr>
      <w:r>
        <w:t>all references to websites, organisations or people not within the Ministry are for convenience only and should not be taken as endorsement of those websites or information contained in those websites nor of organisations or people referred to.</w:t>
      </w:r>
    </w:p>
    <w:p w14:paraId="320297EC" w14:textId="77777777" w:rsidR="00452EC4" w:rsidRPr="006B77BB" w:rsidRDefault="00452EC4" w:rsidP="00775F57">
      <w:pPr>
        <w:pStyle w:val="Imprint"/>
        <w:spacing w:after="0"/>
        <w:rPr>
          <w:b/>
        </w:rPr>
      </w:pPr>
      <w:r w:rsidRPr="006B77BB">
        <w:rPr>
          <w:b/>
        </w:rPr>
        <w:t>Acknowledgements</w:t>
      </w:r>
    </w:p>
    <w:p w14:paraId="2DF6F0D5" w14:textId="24380793" w:rsidR="004B66A0" w:rsidRPr="004B66A0" w:rsidRDefault="004B66A0" w:rsidP="004B66A0">
      <w:pPr>
        <w:pStyle w:val="Imprint"/>
      </w:pPr>
      <w:r w:rsidRPr="004B66A0">
        <w:t>This publication may be cited as:</w:t>
      </w:r>
      <w:r w:rsidRPr="004B66A0">
        <w:rPr>
          <w:b/>
          <w:bCs/>
        </w:rPr>
        <w:t xml:space="preserve"> </w:t>
      </w:r>
      <w:r w:rsidR="00D75786">
        <w:t>Hodge F</w:t>
      </w:r>
      <w:r w:rsidRPr="004B66A0">
        <w:t>. 2025</w:t>
      </w:r>
      <w:r>
        <w:t>.</w:t>
      </w:r>
      <w:r w:rsidRPr="004B66A0">
        <w:t xml:space="preserve"> </w:t>
      </w:r>
      <w:bookmarkStart w:id="0" w:name="_Hlk201671451"/>
      <w:r w:rsidR="00D75786">
        <w:rPr>
          <w:i/>
          <w:iCs/>
        </w:rPr>
        <w:t>Indigenous Vegetation Cover</w:t>
      </w:r>
      <w:r w:rsidR="00A844F5" w:rsidRPr="00A844F5">
        <w:rPr>
          <w:i/>
          <w:iCs/>
        </w:rPr>
        <w:t xml:space="preserve">: </w:t>
      </w:r>
      <w:r w:rsidR="00A844F5" w:rsidRPr="004B66A0">
        <w:rPr>
          <w:i/>
          <w:iCs/>
        </w:rPr>
        <w:t xml:space="preserve">Ministry for the Environment </w:t>
      </w:r>
      <w:r w:rsidR="00A93774">
        <w:rPr>
          <w:i/>
          <w:iCs/>
        </w:rPr>
        <w:t>A</w:t>
      </w:r>
      <w:r w:rsidR="00A844F5" w:rsidRPr="004B66A0">
        <w:rPr>
          <w:i/>
          <w:iCs/>
        </w:rPr>
        <w:t xml:space="preserve">ttribute </w:t>
      </w:r>
      <w:r w:rsidR="00A93774">
        <w:rPr>
          <w:i/>
          <w:iCs/>
        </w:rPr>
        <w:t>S</w:t>
      </w:r>
      <w:r w:rsidR="00A844F5" w:rsidRPr="004B66A0">
        <w:rPr>
          <w:i/>
          <w:iCs/>
        </w:rPr>
        <w:t>tocktake</w:t>
      </w:r>
      <w:bookmarkEnd w:id="0"/>
      <w:r>
        <w:t xml:space="preserve">. </w:t>
      </w:r>
      <w:r w:rsidR="007237D6">
        <w:t xml:space="preserve">Ministry for the Environment, Wellington. </w:t>
      </w:r>
    </w:p>
    <w:p w14:paraId="7774842E" w14:textId="77777777" w:rsidR="00452EC4" w:rsidRDefault="00452EC4" w:rsidP="00452EC4">
      <w:pPr>
        <w:pStyle w:val="Imprint"/>
      </w:pPr>
    </w:p>
    <w:p w14:paraId="0D33AF7B" w14:textId="77777777" w:rsidR="0008138A" w:rsidRDefault="0008138A" w:rsidP="00452EC4">
      <w:pPr>
        <w:pStyle w:val="Imprint"/>
      </w:pPr>
    </w:p>
    <w:p w14:paraId="5588DE7B" w14:textId="77777777" w:rsidR="0080648D" w:rsidRDefault="0080648D" w:rsidP="00452EC4">
      <w:pPr>
        <w:pStyle w:val="Imprint"/>
      </w:pPr>
    </w:p>
    <w:p w14:paraId="29986B6A" w14:textId="77777777" w:rsidR="0080648D" w:rsidRDefault="0080648D" w:rsidP="00452EC4">
      <w:pPr>
        <w:pStyle w:val="Imprint"/>
      </w:pPr>
    </w:p>
    <w:p w14:paraId="0BD26AE8" w14:textId="77777777" w:rsidR="0080648D" w:rsidRDefault="0080648D" w:rsidP="00452EC4">
      <w:pPr>
        <w:pStyle w:val="Imprint"/>
      </w:pPr>
    </w:p>
    <w:p w14:paraId="2E4C3401" w14:textId="77777777" w:rsidR="0008138A" w:rsidRDefault="0008138A" w:rsidP="00452EC4">
      <w:pPr>
        <w:pStyle w:val="Imprint"/>
      </w:pPr>
    </w:p>
    <w:p w14:paraId="41D8F529" w14:textId="77777777" w:rsidR="0008138A" w:rsidRDefault="0008138A" w:rsidP="00452EC4">
      <w:pPr>
        <w:pStyle w:val="Imprint"/>
      </w:pPr>
    </w:p>
    <w:p w14:paraId="7038A73B" w14:textId="77777777" w:rsidR="0008138A" w:rsidRPr="006B77BB" w:rsidRDefault="0008138A" w:rsidP="00452EC4">
      <w:pPr>
        <w:pStyle w:val="Imprint"/>
      </w:pPr>
    </w:p>
    <w:p w14:paraId="28A5BD67" w14:textId="2072F712" w:rsidR="0080531E" w:rsidRPr="006B77BB" w:rsidRDefault="0080531E" w:rsidP="0080531E">
      <w:pPr>
        <w:pStyle w:val="Imprint"/>
      </w:pPr>
      <w:r w:rsidRPr="006B77BB">
        <w:t xml:space="preserve">Published in </w:t>
      </w:r>
      <w:r w:rsidR="00203186">
        <w:t>July</w:t>
      </w:r>
      <w:r w:rsidR="00775F57" w:rsidRPr="00663783">
        <w:t xml:space="preserve"> </w:t>
      </w:r>
      <w:r w:rsidR="004B66A0">
        <w:t>2025</w:t>
      </w:r>
      <w:r w:rsidRPr="006B77BB">
        <w:t xml:space="preserve"> by the</w:t>
      </w:r>
      <w:r w:rsidRPr="006B77BB">
        <w:br/>
        <w:t xml:space="preserve">Ministry for the Environment </w:t>
      </w:r>
      <w:r w:rsidRPr="006B77BB">
        <w:br/>
      </w:r>
      <w:proofErr w:type="spellStart"/>
      <w:r w:rsidRPr="006B77BB">
        <w:t>Manatū</w:t>
      </w:r>
      <w:proofErr w:type="spellEnd"/>
      <w:r w:rsidRPr="006B77BB">
        <w:t xml:space="preserve"> </w:t>
      </w:r>
      <w:proofErr w:type="spellStart"/>
      <w:r w:rsidR="001201AD">
        <w:t>m</w:t>
      </w:r>
      <w:r w:rsidRPr="006B77BB">
        <w:t>ō</w:t>
      </w:r>
      <w:proofErr w:type="spellEnd"/>
      <w:r w:rsidRPr="006B77BB">
        <w:t xml:space="preserve"> </w:t>
      </w:r>
      <w:proofErr w:type="spellStart"/>
      <w:r w:rsidR="001201AD">
        <w:t>t</w:t>
      </w:r>
      <w:r w:rsidRPr="006B77BB">
        <w:t>e</w:t>
      </w:r>
      <w:proofErr w:type="spellEnd"/>
      <w:r w:rsidRPr="006B77BB">
        <w:t xml:space="preserve"> Taiao</w:t>
      </w:r>
      <w:r w:rsidRPr="006B77BB">
        <w:br/>
        <w:t>PO Box 10362, Wellington 6143, New Zealand</w:t>
      </w:r>
      <w:r w:rsidR="00F27E5C">
        <w:br/>
      </w:r>
      <w:hyperlink r:id="rId15" w:history="1">
        <w:r w:rsidR="00F27E5C" w:rsidRPr="005A5193">
          <w:rPr>
            <w:rStyle w:val="Hyperlink"/>
          </w:rPr>
          <w:t>environment.govt.nz</w:t>
        </w:r>
      </w:hyperlink>
    </w:p>
    <w:p w14:paraId="62C8C522" w14:textId="4B3F8B82" w:rsidR="0003481B" w:rsidRDefault="0080531E" w:rsidP="0003481B">
      <w:pPr>
        <w:pStyle w:val="Imprint"/>
        <w:tabs>
          <w:tab w:val="left" w:pos="720"/>
        </w:tabs>
        <w:ind w:left="720" w:hanging="720"/>
      </w:pPr>
      <w:r w:rsidRPr="006B77BB">
        <w:t xml:space="preserve">ISBN: </w:t>
      </w:r>
      <w:r w:rsidR="0003481B" w:rsidRPr="0003481B">
        <w:rPr>
          <w:lang w:val="en-US"/>
        </w:rPr>
        <w:t>978-1-991140-97-5</w:t>
      </w:r>
      <w:r w:rsidR="0003481B" w:rsidRPr="0003481B">
        <w:t> </w:t>
      </w:r>
      <w:r w:rsidRPr="006B77BB">
        <w:t>(</w:t>
      </w:r>
      <w:r w:rsidR="00203186">
        <w:t>online</w:t>
      </w:r>
      <w:r w:rsidRPr="006B77BB">
        <w:t>)</w:t>
      </w:r>
    </w:p>
    <w:p w14:paraId="70B84154" w14:textId="36EDFB27" w:rsidR="0080531E" w:rsidRPr="006B77BB" w:rsidRDefault="0080531E" w:rsidP="0003481B">
      <w:pPr>
        <w:pStyle w:val="Imprint"/>
        <w:tabs>
          <w:tab w:val="left" w:pos="720"/>
        </w:tabs>
        <w:ind w:left="720" w:hanging="720"/>
      </w:pPr>
      <w:r w:rsidRPr="006B77BB">
        <w:t xml:space="preserve">Publication number: </w:t>
      </w:r>
      <w:r w:rsidRPr="0003481B">
        <w:t xml:space="preserve">ME </w:t>
      </w:r>
      <w:r w:rsidR="00203186" w:rsidRPr="0003481B">
        <w:t>1905</w:t>
      </w:r>
    </w:p>
    <w:p w14:paraId="67AF1C30" w14:textId="5C84328A" w:rsidR="0080531E" w:rsidRPr="006B77BB" w:rsidRDefault="0080531E" w:rsidP="00593E94">
      <w:pPr>
        <w:pStyle w:val="Imprint"/>
        <w:spacing w:after="80"/>
      </w:pPr>
      <w:r w:rsidRPr="006B77BB">
        <w:t xml:space="preserve">© Crown copyright New Zealand </w:t>
      </w:r>
      <w:r w:rsidR="004B66A0">
        <w:t>2025</w:t>
      </w:r>
    </w:p>
    <w:p w14:paraId="43D95433" w14:textId="77777777" w:rsidR="0080531E" w:rsidRPr="00A84FE1" w:rsidRDefault="0080531E" w:rsidP="00A84FE1">
      <w:pPr>
        <w:sectPr w:rsidR="0080531E" w:rsidRPr="00A84FE1" w:rsidSect="009F3F8A">
          <w:headerReference w:type="even" r:id="rId16"/>
          <w:headerReference w:type="default" r:id="rId17"/>
          <w:footerReference w:type="even" r:id="rId18"/>
          <w:footerReference w:type="default" r:id="rId19"/>
          <w:pgSz w:w="11907" w:h="16840" w:code="9"/>
          <w:pgMar w:top="1134" w:right="1701" w:bottom="1134" w:left="1701" w:header="567" w:footer="567" w:gutter="0"/>
          <w:pgNumType w:fmt="lowerRoman"/>
          <w:cols w:space="720"/>
        </w:sectPr>
      </w:pPr>
    </w:p>
    <w:p w14:paraId="037FFE8D" w14:textId="77777777" w:rsidR="0080531E" w:rsidRPr="00F06E0B" w:rsidRDefault="0080531E" w:rsidP="00585FD0">
      <w:pPr>
        <w:pStyle w:val="Heading"/>
      </w:pPr>
      <w:r w:rsidRPr="00F06E0B">
        <w:lastRenderedPageBreak/>
        <w:t>Contents</w:t>
      </w:r>
    </w:p>
    <w:p w14:paraId="11B050D4" w14:textId="75BF2A9A" w:rsidR="0008138A" w:rsidRDefault="00775F57">
      <w:pPr>
        <w:pStyle w:val="TOC1"/>
        <w:rPr>
          <w:rFonts w:asciiTheme="minorHAnsi" w:hAnsiTheme="minorHAnsi"/>
          <w:noProof/>
          <w:kern w:val="2"/>
          <w:sz w:val="24"/>
          <w:szCs w:val="24"/>
          <w14:ligatures w14:val="standardContextual"/>
        </w:rPr>
      </w:pPr>
      <w:r w:rsidRPr="006B77BB">
        <w:rPr>
          <w:color w:val="0092CF"/>
        </w:rPr>
        <w:fldChar w:fldCharType="begin"/>
      </w:r>
      <w:r w:rsidRPr="006B77BB">
        <w:rPr>
          <w:color w:val="0092CF"/>
        </w:rPr>
        <w:instrText xml:space="preserve"> TOC \h \z \t "Heading 1,1,Heading 2,2" </w:instrText>
      </w:r>
      <w:r w:rsidRPr="006B77BB">
        <w:rPr>
          <w:color w:val="0092CF"/>
        </w:rPr>
        <w:fldChar w:fldCharType="separate"/>
      </w:r>
      <w:hyperlink w:anchor="_Toc201841145" w:history="1">
        <w:r w:rsidR="0008138A" w:rsidRPr="007D1E26">
          <w:rPr>
            <w:rStyle w:val="Hyperlink"/>
            <w:noProof/>
          </w:rPr>
          <w:t>Introduction</w:t>
        </w:r>
        <w:r w:rsidR="0008138A">
          <w:rPr>
            <w:noProof/>
            <w:webHidden/>
          </w:rPr>
          <w:tab/>
        </w:r>
        <w:r w:rsidR="0008138A">
          <w:rPr>
            <w:noProof/>
            <w:webHidden/>
          </w:rPr>
          <w:fldChar w:fldCharType="begin"/>
        </w:r>
        <w:r w:rsidR="0008138A">
          <w:rPr>
            <w:noProof/>
            <w:webHidden/>
          </w:rPr>
          <w:instrText xml:space="preserve"> PAGEREF _Toc201841145 \h </w:instrText>
        </w:r>
        <w:r w:rsidR="0008138A">
          <w:rPr>
            <w:noProof/>
            <w:webHidden/>
          </w:rPr>
        </w:r>
        <w:r w:rsidR="0008138A">
          <w:rPr>
            <w:noProof/>
            <w:webHidden/>
          </w:rPr>
          <w:fldChar w:fldCharType="separate"/>
        </w:r>
        <w:r w:rsidR="00410CAA">
          <w:rPr>
            <w:noProof/>
            <w:webHidden/>
          </w:rPr>
          <w:t>4</w:t>
        </w:r>
        <w:r w:rsidR="0008138A">
          <w:rPr>
            <w:noProof/>
            <w:webHidden/>
          </w:rPr>
          <w:fldChar w:fldCharType="end"/>
        </w:r>
      </w:hyperlink>
    </w:p>
    <w:p w14:paraId="3419A09F" w14:textId="683D2AE5" w:rsidR="0008138A" w:rsidRDefault="0008138A">
      <w:pPr>
        <w:pStyle w:val="TOC1"/>
        <w:rPr>
          <w:rFonts w:asciiTheme="minorHAnsi" w:hAnsiTheme="minorHAnsi"/>
          <w:noProof/>
          <w:kern w:val="2"/>
          <w:sz w:val="24"/>
          <w:szCs w:val="24"/>
          <w14:ligatures w14:val="standardContextual"/>
        </w:rPr>
      </w:pPr>
      <w:hyperlink w:anchor="_Toc201841146" w:history="1">
        <w:r w:rsidRPr="007D1E26">
          <w:rPr>
            <w:rStyle w:val="Hyperlink"/>
            <w:noProof/>
          </w:rPr>
          <w:t>Part A – Attribute and method</w:t>
        </w:r>
        <w:r>
          <w:rPr>
            <w:noProof/>
            <w:webHidden/>
          </w:rPr>
          <w:tab/>
        </w:r>
        <w:r>
          <w:rPr>
            <w:noProof/>
            <w:webHidden/>
          </w:rPr>
          <w:fldChar w:fldCharType="begin"/>
        </w:r>
        <w:r>
          <w:rPr>
            <w:noProof/>
            <w:webHidden/>
          </w:rPr>
          <w:instrText xml:space="preserve"> PAGEREF _Toc201841146 \h </w:instrText>
        </w:r>
        <w:r>
          <w:rPr>
            <w:noProof/>
            <w:webHidden/>
          </w:rPr>
        </w:r>
        <w:r>
          <w:rPr>
            <w:noProof/>
            <w:webHidden/>
          </w:rPr>
          <w:fldChar w:fldCharType="separate"/>
        </w:r>
        <w:r w:rsidR="00410CAA">
          <w:rPr>
            <w:noProof/>
            <w:webHidden/>
          </w:rPr>
          <w:t>5</w:t>
        </w:r>
        <w:r>
          <w:rPr>
            <w:noProof/>
            <w:webHidden/>
          </w:rPr>
          <w:fldChar w:fldCharType="end"/>
        </w:r>
      </w:hyperlink>
    </w:p>
    <w:p w14:paraId="2C01FB48" w14:textId="44185731" w:rsidR="0008138A" w:rsidRDefault="0008138A">
      <w:pPr>
        <w:pStyle w:val="TOC1"/>
        <w:rPr>
          <w:rFonts w:asciiTheme="minorHAnsi" w:hAnsiTheme="minorHAnsi"/>
          <w:noProof/>
          <w:kern w:val="2"/>
          <w:sz w:val="24"/>
          <w:szCs w:val="24"/>
          <w14:ligatures w14:val="standardContextual"/>
        </w:rPr>
      </w:pPr>
      <w:hyperlink w:anchor="_Toc201841155" w:history="1">
        <w:r w:rsidRPr="007D1E26">
          <w:rPr>
            <w:rStyle w:val="Hyperlink"/>
            <w:noProof/>
          </w:rPr>
          <w:t>Part B – Current state and allocation options</w:t>
        </w:r>
        <w:r>
          <w:rPr>
            <w:noProof/>
            <w:webHidden/>
          </w:rPr>
          <w:tab/>
        </w:r>
        <w:r>
          <w:rPr>
            <w:noProof/>
            <w:webHidden/>
          </w:rPr>
          <w:fldChar w:fldCharType="begin"/>
        </w:r>
        <w:r>
          <w:rPr>
            <w:noProof/>
            <w:webHidden/>
          </w:rPr>
          <w:instrText xml:space="preserve"> PAGEREF _Toc201841155 \h </w:instrText>
        </w:r>
        <w:r>
          <w:rPr>
            <w:noProof/>
            <w:webHidden/>
          </w:rPr>
        </w:r>
        <w:r>
          <w:rPr>
            <w:noProof/>
            <w:webHidden/>
          </w:rPr>
          <w:fldChar w:fldCharType="separate"/>
        </w:r>
        <w:r w:rsidR="00410CAA">
          <w:rPr>
            <w:noProof/>
            <w:webHidden/>
          </w:rPr>
          <w:t>9</w:t>
        </w:r>
        <w:r>
          <w:rPr>
            <w:noProof/>
            <w:webHidden/>
          </w:rPr>
          <w:fldChar w:fldCharType="end"/>
        </w:r>
      </w:hyperlink>
    </w:p>
    <w:p w14:paraId="4419D663" w14:textId="784CDAC3" w:rsidR="0008138A" w:rsidRDefault="0008138A">
      <w:pPr>
        <w:pStyle w:val="TOC1"/>
        <w:rPr>
          <w:rFonts w:asciiTheme="minorHAnsi" w:hAnsiTheme="minorHAnsi"/>
          <w:noProof/>
          <w:kern w:val="2"/>
          <w:sz w:val="24"/>
          <w:szCs w:val="24"/>
          <w14:ligatures w14:val="standardContextual"/>
        </w:rPr>
      </w:pPr>
      <w:hyperlink w:anchor="_Toc201841162" w:history="1">
        <w:r w:rsidRPr="007D1E26">
          <w:rPr>
            <w:rStyle w:val="Hyperlink"/>
            <w:noProof/>
          </w:rPr>
          <w:t>Part C – Management levers and context</w:t>
        </w:r>
        <w:r>
          <w:rPr>
            <w:noProof/>
            <w:webHidden/>
          </w:rPr>
          <w:tab/>
        </w:r>
        <w:r>
          <w:rPr>
            <w:noProof/>
            <w:webHidden/>
          </w:rPr>
          <w:fldChar w:fldCharType="begin"/>
        </w:r>
        <w:r>
          <w:rPr>
            <w:noProof/>
            <w:webHidden/>
          </w:rPr>
          <w:instrText xml:space="preserve"> PAGEREF _Toc201841162 \h </w:instrText>
        </w:r>
        <w:r>
          <w:rPr>
            <w:noProof/>
            <w:webHidden/>
          </w:rPr>
        </w:r>
        <w:r>
          <w:rPr>
            <w:noProof/>
            <w:webHidden/>
          </w:rPr>
          <w:fldChar w:fldCharType="separate"/>
        </w:r>
        <w:r w:rsidR="00410CAA">
          <w:rPr>
            <w:noProof/>
            <w:webHidden/>
          </w:rPr>
          <w:t>13</w:t>
        </w:r>
        <w:r>
          <w:rPr>
            <w:noProof/>
            <w:webHidden/>
          </w:rPr>
          <w:fldChar w:fldCharType="end"/>
        </w:r>
      </w:hyperlink>
    </w:p>
    <w:p w14:paraId="7C59C6FD" w14:textId="1A3A42E7" w:rsidR="0008138A" w:rsidRDefault="0008138A">
      <w:pPr>
        <w:pStyle w:val="TOC1"/>
        <w:rPr>
          <w:rFonts w:asciiTheme="minorHAnsi" w:hAnsiTheme="minorHAnsi"/>
          <w:noProof/>
          <w:kern w:val="2"/>
          <w:sz w:val="24"/>
          <w:szCs w:val="24"/>
          <w14:ligatures w14:val="standardContextual"/>
        </w:rPr>
      </w:pPr>
      <w:hyperlink w:anchor="_Toc201841165" w:history="1">
        <w:r w:rsidRPr="007D1E26">
          <w:rPr>
            <w:rStyle w:val="Hyperlink"/>
            <w:noProof/>
          </w:rPr>
          <w:t>Part D – Impact analysis</w:t>
        </w:r>
        <w:r>
          <w:rPr>
            <w:noProof/>
            <w:webHidden/>
          </w:rPr>
          <w:tab/>
        </w:r>
        <w:r>
          <w:rPr>
            <w:noProof/>
            <w:webHidden/>
          </w:rPr>
          <w:fldChar w:fldCharType="begin"/>
        </w:r>
        <w:r>
          <w:rPr>
            <w:noProof/>
            <w:webHidden/>
          </w:rPr>
          <w:instrText xml:space="preserve"> PAGEREF _Toc201841165 \h </w:instrText>
        </w:r>
        <w:r>
          <w:rPr>
            <w:noProof/>
            <w:webHidden/>
          </w:rPr>
        </w:r>
        <w:r>
          <w:rPr>
            <w:noProof/>
            <w:webHidden/>
          </w:rPr>
          <w:fldChar w:fldCharType="separate"/>
        </w:r>
        <w:r w:rsidR="00410CAA">
          <w:rPr>
            <w:noProof/>
            <w:webHidden/>
          </w:rPr>
          <w:t>18</w:t>
        </w:r>
        <w:r>
          <w:rPr>
            <w:noProof/>
            <w:webHidden/>
          </w:rPr>
          <w:fldChar w:fldCharType="end"/>
        </w:r>
      </w:hyperlink>
    </w:p>
    <w:p w14:paraId="677F2511" w14:textId="30246315" w:rsidR="0008138A" w:rsidRDefault="0008138A">
      <w:pPr>
        <w:pStyle w:val="TOC1"/>
        <w:rPr>
          <w:rFonts w:asciiTheme="minorHAnsi" w:hAnsiTheme="minorHAnsi"/>
          <w:noProof/>
          <w:kern w:val="2"/>
          <w:sz w:val="24"/>
          <w:szCs w:val="24"/>
          <w14:ligatures w14:val="standardContextual"/>
        </w:rPr>
      </w:pPr>
      <w:hyperlink w:anchor="_Toc201841169" w:history="1">
        <w:r w:rsidRPr="007D1E26">
          <w:rPr>
            <w:rStyle w:val="Hyperlink"/>
            <w:noProof/>
          </w:rPr>
          <w:t>References</w:t>
        </w:r>
        <w:r>
          <w:rPr>
            <w:noProof/>
            <w:webHidden/>
          </w:rPr>
          <w:tab/>
        </w:r>
        <w:r>
          <w:rPr>
            <w:noProof/>
            <w:webHidden/>
          </w:rPr>
          <w:fldChar w:fldCharType="begin"/>
        </w:r>
        <w:r>
          <w:rPr>
            <w:noProof/>
            <w:webHidden/>
          </w:rPr>
          <w:instrText xml:space="preserve"> PAGEREF _Toc201841169 \h </w:instrText>
        </w:r>
        <w:r>
          <w:rPr>
            <w:noProof/>
            <w:webHidden/>
          </w:rPr>
        </w:r>
        <w:r>
          <w:rPr>
            <w:noProof/>
            <w:webHidden/>
          </w:rPr>
          <w:fldChar w:fldCharType="separate"/>
        </w:r>
        <w:r w:rsidR="00410CAA">
          <w:rPr>
            <w:noProof/>
            <w:webHidden/>
          </w:rPr>
          <w:t>19</w:t>
        </w:r>
        <w:r>
          <w:rPr>
            <w:noProof/>
            <w:webHidden/>
          </w:rPr>
          <w:fldChar w:fldCharType="end"/>
        </w:r>
      </w:hyperlink>
    </w:p>
    <w:p w14:paraId="2A1FD9CD" w14:textId="13BDF776" w:rsidR="0080531E" w:rsidRPr="006B77BB" w:rsidRDefault="00775F57" w:rsidP="002B4778">
      <w:pPr>
        <w:pStyle w:val="Glossary"/>
      </w:pPr>
      <w:r w:rsidRPr="006B77BB">
        <w:rPr>
          <w:color w:val="0092CF"/>
        </w:rPr>
        <w:fldChar w:fldCharType="end"/>
      </w:r>
    </w:p>
    <w:p w14:paraId="5A974DD4" w14:textId="77777777" w:rsidR="009348B1" w:rsidRDefault="009348B1" w:rsidP="009348B1">
      <w:pPr>
        <w:pStyle w:val="Heading1"/>
      </w:pPr>
    </w:p>
    <w:p w14:paraId="4D0BEB33" w14:textId="5086B33F" w:rsidR="00A10AE2" w:rsidRDefault="00A10AE2" w:rsidP="009348B1">
      <w:pPr>
        <w:pStyle w:val="Heading1"/>
      </w:pPr>
      <w:r>
        <w:t>Figures</w:t>
      </w:r>
    </w:p>
    <w:p w14:paraId="22F35BA0" w14:textId="6AFAF941" w:rsidR="00796A6F" w:rsidRPr="00A10AE2" w:rsidRDefault="00A10AE2" w:rsidP="004468CD">
      <w:pPr>
        <w:tabs>
          <w:tab w:val="right" w:pos="8505"/>
        </w:tabs>
      </w:pPr>
      <w:r w:rsidRPr="00A10AE2">
        <w:t>Figure 1: Categories in the Threatened Environment Classification</w:t>
      </w:r>
      <w:r w:rsidR="004468CD">
        <w:tab/>
        <w:t>10</w:t>
      </w:r>
      <w:r w:rsidR="00796A6F" w:rsidRPr="00A10AE2">
        <w:br w:type="page"/>
      </w:r>
    </w:p>
    <w:p w14:paraId="6A49AFA2" w14:textId="6418A58D" w:rsidR="0080531E" w:rsidRPr="003D1097" w:rsidRDefault="003D1097" w:rsidP="003D1097">
      <w:pPr>
        <w:pStyle w:val="Heading1"/>
      </w:pPr>
      <w:bookmarkStart w:id="1" w:name="_Toc201841145"/>
      <w:bookmarkStart w:id="2" w:name="_Toc345760336"/>
      <w:r w:rsidRPr="003D1097">
        <w:rPr>
          <w:rStyle w:val="Heading1Char"/>
          <w:b/>
          <w:bCs/>
        </w:rPr>
        <w:lastRenderedPageBreak/>
        <w:t>Introduction</w:t>
      </w:r>
      <w:bookmarkEnd w:id="1"/>
    </w:p>
    <w:p w14:paraId="12AC8398" w14:textId="39824A4E" w:rsidR="00A844F5" w:rsidRDefault="00A844F5" w:rsidP="00A844F5">
      <w:pPr>
        <w:pStyle w:val="Imprint"/>
      </w:pPr>
      <w:r>
        <w:t xml:space="preserve">This document collates existing information and </w:t>
      </w:r>
      <w:r w:rsidR="00DF0826">
        <w:t xml:space="preserve">has been produced by the Ministry for the Environment. It </w:t>
      </w:r>
      <w:r>
        <w:t>complements the Ministry</w:t>
      </w:r>
      <w:r w:rsidR="00DF0826">
        <w:t xml:space="preserve">’s commissioned </w:t>
      </w:r>
      <w:r w:rsidRPr="004B66A0">
        <w:t>stocktake of 55 environmental attributes</w:t>
      </w:r>
      <w:r>
        <w:t xml:space="preserve">. The stocktake involved </w:t>
      </w:r>
      <w:r w:rsidRPr="004B66A0">
        <w:t xml:space="preserve">43 researchers from NIWA, Manaaki Whenua Landcare Research, Cawthron Institute and </w:t>
      </w:r>
      <w:proofErr w:type="spellStart"/>
      <w:r w:rsidRPr="004B66A0">
        <w:t>Environet</w:t>
      </w:r>
      <w:proofErr w:type="spellEnd"/>
      <w:r w:rsidRPr="004B66A0">
        <w:t xml:space="preserve"> Limited (Lohrer et al, 2024a). The attributes </w:t>
      </w:r>
      <w:r>
        <w:t xml:space="preserve">covered by the stocktake </w:t>
      </w:r>
      <w:r w:rsidRPr="004B66A0">
        <w:t xml:space="preserve">are </w:t>
      </w:r>
      <w:r>
        <w:t xml:space="preserve">in </w:t>
      </w:r>
      <w:r w:rsidRPr="004B66A0">
        <w:t>air, terrestrial, soil, freshwater, and estuaries and coastal waters domains. </w:t>
      </w:r>
    </w:p>
    <w:tbl>
      <w:tblPr>
        <w:tblStyle w:val="TableGrid"/>
        <w:tblW w:w="8618" w:type="dxa"/>
        <w:tblInd w:w="-5"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shd w:val="clear" w:color="auto" w:fill="D2DDE2"/>
        <w:tblLook w:val="04A0" w:firstRow="1" w:lastRow="0" w:firstColumn="1" w:lastColumn="0" w:noHBand="0" w:noVBand="1"/>
      </w:tblPr>
      <w:tblGrid>
        <w:gridCol w:w="8618"/>
      </w:tblGrid>
      <w:tr w:rsidR="00DE521B" w14:paraId="021149C6" w14:textId="77777777" w:rsidTr="00DE521B">
        <w:tc>
          <w:tcPr>
            <w:tcW w:w="8618" w:type="dxa"/>
            <w:shd w:val="clear" w:color="auto" w:fill="D2DDE2"/>
          </w:tcPr>
          <w:p w14:paraId="6A5CF6DD" w14:textId="309DCD59" w:rsidR="00DE521B" w:rsidRDefault="00DE521B" w:rsidP="00DF0826">
            <w:pPr>
              <w:pStyle w:val="Boxheading0"/>
              <w:spacing w:after="240"/>
            </w:pPr>
            <w:r>
              <w:t xml:space="preserve">State of </w:t>
            </w:r>
            <w:r w:rsidR="00350457">
              <w:t>k</w:t>
            </w:r>
            <w:r>
              <w:t>nowledge</w:t>
            </w:r>
            <w:r w:rsidR="00A844F5">
              <w:t xml:space="preserve"> </w:t>
            </w:r>
            <w:r w:rsidR="00350457">
              <w:t>conclusion</w:t>
            </w:r>
          </w:p>
          <w:p w14:paraId="0F0A87C3" w14:textId="4F57856B" w:rsidR="00DE521B" w:rsidRDefault="00DE521B" w:rsidP="00DE521B">
            <w:pPr>
              <w:pStyle w:val="Boxbullet"/>
            </w:pPr>
            <w:r>
              <w:t xml:space="preserve">State of knowledge of </w:t>
            </w:r>
            <w:r w:rsidR="00D75786">
              <w:t>indigenous vegetation cover attribute</w:t>
            </w:r>
            <w:r>
              <w:t xml:space="preserve">: </w:t>
            </w:r>
            <w:r w:rsidR="00D75786">
              <w:rPr>
                <w:b/>
                <w:bCs/>
              </w:rPr>
              <w:t>Excellent</w:t>
            </w:r>
            <w:r w:rsidRPr="00DE521B">
              <w:rPr>
                <w:b/>
                <w:bCs/>
              </w:rPr>
              <w:t>/</w:t>
            </w:r>
            <w:r w:rsidR="00D75786">
              <w:rPr>
                <w:b/>
                <w:bCs/>
              </w:rPr>
              <w:t>Well-</w:t>
            </w:r>
            <w:r w:rsidRPr="00DE521B">
              <w:rPr>
                <w:b/>
                <w:bCs/>
              </w:rPr>
              <w:t>established</w:t>
            </w:r>
            <w:r w:rsidR="00D75786">
              <w:rPr>
                <w:b/>
                <w:bCs/>
              </w:rPr>
              <w:t xml:space="preserve"> </w:t>
            </w:r>
            <w:r>
              <w:t xml:space="preserve">– </w:t>
            </w:r>
            <w:r w:rsidR="00D75786">
              <w:t>comprehensive analysis/syntheses; multiple studies agree</w:t>
            </w:r>
            <w:r>
              <w:t xml:space="preserve">. </w:t>
            </w:r>
          </w:p>
          <w:p w14:paraId="6965D10A" w14:textId="4F5BC7BD" w:rsidR="00DE521B" w:rsidRPr="00345928" w:rsidRDefault="00DE521B" w:rsidP="00350457">
            <w:pPr>
              <w:pStyle w:val="Boxbullet"/>
              <w:numPr>
                <w:ilvl w:val="0"/>
                <w:numId w:val="0"/>
              </w:numPr>
              <w:ind w:left="681"/>
            </w:pPr>
          </w:p>
        </w:tc>
      </w:tr>
    </w:tbl>
    <w:p w14:paraId="49382FEB" w14:textId="77777777" w:rsidR="00B93390" w:rsidRDefault="00D75786" w:rsidP="00D75786">
      <w:pPr>
        <w:pStyle w:val="BodyText"/>
      </w:pPr>
      <w:r>
        <w:t>Good information is available on indigenous vegetation cover, primarily from the Land Cover Database.</w:t>
      </w:r>
      <w:r w:rsidR="003D1097">
        <w:rPr>
          <w:rStyle w:val="FootnoteReference"/>
        </w:rPr>
        <w:footnoteReference w:id="2"/>
      </w:r>
      <w:r>
        <w:t xml:space="preserve"> </w:t>
      </w:r>
    </w:p>
    <w:p w14:paraId="75528026" w14:textId="20348B5F" w:rsidR="00B93390" w:rsidRDefault="00D75786" w:rsidP="00D75786">
      <w:pPr>
        <w:pStyle w:val="BodyText"/>
      </w:pPr>
      <w:r>
        <w:t xml:space="preserve">Indigenous vegetation cover is monitored and reported by multiple parties in New Zealand including the Ministry for the Environment, Stats NZ, the Department of Conservation and councils via Land, Air, Water Aotearoa (LAWA). </w:t>
      </w:r>
    </w:p>
    <w:p w14:paraId="55B16F6C" w14:textId="3EEAD3D6" w:rsidR="00D75786" w:rsidRDefault="00D75786" w:rsidP="00D75786">
      <w:pPr>
        <w:pStyle w:val="BodyText"/>
      </w:pPr>
      <w:r>
        <w:t xml:space="preserve">It is well understood and accepted that indigenous vegetation cover is good coarse proxy for habitat and ecosystems, although </w:t>
      </w:r>
      <w:r w:rsidR="00B93390">
        <w:t xml:space="preserve">more </w:t>
      </w:r>
      <w:r>
        <w:t xml:space="preserve">information is </w:t>
      </w:r>
      <w:r w:rsidR="00B93390">
        <w:t xml:space="preserve">needed </w:t>
      </w:r>
      <w:r>
        <w:t>to provide context (</w:t>
      </w:r>
      <w:proofErr w:type="spellStart"/>
      <w:r>
        <w:t>eg</w:t>
      </w:r>
      <w:proofErr w:type="spellEnd"/>
      <w:r>
        <w:t>, on representativeness and quality). The pressures on indigenous vegetation cover are also well understood and often direct (</w:t>
      </w:r>
      <w:proofErr w:type="spellStart"/>
      <w:r>
        <w:t>eg</w:t>
      </w:r>
      <w:proofErr w:type="spellEnd"/>
      <w:r>
        <w:t xml:space="preserve">, vegetation clearance). </w:t>
      </w:r>
    </w:p>
    <w:p w14:paraId="130C56AE" w14:textId="77777777" w:rsidR="00D75786" w:rsidRDefault="00D75786" w:rsidP="00D75786">
      <w:pPr>
        <w:pStyle w:val="BodyText"/>
      </w:pPr>
    </w:p>
    <w:p w14:paraId="5B661FE2" w14:textId="77777777" w:rsidR="00D75786" w:rsidRDefault="00D75786" w:rsidP="00D75786">
      <w:pPr>
        <w:pStyle w:val="BodyText"/>
      </w:pPr>
      <w:r>
        <w:t xml:space="preserve"> </w:t>
      </w:r>
    </w:p>
    <w:p w14:paraId="77E216A9" w14:textId="77777777" w:rsidR="00D75786" w:rsidRDefault="00D75786" w:rsidP="00D75786">
      <w:pPr>
        <w:pStyle w:val="BodyText"/>
      </w:pPr>
    </w:p>
    <w:p w14:paraId="0300F757" w14:textId="77777777" w:rsidR="00D75786" w:rsidRDefault="00D75786">
      <w:pPr>
        <w:spacing w:before="0" w:after="200" w:line="276" w:lineRule="auto"/>
        <w:jc w:val="left"/>
      </w:pPr>
      <w:r>
        <w:br w:type="page"/>
      </w:r>
    </w:p>
    <w:p w14:paraId="378C515F" w14:textId="7B36DE74" w:rsidR="00D75786" w:rsidRDefault="00D75786" w:rsidP="00D75786">
      <w:pPr>
        <w:pStyle w:val="Heading1"/>
      </w:pPr>
      <w:bookmarkStart w:id="3" w:name="_Toc201841146"/>
      <w:r>
        <w:lastRenderedPageBreak/>
        <w:t>Part A – Attribute and method</w:t>
      </w:r>
      <w:bookmarkEnd w:id="3"/>
      <w:r>
        <w:t xml:space="preserve"> </w:t>
      </w:r>
    </w:p>
    <w:p w14:paraId="3274F581" w14:textId="586B1172" w:rsidR="00D75786" w:rsidRDefault="00D75786" w:rsidP="00D75786">
      <w:pPr>
        <w:pStyle w:val="Heading2"/>
      </w:pPr>
      <w:bookmarkStart w:id="4" w:name="A1"/>
      <w:bookmarkStart w:id="5" w:name="_Toc201841147"/>
      <w:r>
        <w:t>A1</w:t>
      </w:r>
      <w:bookmarkEnd w:id="4"/>
      <w:r>
        <w:t>: How does the attribute relate to ecological integrity or human health?</w:t>
      </w:r>
      <w:bookmarkEnd w:id="5"/>
      <w:r>
        <w:t xml:space="preserve"> </w:t>
      </w:r>
    </w:p>
    <w:p w14:paraId="5E3D7C54" w14:textId="4A62A61B" w:rsidR="00D75786" w:rsidRDefault="00D75786" w:rsidP="00D75786">
      <w:pPr>
        <w:pStyle w:val="BodyText"/>
      </w:pPr>
      <w:r>
        <w:t xml:space="preserve">Indigenous vegetation cover is a key component of terrestrial ecological integrity. </w:t>
      </w:r>
      <w:r w:rsidR="00B93390">
        <w:t>It</w:t>
      </w:r>
      <w:r>
        <w:t xml:space="preserve"> creates the habitat and local environmental conditions required by many of our indigenous species, supporting far greater biodiversity than exists just within the cover itself (Walker et al, 2006). Indigenous vegetation cover also contributes to the maintenance of ecological functions and processes. For example, </w:t>
      </w:r>
      <w:r w:rsidR="00B93390">
        <w:t>it</w:t>
      </w:r>
      <w:r>
        <w:t xml:space="preserve"> provides clean air and water </w:t>
      </w:r>
      <w:r w:rsidR="00B93390">
        <w:t xml:space="preserve">and plays </w:t>
      </w:r>
      <w:r>
        <w:t>a role in the decomposition of wastes, recycling of nutrients and maintenance of soil quality</w:t>
      </w:r>
      <w:r w:rsidR="00B93390">
        <w:t>. It also</w:t>
      </w:r>
      <w:r>
        <w:t xml:space="preserve"> aids pollination, regulates local climate, reduces flooding, contributes to soil structure, and provides unique food sources (IPBES, 2019).</w:t>
      </w:r>
      <w:r w:rsidR="0008138A">
        <w:t xml:space="preserve"> </w:t>
      </w:r>
    </w:p>
    <w:p w14:paraId="21295C77" w14:textId="0951AD15" w:rsidR="00D75786" w:rsidRDefault="00D75786" w:rsidP="00D75786">
      <w:pPr>
        <w:pStyle w:val="BodyText"/>
      </w:pPr>
      <w:r>
        <w:t xml:space="preserve">As well as the direct impacts of loss of indigenous vegetation cover to the site where it is cleared, there are also impacts on the resilience of remaining land under indigenous vegetation. Losses increase the vulnerability of remaining indigenous vegetation cover to pressures such as habitat fragmentation, pest and weed invasion and climate change impacts (Kupfer et al, 2006; </w:t>
      </w:r>
      <w:proofErr w:type="spellStart"/>
      <w:r>
        <w:t>Mantyka</w:t>
      </w:r>
      <w:proofErr w:type="spellEnd"/>
      <w:r>
        <w:t>-Pringle et al, 2015).</w:t>
      </w:r>
      <w:r w:rsidDel="0008138A">
        <w:t xml:space="preserve"> </w:t>
      </w:r>
    </w:p>
    <w:p w14:paraId="63E9033D" w14:textId="29789431" w:rsidR="00D75786" w:rsidRDefault="00D75786" w:rsidP="00D75786">
      <w:pPr>
        <w:pStyle w:val="Heading2"/>
      </w:pPr>
      <w:bookmarkStart w:id="6" w:name="A2"/>
      <w:bookmarkStart w:id="7" w:name="_Toc201841148"/>
      <w:r>
        <w:t>A2</w:t>
      </w:r>
      <w:bookmarkEnd w:id="6"/>
      <w:r>
        <w:t>: What is the evidence of impact on (a) ecological integrity or (b) human health? What is the spatial extent and magnitude of degradation?</w:t>
      </w:r>
      <w:bookmarkEnd w:id="7"/>
      <w:r>
        <w:t xml:space="preserve"> </w:t>
      </w:r>
    </w:p>
    <w:p w14:paraId="6DBFDD76" w14:textId="38C38281" w:rsidR="00D75786" w:rsidRDefault="00D75786" w:rsidP="00D75786">
      <w:pPr>
        <w:pStyle w:val="BodyText"/>
      </w:pPr>
      <w:r>
        <w:t>This attribute correlates to ecosystem extent attributes (</w:t>
      </w:r>
      <w:proofErr w:type="spellStart"/>
      <w:r>
        <w:t>eg</w:t>
      </w:r>
      <w:proofErr w:type="spellEnd"/>
      <w:r>
        <w:t>, wetland extent, dune extent, lowland forest extent). The spatial layer of indigenous vegetation cover could be overlaid with ecosystem information to inform these attributes. Additionally, defining indigenous vegetation cover by land</w:t>
      </w:r>
      <w:r w:rsidR="00B93390">
        <w:t>-</w:t>
      </w:r>
      <w:r>
        <w:t>cover class (and vice versa) could inform some of the method development of the indigenous plant dominance characteristic. Landscape connectivity is a way of describing the spatial distribution of indigenous vegetation cover, so indigenous vegetation cover data will be foundational to the connectivity attribute.</w:t>
      </w:r>
      <w:r w:rsidR="0008138A">
        <w:t xml:space="preserve"> </w:t>
      </w:r>
    </w:p>
    <w:p w14:paraId="34D62CD4" w14:textId="65B2151C" w:rsidR="00D75786" w:rsidRDefault="00D75786" w:rsidP="00D75786">
      <w:pPr>
        <w:pStyle w:val="Heading2"/>
      </w:pPr>
      <w:bookmarkStart w:id="8" w:name="_Toc201841149"/>
      <w:r>
        <w:t>A3: What has been the pace and trajectory of change in this attribute, and what do we expect in the future 10–30 years under the status quo? Are impacts reversible or irreversible (within a generation)?</w:t>
      </w:r>
      <w:bookmarkEnd w:id="8"/>
      <w:r>
        <w:t xml:space="preserve"> </w:t>
      </w:r>
    </w:p>
    <w:p w14:paraId="07F75B2F" w14:textId="44F135CE" w:rsidR="00D75786" w:rsidRDefault="00D75786" w:rsidP="00D75786">
      <w:pPr>
        <w:pStyle w:val="BodyText"/>
      </w:pPr>
      <w:r>
        <w:t xml:space="preserve">Although much indigenous vegetation loss is historic, indigenous vegetation cover continues to decline. Stats NZ reports a net decline of 13,000 ha between 2012 and 2018, as part of an </w:t>
      </w:r>
      <w:r>
        <w:lastRenderedPageBreak/>
        <w:t>ongoing trend of net loss.</w:t>
      </w:r>
      <w:r w:rsidR="00152593">
        <w:rPr>
          <w:rStyle w:val="FootnoteReference"/>
        </w:rPr>
        <w:footnoteReference w:id="3"/>
      </w:r>
      <w:r>
        <w:t xml:space="preserve"> Indigenous scrub/shrubland and tussock grasslands are the two main indigenous vegetation cover classes experiencing contemporary net losses in extent. Over a longer timescale, 40,800 ha of indigenous forest, scrub and shrublands, and 44,800 ha of indigenous grasslands, were lost between 1996 and 2018 (DOC, 2020). Large historical losses mean even small further losses have significant impacts on ecological integrity. </w:t>
      </w:r>
    </w:p>
    <w:p w14:paraId="237FF08D" w14:textId="61F31172" w:rsidR="00D75786" w:rsidRDefault="00D75786" w:rsidP="00D75786">
      <w:pPr>
        <w:pStyle w:val="BodyText"/>
      </w:pPr>
      <w:r>
        <w:t xml:space="preserve">The loss of indigenous vegetation cover brings irreversible impacts to species; it has been a significant driver of extinction and continues to be a risk. Over a quarter of Aotearoa New Zealand’s terrestrial species with a threat classification are currently </w:t>
      </w:r>
      <w:r w:rsidR="00150237">
        <w:t>‘</w:t>
      </w:r>
      <w:r>
        <w:t>at risk of becoming threatened with extinction</w:t>
      </w:r>
      <w:r w:rsidR="00150237">
        <w:t>’</w:t>
      </w:r>
      <w:r>
        <w:t xml:space="preserve"> (7</w:t>
      </w:r>
      <w:r w:rsidR="0008138A">
        <w:t xml:space="preserve"> per cent</w:t>
      </w:r>
      <w:r>
        <w:t xml:space="preserve">) or </w:t>
      </w:r>
      <w:r w:rsidR="00150237">
        <w:t>‘</w:t>
      </w:r>
      <w:r>
        <w:t>threatened with extinction</w:t>
      </w:r>
      <w:r w:rsidR="00150237">
        <w:t>’</w:t>
      </w:r>
      <w:r>
        <w:t xml:space="preserve"> (22</w:t>
      </w:r>
      <w:r w:rsidR="0008138A">
        <w:t xml:space="preserve"> per cent</w:t>
      </w:r>
      <w:r>
        <w:t xml:space="preserve">) (DOC, 2020). Extinction of species is irreversible. If removed, some forms of indigenous vegetation cover can take many generations to recover to their original state, if they ever do. </w:t>
      </w:r>
    </w:p>
    <w:p w14:paraId="191F63E9" w14:textId="0D979522" w:rsidR="00D75786" w:rsidRDefault="00D75786" w:rsidP="00D75786">
      <w:pPr>
        <w:pStyle w:val="Heading2"/>
      </w:pPr>
      <w:bookmarkStart w:id="9" w:name="_Toc201841150"/>
      <w:r>
        <w:t>A4: What monitoring is currently done and how is it reported (</w:t>
      </w:r>
      <w:proofErr w:type="spellStart"/>
      <w:r>
        <w:t>eg</w:t>
      </w:r>
      <w:proofErr w:type="spellEnd"/>
      <w:r>
        <w:t>, is there a standard, and how consistently is it used; who is monitoring for what purpose)? Is there a consensus on the most appropriate measurement method?</w:t>
      </w:r>
      <w:bookmarkEnd w:id="9"/>
      <w:r w:rsidDel="0008138A">
        <w:t xml:space="preserve"> </w:t>
      </w:r>
    </w:p>
    <w:p w14:paraId="5205FB7B" w14:textId="1658158F" w:rsidR="00D75786" w:rsidRDefault="00D75786" w:rsidP="00D75786">
      <w:pPr>
        <w:pStyle w:val="BodyText"/>
      </w:pPr>
      <w:r>
        <w:t>The current state of indigenous vegetation cover is reported nationally by the Department of Conservation (proportion of Land Environments New Zealand (LENZ) protected and under indigenous cover)</w:t>
      </w:r>
      <w:r w:rsidR="005C577F">
        <w:t>;</w:t>
      </w:r>
      <w:r w:rsidR="00152593">
        <w:rPr>
          <w:rStyle w:val="FootnoteReference"/>
        </w:rPr>
        <w:footnoteReference w:id="4"/>
      </w:r>
      <w:r>
        <w:t xml:space="preserve"> by the Ministry for the Environment and Stats NZ in national environmental reporting (indigenous land cover)</w:t>
      </w:r>
      <w:r w:rsidR="005C577F">
        <w:t>;</w:t>
      </w:r>
      <w:r>
        <w:t xml:space="preserve"> </w:t>
      </w:r>
      <w:r w:rsidR="005C577F">
        <w:t xml:space="preserve">and </w:t>
      </w:r>
      <w:r>
        <w:t>by LAWA (land cover)</w:t>
      </w:r>
      <w:r w:rsidR="005C577F">
        <w:t>;</w:t>
      </w:r>
      <w:r w:rsidDel="005C577F">
        <w:t xml:space="preserve"> </w:t>
      </w:r>
      <w:r w:rsidR="005C577F">
        <w:t xml:space="preserve">as well as </w:t>
      </w:r>
      <w:r>
        <w:t>locally by most regional councils.</w:t>
      </w:r>
      <w:r w:rsidDel="0008138A">
        <w:t xml:space="preserve"> </w:t>
      </w:r>
    </w:p>
    <w:p w14:paraId="323A49D1" w14:textId="52D20CCF" w:rsidR="00D75786" w:rsidRDefault="00D75786" w:rsidP="00D75786">
      <w:pPr>
        <w:pStyle w:val="BodyText"/>
      </w:pPr>
      <w:r>
        <w:t>Currently</w:t>
      </w:r>
      <w:r w:rsidR="005C577F">
        <w:t>,</w:t>
      </w:r>
      <w:r>
        <w:t xml:space="preserve"> there is national-level monitoring of indigenous vegetation cover using data from the Land Cover Database (LCDB)</w:t>
      </w:r>
      <w:r w:rsidR="005C577F">
        <w:t>,</w:t>
      </w:r>
      <w:r>
        <w:t xml:space="preserve"> </w:t>
      </w:r>
      <w:r w:rsidR="005C577F">
        <w:t xml:space="preserve">which is </w:t>
      </w:r>
      <w:r>
        <w:t xml:space="preserve">produced by Manaaki Whenua Landcare Research and </w:t>
      </w:r>
      <w:r w:rsidR="005C577F">
        <w:t xml:space="preserve">jointly </w:t>
      </w:r>
      <w:r>
        <w:t>funded by the Department of Conservation, Ministry for Primary Industries and Ministry for the Environment. The LCDB is produced</w:t>
      </w:r>
      <w:r w:rsidDel="005C577F">
        <w:t xml:space="preserve"> </w:t>
      </w:r>
      <w:r w:rsidR="005C577F">
        <w:t xml:space="preserve">about </w:t>
      </w:r>
      <w:r>
        <w:t>every five years using satellite data</w:t>
      </w:r>
      <w:r w:rsidR="005C577F">
        <w:t>,</w:t>
      </w:r>
      <w:r>
        <w:t xml:space="preserve"> and infers land</w:t>
      </w:r>
      <w:r w:rsidR="005C577F">
        <w:t>-</w:t>
      </w:r>
      <w:r>
        <w:t xml:space="preserve">cover classes at a one-hectare resolution. This is used as the input for data for reporting on indigenous vegetation cover. </w:t>
      </w:r>
    </w:p>
    <w:p w14:paraId="01E1A0A6" w14:textId="7448B3E5" w:rsidR="00D75786" w:rsidRDefault="005C577F" w:rsidP="00D75786">
      <w:pPr>
        <w:pStyle w:val="BodyText"/>
      </w:pPr>
      <w:r>
        <w:t>N</w:t>
      </w:r>
      <w:r w:rsidR="00D75786">
        <w:t>o national standard for how to use the LCDB data</w:t>
      </w:r>
      <w:r>
        <w:t xml:space="preserve"> exists</w:t>
      </w:r>
      <w:r w:rsidR="00D75786">
        <w:t>, but generally all reporting parties follow a consistent approach. Land</w:t>
      </w:r>
      <w:r>
        <w:t>-</w:t>
      </w:r>
      <w:r w:rsidR="00D75786">
        <w:t xml:space="preserve">cover classes are assigned as either an indigenous or exotic category, and those areas are </w:t>
      </w:r>
      <w:r w:rsidR="00E5437A">
        <w:t>combined</w:t>
      </w:r>
      <w:r w:rsidR="00D75786">
        <w:t xml:space="preserve"> to infer the percentage of indigenous vegetation. Note the national Threatened Environment Classification (Walker et al, 2015) sets out which land</w:t>
      </w:r>
      <w:r>
        <w:t>-</w:t>
      </w:r>
      <w:r w:rsidR="00D75786">
        <w:t xml:space="preserve">cover classes should be considered indigenous versus exotic (as determined by expert opinion). </w:t>
      </w:r>
    </w:p>
    <w:p w14:paraId="36837E33" w14:textId="72396545" w:rsidR="00D75786" w:rsidRDefault="00D75786" w:rsidP="00D75786">
      <w:pPr>
        <w:pStyle w:val="BodyText"/>
      </w:pPr>
      <w:r>
        <w:lastRenderedPageBreak/>
        <w:t>The same approach is also used to report current state regionally (</w:t>
      </w:r>
      <w:proofErr w:type="spellStart"/>
      <w:r>
        <w:t>eg</w:t>
      </w:r>
      <w:proofErr w:type="spellEnd"/>
      <w:r>
        <w:t>, by Waikato Regional Council). The council-led Environmental Monitoring and Reporting initiative developed and agreed on an approach to reporting on indigenous vegetation cover (Bellingham et al, 2016).</w:t>
      </w:r>
      <w:r w:rsidDel="0008138A">
        <w:t xml:space="preserve"> </w:t>
      </w:r>
    </w:p>
    <w:p w14:paraId="57D6467C" w14:textId="77777777" w:rsidR="00D75786" w:rsidRDefault="00D75786" w:rsidP="00D75786">
      <w:pPr>
        <w:pStyle w:val="BodyText"/>
      </w:pPr>
      <w:r>
        <w:t xml:space="preserve">There is no standard or method around ground truthing and enhancement with local data, which could be, for example, desktop analysis using councils’ existing field data, aerial photographs, and/or ecosystem maps. A standard methodology becomes more important when using the LCDB at a regional scale. </w:t>
      </w:r>
    </w:p>
    <w:p w14:paraId="4C787812" w14:textId="1DF29B14" w:rsidR="00D75786" w:rsidRDefault="00D75786" w:rsidP="0006671D">
      <w:pPr>
        <w:pStyle w:val="Heading3"/>
      </w:pPr>
      <w:bookmarkStart w:id="10" w:name="_Toc201841151"/>
      <w:r>
        <w:t>A4(</w:t>
      </w:r>
      <w:proofErr w:type="spellStart"/>
      <w:r>
        <w:t>i</w:t>
      </w:r>
      <w:proofErr w:type="spellEnd"/>
      <w:r>
        <w:t>): Are there any implementation issues such as accessing privately owned land to collect repeat samples for regulatory informing purposes?</w:t>
      </w:r>
      <w:bookmarkEnd w:id="10"/>
      <w:r>
        <w:t xml:space="preserve"> </w:t>
      </w:r>
    </w:p>
    <w:p w14:paraId="428C2557" w14:textId="1EEEFE4E" w:rsidR="00D75786" w:rsidRDefault="00D75786" w:rsidP="00D75786">
      <w:pPr>
        <w:pStyle w:val="BodyText"/>
      </w:pPr>
      <w:r>
        <w:t>Indigenous vegetation cover can be monitored remotely, and the LCDB forms the basis of most reporting, so implementation issues are unlikely. Where ground truthing is required, this can also be done remotely (</w:t>
      </w:r>
      <w:proofErr w:type="spellStart"/>
      <w:r>
        <w:t>eg</w:t>
      </w:r>
      <w:proofErr w:type="spellEnd"/>
      <w:r>
        <w:t>, by satellite or aerial imagery).</w:t>
      </w:r>
      <w:r w:rsidDel="0008138A">
        <w:t xml:space="preserve"> </w:t>
      </w:r>
    </w:p>
    <w:p w14:paraId="7F9935E1" w14:textId="7F341F09" w:rsidR="00D75786" w:rsidRDefault="00D75786" w:rsidP="0006671D">
      <w:pPr>
        <w:pStyle w:val="Heading3"/>
      </w:pPr>
      <w:bookmarkStart w:id="11" w:name="_Toc201841152"/>
      <w:r>
        <w:t>A4(ii): What are the costs associated with monitoring the attribute? This includes up-front costs to set up for monitoring (</w:t>
      </w:r>
      <w:proofErr w:type="spellStart"/>
      <w:r>
        <w:t>eg</w:t>
      </w:r>
      <w:proofErr w:type="spellEnd"/>
      <w:r>
        <w:t>, purchase of equipment) and ongoing operational costs (</w:t>
      </w:r>
      <w:proofErr w:type="spellStart"/>
      <w:r>
        <w:t>eg</w:t>
      </w:r>
      <w:proofErr w:type="spellEnd"/>
      <w:r>
        <w:t>, analysis of samples).</w:t>
      </w:r>
      <w:bookmarkEnd w:id="11"/>
      <w:r>
        <w:t xml:space="preserve"> </w:t>
      </w:r>
    </w:p>
    <w:p w14:paraId="3F9414BF" w14:textId="621475C2" w:rsidR="00D75786" w:rsidRDefault="00D75786" w:rsidP="00D75786">
      <w:pPr>
        <w:pStyle w:val="BodyText"/>
      </w:pPr>
      <w:r>
        <w:t>This is largely a desktop analysis using existing data. As long as the LCDB continues to be centrally funded, and ground truthing can be largely desktop based using existing data, this monitoring and reporting is not expensive.</w:t>
      </w:r>
      <w:r w:rsidDel="0008138A">
        <w:t xml:space="preserve"> </w:t>
      </w:r>
    </w:p>
    <w:p w14:paraId="249B1138" w14:textId="45F68E5C" w:rsidR="00D75786" w:rsidRDefault="00D75786" w:rsidP="00D75786">
      <w:pPr>
        <w:pStyle w:val="Heading2"/>
      </w:pPr>
      <w:bookmarkStart w:id="12" w:name="_Toc201841153"/>
      <w:r>
        <w:t>A5: Are there examples of this being monitored by iwi/Māori? If so, by whom and how?</w:t>
      </w:r>
      <w:bookmarkEnd w:id="12"/>
      <w:r w:rsidDel="0008138A">
        <w:t xml:space="preserve"> </w:t>
      </w:r>
    </w:p>
    <w:p w14:paraId="7ED17853" w14:textId="77777777" w:rsidR="00D75786" w:rsidRDefault="00D75786" w:rsidP="00D75786">
      <w:pPr>
        <w:pStyle w:val="BodyText"/>
      </w:pPr>
      <w:r>
        <w:t xml:space="preserve">Various cultural health monitoring tools are available, which communities have been using to monitor indigenous vegetation. These tools mainly focus on condition or quality, rather than extent of indigenous vegetation. Examples include the </w:t>
      </w:r>
      <w:proofErr w:type="spellStart"/>
      <w:r>
        <w:t>Tuhoe</w:t>
      </w:r>
      <w:proofErr w:type="spellEnd"/>
      <w:r>
        <w:t xml:space="preserve"> </w:t>
      </w:r>
      <w:proofErr w:type="spellStart"/>
      <w:r>
        <w:t>Tuawhenua</w:t>
      </w:r>
      <w:proofErr w:type="spellEnd"/>
      <w:r>
        <w:t xml:space="preserve"> Trust and Manaaki Whenua work led by Timoti and Lyver (Lyver et al, 2018), work on kauri forests by Shortland (2017), and a PhD thesis on forests in Nelson (Walker, 2019). </w:t>
      </w:r>
    </w:p>
    <w:p w14:paraId="3554691D" w14:textId="77777777" w:rsidR="005C577F" w:rsidRDefault="005C577F">
      <w:pPr>
        <w:spacing w:before="0" w:after="200" w:line="276" w:lineRule="auto"/>
        <w:jc w:val="left"/>
        <w:rPr>
          <w:rFonts w:ascii="Georgia" w:eastAsiaTheme="majorEastAsia" w:hAnsi="Georgia" w:cstheme="majorBidi"/>
          <w:b/>
          <w:bCs/>
          <w:color w:val="1B556B"/>
          <w:sz w:val="36"/>
          <w:szCs w:val="26"/>
        </w:rPr>
      </w:pPr>
      <w:bookmarkStart w:id="13" w:name="_Toc201841154"/>
      <w:r>
        <w:br w:type="page"/>
      </w:r>
    </w:p>
    <w:p w14:paraId="13E2AB4A" w14:textId="7957B8AB" w:rsidR="00D75786" w:rsidRDefault="00D75786" w:rsidP="00D75786">
      <w:pPr>
        <w:pStyle w:val="Heading2"/>
      </w:pPr>
      <w:r>
        <w:lastRenderedPageBreak/>
        <w:t>A6: Are there known correlations or relationships between this attribute and other attribute(s), and what is the nature of these relationships?</w:t>
      </w:r>
      <w:bookmarkEnd w:id="13"/>
      <w:r>
        <w:t xml:space="preserve"> </w:t>
      </w:r>
    </w:p>
    <w:p w14:paraId="06BB4B89" w14:textId="39FBDC10" w:rsidR="00D75786" w:rsidRDefault="00D75786" w:rsidP="00D75786">
      <w:pPr>
        <w:pStyle w:val="BodyText"/>
      </w:pPr>
      <w:r>
        <w:t>This attribute correlates to ecosystem extent attributes (</w:t>
      </w:r>
      <w:proofErr w:type="spellStart"/>
      <w:r>
        <w:t>eg</w:t>
      </w:r>
      <w:proofErr w:type="spellEnd"/>
      <w:r>
        <w:t>, wetland extent, dune extent, lowland forest extent). The spatial layer of indigenous vegetation cover could be overlaid with ecosystem information to inform these attributes. Additionally, the definition of indigenous vegetation cover by land</w:t>
      </w:r>
      <w:r w:rsidR="005C577F">
        <w:t>-</w:t>
      </w:r>
      <w:r>
        <w:t>cover class (and vice versa) could inform some of the method development of the indigenous plant dominance characteristic. Landscape connectivity is a way of describing the spatial distribution of indigenous vegetation cover, so indigenous vegetation cover data will be foundation</w:t>
      </w:r>
      <w:r w:rsidR="005C577F">
        <w:t>al</w:t>
      </w:r>
      <w:r>
        <w:t xml:space="preserve"> to the connectivity attribute.</w:t>
      </w:r>
      <w:r w:rsidDel="0008138A">
        <w:t xml:space="preserve"> </w:t>
      </w:r>
    </w:p>
    <w:p w14:paraId="5A4D76CC" w14:textId="77777777" w:rsidR="00D75786" w:rsidRDefault="00D75786" w:rsidP="00D75786">
      <w:pPr>
        <w:pStyle w:val="BodyText"/>
      </w:pPr>
    </w:p>
    <w:p w14:paraId="68D35A81" w14:textId="77777777" w:rsidR="00D75786" w:rsidRDefault="00D75786" w:rsidP="00D75786">
      <w:pPr>
        <w:pStyle w:val="BodyText"/>
      </w:pPr>
      <w:r>
        <w:t xml:space="preserve"> </w:t>
      </w:r>
    </w:p>
    <w:p w14:paraId="0F44045F" w14:textId="77777777" w:rsidR="00D75786" w:rsidRDefault="00D75786" w:rsidP="00D75786">
      <w:pPr>
        <w:pStyle w:val="BodyText"/>
      </w:pPr>
    </w:p>
    <w:p w14:paraId="3F686D81" w14:textId="77777777" w:rsidR="00D75786" w:rsidRDefault="00D75786" w:rsidP="00D75786">
      <w:pPr>
        <w:pStyle w:val="BodyText"/>
      </w:pPr>
      <w:r>
        <w:t xml:space="preserve"> </w:t>
      </w:r>
    </w:p>
    <w:p w14:paraId="243DC229" w14:textId="77777777" w:rsidR="00D75786" w:rsidRDefault="00D75786" w:rsidP="00D75786">
      <w:pPr>
        <w:pStyle w:val="BodyText"/>
      </w:pPr>
    </w:p>
    <w:p w14:paraId="1040FE51" w14:textId="77777777" w:rsidR="00D75786" w:rsidRDefault="00D75786">
      <w:pPr>
        <w:spacing w:before="0" w:after="200" w:line="276" w:lineRule="auto"/>
        <w:jc w:val="left"/>
      </w:pPr>
      <w:r>
        <w:br w:type="page"/>
      </w:r>
    </w:p>
    <w:p w14:paraId="704E5FA1" w14:textId="6973884E" w:rsidR="00D75786" w:rsidRDefault="00D75786" w:rsidP="00D75786">
      <w:pPr>
        <w:pStyle w:val="Heading1"/>
      </w:pPr>
      <w:bookmarkStart w:id="14" w:name="_Toc201841155"/>
      <w:r>
        <w:lastRenderedPageBreak/>
        <w:t>Part B – Current state and allocation options</w:t>
      </w:r>
      <w:bookmarkEnd w:id="14"/>
      <w:r>
        <w:t xml:space="preserve"> </w:t>
      </w:r>
    </w:p>
    <w:p w14:paraId="3A451976" w14:textId="40AC73D5" w:rsidR="00D75786" w:rsidRDefault="00D75786" w:rsidP="00D75786">
      <w:pPr>
        <w:pStyle w:val="Heading2"/>
      </w:pPr>
      <w:bookmarkStart w:id="15" w:name="_Toc201841156"/>
      <w:r>
        <w:t>B1: What is the current state of the attribute?</w:t>
      </w:r>
      <w:bookmarkEnd w:id="15"/>
      <w:r>
        <w:t xml:space="preserve"> </w:t>
      </w:r>
    </w:p>
    <w:p w14:paraId="65BAF63B" w14:textId="0C0DDB94" w:rsidR="00D75786" w:rsidRDefault="00D75786" w:rsidP="00D75786">
      <w:pPr>
        <w:pStyle w:val="BodyText"/>
      </w:pPr>
      <w:r>
        <w:t xml:space="preserve">Roughly half of </w:t>
      </w:r>
      <w:r w:rsidDel="00D75786">
        <w:t>New Zealand</w:t>
      </w:r>
      <w:r>
        <w:t xml:space="preserve"> is under indigenous vegetation (DOC, 2021) with significant variation between environments. Lowland and coastal environments have been most reduced. Less than 1</w:t>
      </w:r>
      <w:r w:rsidR="1435C53C">
        <w:t>0</w:t>
      </w:r>
      <w:r w:rsidR="0008138A">
        <w:t xml:space="preserve"> per cent</w:t>
      </w:r>
      <w:r>
        <w:t xml:space="preserve"> of lowland areas in the North Island and eastern South Island are both protected and under indigenous cover.</w:t>
      </w:r>
      <w:r w:rsidR="00152593">
        <w:rPr>
          <w:rStyle w:val="FootnoteReference"/>
        </w:rPr>
        <w:footnoteReference w:id="5"/>
      </w:r>
      <w:r>
        <w:t xml:space="preserve"> By comparison, alpine areas have high levels of indigenous cover. See A2 for </w:t>
      </w:r>
      <w:r w:rsidR="005C577F">
        <w:t xml:space="preserve">more </w:t>
      </w:r>
      <w:r>
        <w:t xml:space="preserve">information. </w:t>
      </w:r>
    </w:p>
    <w:p w14:paraId="1C235C8B" w14:textId="77777777" w:rsidR="00D75786" w:rsidRDefault="00D75786" w:rsidP="00D75786">
      <w:pPr>
        <w:pStyle w:val="BodyText"/>
      </w:pPr>
      <w:r>
        <w:t xml:space="preserve">The current state of indigenous vegetation cover is reported nationally by the Department of Conservation, the Ministry for the Environment, LAWA, and in some cases by region (see A2–A4). </w:t>
      </w:r>
    </w:p>
    <w:p w14:paraId="7083BDC9" w14:textId="0AAD7F88" w:rsidR="00D75786" w:rsidRDefault="00D75786" w:rsidP="00D75786">
      <w:pPr>
        <w:pStyle w:val="Heading2"/>
      </w:pPr>
      <w:bookmarkStart w:id="16" w:name="_Toc201841157"/>
      <w:r>
        <w:t xml:space="preserve">B2: Are there known natural reference states described for </w:t>
      </w:r>
      <w:r w:rsidDel="0008138A">
        <w:t>New Zealand</w:t>
      </w:r>
      <w:r>
        <w:t xml:space="preserve"> that could inform management or allocation options?</w:t>
      </w:r>
      <w:bookmarkEnd w:id="16"/>
      <w:r>
        <w:t xml:space="preserve"> </w:t>
      </w:r>
    </w:p>
    <w:p w14:paraId="793313D7" w14:textId="665E33DD" w:rsidR="00D75786" w:rsidRDefault="00D75786" w:rsidP="00D75786">
      <w:pPr>
        <w:pStyle w:val="BodyText"/>
      </w:pPr>
      <w:r>
        <w:t>Before humans, over 80</w:t>
      </w:r>
      <w:r w:rsidR="0008138A">
        <w:t xml:space="preserve"> per cent</w:t>
      </w:r>
      <w:r>
        <w:t xml:space="preserve"> of </w:t>
      </w:r>
      <w:r w:rsidR="0008138A">
        <w:t>New Zealand</w:t>
      </w:r>
      <w:r>
        <w:t xml:space="preserve"> was indigenous vegetation.</w:t>
      </w:r>
      <w:r w:rsidR="00152593">
        <w:rPr>
          <w:rStyle w:val="FootnoteReference"/>
        </w:rPr>
        <w:footnoteReference w:id="6"/>
      </w:r>
      <w:r>
        <w:t xml:space="preserve"> There are some reference states around the composition of the indigenous vegetation cover, but these are outside the scope of this attribute. </w:t>
      </w:r>
    </w:p>
    <w:p w14:paraId="3895B273" w14:textId="46F88651" w:rsidR="00D75786" w:rsidRDefault="00D75786" w:rsidP="00D75786">
      <w:pPr>
        <w:pStyle w:val="BodyText"/>
      </w:pPr>
      <w:r>
        <w:t>The composition of indigenous vegetation cover has changed over time, initially after Māori settlement. Pre-human New Zealand was over 80</w:t>
      </w:r>
      <w:r w:rsidR="0008138A">
        <w:t xml:space="preserve"> per cent</w:t>
      </w:r>
      <w:r>
        <w:t xml:space="preserve"> indigenous forest (Stats NZ, 2015). The composition of this </w:t>
      </w:r>
      <w:r w:rsidR="00EB6E82">
        <w:t xml:space="preserve">early </w:t>
      </w:r>
      <w:r>
        <w:t>indigenous vegetation changed following Māori settlement (with indigenous forests becoming grasslands). The Potential Vegetation of New Zealand layer has been developed using statistical modelling to show indigenous vegetation cover types (</w:t>
      </w:r>
      <w:proofErr w:type="spellStart"/>
      <w:r>
        <w:t>Leathwick</w:t>
      </w:r>
      <w:proofErr w:type="spellEnd"/>
      <w:r>
        <w:t xml:space="preserve"> et al, 2012). </w:t>
      </w:r>
    </w:p>
    <w:p w14:paraId="210F463F" w14:textId="77777777" w:rsidR="0006671D" w:rsidRDefault="0006671D">
      <w:pPr>
        <w:spacing w:before="0" w:after="200" w:line="276" w:lineRule="auto"/>
        <w:jc w:val="left"/>
        <w:rPr>
          <w:rFonts w:ascii="Georgia" w:eastAsiaTheme="majorEastAsia" w:hAnsi="Georgia" w:cstheme="majorBidi"/>
          <w:b/>
          <w:bCs/>
          <w:color w:val="1B556B"/>
          <w:sz w:val="36"/>
          <w:szCs w:val="26"/>
        </w:rPr>
      </w:pPr>
      <w:bookmarkStart w:id="17" w:name="_Toc201841158"/>
      <w:r>
        <w:br w:type="page"/>
      </w:r>
    </w:p>
    <w:p w14:paraId="31B6F90B" w14:textId="4285C625" w:rsidR="00D75786" w:rsidRDefault="00D75786" w:rsidP="00D75786">
      <w:pPr>
        <w:pStyle w:val="Heading2"/>
      </w:pPr>
      <w:r>
        <w:lastRenderedPageBreak/>
        <w:t>B3: Are there any existing numeric or narrative bands described for this attribute? Are there any levels used in other jurisdictions that could inform bands (</w:t>
      </w:r>
      <w:proofErr w:type="spellStart"/>
      <w:r>
        <w:t>eg</w:t>
      </w:r>
      <w:proofErr w:type="spellEnd"/>
      <w:r>
        <w:t>, US EPA, Biodiversity Convention, ANZECC, regional council set limit)</w:t>
      </w:r>
      <w:bookmarkEnd w:id="17"/>
      <w:r w:rsidR="00EB6E82">
        <w:t>?</w:t>
      </w:r>
      <w:r>
        <w:t xml:space="preserve"> </w:t>
      </w:r>
    </w:p>
    <w:p w14:paraId="786B2E35" w14:textId="5812B280" w:rsidR="00D75786" w:rsidRDefault="00D75786" w:rsidP="00D75786">
      <w:pPr>
        <w:pStyle w:val="BodyText"/>
      </w:pPr>
      <w:r>
        <w:t xml:space="preserve">No bands are set out for </w:t>
      </w:r>
      <w:r w:rsidR="0008138A">
        <w:t>New Zealand</w:t>
      </w:r>
      <w:r>
        <w:t xml:space="preserve">, but some levels are set out in the Threatened Environment Classification </w:t>
      </w:r>
      <w:r w:rsidR="00EB6E82">
        <w:t xml:space="preserve">(see below) </w:t>
      </w:r>
      <w:r>
        <w:t xml:space="preserve">and in other national policy direction, as well as in other projects. </w:t>
      </w:r>
    </w:p>
    <w:p w14:paraId="0DD93707" w14:textId="77777777" w:rsidR="00D75786" w:rsidRDefault="00D75786" w:rsidP="00152593">
      <w:pPr>
        <w:pStyle w:val="Heading3"/>
      </w:pPr>
      <w:r>
        <w:t xml:space="preserve">Threatened Environment Classification </w:t>
      </w:r>
    </w:p>
    <w:p w14:paraId="41BBC915" w14:textId="77777777" w:rsidR="00D75786" w:rsidRDefault="00D75786" w:rsidP="00D75786">
      <w:pPr>
        <w:pStyle w:val="BodyText"/>
      </w:pPr>
      <w:r>
        <w:t xml:space="preserve">The Threatened Environment Classification (TEC) (Walker et al, 2015) was developed in 2006 to support identification of habitats and ecosystems important for indigenous biodiversity that are not represented within existing protected areas, or that are at significant risk of irreversible loss or decline. </w:t>
      </w:r>
    </w:p>
    <w:p w14:paraId="04007F67" w14:textId="7CAABB3E" w:rsidR="00D75786" w:rsidRDefault="00D75786" w:rsidP="00D75786">
      <w:pPr>
        <w:pStyle w:val="BodyText"/>
      </w:pPr>
      <w:r>
        <w:t>The TEC looks at LENZ IV environments and assigns them either an indigenous or exotic vegetation cover</w:t>
      </w:r>
      <w:r w:rsidR="009458FA">
        <w:t xml:space="preserve"> category</w:t>
      </w:r>
      <w:r>
        <w:t>, based on LCDB cover classes (</w:t>
      </w:r>
      <w:r w:rsidR="00EB6E82">
        <w:t>I</w:t>
      </w:r>
      <w:r>
        <w:t>t also looks at legal protection, but that is not relevant here</w:t>
      </w:r>
      <w:r w:rsidR="00EB6E82">
        <w:t>.</w:t>
      </w:r>
      <w:r>
        <w:t xml:space="preserve">) </w:t>
      </w:r>
    </w:p>
    <w:p w14:paraId="64B412B3" w14:textId="31741364" w:rsidR="00D75786" w:rsidRDefault="00D75786" w:rsidP="00D75786">
      <w:pPr>
        <w:pStyle w:val="BodyText"/>
      </w:pPr>
      <w:r>
        <w:t>The categories developed refer to anything with less than 30</w:t>
      </w:r>
      <w:r w:rsidR="0008138A">
        <w:t xml:space="preserve"> per cent</w:t>
      </w:r>
      <w:r>
        <w:t xml:space="preserve"> indigenous cover as a ‘threatened environment’. For areas with more than 30</w:t>
      </w:r>
      <w:r w:rsidR="0008138A">
        <w:t xml:space="preserve"> per cent</w:t>
      </w:r>
      <w:r>
        <w:t xml:space="preserve"> indigenous cover, the categories are split based on the level of legal protection. The user guide provides a clear caveat that TEC categories do not define all that is important for ecological integrity and are not a statement about how much is enough. </w:t>
      </w:r>
    </w:p>
    <w:p w14:paraId="2D460E4B" w14:textId="4D18B7EC" w:rsidR="00152593" w:rsidRDefault="00EB6E82" w:rsidP="00152593">
      <w:pPr>
        <w:pStyle w:val="Figureheading"/>
      </w:pPr>
      <w:r w:rsidRPr="00152593">
        <w:rPr>
          <w:noProof/>
        </w:rPr>
        <w:drawing>
          <wp:anchor distT="0" distB="0" distL="114300" distR="114300" simplePos="0" relativeHeight="251658241" behindDoc="0" locked="0" layoutInCell="1" allowOverlap="1" wp14:anchorId="51699177" wp14:editId="332E4E50">
            <wp:simplePos x="0" y="0"/>
            <wp:positionH relativeFrom="margin">
              <wp:align>left</wp:align>
            </wp:positionH>
            <wp:positionV relativeFrom="paragraph">
              <wp:posOffset>397510</wp:posOffset>
            </wp:positionV>
            <wp:extent cx="3533775" cy="2054225"/>
            <wp:effectExtent l="0" t="0" r="0" b="3175"/>
            <wp:wrapTopAndBottom/>
            <wp:docPr id="339591942" name="Picture 3" descr="A screenshot of a computer&#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omputer&#10;&#10;Description automatically generated, Picture"/>
                    <pic:cNvPicPr>
                      <a:picLocks noChangeAspect="1" noChangeArrowheads="1"/>
                    </pic:cNvPicPr>
                  </pic:nvPicPr>
                  <pic:blipFill rotWithShape="1">
                    <a:blip r:embed="rId20">
                      <a:extLst>
                        <a:ext uri="{28A0092B-C50C-407E-A947-70E740481C1C}">
                          <a14:useLocalDpi xmlns:a14="http://schemas.microsoft.com/office/drawing/2010/main" val="0"/>
                        </a:ext>
                      </a:extLst>
                    </a:blip>
                    <a:srcRect l="31746"/>
                    <a:stretch/>
                  </pic:blipFill>
                  <pic:spPr bwMode="auto">
                    <a:xfrm>
                      <a:off x="0" y="0"/>
                      <a:ext cx="3544755" cy="20609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2593">
        <w:t xml:space="preserve">Figure 1: </w:t>
      </w:r>
      <w:r>
        <w:t>Categories in the Threatened Environment Classification</w:t>
      </w:r>
    </w:p>
    <w:p w14:paraId="1ED4F8B4" w14:textId="4854B558" w:rsidR="00D75786" w:rsidRDefault="00D75786" w:rsidP="00152593">
      <w:pPr>
        <w:pStyle w:val="Heading3"/>
      </w:pPr>
      <w:r>
        <w:t>National Policy Statement for Indigenous Biodiversity</w:t>
      </w:r>
      <w:r w:rsidDel="0008138A">
        <w:t xml:space="preserve"> </w:t>
      </w:r>
    </w:p>
    <w:p w14:paraId="580BE0AD" w14:textId="395AB3FA" w:rsidR="00D75786" w:rsidRDefault="00D75786" w:rsidP="00D75786">
      <w:pPr>
        <w:pStyle w:val="BodyText"/>
      </w:pPr>
      <w:r>
        <w:t>The National Policy Statement for Indigenous Biodiversity 2023 (NPSIB) sets out 10</w:t>
      </w:r>
      <w:r w:rsidR="0008138A">
        <w:t xml:space="preserve"> per cent</w:t>
      </w:r>
      <w:r>
        <w:t xml:space="preserve"> indigenous vegetation cover for any urban or non-urban environment (with below 10</w:t>
      </w:r>
      <w:r w:rsidR="0008138A">
        <w:t xml:space="preserve"> per cent</w:t>
      </w:r>
      <w:r>
        <w:t xml:space="preserve"> cover) equivalent to a minimum level target. </w:t>
      </w:r>
      <w:r w:rsidR="00E14F2F">
        <w:t xml:space="preserve">The 10-per cent threshold </w:t>
      </w:r>
      <w:r>
        <w:t xml:space="preserve">was developed with some consideration of species area curves, although the initial advice was for an urban </w:t>
      </w:r>
      <w:r>
        <w:lastRenderedPageBreak/>
        <w:t>context</w:t>
      </w:r>
      <w:r w:rsidR="00152593">
        <w:t xml:space="preserve">, </w:t>
      </w:r>
      <w:r>
        <w:t xml:space="preserve">which was later expanded to include non-urban environments. It is difficult to compare this directly to the TEC, as it uses a different spatial framework (not LENZ, but urban versus non-urban areas). </w:t>
      </w:r>
    </w:p>
    <w:p w14:paraId="75DA6666" w14:textId="77777777" w:rsidR="00D75786" w:rsidRDefault="00D75786" w:rsidP="00152593">
      <w:pPr>
        <w:pStyle w:val="Heading3"/>
      </w:pPr>
      <w:r>
        <w:t xml:space="preserve">Past Ministry for the Environment national advice for prioritising environments </w:t>
      </w:r>
    </w:p>
    <w:p w14:paraId="067156EF" w14:textId="7DBC36BA" w:rsidR="00D75786" w:rsidRDefault="00D75786" w:rsidP="00D75786">
      <w:pPr>
        <w:pStyle w:val="BodyText"/>
      </w:pPr>
      <w:r>
        <w:t>Priority 1 of the Statement of National Priorities for Protecting Rare and Threatened Indigenous Biodiversity on Private Land (Ministry for the Environment, Department of Conservation, 2007) is to protect indigenous vegetation associated with land environments (LENZ IV) that have 20</w:t>
      </w:r>
      <w:r w:rsidR="0008138A">
        <w:t xml:space="preserve"> per cent</w:t>
      </w:r>
      <w:r>
        <w:t xml:space="preserve"> or less remaining in indigenous cover. This is </w:t>
      </w:r>
      <w:r w:rsidR="00EB6E82">
        <w:t xml:space="preserve">comparable </w:t>
      </w:r>
      <w:r>
        <w:t xml:space="preserve">to categories 1 and 2 in the TEC. </w:t>
      </w:r>
    </w:p>
    <w:p w14:paraId="2FDC80F8" w14:textId="77777777" w:rsidR="00D75786" w:rsidRDefault="00D75786" w:rsidP="00152593">
      <w:pPr>
        <w:pStyle w:val="Heading3"/>
      </w:pPr>
      <w:r>
        <w:t xml:space="preserve">Eco-index </w:t>
      </w:r>
    </w:p>
    <w:p w14:paraId="436C07AA" w14:textId="388C6C9D" w:rsidR="00D75786" w:rsidRDefault="00D75786" w:rsidP="00D75786">
      <w:pPr>
        <w:pStyle w:val="BodyText"/>
      </w:pPr>
      <w:r>
        <w:t>Eco-index is a Crown-funded research project with a vision of protected, restored and connected native ecosystems by 2121. Eco-index set a target of a minimum 15</w:t>
      </w:r>
      <w:r w:rsidR="0008138A">
        <w:t xml:space="preserve"> per cent</w:t>
      </w:r>
      <w:r>
        <w:t xml:space="preserve"> ecosystem land cover, which it considered to be pragmatic and adequate to address representation (Eco-index, 2023). This is broader than the general indigenous vegetation cover attribute. </w:t>
      </w:r>
    </w:p>
    <w:p w14:paraId="144FAEE2" w14:textId="77777777" w:rsidR="00D75786" w:rsidRDefault="00D75786" w:rsidP="00152593">
      <w:pPr>
        <w:pStyle w:val="Heading3"/>
      </w:pPr>
      <w:r>
        <w:t xml:space="preserve">Kunming-Montreal Global Biodiversity Framework </w:t>
      </w:r>
    </w:p>
    <w:p w14:paraId="7EEC4FAA" w14:textId="77777777" w:rsidR="00D75786" w:rsidRDefault="00D75786" w:rsidP="00D75786">
      <w:pPr>
        <w:pStyle w:val="BodyText"/>
      </w:pPr>
      <w:r>
        <w:t xml:space="preserve">Target 3 of the Kunming-Montreal Global Biodiversity Framework (United Nations Environment Programme, 2022) is to: </w:t>
      </w:r>
    </w:p>
    <w:p w14:paraId="3B919B77" w14:textId="77777777" w:rsidR="00D75786" w:rsidRDefault="00D75786" w:rsidP="00152593">
      <w:pPr>
        <w:pStyle w:val="Quote"/>
      </w:pPr>
      <w:r>
        <w:t>[e]</w:t>
      </w:r>
      <w:proofErr w:type="spellStart"/>
      <w:r>
        <w:t>nsure</w:t>
      </w:r>
      <w:proofErr w:type="spellEnd"/>
      <w:r>
        <w:t xml:space="preserve"> and enable that by 2030 at least 30 per cent of terrestrial, inland water, and of coastal and marine areas, especially areas of particular importance for biodiversity and ecosystem functions and services, are effectively conserved and managed… </w:t>
      </w:r>
    </w:p>
    <w:p w14:paraId="6AD182A7" w14:textId="04C1821E" w:rsidR="00D75786" w:rsidRDefault="00D75786" w:rsidP="00D75786">
      <w:pPr>
        <w:pStyle w:val="BodyText"/>
      </w:pPr>
      <w:r>
        <w:t>The work of most other countries is aligned with this European Union Biodiversity Strategy, which sets out a commitment to legally protect at least 30</w:t>
      </w:r>
      <w:r w:rsidR="0008138A">
        <w:t xml:space="preserve"> per cent</w:t>
      </w:r>
      <w:r>
        <w:t xml:space="preserve"> of the European Union land area and 30</w:t>
      </w:r>
      <w:r w:rsidR="0008138A">
        <w:t xml:space="preserve"> per cent</w:t>
      </w:r>
      <w:r>
        <w:t xml:space="preserve"> of its seas (European Commission, 2021). </w:t>
      </w:r>
    </w:p>
    <w:p w14:paraId="443A155B" w14:textId="74BDDE49" w:rsidR="00D75786" w:rsidRDefault="00D75786" w:rsidP="006863D6">
      <w:pPr>
        <w:pStyle w:val="Heading2"/>
      </w:pPr>
      <w:bookmarkStart w:id="18" w:name="B4"/>
      <w:bookmarkStart w:id="19" w:name="_Toc201841159"/>
      <w:r>
        <w:t>B4</w:t>
      </w:r>
      <w:bookmarkEnd w:id="18"/>
      <w:r w:rsidR="006863D6">
        <w:t>:</w:t>
      </w:r>
      <w:r>
        <w:t xml:space="preserve"> Are there any known thresholds or tipping points that relate to specific effects on ecological integrity or human health?</w:t>
      </w:r>
      <w:bookmarkEnd w:id="19"/>
      <w:r w:rsidDel="0008138A">
        <w:t xml:space="preserve"> </w:t>
      </w:r>
    </w:p>
    <w:p w14:paraId="7EB3E4D9" w14:textId="3305973F" w:rsidR="00D75786" w:rsidRDefault="00D75786" w:rsidP="00D75786">
      <w:pPr>
        <w:pStyle w:val="BodyText"/>
      </w:pPr>
      <w:r>
        <w:t>More indigenous vegetation cover is better for ecological integrity, but the relationship is variable across ecosystems and specific outcomes. For example, although there are clear relationships between species occupancy and habitat area, these vary by ecosystem and species type, habitat quality (</w:t>
      </w:r>
      <w:proofErr w:type="spellStart"/>
      <w:r>
        <w:t>eg</w:t>
      </w:r>
      <w:proofErr w:type="spellEnd"/>
      <w:r>
        <w:t>, invasives) and distribution (</w:t>
      </w:r>
      <w:proofErr w:type="spellStart"/>
      <w:r>
        <w:t>eg</w:t>
      </w:r>
      <w:proofErr w:type="spellEnd"/>
      <w:r>
        <w:t>, fragmentation).</w:t>
      </w:r>
      <w:r w:rsidDel="0008138A">
        <w:t xml:space="preserve"> </w:t>
      </w:r>
    </w:p>
    <w:p w14:paraId="7B95E4D6" w14:textId="4CB27641" w:rsidR="00D75786" w:rsidRDefault="006863D6" w:rsidP="00D75786">
      <w:pPr>
        <w:pStyle w:val="BodyText"/>
      </w:pPr>
      <w:r>
        <w:t>W</w:t>
      </w:r>
      <w:r w:rsidR="00D75786">
        <w:t xml:space="preserve">alker et al (2008) set out the generalised species area relationship in their paper on indigenous cover in </w:t>
      </w:r>
      <w:r w:rsidR="0008138A">
        <w:t>New Zealand</w:t>
      </w:r>
      <w:r w:rsidR="00D75786">
        <w:t>, noting the different curves for different types of organisms. General agreement (as seen in B3 and underpinning data) is that steep decline is seen in ecological integrity when environments are reduced to below 30</w:t>
      </w:r>
      <w:r w:rsidR="0008138A">
        <w:t xml:space="preserve"> per cent</w:t>
      </w:r>
      <w:r w:rsidR="00D75786">
        <w:t xml:space="preserve"> of original area.</w:t>
      </w:r>
      <w:r w:rsidR="0008138A">
        <w:t xml:space="preserve"> </w:t>
      </w:r>
    </w:p>
    <w:p w14:paraId="5987132B" w14:textId="77777777" w:rsidR="00897812" w:rsidRDefault="00897812">
      <w:pPr>
        <w:spacing w:before="0" w:after="200" w:line="276" w:lineRule="auto"/>
        <w:jc w:val="left"/>
        <w:rPr>
          <w:rFonts w:ascii="Georgia" w:eastAsiaTheme="majorEastAsia" w:hAnsi="Georgia" w:cstheme="majorBidi"/>
          <w:b/>
          <w:bCs/>
          <w:color w:val="1B556B"/>
          <w:sz w:val="36"/>
          <w:szCs w:val="26"/>
        </w:rPr>
      </w:pPr>
      <w:bookmarkStart w:id="20" w:name="_Toc201841160"/>
      <w:r>
        <w:br w:type="page"/>
      </w:r>
    </w:p>
    <w:p w14:paraId="6898E916" w14:textId="7AE76202" w:rsidR="00D75786" w:rsidRDefault="006863D6" w:rsidP="006863D6">
      <w:pPr>
        <w:pStyle w:val="Heading2"/>
      </w:pPr>
      <w:r>
        <w:lastRenderedPageBreak/>
        <w:t>B</w:t>
      </w:r>
      <w:r w:rsidR="00D75786">
        <w:t>5</w:t>
      </w:r>
      <w:r>
        <w:t>:</w:t>
      </w:r>
      <w:r w:rsidR="00D75786">
        <w:t xml:space="preserve"> Are there lag times and legacy effects? What </w:t>
      </w:r>
      <w:r w:rsidR="2EBEB9B2">
        <w:t>is</w:t>
      </w:r>
      <w:r w:rsidR="00D75786">
        <w:t xml:space="preserve"> the nature of these, and how do they impact state and trend assessment? Further, are there any naturally occurring processes, including long-term cycles, that may influence the state and trend assessments?</w:t>
      </w:r>
      <w:bookmarkEnd w:id="20"/>
      <w:r w:rsidR="00D75786" w:rsidDel="0008138A">
        <w:t xml:space="preserve"> </w:t>
      </w:r>
    </w:p>
    <w:p w14:paraId="2A4166B6" w14:textId="482D0E76" w:rsidR="00897812" w:rsidRDefault="00D75786" w:rsidP="00D75786">
      <w:pPr>
        <w:pStyle w:val="BodyText"/>
      </w:pPr>
      <w:r>
        <w:t xml:space="preserve">Historic losses of indigenous vegetation cover still pose significant threats to endangered species, as there is often a time-lag between the loss of habitat and the eventual collapse of populations (see Tilman et al, 1994 on extinction debt). Further, the loss of indigenous vegetation cover leads to habitat fragmentation and may facilitate </w:t>
      </w:r>
      <w:r w:rsidR="00897812">
        <w:t xml:space="preserve">the </w:t>
      </w:r>
      <w:r>
        <w:t xml:space="preserve">invasion of non-native species (Ewers et al, 2006). </w:t>
      </w:r>
    </w:p>
    <w:p w14:paraId="35F1819F" w14:textId="22EE47B3" w:rsidR="00D75786" w:rsidRDefault="00D75786" w:rsidP="00D75786">
      <w:pPr>
        <w:pStyle w:val="BodyText"/>
      </w:pPr>
      <w:r>
        <w:t>As the extent of ecosystems decrease, so does the abundance and diversity of species (</w:t>
      </w:r>
      <w:proofErr w:type="spellStart"/>
      <w:r>
        <w:t>ie</w:t>
      </w:r>
      <w:proofErr w:type="spellEnd"/>
      <w:r>
        <w:t xml:space="preserve">, species-area relationship). All these changes pose significant risks to indigenous biodiversity and degrade ecological integrity. Projections also show that the predicted loss of indigenous forest may result in an increased likelihood of extinction events in the future (Ewers et al, 2006). </w:t>
      </w:r>
    </w:p>
    <w:p w14:paraId="69DA4CC1" w14:textId="5A81CF04" w:rsidR="00D75786" w:rsidRDefault="00D75786" w:rsidP="006863D6">
      <w:pPr>
        <w:pStyle w:val="Heading2"/>
      </w:pPr>
      <w:bookmarkStart w:id="21" w:name="_Toc201841161"/>
      <w:r>
        <w:t>B6</w:t>
      </w:r>
      <w:r w:rsidR="006863D6">
        <w:t>:</w:t>
      </w:r>
      <w:r>
        <w:t xml:space="preserve"> What tikanga Māori and </w:t>
      </w:r>
      <w:proofErr w:type="spellStart"/>
      <w:r>
        <w:t>mātauranga</w:t>
      </w:r>
      <w:proofErr w:type="spellEnd"/>
      <w:r>
        <w:t xml:space="preserve"> Māori could inform bands or allocation options</w:t>
      </w:r>
      <w:r w:rsidR="006863D6">
        <w:t xml:space="preserve"> and h</w:t>
      </w:r>
      <w:r>
        <w:t xml:space="preserve">ow </w:t>
      </w:r>
      <w:r w:rsidR="006863D6">
        <w:t>(</w:t>
      </w:r>
      <w:proofErr w:type="spellStart"/>
      <w:r w:rsidR="006863D6">
        <w:t>eg</w:t>
      </w:r>
      <w:proofErr w:type="spellEnd"/>
      <w:r>
        <w:t xml:space="preserve"> by contributing to defining minimally disturbed conditions, or unacceptable degradation</w:t>
      </w:r>
      <w:r w:rsidR="006863D6">
        <w:t>)?</w:t>
      </w:r>
      <w:bookmarkEnd w:id="21"/>
      <w:r w:rsidDel="0008138A">
        <w:t xml:space="preserve"> </w:t>
      </w:r>
    </w:p>
    <w:p w14:paraId="2948665B" w14:textId="77777777" w:rsidR="00D75786" w:rsidRDefault="00D75786" w:rsidP="00D75786">
      <w:pPr>
        <w:pStyle w:val="BodyText"/>
      </w:pPr>
      <w:r>
        <w:t>This will likely be more important for more specific attributes that may be linked to the type of vegetation (</w:t>
      </w:r>
      <w:proofErr w:type="spellStart"/>
      <w:r>
        <w:t>eg</w:t>
      </w:r>
      <w:proofErr w:type="spellEnd"/>
      <w:r>
        <w:t xml:space="preserve">, ecosystem extent) or to the quality of habitat, and to management (see discussion in C3). </w:t>
      </w:r>
    </w:p>
    <w:p w14:paraId="598B6E6C" w14:textId="77777777" w:rsidR="00D75786" w:rsidRDefault="00D75786" w:rsidP="00D75786">
      <w:pPr>
        <w:pStyle w:val="BodyText"/>
      </w:pPr>
    </w:p>
    <w:p w14:paraId="55181C5F" w14:textId="77777777" w:rsidR="00D75786" w:rsidRDefault="00D75786" w:rsidP="00D75786">
      <w:pPr>
        <w:pStyle w:val="BodyText"/>
      </w:pPr>
      <w:r>
        <w:t xml:space="preserve"> </w:t>
      </w:r>
    </w:p>
    <w:p w14:paraId="19053B03" w14:textId="77777777" w:rsidR="00D75786" w:rsidRDefault="00D75786" w:rsidP="00D75786">
      <w:pPr>
        <w:pStyle w:val="BodyText"/>
      </w:pPr>
    </w:p>
    <w:p w14:paraId="3BBF0ECC" w14:textId="77777777" w:rsidR="006863D6" w:rsidRDefault="006863D6">
      <w:pPr>
        <w:spacing w:before="0" w:after="200" w:line="276" w:lineRule="auto"/>
        <w:jc w:val="left"/>
      </w:pPr>
      <w:r>
        <w:br w:type="page"/>
      </w:r>
    </w:p>
    <w:p w14:paraId="78B5950A" w14:textId="7C53F3DB" w:rsidR="00D75786" w:rsidRDefault="00D75786" w:rsidP="006863D6">
      <w:pPr>
        <w:pStyle w:val="Heading1"/>
      </w:pPr>
      <w:bookmarkStart w:id="22" w:name="_Toc201841162"/>
      <w:r>
        <w:lastRenderedPageBreak/>
        <w:t>Part C – Management levers and context</w:t>
      </w:r>
      <w:bookmarkEnd w:id="22"/>
      <w:r>
        <w:t xml:space="preserve"> </w:t>
      </w:r>
    </w:p>
    <w:p w14:paraId="0E414763" w14:textId="090F10C2" w:rsidR="00D75786" w:rsidRDefault="00D75786" w:rsidP="006863D6">
      <w:pPr>
        <w:pStyle w:val="Heading2"/>
      </w:pPr>
      <w:bookmarkStart w:id="23" w:name="_Toc201841163"/>
      <w:r>
        <w:t>C1</w:t>
      </w:r>
      <w:r w:rsidR="006863D6">
        <w:t>:</w:t>
      </w:r>
      <w:r>
        <w:t xml:space="preserve"> What is the relationship between the state of the environment and stresses on that state? Can this relationship be quantified?</w:t>
      </w:r>
      <w:bookmarkEnd w:id="23"/>
      <w:r w:rsidDel="0008138A">
        <w:t xml:space="preserve"> </w:t>
      </w:r>
    </w:p>
    <w:p w14:paraId="3A700D58" w14:textId="3083CBC8" w:rsidR="00D75786" w:rsidRDefault="00D75786" w:rsidP="00D75786">
      <w:pPr>
        <w:pStyle w:val="BodyText"/>
      </w:pPr>
      <w:r>
        <w:t>Changes in attribute state are primarily driven by vegetation clearance. Conversion of land for agriculture and forestry are the major contemporary drivers of indigenous vegetation loss by area. For example, over 70</w:t>
      </w:r>
      <w:r w:rsidR="0008138A">
        <w:t xml:space="preserve"> per cent</w:t>
      </w:r>
      <w:r>
        <w:t xml:space="preserve"> of the 18,600 ha of indigenous scrub/shrubland lost between 2012 and 2018 were converted to exotic grass or forest.</w:t>
      </w:r>
      <w:r w:rsidR="00152593">
        <w:rPr>
          <w:rStyle w:val="FootnoteReference"/>
        </w:rPr>
        <w:footnoteReference w:id="7"/>
      </w:r>
      <w:r>
        <w:t xml:space="preserve"> This is consistent with an earlier finding that the most significant driver of indigenous forest between 1997 and 2002 was the expansion of plantation forestry (Ewers et al, 2006).</w:t>
      </w:r>
      <w:r w:rsidDel="00D75786">
        <w:t xml:space="preserve"> </w:t>
      </w:r>
      <w:r>
        <w:t>Indigenous tussock grasslands also continue to decline, but at a slower pace, with 1,472 ha lost between 2012 and 2018.</w:t>
      </w:r>
      <w:r w:rsidR="00152593">
        <w:rPr>
          <w:rStyle w:val="FootnoteReference"/>
        </w:rPr>
        <w:footnoteReference w:id="8"/>
      </w:r>
      <w:r w:rsidDel="00D75786">
        <w:t xml:space="preserve"> </w:t>
      </w:r>
    </w:p>
    <w:p w14:paraId="7916FB5F" w14:textId="4B2D892E" w:rsidR="00D75786" w:rsidRDefault="006863D6" w:rsidP="00D75786">
      <w:pPr>
        <w:pStyle w:val="BodyText"/>
      </w:pPr>
      <w:r>
        <w:t>N</w:t>
      </w:r>
      <w:r w:rsidR="00D75786">
        <w:t>ote there is also a risk from wilding pine expansion, and more research is needed to quantify the effects of this expansion on indigenous vegetation. Wilding conifers cover more than 1.8 million ha of New Zealand, and they spread at an estimated rate of 5</w:t>
      </w:r>
      <w:r w:rsidR="0008138A">
        <w:t xml:space="preserve"> per cent</w:t>
      </w:r>
      <w:r w:rsidR="00D75786">
        <w:t xml:space="preserve"> a year.</w:t>
      </w:r>
      <w:r w:rsidR="00152593">
        <w:rPr>
          <w:rStyle w:val="FootnoteReference"/>
        </w:rPr>
        <w:footnoteReference w:id="9"/>
      </w:r>
      <w:r w:rsidR="00D75786">
        <w:t xml:space="preserve"> </w:t>
      </w:r>
    </w:p>
    <w:p w14:paraId="73FC998A" w14:textId="2CF4752A" w:rsidR="00D75786" w:rsidRDefault="00D75786" w:rsidP="006863D6">
      <w:pPr>
        <w:pStyle w:val="Heading2"/>
      </w:pPr>
      <w:bookmarkStart w:id="24" w:name="_Toc201841164"/>
      <w:r>
        <w:t>C2</w:t>
      </w:r>
      <w:r w:rsidR="006863D6">
        <w:t>:</w:t>
      </w:r>
      <w:r>
        <w:t xml:space="preserve"> Are there interventions/mechanisms being used to affect this attribute? What evidence is there to show that they are/are not being implemented and being effective?</w:t>
      </w:r>
      <w:bookmarkEnd w:id="24"/>
      <w:r w:rsidDel="0008138A">
        <w:t xml:space="preserve"> </w:t>
      </w:r>
    </w:p>
    <w:p w14:paraId="28B5AB8C" w14:textId="47FE5772" w:rsidR="00D75786" w:rsidRDefault="00D75786" w:rsidP="006863D6">
      <w:pPr>
        <w:pStyle w:val="Heading3"/>
      </w:pPr>
      <w:r>
        <w:t>C2(</w:t>
      </w:r>
      <w:proofErr w:type="spellStart"/>
      <w:r>
        <w:t>i</w:t>
      </w:r>
      <w:proofErr w:type="spellEnd"/>
      <w:r>
        <w:t>)</w:t>
      </w:r>
      <w:r w:rsidR="006863D6">
        <w:t xml:space="preserve">: </w:t>
      </w:r>
      <w:r>
        <w:t xml:space="preserve">Local government driven </w:t>
      </w:r>
    </w:p>
    <w:p w14:paraId="1E2985D2" w14:textId="77777777" w:rsidR="00D75786" w:rsidRDefault="00D75786" w:rsidP="0006671D">
      <w:pPr>
        <w:pStyle w:val="Heading4"/>
      </w:pPr>
      <w:r>
        <w:t xml:space="preserve">Vegetation clearance rules </w:t>
      </w:r>
    </w:p>
    <w:p w14:paraId="1D9B0C40" w14:textId="59528493" w:rsidR="00D75786" w:rsidRDefault="00897812" w:rsidP="00D75786">
      <w:pPr>
        <w:pStyle w:val="BodyText"/>
      </w:pPr>
      <w:r>
        <w:t>Although c</w:t>
      </w:r>
      <w:r w:rsidR="00D75786">
        <w:t>ouncils often have vegetation clearance rules,</w:t>
      </w:r>
      <w:r w:rsidR="00D75786" w:rsidDel="00897812">
        <w:t xml:space="preserve"> </w:t>
      </w:r>
      <w:r w:rsidR="00D75786">
        <w:t>these are often focused on managing erosion and sedimentation, rather than a broader set of ecological integrity values. For example, Waikato Regional Council</w:t>
      </w:r>
      <w:r>
        <w:t>’s</w:t>
      </w:r>
      <w:r w:rsidR="00D75786">
        <w:t xml:space="preserve"> rules focus on vegetation clearance on steeper slopes or in particular catchments, with no discrimination between indigenous or exotic vegetation. Management varies regionally, both within the rules, as well as </w:t>
      </w:r>
      <w:r w:rsidR="005F5498">
        <w:t>how the rules are promoted and enforced.</w:t>
      </w:r>
    </w:p>
    <w:p w14:paraId="6F4597AA" w14:textId="77777777" w:rsidR="00D75786" w:rsidRDefault="00D75786" w:rsidP="006863D6">
      <w:pPr>
        <w:pStyle w:val="Heading4"/>
      </w:pPr>
      <w:r>
        <w:lastRenderedPageBreak/>
        <w:t xml:space="preserve">Significant natural areas </w:t>
      </w:r>
    </w:p>
    <w:p w14:paraId="15ECAB5B" w14:textId="6C567D42" w:rsidR="00D75786" w:rsidRDefault="00D75786" w:rsidP="00D75786">
      <w:pPr>
        <w:pStyle w:val="BodyText"/>
      </w:pPr>
      <w:r>
        <w:t xml:space="preserve">Significant natural areas (SNAs) are covered by </w:t>
      </w:r>
      <w:r w:rsidR="00897812">
        <w:t xml:space="preserve">national </w:t>
      </w:r>
      <w:r>
        <w:t xml:space="preserve">direction contained in section 6 of the Resource Management Act 1991. Part of this provision is that areas of significant vegetation, and significant habitats of indigenous fauna, should be protected as a matter of national importance. However, this legislation only focuses on places identified as ‘most important’ and is not designed to manage entire landscapes. Without the presence of some other management tool, even if SNAs worked successfully, they would not necessarily have the coverage and representation required to enable </w:t>
      </w:r>
      <w:r w:rsidR="0008138A">
        <w:t>New Zealand</w:t>
      </w:r>
      <w:r>
        <w:t xml:space="preserve"> to maintain or improve ecological representation or ecological integrity. </w:t>
      </w:r>
    </w:p>
    <w:p w14:paraId="66B24A76" w14:textId="02D88D35" w:rsidR="00D75786" w:rsidRDefault="00D75786" w:rsidP="00D75786">
      <w:pPr>
        <w:pStyle w:val="BodyText"/>
      </w:pPr>
      <w:r>
        <w:t xml:space="preserve">Further, the processes and techniques to identify SNAs vary, and there are also various opportunities to allow activities </w:t>
      </w:r>
      <w:r w:rsidR="00897812">
        <w:t xml:space="preserve">that </w:t>
      </w:r>
      <w:r>
        <w:t>may affect SNAs.</w:t>
      </w:r>
      <w:r w:rsidR="0008138A">
        <w:t xml:space="preserve"> </w:t>
      </w:r>
    </w:p>
    <w:p w14:paraId="76D3CA80" w14:textId="77777777" w:rsidR="00D75786" w:rsidRDefault="00D75786" w:rsidP="006863D6">
      <w:pPr>
        <w:pStyle w:val="Heading4"/>
      </w:pPr>
      <w:r>
        <w:t xml:space="preserve">Non-regulatory tools </w:t>
      </w:r>
    </w:p>
    <w:p w14:paraId="18A85747" w14:textId="37FC84B9" w:rsidR="00D75786" w:rsidRDefault="00D75786" w:rsidP="00D75786">
      <w:pPr>
        <w:pStyle w:val="BodyText"/>
      </w:pPr>
      <w:r>
        <w:t>Non-regulatory tools used to manage indigenous vegetation cover include council biodiversity strategic plans</w:t>
      </w:r>
      <w:r w:rsidR="00897812">
        <w:t>;</w:t>
      </w:r>
      <w:r>
        <w:t xml:space="preserve"> land management agreements between councils and land owners</w:t>
      </w:r>
      <w:r w:rsidR="00897812">
        <w:t>;</w:t>
      </w:r>
      <w:r>
        <w:t xml:space="preserve"> covenants</w:t>
      </w:r>
      <w:r w:rsidR="00897812">
        <w:t>;</w:t>
      </w:r>
      <w:r>
        <w:t xml:space="preserve"> funding programmes or financial incentives </w:t>
      </w:r>
      <w:r w:rsidR="00897812">
        <w:t xml:space="preserve">such as </w:t>
      </w:r>
      <w:r>
        <w:t>rates relief or fencing/restoration</w:t>
      </w:r>
      <w:r w:rsidR="00897812">
        <w:t>;</w:t>
      </w:r>
      <w:r>
        <w:t xml:space="preserve"> council-led restoration</w:t>
      </w:r>
      <w:r w:rsidR="00897812">
        <w:t>;</w:t>
      </w:r>
      <w:r>
        <w:t xml:space="preserve"> and support of community monitoring and restoration initiatives. Several councils use non-regulatory tools as their primary means for achieving protection of indigenous biodiversity. </w:t>
      </w:r>
    </w:p>
    <w:p w14:paraId="7AB186E5" w14:textId="6D7C882B" w:rsidR="00D75786" w:rsidRDefault="00D75786" w:rsidP="00D75786">
      <w:pPr>
        <w:pStyle w:val="BodyText"/>
      </w:pPr>
      <w:r>
        <w:t xml:space="preserve">Non-regulatory measures appear to have had some positive effects on the integrity of natural areas, as well as </w:t>
      </w:r>
      <w:r w:rsidR="00E964A5">
        <w:t xml:space="preserve">prompting </w:t>
      </w:r>
      <w:r>
        <w:t xml:space="preserve">some positive restoration and revegetation initiatives. However, these </w:t>
      </w:r>
      <w:r w:rsidR="00766064">
        <w:t xml:space="preserve">measures </w:t>
      </w:r>
      <w:r>
        <w:t>continue to prioritise indigenous vegetation in places where people are willing to forego development opportunities, which often skews towards steeper or higher elevation lands. This does not result in ecological representation in other threatened areas, such as lowland environments.</w:t>
      </w:r>
      <w:r w:rsidDel="0008138A">
        <w:t xml:space="preserve"> </w:t>
      </w:r>
    </w:p>
    <w:p w14:paraId="5E2D13AF" w14:textId="77777777" w:rsidR="00D75786" w:rsidRDefault="00D75786" w:rsidP="006863D6">
      <w:pPr>
        <w:pStyle w:val="Heading4"/>
      </w:pPr>
      <w:r>
        <w:t xml:space="preserve">Existing targets </w:t>
      </w:r>
    </w:p>
    <w:p w14:paraId="2D7F842B" w14:textId="76876BEB" w:rsidR="00D75786" w:rsidRDefault="00D75786" w:rsidP="00D75786">
      <w:pPr>
        <w:pStyle w:val="BodyText"/>
      </w:pPr>
      <w:r>
        <w:t xml:space="preserve">Some councils already have </w:t>
      </w:r>
      <w:r w:rsidR="00766064">
        <w:t xml:space="preserve">targets for </w:t>
      </w:r>
      <w:r>
        <w:t>indigenous vegetation cover. For example, Hamilton City Council has already set the goal of moving from 2</w:t>
      </w:r>
      <w:r w:rsidR="0008138A">
        <w:t xml:space="preserve"> per cent</w:t>
      </w:r>
      <w:r>
        <w:t xml:space="preserve"> to 10</w:t>
      </w:r>
      <w:r w:rsidR="0008138A">
        <w:t xml:space="preserve"> per cent</w:t>
      </w:r>
      <w:r>
        <w:t xml:space="preserve"> native vegetation cover in </w:t>
      </w:r>
      <w:proofErr w:type="spellStart"/>
      <w:r>
        <w:t>Kirikiriroa</w:t>
      </w:r>
      <w:proofErr w:type="spellEnd"/>
      <w:r>
        <w:t>/Hamilton by 2050</w:t>
      </w:r>
      <w:r w:rsidR="00766064">
        <w:t>. Accordingly, it</w:t>
      </w:r>
      <w:r>
        <w:t xml:space="preserve"> has allocated $29 million over the 2021 to 2031 period.</w:t>
      </w:r>
      <w:r w:rsidR="004F44D6">
        <w:rPr>
          <w:rStyle w:val="FootnoteReference"/>
        </w:rPr>
        <w:footnoteReference w:id="10"/>
      </w:r>
      <w:r>
        <w:t xml:space="preserve"> </w:t>
      </w:r>
    </w:p>
    <w:p w14:paraId="1F2D59F8" w14:textId="40949462" w:rsidR="00D75786" w:rsidRDefault="00D75786" w:rsidP="006863D6">
      <w:pPr>
        <w:pStyle w:val="Heading3"/>
      </w:pPr>
      <w:r>
        <w:t>C2(ii)</w:t>
      </w:r>
      <w:r w:rsidR="006863D6">
        <w:t>:</w:t>
      </w:r>
      <w:r>
        <w:t xml:space="preserve"> Central government driven </w:t>
      </w:r>
    </w:p>
    <w:p w14:paraId="3F805B29" w14:textId="632B19E2" w:rsidR="00D75786" w:rsidRDefault="00D75786" w:rsidP="00D75786">
      <w:pPr>
        <w:pStyle w:val="BodyText"/>
      </w:pPr>
      <w:r>
        <w:t xml:space="preserve">Many different policies seek to manage, monitor and report on indigenous vegetation cover. These are primarily targeted at </w:t>
      </w:r>
      <w:r w:rsidR="00766064">
        <w:t xml:space="preserve">protecting </w:t>
      </w:r>
      <w:r>
        <w:t xml:space="preserve">high-value biodiversity or climate change emissions reductions (which includes exotic and indigenous). </w:t>
      </w:r>
    </w:p>
    <w:p w14:paraId="44FF0AE3" w14:textId="77777777" w:rsidR="00D75786" w:rsidRDefault="00D75786" w:rsidP="006863D6">
      <w:pPr>
        <w:pStyle w:val="Heading4"/>
      </w:pPr>
      <w:r>
        <w:lastRenderedPageBreak/>
        <w:t xml:space="preserve">Biodiversity protection initiatives </w:t>
      </w:r>
    </w:p>
    <w:p w14:paraId="5A02210B" w14:textId="77777777" w:rsidR="00D75786" w:rsidRPr="006863D6" w:rsidRDefault="00D75786" w:rsidP="004F44D6">
      <w:pPr>
        <w:pStyle w:val="Heading5"/>
      </w:pPr>
      <w:r w:rsidRPr="006863D6">
        <w:t xml:space="preserve">Legal protection </w:t>
      </w:r>
    </w:p>
    <w:p w14:paraId="77C07C75" w14:textId="2F5FAA9A" w:rsidR="00D75786" w:rsidRDefault="00D75786" w:rsidP="00D75786">
      <w:pPr>
        <w:pStyle w:val="BodyText"/>
      </w:pPr>
      <w:r>
        <w:t xml:space="preserve">Approximately one-third of </w:t>
      </w:r>
      <w:r w:rsidDel="0008138A">
        <w:t>New Zealand</w:t>
      </w:r>
      <w:r>
        <w:t xml:space="preserve"> is under some form of legal protection,</w:t>
      </w:r>
      <w:r w:rsidR="004F44D6">
        <w:rPr>
          <w:rStyle w:val="FootnoteReference"/>
        </w:rPr>
        <w:footnoteReference w:id="11"/>
      </w:r>
      <w:r>
        <w:t xml:space="preserve"> but this is not an ecologically representative network and some of our most reduced and threatened environments are very poorly represented (see A2, B1). Legal protection is a broad definition, and some activities can still occur within different protection types (</w:t>
      </w:r>
      <w:proofErr w:type="spellStart"/>
      <w:r>
        <w:t>eg</w:t>
      </w:r>
      <w:proofErr w:type="spellEnd"/>
      <w:r>
        <w:t>, mining can be approved for conservation land)</w:t>
      </w:r>
      <w:r w:rsidR="00766064">
        <w:t>. Additionally,</w:t>
      </w:r>
      <w:r w:rsidDel="00766064">
        <w:t xml:space="preserve"> </w:t>
      </w:r>
      <w:r>
        <w:t xml:space="preserve">legal protection does not protect indigenous vegetation cover from weed and pest invasions or disease outbreak. </w:t>
      </w:r>
    </w:p>
    <w:p w14:paraId="212E4BBF" w14:textId="248919D1" w:rsidR="00D75786" w:rsidRPr="006863D6" w:rsidRDefault="00D75786" w:rsidP="004F44D6">
      <w:pPr>
        <w:pStyle w:val="Heading5"/>
      </w:pPr>
      <w:r w:rsidRPr="006863D6">
        <w:t>National Policy Statement for Indigenous Biodiversity</w:t>
      </w:r>
      <w:r w:rsidR="00766064">
        <w:t xml:space="preserve"> (NPSIB)</w:t>
      </w:r>
      <w:r w:rsidRPr="006863D6">
        <w:t xml:space="preserve"> </w:t>
      </w:r>
    </w:p>
    <w:p w14:paraId="4ECC1226" w14:textId="04209B68" w:rsidR="00D75786" w:rsidRDefault="00D75786" w:rsidP="00D75786">
      <w:pPr>
        <w:pStyle w:val="BodyText"/>
      </w:pPr>
      <w:r>
        <w:t>The NPSIB provides direction to councils to protect, maintain and restore indigenous biodiversity and requires that, at least, no further reduction happens nationally. The national policy statement sets out indigenous vegetation cover targets of 10</w:t>
      </w:r>
      <w:r w:rsidR="0008138A">
        <w:t xml:space="preserve"> per cent</w:t>
      </w:r>
      <w:r>
        <w:t xml:space="preserve"> for urban and non-urban areas (in clause 3.22), and it provides national direction on SNAs and taonga species. </w:t>
      </w:r>
    </w:p>
    <w:p w14:paraId="29837009" w14:textId="77777777" w:rsidR="00D75786" w:rsidRPr="006863D6" w:rsidRDefault="00D75786" w:rsidP="004F44D6">
      <w:pPr>
        <w:pStyle w:val="Heading5"/>
      </w:pPr>
      <w:r w:rsidRPr="006863D6">
        <w:t xml:space="preserve">Resource management reform </w:t>
      </w:r>
    </w:p>
    <w:p w14:paraId="385BCCA3" w14:textId="115E8F1C" w:rsidR="00D75786" w:rsidRDefault="00D75786" w:rsidP="00D75786">
      <w:pPr>
        <w:pStyle w:val="BodyText"/>
      </w:pPr>
      <w:r>
        <w:t>The Government has signalled its intent to reform the resource management system</w:t>
      </w:r>
      <w:r w:rsidR="00766064">
        <w:t>,</w:t>
      </w:r>
      <w:r>
        <w:t xml:space="preserve"> which could create new mechanisms and tools for managing indigenous vegetation cover.</w:t>
      </w:r>
      <w:r w:rsidDel="0008138A">
        <w:t xml:space="preserve"> </w:t>
      </w:r>
    </w:p>
    <w:p w14:paraId="360FED15" w14:textId="18822E2D" w:rsidR="00D75786" w:rsidRPr="006863D6" w:rsidRDefault="00D75786" w:rsidP="004F44D6">
      <w:pPr>
        <w:pStyle w:val="Heading5"/>
      </w:pPr>
      <w:r w:rsidRPr="006863D6">
        <w:t xml:space="preserve">Biodiversity </w:t>
      </w:r>
      <w:r w:rsidR="00766064">
        <w:t>c</w:t>
      </w:r>
      <w:r w:rsidRPr="006863D6">
        <w:t xml:space="preserve">redits </w:t>
      </w:r>
      <w:r w:rsidR="00766064">
        <w:t>m</w:t>
      </w:r>
      <w:r w:rsidRPr="006863D6">
        <w:t xml:space="preserve">arket </w:t>
      </w:r>
    </w:p>
    <w:p w14:paraId="571D26F2" w14:textId="53F21240" w:rsidR="00D75786" w:rsidRDefault="00D75786" w:rsidP="00D75786">
      <w:pPr>
        <w:pStyle w:val="BodyText"/>
      </w:pPr>
      <w:r>
        <w:t xml:space="preserve">The Government is in early conversations about the role of government in a biodiversity credits market, with </w:t>
      </w:r>
      <w:r w:rsidR="00556F8D">
        <w:t xml:space="preserve">a Ministry for the Environment </w:t>
      </w:r>
      <w:r w:rsidR="00766064">
        <w:t xml:space="preserve">consultation </w:t>
      </w:r>
      <w:r w:rsidR="00105412">
        <w:t>closing in November 2023</w:t>
      </w:r>
      <w:r w:rsidR="00CB5DE2">
        <w:t>.</w:t>
      </w:r>
      <w:r w:rsidR="00575FE1">
        <w:rPr>
          <w:rStyle w:val="FootnoteReference"/>
        </w:rPr>
        <w:footnoteReference w:id="12"/>
      </w:r>
      <w:r>
        <w:t xml:space="preserve"> This could be a </w:t>
      </w:r>
      <w:r w:rsidR="00766064">
        <w:t xml:space="preserve">way </w:t>
      </w:r>
      <w:r>
        <w:t xml:space="preserve">to manage and monitor, as well as report on indigenous vegetation cover. </w:t>
      </w:r>
    </w:p>
    <w:p w14:paraId="0D766350" w14:textId="77777777" w:rsidR="00D75786" w:rsidRDefault="00D75786" w:rsidP="006863D6">
      <w:pPr>
        <w:pStyle w:val="Heading4"/>
      </w:pPr>
      <w:r>
        <w:t xml:space="preserve">Climate change initiatives </w:t>
      </w:r>
    </w:p>
    <w:p w14:paraId="72445650" w14:textId="77777777" w:rsidR="00D75786" w:rsidRPr="006863D6" w:rsidRDefault="00D75786" w:rsidP="004F44D6">
      <w:pPr>
        <w:pStyle w:val="Heading5"/>
      </w:pPr>
      <w:r w:rsidRPr="006863D6">
        <w:t xml:space="preserve">Emissions reduction plan </w:t>
      </w:r>
    </w:p>
    <w:p w14:paraId="7B466F3F" w14:textId="638CB511" w:rsidR="00D75786" w:rsidRDefault="00D75786" w:rsidP="00D75786">
      <w:pPr>
        <w:pStyle w:val="BodyText"/>
      </w:pPr>
      <w:r>
        <w:t xml:space="preserve">Focus Area 3 in the emissions reduction plan is to maintain existing forests. Action 14.3.1 states that “the Government will continue to monitor the deforestation of pre-1990 native forests”. Action 14.3.2 states that “the Government will consider opportunities to </w:t>
      </w:r>
      <w:r w:rsidR="00766064">
        <w:t xml:space="preserve">incentivise </w:t>
      </w:r>
      <w:r>
        <w:t xml:space="preserve">and encourage management activities [that increase carbon storage in pre-1990 forests]”. </w:t>
      </w:r>
    </w:p>
    <w:p w14:paraId="611B253D" w14:textId="77777777" w:rsidR="00D75786" w:rsidRPr="006863D6" w:rsidRDefault="00D75786" w:rsidP="004F44D6">
      <w:pPr>
        <w:pStyle w:val="Heading5"/>
      </w:pPr>
      <w:r w:rsidRPr="006863D6">
        <w:lastRenderedPageBreak/>
        <w:t xml:space="preserve">New Zealand Emissions Trading Scheme </w:t>
      </w:r>
    </w:p>
    <w:p w14:paraId="1A87375B" w14:textId="0A0F6C18" w:rsidR="00D75786" w:rsidRDefault="00D75786" w:rsidP="00D75786">
      <w:pPr>
        <w:pStyle w:val="BodyText"/>
      </w:pPr>
      <w:r>
        <w:t>Currently</w:t>
      </w:r>
      <w:r w:rsidR="00766064">
        <w:t>,</w:t>
      </w:r>
      <w:r>
        <w:t xml:space="preserve"> the New Zealand Emissions Trading Scheme (NZ ETS) covers a subset of indigenous vegetation cover, which has relevance for method development. A review of the NZ ETS is underway. </w:t>
      </w:r>
    </w:p>
    <w:p w14:paraId="0CCBAB7D" w14:textId="77777777" w:rsidR="00D75786" w:rsidRPr="006863D6" w:rsidRDefault="00D75786" w:rsidP="004F44D6">
      <w:pPr>
        <w:pStyle w:val="Heading5"/>
      </w:pPr>
      <w:r w:rsidRPr="006863D6">
        <w:t xml:space="preserve">Climate action opportunities </w:t>
      </w:r>
    </w:p>
    <w:p w14:paraId="1F1BA35F" w14:textId="0A1688C5" w:rsidR="00D75786" w:rsidRDefault="00893418" w:rsidP="00D75786">
      <w:pPr>
        <w:pStyle w:val="BodyText"/>
      </w:pPr>
      <w:r>
        <w:t>Ministry for the Environment p</w:t>
      </w:r>
      <w:r w:rsidR="00D75786">
        <w:t xml:space="preserve">artners have recommended ways to recognise and reward on-farm sequestration, including woody vegetation that does not currently qualify under the NZ ETS. </w:t>
      </w:r>
    </w:p>
    <w:p w14:paraId="65BBBB5B" w14:textId="77777777" w:rsidR="00D75786" w:rsidRDefault="00D75786" w:rsidP="006863D6">
      <w:pPr>
        <w:pStyle w:val="Heading4"/>
      </w:pPr>
      <w:r>
        <w:t xml:space="preserve">Broader initiatives </w:t>
      </w:r>
    </w:p>
    <w:p w14:paraId="61A833D9" w14:textId="77777777" w:rsidR="00D75786" w:rsidRPr="006863D6" w:rsidRDefault="00D75786" w:rsidP="004F44D6">
      <w:pPr>
        <w:pStyle w:val="Heading5"/>
      </w:pPr>
      <w:r w:rsidRPr="006863D6">
        <w:t xml:space="preserve">One Billion Trees Programme </w:t>
      </w:r>
    </w:p>
    <w:p w14:paraId="2007753E" w14:textId="3525FC70" w:rsidR="00D75786" w:rsidRDefault="00D75786" w:rsidP="00D75786">
      <w:pPr>
        <w:pStyle w:val="BodyText"/>
      </w:pPr>
      <w:r>
        <w:t>The Government has set a goal to plant a billion trees by 2028. To date, 474 million trees have been planted, with 80</w:t>
      </w:r>
      <w:r w:rsidR="0008138A">
        <w:t xml:space="preserve"> per cent</w:t>
      </w:r>
      <w:r>
        <w:t xml:space="preserve"> of these being native trees.</w:t>
      </w:r>
      <w:r w:rsidR="004F44D6">
        <w:rPr>
          <w:rStyle w:val="FootnoteReference"/>
        </w:rPr>
        <w:footnoteReference w:id="13"/>
      </w:r>
      <w:r w:rsidR="0008138A">
        <w:t xml:space="preserve"> </w:t>
      </w:r>
      <w:r>
        <w:t xml:space="preserve"> </w:t>
      </w:r>
    </w:p>
    <w:p w14:paraId="2A895730" w14:textId="77777777" w:rsidR="00D75786" w:rsidRPr="006863D6" w:rsidRDefault="00D75786" w:rsidP="004F44D6">
      <w:pPr>
        <w:pStyle w:val="Heading5"/>
      </w:pPr>
      <w:r w:rsidRPr="006863D6">
        <w:t xml:space="preserve">Jobs for Nature </w:t>
      </w:r>
    </w:p>
    <w:p w14:paraId="1C2C24D5" w14:textId="6EBF2CB4" w:rsidR="00D75786" w:rsidRDefault="00D75786" w:rsidP="00D75786">
      <w:pPr>
        <w:pStyle w:val="BodyText"/>
      </w:pPr>
      <w:r>
        <w:t>Jobs for Nature is a multi-year $1.2 billion dollar programme that manages funding to benefit the environment, people and the regions.</w:t>
      </w:r>
      <w:r w:rsidR="004F44D6">
        <w:rPr>
          <w:rStyle w:val="FootnoteReference"/>
        </w:rPr>
        <w:footnoteReference w:id="14"/>
      </w:r>
      <w:r>
        <w:t xml:space="preserve"> Projects include vegetation planting for freshwater and biodiversity restoration. </w:t>
      </w:r>
    </w:p>
    <w:p w14:paraId="527E9ADF" w14:textId="76A72641" w:rsidR="00D75786" w:rsidRDefault="00D75786" w:rsidP="006863D6">
      <w:pPr>
        <w:pStyle w:val="Heading3"/>
      </w:pPr>
      <w:r>
        <w:t>C2(iii)</w:t>
      </w:r>
      <w:r w:rsidR="006863D6">
        <w:t>:</w:t>
      </w:r>
      <w:r>
        <w:t xml:space="preserve"> Iwi/hapū driven (</w:t>
      </w:r>
      <w:proofErr w:type="spellStart"/>
      <w:r>
        <w:t>eg</w:t>
      </w:r>
      <w:proofErr w:type="spellEnd"/>
      <w:r>
        <w:t>, rāhui)</w:t>
      </w:r>
      <w:r w:rsidDel="0008138A">
        <w:t xml:space="preserve"> </w:t>
      </w:r>
    </w:p>
    <w:p w14:paraId="7F8B7411" w14:textId="77777777" w:rsidR="00D75786" w:rsidRDefault="00D75786" w:rsidP="00D75786">
      <w:pPr>
        <w:pStyle w:val="BodyText"/>
      </w:pPr>
      <w:r>
        <w:t xml:space="preserve">Many iwi/hapū are involved in restoration projects in their </w:t>
      </w:r>
      <w:proofErr w:type="spellStart"/>
      <w:r>
        <w:t>rohe</w:t>
      </w:r>
      <w:proofErr w:type="spellEnd"/>
      <w:r>
        <w:t xml:space="preserve"> that include planting of indigenous cover, and pest and weed control. </w:t>
      </w:r>
    </w:p>
    <w:p w14:paraId="5B87A6A5" w14:textId="057375B7" w:rsidR="00D75786" w:rsidRDefault="00D75786" w:rsidP="006863D6">
      <w:pPr>
        <w:pStyle w:val="Heading3"/>
      </w:pPr>
      <w:r>
        <w:t>C2(iv)</w:t>
      </w:r>
      <w:r w:rsidR="006863D6">
        <w:t>:</w:t>
      </w:r>
      <w:r>
        <w:t xml:space="preserve"> NGO, community driven</w:t>
      </w:r>
      <w:r w:rsidDel="0008138A">
        <w:t xml:space="preserve"> </w:t>
      </w:r>
    </w:p>
    <w:p w14:paraId="023BCBD9" w14:textId="6F38C817" w:rsidR="00D75786" w:rsidRDefault="00D75786" w:rsidP="00D75786">
      <w:pPr>
        <w:pStyle w:val="BodyText"/>
      </w:pPr>
      <w:r>
        <w:t>Queen Elizabeth II National Trust is an independent charitable trust</w:t>
      </w:r>
      <w:r w:rsidR="00766064">
        <w:t>,</w:t>
      </w:r>
      <w:r>
        <w:t xml:space="preserve"> </w:t>
      </w:r>
      <w:r w:rsidR="00766064">
        <w:t xml:space="preserve">which </w:t>
      </w:r>
      <w:r>
        <w:t xml:space="preserve">partners with private land owners to protect land with perpetual covenants. </w:t>
      </w:r>
      <w:r w:rsidR="00766064">
        <w:t xml:space="preserve">These covenants </w:t>
      </w:r>
      <w:r>
        <w:t xml:space="preserve">currently cover 196,000 ha (Queen Elizabeth II National Trust, 2022). Covenants are an important way </w:t>
      </w:r>
      <w:r w:rsidR="00766064">
        <w:t>to protect</w:t>
      </w:r>
      <w:r>
        <w:t xml:space="preserve"> indigenous vegetation cover in lowland and coastal environments that are poorly represented in </w:t>
      </w:r>
      <w:r w:rsidR="0008138A">
        <w:t>New Zealand</w:t>
      </w:r>
      <w:r>
        <w:t>’s conservation estate. Some of these areas are supported by councils with rates rebates (</w:t>
      </w:r>
      <w:proofErr w:type="spellStart"/>
      <w:r>
        <w:t>eg</w:t>
      </w:r>
      <w:proofErr w:type="spellEnd"/>
      <w:r>
        <w:t xml:space="preserve">, Hutt City Council) or other mechanisms. </w:t>
      </w:r>
    </w:p>
    <w:p w14:paraId="0C7939F0" w14:textId="0AF2DA32" w:rsidR="00D75786" w:rsidRDefault="00D75786" w:rsidP="00D75786">
      <w:pPr>
        <w:pStyle w:val="BodyText"/>
      </w:pPr>
      <w:proofErr w:type="spellStart"/>
      <w:r>
        <w:t>Ngā</w:t>
      </w:r>
      <w:proofErr w:type="spellEnd"/>
      <w:r>
        <w:t xml:space="preserve"> whenua rāhui </w:t>
      </w:r>
      <w:proofErr w:type="spellStart"/>
      <w:r>
        <w:t>kawenata</w:t>
      </w:r>
      <w:proofErr w:type="spellEnd"/>
      <w:r>
        <w:t xml:space="preserve"> </w:t>
      </w:r>
      <w:r w:rsidR="00C97FC3">
        <w:t>is</w:t>
      </w:r>
      <w:r>
        <w:t xml:space="preserve"> a legal protection mechanism for Māori land for a 25-year period.</w:t>
      </w:r>
      <w:r w:rsidR="004F44D6">
        <w:rPr>
          <w:rStyle w:val="FootnoteReference"/>
        </w:rPr>
        <w:footnoteReference w:id="15"/>
      </w:r>
      <w:r>
        <w:t xml:space="preserve"> The Local Government (Rating of Whenua Māori) Amendment Act 2021 makes </w:t>
      </w:r>
      <w:proofErr w:type="spellStart"/>
      <w:r>
        <w:t>kawenata</w:t>
      </w:r>
      <w:proofErr w:type="spellEnd"/>
      <w:r>
        <w:t xml:space="preserve"> land non-rateable, nationally. </w:t>
      </w:r>
    </w:p>
    <w:p w14:paraId="04DD1F3F" w14:textId="7A23FEF6" w:rsidR="00D75786" w:rsidRDefault="00D75786" w:rsidP="00D75786">
      <w:pPr>
        <w:pStyle w:val="BodyText"/>
      </w:pPr>
      <w:r>
        <w:lastRenderedPageBreak/>
        <w:t xml:space="preserve">Around </w:t>
      </w:r>
      <w:r w:rsidR="0008138A">
        <w:t>New Zealand</w:t>
      </w:r>
      <w:r>
        <w:t xml:space="preserve">, many community groups are active in restoration and planting projects that improve </w:t>
      </w:r>
      <w:r w:rsidR="005B0FF1">
        <w:t xml:space="preserve">the extent of </w:t>
      </w:r>
      <w:r>
        <w:t xml:space="preserve">indigenous vegetation cover. </w:t>
      </w:r>
    </w:p>
    <w:p w14:paraId="7F83639F" w14:textId="4EE1496D" w:rsidR="00D75786" w:rsidRDefault="00D75786" w:rsidP="006863D6">
      <w:pPr>
        <w:pStyle w:val="Heading3"/>
      </w:pPr>
      <w:r>
        <w:t>C2(v)</w:t>
      </w:r>
      <w:r w:rsidR="006863D6">
        <w:t>:</w:t>
      </w:r>
      <w:r w:rsidR="0008138A">
        <w:t xml:space="preserve"> </w:t>
      </w:r>
      <w:r>
        <w:t>Internationally driven (</w:t>
      </w:r>
      <w:proofErr w:type="spellStart"/>
      <w:r>
        <w:t>eg</w:t>
      </w:r>
      <w:proofErr w:type="spellEnd"/>
      <w:r>
        <w:t xml:space="preserve">, obligations to Convention on Biological Diversity, Kunming-Montreal Global Biodiversity Framework) </w:t>
      </w:r>
    </w:p>
    <w:p w14:paraId="5430044F" w14:textId="33CAC718" w:rsidR="00D75786" w:rsidRDefault="0008138A" w:rsidP="00D75786">
      <w:pPr>
        <w:pStyle w:val="BodyText"/>
      </w:pPr>
      <w:r>
        <w:t>New Zealand</w:t>
      </w:r>
      <w:r w:rsidR="00D75786">
        <w:t xml:space="preserve"> is a signatory to the Convention on Biological Diversity, joining with nearly 200 parties to adopt the Kunming-Montreal Global Diversity Framework. Target 3 of the framework sets out the aim that “by 2030 at least 30 per cent of terrestrial, inland water, and of coastal and marine areas… are effectively conserved and managed…” (United Nations Environment Programme, 2022). </w:t>
      </w:r>
    </w:p>
    <w:p w14:paraId="51222630" w14:textId="77777777" w:rsidR="00D75786" w:rsidRDefault="00D75786" w:rsidP="00D75786">
      <w:pPr>
        <w:pStyle w:val="BodyText"/>
      </w:pPr>
    </w:p>
    <w:p w14:paraId="261FD0F6" w14:textId="77777777" w:rsidR="00D75786" w:rsidRDefault="00D75786" w:rsidP="00D75786">
      <w:pPr>
        <w:pStyle w:val="BodyText"/>
      </w:pPr>
      <w:r>
        <w:t xml:space="preserve"> </w:t>
      </w:r>
    </w:p>
    <w:p w14:paraId="2DA038D2" w14:textId="77777777" w:rsidR="00D75786" w:rsidRDefault="00D75786" w:rsidP="00D75786">
      <w:pPr>
        <w:pStyle w:val="BodyText"/>
      </w:pPr>
    </w:p>
    <w:p w14:paraId="3829AC4C" w14:textId="77777777" w:rsidR="00D75786" w:rsidRDefault="00D75786">
      <w:pPr>
        <w:spacing w:before="0" w:after="200" w:line="276" w:lineRule="auto"/>
        <w:jc w:val="left"/>
        <w:rPr>
          <w:rFonts w:ascii="Georgia" w:eastAsiaTheme="majorEastAsia" w:hAnsi="Georgia" w:cstheme="majorBidi"/>
          <w:b/>
          <w:bCs/>
          <w:color w:val="1B556B"/>
          <w:sz w:val="48"/>
          <w:szCs w:val="28"/>
        </w:rPr>
      </w:pPr>
      <w:r>
        <w:br w:type="page"/>
      </w:r>
    </w:p>
    <w:p w14:paraId="76B0A6C1" w14:textId="38448832" w:rsidR="00D75786" w:rsidRDefault="00D75786" w:rsidP="00D75786">
      <w:pPr>
        <w:pStyle w:val="Heading1"/>
      </w:pPr>
      <w:bookmarkStart w:id="25" w:name="_Toc201841165"/>
      <w:r>
        <w:lastRenderedPageBreak/>
        <w:t>Part D – Impact analysis</w:t>
      </w:r>
      <w:bookmarkEnd w:id="25"/>
      <w:r>
        <w:t xml:space="preserve"> </w:t>
      </w:r>
    </w:p>
    <w:p w14:paraId="4BA5E8CC" w14:textId="286B654B" w:rsidR="00D75786" w:rsidRDefault="00D75786" w:rsidP="00D75786">
      <w:pPr>
        <w:pStyle w:val="Heading2"/>
      </w:pPr>
      <w:bookmarkStart w:id="26" w:name="_Toc201841166"/>
      <w:r>
        <w:t>D1</w:t>
      </w:r>
      <w:r w:rsidR="006863D6">
        <w:t>:</w:t>
      </w:r>
      <w:r>
        <w:t xml:space="preserve"> What would be the environmental/human health impacts of not managing this attribute?</w:t>
      </w:r>
      <w:bookmarkEnd w:id="26"/>
      <w:r w:rsidDel="0008138A">
        <w:t xml:space="preserve"> </w:t>
      </w:r>
    </w:p>
    <w:p w14:paraId="42513956" w14:textId="41507C44" w:rsidR="00D75786" w:rsidRDefault="00D75786" w:rsidP="00D75786">
      <w:pPr>
        <w:pStyle w:val="BodyText"/>
      </w:pPr>
      <w:r>
        <w:t xml:space="preserve">The loss of indigenous vegetation cover following human arrival has been a significant driver of extinction for many species. At least 75 animal and plant species have become extinct since humans arrived in </w:t>
      </w:r>
      <w:r w:rsidDel="0008138A">
        <w:t>New Zealand</w:t>
      </w:r>
      <w:r>
        <w:t xml:space="preserve"> (Ministry for the Environment, 2019). This includes 59 bird species, 3 frogs, 2 reptiles, 4 insects and 7 plants (see </w:t>
      </w:r>
      <w:hyperlink w:anchor="A1" w:history="1">
        <w:r w:rsidRPr="004468CD">
          <w:rPr>
            <w:rStyle w:val="Hyperlink"/>
          </w:rPr>
          <w:t>A1</w:t>
        </w:r>
      </w:hyperlink>
      <w:r>
        <w:t xml:space="preserve">, </w:t>
      </w:r>
      <w:hyperlink w:anchor="A2" w:history="1">
        <w:r w:rsidRPr="004468CD">
          <w:rPr>
            <w:rStyle w:val="Hyperlink"/>
          </w:rPr>
          <w:t>A2</w:t>
        </w:r>
      </w:hyperlink>
      <w:r>
        <w:t xml:space="preserve">, </w:t>
      </w:r>
      <w:hyperlink w:anchor="B4" w:history="1">
        <w:r w:rsidRPr="004468CD">
          <w:rPr>
            <w:rStyle w:val="Hyperlink"/>
          </w:rPr>
          <w:t>B4</w:t>
        </w:r>
      </w:hyperlink>
      <w:r>
        <w:t xml:space="preserve">). </w:t>
      </w:r>
    </w:p>
    <w:p w14:paraId="569452D1" w14:textId="77777777" w:rsidR="00D75786" w:rsidRDefault="00D75786" w:rsidP="00D75786">
      <w:pPr>
        <w:pStyle w:val="BodyText"/>
      </w:pPr>
      <w:r>
        <w:t xml:space="preserve">The loss of indigenous vegetation cover impacts broader wellbeing aspects of human health for current and future generations. These causal relationships are complex, and they interact with other factors like socioeconomics. </w:t>
      </w:r>
    </w:p>
    <w:p w14:paraId="764D43F7" w14:textId="5570643A" w:rsidR="00D75786" w:rsidRDefault="00D75786" w:rsidP="00D75786">
      <w:pPr>
        <w:pStyle w:val="Heading2"/>
      </w:pPr>
      <w:bookmarkStart w:id="27" w:name="_Toc201841167"/>
      <w:r>
        <w:t>D2</w:t>
      </w:r>
      <w:r w:rsidR="006863D6">
        <w:t>:</w:t>
      </w:r>
      <w:r>
        <w:t xml:space="preserve"> Where and by whom would the economic impacts likely be felt (</w:t>
      </w:r>
      <w:proofErr w:type="spellStart"/>
      <w:r>
        <w:t>eg</w:t>
      </w:r>
      <w:proofErr w:type="spellEnd"/>
      <w:r>
        <w:t>, horticulture in Hawke’s Bay, electricity generation, housing availability and supply in Auckland)</w:t>
      </w:r>
      <w:r w:rsidR="006863D6">
        <w:t>?</w:t>
      </w:r>
      <w:bookmarkEnd w:id="27"/>
      <w:r w:rsidDel="0008138A">
        <w:t xml:space="preserve"> </w:t>
      </w:r>
    </w:p>
    <w:p w14:paraId="180F007A" w14:textId="53C1F11E" w:rsidR="00D75786" w:rsidRDefault="00D75786" w:rsidP="00D75786">
      <w:pPr>
        <w:pStyle w:val="BodyText"/>
      </w:pPr>
      <w:r>
        <w:t>The economic impacts will depend on the tools used to manage indigenous vegetation cover. Generally, land owners with native indigenous vegetation (or the potential for native indigenous vegetation) will be most affected. The impacts could be positive (</w:t>
      </w:r>
      <w:proofErr w:type="spellStart"/>
      <w:r>
        <w:t>eg</w:t>
      </w:r>
      <w:proofErr w:type="spellEnd"/>
      <w:r>
        <w:t>, rates rebates or options for biodiversity credits) or negative (</w:t>
      </w:r>
      <w:proofErr w:type="spellStart"/>
      <w:r>
        <w:t>eg</w:t>
      </w:r>
      <w:proofErr w:type="spellEnd"/>
      <w:r>
        <w:t>, affecting future options for land-use change), depending on the tools.</w:t>
      </w:r>
      <w:r w:rsidDel="0008138A">
        <w:t xml:space="preserve"> </w:t>
      </w:r>
    </w:p>
    <w:p w14:paraId="044D801B" w14:textId="444C1A3F" w:rsidR="00D75786" w:rsidRDefault="00D75786" w:rsidP="00D75786">
      <w:pPr>
        <w:pStyle w:val="BodyText"/>
      </w:pPr>
      <w:r>
        <w:t>From an impacts point of view, Māori land is likely to have greater indigenous vegetation cover than non-Māori land. Harmsworth et al (2010) found about 54</w:t>
      </w:r>
      <w:r w:rsidR="0008138A">
        <w:t xml:space="preserve"> per cent</w:t>
      </w:r>
      <w:r>
        <w:t xml:space="preserve"> of Māori land in </w:t>
      </w:r>
      <w:r w:rsidDel="0008138A">
        <w:t>New Zealand</w:t>
      </w:r>
      <w:r>
        <w:t xml:space="preserve"> is under indigenous vegetation cover (using 2002 data). Maintaining and increasing indigenous vegetation cover may have different impacts on Māori compared to the general population, depending on the tools used. </w:t>
      </w:r>
    </w:p>
    <w:p w14:paraId="12EEF581" w14:textId="1DDE0702" w:rsidR="00D75786" w:rsidRDefault="00D75786" w:rsidP="00D75786">
      <w:pPr>
        <w:pStyle w:val="Heading2"/>
      </w:pPr>
      <w:bookmarkStart w:id="28" w:name="_Toc201841168"/>
      <w:r>
        <w:t>D3</w:t>
      </w:r>
      <w:r w:rsidR="006863D6">
        <w:t>:</w:t>
      </w:r>
      <w:r>
        <w:t xml:space="preserve"> How will this attribute be affected by climate change? What will mitigating that require, in terms of management response?</w:t>
      </w:r>
      <w:bookmarkEnd w:id="28"/>
      <w:r>
        <w:t xml:space="preserve"> </w:t>
      </w:r>
    </w:p>
    <w:p w14:paraId="163F0231" w14:textId="2BF9F0FA" w:rsidR="00D75786" w:rsidRDefault="005B0FF1" w:rsidP="00D75786">
      <w:pPr>
        <w:pStyle w:val="BodyText"/>
      </w:pPr>
      <w:r>
        <w:t>Due to</w:t>
      </w:r>
      <w:r w:rsidR="00D75786">
        <w:t xml:space="preserve"> the broad nature of the indigenous vegetation cover attribute, it is unlikely to be affected by climate change. For example, climate change may shift the tree line but, as long as the cover is indigenous, the attribute does not discriminate between the type of cover. Perturbation events like wildfires or storms may increase, and it will be important to plan for reducing the impacts and revegetating the indigenous cover </w:t>
      </w:r>
      <w:r>
        <w:t xml:space="preserve">after </w:t>
      </w:r>
      <w:r w:rsidR="00D75786">
        <w:t xml:space="preserve">these events. </w:t>
      </w:r>
    </w:p>
    <w:p w14:paraId="53C717EF" w14:textId="77777777" w:rsidR="00487DB0" w:rsidRDefault="00487DB0">
      <w:pPr>
        <w:spacing w:before="0" w:after="200" w:line="276" w:lineRule="auto"/>
        <w:jc w:val="left"/>
        <w:rPr>
          <w:rFonts w:ascii="Georgia" w:eastAsiaTheme="majorEastAsia" w:hAnsi="Georgia" w:cstheme="majorBidi"/>
          <w:b/>
          <w:bCs/>
          <w:color w:val="1B556B"/>
          <w:sz w:val="48"/>
          <w:szCs w:val="28"/>
        </w:rPr>
      </w:pPr>
      <w:r>
        <w:br w:type="page"/>
      </w:r>
    </w:p>
    <w:p w14:paraId="6686745B" w14:textId="2E9E829C" w:rsidR="00D75786" w:rsidRDefault="00D75786" w:rsidP="00D75786">
      <w:pPr>
        <w:pStyle w:val="Heading1"/>
      </w:pPr>
      <w:bookmarkStart w:id="29" w:name="_Toc201841169"/>
      <w:r>
        <w:lastRenderedPageBreak/>
        <w:t>References</w:t>
      </w:r>
      <w:bookmarkEnd w:id="29"/>
      <w:r w:rsidDel="0008138A">
        <w:t xml:space="preserve"> </w:t>
      </w:r>
    </w:p>
    <w:p w14:paraId="36E06A60" w14:textId="2E38198E" w:rsidR="00D75786" w:rsidRPr="00487DB0" w:rsidRDefault="00D75786" w:rsidP="00D75786">
      <w:pPr>
        <w:pStyle w:val="BodyText"/>
      </w:pPr>
      <w:r w:rsidRPr="00487DB0">
        <w:t xml:space="preserve">Bellingham PJ, Overton JM, Thomson, FJ, MacLeod CJ, Holdaway RJ, Wiser SK, Brown M, Gormley AM, Collins D, Latham DM, Bishop C, Rutledge DT, Innes JG, Warburton B. 2016. </w:t>
      </w:r>
      <w:r w:rsidRPr="0092381B">
        <w:rPr>
          <w:i/>
          <w:iCs/>
        </w:rPr>
        <w:t>Standardised terrestrial biodiversity indicators for use by regional councils.</w:t>
      </w:r>
      <w:r w:rsidRPr="00487DB0">
        <w:t xml:space="preserve"> Prepared for the Regional Councils’ Biodiversity Monitoring Working Group by Manaaki Whenua Landcare Research. </w:t>
      </w:r>
    </w:p>
    <w:p w14:paraId="582852A3" w14:textId="77777777" w:rsidR="00D75786" w:rsidRPr="00487DB0" w:rsidRDefault="00D75786" w:rsidP="00D75786">
      <w:pPr>
        <w:pStyle w:val="BodyText"/>
      </w:pPr>
      <w:r w:rsidRPr="00487DB0">
        <w:t xml:space="preserve">Department of Conservation. 2020. </w:t>
      </w:r>
      <w:r w:rsidRPr="0092381B">
        <w:rPr>
          <w:i/>
          <w:iCs/>
        </w:rPr>
        <w:t>Biodiversity in Aotearoa: an overview of state, trends and pressures.</w:t>
      </w:r>
      <w:r w:rsidRPr="00487DB0">
        <w:t xml:space="preserve"> Wellington: Department of Conservation. </w:t>
      </w:r>
    </w:p>
    <w:p w14:paraId="2A72D677" w14:textId="77777777" w:rsidR="00D75786" w:rsidRPr="00487DB0" w:rsidRDefault="00D75786" w:rsidP="00D75786">
      <w:pPr>
        <w:pStyle w:val="BodyText"/>
      </w:pPr>
      <w:r w:rsidRPr="00487DB0">
        <w:t xml:space="preserve">Eco-index. 2023. </w:t>
      </w:r>
      <w:r w:rsidRPr="0092381B">
        <w:rPr>
          <w:i/>
          <w:iCs/>
        </w:rPr>
        <w:t>Rationale for a minimum 15% ecosystem land cover target</w:t>
      </w:r>
      <w:r w:rsidRPr="00487DB0">
        <w:t xml:space="preserve">. Eco-index. </w:t>
      </w:r>
    </w:p>
    <w:p w14:paraId="48D8A2E7" w14:textId="39393321" w:rsidR="00D75786" w:rsidRPr="00487DB0" w:rsidRDefault="00D75786" w:rsidP="00D75786">
      <w:pPr>
        <w:pStyle w:val="BodyText"/>
      </w:pPr>
      <w:r w:rsidRPr="00487DB0">
        <w:t xml:space="preserve">European Commission. 2021. </w:t>
      </w:r>
      <w:r w:rsidRPr="0092381B">
        <w:rPr>
          <w:i/>
          <w:iCs/>
        </w:rPr>
        <w:t>EU Biodiversity Strategy for 2030: Bringing nature back into our lives.</w:t>
      </w:r>
      <w:r w:rsidRPr="00487DB0">
        <w:t xml:space="preserve"> Luxembourg: Publications Office of the European Union.</w:t>
      </w:r>
      <w:r w:rsidR="0008138A">
        <w:t xml:space="preserve"> </w:t>
      </w:r>
    </w:p>
    <w:p w14:paraId="051FA409" w14:textId="77777777" w:rsidR="00D75786" w:rsidRPr="00487DB0" w:rsidRDefault="00D75786" w:rsidP="00D75786">
      <w:pPr>
        <w:pStyle w:val="BodyText"/>
      </w:pPr>
      <w:r w:rsidRPr="00487DB0">
        <w:t xml:space="preserve">Ewers RM, Kliskey AD, Walker S, Rutledge D, Harding JS, </w:t>
      </w:r>
      <w:proofErr w:type="spellStart"/>
      <w:r w:rsidRPr="00487DB0">
        <w:t>Didham</w:t>
      </w:r>
      <w:proofErr w:type="spellEnd"/>
      <w:r w:rsidRPr="00487DB0">
        <w:t xml:space="preserve"> RK. 2006. Past and future trajectories of forest loss in New Zealand. </w:t>
      </w:r>
      <w:r w:rsidRPr="0092381B">
        <w:rPr>
          <w:i/>
          <w:iCs/>
        </w:rPr>
        <w:t>Biological Conservation 133(3):</w:t>
      </w:r>
      <w:r w:rsidRPr="00487DB0">
        <w:t xml:space="preserve"> 312–325. </w:t>
      </w:r>
    </w:p>
    <w:p w14:paraId="4114A6C9" w14:textId="77777777" w:rsidR="00D75786" w:rsidRPr="00487DB0" w:rsidRDefault="00D75786" w:rsidP="00D75786">
      <w:pPr>
        <w:pStyle w:val="BodyText"/>
      </w:pPr>
      <w:r w:rsidRPr="00487DB0">
        <w:t xml:space="preserve">Hampson N. 2022. </w:t>
      </w:r>
      <w:r w:rsidRPr="0092381B">
        <w:rPr>
          <w:i/>
          <w:iCs/>
        </w:rPr>
        <w:t>National Policy Statement – Indigenous Biodiversity: Cost Benefit Analysis.</w:t>
      </w:r>
      <w:r w:rsidRPr="00487DB0">
        <w:t xml:space="preserve"> Prepared for the Ministry for the Environment by Market Economics Limited. </w:t>
      </w:r>
    </w:p>
    <w:p w14:paraId="027CDE74" w14:textId="77777777" w:rsidR="00487DB0" w:rsidRPr="00487DB0" w:rsidRDefault="00487DB0" w:rsidP="00487DB0">
      <w:pPr>
        <w:pStyle w:val="FootnoteText"/>
        <w:ind w:left="0" w:firstLine="0"/>
        <w:rPr>
          <w:sz w:val="22"/>
        </w:rPr>
      </w:pPr>
      <w:r w:rsidRPr="00487DB0">
        <w:rPr>
          <w:sz w:val="22"/>
        </w:rPr>
        <w:t xml:space="preserve">Harmsworth et al. (2010). </w:t>
      </w:r>
      <w:r w:rsidRPr="0092381B">
        <w:rPr>
          <w:i/>
          <w:iCs/>
          <w:sz w:val="22"/>
        </w:rPr>
        <w:t>Climate change business opportunities for Māori land and Māori organisations: FRST Contract: C09X0901</w:t>
      </w:r>
      <w:r w:rsidRPr="00487DB0">
        <w:rPr>
          <w:sz w:val="22"/>
        </w:rPr>
        <w:t>. Prepared for MAF Wellington under Sustainable Land Management and Adaptation to Climate Change (SLMACC).</w:t>
      </w:r>
    </w:p>
    <w:p w14:paraId="49C7218C" w14:textId="626B4AF5" w:rsidR="00D75786" w:rsidRPr="00487DB0" w:rsidRDefault="00D75786" w:rsidP="00D75786">
      <w:pPr>
        <w:pStyle w:val="BodyText"/>
      </w:pPr>
      <w:r w:rsidRPr="00487DB0">
        <w:t xml:space="preserve">IPBES. 2019. </w:t>
      </w:r>
      <w:r w:rsidRPr="0092381B">
        <w:rPr>
          <w:i/>
          <w:iCs/>
        </w:rPr>
        <w:t>Summary for policymakers of the global assessment report on biodiversity and ecosystem services of the Intergovernmental Science-Policy Platform on Biodiversity and Ecosystem Services</w:t>
      </w:r>
      <w:r w:rsidRPr="00487DB0">
        <w:t>. IPBES Secretariat.</w:t>
      </w:r>
      <w:r w:rsidR="0008138A">
        <w:t xml:space="preserve"> </w:t>
      </w:r>
    </w:p>
    <w:p w14:paraId="0B82D2FF" w14:textId="77777777" w:rsidR="00D75786" w:rsidRPr="00487DB0" w:rsidRDefault="00D75786" w:rsidP="00D75786">
      <w:pPr>
        <w:pStyle w:val="BodyText"/>
      </w:pPr>
      <w:r w:rsidRPr="00487DB0">
        <w:t xml:space="preserve">Kupfer JA, </w:t>
      </w:r>
      <w:proofErr w:type="spellStart"/>
      <w:r w:rsidRPr="00487DB0">
        <w:t>Malanson</w:t>
      </w:r>
      <w:proofErr w:type="spellEnd"/>
      <w:r w:rsidRPr="00487DB0">
        <w:t xml:space="preserve"> GP, Franklin SB. 2006. Not seeing the ocean for the islands: the mediating influence of matrix-based processes on forest fragmentation effects. </w:t>
      </w:r>
      <w:r w:rsidRPr="0092381B">
        <w:rPr>
          <w:i/>
          <w:iCs/>
        </w:rPr>
        <w:t>Global Ecology and Biogeography 15</w:t>
      </w:r>
      <w:r w:rsidRPr="00487DB0">
        <w:t xml:space="preserve">: 8–20. </w:t>
      </w:r>
    </w:p>
    <w:p w14:paraId="58690A11" w14:textId="77777777" w:rsidR="00D75786" w:rsidRPr="00487DB0" w:rsidRDefault="00D75786" w:rsidP="00D75786">
      <w:pPr>
        <w:pStyle w:val="BodyText"/>
      </w:pPr>
      <w:proofErr w:type="spellStart"/>
      <w:r w:rsidRPr="00487DB0">
        <w:t>Leathwick</w:t>
      </w:r>
      <w:proofErr w:type="spellEnd"/>
      <w:r w:rsidRPr="00487DB0">
        <w:t xml:space="preserve"> J, McGlone M, Walker S. 2012. </w:t>
      </w:r>
      <w:r w:rsidRPr="0092381B">
        <w:rPr>
          <w:i/>
          <w:iCs/>
        </w:rPr>
        <w:t>New Zealand’s Potential Vegetation Pattern.</w:t>
      </w:r>
      <w:r w:rsidRPr="00487DB0">
        <w:t xml:space="preserve"> Manaaki Whenua Landcare Research. </w:t>
      </w:r>
    </w:p>
    <w:p w14:paraId="28CEEEA8" w14:textId="77777777" w:rsidR="00D75786" w:rsidRPr="00487DB0" w:rsidRDefault="00D75786" w:rsidP="00D75786">
      <w:pPr>
        <w:pStyle w:val="BodyText"/>
      </w:pPr>
      <w:r w:rsidRPr="00487DB0">
        <w:t xml:space="preserve">Lohrer D et al. 2024. </w:t>
      </w:r>
      <w:r w:rsidRPr="0092381B">
        <w:rPr>
          <w:i/>
          <w:iCs/>
        </w:rPr>
        <w:t>Information Stocktakes of Fifty-Five Environmental Attributes across Air, Soil, Terrestrial, Freshwater, Estuaries and Coastal Waters Domains.</w:t>
      </w:r>
      <w:r w:rsidRPr="00487DB0">
        <w:t xml:space="preserve"> NIWA report no. 2024216HN. Prepared for the Ministry for the Environment by NIWA, Manaaki Whenua Landcare Research, Cawthron Institute, and </w:t>
      </w:r>
      <w:proofErr w:type="spellStart"/>
      <w:r w:rsidRPr="00487DB0">
        <w:t>Environet</w:t>
      </w:r>
      <w:proofErr w:type="spellEnd"/>
      <w:r w:rsidRPr="00487DB0">
        <w:t xml:space="preserve"> Limited. </w:t>
      </w:r>
    </w:p>
    <w:p w14:paraId="7D50DCDB" w14:textId="77777777" w:rsidR="00D75786" w:rsidRPr="00487DB0" w:rsidRDefault="00D75786" w:rsidP="00D75786">
      <w:pPr>
        <w:pStyle w:val="BodyText"/>
      </w:pPr>
      <w:r w:rsidRPr="00487DB0">
        <w:t xml:space="preserve">Lyver P, Richardson SJ, Gormley AM, Timoti PT, Jones CJ, Tahi BL. 2018. Complementarity of indigenous and western scientific approaches for monitoring forest state. </w:t>
      </w:r>
      <w:r w:rsidRPr="0092381B">
        <w:rPr>
          <w:i/>
          <w:iCs/>
        </w:rPr>
        <w:t>Ecological Applications 28(7)</w:t>
      </w:r>
      <w:r w:rsidRPr="00487DB0">
        <w:t xml:space="preserve">: 1909–1923. </w:t>
      </w:r>
    </w:p>
    <w:p w14:paraId="01480467" w14:textId="77777777" w:rsidR="00D75786" w:rsidRPr="00487DB0" w:rsidRDefault="00D75786" w:rsidP="00D75786">
      <w:pPr>
        <w:pStyle w:val="BodyText"/>
      </w:pPr>
      <w:proofErr w:type="spellStart"/>
      <w:r w:rsidRPr="00487DB0">
        <w:t>Mantyka</w:t>
      </w:r>
      <w:proofErr w:type="spellEnd"/>
      <w:r w:rsidRPr="00487DB0">
        <w:t xml:space="preserve">-Pringle CS, Visconti P, Di Marco M, Martin TG, </w:t>
      </w:r>
      <w:proofErr w:type="spellStart"/>
      <w:r w:rsidRPr="00487DB0">
        <w:t>Rondinini</w:t>
      </w:r>
      <w:proofErr w:type="spellEnd"/>
      <w:r w:rsidRPr="00487DB0">
        <w:t xml:space="preserve"> C, Rhodes JR. 2015. Climate change modifies risk of global biodiversity loss due to land-cover change. </w:t>
      </w:r>
      <w:r w:rsidRPr="0092381B">
        <w:rPr>
          <w:i/>
          <w:iCs/>
        </w:rPr>
        <w:t>Biological Conservation 187</w:t>
      </w:r>
      <w:r w:rsidRPr="00487DB0">
        <w:t xml:space="preserve">: 103–111. </w:t>
      </w:r>
    </w:p>
    <w:p w14:paraId="4AB8F7F1" w14:textId="77777777" w:rsidR="00D75786" w:rsidRPr="00487DB0" w:rsidRDefault="00D75786" w:rsidP="00D75786">
      <w:pPr>
        <w:pStyle w:val="BodyText"/>
      </w:pPr>
      <w:r w:rsidRPr="00487DB0">
        <w:lastRenderedPageBreak/>
        <w:t xml:space="preserve">Ministry for the Environment, Department of Conservation. 2007. </w:t>
      </w:r>
      <w:r w:rsidRPr="0092381B">
        <w:rPr>
          <w:i/>
          <w:iCs/>
        </w:rPr>
        <w:t>Protecting our Places: Information about the Statement of National Priorities for Protecting Rare and Threatened Biodiversity on Private Land.</w:t>
      </w:r>
      <w:r w:rsidRPr="00487DB0">
        <w:t xml:space="preserve"> Wellington: Ministry for the Environment. </w:t>
      </w:r>
    </w:p>
    <w:p w14:paraId="426C8047" w14:textId="77777777" w:rsidR="00D75786" w:rsidRPr="00487DB0" w:rsidRDefault="00D75786" w:rsidP="00D75786">
      <w:pPr>
        <w:pStyle w:val="BodyText"/>
      </w:pPr>
      <w:r w:rsidRPr="00487DB0">
        <w:t xml:space="preserve">Ministry for the Environment. 2019. </w:t>
      </w:r>
      <w:r w:rsidRPr="0092381B">
        <w:rPr>
          <w:i/>
          <w:iCs/>
        </w:rPr>
        <w:t>New Zealand’s Environmental Reporting Series: Environment Aotearoa 2019.</w:t>
      </w:r>
      <w:r w:rsidRPr="00487DB0">
        <w:t xml:space="preserve"> Wellington: Ministry for the Environment. </w:t>
      </w:r>
    </w:p>
    <w:p w14:paraId="5785D192" w14:textId="77777777" w:rsidR="00D75786" w:rsidRPr="00487DB0" w:rsidRDefault="00D75786" w:rsidP="00D75786">
      <w:pPr>
        <w:pStyle w:val="BodyText"/>
      </w:pPr>
      <w:r w:rsidRPr="00487DB0">
        <w:t xml:space="preserve">Queen Elizabeth II National Trust. 2022. </w:t>
      </w:r>
      <w:r w:rsidRPr="0092381B">
        <w:rPr>
          <w:i/>
          <w:iCs/>
        </w:rPr>
        <w:t>Annual report 2022 of Queen Elizabeth II National Trust.</w:t>
      </w:r>
      <w:r w:rsidRPr="00487DB0">
        <w:t xml:space="preserve"> Wellington: Queen Elizabeth II National Trust. </w:t>
      </w:r>
    </w:p>
    <w:p w14:paraId="111C7089" w14:textId="77777777" w:rsidR="00D75786" w:rsidRPr="00487DB0" w:rsidRDefault="00D75786" w:rsidP="00D75786">
      <w:pPr>
        <w:pStyle w:val="BodyText"/>
      </w:pPr>
      <w:r w:rsidRPr="00487DB0">
        <w:t xml:space="preserve">Shortland T. 2017. </w:t>
      </w:r>
      <w:r w:rsidRPr="0092381B">
        <w:rPr>
          <w:i/>
          <w:iCs/>
        </w:rPr>
        <w:t>Kauri dieback cultural health indicator pilot project report.</w:t>
      </w:r>
      <w:r w:rsidRPr="00487DB0">
        <w:t xml:space="preserve"> MPI Contract No. 17874. Wellington: Ministry for Primary Industries. </w:t>
      </w:r>
    </w:p>
    <w:p w14:paraId="6195B113" w14:textId="77777777" w:rsidR="00D75786" w:rsidRPr="00487DB0" w:rsidRDefault="00D75786" w:rsidP="00D75786">
      <w:pPr>
        <w:pStyle w:val="BodyText"/>
      </w:pPr>
      <w:r w:rsidRPr="00487DB0">
        <w:t xml:space="preserve">Tilman D, May RM, Lehman CL, Nowak MA. 1994. Habitat destruction and the extinction debt. </w:t>
      </w:r>
      <w:r w:rsidRPr="0092381B">
        <w:rPr>
          <w:i/>
          <w:iCs/>
        </w:rPr>
        <w:t>Nature 371</w:t>
      </w:r>
      <w:r w:rsidRPr="00487DB0">
        <w:t xml:space="preserve">: 65–66. </w:t>
      </w:r>
    </w:p>
    <w:p w14:paraId="7A8B737F" w14:textId="77777777" w:rsidR="00D75786" w:rsidRPr="00487DB0" w:rsidRDefault="00D75786" w:rsidP="00D75786">
      <w:pPr>
        <w:pStyle w:val="BodyText"/>
      </w:pPr>
      <w:r w:rsidRPr="00487DB0">
        <w:t xml:space="preserve">United Nations Environment Programme. 2022. </w:t>
      </w:r>
      <w:r w:rsidRPr="0092381B">
        <w:rPr>
          <w:i/>
          <w:iCs/>
        </w:rPr>
        <w:t>Kunming-Montreal Global biodiversity framework</w:t>
      </w:r>
      <w:r w:rsidRPr="00487DB0">
        <w:t xml:space="preserve">. CBD/COP/15/L.25. Conference of the Parties to the Convention on Biological Diversity. </w:t>
      </w:r>
    </w:p>
    <w:p w14:paraId="2D4BA5A2" w14:textId="77777777" w:rsidR="00D75786" w:rsidRPr="00487DB0" w:rsidRDefault="00D75786" w:rsidP="00D75786">
      <w:pPr>
        <w:pStyle w:val="BodyText"/>
      </w:pPr>
      <w:r w:rsidRPr="00487DB0">
        <w:t xml:space="preserve">Walker S, Price R, Rutledge D, Stephens RTT, Lee WG. 2006. Recent loss of indigenous cover in New Zealand. </w:t>
      </w:r>
      <w:r w:rsidRPr="0092381B">
        <w:rPr>
          <w:i/>
          <w:iCs/>
        </w:rPr>
        <w:t>New Zealand Journal of Ecology 30(2)</w:t>
      </w:r>
      <w:r w:rsidRPr="00487DB0">
        <w:t xml:space="preserve">: 169–177. </w:t>
      </w:r>
    </w:p>
    <w:p w14:paraId="7BC245B0" w14:textId="77777777" w:rsidR="00D75786" w:rsidRPr="00487DB0" w:rsidRDefault="00D75786" w:rsidP="00D75786">
      <w:pPr>
        <w:pStyle w:val="BodyText"/>
      </w:pPr>
      <w:r w:rsidRPr="00487DB0">
        <w:t xml:space="preserve">Walker S, Price R, Rutledge D. 2008. New Zealand’s remaining indigenous cover: recent changes and biodiversity protection needs. </w:t>
      </w:r>
      <w:r w:rsidRPr="0092381B">
        <w:rPr>
          <w:i/>
          <w:iCs/>
        </w:rPr>
        <w:t>Science for Conservation 284</w:t>
      </w:r>
      <w:r w:rsidRPr="00487DB0">
        <w:t xml:space="preserve">. Wellington: Science &amp; Technical Publishing, Department of Conservation. </w:t>
      </w:r>
    </w:p>
    <w:p w14:paraId="650D98C1" w14:textId="77777777" w:rsidR="00D75786" w:rsidRPr="00487DB0" w:rsidRDefault="00D75786" w:rsidP="00D75786">
      <w:pPr>
        <w:pStyle w:val="BodyText"/>
      </w:pPr>
      <w:r w:rsidRPr="00487DB0">
        <w:t xml:space="preserve">Walker S, </w:t>
      </w:r>
      <w:proofErr w:type="spellStart"/>
      <w:r w:rsidRPr="00487DB0">
        <w:t>Cieraad</w:t>
      </w:r>
      <w:proofErr w:type="spellEnd"/>
      <w:r w:rsidRPr="00487DB0">
        <w:t xml:space="preserve"> E, Barringer J. 2015. </w:t>
      </w:r>
      <w:r w:rsidRPr="0092381B">
        <w:rPr>
          <w:i/>
          <w:iCs/>
        </w:rPr>
        <w:t>The Threatened Environment Classification for New Zealand 2012: a guide for users.</w:t>
      </w:r>
      <w:r w:rsidRPr="00487DB0">
        <w:t xml:space="preserve"> Dunedin/Lincoln: Landcare Research. </w:t>
      </w:r>
    </w:p>
    <w:p w14:paraId="0FFD49BC" w14:textId="00167828" w:rsidR="00774B73" w:rsidRPr="00487DB0" w:rsidRDefault="00D75786" w:rsidP="006863D6">
      <w:pPr>
        <w:pStyle w:val="BodyText"/>
      </w:pPr>
      <w:r w:rsidRPr="00487DB0">
        <w:t xml:space="preserve">Walker DP. 2019. </w:t>
      </w:r>
      <w:proofErr w:type="spellStart"/>
      <w:r w:rsidRPr="0092381B">
        <w:rPr>
          <w:i/>
          <w:iCs/>
        </w:rPr>
        <w:t>Toitū</w:t>
      </w:r>
      <w:proofErr w:type="spellEnd"/>
      <w:r w:rsidRPr="0092381B">
        <w:rPr>
          <w:i/>
          <w:iCs/>
        </w:rPr>
        <w:t xml:space="preserve"> </w:t>
      </w:r>
      <w:proofErr w:type="spellStart"/>
      <w:r w:rsidRPr="0092381B">
        <w:rPr>
          <w:i/>
          <w:iCs/>
        </w:rPr>
        <w:t>te</w:t>
      </w:r>
      <w:proofErr w:type="spellEnd"/>
      <w:r w:rsidRPr="0092381B">
        <w:rPr>
          <w:i/>
          <w:iCs/>
        </w:rPr>
        <w:t xml:space="preserve"> Whenua, </w:t>
      </w:r>
      <w:proofErr w:type="spellStart"/>
      <w:r w:rsidRPr="0092381B">
        <w:rPr>
          <w:i/>
          <w:iCs/>
        </w:rPr>
        <w:t>Matatū</w:t>
      </w:r>
      <w:proofErr w:type="spellEnd"/>
      <w:r w:rsidRPr="0092381B">
        <w:rPr>
          <w:i/>
          <w:iCs/>
        </w:rPr>
        <w:t xml:space="preserve"> ana </w:t>
      </w:r>
      <w:proofErr w:type="spellStart"/>
      <w:r w:rsidRPr="0092381B">
        <w:rPr>
          <w:i/>
          <w:iCs/>
        </w:rPr>
        <w:t>te</w:t>
      </w:r>
      <w:proofErr w:type="spellEnd"/>
      <w:r w:rsidRPr="0092381B">
        <w:rPr>
          <w:i/>
          <w:iCs/>
        </w:rPr>
        <w:t xml:space="preserve"> Wao Nui o Tāne: A cultural health monitoring and assessment approach for indigenous New Zealand forests.</w:t>
      </w:r>
      <w:r w:rsidRPr="00487DB0">
        <w:t xml:space="preserve"> PhD thesis prepared for Lincoln University. Lincoln: Lincoln University.</w:t>
      </w:r>
      <w:bookmarkEnd w:id="2"/>
    </w:p>
    <w:sectPr w:rsidR="00774B73" w:rsidRPr="00487DB0" w:rsidSect="009F3F8A">
      <w:footerReference w:type="even" r:id="rId21"/>
      <w:footerReference w:type="default" r:id="rId22"/>
      <w:pgSz w:w="11907" w:h="16840" w:code="9"/>
      <w:pgMar w:top="1134" w:right="1701"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1F8C2" w14:textId="77777777" w:rsidR="00C534EC" w:rsidRDefault="00C534EC" w:rsidP="0080531E">
      <w:pPr>
        <w:spacing w:before="0" w:after="0" w:line="240" w:lineRule="auto"/>
      </w:pPr>
      <w:r>
        <w:separator/>
      </w:r>
    </w:p>
    <w:p w14:paraId="163113E7" w14:textId="77777777" w:rsidR="00C534EC" w:rsidRDefault="00C534EC"/>
  </w:endnote>
  <w:endnote w:type="continuationSeparator" w:id="0">
    <w:p w14:paraId="5928A699" w14:textId="77777777" w:rsidR="00C534EC" w:rsidRDefault="00C534EC" w:rsidP="0080531E">
      <w:pPr>
        <w:spacing w:before="0" w:after="0" w:line="240" w:lineRule="auto"/>
      </w:pPr>
      <w:r>
        <w:continuationSeparator/>
      </w:r>
    </w:p>
    <w:p w14:paraId="078C2D67" w14:textId="77777777" w:rsidR="00C534EC" w:rsidRDefault="00C534EC"/>
  </w:endnote>
  <w:endnote w:type="continuationNotice" w:id="1">
    <w:p w14:paraId="1E3A77AF" w14:textId="77777777" w:rsidR="00C534EC" w:rsidRDefault="00C534E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624D1" w14:textId="77777777" w:rsidR="00E5210B" w:rsidRDefault="009F1D7F" w:rsidP="009F1D7F">
    <w:pPr>
      <w:spacing w:before="0" w:after="0" w:line="240" w:lineRule="auto"/>
      <w:jc w:val="left"/>
    </w:pPr>
    <w:r>
      <w:rPr>
        <w:b/>
        <w:bCs/>
        <w:noProof/>
      </w:rPr>
      <w:drawing>
        <wp:inline distT="0" distB="0" distL="0" distR="0" wp14:anchorId="0E0894C1" wp14:editId="7A3F60E3">
          <wp:extent cx="2239911" cy="538480"/>
          <wp:effectExtent l="0" t="0" r="0" b="0"/>
          <wp:docPr id="1458791995" name="Picture 145879199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3163"/>
                  <a:stretch/>
                </pic:blipFill>
                <pic:spPr bwMode="auto">
                  <a:xfrm>
                    <a:off x="0" y="0"/>
                    <a:ext cx="2319270" cy="557558"/>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B81C7" w14:textId="77777777" w:rsidR="00E5210B" w:rsidRDefault="00E5210B" w:rsidP="00E65427">
    <w:pPr>
      <w:spacing w:before="240"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4824F" w14:textId="77777777" w:rsidR="00E5210B" w:rsidRDefault="00E5210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4B6C1" w14:textId="6A63A699" w:rsidR="00E453AB" w:rsidRDefault="00E5210B" w:rsidP="00CD25E1">
    <w:pPr>
      <w:pStyle w:val="Footereven"/>
    </w:pPr>
    <w:r w:rsidRPr="004F458A">
      <w:rPr>
        <w:b/>
      </w:rPr>
      <w:fldChar w:fldCharType="begin"/>
    </w:r>
    <w:r w:rsidRPr="004F458A">
      <w:instrText xml:space="preserve"> PAGE </w:instrText>
    </w:r>
    <w:r w:rsidRPr="004F458A">
      <w:rPr>
        <w:b/>
      </w:rPr>
      <w:fldChar w:fldCharType="separate"/>
    </w:r>
    <w:r w:rsidR="005D3242">
      <w:rPr>
        <w:noProof/>
      </w:rPr>
      <w:t>8</w:t>
    </w:r>
    <w:r w:rsidRPr="004F458A">
      <w:rPr>
        <w:b/>
      </w:rPr>
      <w:fldChar w:fldCharType="end"/>
    </w:r>
    <w:r>
      <w:tab/>
    </w:r>
    <w:r w:rsidR="00D75786">
      <w:t>Indigenous Vegetation Cover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7FB9F" w14:textId="1D8548A3" w:rsidR="00E453AB" w:rsidRDefault="00E5210B" w:rsidP="00CD25E1">
    <w:pPr>
      <w:pStyle w:val="Footerodd"/>
    </w:pPr>
    <w:r>
      <w:tab/>
    </w:r>
    <w:r w:rsidR="00D75786">
      <w:t>Indigenous Vegetation Cover</w:t>
    </w:r>
    <w:r>
      <w:tab/>
    </w:r>
    <w:r w:rsidR="008540A6">
      <w:fldChar w:fldCharType="begin"/>
    </w:r>
    <w:r w:rsidR="008540A6">
      <w:instrText xml:space="preserve"> PAGE   \* MERGEFORMAT </w:instrText>
    </w:r>
    <w:r w:rsidR="008540A6">
      <w:fldChar w:fldCharType="separate"/>
    </w:r>
    <w:r w:rsidR="005D3242">
      <w:rPr>
        <w:noProof/>
      </w:rPr>
      <w:t>7</w:t>
    </w:r>
    <w:r w:rsidR="008540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29A39" w14:textId="77777777" w:rsidR="00C534EC" w:rsidRDefault="00C534EC" w:rsidP="00CB5C5F">
      <w:pPr>
        <w:spacing w:before="0" w:after="80" w:line="240" w:lineRule="auto"/>
      </w:pPr>
      <w:r>
        <w:separator/>
      </w:r>
    </w:p>
  </w:footnote>
  <w:footnote w:type="continuationSeparator" w:id="0">
    <w:p w14:paraId="5A9D48D7" w14:textId="77777777" w:rsidR="00C534EC" w:rsidRDefault="00C534EC" w:rsidP="0080531E">
      <w:pPr>
        <w:spacing w:before="0" w:after="0" w:line="240" w:lineRule="auto"/>
      </w:pPr>
      <w:r>
        <w:continuationSeparator/>
      </w:r>
    </w:p>
    <w:p w14:paraId="5F0057B0" w14:textId="77777777" w:rsidR="00C534EC" w:rsidRDefault="00C534EC"/>
  </w:footnote>
  <w:footnote w:type="continuationNotice" w:id="1">
    <w:p w14:paraId="1089EC7A" w14:textId="77777777" w:rsidR="00C534EC" w:rsidRDefault="00C534EC">
      <w:pPr>
        <w:spacing w:before="0" w:after="0" w:line="240" w:lineRule="auto"/>
      </w:pPr>
    </w:p>
  </w:footnote>
  <w:footnote w:id="2">
    <w:p w14:paraId="53C6317D" w14:textId="59050E93" w:rsidR="003D1097" w:rsidRDefault="003D1097">
      <w:pPr>
        <w:pStyle w:val="FootnoteText"/>
      </w:pPr>
      <w:r>
        <w:rPr>
          <w:rStyle w:val="FootnoteReference"/>
        </w:rPr>
        <w:footnoteRef/>
      </w:r>
      <w:r>
        <w:t xml:space="preserve"> </w:t>
      </w:r>
      <w:r>
        <w:tab/>
      </w:r>
      <w:r w:rsidRPr="003D1097">
        <w:t>Manaaki Whenua Landcare Research. </w:t>
      </w:r>
      <w:r w:rsidRPr="003D1097">
        <w:rPr>
          <w:i/>
          <w:iCs/>
        </w:rPr>
        <w:t>LCDB v5.0 – Land Cover Database version 5.0, Mainland, New Zealand</w:t>
      </w:r>
      <w:r w:rsidRPr="003D1097">
        <w:t>. Retrieved 27 May 2025 from </w:t>
      </w:r>
      <w:hyperlink r:id="rId1" w:tgtFrame="_blank" w:history="1">
        <w:r w:rsidRPr="003D1097">
          <w:rPr>
            <w:rStyle w:val="Hyperlink"/>
          </w:rPr>
          <w:t>https://lris.scinfo.org.nz/layer/104400-lcdb-v50-land-cover-database-version-50-mainland-new-zealand/</w:t>
        </w:r>
      </w:hyperlink>
      <w:r w:rsidRPr="003D1097">
        <w:t> </w:t>
      </w:r>
    </w:p>
  </w:footnote>
  <w:footnote w:id="3">
    <w:p w14:paraId="49801BF3" w14:textId="6B4C9F86" w:rsidR="00152593" w:rsidRDefault="00152593">
      <w:pPr>
        <w:pStyle w:val="FootnoteText"/>
      </w:pPr>
      <w:r>
        <w:rPr>
          <w:rStyle w:val="FootnoteReference"/>
        </w:rPr>
        <w:footnoteRef/>
      </w:r>
      <w:r>
        <w:t xml:space="preserve"> </w:t>
      </w:r>
      <w:r>
        <w:tab/>
      </w:r>
      <w:r w:rsidRPr="00152593">
        <w:t>Manaaki Whenua Landcare Research. </w:t>
      </w:r>
      <w:r w:rsidRPr="00152593">
        <w:rPr>
          <w:i/>
          <w:iCs/>
        </w:rPr>
        <w:t>LCDB v5.0 – Land Cover Database version 5.0, Mainland, New Zealand</w:t>
      </w:r>
      <w:r w:rsidRPr="00152593">
        <w:t>. Retrieved 27 May 2025 from </w:t>
      </w:r>
      <w:hyperlink r:id="rId2" w:tgtFrame="_blank" w:history="1">
        <w:r w:rsidRPr="00152593">
          <w:rPr>
            <w:rStyle w:val="Hyperlink"/>
          </w:rPr>
          <w:t>https://lris.scinfo.org.nz/layer/104400-lcdb-v50-land-cover-database-version-50-mainland-new-zealand/</w:t>
        </w:r>
      </w:hyperlink>
      <w:r w:rsidRPr="00152593">
        <w:t> </w:t>
      </w:r>
    </w:p>
  </w:footnote>
  <w:footnote w:id="4">
    <w:p w14:paraId="0C43D637" w14:textId="4F0AD488" w:rsidR="00152593" w:rsidRDefault="00152593">
      <w:pPr>
        <w:pStyle w:val="FootnoteText"/>
      </w:pPr>
      <w:r>
        <w:rPr>
          <w:rStyle w:val="FootnoteReference"/>
        </w:rPr>
        <w:footnoteRef/>
      </w:r>
      <w:r>
        <w:t xml:space="preserve"> </w:t>
      </w:r>
      <w:r>
        <w:tab/>
      </w:r>
      <w:r w:rsidRPr="00152593">
        <w:t>Department of Conservation. </w:t>
      </w:r>
      <w:r w:rsidRPr="00152593">
        <w:rPr>
          <w:i/>
          <w:iCs/>
        </w:rPr>
        <w:t>Proportion of LENZ protected and under indigenous cover 2020–2021: Assessing the overall changes in New Zealand’s native vegetation by environment type.</w:t>
      </w:r>
      <w:r w:rsidRPr="00152593">
        <w:t> Retrieved 27 May 2025 from </w:t>
      </w:r>
      <w:hyperlink r:id="rId3" w:tgtFrame="_blank" w:history="1">
        <w:r w:rsidRPr="00152593">
          <w:rPr>
            <w:rStyle w:val="Hyperlink"/>
          </w:rPr>
          <w:t>https://www.doc.govt.nz/our-work/monitoring-reporting/national-status-and-trend-reports-2020-2021/lenz-environments-protected-2020-2021/</w:t>
        </w:r>
      </w:hyperlink>
      <w:r w:rsidRPr="00152593">
        <w:t> </w:t>
      </w:r>
    </w:p>
  </w:footnote>
  <w:footnote w:id="5">
    <w:p w14:paraId="5E508BE8" w14:textId="712EC49F" w:rsidR="00152593" w:rsidRDefault="00152593">
      <w:pPr>
        <w:pStyle w:val="FootnoteText"/>
      </w:pPr>
      <w:r>
        <w:rPr>
          <w:rStyle w:val="FootnoteReference"/>
        </w:rPr>
        <w:footnoteRef/>
      </w:r>
      <w:r>
        <w:t xml:space="preserve"> </w:t>
      </w:r>
      <w:r>
        <w:tab/>
      </w:r>
      <w:r w:rsidRPr="00152593">
        <w:t>See footnote </w:t>
      </w:r>
      <w:r w:rsidR="009458FA">
        <w:t>3</w:t>
      </w:r>
      <w:r w:rsidRPr="00152593">
        <w:t> above.</w:t>
      </w:r>
    </w:p>
  </w:footnote>
  <w:footnote w:id="6">
    <w:p w14:paraId="1FC58A00" w14:textId="2213B1FB" w:rsidR="00152593" w:rsidRDefault="00152593">
      <w:pPr>
        <w:pStyle w:val="FootnoteText"/>
      </w:pPr>
      <w:r>
        <w:rPr>
          <w:rStyle w:val="FootnoteReference"/>
        </w:rPr>
        <w:footnoteRef/>
      </w:r>
      <w:r>
        <w:t xml:space="preserve"> </w:t>
      </w:r>
      <w:r>
        <w:tab/>
      </w:r>
      <w:r w:rsidRPr="00152593">
        <w:t>Stats NZ. Predicted pre-human vegetation. Retrieved 27 May 2025 from </w:t>
      </w:r>
      <w:hyperlink r:id="rId4" w:tgtFrame="_blank" w:history="1">
        <w:r w:rsidRPr="00152593">
          <w:rPr>
            <w:rStyle w:val="Hyperlink"/>
          </w:rPr>
          <w:t>https://www.stats.govt.nz/indicators/predicted-pre-human-vegetation/</w:t>
        </w:r>
      </w:hyperlink>
      <w:r w:rsidRPr="00152593">
        <w:t>   </w:t>
      </w:r>
    </w:p>
  </w:footnote>
  <w:footnote w:id="7">
    <w:p w14:paraId="3367D380" w14:textId="56607702" w:rsidR="00152593" w:rsidRDefault="00152593">
      <w:pPr>
        <w:pStyle w:val="FootnoteText"/>
      </w:pPr>
      <w:r>
        <w:rPr>
          <w:rStyle w:val="FootnoteReference"/>
        </w:rPr>
        <w:footnoteRef/>
      </w:r>
      <w:r>
        <w:t xml:space="preserve"> </w:t>
      </w:r>
      <w:r>
        <w:tab/>
      </w:r>
      <w:r w:rsidRPr="00152593">
        <w:t>Stats NZ. </w:t>
      </w:r>
      <w:r w:rsidRPr="00152593">
        <w:rPr>
          <w:i/>
          <w:iCs/>
        </w:rPr>
        <w:t>Indigenous land cover</w:t>
      </w:r>
      <w:r w:rsidRPr="00152593">
        <w:t>. Retrieved 27 May 2025</w:t>
      </w:r>
      <w:r w:rsidR="00897812">
        <w:t xml:space="preserve"> from </w:t>
      </w:r>
      <w:hyperlink r:id="rId5" w:history="1">
        <w:r w:rsidR="00897812" w:rsidRPr="00897812">
          <w:rPr>
            <w:rStyle w:val="Hyperlink"/>
          </w:rPr>
          <w:t>https://www.stats.govt.nz/indicators/indigenous-land-cover/</w:t>
        </w:r>
      </w:hyperlink>
      <w:r w:rsidRPr="00152593">
        <w:t>  </w:t>
      </w:r>
    </w:p>
  </w:footnote>
  <w:footnote w:id="8">
    <w:p w14:paraId="0F6AFFD0" w14:textId="4EF953CA" w:rsidR="00152593" w:rsidRDefault="00152593">
      <w:pPr>
        <w:pStyle w:val="FootnoteText"/>
      </w:pPr>
      <w:r>
        <w:rPr>
          <w:rStyle w:val="FootnoteReference"/>
        </w:rPr>
        <w:footnoteRef/>
      </w:r>
      <w:r>
        <w:t xml:space="preserve"> </w:t>
      </w:r>
      <w:r>
        <w:tab/>
      </w:r>
      <w:r w:rsidRPr="00152593">
        <w:t>See footnote </w:t>
      </w:r>
      <w:r w:rsidR="00897621">
        <w:t>6</w:t>
      </w:r>
      <w:r w:rsidRPr="00152593">
        <w:t> above.</w:t>
      </w:r>
    </w:p>
  </w:footnote>
  <w:footnote w:id="9">
    <w:p w14:paraId="3C97E9CA" w14:textId="04618077" w:rsidR="00152593" w:rsidRDefault="00152593">
      <w:pPr>
        <w:pStyle w:val="FootnoteText"/>
      </w:pPr>
      <w:r>
        <w:rPr>
          <w:rStyle w:val="FootnoteReference"/>
        </w:rPr>
        <w:footnoteRef/>
      </w:r>
      <w:r>
        <w:t xml:space="preserve"> </w:t>
      </w:r>
      <w:r w:rsidR="004F44D6">
        <w:tab/>
      </w:r>
      <w:r w:rsidR="004F44D6" w:rsidRPr="004F44D6">
        <w:t>Department of Conservation. </w:t>
      </w:r>
      <w:r w:rsidR="004F44D6" w:rsidRPr="004F44D6">
        <w:rPr>
          <w:i/>
          <w:iCs/>
        </w:rPr>
        <w:t>Wilding conifers</w:t>
      </w:r>
      <w:r w:rsidR="004F44D6" w:rsidRPr="004F44D6">
        <w:t>. Retrieved 27 May 2025</w:t>
      </w:r>
      <w:r w:rsidR="00897812">
        <w:t xml:space="preserve"> from</w:t>
      </w:r>
      <w:r w:rsidR="004F44D6" w:rsidRPr="004F44D6">
        <w:t xml:space="preserve"> </w:t>
      </w:r>
      <w:hyperlink r:id="rId6" w:history="1">
        <w:r w:rsidR="00897812" w:rsidRPr="00897812">
          <w:rPr>
            <w:rStyle w:val="Hyperlink"/>
          </w:rPr>
          <w:t>https://www.doc.govt.nz/nature/pests-and-threats/weeds/common-weeds/wilding-conifers/</w:t>
        </w:r>
      </w:hyperlink>
      <w:r w:rsidR="004F44D6" w:rsidRPr="004F44D6">
        <w:t>  </w:t>
      </w:r>
    </w:p>
  </w:footnote>
  <w:footnote w:id="10">
    <w:p w14:paraId="7017FAD8" w14:textId="190AA2EE" w:rsidR="004F44D6" w:rsidRDefault="004F44D6">
      <w:pPr>
        <w:pStyle w:val="FootnoteText"/>
      </w:pPr>
      <w:r>
        <w:rPr>
          <w:rStyle w:val="FootnoteReference"/>
        </w:rPr>
        <w:footnoteRef/>
      </w:r>
      <w:r>
        <w:t xml:space="preserve"> </w:t>
      </w:r>
      <w:r>
        <w:tab/>
      </w:r>
      <w:r w:rsidRPr="004F44D6">
        <w:t>Hamilton City Council. </w:t>
      </w:r>
      <w:r w:rsidRPr="004F44D6">
        <w:rPr>
          <w:i/>
          <w:iCs/>
        </w:rPr>
        <w:t>Nature in the City</w:t>
      </w:r>
      <w:r w:rsidRPr="004F44D6">
        <w:t>. Retrieved 27 May 2025 from </w:t>
      </w:r>
      <w:hyperlink r:id="rId7" w:tgtFrame="_blank" w:history="1">
        <w:r w:rsidRPr="004F44D6">
          <w:rPr>
            <w:rStyle w:val="Hyperlink"/>
          </w:rPr>
          <w:t>https://hamilton.govt.nz/strategies-plans-and-projects/projects/nature-in-the-city</w:t>
        </w:r>
      </w:hyperlink>
      <w:r w:rsidRPr="004F44D6">
        <w:t>  </w:t>
      </w:r>
    </w:p>
  </w:footnote>
  <w:footnote w:id="11">
    <w:p w14:paraId="3F441962" w14:textId="44E9B2F2" w:rsidR="004F44D6" w:rsidRDefault="004F44D6">
      <w:pPr>
        <w:pStyle w:val="FootnoteText"/>
      </w:pPr>
      <w:r>
        <w:rPr>
          <w:rStyle w:val="FootnoteReference"/>
        </w:rPr>
        <w:footnoteRef/>
      </w:r>
      <w:r>
        <w:t xml:space="preserve"> </w:t>
      </w:r>
      <w:r>
        <w:tab/>
      </w:r>
      <w:r w:rsidRPr="004F44D6">
        <w:t>Our Environment. </w:t>
      </w:r>
      <w:r w:rsidRPr="004F44D6">
        <w:rPr>
          <w:i/>
          <w:iCs/>
        </w:rPr>
        <w:t>Protected Areas Network (2007)</w:t>
      </w:r>
      <w:r w:rsidRPr="004F44D6">
        <w:t>. Retrieved 27 May 2025 from </w:t>
      </w:r>
      <w:hyperlink r:id="rId8" w:tgtFrame="_blank" w:history="1">
        <w:r w:rsidRPr="004F44D6">
          <w:rPr>
            <w:rStyle w:val="Hyperlink"/>
          </w:rPr>
          <w:t>https://ourenvironment.scinfo.org.nz/maps-and-tools/app/Habitats/lenz_prot_areas</w:t>
        </w:r>
      </w:hyperlink>
      <w:r w:rsidRPr="004F44D6">
        <w:t>  </w:t>
      </w:r>
    </w:p>
  </w:footnote>
  <w:footnote w:id="12">
    <w:p w14:paraId="50AACFB8" w14:textId="0410D8A7" w:rsidR="00575FE1" w:rsidRPr="00722149" w:rsidRDefault="00575FE1">
      <w:pPr>
        <w:pStyle w:val="FootnoteText"/>
      </w:pPr>
      <w:r>
        <w:rPr>
          <w:rStyle w:val="FootnoteReference"/>
        </w:rPr>
        <w:footnoteRef/>
      </w:r>
      <w:r>
        <w:t xml:space="preserve"> </w:t>
      </w:r>
      <w:r w:rsidR="00CB5DE2">
        <w:tab/>
      </w:r>
      <w:r>
        <w:t>Helping nature and people thrive – Exploring a biodiversity credit system for Aotearoa New Zealand</w:t>
      </w:r>
      <w:r w:rsidR="0013108C">
        <w:t xml:space="preserve">. </w:t>
      </w:r>
      <w:r w:rsidR="0013108C">
        <w:rPr>
          <w:i/>
          <w:iCs/>
        </w:rPr>
        <w:t>Ministry for the Environment (202</w:t>
      </w:r>
      <w:r w:rsidR="00722149">
        <w:rPr>
          <w:i/>
          <w:iCs/>
        </w:rPr>
        <w:t xml:space="preserve">5). </w:t>
      </w:r>
      <w:r w:rsidR="00722149">
        <w:t xml:space="preserve">Retrieved 27 June 2025 from </w:t>
      </w:r>
      <w:hyperlink r:id="rId9" w:history="1">
        <w:r w:rsidR="00722149" w:rsidRPr="00722149">
          <w:rPr>
            <w:rStyle w:val="Hyperlink"/>
          </w:rPr>
          <w:t xml:space="preserve">Helping nature and people thrive – Exploring a biodiversity credit system for Aotearoa New Zealand </w:t>
        </w:r>
        <w:r w:rsidR="00CB5DE2">
          <w:rPr>
            <w:rStyle w:val="Hyperlink"/>
          </w:rPr>
          <w:t>—</w:t>
        </w:r>
        <w:r w:rsidR="00CB5DE2" w:rsidRPr="00722149">
          <w:rPr>
            <w:rStyle w:val="Hyperlink"/>
          </w:rPr>
          <w:t xml:space="preserve"> </w:t>
        </w:r>
        <w:r w:rsidR="00722149" w:rsidRPr="00722149">
          <w:rPr>
            <w:rStyle w:val="Hyperlink"/>
          </w:rPr>
          <w:t xml:space="preserve">Ministry for the Environment </w:t>
        </w:r>
        <w:r w:rsidR="00CB5DE2">
          <w:rPr>
            <w:rStyle w:val="Hyperlink"/>
          </w:rPr>
          <w:t>—</w:t>
        </w:r>
        <w:r w:rsidR="00CB5DE2" w:rsidRPr="00722149">
          <w:rPr>
            <w:rStyle w:val="Hyperlink"/>
          </w:rPr>
          <w:t xml:space="preserve"> </w:t>
        </w:r>
        <w:r w:rsidR="00722149" w:rsidRPr="00722149">
          <w:rPr>
            <w:rStyle w:val="Hyperlink"/>
          </w:rPr>
          <w:t>Citizen Space</w:t>
        </w:r>
      </w:hyperlink>
    </w:p>
  </w:footnote>
  <w:footnote w:id="13">
    <w:p w14:paraId="5C9988F3" w14:textId="6FD1E741" w:rsidR="004F44D6" w:rsidRDefault="004F44D6">
      <w:pPr>
        <w:pStyle w:val="FootnoteText"/>
      </w:pPr>
      <w:r>
        <w:rPr>
          <w:rStyle w:val="FootnoteReference"/>
        </w:rPr>
        <w:footnoteRef/>
      </w:r>
      <w:r>
        <w:t xml:space="preserve"> </w:t>
      </w:r>
      <w:r>
        <w:tab/>
      </w:r>
      <w:r w:rsidRPr="004F44D6">
        <w:t>Ministry for Primary Industries. </w:t>
      </w:r>
      <w:r w:rsidRPr="004F44D6">
        <w:rPr>
          <w:i/>
          <w:iCs/>
        </w:rPr>
        <w:t>One Billion Trees Programme</w:t>
      </w:r>
      <w:r w:rsidRPr="004F44D6">
        <w:t>. Retrieved 27 May 2025 from </w:t>
      </w:r>
      <w:hyperlink r:id="rId10" w:tgtFrame="_blank" w:history="1">
        <w:r w:rsidRPr="004F44D6">
          <w:rPr>
            <w:rStyle w:val="Hyperlink"/>
          </w:rPr>
          <w:t>https://www.mpi.govt.nz/forestry/funding-tree-planting-research/one-billion-trees-programme/</w:t>
        </w:r>
      </w:hyperlink>
      <w:r w:rsidRPr="004F44D6">
        <w:t> </w:t>
      </w:r>
    </w:p>
  </w:footnote>
  <w:footnote w:id="14">
    <w:p w14:paraId="3722F6B8" w14:textId="6F8D8270" w:rsidR="004F44D6" w:rsidRDefault="004F44D6">
      <w:pPr>
        <w:pStyle w:val="FootnoteText"/>
      </w:pPr>
      <w:r>
        <w:rPr>
          <w:rStyle w:val="FootnoteReference"/>
        </w:rPr>
        <w:footnoteRef/>
      </w:r>
      <w:r>
        <w:t xml:space="preserve"> </w:t>
      </w:r>
      <w:r>
        <w:tab/>
      </w:r>
      <w:r w:rsidRPr="004F44D6">
        <w:t>Jobs for Nature. </w:t>
      </w:r>
      <w:r w:rsidRPr="004F44D6">
        <w:rPr>
          <w:i/>
          <w:iCs/>
        </w:rPr>
        <w:t>Mahi </w:t>
      </w:r>
      <w:r w:rsidRPr="004F44D6">
        <w:rPr>
          <w:i/>
          <w:iCs/>
        </w:rPr>
        <w:t>mō te Taiao</w:t>
      </w:r>
      <w:r w:rsidRPr="004F44D6">
        <w:t>. Retrieved 27 May 2025 from </w:t>
      </w:r>
      <w:hyperlink r:id="rId11" w:tgtFrame="_blank" w:history="1">
        <w:r w:rsidRPr="004F44D6">
          <w:rPr>
            <w:rStyle w:val="Hyperlink"/>
          </w:rPr>
          <w:t>https://www.jobsfornature.govt.nz/</w:t>
        </w:r>
      </w:hyperlink>
      <w:r w:rsidRPr="004F44D6">
        <w:t>  </w:t>
      </w:r>
    </w:p>
  </w:footnote>
  <w:footnote w:id="15">
    <w:p w14:paraId="65E51176" w14:textId="2714067D" w:rsidR="004F44D6" w:rsidRDefault="004F44D6">
      <w:pPr>
        <w:pStyle w:val="FootnoteText"/>
      </w:pPr>
      <w:r>
        <w:rPr>
          <w:rStyle w:val="FootnoteReference"/>
        </w:rPr>
        <w:footnoteRef/>
      </w:r>
      <w:r>
        <w:t xml:space="preserve"> </w:t>
      </w:r>
      <w:r>
        <w:tab/>
      </w:r>
      <w:r w:rsidRPr="004F44D6">
        <w:t>Department of Conservation. </w:t>
      </w:r>
      <w:r w:rsidRPr="004F44D6">
        <w:rPr>
          <w:i/>
          <w:iCs/>
        </w:rPr>
        <w:t>Ngā Whenua Rāhui</w:t>
      </w:r>
      <w:r w:rsidRPr="004F44D6">
        <w:t>. Retrieved 27 May 2025 from </w:t>
      </w:r>
      <w:hyperlink r:id="rId12" w:tgtFrame="_blank" w:history="1">
        <w:r w:rsidRPr="004F44D6">
          <w:rPr>
            <w:rStyle w:val="Hyperlink"/>
          </w:rPr>
          <w:t>https://www.doc.govt.nz/get-involved/funding/nga-whenua-rahui/</w:t>
        </w:r>
      </w:hyperlink>
      <w:r w:rsidRPr="004F44D6">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C69CB" w14:textId="77777777" w:rsidR="00DE7BF8" w:rsidRPr="00DE7BF8" w:rsidRDefault="009F1D7F" w:rsidP="009F1D7F">
    <w:pPr>
      <w:pStyle w:val="Header"/>
      <w:jc w:val="left"/>
      <w:rPr>
        <w:rFonts w:ascii="Calibri" w:hAnsi="Calibri"/>
      </w:rPr>
    </w:pPr>
    <w:r>
      <w:rPr>
        <w:rFonts w:ascii="Calibri" w:hAnsi="Calibri"/>
        <w:noProof/>
      </w:rPr>
      <w:drawing>
        <wp:inline distT="0" distB="0" distL="0" distR="0" wp14:anchorId="1A19DFEA" wp14:editId="6DAFD844">
          <wp:extent cx="2117598" cy="695325"/>
          <wp:effectExtent l="0" t="0" r="0" b="0"/>
          <wp:docPr id="1755204062" name="Picture 1755204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3339"/>
                  <a:stretch/>
                </pic:blipFill>
                <pic:spPr bwMode="auto">
                  <a:xfrm>
                    <a:off x="0" y="0"/>
                    <a:ext cx="2117598" cy="6953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DA18B" w14:textId="77777777" w:rsidR="00E5210B" w:rsidRDefault="00E5210B" w:rsidP="003615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B7E55" w14:textId="77777777" w:rsidR="00E5210B" w:rsidRDefault="00E5210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5"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6"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1A6BE2"/>
    <w:multiLevelType w:val="multilevel"/>
    <w:tmpl w:val="20FCAAE4"/>
    <w:lvl w:ilvl="0">
      <w:start w:val="1"/>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3" w15:restartNumberingAfterBreak="0">
    <w:nsid w:val="2E6F201E"/>
    <w:multiLevelType w:val="multilevel"/>
    <w:tmpl w:val="C7440BB4"/>
    <w:numStyleLink w:val="Style2"/>
  </w:abstractNum>
  <w:abstractNum w:abstractNumId="14"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5"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465A16"/>
    <w:multiLevelType w:val="multilevel"/>
    <w:tmpl w:val="7CBA8A44"/>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3"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5"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29"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042717"/>
    <w:multiLevelType w:val="multilevel"/>
    <w:tmpl w:val="DCDEB9D0"/>
    <w:numStyleLink w:val="Style1"/>
  </w:abstractNum>
  <w:abstractNum w:abstractNumId="31"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3"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848715540">
    <w:abstractNumId w:val="14"/>
  </w:num>
  <w:num w:numId="2" w16cid:durableId="1287734805">
    <w:abstractNumId w:val="24"/>
  </w:num>
  <w:num w:numId="3" w16cid:durableId="1538541818">
    <w:abstractNumId w:val="35"/>
  </w:num>
  <w:num w:numId="4" w16cid:durableId="550508225">
    <w:abstractNumId w:val="19"/>
  </w:num>
  <w:num w:numId="5" w16cid:durableId="745567648">
    <w:abstractNumId w:val="12"/>
  </w:num>
  <w:num w:numId="6" w16cid:durableId="2076933510">
    <w:abstractNumId w:val="7"/>
  </w:num>
  <w:num w:numId="7" w16cid:durableId="1899433097">
    <w:abstractNumId w:val="22"/>
  </w:num>
  <w:num w:numId="8" w16cid:durableId="1088233813">
    <w:abstractNumId w:val="21"/>
  </w:num>
  <w:num w:numId="9" w16cid:durableId="394550804">
    <w:abstractNumId w:val="34"/>
  </w:num>
  <w:num w:numId="10" w16cid:durableId="1709380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4602378">
    <w:abstractNumId w:val="1"/>
  </w:num>
  <w:num w:numId="12" w16cid:durableId="1912157551">
    <w:abstractNumId w:val="28"/>
  </w:num>
  <w:num w:numId="13" w16cid:durableId="797454537">
    <w:abstractNumId w:val="11"/>
  </w:num>
  <w:num w:numId="14" w16cid:durableId="284310654">
    <w:abstractNumId w:val="30"/>
  </w:num>
  <w:num w:numId="15" w16cid:durableId="1819420646">
    <w:abstractNumId w:val="20"/>
  </w:num>
  <w:num w:numId="16" w16cid:durableId="1770615197">
    <w:abstractNumId w:val="10"/>
  </w:num>
  <w:num w:numId="17" w16cid:durableId="1658604841">
    <w:abstractNumId w:val="29"/>
  </w:num>
  <w:num w:numId="18" w16cid:durableId="905535034">
    <w:abstractNumId w:val="25"/>
  </w:num>
  <w:num w:numId="19" w16cid:durableId="1465346826">
    <w:abstractNumId w:val="31"/>
  </w:num>
  <w:num w:numId="20" w16cid:durableId="676690097">
    <w:abstractNumId w:val="13"/>
  </w:num>
  <w:num w:numId="21" w16cid:durableId="2031447556">
    <w:abstractNumId w:val="26"/>
  </w:num>
  <w:num w:numId="22" w16cid:durableId="752623358">
    <w:abstractNumId w:val="4"/>
  </w:num>
  <w:num w:numId="23" w16cid:durableId="867841801">
    <w:abstractNumId w:val="23"/>
  </w:num>
  <w:num w:numId="24" w16cid:durableId="720790089">
    <w:abstractNumId w:val="15"/>
  </w:num>
  <w:num w:numId="25" w16cid:durableId="222520331">
    <w:abstractNumId w:val="33"/>
  </w:num>
  <w:num w:numId="26" w16cid:durableId="717584311">
    <w:abstractNumId w:val="27"/>
  </w:num>
  <w:num w:numId="27" w16cid:durableId="779765061">
    <w:abstractNumId w:val="0"/>
  </w:num>
  <w:num w:numId="28" w16cid:durableId="342437984">
    <w:abstractNumId w:val="17"/>
  </w:num>
  <w:num w:numId="29" w16cid:durableId="86079989">
    <w:abstractNumId w:val="8"/>
  </w:num>
  <w:num w:numId="30" w16cid:durableId="190724435">
    <w:abstractNumId w:val="3"/>
  </w:num>
  <w:num w:numId="31" w16cid:durableId="180439593">
    <w:abstractNumId w:val="2"/>
  </w:num>
  <w:num w:numId="32" w16cid:durableId="2007590403">
    <w:abstractNumId w:val="5"/>
  </w:num>
  <w:num w:numId="33" w16cid:durableId="1951621493">
    <w:abstractNumId w:val="9"/>
  </w:num>
  <w:num w:numId="34" w16cid:durableId="1425766684">
    <w:abstractNumId w:val="18"/>
  </w:num>
  <w:num w:numId="35" w16cid:durableId="11616712">
    <w:abstractNumId w:val="16"/>
  </w:num>
  <w:num w:numId="36" w16cid:durableId="1911882459">
    <w:abstractNumId w:val="6"/>
  </w:num>
  <w:num w:numId="37" w16cid:durableId="1044714646">
    <w:abstractNumId w:val="32"/>
  </w:num>
  <w:num w:numId="38" w16cid:durableId="19952593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trackRevisions/>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93"/>
    <w:rsid w:val="00000792"/>
    <w:rsid w:val="000009FB"/>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303C"/>
    <w:rsid w:val="00014236"/>
    <w:rsid w:val="000148F6"/>
    <w:rsid w:val="00015217"/>
    <w:rsid w:val="000159D2"/>
    <w:rsid w:val="00015D8B"/>
    <w:rsid w:val="00016264"/>
    <w:rsid w:val="00016993"/>
    <w:rsid w:val="00016CAB"/>
    <w:rsid w:val="00016E5B"/>
    <w:rsid w:val="0001749B"/>
    <w:rsid w:val="00017D75"/>
    <w:rsid w:val="00017FE5"/>
    <w:rsid w:val="00021910"/>
    <w:rsid w:val="00022E8D"/>
    <w:rsid w:val="0002348A"/>
    <w:rsid w:val="000235B5"/>
    <w:rsid w:val="00023BDA"/>
    <w:rsid w:val="00024708"/>
    <w:rsid w:val="00024EE7"/>
    <w:rsid w:val="00025F96"/>
    <w:rsid w:val="00025FAB"/>
    <w:rsid w:val="000265B3"/>
    <w:rsid w:val="00026E89"/>
    <w:rsid w:val="000275A3"/>
    <w:rsid w:val="00030558"/>
    <w:rsid w:val="00030699"/>
    <w:rsid w:val="00030725"/>
    <w:rsid w:val="00030DB8"/>
    <w:rsid w:val="00031A83"/>
    <w:rsid w:val="0003213A"/>
    <w:rsid w:val="00032A81"/>
    <w:rsid w:val="000340D8"/>
    <w:rsid w:val="0003427D"/>
    <w:rsid w:val="0003481B"/>
    <w:rsid w:val="00034DFA"/>
    <w:rsid w:val="000357ED"/>
    <w:rsid w:val="00035E15"/>
    <w:rsid w:val="0003640E"/>
    <w:rsid w:val="0003688A"/>
    <w:rsid w:val="000368FC"/>
    <w:rsid w:val="00036A0D"/>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19CB"/>
    <w:rsid w:val="00061FC3"/>
    <w:rsid w:val="00062387"/>
    <w:rsid w:val="000640F0"/>
    <w:rsid w:val="0006434D"/>
    <w:rsid w:val="000643A1"/>
    <w:rsid w:val="00064679"/>
    <w:rsid w:val="00064A13"/>
    <w:rsid w:val="00064AF4"/>
    <w:rsid w:val="00064DB1"/>
    <w:rsid w:val="00065BA3"/>
    <w:rsid w:val="00065D3B"/>
    <w:rsid w:val="0006671D"/>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138A"/>
    <w:rsid w:val="0008145A"/>
    <w:rsid w:val="0008162D"/>
    <w:rsid w:val="000831C8"/>
    <w:rsid w:val="00083F5E"/>
    <w:rsid w:val="00084FDB"/>
    <w:rsid w:val="0008505C"/>
    <w:rsid w:val="00085C46"/>
    <w:rsid w:val="0008686A"/>
    <w:rsid w:val="00087175"/>
    <w:rsid w:val="00087D35"/>
    <w:rsid w:val="0009132D"/>
    <w:rsid w:val="00091796"/>
    <w:rsid w:val="00091BA2"/>
    <w:rsid w:val="00091CB0"/>
    <w:rsid w:val="00094344"/>
    <w:rsid w:val="000953C6"/>
    <w:rsid w:val="000953F4"/>
    <w:rsid w:val="0009590C"/>
    <w:rsid w:val="000959E7"/>
    <w:rsid w:val="00095C45"/>
    <w:rsid w:val="00095E7D"/>
    <w:rsid w:val="000964DE"/>
    <w:rsid w:val="000972AB"/>
    <w:rsid w:val="00097B40"/>
    <w:rsid w:val="00097D0E"/>
    <w:rsid w:val="000A109B"/>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229"/>
    <w:rsid w:val="000B1942"/>
    <w:rsid w:val="000B1BED"/>
    <w:rsid w:val="000B2240"/>
    <w:rsid w:val="000B2477"/>
    <w:rsid w:val="000B2600"/>
    <w:rsid w:val="000B3571"/>
    <w:rsid w:val="000B36F9"/>
    <w:rsid w:val="000B4074"/>
    <w:rsid w:val="000B4732"/>
    <w:rsid w:val="000B4BCD"/>
    <w:rsid w:val="000B66DC"/>
    <w:rsid w:val="000B6D1F"/>
    <w:rsid w:val="000C062F"/>
    <w:rsid w:val="000C17E7"/>
    <w:rsid w:val="000C3270"/>
    <w:rsid w:val="000C577E"/>
    <w:rsid w:val="000D04BA"/>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88"/>
    <w:rsid w:val="000D770B"/>
    <w:rsid w:val="000D788E"/>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1D43"/>
    <w:rsid w:val="000F1FFF"/>
    <w:rsid w:val="000F20AA"/>
    <w:rsid w:val="000F2651"/>
    <w:rsid w:val="000F348D"/>
    <w:rsid w:val="000F369A"/>
    <w:rsid w:val="000F4463"/>
    <w:rsid w:val="000F5285"/>
    <w:rsid w:val="000F52E0"/>
    <w:rsid w:val="000F53A9"/>
    <w:rsid w:val="000F5AF7"/>
    <w:rsid w:val="000F6464"/>
    <w:rsid w:val="000F6628"/>
    <w:rsid w:val="000F6C25"/>
    <w:rsid w:val="000F76EB"/>
    <w:rsid w:val="000F78AE"/>
    <w:rsid w:val="000F7E25"/>
    <w:rsid w:val="001007EE"/>
    <w:rsid w:val="00100F76"/>
    <w:rsid w:val="001012A3"/>
    <w:rsid w:val="0010148E"/>
    <w:rsid w:val="001018BB"/>
    <w:rsid w:val="0010253C"/>
    <w:rsid w:val="00102BD1"/>
    <w:rsid w:val="0010486A"/>
    <w:rsid w:val="00105412"/>
    <w:rsid w:val="0010561C"/>
    <w:rsid w:val="00105C0F"/>
    <w:rsid w:val="00105E39"/>
    <w:rsid w:val="00106561"/>
    <w:rsid w:val="00106D63"/>
    <w:rsid w:val="001075F3"/>
    <w:rsid w:val="00107A01"/>
    <w:rsid w:val="00107C23"/>
    <w:rsid w:val="00110307"/>
    <w:rsid w:val="00110C7F"/>
    <w:rsid w:val="00110EE2"/>
    <w:rsid w:val="00111A7A"/>
    <w:rsid w:val="00111A88"/>
    <w:rsid w:val="0011221A"/>
    <w:rsid w:val="00113283"/>
    <w:rsid w:val="001137AE"/>
    <w:rsid w:val="00113B20"/>
    <w:rsid w:val="001147B3"/>
    <w:rsid w:val="001148F7"/>
    <w:rsid w:val="001149B2"/>
    <w:rsid w:val="00114C2D"/>
    <w:rsid w:val="00115125"/>
    <w:rsid w:val="001152F2"/>
    <w:rsid w:val="001157D7"/>
    <w:rsid w:val="001159D9"/>
    <w:rsid w:val="00116382"/>
    <w:rsid w:val="00116484"/>
    <w:rsid w:val="00116ACF"/>
    <w:rsid w:val="00116D5C"/>
    <w:rsid w:val="001172B2"/>
    <w:rsid w:val="001175FE"/>
    <w:rsid w:val="00117F9B"/>
    <w:rsid w:val="001201AD"/>
    <w:rsid w:val="00120A20"/>
    <w:rsid w:val="00121211"/>
    <w:rsid w:val="00121628"/>
    <w:rsid w:val="0012167D"/>
    <w:rsid w:val="00122189"/>
    <w:rsid w:val="00122280"/>
    <w:rsid w:val="00122D42"/>
    <w:rsid w:val="00123345"/>
    <w:rsid w:val="00123C46"/>
    <w:rsid w:val="0012470B"/>
    <w:rsid w:val="00125C75"/>
    <w:rsid w:val="00125C7E"/>
    <w:rsid w:val="00127563"/>
    <w:rsid w:val="00127945"/>
    <w:rsid w:val="00127D94"/>
    <w:rsid w:val="00127E90"/>
    <w:rsid w:val="001302C1"/>
    <w:rsid w:val="001306D3"/>
    <w:rsid w:val="00130A41"/>
    <w:rsid w:val="0013108C"/>
    <w:rsid w:val="001310BF"/>
    <w:rsid w:val="00133E73"/>
    <w:rsid w:val="00133FDB"/>
    <w:rsid w:val="00134F4A"/>
    <w:rsid w:val="001351CB"/>
    <w:rsid w:val="00135E4E"/>
    <w:rsid w:val="00136246"/>
    <w:rsid w:val="001364D4"/>
    <w:rsid w:val="001371C8"/>
    <w:rsid w:val="001372ED"/>
    <w:rsid w:val="00140FEF"/>
    <w:rsid w:val="00142B50"/>
    <w:rsid w:val="00143873"/>
    <w:rsid w:val="001439E9"/>
    <w:rsid w:val="00143C55"/>
    <w:rsid w:val="001446CF"/>
    <w:rsid w:val="00144C6F"/>
    <w:rsid w:val="00145089"/>
    <w:rsid w:val="001451E7"/>
    <w:rsid w:val="001462E3"/>
    <w:rsid w:val="001466F7"/>
    <w:rsid w:val="001466FD"/>
    <w:rsid w:val="0014720C"/>
    <w:rsid w:val="001472C2"/>
    <w:rsid w:val="00147458"/>
    <w:rsid w:val="00147E21"/>
    <w:rsid w:val="00150237"/>
    <w:rsid w:val="00150BA8"/>
    <w:rsid w:val="00150D19"/>
    <w:rsid w:val="0015181B"/>
    <w:rsid w:val="00151A9F"/>
    <w:rsid w:val="00152593"/>
    <w:rsid w:val="00152B87"/>
    <w:rsid w:val="00153A96"/>
    <w:rsid w:val="00153D1C"/>
    <w:rsid w:val="001543E2"/>
    <w:rsid w:val="00155B43"/>
    <w:rsid w:val="001565A2"/>
    <w:rsid w:val="001567C3"/>
    <w:rsid w:val="00156A12"/>
    <w:rsid w:val="00157B3F"/>
    <w:rsid w:val="00157F8A"/>
    <w:rsid w:val="00160C3D"/>
    <w:rsid w:val="001610E6"/>
    <w:rsid w:val="00161B24"/>
    <w:rsid w:val="00161C41"/>
    <w:rsid w:val="00161DD5"/>
    <w:rsid w:val="001633A4"/>
    <w:rsid w:val="001634D6"/>
    <w:rsid w:val="001648DD"/>
    <w:rsid w:val="00165705"/>
    <w:rsid w:val="00166389"/>
    <w:rsid w:val="00166E03"/>
    <w:rsid w:val="00167E4C"/>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3E4B"/>
    <w:rsid w:val="00194BB7"/>
    <w:rsid w:val="00194CC5"/>
    <w:rsid w:val="001951B2"/>
    <w:rsid w:val="0019565D"/>
    <w:rsid w:val="00197564"/>
    <w:rsid w:val="00197EC2"/>
    <w:rsid w:val="00197ECE"/>
    <w:rsid w:val="001A1CED"/>
    <w:rsid w:val="001A279B"/>
    <w:rsid w:val="001A2DC3"/>
    <w:rsid w:val="001A2E87"/>
    <w:rsid w:val="001A3869"/>
    <w:rsid w:val="001A38C2"/>
    <w:rsid w:val="001A65C8"/>
    <w:rsid w:val="001A732E"/>
    <w:rsid w:val="001A7F30"/>
    <w:rsid w:val="001B005C"/>
    <w:rsid w:val="001B06E2"/>
    <w:rsid w:val="001B103A"/>
    <w:rsid w:val="001B103D"/>
    <w:rsid w:val="001B1513"/>
    <w:rsid w:val="001B1767"/>
    <w:rsid w:val="001B2453"/>
    <w:rsid w:val="001B3D48"/>
    <w:rsid w:val="001B5AF9"/>
    <w:rsid w:val="001B6600"/>
    <w:rsid w:val="001B6B9B"/>
    <w:rsid w:val="001B6C27"/>
    <w:rsid w:val="001B7144"/>
    <w:rsid w:val="001B7E91"/>
    <w:rsid w:val="001C147E"/>
    <w:rsid w:val="001C151B"/>
    <w:rsid w:val="001C19E5"/>
    <w:rsid w:val="001C3666"/>
    <w:rsid w:val="001C3800"/>
    <w:rsid w:val="001C3C7B"/>
    <w:rsid w:val="001C6122"/>
    <w:rsid w:val="001C6587"/>
    <w:rsid w:val="001C69BE"/>
    <w:rsid w:val="001C6DB5"/>
    <w:rsid w:val="001C71AC"/>
    <w:rsid w:val="001C7316"/>
    <w:rsid w:val="001C7E5C"/>
    <w:rsid w:val="001D00CC"/>
    <w:rsid w:val="001D02B8"/>
    <w:rsid w:val="001D0494"/>
    <w:rsid w:val="001D07B7"/>
    <w:rsid w:val="001D1719"/>
    <w:rsid w:val="001D171B"/>
    <w:rsid w:val="001D1732"/>
    <w:rsid w:val="001D18B1"/>
    <w:rsid w:val="001D1E2E"/>
    <w:rsid w:val="001D2203"/>
    <w:rsid w:val="001D255C"/>
    <w:rsid w:val="001D2DEF"/>
    <w:rsid w:val="001D30BB"/>
    <w:rsid w:val="001D488C"/>
    <w:rsid w:val="001D4CDF"/>
    <w:rsid w:val="001D4F88"/>
    <w:rsid w:val="001D5532"/>
    <w:rsid w:val="001D578D"/>
    <w:rsid w:val="001D5818"/>
    <w:rsid w:val="001D653A"/>
    <w:rsid w:val="001D7DEE"/>
    <w:rsid w:val="001E02CB"/>
    <w:rsid w:val="001E0F22"/>
    <w:rsid w:val="001E14FD"/>
    <w:rsid w:val="001E180F"/>
    <w:rsid w:val="001E1C64"/>
    <w:rsid w:val="001E1CEC"/>
    <w:rsid w:val="001E2ECB"/>
    <w:rsid w:val="001E4B64"/>
    <w:rsid w:val="001E552A"/>
    <w:rsid w:val="001E57B9"/>
    <w:rsid w:val="001E6E8D"/>
    <w:rsid w:val="001E7EE4"/>
    <w:rsid w:val="001E7F76"/>
    <w:rsid w:val="001F0FAF"/>
    <w:rsid w:val="001F139F"/>
    <w:rsid w:val="001F2805"/>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3186"/>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5F6"/>
    <w:rsid w:val="00212A82"/>
    <w:rsid w:val="00214EA2"/>
    <w:rsid w:val="002160FA"/>
    <w:rsid w:val="002166DD"/>
    <w:rsid w:val="002168A2"/>
    <w:rsid w:val="00216AC3"/>
    <w:rsid w:val="00217867"/>
    <w:rsid w:val="002205E4"/>
    <w:rsid w:val="00220D67"/>
    <w:rsid w:val="002215F8"/>
    <w:rsid w:val="00221F80"/>
    <w:rsid w:val="0022273A"/>
    <w:rsid w:val="00222D28"/>
    <w:rsid w:val="00223CF4"/>
    <w:rsid w:val="00224220"/>
    <w:rsid w:val="00224398"/>
    <w:rsid w:val="00224A81"/>
    <w:rsid w:val="00224E91"/>
    <w:rsid w:val="00225B4C"/>
    <w:rsid w:val="00225E1E"/>
    <w:rsid w:val="00226129"/>
    <w:rsid w:val="0022614D"/>
    <w:rsid w:val="00226AA2"/>
    <w:rsid w:val="00227218"/>
    <w:rsid w:val="0022770A"/>
    <w:rsid w:val="00227BEE"/>
    <w:rsid w:val="00227FB4"/>
    <w:rsid w:val="0023057E"/>
    <w:rsid w:val="002312BC"/>
    <w:rsid w:val="002337E5"/>
    <w:rsid w:val="00233C06"/>
    <w:rsid w:val="00233F24"/>
    <w:rsid w:val="00234BBB"/>
    <w:rsid w:val="002356F4"/>
    <w:rsid w:val="00235F02"/>
    <w:rsid w:val="00236D28"/>
    <w:rsid w:val="00237FE4"/>
    <w:rsid w:val="00240656"/>
    <w:rsid w:val="00241610"/>
    <w:rsid w:val="00241AED"/>
    <w:rsid w:val="00243182"/>
    <w:rsid w:val="002438E5"/>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17A8"/>
    <w:rsid w:val="00251EEE"/>
    <w:rsid w:val="00253177"/>
    <w:rsid w:val="002538B8"/>
    <w:rsid w:val="0025396F"/>
    <w:rsid w:val="00254319"/>
    <w:rsid w:val="002546A4"/>
    <w:rsid w:val="0025539F"/>
    <w:rsid w:val="00256388"/>
    <w:rsid w:val="00256E44"/>
    <w:rsid w:val="002605BF"/>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6EF"/>
    <w:rsid w:val="00275708"/>
    <w:rsid w:val="002768CF"/>
    <w:rsid w:val="00276F82"/>
    <w:rsid w:val="00277F44"/>
    <w:rsid w:val="002805DF"/>
    <w:rsid w:val="0028092D"/>
    <w:rsid w:val="002815D9"/>
    <w:rsid w:val="00282317"/>
    <w:rsid w:val="00282D25"/>
    <w:rsid w:val="00282DF9"/>
    <w:rsid w:val="00283A44"/>
    <w:rsid w:val="0028529F"/>
    <w:rsid w:val="00285687"/>
    <w:rsid w:val="00287649"/>
    <w:rsid w:val="00287867"/>
    <w:rsid w:val="00287DAB"/>
    <w:rsid w:val="00287FB6"/>
    <w:rsid w:val="002900C5"/>
    <w:rsid w:val="002901E0"/>
    <w:rsid w:val="0029075B"/>
    <w:rsid w:val="00290BB1"/>
    <w:rsid w:val="00291BC1"/>
    <w:rsid w:val="002933CA"/>
    <w:rsid w:val="00293A8F"/>
    <w:rsid w:val="00294DAD"/>
    <w:rsid w:val="0029515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8F7"/>
    <w:rsid w:val="002B301C"/>
    <w:rsid w:val="002B31CF"/>
    <w:rsid w:val="002B3ED7"/>
    <w:rsid w:val="002B4778"/>
    <w:rsid w:val="002B75B2"/>
    <w:rsid w:val="002B79B7"/>
    <w:rsid w:val="002C141D"/>
    <w:rsid w:val="002C19C0"/>
    <w:rsid w:val="002C2485"/>
    <w:rsid w:val="002C25E0"/>
    <w:rsid w:val="002C2A2D"/>
    <w:rsid w:val="002C36C0"/>
    <w:rsid w:val="002C3928"/>
    <w:rsid w:val="002C3B33"/>
    <w:rsid w:val="002C435E"/>
    <w:rsid w:val="002C43BB"/>
    <w:rsid w:val="002C44AB"/>
    <w:rsid w:val="002C5E39"/>
    <w:rsid w:val="002C5FA2"/>
    <w:rsid w:val="002C740C"/>
    <w:rsid w:val="002C7A02"/>
    <w:rsid w:val="002C7BD4"/>
    <w:rsid w:val="002D0107"/>
    <w:rsid w:val="002D062E"/>
    <w:rsid w:val="002D0D43"/>
    <w:rsid w:val="002D15C2"/>
    <w:rsid w:val="002D2B10"/>
    <w:rsid w:val="002D3842"/>
    <w:rsid w:val="002D386A"/>
    <w:rsid w:val="002D4100"/>
    <w:rsid w:val="002D477F"/>
    <w:rsid w:val="002D4F48"/>
    <w:rsid w:val="002D519B"/>
    <w:rsid w:val="002D621E"/>
    <w:rsid w:val="002D66DA"/>
    <w:rsid w:val="002D7027"/>
    <w:rsid w:val="002D70DC"/>
    <w:rsid w:val="002D758B"/>
    <w:rsid w:val="002D79BC"/>
    <w:rsid w:val="002D7E58"/>
    <w:rsid w:val="002D7E73"/>
    <w:rsid w:val="002E0D31"/>
    <w:rsid w:val="002E0EFA"/>
    <w:rsid w:val="002E1073"/>
    <w:rsid w:val="002E12EC"/>
    <w:rsid w:val="002E146D"/>
    <w:rsid w:val="002E1803"/>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687"/>
    <w:rsid w:val="002E69F5"/>
    <w:rsid w:val="002E6CAA"/>
    <w:rsid w:val="002E732D"/>
    <w:rsid w:val="002E73EC"/>
    <w:rsid w:val="002F023D"/>
    <w:rsid w:val="002F10EC"/>
    <w:rsid w:val="002F1136"/>
    <w:rsid w:val="002F1231"/>
    <w:rsid w:val="002F1521"/>
    <w:rsid w:val="002F15EE"/>
    <w:rsid w:val="002F1B56"/>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8DB"/>
    <w:rsid w:val="00301D0A"/>
    <w:rsid w:val="003027B8"/>
    <w:rsid w:val="0030293F"/>
    <w:rsid w:val="00302947"/>
    <w:rsid w:val="00302C50"/>
    <w:rsid w:val="003031C2"/>
    <w:rsid w:val="00303861"/>
    <w:rsid w:val="003049B1"/>
    <w:rsid w:val="00304FFF"/>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1214"/>
    <w:rsid w:val="003213D5"/>
    <w:rsid w:val="00323737"/>
    <w:rsid w:val="00323AD6"/>
    <w:rsid w:val="00323E88"/>
    <w:rsid w:val="00323F27"/>
    <w:rsid w:val="003242EF"/>
    <w:rsid w:val="00325339"/>
    <w:rsid w:val="003255AA"/>
    <w:rsid w:val="00325A71"/>
    <w:rsid w:val="00331389"/>
    <w:rsid w:val="003314B6"/>
    <w:rsid w:val="00331A20"/>
    <w:rsid w:val="00331A23"/>
    <w:rsid w:val="00331E65"/>
    <w:rsid w:val="00333107"/>
    <w:rsid w:val="0033343B"/>
    <w:rsid w:val="0033393C"/>
    <w:rsid w:val="003357EE"/>
    <w:rsid w:val="00337368"/>
    <w:rsid w:val="00337B4D"/>
    <w:rsid w:val="003407A9"/>
    <w:rsid w:val="00340BA3"/>
    <w:rsid w:val="00340BAF"/>
    <w:rsid w:val="00340C2B"/>
    <w:rsid w:val="00340F9A"/>
    <w:rsid w:val="00341018"/>
    <w:rsid w:val="00341723"/>
    <w:rsid w:val="003420D9"/>
    <w:rsid w:val="003423E0"/>
    <w:rsid w:val="0034301A"/>
    <w:rsid w:val="00343D76"/>
    <w:rsid w:val="00344CFC"/>
    <w:rsid w:val="00344DFD"/>
    <w:rsid w:val="003451D3"/>
    <w:rsid w:val="00345B64"/>
    <w:rsid w:val="00346631"/>
    <w:rsid w:val="00346AAD"/>
    <w:rsid w:val="00346D96"/>
    <w:rsid w:val="0034736A"/>
    <w:rsid w:val="0034747C"/>
    <w:rsid w:val="00347B6C"/>
    <w:rsid w:val="00350457"/>
    <w:rsid w:val="0035151C"/>
    <w:rsid w:val="00352254"/>
    <w:rsid w:val="003522A3"/>
    <w:rsid w:val="00353929"/>
    <w:rsid w:val="00353F9E"/>
    <w:rsid w:val="003540D1"/>
    <w:rsid w:val="003545BF"/>
    <w:rsid w:val="0035586A"/>
    <w:rsid w:val="0035611A"/>
    <w:rsid w:val="00356C3D"/>
    <w:rsid w:val="00360B75"/>
    <w:rsid w:val="0036151C"/>
    <w:rsid w:val="00361A9B"/>
    <w:rsid w:val="00362CCF"/>
    <w:rsid w:val="003631DB"/>
    <w:rsid w:val="00364524"/>
    <w:rsid w:val="0036513A"/>
    <w:rsid w:val="00365237"/>
    <w:rsid w:val="0036559C"/>
    <w:rsid w:val="0036587E"/>
    <w:rsid w:val="003660CD"/>
    <w:rsid w:val="00366AC2"/>
    <w:rsid w:val="00366B08"/>
    <w:rsid w:val="00367496"/>
    <w:rsid w:val="003678BE"/>
    <w:rsid w:val="003700F8"/>
    <w:rsid w:val="00370949"/>
    <w:rsid w:val="0037243B"/>
    <w:rsid w:val="0037251C"/>
    <w:rsid w:val="0037272C"/>
    <w:rsid w:val="00372B9A"/>
    <w:rsid w:val="003731BF"/>
    <w:rsid w:val="00375287"/>
    <w:rsid w:val="00375791"/>
    <w:rsid w:val="00375826"/>
    <w:rsid w:val="00375994"/>
    <w:rsid w:val="00375C59"/>
    <w:rsid w:val="00375E05"/>
    <w:rsid w:val="00376BB7"/>
    <w:rsid w:val="00376EEE"/>
    <w:rsid w:val="00377BA1"/>
    <w:rsid w:val="00377FF0"/>
    <w:rsid w:val="00380616"/>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71AD"/>
    <w:rsid w:val="003A7D1D"/>
    <w:rsid w:val="003B1688"/>
    <w:rsid w:val="003B1FA4"/>
    <w:rsid w:val="003B1FE6"/>
    <w:rsid w:val="003B3106"/>
    <w:rsid w:val="003B3974"/>
    <w:rsid w:val="003B39E0"/>
    <w:rsid w:val="003B3DAB"/>
    <w:rsid w:val="003B404D"/>
    <w:rsid w:val="003B4B34"/>
    <w:rsid w:val="003B4CDA"/>
    <w:rsid w:val="003B4F2D"/>
    <w:rsid w:val="003B51A3"/>
    <w:rsid w:val="003B5BD9"/>
    <w:rsid w:val="003B64A3"/>
    <w:rsid w:val="003B6DB8"/>
    <w:rsid w:val="003B72B9"/>
    <w:rsid w:val="003C0887"/>
    <w:rsid w:val="003C0893"/>
    <w:rsid w:val="003C08AF"/>
    <w:rsid w:val="003C2EDD"/>
    <w:rsid w:val="003C3220"/>
    <w:rsid w:val="003C3A47"/>
    <w:rsid w:val="003C3A79"/>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097"/>
    <w:rsid w:val="003D18CC"/>
    <w:rsid w:val="003D3583"/>
    <w:rsid w:val="003D391E"/>
    <w:rsid w:val="003D3B6F"/>
    <w:rsid w:val="003D40E8"/>
    <w:rsid w:val="003D455E"/>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7E7"/>
    <w:rsid w:val="003E6B25"/>
    <w:rsid w:val="003E6B3C"/>
    <w:rsid w:val="003E6B95"/>
    <w:rsid w:val="003E70FF"/>
    <w:rsid w:val="003E7F1B"/>
    <w:rsid w:val="003F0B41"/>
    <w:rsid w:val="003F1150"/>
    <w:rsid w:val="003F1DFC"/>
    <w:rsid w:val="003F1E39"/>
    <w:rsid w:val="003F229D"/>
    <w:rsid w:val="003F25F0"/>
    <w:rsid w:val="003F2D5B"/>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157"/>
    <w:rsid w:val="00404C44"/>
    <w:rsid w:val="00404EE8"/>
    <w:rsid w:val="0040510D"/>
    <w:rsid w:val="0040512D"/>
    <w:rsid w:val="0040602F"/>
    <w:rsid w:val="00406AFB"/>
    <w:rsid w:val="00407382"/>
    <w:rsid w:val="0040791B"/>
    <w:rsid w:val="00410CAA"/>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5B4"/>
    <w:rsid w:val="00426766"/>
    <w:rsid w:val="004267D0"/>
    <w:rsid w:val="004279CA"/>
    <w:rsid w:val="00427A82"/>
    <w:rsid w:val="00427EA2"/>
    <w:rsid w:val="00427F4D"/>
    <w:rsid w:val="004300CA"/>
    <w:rsid w:val="00430115"/>
    <w:rsid w:val="00430A4B"/>
    <w:rsid w:val="00431C46"/>
    <w:rsid w:val="004327E6"/>
    <w:rsid w:val="004329DC"/>
    <w:rsid w:val="00432AC6"/>
    <w:rsid w:val="004341C6"/>
    <w:rsid w:val="00434C5E"/>
    <w:rsid w:val="00435765"/>
    <w:rsid w:val="004360B6"/>
    <w:rsid w:val="004362E5"/>
    <w:rsid w:val="00436356"/>
    <w:rsid w:val="00440722"/>
    <w:rsid w:val="004425D9"/>
    <w:rsid w:val="00443244"/>
    <w:rsid w:val="00444AF6"/>
    <w:rsid w:val="0044519D"/>
    <w:rsid w:val="00445544"/>
    <w:rsid w:val="00445C0B"/>
    <w:rsid w:val="00446195"/>
    <w:rsid w:val="004468CD"/>
    <w:rsid w:val="00447CD0"/>
    <w:rsid w:val="00447FC2"/>
    <w:rsid w:val="00450224"/>
    <w:rsid w:val="004502F4"/>
    <w:rsid w:val="004506F4"/>
    <w:rsid w:val="004509D1"/>
    <w:rsid w:val="00450A42"/>
    <w:rsid w:val="00450E98"/>
    <w:rsid w:val="004513A5"/>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6E90"/>
    <w:rsid w:val="00457135"/>
    <w:rsid w:val="0045770D"/>
    <w:rsid w:val="0045790F"/>
    <w:rsid w:val="00457D63"/>
    <w:rsid w:val="00457E21"/>
    <w:rsid w:val="0046007E"/>
    <w:rsid w:val="0046024B"/>
    <w:rsid w:val="00460E36"/>
    <w:rsid w:val="00461155"/>
    <w:rsid w:val="0046218C"/>
    <w:rsid w:val="004623D4"/>
    <w:rsid w:val="00463944"/>
    <w:rsid w:val="0046512A"/>
    <w:rsid w:val="00465234"/>
    <w:rsid w:val="00465B24"/>
    <w:rsid w:val="00466858"/>
    <w:rsid w:val="00466D0F"/>
    <w:rsid w:val="00467544"/>
    <w:rsid w:val="004676BA"/>
    <w:rsid w:val="0046784C"/>
    <w:rsid w:val="00467ECB"/>
    <w:rsid w:val="004710C3"/>
    <w:rsid w:val="00471459"/>
    <w:rsid w:val="00472274"/>
    <w:rsid w:val="004722D4"/>
    <w:rsid w:val="00472AD0"/>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6A9"/>
    <w:rsid w:val="00483B23"/>
    <w:rsid w:val="004840D7"/>
    <w:rsid w:val="004846F4"/>
    <w:rsid w:val="00485C26"/>
    <w:rsid w:val="00485EC0"/>
    <w:rsid w:val="00486A51"/>
    <w:rsid w:val="004875E1"/>
    <w:rsid w:val="00487B37"/>
    <w:rsid w:val="00487DB0"/>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95C"/>
    <w:rsid w:val="004A0D1E"/>
    <w:rsid w:val="004A0E66"/>
    <w:rsid w:val="004A0EEC"/>
    <w:rsid w:val="004A130F"/>
    <w:rsid w:val="004A17EF"/>
    <w:rsid w:val="004A1BDA"/>
    <w:rsid w:val="004A22DA"/>
    <w:rsid w:val="004A2700"/>
    <w:rsid w:val="004A36C8"/>
    <w:rsid w:val="004A3721"/>
    <w:rsid w:val="004A3742"/>
    <w:rsid w:val="004A37B8"/>
    <w:rsid w:val="004A3CC2"/>
    <w:rsid w:val="004A3ED3"/>
    <w:rsid w:val="004A47BC"/>
    <w:rsid w:val="004A4AC6"/>
    <w:rsid w:val="004B1199"/>
    <w:rsid w:val="004B16C4"/>
    <w:rsid w:val="004B1867"/>
    <w:rsid w:val="004B2A64"/>
    <w:rsid w:val="004B41DA"/>
    <w:rsid w:val="004B470D"/>
    <w:rsid w:val="004B4764"/>
    <w:rsid w:val="004B4846"/>
    <w:rsid w:val="004B5394"/>
    <w:rsid w:val="004B5BDD"/>
    <w:rsid w:val="004B66A0"/>
    <w:rsid w:val="004B6E9E"/>
    <w:rsid w:val="004B6F83"/>
    <w:rsid w:val="004B7C29"/>
    <w:rsid w:val="004C06E5"/>
    <w:rsid w:val="004C1B7D"/>
    <w:rsid w:val="004C1E3C"/>
    <w:rsid w:val="004C25F0"/>
    <w:rsid w:val="004C26DD"/>
    <w:rsid w:val="004C2B5D"/>
    <w:rsid w:val="004C2D68"/>
    <w:rsid w:val="004C2F56"/>
    <w:rsid w:val="004C339D"/>
    <w:rsid w:val="004C33E8"/>
    <w:rsid w:val="004C4307"/>
    <w:rsid w:val="004C4309"/>
    <w:rsid w:val="004C49E3"/>
    <w:rsid w:val="004C4E8A"/>
    <w:rsid w:val="004C4F1B"/>
    <w:rsid w:val="004C514A"/>
    <w:rsid w:val="004C645A"/>
    <w:rsid w:val="004C6572"/>
    <w:rsid w:val="004C6D4F"/>
    <w:rsid w:val="004C7541"/>
    <w:rsid w:val="004D1811"/>
    <w:rsid w:val="004D1E71"/>
    <w:rsid w:val="004D2CDF"/>
    <w:rsid w:val="004D33CE"/>
    <w:rsid w:val="004D4AAE"/>
    <w:rsid w:val="004D7C86"/>
    <w:rsid w:val="004E0197"/>
    <w:rsid w:val="004E0656"/>
    <w:rsid w:val="004E07FC"/>
    <w:rsid w:val="004E1122"/>
    <w:rsid w:val="004E1409"/>
    <w:rsid w:val="004E1A87"/>
    <w:rsid w:val="004E1BB0"/>
    <w:rsid w:val="004E3030"/>
    <w:rsid w:val="004E3311"/>
    <w:rsid w:val="004E38EC"/>
    <w:rsid w:val="004E3933"/>
    <w:rsid w:val="004E4549"/>
    <w:rsid w:val="004E4C83"/>
    <w:rsid w:val="004E4D53"/>
    <w:rsid w:val="004E4D84"/>
    <w:rsid w:val="004E4EBC"/>
    <w:rsid w:val="004E5104"/>
    <w:rsid w:val="004E5B06"/>
    <w:rsid w:val="004E5FA8"/>
    <w:rsid w:val="004E684C"/>
    <w:rsid w:val="004E6FF1"/>
    <w:rsid w:val="004E76DB"/>
    <w:rsid w:val="004F1F90"/>
    <w:rsid w:val="004F2401"/>
    <w:rsid w:val="004F2A44"/>
    <w:rsid w:val="004F2DAD"/>
    <w:rsid w:val="004F34F7"/>
    <w:rsid w:val="004F44D6"/>
    <w:rsid w:val="004F55D6"/>
    <w:rsid w:val="004F565A"/>
    <w:rsid w:val="004F571B"/>
    <w:rsid w:val="004F64EB"/>
    <w:rsid w:val="004F7A74"/>
    <w:rsid w:val="00500250"/>
    <w:rsid w:val="00500264"/>
    <w:rsid w:val="00500824"/>
    <w:rsid w:val="00500DAB"/>
    <w:rsid w:val="00501144"/>
    <w:rsid w:val="005013EF"/>
    <w:rsid w:val="005016CC"/>
    <w:rsid w:val="005019E0"/>
    <w:rsid w:val="0050211F"/>
    <w:rsid w:val="005022E7"/>
    <w:rsid w:val="00502A93"/>
    <w:rsid w:val="00505A84"/>
    <w:rsid w:val="00506083"/>
    <w:rsid w:val="005068D6"/>
    <w:rsid w:val="00506B86"/>
    <w:rsid w:val="00506EEC"/>
    <w:rsid w:val="00506FD4"/>
    <w:rsid w:val="005107FF"/>
    <w:rsid w:val="00510CBC"/>
    <w:rsid w:val="0051102D"/>
    <w:rsid w:val="005112A5"/>
    <w:rsid w:val="00511F48"/>
    <w:rsid w:val="00512448"/>
    <w:rsid w:val="0051253A"/>
    <w:rsid w:val="0051266C"/>
    <w:rsid w:val="00513B72"/>
    <w:rsid w:val="00515277"/>
    <w:rsid w:val="005158C2"/>
    <w:rsid w:val="005169DE"/>
    <w:rsid w:val="0051754D"/>
    <w:rsid w:val="0051785D"/>
    <w:rsid w:val="00517913"/>
    <w:rsid w:val="0052005F"/>
    <w:rsid w:val="00520200"/>
    <w:rsid w:val="00520E2D"/>
    <w:rsid w:val="00520F04"/>
    <w:rsid w:val="00521717"/>
    <w:rsid w:val="005224B2"/>
    <w:rsid w:val="00523B23"/>
    <w:rsid w:val="00523DFA"/>
    <w:rsid w:val="005254BC"/>
    <w:rsid w:val="005256FC"/>
    <w:rsid w:val="00526C27"/>
    <w:rsid w:val="00526DFF"/>
    <w:rsid w:val="00527473"/>
    <w:rsid w:val="00527EF9"/>
    <w:rsid w:val="005305FF"/>
    <w:rsid w:val="00530C9B"/>
    <w:rsid w:val="00532334"/>
    <w:rsid w:val="005324AF"/>
    <w:rsid w:val="00532720"/>
    <w:rsid w:val="00533807"/>
    <w:rsid w:val="0053402C"/>
    <w:rsid w:val="00534090"/>
    <w:rsid w:val="00534ABA"/>
    <w:rsid w:val="00535FFF"/>
    <w:rsid w:val="0053616F"/>
    <w:rsid w:val="005368AD"/>
    <w:rsid w:val="005370BC"/>
    <w:rsid w:val="00537B35"/>
    <w:rsid w:val="00537DE7"/>
    <w:rsid w:val="00537EC4"/>
    <w:rsid w:val="00537FE4"/>
    <w:rsid w:val="0054027D"/>
    <w:rsid w:val="00541222"/>
    <w:rsid w:val="00541A8D"/>
    <w:rsid w:val="00544DA0"/>
    <w:rsid w:val="005454BD"/>
    <w:rsid w:val="005457E4"/>
    <w:rsid w:val="00546C49"/>
    <w:rsid w:val="0055010B"/>
    <w:rsid w:val="00550D59"/>
    <w:rsid w:val="0055110D"/>
    <w:rsid w:val="00551F81"/>
    <w:rsid w:val="0055210F"/>
    <w:rsid w:val="00552CD7"/>
    <w:rsid w:val="005533BE"/>
    <w:rsid w:val="00554B30"/>
    <w:rsid w:val="00554FFB"/>
    <w:rsid w:val="005568DE"/>
    <w:rsid w:val="00556F8D"/>
    <w:rsid w:val="00557C50"/>
    <w:rsid w:val="005606B6"/>
    <w:rsid w:val="005608D6"/>
    <w:rsid w:val="00560F19"/>
    <w:rsid w:val="00561E6B"/>
    <w:rsid w:val="005621D2"/>
    <w:rsid w:val="005621E0"/>
    <w:rsid w:val="00562D90"/>
    <w:rsid w:val="00563317"/>
    <w:rsid w:val="00563A23"/>
    <w:rsid w:val="00563A5A"/>
    <w:rsid w:val="00563C61"/>
    <w:rsid w:val="00563ECB"/>
    <w:rsid w:val="00563F47"/>
    <w:rsid w:val="005640BB"/>
    <w:rsid w:val="005644A8"/>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5FE1"/>
    <w:rsid w:val="0057765D"/>
    <w:rsid w:val="005777FC"/>
    <w:rsid w:val="005808EB"/>
    <w:rsid w:val="00580B3A"/>
    <w:rsid w:val="00580D37"/>
    <w:rsid w:val="00581FA0"/>
    <w:rsid w:val="00582B90"/>
    <w:rsid w:val="00583134"/>
    <w:rsid w:val="005831A7"/>
    <w:rsid w:val="00583321"/>
    <w:rsid w:val="0058341E"/>
    <w:rsid w:val="00584F3A"/>
    <w:rsid w:val="005853AB"/>
    <w:rsid w:val="00585748"/>
    <w:rsid w:val="005859C5"/>
    <w:rsid w:val="00585C79"/>
    <w:rsid w:val="00585FD0"/>
    <w:rsid w:val="00586144"/>
    <w:rsid w:val="00587785"/>
    <w:rsid w:val="0058788D"/>
    <w:rsid w:val="00587E29"/>
    <w:rsid w:val="00587FE6"/>
    <w:rsid w:val="0059040D"/>
    <w:rsid w:val="00591698"/>
    <w:rsid w:val="00593B87"/>
    <w:rsid w:val="00593C1C"/>
    <w:rsid w:val="00593E94"/>
    <w:rsid w:val="00594143"/>
    <w:rsid w:val="00594543"/>
    <w:rsid w:val="0059461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4BFC"/>
    <w:rsid w:val="005A4F39"/>
    <w:rsid w:val="005A574D"/>
    <w:rsid w:val="005A5B5C"/>
    <w:rsid w:val="005A6E93"/>
    <w:rsid w:val="005A707A"/>
    <w:rsid w:val="005A7340"/>
    <w:rsid w:val="005A7F93"/>
    <w:rsid w:val="005B07EA"/>
    <w:rsid w:val="005B0B20"/>
    <w:rsid w:val="005B0BD6"/>
    <w:rsid w:val="005B0EFB"/>
    <w:rsid w:val="005B0FF1"/>
    <w:rsid w:val="005B1060"/>
    <w:rsid w:val="005B12B9"/>
    <w:rsid w:val="005B17C1"/>
    <w:rsid w:val="005B3737"/>
    <w:rsid w:val="005B3A42"/>
    <w:rsid w:val="005B505D"/>
    <w:rsid w:val="005B5D40"/>
    <w:rsid w:val="005B5EFC"/>
    <w:rsid w:val="005B6412"/>
    <w:rsid w:val="005B6698"/>
    <w:rsid w:val="005B68A7"/>
    <w:rsid w:val="005B6AC3"/>
    <w:rsid w:val="005C055E"/>
    <w:rsid w:val="005C0F58"/>
    <w:rsid w:val="005C0FA1"/>
    <w:rsid w:val="005C1615"/>
    <w:rsid w:val="005C1D98"/>
    <w:rsid w:val="005C1DA5"/>
    <w:rsid w:val="005C2559"/>
    <w:rsid w:val="005C2873"/>
    <w:rsid w:val="005C34FC"/>
    <w:rsid w:val="005C3B5C"/>
    <w:rsid w:val="005C3C7F"/>
    <w:rsid w:val="005C5143"/>
    <w:rsid w:val="005C5639"/>
    <w:rsid w:val="005C5742"/>
    <w:rsid w:val="005C577F"/>
    <w:rsid w:val="005C6CA5"/>
    <w:rsid w:val="005C760E"/>
    <w:rsid w:val="005C7E9E"/>
    <w:rsid w:val="005D18C9"/>
    <w:rsid w:val="005D1B72"/>
    <w:rsid w:val="005D2471"/>
    <w:rsid w:val="005D25A3"/>
    <w:rsid w:val="005D2779"/>
    <w:rsid w:val="005D3242"/>
    <w:rsid w:val="005D610C"/>
    <w:rsid w:val="005D74E7"/>
    <w:rsid w:val="005D7C64"/>
    <w:rsid w:val="005D7F7B"/>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5498"/>
    <w:rsid w:val="005F6774"/>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20309"/>
    <w:rsid w:val="0062159D"/>
    <w:rsid w:val="00621680"/>
    <w:rsid w:val="00621EC5"/>
    <w:rsid w:val="006223E0"/>
    <w:rsid w:val="006224D0"/>
    <w:rsid w:val="006226A3"/>
    <w:rsid w:val="00622BCE"/>
    <w:rsid w:val="00622E29"/>
    <w:rsid w:val="00623643"/>
    <w:rsid w:val="00624018"/>
    <w:rsid w:val="006240C4"/>
    <w:rsid w:val="00624B3C"/>
    <w:rsid w:val="006252C2"/>
    <w:rsid w:val="00625304"/>
    <w:rsid w:val="0062581B"/>
    <w:rsid w:val="006258E3"/>
    <w:rsid w:val="006261F4"/>
    <w:rsid w:val="0063164E"/>
    <w:rsid w:val="0063191D"/>
    <w:rsid w:val="00633488"/>
    <w:rsid w:val="00633581"/>
    <w:rsid w:val="006339AF"/>
    <w:rsid w:val="00633C47"/>
    <w:rsid w:val="006348F7"/>
    <w:rsid w:val="0063512D"/>
    <w:rsid w:val="006358FB"/>
    <w:rsid w:val="00635AE2"/>
    <w:rsid w:val="00635E1E"/>
    <w:rsid w:val="0063677C"/>
    <w:rsid w:val="00636972"/>
    <w:rsid w:val="00636B69"/>
    <w:rsid w:val="00636BC2"/>
    <w:rsid w:val="006404B1"/>
    <w:rsid w:val="006404D1"/>
    <w:rsid w:val="00640F43"/>
    <w:rsid w:val="006412CA"/>
    <w:rsid w:val="006420DA"/>
    <w:rsid w:val="00642A0A"/>
    <w:rsid w:val="00643AC1"/>
    <w:rsid w:val="00643D62"/>
    <w:rsid w:val="006443A8"/>
    <w:rsid w:val="00644A5E"/>
    <w:rsid w:val="00644A6C"/>
    <w:rsid w:val="00644D69"/>
    <w:rsid w:val="006457A8"/>
    <w:rsid w:val="00645EA0"/>
    <w:rsid w:val="00645F76"/>
    <w:rsid w:val="00646EB0"/>
    <w:rsid w:val="0064714D"/>
    <w:rsid w:val="0064727D"/>
    <w:rsid w:val="006473CE"/>
    <w:rsid w:val="00647B32"/>
    <w:rsid w:val="00647C27"/>
    <w:rsid w:val="006519E6"/>
    <w:rsid w:val="00651CDE"/>
    <w:rsid w:val="00652326"/>
    <w:rsid w:val="006524F6"/>
    <w:rsid w:val="00652907"/>
    <w:rsid w:val="00652E06"/>
    <w:rsid w:val="00653FC4"/>
    <w:rsid w:val="00654F91"/>
    <w:rsid w:val="00655361"/>
    <w:rsid w:val="00656253"/>
    <w:rsid w:val="00656799"/>
    <w:rsid w:val="00656B77"/>
    <w:rsid w:val="00656E72"/>
    <w:rsid w:val="006578A1"/>
    <w:rsid w:val="0066137B"/>
    <w:rsid w:val="0066174E"/>
    <w:rsid w:val="00661BBB"/>
    <w:rsid w:val="00661E57"/>
    <w:rsid w:val="006629E4"/>
    <w:rsid w:val="0066352E"/>
    <w:rsid w:val="00663783"/>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8AA"/>
    <w:rsid w:val="00685BCF"/>
    <w:rsid w:val="006863D6"/>
    <w:rsid w:val="006871D0"/>
    <w:rsid w:val="0068751F"/>
    <w:rsid w:val="006900D1"/>
    <w:rsid w:val="00690297"/>
    <w:rsid w:val="0069115A"/>
    <w:rsid w:val="006912F1"/>
    <w:rsid w:val="00691387"/>
    <w:rsid w:val="006927F2"/>
    <w:rsid w:val="006931E1"/>
    <w:rsid w:val="00693E3A"/>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0DC3"/>
    <w:rsid w:val="006A151A"/>
    <w:rsid w:val="006A1C60"/>
    <w:rsid w:val="006A1E62"/>
    <w:rsid w:val="006A2A12"/>
    <w:rsid w:val="006A2E9C"/>
    <w:rsid w:val="006A309D"/>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AF9"/>
    <w:rsid w:val="006B44C5"/>
    <w:rsid w:val="006B555F"/>
    <w:rsid w:val="006B5A60"/>
    <w:rsid w:val="006B6242"/>
    <w:rsid w:val="006B62B8"/>
    <w:rsid w:val="006B6C7C"/>
    <w:rsid w:val="006B6EA4"/>
    <w:rsid w:val="006B77BB"/>
    <w:rsid w:val="006B7F8F"/>
    <w:rsid w:val="006B7FC5"/>
    <w:rsid w:val="006C055E"/>
    <w:rsid w:val="006C0D13"/>
    <w:rsid w:val="006C187F"/>
    <w:rsid w:val="006C19BC"/>
    <w:rsid w:val="006C19D5"/>
    <w:rsid w:val="006C1B44"/>
    <w:rsid w:val="006C1F77"/>
    <w:rsid w:val="006C2211"/>
    <w:rsid w:val="006C3031"/>
    <w:rsid w:val="006C3607"/>
    <w:rsid w:val="006C3990"/>
    <w:rsid w:val="006C3ED2"/>
    <w:rsid w:val="006C4233"/>
    <w:rsid w:val="006C42E7"/>
    <w:rsid w:val="006C4422"/>
    <w:rsid w:val="006C5CCA"/>
    <w:rsid w:val="006C625F"/>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3CB2"/>
    <w:rsid w:val="006E3DA8"/>
    <w:rsid w:val="006E5DAA"/>
    <w:rsid w:val="006E7006"/>
    <w:rsid w:val="006E7020"/>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09AC"/>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5C9"/>
    <w:rsid w:val="007145CE"/>
    <w:rsid w:val="00714631"/>
    <w:rsid w:val="00714B6E"/>
    <w:rsid w:val="0071512F"/>
    <w:rsid w:val="007169AC"/>
    <w:rsid w:val="007169DD"/>
    <w:rsid w:val="00717679"/>
    <w:rsid w:val="00717B67"/>
    <w:rsid w:val="007206A2"/>
    <w:rsid w:val="00720B38"/>
    <w:rsid w:val="00720CA7"/>
    <w:rsid w:val="0072147B"/>
    <w:rsid w:val="0072181E"/>
    <w:rsid w:val="00722149"/>
    <w:rsid w:val="00722267"/>
    <w:rsid w:val="0072285E"/>
    <w:rsid w:val="00722C62"/>
    <w:rsid w:val="0072321F"/>
    <w:rsid w:val="00723295"/>
    <w:rsid w:val="007237D6"/>
    <w:rsid w:val="007238E2"/>
    <w:rsid w:val="007239B4"/>
    <w:rsid w:val="00724446"/>
    <w:rsid w:val="00724584"/>
    <w:rsid w:val="00724AA1"/>
    <w:rsid w:val="00724D39"/>
    <w:rsid w:val="00725A19"/>
    <w:rsid w:val="00726356"/>
    <w:rsid w:val="007268C7"/>
    <w:rsid w:val="00726AAB"/>
    <w:rsid w:val="00727077"/>
    <w:rsid w:val="007279C6"/>
    <w:rsid w:val="00730EA6"/>
    <w:rsid w:val="00731C15"/>
    <w:rsid w:val="00732045"/>
    <w:rsid w:val="007322A0"/>
    <w:rsid w:val="00732C1A"/>
    <w:rsid w:val="00733CDC"/>
    <w:rsid w:val="00734B9A"/>
    <w:rsid w:val="00735695"/>
    <w:rsid w:val="007360CB"/>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6386"/>
    <w:rsid w:val="00756603"/>
    <w:rsid w:val="007575C0"/>
    <w:rsid w:val="00757D2F"/>
    <w:rsid w:val="0076000E"/>
    <w:rsid w:val="00760C00"/>
    <w:rsid w:val="007610E9"/>
    <w:rsid w:val="00761728"/>
    <w:rsid w:val="00761C6C"/>
    <w:rsid w:val="00762B72"/>
    <w:rsid w:val="00763CCB"/>
    <w:rsid w:val="007642B4"/>
    <w:rsid w:val="00764C45"/>
    <w:rsid w:val="00764C7F"/>
    <w:rsid w:val="00766064"/>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400"/>
    <w:rsid w:val="00774ACE"/>
    <w:rsid w:val="00774B73"/>
    <w:rsid w:val="00775823"/>
    <w:rsid w:val="00775F57"/>
    <w:rsid w:val="00776584"/>
    <w:rsid w:val="007769EF"/>
    <w:rsid w:val="00776D4F"/>
    <w:rsid w:val="00776DDC"/>
    <w:rsid w:val="007770F9"/>
    <w:rsid w:val="00777179"/>
    <w:rsid w:val="00777945"/>
    <w:rsid w:val="00777D40"/>
    <w:rsid w:val="00780B8D"/>
    <w:rsid w:val="00780B8E"/>
    <w:rsid w:val="00781649"/>
    <w:rsid w:val="007823D6"/>
    <w:rsid w:val="0078254E"/>
    <w:rsid w:val="00782628"/>
    <w:rsid w:val="007826AB"/>
    <w:rsid w:val="007840E2"/>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2C3"/>
    <w:rsid w:val="007A464F"/>
    <w:rsid w:val="007A6196"/>
    <w:rsid w:val="007A63D5"/>
    <w:rsid w:val="007A689A"/>
    <w:rsid w:val="007A68EA"/>
    <w:rsid w:val="007A6B7D"/>
    <w:rsid w:val="007A7629"/>
    <w:rsid w:val="007B1027"/>
    <w:rsid w:val="007B1691"/>
    <w:rsid w:val="007B174F"/>
    <w:rsid w:val="007B1863"/>
    <w:rsid w:val="007B22E0"/>
    <w:rsid w:val="007B28CA"/>
    <w:rsid w:val="007B358D"/>
    <w:rsid w:val="007B520D"/>
    <w:rsid w:val="007B5401"/>
    <w:rsid w:val="007B5FB4"/>
    <w:rsid w:val="007B6B2B"/>
    <w:rsid w:val="007B7949"/>
    <w:rsid w:val="007B7D30"/>
    <w:rsid w:val="007C0FA9"/>
    <w:rsid w:val="007C2413"/>
    <w:rsid w:val="007C25AE"/>
    <w:rsid w:val="007C3152"/>
    <w:rsid w:val="007C333B"/>
    <w:rsid w:val="007C3914"/>
    <w:rsid w:val="007C3CEA"/>
    <w:rsid w:val="007C3D92"/>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005"/>
    <w:rsid w:val="007D674C"/>
    <w:rsid w:val="007D6B7B"/>
    <w:rsid w:val="007D6CF1"/>
    <w:rsid w:val="007D7131"/>
    <w:rsid w:val="007D7BEC"/>
    <w:rsid w:val="007D7CE3"/>
    <w:rsid w:val="007E051A"/>
    <w:rsid w:val="007E0798"/>
    <w:rsid w:val="007E1B72"/>
    <w:rsid w:val="007E3EE3"/>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2CF"/>
    <w:rsid w:val="007F4CA8"/>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634"/>
    <w:rsid w:val="008047E8"/>
    <w:rsid w:val="0080531E"/>
    <w:rsid w:val="00805C3D"/>
    <w:rsid w:val="0080648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034"/>
    <w:rsid w:val="0084184A"/>
    <w:rsid w:val="008423F2"/>
    <w:rsid w:val="00842A30"/>
    <w:rsid w:val="00842F71"/>
    <w:rsid w:val="00843179"/>
    <w:rsid w:val="0084386A"/>
    <w:rsid w:val="00843E0E"/>
    <w:rsid w:val="008442EA"/>
    <w:rsid w:val="00844589"/>
    <w:rsid w:val="00844794"/>
    <w:rsid w:val="00844FE7"/>
    <w:rsid w:val="00845103"/>
    <w:rsid w:val="00845969"/>
    <w:rsid w:val="00845F37"/>
    <w:rsid w:val="00845FF5"/>
    <w:rsid w:val="00846001"/>
    <w:rsid w:val="0084615D"/>
    <w:rsid w:val="0084642A"/>
    <w:rsid w:val="008465C4"/>
    <w:rsid w:val="00846710"/>
    <w:rsid w:val="008478ED"/>
    <w:rsid w:val="0085087F"/>
    <w:rsid w:val="00851728"/>
    <w:rsid w:val="00851DFF"/>
    <w:rsid w:val="00853084"/>
    <w:rsid w:val="00853142"/>
    <w:rsid w:val="008540A6"/>
    <w:rsid w:val="00854420"/>
    <w:rsid w:val="00854481"/>
    <w:rsid w:val="008555EF"/>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643"/>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8063B"/>
    <w:rsid w:val="00881511"/>
    <w:rsid w:val="00882448"/>
    <w:rsid w:val="00882F1D"/>
    <w:rsid w:val="00883A4D"/>
    <w:rsid w:val="00883B21"/>
    <w:rsid w:val="00883F8F"/>
    <w:rsid w:val="00884235"/>
    <w:rsid w:val="00885285"/>
    <w:rsid w:val="00885985"/>
    <w:rsid w:val="00886699"/>
    <w:rsid w:val="0088709A"/>
    <w:rsid w:val="0089199F"/>
    <w:rsid w:val="00891C32"/>
    <w:rsid w:val="00891D7F"/>
    <w:rsid w:val="00892265"/>
    <w:rsid w:val="0089233E"/>
    <w:rsid w:val="0089330E"/>
    <w:rsid w:val="00893418"/>
    <w:rsid w:val="00893A8E"/>
    <w:rsid w:val="00893E27"/>
    <w:rsid w:val="008945F7"/>
    <w:rsid w:val="0089463D"/>
    <w:rsid w:val="0089554F"/>
    <w:rsid w:val="008955E6"/>
    <w:rsid w:val="00895B5F"/>
    <w:rsid w:val="0089637C"/>
    <w:rsid w:val="00896712"/>
    <w:rsid w:val="00896870"/>
    <w:rsid w:val="008969BD"/>
    <w:rsid w:val="00897621"/>
    <w:rsid w:val="00897812"/>
    <w:rsid w:val="008A13BD"/>
    <w:rsid w:val="008A1596"/>
    <w:rsid w:val="008A1EDF"/>
    <w:rsid w:val="008A2695"/>
    <w:rsid w:val="008A2DC9"/>
    <w:rsid w:val="008A2FF1"/>
    <w:rsid w:val="008A32D4"/>
    <w:rsid w:val="008A367F"/>
    <w:rsid w:val="008A37AF"/>
    <w:rsid w:val="008A3D62"/>
    <w:rsid w:val="008A448D"/>
    <w:rsid w:val="008A4A55"/>
    <w:rsid w:val="008A506F"/>
    <w:rsid w:val="008A528A"/>
    <w:rsid w:val="008A5298"/>
    <w:rsid w:val="008A535A"/>
    <w:rsid w:val="008A720F"/>
    <w:rsid w:val="008A7498"/>
    <w:rsid w:val="008A79F1"/>
    <w:rsid w:val="008A7C72"/>
    <w:rsid w:val="008B04F2"/>
    <w:rsid w:val="008B0D0E"/>
    <w:rsid w:val="008B12BB"/>
    <w:rsid w:val="008B1411"/>
    <w:rsid w:val="008B17A2"/>
    <w:rsid w:val="008B25F2"/>
    <w:rsid w:val="008B2643"/>
    <w:rsid w:val="008B2FAE"/>
    <w:rsid w:val="008B3317"/>
    <w:rsid w:val="008B414B"/>
    <w:rsid w:val="008B4E0E"/>
    <w:rsid w:val="008B4FB9"/>
    <w:rsid w:val="008B5715"/>
    <w:rsid w:val="008B5A2D"/>
    <w:rsid w:val="008B5BC2"/>
    <w:rsid w:val="008B5E54"/>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2F2"/>
    <w:rsid w:val="008D4817"/>
    <w:rsid w:val="008D4DD5"/>
    <w:rsid w:val="008D5657"/>
    <w:rsid w:val="008D6752"/>
    <w:rsid w:val="008D69E7"/>
    <w:rsid w:val="008D6FC1"/>
    <w:rsid w:val="008E0140"/>
    <w:rsid w:val="008E0688"/>
    <w:rsid w:val="008E0BEF"/>
    <w:rsid w:val="008E103C"/>
    <w:rsid w:val="008E266D"/>
    <w:rsid w:val="008E2F0C"/>
    <w:rsid w:val="008E3E23"/>
    <w:rsid w:val="008E547B"/>
    <w:rsid w:val="008E5DF8"/>
    <w:rsid w:val="008F0250"/>
    <w:rsid w:val="008F11F4"/>
    <w:rsid w:val="008F1952"/>
    <w:rsid w:val="008F254D"/>
    <w:rsid w:val="008F310B"/>
    <w:rsid w:val="008F322B"/>
    <w:rsid w:val="008F34CB"/>
    <w:rsid w:val="008F3519"/>
    <w:rsid w:val="008F3AD3"/>
    <w:rsid w:val="008F3CA7"/>
    <w:rsid w:val="008F443F"/>
    <w:rsid w:val="008F5DE5"/>
    <w:rsid w:val="008F5E42"/>
    <w:rsid w:val="008F63B1"/>
    <w:rsid w:val="008F6973"/>
    <w:rsid w:val="008F6E6A"/>
    <w:rsid w:val="008F7AA7"/>
    <w:rsid w:val="008F7F94"/>
    <w:rsid w:val="00900947"/>
    <w:rsid w:val="00900EB8"/>
    <w:rsid w:val="00900FBA"/>
    <w:rsid w:val="0090240E"/>
    <w:rsid w:val="00902E5B"/>
    <w:rsid w:val="00903FD9"/>
    <w:rsid w:val="00904CF5"/>
    <w:rsid w:val="00905259"/>
    <w:rsid w:val="0090556C"/>
    <w:rsid w:val="00905633"/>
    <w:rsid w:val="00905DCF"/>
    <w:rsid w:val="00905EAE"/>
    <w:rsid w:val="009060C4"/>
    <w:rsid w:val="00906C91"/>
    <w:rsid w:val="00906C95"/>
    <w:rsid w:val="00907656"/>
    <w:rsid w:val="00907E47"/>
    <w:rsid w:val="009115EF"/>
    <w:rsid w:val="009116DD"/>
    <w:rsid w:val="00912D1C"/>
    <w:rsid w:val="00913019"/>
    <w:rsid w:val="00913F1E"/>
    <w:rsid w:val="00913FB2"/>
    <w:rsid w:val="009140C4"/>
    <w:rsid w:val="009144A9"/>
    <w:rsid w:val="0091468B"/>
    <w:rsid w:val="0091526F"/>
    <w:rsid w:val="009153D2"/>
    <w:rsid w:val="00916286"/>
    <w:rsid w:val="00916595"/>
    <w:rsid w:val="00916C47"/>
    <w:rsid w:val="009171AD"/>
    <w:rsid w:val="00917569"/>
    <w:rsid w:val="00920174"/>
    <w:rsid w:val="009219D2"/>
    <w:rsid w:val="00921A4E"/>
    <w:rsid w:val="00921E37"/>
    <w:rsid w:val="00922511"/>
    <w:rsid w:val="00922F07"/>
    <w:rsid w:val="00923463"/>
    <w:rsid w:val="0092381B"/>
    <w:rsid w:val="00925238"/>
    <w:rsid w:val="00925ACF"/>
    <w:rsid w:val="0092615D"/>
    <w:rsid w:val="00926546"/>
    <w:rsid w:val="009265A1"/>
    <w:rsid w:val="00926C16"/>
    <w:rsid w:val="00927700"/>
    <w:rsid w:val="0093036E"/>
    <w:rsid w:val="00931224"/>
    <w:rsid w:val="0093264C"/>
    <w:rsid w:val="009333D3"/>
    <w:rsid w:val="009339B6"/>
    <w:rsid w:val="00933B4C"/>
    <w:rsid w:val="00933DC4"/>
    <w:rsid w:val="0093431B"/>
    <w:rsid w:val="009346D6"/>
    <w:rsid w:val="00934743"/>
    <w:rsid w:val="0093487E"/>
    <w:rsid w:val="009348B1"/>
    <w:rsid w:val="00934FFE"/>
    <w:rsid w:val="00936405"/>
    <w:rsid w:val="00936B64"/>
    <w:rsid w:val="009379C4"/>
    <w:rsid w:val="0094041A"/>
    <w:rsid w:val="00940D32"/>
    <w:rsid w:val="0094190D"/>
    <w:rsid w:val="00942354"/>
    <w:rsid w:val="00942681"/>
    <w:rsid w:val="00943A7E"/>
    <w:rsid w:val="00943E42"/>
    <w:rsid w:val="00943E5D"/>
    <w:rsid w:val="00944728"/>
    <w:rsid w:val="009453E8"/>
    <w:rsid w:val="00945664"/>
    <w:rsid w:val="009458FA"/>
    <w:rsid w:val="00945AD1"/>
    <w:rsid w:val="00946ECB"/>
    <w:rsid w:val="00947268"/>
    <w:rsid w:val="0094750E"/>
    <w:rsid w:val="00947C94"/>
    <w:rsid w:val="009507C8"/>
    <w:rsid w:val="0095115E"/>
    <w:rsid w:val="0095118A"/>
    <w:rsid w:val="00952468"/>
    <w:rsid w:val="00954767"/>
    <w:rsid w:val="0095487A"/>
    <w:rsid w:val="009548FB"/>
    <w:rsid w:val="0095538B"/>
    <w:rsid w:val="009575B9"/>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BFA"/>
    <w:rsid w:val="00966D9D"/>
    <w:rsid w:val="00966E4A"/>
    <w:rsid w:val="00967041"/>
    <w:rsid w:val="00970918"/>
    <w:rsid w:val="0097099E"/>
    <w:rsid w:val="00971761"/>
    <w:rsid w:val="0097216F"/>
    <w:rsid w:val="00972C3B"/>
    <w:rsid w:val="00973057"/>
    <w:rsid w:val="00974D50"/>
    <w:rsid w:val="009751AF"/>
    <w:rsid w:val="00975326"/>
    <w:rsid w:val="00975DEA"/>
    <w:rsid w:val="00977CDF"/>
    <w:rsid w:val="0098043F"/>
    <w:rsid w:val="00981038"/>
    <w:rsid w:val="0098106E"/>
    <w:rsid w:val="00981511"/>
    <w:rsid w:val="00981D1C"/>
    <w:rsid w:val="00981E1C"/>
    <w:rsid w:val="00982118"/>
    <w:rsid w:val="009824E7"/>
    <w:rsid w:val="00982C62"/>
    <w:rsid w:val="00982C91"/>
    <w:rsid w:val="00982F76"/>
    <w:rsid w:val="00982FA3"/>
    <w:rsid w:val="009840FD"/>
    <w:rsid w:val="00984701"/>
    <w:rsid w:val="00984847"/>
    <w:rsid w:val="00984BEC"/>
    <w:rsid w:val="00985EB8"/>
    <w:rsid w:val="00985FB3"/>
    <w:rsid w:val="00986566"/>
    <w:rsid w:val="00986CC1"/>
    <w:rsid w:val="00986E97"/>
    <w:rsid w:val="00986F4E"/>
    <w:rsid w:val="00987191"/>
    <w:rsid w:val="00987A5A"/>
    <w:rsid w:val="00987CB4"/>
    <w:rsid w:val="0099097E"/>
    <w:rsid w:val="009921FC"/>
    <w:rsid w:val="0099272B"/>
    <w:rsid w:val="00992A0E"/>
    <w:rsid w:val="0099399E"/>
    <w:rsid w:val="0099413C"/>
    <w:rsid w:val="00994230"/>
    <w:rsid w:val="0099479E"/>
    <w:rsid w:val="009951D8"/>
    <w:rsid w:val="00995355"/>
    <w:rsid w:val="0099586F"/>
    <w:rsid w:val="00996CB5"/>
    <w:rsid w:val="0099719E"/>
    <w:rsid w:val="009A0169"/>
    <w:rsid w:val="009A1B56"/>
    <w:rsid w:val="009A2A8A"/>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6985"/>
    <w:rsid w:val="009B69B3"/>
    <w:rsid w:val="009B7011"/>
    <w:rsid w:val="009B71E4"/>
    <w:rsid w:val="009C04EE"/>
    <w:rsid w:val="009C0A87"/>
    <w:rsid w:val="009C0CD4"/>
    <w:rsid w:val="009C15E7"/>
    <w:rsid w:val="009C17C8"/>
    <w:rsid w:val="009C385B"/>
    <w:rsid w:val="009C3E3C"/>
    <w:rsid w:val="009C4353"/>
    <w:rsid w:val="009C49C2"/>
    <w:rsid w:val="009C4E2D"/>
    <w:rsid w:val="009C5928"/>
    <w:rsid w:val="009C62C0"/>
    <w:rsid w:val="009C6A88"/>
    <w:rsid w:val="009C765D"/>
    <w:rsid w:val="009C7ADA"/>
    <w:rsid w:val="009D000A"/>
    <w:rsid w:val="009D1A86"/>
    <w:rsid w:val="009D1E12"/>
    <w:rsid w:val="009D2DA9"/>
    <w:rsid w:val="009D2E93"/>
    <w:rsid w:val="009D2EA9"/>
    <w:rsid w:val="009D3038"/>
    <w:rsid w:val="009D30EE"/>
    <w:rsid w:val="009D34C0"/>
    <w:rsid w:val="009D35FB"/>
    <w:rsid w:val="009D4BBE"/>
    <w:rsid w:val="009D4E16"/>
    <w:rsid w:val="009D5893"/>
    <w:rsid w:val="009D6620"/>
    <w:rsid w:val="009D6C54"/>
    <w:rsid w:val="009D72B0"/>
    <w:rsid w:val="009D77CE"/>
    <w:rsid w:val="009D7CA5"/>
    <w:rsid w:val="009D7DE3"/>
    <w:rsid w:val="009E004A"/>
    <w:rsid w:val="009E04E1"/>
    <w:rsid w:val="009E066B"/>
    <w:rsid w:val="009E1515"/>
    <w:rsid w:val="009E1CFF"/>
    <w:rsid w:val="009E1FEE"/>
    <w:rsid w:val="009E23EA"/>
    <w:rsid w:val="009E2D24"/>
    <w:rsid w:val="009E2EA0"/>
    <w:rsid w:val="009E305F"/>
    <w:rsid w:val="009E36FF"/>
    <w:rsid w:val="009E37D3"/>
    <w:rsid w:val="009E5028"/>
    <w:rsid w:val="009E50FB"/>
    <w:rsid w:val="009E5280"/>
    <w:rsid w:val="009E5288"/>
    <w:rsid w:val="009E5386"/>
    <w:rsid w:val="009E5DD1"/>
    <w:rsid w:val="009E60AD"/>
    <w:rsid w:val="009E68C8"/>
    <w:rsid w:val="009E6AB5"/>
    <w:rsid w:val="009E6DAB"/>
    <w:rsid w:val="009E6F4B"/>
    <w:rsid w:val="009E703C"/>
    <w:rsid w:val="009E7E4C"/>
    <w:rsid w:val="009F08F5"/>
    <w:rsid w:val="009F0956"/>
    <w:rsid w:val="009F0EE5"/>
    <w:rsid w:val="009F1264"/>
    <w:rsid w:val="009F1D7F"/>
    <w:rsid w:val="009F245B"/>
    <w:rsid w:val="009F25E6"/>
    <w:rsid w:val="009F2BE8"/>
    <w:rsid w:val="009F2F09"/>
    <w:rsid w:val="009F39A7"/>
    <w:rsid w:val="009F3F8A"/>
    <w:rsid w:val="009F40B7"/>
    <w:rsid w:val="009F4188"/>
    <w:rsid w:val="009F4302"/>
    <w:rsid w:val="009F4393"/>
    <w:rsid w:val="009F4BE9"/>
    <w:rsid w:val="009F62D3"/>
    <w:rsid w:val="009F7501"/>
    <w:rsid w:val="00A00006"/>
    <w:rsid w:val="00A00112"/>
    <w:rsid w:val="00A008B5"/>
    <w:rsid w:val="00A017B4"/>
    <w:rsid w:val="00A01C53"/>
    <w:rsid w:val="00A01D38"/>
    <w:rsid w:val="00A02414"/>
    <w:rsid w:val="00A025B9"/>
    <w:rsid w:val="00A0355C"/>
    <w:rsid w:val="00A03A13"/>
    <w:rsid w:val="00A040CD"/>
    <w:rsid w:val="00A04429"/>
    <w:rsid w:val="00A06446"/>
    <w:rsid w:val="00A06697"/>
    <w:rsid w:val="00A06C40"/>
    <w:rsid w:val="00A10586"/>
    <w:rsid w:val="00A10A48"/>
    <w:rsid w:val="00A10AE2"/>
    <w:rsid w:val="00A110DA"/>
    <w:rsid w:val="00A1132B"/>
    <w:rsid w:val="00A11930"/>
    <w:rsid w:val="00A11B54"/>
    <w:rsid w:val="00A11CDC"/>
    <w:rsid w:val="00A1238C"/>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6BC"/>
    <w:rsid w:val="00A23931"/>
    <w:rsid w:val="00A23FD6"/>
    <w:rsid w:val="00A25317"/>
    <w:rsid w:val="00A25706"/>
    <w:rsid w:val="00A25D84"/>
    <w:rsid w:val="00A26029"/>
    <w:rsid w:val="00A262E4"/>
    <w:rsid w:val="00A268EA"/>
    <w:rsid w:val="00A31CE0"/>
    <w:rsid w:val="00A31FA9"/>
    <w:rsid w:val="00A333BF"/>
    <w:rsid w:val="00A33825"/>
    <w:rsid w:val="00A3398F"/>
    <w:rsid w:val="00A35583"/>
    <w:rsid w:val="00A363EF"/>
    <w:rsid w:val="00A36596"/>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050"/>
    <w:rsid w:val="00A45EC4"/>
    <w:rsid w:val="00A47212"/>
    <w:rsid w:val="00A4721E"/>
    <w:rsid w:val="00A474EA"/>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815"/>
    <w:rsid w:val="00A65043"/>
    <w:rsid w:val="00A66DF9"/>
    <w:rsid w:val="00A672C1"/>
    <w:rsid w:val="00A704E4"/>
    <w:rsid w:val="00A7136A"/>
    <w:rsid w:val="00A71C44"/>
    <w:rsid w:val="00A72296"/>
    <w:rsid w:val="00A7388E"/>
    <w:rsid w:val="00A74544"/>
    <w:rsid w:val="00A74548"/>
    <w:rsid w:val="00A74DF2"/>
    <w:rsid w:val="00A74E4D"/>
    <w:rsid w:val="00A75633"/>
    <w:rsid w:val="00A7592E"/>
    <w:rsid w:val="00A76C1F"/>
    <w:rsid w:val="00A7799D"/>
    <w:rsid w:val="00A803FC"/>
    <w:rsid w:val="00A8071A"/>
    <w:rsid w:val="00A80DD9"/>
    <w:rsid w:val="00A80FCA"/>
    <w:rsid w:val="00A81CBC"/>
    <w:rsid w:val="00A82506"/>
    <w:rsid w:val="00A833C8"/>
    <w:rsid w:val="00A837CE"/>
    <w:rsid w:val="00A83DB5"/>
    <w:rsid w:val="00A83FBA"/>
    <w:rsid w:val="00A844F5"/>
    <w:rsid w:val="00A84636"/>
    <w:rsid w:val="00A84FE1"/>
    <w:rsid w:val="00A85080"/>
    <w:rsid w:val="00A85337"/>
    <w:rsid w:val="00A8626D"/>
    <w:rsid w:val="00A86406"/>
    <w:rsid w:val="00A86853"/>
    <w:rsid w:val="00A86B75"/>
    <w:rsid w:val="00A86E75"/>
    <w:rsid w:val="00A86F33"/>
    <w:rsid w:val="00A87AF0"/>
    <w:rsid w:val="00A9065F"/>
    <w:rsid w:val="00A90B0E"/>
    <w:rsid w:val="00A90FA0"/>
    <w:rsid w:val="00A91AA1"/>
    <w:rsid w:val="00A91C8C"/>
    <w:rsid w:val="00A91F0D"/>
    <w:rsid w:val="00A9235A"/>
    <w:rsid w:val="00A92FF7"/>
    <w:rsid w:val="00A93069"/>
    <w:rsid w:val="00A93774"/>
    <w:rsid w:val="00A9468F"/>
    <w:rsid w:val="00A9498D"/>
    <w:rsid w:val="00A95335"/>
    <w:rsid w:val="00A9566B"/>
    <w:rsid w:val="00A9657F"/>
    <w:rsid w:val="00A96D59"/>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7EC"/>
    <w:rsid w:val="00AC4E5D"/>
    <w:rsid w:val="00AC6C53"/>
    <w:rsid w:val="00AC6E85"/>
    <w:rsid w:val="00AC7284"/>
    <w:rsid w:val="00AC7CE6"/>
    <w:rsid w:val="00AD0712"/>
    <w:rsid w:val="00AD0828"/>
    <w:rsid w:val="00AD0B13"/>
    <w:rsid w:val="00AD0E69"/>
    <w:rsid w:val="00AD103D"/>
    <w:rsid w:val="00AD159C"/>
    <w:rsid w:val="00AD17FA"/>
    <w:rsid w:val="00AD19EC"/>
    <w:rsid w:val="00AD2717"/>
    <w:rsid w:val="00AD3DC4"/>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AF"/>
    <w:rsid w:val="00AF3E3B"/>
    <w:rsid w:val="00AF3E5A"/>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093"/>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B1"/>
    <w:rsid w:val="00B21A33"/>
    <w:rsid w:val="00B21BC6"/>
    <w:rsid w:val="00B22272"/>
    <w:rsid w:val="00B224AA"/>
    <w:rsid w:val="00B22998"/>
    <w:rsid w:val="00B229FE"/>
    <w:rsid w:val="00B2302B"/>
    <w:rsid w:val="00B24363"/>
    <w:rsid w:val="00B2456E"/>
    <w:rsid w:val="00B24979"/>
    <w:rsid w:val="00B250A5"/>
    <w:rsid w:val="00B25651"/>
    <w:rsid w:val="00B26309"/>
    <w:rsid w:val="00B26937"/>
    <w:rsid w:val="00B30243"/>
    <w:rsid w:val="00B30421"/>
    <w:rsid w:val="00B30DC8"/>
    <w:rsid w:val="00B315BB"/>
    <w:rsid w:val="00B31977"/>
    <w:rsid w:val="00B3235A"/>
    <w:rsid w:val="00B333FE"/>
    <w:rsid w:val="00B3382B"/>
    <w:rsid w:val="00B35094"/>
    <w:rsid w:val="00B350F0"/>
    <w:rsid w:val="00B357AC"/>
    <w:rsid w:val="00B35992"/>
    <w:rsid w:val="00B35E4B"/>
    <w:rsid w:val="00B35FCC"/>
    <w:rsid w:val="00B36518"/>
    <w:rsid w:val="00B378CC"/>
    <w:rsid w:val="00B41615"/>
    <w:rsid w:val="00B41D70"/>
    <w:rsid w:val="00B41FD8"/>
    <w:rsid w:val="00B420DF"/>
    <w:rsid w:val="00B427BC"/>
    <w:rsid w:val="00B428E2"/>
    <w:rsid w:val="00B42A2C"/>
    <w:rsid w:val="00B42A5C"/>
    <w:rsid w:val="00B42A98"/>
    <w:rsid w:val="00B42C64"/>
    <w:rsid w:val="00B448EF"/>
    <w:rsid w:val="00B47493"/>
    <w:rsid w:val="00B474C8"/>
    <w:rsid w:val="00B474DF"/>
    <w:rsid w:val="00B47915"/>
    <w:rsid w:val="00B50E18"/>
    <w:rsid w:val="00B513A9"/>
    <w:rsid w:val="00B51568"/>
    <w:rsid w:val="00B51610"/>
    <w:rsid w:val="00B5167B"/>
    <w:rsid w:val="00B520E3"/>
    <w:rsid w:val="00B52336"/>
    <w:rsid w:val="00B5388C"/>
    <w:rsid w:val="00B55CED"/>
    <w:rsid w:val="00B55D57"/>
    <w:rsid w:val="00B55E9D"/>
    <w:rsid w:val="00B55F80"/>
    <w:rsid w:val="00B56480"/>
    <w:rsid w:val="00B565D6"/>
    <w:rsid w:val="00B572D2"/>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6F2A"/>
    <w:rsid w:val="00B8756E"/>
    <w:rsid w:val="00B87DF9"/>
    <w:rsid w:val="00B91951"/>
    <w:rsid w:val="00B91A58"/>
    <w:rsid w:val="00B91EAD"/>
    <w:rsid w:val="00B920B9"/>
    <w:rsid w:val="00B930D2"/>
    <w:rsid w:val="00B93390"/>
    <w:rsid w:val="00B937CD"/>
    <w:rsid w:val="00B938BC"/>
    <w:rsid w:val="00B93997"/>
    <w:rsid w:val="00B93C98"/>
    <w:rsid w:val="00B976BB"/>
    <w:rsid w:val="00B97FD6"/>
    <w:rsid w:val="00BA01A7"/>
    <w:rsid w:val="00BA0224"/>
    <w:rsid w:val="00BA05C8"/>
    <w:rsid w:val="00BA09AA"/>
    <w:rsid w:val="00BA0AD5"/>
    <w:rsid w:val="00BA0CA0"/>
    <w:rsid w:val="00BA0E3C"/>
    <w:rsid w:val="00BA1F74"/>
    <w:rsid w:val="00BA1FE7"/>
    <w:rsid w:val="00BA2B1D"/>
    <w:rsid w:val="00BA3D14"/>
    <w:rsid w:val="00BA435A"/>
    <w:rsid w:val="00BA54BA"/>
    <w:rsid w:val="00BA5603"/>
    <w:rsid w:val="00BA56D9"/>
    <w:rsid w:val="00BA6194"/>
    <w:rsid w:val="00BA62C6"/>
    <w:rsid w:val="00BA7EEE"/>
    <w:rsid w:val="00BB2008"/>
    <w:rsid w:val="00BB2668"/>
    <w:rsid w:val="00BB29DF"/>
    <w:rsid w:val="00BB2CFC"/>
    <w:rsid w:val="00BB34DC"/>
    <w:rsid w:val="00BB35D0"/>
    <w:rsid w:val="00BB3AC4"/>
    <w:rsid w:val="00BB4999"/>
    <w:rsid w:val="00BB4BCD"/>
    <w:rsid w:val="00BB52EB"/>
    <w:rsid w:val="00BB56C7"/>
    <w:rsid w:val="00BB5B62"/>
    <w:rsid w:val="00BB6502"/>
    <w:rsid w:val="00BB6BCD"/>
    <w:rsid w:val="00BB70F9"/>
    <w:rsid w:val="00BB7C9B"/>
    <w:rsid w:val="00BC1527"/>
    <w:rsid w:val="00BC2306"/>
    <w:rsid w:val="00BC2F31"/>
    <w:rsid w:val="00BC4036"/>
    <w:rsid w:val="00BC4F0A"/>
    <w:rsid w:val="00BC509F"/>
    <w:rsid w:val="00BC51D2"/>
    <w:rsid w:val="00BC64BE"/>
    <w:rsid w:val="00BC7155"/>
    <w:rsid w:val="00BC7550"/>
    <w:rsid w:val="00BD0B72"/>
    <w:rsid w:val="00BD110D"/>
    <w:rsid w:val="00BD2668"/>
    <w:rsid w:val="00BD3924"/>
    <w:rsid w:val="00BD450F"/>
    <w:rsid w:val="00BD4512"/>
    <w:rsid w:val="00BD52AA"/>
    <w:rsid w:val="00BD5665"/>
    <w:rsid w:val="00BE1061"/>
    <w:rsid w:val="00BE1321"/>
    <w:rsid w:val="00BE2893"/>
    <w:rsid w:val="00BE2EB4"/>
    <w:rsid w:val="00BE2F5A"/>
    <w:rsid w:val="00BE37D3"/>
    <w:rsid w:val="00BE522A"/>
    <w:rsid w:val="00BE57B5"/>
    <w:rsid w:val="00BE7A7C"/>
    <w:rsid w:val="00BF0A44"/>
    <w:rsid w:val="00BF0CEC"/>
    <w:rsid w:val="00BF1A44"/>
    <w:rsid w:val="00BF1EDF"/>
    <w:rsid w:val="00BF487A"/>
    <w:rsid w:val="00BF4D3D"/>
    <w:rsid w:val="00BF5B8C"/>
    <w:rsid w:val="00BF66B7"/>
    <w:rsid w:val="00BF6A68"/>
    <w:rsid w:val="00BF6FC6"/>
    <w:rsid w:val="00BF7152"/>
    <w:rsid w:val="00BF73F0"/>
    <w:rsid w:val="00BF75B1"/>
    <w:rsid w:val="00BF75C9"/>
    <w:rsid w:val="00BF7BD3"/>
    <w:rsid w:val="00C00352"/>
    <w:rsid w:val="00C007CE"/>
    <w:rsid w:val="00C00A22"/>
    <w:rsid w:val="00C00F18"/>
    <w:rsid w:val="00C01D39"/>
    <w:rsid w:val="00C0200C"/>
    <w:rsid w:val="00C020A8"/>
    <w:rsid w:val="00C034A4"/>
    <w:rsid w:val="00C03DD0"/>
    <w:rsid w:val="00C04445"/>
    <w:rsid w:val="00C04705"/>
    <w:rsid w:val="00C04A7F"/>
    <w:rsid w:val="00C04E2B"/>
    <w:rsid w:val="00C051AA"/>
    <w:rsid w:val="00C060A0"/>
    <w:rsid w:val="00C07187"/>
    <w:rsid w:val="00C075C9"/>
    <w:rsid w:val="00C07FAD"/>
    <w:rsid w:val="00C106C4"/>
    <w:rsid w:val="00C111EA"/>
    <w:rsid w:val="00C119AD"/>
    <w:rsid w:val="00C1228D"/>
    <w:rsid w:val="00C13FED"/>
    <w:rsid w:val="00C14E7D"/>
    <w:rsid w:val="00C15722"/>
    <w:rsid w:val="00C16897"/>
    <w:rsid w:val="00C200C9"/>
    <w:rsid w:val="00C218FD"/>
    <w:rsid w:val="00C21D8E"/>
    <w:rsid w:val="00C22525"/>
    <w:rsid w:val="00C23DBB"/>
    <w:rsid w:val="00C23FE1"/>
    <w:rsid w:val="00C2410D"/>
    <w:rsid w:val="00C24BAF"/>
    <w:rsid w:val="00C25F8B"/>
    <w:rsid w:val="00C25FB5"/>
    <w:rsid w:val="00C265C0"/>
    <w:rsid w:val="00C26B9E"/>
    <w:rsid w:val="00C272EF"/>
    <w:rsid w:val="00C2732B"/>
    <w:rsid w:val="00C2753F"/>
    <w:rsid w:val="00C276A8"/>
    <w:rsid w:val="00C27975"/>
    <w:rsid w:val="00C300BC"/>
    <w:rsid w:val="00C318F7"/>
    <w:rsid w:val="00C319D2"/>
    <w:rsid w:val="00C31F85"/>
    <w:rsid w:val="00C32534"/>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4BE4"/>
    <w:rsid w:val="00C457C1"/>
    <w:rsid w:val="00C46625"/>
    <w:rsid w:val="00C46870"/>
    <w:rsid w:val="00C47545"/>
    <w:rsid w:val="00C47593"/>
    <w:rsid w:val="00C47748"/>
    <w:rsid w:val="00C5044B"/>
    <w:rsid w:val="00C506BD"/>
    <w:rsid w:val="00C50E55"/>
    <w:rsid w:val="00C51426"/>
    <w:rsid w:val="00C51622"/>
    <w:rsid w:val="00C51FB3"/>
    <w:rsid w:val="00C5223C"/>
    <w:rsid w:val="00C52A35"/>
    <w:rsid w:val="00C53213"/>
    <w:rsid w:val="00C534EC"/>
    <w:rsid w:val="00C53917"/>
    <w:rsid w:val="00C541DE"/>
    <w:rsid w:val="00C54C11"/>
    <w:rsid w:val="00C54C67"/>
    <w:rsid w:val="00C54E65"/>
    <w:rsid w:val="00C54E9B"/>
    <w:rsid w:val="00C56324"/>
    <w:rsid w:val="00C5653B"/>
    <w:rsid w:val="00C565A3"/>
    <w:rsid w:val="00C577F7"/>
    <w:rsid w:val="00C60667"/>
    <w:rsid w:val="00C61AB9"/>
    <w:rsid w:val="00C61F84"/>
    <w:rsid w:val="00C62FF7"/>
    <w:rsid w:val="00C63135"/>
    <w:rsid w:val="00C637DC"/>
    <w:rsid w:val="00C63EE8"/>
    <w:rsid w:val="00C63F2B"/>
    <w:rsid w:val="00C6432E"/>
    <w:rsid w:val="00C65718"/>
    <w:rsid w:val="00C65C81"/>
    <w:rsid w:val="00C666DE"/>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906"/>
    <w:rsid w:val="00C76B7C"/>
    <w:rsid w:val="00C76CC7"/>
    <w:rsid w:val="00C76F81"/>
    <w:rsid w:val="00C776A4"/>
    <w:rsid w:val="00C77800"/>
    <w:rsid w:val="00C800DD"/>
    <w:rsid w:val="00C80920"/>
    <w:rsid w:val="00C80B03"/>
    <w:rsid w:val="00C8243F"/>
    <w:rsid w:val="00C8289B"/>
    <w:rsid w:val="00C82D54"/>
    <w:rsid w:val="00C82F3B"/>
    <w:rsid w:val="00C837C4"/>
    <w:rsid w:val="00C83829"/>
    <w:rsid w:val="00C83EDD"/>
    <w:rsid w:val="00C84BF1"/>
    <w:rsid w:val="00C84CA2"/>
    <w:rsid w:val="00C85A36"/>
    <w:rsid w:val="00C85CD1"/>
    <w:rsid w:val="00C86C56"/>
    <w:rsid w:val="00C8773E"/>
    <w:rsid w:val="00C87EDA"/>
    <w:rsid w:val="00C90601"/>
    <w:rsid w:val="00C90D16"/>
    <w:rsid w:val="00C9116A"/>
    <w:rsid w:val="00C9164A"/>
    <w:rsid w:val="00C9265D"/>
    <w:rsid w:val="00C92824"/>
    <w:rsid w:val="00C92974"/>
    <w:rsid w:val="00C937BA"/>
    <w:rsid w:val="00C949FC"/>
    <w:rsid w:val="00C960CF"/>
    <w:rsid w:val="00C96672"/>
    <w:rsid w:val="00C96678"/>
    <w:rsid w:val="00C96772"/>
    <w:rsid w:val="00C96CFA"/>
    <w:rsid w:val="00C96E5A"/>
    <w:rsid w:val="00C96EB5"/>
    <w:rsid w:val="00C97913"/>
    <w:rsid w:val="00C97FC3"/>
    <w:rsid w:val="00CA0257"/>
    <w:rsid w:val="00CA0917"/>
    <w:rsid w:val="00CA102B"/>
    <w:rsid w:val="00CA283D"/>
    <w:rsid w:val="00CA29D1"/>
    <w:rsid w:val="00CA2DD6"/>
    <w:rsid w:val="00CA3247"/>
    <w:rsid w:val="00CA3752"/>
    <w:rsid w:val="00CA3999"/>
    <w:rsid w:val="00CA39C0"/>
    <w:rsid w:val="00CA5AD3"/>
    <w:rsid w:val="00CA62DD"/>
    <w:rsid w:val="00CA69BA"/>
    <w:rsid w:val="00CA7DE6"/>
    <w:rsid w:val="00CB0339"/>
    <w:rsid w:val="00CB110E"/>
    <w:rsid w:val="00CB11F8"/>
    <w:rsid w:val="00CB1A28"/>
    <w:rsid w:val="00CB225B"/>
    <w:rsid w:val="00CB2EF5"/>
    <w:rsid w:val="00CB33E4"/>
    <w:rsid w:val="00CB4230"/>
    <w:rsid w:val="00CB431B"/>
    <w:rsid w:val="00CB4A77"/>
    <w:rsid w:val="00CB4EA5"/>
    <w:rsid w:val="00CB557F"/>
    <w:rsid w:val="00CB592B"/>
    <w:rsid w:val="00CB5C5F"/>
    <w:rsid w:val="00CB5DE2"/>
    <w:rsid w:val="00CB600E"/>
    <w:rsid w:val="00CB65B8"/>
    <w:rsid w:val="00CB6CDF"/>
    <w:rsid w:val="00CB7264"/>
    <w:rsid w:val="00CB730F"/>
    <w:rsid w:val="00CB761C"/>
    <w:rsid w:val="00CB76B5"/>
    <w:rsid w:val="00CB7AD6"/>
    <w:rsid w:val="00CC0495"/>
    <w:rsid w:val="00CC110F"/>
    <w:rsid w:val="00CC11B8"/>
    <w:rsid w:val="00CC1AF9"/>
    <w:rsid w:val="00CC20E0"/>
    <w:rsid w:val="00CC2818"/>
    <w:rsid w:val="00CC2F7A"/>
    <w:rsid w:val="00CC3A70"/>
    <w:rsid w:val="00CC4033"/>
    <w:rsid w:val="00CC40B8"/>
    <w:rsid w:val="00CC5444"/>
    <w:rsid w:val="00CC5631"/>
    <w:rsid w:val="00CC62A6"/>
    <w:rsid w:val="00CC676C"/>
    <w:rsid w:val="00CC7A11"/>
    <w:rsid w:val="00CD04A8"/>
    <w:rsid w:val="00CD051B"/>
    <w:rsid w:val="00CD1DB1"/>
    <w:rsid w:val="00CD22B5"/>
    <w:rsid w:val="00CD22F4"/>
    <w:rsid w:val="00CD25E1"/>
    <w:rsid w:val="00CD367C"/>
    <w:rsid w:val="00CD454A"/>
    <w:rsid w:val="00CD4F54"/>
    <w:rsid w:val="00CD4FFE"/>
    <w:rsid w:val="00CD57FA"/>
    <w:rsid w:val="00CD5A6E"/>
    <w:rsid w:val="00CD711F"/>
    <w:rsid w:val="00CD74A7"/>
    <w:rsid w:val="00CD79B2"/>
    <w:rsid w:val="00CE157C"/>
    <w:rsid w:val="00CE1AF6"/>
    <w:rsid w:val="00CE2298"/>
    <w:rsid w:val="00CE3064"/>
    <w:rsid w:val="00CE39E4"/>
    <w:rsid w:val="00CE4282"/>
    <w:rsid w:val="00CE54E1"/>
    <w:rsid w:val="00CE55B6"/>
    <w:rsid w:val="00CE5856"/>
    <w:rsid w:val="00CE5BDE"/>
    <w:rsid w:val="00CE6A6D"/>
    <w:rsid w:val="00CE774C"/>
    <w:rsid w:val="00CF012E"/>
    <w:rsid w:val="00CF04D4"/>
    <w:rsid w:val="00CF0B4C"/>
    <w:rsid w:val="00CF1680"/>
    <w:rsid w:val="00CF1BD7"/>
    <w:rsid w:val="00CF21A5"/>
    <w:rsid w:val="00CF24AB"/>
    <w:rsid w:val="00CF2518"/>
    <w:rsid w:val="00CF2DDE"/>
    <w:rsid w:val="00CF344A"/>
    <w:rsid w:val="00CF39A0"/>
    <w:rsid w:val="00CF3D1C"/>
    <w:rsid w:val="00CF4713"/>
    <w:rsid w:val="00CF4B12"/>
    <w:rsid w:val="00CF58FE"/>
    <w:rsid w:val="00CF5EBE"/>
    <w:rsid w:val="00CF720B"/>
    <w:rsid w:val="00CF783B"/>
    <w:rsid w:val="00CF7D97"/>
    <w:rsid w:val="00CF7EEC"/>
    <w:rsid w:val="00D001C2"/>
    <w:rsid w:val="00D00779"/>
    <w:rsid w:val="00D009D8"/>
    <w:rsid w:val="00D012E1"/>
    <w:rsid w:val="00D01318"/>
    <w:rsid w:val="00D01665"/>
    <w:rsid w:val="00D01D1E"/>
    <w:rsid w:val="00D01DD6"/>
    <w:rsid w:val="00D02580"/>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C15"/>
    <w:rsid w:val="00D15CB3"/>
    <w:rsid w:val="00D15F51"/>
    <w:rsid w:val="00D16ED5"/>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27B1E"/>
    <w:rsid w:val="00D30718"/>
    <w:rsid w:val="00D30745"/>
    <w:rsid w:val="00D30C0C"/>
    <w:rsid w:val="00D322FB"/>
    <w:rsid w:val="00D32475"/>
    <w:rsid w:val="00D32EF4"/>
    <w:rsid w:val="00D33F81"/>
    <w:rsid w:val="00D34850"/>
    <w:rsid w:val="00D35060"/>
    <w:rsid w:val="00D369D4"/>
    <w:rsid w:val="00D36AD7"/>
    <w:rsid w:val="00D373E9"/>
    <w:rsid w:val="00D37C61"/>
    <w:rsid w:val="00D403FF"/>
    <w:rsid w:val="00D404C4"/>
    <w:rsid w:val="00D40C02"/>
    <w:rsid w:val="00D40CE9"/>
    <w:rsid w:val="00D42115"/>
    <w:rsid w:val="00D42EFD"/>
    <w:rsid w:val="00D457D1"/>
    <w:rsid w:val="00D458AA"/>
    <w:rsid w:val="00D46338"/>
    <w:rsid w:val="00D46BA2"/>
    <w:rsid w:val="00D471AF"/>
    <w:rsid w:val="00D47234"/>
    <w:rsid w:val="00D47281"/>
    <w:rsid w:val="00D47581"/>
    <w:rsid w:val="00D50295"/>
    <w:rsid w:val="00D5069A"/>
    <w:rsid w:val="00D50E43"/>
    <w:rsid w:val="00D51469"/>
    <w:rsid w:val="00D52386"/>
    <w:rsid w:val="00D52B45"/>
    <w:rsid w:val="00D530EB"/>
    <w:rsid w:val="00D53393"/>
    <w:rsid w:val="00D535B6"/>
    <w:rsid w:val="00D55235"/>
    <w:rsid w:val="00D55D78"/>
    <w:rsid w:val="00D56916"/>
    <w:rsid w:val="00D572B2"/>
    <w:rsid w:val="00D57F53"/>
    <w:rsid w:val="00D60CAB"/>
    <w:rsid w:val="00D610FD"/>
    <w:rsid w:val="00D612AF"/>
    <w:rsid w:val="00D619F3"/>
    <w:rsid w:val="00D62A5B"/>
    <w:rsid w:val="00D62B43"/>
    <w:rsid w:val="00D62ECD"/>
    <w:rsid w:val="00D63748"/>
    <w:rsid w:val="00D639F0"/>
    <w:rsid w:val="00D63C1B"/>
    <w:rsid w:val="00D63D76"/>
    <w:rsid w:val="00D64BFF"/>
    <w:rsid w:val="00D64DE1"/>
    <w:rsid w:val="00D64E3F"/>
    <w:rsid w:val="00D653D0"/>
    <w:rsid w:val="00D6692A"/>
    <w:rsid w:val="00D66E55"/>
    <w:rsid w:val="00D674E9"/>
    <w:rsid w:val="00D6799A"/>
    <w:rsid w:val="00D7009C"/>
    <w:rsid w:val="00D70F17"/>
    <w:rsid w:val="00D712DA"/>
    <w:rsid w:val="00D7186C"/>
    <w:rsid w:val="00D719EF"/>
    <w:rsid w:val="00D72327"/>
    <w:rsid w:val="00D727E0"/>
    <w:rsid w:val="00D72B87"/>
    <w:rsid w:val="00D72C72"/>
    <w:rsid w:val="00D74160"/>
    <w:rsid w:val="00D75786"/>
    <w:rsid w:val="00D75D22"/>
    <w:rsid w:val="00D75DA5"/>
    <w:rsid w:val="00D76C58"/>
    <w:rsid w:val="00D76CF2"/>
    <w:rsid w:val="00D76E7C"/>
    <w:rsid w:val="00D80B40"/>
    <w:rsid w:val="00D8155B"/>
    <w:rsid w:val="00D816D5"/>
    <w:rsid w:val="00D81E79"/>
    <w:rsid w:val="00D81FEA"/>
    <w:rsid w:val="00D825A5"/>
    <w:rsid w:val="00D825B7"/>
    <w:rsid w:val="00D8290E"/>
    <w:rsid w:val="00D82AD1"/>
    <w:rsid w:val="00D82E6E"/>
    <w:rsid w:val="00D83040"/>
    <w:rsid w:val="00D8323B"/>
    <w:rsid w:val="00D83489"/>
    <w:rsid w:val="00D83D13"/>
    <w:rsid w:val="00D841AC"/>
    <w:rsid w:val="00D8589D"/>
    <w:rsid w:val="00D85A81"/>
    <w:rsid w:val="00D86466"/>
    <w:rsid w:val="00D86997"/>
    <w:rsid w:val="00D86EAD"/>
    <w:rsid w:val="00D870E8"/>
    <w:rsid w:val="00D87423"/>
    <w:rsid w:val="00D87452"/>
    <w:rsid w:val="00D87485"/>
    <w:rsid w:val="00D907CB"/>
    <w:rsid w:val="00D91BF2"/>
    <w:rsid w:val="00D9332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1A06"/>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F13"/>
    <w:rsid w:val="00DB5F2A"/>
    <w:rsid w:val="00DB6A2B"/>
    <w:rsid w:val="00DB6F45"/>
    <w:rsid w:val="00DB72B7"/>
    <w:rsid w:val="00DB7546"/>
    <w:rsid w:val="00DB782D"/>
    <w:rsid w:val="00DC0624"/>
    <w:rsid w:val="00DC0FC3"/>
    <w:rsid w:val="00DC1A58"/>
    <w:rsid w:val="00DC1AC0"/>
    <w:rsid w:val="00DC1CDD"/>
    <w:rsid w:val="00DC1D8E"/>
    <w:rsid w:val="00DC20C3"/>
    <w:rsid w:val="00DC227A"/>
    <w:rsid w:val="00DC2360"/>
    <w:rsid w:val="00DC26E4"/>
    <w:rsid w:val="00DC2BAE"/>
    <w:rsid w:val="00DC2CEE"/>
    <w:rsid w:val="00DC3257"/>
    <w:rsid w:val="00DC3279"/>
    <w:rsid w:val="00DC3BF1"/>
    <w:rsid w:val="00DC3CFC"/>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1D31"/>
    <w:rsid w:val="00DD2893"/>
    <w:rsid w:val="00DD400B"/>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F8"/>
    <w:rsid w:val="00DE4B9D"/>
    <w:rsid w:val="00DE50EA"/>
    <w:rsid w:val="00DE521B"/>
    <w:rsid w:val="00DE545C"/>
    <w:rsid w:val="00DE5C9F"/>
    <w:rsid w:val="00DE734E"/>
    <w:rsid w:val="00DE7887"/>
    <w:rsid w:val="00DE7BF8"/>
    <w:rsid w:val="00DF0826"/>
    <w:rsid w:val="00DF0DC3"/>
    <w:rsid w:val="00DF14F9"/>
    <w:rsid w:val="00DF1C2D"/>
    <w:rsid w:val="00DF1EE9"/>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1024A"/>
    <w:rsid w:val="00E10B17"/>
    <w:rsid w:val="00E10B67"/>
    <w:rsid w:val="00E12742"/>
    <w:rsid w:val="00E12AB9"/>
    <w:rsid w:val="00E12B67"/>
    <w:rsid w:val="00E141D3"/>
    <w:rsid w:val="00E14941"/>
    <w:rsid w:val="00E14F2F"/>
    <w:rsid w:val="00E1526B"/>
    <w:rsid w:val="00E1534B"/>
    <w:rsid w:val="00E15408"/>
    <w:rsid w:val="00E15743"/>
    <w:rsid w:val="00E15C52"/>
    <w:rsid w:val="00E15EDA"/>
    <w:rsid w:val="00E15F0B"/>
    <w:rsid w:val="00E160E8"/>
    <w:rsid w:val="00E16199"/>
    <w:rsid w:val="00E16311"/>
    <w:rsid w:val="00E1702C"/>
    <w:rsid w:val="00E202AE"/>
    <w:rsid w:val="00E20CC5"/>
    <w:rsid w:val="00E21ACA"/>
    <w:rsid w:val="00E22A11"/>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6EE"/>
    <w:rsid w:val="00E2792D"/>
    <w:rsid w:val="00E30828"/>
    <w:rsid w:val="00E30B37"/>
    <w:rsid w:val="00E3109C"/>
    <w:rsid w:val="00E311D1"/>
    <w:rsid w:val="00E31C2D"/>
    <w:rsid w:val="00E32432"/>
    <w:rsid w:val="00E33B1E"/>
    <w:rsid w:val="00E34277"/>
    <w:rsid w:val="00E3621B"/>
    <w:rsid w:val="00E36F43"/>
    <w:rsid w:val="00E37F0C"/>
    <w:rsid w:val="00E40ADF"/>
    <w:rsid w:val="00E418E3"/>
    <w:rsid w:val="00E423DE"/>
    <w:rsid w:val="00E425C8"/>
    <w:rsid w:val="00E42F07"/>
    <w:rsid w:val="00E4370F"/>
    <w:rsid w:val="00E4441D"/>
    <w:rsid w:val="00E453AB"/>
    <w:rsid w:val="00E45BE8"/>
    <w:rsid w:val="00E462E6"/>
    <w:rsid w:val="00E463A0"/>
    <w:rsid w:val="00E47839"/>
    <w:rsid w:val="00E51CDE"/>
    <w:rsid w:val="00E5210B"/>
    <w:rsid w:val="00E53631"/>
    <w:rsid w:val="00E5388F"/>
    <w:rsid w:val="00E54239"/>
    <w:rsid w:val="00E54272"/>
    <w:rsid w:val="00E542BC"/>
    <w:rsid w:val="00E5437A"/>
    <w:rsid w:val="00E54521"/>
    <w:rsid w:val="00E54617"/>
    <w:rsid w:val="00E547B0"/>
    <w:rsid w:val="00E5484B"/>
    <w:rsid w:val="00E56023"/>
    <w:rsid w:val="00E56D6E"/>
    <w:rsid w:val="00E56FEF"/>
    <w:rsid w:val="00E577F9"/>
    <w:rsid w:val="00E57FB5"/>
    <w:rsid w:val="00E60F14"/>
    <w:rsid w:val="00E61B23"/>
    <w:rsid w:val="00E625BE"/>
    <w:rsid w:val="00E6284B"/>
    <w:rsid w:val="00E62D07"/>
    <w:rsid w:val="00E62DF6"/>
    <w:rsid w:val="00E63A22"/>
    <w:rsid w:val="00E63B8F"/>
    <w:rsid w:val="00E646B5"/>
    <w:rsid w:val="00E65427"/>
    <w:rsid w:val="00E6543F"/>
    <w:rsid w:val="00E661C0"/>
    <w:rsid w:val="00E663F5"/>
    <w:rsid w:val="00E66E97"/>
    <w:rsid w:val="00E708D8"/>
    <w:rsid w:val="00E70BD6"/>
    <w:rsid w:val="00E71305"/>
    <w:rsid w:val="00E72383"/>
    <w:rsid w:val="00E724D2"/>
    <w:rsid w:val="00E72D9F"/>
    <w:rsid w:val="00E73C41"/>
    <w:rsid w:val="00E74933"/>
    <w:rsid w:val="00E74EDC"/>
    <w:rsid w:val="00E75737"/>
    <w:rsid w:val="00E75875"/>
    <w:rsid w:val="00E75886"/>
    <w:rsid w:val="00E75D6E"/>
    <w:rsid w:val="00E76007"/>
    <w:rsid w:val="00E76181"/>
    <w:rsid w:val="00E765B8"/>
    <w:rsid w:val="00E770F2"/>
    <w:rsid w:val="00E77EAC"/>
    <w:rsid w:val="00E81069"/>
    <w:rsid w:val="00E817AD"/>
    <w:rsid w:val="00E817EF"/>
    <w:rsid w:val="00E8184F"/>
    <w:rsid w:val="00E828D5"/>
    <w:rsid w:val="00E82D81"/>
    <w:rsid w:val="00E83259"/>
    <w:rsid w:val="00E839BE"/>
    <w:rsid w:val="00E83CAC"/>
    <w:rsid w:val="00E84C89"/>
    <w:rsid w:val="00E85E56"/>
    <w:rsid w:val="00E860DD"/>
    <w:rsid w:val="00E8713D"/>
    <w:rsid w:val="00E90329"/>
    <w:rsid w:val="00E910D5"/>
    <w:rsid w:val="00E922C4"/>
    <w:rsid w:val="00E93361"/>
    <w:rsid w:val="00E943AE"/>
    <w:rsid w:val="00E947B0"/>
    <w:rsid w:val="00E95D82"/>
    <w:rsid w:val="00E95F21"/>
    <w:rsid w:val="00E96273"/>
    <w:rsid w:val="00E964A5"/>
    <w:rsid w:val="00E96E97"/>
    <w:rsid w:val="00E975EF"/>
    <w:rsid w:val="00E97D49"/>
    <w:rsid w:val="00EA0251"/>
    <w:rsid w:val="00EA1065"/>
    <w:rsid w:val="00EA118F"/>
    <w:rsid w:val="00EA1434"/>
    <w:rsid w:val="00EA1F33"/>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31A3"/>
    <w:rsid w:val="00EB325B"/>
    <w:rsid w:val="00EB3E22"/>
    <w:rsid w:val="00EB693B"/>
    <w:rsid w:val="00EB6E82"/>
    <w:rsid w:val="00EB7BA9"/>
    <w:rsid w:val="00EB7D75"/>
    <w:rsid w:val="00EC0B20"/>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4206"/>
    <w:rsid w:val="00ED58A2"/>
    <w:rsid w:val="00ED58C3"/>
    <w:rsid w:val="00ED5C71"/>
    <w:rsid w:val="00ED5EEE"/>
    <w:rsid w:val="00ED667C"/>
    <w:rsid w:val="00ED74DB"/>
    <w:rsid w:val="00ED7966"/>
    <w:rsid w:val="00EE01CC"/>
    <w:rsid w:val="00EE0495"/>
    <w:rsid w:val="00EE04EE"/>
    <w:rsid w:val="00EE0BAE"/>
    <w:rsid w:val="00EE1760"/>
    <w:rsid w:val="00EE287D"/>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E3"/>
    <w:rsid w:val="00F03FF2"/>
    <w:rsid w:val="00F04F9E"/>
    <w:rsid w:val="00F06A47"/>
    <w:rsid w:val="00F06E0B"/>
    <w:rsid w:val="00F0717F"/>
    <w:rsid w:val="00F0747A"/>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3A7"/>
    <w:rsid w:val="00F2480A"/>
    <w:rsid w:val="00F24891"/>
    <w:rsid w:val="00F24B9F"/>
    <w:rsid w:val="00F24CA6"/>
    <w:rsid w:val="00F256AE"/>
    <w:rsid w:val="00F25773"/>
    <w:rsid w:val="00F257FA"/>
    <w:rsid w:val="00F26004"/>
    <w:rsid w:val="00F270E8"/>
    <w:rsid w:val="00F27E5C"/>
    <w:rsid w:val="00F27EF5"/>
    <w:rsid w:val="00F27FDB"/>
    <w:rsid w:val="00F30251"/>
    <w:rsid w:val="00F305CC"/>
    <w:rsid w:val="00F3179A"/>
    <w:rsid w:val="00F31D54"/>
    <w:rsid w:val="00F32357"/>
    <w:rsid w:val="00F32C70"/>
    <w:rsid w:val="00F34E02"/>
    <w:rsid w:val="00F3549E"/>
    <w:rsid w:val="00F365A7"/>
    <w:rsid w:val="00F3681C"/>
    <w:rsid w:val="00F3769D"/>
    <w:rsid w:val="00F404F4"/>
    <w:rsid w:val="00F4053E"/>
    <w:rsid w:val="00F4143E"/>
    <w:rsid w:val="00F41CC5"/>
    <w:rsid w:val="00F41D25"/>
    <w:rsid w:val="00F42307"/>
    <w:rsid w:val="00F423C2"/>
    <w:rsid w:val="00F433F8"/>
    <w:rsid w:val="00F433FE"/>
    <w:rsid w:val="00F435CE"/>
    <w:rsid w:val="00F43627"/>
    <w:rsid w:val="00F43781"/>
    <w:rsid w:val="00F4463C"/>
    <w:rsid w:val="00F473A5"/>
    <w:rsid w:val="00F473F3"/>
    <w:rsid w:val="00F474B8"/>
    <w:rsid w:val="00F478CA"/>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736B"/>
    <w:rsid w:val="00F57880"/>
    <w:rsid w:val="00F608AB"/>
    <w:rsid w:val="00F60BE7"/>
    <w:rsid w:val="00F6159C"/>
    <w:rsid w:val="00F61714"/>
    <w:rsid w:val="00F6238F"/>
    <w:rsid w:val="00F63E59"/>
    <w:rsid w:val="00F64A51"/>
    <w:rsid w:val="00F64BE0"/>
    <w:rsid w:val="00F65B68"/>
    <w:rsid w:val="00F67273"/>
    <w:rsid w:val="00F67846"/>
    <w:rsid w:val="00F67B42"/>
    <w:rsid w:val="00F70B72"/>
    <w:rsid w:val="00F70DEF"/>
    <w:rsid w:val="00F70EA3"/>
    <w:rsid w:val="00F71398"/>
    <w:rsid w:val="00F7294C"/>
    <w:rsid w:val="00F72C5F"/>
    <w:rsid w:val="00F73549"/>
    <w:rsid w:val="00F75782"/>
    <w:rsid w:val="00F80C1D"/>
    <w:rsid w:val="00F81130"/>
    <w:rsid w:val="00F818F7"/>
    <w:rsid w:val="00F81C5F"/>
    <w:rsid w:val="00F8325D"/>
    <w:rsid w:val="00F832A9"/>
    <w:rsid w:val="00F832B0"/>
    <w:rsid w:val="00F83307"/>
    <w:rsid w:val="00F833A5"/>
    <w:rsid w:val="00F844D3"/>
    <w:rsid w:val="00F84629"/>
    <w:rsid w:val="00F84B71"/>
    <w:rsid w:val="00F84F0E"/>
    <w:rsid w:val="00F8519E"/>
    <w:rsid w:val="00F85FF5"/>
    <w:rsid w:val="00F86BB4"/>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6980"/>
    <w:rsid w:val="00FA6CDF"/>
    <w:rsid w:val="00FA7192"/>
    <w:rsid w:val="00FA7699"/>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382"/>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D035A"/>
    <w:rsid w:val="00FD19F1"/>
    <w:rsid w:val="00FD1A7E"/>
    <w:rsid w:val="00FD2CC3"/>
    <w:rsid w:val="00FD31BF"/>
    <w:rsid w:val="00FD3CC7"/>
    <w:rsid w:val="00FD4148"/>
    <w:rsid w:val="00FD4D5B"/>
    <w:rsid w:val="00FD6453"/>
    <w:rsid w:val="00FD67FD"/>
    <w:rsid w:val="00FD7CB2"/>
    <w:rsid w:val="00FD7D46"/>
    <w:rsid w:val="00FD7D8B"/>
    <w:rsid w:val="00FE0491"/>
    <w:rsid w:val="00FE0AF2"/>
    <w:rsid w:val="00FE1C47"/>
    <w:rsid w:val="00FE22DD"/>
    <w:rsid w:val="00FE2CFB"/>
    <w:rsid w:val="00FE4A60"/>
    <w:rsid w:val="00FE54E0"/>
    <w:rsid w:val="00FE55F0"/>
    <w:rsid w:val="00FE6331"/>
    <w:rsid w:val="00FE685B"/>
    <w:rsid w:val="00FE6C12"/>
    <w:rsid w:val="00FE7894"/>
    <w:rsid w:val="00FF01FA"/>
    <w:rsid w:val="00FF21B5"/>
    <w:rsid w:val="00FF21C3"/>
    <w:rsid w:val="00FF2A11"/>
    <w:rsid w:val="00FF2AA0"/>
    <w:rsid w:val="00FF3F6C"/>
    <w:rsid w:val="00FF4603"/>
    <w:rsid w:val="00FF4AA5"/>
    <w:rsid w:val="00FF4B07"/>
    <w:rsid w:val="00FF4BFC"/>
    <w:rsid w:val="00FF4C11"/>
    <w:rsid w:val="00FF56B9"/>
    <w:rsid w:val="00FF57E8"/>
    <w:rsid w:val="00FF58C0"/>
    <w:rsid w:val="00FF5948"/>
    <w:rsid w:val="00FF6B71"/>
    <w:rsid w:val="00FF6EDF"/>
    <w:rsid w:val="00FF6EEA"/>
    <w:rsid w:val="00FF77DF"/>
    <w:rsid w:val="00FF7ABB"/>
    <w:rsid w:val="00FF7B99"/>
    <w:rsid w:val="09A04EFE"/>
    <w:rsid w:val="0A21F919"/>
    <w:rsid w:val="0B55D519"/>
    <w:rsid w:val="1435C53C"/>
    <w:rsid w:val="1E1BE291"/>
    <w:rsid w:val="2EBEB9B2"/>
    <w:rsid w:val="706A803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3DD7"/>
  <w14:defaultImageDpi w14:val="330"/>
  <w15:docId w15:val="{BCEB3554-6618-4FCE-B907-5CE2B3DD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555EF"/>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585FD0"/>
    <w:pPr>
      <w:keepNext/>
      <w:tabs>
        <w:tab w:val="left" w:pos="851"/>
      </w:tabs>
      <w:spacing w:before="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D7186C"/>
    <w:pPr>
      <w:keepNext/>
      <w:tabs>
        <w:tab w:val="left" w:pos="851"/>
      </w:tabs>
      <w:spacing w:before="360" w:after="0" w:line="440" w:lineRule="exac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9A2A8A"/>
    <w:pPr>
      <w:keepNext/>
      <w:tabs>
        <w:tab w:val="left" w:pos="851"/>
      </w:tabs>
      <w:spacing w:before="360" w:after="0" w:line="360" w:lineRule="exac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9F1D7F"/>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FD0"/>
    <w:rPr>
      <w:rFonts w:ascii="Georgia" w:eastAsiaTheme="majorEastAsia" w:hAnsi="Georgia" w:cstheme="majorBidi"/>
      <w:b/>
      <w:bCs/>
      <w:color w:val="1B556B"/>
      <w:sz w:val="48"/>
      <w:szCs w:val="28"/>
      <w:lang w:eastAsia="en-NZ"/>
    </w:rPr>
  </w:style>
  <w:style w:type="character" w:customStyle="1" w:styleId="Heading2Char">
    <w:name w:val="Heading 2 Char"/>
    <w:basedOn w:val="DefaultParagraphFont"/>
    <w:link w:val="Heading2"/>
    <w:rsid w:val="00D7186C"/>
    <w:rPr>
      <w:rFonts w:ascii="Georgia" w:eastAsiaTheme="majorEastAsia" w:hAnsi="Georgia" w:cstheme="majorBidi"/>
      <w:b/>
      <w:bCs/>
      <w:color w:val="1B556B"/>
      <w:sz w:val="36"/>
      <w:szCs w:val="26"/>
      <w:lang w:eastAsia="en-NZ"/>
    </w:rPr>
  </w:style>
  <w:style w:type="character" w:customStyle="1" w:styleId="Heading3Char">
    <w:name w:val="Heading 3 Char"/>
    <w:basedOn w:val="DefaultParagraphFont"/>
    <w:link w:val="Heading3"/>
    <w:rsid w:val="009A2A8A"/>
    <w:rPr>
      <w:rFonts w:ascii="Georgia" w:eastAsiaTheme="majorEastAsia" w:hAnsi="Georgia" w:cstheme="majorBidi"/>
      <w:b/>
      <w:bCs/>
      <w:sz w:val="28"/>
      <w:lang w:eastAsia="en-NZ"/>
    </w:rPr>
  </w:style>
  <w:style w:type="character" w:customStyle="1" w:styleId="Heading4Char">
    <w:name w:val="Heading 4 Char"/>
    <w:basedOn w:val="DefaultParagraphFont"/>
    <w:link w:val="Heading4"/>
    <w:rsid w:val="009F1D7F"/>
    <w:rPr>
      <w:rFonts w:ascii="Georgia" w:eastAsiaTheme="majorEastAsia" w:hAnsi="Georgia" w:cstheme="majorBidi"/>
      <w:b/>
      <w:bCs/>
      <w:sz w:val="24"/>
      <w:lang w:eastAsia="en-NZ"/>
    </w:rPr>
  </w:style>
  <w:style w:type="character" w:customStyle="1" w:styleId="Heading5Char">
    <w:name w:val="Heading 5 Char"/>
    <w:basedOn w:val="DefaultParagraphFont"/>
    <w:link w:val="Heading5"/>
    <w:rsid w:val="008B68EC"/>
    <w:rPr>
      <w:rFonts w:ascii="Calibri" w:eastAsiaTheme="majorEastAsia" w:hAnsi="Calibri" w:cstheme="majorBidi"/>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basedOn w:val="DefaultParagraphFont"/>
    <w:link w:val="BodyText"/>
    <w:rsid w:val="00EA64B4"/>
    <w:rPr>
      <w:rFonts w:ascii="Calibri" w:eastAsiaTheme="minorEastAsia" w:hAnsi="Calibri"/>
      <w:lang w:eastAsia="en-NZ"/>
    </w:rPr>
  </w:style>
  <w:style w:type="table" w:styleId="TableGrid">
    <w:name w:val="Table Grid"/>
    <w:basedOn w:val="TableNormal"/>
    <w:uiPriority w:val="5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basedOn w:val="DefaultParagraphFont"/>
    <w:link w:val="Header"/>
    <w:semiHidden/>
    <w:rsid w:val="00F03FF2"/>
    <w:rPr>
      <w:rFonts w:ascii="Arial" w:eastAsiaTheme="minorEastAsia"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basedOn w:val="DefaultParagraphFont"/>
    <w:link w:val="Quote"/>
    <w:uiPriority w:val="1"/>
    <w:rsid w:val="00684D9B"/>
    <w:rPr>
      <w:rFonts w:ascii="Calibri" w:eastAsiaTheme="minorEastAsia" w:hAnsi="Calibri"/>
      <w:sz w:val="20"/>
      <w:lang w:eastAsia="en-NZ"/>
    </w:rPr>
  </w:style>
  <w:style w:type="paragraph" w:customStyle="1" w:styleId="Bullet">
    <w:name w:val="Bullet"/>
    <w:basedOn w:val="Normal"/>
    <w:link w:val="BulletChar"/>
    <w:qFormat/>
    <w:rsid w:val="000A109B"/>
    <w:pPr>
      <w:numPr>
        <w:numId w:val="34"/>
      </w:numPr>
      <w:tabs>
        <w:tab w:val="left" w:pos="397"/>
      </w:tabs>
      <w:spacing w:before="0"/>
      <w:jc w:val="left"/>
    </w:pPr>
    <w:rPr>
      <w:rFonts w:eastAsia="Times New Roman" w:cs="Times New Roman"/>
      <w:szCs w:val="20"/>
    </w:rPr>
  </w:style>
  <w:style w:type="paragraph" w:customStyle="1" w:styleId="Heading">
    <w:name w:val="Heading"/>
    <w:basedOn w:val="Heading1"/>
    <w:next w:val="Normal"/>
    <w:uiPriority w:val="3"/>
    <w:rsid w:val="00F06E0B"/>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basedOn w:val="DefaultParagraphFont"/>
    <w:link w:val="Footer"/>
    <w:semiHidden/>
    <w:rsid w:val="00F03FF2"/>
    <w:rPr>
      <w:rFonts w:ascii="Calibri" w:eastAsiaTheme="minorEastAsia"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qFormat/>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4A3CC2"/>
    <w:pPr>
      <w:spacing w:line="360" w:lineRule="auto"/>
      <w:jc w:val="center"/>
    </w:pPr>
    <w:rPr>
      <w:rFonts w:ascii="Georgia" w:hAnsi="Georgia"/>
      <w:b/>
      <w:color w:val="1B556B"/>
      <w:sz w:val="56"/>
    </w:rPr>
  </w:style>
  <w:style w:type="character" w:customStyle="1" w:styleId="TitleChar">
    <w:name w:val="Title Char"/>
    <w:basedOn w:val="DefaultParagraphFont"/>
    <w:link w:val="Title"/>
    <w:uiPriority w:val="2"/>
    <w:rsid w:val="004A3CC2"/>
    <w:rPr>
      <w:rFonts w:ascii="Georgia" w:eastAsiaTheme="minorEastAsia" w:hAnsi="Georgia"/>
      <w:b/>
      <w:color w:val="1B556B"/>
      <w:sz w:val="56"/>
      <w:lang w:eastAsia="en-NZ"/>
    </w:rPr>
  </w:style>
  <w:style w:type="paragraph" w:styleId="Subtitle">
    <w:name w:val="Subtitle"/>
    <w:basedOn w:val="Title"/>
    <w:link w:val="SubtitleChar"/>
    <w:uiPriority w:val="2"/>
    <w:rsid w:val="004A3CC2"/>
    <w:pPr>
      <w:spacing w:before="600" w:line="240" w:lineRule="auto"/>
    </w:pPr>
    <w:rPr>
      <w:sz w:val="36"/>
      <w:szCs w:val="36"/>
    </w:rPr>
  </w:style>
  <w:style w:type="character" w:customStyle="1" w:styleId="SubtitleChar">
    <w:name w:val="Subtitle Char"/>
    <w:basedOn w:val="DefaultParagraphFont"/>
    <w:link w:val="Subtitle"/>
    <w:uiPriority w:val="2"/>
    <w:rsid w:val="004A3CC2"/>
    <w:rPr>
      <w:rFonts w:ascii="Georgia" w:eastAsiaTheme="minorEastAsia" w:hAnsi="Georgia"/>
      <w:b/>
      <w:color w:val="1B556B"/>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2"/>
    <w:rsid w:val="00EA64B4"/>
    <w:pPr>
      <w:tabs>
        <w:tab w:val="right" w:pos="7938"/>
        <w:tab w:val="right" w:pos="8505"/>
      </w:tabs>
      <w:jc w:val="left"/>
    </w:pPr>
    <w:rPr>
      <w:sz w:val="16"/>
    </w:rPr>
  </w:style>
  <w:style w:type="paragraph" w:customStyle="1" w:styleId="Footereven">
    <w:name w:val="Footer even"/>
    <w:basedOn w:val="Normal"/>
    <w:uiPriority w:val="2"/>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single" w:sz="8" w:space="0" w:color="52A8C7" w:themeColor="accent2" w:themeTint="BF"/>
      </w:tblBorders>
    </w:tblPr>
    <w:tblStylePr w:type="firstRow">
      <w:pPr>
        <w:spacing w:before="0" w:after="0" w:line="240" w:lineRule="auto"/>
      </w:pPr>
      <w:rPr>
        <w:b/>
        <w:bCs/>
        <w:color w:val="FFFFFF" w:themeColor="background1"/>
      </w:rPr>
      <w:tblPr/>
      <w:tcPr>
        <w:tc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shd w:val="clear" w:color="auto" w:fill="32809C" w:themeFill="accent2"/>
      </w:tcPr>
    </w:tblStylePr>
    <w:tblStylePr w:type="lastRow">
      <w:pPr>
        <w:spacing w:before="0" w:after="0" w:line="240" w:lineRule="auto"/>
      </w:pPr>
      <w:rPr>
        <w:b/>
        <w:bCs/>
      </w:rPr>
      <w:tblPr/>
      <w:tcPr>
        <w:tcBorders>
          <w:top w:val="double" w:sz="6"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2EC" w:themeFill="accent2" w:themeFillTint="3F"/>
      </w:tcPr>
    </w:tblStylePr>
    <w:tblStylePr w:type="band1Horz">
      <w:tblPr/>
      <w:tcPr>
        <w:tcBorders>
          <w:insideH w:val="nil"/>
          <w:insideV w:val="nil"/>
        </w:tcBorders>
        <w:shd w:val="clear" w:color="auto" w:fill="C5E2EC"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Normal"/>
    <w:semiHidden/>
    <w:rsid w:val="008B5E54"/>
    <w:pPr>
      <w:pBdr>
        <w:top w:val="single" w:sz="6" w:space="15" w:color="auto"/>
        <w:left w:val="single" w:sz="6" w:space="15" w:color="auto"/>
        <w:bottom w:val="single" w:sz="6" w:space="15" w:color="auto"/>
        <w:right w:val="single" w:sz="6" w:space="15" w:color="auto"/>
      </w:pBdr>
      <w:tabs>
        <w:tab w:val="num" w:pos="851"/>
      </w:tabs>
      <w:spacing w:after="0" w:line="240" w:lineRule="auto"/>
      <w:ind w:left="851" w:right="284" w:hanging="567"/>
      <w:jc w:val="left"/>
    </w:pPr>
    <w:rPr>
      <w:rFonts w:ascii="Arial" w:eastAsia="Times New Roman" w:hAnsi="Arial" w:cs="Times New Roman"/>
      <w:sz w:val="20"/>
      <w:szCs w:val="20"/>
      <w:lang w:eastAsia="en-GB"/>
    </w:rPr>
  </w:style>
  <w:style w:type="paragraph" w:customStyle="1" w:styleId="BoxHeading">
    <w:name w:val="BoxHeading"/>
    <w:basedOn w:val="Normal"/>
    <w:next w:val="Normal"/>
    <w:semiHidden/>
    <w:rsid w:val="008B5E54"/>
    <w:pPr>
      <w:pBdr>
        <w:top w:val="single" w:sz="6" w:space="15" w:color="auto"/>
        <w:left w:val="single" w:sz="6" w:space="15" w:color="auto"/>
        <w:bottom w:val="single" w:sz="6" w:space="15" w:color="auto"/>
        <w:right w:val="single" w:sz="6" w:space="15" w:color="auto"/>
      </w:pBdr>
      <w:spacing w:before="0" w:after="240" w:line="240" w:lineRule="auto"/>
      <w:ind w:left="284" w:right="284"/>
    </w:pPr>
    <w:rPr>
      <w:rFonts w:ascii="Arial" w:eastAsia="Times New Roman" w:hAnsi="Arial" w:cs="Times New Roman"/>
      <w:b/>
      <w:szCs w:val="20"/>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locked/>
    <w:rsid w:val="000A109B"/>
    <w:rPr>
      <w:rFonts w:ascii="Calibri" w:eastAsia="Times New Roman" w:hAnsi="Calibri" w:cs="Times New Roman"/>
      <w:szCs w:val="20"/>
      <w:lang w:eastAsia="en-NZ"/>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5EBE8" w:themeColor="accent3"/>
        <w:left w:val="single" w:sz="8" w:space="0" w:color="D5EBE8" w:themeColor="accent3"/>
        <w:bottom w:val="single" w:sz="8" w:space="0" w:color="D5EBE8" w:themeColor="accent3"/>
        <w:right w:val="single" w:sz="8" w:space="0" w:color="D5EBE8" w:themeColor="accent3"/>
      </w:tblBorders>
    </w:tblPr>
    <w:tblStylePr w:type="firstRow">
      <w:pPr>
        <w:spacing w:before="0" w:after="0" w:line="240" w:lineRule="auto"/>
      </w:pPr>
      <w:rPr>
        <w:b/>
        <w:bCs/>
        <w:color w:val="FFFFFF" w:themeColor="background1"/>
      </w:rPr>
      <w:tblPr/>
      <w:tcPr>
        <w:shd w:val="clear" w:color="auto" w:fill="D5EBE8" w:themeFill="accent3"/>
      </w:tcPr>
    </w:tblStylePr>
    <w:tblStylePr w:type="lastRow">
      <w:pPr>
        <w:spacing w:before="0" w:after="0" w:line="240" w:lineRule="auto"/>
      </w:pPr>
      <w:rPr>
        <w:b/>
        <w:bCs/>
      </w:rPr>
      <w:tblPr/>
      <w:tcPr>
        <w:tcBorders>
          <w:top w:val="double" w:sz="6" w:space="0" w:color="D5EBE8" w:themeColor="accent3"/>
          <w:left w:val="single" w:sz="8" w:space="0" w:color="D5EBE8" w:themeColor="accent3"/>
          <w:bottom w:val="single" w:sz="8" w:space="0" w:color="D5EBE8" w:themeColor="accent3"/>
          <w:right w:val="single" w:sz="8" w:space="0" w:color="D5EBE8" w:themeColor="accent3"/>
        </w:tcBorders>
      </w:tcPr>
    </w:tblStylePr>
    <w:tblStylePr w:type="firstCol">
      <w:rPr>
        <w:b/>
        <w:bCs/>
      </w:rPr>
    </w:tblStylePr>
    <w:tblStylePr w:type="lastCol">
      <w:rPr>
        <w:b/>
        <w:bCs/>
      </w:rPr>
    </w:tblStylePr>
    <w:tblStylePr w:type="band1Vert">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tblStylePr w:type="band1Horz">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9F1D7F"/>
    <w:pPr>
      <w:keepNext/>
      <w:spacing w:before="240" w:after="0"/>
    </w:pPr>
    <w:rPr>
      <w:rFonts w:eastAsia="Times New Roman"/>
      <w:b/>
      <w:color w:val="1B556B"/>
      <w:sz w:val="22"/>
    </w:rPr>
  </w:style>
  <w:style w:type="numbering" w:customStyle="1" w:styleId="Style3">
    <w:name w:val="Style3"/>
    <w:uiPriority w:val="99"/>
    <w:rsid w:val="008B5A2D"/>
    <w:pPr>
      <w:numPr>
        <w:numId w:val="33"/>
      </w:numPr>
    </w:pPr>
  </w:style>
  <w:style w:type="paragraph" w:customStyle="1" w:styleId="Boxtext">
    <w:name w:val="Box text"/>
    <w:basedOn w:val="Normal"/>
    <w:uiPriority w:val="1"/>
    <w:qFormat/>
    <w:rsid w:val="00DB6A2B"/>
    <w:pPr>
      <w:spacing w:line="260" w:lineRule="atLeast"/>
      <w:ind w:left="284" w:right="284"/>
      <w:jc w:val="left"/>
    </w:pPr>
    <w:rPr>
      <w:color w:val="1B556B"/>
      <w:sz w:val="20"/>
    </w:rPr>
  </w:style>
  <w:style w:type="paragraph" w:customStyle="1" w:styleId="Boxbullet">
    <w:name w:val="Box bullet"/>
    <w:basedOn w:val="Boxtext"/>
    <w:uiPriority w:val="1"/>
    <w:qFormat/>
    <w:rsid w:val="005D3242"/>
    <w:pPr>
      <w:numPr>
        <w:numId w:val="2"/>
      </w:numPr>
      <w:tabs>
        <w:tab w:val="left" w:pos="680"/>
      </w:tabs>
      <w:spacing w:before="0"/>
      <w:ind w:left="681" w:hanging="397"/>
    </w:pPr>
    <w:rPr>
      <w:rFonts w:cs="Times New Roman"/>
      <w:szCs w:val="20"/>
    </w:rPr>
  </w:style>
  <w:style w:type="paragraph" w:customStyle="1" w:styleId="Boxheading0">
    <w:name w:val="Box heading"/>
    <w:basedOn w:val="Boxtext"/>
    <w:next w:val="Boxtext"/>
    <w:uiPriority w:val="1"/>
    <w:qFormat/>
    <w:rsid w:val="00DB6A2B"/>
    <w:pPr>
      <w:keepNext/>
      <w:spacing w:before="240" w:after="0"/>
    </w:pPr>
    <w:rPr>
      <w:rFonts w:cs="Times New Roman"/>
      <w:b/>
      <w:sz w:val="22"/>
      <w:szCs w:val="20"/>
    </w:rPr>
  </w:style>
  <w:style w:type="paragraph" w:customStyle="1" w:styleId="Boxsub-bullet">
    <w:name w:val="Box sub-bullet"/>
    <w:basedOn w:val="Boxtext"/>
    <w:uiPriority w:val="1"/>
    <w:qFormat/>
    <w:rsid w:val="00DB6A2B"/>
    <w:pPr>
      <w:numPr>
        <w:numId w:val="36"/>
      </w:numPr>
      <w:spacing w:before="0"/>
    </w:pPr>
    <w:rPr>
      <w:rFonts w:cs="Times New Roman"/>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character" w:styleId="UnresolvedMention">
    <w:name w:val="Unresolved Mention"/>
    <w:basedOn w:val="DefaultParagraphFont"/>
    <w:uiPriority w:val="99"/>
    <w:semiHidden/>
    <w:unhideWhenUsed/>
    <w:rsid w:val="00563317"/>
    <w:rPr>
      <w:color w:val="605E5C"/>
      <w:shd w:val="clear" w:color="auto" w:fill="E1DFDD"/>
    </w:rPr>
  </w:style>
  <w:style w:type="paragraph" w:styleId="CommentText">
    <w:name w:val="annotation text"/>
    <w:basedOn w:val="Normal"/>
    <w:link w:val="CommentTextChar"/>
    <w:uiPriority w:val="99"/>
    <w:semiHidden/>
    <w:rsid w:val="00456E90"/>
    <w:pPr>
      <w:spacing w:line="240" w:lineRule="auto"/>
    </w:pPr>
    <w:rPr>
      <w:sz w:val="20"/>
      <w:szCs w:val="20"/>
    </w:rPr>
  </w:style>
  <w:style w:type="character" w:customStyle="1" w:styleId="CommentTextChar">
    <w:name w:val="Comment Text Char"/>
    <w:basedOn w:val="DefaultParagraphFont"/>
    <w:link w:val="CommentText"/>
    <w:uiPriority w:val="99"/>
    <w:semiHidden/>
    <w:rsid w:val="00456E90"/>
    <w:rPr>
      <w:rFonts w:ascii="Calibri" w:eastAsiaTheme="minorEastAsia" w:hAnsi="Calibri"/>
      <w:sz w:val="20"/>
      <w:szCs w:val="20"/>
      <w:lang w:eastAsia="en-NZ"/>
    </w:rPr>
  </w:style>
  <w:style w:type="character" w:styleId="Mention">
    <w:name w:val="Mention"/>
    <w:basedOn w:val="DefaultParagraphFont"/>
    <w:uiPriority w:val="99"/>
    <w:unhideWhenUsed/>
    <w:rsid w:val="001466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776876366">
      <w:bodyDiv w:val="1"/>
      <w:marLeft w:val="0"/>
      <w:marRight w:val="0"/>
      <w:marTop w:val="0"/>
      <w:marBottom w:val="0"/>
      <w:divBdr>
        <w:top w:val="none" w:sz="0" w:space="0" w:color="auto"/>
        <w:left w:val="none" w:sz="0" w:space="0" w:color="auto"/>
        <w:bottom w:val="none" w:sz="0" w:space="0" w:color="auto"/>
        <w:right w:val="none" w:sz="0" w:space="0" w:color="auto"/>
      </w:divBdr>
      <w:divsChild>
        <w:div w:id="1764763825">
          <w:marLeft w:val="0"/>
          <w:marRight w:val="0"/>
          <w:marTop w:val="0"/>
          <w:marBottom w:val="0"/>
          <w:divBdr>
            <w:top w:val="none" w:sz="0" w:space="0" w:color="auto"/>
            <w:left w:val="none" w:sz="0" w:space="0" w:color="auto"/>
            <w:bottom w:val="none" w:sz="0" w:space="0" w:color="auto"/>
            <w:right w:val="none" w:sz="0" w:space="0" w:color="auto"/>
          </w:divBdr>
        </w:div>
        <w:div w:id="2036733122">
          <w:marLeft w:val="0"/>
          <w:marRight w:val="0"/>
          <w:marTop w:val="0"/>
          <w:marBottom w:val="0"/>
          <w:divBdr>
            <w:top w:val="none" w:sz="0" w:space="0" w:color="auto"/>
            <w:left w:val="none" w:sz="0" w:space="0" w:color="auto"/>
            <w:bottom w:val="none" w:sz="0" w:space="0" w:color="auto"/>
            <w:right w:val="none" w:sz="0" w:space="0" w:color="auto"/>
          </w:divBdr>
        </w:div>
      </w:divsChild>
    </w:div>
    <w:div w:id="818033516">
      <w:bodyDiv w:val="1"/>
      <w:marLeft w:val="0"/>
      <w:marRight w:val="0"/>
      <w:marTop w:val="0"/>
      <w:marBottom w:val="0"/>
      <w:divBdr>
        <w:top w:val="none" w:sz="0" w:space="0" w:color="auto"/>
        <w:left w:val="none" w:sz="0" w:space="0" w:color="auto"/>
        <w:bottom w:val="none" w:sz="0" w:space="0" w:color="auto"/>
        <w:right w:val="none" w:sz="0" w:space="0" w:color="auto"/>
      </w:divBdr>
      <w:divsChild>
        <w:div w:id="1145271641">
          <w:marLeft w:val="0"/>
          <w:marRight w:val="0"/>
          <w:marTop w:val="0"/>
          <w:marBottom w:val="0"/>
          <w:divBdr>
            <w:top w:val="none" w:sz="0" w:space="0" w:color="auto"/>
            <w:left w:val="none" w:sz="0" w:space="0" w:color="auto"/>
            <w:bottom w:val="none" w:sz="0" w:space="0" w:color="auto"/>
            <w:right w:val="none" w:sz="0" w:space="0" w:color="auto"/>
          </w:divBdr>
        </w:div>
        <w:div w:id="2110539545">
          <w:marLeft w:val="0"/>
          <w:marRight w:val="0"/>
          <w:marTop w:val="0"/>
          <w:marBottom w:val="0"/>
          <w:divBdr>
            <w:top w:val="none" w:sz="0" w:space="0" w:color="auto"/>
            <w:left w:val="none" w:sz="0" w:space="0" w:color="auto"/>
            <w:bottom w:val="none" w:sz="0" w:space="0" w:color="auto"/>
            <w:right w:val="none" w:sz="0" w:space="0" w:color="auto"/>
          </w:divBdr>
        </w:div>
      </w:divsChild>
    </w:div>
    <w:div w:id="1287084139">
      <w:bodyDiv w:val="1"/>
      <w:marLeft w:val="0"/>
      <w:marRight w:val="0"/>
      <w:marTop w:val="0"/>
      <w:marBottom w:val="0"/>
      <w:divBdr>
        <w:top w:val="none" w:sz="0" w:space="0" w:color="auto"/>
        <w:left w:val="none" w:sz="0" w:space="0" w:color="auto"/>
        <w:bottom w:val="none" w:sz="0" w:space="0" w:color="auto"/>
        <w:right w:val="none" w:sz="0" w:space="0" w:color="auto"/>
      </w:divBdr>
      <w:divsChild>
        <w:div w:id="798647055">
          <w:marLeft w:val="0"/>
          <w:marRight w:val="0"/>
          <w:marTop w:val="0"/>
          <w:marBottom w:val="0"/>
          <w:divBdr>
            <w:top w:val="none" w:sz="0" w:space="0" w:color="auto"/>
            <w:left w:val="none" w:sz="0" w:space="0" w:color="auto"/>
            <w:bottom w:val="none" w:sz="0" w:space="0" w:color="auto"/>
            <w:right w:val="none" w:sz="0" w:space="0" w:color="auto"/>
          </w:divBdr>
        </w:div>
        <w:div w:id="1020938269">
          <w:marLeft w:val="0"/>
          <w:marRight w:val="0"/>
          <w:marTop w:val="0"/>
          <w:marBottom w:val="0"/>
          <w:divBdr>
            <w:top w:val="none" w:sz="0" w:space="0" w:color="auto"/>
            <w:left w:val="none" w:sz="0" w:space="0" w:color="auto"/>
            <w:bottom w:val="none" w:sz="0" w:space="0" w:color="auto"/>
            <w:right w:val="none" w:sz="0" w:space="0" w:color="auto"/>
          </w:divBdr>
        </w:div>
      </w:divsChild>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716928139">
      <w:bodyDiv w:val="1"/>
      <w:marLeft w:val="0"/>
      <w:marRight w:val="0"/>
      <w:marTop w:val="0"/>
      <w:marBottom w:val="0"/>
      <w:divBdr>
        <w:top w:val="none" w:sz="0" w:space="0" w:color="auto"/>
        <w:left w:val="none" w:sz="0" w:space="0" w:color="auto"/>
        <w:bottom w:val="none" w:sz="0" w:space="0" w:color="auto"/>
        <w:right w:val="none" w:sz="0" w:space="0" w:color="auto"/>
      </w:divBdr>
      <w:divsChild>
        <w:div w:id="143620290">
          <w:marLeft w:val="0"/>
          <w:marRight w:val="0"/>
          <w:marTop w:val="0"/>
          <w:marBottom w:val="0"/>
          <w:divBdr>
            <w:top w:val="none" w:sz="0" w:space="0" w:color="auto"/>
            <w:left w:val="none" w:sz="0" w:space="0" w:color="auto"/>
            <w:bottom w:val="none" w:sz="0" w:space="0" w:color="auto"/>
            <w:right w:val="none" w:sz="0" w:space="0" w:color="auto"/>
          </w:divBdr>
        </w:div>
        <w:div w:id="1005017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nvironment.govt.nz"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ourenvironment.scinfo.org.nz/maps-and-tools/app/Habitats/lenz_prot_areas" TargetMode="External"/><Relationship Id="rId3" Type="http://schemas.openxmlformats.org/officeDocument/2006/relationships/hyperlink" Target="https://www.doc.govt.nz/our-work/monitoring-reporting/national-status-and-trend-reports-2020-2021/lenz-environments-protected-2020-2021/" TargetMode="External"/><Relationship Id="rId7" Type="http://schemas.openxmlformats.org/officeDocument/2006/relationships/hyperlink" Target="https://hamilton.govt.nz/strategies-plans-and-projects/projects/nature-in-the-city" TargetMode="External"/><Relationship Id="rId12" Type="http://schemas.openxmlformats.org/officeDocument/2006/relationships/hyperlink" Target="https://www.doc.govt.nz/get-involved/funding/nga-whenua-rahui/" TargetMode="External"/><Relationship Id="rId2" Type="http://schemas.openxmlformats.org/officeDocument/2006/relationships/hyperlink" Target="https://lris.scinfo.org.nz/layer/104400-lcdb-v50-land-cover-database-version-50-mainland-new-zealand/" TargetMode="External"/><Relationship Id="rId1" Type="http://schemas.openxmlformats.org/officeDocument/2006/relationships/hyperlink" Target="https://lris.scinfo.org.nz/layer/104400-lcdb-v50-land-cover-database-version-50-mainland-new-zealand/" TargetMode="External"/><Relationship Id="rId6" Type="http://schemas.openxmlformats.org/officeDocument/2006/relationships/hyperlink" Target="https://www.doc.govt.nz/nature/pests-and-threats/weeds/common-weeds/wilding-conifers/" TargetMode="External"/><Relationship Id="rId11" Type="http://schemas.openxmlformats.org/officeDocument/2006/relationships/hyperlink" Target="https://www.jobsfornature.govt.nz/" TargetMode="External"/><Relationship Id="rId5" Type="http://schemas.openxmlformats.org/officeDocument/2006/relationships/hyperlink" Target="https://www.stats.govt.nz/indicators/indigenous-land-cover/" TargetMode="External"/><Relationship Id="rId10" Type="http://schemas.openxmlformats.org/officeDocument/2006/relationships/hyperlink" Target="https://www.mpi.govt.nz/forestry/funding-tree-planting-research/one-billion-trees-programme/" TargetMode="External"/><Relationship Id="rId4" Type="http://schemas.openxmlformats.org/officeDocument/2006/relationships/hyperlink" Target="https://www.stats.govt.nz/indicators/predicted-pre-human-vegetation/" TargetMode="External"/><Relationship Id="rId9" Type="http://schemas.openxmlformats.org/officeDocument/2006/relationships/hyperlink" Target="https://consult.environment.govt.nz/biodiversity/nz-biodiversity-credit-syst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F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d9dc2005b20d56036c81c753ec4deb06">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d3deb967fb0a95f2300b930d9bfe20e"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ECM-1122293896-126599</_dlc_DocId>
    <_dlc_DocIdUrl xmlns="58a6f171-52cb-4404-b47d-af1c8daf8fd1">
      <Url>https://ministryforenvironment.sharepoint.com/sites/ECM-ER-Comms/_layouts/15/DocIdRedir.aspx?ID=ECM-1122293896-126599</Url>
      <Description>ECM-1122293896-126599</Description>
    </_dlc_DocIdUrl>
    <lcf76f155ced4ddcb4097134ff3c332f xmlns="4a94300e-a927-4b92-9d3a-682523035cb6">
      <Terms xmlns="http://schemas.microsoft.com/office/infopath/2007/PartnerControls"/>
    </lcf76f155ced4ddcb4097134ff3c332f>
    <TaxCatchAll xmlns="58a6f171-52cb-4404-b47d-af1c8daf8fd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1FB008-CE41-46C1-97F0-628CE1968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907E1-733D-40A2-9501-D22B1B74D9CB}">
  <ds:schemaRefs>
    <ds:schemaRef ds:uri="http://schemas.openxmlformats.org/officeDocument/2006/bibliography"/>
  </ds:schemaRefs>
</ds:datastoreItem>
</file>

<file path=customXml/itemProps3.xml><?xml version="1.0" encoding="utf-8"?>
<ds:datastoreItem xmlns:ds="http://schemas.openxmlformats.org/officeDocument/2006/customXml" ds:itemID="{4D0CDAC4-0417-4665-BFBD-38D6177B7AAE}">
  <ds:schemaRefs>
    <ds:schemaRef ds:uri="http://schemas.microsoft.com/sharepoint/v3/contenttype/forms"/>
  </ds:schemaRefs>
</ds:datastoreItem>
</file>

<file path=customXml/itemProps4.xml><?xml version="1.0" encoding="utf-8"?>
<ds:datastoreItem xmlns:ds="http://schemas.openxmlformats.org/officeDocument/2006/customXml" ds:itemID="{A6ABE385-CC81-41C6-A3F2-1BC9449571F7}">
  <ds:schemaRefs>
    <ds:schemaRef ds:uri="http://schemas.microsoft.com/office/2006/metadata/properties"/>
    <ds:schemaRef ds:uri="http://schemas.microsoft.com/office/infopath/2007/PartnerControls"/>
    <ds:schemaRef ds:uri="4a94300e-a927-4b92-9d3a-682523035cb6"/>
    <ds:schemaRef ds:uri="http://schemas.microsoft.com/sharepoint/v3"/>
    <ds:schemaRef ds:uri="http://schemas.microsoft.com/sharepoint/v4"/>
    <ds:schemaRef ds:uri="58a6f171-52cb-4404-b47d-af1c8daf8fd1"/>
  </ds:schemaRefs>
</ds:datastoreItem>
</file>

<file path=customXml/itemProps5.xml><?xml version="1.0" encoding="utf-8"?>
<ds:datastoreItem xmlns:ds="http://schemas.openxmlformats.org/officeDocument/2006/customXml" ds:itemID="{E915373F-630C-45C1-9D1D-0033FB98D60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5079</Words>
  <Characters>28954</Characters>
  <Application>Microsoft Office Word</Application>
  <DocSecurity>0</DocSecurity>
  <Lines>241</Lines>
  <Paragraphs>67</Paragraphs>
  <ScaleCrop>false</ScaleCrop>
  <Company/>
  <LinksUpToDate>false</LinksUpToDate>
  <CharactersWithSpaces>33966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Dee Warring</cp:lastModifiedBy>
  <cp:revision>2</cp:revision>
  <dcterms:created xsi:type="dcterms:W3CDTF">2025-06-30T04:01:00Z</dcterms:created>
  <dcterms:modified xsi:type="dcterms:W3CDTF">2025-06-30T04:01:00Z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0x010100EA5FB0BEBF7DE54D9F252D8A06C053F7</vt:lpwstr>
  </property>
  <property fmtid="{D5CDD505-2E9C-101B-9397-08002B2CF9AE}" pid="3" name="_dlc_DocIdItemGuid">
    <vt:lpwstr>be0c723a-293d-406d-87d9-e51e1a4baf0c</vt:lpwstr>
  </property>
  <property fmtid="{D5CDD505-2E9C-101B-9397-08002B2CF9AE}" pid="4" name="MSIP_Label_52dda6cc-d61d-4fd2-bf18-9b3017d931cc_Enabled">
    <vt:lpwstr>true</vt:lpwstr>
  </property>
  <property fmtid="{D5CDD505-2E9C-101B-9397-08002B2CF9AE}" pid="5" name="MSIP_Label_52dda6cc-d61d-4fd2-bf18-9b3017d931cc_SetDate">
    <vt:lpwstr>2022-01-16T22:14:40Z</vt:lpwstr>
  </property>
  <property fmtid="{D5CDD505-2E9C-101B-9397-08002B2CF9AE}" pid="6" name="MSIP_Label_52dda6cc-d61d-4fd2-bf18-9b3017d931cc_Method">
    <vt:lpwstr>Privileged</vt:lpwstr>
  </property>
  <property fmtid="{D5CDD505-2E9C-101B-9397-08002B2CF9AE}" pid="7" name="MSIP_Label_52dda6cc-d61d-4fd2-bf18-9b3017d931cc_Name">
    <vt:lpwstr>[UNCLASSIFIED]</vt:lpwstr>
  </property>
  <property fmtid="{D5CDD505-2E9C-101B-9397-08002B2CF9AE}" pid="8" name="MSIP_Label_52dda6cc-d61d-4fd2-bf18-9b3017d931cc_SiteId">
    <vt:lpwstr>761dd003-d4ff-4049-8a72-8549b20fcbb1</vt:lpwstr>
  </property>
  <property fmtid="{D5CDD505-2E9C-101B-9397-08002B2CF9AE}" pid="9" name="MSIP_Label_52dda6cc-d61d-4fd2-bf18-9b3017d931cc_ActionId">
    <vt:lpwstr>9adb5016-2886-4e41-9a13-e62dbe13137f</vt:lpwstr>
  </property>
  <property fmtid="{D5CDD505-2E9C-101B-9397-08002B2CF9AE}" pid="10" name="MSIP_Label_52dda6cc-d61d-4fd2-bf18-9b3017d931cc_ContentBits">
    <vt:lpwstr>0</vt:lpwstr>
  </property>
  <property fmtid="{D5CDD505-2E9C-101B-9397-08002B2CF9AE}" pid="11" name="MediaServiceImageTags">
    <vt:lpwstr/>
  </property>
</Properties>
</file>