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F70D" w14:textId="4956961C" w:rsidR="0003640E" w:rsidRPr="00ED1C7E" w:rsidRDefault="002D4056" w:rsidP="0003640E">
      <w:pPr>
        <w:pStyle w:val="BodyText"/>
      </w:pPr>
      <w:r>
        <w:rPr>
          <w:noProof/>
        </w:rPr>
        <w:drawing>
          <wp:anchor distT="0" distB="0" distL="114300" distR="114300" simplePos="0" relativeHeight="251658240" behindDoc="0" locked="0" layoutInCell="1" allowOverlap="1" wp14:anchorId="19C98B10" wp14:editId="3E5A49A4">
            <wp:simplePos x="0" y="0"/>
            <wp:positionH relativeFrom="column">
              <wp:posOffset>-1102995</wp:posOffset>
            </wp:positionH>
            <wp:positionV relativeFrom="paragraph">
              <wp:posOffset>-3643630</wp:posOffset>
            </wp:positionV>
            <wp:extent cx="7586080" cy="10727684"/>
            <wp:effectExtent l="0" t="0" r="0" b="0"/>
            <wp:wrapNone/>
            <wp:docPr id="167839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392681" name="Picture 1678392681"/>
                    <pic:cNvPicPr/>
                  </pic:nvPicPr>
                  <pic:blipFill>
                    <a:blip r:embed="rId12"/>
                    <a:stretch>
                      <a:fillRect/>
                    </a:stretch>
                  </pic:blipFill>
                  <pic:spPr>
                    <a:xfrm>
                      <a:off x="0" y="0"/>
                      <a:ext cx="7586080" cy="10727684"/>
                    </a:xfrm>
                    <a:prstGeom prst="rect">
                      <a:avLst/>
                    </a:prstGeom>
                  </pic:spPr>
                </pic:pic>
              </a:graphicData>
            </a:graphic>
            <wp14:sizeRelH relativeFrom="margin">
              <wp14:pctWidth>0</wp14:pctWidth>
            </wp14:sizeRelH>
            <wp14:sizeRelV relativeFrom="margin">
              <wp14:pctHeight>0</wp14:pctHeight>
            </wp14:sizeRelV>
          </wp:anchor>
        </w:drawing>
      </w:r>
      <w:bookmarkStart w:id="0" w:name="_Ref163039239"/>
      <w:bookmarkEnd w:id="0"/>
    </w:p>
    <w:p w14:paraId="2DB8F70E" w14:textId="77777777" w:rsidR="0003640E" w:rsidRPr="00ED1C7E" w:rsidRDefault="0003640E" w:rsidP="0080531E">
      <w:pPr>
        <w:jc w:val="left"/>
        <w:rPr>
          <w:color w:val="FF0000"/>
        </w:rPr>
        <w:sectPr w:rsidR="0003640E" w:rsidRPr="00ED1C7E" w:rsidSect="00F76EF0">
          <w:headerReference w:type="even" r:id="rId13"/>
          <w:headerReference w:type="default" r:id="rId14"/>
          <w:footerReference w:type="default" r:id="rId15"/>
          <w:headerReference w:type="first" r:id="rId16"/>
          <w:pgSz w:w="11907" w:h="16840" w:code="9"/>
          <w:pgMar w:top="5670" w:right="1701" w:bottom="1701" w:left="1701" w:header="567" w:footer="1134" w:gutter="0"/>
          <w:cols w:space="720"/>
        </w:sectPr>
      </w:pPr>
    </w:p>
    <w:p w14:paraId="2DB8F70F" w14:textId="77777777" w:rsidR="00452EC4" w:rsidRPr="00ED1C7E" w:rsidRDefault="00452EC4" w:rsidP="00775F57">
      <w:pPr>
        <w:pStyle w:val="Imprint"/>
        <w:spacing w:before="0" w:after="0"/>
        <w:rPr>
          <w:b/>
        </w:rPr>
      </w:pPr>
      <w:r w:rsidRPr="00ED1C7E">
        <w:rPr>
          <w:b/>
        </w:rPr>
        <w:lastRenderedPageBreak/>
        <w:t>Disclaimer</w:t>
      </w:r>
    </w:p>
    <w:p w14:paraId="59BD59D1" w14:textId="699F3DCD" w:rsidR="00295954" w:rsidRPr="00ED1C7E" w:rsidRDefault="00295954" w:rsidP="001E16BC">
      <w:pPr>
        <w:pStyle w:val="BodyText"/>
      </w:pPr>
      <w:r w:rsidRPr="00ED1C7E">
        <w:t>The information in this publication is, according to the Ministry for the Environment’s best efforts, accurate at the time of publication. The Ministry will make every reasonable effort to</w:t>
      </w:r>
      <w:r w:rsidR="00C66D23">
        <w:t xml:space="preserve"> </w:t>
      </w:r>
      <w:r w:rsidRPr="00ED1C7E">
        <w:t xml:space="preserve">keep it current and accurate. However, users of this publication are advised that: </w:t>
      </w:r>
    </w:p>
    <w:p w14:paraId="502B9080" w14:textId="14692270" w:rsidR="00295954" w:rsidRPr="00ED1C7E" w:rsidRDefault="001414C9" w:rsidP="00FE14E4">
      <w:pPr>
        <w:pStyle w:val="Bullet"/>
      </w:pPr>
      <w:r>
        <w:t>t</w:t>
      </w:r>
      <w:r w:rsidR="00295954" w:rsidRPr="00ED1C7E">
        <w:t xml:space="preserve">he information does not alter the laws of New Zealand, other official guidelines, or </w:t>
      </w:r>
      <w:proofErr w:type="gramStart"/>
      <w:r w:rsidR="00295954" w:rsidRPr="00ED1C7E">
        <w:t>requirements</w:t>
      </w:r>
      <w:proofErr w:type="gramEnd"/>
    </w:p>
    <w:p w14:paraId="325355B8" w14:textId="5943EA81" w:rsidR="00295954" w:rsidRPr="00ED1C7E" w:rsidRDefault="001414C9" w:rsidP="001E16BC">
      <w:pPr>
        <w:pStyle w:val="Bullet"/>
      </w:pPr>
      <w:r>
        <w:t>i</w:t>
      </w:r>
      <w:r w:rsidR="00295954" w:rsidRPr="00ED1C7E">
        <w:t xml:space="preserve">t does not constitute legal advice, and users should take specific advice from qualified professionals before taking any action based on information in this </w:t>
      </w:r>
      <w:proofErr w:type="gramStart"/>
      <w:r w:rsidR="00295954" w:rsidRPr="00ED1C7E">
        <w:t>publication</w:t>
      </w:r>
      <w:proofErr w:type="gramEnd"/>
    </w:p>
    <w:p w14:paraId="420C37CE" w14:textId="2020A974" w:rsidR="00295954" w:rsidRPr="00ED1C7E" w:rsidRDefault="001414C9" w:rsidP="001E16BC">
      <w:pPr>
        <w:pStyle w:val="Bullet"/>
      </w:pPr>
      <w:r>
        <w:t>t</w:t>
      </w:r>
      <w:r w:rsidR="00295954" w:rsidRPr="00ED1C7E">
        <w:t>he Ministry does not accept any responsibility or liability whatsoever whether in contract, tort, equity, or otherwise for any action taken as a result of reading, or reliance placed on this publication because of having read any part, or all, of the information in this</w:t>
      </w:r>
      <w:r w:rsidR="00597968">
        <w:t xml:space="preserve"> </w:t>
      </w:r>
      <w:r w:rsidR="00295954" w:rsidRPr="00ED1C7E">
        <w:t xml:space="preserve">publication or for any error, or inadequacy, deficiency, flaw in, or omission from the information in this </w:t>
      </w:r>
      <w:proofErr w:type="gramStart"/>
      <w:r w:rsidR="00295954" w:rsidRPr="00ED1C7E">
        <w:t>publication</w:t>
      </w:r>
      <w:proofErr w:type="gramEnd"/>
    </w:p>
    <w:p w14:paraId="69C5AA02" w14:textId="7EF676F7" w:rsidR="00295954" w:rsidRPr="00ED1C7E" w:rsidRDefault="001414C9" w:rsidP="001E16BC">
      <w:pPr>
        <w:pStyle w:val="Bullet"/>
      </w:pPr>
      <w:r>
        <w:t>a</w:t>
      </w:r>
      <w:r w:rsidR="00295954" w:rsidRPr="00ED1C7E">
        <w:t>ll references to websites, organisations</w:t>
      </w:r>
      <w:r w:rsidR="00890FBA" w:rsidRPr="00ED1C7E">
        <w:t>,</w:t>
      </w:r>
      <w:r w:rsidR="00295954" w:rsidRPr="00ED1C7E">
        <w:t xml:space="preserve"> or people not within the Ministry are for convenience only and should not be taken as endorsement of those websites or information contained in those websites nor of organisations or people referred to.</w:t>
      </w:r>
    </w:p>
    <w:p w14:paraId="2DB8F711" w14:textId="77777777" w:rsidR="00452EC4" w:rsidRPr="00ED1C7E" w:rsidRDefault="00452EC4" w:rsidP="00452EC4">
      <w:pPr>
        <w:pStyle w:val="Imprint"/>
      </w:pPr>
    </w:p>
    <w:p w14:paraId="2DB8F714" w14:textId="77777777" w:rsidR="00452EC4" w:rsidRPr="00ED1C7E" w:rsidRDefault="00452EC4" w:rsidP="00452EC4">
      <w:pPr>
        <w:pStyle w:val="Imprint"/>
      </w:pPr>
    </w:p>
    <w:p w14:paraId="2DB8F717" w14:textId="01394782" w:rsidR="0080531E" w:rsidRPr="00ED1C7E" w:rsidRDefault="00452EC4" w:rsidP="0080531E">
      <w:pPr>
        <w:pStyle w:val="Imprint"/>
      </w:pPr>
      <w:r w:rsidRPr="00ED1C7E">
        <w:t xml:space="preserve">This </w:t>
      </w:r>
      <w:r w:rsidR="00775F57" w:rsidRPr="00ED1C7E">
        <w:t>document</w:t>
      </w:r>
      <w:r w:rsidRPr="00ED1C7E">
        <w:t xml:space="preserve"> may be cited as:</w:t>
      </w:r>
      <w:r w:rsidR="00775F57" w:rsidRPr="00ED1C7E">
        <w:t xml:space="preserve"> Ministry for the Environment. </w:t>
      </w:r>
      <w:r w:rsidR="001414C9">
        <w:t>2024</w:t>
      </w:r>
      <w:r w:rsidR="00775F57" w:rsidRPr="00ED1C7E">
        <w:t xml:space="preserve">. </w:t>
      </w:r>
      <w:r w:rsidR="001414C9">
        <w:rPr>
          <w:i/>
        </w:rPr>
        <w:t>Proposed changes to New Zealand Emissions Trading Scheme</w:t>
      </w:r>
      <w:r w:rsidR="4907968A" w:rsidRPr="1F00B565">
        <w:rPr>
          <w:i/>
          <w:iCs/>
        </w:rPr>
        <w:t xml:space="preserve"> </w:t>
      </w:r>
      <w:r w:rsidR="000D50C3">
        <w:rPr>
          <w:i/>
        </w:rPr>
        <w:t xml:space="preserve">regulations </w:t>
      </w:r>
      <w:r w:rsidR="00E154F6">
        <w:rPr>
          <w:i/>
          <w:iCs/>
        </w:rPr>
        <w:t>2024</w:t>
      </w:r>
      <w:r w:rsidR="001414C9">
        <w:rPr>
          <w:i/>
        </w:rPr>
        <w:t>: Consultation document</w:t>
      </w:r>
      <w:r w:rsidR="00775F57" w:rsidRPr="00ED1C7E">
        <w:t>. Wellington: Ministry for the Environment.</w:t>
      </w:r>
    </w:p>
    <w:p w14:paraId="2DB8F718" w14:textId="77777777" w:rsidR="0080531E" w:rsidRPr="00ED1C7E" w:rsidRDefault="0080531E" w:rsidP="0080531E">
      <w:pPr>
        <w:pStyle w:val="Imprint"/>
      </w:pPr>
    </w:p>
    <w:p w14:paraId="2DB8F719" w14:textId="77777777" w:rsidR="0080531E" w:rsidRPr="00ED1C7E" w:rsidRDefault="0080531E" w:rsidP="0080531E">
      <w:pPr>
        <w:pStyle w:val="Imprint"/>
      </w:pPr>
    </w:p>
    <w:p w14:paraId="01AECB62" w14:textId="77777777" w:rsidR="00295954" w:rsidRDefault="00295954" w:rsidP="0080531E">
      <w:pPr>
        <w:pStyle w:val="Imprint"/>
      </w:pPr>
    </w:p>
    <w:p w14:paraId="16F00D7B" w14:textId="77777777" w:rsidR="00BE7E89" w:rsidRDefault="00BE7E89" w:rsidP="0080531E">
      <w:pPr>
        <w:pStyle w:val="Imprint"/>
      </w:pPr>
    </w:p>
    <w:p w14:paraId="3FC5A26A" w14:textId="77777777" w:rsidR="00BE7E89" w:rsidRDefault="00BE7E89" w:rsidP="0080531E">
      <w:pPr>
        <w:pStyle w:val="Imprint"/>
      </w:pPr>
    </w:p>
    <w:p w14:paraId="2916BBF5" w14:textId="77777777" w:rsidR="001414C9" w:rsidRDefault="001414C9" w:rsidP="0080531E">
      <w:pPr>
        <w:pStyle w:val="Imprint"/>
      </w:pPr>
    </w:p>
    <w:p w14:paraId="65068F34" w14:textId="77777777" w:rsidR="001414C9" w:rsidRPr="00ED1C7E" w:rsidRDefault="001414C9" w:rsidP="0080531E">
      <w:pPr>
        <w:pStyle w:val="Imprint"/>
      </w:pPr>
    </w:p>
    <w:p w14:paraId="43284925" w14:textId="77777777" w:rsidR="000D5BE0" w:rsidRPr="00ED1C7E" w:rsidRDefault="000D5BE0" w:rsidP="0080531E">
      <w:pPr>
        <w:pStyle w:val="Imprint"/>
      </w:pPr>
    </w:p>
    <w:p w14:paraId="2DB8F720" w14:textId="3B5B7998" w:rsidR="0080531E" w:rsidRPr="00ED1C7E" w:rsidRDefault="0080531E" w:rsidP="0080531E">
      <w:pPr>
        <w:pStyle w:val="Imprint"/>
      </w:pPr>
      <w:r w:rsidRPr="00ED1C7E">
        <w:t xml:space="preserve">Published in </w:t>
      </w:r>
      <w:r w:rsidR="00B638BB">
        <w:t>May</w:t>
      </w:r>
      <w:r w:rsidR="00775F57" w:rsidRPr="00ED1C7E">
        <w:t xml:space="preserve"> </w:t>
      </w:r>
      <w:r w:rsidR="001414C9">
        <w:t>2024</w:t>
      </w:r>
      <w:r w:rsidRPr="00ED1C7E">
        <w:t xml:space="preserve"> by the</w:t>
      </w:r>
      <w:r w:rsidRPr="00ED1C7E">
        <w:br/>
        <w:t xml:space="preserve">Ministry for the Environment </w:t>
      </w:r>
      <w:r w:rsidRPr="00ED1C7E">
        <w:br/>
        <w:t xml:space="preserve">Manatū </w:t>
      </w:r>
      <w:r w:rsidR="001414C9">
        <w:t>m</w:t>
      </w:r>
      <w:r w:rsidRPr="00ED1C7E">
        <w:t xml:space="preserve">ō </w:t>
      </w:r>
      <w:r w:rsidR="001414C9">
        <w:t>t</w:t>
      </w:r>
      <w:r w:rsidRPr="00ED1C7E">
        <w:t>e Taiao</w:t>
      </w:r>
      <w:r w:rsidRPr="00ED1C7E">
        <w:br/>
        <w:t>PO Box 10362, Wellington 6143, New Zealand</w:t>
      </w:r>
      <w:r w:rsidR="001414C9">
        <w:br/>
      </w:r>
      <w:hyperlink r:id="rId17" w:history="1">
        <w:r w:rsidR="001414C9" w:rsidRPr="005A5193">
          <w:rPr>
            <w:rStyle w:val="Hyperlink"/>
          </w:rPr>
          <w:t>environment.govt.nz</w:t>
        </w:r>
      </w:hyperlink>
    </w:p>
    <w:p w14:paraId="2DB8F722" w14:textId="3F2F0E8A" w:rsidR="0080531E" w:rsidRPr="00ED1C7E" w:rsidRDefault="0080531E" w:rsidP="001414C9">
      <w:pPr>
        <w:pStyle w:val="Imprint"/>
      </w:pPr>
      <w:r w:rsidRPr="00ED1C7E">
        <w:t xml:space="preserve">ISBN: </w:t>
      </w:r>
      <w:r w:rsidR="00410255" w:rsidRPr="00410255">
        <w:t>978-1-991140-17-3</w:t>
      </w:r>
      <w:r w:rsidR="001414C9">
        <w:br/>
      </w:r>
      <w:r w:rsidRPr="00ED1C7E">
        <w:t xml:space="preserve">Publication number: </w:t>
      </w:r>
      <w:r w:rsidR="001414C9" w:rsidRPr="00410255">
        <w:t xml:space="preserve">ME </w:t>
      </w:r>
      <w:r w:rsidR="00B638BB">
        <w:t>1827</w:t>
      </w:r>
    </w:p>
    <w:p w14:paraId="2DB8F723" w14:textId="0026A401" w:rsidR="0080531E" w:rsidRPr="00ED1C7E" w:rsidRDefault="0080531E" w:rsidP="00593E94">
      <w:pPr>
        <w:pStyle w:val="Imprint"/>
        <w:spacing w:after="80"/>
      </w:pPr>
      <w:r w:rsidRPr="00ED1C7E">
        <w:t xml:space="preserve">© Crown copyright New Zealand </w:t>
      </w:r>
      <w:r w:rsidR="00940EFC" w:rsidRPr="00ED1C7E">
        <w:t>2024</w:t>
      </w:r>
    </w:p>
    <w:p w14:paraId="6C204024" w14:textId="77777777" w:rsidR="0075686A" w:rsidRDefault="0075686A" w:rsidP="001414C9">
      <w:pPr>
        <w:pStyle w:val="BodyText"/>
        <w:sectPr w:rsidR="0075686A" w:rsidSect="00F76EF0">
          <w:headerReference w:type="even" r:id="rId18"/>
          <w:headerReference w:type="default" r:id="rId19"/>
          <w:footerReference w:type="even" r:id="rId20"/>
          <w:headerReference w:type="first" r:id="rId21"/>
          <w:pgSz w:w="11907" w:h="16840" w:code="9"/>
          <w:pgMar w:top="1134" w:right="1701" w:bottom="1134" w:left="1701" w:header="567" w:footer="567" w:gutter="0"/>
          <w:cols w:space="720"/>
          <w:docGrid w:linePitch="299"/>
        </w:sectPr>
      </w:pPr>
      <w:bookmarkStart w:id="1" w:name="_Toc159337369"/>
      <w:bookmarkStart w:id="2" w:name="_Toc161136010"/>
    </w:p>
    <w:p w14:paraId="6D16B02C" w14:textId="77777777" w:rsidR="0006425F" w:rsidRDefault="0080531E" w:rsidP="00FB78A0">
      <w:pPr>
        <w:pStyle w:val="Heading"/>
        <w:tabs>
          <w:tab w:val="clear" w:pos="851"/>
        </w:tabs>
        <w:spacing w:after="240"/>
      </w:pPr>
      <w:r w:rsidRPr="00ED1C7E">
        <w:lastRenderedPageBreak/>
        <w:t>Contents</w:t>
      </w:r>
    </w:p>
    <w:p w14:paraId="1B9A25C6" w14:textId="49B4C1F7" w:rsidR="0006425F" w:rsidRPr="0006425F" w:rsidRDefault="00FB78A0">
      <w:pPr>
        <w:pStyle w:val="TOC1"/>
        <w:rPr>
          <w:rFonts w:asciiTheme="minorHAnsi" w:hAnsiTheme="minorHAnsi" w:cstheme="minorHAnsi"/>
          <w:kern w:val="2"/>
          <w:sz w:val="24"/>
          <w:szCs w:val="24"/>
          <w14:ligatures w14:val="standardContextual"/>
        </w:rPr>
      </w:pPr>
      <w:r w:rsidRPr="00ED1C7E">
        <w:fldChar w:fldCharType="begin"/>
      </w:r>
      <w:r w:rsidRPr="00ED1C7E">
        <w:instrText xml:space="preserve"> TOC \o "2-2" \h \z \t "Heading 1,1" </w:instrText>
      </w:r>
      <w:r w:rsidRPr="00ED1C7E">
        <w:fldChar w:fldCharType="separate"/>
      </w:r>
      <w:hyperlink w:anchor="_Toc165532985" w:history="1">
        <w:r w:rsidR="0006425F" w:rsidRPr="0006425F">
          <w:rPr>
            <w:rStyle w:val="Hyperlink"/>
            <w:rFonts w:asciiTheme="minorHAnsi" w:hAnsiTheme="minorHAnsi" w:cstheme="minorHAnsi"/>
          </w:rPr>
          <w:t>About this consultation</w:t>
        </w:r>
        <w:r w:rsidR="0006425F" w:rsidRPr="0006425F">
          <w:rPr>
            <w:rFonts w:asciiTheme="minorHAnsi" w:hAnsiTheme="minorHAnsi" w:cstheme="minorHAnsi"/>
            <w:webHidden/>
          </w:rPr>
          <w:tab/>
        </w:r>
        <w:r w:rsidR="0006425F" w:rsidRPr="0006425F">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_Toc165532985 \h </w:instrText>
        </w:r>
        <w:r w:rsidR="0006425F" w:rsidRPr="0006425F">
          <w:rPr>
            <w:rFonts w:asciiTheme="minorHAnsi" w:hAnsiTheme="minorHAnsi" w:cstheme="minorHAnsi"/>
            <w:webHidden/>
          </w:rPr>
        </w:r>
        <w:r w:rsidR="0006425F" w:rsidRPr="0006425F">
          <w:rPr>
            <w:rFonts w:asciiTheme="minorHAnsi" w:hAnsiTheme="minorHAnsi" w:cstheme="minorHAnsi"/>
            <w:webHidden/>
          </w:rPr>
          <w:fldChar w:fldCharType="separate"/>
        </w:r>
        <w:r w:rsidR="00FD7FCC">
          <w:rPr>
            <w:rFonts w:asciiTheme="minorHAnsi" w:hAnsiTheme="minorHAnsi" w:cstheme="minorHAnsi"/>
            <w:webHidden/>
          </w:rPr>
          <w:t>5</w:t>
        </w:r>
        <w:r w:rsidR="0006425F" w:rsidRPr="0006425F">
          <w:rPr>
            <w:rFonts w:asciiTheme="minorHAnsi" w:hAnsiTheme="minorHAnsi" w:cstheme="minorHAnsi"/>
            <w:webHidden/>
          </w:rPr>
          <w:fldChar w:fldCharType="end"/>
        </w:r>
      </w:hyperlink>
    </w:p>
    <w:p w14:paraId="03A7E910" w14:textId="2DF366B4" w:rsidR="0006425F" w:rsidRPr="0006425F" w:rsidRDefault="00866E95">
      <w:pPr>
        <w:pStyle w:val="TOC2"/>
        <w:rPr>
          <w:rFonts w:asciiTheme="minorHAnsi" w:hAnsiTheme="minorHAnsi" w:cstheme="minorHAnsi"/>
          <w:kern w:val="2"/>
          <w:sz w:val="24"/>
          <w:szCs w:val="24"/>
          <w14:ligatures w14:val="standardContextual"/>
        </w:rPr>
      </w:pPr>
      <w:hyperlink w:anchor="_Toc165532986" w:history="1">
        <w:r w:rsidR="0006425F" w:rsidRPr="008067BE">
          <w:rPr>
            <w:rStyle w:val="Hyperlink"/>
            <w:rFonts w:asciiTheme="minorHAnsi" w:hAnsiTheme="minorHAnsi" w:cstheme="minorHAnsi"/>
          </w:rPr>
          <w:t>Background</w:t>
        </w:r>
        <w:r w:rsidR="0006425F" w:rsidRPr="008067BE">
          <w:rPr>
            <w:rFonts w:asciiTheme="minorHAnsi" w:hAnsiTheme="minorHAnsi" w:cstheme="minorHAnsi"/>
            <w:webHidden/>
          </w:rPr>
          <w:tab/>
        </w:r>
        <w:r w:rsidR="0006425F" w:rsidRPr="0006425F">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_Toc165532986 \h </w:instrText>
        </w:r>
        <w:r w:rsidR="0006425F" w:rsidRPr="0006425F">
          <w:rPr>
            <w:rFonts w:asciiTheme="minorHAnsi" w:hAnsiTheme="minorHAnsi" w:cstheme="minorHAnsi"/>
            <w:webHidden/>
          </w:rPr>
        </w:r>
        <w:r w:rsidR="0006425F" w:rsidRPr="0006425F">
          <w:rPr>
            <w:rFonts w:asciiTheme="minorHAnsi" w:hAnsiTheme="minorHAnsi" w:cstheme="minorHAnsi"/>
            <w:webHidden/>
          </w:rPr>
          <w:fldChar w:fldCharType="separate"/>
        </w:r>
        <w:r w:rsidR="00FD7FCC">
          <w:rPr>
            <w:rFonts w:asciiTheme="minorHAnsi" w:hAnsiTheme="minorHAnsi" w:cstheme="minorHAnsi"/>
            <w:webHidden/>
          </w:rPr>
          <w:t>5</w:t>
        </w:r>
        <w:r w:rsidR="0006425F" w:rsidRPr="0006425F">
          <w:rPr>
            <w:rFonts w:asciiTheme="minorHAnsi" w:hAnsiTheme="minorHAnsi" w:cstheme="minorHAnsi"/>
            <w:webHidden/>
          </w:rPr>
          <w:fldChar w:fldCharType="end"/>
        </w:r>
      </w:hyperlink>
    </w:p>
    <w:p w14:paraId="5BA4ACE7" w14:textId="5D28E004" w:rsidR="0006425F" w:rsidRPr="0006425F" w:rsidRDefault="00866E95">
      <w:pPr>
        <w:pStyle w:val="TOC2"/>
        <w:rPr>
          <w:rFonts w:asciiTheme="minorHAnsi" w:hAnsiTheme="minorHAnsi" w:cstheme="minorHAnsi"/>
          <w:kern w:val="2"/>
          <w:sz w:val="24"/>
          <w:szCs w:val="24"/>
          <w14:ligatures w14:val="standardContextual"/>
        </w:rPr>
      </w:pPr>
      <w:hyperlink w:anchor="_Toc165532987" w:history="1">
        <w:r w:rsidR="0006425F" w:rsidRPr="008067BE">
          <w:rPr>
            <w:rStyle w:val="Hyperlink"/>
            <w:rFonts w:asciiTheme="minorHAnsi" w:hAnsiTheme="minorHAnsi" w:cstheme="minorHAnsi"/>
          </w:rPr>
          <w:t>How businesses interact with the NZ ETS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_Toc165532987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7</w:t>
        </w:r>
        <w:r w:rsidR="0006425F" w:rsidRPr="008067BE">
          <w:rPr>
            <w:rFonts w:asciiTheme="minorHAnsi" w:hAnsiTheme="minorHAnsi" w:cstheme="minorHAnsi"/>
            <w:webHidden/>
          </w:rPr>
          <w:fldChar w:fldCharType="end"/>
        </w:r>
      </w:hyperlink>
    </w:p>
    <w:p w14:paraId="578A0C8F" w14:textId="0232EC12" w:rsidR="0006425F" w:rsidRPr="0006425F" w:rsidRDefault="00866E95">
      <w:pPr>
        <w:pStyle w:val="TOC2"/>
        <w:rPr>
          <w:rFonts w:asciiTheme="minorHAnsi" w:hAnsiTheme="minorHAnsi" w:cstheme="minorHAnsi"/>
          <w:kern w:val="2"/>
          <w:sz w:val="24"/>
          <w:szCs w:val="24"/>
          <w14:ligatures w14:val="standardContextual"/>
        </w:rPr>
      </w:pPr>
      <w:hyperlink w:anchor="_Toc165532988" w:history="1">
        <w:r w:rsidR="0006425F" w:rsidRPr="008067BE">
          <w:rPr>
            <w:rStyle w:val="Hyperlink"/>
            <w:rFonts w:asciiTheme="minorHAnsi" w:hAnsiTheme="minorHAnsi" w:cstheme="minorHAnsi"/>
          </w:rPr>
          <w:t>Scope of regulations in this consultation</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_Toc165532988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8</w:t>
        </w:r>
        <w:r w:rsidR="0006425F" w:rsidRPr="008067BE">
          <w:rPr>
            <w:rFonts w:asciiTheme="minorHAnsi" w:hAnsiTheme="minorHAnsi" w:cstheme="minorHAnsi"/>
            <w:webHidden/>
          </w:rPr>
          <w:fldChar w:fldCharType="end"/>
        </w:r>
      </w:hyperlink>
    </w:p>
    <w:p w14:paraId="6610A057" w14:textId="18DC285B" w:rsidR="0006425F" w:rsidRPr="0006425F" w:rsidRDefault="00866E95">
      <w:pPr>
        <w:pStyle w:val="TOC2"/>
        <w:rPr>
          <w:rFonts w:asciiTheme="minorHAnsi" w:hAnsiTheme="minorHAnsi" w:cstheme="minorHAnsi"/>
          <w:kern w:val="2"/>
          <w:sz w:val="24"/>
          <w:szCs w:val="24"/>
          <w14:ligatures w14:val="standardContextual"/>
        </w:rPr>
      </w:pPr>
      <w:hyperlink w:anchor="_Toc165532989" w:history="1">
        <w:r w:rsidR="0006425F" w:rsidRPr="008067BE">
          <w:rPr>
            <w:rStyle w:val="Hyperlink"/>
            <w:rFonts w:asciiTheme="minorHAnsi" w:hAnsiTheme="minorHAnsi" w:cstheme="minorHAnsi"/>
          </w:rPr>
          <w:t>Criteria for assessing options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_Toc165532989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9</w:t>
        </w:r>
        <w:r w:rsidR="0006425F" w:rsidRPr="008067BE">
          <w:rPr>
            <w:rFonts w:asciiTheme="minorHAnsi" w:hAnsiTheme="minorHAnsi" w:cstheme="minorHAnsi"/>
            <w:webHidden/>
          </w:rPr>
          <w:fldChar w:fldCharType="end"/>
        </w:r>
      </w:hyperlink>
    </w:p>
    <w:p w14:paraId="26E41401" w14:textId="64601911" w:rsidR="0006425F" w:rsidRPr="0006425F" w:rsidRDefault="00866E95">
      <w:pPr>
        <w:pStyle w:val="TOC2"/>
        <w:rPr>
          <w:rFonts w:asciiTheme="minorHAnsi" w:hAnsiTheme="minorHAnsi" w:cstheme="minorHAnsi"/>
          <w:kern w:val="2"/>
          <w:sz w:val="24"/>
          <w:szCs w:val="24"/>
          <w14:ligatures w14:val="standardContextual"/>
        </w:rPr>
      </w:pPr>
      <w:hyperlink w:anchor="_Toc165532990" w:history="1">
        <w:r w:rsidR="0006425F" w:rsidRPr="008067BE">
          <w:rPr>
            <w:rStyle w:val="Hyperlink"/>
            <w:rFonts w:asciiTheme="minorHAnsi" w:hAnsiTheme="minorHAnsi" w:cstheme="minorHAnsi"/>
          </w:rPr>
          <w:t>Your views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_Toc165532990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10</w:t>
        </w:r>
        <w:r w:rsidR="0006425F" w:rsidRPr="008067BE">
          <w:rPr>
            <w:rFonts w:asciiTheme="minorHAnsi" w:hAnsiTheme="minorHAnsi" w:cstheme="minorHAnsi"/>
            <w:webHidden/>
          </w:rPr>
          <w:fldChar w:fldCharType="end"/>
        </w:r>
      </w:hyperlink>
    </w:p>
    <w:p w14:paraId="16E04182" w14:textId="5ECD4121" w:rsidR="0006425F" w:rsidRPr="0006425F" w:rsidRDefault="00866E95">
      <w:pPr>
        <w:pStyle w:val="TOC2"/>
        <w:rPr>
          <w:rFonts w:asciiTheme="minorHAnsi" w:hAnsiTheme="minorHAnsi" w:cstheme="minorHAnsi"/>
          <w:kern w:val="2"/>
          <w:sz w:val="24"/>
          <w:szCs w:val="24"/>
          <w14:ligatures w14:val="standardContextual"/>
        </w:rPr>
      </w:pPr>
      <w:hyperlink w:anchor="_Toc165532991" w:history="1">
        <w:r w:rsidR="0006425F" w:rsidRPr="008067BE">
          <w:rPr>
            <w:rStyle w:val="Hyperlink"/>
            <w:rFonts w:asciiTheme="minorHAnsi" w:hAnsiTheme="minorHAnsi" w:cstheme="minorHAnsi"/>
          </w:rPr>
          <w:t>Consultation process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_Toc165532991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10</w:t>
        </w:r>
        <w:r w:rsidR="0006425F" w:rsidRPr="008067BE">
          <w:rPr>
            <w:rFonts w:asciiTheme="minorHAnsi" w:hAnsiTheme="minorHAnsi" w:cstheme="minorHAnsi"/>
            <w:webHidden/>
          </w:rPr>
          <w:fldChar w:fldCharType="end"/>
        </w:r>
      </w:hyperlink>
    </w:p>
    <w:p w14:paraId="343DD538" w14:textId="2E12A40E" w:rsidR="0006425F" w:rsidRPr="0006425F" w:rsidRDefault="00866E95">
      <w:pPr>
        <w:pStyle w:val="TOC2"/>
        <w:rPr>
          <w:rFonts w:asciiTheme="minorHAnsi" w:hAnsiTheme="minorHAnsi" w:cstheme="minorHAnsi"/>
          <w:kern w:val="2"/>
          <w:sz w:val="24"/>
          <w:szCs w:val="24"/>
          <w14:ligatures w14:val="standardContextual"/>
        </w:rPr>
      </w:pPr>
      <w:hyperlink w:anchor="_Toc165532992" w:history="1">
        <w:r w:rsidR="0006425F" w:rsidRPr="008067BE">
          <w:rPr>
            <w:rStyle w:val="Hyperlink"/>
            <w:rFonts w:asciiTheme="minorHAnsi" w:hAnsiTheme="minorHAnsi" w:cstheme="minorHAnsi"/>
          </w:rPr>
          <w:t>Submitting your views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_Toc165532992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10</w:t>
        </w:r>
        <w:r w:rsidR="0006425F" w:rsidRPr="008067BE">
          <w:rPr>
            <w:rFonts w:asciiTheme="minorHAnsi" w:hAnsiTheme="minorHAnsi" w:cstheme="minorHAnsi"/>
            <w:webHidden/>
          </w:rPr>
          <w:fldChar w:fldCharType="end"/>
        </w:r>
      </w:hyperlink>
    </w:p>
    <w:p w14:paraId="432999A3" w14:textId="3EAD1335" w:rsidR="0006425F" w:rsidRPr="0006425F" w:rsidRDefault="00866E95">
      <w:pPr>
        <w:pStyle w:val="TOC1"/>
        <w:rPr>
          <w:rFonts w:asciiTheme="minorHAnsi" w:hAnsiTheme="minorHAnsi" w:cstheme="minorHAnsi"/>
          <w:kern w:val="2"/>
          <w:sz w:val="24"/>
          <w:szCs w:val="24"/>
          <w14:ligatures w14:val="standardContextual"/>
        </w:rPr>
      </w:pPr>
      <w:hyperlink w:anchor="_Toc165532993" w:history="1">
        <w:r w:rsidR="0006425F" w:rsidRPr="008067BE">
          <w:rPr>
            <w:rStyle w:val="Hyperlink"/>
            <w:rFonts w:asciiTheme="minorHAnsi" w:hAnsiTheme="minorHAnsi" w:cstheme="minorHAnsi"/>
          </w:rPr>
          <w:t>Summary of proposals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_Toc165532993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11</w:t>
        </w:r>
        <w:r w:rsidR="0006425F" w:rsidRPr="008067BE">
          <w:rPr>
            <w:rFonts w:asciiTheme="minorHAnsi" w:hAnsiTheme="minorHAnsi" w:cstheme="minorHAnsi"/>
            <w:webHidden/>
          </w:rPr>
          <w:fldChar w:fldCharType="end"/>
        </w:r>
      </w:hyperlink>
    </w:p>
    <w:p w14:paraId="2DF7E951" w14:textId="75ED0097" w:rsidR="0006425F" w:rsidRPr="0006425F" w:rsidRDefault="00866E95">
      <w:pPr>
        <w:pStyle w:val="TOC1"/>
        <w:rPr>
          <w:rFonts w:asciiTheme="minorHAnsi" w:hAnsiTheme="minorHAnsi" w:cstheme="minorHAnsi"/>
          <w:kern w:val="2"/>
          <w:sz w:val="24"/>
          <w:szCs w:val="24"/>
          <w14:ligatures w14:val="standardContextual"/>
        </w:rPr>
      </w:pPr>
      <w:hyperlink w:anchor="_Toc165532994" w:history="1">
        <w:r w:rsidR="0006425F" w:rsidRPr="008067BE">
          <w:rPr>
            <w:rStyle w:val="Hyperlink"/>
            <w:rFonts w:asciiTheme="minorHAnsi" w:hAnsiTheme="minorHAnsi" w:cstheme="minorHAnsi"/>
          </w:rPr>
          <w:t>SECTION A: NZ ETS sector-specific regulatory updates and improvements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_Toc165532994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13</w:t>
        </w:r>
        <w:r w:rsidR="0006425F" w:rsidRPr="008067BE">
          <w:rPr>
            <w:rFonts w:asciiTheme="minorHAnsi" w:hAnsiTheme="minorHAnsi" w:cstheme="minorHAnsi"/>
            <w:webHidden/>
          </w:rPr>
          <w:fldChar w:fldCharType="end"/>
        </w:r>
      </w:hyperlink>
    </w:p>
    <w:p w14:paraId="1ABE9FDF" w14:textId="048AF474" w:rsidR="0006425F" w:rsidRPr="0006425F" w:rsidRDefault="00866E95">
      <w:pPr>
        <w:pStyle w:val="TOC2"/>
        <w:rPr>
          <w:rFonts w:asciiTheme="minorHAnsi" w:hAnsiTheme="minorHAnsi" w:cstheme="minorHAnsi"/>
          <w:kern w:val="2"/>
          <w:sz w:val="24"/>
          <w:szCs w:val="24"/>
          <w14:ligatures w14:val="standardContextual"/>
        </w:rPr>
      </w:pPr>
      <w:hyperlink w:anchor="_Toc165532995" w:history="1">
        <w:r w:rsidR="0006425F" w:rsidRPr="008067BE">
          <w:rPr>
            <w:rStyle w:val="Hyperlink"/>
            <w:rFonts w:asciiTheme="minorHAnsi" w:hAnsiTheme="minorHAnsi" w:cstheme="minorHAnsi"/>
          </w:rPr>
          <w:t xml:space="preserve">Proposed regulatory update 1: </w:t>
        </w:r>
        <w:r w:rsidR="0006425F" w:rsidRPr="008067BE">
          <w:rPr>
            <w:rStyle w:val="Hyperlink"/>
            <w:rFonts w:asciiTheme="minorHAnsi" w:hAnsiTheme="minorHAnsi" w:cstheme="minorHAnsi"/>
            <w:iCs/>
          </w:rPr>
          <w:t>Updating DEFs and UEF methodologies for geothermal activities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_Toc165532995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14</w:t>
        </w:r>
        <w:r w:rsidR="0006425F" w:rsidRPr="008067BE">
          <w:rPr>
            <w:rFonts w:asciiTheme="minorHAnsi" w:hAnsiTheme="minorHAnsi" w:cstheme="minorHAnsi"/>
            <w:webHidden/>
          </w:rPr>
          <w:fldChar w:fldCharType="end"/>
        </w:r>
      </w:hyperlink>
    </w:p>
    <w:p w14:paraId="1E07E084" w14:textId="5CE6D574" w:rsidR="0006425F" w:rsidRPr="0006425F" w:rsidRDefault="00866E95">
      <w:pPr>
        <w:pStyle w:val="TOC2"/>
        <w:rPr>
          <w:rFonts w:asciiTheme="minorHAnsi" w:hAnsiTheme="minorHAnsi" w:cstheme="minorHAnsi"/>
          <w:kern w:val="2"/>
          <w:sz w:val="24"/>
          <w:szCs w:val="24"/>
          <w14:ligatures w14:val="standardContextual"/>
        </w:rPr>
      </w:pPr>
      <w:hyperlink w:anchor="_Toc165532996" w:history="1">
        <w:r w:rsidR="0006425F" w:rsidRPr="008067BE">
          <w:rPr>
            <w:rStyle w:val="Hyperlink"/>
            <w:rFonts w:asciiTheme="minorHAnsi" w:hAnsiTheme="minorHAnsi" w:cstheme="minorHAnsi"/>
          </w:rPr>
          <w:t xml:space="preserve">Proposed regulatory update 2: </w:t>
        </w:r>
        <w:r w:rsidR="0006425F" w:rsidRPr="008067BE">
          <w:rPr>
            <w:rStyle w:val="Hyperlink"/>
            <w:rFonts w:asciiTheme="minorHAnsi" w:hAnsiTheme="minorHAnsi" w:cstheme="minorHAnsi"/>
            <w:iCs/>
          </w:rPr>
          <w:t>Updating DEFs for natural gas activities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_Toc165532996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21</w:t>
        </w:r>
        <w:r w:rsidR="0006425F" w:rsidRPr="008067BE">
          <w:rPr>
            <w:rFonts w:asciiTheme="minorHAnsi" w:hAnsiTheme="minorHAnsi" w:cstheme="minorHAnsi"/>
            <w:webHidden/>
          </w:rPr>
          <w:fldChar w:fldCharType="end"/>
        </w:r>
      </w:hyperlink>
    </w:p>
    <w:p w14:paraId="2F3CEBC4" w14:textId="4CF44F87" w:rsidR="0006425F" w:rsidRPr="0006425F" w:rsidRDefault="00866E95">
      <w:pPr>
        <w:pStyle w:val="TOC2"/>
        <w:rPr>
          <w:rFonts w:asciiTheme="minorHAnsi" w:hAnsiTheme="minorHAnsi" w:cstheme="minorHAnsi"/>
          <w:kern w:val="2"/>
          <w:sz w:val="24"/>
          <w:szCs w:val="24"/>
          <w14:ligatures w14:val="standardContextual"/>
        </w:rPr>
      </w:pPr>
      <w:hyperlink w:anchor="_Toc165532997" w:history="1">
        <w:r w:rsidR="0006425F" w:rsidRPr="008067BE">
          <w:rPr>
            <w:rStyle w:val="Hyperlink"/>
            <w:rFonts w:asciiTheme="minorHAnsi" w:hAnsiTheme="minorHAnsi" w:cstheme="minorHAnsi"/>
          </w:rPr>
          <w:t xml:space="preserve">Proposed regulatory update 3: </w:t>
        </w:r>
        <w:r w:rsidR="0006425F" w:rsidRPr="008067BE">
          <w:rPr>
            <w:rStyle w:val="Hyperlink"/>
            <w:rFonts w:asciiTheme="minorHAnsi" w:hAnsiTheme="minorHAnsi" w:cstheme="minorHAnsi"/>
            <w:iCs/>
          </w:rPr>
          <w:t>Updating DEFs for liquid fossil fuel activities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_Toc165532997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23</w:t>
        </w:r>
        <w:r w:rsidR="0006425F" w:rsidRPr="008067BE">
          <w:rPr>
            <w:rFonts w:asciiTheme="minorHAnsi" w:hAnsiTheme="minorHAnsi" w:cstheme="minorHAnsi"/>
            <w:webHidden/>
          </w:rPr>
          <w:fldChar w:fldCharType="end"/>
        </w:r>
      </w:hyperlink>
    </w:p>
    <w:p w14:paraId="4F2D8070" w14:textId="52F9708B" w:rsidR="0006425F" w:rsidRPr="0006425F" w:rsidRDefault="00866E95">
      <w:pPr>
        <w:pStyle w:val="TOC2"/>
        <w:rPr>
          <w:rFonts w:asciiTheme="minorHAnsi" w:hAnsiTheme="minorHAnsi" w:cstheme="minorHAnsi"/>
          <w:kern w:val="2"/>
          <w:sz w:val="24"/>
          <w:szCs w:val="24"/>
          <w14:ligatures w14:val="standardContextual"/>
        </w:rPr>
      </w:pPr>
      <w:hyperlink w:anchor="_Toc165532998" w:history="1">
        <w:r w:rsidR="0006425F" w:rsidRPr="008067BE">
          <w:rPr>
            <w:rStyle w:val="Hyperlink"/>
            <w:rFonts w:asciiTheme="minorHAnsi" w:hAnsiTheme="minorHAnsi" w:cstheme="minorHAnsi"/>
          </w:rPr>
          <w:t>Proposed regulatory update 4: Improving accuracy for the waste sector</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_Toc165532998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26</w:t>
        </w:r>
        <w:r w:rsidR="0006425F" w:rsidRPr="008067BE">
          <w:rPr>
            <w:rFonts w:asciiTheme="minorHAnsi" w:hAnsiTheme="minorHAnsi" w:cstheme="minorHAnsi"/>
            <w:webHidden/>
          </w:rPr>
          <w:fldChar w:fldCharType="end"/>
        </w:r>
      </w:hyperlink>
    </w:p>
    <w:p w14:paraId="1FA53868" w14:textId="12FD7C05" w:rsidR="0006425F" w:rsidRPr="0006425F" w:rsidRDefault="00866E95">
      <w:pPr>
        <w:pStyle w:val="TOC2"/>
        <w:rPr>
          <w:rFonts w:asciiTheme="minorHAnsi" w:hAnsiTheme="minorHAnsi" w:cstheme="minorHAnsi"/>
          <w:kern w:val="2"/>
          <w:sz w:val="24"/>
          <w:szCs w:val="24"/>
          <w14:ligatures w14:val="standardContextual"/>
        </w:rPr>
      </w:pPr>
      <w:hyperlink w:anchor="_Toc165532999" w:history="1">
        <w:r w:rsidR="0006425F" w:rsidRPr="008067BE">
          <w:rPr>
            <w:rStyle w:val="Hyperlink"/>
            <w:rFonts w:asciiTheme="minorHAnsi" w:hAnsiTheme="minorHAnsi" w:cstheme="minorHAnsi"/>
          </w:rPr>
          <w:t>4a – Aligning values in DEF and UEF regulations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_Toc165532999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26</w:t>
        </w:r>
        <w:r w:rsidR="0006425F" w:rsidRPr="008067BE">
          <w:rPr>
            <w:rFonts w:asciiTheme="minorHAnsi" w:hAnsiTheme="minorHAnsi" w:cstheme="minorHAnsi"/>
            <w:webHidden/>
          </w:rPr>
          <w:fldChar w:fldCharType="end"/>
        </w:r>
      </w:hyperlink>
    </w:p>
    <w:p w14:paraId="2071C0F4" w14:textId="4457DD15" w:rsidR="0006425F" w:rsidRPr="0006425F" w:rsidRDefault="00866E95">
      <w:pPr>
        <w:pStyle w:val="TOC2"/>
        <w:rPr>
          <w:rFonts w:asciiTheme="minorHAnsi" w:hAnsiTheme="minorHAnsi" w:cstheme="minorHAnsi"/>
          <w:kern w:val="2"/>
          <w:sz w:val="24"/>
          <w:szCs w:val="24"/>
          <w14:ligatures w14:val="standardContextual"/>
        </w:rPr>
      </w:pPr>
      <w:hyperlink w:anchor="_Toc165533000" w:history="1">
        <w:r w:rsidR="0006425F" w:rsidRPr="008067BE">
          <w:rPr>
            <w:rStyle w:val="Hyperlink"/>
            <w:rFonts w:asciiTheme="minorHAnsi" w:hAnsiTheme="minorHAnsi" w:cstheme="minorHAnsi"/>
          </w:rPr>
          <w:t xml:space="preserve">4b – </w:t>
        </w:r>
        <w:r w:rsidR="0006425F" w:rsidRPr="008067BE">
          <w:rPr>
            <w:rStyle w:val="Hyperlink"/>
            <w:rFonts w:asciiTheme="minorHAnsi" w:hAnsiTheme="minorHAnsi" w:cstheme="minorHAnsi"/>
            <w:iCs/>
          </w:rPr>
          <w:t>Clarifying data used to calculate UEFs for waste participants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_Toc165533000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28</w:t>
        </w:r>
        <w:r w:rsidR="0006425F" w:rsidRPr="008067BE">
          <w:rPr>
            <w:rFonts w:asciiTheme="minorHAnsi" w:hAnsiTheme="minorHAnsi" w:cstheme="minorHAnsi"/>
            <w:webHidden/>
          </w:rPr>
          <w:fldChar w:fldCharType="end"/>
        </w:r>
      </w:hyperlink>
    </w:p>
    <w:p w14:paraId="47041BF2" w14:textId="5B48C69B" w:rsidR="0006425F" w:rsidRPr="0006425F" w:rsidRDefault="00866E95">
      <w:pPr>
        <w:pStyle w:val="TOC2"/>
        <w:rPr>
          <w:rFonts w:asciiTheme="minorHAnsi" w:hAnsiTheme="minorHAnsi" w:cstheme="minorHAnsi"/>
          <w:kern w:val="2"/>
          <w:sz w:val="24"/>
          <w:szCs w:val="24"/>
          <w14:ligatures w14:val="standardContextual"/>
        </w:rPr>
      </w:pPr>
      <w:hyperlink w:anchor="_Toc165533001" w:history="1">
        <w:r w:rsidR="0006425F" w:rsidRPr="008067BE">
          <w:rPr>
            <w:rStyle w:val="Hyperlink"/>
            <w:rFonts w:asciiTheme="minorHAnsi" w:hAnsiTheme="minorHAnsi" w:cstheme="minorHAnsi"/>
          </w:rPr>
          <w:t xml:space="preserve">4c – </w:t>
        </w:r>
        <w:r w:rsidR="0006425F" w:rsidRPr="008067BE">
          <w:rPr>
            <w:rStyle w:val="Hyperlink"/>
            <w:rFonts w:asciiTheme="minorHAnsi" w:hAnsiTheme="minorHAnsi" w:cstheme="minorHAnsi"/>
            <w:iCs/>
          </w:rPr>
          <w:t>Offsite destruction of landfill gas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_Toc165533001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29</w:t>
        </w:r>
        <w:r w:rsidR="0006425F" w:rsidRPr="008067BE">
          <w:rPr>
            <w:rFonts w:asciiTheme="minorHAnsi" w:hAnsiTheme="minorHAnsi" w:cstheme="minorHAnsi"/>
            <w:webHidden/>
          </w:rPr>
          <w:fldChar w:fldCharType="end"/>
        </w:r>
      </w:hyperlink>
    </w:p>
    <w:p w14:paraId="03B0DB73" w14:textId="339EC100" w:rsidR="0006425F" w:rsidRPr="0006425F" w:rsidRDefault="00866E95">
      <w:pPr>
        <w:pStyle w:val="TOC2"/>
        <w:rPr>
          <w:rFonts w:asciiTheme="minorHAnsi" w:hAnsiTheme="minorHAnsi" w:cstheme="minorHAnsi"/>
          <w:kern w:val="2"/>
          <w:sz w:val="24"/>
          <w:szCs w:val="24"/>
          <w14:ligatures w14:val="standardContextual"/>
        </w:rPr>
      </w:pPr>
      <w:hyperlink w:anchor="_Toc165533002" w:history="1">
        <w:r w:rsidR="0006425F" w:rsidRPr="008067BE">
          <w:rPr>
            <w:rStyle w:val="Hyperlink"/>
            <w:rFonts w:asciiTheme="minorHAnsi" w:hAnsiTheme="minorHAnsi" w:cstheme="minorHAnsi"/>
          </w:rPr>
          <w:t xml:space="preserve">Proposed regulatory update 5: </w:t>
        </w:r>
        <w:r w:rsidR="0006425F" w:rsidRPr="008067BE">
          <w:rPr>
            <w:rStyle w:val="Hyperlink"/>
            <w:rFonts w:asciiTheme="minorHAnsi" w:hAnsiTheme="minorHAnsi" w:cstheme="minorHAnsi"/>
            <w:iCs/>
          </w:rPr>
          <w:t>Clarifying how the destruction of synthetic greenhouse gases is recognised</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_Toc165533002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31</w:t>
        </w:r>
        <w:r w:rsidR="0006425F" w:rsidRPr="008067BE">
          <w:rPr>
            <w:rFonts w:asciiTheme="minorHAnsi" w:hAnsiTheme="minorHAnsi" w:cstheme="minorHAnsi"/>
            <w:webHidden/>
          </w:rPr>
          <w:fldChar w:fldCharType="end"/>
        </w:r>
      </w:hyperlink>
    </w:p>
    <w:p w14:paraId="32DF77A9" w14:textId="1E71A59E" w:rsidR="0006425F" w:rsidRPr="0006425F" w:rsidRDefault="00866E95">
      <w:pPr>
        <w:pStyle w:val="TOC1"/>
        <w:rPr>
          <w:rFonts w:asciiTheme="minorHAnsi" w:hAnsiTheme="minorHAnsi" w:cstheme="minorHAnsi"/>
          <w:kern w:val="2"/>
          <w:sz w:val="24"/>
          <w:szCs w:val="24"/>
          <w14:ligatures w14:val="standardContextual"/>
        </w:rPr>
      </w:pPr>
      <w:hyperlink w:anchor="_Toc165533003" w:history="1">
        <w:r w:rsidR="0006425F" w:rsidRPr="008067BE">
          <w:rPr>
            <w:rStyle w:val="Hyperlink"/>
            <w:rFonts w:asciiTheme="minorHAnsi" w:hAnsiTheme="minorHAnsi" w:cstheme="minorHAnsi"/>
          </w:rPr>
          <w:t>SECTION B: NZ ETS auctioning and operational regulatory updates and improvements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_Toc165533003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34</w:t>
        </w:r>
        <w:r w:rsidR="0006425F" w:rsidRPr="008067BE">
          <w:rPr>
            <w:rFonts w:asciiTheme="minorHAnsi" w:hAnsiTheme="minorHAnsi" w:cstheme="minorHAnsi"/>
            <w:webHidden/>
          </w:rPr>
          <w:fldChar w:fldCharType="end"/>
        </w:r>
      </w:hyperlink>
    </w:p>
    <w:p w14:paraId="41FE60AA" w14:textId="3149F22D" w:rsidR="0006425F" w:rsidRPr="0006425F" w:rsidRDefault="00866E95">
      <w:pPr>
        <w:pStyle w:val="TOC2"/>
        <w:rPr>
          <w:rFonts w:asciiTheme="minorHAnsi" w:hAnsiTheme="minorHAnsi" w:cstheme="minorHAnsi"/>
          <w:kern w:val="2"/>
          <w:sz w:val="24"/>
          <w:szCs w:val="24"/>
          <w14:ligatures w14:val="standardContextual"/>
        </w:rPr>
      </w:pPr>
      <w:hyperlink w:anchor="_Toc165533004" w:history="1">
        <w:r w:rsidR="0006425F" w:rsidRPr="008067BE">
          <w:rPr>
            <w:rStyle w:val="Hyperlink"/>
            <w:rFonts w:asciiTheme="minorHAnsi" w:hAnsiTheme="minorHAnsi" w:cstheme="minorHAnsi"/>
          </w:rPr>
          <w:t xml:space="preserve">Proposed regulatory update 6: </w:t>
        </w:r>
        <w:r w:rsidR="0006425F" w:rsidRPr="008067BE">
          <w:rPr>
            <w:rStyle w:val="Hyperlink"/>
            <w:rFonts w:asciiTheme="minorHAnsi" w:hAnsiTheme="minorHAnsi" w:cstheme="minorHAnsi"/>
            <w:iCs/>
          </w:rPr>
          <w:t>Clarifying the definition of qualified person</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_Toc165533004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35</w:t>
        </w:r>
        <w:r w:rsidR="0006425F" w:rsidRPr="008067BE">
          <w:rPr>
            <w:rFonts w:asciiTheme="minorHAnsi" w:hAnsiTheme="minorHAnsi" w:cstheme="minorHAnsi"/>
            <w:webHidden/>
          </w:rPr>
          <w:fldChar w:fldCharType="end"/>
        </w:r>
      </w:hyperlink>
    </w:p>
    <w:p w14:paraId="56CF4488" w14:textId="3C590973" w:rsidR="0006425F" w:rsidRPr="0006425F" w:rsidRDefault="00866E95">
      <w:pPr>
        <w:pStyle w:val="TOC2"/>
        <w:rPr>
          <w:rFonts w:asciiTheme="minorHAnsi" w:hAnsiTheme="minorHAnsi" w:cstheme="minorHAnsi"/>
          <w:kern w:val="2"/>
          <w:sz w:val="24"/>
          <w:szCs w:val="24"/>
          <w14:ligatures w14:val="standardContextual"/>
        </w:rPr>
      </w:pPr>
      <w:hyperlink w:anchor="_Toc165533005" w:history="1">
        <w:r w:rsidR="0006425F" w:rsidRPr="008067BE">
          <w:rPr>
            <w:rStyle w:val="Hyperlink"/>
            <w:rFonts w:asciiTheme="minorHAnsi" w:hAnsiTheme="minorHAnsi" w:cstheme="minorHAnsi"/>
          </w:rPr>
          <w:t>Proposed regulatory update 7: Improving auctioning collateral methodology</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_Toc165533005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37</w:t>
        </w:r>
        <w:r w:rsidR="0006425F" w:rsidRPr="008067BE">
          <w:rPr>
            <w:rFonts w:asciiTheme="minorHAnsi" w:hAnsiTheme="minorHAnsi" w:cstheme="minorHAnsi"/>
            <w:webHidden/>
          </w:rPr>
          <w:fldChar w:fldCharType="end"/>
        </w:r>
      </w:hyperlink>
    </w:p>
    <w:p w14:paraId="6884E906" w14:textId="451288A9" w:rsidR="0006425F" w:rsidRPr="0006425F" w:rsidRDefault="00866E95">
      <w:pPr>
        <w:pStyle w:val="TOC1"/>
        <w:rPr>
          <w:rFonts w:asciiTheme="minorHAnsi" w:hAnsiTheme="minorHAnsi" w:cstheme="minorHAnsi"/>
          <w:kern w:val="2"/>
          <w:sz w:val="24"/>
          <w:szCs w:val="24"/>
          <w14:ligatures w14:val="standardContextual"/>
        </w:rPr>
      </w:pPr>
      <w:hyperlink w:anchor="_Toc165533006" w:history="1">
        <w:r w:rsidR="0006425F" w:rsidRPr="008067BE">
          <w:rPr>
            <w:rStyle w:val="Hyperlink"/>
            <w:rFonts w:asciiTheme="minorHAnsi" w:hAnsiTheme="minorHAnsi" w:cstheme="minorHAnsi"/>
          </w:rPr>
          <w:t>Consultation questions and providing feedback</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_Toc165533006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39</w:t>
        </w:r>
        <w:r w:rsidR="0006425F" w:rsidRPr="008067BE">
          <w:rPr>
            <w:rFonts w:asciiTheme="minorHAnsi" w:hAnsiTheme="minorHAnsi" w:cstheme="minorHAnsi"/>
            <w:webHidden/>
          </w:rPr>
          <w:fldChar w:fldCharType="end"/>
        </w:r>
      </w:hyperlink>
    </w:p>
    <w:p w14:paraId="4DEC804B" w14:textId="5436D159" w:rsidR="0006425F" w:rsidRPr="0006425F" w:rsidRDefault="00866E95">
      <w:pPr>
        <w:pStyle w:val="TOC2"/>
        <w:rPr>
          <w:rFonts w:asciiTheme="minorHAnsi" w:hAnsiTheme="minorHAnsi" w:cstheme="minorHAnsi"/>
          <w:kern w:val="2"/>
          <w:sz w:val="24"/>
          <w:szCs w:val="24"/>
          <w14:ligatures w14:val="standardContextual"/>
        </w:rPr>
      </w:pPr>
      <w:hyperlink w:anchor="_Toc165533007" w:history="1">
        <w:r w:rsidR="0006425F" w:rsidRPr="008067BE">
          <w:rPr>
            <w:rStyle w:val="Hyperlink"/>
            <w:rFonts w:asciiTheme="minorHAnsi" w:hAnsiTheme="minorHAnsi" w:cstheme="minorHAnsi"/>
          </w:rPr>
          <w:t>Consultation questions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_Toc165533007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39</w:t>
        </w:r>
        <w:r w:rsidR="0006425F" w:rsidRPr="008067BE">
          <w:rPr>
            <w:rFonts w:asciiTheme="minorHAnsi" w:hAnsiTheme="minorHAnsi" w:cstheme="minorHAnsi"/>
            <w:webHidden/>
          </w:rPr>
          <w:fldChar w:fldCharType="end"/>
        </w:r>
      </w:hyperlink>
    </w:p>
    <w:p w14:paraId="0502936B" w14:textId="32637740" w:rsidR="0006425F" w:rsidRPr="0006425F" w:rsidRDefault="00866E95">
      <w:pPr>
        <w:pStyle w:val="TOC2"/>
        <w:rPr>
          <w:rFonts w:asciiTheme="minorHAnsi" w:hAnsiTheme="minorHAnsi" w:cstheme="minorHAnsi"/>
          <w:kern w:val="2"/>
          <w:sz w:val="24"/>
          <w:szCs w:val="24"/>
          <w14:ligatures w14:val="standardContextual"/>
        </w:rPr>
      </w:pPr>
      <w:hyperlink w:anchor="_Toc165533008" w:history="1">
        <w:r w:rsidR="0006425F" w:rsidRPr="008067BE">
          <w:rPr>
            <w:rStyle w:val="Hyperlink"/>
            <w:rFonts w:asciiTheme="minorHAnsi" w:hAnsiTheme="minorHAnsi" w:cstheme="minorHAnsi"/>
          </w:rPr>
          <w:t>How to have your say</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_Toc165533008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40</w:t>
        </w:r>
        <w:r w:rsidR="0006425F" w:rsidRPr="008067BE">
          <w:rPr>
            <w:rFonts w:asciiTheme="minorHAnsi" w:hAnsiTheme="minorHAnsi" w:cstheme="minorHAnsi"/>
            <w:webHidden/>
          </w:rPr>
          <w:fldChar w:fldCharType="end"/>
        </w:r>
      </w:hyperlink>
    </w:p>
    <w:p w14:paraId="4EDE1F00" w14:textId="3A38A91A" w:rsidR="0006425F" w:rsidRPr="0006425F" w:rsidRDefault="00866E95">
      <w:pPr>
        <w:pStyle w:val="TOC2"/>
        <w:rPr>
          <w:rFonts w:asciiTheme="minorHAnsi" w:hAnsiTheme="minorHAnsi" w:cstheme="minorHAnsi"/>
          <w:kern w:val="2"/>
          <w:sz w:val="24"/>
          <w:szCs w:val="24"/>
          <w14:ligatures w14:val="standardContextual"/>
        </w:rPr>
      </w:pPr>
      <w:hyperlink w:anchor="_Toc165533009" w:history="1">
        <w:r w:rsidR="0006425F" w:rsidRPr="008067BE">
          <w:rPr>
            <w:rStyle w:val="Hyperlink"/>
            <w:rFonts w:asciiTheme="minorHAnsi" w:hAnsiTheme="minorHAnsi" w:cstheme="minorHAnsi"/>
          </w:rPr>
          <w:t>Timeframes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_Toc165533009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40</w:t>
        </w:r>
        <w:r w:rsidR="0006425F" w:rsidRPr="008067BE">
          <w:rPr>
            <w:rFonts w:asciiTheme="minorHAnsi" w:hAnsiTheme="minorHAnsi" w:cstheme="minorHAnsi"/>
            <w:webHidden/>
          </w:rPr>
          <w:fldChar w:fldCharType="end"/>
        </w:r>
      </w:hyperlink>
    </w:p>
    <w:p w14:paraId="3A582681" w14:textId="408B5622" w:rsidR="0006425F" w:rsidRPr="0006425F" w:rsidRDefault="00866E95">
      <w:pPr>
        <w:pStyle w:val="TOC2"/>
        <w:rPr>
          <w:rFonts w:asciiTheme="minorHAnsi" w:hAnsiTheme="minorHAnsi" w:cstheme="minorHAnsi"/>
          <w:kern w:val="2"/>
          <w:sz w:val="24"/>
          <w:szCs w:val="24"/>
          <w14:ligatures w14:val="standardContextual"/>
        </w:rPr>
      </w:pPr>
      <w:hyperlink w:anchor="_Toc165533010" w:history="1">
        <w:r w:rsidR="0006425F" w:rsidRPr="008067BE">
          <w:rPr>
            <w:rStyle w:val="Hyperlink"/>
            <w:rFonts w:asciiTheme="minorHAnsi" w:hAnsiTheme="minorHAnsi" w:cstheme="minorHAnsi"/>
          </w:rPr>
          <w:t>How to make a submission</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_Toc165533010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40</w:t>
        </w:r>
        <w:r w:rsidR="0006425F" w:rsidRPr="008067BE">
          <w:rPr>
            <w:rFonts w:asciiTheme="minorHAnsi" w:hAnsiTheme="minorHAnsi" w:cstheme="minorHAnsi"/>
            <w:webHidden/>
          </w:rPr>
          <w:fldChar w:fldCharType="end"/>
        </w:r>
      </w:hyperlink>
    </w:p>
    <w:p w14:paraId="62CA0518" w14:textId="27B322B2" w:rsidR="0006425F" w:rsidRPr="0006425F" w:rsidRDefault="00866E95">
      <w:pPr>
        <w:pStyle w:val="TOC2"/>
        <w:rPr>
          <w:rFonts w:asciiTheme="minorHAnsi" w:hAnsiTheme="minorHAnsi" w:cstheme="minorHAnsi"/>
          <w:kern w:val="2"/>
          <w:sz w:val="24"/>
          <w:szCs w:val="24"/>
          <w14:ligatures w14:val="standardContextual"/>
        </w:rPr>
      </w:pPr>
      <w:hyperlink w:anchor="_Toc165533011" w:history="1">
        <w:r w:rsidR="0006425F" w:rsidRPr="008067BE">
          <w:rPr>
            <w:rStyle w:val="Hyperlink"/>
            <w:rFonts w:asciiTheme="minorHAnsi" w:hAnsiTheme="minorHAnsi" w:cstheme="minorHAnsi"/>
          </w:rPr>
          <w:t>For more information</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_Toc165533011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41</w:t>
        </w:r>
        <w:r w:rsidR="0006425F" w:rsidRPr="008067BE">
          <w:rPr>
            <w:rFonts w:asciiTheme="minorHAnsi" w:hAnsiTheme="minorHAnsi" w:cstheme="minorHAnsi"/>
            <w:webHidden/>
          </w:rPr>
          <w:fldChar w:fldCharType="end"/>
        </w:r>
      </w:hyperlink>
    </w:p>
    <w:p w14:paraId="7B324893" w14:textId="249D7245" w:rsidR="0006425F" w:rsidRPr="0006425F" w:rsidRDefault="00866E95">
      <w:pPr>
        <w:pStyle w:val="TOC2"/>
        <w:rPr>
          <w:rFonts w:asciiTheme="minorHAnsi" w:hAnsiTheme="minorHAnsi" w:cstheme="minorHAnsi"/>
          <w:kern w:val="2"/>
          <w:sz w:val="24"/>
          <w:szCs w:val="24"/>
          <w14:ligatures w14:val="standardContextual"/>
        </w:rPr>
      </w:pPr>
      <w:hyperlink w:anchor="_Toc165533012" w:history="1">
        <w:r w:rsidR="0006425F" w:rsidRPr="008067BE">
          <w:rPr>
            <w:rStyle w:val="Hyperlink"/>
            <w:rFonts w:asciiTheme="minorHAnsi" w:hAnsiTheme="minorHAnsi" w:cstheme="minorHAnsi"/>
          </w:rPr>
          <w:t>Publishing and releasing submissions</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_Toc165533012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41</w:t>
        </w:r>
        <w:r w:rsidR="0006425F" w:rsidRPr="008067BE">
          <w:rPr>
            <w:rFonts w:asciiTheme="minorHAnsi" w:hAnsiTheme="minorHAnsi" w:cstheme="minorHAnsi"/>
            <w:webHidden/>
          </w:rPr>
          <w:fldChar w:fldCharType="end"/>
        </w:r>
      </w:hyperlink>
    </w:p>
    <w:p w14:paraId="53172DF5" w14:textId="0C5E919A" w:rsidR="0006425F" w:rsidRDefault="00866E95">
      <w:pPr>
        <w:pStyle w:val="TOC1"/>
        <w:rPr>
          <w:rFonts w:asciiTheme="minorHAnsi" w:hAnsiTheme="minorHAnsi"/>
          <w:kern w:val="2"/>
          <w:sz w:val="24"/>
          <w:szCs w:val="24"/>
          <w14:ligatures w14:val="standardContextual"/>
        </w:rPr>
      </w:pPr>
      <w:hyperlink w:anchor="_Toc165533013" w:history="1">
        <w:r w:rsidR="0006425F" w:rsidRPr="008067BE">
          <w:rPr>
            <w:rStyle w:val="Hyperlink"/>
            <w:rFonts w:asciiTheme="minorHAnsi" w:hAnsiTheme="minorHAnsi" w:cstheme="minorHAnsi"/>
          </w:rPr>
          <w:t>List of abbreviations used in this document</w:t>
        </w:r>
        <w:r w:rsidR="0006425F" w:rsidRPr="008067BE">
          <w:rPr>
            <w:rFonts w:asciiTheme="minorHAnsi" w:hAnsiTheme="minorHAnsi" w:cstheme="minorHAnsi"/>
            <w:webHidden/>
          </w:rPr>
          <w:tab/>
        </w:r>
        <w:r w:rsidR="0006425F" w:rsidRPr="008067BE">
          <w:rPr>
            <w:rFonts w:asciiTheme="minorHAnsi" w:hAnsiTheme="minorHAnsi" w:cstheme="minorHAnsi"/>
            <w:webHidden/>
          </w:rPr>
          <w:fldChar w:fldCharType="begin"/>
        </w:r>
        <w:r w:rsidR="0006425F" w:rsidRPr="008067BE">
          <w:rPr>
            <w:rFonts w:asciiTheme="minorHAnsi" w:hAnsiTheme="minorHAnsi" w:cstheme="minorHAnsi"/>
            <w:webHidden/>
          </w:rPr>
          <w:instrText xml:space="preserve"> PAGEREF _Toc165533013 \h </w:instrText>
        </w:r>
        <w:r w:rsidR="0006425F" w:rsidRPr="008067BE">
          <w:rPr>
            <w:rFonts w:asciiTheme="minorHAnsi" w:hAnsiTheme="minorHAnsi" w:cstheme="minorHAnsi"/>
            <w:webHidden/>
          </w:rPr>
        </w:r>
        <w:r w:rsidR="0006425F" w:rsidRPr="008067BE">
          <w:rPr>
            <w:rFonts w:asciiTheme="minorHAnsi" w:hAnsiTheme="minorHAnsi" w:cstheme="minorHAnsi"/>
            <w:webHidden/>
          </w:rPr>
          <w:fldChar w:fldCharType="separate"/>
        </w:r>
        <w:r w:rsidR="00FD7FCC">
          <w:rPr>
            <w:rFonts w:asciiTheme="minorHAnsi" w:hAnsiTheme="minorHAnsi" w:cstheme="minorHAnsi"/>
            <w:webHidden/>
          </w:rPr>
          <w:t>42</w:t>
        </w:r>
        <w:r w:rsidR="0006425F" w:rsidRPr="008067BE">
          <w:rPr>
            <w:rFonts w:asciiTheme="minorHAnsi" w:hAnsiTheme="minorHAnsi" w:cstheme="minorHAnsi"/>
            <w:webHidden/>
          </w:rPr>
          <w:fldChar w:fldCharType="end"/>
        </w:r>
      </w:hyperlink>
    </w:p>
    <w:p w14:paraId="74B36B42" w14:textId="21B77210" w:rsidR="00635A04" w:rsidRPr="00121736" w:rsidRDefault="00FB78A0" w:rsidP="00635A04">
      <w:pPr>
        <w:pStyle w:val="Heading"/>
      </w:pPr>
      <w:r w:rsidRPr="00ED1C7E">
        <w:fldChar w:fldCharType="end"/>
      </w:r>
      <w:r w:rsidR="00796A6F" w:rsidRPr="00ED1C7E">
        <w:br w:type="page"/>
      </w:r>
      <w:bookmarkStart w:id="3" w:name="_Toc161235493"/>
      <w:bookmarkStart w:id="4" w:name="_Toc162525563"/>
      <w:bookmarkStart w:id="5" w:name="_Toc163039413"/>
      <w:bookmarkStart w:id="6" w:name="_Toc345760336"/>
      <w:bookmarkEnd w:id="1"/>
      <w:bookmarkEnd w:id="2"/>
      <w:r w:rsidR="00635A04" w:rsidRPr="00121736">
        <w:lastRenderedPageBreak/>
        <w:t>Tables</w:t>
      </w:r>
      <w:bookmarkEnd w:id="3"/>
      <w:bookmarkEnd w:id="4"/>
      <w:bookmarkEnd w:id="5"/>
    </w:p>
    <w:p w14:paraId="75F8A23E" w14:textId="5CDCAEB4" w:rsidR="0006425F" w:rsidRDefault="00635A04">
      <w:pPr>
        <w:pStyle w:val="TableofFigures"/>
        <w:rPr>
          <w:rFonts w:asciiTheme="minorHAnsi" w:hAnsiTheme="minorHAnsi" w:cstheme="minorBidi"/>
          <w:kern w:val="2"/>
          <w:sz w:val="24"/>
          <w:szCs w:val="24"/>
          <w14:ligatures w14:val="standardContextual"/>
        </w:rPr>
      </w:pPr>
      <w:r w:rsidRPr="00ED1C7E">
        <w:rPr>
          <w:noProof w:val="0"/>
        </w:rPr>
        <w:fldChar w:fldCharType="begin"/>
      </w:r>
      <w:r w:rsidRPr="00ED1C7E">
        <w:rPr>
          <w:noProof w:val="0"/>
        </w:rPr>
        <w:instrText xml:space="preserve"> TOC \h \z \t "Table heading" \c </w:instrText>
      </w:r>
      <w:r w:rsidRPr="00ED1C7E">
        <w:rPr>
          <w:noProof w:val="0"/>
        </w:rPr>
        <w:fldChar w:fldCharType="separate"/>
      </w:r>
      <w:hyperlink w:anchor="_Toc165532908" w:history="1">
        <w:r w:rsidR="0006425F" w:rsidRPr="0057608D">
          <w:rPr>
            <w:rStyle w:val="Hyperlink"/>
          </w:rPr>
          <w:t xml:space="preserve">Table 1: </w:t>
        </w:r>
        <w:r w:rsidR="0006425F">
          <w:rPr>
            <w:rFonts w:asciiTheme="minorHAnsi" w:hAnsiTheme="minorHAnsi" w:cstheme="minorBidi"/>
            <w:kern w:val="2"/>
            <w:sz w:val="24"/>
            <w:szCs w:val="24"/>
            <w14:ligatures w14:val="standardContextual"/>
          </w:rPr>
          <w:tab/>
        </w:r>
        <w:r w:rsidR="0006425F" w:rsidRPr="0057608D">
          <w:rPr>
            <w:rStyle w:val="Hyperlink"/>
          </w:rPr>
          <w:t>Regulations affected by proposals in this document</w:t>
        </w:r>
        <w:r w:rsidR="0006425F">
          <w:rPr>
            <w:webHidden/>
          </w:rPr>
          <w:tab/>
        </w:r>
        <w:r w:rsidR="0006425F">
          <w:rPr>
            <w:webHidden/>
          </w:rPr>
          <w:fldChar w:fldCharType="begin"/>
        </w:r>
        <w:r w:rsidR="0006425F">
          <w:rPr>
            <w:webHidden/>
          </w:rPr>
          <w:instrText xml:space="preserve"> PAGEREF _Toc165532908 \h </w:instrText>
        </w:r>
        <w:r w:rsidR="0006425F">
          <w:rPr>
            <w:webHidden/>
          </w:rPr>
        </w:r>
        <w:r w:rsidR="0006425F">
          <w:rPr>
            <w:webHidden/>
          </w:rPr>
          <w:fldChar w:fldCharType="separate"/>
        </w:r>
        <w:r w:rsidR="00FD7FCC">
          <w:rPr>
            <w:webHidden/>
          </w:rPr>
          <w:t>8</w:t>
        </w:r>
        <w:r w:rsidR="0006425F">
          <w:rPr>
            <w:webHidden/>
          </w:rPr>
          <w:fldChar w:fldCharType="end"/>
        </w:r>
      </w:hyperlink>
    </w:p>
    <w:p w14:paraId="5E752B18" w14:textId="08FCA646" w:rsidR="0006425F" w:rsidRDefault="00866E95">
      <w:pPr>
        <w:pStyle w:val="TableofFigures"/>
        <w:rPr>
          <w:rFonts w:asciiTheme="minorHAnsi" w:hAnsiTheme="minorHAnsi" w:cstheme="minorBidi"/>
          <w:kern w:val="2"/>
          <w:sz w:val="24"/>
          <w:szCs w:val="24"/>
          <w14:ligatures w14:val="standardContextual"/>
        </w:rPr>
      </w:pPr>
      <w:hyperlink w:anchor="_Toc165532909" w:history="1">
        <w:r w:rsidR="0006425F" w:rsidRPr="0057608D">
          <w:rPr>
            <w:rStyle w:val="Hyperlink"/>
          </w:rPr>
          <w:t xml:space="preserve">Table 2: </w:t>
        </w:r>
        <w:r w:rsidR="0006425F">
          <w:rPr>
            <w:rFonts w:asciiTheme="minorHAnsi" w:hAnsiTheme="minorHAnsi" w:cstheme="minorBidi"/>
            <w:kern w:val="2"/>
            <w:sz w:val="24"/>
            <w:szCs w:val="24"/>
            <w14:ligatures w14:val="standardContextual"/>
          </w:rPr>
          <w:tab/>
        </w:r>
        <w:r w:rsidR="0006425F" w:rsidRPr="0057608D">
          <w:rPr>
            <w:rStyle w:val="Hyperlink"/>
          </w:rPr>
          <w:t>Brief summaries of the proposals in this document</w:t>
        </w:r>
        <w:r w:rsidR="0006425F">
          <w:rPr>
            <w:webHidden/>
          </w:rPr>
          <w:tab/>
        </w:r>
        <w:r w:rsidR="0006425F">
          <w:rPr>
            <w:webHidden/>
          </w:rPr>
          <w:fldChar w:fldCharType="begin"/>
        </w:r>
        <w:r w:rsidR="0006425F">
          <w:rPr>
            <w:webHidden/>
          </w:rPr>
          <w:instrText xml:space="preserve"> PAGEREF _Toc165532909 \h </w:instrText>
        </w:r>
        <w:r w:rsidR="0006425F">
          <w:rPr>
            <w:webHidden/>
          </w:rPr>
        </w:r>
        <w:r w:rsidR="0006425F">
          <w:rPr>
            <w:webHidden/>
          </w:rPr>
          <w:fldChar w:fldCharType="separate"/>
        </w:r>
        <w:r w:rsidR="00FD7FCC">
          <w:rPr>
            <w:webHidden/>
          </w:rPr>
          <w:t>11</w:t>
        </w:r>
        <w:r w:rsidR="0006425F">
          <w:rPr>
            <w:webHidden/>
          </w:rPr>
          <w:fldChar w:fldCharType="end"/>
        </w:r>
      </w:hyperlink>
    </w:p>
    <w:p w14:paraId="50031A40" w14:textId="28003294" w:rsidR="0006425F" w:rsidRDefault="00866E95">
      <w:pPr>
        <w:pStyle w:val="TableofFigures"/>
        <w:rPr>
          <w:rFonts w:asciiTheme="minorHAnsi" w:hAnsiTheme="minorHAnsi" w:cstheme="minorBidi"/>
          <w:kern w:val="2"/>
          <w:sz w:val="24"/>
          <w:szCs w:val="24"/>
          <w14:ligatures w14:val="standardContextual"/>
        </w:rPr>
      </w:pPr>
      <w:hyperlink w:anchor="_Toc165532910" w:history="1">
        <w:r w:rsidR="0006425F" w:rsidRPr="0057608D">
          <w:rPr>
            <w:rStyle w:val="Hyperlink"/>
          </w:rPr>
          <w:t xml:space="preserve">Table 3: </w:t>
        </w:r>
        <w:r w:rsidR="0006425F">
          <w:rPr>
            <w:rFonts w:asciiTheme="minorHAnsi" w:hAnsiTheme="minorHAnsi" w:cstheme="minorBidi"/>
            <w:kern w:val="2"/>
            <w:sz w:val="24"/>
            <w:szCs w:val="24"/>
            <w14:ligatures w14:val="standardContextual"/>
          </w:rPr>
          <w:tab/>
        </w:r>
        <w:r w:rsidR="0006425F" w:rsidRPr="0057608D">
          <w:rPr>
            <w:rStyle w:val="Hyperlink"/>
          </w:rPr>
          <w:t>Existing and proposed DEFs for geothermal participants</w:t>
        </w:r>
        <w:r w:rsidR="0006425F">
          <w:rPr>
            <w:webHidden/>
          </w:rPr>
          <w:tab/>
        </w:r>
        <w:r w:rsidR="0006425F">
          <w:rPr>
            <w:webHidden/>
          </w:rPr>
          <w:fldChar w:fldCharType="begin"/>
        </w:r>
        <w:r w:rsidR="0006425F">
          <w:rPr>
            <w:webHidden/>
          </w:rPr>
          <w:instrText xml:space="preserve"> PAGEREF _Toc165532910 \h </w:instrText>
        </w:r>
        <w:r w:rsidR="0006425F">
          <w:rPr>
            <w:webHidden/>
          </w:rPr>
        </w:r>
        <w:r w:rsidR="0006425F">
          <w:rPr>
            <w:webHidden/>
          </w:rPr>
          <w:fldChar w:fldCharType="separate"/>
        </w:r>
        <w:r w:rsidR="00FD7FCC">
          <w:rPr>
            <w:webHidden/>
          </w:rPr>
          <w:t>18</w:t>
        </w:r>
        <w:r w:rsidR="0006425F">
          <w:rPr>
            <w:webHidden/>
          </w:rPr>
          <w:fldChar w:fldCharType="end"/>
        </w:r>
      </w:hyperlink>
    </w:p>
    <w:p w14:paraId="2212DD9F" w14:textId="47C45D5C" w:rsidR="0006425F" w:rsidRDefault="00866E95">
      <w:pPr>
        <w:pStyle w:val="TableofFigures"/>
        <w:rPr>
          <w:rFonts w:asciiTheme="minorHAnsi" w:hAnsiTheme="minorHAnsi" w:cstheme="minorBidi"/>
          <w:kern w:val="2"/>
          <w:sz w:val="24"/>
          <w:szCs w:val="24"/>
          <w14:ligatures w14:val="standardContextual"/>
        </w:rPr>
      </w:pPr>
      <w:hyperlink w:anchor="_Toc165532911" w:history="1">
        <w:r w:rsidR="0006425F" w:rsidRPr="0057608D">
          <w:rPr>
            <w:rStyle w:val="Hyperlink"/>
          </w:rPr>
          <w:t xml:space="preserve">Table 4: </w:t>
        </w:r>
        <w:r w:rsidR="0006425F">
          <w:rPr>
            <w:rFonts w:asciiTheme="minorHAnsi" w:hAnsiTheme="minorHAnsi" w:cstheme="minorBidi"/>
            <w:kern w:val="2"/>
            <w:sz w:val="24"/>
            <w:szCs w:val="24"/>
            <w14:ligatures w14:val="standardContextual"/>
          </w:rPr>
          <w:tab/>
        </w:r>
        <w:r w:rsidR="0006425F" w:rsidRPr="0057608D">
          <w:rPr>
            <w:rStyle w:val="Hyperlink"/>
          </w:rPr>
          <w:t>Options for updates to NZ ETS regulations for geothermal activities</w:t>
        </w:r>
        <w:r w:rsidR="0006425F">
          <w:rPr>
            <w:webHidden/>
          </w:rPr>
          <w:tab/>
        </w:r>
        <w:r w:rsidR="0006425F">
          <w:rPr>
            <w:webHidden/>
          </w:rPr>
          <w:fldChar w:fldCharType="begin"/>
        </w:r>
        <w:r w:rsidR="0006425F">
          <w:rPr>
            <w:webHidden/>
          </w:rPr>
          <w:instrText xml:space="preserve"> PAGEREF _Toc165532911 \h </w:instrText>
        </w:r>
        <w:r w:rsidR="0006425F">
          <w:rPr>
            <w:webHidden/>
          </w:rPr>
        </w:r>
        <w:r w:rsidR="0006425F">
          <w:rPr>
            <w:webHidden/>
          </w:rPr>
          <w:fldChar w:fldCharType="separate"/>
        </w:r>
        <w:r w:rsidR="00FD7FCC">
          <w:rPr>
            <w:webHidden/>
          </w:rPr>
          <w:t>19</w:t>
        </w:r>
        <w:r w:rsidR="0006425F">
          <w:rPr>
            <w:webHidden/>
          </w:rPr>
          <w:fldChar w:fldCharType="end"/>
        </w:r>
      </w:hyperlink>
    </w:p>
    <w:p w14:paraId="48CCE478" w14:textId="7BBAA3DF" w:rsidR="0006425F" w:rsidRDefault="00866E95">
      <w:pPr>
        <w:pStyle w:val="TableofFigures"/>
        <w:rPr>
          <w:rFonts w:asciiTheme="minorHAnsi" w:hAnsiTheme="minorHAnsi" w:cstheme="minorBidi"/>
          <w:kern w:val="2"/>
          <w:sz w:val="24"/>
          <w:szCs w:val="24"/>
          <w14:ligatures w14:val="standardContextual"/>
        </w:rPr>
      </w:pPr>
      <w:hyperlink w:anchor="_Toc165532912" w:history="1">
        <w:r w:rsidR="0006425F" w:rsidRPr="0057608D">
          <w:rPr>
            <w:rStyle w:val="Hyperlink"/>
          </w:rPr>
          <w:t xml:space="preserve">Table 5: </w:t>
        </w:r>
        <w:r w:rsidR="0006425F">
          <w:rPr>
            <w:rFonts w:asciiTheme="minorHAnsi" w:hAnsiTheme="minorHAnsi" w:cstheme="minorBidi"/>
            <w:kern w:val="2"/>
            <w:sz w:val="24"/>
            <w:szCs w:val="24"/>
            <w14:ligatures w14:val="standardContextual"/>
          </w:rPr>
          <w:tab/>
        </w:r>
        <w:r w:rsidR="0006425F" w:rsidRPr="0057608D">
          <w:rPr>
            <w:rStyle w:val="Hyperlink"/>
          </w:rPr>
          <w:t>Options for updates to NZ ETS regulations for natural gas</w:t>
        </w:r>
        <w:r w:rsidR="0006425F">
          <w:rPr>
            <w:webHidden/>
          </w:rPr>
          <w:tab/>
        </w:r>
        <w:r w:rsidR="0006425F">
          <w:rPr>
            <w:webHidden/>
          </w:rPr>
          <w:fldChar w:fldCharType="begin"/>
        </w:r>
        <w:r w:rsidR="0006425F">
          <w:rPr>
            <w:webHidden/>
          </w:rPr>
          <w:instrText xml:space="preserve"> PAGEREF _Toc165532912 \h </w:instrText>
        </w:r>
        <w:r w:rsidR="0006425F">
          <w:rPr>
            <w:webHidden/>
          </w:rPr>
        </w:r>
        <w:r w:rsidR="0006425F">
          <w:rPr>
            <w:webHidden/>
          </w:rPr>
          <w:fldChar w:fldCharType="separate"/>
        </w:r>
        <w:r w:rsidR="00FD7FCC">
          <w:rPr>
            <w:webHidden/>
          </w:rPr>
          <w:t>22</w:t>
        </w:r>
        <w:r w:rsidR="0006425F">
          <w:rPr>
            <w:webHidden/>
          </w:rPr>
          <w:fldChar w:fldCharType="end"/>
        </w:r>
      </w:hyperlink>
    </w:p>
    <w:p w14:paraId="7765A2E9" w14:textId="33C3ACF4" w:rsidR="0006425F" w:rsidRDefault="00866E95">
      <w:pPr>
        <w:pStyle w:val="TableofFigures"/>
        <w:rPr>
          <w:rFonts w:asciiTheme="minorHAnsi" w:hAnsiTheme="minorHAnsi" w:cstheme="minorBidi"/>
          <w:kern w:val="2"/>
          <w:sz w:val="24"/>
          <w:szCs w:val="24"/>
          <w14:ligatures w14:val="standardContextual"/>
        </w:rPr>
      </w:pPr>
      <w:hyperlink w:anchor="_Toc165532913" w:history="1">
        <w:r w:rsidR="0006425F" w:rsidRPr="0057608D">
          <w:rPr>
            <w:rStyle w:val="Hyperlink"/>
          </w:rPr>
          <w:t xml:space="preserve">Table 6: </w:t>
        </w:r>
        <w:r w:rsidR="0006425F">
          <w:rPr>
            <w:rFonts w:asciiTheme="minorHAnsi" w:hAnsiTheme="minorHAnsi" w:cstheme="minorBidi"/>
            <w:kern w:val="2"/>
            <w:sz w:val="24"/>
            <w:szCs w:val="24"/>
            <w14:ligatures w14:val="standardContextual"/>
          </w:rPr>
          <w:tab/>
        </w:r>
        <w:r w:rsidR="0006425F" w:rsidRPr="0057608D">
          <w:rPr>
            <w:rStyle w:val="Hyperlink"/>
          </w:rPr>
          <w:t>Existing and proposed DEFs for liquid fossil fuel categories</w:t>
        </w:r>
        <w:r w:rsidR="0006425F">
          <w:rPr>
            <w:webHidden/>
          </w:rPr>
          <w:tab/>
        </w:r>
        <w:r w:rsidR="0006425F">
          <w:rPr>
            <w:webHidden/>
          </w:rPr>
          <w:fldChar w:fldCharType="begin"/>
        </w:r>
        <w:r w:rsidR="0006425F">
          <w:rPr>
            <w:webHidden/>
          </w:rPr>
          <w:instrText xml:space="preserve"> PAGEREF _Toc165532913 \h </w:instrText>
        </w:r>
        <w:r w:rsidR="0006425F">
          <w:rPr>
            <w:webHidden/>
          </w:rPr>
        </w:r>
        <w:r w:rsidR="0006425F">
          <w:rPr>
            <w:webHidden/>
          </w:rPr>
          <w:fldChar w:fldCharType="separate"/>
        </w:r>
        <w:r w:rsidR="00FD7FCC">
          <w:rPr>
            <w:webHidden/>
          </w:rPr>
          <w:t>24</w:t>
        </w:r>
        <w:r w:rsidR="0006425F">
          <w:rPr>
            <w:webHidden/>
          </w:rPr>
          <w:fldChar w:fldCharType="end"/>
        </w:r>
      </w:hyperlink>
    </w:p>
    <w:p w14:paraId="1127C440" w14:textId="11A3ADA0" w:rsidR="0006425F" w:rsidRDefault="00866E95">
      <w:pPr>
        <w:pStyle w:val="TableofFigures"/>
        <w:rPr>
          <w:rFonts w:asciiTheme="minorHAnsi" w:hAnsiTheme="minorHAnsi" w:cstheme="minorBidi"/>
          <w:kern w:val="2"/>
          <w:sz w:val="24"/>
          <w:szCs w:val="24"/>
          <w14:ligatures w14:val="standardContextual"/>
        </w:rPr>
      </w:pPr>
      <w:hyperlink w:anchor="_Toc165532914" w:history="1">
        <w:r w:rsidR="0006425F" w:rsidRPr="0057608D">
          <w:rPr>
            <w:rStyle w:val="Hyperlink"/>
          </w:rPr>
          <w:t xml:space="preserve">Table 7: </w:t>
        </w:r>
        <w:r w:rsidR="0006425F">
          <w:rPr>
            <w:rFonts w:asciiTheme="minorHAnsi" w:hAnsiTheme="minorHAnsi" w:cstheme="minorBidi"/>
            <w:kern w:val="2"/>
            <w:sz w:val="24"/>
            <w:szCs w:val="24"/>
            <w14:ligatures w14:val="standardContextual"/>
          </w:rPr>
          <w:tab/>
        </w:r>
        <w:r w:rsidR="0006425F" w:rsidRPr="0057608D">
          <w:rPr>
            <w:rStyle w:val="Hyperlink"/>
          </w:rPr>
          <w:t>Options for updates to NZ ETS regulations for liquid fossil fuels</w:t>
        </w:r>
        <w:r w:rsidR="0006425F">
          <w:rPr>
            <w:webHidden/>
          </w:rPr>
          <w:tab/>
        </w:r>
        <w:r w:rsidR="0006425F">
          <w:rPr>
            <w:webHidden/>
          </w:rPr>
          <w:fldChar w:fldCharType="begin"/>
        </w:r>
        <w:r w:rsidR="0006425F">
          <w:rPr>
            <w:webHidden/>
          </w:rPr>
          <w:instrText xml:space="preserve"> PAGEREF _Toc165532914 \h </w:instrText>
        </w:r>
        <w:r w:rsidR="0006425F">
          <w:rPr>
            <w:webHidden/>
          </w:rPr>
        </w:r>
        <w:r w:rsidR="0006425F">
          <w:rPr>
            <w:webHidden/>
          </w:rPr>
          <w:fldChar w:fldCharType="separate"/>
        </w:r>
        <w:r w:rsidR="00FD7FCC">
          <w:rPr>
            <w:webHidden/>
          </w:rPr>
          <w:t>24</w:t>
        </w:r>
        <w:r w:rsidR="0006425F">
          <w:rPr>
            <w:webHidden/>
          </w:rPr>
          <w:fldChar w:fldCharType="end"/>
        </w:r>
      </w:hyperlink>
    </w:p>
    <w:p w14:paraId="3DA08B9D" w14:textId="29D292C4" w:rsidR="0006425F" w:rsidRDefault="00866E95">
      <w:pPr>
        <w:pStyle w:val="TableofFigures"/>
        <w:rPr>
          <w:rFonts w:asciiTheme="minorHAnsi" w:hAnsiTheme="minorHAnsi" w:cstheme="minorBidi"/>
          <w:kern w:val="2"/>
          <w:sz w:val="24"/>
          <w:szCs w:val="24"/>
          <w14:ligatures w14:val="standardContextual"/>
        </w:rPr>
      </w:pPr>
      <w:hyperlink w:anchor="_Toc165532915" w:history="1">
        <w:r w:rsidR="0006425F" w:rsidRPr="0057608D">
          <w:rPr>
            <w:rStyle w:val="Hyperlink"/>
          </w:rPr>
          <w:t xml:space="preserve">Table 8: </w:t>
        </w:r>
        <w:r w:rsidR="0006425F">
          <w:rPr>
            <w:rFonts w:asciiTheme="minorHAnsi" w:hAnsiTheme="minorHAnsi" w:cstheme="minorBidi"/>
            <w:kern w:val="2"/>
            <w:sz w:val="24"/>
            <w:szCs w:val="24"/>
            <w14:ligatures w14:val="standardContextual"/>
          </w:rPr>
          <w:tab/>
        </w:r>
        <w:r w:rsidR="0006425F" w:rsidRPr="0057608D">
          <w:rPr>
            <w:rStyle w:val="Hyperlink"/>
          </w:rPr>
          <w:t>Options for updates to the UEF and DEF regulations</w:t>
        </w:r>
        <w:r w:rsidR="0006425F">
          <w:rPr>
            <w:webHidden/>
          </w:rPr>
          <w:tab/>
        </w:r>
        <w:r w:rsidR="0006425F">
          <w:rPr>
            <w:webHidden/>
          </w:rPr>
          <w:fldChar w:fldCharType="begin"/>
        </w:r>
        <w:r w:rsidR="0006425F">
          <w:rPr>
            <w:webHidden/>
          </w:rPr>
          <w:instrText xml:space="preserve"> PAGEREF _Toc165532915 \h </w:instrText>
        </w:r>
        <w:r w:rsidR="0006425F">
          <w:rPr>
            <w:webHidden/>
          </w:rPr>
        </w:r>
        <w:r w:rsidR="0006425F">
          <w:rPr>
            <w:webHidden/>
          </w:rPr>
          <w:fldChar w:fldCharType="separate"/>
        </w:r>
        <w:r w:rsidR="00FD7FCC">
          <w:rPr>
            <w:webHidden/>
          </w:rPr>
          <w:t>27</w:t>
        </w:r>
        <w:r w:rsidR="0006425F">
          <w:rPr>
            <w:webHidden/>
          </w:rPr>
          <w:fldChar w:fldCharType="end"/>
        </w:r>
      </w:hyperlink>
    </w:p>
    <w:p w14:paraId="5318E0FF" w14:textId="269C7582" w:rsidR="0006425F" w:rsidRDefault="00866E95">
      <w:pPr>
        <w:pStyle w:val="TableofFigures"/>
        <w:rPr>
          <w:rFonts w:asciiTheme="minorHAnsi" w:hAnsiTheme="minorHAnsi" w:cstheme="minorBidi"/>
          <w:kern w:val="2"/>
          <w:sz w:val="24"/>
          <w:szCs w:val="24"/>
          <w14:ligatures w14:val="standardContextual"/>
        </w:rPr>
      </w:pPr>
      <w:hyperlink w:anchor="_Toc165532916" w:history="1">
        <w:r w:rsidR="0006425F" w:rsidRPr="0057608D">
          <w:rPr>
            <w:rStyle w:val="Hyperlink"/>
          </w:rPr>
          <w:t xml:space="preserve">Table 9: </w:t>
        </w:r>
        <w:r w:rsidR="0006425F">
          <w:rPr>
            <w:rFonts w:asciiTheme="minorHAnsi" w:hAnsiTheme="minorHAnsi" w:cstheme="minorBidi"/>
            <w:kern w:val="2"/>
            <w:sz w:val="24"/>
            <w:szCs w:val="24"/>
            <w14:ligatures w14:val="standardContextual"/>
          </w:rPr>
          <w:tab/>
        </w:r>
        <w:r w:rsidR="0006425F" w:rsidRPr="0057608D">
          <w:rPr>
            <w:rStyle w:val="Hyperlink"/>
          </w:rPr>
          <w:t>Options to clarify the compositional data used to calculate UEFs</w:t>
        </w:r>
        <w:r w:rsidR="0006425F">
          <w:rPr>
            <w:webHidden/>
          </w:rPr>
          <w:tab/>
        </w:r>
        <w:r w:rsidR="0006425F">
          <w:rPr>
            <w:webHidden/>
          </w:rPr>
          <w:fldChar w:fldCharType="begin"/>
        </w:r>
        <w:r w:rsidR="0006425F">
          <w:rPr>
            <w:webHidden/>
          </w:rPr>
          <w:instrText xml:space="preserve"> PAGEREF _Toc165532916 \h </w:instrText>
        </w:r>
        <w:r w:rsidR="0006425F">
          <w:rPr>
            <w:webHidden/>
          </w:rPr>
        </w:r>
        <w:r w:rsidR="0006425F">
          <w:rPr>
            <w:webHidden/>
          </w:rPr>
          <w:fldChar w:fldCharType="separate"/>
        </w:r>
        <w:r w:rsidR="00FD7FCC">
          <w:rPr>
            <w:webHidden/>
          </w:rPr>
          <w:t>28</w:t>
        </w:r>
        <w:r w:rsidR="0006425F">
          <w:rPr>
            <w:webHidden/>
          </w:rPr>
          <w:fldChar w:fldCharType="end"/>
        </w:r>
      </w:hyperlink>
    </w:p>
    <w:p w14:paraId="7C7C841B" w14:textId="4BB554C1" w:rsidR="0006425F" w:rsidRDefault="00866E95">
      <w:pPr>
        <w:pStyle w:val="TableofFigures"/>
        <w:rPr>
          <w:rFonts w:asciiTheme="minorHAnsi" w:hAnsiTheme="minorHAnsi" w:cstheme="minorBidi"/>
          <w:kern w:val="2"/>
          <w:sz w:val="24"/>
          <w:szCs w:val="24"/>
          <w14:ligatures w14:val="standardContextual"/>
        </w:rPr>
      </w:pPr>
      <w:hyperlink w:anchor="_Toc165532917" w:history="1">
        <w:r w:rsidR="0006425F" w:rsidRPr="0057608D">
          <w:rPr>
            <w:rStyle w:val="Hyperlink"/>
          </w:rPr>
          <w:t xml:space="preserve">Table 10: </w:t>
        </w:r>
        <w:r w:rsidR="0006425F">
          <w:rPr>
            <w:rFonts w:asciiTheme="minorHAnsi" w:hAnsiTheme="minorHAnsi" w:cstheme="minorBidi"/>
            <w:kern w:val="2"/>
            <w:sz w:val="24"/>
            <w:szCs w:val="24"/>
            <w14:ligatures w14:val="standardContextual"/>
          </w:rPr>
          <w:tab/>
        </w:r>
        <w:r w:rsidR="0006425F" w:rsidRPr="0057608D">
          <w:rPr>
            <w:rStyle w:val="Hyperlink"/>
          </w:rPr>
          <w:t>Options to clarify the compositional data used to calculate UEFs</w:t>
        </w:r>
        <w:r w:rsidR="0006425F">
          <w:rPr>
            <w:webHidden/>
          </w:rPr>
          <w:tab/>
        </w:r>
        <w:r w:rsidR="0006425F">
          <w:rPr>
            <w:webHidden/>
          </w:rPr>
          <w:fldChar w:fldCharType="begin"/>
        </w:r>
        <w:r w:rsidR="0006425F">
          <w:rPr>
            <w:webHidden/>
          </w:rPr>
          <w:instrText xml:space="preserve"> PAGEREF _Toc165532917 \h </w:instrText>
        </w:r>
        <w:r w:rsidR="0006425F">
          <w:rPr>
            <w:webHidden/>
          </w:rPr>
        </w:r>
        <w:r w:rsidR="0006425F">
          <w:rPr>
            <w:webHidden/>
          </w:rPr>
          <w:fldChar w:fldCharType="separate"/>
        </w:r>
        <w:r w:rsidR="00FD7FCC">
          <w:rPr>
            <w:webHidden/>
          </w:rPr>
          <w:t>30</w:t>
        </w:r>
        <w:r w:rsidR="0006425F">
          <w:rPr>
            <w:webHidden/>
          </w:rPr>
          <w:fldChar w:fldCharType="end"/>
        </w:r>
      </w:hyperlink>
    </w:p>
    <w:p w14:paraId="4FE4E81C" w14:textId="387A13CD" w:rsidR="0006425F" w:rsidRDefault="00866E95">
      <w:pPr>
        <w:pStyle w:val="TableofFigures"/>
        <w:rPr>
          <w:rFonts w:asciiTheme="minorHAnsi" w:hAnsiTheme="minorHAnsi" w:cstheme="minorBidi"/>
          <w:kern w:val="2"/>
          <w:sz w:val="24"/>
          <w:szCs w:val="24"/>
          <w14:ligatures w14:val="standardContextual"/>
        </w:rPr>
      </w:pPr>
      <w:hyperlink w:anchor="_Toc165532918" w:history="1">
        <w:r w:rsidR="0006425F" w:rsidRPr="0057608D">
          <w:rPr>
            <w:rStyle w:val="Hyperlink"/>
          </w:rPr>
          <w:t xml:space="preserve">Table 11: </w:t>
        </w:r>
        <w:r w:rsidR="0006425F">
          <w:rPr>
            <w:rFonts w:asciiTheme="minorHAnsi" w:hAnsiTheme="minorHAnsi" w:cstheme="minorBidi"/>
            <w:kern w:val="2"/>
            <w:sz w:val="24"/>
            <w:szCs w:val="24"/>
            <w14:ligatures w14:val="standardContextual"/>
          </w:rPr>
          <w:tab/>
        </w:r>
        <w:r w:rsidR="0006425F" w:rsidRPr="0057608D">
          <w:rPr>
            <w:rStyle w:val="Hyperlink"/>
          </w:rPr>
          <w:t>Options for updates to regulations for onshore destruction of synthetic greenhouse gases</w:t>
        </w:r>
        <w:r w:rsidR="0006425F">
          <w:rPr>
            <w:webHidden/>
          </w:rPr>
          <w:tab/>
        </w:r>
        <w:r w:rsidR="0006425F">
          <w:rPr>
            <w:webHidden/>
          </w:rPr>
          <w:fldChar w:fldCharType="begin"/>
        </w:r>
        <w:r w:rsidR="0006425F">
          <w:rPr>
            <w:webHidden/>
          </w:rPr>
          <w:instrText xml:space="preserve"> PAGEREF _Toc165532918 \h </w:instrText>
        </w:r>
        <w:r w:rsidR="0006425F">
          <w:rPr>
            <w:webHidden/>
          </w:rPr>
        </w:r>
        <w:r w:rsidR="0006425F">
          <w:rPr>
            <w:webHidden/>
          </w:rPr>
          <w:fldChar w:fldCharType="separate"/>
        </w:r>
        <w:r w:rsidR="00FD7FCC">
          <w:rPr>
            <w:webHidden/>
          </w:rPr>
          <w:t>32</w:t>
        </w:r>
        <w:r w:rsidR="0006425F">
          <w:rPr>
            <w:webHidden/>
          </w:rPr>
          <w:fldChar w:fldCharType="end"/>
        </w:r>
      </w:hyperlink>
    </w:p>
    <w:p w14:paraId="1BA94E05" w14:textId="3AD01130" w:rsidR="0006425F" w:rsidRDefault="00866E95">
      <w:pPr>
        <w:pStyle w:val="TableofFigures"/>
        <w:rPr>
          <w:rFonts w:asciiTheme="minorHAnsi" w:hAnsiTheme="minorHAnsi" w:cstheme="minorBidi"/>
          <w:kern w:val="2"/>
          <w:sz w:val="24"/>
          <w:szCs w:val="24"/>
          <w14:ligatures w14:val="standardContextual"/>
        </w:rPr>
      </w:pPr>
      <w:hyperlink w:anchor="_Toc165532919" w:history="1">
        <w:r w:rsidR="0006425F" w:rsidRPr="0057608D">
          <w:rPr>
            <w:rStyle w:val="Hyperlink"/>
          </w:rPr>
          <w:t xml:space="preserve">Table 12: </w:t>
        </w:r>
        <w:r w:rsidR="0006425F">
          <w:rPr>
            <w:rFonts w:asciiTheme="minorHAnsi" w:hAnsiTheme="minorHAnsi" w:cstheme="minorBidi"/>
            <w:kern w:val="2"/>
            <w:sz w:val="24"/>
            <w:szCs w:val="24"/>
            <w14:ligatures w14:val="standardContextual"/>
          </w:rPr>
          <w:tab/>
        </w:r>
        <w:r w:rsidR="0006425F" w:rsidRPr="0057608D">
          <w:rPr>
            <w:rStyle w:val="Hyperlink"/>
          </w:rPr>
          <w:t>Options for updates to NZ ETS regulations for the definition of ‘qualified person’</w:t>
        </w:r>
        <w:r w:rsidR="0006425F">
          <w:rPr>
            <w:webHidden/>
          </w:rPr>
          <w:tab/>
        </w:r>
        <w:r w:rsidR="0006425F">
          <w:rPr>
            <w:webHidden/>
          </w:rPr>
          <w:fldChar w:fldCharType="begin"/>
        </w:r>
        <w:r w:rsidR="0006425F">
          <w:rPr>
            <w:webHidden/>
          </w:rPr>
          <w:instrText xml:space="preserve"> PAGEREF _Toc165532919 \h </w:instrText>
        </w:r>
        <w:r w:rsidR="0006425F">
          <w:rPr>
            <w:webHidden/>
          </w:rPr>
        </w:r>
        <w:r w:rsidR="0006425F">
          <w:rPr>
            <w:webHidden/>
          </w:rPr>
          <w:fldChar w:fldCharType="separate"/>
        </w:r>
        <w:r w:rsidR="00FD7FCC">
          <w:rPr>
            <w:webHidden/>
          </w:rPr>
          <w:t>36</w:t>
        </w:r>
        <w:r w:rsidR="0006425F">
          <w:rPr>
            <w:webHidden/>
          </w:rPr>
          <w:fldChar w:fldCharType="end"/>
        </w:r>
      </w:hyperlink>
    </w:p>
    <w:p w14:paraId="4922D31C" w14:textId="3A430194" w:rsidR="0006425F" w:rsidRDefault="00866E95">
      <w:pPr>
        <w:pStyle w:val="TableofFigures"/>
        <w:rPr>
          <w:rFonts w:asciiTheme="minorHAnsi" w:hAnsiTheme="minorHAnsi" w:cstheme="minorBidi"/>
          <w:kern w:val="2"/>
          <w:sz w:val="24"/>
          <w:szCs w:val="24"/>
          <w14:ligatures w14:val="standardContextual"/>
        </w:rPr>
      </w:pPr>
      <w:hyperlink w:anchor="_Toc165532920" w:history="1">
        <w:r w:rsidR="0006425F" w:rsidRPr="0057608D">
          <w:rPr>
            <w:rStyle w:val="Hyperlink"/>
          </w:rPr>
          <w:t xml:space="preserve">Table 14: </w:t>
        </w:r>
        <w:r w:rsidR="0006425F">
          <w:rPr>
            <w:rFonts w:asciiTheme="minorHAnsi" w:hAnsiTheme="minorHAnsi" w:cstheme="minorBidi"/>
            <w:kern w:val="2"/>
            <w:sz w:val="24"/>
            <w:szCs w:val="24"/>
            <w14:ligatures w14:val="standardContextual"/>
          </w:rPr>
          <w:tab/>
        </w:r>
        <w:r w:rsidR="0006425F" w:rsidRPr="0057608D">
          <w:rPr>
            <w:rStyle w:val="Hyperlink"/>
          </w:rPr>
          <w:t>Example collateral calculations under the two proposed options</w:t>
        </w:r>
        <w:r w:rsidR="0006425F">
          <w:rPr>
            <w:webHidden/>
          </w:rPr>
          <w:tab/>
        </w:r>
        <w:r w:rsidR="0006425F">
          <w:rPr>
            <w:webHidden/>
          </w:rPr>
          <w:fldChar w:fldCharType="begin"/>
        </w:r>
        <w:r w:rsidR="0006425F">
          <w:rPr>
            <w:webHidden/>
          </w:rPr>
          <w:instrText xml:space="preserve"> PAGEREF _Toc165532920 \h </w:instrText>
        </w:r>
        <w:r w:rsidR="0006425F">
          <w:rPr>
            <w:webHidden/>
          </w:rPr>
        </w:r>
        <w:r w:rsidR="0006425F">
          <w:rPr>
            <w:webHidden/>
          </w:rPr>
          <w:fldChar w:fldCharType="separate"/>
        </w:r>
        <w:r w:rsidR="00FD7FCC">
          <w:rPr>
            <w:webHidden/>
          </w:rPr>
          <w:t>38</w:t>
        </w:r>
        <w:r w:rsidR="0006425F">
          <w:rPr>
            <w:webHidden/>
          </w:rPr>
          <w:fldChar w:fldCharType="end"/>
        </w:r>
      </w:hyperlink>
    </w:p>
    <w:p w14:paraId="5809A2FA" w14:textId="4FD1C9C3" w:rsidR="0006425F" w:rsidRDefault="00866E95">
      <w:pPr>
        <w:pStyle w:val="TableofFigures"/>
        <w:rPr>
          <w:rFonts w:asciiTheme="minorHAnsi" w:hAnsiTheme="minorHAnsi" w:cstheme="minorBidi"/>
          <w:kern w:val="2"/>
          <w:sz w:val="24"/>
          <w:szCs w:val="24"/>
          <w14:ligatures w14:val="standardContextual"/>
        </w:rPr>
      </w:pPr>
      <w:hyperlink w:anchor="_Toc165532921" w:history="1">
        <w:r w:rsidR="0006425F" w:rsidRPr="0057608D">
          <w:rPr>
            <w:rStyle w:val="Hyperlink"/>
          </w:rPr>
          <w:t xml:space="preserve">Table 15: </w:t>
        </w:r>
        <w:r w:rsidR="0006425F">
          <w:rPr>
            <w:rFonts w:asciiTheme="minorHAnsi" w:hAnsiTheme="minorHAnsi" w:cstheme="minorBidi"/>
            <w:kern w:val="2"/>
            <w:sz w:val="24"/>
            <w:szCs w:val="24"/>
            <w14:ligatures w14:val="standardContextual"/>
          </w:rPr>
          <w:tab/>
        </w:r>
        <w:r w:rsidR="0006425F" w:rsidRPr="0057608D">
          <w:rPr>
            <w:rStyle w:val="Hyperlink"/>
          </w:rPr>
          <w:t>Options for updates to NZ ETS regulations for the calculation of auction collateral</w:t>
        </w:r>
        <w:r w:rsidR="0006425F">
          <w:rPr>
            <w:webHidden/>
          </w:rPr>
          <w:tab/>
        </w:r>
        <w:r w:rsidR="0006425F">
          <w:rPr>
            <w:webHidden/>
          </w:rPr>
          <w:fldChar w:fldCharType="begin"/>
        </w:r>
        <w:r w:rsidR="0006425F">
          <w:rPr>
            <w:webHidden/>
          </w:rPr>
          <w:instrText xml:space="preserve"> PAGEREF _Toc165532921 \h </w:instrText>
        </w:r>
        <w:r w:rsidR="0006425F">
          <w:rPr>
            <w:webHidden/>
          </w:rPr>
        </w:r>
        <w:r w:rsidR="0006425F">
          <w:rPr>
            <w:webHidden/>
          </w:rPr>
          <w:fldChar w:fldCharType="separate"/>
        </w:r>
        <w:r w:rsidR="00FD7FCC">
          <w:rPr>
            <w:webHidden/>
          </w:rPr>
          <w:t>38</w:t>
        </w:r>
        <w:r w:rsidR="0006425F">
          <w:rPr>
            <w:webHidden/>
          </w:rPr>
          <w:fldChar w:fldCharType="end"/>
        </w:r>
      </w:hyperlink>
    </w:p>
    <w:p w14:paraId="4A888040" w14:textId="77777777" w:rsidR="00356678" w:rsidRDefault="00635A04" w:rsidP="00356678">
      <w:pPr>
        <w:pStyle w:val="BodyText"/>
      </w:pPr>
      <w:r w:rsidRPr="00ED1C7E">
        <w:fldChar w:fldCharType="end"/>
      </w:r>
    </w:p>
    <w:p w14:paraId="12B1B7BC" w14:textId="77777777" w:rsidR="00605D67" w:rsidRPr="006B77BB" w:rsidRDefault="00605D67" w:rsidP="00605D67"/>
    <w:p w14:paraId="46E273A6" w14:textId="77777777" w:rsidR="00605D67" w:rsidRPr="006B77BB" w:rsidRDefault="00605D67" w:rsidP="00605D67">
      <w:pPr>
        <w:pStyle w:val="Heading"/>
      </w:pPr>
      <w:r w:rsidRPr="006B77BB">
        <w:t>Figures</w:t>
      </w:r>
    </w:p>
    <w:p w14:paraId="22C951B5" w14:textId="5FE278A7" w:rsidR="0006425F" w:rsidRDefault="00605D67">
      <w:pPr>
        <w:pStyle w:val="TableofFigures"/>
        <w:rPr>
          <w:rFonts w:asciiTheme="minorHAnsi" w:hAnsiTheme="minorHAnsi" w:cstheme="minorBidi"/>
          <w:kern w:val="2"/>
          <w:sz w:val="24"/>
          <w:szCs w:val="24"/>
          <w14:ligatures w14:val="standardContextual"/>
        </w:rPr>
      </w:pPr>
      <w:r w:rsidRPr="006B77BB">
        <w:fldChar w:fldCharType="begin"/>
      </w:r>
      <w:r w:rsidRPr="006B77BB">
        <w:instrText xml:space="preserve"> TOC \h \z \t "Figure heading" \c </w:instrText>
      </w:r>
      <w:r w:rsidRPr="006B77BB">
        <w:fldChar w:fldCharType="separate"/>
      </w:r>
      <w:hyperlink w:anchor="_Toc165532897" w:history="1">
        <w:r w:rsidR="0006425F" w:rsidRPr="008452DF">
          <w:rPr>
            <w:rStyle w:val="Hyperlink"/>
          </w:rPr>
          <w:t xml:space="preserve">Figure 1: </w:t>
        </w:r>
        <w:r w:rsidR="0006425F">
          <w:rPr>
            <w:rFonts w:asciiTheme="minorHAnsi" w:hAnsiTheme="minorHAnsi" w:cstheme="minorBidi"/>
            <w:kern w:val="2"/>
            <w:sz w:val="24"/>
            <w:szCs w:val="24"/>
            <w14:ligatures w14:val="standardContextual"/>
          </w:rPr>
          <w:tab/>
        </w:r>
        <w:r w:rsidR="0006425F" w:rsidRPr="008452DF">
          <w:rPr>
            <w:rStyle w:val="Hyperlink"/>
          </w:rPr>
          <w:t>Diagram of measurements required to calculate a UEF using the mass-balance and direct gas flow methods in a binary geothermal plant</w:t>
        </w:r>
        <w:r w:rsidR="0006425F">
          <w:rPr>
            <w:webHidden/>
          </w:rPr>
          <w:tab/>
        </w:r>
        <w:r w:rsidR="0006425F">
          <w:rPr>
            <w:webHidden/>
          </w:rPr>
          <w:fldChar w:fldCharType="begin"/>
        </w:r>
        <w:r w:rsidR="0006425F">
          <w:rPr>
            <w:webHidden/>
          </w:rPr>
          <w:instrText xml:space="preserve"> PAGEREF _Toc165532897 \h </w:instrText>
        </w:r>
        <w:r w:rsidR="0006425F">
          <w:rPr>
            <w:webHidden/>
          </w:rPr>
        </w:r>
        <w:r w:rsidR="0006425F">
          <w:rPr>
            <w:webHidden/>
          </w:rPr>
          <w:fldChar w:fldCharType="separate"/>
        </w:r>
        <w:r w:rsidR="00FD7FCC">
          <w:rPr>
            <w:webHidden/>
          </w:rPr>
          <w:t>16</w:t>
        </w:r>
        <w:r w:rsidR="0006425F">
          <w:rPr>
            <w:webHidden/>
          </w:rPr>
          <w:fldChar w:fldCharType="end"/>
        </w:r>
      </w:hyperlink>
    </w:p>
    <w:p w14:paraId="41BEE89E" w14:textId="441D481C" w:rsidR="00635A04" w:rsidRPr="00ED1C7E" w:rsidRDefault="00605D67" w:rsidP="00605D67">
      <w:pPr>
        <w:pStyle w:val="BodyText"/>
        <w:rPr>
          <w:rStyle w:val="Heading1Char"/>
          <w:rFonts w:ascii="Calibri" w:eastAsiaTheme="minorEastAsia" w:hAnsi="Calibri" w:cstheme="minorBidi"/>
          <w:b w:val="0"/>
          <w:bCs w:val="0"/>
          <w:color w:val="auto"/>
          <w:sz w:val="22"/>
          <w:szCs w:val="22"/>
        </w:rPr>
      </w:pPr>
      <w:r w:rsidRPr="006B77BB">
        <w:fldChar w:fldCharType="end"/>
      </w:r>
      <w:r w:rsidR="00635A04" w:rsidRPr="00ED1C7E">
        <w:rPr>
          <w:rStyle w:val="Heading1Char"/>
          <w:rFonts w:ascii="Calibri" w:eastAsiaTheme="minorEastAsia" w:hAnsi="Calibri" w:cstheme="minorBidi"/>
          <w:b w:val="0"/>
          <w:bCs w:val="0"/>
          <w:color w:val="auto"/>
          <w:sz w:val="22"/>
          <w:szCs w:val="22"/>
        </w:rPr>
        <w:br w:type="page"/>
      </w:r>
    </w:p>
    <w:p w14:paraId="2DB8F736" w14:textId="2226B372" w:rsidR="0080531E" w:rsidRPr="00ED1C7E" w:rsidRDefault="00295954" w:rsidP="00D41AA5">
      <w:pPr>
        <w:pStyle w:val="Heading1"/>
        <w:rPr>
          <w:rStyle w:val="Heading1Char"/>
          <w:b/>
          <w:bCs/>
        </w:rPr>
      </w:pPr>
      <w:bookmarkStart w:id="7" w:name="_Toc165532985"/>
      <w:r w:rsidRPr="00ED1C7E">
        <w:rPr>
          <w:rStyle w:val="Heading1Char"/>
          <w:b/>
          <w:bCs/>
        </w:rPr>
        <w:lastRenderedPageBreak/>
        <w:t>About this consultation</w:t>
      </w:r>
      <w:bookmarkEnd w:id="7"/>
    </w:p>
    <w:p w14:paraId="2DB252D9" w14:textId="78F1D01F" w:rsidR="008304D7" w:rsidRPr="00ED1C7E" w:rsidRDefault="008304D7" w:rsidP="00D41AA5">
      <w:pPr>
        <w:pStyle w:val="BodyText"/>
      </w:pPr>
      <w:r w:rsidRPr="00ED1C7E">
        <w:t>This consultation is on proposals to update regulations</w:t>
      </w:r>
      <w:r w:rsidR="00314F8E" w:rsidRPr="00ED1C7E">
        <w:t xml:space="preserve"> relating to the New Zealand Emissions Trading Scheme</w:t>
      </w:r>
      <w:r w:rsidR="00795852" w:rsidRPr="00ED1C7E">
        <w:t xml:space="preserve"> (</w:t>
      </w:r>
      <w:r w:rsidR="00221ACF" w:rsidRPr="00ED1C7E">
        <w:t>NZ ETS</w:t>
      </w:r>
      <w:r w:rsidR="00795852" w:rsidRPr="00ED1C7E">
        <w:t>)</w:t>
      </w:r>
      <w:r w:rsidR="00314F8E" w:rsidRPr="00ED1C7E">
        <w:t>.</w:t>
      </w:r>
      <w:r w:rsidR="004D754A" w:rsidRPr="00ED1C7E">
        <w:t xml:space="preserve"> These regulations are made under the Climate Change Response Act 2002 (the Act)</w:t>
      </w:r>
      <w:r w:rsidR="00B362D9" w:rsidRPr="00ED1C7E">
        <w:t>.</w:t>
      </w:r>
    </w:p>
    <w:p w14:paraId="373DE92F" w14:textId="707C5D50" w:rsidR="00326295" w:rsidRPr="00ED1C7E" w:rsidRDefault="00326295" w:rsidP="00D41AA5">
      <w:pPr>
        <w:pStyle w:val="BodyText"/>
      </w:pPr>
      <w:r w:rsidRPr="00ED1C7E">
        <w:t>Th</w:t>
      </w:r>
      <w:r w:rsidR="00C474DD" w:rsidRPr="00ED1C7E">
        <w:t xml:space="preserve">is consultation </w:t>
      </w:r>
      <w:r w:rsidR="00AE03FE" w:rsidRPr="00ED1C7E">
        <w:t xml:space="preserve">primarily </w:t>
      </w:r>
      <w:r w:rsidR="00C474DD" w:rsidRPr="00ED1C7E">
        <w:t>seeks</w:t>
      </w:r>
      <w:r w:rsidR="00F601FB" w:rsidRPr="00ED1C7E">
        <w:t xml:space="preserve"> the insight, evidence</w:t>
      </w:r>
      <w:r w:rsidR="00F601FB" w:rsidRPr="00ED1C7E" w:rsidDel="006D60AE">
        <w:t>,</w:t>
      </w:r>
      <w:r w:rsidR="00F601FB" w:rsidRPr="00ED1C7E">
        <w:t xml:space="preserve"> and perspectives of mandatory and voluntary participants in the </w:t>
      </w:r>
      <w:r w:rsidR="00221ACF" w:rsidRPr="00ED1C7E">
        <w:t>NZ ETS</w:t>
      </w:r>
      <w:r w:rsidR="00A164F2" w:rsidRPr="00ED1C7E">
        <w:t xml:space="preserve"> </w:t>
      </w:r>
      <w:r w:rsidR="00F601FB" w:rsidRPr="00ED1C7E">
        <w:t xml:space="preserve">who may be directly affected by the </w:t>
      </w:r>
      <w:r w:rsidR="00AE03FE" w:rsidRPr="00ED1C7E">
        <w:t>regulatory</w:t>
      </w:r>
      <w:r w:rsidR="00F601FB" w:rsidRPr="00ED1C7E">
        <w:t xml:space="preserve"> changes</w:t>
      </w:r>
      <w:r w:rsidR="00AE03FE" w:rsidRPr="00ED1C7E">
        <w:t xml:space="preserve"> proposed</w:t>
      </w:r>
      <w:r w:rsidR="00DF3BBE" w:rsidRPr="00ED1C7E">
        <w:t xml:space="preserve">. We also welcome submissions from </w:t>
      </w:r>
      <w:r w:rsidR="005F6C17" w:rsidRPr="00ED1C7E">
        <w:t xml:space="preserve">anyone </w:t>
      </w:r>
      <w:r w:rsidRPr="00ED1C7E">
        <w:t xml:space="preserve">with an interest in the </w:t>
      </w:r>
      <w:r w:rsidR="00EF50BA" w:rsidRPr="00ED1C7E">
        <w:t xml:space="preserve">regulations for the </w:t>
      </w:r>
      <w:r w:rsidR="00221ACF" w:rsidRPr="00ED1C7E">
        <w:t>NZ ETS</w:t>
      </w:r>
      <w:r w:rsidR="005E0CD9" w:rsidRPr="00ED1C7E">
        <w:t xml:space="preserve"> on one or more of these matters.</w:t>
      </w:r>
    </w:p>
    <w:p w14:paraId="1D5834D3" w14:textId="4AF2C22C" w:rsidR="00A164F2" w:rsidRPr="00ED1C7E" w:rsidRDefault="00A25FCA" w:rsidP="00D41AA5">
      <w:pPr>
        <w:pStyle w:val="BodyText"/>
      </w:pPr>
      <w:r>
        <w:t>We</w:t>
      </w:r>
      <w:r w:rsidR="002E538A" w:rsidRPr="00ED1C7E">
        <w:t xml:space="preserve"> are also consulting on a specific subset of </w:t>
      </w:r>
      <w:r w:rsidR="00221ACF" w:rsidRPr="00ED1C7E">
        <w:t>NZ ETS</w:t>
      </w:r>
      <w:r w:rsidR="002E538A" w:rsidRPr="00ED1C7E">
        <w:t xml:space="preserve"> regulations for ‘</w:t>
      </w:r>
      <w:r w:rsidR="00731C31" w:rsidRPr="00ED1C7E">
        <w:t>u</w:t>
      </w:r>
      <w:r w:rsidR="002E538A" w:rsidRPr="00ED1C7E">
        <w:t xml:space="preserve">nit </w:t>
      </w:r>
      <w:r w:rsidR="00731C31" w:rsidRPr="00ED1C7E">
        <w:t>l</w:t>
      </w:r>
      <w:r w:rsidR="002E538A" w:rsidRPr="00ED1C7E">
        <w:t xml:space="preserve">imits and </w:t>
      </w:r>
      <w:r w:rsidR="00731C31" w:rsidRPr="00ED1C7E">
        <w:t>p</w:t>
      </w:r>
      <w:r w:rsidR="002E538A" w:rsidRPr="00ED1C7E">
        <w:t xml:space="preserve">rice </w:t>
      </w:r>
      <w:r w:rsidR="00731C31" w:rsidRPr="00ED1C7E">
        <w:t>c</w:t>
      </w:r>
      <w:r w:rsidR="002E538A" w:rsidRPr="00ED1C7E">
        <w:t xml:space="preserve">ontrol </w:t>
      </w:r>
      <w:r w:rsidR="00731C31" w:rsidRPr="00ED1C7E">
        <w:t>s</w:t>
      </w:r>
      <w:r w:rsidR="002E538A" w:rsidRPr="00ED1C7E">
        <w:t>ettings’</w:t>
      </w:r>
      <w:r w:rsidR="006C2EB1" w:rsidRPr="00ED1C7E">
        <w:t xml:space="preserve"> (NZ</w:t>
      </w:r>
      <w:r w:rsidR="001E50FE" w:rsidRPr="00ED1C7E">
        <w:t> </w:t>
      </w:r>
      <w:r w:rsidR="006C2EB1" w:rsidRPr="00ED1C7E">
        <w:t xml:space="preserve">ETS </w:t>
      </w:r>
      <w:r w:rsidR="001E50FE" w:rsidRPr="00ED1C7E">
        <w:t>s</w:t>
      </w:r>
      <w:r w:rsidR="006C2EB1" w:rsidRPr="00ED1C7E">
        <w:t>ettings),</w:t>
      </w:r>
      <w:r w:rsidR="002E538A" w:rsidRPr="00ED1C7E">
        <w:t xml:space="preserve"> which </w:t>
      </w:r>
      <w:r w:rsidR="001E50FE" w:rsidRPr="00ED1C7E">
        <w:t>must</w:t>
      </w:r>
      <w:r w:rsidR="002E538A" w:rsidRPr="00ED1C7E">
        <w:t xml:space="preserve"> be updated every year. The proposals relating to </w:t>
      </w:r>
      <w:r w:rsidR="00221ACF" w:rsidRPr="00ED1C7E">
        <w:t>NZ ETS</w:t>
      </w:r>
      <w:r w:rsidR="006C2EB1" w:rsidRPr="00ED1C7E">
        <w:t xml:space="preserve"> </w:t>
      </w:r>
      <w:r w:rsidR="001E50FE" w:rsidRPr="00ED1C7E">
        <w:t>s</w:t>
      </w:r>
      <w:r w:rsidR="006C2EB1" w:rsidRPr="00ED1C7E">
        <w:t xml:space="preserve">ettings are presented in their own </w:t>
      </w:r>
      <w:hyperlink r:id="rId22" w:history="1">
        <w:r w:rsidR="006C2EB1" w:rsidRPr="002515DA">
          <w:rPr>
            <w:rStyle w:val="Hyperlink"/>
          </w:rPr>
          <w:t>consultation document</w:t>
        </w:r>
      </w:hyperlink>
      <w:r w:rsidR="00E34D9C" w:rsidRPr="00ED1C7E">
        <w:t>.</w:t>
      </w:r>
    </w:p>
    <w:p w14:paraId="2DB8F737" w14:textId="4FC16A66" w:rsidR="0080531E" w:rsidRPr="00ED1C7E" w:rsidRDefault="003E64DC" w:rsidP="006C3FCD">
      <w:pPr>
        <w:pStyle w:val="Heading2"/>
      </w:pPr>
      <w:bookmarkStart w:id="8" w:name="_Toc165532986"/>
      <w:r w:rsidRPr="00ED1C7E">
        <w:t>Background</w:t>
      </w:r>
      <w:bookmarkEnd w:id="8"/>
    </w:p>
    <w:p w14:paraId="5E473B50" w14:textId="1F98439A" w:rsidR="00E0710E" w:rsidRPr="00ED1C7E" w:rsidRDefault="00FA71D8" w:rsidP="00CB74B7">
      <w:pPr>
        <w:pStyle w:val="Heading3"/>
        <w:spacing w:before="240"/>
      </w:pPr>
      <w:r>
        <w:t>The role of the NZ ETS</w:t>
      </w:r>
    </w:p>
    <w:p w14:paraId="2EB0AC00" w14:textId="77777777" w:rsidR="007114B4" w:rsidRPr="007837CC" w:rsidRDefault="007114B4" w:rsidP="007114B4">
      <w:pPr>
        <w:pStyle w:val="BodyText"/>
      </w:pPr>
      <w:r>
        <w:t xml:space="preserve">The NZ ETS is the Government’s key tool to </w:t>
      </w:r>
      <w:r w:rsidRPr="007837CC">
        <w:t xml:space="preserve">help New Zealand meet its: </w:t>
      </w:r>
    </w:p>
    <w:p w14:paraId="4AC347FA" w14:textId="77777777" w:rsidR="007114B4" w:rsidRPr="007837CC" w:rsidRDefault="007114B4" w:rsidP="007114B4">
      <w:pPr>
        <w:pStyle w:val="Bullet"/>
        <w:tabs>
          <w:tab w:val="num" w:pos="397"/>
        </w:tabs>
        <w:rPr>
          <w:rFonts w:eastAsia="Calibri"/>
        </w:rPr>
      </w:pPr>
      <w:r w:rsidRPr="007837CC">
        <w:rPr>
          <w:rFonts w:eastAsia="Calibri"/>
        </w:rPr>
        <w:t xml:space="preserve">international obligations under the </w:t>
      </w:r>
      <w:r>
        <w:rPr>
          <w:rFonts w:eastAsia="Calibri"/>
        </w:rPr>
        <w:t xml:space="preserve">United Nations Framework Convention on Climate Change and its </w:t>
      </w:r>
      <w:r w:rsidRPr="007837CC">
        <w:rPr>
          <w:rFonts w:eastAsia="Calibri"/>
        </w:rPr>
        <w:t>Paris Agreement</w:t>
      </w:r>
    </w:p>
    <w:p w14:paraId="40AD22B4" w14:textId="77777777" w:rsidR="007114B4" w:rsidRPr="007837CC" w:rsidRDefault="007114B4" w:rsidP="007114B4">
      <w:pPr>
        <w:pStyle w:val="Bullet"/>
        <w:tabs>
          <w:tab w:val="num" w:pos="397"/>
        </w:tabs>
        <w:rPr>
          <w:rFonts w:eastAsia="Calibri"/>
        </w:rPr>
      </w:pPr>
      <w:r w:rsidRPr="007837CC">
        <w:rPr>
          <w:rFonts w:eastAsia="Calibri"/>
        </w:rPr>
        <w:t>2050 target</w:t>
      </w:r>
      <w:r>
        <w:rPr>
          <w:rFonts w:eastAsia="Calibri"/>
        </w:rPr>
        <w:t>s</w:t>
      </w:r>
      <w:r w:rsidRPr="453A2FE5">
        <w:rPr>
          <w:rFonts w:eastAsia="Calibri"/>
        </w:rPr>
        <w:t>:</w:t>
      </w:r>
      <w:r>
        <w:rPr>
          <w:rFonts w:eastAsia="Calibri"/>
        </w:rPr>
        <w:t xml:space="preserve"> net zero greenhouse gas emissions (except biogenic methane) and a </w:t>
      </w:r>
      <w:r>
        <w:rPr>
          <w:rFonts w:eastAsia="Calibri"/>
        </w:rPr>
        <w:br/>
        <w:t>24</w:t>
      </w:r>
      <w:r w:rsidRPr="0264DBD7">
        <w:rPr>
          <w:rFonts w:eastAsia="Calibri"/>
        </w:rPr>
        <w:t xml:space="preserve"> </w:t>
      </w:r>
      <w:r w:rsidRPr="74502F9D">
        <w:rPr>
          <w:rFonts w:eastAsia="Calibri"/>
        </w:rPr>
        <w:t xml:space="preserve">to </w:t>
      </w:r>
      <w:r>
        <w:rPr>
          <w:rFonts w:eastAsia="Calibri"/>
        </w:rPr>
        <w:t xml:space="preserve">47 </w:t>
      </w:r>
      <w:r w:rsidRPr="68308480">
        <w:rPr>
          <w:rFonts w:eastAsia="Calibri"/>
        </w:rPr>
        <w:t xml:space="preserve">per cent </w:t>
      </w:r>
      <w:r>
        <w:rPr>
          <w:rFonts w:eastAsia="Calibri"/>
        </w:rPr>
        <w:t>reduction in biogenic methane</w:t>
      </w:r>
    </w:p>
    <w:p w14:paraId="4D1927E9" w14:textId="77777777" w:rsidR="007114B4" w:rsidRPr="00161B39" w:rsidRDefault="007114B4" w:rsidP="007114B4">
      <w:pPr>
        <w:pStyle w:val="Bullet"/>
        <w:tabs>
          <w:tab w:val="num" w:pos="397"/>
        </w:tabs>
        <w:rPr>
          <w:rFonts w:eastAsia="Calibri"/>
        </w:rPr>
      </w:pPr>
      <w:r w:rsidRPr="007837CC">
        <w:rPr>
          <w:rFonts w:eastAsia="Calibri"/>
        </w:rPr>
        <w:t>em</w:t>
      </w:r>
      <w:r w:rsidRPr="00161B39">
        <w:rPr>
          <w:rFonts w:eastAsia="Calibri"/>
        </w:rPr>
        <w:t xml:space="preserve">issions budgets: a set of descending interim targets to reach the 2050 emissions reduction target. </w:t>
      </w:r>
    </w:p>
    <w:p w14:paraId="4699FD8F" w14:textId="015DC5F7" w:rsidR="00FD5952" w:rsidRPr="00ED1C7E" w:rsidRDefault="00FD5952" w:rsidP="00CB74B7">
      <w:pPr>
        <w:pStyle w:val="BodyText"/>
      </w:pPr>
      <w:r w:rsidRPr="00ED1C7E">
        <w:t xml:space="preserve">All sectors of </w:t>
      </w:r>
      <w:r w:rsidR="00493ED6" w:rsidRPr="00ED1C7E">
        <w:t xml:space="preserve">New Zealand’s </w:t>
      </w:r>
      <w:r w:rsidRPr="00ED1C7E">
        <w:t xml:space="preserve">economy, apart from agriculture, pay for their emissions through their </w:t>
      </w:r>
      <w:r w:rsidR="00221ACF" w:rsidRPr="00ED1C7E">
        <w:t>NZ ETS</w:t>
      </w:r>
      <w:r w:rsidRPr="00ED1C7E">
        <w:t xml:space="preserve"> surrender obligations</w:t>
      </w:r>
      <w:r w:rsidR="00644B59" w:rsidRPr="00ED1C7E">
        <w:t>,</w:t>
      </w:r>
      <w:r w:rsidRPr="00ED1C7E">
        <w:t xml:space="preserve"> or at a price derived from the</w:t>
      </w:r>
      <w:r w:rsidR="003E4889" w:rsidRPr="00ED1C7E">
        <w:t xml:space="preserve"> value of the</w:t>
      </w:r>
      <w:r w:rsidR="00493ED6" w:rsidRPr="00ED1C7E">
        <w:t xml:space="preserve"> New Zealand Unit (</w:t>
      </w:r>
      <w:r w:rsidRPr="00ED1C7E">
        <w:t>NZU</w:t>
      </w:r>
      <w:r w:rsidR="00493ED6" w:rsidRPr="00ED1C7E">
        <w:t>)</w:t>
      </w:r>
      <w:r w:rsidRPr="00ED1C7E">
        <w:t xml:space="preserve"> through the</w:t>
      </w:r>
      <w:r w:rsidR="0017111E" w:rsidRPr="00ED1C7E">
        <w:t xml:space="preserve"> Synthetic Greenhouse Gas Levy (</w:t>
      </w:r>
      <w:r w:rsidR="002A2B0F" w:rsidRPr="00ED1C7E">
        <w:t>SGG Levy</w:t>
      </w:r>
      <w:r w:rsidR="0017111E" w:rsidRPr="00ED1C7E">
        <w:t>)</w:t>
      </w:r>
      <w:r w:rsidRPr="00ED1C7E">
        <w:t>.</w:t>
      </w:r>
    </w:p>
    <w:p w14:paraId="11D77D90" w14:textId="0B8E0384" w:rsidR="127D559B" w:rsidRPr="00ED1C7E" w:rsidRDefault="7DFCD06D" w:rsidP="00CB74B7">
      <w:pPr>
        <w:pStyle w:val="BodyText"/>
        <w:rPr>
          <w:rFonts w:eastAsia="Calibri" w:cs="Calibri"/>
          <w:color w:val="000000" w:themeColor="text1"/>
        </w:rPr>
      </w:pPr>
      <w:r w:rsidRPr="00ED1C7E">
        <w:rPr>
          <w:rFonts w:eastAsia="Calibri" w:cs="Calibri"/>
          <w:color w:val="000000" w:themeColor="text1"/>
        </w:rPr>
        <w:t xml:space="preserve">The agriculture sector reports on its emissions through the </w:t>
      </w:r>
      <w:r w:rsidR="00221ACF" w:rsidRPr="00ED1C7E">
        <w:rPr>
          <w:rFonts w:eastAsia="Calibri" w:cs="Calibri"/>
          <w:color w:val="000000" w:themeColor="text1"/>
        </w:rPr>
        <w:t>NZ ETS</w:t>
      </w:r>
      <w:r w:rsidRPr="00ED1C7E">
        <w:rPr>
          <w:rFonts w:eastAsia="Calibri" w:cs="Calibri"/>
          <w:color w:val="000000" w:themeColor="text1"/>
        </w:rPr>
        <w:t xml:space="preserve"> but does not currently have surrender obligations</w:t>
      </w:r>
      <w:r w:rsidR="00794365" w:rsidRPr="00ED1C7E">
        <w:rPr>
          <w:rFonts w:eastAsia="Calibri" w:cs="Calibri"/>
          <w:color w:val="000000" w:themeColor="text1"/>
        </w:rPr>
        <w:t xml:space="preserve"> (that is, </w:t>
      </w:r>
      <w:r w:rsidR="00A3507D" w:rsidRPr="00ED1C7E">
        <w:rPr>
          <w:rFonts w:eastAsia="Calibri" w:cs="Calibri"/>
          <w:color w:val="000000" w:themeColor="text1"/>
        </w:rPr>
        <w:t xml:space="preserve">it </w:t>
      </w:r>
      <w:r w:rsidR="00794365" w:rsidRPr="00ED1C7E">
        <w:rPr>
          <w:rFonts w:eastAsia="Calibri" w:cs="Calibri"/>
          <w:color w:val="000000" w:themeColor="text1"/>
        </w:rPr>
        <w:t>do</w:t>
      </w:r>
      <w:r w:rsidR="00A3507D" w:rsidRPr="00ED1C7E">
        <w:rPr>
          <w:rFonts w:eastAsia="Calibri" w:cs="Calibri"/>
          <w:color w:val="000000" w:themeColor="text1"/>
        </w:rPr>
        <w:t>es</w:t>
      </w:r>
      <w:r w:rsidR="00794365" w:rsidRPr="00ED1C7E">
        <w:rPr>
          <w:rFonts w:eastAsia="Calibri" w:cs="Calibri"/>
          <w:color w:val="000000" w:themeColor="text1"/>
        </w:rPr>
        <w:t xml:space="preserve"> not </w:t>
      </w:r>
      <w:r w:rsidR="005D41D8" w:rsidRPr="00ED1C7E">
        <w:rPr>
          <w:rFonts w:eastAsia="Calibri" w:cs="Calibri"/>
          <w:color w:val="000000" w:themeColor="text1"/>
        </w:rPr>
        <w:t xml:space="preserve">face a cost on </w:t>
      </w:r>
      <w:r w:rsidR="00A3507D" w:rsidRPr="00ED1C7E">
        <w:rPr>
          <w:rFonts w:eastAsia="Calibri" w:cs="Calibri"/>
          <w:color w:val="000000" w:themeColor="text1"/>
        </w:rPr>
        <w:t xml:space="preserve">its </w:t>
      </w:r>
      <w:r w:rsidR="005D41D8" w:rsidRPr="00ED1C7E">
        <w:rPr>
          <w:rFonts w:eastAsia="Calibri" w:cs="Calibri"/>
          <w:color w:val="000000" w:themeColor="text1"/>
        </w:rPr>
        <w:t>emissions)</w:t>
      </w:r>
      <w:r w:rsidRPr="00ED1C7E">
        <w:rPr>
          <w:rFonts w:eastAsia="Calibri" w:cs="Calibri"/>
          <w:color w:val="000000" w:themeColor="text1"/>
        </w:rPr>
        <w:t>.</w:t>
      </w:r>
      <w:r w:rsidRPr="00ED1C7E">
        <w:rPr>
          <w:rFonts w:eastAsia="Calibri" w:cs="Calibri"/>
        </w:rPr>
        <w:t xml:space="preserve"> The Act currently provides </w:t>
      </w:r>
      <w:r w:rsidR="00794365" w:rsidRPr="00ED1C7E">
        <w:rPr>
          <w:rFonts w:eastAsia="Calibri" w:cs="Calibri"/>
        </w:rPr>
        <w:t xml:space="preserve">for </w:t>
      </w:r>
      <w:r w:rsidRPr="00ED1C7E">
        <w:rPr>
          <w:rFonts w:eastAsia="Calibri" w:cs="Calibri"/>
        </w:rPr>
        <w:t>processor</w:t>
      </w:r>
      <w:r w:rsidR="00794365" w:rsidRPr="00ED1C7E">
        <w:rPr>
          <w:rFonts w:eastAsia="Calibri" w:cs="Calibri"/>
        </w:rPr>
        <w:t>-level</w:t>
      </w:r>
      <w:r w:rsidRPr="00ED1C7E">
        <w:rPr>
          <w:rFonts w:eastAsia="Calibri" w:cs="Calibri"/>
        </w:rPr>
        <w:t xml:space="preserve"> surrender obligations </w:t>
      </w:r>
      <w:r w:rsidR="00794365" w:rsidRPr="00ED1C7E">
        <w:rPr>
          <w:rFonts w:eastAsia="Calibri" w:cs="Calibri"/>
        </w:rPr>
        <w:t xml:space="preserve">to </w:t>
      </w:r>
      <w:r w:rsidRPr="00ED1C7E">
        <w:rPr>
          <w:rFonts w:eastAsia="Calibri" w:cs="Calibri"/>
        </w:rPr>
        <w:t>come into effect on 1 January 2025. However, these provisions may be deferred</w:t>
      </w:r>
      <w:r w:rsidR="005D41D8" w:rsidRPr="00ED1C7E">
        <w:rPr>
          <w:rFonts w:eastAsia="Calibri" w:cs="Calibri"/>
        </w:rPr>
        <w:t xml:space="preserve"> or </w:t>
      </w:r>
      <w:r w:rsidRPr="00ED1C7E">
        <w:rPr>
          <w:rFonts w:eastAsia="Calibri" w:cs="Calibri"/>
        </w:rPr>
        <w:t>repealed before coming into effect</w:t>
      </w:r>
      <w:r w:rsidR="005D41D8" w:rsidRPr="00ED1C7E">
        <w:rPr>
          <w:rFonts w:eastAsia="Calibri" w:cs="Calibri"/>
        </w:rPr>
        <w:t>,</w:t>
      </w:r>
      <w:r w:rsidRPr="00ED1C7E">
        <w:rPr>
          <w:rFonts w:eastAsia="Calibri" w:cs="Calibri"/>
        </w:rPr>
        <w:t xml:space="preserve"> as the Government has committed to implementing a fair and sustainable pricing system for on-farm agricultural emissions by 2030</w:t>
      </w:r>
      <w:r w:rsidRPr="00ED1C7E">
        <w:rPr>
          <w:rFonts w:eastAsia="Calibri" w:cs="Calibri"/>
          <w:color w:val="000000" w:themeColor="text1"/>
        </w:rPr>
        <w:t>.</w:t>
      </w:r>
    </w:p>
    <w:p w14:paraId="468509C9" w14:textId="68706FAC" w:rsidR="006214DE" w:rsidRPr="00ED1C7E" w:rsidRDefault="006214DE" w:rsidP="00CB74B7">
      <w:pPr>
        <w:pStyle w:val="BodyText"/>
      </w:pPr>
      <w:r w:rsidRPr="00ED1C7E">
        <w:t xml:space="preserve">The SGG Levy </w:t>
      </w:r>
      <w:r w:rsidR="0017111E" w:rsidRPr="00ED1C7E">
        <w:t xml:space="preserve">uses a price derived from the NZU to </w:t>
      </w:r>
      <w:r w:rsidR="006B64F9" w:rsidRPr="00ED1C7E">
        <w:t xml:space="preserve">put an emissions cost on a subset of gases </w:t>
      </w:r>
      <w:r w:rsidR="00F47342" w:rsidRPr="00ED1C7E">
        <w:t xml:space="preserve">imported </w:t>
      </w:r>
      <w:r w:rsidR="006F78D6">
        <w:t>through</w:t>
      </w:r>
      <w:r w:rsidR="006F78D6" w:rsidRPr="00ED1C7E">
        <w:t xml:space="preserve"> </w:t>
      </w:r>
      <w:r w:rsidR="00F47342" w:rsidRPr="00ED1C7E">
        <w:t>the goods and vehicles in which they are contained</w:t>
      </w:r>
      <w:r w:rsidR="00572F55" w:rsidRPr="00ED1C7E">
        <w:t xml:space="preserve">. </w:t>
      </w:r>
      <w:r w:rsidR="00772430" w:rsidRPr="00ED1C7E">
        <w:t>The two gases covered by the SGG Levy are hydro</w:t>
      </w:r>
      <w:r w:rsidR="00224FEF" w:rsidRPr="00ED1C7E">
        <w:t xml:space="preserve">fluorocarbons and perfluorocarbons, </w:t>
      </w:r>
      <w:r w:rsidR="00882E5B" w:rsidRPr="00ED1C7E">
        <w:t xml:space="preserve">commonly contained in </w:t>
      </w:r>
      <w:r w:rsidR="00C1762F" w:rsidRPr="00ED1C7E">
        <w:t>re</w:t>
      </w:r>
      <w:r w:rsidR="00A65DF6" w:rsidRPr="00ED1C7E">
        <w:t>frige</w:t>
      </w:r>
      <w:r w:rsidR="00C1762F" w:rsidRPr="00ED1C7E">
        <w:t>rator</w:t>
      </w:r>
      <w:r w:rsidR="00A65DF6" w:rsidRPr="00ED1C7E">
        <w:t>s, freezers, heat</w:t>
      </w:r>
      <w:r w:rsidR="00C1762F" w:rsidRPr="00ED1C7E">
        <w:t xml:space="preserve"> </w:t>
      </w:r>
      <w:r w:rsidR="00A65DF6" w:rsidRPr="00ED1C7E">
        <w:t xml:space="preserve">pumps, </w:t>
      </w:r>
      <w:r w:rsidR="00C1762F" w:rsidRPr="00ED1C7E">
        <w:t xml:space="preserve">and </w:t>
      </w:r>
      <w:r w:rsidR="00A65DF6" w:rsidRPr="00ED1C7E">
        <w:t>air</w:t>
      </w:r>
      <w:r w:rsidR="00C1762F" w:rsidRPr="00ED1C7E">
        <w:t xml:space="preserve"> </w:t>
      </w:r>
      <w:r w:rsidR="00A65DF6" w:rsidRPr="00ED1C7E">
        <w:t>conditioners (including air-conditioning units in vehicles)</w:t>
      </w:r>
      <w:r w:rsidR="00C1762F" w:rsidRPr="00ED1C7E">
        <w:t xml:space="preserve">. </w:t>
      </w:r>
      <w:r w:rsidR="00900788" w:rsidRPr="00ED1C7E">
        <w:t xml:space="preserve">Other </w:t>
      </w:r>
      <w:r w:rsidR="00772430" w:rsidRPr="00ED1C7E">
        <w:t xml:space="preserve">synthetic greenhouse gases </w:t>
      </w:r>
      <w:r w:rsidR="00C1762F" w:rsidRPr="00ED1C7E">
        <w:t xml:space="preserve">used for other purposes </w:t>
      </w:r>
      <w:r w:rsidR="00DC5B9C" w:rsidRPr="00ED1C7E">
        <w:t xml:space="preserve">attract </w:t>
      </w:r>
      <w:r w:rsidR="00772430" w:rsidRPr="00ED1C7E">
        <w:t>obligations directly under the NZ</w:t>
      </w:r>
      <w:r w:rsidR="00371E89" w:rsidRPr="00ED1C7E">
        <w:t> </w:t>
      </w:r>
      <w:r w:rsidR="00772430" w:rsidRPr="00ED1C7E">
        <w:t>ETS.</w:t>
      </w:r>
    </w:p>
    <w:p w14:paraId="79C9BBBF" w14:textId="3525F0B9" w:rsidR="00E0710E" w:rsidRPr="00ED1C7E" w:rsidRDefault="00E0710E" w:rsidP="0084370D">
      <w:pPr>
        <w:pStyle w:val="Heading3"/>
      </w:pPr>
      <w:r w:rsidRPr="00ED1C7E">
        <w:lastRenderedPageBreak/>
        <w:t xml:space="preserve">How does the </w:t>
      </w:r>
      <w:r w:rsidR="00221ACF" w:rsidRPr="00ED1C7E">
        <w:t>NZ ETS</w:t>
      </w:r>
      <w:r w:rsidRPr="00ED1C7E">
        <w:t xml:space="preserve"> </w:t>
      </w:r>
      <w:r w:rsidR="00FD5952" w:rsidRPr="00ED1C7E">
        <w:t>achieve emissions reductions and incentivise removals?</w:t>
      </w:r>
    </w:p>
    <w:p w14:paraId="08898294" w14:textId="77777777" w:rsidR="00DC7509" w:rsidRDefault="00DC7509" w:rsidP="00DC7509">
      <w:pPr>
        <w:pStyle w:val="BodyText"/>
      </w:pPr>
      <w:r>
        <w:t>The NZ ETS supports net emissions reductions by:</w:t>
      </w:r>
    </w:p>
    <w:p w14:paraId="1E632B5A" w14:textId="77777777" w:rsidR="00DC7509" w:rsidRPr="007837CC" w:rsidRDefault="00DC7509" w:rsidP="00DC7509">
      <w:pPr>
        <w:pStyle w:val="Bullet"/>
        <w:tabs>
          <w:tab w:val="num" w:pos="397"/>
        </w:tabs>
        <w:rPr>
          <w:rFonts w:eastAsia="Calibri"/>
        </w:rPr>
      </w:pPr>
      <w:r w:rsidRPr="007837CC">
        <w:t>requiring businesses to measure and report on their greenhouse gas</w:t>
      </w:r>
      <w:r w:rsidRPr="007837CC">
        <w:rPr>
          <w:rFonts w:eastAsia="Calibri"/>
        </w:rPr>
        <w:t xml:space="preserve"> </w:t>
      </w:r>
      <w:proofErr w:type="gramStart"/>
      <w:r w:rsidRPr="007837CC">
        <w:rPr>
          <w:rFonts w:eastAsia="Calibri"/>
        </w:rPr>
        <w:t>emissions</w:t>
      </w:r>
      <w:proofErr w:type="gramEnd"/>
    </w:p>
    <w:p w14:paraId="5D82EF64" w14:textId="77777777" w:rsidR="00DC7509" w:rsidRPr="00E92EEB" w:rsidRDefault="00DC7509" w:rsidP="00DC7509">
      <w:pPr>
        <w:pStyle w:val="Bullet"/>
        <w:tabs>
          <w:tab w:val="num" w:pos="397"/>
        </w:tabs>
        <w:rPr>
          <w:rFonts w:eastAsia="Calibri"/>
        </w:rPr>
      </w:pPr>
      <w:r>
        <w:rPr>
          <w:rFonts w:eastAsia="Calibri"/>
        </w:rPr>
        <w:t>pricing emissions and removals</w:t>
      </w:r>
    </w:p>
    <w:p w14:paraId="0326A50D" w14:textId="77777777" w:rsidR="00DC7509" w:rsidRPr="007837CC" w:rsidRDefault="00DC7509" w:rsidP="00DC7509">
      <w:pPr>
        <w:pStyle w:val="Bullet"/>
        <w:tabs>
          <w:tab w:val="num" w:pos="397"/>
        </w:tabs>
        <w:rPr>
          <w:rFonts w:eastAsia="Calibri"/>
        </w:rPr>
      </w:pPr>
      <w:r w:rsidRPr="007837CC">
        <w:t xml:space="preserve">requiring businesses to surrender one ‘emissions unit’ (NZU) to the Government for each tonne of emissions they </w:t>
      </w:r>
      <w:r>
        <w:t>are responsible for under the NZ ETS</w:t>
      </w:r>
    </w:p>
    <w:p w14:paraId="7C968F67" w14:textId="77777777" w:rsidR="00DC7509" w:rsidRPr="00161B39" w:rsidRDefault="00DC7509" w:rsidP="00DC7509">
      <w:pPr>
        <w:pStyle w:val="Bullet"/>
        <w:tabs>
          <w:tab w:val="num" w:pos="397"/>
        </w:tabs>
        <w:rPr>
          <w:rFonts w:eastAsia="Calibri"/>
        </w:rPr>
      </w:pPr>
      <w:r w:rsidRPr="007867A6">
        <w:t xml:space="preserve">limiting the number of </w:t>
      </w:r>
      <w:r>
        <w:t>units</w:t>
      </w:r>
      <w:r w:rsidRPr="007867A6">
        <w:t xml:space="preserve"> supplied into the scheme</w:t>
      </w:r>
      <w:r w:rsidRPr="00161B39">
        <w:rPr>
          <w:rFonts w:eastAsia="Calibri"/>
        </w:rPr>
        <w:t xml:space="preserve"> through auctioning and industrial allocation.</w:t>
      </w:r>
    </w:p>
    <w:p w14:paraId="3C31244A" w14:textId="1424B22B" w:rsidR="00646084" w:rsidRPr="00ED1C7E" w:rsidRDefault="00646084" w:rsidP="00ED1C7E">
      <w:pPr>
        <w:pStyle w:val="BodyText"/>
        <w:spacing w:before="100" w:after="100"/>
      </w:pPr>
      <w:r w:rsidRPr="00ED1C7E">
        <w:t>The Government sets and reduces the number of units supplied into the scheme over time</w:t>
      </w:r>
      <w:r w:rsidR="00590E62">
        <w:t xml:space="preserve">, apart from </w:t>
      </w:r>
      <w:r w:rsidR="007636F9">
        <w:t>units</w:t>
      </w:r>
      <w:r w:rsidR="006617F8">
        <w:t xml:space="preserve"> supplied for removal activities</w:t>
      </w:r>
      <w:r w:rsidRPr="00ED1C7E">
        <w:t xml:space="preserve">. This limits the </w:t>
      </w:r>
      <w:r w:rsidR="00160BA7" w:rsidRPr="00ED1C7E">
        <w:t>total volume of emissions that can be emitted by participants in the scheme</w:t>
      </w:r>
      <w:r w:rsidRPr="00ED1C7E">
        <w:t xml:space="preserve">, in line with </w:t>
      </w:r>
      <w:r w:rsidR="001E2DDE" w:rsidRPr="00ED1C7E">
        <w:t xml:space="preserve">New Zealand’s </w:t>
      </w:r>
      <w:r w:rsidRPr="00ED1C7E">
        <w:t>emission reduction targets.</w:t>
      </w:r>
    </w:p>
    <w:p w14:paraId="497F5898" w14:textId="0636BFE5" w:rsidR="00D4222B" w:rsidRPr="00ED1C7E" w:rsidRDefault="00D4222B" w:rsidP="00ED1C7E">
      <w:pPr>
        <w:pStyle w:val="BodyText"/>
        <w:spacing w:before="100" w:after="100"/>
      </w:pPr>
      <w:r w:rsidRPr="00ED1C7E">
        <w:t xml:space="preserve">Additional units are also available to participants who </w:t>
      </w:r>
      <w:r w:rsidR="005E01B7" w:rsidRPr="00ED1C7E">
        <w:t xml:space="preserve">carry out activities that remove carbon from the atmosphere (such as forestry), which are not limited by </w:t>
      </w:r>
      <w:r w:rsidR="009853EC" w:rsidRPr="00ED1C7E">
        <w:t>the unit supply set by the Government.</w:t>
      </w:r>
    </w:p>
    <w:p w14:paraId="444A0CAA" w14:textId="49F8DAEB" w:rsidR="00646084" w:rsidRPr="00ED1C7E" w:rsidRDefault="00646084" w:rsidP="00ED1C7E">
      <w:pPr>
        <w:pStyle w:val="BodyText"/>
        <w:spacing w:before="100" w:after="100"/>
      </w:pPr>
      <w:r w:rsidRPr="00ED1C7E">
        <w:t xml:space="preserve">Businesses who participate in the </w:t>
      </w:r>
      <w:r w:rsidR="00221ACF" w:rsidRPr="00ED1C7E">
        <w:t>NZ ETS</w:t>
      </w:r>
      <w:r w:rsidRPr="00ED1C7E">
        <w:t xml:space="preserve"> can buy and sell units from each other. The price for units reflects supply and demand in the scheme. This price signal allows businesses to make economically efficient choices about how to reduce emissions.</w:t>
      </w:r>
    </w:p>
    <w:p w14:paraId="31EC5BBD" w14:textId="6770760F" w:rsidR="007F3974" w:rsidRPr="00ED1C7E" w:rsidRDefault="007F3974" w:rsidP="00ED1C7E">
      <w:pPr>
        <w:pStyle w:val="Heading3"/>
        <w:spacing w:before="320"/>
      </w:pPr>
      <w:r w:rsidRPr="00ED1C7E">
        <w:t xml:space="preserve">The role of the </w:t>
      </w:r>
      <w:r w:rsidR="00221ACF" w:rsidRPr="00ED1C7E">
        <w:t>NZ ETS</w:t>
      </w:r>
      <w:r w:rsidRPr="00ED1C7E">
        <w:t xml:space="preserve"> in the emissions reduction plan</w:t>
      </w:r>
    </w:p>
    <w:p w14:paraId="128CE81F" w14:textId="20E5E2B3" w:rsidR="00B53683" w:rsidRPr="00ED1C7E" w:rsidRDefault="00327834" w:rsidP="00CC5E3A">
      <w:pPr>
        <w:pStyle w:val="BodyText"/>
        <w:spacing w:after="100"/>
      </w:pPr>
      <w:r w:rsidRPr="00ED1C7E">
        <w:rPr>
          <w:rFonts w:eastAsia="Calibri"/>
        </w:rPr>
        <w:t>In 2022, the then</w:t>
      </w:r>
      <w:r w:rsidR="00B53683" w:rsidRPr="00ED1C7E">
        <w:rPr>
          <w:rFonts w:eastAsia="Calibri"/>
        </w:rPr>
        <w:t xml:space="preserve"> Government set </w:t>
      </w:r>
      <w:r w:rsidR="005F2F1C" w:rsidRPr="00ED1C7E">
        <w:rPr>
          <w:rFonts w:eastAsia="Calibri"/>
        </w:rPr>
        <w:t xml:space="preserve">the first three </w:t>
      </w:r>
      <w:r w:rsidR="00B53683" w:rsidRPr="00ED1C7E">
        <w:rPr>
          <w:rFonts w:eastAsia="Calibri"/>
        </w:rPr>
        <w:t>emissions budgets</w:t>
      </w:r>
      <w:r w:rsidRPr="00ED1C7E">
        <w:rPr>
          <w:rFonts w:eastAsia="Calibri"/>
        </w:rPr>
        <w:t xml:space="preserve">, which placed </w:t>
      </w:r>
      <w:r w:rsidR="00B53683" w:rsidRPr="00ED1C7E">
        <w:t xml:space="preserve">limits on the emissions that New Zealand can produce for the periods 2022–25, 2026–30 and 2031–35. </w:t>
      </w:r>
      <w:r w:rsidR="009A5101" w:rsidRPr="00ED1C7E">
        <w:t xml:space="preserve">The first </w:t>
      </w:r>
      <w:hyperlink r:id="rId23" w:history="1">
        <w:r w:rsidR="009A5101" w:rsidRPr="00ED1C7E">
          <w:rPr>
            <w:rStyle w:val="Hyperlink"/>
          </w:rPr>
          <w:t>emissions reduction plan</w:t>
        </w:r>
      </w:hyperlink>
      <w:r w:rsidR="009A5101" w:rsidRPr="00ED1C7E">
        <w:t xml:space="preserve">, published on 16 May 2022, </w:t>
      </w:r>
      <w:r w:rsidR="00211D21" w:rsidRPr="00ED1C7E">
        <w:t>describes how we are going to meet each emissions budget, thereby making the progress necessary to achieve our 2050 target.</w:t>
      </w:r>
      <w:r w:rsidR="009A5101" w:rsidRPr="00ED1C7E">
        <w:t xml:space="preserve"> </w:t>
      </w:r>
      <w:r w:rsidR="005F2F1C" w:rsidRPr="00ED1C7E">
        <w:t>The</w:t>
      </w:r>
      <w:r w:rsidR="005F2F1C" w:rsidRPr="00ED1C7E" w:rsidDel="00902319">
        <w:t xml:space="preserve"> </w:t>
      </w:r>
      <w:r w:rsidR="005F2F1C" w:rsidRPr="00ED1C7E">
        <w:t>focus of this emissions reduction plan was on the first budget period (2022–25).</w:t>
      </w:r>
    </w:p>
    <w:p w14:paraId="5EE7E9A7" w14:textId="51408AD3" w:rsidR="007D618F" w:rsidRPr="00ED1C7E" w:rsidRDefault="007D618F" w:rsidP="00CC5E3A">
      <w:pPr>
        <w:pStyle w:val="BodyText"/>
        <w:spacing w:after="100"/>
      </w:pPr>
      <w:r w:rsidRPr="00ED1C7E">
        <w:t>Th</w:t>
      </w:r>
      <w:r w:rsidR="00A1363B" w:rsidRPr="00ED1C7E">
        <w:t>is</w:t>
      </w:r>
      <w:r w:rsidRPr="00ED1C7E">
        <w:t xml:space="preserve"> target includes reducing all domestic greenhouse gas emissions to net zero by 2050, except for biogenic methane, which must reduce by 10</w:t>
      </w:r>
      <w:r w:rsidR="00CB3C96" w:rsidRPr="00ED1C7E">
        <w:t xml:space="preserve"> per cent</w:t>
      </w:r>
      <w:r w:rsidRPr="00ED1C7E">
        <w:t xml:space="preserve"> by 2030 (compared to 2017 levels) and by 24</w:t>
      </w:r>
      <w:r w:rsidR="00CB3C96" w:rsidRPr="00ED1C7E">
        <w:t xml:space="preserve"> to </w:t>
      </w:r>
      <w:r w:rsidRPr="00ED1C7E">
        <w:t>47</w:t>
      </w:r>
      <w:r w:rsidR="00CB3C96" w:rsidRPr="00ED1C7E">
        <w:t xml:space="preserve"> per cent</w:t>
      </w:r>
      <w:r w:rsidRPr="00ED1C7E">
        <w:t xml:space="preserve"> by 2050 (compared to 2017 levels).</w:t>
      </w:r>
    </w:p>
    <w:p w14:paraId="33002960" w14:textId="0847A02F" w:rsidR="00B53683" w:rsidRPr="00ED1C7E" w:rsidRDefault="00B53683" w:rsidP="00CC5E3A">
      <w:pPr>
        <w:pStyle w:val="BodyText"/>
        <w:spacing w:after="100"/>
        <w:rPr>
          <w:rFonts w:eastAsia="Calibri"/>
        </w:rPr>
      </w:pPr>
      <w:r w:rsidRPr="00ED1C7E">
        <w:t xml:space="preserve">The </w:t>
      </w:r>
      <w:r w:rsidR="00CB3C96" w:rsidRPr="00ED1C7E">
        <w:t>emissions reduction plan comprises</w:t>
      </w:r>
      <w:r w:rsidRPr="00ED1C7E">
        <w:rPr>
          <w:rFonts w:eastAsia="Calibri"/>
        </w:rPr>
        <w:t>:</w:t>
      </w:r>
    </w:p>
    <w:p w14:paraId="28402889" w14:textId="1551E66E" w:rsidR="00B53683" w:rsidRPr="00ED1C7E" w:rsidRDefault="001E25D1" w:rsidP="00CC5E3A">
      <w:pPr>
        <w:pStyle w:val="Bullet"/>
        <w:spacing w:after="100"/>
      </w:pPr>
      <w:r w:rsidRPr="00ED1C7E">
        <w:t>p</w:t>
      </w:r>
      <w:r w:rsidR="00B53683" w:rsidRPr="00ED1C7E">
        <w:t>olicies and strategies for specific sectors (</w:t>
      </w:r>
      <w:r w:rsidRPr="00ED1C7E">
        <w:t>such as</w:t>
      </w:r>
      <w:r w:rsidR="00B53683" w:rsidRPr="00ED1C7E">
        <w:t xml:space="preserve"> transport, waste, heat, industry, power,</w:t>
      </w:r>
      <w:r w:rsidR="00FB5327">
        <w:t> </w:t>
      </w:r>
      <w:r w:rsidR="00B53683" w:rsidRPr="00ED1C7E">
        <w:t>building and construction, agriculture</w:t>
      </w:r>
      <w:r w:rsidR="007D618F" w:rsidRPr="00ED1C7E">
        <w:t>,</w:t>
      </w:r>
      <w:r w:rsidR="00B53683" w:rsidRPr="00ED1C7E">
        <w:t xml:space="preserve"> and forestry) to reduce emissions and increase removals of greenhouse gases from the atmosphere </w:t>
      </w:r>
      <w:r w:rsidR="007D618F" w:rsidRPr="00ED1C7E">
        <w:t>and</w:t>
      </w:r>
      <w:r w:rsidR="00B53683" w:rsidRPr="00ED1C7E">
        <w:t xml:space="preserve"> from </w:t>
      </w:r>
      <w:r w:rsidRPr="00ED1C7E">
        <w:t>New</w:t>
      </w:r>
      <w:r w:rsidR="00FB5327">
        <w:t> </w:t>
      </w:r>
      <w:r w:rsidRPr="00ED1C7E">
        <w:t xml:space="preserve">Zealand’s </w:t>
      </w:r>
      <w:r w:rsidR="00B53683" w:rsidRPr="00ED1C7E">
        <w:t xml:space="preserve">reported </w:t>
      </w:r>
      <w:proofErr w:type="gramStart"/>
      <w:r w:rsidR="00B53683" w:rsidRPr="00ED1C7E">
        <w:t>emissions</w:t>
      </w:r>
      <w:proofErr w:type="gramEnd"/>
    </w:p>
    <w:p w14:paraId="405FCF62" w14:textId="053A30FA" w:rsidR="00B53683" w:rsidRPr="00ED1C7E" w:rsidRDefault="001E25D1" w:rsidP="00CC5E3A">
      <w:pPr>
        <w:pStyle w:val="Bullet"/>
        <w:spacing w:after="100"/>
      </w:pPr>
      <w:r w:rsidRPr="00ED1C7E">
        <w:t>a</w:t>
      </w:r>
      <w:r w:rsidR="00B53683" w:rsidRPr="00ED1C7E">
        <w:t xml:space="preserve"> multi-sector strategy to meet emissions budgets and improve how </w:t>
      </w:r>
      <w:r w:rsidRPr="00ED1C7E">
        <w:t xml:space="preserve">specific </w:t>
      </w:r>
      <w:r w:rsidR="00B53683" w:rsidRPr="00ED1C7E">
        <w:t xml:space="preserve">sectors adapt to the effects of climate </w:t>
      </w:r>
      <w:proofErr w:type="gramStart"/>
      <w:r w:rsidR="00B53683" w:rsidRPr="00ED1C7E">
        <w:t>change</w:t>
      </w:r>
      <w:proofErr w:type="gramEnd"/>
    </w:p>
    <w:p w14:paraId="36A3C49C" w14:textId="1539B212" w:rsidR="00B53683" w:rsidRPr="00ED1C7E" w:rsidRDefault="004641E5" w:rsidP="00CC5E3A">
      <w:pPr>
        <w:pStyle w:val="Bullet"/>
        <w:spacing w:after="100"/>
      </w:pPr>
      <w:r w:rsidRPr="00ED1C7E">
        <w:t>w</w:t>
      </w:r>
      <w:r w:rsidR="00B53683" w:rsidRPr="00ED1C7E">
        <w:t xml:space="preserve">ays to mitigate the impacts of reducing emissions and increasing removals on employees and employers, regions, iwi and Māori, and wider </w:t>
      </w:r>
      <w:proofErr w:type="gramStart"/>
      <w:r w:rsidR="00B53683" w:rsidRPr="00ED1C7E">
        <w:t>communities</w:t>
      </w:r>
      <w:proofErr w:type="gramEnd"/>
    </w:p>
    <w:p w14:paraId="43BA5EA0" w14:textId="6DD74193" w:rsidR="00B53683" w:rsidRPr="00ED1C7E" w:rsidRDefault="004641E5" w:rsidP="00CC5E3A">
      <w:pPr>
        <w:pStyle w:val="Bullet"/>
        <w:spacing w:after="100"/>
      </w:pPr>
      <w:r w:rsidRPr="00ED1C7E">
        <w:t>a</w:t>
      </w:r>
      <w:r w:rsidR="00B53683" w:rsidRPr="00ED1C7E">
        <w:t xml:space="preserve">dditional policies and strategies necessary to reduce emissions and increase removals. </w:t>
      </w:r>
    </w:p>
    <w:p w14:paraId="5FCD04AD" w14:textId="327A3105" w:rsidR="00B53683" w:rsidRPr="00ED1C7E" w:rsidRDefault="00B53683" w:rsidP="00CC5E3A">
      <w:pPr>
        <w:pStyle w:val="BodyText"/>
        <w:spacing w:after="100"/>
      </w:pPr>
      <w:r w:rsidRPr="00ED1C7E">
        <w:rPr>
          <w:spacing w:val="-2"/>
        </w:rPr>
        <w:t>The</w:t>
      </w:r>
      <w:r w:rsidRPr="00ED1C7E" w:rsidDel="00211D56">
        <w:rPr>
          <w:spacing w:val="-2"/>
        </w:rPr>
        <w:t xml:space="preserve"> </w:t>
      </w:r>
      <w:r w:rsidR="004641E5" w:rsidRPr="00ED1C7E">
        <w:rPr>
          <w:spacing w:val="-2"/>
        </w:rPr>
        <w:t xml:space="preserve">emissions reduction plan </w:t>
      </w:r>
      <w:r w:rsidRPr="00ED1C7E">
        <w:rPr>
          <w:spacing w:val="-2"/>
        </w:rPr>
        <w:t>sets out measures that reinforce each other</w:t>
      </w:r>
      <w:r w:rsidR="00C54358" w:rsidRPr="00ED1C7E">
        <w:rPr>
          <w:spacing w:val="-2"/>
        </w:rPr>
        <w:t xml:space="preserve"> – including emissions</w:t>
      </w:r>
      <w:r w:rsidR="00C54358" w:rsidRPr="00ED1C7E">
        <w:t xml:space="preserve"> pricing through the NZ ETS</w:t>
      </w:r>
      <w:r w:rsidRPr="00ED1C7E">
        <w:t xml:space="preserve">. Many complementary measures and actions in the </w:t>
      </w:r>
      <w:r w:rsidR="00C6380B" w:rsidRPr="00ED1C7E">
        <w:t xml:space="preserve">emissions </w:t>
      </w:r>
      <w:r w:rsidR="00C6380B" w:rsidRPr="00ED1C7E">
        <w:lastRenderedPageBreak/>
        <w:t xml:space="preserve">reduction plan </w:t>
      </w:r>
      <w:r w:rsidRPr="00ED1C7E">
        <w:t>are designed to support firms, households, workers</w:t>
      </w:r>
      <w:r w:rsidR="006B3AAF" w:rsidRPr="00ED1C7E" w:rsidDel="00B52EC5">
        <w:t>,</w:t>
      </w:r>
      <w:r w:rsidRPr="00ED1C7E">
        <w:t xml:space="preserve"> and communities to meet the challenges and seize the opportunities that </w:t>
      </w:r>
      <w:r w:rsidR="00AA4AEF" w:rsidRPr="00ED1C7E">
        <w:t xml:space="preserve">climate-related </w:t>
      </w:r>
      <w:r w:rsidRPr="00ED1C7E">
        <w:t>transition brings.</w:t>
      </w:r>
    </w:p>
    <w:p w14:paraId="19F39A18" w14:textId="3B8BA792" w:rsidR="002E2C5D" w:rsidRPr="00ED1C7E" w:rsidRDefault="002E2C5D" w:rsidP="0084370D">
      <w:pPr>
        <w:pStyle w:val="BodyText"/>
      </w:pPr>
      <w:r w:rsidRPr="00ED1C7E">
        <w:t xml:space="preserve">The </w:t>
      </w:r>
      <w:r w:rsidR="00142452" w:rsidRPr="00ED1C7E">
        <w:t xml:space="preserve">Government is due to publish the second </w:t>
      </w:r>
      <w:r w:rsidR="00AA4AEF" w:rsidRPr="00ED1C7E">
        <w:t xml:space="preserve">emissions reduction plan </w:t>
      </w:r>
      <w:r w:rsidR="00142452" w:rsidRPr="00ED1C7E">
        <w:t>by the end of 2024.</w:t>
      </w:r>
    </w:p>
    <w:p w14:paraId="1165A7C3" w14:textId="6576CEC9" w:rsidR="003E64DC" w:rsidRPr="00ED1C7E" w:rsidRDefault="003E64DC" w:rsidP="0084370D">
      <w:pPr>
        <w:pStyle w:val="Heading2"/>
      </w:pPr>
      <w:bookmarkStart w:id="9" w:name="_Toc165532987"/>
      <w:r w:rsidRPr="00ED1C7E">
        <w:t xml:space="preserve">How businesses interact with the </w:t>
      </w:r>
      <w:r w:rsidR="00221ACF" w:rsidRPr="00ED1C7E">
        <w:t>NZ ETS</w:t>
      </w:r>
      <w:bookmarkEnd w:id="9"/>
    </w:p>
    <w:p w14:paraId="0679CE5C" w14:textId="77777777" w:rsidR="00541F68" w:rsidRPr="00ED1C7E" w:rsidRDefault="00541F68" w:rsidP="0084370D">
      <w:pPr>
        <w:pStyle w:val="Heading3"/>
        <w:spacing w:before="240"/>
      </w:pPr>
      <w:r w:rsidRPr="00ED1C7E">
        <w:t>Reporting emissions and surrendering emission units</w:t>
      </w:r>
    </w:p>
    <w:p w14:paraId="09EE6303" w14:textId="3146B39A" w:rsidR="00541F68" w:rsidRPr="00ED1C7E" w:rsidRDefault="00541F68" w:rsidP="00261334">
      <w:pPr>
        <w:pStyle w:val="BodyText"/>
        <w:spacing w:before="100" w:after="100"/>
      </w:pPr>
      <w:r w:rsidRPr="00ED1C7E">
        <w:t xml:space="preserve">Some people and businesses </w:t>
      </w:r>
      <w:r w:rsidR="00AA4AEF" w:rsidRPr="00ED1C7E">
        <w:t xml:space="preserve">must </w:t>
      </w:r>
      <w:r w:rsidRPr="00ED1C7E">
        <w:t>report their emissions</w:t>
      </w:r>
      <w:r w:rsidR="00CB64BB" w:rsidRPr="00ED1C7E">
        <w:t xml:space="preserve">, and some </w:t>
      </w:r>
      <w:r w:rsidRPr="00ED1C7E">
        <w:t xml:space="preserve">also have to surrender emission units to cover their direct greenhouse gas </w:t>
      </w:r>
      <w:proofErr w:type="gramStart"/>
      <w:r w:rsidRPr="00ED1C7E">
        <w:t>emissions</w:t>
      </w:r>
      <w:proofErr w:type="gramEnd"/>
      <w:r w:rsidRPr="00ED1C7E">
        <w:t xml:space="preserve"> or the emissions associated with</w:t>
      </w:r>
      <w:r w:rsidR="00FB5327">
        <w:t> </w:t>
      </w:r>
      <w:r w:rsidRPr="00ED1C7E">
        <w:t xml:space="preserve">their products. </w:t>
      </w:r>
    </w:p>
    <w:p w14:paraId="09E45FF5" w14:textId="7D86D7FB" w:rsidR="00541F68" w:rsidRPr="00ED1C7E" w:rsidRDefault="00541F68" w:rsidP="00261334">
      <w:pPr>
        <w:pStyle w:val="BodyText"/>
        <w:spacing w:before="100" w:after="100"/>
      </w:pPr>
      <w:r w:rsidRPr="00ED1C7E">
        <w:t xml:space="preserve">To do this, businesses need to calculate the emissions from their activity over a calendar year, report to the Environmental Protection Authority </w:t>
      </w:r>
      <w:r w:rsidR="00DD397F" w:rsidRPr="00ED1C7E">
        <w:t xml:space="preserve">(EPA) </w:t>
      </w:r>
      <w:r w:rsidRPr="00ED1C7E">
        <w:t xml:space="preserve">by the end of March the following year, and then acquire and surrender units before the deadline. </w:t>
      </w:r>
      <w:r w:rsidR="001015F0" w:rsidRPr="00ED1C7E">
        <w:t>The requirement that participants must procure NZUs effectively puts a price on their emissions.</w:t>
      </w:r>
    </w:p>
    <w:p w14:paraId="7712B210" w14:textId="58CB3034" w:rsidR="007D422F" w:rsidRPr="00ED1C7E" w:rsidRDefault="007D422F" w:rsidP="00261334">
      <w:pPr>
        <w:pStyle w:val="BodyText"/>
        <w:spacing w:before="100" w:after="100"/>
      </w:pPr>
      <w:r w:rsidRPr="00ED1C7E">
        <w:t xml:space="preserve">Many businesses </w:t>
      </w:r>
      <w:r w:rsidR="003409DA" w:rsidRPr="00ED1C7E">
        <w:t xml:space="preserve">use </w:t>
      </w:r>
      <w:r w:rsidRPr="00ED1C7E">
        <w:t>a default emissions factor (DEF) or unique emissions factor (UEF)</w:t>
      </w:r>
      <w:r w:rsidR="00FC68A3" w:rsidRPr="00ED1C7E">
        <w:t xml:space="preserve"> in their emissions reporting</w:t>
      </w:r>
      <w:r w:rsidRPr="00ED1C7E">
        <w:t xml:space="preserve">, which </w:t>
      </w:r>
      <w:r w:rsidR="00FC68A3" w:rsidRPr="00ED1C7E">
        <w:t>can be used to convert reported data (</w:t>
      </w:r>
      <w:r w:rsidR="00CA65BD" w:rsidRPr="00ED1C7E">
        <w:t xml:space="preserve">such as production data) into an emissions value. DEFs are typically set directly in regulations, </w:t>
      </w:r>
      <w:r w:rsidR="00D541D3" w:rsidRPr="00ED1C7E">
        <w:t xml:space="preserve">but </w:t>
      </w:r>
      <w:r w:rsidR="00CA65BD" w:rsidRPr="00ED1C7E">
        <w:t>participants must provide additional evidence and seek approval to use a UEF.</w:t>
      </w:r>
    </w:p>
    <w:p w14:paraId="1941E5B1" w14:textId="0A95547A" w:rsidR="00541F68" w:rsidRPr="00ED1C7E" w:rsidRDefault="00541F68" w:rsidP="00415BD5">
      <w:pPr>
        <w:pStyle w:val="Heading3"/>
        <w:spacing w:before="240"/>
      </w:pPr>
      <w:r w:rsidRPr="00ED1C7E">
        <w:t xml:space="preserve">Removing greenhouse gases from the atmosphere or </w:t>
      </w:r>
      <w:r w:rsidR="00417D1B" w:rsidRPr="00ED1C7E">
        <w:t>New</w:t>
      </w:r>
      <w:r w:rsidR="0084370D" w:rsidRPr="00ED1C7E">
        <w:t> </w:t>
      </w:r>
      <w:r w:rsidR="00417D1B" w:rsidRPr="00ED1C7E">
        <w:t>Zealand</w:t>
      </w:r>
      <w:r w:rsidRPr="00ED1C7E">
        <w:t>’s reported emissions</w:t>
      </w:r>
    </w:p>
    <w:p w14:paraId="101566CF" w14:textId="69EE39C9" w:rsidR="00541F68" w:rsidRPr="00ED1C7E" w:rsidRDefault="00541F68" w:rsidP="00261334">
      <w:pPr>
        <w:pStyle w:val="BodyText"/>
        <w:spacing w:before="100" w:after="100"/>
      </w:pPr>
      <w:r w:rsidRPr="00ED1C7E">
        <w:t>Some people and businesses may have opportunities to earn NZUs by carrying out an eligible removal activity</w:t>
      </w:r>
      <w:r w:rsidR="007B69CE" w:rsidRPr="00ED1C7E">
        <w:t xml:space="preserve">. This </w:t>
      </w:r>
      <w:r w:rsidR="00C76577" w:rsidRPr="00ED1C7E">
        <w:t>must be</w:t>
      </w:r>
      <w:r w:rsidR="00FA1E6D" w:rsidRPr="00ED1C7E">
        <w:t xml:space="preserve"> an activity that reduces</w:t>
      </w:r>
      <w:r w:rsidRPr="00ED1C7E">
        <w:t xml:space="preserve"> emissions reported in New Zealand’s Greenhouse Gas Inventory </w:t>
      </w:r>
      <w:r w:rsidR="007B69CE" w:rsidRPr="00ED1C7E">
        <w:t>– for example:</w:t>
      </w:r>
    </w:p>
    <w:p w14:paraId="77F7AE67" w14:textId="3FFD8014" w:rsidR="00E42DD2" w:rsidRPr="00ED1C7E" w:rsidRDefault="00A7015E" w:rsidP="00261334">
      <w:pPr>
        <w:pStyle w:val="Bullet"/>
        <w:spacing w:after="100"/>
      </w:pPr>
      <w:r w:rsidRPr="00ED1C7E">
        <w:t>a</w:t>
      </w:r>
      <w:r w:rsidR="00541F68" w:rsidRPr="00ED1C7E">
        <w:t xml:space="preserve"> ‘forestry removal activity</w:t>
      </w:r>
      <w:r w:rsidR="00606B70" w:rsidRPr="00ED1C7E">
        <w:t>,</w:t>
      </w:r>
      <w:r w:rsidR="00541F68" w:rsidRPr="00ED1C7E">
        <w:t>’</w:t>
      </w:r>
      <w:r w:rsidRPr="00ED1C7E">
        <w:t xml:space="preserve"> </w:t>
      </w:r>
      <w:r w:rsidR="009826BB" w:rsidRPr="00ED1C7E">
        <w:t>in</w:t>
      </w:r>
      <w:r w:rsidR="00541F68" w:rsidRPr="00ED1C7E">
        <w:t xml:space="preserve"> which post-1989 forest growth sequesters carbon dioxide from the </w:t>
      </w:r>
      <w:proofErr w:type="gramStart"/>
      <w:r w:rsidR="00541F68" w:rsidRPr="00ED1C7E">
        <w:t>atmosphere</w:t>
      </w:r>
      <w:proofErr w:type="gramEnd"/>
    </w:p>
    <w:p w14:paraId="2015CCD2" w14:textId="69C78727" w:rsidR="00541F68" w:rsidRPr="00ED1C7E" w:rsidRDefault="00A7015E" w:rsidP="00261334">
      <w:pPr>
        <w:pStyle w:val="Bullet"/>
        <w:spacing w:after="100"/>
      </w:pPr>
      <w:r w:rsidRPr="00ED1C7E">
        <w:t>a</w:t>
      </w:r>
      <w:r w:rsidR="00541F68" w:rsidRPr="00ED1C7E">
        <w:t>n ‘other removal activity</w:t>
      </w:r>
      <w:r w:rsidR="00606B70" w:rsidRPr="00ED1C7E">
        <w:t>,</w:t>
      </w:r>
      <w:r w:rsidR="00541F68" w:rsidRPr="00ED1C7E">
        <w:t xml:space="preserve">’ </w:t>
      </w:r>
      <w:r w:rsidR="005F22C8" w:rsidRPr="00ED1C7E">
        <w:t xml:space="preserve">which can include where </w:t>
      </w:r>
      <w:r w:rsidR="00541F68" w:rsidRPr="00ED1C7E">
        <w:t>an eligible product embeds a substance permanently (or at least until it has been exported)</w:t>
      </w:r>
      <w:r w:rsidR="009826BB" w:rsidRPr="00ED1C7E">
        <w:t>,</w:t>
      </w:r>
      <w:r w:rsidR="00541F68" w:rsidRPr="00ED1C7E">
        <w:t xml:space="preserve"> </w:t>
      </w:r>
      <w:r w:rsidR="005F22C8" w:rsidRPr="00ED1C7E">
        <w:t xml:space="preserve">if </w:t>
      </w:r>
      <w:r w:rsidR="00541F68" w:rsidRPr="00ED1C7E">
        <w:t>that substance would otherwise emit greenhouse gases to the atmosphere</w:t>
      </w:r>
      <w:r w:rsidR="00D174C4" w:rsidRPr="00ED1C7E">
        <w:t xml:space="preserve">, </w:t>
      </w:r>
      <w:r w:rsidR="005F22C8" w:rsidRPr="00ED1C7E">
        <w:t xml:space="preserve">as well as </w:t>
      </w:r>
      <w:r w:rsidR="00D174C4" w:rsidRPr="00ED1C7E">
        <w:t xml:space="preserve">with </w:t>
      </w:r>
      <w:r w:rsidR="00541F68" w:rsidRPr="00ED1C7E">
        <w:t>exporting synthetic greenhouse gases in bulk or in goods.</w:t>
      </w:r>
    </w:p>
    <w:p w14:paraId="7F5F61E9" w14:textId="328247D6" w:rsidR="00541F68" w:rsidRPr="00ED1C7E" w:rsidRDefault="00541F68" w:rsidP="00261334">
      <w:pPr>
        <w:pStyle w:val="BodyText"/>
        <w:spacing w:before="100" w:after="100"/>
      </w:pPr>
      <w:r w:rsidRPr="00ED1C7E">
        <w:t>This</w:t>
      </w:r>
      <w:r w:rsidR="00F97019" w:rsidRPr="00ED1C7E">
        <w:t xml:space="preserve"> opportunity for removal activities</w:t>
      </w:r>
      <w:r w:rsidRPr="00ED1C7E">
        <w:t xml:space="preserve"> ensures </w:t>
      </w:r>
      <w:r w:rsidR="00221ACF" w:rsidRPr="00ED1C7E">
        <w:t>NZ ETS</w:t>
      </w:r>
      <w:r w:rsidRPr="00ED1C7E">
        <w:t xml:space="preserve"> costs are not incurred for emissions that do not occur in </w:t>
      </w:r>
      <w:r w:rsidR="00A81721" w:rsidRPr="00ED1C7E">
        <w:t>New Zealand</w:t>
      </w:r>
      <w:r w:rsidR="00D174C4" w:rsidRPr="00ED1C7E">
        <w:t>, in line with international reporting approaches</w:t>
      </w:r>
      <w:r w:rsidRPr="00ED1C7E">
        <w:t xml:space="preserve">. </w:t>
      </w:r>
    </w:p>
    <w:p w14:paraId="093C2EBE" w14:textId="77777777" w:rsidR="00541F68" w:rsidRPr="00ED1C7E" w:rsidRDefault="00541F68" w:rsidP="00415BD5">
      <w:pPr>
        <w:pStyle w:val="Heading3"/>
        <w:spacing w:before="240"/>
      </w:pPr>
      <w:r w:rsidRPr="00ED1C7E">
        <w:t>Receiving industrial allocation</w:t>
      </w:r>
    </w:p>
    <w:p w14:paraId="721C9D72" w14:textId="4BF0C3FB" w:rsidR="00E77386" w:rsidRPr="00ED1C7E" w:rsidRDefault="00541F68" w:rsidP="00261334">
      <w:pPr>
        <w:pStyle w:val="BodyText"/>
        <w:spacing w:before="100" w:after="100"/>
      </w:pPr>
      <w:r w:rsidRPr="00ED1C7E">
        <w:t xml:space="preserve">Some businesses are eligible to be allocated emission units under the </w:t>
      </w:r>
      <w:r w:rsidR="00221ACF" w:rsidRPr="00ED1C7E">
        <w:t>NZ ETS</w:t>
      </w:r>
      <w:r w:rsidRPr="00ED1C7E">
        <w:t xml:space="preserve">. This ‘industrial allocation’ reduces the risk of emissions leakage </w:t>
      </w:r>
      <w:r w:rsidR="00F97019" w:rsidRPr="00ED1C7E">
        <w:t xml:space="preserve">(that is, </w:t>
      </w:r>
      <w:r w:rsidRPr="00ED1C7E">
        <w:t xml:space="preserve">the risk of companies </w:t>
      </w:r>
      <w:r w:rsidR="007F7942" w:rsidRPr="00ED1C7E">
        <w:t xml:space="preserve">located within </w:t>
      </w:r>
      <w:r w:rsidR="00F97019" w:rsidRPr="00ED1C7E">
        <w:t xml:space="preserve">New Zealand </w:t>
      </w:r>
      <w:r w:rsidRPr="00ED1C7E">
        <w:t>losing market share or shifting overseas to avoid emissions pricing</w:t>
      </w:r>
      <w:r w:rsidR="00F97019" w:rsidRPr="00ED1C7E">
        <w:t>)</w:t>
      </w:r>
      <w:r w:rsidRPr="00ED1C7E">
        <w:t xml:space="preserve">. </w:t>
      </w:r>
      <w:r w:rsidR="005D1242" w:rsidRPr="00ED1C7E">
        <w:t>This could theoretically result in an increase in global emissions</w:t>
      </w:r>
      <w:r w:rsidR="00EB334D" w:rsidRPr="00ED1C7E">
        <w:t xml:space="preserve"> –</w:t>
      </w:r>
      <w:r w:rsidR="00201B49" w:rsidRPr="00ED1C7E">
        <w:t xml:space="preserve"> or at least </w:t>
      </w:r>
      <w:r w:rsidR="00EB334D" w:rsidRPr="00ED1C7E">
        <w:t>may not result in a true reduction –</w:t>
      </w:r>
      <w:r w:rsidR="005D1242" w:rsidRPr="00ED1C7E">
        <w:t xml:space="preserve"> if the </w:t>
      </w:r>
      <w:r w:rsidR="00E77386" w:rsidRPr="00ED1C7E">
        <w:t>jurisdiction to which the emissions leak has less stringent emissions reduction policies.</w:t>
      </w:r>
    </w:p>
    <w:p w14:paraId="64D9F5AE" w14:textId="71511BA3" w:rsidR="00541F68" w:rsidRPr="00ED1C7E" w:rsidRDefault="00C91E4A" w:rsidP="00261334">
      <w:pPr>
        <w:pStyle w:val="BodyText"/>
        <w:spacing w:before="100" w:after="100"/>
      </w:pPr>
      <w:r w:rsidRPr="00ED1C7E">
        <w:t>If such companies apply for and receive an allocation</w:t>
      </w:r>
      <w:r w:rsidR="00473ED1" w:rsidRPr="00ED1C7E">
        <w:t xml:space="preserve"> through the NZ ETS, they can</w:t>
      </w:r>
      <w:r w:rsidR="00541F68" w:rsidRPr="00ED1C7E">
        <w:t xml:space="preserve"> trade their units or use them to meet </w:t>
      </w:r>
      <w:r w:rsidR="005D1242" w:rsidRPr="00ED1C7E">
        <w:t xml:space="preserve">any </w:t>
      </w:r>
      <w:r w:rsidR="00221ACF" w:rsidRPr="00ED1C7E">
        <w:t>NZ ETS</w:t>
      </w:r>
      <w:r w:rsidR="00541F68" w:rsidRPr="00ED1C7E">
        <w:t xml:space="preserve"> obligations</w:t>
      </w:r>
      <w:r w:rsidR="005D1242" w:rsidRPr="00ED1C7E">
        <w:t xml:space="preserve"> that they might have</w:t>
      </w:r>
      <w:r w:rsidR="00541F68" w:rsidRPr="00ED1C7E">
        <w:t xml:space="preserve">. </w:t>
      </w:r>
    </w:p>
    <w:p w14:paraId="18B2F911" w14:textId="77777777" w:rsidR="00541F68" w:rsidRPr="00ED1C7E" w:rsidRDefault="00541F68" w:rsidP="00415BD5">
      <w:pPr>
        <w:pStyle w:val="Heading3"/>
        <w:spacing w:before="240"/>
      </w:pPr>
      <w:r w:rsidRPr="00ED1C7E">
        <w:lastRenderedPageBreak/>
        <w:t>Taking part in auctions</w:t>
      </w:r>
    </w:p>
    <w:p w14:paraId="4D8FCEBE" w14:textId="7259F9C2" w:rsidR="00A9070D" w:rsidRPr="00ED1C7E" w:rsidRDefault="00541F68" w:rsidP="00261334">
      <w:pPr>
        <w:pStyle w:val="BodyText"/>
        <w:spacing w:before="100" w:after="100"/>
      </w:pPr>
      <w:r w:rsidRPr="00ED1C7E">
        <w:t xml:space="preserve">Auctions of NZUs take place in each quarter of the year. These auctions are a key feature of unit supply into the </w:t>
      </w:r>
      <w:r w:rsidR="00221ACF" w:rsidRPr="00ED1C7E">
        <w:t>NZ ETS</w:t>
      </w:r>
      <w:r w:rsidRPr="00ED1C7E">
        <w:t xml:space="preserve">. </w:t>
      </w:r>
      <w:r w:rsidR="00A9070D" w:rsidRPr="00ED1C7E">
        <w:t>An auction calendar must be published by 30 September every year, which includes auction dates for the next calendar year and the number of units for sale on each date.</w:t>
      </w:r>
    </w:p>
    <w:p w14:paraId="1C20C30C" w14:textId="3A0ADB67" w:rsidR="00E77386" w:rsidRPr="00ED1C7E" w:rsidRDefault="00541F68" w:rsidP="00415BD5">
      <w:pPr>
        <w:pStyle w:val="BodyText"/>
        <w:spacing w:before="100" w:after="100"/>
      </w:pPr>
      <w:r w:rsidRPr="00ED1C7E">
        <w:t xml:space="preserve">Anyone who holds an account in the New Zealand Emissions Trading Register </w:t>
      </w:r>
      <w:r w:rsidR="00E77386" w:rsidRPr="00ED1C7E">
        <w:t xml:space="preserve">(the Register) </w:t>
      </w:r>
      <w:r w:rsidRPr="00ED1C7E">
        <w:t>can register to participate in these auctions</w:t>
      </w:r>
      <w:r w:rsidR="008B1BDF" w:rsidRPr="00ED1C7E">
        <w:t>, which can include non-mandatory participants as well as those with mandatory surrender obligations</w:t>
      </w:r>
      <w:r w:rsidRPr="00ED1C7E">
        <w:t>.</w:t>
      </w:r>
    </w:p>
    <w:p w14:paraId="2509C763" w14:textId="182B51FD" w:rsidR="00541F68" w:rsidRPr="00ED1C7E" w:rsidRDefault="00541F68" w:rsidP="00415BD5">
      <w:pPr>
        <w:pStyle w:val="BodyText"/>
        <w:spacing w:before="100" w:after="100"/>
      </w:pPr>
      <w:r w:rsidRPr="00ED1C7E">
        <w:t>Regulations set the volume of units available for auction</w:t>
      </w:r>
      <w:r w:rsidR="00A9070D" w:rsidRPr="00ED1C7E">
        <w:t xml:space="preserve"> in </w:t>
      </w:r>
      <w:r w:rsidR="00644763" w:rsidRPr="00ED1C7E">
        <w:t>NZ ETS auctions</w:t>
      </w:r>
      <w:r w:rsidRPr="00ED1C7E">
        <w:t xml:space="preserve">, along with auction price settings. </w:t>
      </w:r>
      <w:r w:rsidR="00644763" w:rsidRPr="00ED1C7E">
        <w:t xml:space="preserve">Consultation on proposals that affect </w:t>
      </w:r>
      <w:r w:rsidR="00B370EE" w:rsidRPr="00ED1C7E">
        <w:t>specific</w:t>
      </w:r>
      <w:r w:rsidR="00644763" w:rsidRPr="00ED1C7E">
        <w:t xml:space="preserve"> NZ ETS settings is </w:t>
      </w:r>
      <w:r w:rsidR="00B370EE" w:rsidRPr="00ED1C7E">
        <w:t xml:space="preserve">also </w:t>
      </w:r>
      <w:r w:rsidR="00644763" w:rsidRPr="00ED1C7E">
        <w:t xml:space="preserve">currently under way. </w:t>
      </w:r>
      <w:r w:rsidRPr="00ED1C7E">
        <w:t>Th</w:t>
      </w:r>
      <w:r w:rsidR="00904CF7">
        <w:t>e NZ ETS settings</w:t>
      </w:r>
      <w:r w:rsidRPr="00ED1C7E">
        <w:t xml:space="preserve"> consultation document contains proposals that affect </w:t>
      </w:r>
      <w:r w:rsidR="00644763" w:rsidRPr="00ED1C7E">
        <w:t xml:space="preserve">those </w:t>
      </w:r>
      <w:r w:rsidRPr="00ED1C7E">
        <w:t xml:space="preserve">volumes and settings. </w:t>
      </w:r>
    </w:p>
    <w:p w14:paraId="6FF40AF8" w14:textId="3D03BC2E" w:rsidR="003E64DC" w:rsidRPr="00ED1C7E" w:rsidRDefault="003E64DC" w:rsidP="00811A83">
      <w:pPr>
        <w:pStyle w:val="Heading2"/>
        <w:spacing w:before="280"/>
      </w:pPr>
      <w:bookmarkStart w:id="10" w:name="_Toc165532988"/>
      <w:r w:rsidRPr="00ED1C7E">
        <w:t xml:space="preserve">Scope of regulations </w:t>
      </w:r>
      <w:r w:rsidR="00E66235" w:rsidRPr="00ED1C7E">
        <w:t>in this consultation</w:t>
      </w:r>
      <w:bookmarkEnd w:id="10"/>
    </w:p>
    <w:p w14:paraId="61B144A8" w14:textId="5CAC7FFB" w:rsidR="003A312D" w:rsidRPr="00ED1C7E" w:rsidRDefault="003A312D" w:rsidP="003A312D">
      <w:pPr>
        <w:pStyle w:val="BodyText"/>
      </w:pPr>
      <w:r w:rsidRPr="00ED1C7E">
        <w:t xml:space="preserve">A set of regulations and Orders in Council supports the </w:t>
      </w:r>
      <w:r w:rsidR="00221ACF" w:rsidRPr="00ED1C7E">
        <w:t>NZ ETS</w:t>
      </w:r>
      <w:r w:rsidRPr="00ED1C7E">
        <w:t xml:space="preserve"> to run efficiently and accurately. </w:t>
      </w:r>
      <w:r w:rsidR="005238F1" w:rsidRPr="00ED1C7E">
        <w:t>This means that, p</w:t>
      </w:r>
      <w:r w:rsidR="0049356E" w:rsidRPr="00ED1C7E">
        <w:t>eriodically:</w:t>
      </w:r>
    </w:p>
    <w:p w14:paraId="38C77C73" w14:textId="216BB50C" w:rsidR="0049356E" w:rsidRPr="00ED1C7E" w:rsidRDefault="006812C3" w:rsidP="00806018">
      <w:pPr>
        <w:pStyle w:val="Bullet"/>
      </w:pPr>
      <w:r w:rsidRPr="00ED1C7E">
        <w:t xml:space="preserve">existing regulations need to be amended or </w:t>
      </w:r>
      <w:proofErr w:type="gramStart"/>
      <w:r w:rsidRPr="00ED1C7E">
        <w:t>replaced</w:t>
      </w:r>
      <w:proofErr w:type="gramEnd"/>
    </w:p>
    <w:p w14:paraId="27750CC5" w14:textId="1913284B" w:rsidR="00CA0E3E" w:rsidRPr="00ED1C7E" w:rsidRDefault="007F3047" w:rsidP="00806018">
      <w:pPr>
        <w:pStyle w:val="Bullet"/>
      </w:pPr>
      <w:r w:rsidRPr="00ED1C7E">
        <w:t>n</w:t>
      </w:r>
      <w:r w:rsidR="006812C3" w:rsidRPr="00ED1C7E">
        <w:t xml:space="preserve">ew regulations need to be </w:t>
      </w:r>
      <w:proofErr w:type="gramStart"/>
      <w:r w:rsidR="006812C3" w:rsidRPr="00ED1C7E">
        <w:t>created</w:t>
      </w:r>
      <w:proofErr w:type="gramEnd"/>
    </w:p>
    <w:p w14:paraId="59D40466" w14:textId="11D1436C" w:rsidR="006812C3" w:rsidRPr="00ED1C7E" w:rsidRDefault="006812C3" w:rsidP="00806018">
      <w:pPr>
        <w:pStyle w:val="Bullet"/>
      </w:pPr>
      <w:r w:rsidRPr="00ED1C7E">
        <w:t xml:space="preserve">technical factors need to be </w:t>
      </w:r>
      <w:r w:rsidR="007F3047" w:rsidRPr="00ED1C7E">
        <w:t xml:space="preserve">updated </w:t>
      </w:r>
      <w:r w:rsidRPr="00ED1C7E">
        <w:t>to keep them current</w:t>
      </w:r>
      <w:r w:rsidR="00C530E3" w:rsidRPr="00ED1C7E">
        <w:t>.</w:t>
      </w:r>
    </w:p>
    <w:p w14:paraId="51902358" w14:textId="7EAE8BD3" w:rsidR="00C530E3" w:rsidRPr="00ED1C7E" w:rsidRDefault="00C530E3" w:rsidP="00891673">
      <w:pPr>
        <w:pStyle w:val="BodyText"/>
      </w:pPr>
      <w:r w:rsidRPr="00ED1C7E">
        <w:t xml:space="preserve">In this document, the Government is </w:t>
      </w:r>
      <w:r w:rsidR="005238F1" w:rsidRPr="00ED1C7E">
        <w:t>propos</w:t>
      </w:r>
      <w:r w:rsidR="00E66235" w:rsidRPr="00ED1C7E">
        <w:t>ing</w:t>
      </w:r>
      <w:r w:rsidR="005238F1" w:rsidRPr="00ED1C7E">
        <w:t xml:space="preserve"> changes to </w:t>
      </w:r>
      <w:r w:rsidRPr="00ED1C7E">
        <w:t>a subset of these regulations</w:t>
      </w:r>
      <w:r w:rsidR="00DC3343" w:rsidRPr="00ED1C7E">
        <w:t xml:space="preserve">, outlined in </w:t>
      </w:r>
      <w:r w:rsidR="00AA5A4E" w:rsidRPr="00ED1C7E">
        <w:fldChar w:fldCharType="begin"/>
      </w:r>
      <w:r w:rsidR="00AA5A4E" w:rsidRPr="00ED1C7E">
        <w:instrText xml:space="preserve"> REF _Ref160017648 \h </w:instrText>
      </w:r>
      <w:r w:rsidR="00EA049C" w:rsidRPr="00ED1C7E">
        <w:instrText xml:space="preserve">\* lower </w:instrText>
      </w:r>
      <w:r w:rsidR="00AA5A4E" w:rsidRPr="00ED1C7E">
        <w:fldChar w:fldCharType="separate"/>
      </w:r>
      <w:r w:rsidR="00C60130" w:rsidRPr="00ED1C7E">
        <w:t xml:space="preserve">table </w:t>
      </w:r>
      <w:r w:rsidR="00C60130">
        <w:rPr>
          <w:noProof/>
        </w:rPr>
        <w:t>1</w:t>
      </w:r>
      <w:r w:rsidR="00AA5A4E" w:rsidRPr="00ED1C7E">
        <w:fldChar w:fldCharType="end"/>
      </w:r>
      <w:r w:rsidR="00EA049C" w:rsidRPr="00ED1C7E">
        <w:t>.</w:t>
      </w:r>
    </w:p>
    <w:p w14:paraId="7E8B605B" w14:textId="5122D30F" w:rsidR="009A7FCC" w:rsidRPr="00ED1C7E" w:rsidRDefault="009A7FCC" w:rsidP="003340AB">
      <w:pPr>
        <w:pStyle w:val="Tableheading"/>
      </w:pPr>
      <w:bookmarkStart w:id="11" w:name="_Ref160017648"/>
      <w:bookmarkStart w:id="12" w:name="_Toc165532908"/>
      <w:r w:rsidRPr="00ED1C7E">
        <w:t xml:space="preserve">Table </w:t>
      </w:r>
      <w:r w:rsidR="00594215">
        <w:fldChar w:fldCharType="begin"/>
      </w:r>
      <w:r w:rsidR="00594215">
        <w:instrText xml:space="preserve"> SEQ Table \* ARABIC </w:instrText>
      </w:r>
      <w:r w:rsidR="00594215">
        <w:fldChar w:fldCharType="separate"/>
      </w:r>
      <w:r w:rsidR="00C60130">
        <w:rPr>
          <w:noProof/>
        </w:rPr>
        <w:t>1</w:t>
      </w:r>
      <w:r w:rsidR="00594215">
        <w:rPr>
          <w:noProof/>
        </w:rPr>
        <w:fldChar w:fldCharType="end"/>
      </w:r>
      <w:bookmarkEnd w:id="11"/>
      <w:r w:rsidRPr="00ED1C7E">
        <w:t xml:space="preserve">: </w:t>
      </w:r>
      <w:r w:rsidR="00806018" w:rsidRPr="00ED1C7E">
        <w:tab/>
      </w:r>
      <w:r w:rsidRPr="00ED1C7E">
        <w:t xml:space="preserve">Regulations affected by proposals in this </w:t>
      </w:r>
      <w:proofErr w:type="gramStart"/>
      <w:r w:rsidRPr="00ED1C7E">
        <w:t>document</w:t>
      </w:r>
      <w:bookmarkEnd w:id="12"/>
      <w:proofErr w:type="gramEnd"/>
    </w:p>
    <w:tbl>
      <w:tblPr>
        <w:tblStyle w:val="LightList-Accent11"/>
        <w:tblW w:w="8505" w:type="dxa"/>
        <w:tblLook w:val="04A0" w:firstRow="1" w:lastRow="0" w:firstColumn="1" w:lastColumn="0" w:noHBand="0" w:noVBand="1"/>
      </w:tblPr>
      <w:tblGrid>
        <w:gridCol w:w="6336"/>
        <w:gridCol w:w="2169"/>
      </w:tblGrid>
      <w:tr w:rsidR="002029B1" w:rsidRPr="00ED1C7E" w14:paraId="0BE832F4" w14:textId="77777777" w:rsidTr="000E4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6" w:type="dxa"/>
          </w:tcPr>
          <w:p w14:paraId="0725FACB" w14:textId="3C4281EF" w:rsidR="002029B1" w:rsidRPr="00ED1C7E" w:rsidRDefault="002029B1" w:rsidP="00415BD5">
            <w:pPr>
              <w:pStyle w:val="TableTextbold"/>
              <w:spacing w:before="50" w:after="50"/>
              <w:rPr>
                <w:b/>
                <w:bCs w:val="0"/>
              </w:rPr>
            </w:pPr>
            <w:r w:rsidRPr="00ED1C7E">
              <w:rPr>
                <w:b/>
                <w:bCs w:val="0"/>
              </w:rPr>
              <w:t>Regulation</w:t>
            </w:r>
            <w:r w:rsidR="00557D98" w:rsidRPr="00ED1C7E">
              <w:rPr>
                <w:b/>
                <w:bCs w:val="0"/>
              </w:rPr>
              <w:t>s</w:t>
            </w:r>
            <w:r w:rsidRPr="00ED1C7E">
              <w:rPr>
                <w:b/>
                <w:bCs w:val="0"/>
              </w:rPr>
              <w:t xml:space="preserve"> under the Act</w:t>
            </w:r>
          </w:p>
        </w:tc>
        <w:tc>
          <w:tcPr>
            <w:tcW w:w="2183" w:type="dxa"/>
          </w:tcPr>
          <w:p w14:paraId="5712EBAD" w14:textId="41056555" w:rsidR="002029B1" w:rsidRPr="00ED1C7E" w:rsidRDefault="002029B1" w:rsidP="00415BD5">
            <w:pPr>
              <w:pStyle w:val="TableTextbold"/>
              <w:spacing w:before="50" w:after="50"/>
              <w:cnfStyle w:val="100000000000" w:firstRow="1" w:lastRow="0" w:firstColumn="0" w:lastColumn="0" w:oddVBand="0" w:evenVBand="0" w:oddHBand="0" w:evenHBand="0" w:firstRowFirstColumn="0" w:firstRowLastColumn="0" w:lastRowFirstColumn="0" w:lastRowLastColumn="0"/>
              <w:rPr>
                <w:b/>
                <w:bCs w:val="0"/>
              </w:rPr>
            </w:pPr>
            <w:r w:rsidRPr="00ED1C7E">
              <w:rPr>
                <w:b/>
                <w:bCs w:val="0"/>
              </w:rPr>
              <w:t>Abbreviated to…</w:t>
            </w:r>
          </w:p>
        </w:tc>
      </w:tr>
      <w:tr w:rsidR="00A64136" w:rsidRPr="00ED1C7E" w14:paraId="1795A3E6" w14:textId="77777777" w:rsidTr="000E4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6" w:type="dxa"/>
          </w:tcPr>
          <w:p w14:paraId="1B280655" w14:textId="16DAFDB0" w:rsidR="00A64136" w:rsidRPr="00ED1C7E" w:rsidRDefault="00866E95" w:rsidP="00415BD5">
            <w:pPr>
              <w:pStyle w:val="TableText"/>
              <w:spacing w:before="50" w:after="50"/>
              <w:rPr>
                <w:rFonts w:cs="Times New Roman"/>
                <w:b w:val="0"/>
                <w:bCs w:val="0"/>
                <w:szCs w:val="18"/>
              </w:rPr>
            </w:pPr>
            <w:hyperlink r:id="rId24" w:history="1">
              <w:r w:rsidR="00A64136" w:rsidRPr="00ED1C7E">
                <w:rPr>
                  <w:rStyle w:val="Hyperlink"/>
                  <w:rFonts w:cs="Times New Roman"/>
                  <w:b w:val="0"/>
                  <w:bCs w:val="0"/>
                  <w:szCs w:val="18"/>
                </w:rPr>
                <w:t>Climate Change (Auctions, Limits, and Price Controls for Units) Regulations 2020</w:t>
              </w:r>
            </w:hyperlink>
          </w:p>
        </w:tc>
        <w:tc>
          <w:tcPr>
            <w:tcW w:w="2183" w:type="dxa"/>
          </w:tcPr>
          <w:p w14:paraId="6987BE1F" w14:textId="587BAA65" w:rsidR="00A64136" w:rsidRPr="00ED1C7E" w:rsidRDefault="001920E2" w:rsidP="00415BD5">
            <w:pPr>
              <w:pStyle w:val="TableText"/>
              <w:spacing w:before="50" w:after="50"/>
              <w:cnfStyle w:val="000000100000" w:firstRow="0" w:lastRow="0" w:firstColumn="0" w:lastColumn="0" w:oddVBand="0" w:evenVBand="0" w:oddHBand="1" w:evenHBand="0" w:firstRowFirstColumn="0" w:firstRowLastColumn="0" w:lastRowFirstColumn="0" w:lastRowLastColumn="0"/>
              <w:rPr>
                <w:szCs w:val="18"/>
              </w:rPr>
            </w:pPr>
            <w:r w:rsidRPr="00ED1C7E">
              <w:rPr>
                <w:szCs w:val="18"/>
              </w:rPr>
              <w:t>Auction</w:t>
            </w:r>
            <w:r w:rsidR="00A64136" w:rsidRPr="00ED1C7E">
              <w:rPr>
                <w:szCs w:val="18"/>
              </w:rPr>
              <w:t xml:space="preserve"> Regulations</w:t>
            </w:r>
          </w:p>
        </w:tc>
      </w:tr>
      <w:tr w:rsidR="005B4BB1" w:rsidRPr="00ED1C7E" w14:paraId="4CBAC9FF" w14:textId="77777777" w:rsidTr="000E4A02">
        <w:tc>
          <w:tcPr>
            <w:cnfStyle w:val="001000000000" w:firstRow="0" w:lastRow="0" w:firstColumn="1" w:lastColumn="0" w:oddVBand="0" w:evenVBand="0" w:oddHBand="0" w:evenHBand="0" w:firstRowFirstColumn="0" w:firstRowLastColumn="0" w:lastRowFirstColumn="0" w:lastRowLastColumn="0"/>
            <w:tcW w:w="6406" w:type="dxa"/>
          </w:tcPr>
          <w:p w14:paraId="1798399E" w14:textId="1CAFEA6E" w:rsidR="005B4BB1" w:rsidRPr="00ED1C7E" w:rsidRDefault="00866E95" w:rsidP="00415BD5">
            <w:pPr>
              <w:pStyle w:val="TableText"/>
              <w:spacing w:before="50" w:after="50"/>
              <w:rPr>
                <w:b w:val="0"/>
                <w:bCs w:val="0"/>
                <w:szCs w:val="18"/>
              </w:rPr>
            </w:pPr>
            <w:hyperlink r:id="rId25" w:history="1">
              <w:r w:rsidR="002029B1" w:rsidRPr="00ED1C7E">
                <w:rPr>
                  <w:rStyle w:val="Hyperlink"/>
                  <w:rFonts w:cs="Times New Roman"/>
                  <w:b w:val="0"/>
                  <w:bCs w:val="0"/>
                  <w:szCs w:val="18"/>
                </w:rPr>
                <w:t>Climate Change (Liquid Fossil Fuels) Regulations 2008</w:t>
              </w:r>
            </w:hyperlink>
          </w:p>
        </w:tc>
        <w:tc>
          <w:tcPr>
            <w:tcW w:w="2183" w:type="dxa"/>
          </w:tcPr>
          <w:p w14:paraId="45E7126D" w14:textId="171C8EFD" w:rsidR="005B4BB1" w:rsidRPr="00ED1C7E" w:rsidRDefault="002029B1" w:rsidP="00415BD5">
            <w:pPr>
              <w:pStyle w:val="TableText"/>
              <w:spacing w:before="50" w:after="50"/>
              <w:cnfStyle w:val="000000000000" w:firstRow="0" w:lastRow="0" w:firstColumn="0" w:lastColumn="0" w:oddVBand="0" w:evenVBand="0" w:oddHBand="0" w:evenHBand="0" w:firstRowFirstColumn="0" w:firstRowLastColumn="0" w:lastRowFirstColumn="0" w:lastRowLastColumn="0"/>
              <w:rPr>
                <w:szCs w:val="18"/>
              </w:rPr>
            </w:pPr>
            <w:r w:rsidRPr="00ED1C7E">
              <w:rPr>
                <w:szCs w:val="18"/>
              </w:rPr>
              <w:t>LFF Regulations</w:t>
            </w:r>
          </w:p>
        </w:tc>
      </w:tr>
      <w:tr w:rsidR="005B4BB1" w:rsidRPr="00ED1C7E" w14:paraId="26E3979A" w14:textId="77777777" w:rsidTr="000E4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6" w:type="dxa"/>
          </w:tcPr>
          <w:p w14:paraId="34E412C8" w14:textId="1767530F" w:rsidR="005B4BB1" w:rsidRPr="00ED1C7E" w:rsidRDefault="00866E95" w:rsidP="00415BD5">
            <w:pPr>
              <w:pStyle w:val="TableText"/>
              <w:spacing w:before="50" w:after="50"/>
              <w:rPr>
                <w:b w:val="0"/>
                <w:bCs w:val="0"/>
                <w:szCs w:val="18"/>
              </w:rPr>
            </w:pPr>
            <w:hyperlink r:id="rId26" w:history="1">
              <w:r w:rsidR="002029B1" w:rsidRPr="00ED1C7E">
                <w:rPr>
                  <w:rStyle w:val="Hyperlink"/>
                  <w:rFonts w:cs="Times New Roman"/>
                  <w:b w:val="0"/>
                  <w:bCs w:val="0"/>
                  <w:szCs w:val="18"/>
                </w:rPr>
                <w:t>Climate Change (Other Removal Activities) Regulations 2009</w:t>
              </w:r>
            </w:hyperlink>
          </w:p>
        </w:tc>
        <w:tc>
          <w:tcPr>
            <w:tcW w:w="2183" w:type="dxa"/>
          </w:tcPr>
          <w:p w14:paraId="2CB13FA6" w14:textId="41B87204" w:rsidR="005B4BB1" w:rsidRPr="00ED1C7E" w:rsidRDefault="002029B1" w:rsidP="00415BD5">
            <w:pPr>
              <w:pStyle w:val="TableText"/>
              <w:spacing w:before="50" w:after="50"/>
              <w:cnfStyle w:val="000000100000" w:firstRow="0" w:lastRow="0" w:firstColumn="0" w:lastColumn="0" w:oddVBand="0" w:evenVBand="0" w:oddHBand="1" w:evenHBand="0" w:firstRowFirstColumn="0" w:firstRowLastColumn="0" w:lastRowFirstColumn="0" w:lastRowLastColumn="0"/>
              <w:rPr>
                <w:szCs w:val="18"/>
              </w:rPr>
            </w:pPr>
            <w:r w:rsidRPr="00ED1C7E">
              <w:rPr>
                <w:szCs w:val="18"/>
              </w:rPr>
              <w:t>ORA Regulations</w:t>
            </w:r>
          </w:p>
        </w:tc>
      </w:tr>
      <w:tr w:rsidR="005B4BB1" w:rsidRPr="00ED1C7E" w14:paraId="38D40652" w14:textId="77777777" w:rsidTr="000E4A02">
        <w:tc>
          <w:tcPr>
            <w:cnfStyle w:val="001000000000" w:firstRow="0" w:lastRow="0" w:firstColumn="1" w:lastColumn="0" w:oddVBand="0" w:evenVBand="0" w:oddHBand="0" w:evenHBand="0" w:firstRowFirstColumn="0" w:firstRowLastColumn="0" w:lastRowFirstColumn="0" w:lastRowLastColumn="0"/>
            <w:tcW w:w="6406" w:type="dxa"/>
          </w:tcPr>
          <w:p w14:paraId="043BAFB0" w14:textId="63ED8B4F" w:rsidR="005B4BB1" w:rsidRPr="00ED1C7E" w:rsidRDefault="00866E95" w:rsidP="00415BD5">
            <w:pPr>
              <w:pStyle w:val="TableText"/>
              <w:spacing w:before="50" w:after="50"/>
              <w:rPr>
                <w:b w:val="0"/>
                <w:bCs w:val="0"/>
                <w:szCs w:val="18"/>
              </w:rPr>
            </w:pPr>
            <w:hyperlink r:id="rId27" w:history="1">
              <w:r w:rsidR="002029B1" w:rsidRPr="00ED1C7E">
                <w:rPr>
                  <w:rStyle w:val="Hyperlink"/>
                  <w:rFonts w:cs="Times New Roman"/>
                  <w:b w:val="0"/>
                  <w:bCs w:val="0"/>
                  <w:szCs w:val="18"/>
                </w:rPr>
                <w:t>Climate Change (Stationary Energy and Industrial Processes) Regulations 2009</w:t>
              </w:r>
            </w:hyperlink>
          </w:p>
        </w:tc>
        <w:tc>
          <w:tcPr>
            <w:tcW w:w="2183" w:type="dxa"/>
          </w:tcPr>
          <w:p w14:paraId="00CFA405" w14:textId="606F8212" w:rsidR="005B4BB1" w:rsidRPr="00ED1C7E" w:rsidRDefault="002029B1" w:rsidP="00415BD5">
            <w:pPr>
              <w:pStyle w:val="TableText"/>
              <w:spacing w:before="50" w:after="50"/>
              <w:cnfStyle w:val="000000000000" w:firstRow="0" w:lastRow="0" w:firstColumn="0" w:lastColumn="0" w:oddVBand="0" w:evenVBand="0" w:oddHBand="0" w:evenHBand="0" w:firstRowFirstColumn="0" w:firstRowLastColumn="0" w:lastRowFirstColumn="0" w:lastRowLastColumn="0"/>
            </w:pPr>
            <w:r w:rsidRPr="00ED1C7E">
              <w:t>SEIP Regulations</w:t>
            </w:r>
          </w:p>
        </w:tc>
      </w:tr>
      <w:tr w:rsidR="005B4BB1" w:rsidRPr="00ED1C7E" w14:paraId="428183F7" w14:textId="77777777" w:rsidTr="000E4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6" w:type="dxa"/>
          </w:tcPr>
          <w:p w14:paraId="7D27C966" w14:textId="5BDA46B9" w:rsidR="005B4BB1" w:rsidRPr="00ED1C7E" w:rsidRDefault="00866E95" w:rsidP="00415BD5">
            <w:pPr>
              <w:pStyle w:val="TableText"/>
              <w:spacing w:before="50" w:after="50"/>
              <w:rPr>
                <w:b w:val="0"/>
                <w:bCs w:val="0"/>
                <w:szCs w:val="18"/>
              </w:rPr>
            </w:pPr>
            <w:hyperlink r:id="rId28" w:history="1">
              <w:r w:rsidR="002029B1" w:rsidRPr="00ED1C7E">
                <w:rPr>
                  <w:rStyle w:val="Hyperlink"/>
                  <w:rFonts w:cs="Times New Roman"/>
                  <w:b w:val="0"/>
                  <w:bCs w:val="0"/>
                  <w:szCs w:val="18"/>
                </w:rPr>
                <w:t>Climate Change (Unique Emissions Factors) Regulations 2009</w:t>
              </w:r>
            </w:hyperlink>
          </w:p>
        </w:tc>
        <w:tc>
          <w:tcPr>
            <w:tcW w:w="2183" w:type="dxa"/>
          </w:tcPr>
          <w:p w14:paraId="7A6652C0" w14:textId="6C4D5D23" w:rsidR="005B4BB1" w:rsidRPr="00ED1C7E" w:rsidRDefault="002029B1" w:rsidP="00415BD5">
            <w:pPr>
              <w:pStyle w:val="TableText"/>
              <w:spacing w:before="50" w:after="50"/>
              <w:cnfStyle w:val="000000100000" w:firstRow="0" w:lastRow="0" w:firstColumn="0" w:lastColumn="0" w:oddVBand="0" w:evenVBand="0" w:oddHBand="1" w:evenHBand="0" w:firstRowFirstColumn="0" w:firstRowLastColumn="0" w:lastRowFirstColumn="0" w:lastRowLastColumn="0"/>
              <w:rPr>
                <w:szCs w:val="18"/>
              </w:rPr>
            </w:pPr>
            <w:r w:rsidRPr="00ED1C7E">
              <w:rPr>
                <w:szCs w:val="18"/>
              </w:rPr>
              <w:t>UEF Regulations</w:t>
            </w:r>
          </w:p>
        </w:tc>
      </w:tr>
      <w:tr w:rsidR="005B4BB1" w:rsidRPr="00ED1C7E" w14:paraId="4FDBF4F7" w14:textId="77777777" w:rsidTr="000E4A02">
        <w:tc>
          <w:tcPr>
            <w:cnfStyle w:val="001000000000" w:firstRow="0" w:lastRow="0" w:firstColumn="1" w:lastColumn="0" w:oddVBand="0" w:evenVBand="0" w:oddHBand="0" w:evenHBand="0" w:firstRowFirstColumn="0" w:firstRowLastColumn="0" w:lastRowFirstColumn="0" w:lastRowLastColumn="0"/>
            <w:tcW w:w="6406" w:type="dxa"/>
          </w:tcPr>
          <w:p w14:paraId="7DB06A13" w14:textId="5747E1B4" w:rsidR="005B4BB1" w:rsidRPr="00ED1C7E" w:rsidRDefault="00866E95" w:rsidP="00415BD5">
            <w:pPr>
              <w:pStyle w:val="TableText"/>
              <w:spacing w:before="50" w:after="50"/>
              <w:rPr>
                <w:b w:val="0"/>
                <w:bCs w:val="0"/>
                <w:szCs w:val="18"/>
              </w:rPr>
            </w:pPr>
            <w:hyperlink r:id="rId29" w:history="1">
              <w:r w:rsidR="002029B1" w:rsidRPr="00ED1C7E">
                <w:rPr>
                  <w:rStyle w:val="Hyperlink"/>
                  <w:rFonts w:cs="Times New Roman"/>
                  <w:b w:val="0"/>
                  <w:bCs w:val="0"/>
                  <w:szCs w:val="18"/>
                </w:rPr>
                <w:t>Climate Change (Unit Register) Regulations 2008</w:t>
              </w:r>
            </w:hyperlink>
          </w:p>
        </w:tc>
        <w:tc>
          <w:tcPr>
            <w:tcW w:w="2183" w:type="dxa"/>
          </w:tcPr>
          <w:p w14:paraId="73E268D0" w14:textId="5BCF95CB" w:rsidR="005B4BB1" w:rsidRPr="00ED1C7E" w:rsidRDefault="009472EA" w:rsidP="00415BD5">
            <w:pPr>
              <w:pStyle w:val="TableText"/>
              <w:spacing w:before="50" w:after="50"/>
              <w:cnfStyle w:val="000000000000" w:firstRow="0" w:lastRow="0" w:firstColumn="0" w:lastColumn="0" w:oddVBand="0" w:evenVBand="0" w:oddHBand="0" w:evenHBand="0" w:firstRowFirstColumn="0" w:firstRowLastColumn="0" w:lastRowFirstColumn="0" w:lastRowLastColumn="0"/>
              <w:rPr>
                <w:szCs w:val="18"/>
              </w:rPr>
            </w:pPr>
            <w:r w:rsidRPr="00ED1C7E">
              <w:rPr>
                <w:szCs w:val="18"/>
              </w:rPr>
              <w:t>Unit Register</w:t>
            </w:r>
            <w:r w:rsidR="002029B1" w:rsidRPr="00ED1C7E">
              <w:rPr>
                <w:szCs w:val="18"/>
              </w:rPr>
              <w:t xml:space="preserve"> Regulations</w:t>
            </w:r>
          </w:p>
        </w:tc>
      </w:tr>
      <w:tr w:rsidR="00A64136" w:rsidRPr="00ED1C7E" w14:paraId="07641C8F" w14:textId="77777777" w:rsidTr="000E4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6" w:type="dxa"/>
          </w:tcPr>
          <w:p w14:paraId="2B6D0006" w14:textId="331935BF" w:rsidR="00A64136" w:rsidRPr="00ED1C7E" w:rsidRDefault="00866E95" w:rsidP="00415BD5">
            <w:pPr>
              <w:pStyle w:val="TableText"/>
              <w:spacing w:before="50" w:after="50"/>
              <w:rPr>
                <w:rFonts w:cs="Times New Roman"/>
                <w:b w:val="0"/>
                <w:bCs w:val="0"/>
                <w:szCs w:val="18"/>
              </w:rPr>
            </w:pPr>
            <w:hyperlink r:id="rId30" w:history="1">
              <w:r w:rsidR="00A64136" w:rsidRPr="00ED1C7E">
                <w:rPr>
                  <w:rStyle w:val="Hyperlink"/>
                  <w:rFonts w:cs="Times New Roman"/>
                  <w:b w:val="0"/>
                  <w:bCs w:val="0"/>
                  <w:szCs w:val="18"/>
                </w:rPr>
                <w:t>Climate Change (Waste) Regulations 2010</w:t>
              </w:r>
            </w:hyperlink>
          </w:p>
        </w:tc>
        <w:tc>
          <w:tcPr>
            <w:tcW w:w="2183" w:type="dxa"/>
          </w:tcPr>
          <w:p w14:paraId="0FA6A712" w14:textId="7B616B3F" w:rsidR="00A64136" w:rsidRPr="00ED1C7E" w:rsidRDefault="00A64136" w:rsidP="00415BD5">
            <w:pPr>
              <w:pStyle w:val="TableText"/>
              <w:spacing w:before="50" w:after="50"/>
              <w:cnfStyle w:val="000000100000" w:firstRow="0" w:lastRow="0" w:firstColumn="0" w:lastColumn="0" w:oddVBand="0" w:evenVBand="0" w:oddHBand="1" w:evenHBand="0" w:firstRowFirstColumn="0" w:firstRowLastColumn="0" w:lastRowFirstColumn="0" w:lastRowLastColumn="0"/>
              <w:rPr>
                <w:szCs w:val="18"/>
              </w:rPr>
            </w:pPr>
            <w:r w:rsidRPr="00ED1C7E">
              <w:rPr>
                <w:szCs w:val="18"/>
              </w:rPr>
              <w:t>Waste Regulations</w:t>
            </w:r>
          </w:p>
        </w:tc>
      </w:tr>
    </w:tbl>
    <w:p w14:paraId="58165695" w14:textId="49B5293B" w:rsidR="00B50590" w:rsidRPr="00ED1C7E" w:rsidRDefault="009D68F3" w:rsidP="00415BD5">
      <w:pPr>
        <w:pStyle w:val="BodyText"/>
        <w:spacing w:before="240" w:after="100"/>
      </w:pPr>
      <w:r>
        <w:t>M</w:t>
      </w:r>
      <w:r w:rsidR="00DF5CDC">
        <w:t>ost</w:t>
      </w:r>
      <w:r w:rsidR="00E97AEC" w:rsidRPr="00ED1C7E">
        <w:t xml:space="preserve"> of the propos</w:t>
      </w:r>
      <w:r w:rsidR="00FF7E9B" w:rsidRPr="00ED1C7E">
        <w:t>ed changes</w:t>
      </w:r>
      <w:r w:rsidR="00E97AEC" w:rsidRPr="00ED1C7E">
        <w:t xml:space="preserve"> to these regulations are </w:t>
      </w:r>
      <w:r w:rsidR="007C676A" w:rsidRPr="00ED1C7E">
        <w:t>technical and operational</w:t>
      </w:r>
      <w:r w:rsidR="00B50590" w:rsidRPr="00ED1C7E">
        <w:t>, involving either:</w:t>
      </w:r>
    </w:p>
    <w:p w14:paraId="3DE916B6" w14:textId="003EB102" w:rsidR="00B50590" w:rsidRPr="00ED1C7E" w:rsidRDefault="007C676A" w:rsidP="00415BD5">
      <w:pPr>
        <w:pStyle w:val="Bullet"/>
        <w:spacing w:after="100"/>
      </w:pPr>
      <w:r w:rsidRPr="00ED1C7E">
        <w:t>simple re</w:t>
      </w:r>
      <w:r w:rsidR="00E97AEC" w:rsidRPr="00ED1C7E">
        <w:t>calculation</w:t>
      </w:r>
      <w:r w:rsidRPr="00ED1C7E">
        <w:t xml:space="preserve">s </w:t>
      </w:r>
      <w:r w:rsidR="006144DA" w:rsidRPr="00ED1C7E">
        <w:t xml:space="preserve">of values listed in the regulations </w:t>
      </w:r>
      <w:r w:rsidRPr="00ED1C7E">
        <w:t xml:space="preserve">based on </w:t>
      </w:r>
      <w:r w:rsidR="006144DA" w:rsidRPr="00ED1C7E">
        <w:t>new data</w:t>
      </w:r>
      <w:r w:rsidR="00A21A13" w:rsidRPr="00ED1C7E">
        <w:t xml:space="preserve">, which </w:t>
      </w:r>
      <w:r w:rsidR="006144DA" w:rsidRPr="00ED1C7E">
        <w:t xml:space="preserve">do </w:t>
      </w:r>
      <w:r w:rsidR="00E97AEC" w:rsidRPr="00ED1C7E">
        <w:t xml:space="preserve">not entail policy </w:t>
      </w:r>
      <w:proofErr w:type="gramStart"/>
      <w:r w:rsidR="00E97AEC" w:rsidRPr="00ED1C7E">
        <w:t>decision</w:t>
      </w:r>
      <w:r w:rsidR="006144DA" w:rsidRPr="00ED1C7E">
        <w:t>s</w:t>
      </w:r>
      <w:proofErr w:type="gramEnd"/>
    </w:p>
    <w:p w14:paraId="3D21CB4A" w14:textId="477227A7" w:rsidR="00E97AEC" w:rsidRPr="00ED1C7E" w:rsidRDefault="006144DA" w:rsidP="00415BD5">
      <w:pPr>
        <w:pStyle w:val="Bullet"/>
        <w:spacing w:after="100"/>
      </w:pPr>
      <w:r w:rsidRPr="00ED1C7E">
        <w:t xml:space="preserve">minor </w:t>
      </w:r>
      <w:r w:rsidR="007D16B7" w:rsidRPr="00ED1C7E">
        <w:t>clarifications and corrections to the text of the regulations</w:t>
      </w:r>
      <w:r w:rsidR="00B50590" w:rsidRPr="00ED1C7E">
        <w:t>, which</w:t>
      </w:r>
      <w:r w:rsidR="007D16B7" w:rsidRPr="00ED1C7E">
        <w:t xml:space="preserve"> do not change the policy intent.</w:t>
      </w:r>
    </w:p>
    <w:p w14:paraId="7C1D5348" w14:textId="6FFA3009" w:rsidR="00000695" w:rsidRPr="00ED1C7E" w:rsidRDefault="00B724BA" w:rsidP="00415BD5">
      <w:pPr>
        <w:pStyle w:val="BodyText"/>
        <w:spacing w:after="100"/>
      </w:pPr>
      <w:r w:rsidRPr="00ED1C7E">
        <w:t>T</w:t>
      </w:r>
      <w:r w:rsidR="00A95D15" w:rsidRPr="00ED1C7E">
        <w:t>he parallel consultation on NZ ETS settings also involves making changes to the Auction Regulations.</w:t>
      </w:r>
    </w:p>
    <w:p w14:paraId="2629436B" w14:textId="77777777" w:rsidR="00E4563A" w:rsidRDefault="00E4563A">
      <w:pPr>
        <w:spacing w:before="0" w:after="200" w:line="276" w:lineRule="auto"/>
        <w:jc w:val="left"/>
      </w:pPr>
      <w:r>
        <w:br w:type="page"/>
      </w:r>
    </w:p>
    <w:p w14:paraId="3FBF41F9" w14:textId="51CDFDDA" w:rsidR="00C530E3" w:rsidRPr="00ED1C7E" w:rsidRDefault="00C530E3" w:rsidP="00415BD5">
      <w:pPr>
        <w:pStyle w:val="BodyText"/>
        <w:spacing w:after="100"/>
      </w:pPr>
      <w:r w:rsidRPr="00ED1C7E">
        <w:lastRenderedPageBreak/>
        <w:t>Th</w:t>
      </w:r>
      <w:r w:rsidR="00FE5AAF" w:rsidRPr="00ED1C7E">
        <w:t xml:space="preserve">is </w:t>
      </w:r>
      <w:r w:rsidRPr="00ED1C7E">
        <w:t xml:space="preserve">consultation </w:t>
      </w:r>
      <w:r w:rsidR="00FE5AAF" w:rsidRPr="00ED1C7E">
        <w:t xml:space="preserve">on the regulations </w:t>
      </w:r>
      <w:r w:rsidRPr="00ED1C7E">
        <w:t>does not include:</w:t>
      </w:r>
    </w:p>
    <w:p w14:paraId="2027D386" w14:textId="540691B3" w:rsidR="00C530E3" w:rsidRPr="00ED1C7E" w:rsidRDefault="00FE5AAF" w:rsidP="00415BD5">
      <w:pPr>
        <w:pStyle w:val="Bullet"/>
        <w:spacing w:after="100"/>
      </w:pPr>
      <w:r w:rsidRPr="00ED1C7E">
        <w:t>a</w:t>
      </w:r>
      <w:r w:rsidR="00801AAE" w:rsidRPr="00ED1C7E">
        <w:t xml:space="preserve">ny changes to the overarching architecture or purpose of the </w:t>
      </w:r>
      <w:r w:rsidR="00221ACF" w:rsidRPr="00ED1C7E">
        <w:t>NZ ETS</w:t>
      </w:r>
      <w:r w:rsidR="00801AAE" w:rsidRPr="00ED1C7E">
        <w:t xml:space="preserve">, as </w:t>
      </w:r>
      <w:r w:rsidR="00474719" w:rsidRPr="00ED1C7E">
        <w:t xml:space="preserve">provided for in the </w:t>
      </w:r>
      <w:proofErr w:type="gramStart"/>
      <w:r w:rsidR="00474719" w:rsidRPr="00ED1C7E">
        <w:t>Act</w:t>
      </w:r>
      <w:proofErr w:type="gramEnd"/>
    </w:p>
    <w:p w14:paraId="648A1E49" w14:textId="3823E53C" w:rsidR="006827D7" w:rsidRPr="00ED1C7E" w:rsidRDefault="00FE5AAF" w:rsidP="00415BD5">
      <w:pPr>
        <w:pStyle w:val="Bullet"/>
        <w:spacing w:after="100"/>
      </w:pPr>
      <w:r w:rsidRPr="00ED1C7E">
        <w:t>r</w:t>
      </w:r>
      <w:r w:rsidR="0086563C" w:rsidRPr="00ED1C7E">
        <w:t>egulations that are specific to the agriculture or forestry sectors (</w:t>
      </w:r>
      <w:r w:rsidR="00CE16A6" w:rsidRPr="00ED1C7E">
        <w:t xml:space="preserve">while </w:t>
      </w:r>
      <w:r w:rsidR="0079465A" w:rsidRPr="00ED1C7E">
        <w:t xml:space="preserve">noting that some changes </w:t>
      </w:r>
      <w:r w:rsidR="008F586F" w:rsidRPr="00ED1C7E">
        <w:t>do affect all sectors)</w:t>
      </w:r>
    </w:p>
    <w:p w14:paraId="38C8816A" w14:textId="43CB6E3B" w:rsidR="00195EF6" w:rsidRPr="00ED1C7E" w:rsidRDefault="00CE16A6" w:rsidP="00806018">
      <w:pPr>
        <w:pStyle w:val="Bullet"/>
      </w:pPr>
      <w:r w:rsidRPr="00ED1C7E">
        <w:t>r</w:t>
      </w:r>
      <w:r w:rsidR="00561C26" w:rsidRPr="00ED1C7E">
        <w:t xml:space="preserve">eassessment </w:t>
      </w:r>
      <w:r w:rsidR="00195EF6" w:rsidRPr="00ED1C7E">
        <w:t>of the level of or commitment to the international obligations, emissions budgets, or 2050 target</w:t>
      </w:r>
      <w:r w:rsidRPr="00ED1C7E">
        <w:t xml:space="preserve"> (which the proposed changes are intended to support)</w:t>
      </w:r>
      <w:r w:rsidR="00B912D5" w:rsidRPr="00ED1C7E">
        <w:t>.</w:t>
      </w:r>
    </w:p>
    <w:p w14:paraId="38437CFA" w14:textId="42CC0A66" w:rsidR="00BE1981" w:rsidRPr="00ED1C7E" w:rsidRDefault="00BE1981" w:rsidP="00BE1981">
      <w:pPr>
        <w:pStyle w:val="Heading2"/>
      </w:pPr>
      <w:bookmarkStart w:id="13" w:name="_Criteria_for_assessing"/>
      <w:bookmarkStart w:id="14" w:name="_Toc165532989"/>
      <w:bookmarkEnd w:id="13"/>
      <w:r w:rsidRPr="00ED1C7E">
        <w:t xml:space="preserve">Criteria for assessing </w:t>
      </w:r>
      <w:proofErr w:type="gramStart"/>
      <w:r w:rsidRPr="00ED1C7E">
        <w:t>options</w:t>
      </w:r>
      <w:bookmarkEnd w:id="14"/>
      <w:proofErr w:type="gramEnd"/>
    </w:p>
    <w:p w14:paraId="2F6DBE8D" w14:textId="57BBB64B" w:rsidR="00E12822" w:rsidRPr="00ED1C7E" w:rsidRDefault="00E12822" w:rsidP="00E12822">
      <w:pPr>
        <w:pStyle w:val="BodyText"/>
      </w:pPr>
      <w:r w:rsidRPr="00ED1C7E">
        <w:t xml:space="preserve">Regulations are </w:t>
      </w:r>
      <w:r w:rsidR="00C93D76" w:rsidRPr="00ED1C7E">
        <w:t xml:space="preserve">regularly updated to support the </w:t>
      </w:r>
      <w:r w:rsidR="00221ACF" w:rsidRPr="00ED1C7E">
        <w:t>NZ ETS</w:t>
      </w:r>
      <w:r w:rsidR="00C93D76" w:rsidRPr="00ED1C7E">
        <w:t xml:space="preserve"> in meeting its objectives. </w:t>
      </w:r>
      <w:r w:rsidR="00660337" w:rsidRPr="00ED1C7E">
        <w:t xml:space="preserve">For each proposal in this document, options are assessed against the status quo using relevant criteria. </w:t>
      </w:r>
    </w:p>
    <w:p w14:paraId="62A32C14" w14:textId="7AA99D8A" w:rsidR="00C5246F" w:rsidRDefault="00937D63" w:rsidP="00C77905">
      <w:pPr>
        <w:pStyle w:val="BodyText"/>
        <w:spacing w:after="240"/>
      </w:pPr>
      <w:r w:rsidRPr="00ED1C7E">
        <w:t>The approach for a</w:t>
      </w:r>
      <w:r w:rsidR="009D77DC" w:rsidRPr="00ED1C7E">
        <w:t xml:space="preserve">ssessment of each option against </w:t>
      </w:r>
      <w:r w:rsidRPr="00ED1C7E">
        <w:t xml:space="preserve">the status quo for </w:t>
      </w:r>
      <w:r w:rsidR="009D77DC" w:rsidRPr="00ED1C7E">
        <w:t xml:space="preserve">each of the criteria </w:t>
      </w:r>
      <w:r w:rsidRPr="00ED1C7E">
        <w:t xml:space="preserve">is </w:t>
      </w:r>
      <w:r w:rsidR="008C16E5" w:rsidRPr="00ED1C7E">
        <w:t>described in the key below</w:t>
      </w:r>
      <w:r w:rsidR="001B5561" w:rsidRPr="00ED1C7E">
        <w:t>:</w:t>
      </w:r>
    </w:p>
    <w:p w14:paraId="58EA1843" w14:textId="172FA5E9" w:rsidR="00B87D4B" w:rsidRDefault="00B87D4B" w:rsidP="00FB5F02">
      <w:pPr>
        <w:pStyle w:val="Heading3"/>
        <w:spacing w:before="0"/>
      </w:pPr>
      <w:r>
        <w:t xml:space="preserve">Key for </w:t>
      </w:r>
      <w:r w:rsidR="00EA6562">
        <w:t xml:space="preserve">assessing options against the </w:t>
      </w:r>
      <w:proofErr w:type="gramStart"/>
      <w:r w:rsidR="00EA6562">
        <w:t>status quo</w:t>
      </w:r>
      <w:proofErr w:type="gramEnd"/>
    </w:p>
    <w:p w14:paraId="48241102" w14:textId="49FA82EA" w:rsidR="00B87D4B" w:rsidRPr="007837CC" w:rsidRDefault="00B87D4B" w:rsidP="00B87D4B">
      <w:pPr>
        <w:pStyle w:val="BodyText"/>
        <w:keepNext/>
        <w:spacing w:before="60" w:after="0"/>
      </w:pPr>
      <w:r w:rsidRPr="007837CC">
        <w:rPr>
          <w:b/>
          <w:bCs/>
          <w:color w:val="00B050"/>
        </w:rPr>
        <w:t>+</w:t>
      </w:r>
      <w:r w:rsidR="00EA6562">
        <w:rPr>
          <w:b/>
          <w:bCs/>
          <w:color w:val="00B050"/>
        </w:rPr>
        <w:t xml:space="preserve"> </w:t>
      </w:r>
      <w:r w:rsidRPr="007837CC">
        <w:rPr>
          <w:b/>
          <w:bCs/>
          <w:color w:val="00B050"/>
        </w:rPr>
        <w:t>+</w:t>
      </w:r>
      <w:r w:rsidRPr="007837CC">
        <w:t xml:space="preserve"> </w:t>
      </w:r>
      <w:r w:rsidRPr="007837CC">
        <w:tab/>
        <w:t>much better than the status quo</w:t>
      </w:r>
    </w:p>
    <w:p w14:paraId="1001D519" w14:textId="77777777" w:rsidR="00A30BD6" w:rsidRDefault="00B87D4B" w:rsidP="00A30BD6">
      <w:pPr>
        <w:pStyle w:val="BodyText"/>
        <w:keepNext/>
        <w:spacing w:before="60" w:after="0"/>
      </w:pPr>
      <w:r w:rsidRPr="007837CC">
        <w:rPr>
          <w:b/>
          <w:bCs/>
          <w:color w:val="00B050"/>
        </w:rPr>
        <w:t>+</w:t>
      </w:r>
      <w:r w:rsidRPr="007837CC">
        <w:t xml:space="preserve"> </w:t>
      </w:r>
      <w:r w:rsidRPr="007837CC">
        <w:tab/>
        <w:t>better than the status quo</w:t>
      </w:r>
    </w:p>
    <w:p w14:paraId="58CD17EE" w14:textId="7282CAE9" w:rsidR="00B87D4B" w:rsidRPr="007837CC" w:rsidRDefault="00A30BD6" w:rsidP="00A30BD6">
      <w:pPr>
        <w:pStyle w:val="BodyText"/>
        <w:keepNext/>
        <w:spacing w:before="60" w:after="0"/>
      </w:pPr>
      <w:r w:rsidRPr="00ED1C7E">
        <w:rPr>
          <w:b/>
          <w:bCs/>
        </w:rPr>
        <w:t>0</w:t>
      </w:r>
      <w:r>
        <w:rPr>
          <w:b/>
          <w:bCs/>
        </w:rPr>
        <w:tab/>
      </w:r>
      <w:r w:rsidR="00B87D4B" w:rsidRPr="007837CC">
        <w:t>about the same as the status quo</w:t>
      </w:r>
    </w:p>
    <w:p w14:paraId="4F1BE78B" w14:textId="77777777" w:rsidR="00B87D4B" w:rsidRPr="007837CC" w:rsidRDefault="00B87D4B" w:rsidP="00B87D4B">
      <w:pPr>
        <w:pStyle w:val="BodyText"/>
        <w:spacing w:before="60" w:after="0"/>
      </w:pPr>
      <w:r w:rsidRPr="007837CC">
        <w:rPr>
          <w:b/>
          <w:bCs/>
          <w:color w:val="FF0000"/>
        </w:rPr>
        <w:t>–</w:t>
      </w:r>
      <w:r w:rsidRPr="007837CC">
        <w:t xml:space="preserve"> </w:t>
      </w:r>
      <w:r w:rsidRPr="007837CC">
        <w:tab/>
        <w:t>worse than the status quo</w:t>
      </w:r>
    </w:p>
    <w:p w14:paraId="7C8E906A" w14:textId="77777777" w:rsidR="00B87D4B" w:rsidRPr="007837CC" w:rsidRDefault="00B87D4B" w:rsidP="00B87D4B">
      <w:pPr>
        <w:pStyle w:val="BodyText"/>
        <w:spacing w:before="60"/>
      </w:pPr>
      <w:r w:rsidRPr="007837CC">
        <w:rPr>
          <w:b/>
          <w:bCs/>
          <w:color w:val="FF0000"/>
        </w:rPr>
        <w:t xml:space="preserve">– – </w:t>
      </w:r>
      <w:r w:rsidRPr="007837CC">
        <w:tab/>
        <w:t>much worse than the status quo</w:t>
      </w:r>
    </w:p>
    <w:p w14:paraId="1E22F3E4" w14:textId="173CEB5A" w:rsidR="001B5561" w:rsidRPr="00ED1C7E" w:rsidRDefault="001B5561" w:rsidP="00806018">
      <w:pPr>
        <w:pStyle w:val="BodyText"/>
        <w:spacing w:before="240"/>
      </w:pPr>
      <w:r w:rsidRPr="00ED1C7E">
        <w:t xml:space="preserve">A total score is then presented, determined </w:t>
      </w:r>
      <w:r w:rsidR="004F529E" w:rsidRPr="00ED1C7E">
        <w:t xml:space="preserve">by the total number of </w:t>
      </w:r>
      <w:r w:rsidR="004F529E" w:rsidRPr="00ED1C7E">
        <w:rPr>
          <w:b/>
          <w:bCs/>
          <w:color w:val="00B050"/>
        </w:rPr>
        <w:t>+</w:t>
      </w:r>
      <w:r w:rsidR="004F529E" w:rsidRPr="00ED1C7E">
        <w:t xml:space="preserve"> scores </w:t>
      </w:r>
      <w:r w:rsidR="00E64C31" w:rsidRPr="00ED1C7E">
        <w:t>given,</w:t>
      </w:r>
      <w:r w:rsidR="004F529E" w:rsidRPr="00ED1C7E">
        <w:t xml:space="preserve"> less the total number of any </w:t>
      </w:r>
      <w:r w:rsidR="004F529E" w:rsidRPr="00ED1C7E">
        <w:rPr>
          <w:b/>
          <w:bCs/>
          <w:color w:val="FF0000"/>
        </w:rPr>
        <w:t>–</w:t>
      </w:r>
      <w:r w:rsidR="004F529E" w:rsidRPr="00ED1C7E">
        <w:t xml:space="preserve"> scores </w:t>
      </w:r>
      <w:r w:rsidR="0006159D" w:rsidRPr="00ED1C7E">
        <w:t>given</w:t>
      </w:r>
      <w:r w:rsidR="00755F75" w:rsidRPr="00ED1C7E">
        <w:t xml:space="preserve">. </w:t>
      </w:r>
      <w:r w:rsidR="00F92DDB" w:rsidRPr="00ED1C7E">
        <w:t xml:space="preserve">There is no greater weighting given to any one of the below criteria above another. </w:t>
      </w:r>
      <w:r w:rsidR="00755F75" w:rsidRPr="00ED1C7E">
        <w:t>For example,</w:t>
      </w:r>
      <w:r w:rsidR="0006159D" w:rsidRPr="00ED1C7E">
        <w:t xml:space="preserve"> </w:t>
      </w:r>
      <w:r w:rsidR="00797614" w:rsidRPr="00ED1C7E">
        <w:t>a proposal</w:t>
      </w:r>
      <w:r w:rsidR="00755F75" w:rsidRPr="00ED1C7E">
        <w:t xml:space="preserve"> given</w:t>
      </w:r>
      <w:r w:rsidR="004F529E" w:rsidRPr="00ED1C7E">
        <w:t xml:space="preserve"> </w:t>
      </w:r>
      <w:r w:rsidR="00894B03" w:rsidRPr="00ED1C7E">
        <w:rPr>
          <w:b/>
          <w:bCs/>
          <w:color w:val="00B050"/>
        </w:rPr>
        <w:t>3+</w:t>
      </w:r>
      <w:r w:rsidR="00894B03" w:rsidRPr="00ED1C7E">
        <w:t xml:space="preserve"> </w:t>
      </w:r>
      <w:r w:rsidR="00797614" w:rsidRPr="00ED1C7E">
        <w:t>and</w:t>
      </w:r>
      <w:r w:rsidR="00894B03" w:rsidRPr="00ED1C7E">
        <w:t xml:space="preserve"> </w:t>
      </w:r>
      <w:r w:rsidR="00894B03" w:rsidRPr="00ED1C7E">
        <w:rPr>
          <w:b/>
          <w:bCs/>
          <w:color w:val="FF0000"/>
        </w:rPr>
        <w:t>1–</w:t>
      </w:r>
      <w:r w:rsidR="00797614" w:rsidRPr="00ED1C7E">
        <w:t xml:space="preserve"> will receive a total score of </w:t>
      </w:r>
      <w:r w:rsidR="00755F75" w:rsidRPr="00ED1C7E">
        <w:rPr>
          <w:b/>
          <w:bCs/>
          <w:color w:val="00B050"/>
        </w:rPr>
        <w:t>2</w:t>
      </w:r>
      <w:r w:rsidR="007026EE" w:rsidRPr="00ED1C7E">
        <w:rPr>
          <w:b/>
          <w:bCs/>
          <w:color w:val="00B050"/>
        </w:rPr>
        <w:t>+</w:t>
      </w:r>
      <w:r w:rsidR="00894B03" w:rsidRPr="00ED1C7E">
        <w:t>.</w:t>
      </w:r>
    </w:p>
    <w:p w14:paraId="611ADE8F" w14:textId="0E5D06B7" w:rsidR="00D55DDD" w:rsidRPr="00ED1C7E" w:rsidRDefault="00D55DDD" w:rsidP="001B5561">
      <w:pPr>
        <w:pStyle w:val="BodyText"/>
      </w:pPr>
      <w:r w:rsidRPr="00ED1C7E">
        <w:t xml:space="preserve">The status quo </w:t>
      </w:r>
      <w:r w:rsidR="00EB689B" w:rsidRPr="00ED1C7E">
        <w:t xml:space="preserve">(in which no change is made to the current provisions in regulations) </w:t>
      </w:r>
      <w:r w:rsidRPr="00ED1C7E">
        <w:t xml:space="preserve">is always scored as </w:t>
      </w:r>
      <w:r w:rsidRPr="00ED1C7E">
        <w:rPr>
          <w:b/>
          <w:bCs/>
        </w:rPr>
        <w:t>0</w:t>
      </w:r>
      <w:r w:rsidRPr="00ED1C7E">
        <w:t>, providing a benchmark against which all other options are compared.</w:t>
      </w:r>
    </w:p>
    <w:p w14:paraId="7FC718F4" w14:textId="77C71903" w:rsidR="008C16E5" w:rsidRPr="00ED1C7E" w:rsidRDefault="002447DD" w:rsidP="000849A8">
      <w:pPr>
        <w:pStyle w:val="BodyText"/>
      </w:pPr>
      <w:r w:rsidRPr="00ED1C7E">
        <w:t>Changes must be accurate, efficient</w:t>
      </w:r>
      <w:r w:rsidRPr="00ED1C7E" w:rsidDel="00DE40B2">
        <w:t>,</w:t>
      </w:r>
      <w:r w:rsidRPr="00ED1C7E">
        <w:t xml:space="preserve"> and clear</w:t>
      </w:r>
      <w:r w:rsidR="00000695" w:rsidRPr="00ED1C7E">
        <w:t xml:space="preserve">, </w:t>
      </w:r>
      <w:r w:rsidR="000B3701" w:rsidRPr="00ED1C7E">
        <w:t xml:space="preserve">and they must </w:t>
      </w:r>
      <w:r w:rsidR="00000695" w:rsidRPr="00ED1C7E">
        <w:t xml:space="preserve">work </w:t>
      </w:r>
      <w:r w:rsidR="00720C3F" w:rsidRPr="00ED1C7E">
        <w:t>successfully as a collective</w:t>
      </w:r>
      <w:r w:rsidRPr="00ED1C7E">
        <w:t xml:space="preserve">. For each proposal, options are assessed against the status quo using </w:t>
      </w:r>
      <w:r w:rsidR="00801AAE" w:rsidRPr="00ED1C7E">
        <w:t>the following criteria</w:t>
      </w:r>
      <w:r w:rsidR="001874D7" w:rsidRPr="00ED1C7E">
        <w:t>.</w:t>
      </w:r>
    </w:p>
    <w:p w14:paraId="3C7AA4E7" w14:textId="1BAA90A9" w:rsidR="000849A8" w:rsidRPr="00ED1C7E" w:rsidRDefault="002447DD" w:rsidP="00806018">
      <w:pPr>
        <w:pStyle w:val="Bullet"/>
      </w:pPr>
      <w:r w:rsidRPr="00ED1C7E">
        <w:rPr>
          <w:b/>
        </w:rPr>
        <w:t>A</w:t>
      </w:r>
      <w:r w:rsidR="00C5246F" w:rsidRPr="00ED1C7E">
        <w:rPr>
          <w:b/>
        </w:rPr>
        <w:t>lignment</w:t>
      </w:r>
      <w:r w:rsidR="00C5246F" w:rsidRPr="00ED1C7E">
        <w:t xml:space="preserve"> with the objectives of the </w:t>
      </w:r>
      <w:r w:rsidR="00221ACF" w:rsidRPr="00ED1C7E">
        <w:t>NZ ETS</w:t>
      </w:r>
      <w:r w:rsidR="00C5246F" w:rsidRPr="00ED1C7E">
        <w:t xml:space="preserve">. The objectives are to support and encourage global efforts to reduce the emission of greenhouse gases by </w:t>
      </w:r>
      <w:r w:rsidR="009E68DF">
        <w:t>helping</w:t>
      </w:r>
      <w:r w:rsidR="009E68DF" w:rsidRPr="00ED1C7E">
        <w:t xml:space="preserve"> </w:t>
      </w:r>
      <w:r w:rsidR="00C5246F" w:rsidRPr="00ED1C7E">
        <w:t xml:space="preserve">New Zealand meet </w:t>
      </w:r>
      <w:r w:rsidR="00613932" w:rsidRPr="00ED1C7E">
        <w:t>our</w:t>
      </w:r>
      <w:r w:rsidR="00C5246F" w:rsidRPr="00ED1C7E">
        <w:t xml:space="preserve"> international climate obligations</w:t>
      </w:r>
      <w:r w:rsidR="00B4402F" w:rsidRPr="00ED1C7E">
        <w:t>,</w:t>
      </w:r>
      <w:r w:rsidR="00C5246F" w:rsidRPr="00ED1C7E">
        <w:t xml:space="preserve"> as well as </w:t>
      </w:r>
      <w:r w:rsidR="00613932" w:rsidRPr="00ED1C7E">
        <w:t xml:space="preserve">our </w:t>
      </w:r>
      <w:r w:rsidR="00C5246F" w:rsidRPr="00ED1C7E">
        <w:t>2050 domestic target and emissions budgets.</w:t>
      </w:r>
    </w:p>
    <w:p w14:paraId="59DA5957" w14:textId="3D3B2DB1" w:rsidR="00C5246F" w:rsidRPr="00ED1C7E" w:rsidRDefault="002447DD" w:rsidP="00FE14E4">
      <w:pPr>
        <w:pStyle w:val="Bullet"/>
      </w:pPr>
      <w:r w:rsidRPr="00ED1C7E">
        <w:rPr>
          <w:b/>
        </w:rPr>
        <w:t>A</w:t>
      </w:r>
      <w:r w:rsidR="00C5246F" w:rsidRPr="00ED1C7E">
        <w:rPr>
          <w:b/>
        </w:rPr>
        <w:t>ccuracy</w:t>
      </w:r>
      <w:r w:rsidR="00795DB4" w:rsidRPr="00ED1C7E">
        <w:t xml:space="preserve"> –</w:t>
      </w:r>
      <w:r w:rsidR="006C3FE2" w:rsidRPr="00ED1C7E">
        <w:t xml:space="preserve"> by </w:t>
      </w:r>
      <w:r w:rsidR="00C5246F" w:rsidRPr="00ED1C7E">
        <w:t xml:space="preserve">ensuring </w:t>
      </w:r>
      <w:r w:rsidR="006C3FE2" w:rsidRPr="00ED1C7E">
        <w:t xml:space="preserve">that </w:t>
      </w:r>
      <w:r w:rsidR="00C5246F" w:rsidRPr="00ED1C7E">
        <w:t>the methodologies and emissions factors in the regulations result in calculations of emissions that are as close as practically possible to those that are released into the atmosphere from the activity</w:t>
      </w:r>
      <w:r w:rsidRPr="00ED1C7E">
        <w:t>.</w:t>
      </w:r>
    </w:p>
    <w:p w14:paraId="7C51F787" w14:textId="1F6D8513" w:rsidR="00C5246F" w:rsidRPr="00ED1C7E" w:rsidRDefault="002447DD" w:rsidP="00FE14E4">
      <w:pPr>
        <w:pStyle w:val="Bullet"/>
      </w:pPr>
      <w:r w:rsidRPr="00ED1C7E">
        <w:rPr>
          <w:b/>
        </w:rPr>
        <w:t>E</w:t>
      </w:r>
      <w:r w:rsidR="00C5246F" w:rsidRPr="00ED1C7E">
        <w:rPr>
          <w:b/>
        </w:rPr>
        <w:t>fficiency</w:t>
      </w:r>
      <w:r w:rsidR="00795DB4" w:rsidRPr="00ED1C7E">
        <w:t xml:space="preserve"> – </w:t>
      </w:r>
      <w:r w:rsidR="00726FA0" w:rsidRPr="00ED1C7E">
        <w:t>regarding</w:t>
      </w:r>
      <w:r w:rsidR="002C03C3" w:rsidRPr="00ED1C7E">
        <w:t xml:space="preserve"> </w:t>
      </w:r>
      <w:r w:rsidR="00C5246F" w:rsidRPr="00ED1C7E">
        <w:t>administrative and compliance costs</w:t>
      </w:r>
      <w:r w:rsidR="00726FA0" w:rsidRPr="00ED1C7E">
        <w:t xml:space="preserve"> and burdens</w:t>
      </w:r>
      <w:r w:rsidR="00C5246F" w:rsidRPr="00ED1C7E">
        <w:t xml:space="preserve"> for participants and the Government.</w:t>
      </w:r>
    </w:p>
    <w:p w14:paraId="2B4AE96F" w14:textId="4B1E83F9" w:rsidR="006C3FCD" w:rsidRPr="00ED1C7E" w:rsidRDefault="002447DD" w:rsidP="006F3E07">
      <w:pPr>
        <w:pStyle w:val="Bullet"/>
      </w:pPr>
      <w:r w:rsidRPr="00ED1C7E">
        <w:rPr>
          <w:b/>
          <w:bCs/>
        </w:rPr>
        <w:t>Cl</w:t>
      </w:r>
      <w:r w:rsidR="00C5246F" w:rsidRPr="00ED1C7E">
        <w:rPr>
          <w:b/>
          <w:bCs/>
        </w:rPr>
        <w:t>arity</w:t>
      </w:r>
      <w:r w:rsidR="00795DB4" w:rsidRPr="00ED1C7E">
        <w:t xml:space="preserve"> –</w:t>
      </w:r>
      <w:r w:rsidR="002C03C3" w:rsidRPr="00ED1C7E">
        <w:t xml:space="preserve"> </w:t>
      </w:r>
      <w:r w:rsidR="00C5246F" w:rsidRPr="00ED1C7E">
        <w:t xml:space="preserve">the regulations must be unambiguous and consistent, so </w:t>
      </w:r>
      <w:r w:rsidR="002C03C3" w:rsidRPr="00ED1C7E">
        <w:t xml:space="preserve">that </w:t>
      </w:r>
      <w:r w:rsidR="00C5246F" w:rsidRPr="00ED1C7E">
        <w:t>the obligations and costs imposed on regulated parties are equivalent and unavoidable</w:t>
      </w:r>
      <w:r w:rsidRPr="00ED1C7E">
        <w:t>.</w:t>
      </w:r>
    </w:p>
    <w:p w14:paraId="2801DA7A" w14:textId="34F1620A" w:rsidR="00BE1981" w:rsidRPr="00ED1C7E" w:rsidRDefault="00BE1981" w:rsidP="0056684E">
      <w:pPr>
        <w:pStyle w:val="Heading2"/>
      </w:pPr>
      <w:bookmarkStart w:id="15" w:name="_Toc165532990"/>
      <w:r w:rsidRPr="00ED1C7E">
        <w:lastRenderedPageBreak/>
        <w:t>Your views</w:t>
      </w:r>
      <w:bookmarkEnd w:id="15"/>
    </w:p>
    <w:p w14:paraId="699CEA38" w14:textId="6D444CC0" w:rsidR="006E4CC6" w:rsidRPr="00ED1C7E" w:rsidRDefault="006E4CC6" w:rsidP="0056684E">
      <w:pPr>
        <w:pStyle w:val="BodyText"/>
      </w:pPr>
      <w:r w:rsidRPr="00ED1C7E">
        <w:t xml:space="preserve">We want to know your thoughts on the options </w:t>
      </w:r>
      <w:r w:rsidR="00E22492" w:rsidRPr="00ED1C7E">
        <w:t xml:space="preserve">in this consultation document </w:t>
      </w:r>
      <w:r w:rsidRPr="00ED1C7E">
        <w:t xml:space="preserve">for proposed updates to </w:t>
      </w:r>
      <w:r w:rsidR="00221ACF" w:rsidRPr="00ED1C7E">
        <w:t>NZ ETS</w:t>
      </w:r>
      <w:r w:rsidRPr="00ED1C7E">
        <w:t xml:space="preserve"> r</w:t>
      </w:r>
      <w:r w:rsidRPr="00ED1C7E">
        <w:rPr>
          <w:spacing w:val="-2"/>
        </w:rPr>
        <w:t>egulations</w:t>
      </w:r>
      <w:r w:rsidRPr="00ED1C7E">
        <w:t>. Your response</w:t>
      </w:r>
      <w:r w:rsidR="0064129E" w:rsidRPr="00ED1C7E">
        <w:t>s</w:t>
      </w:r>
      <w:r w:rsidRPr="00ED1C7E">
        <w:t xml:space="preserve"> will help us understand the issues and options, and their impact. </w:t>
      </w:r>
    </w:p>
    <w:p w14:paraId="74011C05" w14:textId="04A76D9D" w:rsidR="006E4CC6" w:rsidRPr="00ED1C7E" w:rsidRDefault="006E4CC6" w:rsidP="0056684E">
      <w:pPr>
        <w:pStyle w:val="BodyText"/>
      </w:pPr>
      <w:r w:rsidRPr="00ED1C7E">
        <w:t xml:space="preserve">The following sections explain the issues, present </w:t>
      </w:r>
      <w:r w:rsidR="0058755C" w:rsidRPr="00ED1C7E">
        <w:t xml:space="preserve">the </w:t>
      </w:r>
      <w:r w:rsidRPr="00ED1C7E">
        <w:t xml:space="preserve">options and analysis, and include questions for you to consider. Your views will help us fill information gaps and </w:t>
      </w:r>
      <w:r w:rsidR="002C03C3" w:rsidRPr="00ED1C7E">
        <w:t xml:space="preserve">gauge </w:t>
      </w:r>
      <w:r w:rsidRPr="00ED1C7E">
        <w:t>support for the options.</w:t>
      </w:r>
    </w:p>
    <w:p w14:paraId="705B2F21" w14:textId="5FB0CF91" w:rsidR="00774A27" w:rsidRPr="00ED1C7E" w:rsidRDefault="00774A27" w:rsidP="0056684E">
      <w:pPr>
        <w:pStyle w:val="BodyText"/>
      </w:pPr>
      <w:r w:rsidRPr="00ED1C7E">
        <w:t>The</w:t>
      </w:r>
      <w:r w:rsidRPr="00ED1C7E">
        <w:rPr>
          <w:rFonts w:eastAsia="Calibri" w:cs="Calibri"/>
        </w:rPr>
        <w:t xml:space="preserve"> questions presented at the end of each </w:t>
      </w:r>
      <w:r w:rsidR="00B45AD4" w:rsidRPr="00ED1C7E">
        <w:rPr>
          <w:rFonts w:eastAsia="Calibri" w:cs="Calibri"/>
        </w:rPr>
        <w:t xml:space="preserve">section </w:t>
      </w:r>
      <w:r w:rsidRPr="00ED1C7E">
        <w:rPr>
          <w:rFonts w:eastAsia="Calibri" w:cs="Calibri"/>
        </w:rPr>
        <w:t>are also collated toward the end of the document</w:t>
      </w:r>
      <w:r w:rsidR="00864C62" w:rsidRPr="00ED1C7E">
        <w:rPr>
          <w:rFonts w:eastAsia="Calibri" w:cs="Calibri"/>
        </w:rPr>
        <w:t xml:space="preserve">, under </w:t>
      </w:r>
      <w:hyperlink w:anchor="_Consultation_questions" w:history="1">
        <w:r w:rsidR="00864C62" w:rsidRPr="00ED1C7E">
          <w:rPr>
            <w:rStyle w:val="Hyperlink"/>
            <w:rFonts w:eastAsia="Calibri" w:cs="Calibri"/>
          </w:rPr>
          <w:t>Consultation questions</w:t>
        </w:r>
      </w:hyperlink>
      <w:r w:rsidR="00B45AD4" w:rsidRPr="00ED1C7E">
        <w:rPr>
          <w:rFonts w:eastAsia="Calibri" w:cs="Calibri"/>
        </w:rPr>
        <w:t>, along with</w:t>
      </w:r>
      <w:r w:rsidR="00984429" w:rsidRPr="00ED1C7E">
        <w:rPr>
          <w:rFonts w:eastAsia="Calibri" w:cs="Calibri"/>
        </w:rPr>
        <w:t xml:space="preserve"> general questions</w:t>
      </w:r>
      <w:r w:rsidRPr="00ED1C7E">
        <w:rPr>
          <w:rFonts w:eastAsia="Calibri" w:cs="Calibri"/>
        </w:rPr>
        <w:t xml:space="preserve"> </w:t>
      </w:r>
      <w:r w:rsidR="00A14E1C" w:rsidRPr="00ED1C7E">
        <w:rPr>
          <w:rFonts w:eastAsia="Calibri" w:cs="Calibri"/>
        </w:rPr>
        <w:t xml:space="preserve">that apply across the </w:t>
      </w:r>
      <w:r w:rsidR="00D4788B" w:rsidRPr="00ED1C7E">
        <w:rPr>
          <w:rFonts w:eastAsia="Calibri" w:cs="Calibri"/>
        </w:rPr>
        <w:t>overall regulatory update process.</w:t>
      </w:r>
    </w:p>
    <w:p w14:paraId="018F81D9" w14:textId="44AE2BD4" w:rsidR="00816EE4" w:rsidRPr="00ED1C7E" w:rsidRDefault="00816EE4" w:rsidP="00774A27">
      <w:pPr>
        <w:pStyle w:val="Heading3"/>
      </w:pPr>
      <w:r w:rsidRPr="00ED1C7E">
        <w:t xml:space="preserve">We </w:t>
      </w:r>
      <w:r w:rsidR="006C3FCD" w:rsidRPr="00ED1C7E">
        <w:t xml:space="preserve">are </w:t>
      </w:r>
      <w:r w:rsidR="006A50D7" w:rsidRPr="00ED1C7E">
        <w:t xml:space="preserve">also </w:t>
      </w:r>
      <w:r w:rsidRPr="00ED1C7E">
        <w:t xml:space="preserve">specifically </w:t>
      </w:r>
      <w:r w:rsidR="006C3FCD" w:rsidRPr="00ED1C7E">
        <w:t>seeking</w:t>
      </w:r>
      <w:r w:rsidRPr="00ED1C7E">
        <w:t xml:space="preserve"> feedback on </w:t>
      </w:r>
      <w:r w:rsidR="008D16C2" w:rsidRPr="00ED1C7E">
        <w:t xml:space="preserve">the </w:t>
      </w:r>
      <w:r w:rsidRPr="00ED1C7E">
        <w:t>impact of</w:t>
      </w:r>
      <w:r w:rsidR="0056684E" w:rsidRPr="00ED1C7E">
        <w:t> </w:t>
      </w:r>
      <w:r w:rsidRPr="00ED1C7E">
        <w:t xml:space="preserve">these proposed changes on </w:t>
      </w:r>
      <w:proofErr w:type="gramStart"/>
      <w:r w:rsidRPr="00ED1C7E">
        <w:t>Māori</w:t>
      </w:r>
      <w:proofErr w:type="gramEnd"/>
    </w:p>
    <w:p w14:paraId="79750E7C" w14:textId="154C4342" w:rsidR="00816EE4" w:rsidRPr="00ED1C7E" w:rsidRDefault="00816EE4" w:rsidP="0056684E">
      <w:pPr>
        <w:pStyle w:val="BodyText"/>
      </w:pPr>
      <w:r w:rsidRPr="00ED1C7E">
        <w:t>We recognise</w:t>
      </w:r>
      <w:r w:rsidR="00B45AD4" w:rsidRPr="00ED1C7E">
        <w:t xml:space="preserve"> that</w:t>
      </w:r>
      <w:r w:rsidRPr="00ED1C7E">
        <w:t xml:space="preserve"> Māori have a significant interest in climate change action and the </w:t>
      </w:r>
      <w:r w:rsidR="00221ACF" w:rsidRPr="00ED1C7E">
        <w:t>NZ ETS</w:t>
      </w:r>
      <w:r w:rsidRPr="00ED1C7E">
        <w:t xml:space="preserve">. </w:t>
      </w:r>
    </w:p>
    <w:p w14:paraId="1AB9B525" w14:textId="4BC21188" w:rsidR="00816EE4" w:rsidRPr="00ED1C7E" w:rsidRDefault="00816EE4" w:rsidP="0056684E">
      <w:pPr>
        <w:pStyle w:val="BodyText"/>
      </w:pPr>
      <w:r w:rsidRPr="00ED1C7E">
        <w:t>We have assessed that there is unlikely to be any specific impact on Māori resulting from any of the proposed updates in this consultation</w:t>
      </w:r>
      <w:r w:rsidR="000053AA" w:rsidRPr="00ED1C7E">
        <w:t xml:space="preserve">, but we </w:t>
      </w:r>
      <w:r w:rsidRPr="00ED1C7E">
        <w:t>acknowledge the</w:t>
      </w:r>
      <w:r w:rsidR="000053AA" w:rsidRPr="00ED1C7E">
        <w:t xml:space="preserve"> </w:t>
      </w:r>
      <w:r w:rsidRPr="00ED1C7E">
        <w:t xml:space="preserve">possibility of gaps in our analysis. Therefore, </w:t>
      </w:r>
      <w:r w:rsidR="000053AA" w:rsidRPr="00ED1C7E">
        <w:t xml:space="preserve">as part of this consultation, </w:t>
      </w:r>
      <w:r w:rsidRPr="00ED1C7E">
        <w:t xml:space="preserve">in addition to questions </w:t>
      </w:r>
      <w:r w:rsidR="00BB3925" w:rsidRPr="00ED1C7E">
        <w:t xml:space="preserve">on each </w:t>
      </w:r>
      <w:r w:rsidRPr="00ED1C7E">
        <w:t>proposed update, we are specifically requesting that submitters consider whether any of the proposed changes could have an impact on Māori, whether positive or negative.</w:t>
      </w:r>
    </w:p>
    <w:p w14:paraId="0CDF7075" w14:textId="77777777" w:rsidR="006161FC" w:rsidRPr="00ED1C7E" w:rsidRDefault="00BE1981" w:rsidP="00BE1981">
      <w:pPr>
        <w:pStyle w:val="Heading2"/>
      </w:pPr>
      <w:bookmarkStart w:id="16" w:name="_Toc165532991"/>
      <w:r w:rsidRPr="00ED1C7E">
        <w:t>Consultation process</w:t>
      </w:r>
      <w:bookmarkEnd w:id="16"/>
    </w:p>
    <w:p w14:paraId="38E749D1" w14:textId="6F05B44C" w:rsidR="00EC0572" w:rsidRDefault="000C5F0F" w:rsidP="006161FC">
      <w:pPr>
        <w:pStyle w:val="BodyText"/>
      </w:pPr>
      <w:r w:rsidRPr="00ED1C7E">
        <w:t xml:space="preserve">The </w:t>
      </w:r>
      <w:r w:rsidR="006161FC" w:rsidRPr="00ED1C7E">
        <w:t xml:space="preserve">consultation </w:t>
      </w:r>
      <w:r w:rsidRPr="00ED1C7E">
        <w:t xml:space="preserve">for the proposals in this document and </w:t>
      </w:r>
      <w:r w:rsidR="00ED6D85" w:rsidRPr="00ED1C7E">
        <w:t>for</w:t>
      </w:r>
      <w:r w:rsidRPr="00ED1C7E">
        <w:t xml:space="preserve"> </w:t>
      </w:r>
      <w:r w:rsidR="006631DA" w:rsidRPr="00ED1C7E">
        <w:t xml:space="preserve">those relating to </w:t>
      </w:r>
      <w:r w:rsidR="00221ACF" w:rsidRPr="00ED1C7E">
        <w:t>NZ ETS</w:t>
      </w:r>
      <w:r w:rsidRPr="00ED1C7E">
        <w:t xml:space="preserve"> </w:t>
      </w:r>
      <w:r w:rsidR="00BB3925" w:rsidRPr="00ED1C7E">
        <w:t>s</w:t>
      </w:r>
      <w:r w:rsidRPr="00ED1C7E">
        <w:t>ettings</w:t>
      </w:r>
      <w:r w:rsidR="00490E40" w:rsidRPr="00ED1C7E">
        <w:t xml:space="preserve"> </w:t>
      </w:r>
      <w:r w:rsidR="006161FC" w:rsidRPr="00ED1C7E">
        <w:t>will close at 5</w:t>
      </w:r>
      <w:r w:rsidR="002574BB" w:rsidRPr="00ED1C7E">
        <w:t>:00</w:t>
      </w:r>
      <w:r w:rsidR="006161FC" w:rsidRPr="00ED1C7E">
        <w:t xml:space="preserve"> pm on </w:t>
      </w:r>
      <w:r w:rsidR="00E23363">
        <w:t>14</w:t>
      </w:r>
      <w:r w:rsidR="00A62186" w:rsidRPr="000E4A02">
        <w:t xml:space="preserve"> </w:t>
      </w:r>
      <w:r w:rsidR="00E23363">
        <w:t xml:space="preserve">June </w:t>
      </w:r>
      <w:r w:rsidR="00A62186" w:rsidRPr="000E4A02">
        <w:t>2024</w:t>
      </w:r>
      <w:r w:rsidR="006161FC" w:rsidRPr="000E4A02">
        <w:t>.</w:t>
      </w:r>
    </w:p>
    <w:p w14:paraId="65858203" w14:textId="00AA7A65" w:rsidR="00BE1981" w:rsidRPr="00ED1C7E" w:rsidRDefault="006161FC" w:rsidP="006161FC">
      <w:pPr>
        <w:pStyle w:val="BodyText"/>
      </w:pPr>
      <w:r w:rsidRPr="00ED1C7E">
        <w:t xml:space="preserve">Once we have considered submissions, we will put final proposals to the Minister </w:t>
      </w:r>
      <w:r w:rsidR="00EB0334" w:rsidRPr="00ED1C7E">
        <w:t xml:space="preserve">of Climate Change </w:t>
      </w:r>
      <w:r w:rsidRPr="00ED1C7E">
        <w:t xml:space="preserve">and Cabinet for consideration. Following Cabinet decisions, any new regulations or amendments to existing regulations will be published in the New Zealand Gazette by </w:t>
      </w:r>
      <w:r w:rsidR="002503A0" w:rsidRPr="00ED1C7E">
        <w:t>30</w:t>
      </w:r>
      <w:r w:rsidR="002503A0">
        <w:t> </w:t>
      </w:r>
      <w:r w:rsidRPr="00ED1C7E">
        <w:t>September 202</w:t>
      </w:r>
      <w:r w:rsidR="00822F52" w:rsidRPr="00ED1C7E">
        <w:t>4</w:t>
      </w:r>
      <w:r w:rsidRPr="00ED1C7E">
        <w:t xml:space="preserve"> and </w:t>
      </w:r>
      <w:r w:rsidR="008D7F6D" w:rsidRPr="00ED1C7E">
        <w:t xml:space="preserve">will </w:t>
      </w:r>
      <w:r w:rsidRPr="00ED1C7E">
        <w:t>come into force from 1 January 202</w:t>
      </w:r>
      <w:r w:rsidR="00822F52" w:rsidRPr="00ED1C7E">
        <w:t>5</w:t>
      </w:r>
      <w:r w:rsidRPr="00ED1C7E">
        <w:t>.</w:t>
      </w:r>
    </w:p>
    <w:p w14:paraId="17BAD45A" w14:textId="3DBCF314" w:rsidR="00BE1981" w:rsidRPr="00ED1C7E" w:rsidRDefault="00BE1981" w:rsidP="00BE1981">
      <w:pPr>
        <w:pStyle w:val="Heading2"/>
      </w:pPr>
      <w:bookmarkStart w:id="17" w:name="_Toc165532992"/>
      <w:r w:rsidRPr="00ED1C7E">
        <w:t>Submitting your views</w:t>
      </w:r>
      <w:bookmarkEnd w:id="17"/>
    </w:p>
    <w:p w14:paraId="45AC0D96" w14:textId="2E5A08E6" w:rsidR="00536A07" w:rsidRPr="00ED1C7E" w:rsidRDefault="00536A07" w:rsidP="00536A07">
      <w:pPr>
        <w:pStyle w:val="BodyText"/>
      </w:pPr>
      <w:r w:rsidRPr="00ED1C7E">
        <w:t xml:space="preserve">For details on sending feedback to us, see the </w:t>
      </w:r>
      <w:hyperlink w:anchor="_Consultation_questions_and" w:history="1">
        <w:r w:rsidR="007228CF" w:rsidRPr="00ED1C7E">
          <w:rPr>
            <w:rStyle w:val="Hyperlink"/>
          </w:rPr>
          <w:t>Consultation questions and providing feedback</w:t>
        </w:r>
      </w:hyperlink>
      <w:r w:rsidR="007228CF" w:rsidRPr="00ED1C7E">
        <w:t xml:space="preserve"> </w:t>
      </w:r>
      <w:r w:rsidRPr="00ED1C7E">
        <w:t>section</w:t>
      </w:r>
      <w:r w:rsidR="00CD52E7" w:rsidRPr="00ED1C7E">
        <w:t xml:space="preserve"> toward the end of this consultation document</w:t>
      </w:r>
      <w:r w:rsidRPr="00ED1C7E">
        <w:t xml:space="preserve">. </w:t>
      </w:r>
    </w:p>
    <w:p w14:paraId="1A390BB2" w14:textId="77777777" w:rsidR="00AC2F74" w:rsidRPr="00ED1C7E" w:rsidRDefault="00AC2F74" w:rsidP="00AC2F74">
      <w:pPr>
        <w:pStyle w:val="BodyText"/>
      </w:pPr>
      <w:r w:rsidRPr="00ED1C7E">
        <w:br w:type="page"/>
      </w:r>
    </w:p>
    <w:p w14:paraId="0885301D" w14:textId="53CA7D62" w:rsidR="00BE1981" w:rsidRPr="00ED1C7E" w:rsidRDefault="00BE1981" w:rsidP="00072909">
      <w:pPr>
        <w:pStyle w:val="Heading1"/>
      </w:pPr>
      <w:bookmarkStart w:id="18" w:name="_Toc165532993"/>
      <w:r w:rsidRPr="00ED1C7E">
        <w:lastRenderedPageBreak/>
        <w:t>Summary of proposals</w:t>
      </w:r>
      <w:bookmarkEnd w:id="18"/>
    </w:p>
    <w:p w14:paraId="08D62612" w14:textId="2A11052C" w:rsidR="009A7FCC" w:rsidRPr="00ED1C7E" w:rsidRDefault="009A7FCC" w:rsidP="003340AB">
      <w:pPr>
        <w:pStyle w:val="Tableheading"/>
      </w:pPr>
      <w:bookmarkStart w:id="19" w:name="_Toc165532909"/>
      <w:r w:rsidRPr="00ED1C7E">
        <w:t xml:space="preserve">Table </w:t>
      </w:r>
      <w:r w:rsidR="00594215">
        <w:fldChar w:fldCharType="begin"/>
      </w:r>
      <w:r w:rsidR="00594215">
        <w:instrText xml:space="preserve"> SEQ Table \* ARABIC </w:instrText>
      </w:r>
      <w:r w:rsidR="00594215">
        <w:fldChar w:fldCharType="separate"/>
      </w:r>
      <w:r w:rsidR="00C60130">
        <w:rPr>
          <w:noProof/>
        </w:rPr>
        <w:t>2</w:t>
      </w:r>
      <w:r w:rsidR="00594215">
        <w:rPr>
          <w:noProof/>
        </w:rPr>
        <w:fldChar w:fldCharType="end"/>
      </w:r>
      <w:r w:rsidRPr="00ED1C7E">
        <w:t xml:space="preserve">: </w:t>
      </w:r>
      <w:r w:rsidR="005124F5" w:rsidRPr="00ED1C7E">
        <w:tab/>
      </w:r>
      <w:r w:rsidRPr="00ED1C7E">
        <w:t>Brief summaries of the proposals in this document</w:t>
      </w:r>
      <w:bookmarkEnd w:id="19"/>
    </w:p>
    <w:tbl>
      <w:tblPr>
        <w:tblStyle w:val="LightList-Accent11"/>
        <w:tblW w:w="8505"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tblBorders>
        <w:tblCellMar>
          <w:left w:w="85" w:type="dxa"/>
          <w:right w:w="85" w:type="dxa"/>
        </w:tblCellMar>
        <w:tblLook w:val="04A0" w:firstRow="1" w:lastRow="0" w:firstColumn="1" w:lastColumn="0" w:noHBand="0" w:noVBand="1"/>
      </w:tblPr>
      <w:tblGrid>
        <w:gridCol w:w="1070"/>
        <w:gridCol w:w="1974"/>
        <w:gridCol w:w="5461"/>
      </w:tblGrid>
      <w:tr w:rsidR="00424AD0" w:rsidRPr="00ED1C7E" w14:paraId="4D4B48BA" w14:textId="77777777" w:rsidTr="0051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3"/>
            <w:shd w:val="clear" w:color="auto" w:fill="1B556B" w:themeFill="text2"/>
            <w:vAlign w:val="center"/>
          </w:tcPr>
          <w:p w14:paraId="137A1383" w14:textId="5A4BAA23" w:rsidR="00333108" w:rsidRPr="00ED1C7E" w:rsidRDefault="00333108" w:rsidP="00DA5381">
            <w:pPr>
              <w:pStyle w:val="TableTextbold"/>
              <w:rPr>
                <w:b/>
                <w:bCs w:val="0"/>
              </w:rPr>
            </w:pPr>
            <w:r w:rsidRPr="00ED1C7E">
              <w:rPr>
                <w:b/>
                <w:bCs w:val="0"/>
              </w:rPr>
              <w:t xml:space="preserve">Section A: </w:t>
            </w:r>
            <w:r w:rsidR="00221ACF" w:rsidRPr="00ED1C7E">
              <w:rPr>
                <w:b/>
                <w:bCs w:val="0"/>
              </w:rPr>
              <w:t>NZ ETS</w:t>
            </w:r>
            <w:r w:rsidRPr="00ED1C7E">
              <w:rPr>
                <w:b/>
                <w:bCs w:val="0"/>
              </w:rPr>
              <w:t xml:space="preserve"> sector-specific regulatory updates and improvements</w:t>
            </w:r>
          </w:p>
        </w:tc>
      </w:tr>
      <w:tr w:rsidR="003B6B54" w:rsidRPr="00ED1C7E" w14:paraId="02B95CF1" w14:textId="77777777" w:rsidTr="00BF1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single" w:sz="8" w:space="0" w:color="1C556C"/>
            </w:tcBorders>
            <w:vAlign w:val="center"/>
          </w:tcPr>
          <w:p w14:paraId="5C31F3FD" w14:textId="0DEB7F3E" w:rsidR="00333108" w:rsidRPr="00ED1C7E" w:rsidRDefault="000A3DD3" w:rsidP="00DA5381">
            <w:pPr>
              <w:pStyle w:val="TableTextbold"/>
              <w:rPr>
                <w:b/>
                <w:bCs w:val="0"/>
              </w:rPr>
            </w:pPr>
            <w:r w:rsidRPr="00ED1C7E">
              <w:rPr>
                <w:b/>
                <w:bCs w:val="0"/>
              </w:rPr>
              <w:t xml:space="preserve">Proposed </w:t>
            </w:r>
            <w:r w:rsidR="00333108" w:rsidRPr="00ED1C7E">
              <w:rPr>
                <w:b/>
                <w:bCs w:val="0"/>
              </w:rPr>
              <w:t>Update 1</w:t>
            </w:r>
          </w:p>
        </w:tc>
        <w:tc>
          <w:tcPr>
            <w:tcW w:w="2211" w:type="dxa"/>
            <w:tcBorders>
              <w:left w:val="single" w:sz="8" w:space="0" w:color="1C556C"/>
              <w:right w:val="single" w:sz="8" w:space="0" w:color="1C556C"/>
            </w:tcBorders>
            <w:vAlign w:val="center"/>
          </w:tcPr>
          <w:p w14:paraId="036A2ABF" w14:textId="47A37BEE" w:rsidR="00333108" w:rsidRPr="007645E2" w:rsidRDefault="00F31938" w:rsidP="00DA5381">
            <w:pPr>
              <w:pStyle w:val="TableText"/>
              <w:cnfStyle w:val="000000100000" w:firstRow="0" w:lastRow="0" w:firstColumn="0" w:lastColumn="0" w:oddVBand="0" w:evenVBand="0" w:oddHBand="1" w:evenHBand="0" w:firstRowFirstColumn="0" w:firstRowLastColumn="0" w:lastRowFirstColumn="0" w:lastRowLastColumn="0"/>
            </w:pPr>
            <w:r w:rsidRPr="007645E2">
              <w:t>Updating DEFs and UEF methodologies for geothermal activities</w:t>
            </w:r>
          </w:p>
        </w:tc>
        <w:tc>
          <w:tcPr>
            <w:tcW w:w="6860" w:type="dxa"/>
            <w:tcBorders>
              <w:left w:val="single" w:sz="8" w:space="0" w:color="1C556C"/>
              <w:right w:val="nil"/>
            </w:tcBorders>
            <w:vAlign w:val="center"/>
          </w:tcPr>
          <w:p w14:paraId="4929ABEF" w14:textId="7EC37D0A" w:rsidR="00347E10" w:rsidRPr="00ED1C7E" w:rsidRDefault="00347E10" w:rsidP="005563EE">
            <w:pPr>
              <w:pStyle w:val="TableText"/>
              <w:cnfStyle w:val="000000100000" w:firstRow="0" w:lastRow="0" w:firstColumn="0" w:lastColumn="0" w:oddVBand="0" w:evenVBand="0" w:oddHBand="1" w:evenHBand="0" w:firstRowFirstColumn="0" w:firstRowLastColumn="0" w:lastRowFirstColumn="0" w:lastRowLastColumn="0"/>
            </w:pPr>
            <w:r w:rsidRPr="00ED1C7E">
              <w:t>Both the DEFs and the UEF methodologies for geothermal activities are out of date</w:t>
            </w:r>
            <w:r w:rsidR="00D87F7C" w:rsidRPr="00ED1C7E">
              <w:t xml:space="preserve"> and, a</w:t>
            </w:r>
            <w:r w:rsidRPr="00ED1C7E">
              <w:t>t minimum, need to be updated</w:t>
            </w:r>
            <w:r w:rsidR="00D87F7C" w:rsidRPr="00ED1C7E">
              <w:t xml:space="preserve">. </w:t>
            </w:r>
            <w:r w:rsidR="005E1C96" w:rsidRPr="00ED1C7E">
              <w:t>However, w</w:t>
            </w:r>
            <w:r w:rsidRPr="00ED1C7E">
              <w:t>e also propose that the entire reporting process can be streamlined, improving emissions reporting accuracy and better recognising mitigations implemented by participants.</w:t>
            </w:r>
          </w:p>
          <w:p w14:paraId="1AF6A234" w14:textId="5A27E356" w:rsidR="00333108" w:rsidRPr="00ED1C7E" w:rsidRDefault="00347E10" w:rsidP="005563EE">
            <w:pPr>
              <w:pStyle w:val="TableText"/>
              <w:cnfStyle w:val="000000100000" w:firstRow="0" w:lastRow="0" w:firstColumn="0" w:lastColumn="0" w:oddVBand="0" w:evenVBand="0" w:oddHBand="1" w:evenHBand="0" w:firstRowFirstColumn="0" w:firstRowLastColumn="0" w:lastRowFirstColumn="0" w:lastRowLastColumn="0"/>
            </w:pPr>
            <w:r w:rsidRPr="00ED1C7E">
              <w:t xml:space="preserve">Currently, geothermal participants </w:t>
            </w:r>
            <w:r w:rsidR="00CC0288" w:rsidRPr="00ED1C7E">
              <w:t xml:space="preserve">report their estimated emissions with </w:t>
            </w:r>
            <w:r w:rsidRPr="00ED1C7E">
              <w:t>refer</w:t>
            </w:r>
            <w:r w:rsidR="00CC0288" w:rsidRPr="00ED1C7E">
              <w:t>ence</w:t>
            </w:r>
            <w:r w:rsidRPr="00ED1C7E">
              <w:t xml:space="preserve"> to DEFs listed in regulations. If they do not consider these accurate, they can provide additional data and apply for a UEF.</w:t>
            </w:r>
          </w:p>
        </w:tc>
      </w:tr>
      <w:tr w:rsidR="003B6B54" w:rsidRPr="00ED1C7E" w14:paraId="0EB90F40" w14:textId="77777777" w:rsidTr="00BF1E5B">
        <w:tc>
          <w:tcPr>
            <w:cnfStyle w:val="001000000000" w:firstRow="0" w:lastRow="0" w:firstColumn="1" w:lastColumn="0" w:oddVBand="0" w:evenVBand="0" w:oddHBand="0" w:evenHBand="0" w:firstRowFirstColumn="0" w:firstRowLastColumn="0" w:lastRowFirstColumn="0" w:lastRowLastColumn="0"/>
            <w:tcW w:w="1134" w:type="dxa"/>
            <w:tcBorders>
              <w:right w:val="single" w:sz="8" w:space="0" w:color="1C556C"/>
            </w:tcBorders>
            <w:vAlign w:val="center"/>
          </w:tcPr>
          <w:p w14:paraId="1C2F37EF" w14:textId="60226BF7" w:rsidR="00333108" w:rsidRPr="00ED1C7E" w:rsidRDefault="000A3DD3" w:rsidP="00DA5381">
            <w:pPr>
              <w:pStyle w:val="TableTextbold"/>
              <w:rPr>
                <w:b/>
                <w:bCs w:val="0"/>
              </w:rPr>
            </w:pPr>
            <w:r w:rsidRPr="00ED1C7E">
              <w:rPr>
                <w:b/>
                <w:bCs w:val="0"/>
              </w:rPr>
              <w:t xml:space="preserve">Proposed </w:t>
            </w:r>
            <w:r w:rsidR="00333108" w:rsidRPr="00ED1C7E">
              <w:rPr>
                <w:b/>
                <w:bCs w:val="0"/>
              </w:rPr>
              <w:t>Update 2</w:t>
            </w:r>
          </w:p>
        </w:tc>
        <w:tc>
          <w:tcPr>
            <w:tcW w:w="2211" w:type="dxa"/>
            <w:tcBorders>
              <w:left w:val="single" w:sz="8" w:space="0" w:color="1C556C"/>
              <w:right w:val="single" w:sz="8" w:space="0" w:color="1C556C"/>
            </w:tcBorders>
            <w:vAlign w:val="center"/>
          </w:tcPr>
          <w:p w14:paraId="5A819003" w14:textId="29DE64DF" w:rsidR="00333108" w:rsidRPr="007645E2" w:rsidRDefault="00F31938" w:rsidP="00DA5381">
            <w:pPr>
              <w:pStyle w:val="TableText"/>
              <w:cnfStyle w:val="000000000000" w:firstRow="0" w:lastRow="0" w:firstColumn="0" w:lastColumn="0" w:oddVBand="0" w:evenVBand="0" w:oddHBand="0" w:evenHBand="0" w:firstRowFirstColumn="0" w:firstRowLastColumn="0" w:lastRowFirstColumn="0" w:lastRowLastColumn="0"/>
            </w:pPr>
            <w:r w:rsidRPr="007645E2">
              <w:t xml:space="preserve">Updating DEFs for </w:t>
            </w:r>
            <w:r w:rsidR="003E757B" w:rsidRPr="007645E2">
              <w:t>natural gas activities</w:t>
            </w:r>
          </w:p>
        </w:tc>
        <w:tc>
          <w:tcPr>
            <w:tcW w:w="6860" w:type="dxa"/>
            <w:tcBorders>
              <w:left w:val="single" w:sz="8" w:space="0" w:color="1C556C"/>
            </w:tcBorders>
            <w:vAlign w:val="center"/>
          </w:tcPr>
          <w:p w14:paraId="5338441F" w14:textId="3142BABE" w:rsidR="00C74602" w:rsidRPr="00ED1C7E" w:rsidRDefault="00C74602" w:rsidP="005563EE">
            <w:pPr>
              <w:pStyle w:val="TableText"/>
              <w:cnfStyle w:val="000000000000" w:firstRow="0" w:lastRow="0" w:firstColumn="0" w:lastColumn="0" w:oddVBand="0" w:evenVBand="0" w:oddHBand="0" w:evenHBand="0" w:firstRowFirstColumn="0" w:firstRowLastColumn="0" w:lastRowFirstColumn="0" w:lastRowLastColumn="0"/>
            </w:pPr>
            <w:r w:rsidRPr="00ED1C7E">
              <w:t xml:space="preserve">Participants who opt into the </w:t>
            </w:r>
            <w:r w:rsidR="00221ACF" w:rsidRPr="00ED1C7E">
              <w:t>NZ ETS</w:t>
            </w:r>
            <w:r w:rsidRPr="00ED1C7E">
              <w:t xml:space="preserve"> for the natural gas that they purchase use DEFs listed in regulations to report their estimated emissions, based on where the natural gas was mined.</w:t>
            </w:r>
          </w:p>
          <w:p w14:paraId="377E98CF" w14:textId="234C8AFE" w:rsidR="00333108" w:rsidRPr="00ED1C7E" w:rsidRDefault="008F13D8" w:rsidP="005563EE">
            <w:pPr>
              <w:pStyle w:val="TableText"/>
              <w:cnfStyle w:val="000000000000" w:firstRow="0" w:lastRow="0" w:firstColumn="0" w:lastColumn="0" w:oddVBand="0" w:evenVBand="0" w:oddHBand="0" w:evenHBand="0" w:firstRowFirstColumn="0" w:firstRowLastColumn="0" w:lastRowFirstColumn="0" w:lastRowLastColumn="0"/>
            </w:pPr>
            <w:r w:rsidRPr="00ED1C7E">
              <w:t xml:space="preserve">Keeping these DEFs </w:t>
            </w:r>
            <w:r w:rsidR="0028399F" w:rsidRPr="00ED1C7E">
              <w:t>updated can avoid s</w:t>
            </w:r>
            <w:r w:rsidR="00E81D6B" w:rsidRPr="00ED1C7E">
              <w:t>ignificant compliance cost to these participants</w:t>
            </w:r>
            <w:r w:rsidR="00E468AC" w:rsidRPr="00ED1C7E">
              <w:t xml:space="preserve"> in addition to supporting accuracy in the scheme.</w:t>
            </w:r>
          </w:p>
        </w:tc>
      </w:tr>
      <w:tr w:rsidR="003B6B54" w:rsidRPr="00ED1C7E" w14:paraId="42A0855B" w14:textId="77777777" w:rsidTr="00BF1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single" w:sz="8" w:space="0" w:color="1C556C"/>
            </w:tcBorders>
            <w:vAlign w:val="center"/>
          </w:tcPr>
          <w:p w14:paraId="6C8AB9C1" w14:textId="5CC2D38D" w:rsidR="00333108" w:rsidRPr="00ED1C7E" w:rsidRDefault="000A3DD3" w:rsidP="00DA5381">
            <w:pPr>
              <w:pStyle w:val="TableTextbold"/>
              <w:rPr>
                <w:b/>
                <w:bCs w:val="0"/>
              </w:rPr>
            </w:pPr>
            <w:r w:rsidRPr="00ED1C7E">
              <w:rPr>
                <w:b/>
                <w:bCs w:val="0"/>
              </w:rPr>
              <w:t xml:space="preserve">Proposed </w:t>
            </w:r>
            <w:r w:rsidR="007E4D56" w:rsidRPr="00ED1C7E">
              <w:rPr>
                <w:b/>
                <w:bCs w:val="0"/>
              </w:rPr>
              <w:t>Update 3</w:t>
            </w:r>
          </w:p>
        </w:tc>
        <w:tc>
          <w:tcPr>
            <w:tcW w:w="2211" w:type="dxa"/>
            <w:tcBorders>
              <w:left w:val="single" w:sz="8" w:space="0" w:color="1C556C"/>
              <w:right w:val="single" w:sz="8" w:space="0" w:color="1C556C"/>
            </w:tcBorders>
            <w:vAlign w:val="center"/>
          </w:tcPr>
          <w:p w14:paraId="21050119" w14:textId="6EAD014F" w:rsidR="00333108" w:rsidRPr="007645E2" w:rsidRDefault="003E757B" w:rsidP="00DA5381">
            <w:pPr>
              <w:pStyle w:val="TableText"/>
              <w:cnfStyle w:val="000000100000" w:firstRow="0" w:lastRow="0" w:firstColumn="0" w:lastColumn="0" w:oddVBand="0" w:evenVBand="0" w:oddHBand="1" w:evenHBand="0" w:firstRowFirstColumn="0" w:firstRowLastColumn="0" w:lastRowFirstColumn="0" w:lastRowLastColumn="0"/>
            </w:pPr>
            <w:r w:rsidRPr="007645E2">
              <w:t>Updating DEFs for liquid fossil fuel activities</w:t>
            </w:r>
          </w:p>
        </w:tc>
        <w:tc>
          <w:tcPr>
            <w:tcW w:w="6860" w:type="dxa"/>
            <w:tcBorders>
              <w:left w:val="single" w:sz="8" w:space="0" w:color="1C556C"/>
              <w:right w:val="nil"/>
            </w:tcBorders>
            <w:vAlign w:val="center"/>
          </w:tcPr>
          <w:p w14:paraId="46825E85" w14:textId="313FA04F" w:rsidR="00E81D6B" w:rsidRPr="00ED1C7E" w:rsidRDefault="009F7522" w:rsidP="005563EE">
            <w:pPr>
              <w:pStyle w:val="TableText"/>
              <w:cnfStyle w:val="000000100000" w:firstRow="0" w:lastRow="0" w:firstColumn="0" w:lastColumn="0" w:oddVBand="0" w:evenVBand="0" w:oddHBand="1" w:evenHBand="0" w:firstRowFirstColumn="0" w:firstRowLastColumn="0" w:lastRowFirstColumn="0" w:lastRowLastColumn="0"/>
            </w:pPr>
            <w:r w:rsidRPr="00ED1C7E">
              <w:t>Liquid fossil fuel participants use DEFs listed in regulation based on the type of fuels consumed in New Zealand.</w:t>
            </w:r>
            <w:r w:rsidR="005A7EB5" w:rsidRPr="00ED1C7E">
              <w:t xml:space="preserve"> </w:t>
            </w:r>
            <w:r w:rsidR="009673AB" w:rsidRPr="00ED1C7E">
              <w:t>T</w:t>
            </w:r>
            <w:r w:rsidRPr="00ED1C7E">
              <w:t>he closure of Refining NZ’s Marsden Point Oil Refinery</w:t>
            </w:r>
            <w:r w:rsidR="00E81D6B" w:rsidRPr="00ED1C7E">
              <w:t xml:space="preserve"> </w:t>
            </w:r>
            <w:r w:rsidRPr="00ED1C7E">
              <w:t>mean</w:t>
            </w:r>
            <w:r w:rsidR="009673AB" w:rsidRPr="00ED1C7E">
              <w:t>s</w:t>
            </w:r>
            <w:r w:rsidRPr="00ED1C7E">
              <w:t xml:space="preserve"> that 100% of liquid fossil fuel consumed in New Zealand is now imported</w:t>
            </w:r>
            <w:r w:rsidR="00E81D6B" w:rsidRPr="00ED1C7E">
              <w:t>.</w:t>
            </w:r>
          </w:p>
          <w:p w14:paraId="5807E9C8" w14:textId="1270DDE6" w:rsidR="00333108" w:rsidRPr="00ED1C7E" w:rsidRDefault="00E81D6B" w:rsidP="005563EE">
            <w:pPr>
              <w:pStyle w:val="TableText"/>
              <w:cnfStyle w:val="000000100000" w:firstRow="0" w:lastRow="0" w:firstColumn="0" w:lastColumn="0" w:oddVBand="0" w:evenVBand="0" w:oddHBand="1" w:evenHBand="0" w:firstRowFirstColumn="0" w:firstRowLastColumn="0" w:lastRowFirstColumn="0" w:lastRowLastColumn="0"/>
            </w:pPr>
            <w:r w:rsidRPr="00ED1C7E">
              <w:t>Updating liquid fossil fuel</w:t>
            </w:r>
            <w:r w:rsidR="009F7522" w:rsidRPr="00ED1C7E">
              <w:t xml:space="preserve"> DE</w:t>
            </w:r>
            <w:r w:rsidR="009F7522" w:rsidRPr="00ED1C7E">
              <w:rPr>
                <w:rFonts w:eastAsiaTheme="minorHAnsi"/>
                <w:lang w:eastAsia="en-US"/>
              </w:rPr>
              <w:t xml:space="preserve">Fs </w:t>
            </w:r>
            <w:r w:rsidRPr="00ED1C7E">
              <w:rPr>
                <w:rFonts w:eastAsiaTheme="minorHAnsi"/>
                <w:lang w:eastAsia="en-US"/>
              </w:rPr>
              <w:t>ensures that participants are accurately reporting their</w:t>
            </w:r>
            <w:r w:rsidR="009F7522" w:rsidRPr="00ED1C7E">
              <w:rPr>
                <w:rFonts w:eastAsiaTheme="minorHAnsi"/>
                <w:lang w:eastAsia="en-US"/>
              </w:rPr>
              <w:t xml:space="preserve"> emissions.</w:t>
            </w:r>
          </w:p>
        </w:tc>
      </w:tr>
      <w:tr w:rsidR="003B6B54" w:rsidRPr="00ED1C7E" w14:paraId="770599B8" w14:textId="77777777" w:rsidTr="00BF1E5B">
        <w:tc>
          <w:tcPr>
            <w:cnfStyle w:val="001000000000" w:firstRow="0" w:lastRow="0" w:firstColumn="1" w:lastColumn="0" w:oddVBand="0" w:evenVBand="0" w:oddHBand="0" w:evenHBand="0" w:firstRowFirstColumn="0" w:firstRowLastColumn="0" w:lastRowFirstColumn="0" w:lastRowLastColumn="0"/>
            <w:tcW w:w="1134" w:type="dxa"/>
            <w:tcBorders>
              <w:right w:val="single" w:sz="8" w:space="0" w:color="1C556C"/>
            </w:tcBorders>
            <w:vAlign w:val="center"/>
          </w:tcPr>
          <w:p w14:paraId="2328DCE3" w14:textId="2CFA7CFB" w:rsidR="00333108" w:rsidRPr="00ED1C7E" w:rsidRDefault="000A3DD3" w:rsidP="00DA5381">
            <w:pPr>
              <w:pStyle w:val="TableTextbold"/>
              <w:rPr>
                <w:b/>
                <w:bCs w:val="0"/>
              </w:rPr>
            </w:pPr>
            <w:r w:rsidRPr="00ED1C7E">
              <w:rPr>
                <w:b/>
                <w:bCs w:val="0"/>
              </w:rPr>
              <w:t xml:space="preserve">Proposed </w:t>
            </w:r>
            <w:r w:rsidR="007E4D56" w:rsidRPr="00ED1C7E">
              <w:rPr>
                <w:b/>
                <w:bCs w:val="0"/>
              </w:rPr>
              <w:t>Update 4</w:t>
            </w:r>
          </w:p>
        </w:tc>
        <w:tc>
          <w:tcPr>
            <w:tcW w:w="2211" w:type="dxa"/>
            <w:tcBorders>
              <w:left w:val="single" w:sz="8" w:space="0" w:color="1C556C"/>
              <w:right w:val="single" w:sz="8" w:space="0" w:color="1C556C"/>
            </w:tcBorders>
            <w:vAlign w:val="center"/>
          </w:tcPr>
          <w:p w14:paraId="71AEA85C" w14:textId="52937E5F" w:rsidR="00333108" w:rsidRPr="007645E2" w:rsidRDefault="008C1AEC" w:rsidP="00DA5381">
            <w:pPr>
              <w:pStyle w:val="TableText"/>
              <w:cnfStyle w:val="000000000000" w:firstRow="0" w:lastRow="0" w:firstColumn="0" w:lastColumn="0" w:oddVBand="0" w:evenVBand="0" w:oddHBand="0" w:evenHBand="0" w:firstRowFirstColumn="0" w:firstRowLastColumn="0" w:lastRowFirstColumn="0" w:lastRowLastColumn="0"/>
            </w:pPr>
            <w:r w:rsidRPr="007645E2">
              <w:t>Improving accuracy for the waste sector</w:t>
            </w:r>
          </w:p>
        </w:tc>
        <w:tc>
          <w:tcPr>
            <w:tcW w:w="6860" w:type="dxa"/>
            <w:tcBorders>
              <w:left w:val="single" w:sz="8" w:space="0" w:color="1C556C"/>
            </w:tcBorders>
            <w:vAlign w:val="center"/>
          </w:tcPr>
          <w:p w14:paraId="53E9E112" w14:textId="6E10774C" w:rsidR="00A856CB" w:rsidRPr="00ED1C7E" w:rsidRDefault="004B378A" w:rsidP="005563EE">
            <w:pPr>
              <w:pStyle w:val="TableText"/>
              <w:cnfStyle w:val="000000000000" w:firstRow="0" w:lastRow="0" w:firstColumn="0" w:lastColumn="0" w:oddVBand="0" w:evenVBand="0" w:oddHBand="0" w:evenHBand="0" w:firstRowFirstColumn="0" w:firstRowLastColumn="0" w:lastRowFirstColumn="0" w:lastRowLastColumn="0"/>
            </w:pPr>
            <w:r w:rsidRPr="00ED1C7E">
              <w:rPr>
                <w:b/>
              </w:rPr>
              <w:t>4a</w:t>
            </w:r>
            <w:r w:rsidRPr="00ED1C7E">
              <w:t xml:space="preserve"> – </w:t>
            </w:r>
            <w:r w:rsidR="00DB78DD" w:rsidRPr="00ED1C7E">
              <w:t xml:space="preserve">Waste participants </w:t>
            </w:r>
            <w:r w:rsidR="00145452">
              <w:t>can</w:t>
            </w:r>
            <w:r w:rsidR="00DB78DD" w:rsidRPr="00ED1C7E">
              <w:t xml:space="preserve"> apply for a site</w:t>
            </w:r>
            <w:r w:rsidR="00D0553E" w:rsidRPr="00ED1C7E">
              <w:t>-</w:t>
            </w:r>
            <w:r w:rsidR="00DB78DD" w:rsidRPr="00ED1C7E">
              <w:t>specific UEF that is up to 90% of the DEF</w:t>
            </w:r>
            <w:r w:rsidR="009D613E" w:rsidRPr="00ED1C7E">
              <w:t>, which can better reflect their actual emissions.</w:t>
            </w:r>
            <w:r w:rsidR="00492414" w:rsidRPr="00ED1C7E">
              <w:t xml:space="preserve"> </w:t>
            </w:r>
            <w:r w:rsidR="009D613E" w:rsidRPr="00ED1C7E">
              <w:t>Updating the UEF regulations for waste corrects a problematic misalignment introduced in 2022</w:t>
            </w:r>
            <w:r w:rsidR="00E81D6B" w:rsidRPr="00ED1C7E">
              <w:t>.</w:t>
            </w:r>
          </w:p>
          <w:p w14:paraId="488EE3D4" w14:textId="1C4C5304" w:rsidR="007166C0" w:rsidRPr="00ED1C7E" w:rsidRDefault="004B378A" w:rsidP="005563EE">
            <w:pPr>
              <w:pStyle w:val="TableText"/>
              <w:cnfStyle w:val="000000000000" w:firstRow="0" w:lastRow="0" w:firstColumn="0" w:lastColumn="0" w:oddVBand="0" w:evenVBand="0" w:oddHBand="0" w:evenHBand="0" w:firstRowFirstColumn="0" w:firstRowLastColumn="0" w:lastRowFirstColumn="0" w:lastRowLastColumn="0"/>
            </w:pPr>
            <w:r w:rsidRPr="00ED1C7E">
              <w:rPr>
                <w:b/>
              </w:rPr>
              <w:t>4b</w:t>
            </w:r>
            <w:r w:rsidRPr="00ED1C7E">
              <w:t xml:space="preserve"> – </w:t>
            </w:r>
            <w:r w:rsidR="0083203A" w:rsidRPr="00ED1C7E">
              <w:t>Waste participants applying for a UEF for collection and destruction of landfill gas use national waste composition data (if</w:t>
            </w:r>
            <w:r w:rsidR="005563EE" w:rsidRPr="00ED1C7E">
              <w:t> </w:t>
            </w:r>
            <w:r w:rsidR="0083203A" w:rsidRPr="00ED1C7E">
              <w:t>they do not have historic composition data available) to model the efficiency of the landfill gas capture system.</w:t>
            </w:r>
            <w:r w:rsidR="00492414" w:rsidRPr="00ED1C7E">
              <w:t xml:space="preserve"> </w:t>
            </w:r>
            <w:r w:rsidR="00D75686" w:rsidRPr="00ED1C7E">
              <w:t>Allowing</w:t>
            </w:r>
            <w:r w:rsidR="0083203A" w:rsidRPr="00ED1C7E">
              <w:t xml:space="preserve"> UEF applicants to use historical national waste composition datapoints </w:t>
            </w:r>
            <w:r w:rsidR="00D75686" w:rsidRPr="00ED1C7E">
              <w:t>improves</w:t>
            </w:r>
            <w:r w:rsidR="0083203A" w:rsidRPr="00ED1C7E">
              <w:t xml:space="preserve"> the accuracy of the model.</w:t>
            </w:r>
          </w:p>
          <w:p w14:paraId="547DBE97" w14:textId="11AB211F" w:rsidR="00A856CB" w:rsidRPr="00ED1C7E" w:rsidRDefault="004B378A" w:rsidP="005563EE">
            <w:pPr>
              <w:pStyle w:val="TableText"/>
              <w:cnfStyle w:val="000000000000" w:firstRow="0" w:lastRow="0" w:firstColumn="0" w:lastColumn="0" w:oddVBand="0" w:evenVBand="0" w:oddHBand="0" w:evenHBand="0" w:firstRowFirstColumn="0" w:firstRowLastColumn="0" w:lastRowFirstColumn="0" w:lastRowLastColumn="0"/>
            </w:pPr>
            <w:r w:rsidRPr="00ED1C7E">
              <w:rPr>
                <w:b/>
              </w:rPr>
              <w:t>4c</w:t>
            </w:r>
            <w:r w:rsidRPr="00ED1C7E">
              <w:t xml:space="preserve"> – </w:t>
            </w:r>
            <w:r w:rsidR="00AA75F7" w:rsidRPr="00ED1C7E">
              <w:t>Currently</w:t>
            </w:r>
            <w:r w:rsidR="007A710F" w:rsidRPr="00ED1C7E">
              <w:t>,</w:t>
            </w:r>
            <w:r w:rsidR="00AA75F7" w:rsidRPr="00ED1C7E">
              <w:t xml:space="preserve"> UEF applicants for collection and destruction of landfill gas are required to destroy the gas onsite.</w:t>
            </w:r>
            <w:r w:rsidR="00492414" w:rsidRPr="00ED1C7E">
              <w:t xml:space="preserve"> </w:t>
            </w:r>
            <w:r w:rsidR="00AA75F7" w:rsidRPr="00ED1C7E">
              <w:t xml:space="preserve">This proposal would allow landfill gas </w:t>
            </w:r>
            <w:r w:rsidR="007A710F" w:rsidRPr="00ED1C7E">
              <w:t xml:space="preserve">to be destroyed </w:t>
            </w:r>
            <w:r w:rsidR="00AA75F7" w:rsidRPr="00ED1C7E">
              <w:t>offsite and still be eligible for a UEF</w:t>
            </w:r>
            <w:r w:rsidR="007A710F" w:rsidRPr="00ED1C7E">
              <w:t>, giving participants more flexibility</w:t>
            </w:r>
            <w:r w:rsidR="00AA75F7" w:rsidRPr="00ED1C7E">
              <w:t>.</w:t>
            </w:r>
          </w:p>
        </w:tc>
      </w:tr>
      <w:tr w:rsidR="003B6B54" w:rsidRPr="00ED1C7E" w14:paraId="4F0A0443" w14:textId="77777777" w:rsidTr="00BF1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single" w:sz="8" w:space="0" w:color="1C556C"/>
            </w:tcBorders>
            <w:vAlign w:val="center"/>
          </w:tcPr>
          <w:p w14:paraId="6F23EC8F" w14:textId="3938E94F" w:rsidR="000A0224" w:rsidRPr="00ED1C7E" w:rsidRDefault="000A3DD3" w:rsidP="00DA5381">
            <w:pPr>
              <w:pStyle w:val="TableTextbold"/>
              <w:rPr>
                <w:b/>
                <w:bCs w:val="0"/>
              </w:rPr>
            </w:pPr>
            <w:r w:rsidRPr="00ED1C7E">
              <w:rPr>
                <w:b/>
                <w:bCs w:val="0"/>
              </w:rPr>
              <w:t xml:space="preserve">Proposed </w:t>
            </w:r>
            <w:r w:rsidR="000A0224" w:rsidRPr="00ED1C7E">
              <w:rPr>
                <w:b/>
                <w:bCs w:val="0"/>
              </w:rPr>
              <w:t>Update 5</w:t>
            </w:r>
          </w:p>
        </w:tc>
        <w:tc>
          <w:tcPr>
            <w:tcW w:w="2211" w:type="dxa"/>
            <w:tcBorders>
              <w:left w:val="single" w:sz="8" w:space="0" w:color="1C556C"/>
              <w:right w:val="single" w:sz="8" w:space="0" w:color="1C556C"/>
            </w:tcBorders>
            <w:vAlign w:val="center"/>
          </w:tcPr>
          <w:p w14:paraId="50372E6C" w14:textId="281C1921" w:rsidR="000A0224" w:rsidRPr="007645E2" w:rsidRDefault="000A0224" w:rsidP="00DA5381">
            <w:pPr>
              <w:pStyle w:val="TableText"/>
              <w:cnfStyle w:val="000000100000" w:firstRow="0" w:lastRow="0" w:firstColumn="0" w:lastColumn="0" w:oddVBand="0" w:evenVBand="0" w:oddHBand="1" w:evenHBand="0" w:firstRowFirstColumn="0" w:firstRowLastColumn="0" w:lastRowFirstColumn="0" w:lastRowLastColumn="0"/>
            </w:pPr>
            <w:r w:rsidRPr="007645E2">
              <w:t>Clarifying how the destruction of synthetic greenhouse gases is recognised</w:t>
            </w:r>
          </w:p>
        </w:tc>
        <w:tc>
          <w:tcPr>
            <w:tcW w:w="6860" w:type="dxa"/>
            <w:tcBorders>
              <w:left w:val="single" w:sz="8" w:space="0" w:color="1C556C"/>
              <w:right w:val="nil"/>
            </w:tcBorders>
            <w:vAlign w:val="center"/>
          </w:tcPr>
          <w:p w14:paraId="6FFCC477" w14:textId="7A211A06" w:rsidR="000A0224" w:rsidRPr="00ED1C7E" w:rsidRDefault="00393040" w:rsidP="005563EE">
            <w:pPr>
              <w:pStyle w:val="TableText"/>
              <w:cnfStyle w:val="000000100000" w:firstRow="0" w:lastRow="0" w:firstColumn="0" w:lastColumn="0" w:oddVBand="0" w:evenVBand="0" w:oddHBand="1" w:evenHBand="0" w:firstRowFirstColumn="0" w:firstRowLastColumn="0" w:lastRowFirstColumn="0" w:lastRowLastColumn="0"/>
            </w:pPr>
            <w:r w:rsidRPr="00ED1C7E">
              <w:t xml:space="preserve">Onshore destruction of synthetic greenhouse gases is provided for in regulations, but </w:t>
            </w:r>
            <w:r w:rsidR="000E5561" w:rsidRPr="00ED1C7E">
              <w:t xml:space="preserve">the provision is </w:t>
            </w:r>
            <w:r w:rsidRPr="00ED1C7E">
              <w:t xml:space="preserve">currently </w:t>
            </w:r>
            <w:r w:rsidR="0054576D" w:rsidRPr="00ED1C7E">
              <w:t>unused</w:t>
            </w:r>
            <w:r w:rsidRPr="00ED1C7E">
              <w:t xml:space="preserve">. If this changes </w:t>
            </w:r>
            <w:r w:rsidR="00DF5CDC">
              <w:t>soon</w:t>
            </w:r>
            <w:r w:rsidRPr="00ED1C7E">
              <w:t xml:space="preserve">, </w:t>
            </w:r>
            <w:r w:rsidR="002006BE" w:rsidRPr="00ED1C7E">
              <w:t xml:space="preserve">participants </w:t>
            </w:r>
            <w:r w:rsidRPr="00ED1C7E">
              <w:t xml:space="preserve">should </w:t>
            </w:r>
            <w:r w:rsidR="002006BE" w:rsidRPr="00ED1C7E">
              <w:t>have</w:t>
            </w:r>
            <w:r w:rsidRPr="00ED1C7E">
              <w:t xml:space="preserve"> certainty </w:t>
            </w:r>
            <w:r w:rsidR="002006BE" w:rsidRPr="00ED1C7E">
              <w:t>that the</w:t>
            </w:r>
            <w:r w:rsidRPr="00ED1C7E">
              <w:t xml:space="preserve"> destruction of </w:t>
            </w:r>
            <w:r w:rsidR="002006BE" w:rsidRPr="00ED1C7E">
              <w:t xml:space="preserve">eligible </w:t>
            </w:r>
            <w:r w:rsidRPr="00ED1C7E">
              <w:t xml:space="preserve">synthetic greenhouse gases will be recognised, and </w:t>
            </w:r>
            <w:r w:rsidR="002006BE" w:rsidRPr="00ED1C7E">
              <w:t>that they will therefore be awarded NZUs</w:t>
            </w:r>
            <w:r w:rsidRPr="00ED1C7E">
              <w:t>.</w:t>
            </w:r>
          </w:p>
        </w:tc>
      </w:tr>
      <w:tr w:rsidR="00DA5381" w:rsidRPr="00ED1C7E" w14:paraId="47B2FB43" w14:textId="77777777" w:rsidTr="00BF1E5B">
        <w:tc>
          <w:tcPr>
            <w:cnfStyle w:val="001000000000" w:firstRow="0" w:lastRow="0" w:firstColumn="1" w:lastColumn="0" w:oddVBand="0" w:evenVBand="0" w:oddHBand="0" w:evenHBand="0" w:firstRowFirstColumn="0" w:firstRowLastColumn="0" w:lastRowFirstColumn="0" w:lastRowLastColumn="0"/>
            <w:tcW w:w="10207" w:type="dxa"/>
            <w:gridSpan w:val="3"/>
            <w:tcBorders>
              <w:left w:val="single" w:sz="8" w:space="0" w:color="1C556C"/>
              <w:right w:val="single" w:sz="8" w:space="0" w:color="1C556C"/>
            </w:tcBorders>
            <w:shd w:val="clear" w:color="auto" w:fill="1C556C" w:themeFill="accent1"/>
            <w:vAlign w:val="center"/>
          </w:tcPr>
          <w:p w14:paraId="2E1A72CD" w14:textId="59B4A645" w:rsidR="000A0224" w:rsidRPr="007645E2" w:rsidRDefault="000A0224" w:rsidP="00DA5381">
            <w:pPr>
              <w:pStyle w:val="TableTextbold"/>
              <w:keepNext/>
              <w:rPr>
                <w:b/>
                <w:bCs w:val="0"/>
                <w:color w:val="FFFFFF" w:themeColor="background1"/>
              </w:rPr>
            </w:pPr>
            <w:r w:rsidRPr="007645E2">
              <w:rPr>
                <w:b/>
                <w:bCs w:val="0"/>
                <w:color w:val="FFFFFF" w:themeColor="background1"/>
              </w:rPr>
              <w:lastRenderedPageBreak/>
              <w:t xml:space="preserve">Section B: </w:t>
            </w:r>
            <w:r w:rsidR="00221ACF" w:rsidRPr="007645E2">
              <w:rPr>
                <w:b/>
                <w:bCs w:val="0"/>
                <w:color w:val="FFFFFF" w:themeColor="background1"/>
              </w:rPr>
              <w:t>NZ ETS</w:t>
            </w:r>
            <w:r w:rsidRPr="007645E2">
              <w:rPr>
                <w:b/>
                <w:bCs w:val="0"/>
                <w:color w:val="FFFFFF" w:themeColor="background1"/>
              </w:rPr>
              <w:t xml:space="preserve"> auctioning and operational updates and improvements</w:t>
            </w:r>
          </w:p>
        </w:tc>
      </w:tr>
      <w:tr w:rsidR="003B6B54" w:rsidRPr="00ED1C7E" w14:paraId="022CB4D9" w14:textId="77777777" w:rsidTr="00BF1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single" w:sz="8" w:space="0" w:color="1C556C"/>
            </w:tcBorders>
            <w:vAlign w:val="center"/>
          </w:tcPr>
          <w:p w14:paraId="385E1C8C" w14:textId="2897CB5E" w:rsidR="000A0224" w:rsidRPr="00ED1C7E" w:rsidRDefault="000A3DD3" w:rsidP="005563EE">
            <w:pPr>
              <w:pStyle w:val="TableTextbold"/>
              <w:keepNext/>
              <w:rPr>
                <w:b/>
                <w:bCs w:val="0"/>
              </w:rPr>
            </w:pPr>
            <w:r w:rsidRPr="00ED1C7E">
              <w:rPr>
                <w:b/>
                <w:bCs w:val="0"/>
              </w:rPr>
              <w:t xml:space="preserve">Proposed </w:t>
            </w:r>
            <w:r w:rsidR="000A0224" w:rsidRPr="00ED1C7E">
              <w:rPr>
                <w:b/>
                <w:bCs w:val="0"/>
              </w:rPr>
              <w:t>Update 6</w:t>
            </w:r>
          </w:p>
        </w:tc>
        <w:tc>
          <w:tcPr>
            <w:tcW w:w="2211" w:type="dxa"/>
            <w:tcBorders>
              <w:left w:val="single" w:sz="8" w:space="0" w:color="1C556C"/>
              <w:right w:val="single" w:sz="8" w:space="0" w:color="1C556C"/>
            </w:tcBorders>
            <w:vAlign w:val="center"/>
          </w:tcPr>
          <w:p w14:paraId="0D79ED38" w14:textId="4F8FE294" w:rsidR="000A0224" w:rsidRPr="007645E2" w:rsidRDefault="00806BD7" w:rsidP="005563EE">
            <w:pPr>
              <w:pStyle w:val="TableText"/>
              <w:keepNext/>
              <w:cnfStyle w:val="000000100000" w:firstRow="0" w:lastRow="0" w:firstColumn="0" w:lastColumn="0" w:oddVBand="0" w:evenVBand="0" w:oddHBand="1" w:evenHBand="0" w:firstRowFirstColumn="0" w:firstRowLastColumn="0" w:lastRowFirstColumn="0" w:lastRowLastColumn="0"/>
            </w:pPr>
            <w:r w:rsidRPr="007645E2">
              <w:t>Clarifying the d</w:t>
            </w:r>
            <w:r w:rsidR="00E81D6B" w:rsidRPr="007645E2">
              <w:t>efinition</w:t>
            </w:r>
            <w:r w:rsidR="003B6BD7" w:rsidRPr="007645E2">
              <w:t xml:space="preserve"> of qualified person</w:t>
            </w:r>
          </w:p>
        </w:tc>
        <w:tc>
          <w:tcPr>
            <w:tcW w:w="6860" w:type="dxa"/>
            <w:tcBorders>
              <w:left w:val="single" w:sz="8" w:space="0" w:color="1C556C"/>
              <w:right w:val="nil"/>
            </w:tcBorders>
            <w:vAlign w:val="center"/>
          </w:tcPr>
          <w:p w14:paraId="0F89C47E" w14:textId="23C6294D" w:rsidR="005A745C" w:rsidRPr="00ED1C7E" w:rsidRDefault="002006BE" w:rsidP="005563EE">
            <w:pPr>
              <w:pStyle w:val="TableText"/>
              <w:keepNext/>
              <w:cnfStyle w:val="000000100000" w:firstRow="0" w:lastRow="0" w:firstColumn="0" w:lastColumn="0" w:oddVBand="0" w:evenVBand="0" w:oddHBand="1" w:evenHBand="0" w:firstRowFirstColumn="0" w:firstRowLastColumn="0" w:lastRowFirstColumn="0" w:lastRowLastColumn="0"/>
            </w:pPr>
            <w:r w:rsidRPr="00ED1C7E">
              <w:t xml:space="preserve">We </w:t>
            </w:r>
            <w:r w:rsidR="00AF3DAB" w:rsidRPr="00ED1C7E">
              <w:t>propose clarifying</w:t>
            </w:r>
            <w:r w:rsidRPr="00ED1C7E">
              <w:t xml:space="preserve"> </w:t>
            </w:r>
            <w:r w:rsidR="00A970F0" w:rsidRPr="00ED1C7E">
              <w:t xml:space="preserve">the definition </w:t>
            </w:r>
            <w:r w:rsidR="00AF3DAB" w:rsidRPr="00ED1C7E">
              <w:t xml:space="preserve">of </w:t>
            </w:r>
            <w:r w:rsidR="00A970F0" w:rsidRPr="00ED1C7E">
              <w:t>and requirements to be a qualified person</w:t>
            </w:r>
            <w:r w:rsidR="00AF3DAB" w:rsidRPr="00ED1C7E">
              <w:t>,</w:t>
            </w:r>
            <w:r w:rsidR="00A970F0" w:rsidRPr="00ED1C7E">
              <w:t xml:space="preserve"> to ensure that only suitable individuals </w:t>
            </w:r>
            <w:r w:rsidR="00AF3DAB" w:rsidRPr="00ED1C7E">
              <w:t>can</w:t>
            </w:r>
            <w:r w:rsidR="00A970F0" w:rsidRPr="00ED1C7E">
              <w:t xml:space="preserve"> manage holding accounts for NZUs. This is particularly important where individuals who would otherwise be considered unsuitable under one part of the definition need to be able to manage a holding account if they are a mandatory participant in the </w:t>
            </w:r>
            <w:r w:rsidR="00221ACF" w:rsidRPr="00ED1C7E">
              <w:t>NZ ETS</w:t>
            </w:r>
            <w:r w:rsidR="005A745C" w:rsidRPr="00ED1C7E">
              <w:t>.</w:t>
            </w:r>
          </w:p>
          <w:p w14:paraId="198E4654" w14:textId="3343CD39" w:rsidR="000A0224" w:rsidRPr="00ED1C7E" w:rsidRDefault="005A745C" w:rsidP="005563EE">
            <w:pPr>
              <w:pStyle w:val="TableText"/>
              <w:keepNext/>
              <w:cnfStyle w:val="000000100000" w:firstRow="0" w:lastRow="0" w:firstColumn="0" w:lastColumn="0" w:oddVBand="0" w:evenVBand="0" w:oddHBand="1" w:evenHBand="0" w:firstRowFirstColumn="0" w:firstRowLastColumn="0" w:lastRowFirstColumn="0" w:lastRowLastColumn="0"/>
            </w:pPr>
            <w:r w:rsidRPr="00ED1C7E">
              <w:rPr>
                <w:lang w:eastAsia="en-US"/>
              </w:rPr>
              <w:t>Clarifying the wording would mitigate risk to the integrity of the scheme.</w:t>
            </w:r>
          </w:p>
        </w:tc>
      </w:tr>
      <w:tr w:rsidR="003B6B54" w:rsidRPr="00ED1C7E" w14:paraId="688EFA8D" w14:textId="77777777" w:rsidTr="00BF1E5B">
        <w:tc>
          <w:tcPr>
            <w:cnfStyle w:val="001000000000" w:firstRow="0" w:lastRow="0" w:firstColumn="1" w:lastColumn="0" w:oddVBand="0" w:evenVBand="0" w:oddHBand="0" w:evenHBand="0" w:firstRowFirstColumn="0" w:firstRowLastColumn="0" w:lastRowFirstColumn="0" w:lastRowLastColumn="0"/>
            <w:tcW w:w="1134" w:type="dxa"/>
            <w:tcBorders>
              <w:right w:val="single" w:sz="8" w:space="0" w:color="1C556C"/>
            </w:tcBorders>
            <w:vAlign w:val="center"/>
          </w:tcPr>
          <w:p w14:paraId="0FF18779" w14:textId="19ACEB18" w:rsidR="000A0224" w:rsidRPr="00ED1C7E" w:rsidRDefault="000A3DD3" w:rsidP="00DA5381">
            <w:pPr>
              <w:pStyle w:val="TableTextbold"/>
              <w:rPr>
                <w:b/>
                <w:bCs w:val="0"/>
              </w:rPr>
            </w:pPr>
            <w:r w:rsidRPr="00ED1C7E">
              <w:rPr>
                <w:b/>
                <w:bCs w:val="0"/>
              </w:rPr>
              <w:t xml:space="preserve">Proposed </w:t>
            </w:r>
            <w:r w:rsidR="000A0224" w:rsidRPr="00ED1C7E">
              <w:rPr>
                <w:b/>
                <w:bCs w:val="0"/>
              </w:rPr>
              <w:t>Update 7</w:t>
            </w:r>
          </w:p>
        </w:tc>
        <w:tc>
          <w:tcPr>
            <w:tcW w:w="2211" w:type="dxa"/>
            <w:tcBorders>
              <w:left w:val="single" w:sz="8" w:space="0" w:color="1C556C"/>
              <w:right w:val="single" w:sz="8" w:space="0" w:color="1C556C"/>
            </w:tcBorders>
            <w:vAlign w:val="center"/>
          </w:tcPr>
          <w:p w14:paraId="3FE6D5CB" w14:textId="50F525BC" w:rsidR="000A0224" w:rsidRPr="007645E2" w:rsidRDefault="00023AAD" w:rsidP="00DA5381">
            <w:pPr>
              <w:pStyle w:val="TableText"/>
              <w:cnfStyle w:val="000000000000" w:firstRow="0" w:lastRow="0" w:firstColumn="0" w:lastColumn="0" w:oddVBand="0" w:evenVBand="0" w:oddHBand="0" w:evenHBand="0" w:firstRowFirstColumn="0" w:firstRowLastColumn="0" w:lastRowFirstColumn="0" w:lastRowLastColumn="0"/>
            </w:pPr>
            <w:r w:rsidRPr="007645E2">
              <w:t>Improving</w:t>
            </w:r>
            <w:r w:rsidR="000A0224" w:rsidRPr="007645E2">
              <w:t xml:space="preserve"> auctioning </w:t>
            </w:r>
            <w:r w:rsidR="001F30AA">
              <w:t>collateral methodology</w:t>
            </w:r>
          </w:p>
        </w:tc>
        <w:tc>
          <w:tcPr>
            <w:tcW w:w="6860" w:type="dxa"/>
            <w:tcBorders>
              <w:left w:val="single" w:sz="8" w:space="0" w:color="1C556C"/>
            </w:tcBorders>
            <w:vAlign w:val="center"/>
          </w:tcPr>
          <w:p w14:paraId="15A4A65D" w14:textId="3DD96072" w:rsidR="000A0224" w:rsidRPr="00ED1C7E" w:rsidRDefault="002F3C0D" w:rsidP="005563EE">
            <w:pPr>
              <w:pStyle w:val="TableText"/>
              <w:cnfStyle w:val="000000000000" w:firstRow="0" w:lastRow="0" w:firstColumn="0" w:lastColumn="0" w:oddVBand="0" w:evenVBand="0" w:oddHBand="0" w:evenHBand="0" w:firstRowFirstColumn="0" w:firstRowLastColumn="0" w:lastRowFirstColumn="0" w:lastRowLastColumn="0"/>
            </w:pPr>
            <w:r w:rsidRPr="00ED1C7E">
              <w:t xml:space="preserve">The current method for calculating auctioning collateral can result in participants </w:t>
            </w:r>
            <w:r w:rsidR="00492414" w:rsidRPr="00ED1C7E">
              <w:t>pay</w:t>
            </w:r>
            <w:r w:rsidR="009A5BAF" w:rsidRPr="00ED1C7E">
              <w:t>ing</w:t>
            </w:r>
            <w:r w:rsidRPr="00ED1C7E">
              <w:t xml:space="preserve"> for more collateral than necessary.</w:t>
            </w:r>
            <w:r w:rsidR="00492414" w:rsidRPr="00ED1C7E">
              <w:t xml:space="preserve"> Clarifying the formula used would reduce the upfront cost to participants to engage in</w:t>
            </w:r>
            <w:r w:rsidR="00627487">
              <w:t> </w:t>
            </w:r>
            <w:r w:rsidR="00492414" w:rsidRPr="00ED1C7E">
              <w:t>auctions</w:t>
            </w:r>
            <w:r w:rsidR="00E81D6B" w:rsidRPr="00ED1C7E">
              <w:t>.</w:t>
            </w:r>
          </w:p>
        </w:tc>
      </w:tr>
    </w:tbl>
    <w:p w14:paraId="292F4467" w14:textId="77777777" w:rsidR="006D2C1C" w:rsidRPr="00DA57E2" w:rsidRDefault="006D2C1C" w:rsidP="00DA57E2">
      <w:pPr>
        <w:pStyle w:val="BodyText"/>
      </w:pPr>
    </w:p>
    <w:p w14:paraId="1C8C9548" w14:textId="77777777" w:rsidR="006D2C1C" w:rsidRPr="00627487" w:rsidRDefault="006D2C1C" w:rsidP="00627487">
      <w:pPr>
        <w:pStyle w:val="BodyText"/>
      </w:pPr>
      <w:r w:rsidRPr="00627487">
        <w:br w:type="page"/>
      </w:r>
    </w:p>
    <w:p w14:paraId="7E0815D1" w14:textId="70182408" w:rsidR="00E35975" w:rsidRPr="009252B5" w:rsidRDefault="00FB2BE8" w:rsidP="009252B5">
      <w:pPr>
        <w:pStyle w:val="Heading1"/>
      </w:pPr>
      <w:bookmarkStart w:id="20" w:name="_Toc165532994"/>
      <w:r w:rsidRPr="009252B5">
        <w:lastRenderedPageBreak/>
        <w:t>SECTION A:</w:t>
      </w:r>
      <w:r w:rsidR="00285F87" w:rsidRPr="009252B5">
        <w:br/>
      </w:r>
      <w:r w:rsidR="00221ACF" w:rsidRPr="009252B5">
        <w:t>NZ ETS</w:t>
      </w:r>
      <w:r w:rsidR="00285F87" w:rsidRPr="009252B5">
        <w:t xml:space="preserve"> </w:t>
      </w:r>
      <w:r w:rsidR="00F53C5B" w:rsidRPr="009252B5">
        <w:t>sector-specific r</w:t>
      </w:r>
      <w:r w:rsidR="001E5256" w:rsidRPr="009252B5">
        <w:t>egulatory</w:t>
      </w:r>
      <w:r w:rsidR="0037112D" w:rsidRPr="009252B5">
        <w:t xml:space="preserve"> </w:t>
      </w:r>
      <w:r w:rsidR="00F53C5B" w:rsidRPr="009252B5">
        <w:t>u</w:t>
      </w:r>
      <w:r w:rsidR="001E5256" w:rsidRPr="009252B5">
        <w:t xml:space="preserve">pdates </w:t>
      </w:r>
      <w:r w:rsidR="00BC3CCD" w:rsidRPr="009252B5">
        <w:t>and</w:t>
      </w:r>
      <w:r w:rsidR="00C77905" w:rsidRPr="009252B5">
        <w:t> </w:t>
      </w:r>
      <w:r w:rsidR="00BC3CCD" w:rsidRPr="009252B5">
        <w:t>i</w:t>
      </w:r>
      <w:r w:rsidR="001E5256" w:rsidRPr="009252B5">
        <w:t>mprovements</w:t>
      </w:r>
      <w:bookmarkEnd w:id="20"/>
    </w:p>
    <w:p w14:paraId="2F58E438" w14:textId="0037F6EA" w:rsidR="00E35975" w:rsidRPr="00ED1C7E" w:rsidRDefault="00E35975" w:rsidP="006D2C1C">
      <w:pPr>
        <w:pStyle w:val="BodyText"/>
      </w:pPr>
      <w:r w:rsidRPr="00ED1C7E">
        <w:br w:type="page"/>
      </w:r>
    </w:p>
    <w:p w14:paraId="4D64FCBC" w14:textId="0F0A08B9" w:rsidR="005F319A" w:rsidRPr="00ED1C7E" w:rsidRDefault="00A57C5C" w:rsidP="00002384">
      <w:pPr>
        <w:pStyle w:val="Heading2"/>
      </w:pPr>
      <w:bookmarkStart w:id="21" w:name="_Toc165532995"/>
      <w:r w:rsidRPr="00ED1C7E">
        <w:lastRenderedPageBreak/>
        <w:t xml:space="preserve">Proposed </w:t>
      </w:r>
      <w:r w:rsidR="008B1A95" w:rsidRPr="00ED1C7E">
        <w:t>r</w:t>
      </w:r>
      <w:r w:rsidRPr="00ED1C7E">
        <w:t xml:space="preserve">egulatory </w:t>
      </w:r>
      <w:r w:rsidR="008B1A95" w:rsidRPr="00ED1C7E">
        <w:t>u</w:t>
      </w:r>
      <w:r w:rsidRPr="00ED1C7E">
        <w:t xml:space="preserve">pdate </w:t>
      </w:r>
      <w:r w:rsidR="00990B3D" w:rsidRPr="00ED1C7E">
        <w:t>1:</w:t>
      </w:r>
      <w:r w:rsidR="00990B3D" w:rsidRPr="00ED1C7E">
        <w:br/>
      </w:r>
      <w:r w:rsidR="005F319A" w:rsidRPr="00E67474">
        <w:rPr>
          <w:iCs/>
        </w:rPr>
        <w:t xml:space="preserve">Updating </w:t>
      </w:r>
      <w:r w:rsidR="00D10379" w:rsidRPr="00E67474">
        <w:rPr>
          <w:iCs/>
        </w:rPr>
        <w:t>DEF</w:t>
      </w:r>
      <w:r w:rsidR="008867FA" w:rsidRPr="00E67474">
        <w:rPr>
          <w:iCs/>
        </w:rPr>
        <w:t>s</w:t>
      </w:r>
      <w:r w:rsidR="005F319A" w:rsidRPr="00E67474">
        <w:rPr>
          <w:iCs/>
        </w:rPr>
        <w:t xml:space="preserve"> </w:t>
      </w:r>
      <w:r w:rsidR="009C5863" w:rsidRPr="00E67474">
        <w:rPr>
          <w:iCs/>
        </w:rPr>
        <w:t>and</w:t>
      </w:r>
      <w:r w:rsidR="00D10379" w:rsidRPr="00E67474">
        <w:rPr>
          <w:iCs/>
        </w:rPr>
        <w:t xml:space="preserve"> UEF</w:t>
      </w:r>
      <w:r w:rsidR="005F319A" w:rsidRPr="00E67474">
        <w:rPr>
          <w:iCs/>
        </w:rPr>
        <w:t xml:space="preserve"> methodologies for</w:t>
      </w:r>
      <w:r w:rsidR="00D857B6" w:rsidRPr="00E67474">
        <w:rPr>
          <w:iCs/>
        </w:rPr>
        <w:t> </w:t>
      </w:r>
      <w:r w:rsidR="005F319A" w:rsidRPr="00E67474">
        <w:rPr>
          <w:iCs/>
        </w:rPr>
        <w:t xml:space="preserve">geothermal </w:t>
      </w:r>
      <w:proofErr w:type="gramStart"/>
      <w:r w:rsidR="005F319A" w:rsidRPr="00E67474">
        <w:rPr>
          <w:iCs/>
        </w:rPr>
        <w:t>activities</w:t>
      </w:r>
      <w:bookmarkEnd w:id="21"/>
      <w:proofErr w:type="gramEnd"/>
    </w:p>
    <w:p w14:paraId="36409476" w14:textId="77777777" w:rsidR="005F319A" w:rsidRPr="00ED1C7E" w:rsidRDefault="005F319A" w:rsidP="00D857B6">
      <w:pPr>
        <w:pStyle w:val="Heading3"/>
        <w:spacing w:before="240"/>
      </w:pPr>
      <w:r w:rsidRPr="00ED1C7E">
        <w:t>Background</w:t>
      </w:r>
    </w:p>
    <w:p w14:paraId="658424F6" w14:textId="2D6D40BD" w:rsidR="00160995" w:rsidRDefault="001372FD" w:rsidP="00D857B6">
      <w:pPr>
        <w:pStyle w:val="BodyText"/>
      </w:pPr>
      <w:r w:rsidRPr="00ED1C7E">
        <w:t>The default emissions factors (DEFs) for geothermal activities</w:t>
      </w:r>
      <w:r w:rsidR="002F3C0D" w:rsidRPr="00ED1C7E">
        <w:rPr>
          <w:rStyle w:val="FootnoteReference"/>
        </w:rPr>
        <w:footnoteReference w:id="2"/>
      </w:r>
      <w:r w:rsidRPr="00ED1C7E">
        <w:t xml:space="preserve"> require updating periodically</w:t>
      </w:r>
      <w:r w:rsidR="00A468FA" w:rsidRPr="00ED1C7E">
        <w:t>,</w:t>
      </w:r>
      <w:r w:rsidRPr="00ED1C7E">
        <w:t xml:space="preserve"> </w:t>
      </w:r>
      <w:r w:rsidRPr="00ED1C7E" w:rsidDel="00160995">
        <w:t>to</w:t>
      </w:r>
      <w:r w:rsidR="00160995">
        <w:t>:</w:t>
      </w:r>
    </w:p>
    <w:p w14:paraId="66FABBCE" w14:textId="661935AD" w:rsidR="00160995" w:rsidRDefault="001372FD" w:rsidP="00FB5F02">
      <w:pPr>
        <w:pStyle w:val="Bullet"/>
      </w:pPr>
      <w:r w:rsidRPr="00ED1C7E">
        <w:t xml:space="preserve">include new geothermal </w:t>
      </w:r>
      <w:r w:rsidR="00F46CE3" w:rsidRPr="00ED1C7E">
        <w:t>participants</w:t>
      </w:r>
      <w:r w:rsidRPr="00ED1C7E">
        <w:t xml:space="preserve"> that have begun operation since the previous update to </w:t>
      </w:r>
      <w:proofErr w:type="gramStart"/>
      <w:r w:rsidRPr="00ED1C7E">
        <w:t>regulations</w:t>
      </w:r>
      <w:proofErr w:type="gramEnd"/>
    </w:p>
    <w:p w14:paraId="47EA7387" w14:textId="6C3C78FF" w:rsidR="001372FD" w:rsidRPr="00ED1C7E" w:rsidRDefault="001372FD" w:rsidP="00FB5F02">
      <w:pPr>
        <w:pStyle w:val="Bullet"/>
      </w:pPr>
      <w:r w:rsidRPr="00ED1C7E">
        <w:t>account for changes in the volume of greenhouse gases contained in the geothermal reservoirs.</w:t>
      </w:r>
    </w:p>
    <w:p w14:paraId="085ED91D" w14:textId="2C137164" w:rsidR="001372FD" w:rsidRPr="00ED1C7E" w:rsidRDefault="001372FD" w:rsidP="00D857B6">
      <w:pPr>
        <w:pStyle w:val="BodyText"/>
      </w:pPr>
      <w:r w:rsidRPr="00ED1C7E">
        <w:t xml:space="preserve">We are consulting on updating the DEFs contained in </w:t>
      </w:r>
      <w:hyperlink r:id="rId31" w:history="1">
        <w:r w:rsidRPr="00ED1C7E">
          <w:rPr>
            <w:rStyle w:val="Hyperlink"/>
            <w:color w:val="auto"/>
          </w:rPr>
          <w:t>table 6</w:t>
        </w:r>
        <w:r w:rsidR="00942845" w:rsidRPr="00ED1C7E">
          <w:rPr>
            <w:rStyle w:val="Hyperlink"/>
            <w:color w:val="auto"/>
          </w:rPr>
          <w:t xml:space="preserve"> of </w:t>
        </w:r>
        <w:r w:rsidRPr="00ED1C7E">
          <w:rPr>
            <w:rStyle w:val="Hyperlink"/>
            <w:color w:val="auto"/>
          </w:rPr>
          <w:t>schedule 2</w:t>
        </w:r>
      </w:hyperlink>
      <w:r w:rsidRPr="00ED1C7E">
        <w:t xml:space="preserve"> of the Climate Change (Stationary Energy and Industrial Process) Regulations 2009</w:t>
      </w:r>
      <w:r w:rsidR="00942845" w:rsidRPr="00ED1C7E">
        <w:t xml:space="preserve"> </w:t>
      </w:r>
      <w:r w:rsidR="00BE243C" w:rsidRPr="00ED1C7E">
        <w:t>(SEIP Regulations)</w:t>
      </w:r>
      <w:r w:rsidRPr="00ED1C7E">
        <w:t xml:space="preserve">, to ensure the effective functioning of the </w:t>
      </w:r>
      <w:r w:rsidR="00BE243C" w:rsidRPr="00ED1C7E">
        <w:t>New Zealand Emissions Trading Scheme (</w:t>
      </w:r>
      <w:r w:rsidR="00221ACF" w:rsidRPr="00ED1C7E">
        <w:t>NZ ETS</w:t>
      </w:r>
      <w:r w:rsidR="00BE243C" w:rsidRPr="00ED1C7E">
        <w:t>)</w:t>
      </w:r>
      <w:r w:rsidRPr="00ED1C7E">
        <w:t xml:space="preserve"> for participants who carry out geothermal activities.</w:t>
      </w:r>
    </w:p>
    <w:p w14:paraId="39BBE38F" w14:textId="013553F4" w:rsidR="001372FD" w:rsidRPr="00ED1C7E" w:rsidRDefault="001372FD" w:rsidP="00D857B6">
      <w:pPr>
        <w:pStyle w:val="BodyText"/>
      </w:pPr>
      <w:r w:rsidRPr="00ED1C7E">
        <w:t xml:space="preserve">Geothermal </w:t>
      </w:r>
      <w:r w:rsidR="000873F9" w:rsidRPr="00ED1C7E">
        <w:t>participants</w:t>
      </w:r>
      <w:r w:rsidRPr="00ED1C7E">
        <w:t xml:space="preserve"> are required to take geothermal fluid and steam samples to ensure emissions are calculated and reported accurately. Some </w:t>
      </w:r>
      <w:r w:rsidR="000873F9" w:rsidRPr="00ED1C7E">
        <w:t>participants</w:t>
      </w:r>
      <w:r w:rsidRPr="00ED1C7E">
        <w:t xml:space="preserve"> have improved methods for reducing emissions from geothermal activities by re</w:t>
      </w:r>
      <w:r w:rsidR="00D6071F" w:rsidRPr="00ED1C7E">
        <w:t>-</w:t>
      </w:r>
      <w:r w:rsidRPr="00ED1C7E">
        <w:t xml:space="preserve">injecting non-condensable gases (NCGs) </w:t>
      </w:r>
      <w:r w:rsidR="00F572FB" w:rsidRPr="00ED1C7E">
        <w:t xml:space="preserve">back </w:t>
      </w:r>
      <w:r w:rsidRPr="00ED1C7E">
        <w:t xml:space="preserve">into the geothermal reservoir. </w:t>
      </w:r>
      <w:r w:rsidR="00903119" w:rsidRPr="00ED1C7E">
        <w:t>If</w:t>
      </w:r>
      <w:r w:rsidRPr="00ED1C7E">
        <w:t xml:space="preserve"> the calculated emissions factor of a </w:t>
      </w:r>
      <w:r w:rsidR="00C43737" w:rsidRPr="00ED1C7E">
        <w:t>participant</w:t>
      </w:r>
      <w:r w:rsidRPr="00ED1C7E">
        <w:t xml:space="preserve"> differs from the DEF by an amount greater than the </w:t>
      </w:r>
      <w:r w:rsidR="00067ED3" w:rsidRPr="00ED1C7E">
        <w:t xml:space="preserve">defined </w:t>
      </w:r>
      <w:r w:rsidRPr="00ED1C7E">
        <w:t>estimated uncertainty</w:t>
      </w:r>
      <w:r w:rsidR="00903119" w:rsidRPr="00ED1C7E">
        <w:t>,</w:t>
      </w:r>
      <w:r w:rsidRPr="00ED1C7E">
        <w:t xml:space="preserve"> an operator can apply for approval to use a unique emissions factor (UEFs).</w:t>
      </w:r>
    </w:p>
    <w:p w14:paraId="7815BD5D" w14:textId="46E7DAB7" w:rsidR="001372FD" w:rsidRPr="00ED1C7E" w:rsidRDefault="001372FD" w:rsidP="00D857B6">
      <w:pPr>
        <w:pStyle w:val="BodyText"/>
      </w:pPr>
      <w:r w:rsidRPr="00ED1C7E">
        <w:t xml:space="preserve">We are also consulting on updating </w:t>
      </w:r>
      <w:hyperlink r:id="rId32" w:anchor="DLM2378480" w:history="1">
        <w:r w:rsidR="005D5507" w:rsidRPr="00ED1C7E">
          <w:rPr>
            <w:rStyle w:val="Hyperlink"/>
            <w:color w:val="auto"/>
          </w:rPr>
          <w:t>clauses 14–17</w:t>
        </w:r>
      </w:hyperlink>
      <w:r w:rsidRPr="00ED1C7E">
        <w:t xml:space="preserve"> of the Climate Change (Unique Emissions Factors) Regulations 2009</w:t>
      </w:r>
      <w:r w:rsidR="003F6C03" w:rsidRPr="00ED1C7E">
        <w:t xml:space="preserve"> (UEF Regulations)</w:t>
      </w:r>
      <w:r w:rsidRPr="00ED1C7E">
        <w:t>, to reflect improvements in methods for reducing emissions from geothermal activities.</w:t>
      </w:r>
    </w:p>
    <w:p w14:paraId="54B22492" w14:textId="41820386" w:rsidR="005F319A" w:rsidRPr="00ED1C7E" w:rsidRDefault="005F319A" w:rsidP="00D857B6">
      <w:pPr>
        <w:pStyle w:val="Heading3"/>
      </w:pPr>
      <w:r w:rsidRPr="00ED1C7E">
        <w:t>Why update the DEFs for geothermal activities?</w:t>
      </w:r>
    </w:p>
    <w:p w14:paraId="2543F80B" w14:textId="7271A4BB" w:rsidR="00237354" w:rsidRPr="00ED1C7E" w:rsidRDefault="00237354" w:rsidP="00237354">
      <w:pPr>
        <w:pStyle w:val="BodyText"/>
      </w:pPr>
      <w:r w:rsidRPr="00ED1C7E">
        <w:t xml:space="preserve">Several geothermal plants have </w:t>
      </w:r>
      <w:r w:rsidR="009465F9" w:rsidRPr="00ED1C7E">
        <w:t xml:space="preserve">started </w:t>
      </w:r>
      <w:r w:rsidRPr="00ED1C7E">
        <w:t>operati</w:t>
      </w:r>
      <w:r w:rsidR="009465F9" w:rsidRPr="00ED1C7E">
        <w:t>ng</w:t>
      </w:r>
      <w:r w:rsidRPr="00ED1C7E">
        <w:t xml:space="preserve"> since the last update to the regulations. Th</w:t>
      </w:r>
      <w:r w:rsidR="00C43737" w:rsidRPr="00ED1C7E">
        <w:t>ese</w:t>
      </w:r>
      <w:r w:rsidRPr="00ED1C7E">
        <w:t xml:space="preserve"> new </w:t>
      </w:r>
      <w:r w:rsidR="00C43737" w:rsidRPr="00ED1C7E">
        <w:t>participants</w:t>
      </w:r>
      <w:r w:rsidRPr="00ED1C7E">
        <w:t xml:space="preserve"> will need to be added to the list of current </w:t>
      </w:r>
      <w:r w:rsidR="00C43737" w:rsidRPr="00ED1C7E">
        <w:t>participants,</w:t>
      </w:r>
      <w:r w:rsidRPr="00ED1C7E">
        <w:t xml:space="preserve"> along with the</w:t>
      </w:r>
      <w:r w:rsidR="009465F9" w:rsidRPr="00ED1C7E">
        <w:t>ir</w:t>
      </w:r>
      <w:r w:rsidRPr="00ED1C7E">
        <w:t xml:space="preserve"> corresponding DEF</w:t>
      </w:r>
      <w:r w:rsidR="009465F9" w:rsidRPr="00ED1C7E">
        <w:t>s</w:t>
      </w:r>
      <w:r w:rsidRPr="00ED1C7E">
        <w:t>.</w:t>
      </w:r>
    </w:p>
    <w:p w14:paraId="3B8F7BBD" w14:textId="4560558F" w:rsidR="00237354" w:rsidRPr="00ED1C7E" w:rsidRDefault="00237354" w:rsidP="00237354">
      <w:pPr>
        <w:pStyle w:val="BodyText"/>
      </w:pPr>
      <w:r w:rsidRPr="00ED1C7E">
        <w:t xml:space="preserve">Geothermal </w:t>
      </w:r>
      <w:r w:rsidR="0048720E" w:rsidRPr="00ED1C7E">
        <w:t xml:space="preserve">electricity generation </w:t>
      </w:r>
      <w:r w:rsidRPr="00ED1C7E">
        <w:t>involve</w:t>
      </w:r>
      <w:r w:rsidR="0048720E" w:rsidRPr="00ED1C7E">
        <w:t>s</w:t>
      </w:r>
      <w:r w:rsidRPr="00ED1C7E">
        <w:t xml:space="preserve"> extracting geothermal fluid from a reservoir for use</w:t>
      </w:r>
      <w:r w:rsidR="00E83803">
        <w:t> </w:t>
      </w:r>
      <w:r w:rsidRPr="00ED1C7E">
        <w:t xml:space="preserve">in the electricity generation process. The typical composition of a geothermal reservoir includes brine and several greenhouse gases. These gases are emitted as part of the </w:t>
      </w:r>
      <w:r w:rsidR="00510896" w:rsidRPr="00ED1C7E">
        <w:t xml:space="preserve">electricity generation </w:t>
      </w:r>
      <w:r w:rsidRPr="00ED1C7E">
        <w:t>process, reducing the gas content of the reservoir over time.</w:t>
      </w:r>
    </w:p>
    <w:p w14:paraId="0A8ACEEA" w14:textId="0E7794A0" w:rsidR="00237354" w:rsidRPr="00ED1C7E" w:rsidRDefault="00237354" w:rsidP="00237354">
      <w:pPr>
        <w:pStyle w:val="BodyText"/>
      </w:pPr>
      <w:r w:rsidRPr="00ED1C7E">
        <w:t xml:space="preserve">The DEFs for geothermal </w:t>
      </w:r>
      <w:r w:rsidR="00510896" w:rsidRPr="00ED1C7E">
        <w:t xml:space="preserve">participants </w:t>
      </w:r>
      <w:r w:rsidRPr="00ED1C7E">
        <w:t>require updat</w:t>
      </w:r>
      <w:r w:rsidR="00510896" w:rsidRPr="00ED1C7E">
        <w:t>ing</w:t>
      </w:r>
      <w:r w:rsidRPr="00ED1C7E">
        <w:t xml:space="preserve"> to account for the change in the gas composition of the geothermal reservoir for each </w:t>
      </w:r>
      <w:r w:rsidR="00510896" w:rsidRPr="00ED1C7E">
        <w:t>participant</w:t>
      </w:r>
      <w:r w:rsidRPr="00ED1C7E">
        <w:t>. This will ensure that reported emissions remain as accurate as possible</w:t>
      </w:r>
      <w:r w:rsidR="009465F9" w:rsidRPr="00ED1C7E">
        <w:t>,</w:t>
      </w:r>
      <w:r w:rsidRPr="00ED1C7E">
        <w:t xml:space="preserve"> while reducing the need for participants to apply for</w:t>
      </w:r>
      <w:r w:rsidR="00D857B6" w:rsidRPr="00ED1C7E">
        <w:t> </w:t>
      </w:r>
      <w:r w:rsidRPr="00ED1C7E">
        <w:t>a UEF.</w:t>
      </w:r>
    </w:p>
    <w:p w14:paraId="4A06F469" w14:textId="2DCFD219" w:rsidR="00AA7C4F" w:rsidRPr="00ED1C7E" w:rsidRDefault="00AA7C4F" w:rsidP="00110CC3">
      <w:pPr>
        <w:pStyle w:val="Heading3"/>
      </w:pPr>
      <w:r w:rsidRPr="00ED1C7E">
        <w:lastRenderedPageBreak/>
        <w:t>Why update the UEF methodologies for geothermal</w:t>
      </w:r>
      <w:r w:rsidR="00971C99" w:rsidRPr="00ED1C7E">
        <w:t> </w:t>
      </w:r>
      <w:r w:rsidRPr="00ED1C7E">
        <w:t>activities?</w:t>
      </w:r>
    </w:p>
    <w:p w14:paraId="07DB3C3C" w14:textId="3646D97C" w:rsidR="00AA7C4F" w:rsidRPr="00ED1C7E" w:rsidRDefault="00AA7C4F" w:rsidP="00971C99">
      <w:pPr>
        <w:pStyle w:val="BodyText"/>
        <w:spacing w:before="100" w:after="100"/>
      </w:pPr>
      <w:r w:rsidRPr="00ED1C7E">
        <w:t xml:space="preserve">Methods for reducing emissions from geothermal </w:t>
      </w:r>
      <w:r w:rsidR="0012682B" w:rsidRPr="00ED1C7E">
        <w:t>activities</w:t>
      </w:r>
      <w:r w:rsidRPr="00ED1C7E">
        <w:t xml:space="preserve"> have improved over time. Some </w:t>
      </w:r>
      <w:r w:rsidR="0012682B" w:rsidRPr="00ED1C7E">
        <w:t>participants</w:t>
      </w:r>
      <w:r w:rsidRPr="00ED1C7E">
        <w:t xml:space="preserve"> </w:t>
      </w:r>
      <w:r w:rsidR="00DF5CDC">
        <w:t>can</w:t>
      </w:r>
      <w:r w:rsidRPr="00ED1C7E">
        <w:t xml:space="preserve"> re-inject up to 100</w:t>
      </w:r>
      <w:r w:rsidR="00F572FB" w:rsidRPr="00ED1C7E">
        <w:t xml:space="preserve"> per cent</w:t>
      </w:r>
      <w:r w:rsidRPr="00ED1C7E">
        <w:t xml:space="preserve"> of the NCGs back into the geothermal reservoir from which they are extracted. This process significantly reduces emissions from geothermal activities.</w:t>
      </w:r>
    </w:p>
    <w:p w14:paraId="00A28658" w14:textId="04746A81" w:rsidR="00AA7C4F" w:rsidRPr="00ED1C7E" w:rsidRDefault="0012682B" w:rsidP="00971C99">
      <w:pPr>
        <w:pStyle w:val="BodyText"/>
        <w:spacing w:before="100" w:after="100"/>
      </w:pPr>
      <w:r w:rsidRPr="00ED1C7E">
        <w:t>Participants</w:t>
      </w:r>
      <w:r w:rsidR="00AA7C4F" w:rsidRPr="00ED1C7E">
        <w:t xml:space="preserve"> reducing emissions as part of this process </w:t>
      </w:r>
      <w:r w:rsidR="00DF5CDC">
        <w:t xml:space="preserve">can </w:t>
      </w:r>
      <w:r w:rsidR="00AA7C4F" w:rsidRPr="00ED1C7E">
        <w:t>apply for approval to use a</w:t>
      </w:r>
      <w:r w:rsidR="00E83803">
        <w:t> </w:t>
      </w:r>
      <w:r w:rsidR="00AA7C4F" w:rsidRPr="00ED1C7E">
        <w:t xml:space="preserve">UEF to account for the NCGs re-injected. The existing methodologies for calculating UEFs, outlined in </w:t>
      </w:r>
      <w:hyperlink r:id="rId33" w:anchor="DLM2378480" w:history="1">
        <w:r w:rsidR="005D5507" w:rsidRPr="00ED1C7E">
          <w:rPr>
            <w:rStyle w:val="Hyperlink"/>
          </w:rPr>
          <w:t>clauses 14–17</w:t>
        </w:r>
      </w:hyperlink>
      <w:r w:rsidR="00AA7C4F" w:rsidRPr="00ED1C7E">
        <w:t xml:space="preserve"> of the </w:t>
      </w:r>
      <w:r w:rsidR="003F6C03" w:rsidRPr="00ED1C7E">
        <w:t>UEF Regulations</w:t>
      </w:r>
      <w:r w:rsidR="00AA7C4F" w:rsidRPr="00ED1C7E">
        <w:t>, require updating to better accommodate improvements to re-injection processes.</w:t>
      </w:r>
    </w:p>
    <w:p w14:paraId="76088873" w14:textId="5D91DABE" w:rsidR="00AA7C4F" w:rsidRPr="00ED1C7E" w:rsidRDefault="00074B1D" w:rsidP="00971C99">
      <w:pPr>
        <w:pStyle w:val="BodyText"/>
        <w:spacing w:before="100" w:after="100"/>
      </w:pPr>
      <w:r>
        <w:t>F</w:t>
      </w:r>
      <w:r w:rsidR="00AA7C4F" w:rsidRPr="00ED1C7E">
        <w:t>or re-injection to occur, the NCGs are dissolved into condensate in a pressurised chamber</w:t>
      </w:r>
      <w:r w:rsidR="000F1929" w:rsidRPr="00ED1C7E">
        <w:t xml:space="preserve"> (</w:t>
      </w:r>
      <w:r w:rsidR="00AA7C4F" w:rsidRPr="00ED1C7E">
        <w:t>referred to as a vaporiser</w:t>
      </w:r>
      <w:r w:rsidR="000F1929" w:rsidRPr="00ED1C7E">
        <w:t>)</w:t>
      </w:r>
      <w:r w:rsidR="00AA7C4F" w:rsidRPr="00ED1C7E">
        <w:t>, mixed with the brine exiting the plant</w:t>
      </w:r>
      <w:r w:rsidR="00BD3B45">
        <w:t>,</w:t>
      </w:r>
      <w:r w:rsidR="00AA7C4F" w:rsidRPr="00ED1C7E">
        <w:t xml:space="preserve"> and pumped back into the reservoir. Any NCGs not dissolved in the condensate are emitted when the steam is vented from the pressurised chamber.</w:t>
      </w:r>
    </w:p>
    <w:p w14:paraId="4067A39B" w14:textId="2E31E9F0" w:rsidR="00AA7C4F" w:rsidRPr="00ED1C7E" w:rsidRDefault="00AA7C4F" w:rsidP="00971C99">
      <w:pPr>
        <w:pStyle w:val="BodyText"/>
        <w:spacing w:before="100" w:after="100"/>
      </w:pPr>
      <w:r w:rsidRPr="00ED1C7E">
        <w:t>Current regulations allow for the sampling of the condensate as it exits the vaporiser to calculate the amount of NCGs re-injected into the reservoir. In practice, this method carries with it a high level of variability</w:t>
      </w:r>
      <w:r w:rsidR="00FC13E9" w:rsidRPr="00ED1C7E">
        <w:t>,</w:t>
      </w:r>
      <w:r w:rsidRPr="00ED1C7E">
        <w:t xml:space="preserve"> due to the changes in how a geothermal plant vents steam over </w:t>
      </w:r>
      <w:proofErr w:type="gramStart"/>
      <w:r w:rsidRPr="00ED1C7E">
        <w:t>time</w:t>
      </w:r>
      <w:r w:rsidR="00FC13E9" w:rsidRPr="00ED1C7E">
        <w:t>,</w:t>
      </w:r>
      <w:r w:rsidRPr="00ED1C7E">
        <w:t xml:space="preserve"> and</w:t>
      </w:r>
      <w:proofErr w:type="gramEnd"/>
      <w:r w:rsidRPr="00ED1C7E">
        <w:t xml:space="preserve"> is not an ideal method for accurately calculating emissions.</w:t>
      </w:r>
    </w:p>
    <w:p w14:paraId="62FC520A" w14:textId="77777777" w:rsidR="00AA7C4F" w:rsidRPr="00ED1C7E" w:rsidRDefault="00AA7C4F" w:rsidP="00971C99">
      <w:pPr>
        <w:pStyle w:val="BodyText"/>
        <w:spacing w:before="100" w:after="100"/>
      </w:pPr>
      <w:r w:rsidRPr="00ED1C7E">
        <w:t>We are proposing that three new methods of measuring emissions be added to the regulations. These methods are described in detail below.</w:t>
      </w:r>
    </w:p>
    <w:p w14:paraId="04E43695" w14:textId="52015211" w:rsidR="00AA7C4F" w:rsidRPr="00ED1C7E" w:rsidRDefault="00036AA3" w:rsidP="00971C99">
      <w:pPr>
        <w:pStyle w:val="Heading4"/>
      </w:pPr>
      <w:r w:rsidRPr="00ED1C7E">
        <w:t xml:space="preserve">Reporting </w:t>
      </w:r>
      <w:r w:rsidR="0093751A" w:rsidRPr="00ED1C7E">
        <w:t>m</w:t>
      </w:r>
      <w:r w:rsidRPr="00ED1C7E">
        <w:t xml:space="preserve">ethod A – </w:t>
      </w:r>
      <w:r w:rsidR="0093751A" w:rsidRPr="00ED1C7E">
        <w:t>m</w:t>
      </w:r>
      <w:r w:rsidR="00AA7C4F" w:rsidRPr="00ED1C7E">
        <w:t>ass</w:t>
      </w:r>
      <w:r w:rsidRPr="00ED1C7E">
        <w:t>-</w:t>
      </w:r>
      <w:r w:rsidR="0093751A" w:rsidRPr="00ED1C7E">
        <w:t>b</w:t>
      </w:r>
      <w:r w:rsidR="00AA7C4F" w:rsidRPr="00ED1C7E">
        <w:t>alance</w:t>
      </w:r>
      <w:r w:rsidRPr="00ED1C7E">
        <w:t xml:space="preserve"> </w:t>
      </w:r>
      <w:r w:rsidR="0093751A" w:rsidRPr="00ED1C7E">
        <w:t>m</w:t>
      </w:r>
      <w:r w:rsidRPr="00ED1C7E">
        <w:t>easurement</w:t>
      </w:r>
    </w:p>
    <w:p w14:paraId="420EA9A7" w14:textId="63B55A8B" w:rsidR="00AA7C4F" w:rsidRPr="00ED1C7E" w:rsidRDefault="00AA7C4F" w:rsidP="00971C99">
      <w:pPr>
        <w:pStyle w:val="BodyText"/>
        <w:spacing w:before="100" w:after="100"/>
      </w:pPr>
      <w:r w:rsidRPr="00ED1C7E">
        <w:t xml:space="preserve">A ‘mass-balance’ </w:t>
      </w:r>
      <w:r w:rsidR="00E021F4" w:rsidRPr="00ED1C7E">
        <w:t xml:space="preserve">reporting </w:t>
      </w:r>
      <w:r w:rsidRPr="00ED1C7E">
        <w:t>method has been proposed as a solution to the problem of high variability when sampling condensate. In this method, samples and flow measurements of the incoming brine and steam are taken</w:t>
      </w:r>
      <w:r w:rsidR="00E021F4" w:rsidRPr="00ED1C7E">
        <w:t>,</w:t>
      </w:r>
      <w:r w:rsidRPr="00ED1C7E">
        <w:t xml:space="preserve"> along with sampl</w:t>
      </w:r>
      <w:r w:rsidR="004C715A" w:rsidRPr="00ED1C7E">
        <w:t>e</w:t>
      </w:r>
      <w:r w:rsidR="00701BE4" w:rsidRPr="00ED1C7E">
        <w:t>s</w:t>
      </w:r>
      <w:r w:rsidRPr="00ED1C7E">
        <w:t xml:space="preserve"> and measurement</w:t>
      </w:r>
      <w:r w:rsidR="00701BE4" w:rsidRPr="00ED1C7E">
        <w:t>s</w:t>
      </w:r>
      <w:r w:rsidRPr="00ED1C7E">
        <w:t xml:space="preserve"> of the outgoing two-phase fluid (brine plus NCGs)</w:t>
      </w:r>
      <w:r w:rsidR="00E021F4" w:rsidRPr="00ED1C7E">
        <w:t>,</w:t>
      </w:r>
      <w:r w:rsidRPr="00ED1C7E">
        <w:t xml:space="preserve"> as show</w:t>
      </w:r>
      <w:r w:rsidR="00E021F4" w:rsidRPr="00ED1C7E">
        <w:t>n</w:t>
      </w:r>
      <w:r w:rsidRPr="00ED1C7E">
        <w:t xml:space="preserve"> in </w:t>
      </w:r>
      <w:r w:rsidR="00E021F4" w:rsidRPr="00ED1C7E">
        <w:fldChar w:fldCharType="begin"/>
      </w:r>
      <w:r w:rsidR="00E021F4" w:rsidRPr="00ED1C7E">
        <w:instrText xml:space="preserve"> REF _Ref160090338 \h \* lower </w:instrText>
      </w:r>
      <w:r w:rsidR="00E021F4" w:rsidRPr="00ED1C7E">
        <w:fldChar w:fldCharType="separate"/>
      </w:r>
      <w:r w:rsidR="00C60130" w:rsidRPr="00ED1C7E">
        <w:t xml:space="preserve">figure </w:t>
      </w:r>
      <w:r w:rsidR="00C60130">
        <w:rPr>
          <w:noProof/>
        </w:rPr>
        <w:t>1</w:t>
      </w:r>
      <w:r w:rsidR="00E021F4" w:rsidRPr="00ED1C7E">
        <w:fldChar w:fldCharType="end"/>
      </w:r>
      <w:r w:rsidRPr="00ED1C7E">
        <w:t xml:space="preserve">. The difference between the two measurements is the amount of NCGs emitted into the atmosphere. </w:t>
      </w:r>
      <w:r w:rsidR="007B30E8" w:rsidRPr="00ED1C7E">
        <w:t>Some participants already use t</w:t>
      </w:r>
      <w:r w:rsidRPr="00ED1C7E">
        <w:t>his method</w:t>
      </w:r>
      <w:r w:rsidR="007B30E8" w:rsidRPr="00ED1C7E">
        <w:t xml:space="preserve">, which </w:t>
      </w:r>
      <w:r w:rsidRPr="00ED1C7E">
        <w:t>has proven to be more reliable than measuring the condensate</w:t>
      </w:r>
      <w:r w:rsidR="00C61A9A" w:rsidRPr="00ED1C7E">
        <w:t>, as it results in less variability</w:t>
      </w:r>
      <w:r w:rsidRPr="00ED1C7E">
        <w:t>.</w:t>
      </w:r>
    </w:p>
    <w:p w14:paraId="478F35FF" w14:textId="68C40B13" w:rsidR="00AA7C4F" w:rsidRPr="00ED1C7E" w:rsidRDefault="00036AA3" w:rsidP="00971C99">
      <w:pPr>
        <w:pStyle w:val="Heading4"/>
      </w:pPr>
      <w:r w:rsidRPr="00ED1C7E">
        <w:t xml:space="preserve">Reporting </w:t>
      </w:r>
      <w:r w:rsidR="007B30E8" w:rsidRPr="00ED1C7E">
        <w:t>m</w:t>
      </w:r>
      <w:r w:rsidRPr="00ED1C7E">
        <w:t xml:space="preserve">ethod B – </w:t>
      </w:r>
      <w:r w:rsidR="007B30E8" w:rsidRPr="00ED1C7E">
        <w:t>d</w:t>
      </w:r>
      <w:r w:rsidR="00AA7C4F" w:rsidRPr="00ED1C7E">
        <w:t xml:space="preserve">irect </w:t>
      </w:r>
      <w:r w:rsidR="007B30E8" w:rsidRPr="00ED1C7E">
        <w:t>g</w:t>
      </w:r>
      <w:r w:rsidR="00AA7C4F" w:rsidRPr="00ED1C7E">
        <w:t xml:space="preserve">as </w:t>
      </w:r>
      <w:r w:rsidR="007B30E8" w:rsidRPr="00ED1C7E">
        <w:t>f</w:t>
      </w:r>
      <w:r w:rsidR="00AA7C4F" w:rsidRPr="00ED1C7E">
        <w:t xml:space="preserve">low </w:t>
      </w:r>
      <w:r w:rsidR="007B30E8" w:rsidRPr="00ED1C7E">
        <w:t>m</w:t>
      </w:r>
      <w:r w:rsidR="00AA7C4F" w:rsidRPr="00ED1C7E">
        <w:t>easurement</w:t>
      </w:r>
    </w:p>
    <w:p w14:paraId="5C1758AB" w14:textId="73D00FFB" w:rsidR="00AA7C4F" w:rsidRPr="00ED1C7E" w:rsidRDefault="00AA7C4F" w:rsidP="00971C99">
      <w:pPr>
        <w:pStyle w:val="BodyText"/>
        <w:spacing w:before="100" w:after="100"/>
      </w:pPr>
      <w:r w:rsidRPr="00ED1C7E">
        <w:t>To achieve a significant level of NCG re-injection</w:t>
      </w:r>
      <w:r w:rsidR="00BB0272" w:rsidRPr="00ED1C7E">
        <w:t>,</w:t>
      </w:r>
      <w:r w:rsidRPr="00ED1C7E">
        <w:t xml:space="preserve"> the two-phase fluid (brine plus </w:t>
      </w:r>
      <w:r w:rsidR="005B656A" w:rsidRPr="00ED1C7E">
        <w:t>NCGs</w:t>
      </w:r>
      <w:r w:rsidRPr="00ED1C7E">
        <w:t>) needs</w:t>
      </w:r>
      <w:r w:rsidR="00971C99" w:rsidRPr="00ED1C7E">
        <w:t> </w:t>
      </w:r>
      <w:r w:rsidRPr="00ED1C7E">
        <w:t>to be kept at a high enough pressure for the NCGs to be fully dissolved into the brine. In</w:t>
      </w:r>
      <w:r w:rsidR="00971C99" w:rsidRPr="00ED1C7E">
        <w:t> </w:t>
      </w:r>
      <w:r w:rsidRPr="00ED1C7E">
        <w:t>cases where significant NCG re-injection is taking place, using the standard sampling methods</w:t>
      </w:r>
      <w:r w:rsidR="00EA4D76" w:rsidRPr="00ED1C7E">
        <w:t xml:space="preserve"> creates issues</w:t>
      </w:r>
      <w:r w:rsidRPr="00ED1C7E">
        <w:t xml:space="preserve">. The standard sampling method involves drawing the injection brine into a glass </w:t>
      </w:r>
      <w:r w:rsidR="005428BE" w:rsidRPr="00ED1C7E">
        <w:t xml:space="preserve">rotoflo </w:t>
      </w:r>
      <w:r w:rsidRPr="00ED1C7E">
        <w:t>flask for analysis. This process becomes difficult at high pressure levels</w:t>
      </w:r>
      <w:r w:rsidR="007040B3" w:rsidRPr="00ED1C7E">
        <w:t>,</w:t>
      </w:r>
      <w:r w:rsidR="00153D99" w:rsidRPr="00ED1C7E">
        <w:t xml:space="preserve"> and</w:t>
      </w:r>
      <w:r w:rsidR="00971C99" w:rsidRPr="00ED1C7E">
        <w:t> </w:t>
      </w:r>
      <w:r w:rsidRPr="00ED1C7E">
        <w:t>risk</w:t>
      </w:r>
      <w:r w:rsidR="00153D99" w:rsidRPr="00ED1C7E">
        <w:t>s</w:t>
      </w:r>
      <w:r w:rsidRPr="00ED1C7E">
        <w:t xml:space="preserve"> breaking the flask. This method of sampling places a constraint on use of the mass</w:t>
      </w:r>
      <w:r w:rsidR="00153D99" w:rsidRPr="00ED1C7E">
        <w:t>-</w:t>
      </w:r>
      <w:r w:rsidRPr="00ED1C7E">
        <w:t>balance method because, to prevent the flask breaking, samples need to be taken at close to atmospheric pressure.</w:t>
      </w:r>
    </w:p>
    <w:p w14:paraId="06B17A95" w14:textId="6410ED65" w:rsidR="00AA7C4F" w:rsidRPr="00ED1C7E" w:rsidRDefault="00AA7C4F" w:rsidP="00971C99">
      <w:pPr>
        <w:pStyle w:val="BodyText"/>
        <w:spacing w:before="100" w:after="100"/>
      </w:pPr>
      <w:r w:rsidRPr="00ED1C7E">
        <w:t xml:space="preserve">The direct gas flow measurement is a possible </w:t>
      </w:r>
      <w:r w:rsidR="00404954">
        <w:t>solution</w:t>
      </w:r>
      <w:r w:rsidRPr="00ED1C7E">
        <w:t xml:space="preserve"> to the sampling problem. </w:t>
      </w:r>
      <w:r w:rsidR="00FF4B01" w:rsidRPr="00ED1C7E">
        <w:t xml:space="preserve">This method involves taking </w:t>
      </w:r>
      <w:r w:rsidRPr="00ED1C7E">
        <w:t>a flow measurement directly from the gas discharge line attached to the vapori</w:t>
      </w:r>
      <w:r w:rsidR="005B656A" w:rsidRPr="00ED1C7E">
        <w:t>s</w:t>
      </w:r>
      <w:r w:rsidRPr="00ED1C7E">
        <w:t>er</w:t>
      </w:r>
      <w:r w:rsidR="00207417" w:rsidRPr="00ED1C7E">
        <w:t>,</w:t>
      </w:r>
      <w:r w:rsidRPr="00ED1C7E">
        <w:t xml:space="preserve"> </w:t>
      </w:r>
      <w:r w:rsidR="00207417" w:rsidRPr="00ED1C7E">
        <w:t xml:space="preserve">as shown in </w:t>
      </w:r>
      <w:r w:rsidR="00207417" w:rsidRPr="00ED1C7E">
        <w:fldChar w:fldCharType="begin"/>
      </w:r>
      <w:r w:rsidR="00207417" w:rsidRPr="00ED1C7E">
        <w:instrText xml:space="preserve"> REF _Ref160090338 \h \* lower </w:instrText>
      </w:r>
      <w:r w:rsidR="00207417" w:rsidRPr="00ED1C7E">
        <w:fldChar w:fldCharType="separate"/>
      </w:r>
      <w:r w:rsidR="00C60130" w:rsidRPr="00ED1C7E">
        <w:t xml:space="preserve">figure </w:t>
      </w:r>
      <w:r w:rsidR="00C60130">
        <w:rPr>
          <w:noProof/>
        </w:rPr>
        <w:t>1</w:t>
      </w:r>
      <w:r w:rsidR="00207417" w:rsidRPr="00ED1C7E">
        <w:fldChar w:fldCharType="end"/>
      </w:r>
      <w:r w:rsidRPr="00ED1C7E">
        <w:t xml:space="preserve">. From this measurement, the amount of NCGs being emitted can be calculated. This method would require only one sample point </w:t>
      </w:r>
      <w:r w:rsidR="00FF4B01" w:rsidRPr="00ED1C7E">
        <w:t xml:space="preserve">– </w:t>
      </w:r>
      <w:r w:rsidRPr="00ED1C7E">
        <w:t>as opposed to the three required by a mass</w:t>
      </w:r>
      <w:r w:rsidR="007A1DC1" w:rsidRPr="00ED1C7E">
        <w:t>-</w:t>
      </w:r>
      <w:r w:rsidRPr="00ED1C7E">
        <w:t>balance approach</w:t>
      </w:r>
      <w:r w:rsidR="00FF4B01" w:rsidRPr="00ED1C7E">
        <w:t xml:space="preserve"> –</w:t>
      </w:r>
      <w:r w:rsidRPr="00ED1C7E">
        <w:t xml:space="preserve"> and would allow for samples to be taken </w:t>
      </w:r>
      <w:r w:rsidR="00705B96" w:rsidRPr="00ED1C7E">
        <w:t xml:space="preserve">at any level of </w:t>
      </w:r>
      <w:r w:rsidRPr="00ED1C7E">
        <w:t>NCG re-injection.</w:t>
      </w:r>
    </w:p>
    <w:p w14:paraId="61B84D2A" w14:textId="30C9FCB1" w:rsidR="00AA7C4F" w:rsidRPr="00ED1C7E" w:rsidRDefault="00796EBD" w:rsidP="00971C99">
      <w:pPr>
        <w:pStyle w:val="Heading4"/>
      </w:pPr>
      <w:r w:rsidRPr="00ED1C7E">
        <w:lastRenderedPageBreak/>
        <w:t xml:space="preserve">Re-injecting </w:t>
      </w:r>
      <w:r w:rsidR="00AA7C4F" w:rsidRPr="00ED1C7E">
        <w:t>100</w:t>
      </w:r>
      <w:r w:rsidRPr="00ED1C7E">
        <w:t xml:space="preserve"> per cent</w:t>
      </w:r>
      <w:r w:rsidR="00AA7C4F" w:rsidRPr="00ED1C7E">
        <w:t xml:space="preserve"> of </w:t>
      </w:r>
      <w:r w:rsidRPr="00ED1C7E">
        <w:t>NCGs</w:t>
      </w:r>
    </w:p>
    <w:p w14:paraId="52BC1FF6" w14:textId="17B0B411" w:rsidR="000F2BAA" w:rsidRPr="00ED1C7E" w:rsidRDefault="00AA7C4F" w:rsidP="00AA7C4F">
      <w:pPr>
        <w:pStyle w:val="BodyText"/>
      </w:pPr>
      <w:r w:rsidRPr="00ED1C7E">
        <w:t xml:space="preserve">Some </w:t>
      </w:r>
      <w:r w:rsidR="006A04E5" w:rsidRPr="00ED1C7E">
        <w:t>participants</w:t>
      </w:r>
      <w:r w:rsidRPr="00ED1C7E">
        <w:t xml:space="preserve"> have achieved 100</w:t>
      </w:r>
      <w:r w:rsidR="00796EBD" w:rsidRPr="00ED1C7E">
        <w:t xml:space="preserve"> per cent</w:t>
      </w:r>
      <w:r w:rsidRPr="00ED1C7E">
        <w:t xml:space="preserve"> re-injection of NCGs. At present</w:t>
      </w:r>
      <w:r w:rsidR="003835CD" w:rsidRPr="00ED1C7E">
        <w:t>,</w:t>
      </w:r>
      <w:r w:rsidRPr="00ED1C7E">
        <w:t xml:space="preserve"> measuring and</w:t>
      </w:r>
      <w:r w:rsidR="00FC69FB" w:rsidRPr="00ED1C7E">
        <w:t> </w:t>
      </w:r>
      <w:r w:rsidRPr="00ED1C7E">
        <w:t>reporting this</w:t>
      </w:r>
      <w:r w:rsidR="00796EBD" w:rsidRPr="00ED1C7E">
        <w:t xml:space="preserve"> is difficult,</w:t>
      </w:r>
      <w:r w:rsidRPr="00ED1C7E">
        <w:t xml:space="preserve"> due to the issues with sampling methods mentioned above. A</w:t>
      </w:r>
      <w:r w:rsidR="00FC69FB" w:rsidRPr="00ED1C7E">
        <w:t> </w:t>
      </w:r>
      <w:r w:rsidRPr="00ED1C7E">
        <w:t xml:space="preserve">permanent connection of the NCG offtake to a re-injection pipeline could ensure </w:t>
      </w:r>
      <w:r w:rsidR="007908F8">
        <w:t xml:space="preserve">that </w:t>
      </w:r>
      <w:r w:rsidRPr="00ED1C7E">
        <w:t>no gases are emitted. Once set up, an inspection by a recognised verifier would be required before an emission</w:t>
      </w:r>
      <w:r w:rsidR="00334223" w:rsidRPr="00ED1C7E">
        <w:t>s</w:t>
      </w:r>
      <w:r w:rsidRPr="00ED1C7E">
        <w:t xml:space="preserve"> factor of zero could be approved.</w:t>
      </w:r>
    </w:p>
    <w:p w14:paraId="76753672" w14:textId="0CA3E2EC" w:rsidR="00AA7C4F" w:rsidRPr="00ED1C7E" w:rsidRDefault="00AA7C4F" w:rsidP="00AA7C4F">
      <w:pPr>
        <w:pStyle w:val="BodyText"/>
      </w:pPr>
      <w:r w:rsidRPr="00ED1C7E">
        <w:t xml:space="preserve">With this </w:t>
      </w:r>
      <w:r w:rsidR="000F2BAA" w:rsidRPr="00ED1C7E">
        <w:t>implemented</w:t>
      </w:r>
      <w:r w:rsidRPr="00ED1C7E">
        <w:t xml:space="preserve">, geothermal </w:t>
      </w:r>
      <w:r w:rsidR="00D43EEE" w:rsidRPr="00ED1C7E">
        <w:t>participants</w:t>
      </w:r>
      <w:r w:rsidRPr="00ED1C7E">
        <w:t xml:space="preserve"> </w:t>
      </w:r>
      <w:r w:rsidR="00E9135A" w:rsidRPr="00ED1C7E">
        <w:t>can avoid</w:t>
      </w:r>
      <w:r w:rsidRPr="00ED1C7E">
        <w:t xml:space="preserve"> the full sampling/testing process for UEF verification</w:t>
      </w:r>
      <w:r w:rsidR="003835CD" w:rsidRPr="00ED1C7E">
        <w:t>,</w:t>
      </w:r>
      <w:r w:rsidRPr="00ED1C7E">
        <w:t xml:space="preserve"> which can be a costly exercise. Adding an allowance for this to the regulations would create a further incentive for </w:t>
      </w:r>
      <w:r w:rsidR="00FF3F94" w:rsidRPr="00ED1C7E">
        <w:t>uptake of this mitigation</w:t>
      </w:r>
      <w:r w:rsidR="00FF2D1F" w:rsidRPr="00ED1C7E">
        <w:t>,</w:t>
      </w:r>
      <w:r w:rsidR="00FF3F94" w:rsidRPr="00ED1C7E">
        <w:t xml:space="preserve"> </w:t>
      </w:r>
      <w:r w:rsidRPr="00ED1C7E">
        <w:t>as well as reduc</w:t>
      </w:r>
      <w:r w:rsidR="00FF2D1F" w:rsidRPr="00ED1C7E">
        <w:t>ing</w:t>
      </w:r>
      <w:r w:rsidRPr="00ED1C7E">
        <w:t xml:space="preserve"> operational costs for participants.</w:t>
      </w:r>
    </w:p>
    <w:p w14:paraId="44F77547" w14:textId="5CDB462E" w:rsidR="009A7FCC" w:rsidRPr="00ED1C7E" w:rsidRDefault="009A7FCC" w:rsidP="009840EE">
      <w:pPr>
        <w:pStyle w:val="Figureheading"/>
      </w:pPr>
      <w:bookmarkStart w:id="22" w:name="_Ref160090338"/>
      <w:bookmarkStart w:id="23" w:name="_Toc165532897"/>
      <w:r w:rsidRPr="00ED1C7E">
        <w:t xml:space="preserve">Figure </w:t>
      </w:r>
      <w:r w:rsidR="00594215">
        <w:fldChar w:fldCharType="begin"/>
      </w:r>
      <w:r w:rsidR="00594215">
        <w:instrText xml:space="preserve"> SEQ Figure \* ARABIC </w:instrText>
      </w:r>
      <w:r w:rsidR="00594215">
        <w:fldChar w:fldCharType="separate"/>
      </w:r>
      <w:r w:rsidR="00C60130">
        <w:rPr>
          <w:noProof/>
        </w:rPr>
        <w:t>1</w:t>
      </w:r>
      <w:r w:rsidR="00594215">
        <w:rPr>
          <w:noProof/>
        </w:rPr>
        <w:fldChar w:fldCharType="end"/>
      </w:r>
      <w:bookmarkEnd w:id="22"/>
      <w:r w:rsidRPr="00ED1C7E">
        <w:t xml:space="preserve">: </w:t>
      </w:r>
      <w:r w:rsidR="00971C99" w:rsidRPr="00ED1C7E">
        <w:tab/>
      </w:r>
      <w:r w:rsidRPr="00ED1C7E">
        <w:t xml:space="preserve">Diagram of measurements required to calculate a UEF using the mass-balance and direct gas flow methods in a binary geothermal </w:t>
      </w:r>
      <w:proofErr w:type="gramStart"/>
      <w:r w:rsidRPr="00ED1C7E">
        <w:t>plant</w:t>
      </w:r>
      <w:bookmarkEnd w:id="23"/>
      <w:proofErr w:type="gramEnd"/>
    </w:p>
    <w:p w14:paraId="400D120B" w14:textId="09302F05" w:rsidR="00AA7C4F" w:rsidRPr="00ED1C7E" w:rsidRDefault="00A9592E" w:rsidP="00FC69FB">
      <w:pPr>
        <w:pStyle w:val="BodyText"/>
        <w:spacing w:before="80"/>
      </w:pPr>
      <w:r w:rsidRPr="00ED1C7E">
        <w:rPr>
          <w:noProof/>
        </w:rPr>
        <w:drawing>
          <wp:inline distT="0" distB="0" distL="0" distR="0" wp14:anchorId="1888767C" wp14:editId="4D3F0473">
            <wp:extent cx="5400675" cy="2825750"/>
            <wp:effectExtent l="0" t="0" r="9525" b="0"/>
            <wp:docPr id="488277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277586" name="Picture 488277586"/>
                    <pic:cNvPicPr/>
                  </pic:nvPicPr>
                  <pic:blipFill rotWithShape="1">
                    <a:blip r:embed="rId34"/>
                    <a:srcRect t="1728" b="2119"/>
                    <a:stretch/>
                  </pic:blipFill>
                  <pic:spPr bwMode="auto">
                    <a:xfrm>
                      <a:off x="0" y="0"/>
                      <a:ext cx="5400675" cy="2825750"/>
                    </a:xfrm>
                    <a:prstGeom prst="rect">
                      <a:avLst/>
                    </a:prstGeom>
                    <a:ln>
                      <a:noFill/>
                    </a:ln>
                    <a:extLst>
                      <a:ext uri="{53640926-AAD7-44D8-BBD7-CCE9431645EC}">
                        <a14:shadowObscured xmlns:a14="http://schemas.microsoft.com/office/drawing/2010/main"/>
                      </a:ext>
                    </a:extLst>
                  </pic:spPr>
                </pic:pic>
              </a:graphicData>
            </a:graphic>
          </wp:inline>
        </w:drawing>
      </w:r>
    </w:p>
    <w:p w14:paraId="747948A9" w14:textId="5A5E2306" w:rsidR="000D007A" w:rsidRPr="00ED1C7E" w:rsidRDefault="000D007A" w:rsidP="00077D5A">
      <w:pPr>
        <w:pStyle w:val="Heading3"/>
      </w:pPr>
      <w:r w:rsidRPr="00ED1C7E">
        <w:t xml:space="preserve">Why improve the overall regulatory approach </w:t>
      </w:r>
      <w:r w:rsidR="00592BDD" w:rsidRPr="00ED1C7E">
        <w:t>for</w:t>
      </w:r>
      <w:r w:rsidRPr="00ED1C7E">
        <w:t xml:space="preserve"> geothermal activities?</w:t>
      </w:r>
    </w:p>
    <w:p w14:paraId="6BE57F0B" w14:textId="58A0DAEA" w:rsidR="000D007A" w:rsidRPr="00ED1C7E" w:rsidRDefault="00DF5CDC" w:rsidP="0007217E">
      <w:pPr>
        <w:pStyle w:val="BodyText"/>
        <w:spacing w:before="100" w:after="100"/>
      </w:pPr>
      <w:r>
        <w:t>Most</w:t>
      </w:r>
      <w:r w:rsidR="00A81721" w:rsidRPr="00ED1C7E">
        <w:t xml:space="preserve"> geothermal participants use a UEF and re-apply </w:t>
      </w:r>
      <w:r w:rsidR="00AA1BD1" w:rsidRPr="00ED1C7E">
        <w:t xml:space="preserve">frequently </w:t>
      </w:r>
      <w:r w:rsidR="00A81721" w:rsidRPr="00ED1C7E">
        <w:t>for an updated UEF</w:t>
      </w:r>
      <w:r w:rsidR="0043404D" w:rsidRPr="00ED1C7E">
        <w:t>; meanwhile, the DEFs specified in regulations are updated in parallel</w:t>
      </w:r>
      <w:r w:rsidR="00041988" w:rsidRPr="00ED1C7E">
        <w:t xml:space="preserve">. </w:t>
      </w:r>
      <w:r w:rsidR="00F36315" w:rsidRPr="00ED1C7E">
        <w:t xml:space="preserve">Therefore, even though </w:t>
      </w:r>
      <w:r w:rsidR="00BF6EDD">
        <w:t>most</w:t>
      </w:r>
      <w:r w:rsidR="000D007A" w:rsidRPr="00ED1C7E">
        <w:t xml:space="preserve"> participants </w:t>
      </w:r>
      <w:r w:rsidR="00EE58B0" w:rsidRPr="00ED1C7E">
        <w:t xml:space="preserve">have individual DEFs specified </w:t>
      </w:r>
      <w:r w:rsidR="000D007A" w:rsidRPr="00ED1C7E">
        <w:t>in regulations</w:t>
      </w:r>
      <w:r w:rsidR="00EE58B0" w:rsidRPr="00ED1C7E">
        <w:t xml:space="preserve">, </w:t>
      </w:r>
      <w:r w:rsidR="00B1417F" w:rsidRPr="00ED1C7E">
        <w:t>they</w:t>
      </w:r>
      <w:r w:rsidR="00EE58B0" w:rsidRPr="00ED1C7E">
        <w:t xml:space="preserve"> are </w:t>
      </w:r>
      <w:r w:rsidR="001C5B92" w:rsidRPr="00ED1C7E">
        <w:t>essentially redundant</w:t>
      </w:r>
      <w:r w:rsidR="00AA1BD1" w:rsidRPr="00ED1C7E">
        <w:t>,</w:t>
      </w:r>
      <w:r w:rsidR="001C5B92" w:rsidRPr="00ED1C7E">
        <w:t xml:space="preserve"> because</w:t>
      </w:r>
      <w:r w:rsidR="000D007A" w:rsidRPr="00ED1C7E">
        <w:t xml:space="preserve"> </w:t>
      </w:r>
      <w:r w:rsidR="001C5B92" w:rsidRPr="00ED1C7E">
        <w:t xml:space="preserve">it is more accurate for the participants to seek approval for and use </w:t>
      </w:r>
      <w:r w:rsidR="000D007A" w:rsidRPr="00ED1C7E">
        <w:t>UEFs in their emissions reporting.</w:t>
      </w:r>
    </w:p>
    <w:p w14:paraId="5E47A861" w14:textId="06020206" w:rsidR="000D007A" w:rsidRPr="00ED1C7E" w:rsidRDefault="005B026F" w:rsidP="0007217E">
      <w:pPr>
        <w:pStyle w:val="BodyText"/>
        <w:spacing w:before="100" w:after="100"/>
      </w:pPr>
      <w:r w:rsidRPr="00ED1C7E">
        <w:t xml:space="preserve">Not all sector-specific reporting under the </w:t>
      </w:r>
      <w:r w:rsidR="00221ACF" w:rsidRPr="00ED1C7E">
        <w:t>NZ ETS</w:t>
      </w:r>
      <w:r w:rsidRPr="00ED1C7E">
        <w:t xml:space="preserve"> functions this way. </w:t>
      </w:r>
      <w:r w:rsidR="006D4D0C" w:rsidRPr="00ED1C7E">
        <w:t>For example,</w:t>
      </w:r>
      <w:r w:rsidR="0060445C" w:rsidRPr="00ED1C7E">
        <w:t xml:space="preserve"> </w:t>
      </w:r>
      <w:r w:rsidRPr="00ED1C7E">
        <w:t>natural gas activities</w:t>
      </w:r>
      <w:r w:rsidR="00AA1BD1" w:rsidRPr="00ED1C7E">
        <w:t xml:space="preserve"> </w:t>
      </w:r>
      <w:r w:rsidR="0060445C" w:rsidRPr="00ED1C7E">
        <w:t>have a routine reporting process</w:t>
      </w:r>
      <w:r w:rsidRPr="00ED1C7E">
        <w:t>,</w:t>
      </w:r>
      <w:r w:rsidR="000D007A" w:rsidRPr="00ED1C7E">
        <w:t xml:space="preserve"> </w:t>
      </w:r>
      <w:r w:rsidRPr="00ED1C7E">
        <w:t xml:space="preserve">in </w:t>
      </w:r>
      <w:r w:rsidR="000D007A" w:rsidRPr="00ED1C7E">
        <w:t xml:space="preserve">which information reported in emissions returns </w:t>
      </w:r>
      <w:r w:rsidR="001C5B92" w:rsidRPr="00ED1C7E">
        <w:t xml:space="preserve">is used to directly calculate mandatory participants’ emissions. This avoids </w:t>
      </w:r>
      <w:r w:rsidR="00C75A20" w:rsidRPr="00ED1C7E">
        <w:t xml:space="preserve">the need </w:t>
      </w:r>
      <w:r w:rsidRPr="00ED1C7E">
        <w:t>for</w:t>
      </w:r>
      <w:r w:rsidR="006A73DC" w:rsidRPr="00ED1C7E">
        <w:t xml:space="preserve"> any emissions fact</w:t>
      </w:r>
      <w:r w:rsidR="008F1C78" w:rsidRPr="00ED1C7E">
        <w:t>ors in regulations</w:t>
      </w:r>
      <w:r w:rsidR="0060445C" w:rsidRPr="00ED1C7E">
        <w:t>,</w:t>
      </w:r>
      <w:r w:rsidR="0084688A" w:rsidRPr="00ED1C7E">
        <w:rPr>
          <w:rStyle w:val="FootnoteReference"/>
        </w:rPr>
        <w:footnoteReference w:id="3"/>
      </w:r>
      <w:r w:rsidR="006A73DC" w:rsidRPr="00ED1C7E">
        <w:t xml:space="preserve"> </w:t>
      </w:r>
      <w:r w:rsidR="000D007A" w:rsidRPr="00ED1C7E">
        <w:t xml:space="preserve">allowing </w:t>
      </w:r>
      <w:r w:rsidR="008F1C78" w:rsidRPr="00ED1C7E">
        <w:t xml:space="preserve">reporting by mandatory participants to be more </w:t>
      </w:r>
      <w:r w:rsidR="006A73DC" w:rsidRPr="00ED1C7E">
        <w:t xml:space="preserve">accurate </w:t>
      </w:r>
      <w:r w:rsidR="008F1C78" w:rsidRPr="00ED1C7E">
        <w:t xml:space="preserve">and consistently </w:t>
      </w:r>
      <w:r w:rsidR="00443378" w:rsidRPr="00ED1C7E">
        <w:t>up to date</w:t>
      </w:r>
      <w:r w:rsidR="00C64D9C" w:rsidRPr="00ED1C7E">
        <w:t xml:space="preserve"> than with a DEF</w:t>
      </w:r>
      <w:r w:rsidR="008F1C78" w:rsidRPr="00ED1C7E">
        <w:t xml:space="preserve">, </w:t>
      </w:r>
      <w:r w:rsidR="000D007A" w:rsidRPr="00ED1C7E">
        <w:t>while avoiding the additional cost and compliance burden of seeking approval to use a UEF.</w:t>
      </w:r>
    </w:p>
    <w:p w14:paraId="7E1373EA" w14:textId="579090EF" w:rsidR="000D007A" w:rsidRPr="00ED1C7E" w:rsidRDefault="000D007A" w:rsidP="000D007A">
      <w:pPr>
        <w:pStyle w:val="BodyText"/>
      </w:pPr>
      <w:r w:rsidRPr="00ED1C7E">
        <w:lastRenderedPageBreak/>
        <w:t xml:space="preserve">A similar approach could be developed and adopted for geothermal activities. </w:t>
      </w:r>
      <w:r w:rsidR="00BF6EDD">
        <w:t>Most</w:t>
      </w:r>
      <w:r w:rsidR="004119F2">
        <w:t xml:space="preserve"> </w:t>
      </w:r>
      <w:r w:rsidRPr="00ED1C7E">
        <w:t xml:space="preserve">current </w:t>
      </w:r>
      <w:r w:rsidR="00C64D9C" w:rsidRPr="00ED1C7E">
        <w:t xml:space="preserve">geothermal </w:t>
      </w:r>
      <w:r w:rsidRPr="00ED1C7E">
        <w:t xml:space="preserve">participants </w:t>
      </w:r>
      <w:r w:rsidR="005B085A" w:rsidRPr="00ED1C7E">
        <w:t>can</w:t>
      </w:r>
      <w:r w:rsidR="00B64F88" w:rsidRPr="00ED1C7E">
        <w:t xml:space="preserve"> directly report their emissions through continuous or regular measurement</w:t>
      </w:r>
      <w:r w:rsidR="00BE40B9" w:rsidRPr="00ED1C7E">
        <w:t>,</w:t>
      </w:r>
      <w:r w:rsidR="00983E3E" w:rsidRPr="00ED1C7E">
        <w:t xml:space="preserve"> using technology already in place</w:t>
      </w:r>
      <w:r w:rsidRPr="00ED1C7E">
        <w:t xml:space="preserve">. Rather than running separate DEF and UEF processes in parallel, </w:t>
      </w:r>
      <w:r w:rsidR="00E81A72" w:rsidRPr="00ED1C7E">
        <w:t xml:space="preserve">a participant’s obligation </w:t>
      </w:r>
      <w:r w:rsidR="00BE40B9" w:rsidRPr="00ED1C7E">
        <w:t xml:space="preserve">could </w:t>
      </w:r>
      <w:r w:rsidR="00E81A72" w:rsidRPr="00ED1C7E">
        <w:t>be directly calculated using their actual emissions</w:t>
      </w:r>
      <w:r w:rsidRPr="00ED1C7E">
        <w:t xml:space="preserve">, </w:t>
      </w:r>
      <w:r w:rsidR="00E81A72" w:rsidRPr="00ED1C7E">
        <w:t xml:space="preserve">allowing them to </w:t>
      </w:r>
      <w:r w:rsidRPr="00ED1C7E">
        <w:t>receive the benefit</w:t>
      </w:r>
      <w:r w:rsidR="00E81A72" w:rsidRPr="00ED1C7E">
        <w:t>s</w:t>
      </w:r>
      <w:r w:rsidRPr="00ED1C7E">
        <w:t xml:space="preserve"> of </w:t>
      </w:r>
      <w:r w:rsidR="00E81A72" w:rsidRPr="00ED1C7E">
        <w:t xml:space="preserve">a </w:t>
      </w:r>
      <w:r w:rsidRPr="00ED1C7E">
        <w:t>UEF through a streamlined process that reduces cost and compliance burden.</w:t>
      </w:r>
    </w:p>
    <w:p w14:paraId="73EB2430" w14:textId="0E1EFF4C" w:rsidR="009B4D64" w:rsidRPr="00ED1C7E" w:rsidRDefault="009B4D64" w:rsidP="009B4D64">
      <w:pPr>
        <w:pStyle w:val="BodyText"/>
      </w:pPr>
      <w:r w:rsidRPr="00ED1C7E">
        <w:t xml:space="preserve">This would result in similar calculations taking place behind the scenes to the process to update the DEFs in regulations, or that occur when the participant seeks approval for a </w:t>
      </w:r>
      <w:proofErr w:type="gramStart"/>
      <w:r w:rsidRPr="00ED1C7E">
        <w:t>UEF, but</w:t>
      </w:r>
      <w:proofErr w:type="gramEnd"/>
      <w:r w:rsidRPr="00ED1C7E">
        <w:t xml:space="preserve"> could happen reactively rather than rely on regulatory update. Once such an approach was established, it could also create the opportunity to reduce compliance cost and burden for participants, for example by allowing participants who consistently reinject 100</w:t>
      </w:r>
      <w:r w:rsidR="00CE7044">
        <w:t xml:space="preserve"> per cent</w:t>
      </w:r>
      <w:r w:rsidR="00CE7044" w:rsidRPr="00ED1C7E">
        <w:t xml:space="preserve"> </w:t>
      </w:r>
      <w:r w:rsidRPr="00ED1C7E">
        <w:t>of NCGs to have decreased verification frequency.</w:t>
      </w:r>
    </w:p>
    <w:p w14:paraId="1ED8299E" w14:textId="78985CE4" w:rsidR="009B4D64" w:rsidRPr="00ED1C7E" w:rsidRDefault="009B4D64" w:rsidP="009B4D64">
      <w:pPr>
        <w:pStyle w:val="BodyText"/>
      </w:pPr>
      <w:r w:rsidRPr="00ED1C7E">
        <w:t>In addition, no generic DEF (</w:t>
      </w:r>
      <w:r w:rsidRPr="00ED1C7E" w:rsidDel="008E6E9E">
        <w:t>i.e.</w:t>
      </w:r>
      <w:r w:rsidRPr="00ED1C7E">
        <w:t xml:space="preserve"> for use by ‘any other plant or process’) would need to be set, as there are no opt-in participants for geothermal activities, and it would be expected that any new geothermal plants implement direct measurement and reporting of their actual emissions to comply with their obligations under the NZ ETS.</w:t>
      </w:r>
    </w:p>
    <w:p w14:paraId="65C166B1" w14:textId="7E30EC0E" w:rsidR="009B4D64" w:rsidRPr="00ED1C7E" w:rsidRDefault="009B4D64" w:rsidP="009B4D64">
      <w:pPr>
        <w:pStyle w:val="BodyText"/>
      </w:pPr>
      <w:r w:rsidRPr="00ED1C7E">
        <w:t>Alternatively, a similar outcome could be achieved by basing the DEFs for geothermal participants on an average of approved UEFs from recent years. While this would still require participants to step through the UEF approval process, and the associated costs, if they can prove 100</w:t>
      </w:r>
      <w:r w:rsidR="00F8364D">
        <w:t xml:space="preserve"> per cent</w:t>
      </w:r>
      <w:r w:rsidRPr="00ED1C7E">
        <w:t xml:space="preserve"> reinjection and receive a UEF of zero over subsequent years, their DEF would also drop to zero. In this scenario, they could choose to fall back on the DEF and no longer seek approval of a UEF, maintaining the emissions factor of zero without the high compliance cost and burden so long as 100</w:t>
      </w:r>
      <w:r w:rsidR="00F8364D">
        <w:t xml:space="preserve"> per cent</w:t>
      </w:r>
      <w:r w:rsidRPr="00ED1C7E">
        <w:t xml:space="preserve"> reinjection continued.</w:t>
      </w:r>
    </w:p>
    <w:p w14:paraId="27C489CF" w14:textId="17A90C50" w:rsidR="00F43F02" w:rsidRPr="00ED1C7E" w:rsidRDefault="00F43F02" w:rsidP="00110CC3">
      <w:pPr>
        <w:pStyle w:val="Heading3"/>
      </w:pPr>
      <w:r w:rsidRPr="00ED1C7E">
        <w:t>Options</w:t>
      </w:r>
    </w:p>
    <w:p w14:paraId="586D8CAE" w14:textId="47EF0D36" w:rsidR="00F43F02" w:rsidRPr="00ED1C7E" w:rsidRDefault="00F43F02" w:rsidP="00E83803">
      <w:pPr>
        <w:pStyle w:val="Heading4"/>
        <w:spacing w:before="180"/>
      </w:pPr>
      <w:r w:rsidRPr="00ED1C7E">
        <w:t xml:space="preserve">Option </w:t>
      </w:r>
      <w:r w:rsidR="00AA7C4F" w:rsidRPr="00ED1C7E">
        <w:t>1:</w:t>
      </w:r>
      <w:r w:rsidRPr="00ED1C7E">
        <w:t xml:space="preserve"> </w:t>
      </w:r>
      <w:r w:rsidR="00EA1E81" w:rsidRPr="00ED1C7E">
        <w:t>S</w:t>
      </w:r>
      <w:r w:rsidRPr="00ED1C7E">
        <w:t xml:space="preserve">tatus </w:t>
      </w:r>
      <w:r w:rsidR="00F83694" w:rsidRPr="00ED1C7E">
        <w:t>q</w:t>
      </w:r>
      <w:r w:rsidRPr="00ED1C7E">
        <w:t>uo</w:t>
      </w:r>
    </w:p>
    <w:p w14:paraId="3CCE3F42" w14:textId="12C67E62" w:rsidR="00AA7C4F" w:rsidRPr="00ED1C7E" w:rsidRDefault="0015296E" w:rsidP="002E0747">
      <w:pPr>
        <w:pStyle w:val="BodyText"/>
      </w:pPr>
      <w:r w:rsidRPr="00ED1C7E">
        <w:t>Under this option,</w:t>
      </w:r>
      <w:r w:rsidR="00F43F02" w:rsidRPr="00ED1C7E">
        <w:t xml:space="preserve"> the DEFs </w:t>
      </w:r>
      <w:r w:rsidR="006F5228" w:rsidRPr="00ED1C7E">
        <w:t>and</w:t>
      </w:r>
      <w:r w:rsidR="00AA7C4F" w:rsidRPr="00ED1C7E">
        <w:t xml:space="preserve"> UEF methodologies </w:t>
      </w:r>
      <w:r w:rsidR="00F43F02" w:rsidRPr="00ED1C7E">
        <w:t>in the regulations</w:t>
      </w:r>
      <w:r w:rsidRPr="00ED1C7E">
        <w:t xml:space="preserve"> will not be updated</w:t>
      </w:r>
      <w:r w:rsidR="00F83694" w:rsidRPr="00ED1C7E">
        <w:t>.</w:t>
      </w:r>
    </w:p>
    <w:p w14:paraId="7DBAE0B9" w14:textId="2E3F2893" w:rsidR="00F43F02" w:rsidRPr="00ED1C7E" w:rsidRDefault="00F43F02" w:rsidP="00FE14E4">
      <w:pPr>
        <w:pStyle w:val="Bullet"/>
      </w:pPr>
      <w:r w:rsidRPr="00ED1C7E">
        <w:t xml:space="preserve">No new geothermal operations </w:t>
      </w:r>
      <w:r w:rsidR="00F04DDA" w:rsidRPr="00ED1C7E">
        <w:t>will</w:t>
      </w:r>
      <w:r w:rsidR="000E292D" w:rsidRPr="00ED1C7E">
        <w:t xml:space="preserve"> </w:t>
      </w:r>
      <w:r w:rsidRPr="00ED1C7E">
        <w:t>be added to the table</w:t>
      </w:r>
      <w:r w:rsidR="000E292D" w:rsidRPr="00ED1C7E">
        <w:t>,</w:t>
      </w:r>
      <w:r w:rsidRPr="00ED1C7E">
        <w:t xml:space="preserve"> and</w:t>
      </w:r>
      <w:r w:rsidR="00671364" w:rsidRPr="00ED1C7E">
        <w:t xml:space="preserve"> participants will continue to use</w:t>
      </w:r>
      <w:r w:rsidRPr="00ED1C7E">
        <w:t xml:space="preserve"> the current DEFs to calculate emissions for geothermal activities</w:t>
      </w:r>
      <w:r w:rsidR="00F04DDA" w:rsidRPr="00ED1C7E">
        <w:t>.</w:t>
      </w:r>
    </w:p>
    <w:p w14:paraId="75F77631" w14:textId="7E9B1F4E" w:rsidR="00AA7C4F" w:rsidRPr="00ED1C7E" w:rsidRDefault="00AA7C4F" w:rsidP="00FE14E4">
      <w:pPr>
        <w:pStyle w:val="Bullet"/>
      </w:pPr>
      <w:r w:rsidRPr="00ED1C7E">
        <w:t xml:space="preserve">No changes will be made to the methodologies for calculating UEFs. Participants </w:t>
      </w:r>
      <w:r w:rsidR="00671364" w:rsidRPr="00ED1C7E">
        <w:t xml:space="preserve">will </w:t>
      </w:r>
      <w:r w:rsidRPr="00ED1C7E">
        <w:t>continue to use the current methodologies set out in the regulations.</w:t>
      </w:r>
    </w:p>
    <w:p w14:paraId="054C2088" w14:textId="1D6EDE75" w:rsidR="00F43F02" w:rsidRPr="00ED1C7E" w:rsidRDefault="00F43F02" w:rsidP="00971C99">
      <w:pPr>
        <w:pStyle w:val="Heading4"/>
      </w:pPr>
      <w:r w:rsidRPr="00ED1C7E">
        <w:t xml:space="preserve">Option </w:t>
      </w:r>
      <w:r w:rsidR="00AA7C4F" w:rsidRPr="00ED1C7E">
        <w:t xml:space="preserve">2a: </w:t>
      </w:r>
      <w:r w:rsidRPr="00ED1C7E">
        <w:t xml:space="preserve">Directly update the </w:t>
      </w:r>
      <w:r w:rsidR="00277350" w:rsidRPr="00ED1C7E">
        <w:t xml:space="preserve">DEFs in </w:t>
      </w:r>
      <w:r w:rsidRPr="00ED1C7E">
        <w:t>SEIP Regulations</w:t>
      </w:r>
    </w:p>
    <w:p w14:paraId="5488B6AE" w14:textId="25605461" w:rsidR="00F43F02" w:rsidRPr="00ED1C7E" w:rsidRDefault="00F43F02" w:rsidP="00F43F02">
      <w:pPr>
        <w:pStyle w:val="BodyText"/>
      </w:pPr>
      <w:r w:rsidRPr="00ED1C7E">
        <w:t>Updates to the DEFs for each geothermal plant will account for the changes to the gas composition of geothermal reservoirs</w:t>
      </w:r>
      <w:r w:rsidR="006D7568" w:rsidRPr="00ED1C7E">
        <w:t>, which</w:t>
      </w:r>
      <w:r w:rsidRPr="00ED1C7E">
        <w:t>, in turn, improves the accuracy of emissions calculations.</w:t>
      </w:r>
    </w:p>
    <w:p w14:paraId="1BD510AC" w14:textId="07CA6173" w:rsidR="00F43F02" w:rsidRPr="00ED1C7E" w:rsidRDefault="00F43F02" w:rsidP="00F43F02">
      <w:pPr>
        <w:pStyle w:val="BodyText"/>
      </w:pPr>
      <w:r w:rsidRPr="00ED1C7E">
        <w:t>Several geothermal plants have opened since the regulations were last updated. Updating the</w:t>
      </w:r>
      <w:r w:rsidR="002E0747" w:rsidRPr="00ED1C7E">
        <w:t> </w:t>
      </w:r>
      <w:r w:rsidRPr="00ED1C7E">
        <w:t xml:space="preserve">table of DEFs </w:t>
      </w:r>
      <w:r w:rsidR="00806E52" w:rsidRPr="00ED1C7E">
        <w:t xml:space="preserve">will </w:t>
      </w:r>
      <w:r w:rsidRPr="00ED1C7E">
        <w:t xml:space="preserve">involve </w:t>
      </w:r>
      <w:r w:rsidR="00806E52" w:rsidRPr="00ED1C7E">
        <w:t>adding</w:t>
      </w:r>
      <w:r w:rsidRPr="00ED1C7E">
        <w:t xml:space="preserve"> these new geothermal </w:t>
      </w:r>
      <w:r w:rsidR="008747DC" w:rsidRPr="00ED1C7E">
        <w:t>participants</w:t>
      </w:r>
      <w:r w:rsidR="00806E52" w:rsidRPr="00ED1C7E">
        <w:t>,</w:t>
      </w:r>
      <w:r w:rsidRPr="00ED1C7E">
        <w:t xml:space="preserve"> along with their corresponding DEFs.</w:t>
      </w:r>
    </w:p>
    <w:p w14:paraId="57ED59B2" w14:textId="01185288" w:rsidR="00F43F02" w:rsidRPr="00ED1C7E" w:rsidRDefault="00806E52" w:rsidP="00F43F02">
      <w:pPr>
        <w:pStyle w:val="BodyText"/>
      </w:pPr>
      <w:r w:rsidRPr="00ED1C7E">
        <w:t>We have</w:t>
      </w:r>
      <w:r w:rsidR="00F43F02" w:rsidRPr="00ED1C7E">
        <w:t xml:space="preserve"> received advice on what technical changes should occur, and </w:t>
      </w:r>
      <w:r w:rsidRPr="00ED1C7E">
        <w:t>we recommend</w:t>
      </w:r>
      <w:r w:rsidR="00F43F02" w:rsidRPr="00ED1C7E">
        <w:t xml:space="preserve"> that </w:t>
      </w:r>
      <w:r w:rsidR="00AB2A8B" w:rsidRPr="00ED1C7E">
        <w:t>the following DEFs</w:t>
      </w:r>
      <w:r w:rsidRPr="00ED1C7E">
        <w:t xml:space="preserve"> (</w:t>
      </w:r>
      <w:r w:rsidR="00AB2A8B" w:rsidRPr="00ED1C7E">
        <w:t xml:space="preserve">for both </w:t>
      </w:r>
      <w:r w:rsidR="00F43F02" w:rsidRPr="00ED1C7E">
        <w:t xml:space="preserve">new </w:t>
      </w:r>
      <w:r w:rsidR="004E799F" w:rsidRPr="00ED1C7E">
        <w:t xml:space="preserve">and existing </w:t>
      </w:r>
      <w:r w:rsidR="00F43F02" w:rsidRPr="00ED1C7E">
        <w:t>participants</w:t>
      </w:r>
      <w:r w:rsidRPr="00ED1C7E">
        <w:t>)</w:t>
      </w:r>
      <w:r w:rsidR="00F43F02" w:rsidRPr="00ED1C7E">
        <w:t xml:space="preserve"> are </w:t>
      </w:r>
      <w:r w:rsidR="00AB2A8B" w:rsidRPr="00ED1C7E">
        <w:t xml:space="preserve">updated </w:t>
      </w:r>
      <w:r w:rsidRPr="00ED1C7E">
        <w:t xml:space="preserve">as outlined in </w:t>
      </w:r>
      <w:r w:rsidRPr="00ED1C7E">
        <w:fldChar w:fldCharType="begin"/>
      </w:r>
      <w:r w:rsidRPr="00ED1C7E">
        <w:instrText xml:space="preserve"> REF _Ref160091543 \h \* lower </w:instrText>
      </w:r>
      <w:r w:rsidRPr="00ED1C7E">
        <w:fldChar w:fldCharType="separate"/>
      </w:r>
      <w:r w:rsidR="00C60130" w:rsidRPr="00ED1C7E">
        <w:t xml:space="preserve">table </w:t>
      </w:r>
      <w:r w:rsidR="00C60130">
        <w:rPr>
          <w:noProof/>
        </w:rPr>
        <w:t>3</w:t>
      </w:r>
      <w:r w:rsidRPr="00ED1C7E">
        <w:fldChar w:fldCharType="end"/>
      </w:r>
      <w:r w:rsidRPr="00ED1C7E">
        <w:t>.</w:t>
      </w:r>
    </w:p>
    <w:p w14:paraId="03F9DF82" w14:textId="3127BB0F" w:rsidR="009A7FCC" w:rsidRPr="00ED1C7E" w:rsidRDefault="009A7FCC" w:rsidP="003340AB">
      <w:pPr>
        <w:pStyle w:val="Tableheading"/>
      </w:pPr>
      <w:bookmarkStart w:id="24" w:name="_Ref160091543"/>
      <w:bookmarkStart w:id="25" w:name="_Toc165532910"/>
      <w:r w:rsidRPr="00ED1C7E">
        <w:lastRenderedPageBreak/>
        <w:t xml:space="preserve">Table </w:t>
      </w:r>
      <w:r w:rsidR="00594215">
        <w:fldChar w:fldCharType="begin"/>
      </w:r>
      <w:r w:rsidR="00594215">
        <w:instrText xml:space="preserve"> SEQ Table \* ARABIC </w:instrText>
      </w:r>
      <w:r w:rsidR="00594215">
        <w:fldChar w:fldCharType="separate"/>
      </w:r>
      <w:r w:rsidR="00C60130">
        <w:rPr>
          <w:noProof/>
        </w:rPr>
        <w:t>3</w:t>
      </w:r>
      <w:r w:rsidR="00594215">
        <w:rPr>
          <w:noProof/>
        </w:rPr>
        <w:fldChar w:fldCharType="end"/>
      </w:r>
      <w:bookmarkEnd w:id="24"/>
      <w:r w:rsidRPr="00ED1C7E">
        <w:t xml:space="preserve">: </w:t>
      </w:r>
      <w:r w:rsidR="002E0747" w:rsidRPr="00ED1C7E">
        <w:tab/>
      </w:r>
      <w:r w:rsidRPr="00ED1C7E">
        <w:t>Existing and proposed DEFs for geothermal participants</w:t>
      </w:r>
      <w:bookmarkEnd w:id="25"/>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1843"/>
        <w:gridCol w:w="1418"/>
        <w:gridCol w:w="264"/>
        <w:gridCol w:w="1295"/>
        <w:gridCol w:w="1559"/>
        <w:gridCol w:w="2126"/>
      </w:tblGrid>
      <w:tr w:rsidR="00BF6F91" w:rsidRPr="00ED1C7E" w14:paraId="7BA3FDDA" w14:textId="77777777" w:rsidTr="00BF6F91">
        <w:tc>
          <w:tcPr>
            <w:tcW w:w="1843" w:type="dxa"/>
            <w:tcBorders>
              <w:bottom w:val="single" w:sz="4" w:space="0" w:color="1B556B" w:themeColor="text2"/>
            </w:tcBorders>
            <w:shd w:val="clear" w:color="auto" w:fill="1B556B" w:themeFill="text2"/>
          </w:tcPr>
          <w:p w14:paraId="4796D8E1" w14:textId="77777777" w:rsidR="00F43F02" w:rsidRPr="00ED1C7E" w:rsidRDefault="00F43F02" w:rsidP="00BF6F91">
            <w:pPr>
              <w:pStyle w:val="TableTextbold"/>
              <w:spacing w:before="40" w:after="40"/>
              <w:rPr>
                <w:color w:val="FFFFFF" w:themeColor="background1"/>
                <w:szCs w:val="18"/>
              </w:rPr>
            </w:pPr>
            <w:r w:rsidRPr="00ED1C7E">
              <w:rPr>
                <w:color w:val="FFFFFF" w:themeColor="background1"/>
                <w:szCs w:val="18"/>
              </w:rPr>
              <w:t>Plant</w:t>
            </w:r>
            <w:r w:rsidRPr="00ED1C7E">
              <w:rPr>
                <w:rStyle w:val="FootnoteReference"/>
                <w:rFonts w:cstheme="minorHAnsi"/>
                <w:color w:val="FFFFFF" w:themeColor="background1"/>
                <w:sz w:val="18"/>
                <w:szCs w:val="18"/>
              </w:rPr>
              <w:footnoteReference w:id="4"/>
            </w:r>
          </w:p>
        </w:tc>
        <w:tc>
          <w:tcPr>
            <w:tcW w:w="1418" w:type="dxa"/>
            <w:tcBorders>
              <w:bottom w:val="single" w:sz="4" w:space="0" w:color="1B556B" w:themeColor="text2"/>
            </w:tcBorders>
            <w:shd w:val="clear" w:color="auto" w:fill="1B556B" w:themeFill="text2"/>
          </w:tcPr>
          <w:p w14:paraId="010B1A11" w14:textId="32431B72" w:rsidR="00F43F02" w:rsidRPr="00ED1C7E" w:rsidRDefault="006D31BC" w:rsidP="00BF6F91">
            <w:pPr>
              <w:pStyle w:val="TableTextbold"/>
              <w:spacing w:before="40" w:after="40"/>
              <w:rPr>
                <w:color w:val="FFFFFF" w:themeColor="background1"/>
                <w:szCs w:val="18"/>
              </w:rPr>
            </w:pPr>
            <w:r w:rsidRPr="00ED1C7E">
              <w:rPr>
                <w:color w:val="FFFFFF" w:themeColor="background1"/>
                <w:szCs w:val="18"/>
              </w:rPr>
              <w:t>Participant</w:t>
            </w:r>
          </w:p>
        </w:tc>
        <w:tc>
          <w:tcPr>
            <w:tcW w:w="1559" w:type="dxa"/>
            <w:gridSpan w:val="2"/>
            <w:tcBorders>
              <w:bottom w:val="single" w:sz="4" w:space="0" w:color="1B556B" w:themeColor="text2"/>
            </w:tcBorders>
            <w:shd w:val="clear" w:color="auto" w:fill="1B556B" w:themeFill="text2"/>
          </w:tcPr>
          <w:p w14:paraId="21F3A7FD" w14:textId="011923E4" w:rsidR="00F43F02" w:rsidRPr="00ED1C7E" w:rsidRDefault="00F43F02" w:rsidP="00BF6F91">
            <w:pPr>
              <w:pStyle w:val="TableTextbold"/>
              <w:spacing w:before="40" w:after="40"/>
              <w:rPr>
                <w:color w:val="FFFFFF" w:themeColor="background1"/>
                <w:szCs w:val="18"/>
              </w:rPr>
            </w:pPr>
            <w:r w:rsidRPr="00ED1C7E">
              <w:rPr>
                <w:color w:val="FFFFFF" w:themeColor="background1"/>
                <w:szCs w:val="18"/>
              </w:rPr>
              <w:t xml:space="preserve">Plant </w:t>
            </w:r>
            <w:r w:rsidR="00806E52" w:rsidRPr="00ED1C7E">
              <w:rPr>
                <w:color w:val="FFFFFF" w:themeColor="background1"/>
                <w:szCs w:val="18"/>
              </w:rPr>
              <w:t>t</w:t>
            </w:r>
            <w:r w:rsidRPr="00ED1C7E">
              <w:rPr>
                <w:color w:val="FFFFFF" w:themeColor="background1"/>
                <w:szCs w:val="18"/>
              </w:rPr>
              <w:t>ype</w:t>
            </w:r>
            <w:r w:rsidRPr="00ED1C7E">
              <w:rPr>
                <w:rStyle w:val="FootnoteReference"/>
                <w:rFonts w:asciiTheme="minorHAnsi" w:hAnsiTheme="minorHAnsi" w:cstheme="minorHAnsi"/>
                <w:color w:val="FFFFFF" w:themeColor="background1"/>
                <w:sz w:val="18"/>
                <w:szCs w:val="18"/>
              </w:rPr>
              <w:footnoteReference w:id="5"/>
            </w:r>
          </w:p>
        </w:tc>
        <w:tc>
          <w:tcPr>
            <w:tcW w:w="1559" w:type="dxa"/>
            <w:tcBorders>
              <w:bottom w:val="single" w:sz="4" w:space="0" w:color="1B556B" w:themeColor="text2"/>
            </w:tcBorders>
            <w:shd w:val="clear" w:color="auto" w:fill="1B556B" w:themeFill="text2"/>
          </w:tcPr>
          <w:p w14:paraId="1B805607" w14:textId="77777777" w:rsidR="00F43F02" w:rsidRPr="00ED1C7E" w:rsidRDefault="00F43F02" w:rsidP="00BF6F91">
            <w:pPr>
              <w:pStyle w:val="TableTextbold"/>
              <w:spacing w:before="40" w:after="40"/>
              <w:rPr>
                <w:color w:val="FFFFFF" w:themeColor="background1"/>
                <w:szCs w:val="18"/>
              </w:rPr>
            </w:pPr>
            <w:r w:rsidRPr="00ED1C7E">
              <w:rPr>
                <w:color w:val="FFFFFF" w:themeColor="background1"/>
                <w:szCs w:val="18"/>
              </w:rPr>
              <w:t>Existing DEF</w:t>
            </w:r>
          </w:p>
        </w:tc>
        <w:tc>
          <w:tcPr>
            <w:tcW w:w="2126" w:type="dxa"/>
            <w:tcBorders>
              <w:bottom w:val="single" w:sz="4" w:space="0" w:color="1B556B" w:themeColor="text2"/>
            </w:tcBorders>
            <w:shd w:val="clear" w:color="auto" w:fill="1B556B" w:themeFill="text2"/>
          </w:tcPr>
          <w:p w14:paraId="2571039A" w14:textId="77777777" w:rsidR="00F43F02" w:rsidRPr="00ED1C7E" w:rsidRDefault="00F43F02" w:rsidP="00BF6F91">
            <w:pPr>
              <w:pStyle w:val="TableTextbold"/>
              <w:spacing w:before="40" w:after="40"/>
              <w:rPr>
                <w:color w:val="FFFFFF" w:themeColor="background1"/>
                <w:szCs w:val="18"/>
              </w:rPr>
            </w:pPr>
            <w:r w:rsidRPr="00ED1C7E">
              <w:rPr>
                <w:color w:val="FFFFFF" w:themeColor="background1"/>
                <w:szCs w:val="18"/>
              </w:rPr>
              <w:t>Proposed DEF</w:t>
            </w:r>
          </w:p>
        </w:tc>
      </w:tr>
      <w:tr w:rsidR="00F43F02" w:rsidRPr="00ED1C7E" w14:paraId="27AA70D8" w14:textId="77777777" w:rsidTr="00BF6F91">
        <w:tc>
          <w:tcPr>
            <w:tcW w:w="8505" w:type="dxa"/>
            <w:gridSpan w:val="6"/>
            <w:shd w:val="clear" w:color="auto" w:fill="D2DDE1" w:themeFill="background2"/>
          </w:tcPr>
          <w:p w14:paraId="5D4E80A7" w14:textId="77777777" w:rsidR="00F43F02" w:rsidRPr="00ED1C7E" w:rsidRDefault="00F43F02" w:rsidP="00BF6F91">
            <w:pPr>
              <w:pStyle w:val="TableText"/>
              <w:spacing w:before="40" w:after="40"/>
              <w:rPr>
                <w:i/>
                <w:iCs/>
              </w:rPr>
            </w:pPr>
            <w:r w:rsidRPr="00ED1C7E">
              <w:rPr>
                <w:i/>
                <w:iCs/>
              </w:rPr>
              <w:t>Plants or processes that use geothermal steam to produce electricity or industrial heat</w:t>
            </w:r>
          </w:p>
        </w:tc>
      </w:tr>
      <w:tr w:rsidR="00F43F02" w:rsidRPr="00ED1C7E" w14:paraId="0515B69E" w14:textId="77777777" w:rsidTr="00BF6F91">
        <w:tc>
          <w:tcPr>
            <w:tcW w:w="1843" w:type="dxa"/>
          </w:tcPr>
          <w:p w14:paraId="50B7D0B4" w14:textId="77777777" w:rsidR="00F43F02" w:rsidRPr="00ED1C7E" w:rsidRDefault="00F43F02" w:rsidP="00BF6F91">
            <w:pPr>
              <w:pStyle w:val="TableText"/>
              <w:spacing w:before="40" w:after="40"/>
              <w:rPr>
                <w:rFonts w:cs="Calibri"/>
                <w:szCs w:val="18"/>
              </w:rPr>
            </w:pPr>
            <w:r w:rsidRPr="00ED1C7E">
              <w:rPr>
                <w:rFonts w:cs="Calibri"/>
                <w:szCs w:val="18"/>
              </w:rPr>
              <w:t>Kawerau II</w:t>
            </w:r>
          </w:p>
        </w:tc>
        <w:tc>
          <w:tcPr>
            <w:tcW w:w="1418" w:type="dxa"/>
          </w:tcPr>
          <w:p w14:paraId="36CE791C" w14:textId="77777777" w:rsidR="00F43F02" w:rsidRPr="00ED1C7E" w:rsidRDefault="00F43F02" w:rsidP="00BF6F91">
            <w:pPr>
              <w:pStyle w:val="TableText"/>
              <w:spacing w:before="40" w:after="40"/>
              <w:rPr>
                <w:rFonts w:cs="Calibri"/>
                <w:szCs w:val="18"/>
              </w:rPr>
            </w:pPr>
            <w:r w:rsidRPr="00ED1C7E">
              <w:rPr>
                <w:rFonts w:cs="Calibri"/>
                <w:szCs w:val="18"/>
              </w:rPr>
              <w:t>Mercury</w:t>
            </w:r>
          </w:p>
        </w:tc>
        <w:tc>
          <w:tcPr>
            <w:tcW w:w="1559" w:type="dxa"/>
            <w:gridSpan w:val="2"/>
          </w:tcPr>
          <w:p w14:paraId="2A08FA58" w14:textId="62BE383E" w:rsidR="00F43F02" w:rsidRPr="00ED1C7E" w:rsidRDefault="00F43F02" w:rsidP="00BF6F91">
            <w:pPr>
              <w:pStyle w:val="TableText"/>
              <w:spacing w:before="40" w:after="40"/>
              <w:rPr>
                <w:rFonts w:cs="Calibri"/>
                <w:szCs w:val="18"/>
              </w:rPr>
            </w:pPr>
            <w:r w:rsidRPr="00ED1C7E">
              <w:rPr>
                <w:rFonts w:cs="Calibri"/>
                <w:szCs w:val="18"/>
              </w:rPr>
              <w:t xml:space="preserve">Flash </w:t>
            </w:r>
            <w:r w:rsidR="00AD0729" w:rsidRPr="00ED1C7E">
              <w:rPr>
                <w:rFonts w:cs="Calibri"/>
                <w:szCs w:val="18"/>
              </w:rPr>
              <w:t>p</w:t>
            </w:r>
            <w:r w:rsidRPr="00ED1C7E">
              <w:rPr>
                <w:rFonts w:cs="Calibri"/>
                <w:szCs w:val="18"/>
              </w:rPr>
              <w:t>lant</w:t>
            </w:r>
          </w:p>
        </w:tc>
        <w:tc>
          <w:tcPr>
            <w:tcW w:w="1559" w:type="dxa"/>
          </w:tcPr>
          <w:p w14:paraId="3578CD46" w14:textId="77777777" w:rsidR="00F43F02" w:rsidRPr="00ED1C7E" w:rsidRDefault="00F43F02" w:rsidP="00BF6F91">
            <w:pPr>
              <w:pStyle w:val="TableText"/>
              <w:spacing w:before="40" w:after="40"/>
              <w:rPr>
                <w:rFonts w:cs="Calibri"/>
                <w:szCs w:val="18"/>
              </w:rPr>
            </w:pPr>
            <w:r w:rsidRPr="00ED1C7E">
              <w:rPr>
                <w:rFonts w:cs="Calibri"/>
                <w:szCs w:val="18"/>
              </w:rPr>
              <w:t>0.0202</w:t>
            </w:r>
          </w:p>
        </w:tc>
        <w:tc>
          <w:tcPr>
            <w:tcW w:w="2126" w:type="dxa"/>
          </w:tcPr>
          <w:p w14:paraId="7667BEF5" w14:textId="77777777" w:rsidR="00F43F02" w:rsidRPr="00ED1C7E" w:rsidRDefault="00F43F02" w:rsidP="00BF6F91">
            <w:pPr>
              <w:pStyle w:val="TableText"/>
              <w:spacing w:before="40" w:after="40"/>
              <w:rPr>
                <w:rFonts w:cs="Calibri"/>
                <w:szCs w:val="18"/>
              </w:rPr>
            </w:pPr>
            <w:r w:rsidRPr="00ED1C7E">
              <w:rPr>
                <w:rFonts w:cs="Calibri"/>
                <w:szCs w:val="18"/>
              </w:rPr>
              <w:t>0.0125</w:t>
            </w:r>
          </w:p>
        </w:tc>
      </w:tr>
      <w:tr w:rsidR="00F43F02" w:rsidRPr="00ED1C7E" w14:paraId="567AC7CF" w14:textId="77777777" w:rsidTr="00BF6F91">
        <w:tc>
          <w:tcPr>
            <w:tcW w:w="1843" w:type="dxa"/>
          </w:tcPr>
          <w:p w14:paraId="2D0B7762" w14:textId="77777777" w:rsidR="00F43F02" w:rsidRPr="00ED1C7E" w:rsidRDefault="00F43F02" w:rsidP="00BF6F91">
            <w:pPr>
              <w:pStyle w:val="TableText"/>
              <w:spacing w:before="40" w:after="40"/>
              <w:rPr>
                <w:rFonts w:cs="Calibri"/>
                <w:szCs w:val="18"/>
              </w:rPr>
            </w:pPr>
            <w:r w:rsidRPr="00ED1C7E">
              <w:rPr>
                <w:rFonts w:cs="Calibri"/>
                <w:szCs w:val="18"/>
              </w:rPr>
              <w:t>Kawerau Industrial</w:t>
            </w:r>
          </w:p>
        </w:tc>
        <w:tc>
          <w:tcPr>
            <w:tcW w:w="1418" w:type="dxa"/>
          </w:tcPr>
          <w:p w14:paraId="2BEFB5FB" w14:textId="77777777" w:rsidR="00F43F02" w:rsidRPr="00ED1C7E" w:rsidRDefault="00F43F02" w:rsidP="00BF6F91">
            <w:pPr>
              <w:pStyle w:val="TableText"/>
              <w:spacing w:before="40" w:after="40"/>
              <w:rPr>
                <w:rFonts w:cs="Calibri"/>
                <w:szCs w:val="18"/>
              </w:rPr>
            </w:pPr>
            <w:r w:rsidRPr="00ED1C7E">
              <w:rPr>
                <w:rFonts w:cs="Calibri"/>
                <w:szCs w:val="18"/>
              </w:rPr>
              <w:t>Various</w:t>
            </w:r>
          </w:p>
        </w:tc>
        <w:tc>
          <w:tcPr>
            <w:tcW w:w="1559" w:type="dxa"/>
            <w:gridSpan w:val="2"/>
          </w:tcPr>
          <w:p w14:paraId="26252DAF" w14:textId="485B6561" w:rsidR="00F43F02" w:rsidRPr="00ED1C7E" w:rsidRDefault="00F43F02" w:rsidP="00BF6F91">
            <w:pPr>
              <w:pStyle w:val="TableText"/>
              <w:spacing w:before="40" w:after="40"/>
              <w:rPr>
                <w:rFonts w:cs="Calibri"/>
                <w:szCs w:val="18"/>
              </w:rPr>
            </w:pPr>
            <w:r w:rsidRPr="00ED1C7E">
              <w:rPr>
                <w:rFonts w:cs="Calibri"/>
                <w:szCs w:val="18"/>
              </w:rPr>
              <w:t xml:space="preserve">Direct </w:t>
            </w:r>
            <w:r w:rsidR="00AD0729" w:rsidRPr="00ED1C7E">
              <w:rPr>
                <w:rFonts w:cs="Calibri"/>
                <w:szCs w:val="18"/>
              </w:rPr>
              <w:t>u</w:t>
            </w:r>
            <w:r w:rsidRPr="00ED1C7E">
              <w:rPr>
                <w:rFonts w:cs="Calibri"/>
                <w:szCs w:val="18"/>
              </w:rPr>
              <w:t>se</w:t>
            </w:r>
          </w:p>
        </w:tc>
        <w:tc>
          <w:tcPr>
            <w:tcW w:w="1559" w:type="dxa"/>
          </w:tcPr>
          <w:p w14:paraId="7B5661B2" w14:textId="77777777" w:rsidR="00F43F02" w:rsidRPr="00ED1C7E" w:rsidRDefault="00F43F02" w:rsidP="00BF6F91">
            <w:pPr>
              <w:pStyle w:val="TableText"/>
              <w:spacing w:before="40" w:after="40"/>
              <w:rPr>
                <w:rFonts w:cs="Calibri"/>
                <w:szCs w:val="18"/>
              </w:rPr>
            </w:pPr>
            <w:r w:rsidRPr="00ED1C7E">
              <w:rPr>
                <w:rFonts w:cs="Calibri"/>
                <w:szCs w:val="18"/>
              </w:rPr>
              <w:t>0.0202</w:t>
            </w:r>
          </w:p>
        </w:tc>
        <w:tc>
          <w:tcPr>
            <w:tcW w:w="2126" w:type="dxa"/>
          </w:tcPr>
          <w:p w14:paraId="3BEEE2AD" w14:textId="77777777" w:rsidR="00F43F02" w:rsidRPr="00ED1C7E" w:rsidRDefault="00F43F02" w:rsidP="00BF6F91">
            <w:pPr>
              <w:pStyle w:val="TableText"/>
              <w:spacing w:before="40" w:after="40"/>
              <w:rPr>
                <w:rFonts w:cs="Calibri"/>
                <w:szCs w:val="18"/>
              </w:rPr>
            </w:pPr>
            <w:r w:rsidRPr="00ED1C7E">
              <w:rPr>
                <w:rFonts w:cs="Calibri"/>
                <w:szCs w:val="18"/>
              </w:rPr>
              <w:t>0.0174</w:t>
            </w:r>
          </w:p>
        </w:tc>
      </w:tr>
      <w:tr w:rsidR="00F43F02" w:rsidRPr="00ED1C7E" w14:paraId="50E8C627" w14:textId="77777777" w:rsidTr="00BF6F91">
        <w:tc>
          <w:tcPr>
            <w:tcW w:w="1843" w:type="dxa"/>
          </w:tcPr>
          <w:p w14:paraId="3F503C8C" w14:textId="77777777" w:rsidR="00F43F02" w:rsidRPr="00ED1C7E" w:rsidRDefault="00F43F02" w:rsidP="00BF6F91">
            <w:pPr>
              <w:pStyle w:val="TableText"/>
              <w:spacing w:before="40" w:after="40"/>
              <w:rPr>
                <w:rFonts w:cs="Calibri"/>
                <w:szCs w:val="18"/>
              </w:rPr>
            </w:pPr>
            <w:r w:rsidRPr="00ED1C7E">
              <w:rPr>
                <w:rFonts w:cs="Calibri"/>
                <w:szCs w:val="18"/>
              </w:rPr>
              <w:t>Kawerau KA24</w:t>
            </w:r>
          </w:p>
        </w:tc>
        <w:tc>
          <w:tcPr>
            <w:tcW w:w="1418" w:type="dxa"/>
          </w:tcPr>
          <w:p w14:paraId="042F935D" w14:textId="77777777" w:rsidR="00F43F02" w:rsidRPr="00ED1C7E" w:rsidRDefault="00F43F02" w:rsidP="00BF6F91">
            <w:pPr>
              <w:pStyle w:val="TableText"/>
              <w:spacing w:before="40" w:after="40"/>
              <w:rPr>
                <w:rFonts w:cs="Calibri"/>
                <w:szCs w:val="18"/>
              </w:rPr>
            </w:pPr>
            <w:r w:rsidRPr="00ED1C7E">
              <w:rPr>
                <w:rFonts w:cs="Calibri"/>
                <w:szCs w:val="18"/>
              </w:rPr>
              <w:t>Eastland</w:t>
            </w:r>
          </w:p>
        </w:tc>
        <w:tc>
          <w:tcPr>
            <w:tcW w:w="1559" w:type="dxa"/>
            <w:gridSpan w:val="2"/>
          </w:tcPr>
          <w:p w14:paraId="30351BB8" w14:textId="77777777" w:rsidR="00F43F02" w:rsidRPr="00ED1C7E" w:rsidRDefault="00F43F02" w:rsidP="00BF6F91">
            <w:pPr>
              <w:pStyle w:val="TableText"/>
              <w:spacing w:before="40" w:after="40"/>
              <w:rPr>
                <w:rFonts w:cs="Calibri"/>
                <w:szCs w:val="18"/>
              </w:rPr>
            </w:pPr>
            <w:r w:rsidRPr="00ED1C7E">
              <w:rPr>
                <w:rFonts w:cs="Calibri"/>
                <w:szCs w:val="18"/>
              </w:rPr>
              <w:t>ORC</w:t>
            </w:r>
          </w:p>
        </w:tc>
        <w:tc>
          <w:tcPr>
            <w:tcW w:w="1559" w:type="dxa"/>
          </w:tcPr>
          <w:p w14:paraId="00753FE2" w14:textId="77777777" w:rsidR="00F43F02" w:rsidRPr="00ED1C7E" w:rsidRDefault="00F43F02" w:rsidP="00BF6F91">
            <w:pPr>
              <w:pStyle w:val="TableText"/>
              <w:spacing w:before="40" w:after="40"/>
              <w:rPr>
                <w:rFonts w:cs="Calibri"/>
                <w:szCs w:val="18"/>
              </w:rPr>
            </w:pPr>
            <w:r w:rsidRPr="00ED1C7E">
              <w:rPr>
                <w:rFonts w:cs="Calibri"/>
                <w:szCs w:val="18"/>
              </w:rPr>
              <w:t>0.0202</w:t>
            </w:r>
          </w:p>
        </w:tc>
        <w:tc>
          <w:tcPr>
            <w:tcW w:w="2126" w:type="dxa"/>
          </w:tcPr>
          <w:p w14:paraId="2D207301" w14:textId="77777777" w:rsidR="00F43F02" w:rsidRPr="00ED1C7E" w:rsidRDefault="00F43F02" w:rsidP="00BF6F91">
            <w:pPr>
              <w:pStyle w:val="TableText"/>
              <w:spacing w:before="40" w:after="40"/>
              <w:rPr>
                <w:rFonts w:cs="Calibri"/>
                <w:szCs w:val="18"/>
              </w:rPr>
            </w:pPr>
            <w:r w:rsidRPr="00ED1C7E">
              <w:rPr>
                <w:rFonts w:cs="Calibri"/>
                <w:szCs w:val="18"/>
              </w:rPr>
              <w:t>0.0131</w:t>
            </w:r>
          </w:p>
        </w:tc>
      </w:tr>
      <w:tr w:rsidR="00F43F02" w:rsidRPr="00ED1C7E" w14:paraId="4D4AEC9D" w14:textId="77777777" w:rsidTr="00BF6F91">
        <w:tc>
          <w:tcPr>
            <w:tcW w:w="1843" w:type="dxa"/>
          </w:tcPr>
          <w:p w14:paraId="0D06B4E1" w14:textId="77777777" w:rsidR="00F43F02" w:rsidRPr="00ED1C7E" w:rsidRDefault="00F43F02" w:rsidP="00BF6F91">
            <w:pPr>
              <w:pStyle w:val="TableText"/>
              <w:spacing w:before="40" w:after="40"/>
              <w:rPr>
                <w:rFonts w:cs="Calibri"/>
                <w:szCs w:val="18"/>
              </w:rPr>
            </w:pPr>
            <w:r w:rsidRPr="00ED1C7E">
              <w:rPr>
                <w:rFonts w:cs="Calibri"/>
                <w:szCs w:val="18"/>
              </w:rPr>
              <w:t>Miraka Milk</w:t>
            </w:r>
          </w:p>
        </w:tc>
        <w:tc>
          <w:tcPr>
            <w:tcW w:w="1418" w:type="dxa"/>
          </w:tcPr>
          <w:p w14:paraId="5555CA58" w14:textId="77777777" w:rsidR="00F43F02" w:rsidRPr="00ED1C7E" w:rsidRDefault="00F43F02" w:rsidP="00BF6F91">
            <w:pPr>
              <w:pStyle w:val="TableText"/>
              <w:spacing w:before="40" w:after="40"/>
              <w:rPr>
                <w:rFonts w:cs="Calibri"/>
                <w:szCs w:val="18"/>
              </w:rPr>
            </w:pPr>
            <w:r w:rsidRPr="00ED1C7E">
              <w:rPr>
                <w:rFonts w:cs="Calibri"/>
                <w:szCs w:val="18"/>
              </w:rPr>
              <w:t>Tuaropaki Trust</w:t>
            </w:r>
          </w:p>
        </w:tc>
        <w:tc>
          <w:tcPr>
            <w:tcW w:w="1559" w:type="dxa"/>
            <w:gridSpan w:val="2"/>
          </w:tcPr>
          <w:p w14:paraId="57406B0F" w14:textId="10DEFFB8" w:rsidR="00F43F02" w:rsidRPr="00ED1C7E" w:rsidRDefault="00F43F02" w:rsidP="00BF6F91">
            <w:pPr>
              <w:pStyle w:val="TableText"/>
              <w:spacing w:before="40" w:after="40"/>
              <w:rPr>
                <w:rFonts w:cs="Calibri"/>
                <w:szCs w:val="18"/>
              </w:rPr>
            </w:pPr>
            <w:r w:rsidRPr="00ED1C7E">
              <w:rPr>
                <w:rFonts w:cs="Calibri"/>
                <w:szCs w:val="18"/>
              </w:rPr>
              <w:t xml:space="preserve">Direct </w:t>
            </w:r>
            <w:r w:rsidR="00AD0729" w:rsidRPr="00ED1C7E">
              <w:rPr>
                <w:rFonts w:cs="Calibri"/>
                <w:szCs w:val="18"/>
              </w:rPr>
              <w:t>u</w:t>
            </w:r>
            <w:r w:rsidRPr="00ED1C7E">
              <w:rPr>
                <w:rFonts w:cs="Calibri"/>
                <w:szCs w:val="18"/>
              </w:rPr>
              <w:t>se</w:t>
            </w:r>
          </w:p>
        </w:tc>
        <w:tc>
          <w:tcPr>
            <w:tcW w:w="1559" w:type="dxa"/>
          </w:tcPr>
          <w:p w14:paraId="5D57F72A" w14:textId="0910F434" w:rsidR="00F43F02" w:rsidRPr="00ED1C7E" w:rsidRDefault="00F43F02" w:rsidP="00BF6F91">
            <w:pPr>
              <w:pStyle w:val="TableText"/>
              <w:spacing w:before="40" w:after="40"/>
              <w:rPr>
                <w:rFonts w:cs="Calibri"/>
                <w:szCs w:val="18"/>
              </w:rPr>
            </w:pPr>
            <w:r w:rsidRPr="00ED1C7E">
              <w:rPr>
                <w:rFonts w:cs="Calibri"/>
                <w:szCs w:val="18"/>
              </w:rPr>
              <w:t>New</w:t>
            </w:r>
          </w:p>
        </w:tc>
        <w:tc>
          <w:tcPr>
            <w:tcW w:w="2126" w:type="dxa"/>
          </w:tcPr>
          <w:p w14:paraId="12B1E27F" w14:textId="77777777" w:rsidR="00F43F02" w:rsidRPr="00ED1C7E" w:rsidRDefault="00F43F02" w:rsidP="00BF6F91">
            <w:pPr>
              <w:pStyle w:val="TableText"/>
              <w:spacing w:before="40" w:after="40"/>
              <w:rPr>
                <w:rFonts w:cs="Calibri"/>
                <w:szCs w:val="18"/>
              </w:rPr>
            </w:pPr>
            <w:r w:rsidRPr="00ED1C7E">
              <w:rPr>
                <w:rFonts w:cs="Calibri"/>
                <w:szCs w:val="18"/>
              </w:rPr>
              <w:t>0.0053</w:t>
            </w:r>
          </w:p>
        </w:tc>
      </w:tr>
      <w:tr w:rsidR="00F43F02" w:rsidRPr="00ED1C7E" w14:paraId="246B4DE3" w14:textId="77777777" w:rsidTr="00BF6F91">
        <w:tc>
          <w:tcPr>
            <w:tcW w:w="1843" w:type="dxa"/>
          </w:tcPr>
          <w:p w14:paraId="4E643201" w14:textId="2C06EC4C" w:rsidR="00F43F02" w:rsidRPr="00ED1C7E" w:rsidRDefault="00F43F02" w:rsidP="00BF6F91">
            <w:pPr>
              <w:pStyle w:val="TableText"/>
              <w:spacing w:before="40" w:after="40"/>
              <w:rPr>
                <w:rFonts w:cs="Calibri"/>
                <w:szCs w:val="18"/>
              </w:rPr>
            </w:pPr>
            <w:r w:rsidRPr="00ED1C7E">
              <w:rPr>
                <w:rFonts w:cs="Calibri"/>
                <w:szCs w:val="18"/>
              </w:rPr>
              <w:t xml:space="preserve">Mokai I </w:t>
            </w:r>
            <w:r w:rsidR="00F60D09">
              <w:rPr>
                <w:rFonts w:cs="Calibri"/>
                <w:szCs w:val="18"/>
              </w:rPr>
              <w:t>and</w:t>
            </w:r>
            <w:r w:rsidRPr="00ED1C7E">
              <w:rPr>
                <w:rFonts w:cs="Calibri"/>
                <w:szCs w:val="18"/>
              </w:rPr>
              <w:t xml:space="preserve"> II</w:t>
            </w:r>
          </w:p>
        </w:tc>
        <w:tc>
          <w:tcPr>
            <w:tcW w:w="1418" w:type="dxa"/>
          </w:tcPr>
          <w:p w14:paraId="74DF2A93" w14:textId="77777777" w:rsidR="00F43F02" w:rsidRPr="00ED1C7E" w:rsidRDefault="00F43F02" w:rsidP="00BF6F91">
            <w:pPr>
              <w:pStyle w:val="TableText"/>
              <w:spacing w:before="40" w:after="40"/>
              <w:rPr>
                <w:rFonts w:cs="Calibri"/>
                <w:szCs w:val="18"/>
              </w:rPr>
            </w:pPr>
            <w:r w:rsidRPr="00ED1C7E">
              <w:rPr>
                <w:rFonts w:cs="Calibri"/>
                <w:szCs w:val="18"/>
              </w:rPr>
              <w:t>Mercury</w:t>
            </w:r>
          </w:p>
        </w:tc>
        <w:tc>
          <w:tcPr>
            <w:tcW w:w="1559" w:type="dxa"/>
            <w:gridSpan w:val="2"/>
          </w:tcPr>
          <w:p w14:paraId="30713DEB" w14:textId="77777777" w:rsidR="00F43F02" w:rsidRPr="00ED1C7E" w:rsidRDefault="00F43F02" w:rsidP="00BF6F91">
            <w:pPr>
              <w:pStyle w:val="TableText"/>
              <w:spacing w:before="40" w:after="40"/>
              <w:rPr>
                <w:rFonts w:cs="Calibri"/>
                <w:szCs w:val="18"/>
              </w:rPr>
            </w:pPr>
            <w:r w:rsidRPr="00ED1C7E">
              <w:rPr>
                <w:rFonts w:cs="Calibri"/>
                <w:szCs w:val="18"/>
              </w:rPr>
              <w:t>Combined</w:t>
            </w:r>
          </w:p>
        </w:tc>
        <w:tc>
          <w:tcPr>
            <w:tcW w:w="1559" w:type="dxa"/>
          </w:tcPr>
          <w:p w14:paraId="0361253C" w14:textId="77777777" w:rsidR="00F43F02" w:rsidRPr="00ED1C7E" w:rsidRDefault="00F43F02" w:rsidP="00BF6F91">
            <w:pPr>
              <w:pStyle w:val="TableText"/>
              <w:spacing w:before="40" w:after="40"/>
              <w:rPr>
                <w:rFonts w:cs="Calibri"/>
                <w:szCs w:val="18"/>
              </w:rPr>
            </w:pPr>
            <w:r w:rsidRPr="00ED1C7E">
              <w:rPr>
                <w:rFonts w:cs="Calibri"/>
                <w:szCs w:val="18"/>
              </w:rPr>
              <w:t>0.0053</w:t>
            </w:r>
          </w:p>
        </w:tc>
        <w:tc>
          <w:tcPr>
            <w:tcW w:w="2126" w:type="dxa"/>
          </w:tcPr>
          <w:p w14:paraId="40DE1F80" w14:textId="77777777" w:rsidR="00F43F02" w:rsidRPr="00ED1C7E" w:rsidRDefault="00F43F02" w:rsidP="00BF6F91">
            <w:pPr>
              <w:pStyle w:val="TableText"/>
              <w:spacing w:before="40" w:after="40"/>
              <w:rPr>
                <w:rFonts w:cs="Calibri"/>
                <w:szCs w:val="18"/>
              </w:rPr>
            </w:pPr>
            <w:r w:rsidRPr="00ED1C7E">
              <w:rPr>
                <w:rFonts w:cs="Calibri"/>
                <w:szCs w:val="18"/>
              </w:rPr>
              <w:t>0.0046</w:t>
            </w:r>
          </w:p>
        </w:tc>
      </w:tr>
      <w:tr w:rsidR="00F43F02" w:rsidRPr="00ED1C7E" w14:paraId="387B78DD" w14:textId="77777777" w:rsidTr="00BF6F91">
        <w:tc>
          <w:tcPr>
            <w:tcW w:w="1843" w:type="dxa"/>
          </w:tcPr>
          <w:p w14:paraId="4397D5E1" w14:textId="302E598D" w:rsidR="00F43F02" w:rsidRPr="00ED1C7E" w:rsidRDefault="00F43F02" w:rsidP="00BF6F91">
            <w:pPr>
              <w:pStyle w:val="TableText"/>
              <w:spacing w:before="40" w:after="40"/>
              <w:rPr>
                <w:rFonts w:cs="Calibri"/>
                <w:szCs w:val="18"/>
              </w:rPr>
            </w:pPr>
            <w:r w:rsidRPr="00ED1C7E">
              <w:rPr>
                <w:rFonts w:cs="Calibri"/>
                <w:szCs w:val="18"/>
              </w:rPr>
              <w:t>N</w:t>
            </w:r>
            <w:r w:rsidR="00DD3E4E" w:rsidRPr="00ED1C7E">
              <w:rPr>
                <w:rFonts w:cs="Calibri"/>
                <w:szCs w:val="18"/>
              </w:rPr>
              <w:t>g</w:t>
            </w:r>
            <w:r w:rsidRPr="00ED1C7E">
              <w:rPr>
                <w:rFonts w:cs="Calibri"/>
                <w:szCs w:val="18"/>
              </w:rPr>
              <w:t>a Awa P</w:t>
            </w:r>
            <w:r w:rsidR="00DD3E4E" w:rsidRPr="00ED1C7E">
              <w:rPr>
                <w:rFonts w:cs="Calibri"/>
                <w:szCs w:val="18"/>
              </w:rPr>
              <w:t>u</w:t>
            </w:r>
            <w:r w:rsidRPr="00ED1C7E">
              <w:rPr>
                <w:rFonts w:cs="Calibri"/>
                <w:szCs w:val="18"/>
              </w:rPr>
              <w:t>rua</w:t>
            </w:r>
          </w:p>
        </w:tc>
        <w:tc>
          <w:tcPr>
            <w:tcW w:w="1418" w:type="dxa"/>
          </w:tcPr>
          <w:p w14:paraId="32F4FF77" w14:textId="77777777" w:rsidR="00F43F02" w:rsidRPr="00ED1C7E" w:rsidRDefault="00F43F02" w:rsidP="00BF6F91">
            <w:pPr>
              <w:pStyle w:val="TableText"/>
              <w:spacing w:before="40" w:after="40"/>
              <w:rPr>
                <w:rFonts w:cs="Calibri"/>
                <w:szCs w:val="18"/>
              </w:rPr>
            </w:pPr>
            <w:r w:rsidRPr="00ED1C7E">
              <w:rPr>
                <w:rFonts w:cs="Calibri"/>
                <w:szCs w:val="18"/>
              </w:rPr>
              <w:t>Mercury</w:t>
            </w:r>
          </w:p>
        </w:tc>
        <w:tc>
          <w:tcPr>
            <w:tcW w:w="1559" w:type="dxa"/>
            <w:gridSpan w:val="2"/>
          </w:tcPr>
          <w:p w14:paraId="7BF95331" w14:textId="7B5ECE96" w:rsidR="00F43F02" w:rsidRPr="00ED1C7E" w:rsidRDefault="00F43F02" w:rsidP="00BF6F91">
            <w:pPr>
              <w:pStyle w:val="TableText"/>
              <w:spacing w:before="40" w:after="40"/>
              <w:rPr>
                <w:rFonts w:cs="Calibri"/>
                <w:szCs w:val="18"/>
              </w:rPr>
            </w:pPr>
            <w:r w:rsidRPr="00ED1C7E">
              <w:rPr>
                <w:rFonts w:cs="Calibri"/>
                <w:szCs w:val="18"/>
              </w:rPr>
              <w:t xml:space="preserve">Flash </w:t>
            </w:r>
            <w:r w:rsidR="00AD0729" w:rsidRPr="00ED1C7E">
              <w:rPr>
                <w:rFonts w:cs="Calibri"/>
                <w:szCs w:val="18"/>
              </w:rPr>
              <w:t>p</w:t>
            </w:r>
            <w:r w:rsidRPr="00ED1C7E">
              <w:rPr>
                <w:rFonts w:cs="Calibri"/>
                <w:szCs w:val="18"/>
              </w:rPr>
              <w:t>lant</w:t>
            </w:r>
          </w:p>
        </w:tc>
        <w:tc>
          <w:tcPr>
            <w:tcW w:w="1559" w:type="dxa"/>
          </w:tcPr>
          <w:p w14:paraId="26F96C46" w14:textId="77777777" w:rsidR="00F43F02" w:rsidRPr="00ED1C7E" w:rsidRDefault="00F43F02" w:rsidP="00BF6F91">
            <w:pPr>
              <w:pStyle w:val="TableText"/>
              <w:spacing w:before="40" w:after="40"/>
              <w:rPr>
                <w:rFonts w:cs="Calibri"/>
                <w:szCs w:val="18"/>
              </w:rPr>
            </w:pPr>
            <w:r w:rsidRPr="00ED1C7E">
              <w:rPr>
                <w:rFonts w:cs="Calibri"/>
                <w:szCs w:val="18"/>
              </w:rPr>
              <w:t>0.0181</w:t>
            </w:r>
          </w:p>
        </w:tc>
        <w:tc>
          <w:tcPr>
            <w:tcW w:w="2126" w:type="dxa"/>
          </w:tcPr>
          <w:p w14:paraId="49BB7B71" w14:textId="77777777" w:rsidR="00F43F02" w:rsidRPr="00ED1C7E" w:rsidRDefault="00F43F02" w:rsidP="00BF6F91">
            <w:pPr>
              <w:pStyle w:val="TableText"/>
              <w:spacing w:before="40" w:after="40"/>
              <w:rPr>
                <w:rFonts w:cs="Calibri"/>
                <w:szCs w:val="18"/>
              </w:rPr>
            </w:pPr>
            <w:r w:rsidRPr="00ED1C7E">
              <w:rPr>
                <w:rFonts w:cs="Calibri"/>
                <w:szCs w:val="18"/>
              </w:rPr>
              <w:t>0.0082</w:t>
            </w:r>
          </w:p>
        </w:tc>
      </w:tr>
      <w:tr w:rsidR="00F43F02" w:rsidRPr="00ED1C7E" w14:paraId="41655FED" w14:textId="77777777" w:rsidTr="00BF6F91">
        <w:tc>
          <w:tcPr>
            <w:tcW w:w="1843" w:type="dxa"/>
          </w:tcPr>
          <w:p w14:paraId="73D895D1" w14:textId="63469B8B" w:rsidR="00F43F02" w:rsidRPr="00ED1C7E" w:rsidRDefault="00F43F02" w:rsidP="00BF6F91">
            <w:pPr>
              <w:pStyle w:val="TableText"/>
              <w:spacing w:before="40" w:after="40"/>
              <w:rPr>
                <w:rFonts w:cs="Calibri"/>
                <w:szCs w:val="18"/>
              </w:rPr>
            </w:pPr>
            <w:r w:rsidRPr="00ED1C7E">
              <w:rPr>
                <w:rFonts w:cs="Calibri"/>
                <w:szCs w:val="18"/>
              </w:rPr>
              <w:t>Ng</w:t>
            </w:r>
            <w:r w:rsidR="00172FAE" w:rsidRPr="00ED1C7E">
              <w:rPr>
                <w:rFonts w:cs="Calibri"/>
                <w:szCs w:val="18"/>
              </w:rPr>
              <w:t>āw</w:t>
            </w:r>
            <w:r w:rsidRPr="00ED1C7E">
              <w:rPr>
                <w:rFonts w:cs="Calibri"/>
                <w:szCs w:val="18"/>
              </w:rPr>
              <w:t>h</w:t>
            </w:r>
            <w:r w:rsidR="00172FAE" w:rsidRPr="00ED1C7E">
              <w:rPr>
                <w:rFonts w:cs="Calibri"/>
                <w:szCs w:val="18"/>
              </w:rPr>
              <w:t>ā</w:t>
            </w:r>
            <w:r w:rsidRPr="00ED1C7E">
              <w:rPr>
                <w:rFonts w:cs="Calibri"/>
                <w:szCs w:val="18"/>
              </w:rPr>
              <w:t xml:space="preserve"> I </w:t>
            </w:r>
            <w:r w:rsidR="00F60D09">
              <w:rPr>
                <w:rFonts w:cs="Calibri"/>
                <w:szCs w:val="18"/>
              </w:rPr>
              <w:t>and</w:t>
            </w:r>
            <w:r w:rsidRPr="00ED1C7E">
              <w:rPr>
                <w:rFonts w:cs="Calibri"/>
                <w:szCs w:val="18"/>
              </w:rPr>
              <w:t xml:space="preserve"> II</w:t>
            </w:r>
          </w:p>
        </w:tc>
        <w:tc>
          <w:tcPr>
            <w:tcW w:w="1418" w:type="dxa"/>
          </w:tcPr>
          <w:p w14:paraId="56F86378" w14:textId="77777777" w:rsidR="00F43F02" w:rsidRPr="00ED1C7E" w:rsidRDefault="00F43F02" w:rsidP="00BF6F91">
            <w:pPr>
              <w:pStyle w:val="TableText"/>
              <w:spacing w:before="40" w:after="40"/>
              <w:rPr>
                <w:rFonts w:cs="Calibri"/>
                <w:szCs w:val="18"/>
              </w:rPr>
            </w:pPr>
            <w:r w:rsidRPr="00ED1C7E">
              <w:rPr>
                <w:rFonts w:cs="Calibri"/>
                <w:szCs w:val="18"/>
              </w:rPr>
              <w:t>NGL</w:t>
            </w:r>
          </w:p>
        </w:tc>
        <w:tc>
          <w:tcPr>
            <w:tcW w:w="1559" w:type="dxa"/>
            <w:gridSpan w:val="2"/>
          </w:tcPr>
          <w:p w14:paraId="120CC5D8" w14:textId="77777777" w:rsidR="00F43F02" w:rsidRPr="00ED1C7E" w:rsidRDefault="00F43F02" w:rsidP="00BF6F91">
            <w:pPr>
              <w:pStyle w:val="TableText"/>
              <w:spacing w:before="40" w:after="40"/>
              <w:rPr>
                <w:rFonts w:cs="Calibri"/>
                <w:szCs w:val="18"/>
              </w:rPr>
            </w:pPr>
            <w:r w:rsidRPr="00ED1C7E">
              <w:rPr>
                <w:rFonts w:cs="Calibri"/>
                <w:szCs w:val="18"/>
              </w:rPr>
              <w:t>ORC</w:t>
            </w:r>
          </w:p>
        </w:tc>
        <w:tc>
          <w:tcPr>
            <w:tcW w:w="1559" w:type="dxa"/>
          </w:tcPr>
          <w:p w14:paraId="0F0E9B61" w14:textId="77777777" w:rsidR="00F43F02" w:rsidRPr="00ED1C7E" w:rsidRDefault="00F43F02" w:rsidP="00BF6F91">
            <w:pPr>
              <w:pStyle w:val="TableText"/>
              <w:spacing w:before="40" w:after="40"/>
              <w:rPr>
                <w:rFonts w:cs="Calibri"/>
                <w:szCs w:val="18"/>
              </w:rPr>
            </w:pPr>
            <w:r w:rsidRPr="00ED1C7E">
              <w:rPr>
                <w:rFonts w:cs="Calibri"/>
                <w:szCs w:val="18"/>
              </w:rPr>
              <w:t>0.0930</w:t>
            </w:r>
          </w:p>
        </w:tc>
        <w:tc>
          <w:tcPr>
            <w:tcW w:w="2126" w:type="dxa"/>
          </w:tcPr>
          <w:p w14:paraId="3E6B9CA6" w14:textId="63D9787B" w:rsidR="00F43F02" w:rsidRPr="00ED1C7E" w:rsidRDefault="00F43F02" w:rsidP="00BF6F91">
            <w:pPr>
              <w:pStyle w:val="TableText"/>
              <w:spacing w:before="40" w:after="40"/>
              <w:rPr>
                <w:rFonts w:cs="Calibri"/>
                <w:szCs w:val="18"/>
              </w:rPr>
            </w:pPr>
            <w:r w:rsidRPr="00ED1C7E">
              <w:rPr>
                <w:rFonts w:cs="Calibri"/>
                <w:szCs w:val="18"/>
              </w:rPr>
              <w:t>0.</w:t>
            </w:r>
            <w:r w:rsidR="00E12926" w:rsidRPr="00ED1C7E">
              <w:rPr>
                <w:rFonts w:cs="Calibri"/>
                <w:szCs w:val="18"/>
              </w:rPr>
              <w:t>0</w:t>
            </w:r>
            <w:r w:rsidR="00E12926">
              <w:rPr>
                <w:rFonts w:cs="Calibri"/>
                <w:szCs w:val="18"/>
              </w:rPr>
              <w:t>555</w:t>
            </w:r>
          </w:p>
        </w:tc>
      </w:tr>
      <w:tr w:rsidR="00F43F02" w:rsidRPr="00ED1C7E" w14:paraId="1736C51E" w14:textId="77777777" w:rsidTr="00BF6F91">
        <w:tc>
          <w:tcPr>
            <w:tcW w:w="1843" w:type="dxa"/>
          </w:tcPr>
          <w:p w14:paraId="691DD5D8" w14:textId="23748D49" w:rsidR="00F43F02" w:rsidRPr="00ED1C7E" w:rsidRDefault="00F43F02" w:rsidP="00BF6F91">
            <w:pPr>
              <w:pStyle w:val="TableText"/>
              <w:spacing w:before="40" w:after="40"/>
              <w:rPr>
                <w:rFonts w:cs="Calibri"/>
                <w:szCs w:val="18"/>
              </w:rPr>
            </w:pPr>
            <w:r w:rsidRPr="00ED1C7E">
              <w:rPr>
                <w:rFonts w:cs="Calibri"/>
                <w:szCs w:val="18"/>
              </w:rPr>
              <w:t>Ng</w:t>
            </w:r>
            <w:r w:rsidR="00236554" w:rsidRPr="00ED1C7E">
              <w:rPr>
                <w:rFonts w:cs="Calibri"/>
                <w:szCs w:val="18"/>
              </w:rPr>
              <w:t>āw</w:t>
            </w:r>
            <w:r w:rsidRPr="00ED1C7E">
              <w:rPr>
                <w:rFonts w:cs="Calibri"/>
                <w:szCs w:val="18"/>
              </w:rPr>
              <w:t>h</w:t>
            </w:r>
            <w:r w:rsidR="00236554" w:rsidRPr="00ED1C7E">
              <w:rPr>
                <w:rFonts w:cs="Calibri"/>
                <w:szCs w:val="18"/>
              </w:rPr>
              <w:t>ā</w:t>
            </w:r>
            <w:r w:rsidRPr="00ED1C7E">
              <w:rPr>
                <w:rFonts w:cs="Calibri"/>
                <w:szCs w:val="18"/>
              </w:rPr>
              <w:t xml:space="preserve"> III</w:t>
            </w:r>
          </w:p>
        </w:tc>
        <w:tc>
          <w:tcPr>
            <w:tcW w:w="1418" w:type="dxa"/>
          </w:tcPr>
          <w:p w14:paraId="38A1BC00" w14:textId="77777777" w:rsidR="00F43F02" w:rsidRPr="00ED1C7E" w:rsidRDefault="00F43F02" w:rsidP="00BF6F91">
            <w:pPr>
              <w:pStyle w:val="TableText"/>
              <w:spacing w:before="40" w:after="40"/>
              <w:rPr>
                <w:rFonts w:cs="Calibri"/>
                <w:szCs w:val="18"/>
              </w:rPr>
            </w:pPr>
            <w:r w:rsidRPr="00ED1C7E">
              <w:rPr>
                <w:rFonts w:cs="Calibri"/>
                <w:szCs w:val="18"/>
              </w:rPr>
              <w:t>NGL</w:t>
            </w:r>
          </w:p>
        </w:tc>
        <w:tc>
          <w:tcPr>
            <w:tcW w:w="1559" w:type="dxa"/>
            <w:gridSpan w:val="2"/>
          </w:tcPr>
          <w:p w14:paraId="2FB6217F" w14:textId="77777777" w:rsidR="00F43F02" w:rsidRPr="00ED1C7E" w:rsidRDefault="00F43F02" w:rsidP="00BF6F91">
            <w:pPr>
              <w:pStyle w:val="TableText"/>
              <w:spacing w:before="40" w:after="40"/>
              <w:rPr>
                <w:rFonts w:cs="Calibri"/>
                <w:szCs w:val="18"/>
              </w:rPr>
            </w:pPr>
            <w:r w:rsidRPr="00ED1C7E">
              <w:rPr>
                <w:rFonts w:cs="Calibri"/>
                <w:szCs w:val="18"/>
              </w:rPr>
              <w:t>ORC</w:t>
            </w:r>
          </w:p>
        </w:tc>
        <w:tc>
          <w:tcPr>
            <w:tcW w:w="1559" w:type="dxa"/>
          </w:tcPr>
          <w:p w14:paraId="792FC246" w14:textId="6A75176D" w:rsidR="00F43F02" w:rsidRPr="00ED1C7E" w:rsidRDefault="00F43F02" w:rsidP="00BF6F91">
            <w:pPr>
              <w:pStyle w:val="TableText"/>
              <w:spacing w:before="40" w:after="40"/>
              <w:rPr>
                <w:rFonts w:cs="Calibri"/>
                <w:szCs w:val="18"/>
              </w:rPr>
            </w:pPr>
            <w:r w:rsidRPr="00ED1C7E">
              <w:rPr>
                <w:rFonts w:cs="Calibri"/>
                <w:szCs w:val="18"/>
              </w:rPr>
              <w:t>New</w:t>
            </w:r>
          </w:p>
        </w:tc>
        <w:tc>
          <w:tcPr>
            <w:tcW w:w="2126" w:type="dxa"/>
          </w:tcPr>
          <w:p w14:paraId="383D0006" w14:textId="28F00550" w:rsidR="00F43F02" w:rsidRPr="00ED1C7E" w:rsidRDefault="000D2DBC" w:rsidP="00BF6F91">
            <w:pPr>
              <w:pStyle w:val="TableText"/>
              <w:spacing w:before="40" w:after="40"/>
              <w:rPr>
                <w:rFonts w:cs="Calibri"/>
                <w:szCs w:val="18"/>
              </w:rPr>
            </w:pPr>
            <w:r>
              <w:rPr>
                <w:rFonts w:cs="Calibri"/>
                <w:szCs w:val="18"/>
              </w:rPr>
              <w:t>0.0655</w:t>
            </w:r>
          </w:p>
        </w:tc>
      </w:tr>
      <w:tr w:rsidR="00F43F02" w:rsidRPr="00ED1C7E" w14:paraId="01ADEA6C" w14:textId="77777777" w:rsidTr="00BF6F91">
        <w:tc>
          <w:tcPr>
            <w:tcW w:w="1843" w:type="dxa"/>
          </w:tcPr>
          <w:p w14:paraId="549FD17A" w14:textId="209AE004" w:rsidR="00F43F02" w:rsidRPr="00ED1C7E" w:rsidRDefault="005B5465" w:rsidP="00BF6F91">
            <w:pPr>
              <w:pStyle w:val="TableText"/>
              <w:spacing w:before="40" w:after="40"/>
              <w:rPr>
                <w:rFonts w:cs="Calibri"/>
                <w:szCs w:val="18"/>
              </w:rPr>
            </w:pPr>
            <w:r w:rsidRPr="00ED1C7E">
              <w:rPr>
                <w:rFonts w:cs="Calibri"/>
                <w:szCs w:val="18"/>
              </w:rPr>
              <w:t>Ng</w:t>
            </w:r>
            <w:r w:rsidR="00A0182D" w:rsidRPr="00ED1C7E">
              <w:rPr>
                <w:rFonts w:cs="Calibri"/>
                <w:szCs w:val="18"/>
              </w:rPr>
              <w:t>ā T</w:t>
            </w:r>
            <w:r w:rsidRPr="00ED1C7E">
              <w:rPr>
                <w:rFonts w:cs="Calibri"/>
                <w:szCs w:val="18"/>
              </w:rPr>
              <w:t>amariki</w:t>
            </w:r>
          </w:p>
        </w:tc>
        <w:tc>
          <w:tcPr>
            <w:tcW w:w="1418" w:type="dxa"/>
          </w:tcPr>
          <w:p w14:paraId="12341A07" w14:textId="77777777" w:rsidR="00F43F02" w:rsidRPr="00ED1C7E" w:rsidRDefault="00F43F02" w:rsidP="00BF6F91">
            <w:pPr>
              <w:pStyle w:val="TableText"/>
              <w:spacing w:before="40" w:after="40"/>
              <w:rPr>
                <w:rFonts w:cs="Calibri"/>
                <w:szCs w:val="18"/>
              </w:rPr>
            </w:pPr>
            <w:r w:rsidRPr="00ED1C7E">
              <w:rPr>
                <w:rFonts w:cs="Calibri"/>
                <w:szCs w:val="18"/>
              </w:rPr>
              <w:t>Mercury</w:t>
            </w:r>
          </w:p>
        </w:tc>
        <w:tc>
          <w:tcPr>
            <w:tcW w:w="1559" w:type="dxa"/>
            <w:gridSpan w:val="2"/>
          </w:tcPr>
          <w:p w14:paraId="73D736D0" w14:textId="77777777" w:rsidR="00F43F02" w:rsidRPr="00ED1C7E" w:rsidRDefault="00F43F02" w:rsidP="00BF6F91">
            <w:pPr>
              <w:pStyle w:val="TableText"/>
              <w:spacing w:before="40" w:after="40"/>
              <w:rPr>
                <w:rFonts w:cs="Calibri"/>
                <w:szCs w:val="18"/>
              </w:rPr>
            </w:pPr>
            <w:r w:rsidRPr="00ED1C7E">
              <w:rPr>
                <w:rFonts w:cs="Calibri"/>
                <w:szCs w:val="18"/>
              </w:rPr>
              <w:t>Combined</w:t>
            </w:r>
          </w:p>
        </w:tc>
        <w:tc>
          <w:tcPr>
            <w:tcW w:w="1559" w:type="dxa"/>
          </w:tcPr>
          <w:p w14:paraId="225EB337" w14:textId="291094B4" w:rsidR="00F43F02" w:rsidRPr="00ED1C7E" w:rsidRDefault="00F43F02" w:rsidP="00BF6F91">
            <w:pPr>
              <w:pStyle w:val="TableText"/>
              <w:spacing w:before="40" w:after="40"/>
              <w:rPr>
                <w:rFonts w:cs="Calibri"/>
                <w:szCs w:val="18"/>
              </w:rPr>
            </w:pPr>
            <w:r w:rsidRPr="00ED1C7E">
              <w:rPr>
                <w:rFonts w:cs="Calibri"/>
                <w:szCs w:val="18"/>
              </w:rPr>
              <w:t>New</w:t>
            </w:r>
          </w:p>
        </w:tc>
        <w:tc>
          <w:tcPr>
            <w:tcW w:w="2126" w:type="dxa"/>
          </w:tcPr>
          <w:p w14:paraId="260DFCF4" w14:textId="77777777" w:rsidR="00F43F02" w:rsidRPr="00ED1C7E" w:rsidRDefault="00F43F02" w:rsidP="00BF6F91">
            <w:pPr>
              <w:pStyle w:val="TableText"/>
              <w:spacing w:before="40" w:after="40"/>
              <w:rPr>
                <w:rFonts w:cs="Calibri"/>
                <w:szCs w:val="18"/>
              </w:rPr>
            </w:pPr>
            <w:r w:rsidRPr="00ED1C7E">
              <w:rPr>
                <w:rFonts w:cs="Calibri"/>
                <w:szCs w:val="18"/>
              </w:rPr>
              <w:t>0.0091</w:t>
            </w:r>
          </w:p>
        </w:tc>
      </w:tr>
      <w:tr w:rsidR="00F43F02" w:rsidRPr="00ED1C7E" w14:paraId="7C093198" w14:textId="77777777" w:rsidTr="00BF6F91">
        <w:tc>
          <w:tcPr>
            <w:tcW w:w="1843" w:type="dxa"/>
          </w:tcPr>
          <w:p w14:paraId="0806D32E" w14:textId="77777777" w:rsidR="00F43F02" w:rsidRPr="00ED1C7E" w:rsidRDefault="00F43F02" w:rsidP="00BF6F91">
            <w:pPr>
              <w:pStyle w:val="TableText"/>
              <w:spacing w:before="40" w:after="40"/>
              <w:rPr>
                <w:rFonts w:cs="Calibri"/>
                <w:szCs w:val="18"/>
              </w:rPr>
            </w:pPr>
            <w:r w:rsidRPr="00ED1C7E">
              <w:rPr>
                <w:rFonts w:cs="Calibri"/>
                <w:szCs w:val="18"/>
              </w:rPr>
              <w:t>Ohaaki</w:t>
            </w:r>
          </w:p>
        </w:tc>
        <w:tc>
          <w:tcPr>
            <w:tcW w:w="1418" w:type="dxa"/>
          </w:tcPr>
          <w:p w14:paraId="08E04A0F" w14:textId="77777777" w:rsidR="00F43F02" w:rsidRPr="00ED1C7E" w:rsidRDefault="00F43F02" w:rsidP="00BF6F91">
            <w:pPr>
              <w:pStyle w:val="TableText"/>
              <w:spacing w:before="40" w:after="40"/>
              <w:rPr>
                <w:rFonts w:cs="Calibri"/>
                <w:szCs w:val="18"/>
              </w:rPr>
            </w:pPr>
            <w:r w:rsidRPr="00ED1C7E">
              <w:rPr>
                <w:rFonts w:cs="Calibri"/>
                <w:szCs w:val="18"/>
              </w:rPr>
              <w:t>Contact</w:t>
            </w:r>
          </w:p>
        </w:tc>
        <w:tc>
          <w:tcPr>
            <w:tcW w:w="1559" w:type="dxa"/>
            <w:gridSpan w:val="2"/>
          </w:tcPr>
          <w:p w14:paraId="1F85CA5A" w14:textId="48649D1B" w:rsidR="00F43F02" w:rsidRPr="00ED1C7E" w:rsidRDefault="00F43F02" w:rsidP="00BF6F91">
            <w:pPr>
              <w:pStyle w:val="TableText"/>
              <w:spacing w:before="40" w:after="40"/>
              <w:rPr>
                <w:rFonts w:cs="Calibri"/>
                <w:szCs w:val="18"/>
              </w:rPr>
            </w:pPr>
            <w:r w:rsidRPr="00ED1C7E">
              <w:rPr>
                <w:rFonts w:cs="Calibri"/>
                <w:szCs w:val="18"/>
              </w:rPr>
              <w:t xml:space="preserve">Flash </w:t>
            </w:r>
            <w:r w:rsidR="00AD0729" w:rsidRPr="00ED1C7E">
              <w:rPr>
                <w:rFonts w:cs="Calibri"/>
                <w:szCs w:val="18"/>
              </w:rPr>
              <w:t>p</w:t>
            </w:r>
            <w:r w:rsidRPr="00ED1C7E">
              <w:rPr>
                <w:rFonts w:cs="Calibri"/>
                <w:szCs w:val="18"/>
              </w:rPr>
              <w:t>lant</w:t>
            </w:r>
          </w:p>
        </w:tc>
        <w:tc>
          <w:tcPr>
            <w:tcW w:w="1559" w:type="dxa"/>
          </w:tcPr>
          <w:p w14:paraId="6AB0B005" w14:textId="77777777" w:rsidR="00F43F02" w:rsidRPr="00ED1C7E" w:rsidRDefault="00F43F02" w:rsidP="00BF6F91">
            <w:pPr>
              <w:pStyle w:val="TableText"/>
              <w:spacing w:before="40" w:after="40"/>
              <w:rPr>
                <w:rFonts w:cs="Calibri"/>
                <w:szCs w:val="18"/>
              </w:rPr>
            </w:pPr>
            <w:r w:rsidRPr="00ED1C7E">
              <w:rPr>
                <w:rFonts w:cs="Calibri"/>
                <w:szCs w:val="18"/>
              </w:rPr>
              <w:t>0.0604</w:t>
            </w:r>
          </w:p>
        </w:tc>
        <w:tc>
          <w:tcPr>
            <w:tcW w:w="2126" w:type="dxa"/>
          </w:tcPr>
          <w:p w14:paraId="175D9426" w14:textId="77777777" w:rsidR="00F43F02" w:rsidRPr="00ED1C7E" w:rsidRDefault="00F43F02" w:rsidP="00BF6F91">
            <w:pPr>
              <w:pStyle w:val="TableText"/>
              <w:spacing w:before="40" w:after="40"/>
              <w:rPr>
                <w:rFonts w:cs="Calibri"/>
                <w:szCs w:val="18"/>
              </w:rPr>
            </w:pPr>
            <w:r w:rsidRPr="00ED1C7E">
              <w:rPr>
                <w:rFonts w:cs="Calibri"/>
                <w:szCs w:val="18"/>
              </w:rPr>
              <w:t>0.0320</w:t>
            </w:r>
          </w:p>
        </w:tc>
      </w:tr>
      <w:tr w:rsidR="00F43F02" w:rsidRPr="00ED1C7E" w14:paraId="74BD3129" w14:textId="77777777" w:rsidTr="00BF6F91">
        <w:tc>
          <w:tcPr>
            <w:tcW w:w="1843" w:type="dxa"/>
          </w:tcPr>
          <w:p w14:paraId="07C0927A" w14:textId="77777777" w:rsidR="00F43F02" w:rsidRPr="00ED1C7E" w:rsidRDefault="00F43F02" w:rsidP="00BF6F91">
            <w:pPr>
              <w:pStyle w:val="TableText"/>
              <w:spacing w:before="40" w:after="40"/>
              <w:rPr>
                <w:rFonts w:cs="Calibri"/>
                <w:szCs w:val="18"/>
              </w:rPr>
            </w:pPr>
            <w:r w:rsidRPr="00ED1C7E">
              <w:rPr>
                <w:rFonts w:cs="Calibri"/>
                <w:szCs w:val="18"/>
              </w:rPr>
              <w:t>Poihipi Road</w:t>
            </w:r>
          </w:p>
        </w:tc>
        <w:tc>
          <w:tcPr>
            <w:tcW w:w="1418" w:type="dxa"/>
          </w:tcPr>
          <w:p w14:paraId="01C00859" w14:textId="77777777" w:rsidR="00F43F02" w:rsidRPr="00ED1C7E" w:rsidRDefault="00F43F02" w:rsidP="00BF6F91">
            <w:pPr>
              <w:pStyle w:val="TableText"/>
              <w:spacing w:before="40" w:after="40"/>
              <w:rPr>
                <w:rFonts w:cs="Calibri"/>
                <w:szCs w:val="18"/>
              </w:rPr>
            </w:pPr>
            <w:r w:rsidRPr="00ED1C7E">
              <w:rPr>
                <w:rFonts w:cs="Calibri"/>
                <w:szCs w:val="18"/>
              </w:rPr>
              <w:t>Contact</w:t>
            </w:r>
          </w:p>
        </w:tc>
        <w:tc>
          <w:tcPr>
            <w:tcW w:w="1559" w:type="dxa"/>
            <w:gridSpan w:val="2"/>
          </w:tcPr>
          <w:p w14:paraId="3F0CF062" w14:textId="2773D398" w:rsidR="00F43F02" w:rsidRPr="00ED1C7E" w:rsidRDefault="00F43F02" w:rsidP="00BF6F91">
            <w:pPr>
              <w:pStyle w:val="TableText"/>
              <w:spacing w:before="40" w:after="40"/>
              <w:rPr>
                <w:rFonts w:cs="Calibri"/>
                <w:szCs w:val="18"/>
              </w:rPr>
            </w:pPr>
            <w:r w:rsidRPr="00ED1C7E">
              <w:rPr>
                <w:rFonts w:cs="Calibri"/>
                <w:szCs w:val="18"/>
              </w:rPr>
              <w:t xml:space="preserve">Flash </w:t>
            </w:r>
            <w:r w:rsidR="00AD0729" w:rsidRPr="00ED1C7E">
              <w:rPr>
                <w:rFonts w:cs="Calibri"/>
                <w:szCs w:val="18"/>
              </w:rPr>
              <w:t>p</w:t>
            </w:r>
            <w:r w:rsidRPr="00ED1C7E">
              <w:rPr>
                <w:rFonts w:cs="Calibri"/>
                <w:szCs w:val="18"/>
              </w:rPr>
              <w:t>lant</w:t>
            </w:r>
          </w:p>
        </w:tc>
        <w:tc>
          <w:tcPr>
            <w:tcW w:w="1559" w:type="dxa"/>
          </w:tcPr>
          <w:p w14:paraId="6E6EC654" w14:textId="77777777" w:rsidR="00F43F02" w:rsidRPr="00ED1C7E" w:rsidRDefault="00F43F02" w:rsidP="00BF6F91">
            <w:pPr>
              <w:pStyle w:val="TableText"/>
              <w:spacing w:before="40" w:after="40"/>
              <w:rPr>
                <w:rFonts w:cs="Calibri"/>
                <w:szCs w:val="18"/>
              </w:rPr>
            </w:pPr>
            <w:r w:rsidRPr="00ED1C7E">
              <w:rPr>
                <w:rFonts w:cs="Calibri"/>
                <w:szCs w:val="18"/>
              </w:rPr>
              <w:t>0.0049</w:t>
            </w:r>
          </w:p>
        </w:tc>
        <w:tc>
          <w:tcPr>
            <w:tcW w:w="2126" w:type="dxa"/>
          </w:tcPr>
          <w:p w14:paraId="2ABB767C" w14:textId="77777777" w:rsidR="00F43F02" w:rsidRPr="00ED1C7E" w:rsidRDefault="00F43F02" w:rsidP="00BF6F91">
            <w:pPr>
              <w:pStyle w:val="TableText"/>
              <w:spacing w:before="40" w:after="40"/>
              <w:rPr>
                <w:rFonts w:cs="Calibri"/>
                <w:szCs w:val="18"/>
              </w:rPr>
            </w:pPr>
            <w:r w:rsidRPr="00ED1C7E">
              <w:rPr>
                <w:rFonts w:cs="Calibri"/>
                <w:szCs w:val="18"/>
              </w:rPr>
              <w:t>0.0051</w:t>
            </w:r>
          </w:p>
        </w:tc>
      </w:tr>
      <w:tr w:rsidR="00F43F02" w:rsidRPr="00ED1C7E" w14:paraId="52B94143" w14:textId="77777777" w:rsidTr="00BF6F91">
        <w:tc>
          <w:tcPr>
            <w:tcW w:w="1843" w:type="dxa"/>
          </w:tcPr>
          <w:p w14:paraId="1913E1FD" w14:textId="77777777" w:rsidR="00F43F02" w:rsidRPr="00ED1C7E" w:rsidRDefault="00F43F02" w:rsidP="00BF6F91">
            <w:pPr>
              <w:pStyle w:val="TableText"/>
              <w:spacing w:before="40" w:after="40"/>
              <w:rPr>
                <w:rFonts w:cs="Calibri"/>
                <w:szCs w:val="18"/>
              </w:rPr>
            </w:pPr>
            <w:r w:rsidRPr="00ED1C7E">
              <w:rPr>
                <w:rFonts w:cs="Calibri"/>
                <w:szCs w:val="18"/>
              </w:rPr>
              <w:t>Rotokawa I</w:t>
            </w:r>
          </w:p>
        </w:tc>
        <w:tc>
          <w:tcPr>
            <w:tcW w:w="1418" w:type="dxa"/>
          </w:tcPr>
          <w:p w14:paraId="2AD17690" w14:textId="77777777" w:rsidR="00F43F02" w:rsidRPr="00ED1C7E" w:rsidRDefault="00F43F02" w:rsidP="00BF6F91">
            <w:pPr>
              <w:pStyle w:val="TableText"/>
              <w:spacing w:before="40" w:after="40"/>
              <w:rPr>
                <w:rFonts w:cs="Calibri"/>
                <w:szCs w:val="18"/>
              </w:rPr>
            </w:pPr>
            <w:r w:rsidRPr="00ED1C7E">
              <w:rPr>
                <w:rFonts w:cs="Calibri"/>
                <w:szCs w:val="18"/>
              </w:rPr>
              <w:t>Mercury</w:t>
            </w:r>
          </w:p>
        </w:tc>
        <w:tc>
          <w:tcPr>
            <w:tcW w:w="1559" w:type="dxa"/>
            <w:gridSpan w:val="2"/>
          </w:tcPr>
          <w:p w14:paraId="40BE2903" w14:textId="77777777" w:rsidR="00F43F02" w:rsidRPr="00ED1C7E" w:rsidRDefault="00F43F02" w:rsidP="00BF6F91">
            <w:pPr>
              <w:pStyle w:val="TableText"/>
              <w:spacing w:before="40" w:after="40"/>
              <w:rPr>
                <w:rFonts w:cs="Calibri"/>
                <w:szCs w:val="18"/>
              </w:rPr>
            </w:pPr>
            <w:r w:rsidRPr="00ED1C7E">
              <w:rPr>
                <w:rFonts w:cs="Calibri"/>
                <w:szCs w:val="18"/>
              </w:rPr>
              <w:t>ORC</w:t>
            </w:r>
          </w:p>
        </w:tc>
        <w:tc>
          <w:tcPr>
            <w:tcW w:w="1559" w:type="dxa"/>
          </w:tcPr>
          <w:p w14:paraId="5A38227E" w14:textId="77777777" w:rsidR="00F43F02" w:rsidRPr="00ED1C7E" w:rsidRDefault="00F43F02" w:rsidP="00BF6F91">
            <w:pPr>
              <w:pStyle w:val="TableText"/>
              <w:spacing w:before="40" w:after="40"/>
              <w:rPr>
                <w:rFonts w:cs="Calibri"/>
                <w:szCs w:val="18"/>
              </w:rPr>
            </w:pPr>
            <w:r w:rsidRPr="00ED1C7E">
              <w:rPr>
                <w:rFonts w:cs="Calibri"/>
                <w:szCs w:val="18"/>
              </w:rPr>
              <w:t>0.0228</w:t>
            </w:r>
          </w:p>
        </w:tc>
        <w:tc>
          <w:tcPr>
            <w:tcW w:w="2126" w:type="dxa"/>
          </w:tcPr>
          <w:p w14:paraId="369023C6" w14:textId="77777777" w:rsidR="00F43F02" w:rsidRPr="00ED1C7E" w:rsidRDefault="00F43F02" w:rsidP="00BF6F91">
            <w:pPr>
              <w:pStyle w:val="TableText"/>
              <w:spacing w:before="40" w:after="40"/>
              <w:rPr>
                <w:rFonts w:cs="Calibri"/>
                <w:szCs w:val="18"/>
              </w:rPr>
            </w:pPr>
            <w:r w:rsidRPr="00ED1C7E">
              <w:rPr>
                <w:rFonts w:cs="Calibri"/>
                <w:szCs w:val="18"/>
              </w:rPr>
              <w:t>0.0128</w:t>
            </w:r>
          </w:p>
        </w:tc>
      </w:tr>
      <w:tr w:rsidR="00F43F02" w:rsidRPr="00ED1C7E" w14:paraId="288010C1" w14:textId="77777777" w:rsidTr="00BF6F91">
        <w:tc>
          <w:tcPr>
            <w:tcW w:w="1843" w:type="dxa"/>
          </w:tcPr>
          <w:p w14:paraId="28099B7B" w14:textId="76F71E35" w:rsidR="00F43F02" w:rsidRPr="00ED1C7E" w:rsidRDefault="00F43F02" w:rsidP="00BF6F91">
            <w:pPr>
              <w:pStyle w:val="TableText"/>
              <w:spacing w:before="40" w:after="40"/>
              <w:rPr>
                <w:rFonts w:cs="Calibri"/>
                <w:szCs w:val="18"/>
              </w:rPr>
            </w:pPr>
            <w:r w:rsidRPr="00ED1C7E">
              <w:rPr>
                <w:rFonts w:cs="Calibri"/>
                <w:szCs w:val="18"/>
              </w:rPr>
              <w:t>T</w:t>
            </w:r>
            <w:r w:rsidR="00B02923" w:rsidRPr="00ED1C7E">
              <w:rPr>
                <w:rFonts w:cs="Calibri"/>
                <w:szCs w:val="18"/>
              </w:rPr>
              <w:t>e Ahi o Maui</w:t>
            </w:r>
          </w:p>
        </w:tc>
        <w:tc>
          <w:tcPr>
            <w:tcW w:w="1418" w:type="dxa"/>
          </w:tcPr>
          <w:p w14:paraId="139E85FE" w14:textId="77777777" w:rsidR="00F43F02" w:rsidRPr="00ED1C7E" w:rsidRDefault="00F43F02" w:rsidP="00BF6F91">
            <w:pPr>
              <w:pStyle w:val="TableText"/>
              <w:spacing w:before="40" w:after="40"/>
              <w:rPr>
                <w:rFonts w:cs="Calibri"/>
                <w:szCs w:val="18"/>
              </w:rPr>
            </w:pPr>
            <w:r w:rsidRPr="00ED1C7E">
              <w:rPr>
                <w:rFonts w:cs="Calibri"/>
                <w:szCs w:val="18"/>
              </w:rPr>
              <w:t>Eastland</w:t>
            </w:r>
          </w:p>
        </w:tc>
        <w:tc>
          <w:tcPr>
            <w:tcW w:w="1559" w:type="dxa"/>
            <w:gridSpan w:val="2"/>
          </w:tcPr>
          <w:p w14:paraId="43871F9D" w14:textId="77777777" w:rsidR="00F43F02" w:rsidRPr="00ED1C7E" w:rsidRDefault="00F43F02" w:rsidP="00BF6F91">
            <w:pPr>
              <w:pStyle w:val="TableText"/>
              <w:spacing w:before="40" w:after="40"/>
              <w:rPr>
                <w:rFonts w:cs="Calibri"/>
                <w:szCs w:val="18"/>
              </w:rPr>
            </w:pPr>
            <w:r w:rsidRPr="00ED1C7E">
              <w:rPr>
                <w:rFonts w:cs="Calibri"/>
                <w:szCs w:val="18"/>
              </w:rPr>
              <w:t>ORC</w:t>
            </w:r>
          </w:p>
        </w:tc>
        <w:tc>
          <w:tcPr>
            <w:tcW w:w="1559" w:type="dxa"/>
          </w:tcPr>
          <w:p w14:paraId="31D4A8AC" w14:textId="7C258AA3" w:rsidR="00F43F02" w:rsidRPr="00ED1C7E" w:rsidRDefault="00F43F02" w:rsidP="00BF6F91">
            <w:pPr>
              <w:pStyle w:val="TableText"/>
              <w:spacing w:before="40" w:after="40"/>
              <w:rPr>
                <w:rFonts w:cs="Calibri"/>
                <w:szCs w:val="18"/>
              </w:rPr>
            </w:pPr>
            <w:r w:rsidRPr="00ED1C7E">
              <w:rPr>
                <w:rFonts w:cs="Calibri"/>
                <w:szCs w:val="18"/>
              </w:rPr>
              <w:t>New</w:t>
            </w:r>
          </w:p>
        </w:tc>
        <w:tc>
          <w:tcPr>
            <w:tcW w:w="2126" w:type="dxa"/>
          </w:tcPr>
          <w:p w14:paraId="465791C5" w14:textId="77777777" w:rsidR="00F43F02" w:rsidRPr="00ED1C7E" w:rsidRDefault="00F43F02" w:rsidP="00BF6F91">
            <w:pPr>
              <w:pStyle w:val="TableText"/>
              <w:spacing w:before="40" w:after="40"/>
              <w:rPr>
                <w:rFonts w:cs="Calibri"/>
                <w:szCs w:val="18"/>
              </w:rPr>
            </w:pPr>
            <w:r w:rsidRPr="00ED1C7E">
              <w:rPr>
                <w:rFonts w:cs="Calibri"/>
                <w:szCs w:val="18"/>
              </w:rPr>
              <w:t>0.0101</w:t>
            </w:r>
          </w:p>
        </w:tc>
      </w:tr>
      <w:tr w:rsidR="00F43F02" w:rsidRPr="00ED1C7E" w14:paraId="3BB11B24" w14:textId="77777777" w:rsidTr="00BF6F91">
        <w:tc>
          <w:tcPr>
            <w:tcW w:w="1843" w:type="dxa"/>
          </w:tcPr>
          <w:p w14:paraId="540F7BF4" w14:textId="77777777" w:rsidR="00F43F02" w:rsidRPr="00ED1C7E" w:rsidRDefault="00F43F02" w:rsidP="00BF6F91">
            <w:pPr>
              <w:pStyle w:val="TableText"/>
              <w:spacing w:before="40" w:after="40"/>
              <w:rPr>
                <w:rFonts w:cs="Calibri"/>
                <w:szCs w:val="18"/>
              </w:rPr>
            </w:pPr>
            <w:r w:rsidRPr="00ED1C7E">
              <w:rPr>
                <w:rFonts w:cs="Calibri"/>
                <w:szCs w:val="18"/>
              </w:rPr>
              <w:t>Te Huka</w:t>
            </w:r>
          </w:p>
        </w:tc>
        <w:tc>
          <w:tcPr>
            <w:tcW w:w="1418" w:type="dxa"/>
          </w:tcPr>
          <w:p w14:paraId="71131030" w14:textId="77777777" w:rsidR="00F43F02" w:rsidRPr="00ED1C7E" w:rsidRDefault="00F43F02" w:rsidP="00BF6F91">
            <w:pPr>
              <w:pStyle w:val="TableText"/>
              <w:spacing w:before="40" w:after="40"/>
              <w:rPr>
                <w:rFonts w:cs="Calibri"/>
                <w:szCs w:val="18"/>
              </w:rPr>
            </w:pPr>
            <w:r w:rsidRPr="00ED1C7E">
              <w:rPr>
                <w:rFonts w:cs="Calibri"/>
                <w:szCs w:val="18"/>
              </w:rPr>
              <w:t>Contact</w:t>
            </w:r>
          </w:p>
        </w:tc>
        <w:tc>
          <w:tcPr>
            <w:tcW w:w="1559" w:type="dxa"/>
            <w:gridSpan w:val="2"/>
          </w:tcPr>
          <w:p w14:paraId="0360E565" w14:textId="77777777" w:rsidR="00F43F02" w:rsidRPr="00ED1C7E" w:rsidRDefault="00F43F02" w:rsidP="00BF6F91">
            <w:pPr>
              <w:pStyle w:val="TableText"/>
              <w:spacing w:before="40" w:after="40"/>
              <w:rPr>
                <w:rFonts w:cs="Calibri"/>
                <w:szCs w:val="18"/>
              </w:rPr>
            </w:pPr>
            <w:r w:rsidRPr="00ED1C7E">
              <w:rPr>
                <w:rFonts w:cs="Calibri"/>
                <w:szCs w:val="18"/>
              </w:rPr>
              <w:t>ORC</w:t>
            </w:r>
          </w:p>
        </w:tc>
        <w:tc>
          <w:tcPr>
            <w:tcW w:w="1559" w:type="dxa"/>
          </w:tcPr>
          <w:p w14:paraId="374D1328" w14:textId="474499D5" w:rsidR="00F43F02" w:rsidRPr="00ED1C7E" w:rsidRDefault="00F43F02" w:rsidP="00BF6F91">
            <w:pPr>
              <w:pStyle w:val="TableText"/>
              <w:spacing w:before="40" w:after="40"/>
              <w:rPr>
                <w:rFonts w:cs="Calibri"/>
                <w:szCs w:val="18"/>
              </w:rPr>
            </w:pPr>
            <w:r w:rsidRPr="00ED1C7E">
              <w:rPr>
                <w:rFonts w:cs="Calibri"/>
                <w:szCs w:val="18"/>
              </w:rPr>
              <w:t>New</w:t>
            </w:r>
          </w:p>
        </w:tc>
        <w:tc>
          <w:tcPr>
            <w:tcW w:w="2126" w:type="dxa"/>
          </w:tcPr>
          <w:p w14:paraId="22E4B99A" w14:textId="77777777" w:rsidR="00F43F02" w:rsidRPr="00ED1C7E" w:rsidRDefault="00F43F02" w:rsidP="00BF6F91">
            <w:pPr>
              <w:pStyle w:val="TableText"/>
              <w:spacing w:before="40" w:after="40"/>
              <w:rPr>
                <w:rFonts w:cs="Calibri"/>
                <w:szCs w:val="18"/>
              </w:rPr>
            </w:pPr>
            <w:r w:rsidRPr="00ED1C7E">
              <w:rPr>
                <w:rFonts w:cs="Calibri"/>
                <w:szCs w:val="18"/>
              </w:rPr>
              <w:t>0.0074</w:t>
            </w:r>
          </w:p>
        </w:tc>
      </w:tr>
      <w:tr w:rsidR="00F43F02" w:rsidRPr="00ED1C7E" w14:paraId="7D1801E6" w14:textId="77777777" w:rsidTr="00BF6F91">
        <w:tc>
          <w:tcPr>
            <w:tcW w:w="1843" w:type="dxa"/>
          </w:tcPr>
          <w:p w14:paraId="146B17E3" w14:textId="77777777" w:rsidR="00F43F02" w:rsidRPr="00ED1C7E" w:rsidRDefault="00F43F02" w:rsidP="00BF6F91">
            <w:pPr>
              <w:pStyle w:val="TableText"/>
              <w:spacing w:before="40" w:after="40"/>
              <w:rPr>
                <w:rFonts w:cs="Calibri"/>
                <w:szCs w:val="18"/>
              </w:rPr>
            </w:pPr>
            <w:r w:rsidRPr="00ED1C7E">
              <w:rPr>
                <w:rFonts w:cs="Calibri"/>
                <w:szCs w:val="18"/>
              </w:rPr>
              <w:t>Te Mihi</w:t>
            </w:r>
          </w:p>
        </w:tc>
        <w:tc>
          <w:tcPr>
            <w:tcW w:w="1418" w:type="dxa"/>
          </w:tcPr>
          <w:p w14:paraId="6B8010D7" w14:textId="77777777" w:rsidR="00F43F02" w:rsidRPr="00ED1C7E" w:rsidRDefault="00F43F02" w:rsidP="00BF6F91">
            <w:pPr>
              <w:pStyle w:val="TableText"/>
              <w:spacing w:before="40" w:after="40"/>
              <w:rPr>
                <w:rFonts w:cs="Calibri"/>
                <w:szCs w:val="18"/>
              </w:rPr>
            </w:pPr>
            <w:r w:rsidRPr="00ED1C7E">
              <w:rPr>
                <w:rFonts w:cs="Calibri"/>
                <w:szCs w:val="18"/>
              </w:rPr>
              <w:t>Contact</w:t>
            </w:r>
          </w:p>
        </w:tc>
        <w:tc>
          <w:tcPr>
            <w:tcW w:w="1559" w:type="dxa"/>
            <w:gridSpan w:val="2"/>
          </w:tcPr>
          <w:p w14:paraId="2B12FCD8" w14:textId="30A33519" w:rsidR="00F43F02" w:rsidRPr="00ED1C7E" w:rsidRDefault="00F43F02" w:rsidP="00BF6F91">
            <w:pPr>
              <w:pStyle w:val="TableText"/>
              <w:spacing w:before="40" w:after="40"/>
              <w:rPr>
                <w:rFonts w:cs="Calibri"/>
                <w:szCs w:val="18"/>
              </w:rPr>
            </w:pPr>
            <w:r w:rsidRPr="00ED1C7E">
              <w:rPr>
                <w:rFonts w:cs="Calibri"/>
                <w:szCs w:val="18"/>
              </w:rPr>
              <w:t xml:space="preserve">Flash </w:t>
            </w:r>
            <w:r w:rsidR="00AD0729" w:rsidRPr="00ED1C7E">
              <w:rPr>
                <w:rFonts w:cs="Calibri"/>
                <w:szCs w:val="18"/>
              </w:rPr>
              <w:t>p</w:t>
            </w:r>
            <w:r w:rsidRPr="00ED1C7E">
              <w:rPr>
                <w:rFonts w:cs="Calibri"/>
                <w:szCs w:val="18"/>
              </w:rPr>
              <w:t>lant</w:t>
            </w:r>
          </w:p>
        </w:tc>
        <w:tc>
          <w:tcPr>
            <w:tcW w:w="1559" w:type="dxa"/>
          </w:tcPr>
          <w:p w14:paraId="127AC450" w14:textId="2DCE5BB8" w:rsidR="00F43F02" w:rsidRPr="00ED1C7E" w:rsidRDefault="00F43F02" w:rsidP="00BF6F91">
            <w:pPr>
              <w:pStyle w:val="TableText"/>
              <w:spacing w:before="40" w:after="40"/>
              <w:rPr>
                <w:rFonts w:cs="Calibri"/>
                <w:szCs w:val="18"/>
              </w:rPr>
            </w:pPr>
            <w:r w:rsidRPr="00ED1C7E">
              <w:rPr>
                <w:rFonts w:cs="Calibri"/>
                <w:szCs w:val="18"/>
              </w:rPr>
              <w:t>New</w:t>
            </w:r>
          </w:p>
        </w:tc>
        <w:tc>
          <w:tcPr>
            <w:tcW w:w="2126" w:type="dxa"/>
          </w:tcPr>
          <w:p w14:paraId="0AC9DC60" w14:textId="77777777" w:rsidR="00F43F02" w:rsidRPr="00ED1C7E" w:rsidRDefault="00F43F02" w:rsidP="00BF6F91">
            <w:pPr>
              <w:pStyle w:val="TableText"/>
              <w:spacing w:before="40" w:after="40"/>
              <w:rPr>
                <w:rFonts w:cs="Calibri"/>
                <w:szCs w:val="18"/>
              </w:rPr>
            </w:pPr>
            <w:r w:rsidRPr="00ED1C7E">
              <w:rPr>
                <w:rFonts w:cs="Calibri"/>
                <w:szCs w:val="18"/>
              </w:rPr>
              <w:t>0.0045</w:t>
            </w:r>
          </w:p>
        </w:tc>
      </w:tr>
      <w:tr w:rsidR="00F43F02" w:rsidRPr="00ED1C7E" w14:paraId="7359E21B" w14:textId="77777777" w:rsidTr="00BF6F91">
        <w:tc>
          <w:tcPr>
            <w:tcW w:w="1843" w:type="dxa"/>
          </w:tcPr>
          <w:p w14:paraId="1D0DC925" w14:textId="77777777" w:rsidR="00F43F02" w:rsidRPr="00ED1C7E" w:rsidRDefault="00F43F02" w:rsidP="00BF6F91">
            <w:pPr>
              <w:pStyle w:val="TableText"/>
              <w:spacing w:before="40" w:after="40"/>
              <w:rPr>
                <w:rFonts w:cs="Calibri"/>
                <w:szCs w:val="18"/>
              </w:rPr>
            </w:pPr>
            <w:r w:rsidRPr="00ED1C7E">
              <w:rPr>
                <w:rFonts w:cs="Calibri"/>
                <w:szCs w:val="18"/>
              </w:rPr>
              <w:t>TOPP1</w:t>
            </w:r>
          </w:p>
        </w:tc>
        <w:tc>
          <w:tcPr>
            <w:tcW w:w="1418" w:type="dxa"/>
          </w:tcPr>
          <w:p w14:paraId="34EA5C32" w14:textId="77777777" w:rsidR="00F43F02" w:rsidRPr="00ED1C7E" w:rsidRDefault="00F43F02" w:rsidP="00BF6F91">
            <w:pPr>
              <w:pStyle w:val="TableText"/>
              <w:spacing w:before="40" w:after="40"/>
              <w:rPr>
                <w:rFonts w:cs="Calibri"/>
                <w:szCs w:val="18"/>
              </w:rPr>
            </w:pPr>
            <w:r w:rsidRPr="00ED1C7E">
              <w:rPr>
                <w:rFonts w:cs="Calibri"/>
                <w:szCs w:val="18"/>
              </w:rPr>
              <w:t>Eastland</w:t>
            </w:r>
          </w:p>
        </w:tc>
        <w:tc>
          <w:tcPr>
            <w:tcW w:w="1559" w:type="dxa"/>
            <w:gridSpan w:val="2"/>
          </w:tcPr>
          <w:p w14:paraId="1DDFB625" w14:textId="77777777" w:rsidR="00F43F02" w:rsidRPr="00ED1C7E" w:rsidRDefault="00F43F02" w:rsidP="00BF6F91">
            <w:pPr>
              <w:pStyle w:val="TableText"/>
              <w:spacing w:before="40" w:after="40"/>
              <w:rPr>
                <w:rFonts w:cs="Calibri"/>
                <w:szCs w:val="18"/>
              </w:rPr>
            </w:pPr>
            <w:r w:rsidRPr="00ED1C7E">
              <w:rPr>
                <w:rFonts w:cs="Calibri"/>
                <w:szCs w:val="18"/>
              </w:rPr>
              <w:t>ORC</w:t>
            </w:r>
          </w:p>
        </w:tc>
        <w:tc>
          <w:tcPr>
            <w:tcW w:w="1559" w:type="dxa"/>
          </w:tcPr>
          <w:p w14:paraId="2A5B63F6" w14:textId="60A1656D" w:rsidR="00F43F02" w:rsidRPr="00ED1C7E" w:rsidRDefault="00F43F02" w:rsidP="00BF6F91">
            <w:pPr>
              <w:pStyle w:val="TableText"/>
              <w:spacing w:before="40" w:after="40"/>
              <w:rPr>
                <w:rFonts w:cs="Calibri"/>
                <w:szCs w:val="18"/>
              </w:rPr>
            </w:pPr>
            <w:r w:rsidRPr="00ED1C7E">
              <w:rPr>
                <w:rFonts w:cs="Calibri"/>
                <w:szCs w:val="18"/>
              </w:rPr>
              <w:t>New</w:t>
            </w:r>
          </w:p>
        </w:tc>
        <w:tc>
          <w:tcPr>
            <w:tcW w:w="2126" w:type="dxa"/>
          </w:tcPr>
          <w:p w14:paraId="0F16A8E4" w14:textId="77777777" w:rsidR="00F43F02" w:rsidRPr="00ED1C7E" w:rsidRDefault="00F43F02" w:rsidP="00BF6F91">
            <w:pPr>
              <w:pStyle w:val="TableText"/>
              <w:spacing w:before="40" w:after="40"/>
              <w:rPr>
                <w:rFonts w:cs="Calibri"/>
                <w:szCs w:val="18"/>
              </w:rPr>
            </w:pPr>
            <w:r w:rsidRPr="00ED1C7E">
              <w:rPr>
                <w:rFonts w:cs="Calibri"/>
                <w:szCs w:val="18"/>
              </w:rPr>
              <w:t>0.0107</w:t>
            </w:r>
          </w:p>
        </w:tc>
      </w:tr>
      <w:tr w:rsidR="00F43F02" w:rsidRPr="00ED1C7E" w14:paraId="6BB0C819" w14:textId="77777777" w:rsidTr="00BF6F91">
        <w:tc>
          <w:tcPr>
            <w:tcW w:w="1843" w:type="dxa"/>
          </w:tcPr>
          <w:p w14:paraId="5A441740" w14:textId="77777777" w:rsidR="00F43F02" w:rsidRPr="00ED1C7E" w:rsidRDefault="00F43F02" w:rsidP="00BF6F91">
            <w:pPr>
              <w:pStyle w:val="TableText"/>
              <w:spacing w:before="40" w:after="40"/>
              <w:rPr>
                <w:rFonts w:cs="Calibri"/>
                <w:szCs w:val="18"/>
              </w:rPr>
            </w:pPr>
            <w:r w:rsidRPr="00ED1C7E">
              <w:rPr>
                <w:rFonts w:cs="Calibri"/>
                <w:szCs w:val="18"/>
              </w:rPr>
              <w:t>Wairakei Station Site</w:t>
            </w:r>
          </w:p>
        </w:tc>
        <w:tc>
          <w:tcPr>
            <w:tcW w:w="1418" w:type="dxa"/>
          </w:tcPr>
          <w:p w14:paraId="013CCC65" w14:textId="77777777" w:rsidR="00F43F02" w:rsidRPr="00ED1C7E" w:rsidRDefault="00F43F02" w:rsidP="00BF6F91">
            <w:pPr>
              <w:pStyle w:val="TableText"/>
              <w:spacing w:before="40" w:after="40"/>
              <w:rPr>
                <w:rFonts w:cs="Calibri"/>
                <w:szCs w:val="18"/>
              </w:rPr>
            </w:pPr>
            <w:r w:rsidRPr="00ED1C7E">
              <w:rPr>
                <w:rFonts w:cs="Calibri"/>
                <w:szCs w:val="18"/>
              </w:rPr>
              <w:t>Contact</w:t>
            </w:r>
          </w:p>
        </w:tc>
        <w:tc>
          <w:tcPr>
            <w:tcW w:w="1559" w:type="dxa"/>
            <w:gridSpan w:val="2"/>
          </w:tcPr>
          <w:p w14:paraId="1479DF83" w14:textId="19CE23EF" w:rsidR="00F43F02" w:rsidRPr="00ED1C7E" w:rsidRDefault="00F43F02" w:rsidP="00BF6F91">
            <w:pPr>
              <w:pStyle w:val="TableText"/>
              <w:spacing w:before="40" w:after="40"/>
              <w:rPr>
                <w:rFonts w:cs="Calibri"/>
                <w:szCs w:val="18"/>
              </w:rPr>
            </w:pPr>
            <w:r w:rsidRPr="00ED1C7E">
              <w:rPr>
                <w:rFonts w:cs="Calibri"/>
                <w:szCs w:val="18"/>
              </w:rPr>
              <w:t xml:space="preserve">Flash </w:t>
            </w:r>
            <w:r w:rsidR="00AD0729" w:rsidRPr="00ED1C7E">
              <w:rPr>
                <w:rFonts w:cs="Calibri"/>
                <w:szCs w:val="18"/>
              </w:rPr>
              <w:t>p</w:t>
            </w:r>
            <w:r w:rsidRPr="00ED1C7E">
              <w:rPr>
                <w:rFonts w:cs="Calibri"/>
                <w:szCs w:val="18"/>
              </w:rPr>
              <w:t>lant</w:t>
            </w:r>
          </w:p>
        </w:tc>
        <w:tc>
          <w:tcPr>
            <w:tcW w:w="1559" w:type="dxa"/>
          </w:tcPr>
          <w:p w14:paraId="22806D80" w14:textId="77777777" w:rsidR="00F43F02" w:rsidRPr="00ED1C7E" w:rsidRDefault="00F43F02" w:rsidP="00BF6F91">
            <w:pPr>
              <w:pStyle w:val="TableText"/>
              <w:spacing w:before="40" w:after="40"/>
              <w:rPr>
                <w:rFonts w:cs="Calibri"/>
                <w:szCs w:val="18"/>
              </w:rPr>
            </w:pPr>
            <w:r w:rsidRPr="00ED1C7E">
              <w:rPr>
                <w:rFonts w:cs="Calibri"/>
                <w:szCs w:val="18"/>
              </w:rPr>
              <w:t>0.0051</w:t>
            </w:r>
          </w:p>
        </w:tc>
        <w:tc>
          <w:tcPr>
            <w:tcW w:w="2126" w:type="dxa"/>
          </w:tcPr>
          <w:p w14:paraId="33F57C5D" w14:textId="77777777" w:rsidR="00F43F02" w:rsidRPr="00ED1C7E" w:rsidRDefault="00F43F02" w:rsidP="00BF6F91">
            <w:pPr>
              <w:pStyle w:val="TableText"/>
              <w:spacing w:before="40" w:after="40"/>
              <w:rPr>
                <w:rFonts w:cs="Calibri"/>
                <w:szCs w:val="18"/>
              </w:rPr>
            </w:pPr>
            <w:r w:rsidRPr="00ED1C7E">
              <w:rPr>
                <w:rFonts w:cs="Calibri"/>
                <w:szCs w:val="18"/>
              </w:rPr>
              <w:t>0.0021</w:t>
            </w:r>
          </w:p>
        </w:tc>
      </w:tr>
      <w:tr w:rsidR="00F43F02" w:rsidRPr="00ED1C7E" w14:paraId="40645109" w14:textId="77777777" w:rsidTr="00BF6F91">
        <w:tc>
          <w:tcPr>
            <w:tcW w:w="4820" w:type="dxa"/>
            <w:gridSpan w:val="4"/>
            <w:tcBorders>
              <w:bottom w:val="single" w:sz="4" w:space="0" w:color="1B556B" w:themeColor="text2"/>
            </w:tcBorders>
          </w:tcPr>
          <w:p w14:paraId="77F95423" w14:textId="77777777" w:rsidR="00F43F02" w:rsidRPr="00ED1C7E" w:rsidRDefault="00F43F02" w:rsidP="00BF6F91">
            <w:pPr>
              <w:pStyle w:val="TableText"/>
              <w:spacing w:before="40" w:after="40"/>
              <w:rPr>
                <w:rFonts w:cs="Calibri"/>
                <w:szCs w:val="18"/>
              </w:rPr>
            </w:pPr>
            <w:r w:rsidRPr="00ED1C7E">
              <w:rPr>
                <w:rFonts w:cs="Calibri"/>
                <w:szCs w:val="18"/>
              </w:rPr>
              <w:t>Any other plant or process under this category</w:t>
            </w:r>
          </w:p>
        </w:tc>
        <w:tc>
          <w:tcPr>
            <w:tcW w:w="1559" w:type="dxa"/>
            <w:tcBorders>
              <w:bottom w:val="single" w:sz="4" w:space="0" w:color="1B556B" w:themeColor="text2"/>
            </w:tcBorders>
          </w:tcPr>
          <w:p w14:paraId="331DBE46" w14:textId="77777777" w:rsidR="00F43F02" w:rsidRPr="00ED1C7E" w:rsidRDefault="00F43F02" w:rsidP="00BF6F91">
            <w:pPr>
              <w:pStyle w:val="TableText"/>
              <w:spacing w:before="40" w:after="40"/>
              <w:rPr>
                <w:rFonts w:cs="Calibri"/>
                <w:szCs w:val="18"/>
              </w:rPr>
            </w:pPr>
            <w:r w:rsidRPr="00ED1C7E">
              <w:rPr>
                <w:rFonts w:cs="Calibri"/>
                <w:szCs w:val="18"/>
              </w:rPr>
              <w:t>0.0300</w:t>
            </w:r>
          </w:p>
        </w:tc>
        <w:tc>
          <w:tcPr>
            <w:tcW w:w="2126" w:type="dxa"/>
            <w:tcBorders>
              <w:bottom w:val="single" w:sz="4" w:space="0" w:color="1B556B" w:themeColor="text2"/>
            </w:tcBorders>
          </w:tcPr>
          <w:p w14:paraId="17194B24" w14:textId="0F8055EB" w:rsidR="00F43F02" w:rsidRPr="00ED1C7E" w:rsidRDefault="0026171E" w:rsidP="00BF6F91">
            <w:pPr>
              <w:pStyle w:val="TableText"/>
              <w:spacing w:before="40" w:after="40"/>
              <w:rPr>
                <w:rFonts w:cs="Calibri"/>
                <w:szCs w:val="18"/>
              </w:rPr>
            </w:pPr>
            <w:r w:rsidRPr="00ED1C7E">
              <w:rPr>
                <w:rFonts w:cs="Calibri"/>
                <w:szCs w:val="18"/>
              </w:rPr>
              <w:t>(No change)</w:t>
            </w:r>
          </w:p>
        </w:tc>
      </w:tr>
      <w:tr w:rsidR="00F43F02" w:rsidRPr="00ED1C7E" w14:paraId="184524E2" w14:textId="77777777" w:rsidTr="00BF6F91">
        <w:tc>
          <w:tcPr>
            <w:tcW w:w="8505" w:type="dxa"/>
            <w:gridSpan w:val="6"/>
            <w:shd w:val="clear" w:color="auto" w:fill="D2DDE1" w:themeFill="background2"/>
          </w:tcPr>
          <w:p w14:paraId="63859F82" w14:textId="771CEBEC" w:rsidR="00F43F02" w:rsidRPr="00ED1C7E" w:rsidRDefault="00F43F02" w:rsidP="00BF6F91">
            <w:pPr>
              <w:pStyle w:val="TableText"/>
              <w:spacing w:before="40" w:after="40"/>
              <w:rPr>
                <w:rFonts w:cs="Calibri"/>
                <w:szCs w:val="18"/>
              </w:rPr>
            </w:pPr>
            <w:r w:rsidRPr="00ED1C7E">
              <w:rPr>
                <w:rFonts w:cs="Calibri"/>
                <w:i/>
                <w:iCs/>
                <w:szCs w:val="18"/>
              </w:rPr>
              <w:t xml:space="preserve">Plants or processes that use geothermal fluid to produce electricity or industrial heat </w:t>
            </w:r>
            <w:r w:rsidR="001D5C94" w:rsidRPr="00ED1C7E">
              <w:rPr>
                <w:rFonts w:cs="Calibri"/>
                <w:i/>
                <w:iCs/>
                <w:szCs w:val="18"/>
              </w:rPr>
              <w:t>through a process</w:t>
            </w:r>
            <w:r w:rsidRPr="00ED1C7E">
              <w:rPr>
                <w:rFonts w:cs="Calibri"/>
                <w:i/>
                <w:iCs/>
                <w:szCs w:val="18"/>
              </w:rPr>
              <w:t xml:space="preserve"> other than production of geothermal steam</w:t>
            </w:r>
          </w:p>
        </w:tc>
      </w:tr>
      <w:tr w:rsidR="00F43F02" w:rsidRPr="00ED1C7E" w14:paraId="71D18C51" w14:textId="77777777" w:rsidTr="00BF6F91">
        <w:tc>
          <w:tcPr>
            <w:tcW w:w="1843" w:type="dxa"/>
          </w:tcPr>
          <w:p w14:paraId="2FA49FBC" w14:textId="77777777" w:rsidR="00F43F02" w:rsidRPr="00ED1C7E" w:rsidRDefault="00F43F02" w:rsidP="00BF6F91">
            <w:pPr>
              <w:pStyle w:val="TableText"/>
              <w:spacing w:before="40" w:after="40"/>
              <w:rPr>
                <w:rFonts w:cs="Calibri"/>
                <w:szCs w:val="18"/>
              </w:rPr>
            </w:pPr>
            <w:r w:rsidRPr="00ED1C7E">
              <w:rPr>
                <w:rFonts w:cs="Calibri"/>
                <w:szCs w:val="18"/>
              </w:rPr>
              <w:t>Mokai Greenhouse</w:t>
            </w:r>
          </w:p>
        </w:tc>
        <w:tc>
          <w:tcPr>
            <w:tcW w:w="1682" w:type="dxa"/>
            <w:gridSpan w:val="2"/>
          </w:tcPr>
          <w:p w14:paraId="5990BA86" w14:textId="77777777" w:rsidR="00F43F02" w:rsidRPr="00ED1C7E" w:rsidRDefault="00F43F02" w:rsidP="00BF6F91">
            <w:pPr>
              <w:pStyle w:val="TableText"/>
              <w:spacing w:before="40" w:after="40"/>
              <w:rPr>
                <w:rFonts w:cs="Calibri"/>
                <w:szCs w:val="18"/>
              </w:rPr>
            </w:pPr>
            <w:r w:rsidRPr="00ED1C7E">
              <w:rPr>
                <w:rFonts w:cs="Calibri"/>
                <w:szCs w:val="18"/>
              </w:rPr>
              <w:t>Tuaropaki Trust</w:t>
            </w:r>
          </w:p>
        </w:tc>
        <w:tc>
          <w:tcPr>
            <w:tcW w:w="1295" w:type="dxa"/>
          </w:tcPr>
          <w:p w14:paraId="20508E9C" w14:textId="4B8A4435" w:rsidR="00F43F02" w:rsidRPr="00ED1C7E" w:rsidRDefault="00F43F02" w:rsidP="00BF6F91">
            <w:pPr>
              <w:pStyle w:val="TableText"/>
              <w:spacing w:before="40" w:after="40"/>
              <w:rPr>
                <w:rFonts w:cs="Calibri"/>
                <w:szCs w:val="18"/>
              </w:rPr>
            </w:pPr>
            <w:r w:rsidRPr="00ED1C7E">
              <w:rPr>
                <w:rFonts w:cs="Calibri"/>
                <w:szCs w:val="18"/>
              </w:rPr>
              <w:t xml:space="preserve">Direct </w:t>
            </w:r>
            <w:r w:rsidR="00AD0729" w:rsidRPr="00ED1C7E">
              <w:rPr>
                <w:rFonts w:cs="Calibri"/>
                <w:szCs w:val="18"/>
              </w:rPr>
              <w:t>u</w:t>
            </w:r>
            <w:r w:rsidRPr="00ED1C7E">
              <w:rPr>
                <w:rFonts w:cs="Calibri"/>
                <w:szCs w:val="18"/>
              </w:rPr>
              <w:t>se</w:t>
            </w:r>
          </w:p>
        </w:tc>
        <w:tc>
          <w:tcPr>
            <w:tcW w:w="1559" w:type="dxa"/>
          </w:tcPr>
          <w:p w14:paraId="4D7BA7AD" w14:textId="1B75986B" w:rsidR="00F43F02" w:rsidRPr="00ED1C7E" w:rsidRDefault="00A05ECF" w:rsidP="00BF6F91">
            <w:pPr>
              <w:pStyle w:val="TableText"/>
              <w:spacing w:before="40" w:after="40"/>
              <w:rPr>
                <w:rFonts w:cs="Calibri"/>
                <w:szCs w:val="18"/>
              </w:rPr>
            </w:pPr>
            <w:r w:rsidRPr="00ED1C7E">
              <w:rPr>
                <w:rFonts w:cs="Calibri"/>
                <w:szCs w:val="18"/>
              </w:rPr>
              <w:t>Nil</w:t>
            </w:r>
          </w:p>
        </w:tc>
        <w:tc>
          <w:tcPr>
            <w:tcW w:w="2126" w:type="dxa"/>
          </w:tcPr>
          <w:p w14:paraId="1BDC69BF" w14:textId="6B8198BB" w:rsidR="00F43F02" w:rsidRPr="00ED1C7E" w:rsidRDefault="00A05ECF" w:rsidP="00BF6F91">
            <w:pPr>
              <w:pStyle w:val="TableText"/>
              <w:spacing w:before="40" w:after="40"/>
              <w:rPr>
                <w:rFonts w:cs="Calibri"/>
                <w:szCs w:val="18"/>
              </w:rPr>
            </w:pPr>
            <w:r w:rsidRPr="00ED1C7E">
              <w:rPr>
                <w:rFonts w:cs="Calibri"/>
                <w:szCs w:val="18"/>
              </w:rPr>
              <w:t>Nil</w:t>
            </w:r>
          </w:p>
        </w:tc>
      </w:tr>
      <w:tr w:rsidR="00F43F02" w:rsidRPr="00ED1C7E" w14:paraId="243E0E5E" w14:textId="77777777" w:rsidTr="00BF6F91">
        <w:tc>
          <w:tcPr>
            <w:tcW w:w="1843" w:type="dxa"/>
          </w:tcPr>
          <w:p w14:paraId="0F00E7A8" w14:textId="77777777" w:rsidR="00F43F02" w:rsidRPr="00ED1C7E" w:rsidRDefault="00F43F02" w:rsidP="00BF6F91">
            <w:pPr>
              <w:pStyle w:val="TableText"/>
              <w:spacing w:before="40" w:after="40"/>
              <w:rPr>
                <w:rFonts w:cs="Calibri"/>
                <w:szCs w:val="18"/>
              </w:rPr>
            </w:pPr>
            <w:r w:rsidRPr="00ED1C7E">
              <w:rPr>
                <w:rFonts w:cs="Calibri"/>
                <w:szCs w:val="18"/>
              </w:rPr>
              <w:t>Tauhara Tenon</w:t>
            </w:r>
          </w:p>
        </w:tc>
        <w:tc>
          <w:tcPr>
            <w:tcW w:w="1682" w:type="dxa"/>
            <w:gridSpan w:val="2"/>
          </w:tcPr>
          <w:p w14:paraId="30C3BE9F" w14:textId="77777777" w:rsidR="00F43F02" w:rsidRPr="00ED1C7E" w:rsidRDefault="00F43F02" w:rsidP="00BF6F91">
            <w:pPr>
              <w:pStyle w:val="TableText"/>
              <w:spacing w:before="40" w:after="40"/>
              <w:rPr>
                <w:rFonts w:cs="Calibri"/>
                <w:szCs w:val="18"/>
              </w:rPr>
            </w:pPr>
            <w:r w:rsidRPr="00ED1C7E">
              <w:rPr>
                <w:rFonts w:cs="Calibri"/>
                <w:szCs w:val="18"/>
              </w:rPr>
              <w:t>Contact</w:t>
            </w:r>
          </w:p>
        </w:tc>
        <w:tc>
          <w:tcPr>
            <w:tcW w:w="1295" w:type="dxa"/>
          </w:tcPr>
          <w:p w14:paraId="6074A224" w14:textId="160965AC" w:rsidR="00F43F02" w:rsidRPr="00ED1C7E" w:rsidRDefault="00F43F02" w:rsidP="00BF6F91">
            <w:pPr>
              <w:pStyle w:val="TableText"/>
              <w:spacing w:before="40" w:after="40"/>
              <w:rPr>
                <w:rFonts w:cs="Calibri"/>
                <w:szCs w:val="18"/>
              </w:rPr>
            </w:pPr>
            <w:r w:rsidRPr="00ED1C7E">
              <w:rPr>
                <w:rFonts w:cs="Calibri"/>
                <w:szCs w:val="18"/>
              </w:rPr>
              <w:t xml:space="preserve">Direct </w:t>
            </w:r>
            <w:r w:rsidR="00AD0729" w:rsidRPr="00ED1C7E">
              <w:rPr>
                <w:rFonts w:cs="Calibri"/>
                <w:szCs w:val="18"/>
              </w:rPr>
              <w:t>u</w:t>
            </w:r>
            <w:r w:rsidRPr="00ED1C7E">
              <w:rPr>
                <w:rFonts w:cs="Calibri"/>
                <w:szCs w:val="18"/>
              </w:rPr>
              <w:t>se</w:t>
            </w:r>
          </w:p>
        </w:tc>
        <w:tc>
          <w:tcPr>
            <w:tcW w:w="1559" w:type="dxa"/>
          </w:tcPr>
          <w:p w14:paraId="757D2ABF" w14:textId="77777777" w:rsidR="00F43F02" w:rsidRPr="00ED1C7E" w:rsidRDefault="00F43F02" w:rsidP="00BF6F91">
            <w:pPr>
              <w:pStyle w:val="TableText"/>
              <w:spacing w:before="40" w:after="40"/>
              <w:rPr>
                <w:rFonts w:cs="Calibri"/>
                <w:szCs w:val="18"/>
              </w:rPr>
            </w:pPr>
            <w:r w:rsidRPr="00ED1C7E">
              <w:rPr>
                <w:rFonts w:cs="Calibri"/>
                <w:szCs w:val="18"/>
              </w:rPr>
              <w:t>0.0009</w:t>
            </w:r>
          </w:p>
        </w:tc>
        <w:tc>
          <w:tcPr>
            <w:tcW w:w="2126" w:type="dxa"/>
          </w:tcPr>
          <w:p w14:paraId="5DDDE243" w14:textId="406BA242" w:rsidR="00F43F02" w:rsidRPr="00ED1C7E" w:rsidRDefault="00A05ECF" w:rsidP="00BF6F91">
            <w:pPr>
              <w:pStyle w:val="TableText"/>
              <w:spacing w:before="40" w:after="40"/>
              <w:rPr>
                <w:rFonts w:cs="Calibri"/>
                <w:szCs w:val="18"/>
              </w:rPr>
            </w:pPr>
            <w:r w:rsidRPr="00ED1C7E">
              <w:rPr>
                <w:rFonts w:cs="Calibri"/>
                <w:szCs w:val="18"/>
              </w:rPr>
              <w:t>Nil</w:t>
            </w:r>
          </w:p>
        </w:tc>
      </w:tr>
      <w:tr w:rsidR="00F43F02" w:rsidRPr="00ED1C7E" w14:paraId="6CADEBD3" w14:textId="77777777" w:rsidTr="00BF6F91">
        <w:tc>
          <w:tcPr>
            <w:tcW w:w="4820" w:type="dxa"/>
            <w:gridSpan w:val="4"/>
          </w:tcPr>
          <w:p w14:paraId="7BB9E072" w14:textId="77777777" w:rsidR="00F43F02" w:rsidRPr="00ED1C7E" w:rsidRDefault="00F43F02" w:rsidP="00BF6F91">
            <w:pPr>
              <w:pStyle w:val="TableText"/>
              <w:spacing w:before="40" w:after="40"/>
              <w:rPr>
                <w:rFonts w:cs="Calibri"/>
                <w:szCs w:val="18"/>
              </w:rPr>
            </w:pPr>
            <w:r w:rsidRPr="00ED1C7E">
              <w:rPr>
                <w:rFonts w:cs="Calibri"/>
                <w:szCs w:val="18"/>
              </w:rPr>
              <w:t>Any other plant or process under this category</w:t>
            </w:r>
          </w:p>
        </w:tc>
        <w:tc>
          <w:tcPr>
            <w:tcW w:w="1559" w:type="dxa"/>
          </w:tcPr>
          <w:p w14:paraId="24E46D60" w14:textId="77777777" w:rsidR="00F43F02" w:rsidRPr="00ED1C7E" w:rsidRDefault="00F43F02" w:rsidP="00BF6F91">
            <w:pPr>
              <w:pStyle w:val="TableText"/>
              <w:spacing w:before="40" w:after="40"/>
              <w:rPr>
                <w:rFonts w:cs="Calibri"/>
                <w:szCs w:val="18"/>
              </w:rPr>
            </w:pPr>
            <w:r w:rsidRPr="00ED1C7E">
              <w:rPr>
                <w:rFonts w:cs="Calibri"/>
                <w:szCs w:val="18"/>
              </w:rPr>
              <w:t>0.0009</w:t>
            </w:r>
          </w:p>
        </w:tc>
        <w:tc>
          <w:tcPr>
            <w:tcW w:w="2126" w:type="dxa"/>
          </w:tcPr>
          <w:p w14:paraId="6A44CE5E" w14:textId="3935DFDD" w:rsidR="00F43F02" w:rsidRPr="00ED1C7E" w:rsidRDefault="0026171E" w:rsidP="00BF6F91">
            <w:pPr>
              <w:pStyle w:val="TableText"/>
              <w:spacing w:before="40" w:after="40"/>
              <w:rPr>
                <w:rFonts w:cs="Calibri"/>
                <w:szCs w:val="18"/>
              </w:rPr>
            </w:pPr>
            <w:r w:rsidRPr="00ED1C7E">
              <w:rPr>
                <w:rFonts w:cs="Calibri"/>
                <w:szCs w:val="18"/>
              </w:rPr>
              <w:t>(No change)</w:t>
            </w:r>
          </w:p>
        </w:tc>
      </w:tr>
    </w:tbl>
    <w:p w14:paraId="71C1337F" w14:textId="7CDE9A7B" w:rsidR="00E56565" w:rsidRPr="00ED1C7E" w:rsidRDefault="00E56565" w:rsidP="001D4FFD">
      <w:pPr>
        <w:pStyle w:val="Heading4"/>
        <w:spacing w:before="240"/>
      </w:pPr>
      <w:r w:rsidRPr="00ED1C7E">
        <w:t xml:space="preserve">Option 2b: </w:t>
      </w:r>
      <w:r w:rsidR="00277350" w:rsidRPr="00ED1C7E">
        <w:t>U</w:t>
      </w:r>
      <w:r w:rsidRPr="00ED1C7E">
        <w:t xml:space="preserve">pdate </w:t>
      </w:r>
      <w:r w:rsidR="00277350" w:rsidRPr="00ED1C7E">
        <w:t xml:space="preserve">methodologies </w:t>
      </w:r>
      <w:r w:rsidRPr="00ED1C7E">
        <w:t xml:space="preserve">UEF </w:t>
      </w:r>
      <w:r w:rsidR="00277350" w:rsidRPr="00ED1C7E">
        <w:t xml:space="preserve">and SEIP </w:t>
      </w:r>
      <w:r w:rsidRPr="00ED1C7E">
        <w:t>Regulations</w:t>
      </w:r>
    </w:p>
    <w:p w14:paraId="1BE18B38" w14:textId="17210526" w:rsidR="00E56565" w:rsidRPr="00ED1C7E" w:rsidRDefault="00560FE0" w:rsidP="00E56565">
      <w:pPr>
        <w:pStyle w:val="BodyText"/>
      </w:pPr>
      <w:r w:rsidRPr="00ED1C7E">
        <w:t>This option involve</w:t>
      </w:r>
      <w:r w:rsidR="008913B2" w:rsidRPr="00ED1C7E">
        <w:t>s</w:t>
      </w:r>
      <w:r w:rsidRPr="00ED1C7E">
        <w:t xml:space="preserve"> updating</w:t>
      </w:r>
      <w:r w:rsidR="00E56565" w:rsidRPr="00ED1C7E">
        <w:t xml:space="preserve"> current methodologies for calculating UEFs and</w:t>
      </w:r>
      <w:r w:rsidRPr="00ED1C7E">
        <w:t xml:space="preserve"> adding</w:t>
      </w:r>
      <w:r w:rsidR="00E56565" w:rsidRPr="00ED1C7E">
        <w:t xml:space="preserve"> additional methods</w:t>
      </w:r>
      <w:r w:rsidR="007B28BE" w:rsidRPr="00ED1C7E">
        <w:t>,</w:t>
      </w:r>
      <w:r w:rsidR="00E56565" w:rsidRPr="00ED1C7E">
        <w:t xml:space="preserve"> to better account for improvements to processes for re-injecting NCGs.</w:t>
      </w:r>
      <w:r w:rsidR="00E83803">
        <w:t> </w:t>
      </w:r>
      <w:r w:rsidR="00277350" w:rsidRPr="00ED1C7E">
        <w:t>This will require changes to both UEF and SEIP Regulations.</w:t>
      </w:r>
    </w:p>
    <w:p w14:paraId="36A6B564" w14:textId="6A253F8E" w:rsidR="00E56565" w:rsidRPr="00ED1C7E" w:rsidRDefault="00E56565" w:rsidP="00E56565">
      <w:pPr>
        <w:pStyle w:val="BodyText"/>
      </w:pPr>
      <w:r w:rsidRPr="00ED1C7E">
        <w:t xml:space="preserve">The sampling methods allowed by the regulations are not sufficient when there is significant re-injection of NCGs occurring at a plant. Updates to the methodologies </w:t>
      </w:r>
      <w:r w:rsidR="00147F77" w:rsidRPr="00ED1C7E">
        <w:t xml:space="preserve">will </w:t>
      </w:r>
      <w:r w:rsidRPr="00ED1C7E">
        <w:t>include sampling and analysis procedures that could be carried out at the high</w:t>
      </w:r>
      <w:r w:rsidR="00675937">
        <w:t>-</w:t>
      </w:r>
      <w:r w:rsidRPr="00ED1C7E">
        <w:t xml:space="preserve">pressure levels required </w:t>
      </w:r>
      <w:r w:rsidR="00DE678B" w:rsidRPr="00ED1C7E">
        <w:t xml:space="preserve">to </w:t>
      </w:r>
      <w:r w:rsidR="00DE678B" w:rsidRPr="00ED1C7E">
        <w:rPr>
          <w:spacing w:val="-2"/>
        </w:rPr>
        <w:t xml:space="preserve">enable </w:t>
      </w:r>
      <w:r w:rsidRPr="00ED1C7E">
        <w:rPr>
          <w:spacing w:val="-2"/>
        </w:rPr>
        <w:t>significant levels of NCG re-injection. The recommended additions to the methodologies</w:t>
      </w:r>
      <w:r w:rsidRPr="00ED1C7E">
        <w:t xml:space="preserve"> are the mass</w:t>
      </w:r>
      <w:r w:rsidR="00DE678B" w:rsidRPr="00ED1C7E">
        <w:t>-</w:t>
      </w:r>
      <w:r w:rsidRPr="00ED1C7E">
        <w:t>balance approach, direct gas flow measurement</w:t>
      </w:r>
      <w:r w:rsidR="00DE678B" w:rsidRPr="00ED1C7E">
        <w:t>,</w:t>
      </w:r>
      <w:r w:rsidRPr="00ED1C7E">
        <w:t xml:space="preserve"> and a verifiable set</w:t>
      </w:r>
      <w:r w:rsidR="00DE678B" w:rsidRPr="00ED1C7E">
        <w:t>-</w:t>
      </w:r>
      <w:r w:rsidRPr="00ED1C7E">
        <w:t>up for 100</w:t>
      </w:r>
      <w:r w:rsidR="00F01641">
        <w:t xml:space="preserve"> per cent</w:t>
      </w:r>
      <w:r w:rsidR="00F01641" w:rsidRPr="00ED1C7E">
        <w:t xml:space="preserve"> </w:t>
      </w:r>
      <w:r w:rsidRPr="00ED1C7E">
        <w:t>re-injection of NCGs</w:t>
      </w:r>
      <w:r w:rsidR="00DE678B" w:rsidRPr="00ED1C7E">
        <w:t>, all of which are described above</w:t>
      </w:r>
      <w:r w:rsidRPr="00ED1C7E">
        <w:t>.</w:t>
      </w:r>
    </w:p>
    <w:p w14:paraId="19259541" w14:textId="6922EEB2" w:rsidR="000D007A" w:rsidRPr="00ED1C7E" w:rsidRDefault="000D007A" w:rsidP="00971C99">
      <w:pPr>
        <w:pStyle w:val="Heading4"/>
      </w:pPr>
      <w:r w:rsidRPr="00ED1C7E">
        <w:lastRenderedPageBreak/>
        <w:t>Option 3: Improve the regulatory approach</w:t>
      </w:r>
      <w:r w:rsidR="006F4AF1" w:rsidRPr="00ED1C7E">
        <w:t xml:space="preserve"> (preferred option)</w:t>
      </w:r>
    </w:p>
    <w:p w14:paraId="72B8DCF8" w14:textId="5C985E3D" w:rsidR="00A7615D" w:rsidRPr="00ED1C7E" w:rsidRDefault="00A7615D" w:rsidP="00564002">
      <w:pPr>
        <w:pStyle w:val="BodyText"/>
        <w:spacing w:before="100" w:after="100"/>
      </w:pPr>
      <w:r w:rsidRPr="00ED1C7E">
        <w:t>Under this option, the structure of the regulations that apply to geothermal activities would</w:t>
      </w:r>
      <w:r w:rsidR="00C00624">
        <w:t xml:space="preserve"> </w:t>
      </w:r>
      <w:r w:rsidRPr="00ED1C7E">
        <w:t>remove the DEFs and UEFs, or otherwise streamline the process by which they are</w:t>
      </w:r>
      <w:r w:rsidR="00C00624">
        <w:t xml:space="preserve"> </w:t>
      </w:r>
      <w:r w:rsidRPr="00ED1C7E">
        <w:t>established.</w:t>
      </w:r>
    </w:p>
    <w:p w14:paraId="390216E5" w14:textId="74B49E8E" w:rsidR="00A7615D" w:rsidRPr="00ED1C7E" w:rsidRDefault="00A7615D" w:rsidP="00564002">
      <w:pPr>
        <w:pStyle w:val="BodyText"/>
        <w:spacing w:before="100" w:after="100"/>
      </w:pPr>
      <w:r w:rsidRPr="00ED1C7E">
        <w:t xml:space="preserve">Data received from participants </w:t>
      </w:r>
      <w:r w:rsidR="00A05B4E">
        <w:t>through</w:t>
      </w:r>
      <w:r w:rsidR="00A05B4E" w:rsidRPr="00ED1C7E">
        <w:t xml:space="preserve"> </w:t>
      </w:r>
      <w:r w:rsidRPr="00ED1C7E">
        <w:t>their emissions reports could directly determine their emissions obligations, whether through bypassing the use of UEFs and DEFs entirely, or by allowing consistent UEFs to inform updated DEFs in regulations if there is no (or negligible) change over a period of years (</w:t>
      </w:r>
      <w:r w:rsidR="00F40C11">
        <w:t>e</w:t>
      </w:r>
      <w:r w:rsidR="006C79D2">
        <w:t>.</w:t>
      </w:r>
      <w:r w:rsidR="00F40C11">
        <w:t>g</w:t>
      </w:r>
      <w:r w:rsidR="006C79D2">
        <w:t>.</w:t>
      </w:r>
      <w:r w:rsidRPr="00ED1C7E">
        <w:t xml:space="preserve"> by </w:t>
      </w:r>
      <w:r w:rsidR="008F3A26" w:rsidRPr="00ED1C7E">
        <w:t>setting the DEF based on a rolling average of recent UEFs)</w:t>
      </w:r>
      <w:r w:rsidRPr="00ED1C7E">
        <w:t>.</w:t>
      </w:r>
    </w:p>
    <w:p w14:paraId="62E2D35D" w14:textId="20353253" w:rsidR="00DC7DC8" w:rsidRPr="00ED1C7E" w:rsidRDefault="00A7615D" w:rsidP="00564002">
      <w:pPr>
        <w:pStyle w:val="BodyText"/>
        <w:spacing w:before="100" w:after="100"/>
      </w:pPr>
      <w:r w:rsidRPr="00ED1C7E">
        <w:t>Updates to the methodologies used for calculating UEFs would still need to be made to reflect current mitigation opportunities around re-injection of NCGs, as this information would still be necessary under an improved approach.</w:t>
      </w:r>
    </w:p>
    <w:p w14:paraId="21E6066D" w14:textId="0991430C" w:rsidR="00861FE4" w:rsidRPr="00ED1C7E" w:rsidRDefault="00861FE4" w:rsidP="00E775C8">
      <w:pPr>
        <w:pStyle w:val="Heading3"/>
        <w:spacing w:before="120"/>
      </w:pPr>
      <w:r w:rsidRPr="00ED1C7E">
        <w:t>Analysis</w:t>
      </w:r>
    </w:p>
    <w:p w14:paraId="28EBA6F2" w14:textId="5B19F727" w:rsidR="00427A67" w:rsidRPr="00ED1C7E" w:rsidRDefault="00353E88" w:rsidP="00564002">
      <w:pPr>
        <w:pStyle w:val="BodyText"/>
        <w:spacing w:before="100" w:after="100"/>
      </w:pPr>
      <w:r w:rsidRPr="00ED1C7E">
        <w:fldChar w:fldCharType="begin"/>
      </w:r>
      <w:r w:rsidRPr="00ED1C7E">
        <w:instrText xml:space="preserve"> REF _Ref160095499 \h </w:instrText>
      </w:r>
      <w:r w:rsidRPr="00ED1C7E">
        <w:fldChar w:fldCharType="separate"/>
      </w:r>
      <w:r w:rsidR="00C60130" w:rsidRPr="00ED1C7E">
        <w:t xml:space="preserve">Table </w:t>
      </w:r>
      <w:r w:rsidR="00C60130">
        <w:rPr>
          <w:noProof/>
        </w:rPr>
        <w:t>4</w:t>
      </w:r>
      <w:r w:rsidRPr="00ED1C7E">
        <w:fldChar w:fldCharType="end"/>
      </w:r>
      <w:r w:rsidRPr="00ED1C7E">
        <w:t xml:space="preserve"> outlines an assessment of </w:t>
      </w:r>
      <w:r w:rsidR="00427A67" w:rsidRPr="00ED1C7E">
        <w:t>the option</w:t>
      </w:r>
      <w:r w:rsidR="00A21825" w:rsidRPr="00ED1C7E">
        <w:t>s</w:t>
      </w:r>
      <w:r w:rsidR="00427A67" w:rsidRPr="00ED1C7E">
        <w:t xml:space="preserve"> </w:t>
      </w:r>
      <w:r w:rsidR="004D1BA1" w:rsidRPr="00ED1C7E">
        <w:t>described above</w:t>
      </w:r>
      <w:r w:rsidR="00427A67" w:rsidRPr="00ED1C7E">
        <w:t>.</w:t>
      </w:r>
      <w:r w:rsidR="00591295" w:rsidRPr="00ED1C7E">
        <w:t xml:space="preserve"> </w:t>
      </w:r>
      <w:r w:rsidR="008D5799" w:rsidRPr="00ED1C7E">
        <w:t xml:space="preserve">To assist with interpretation of the analysis in the table, see the </w:t>
      </w:r>
      <w:hyperlink w:anchor="_Criteria_for_assessing" w:history="1">
        <w:r w:rsidR="008D5799" w:rsidRPr="00ED1C7E">
          <w:rPr>
            <w:rStyle w:val="Hyperlink"/>
          </w:rPr>
          <w:t>Criteria for assessing options</w:t>
        </w:r>
      </w:hyperlink>
      <w:r w:rsidR="008D5799" w:rsidRPr="00ED1C7E">
        <w:t xml:space="preserve"> section.</w:t>
      </w:r>
    </w:p>
    <w:p w14:paraId="3BB2C5C3" w14:textId="75BF4427" w:rsidR="00AC3425" w:rsidRPr="00ED1C7E" w:rsidRDefault="00AC3425" w:rsidP="00564002">
      <w:pPr>
        <w:pStyle w:val="BodyText"/>
        <w:spacing w:before="100" w:after="100"/>
      </w:pPr>
      <w:r w:rsidRPr="00ED1C7E">
        <w:t>Options 2a and 2b could be progressed separately or together</w:t>
      </w:r>
      <w:r w:rsidR="002B61B4" w:rsidRPr="00ED1C7E">
        <w:t xml:space="preserve">. However, Option 3 </w:t>
      </w:r>
      <w:r w:rsidR="0022644D" w:rsidRPr="00ED1C7E">
        <w:t xml:space="preserve">would entirely replace </w:t>
      </w:r>
      <w:r w:rsidR="005E37EB" w:rsidRPr="00ED1C7E">
        <w:t>Option 2a</w:t>
      </w:r>
      <w:r w:rsidR="0011673E" w:rsidRPr="00ED1C7E">
        <w:t>.</w:t>
      </w:r>
      <w:r w:rsidR="005E37EB" w:rsidRPr="00ED1C7E">
        <w:t xml:space="preserve"> </w:t>
      </w:r>
      <w:r w:rsidR="0011673E" w:rsidRPr="00ED1C7E">
        <w:t xml:space="preserve">The methodologies proposed for inclusion as part of Option 2b will be relevant for implementing Option 3, but </w:t>
      </w:r>
      <w:r w:rsidR="0040026D" w:rsidRPr="00ED1C7E">
        <w:t xml:space="preserve">they </w:t>
      </w:r>
      <w:r w:rsidR="0011673E" w:rsidRPr="00ED1C7E">
        <w:t xml:space="preserve">would </w:t>
      </w:r>
      <w:r w:rsidR="002A281E" w:rsidRPr="00ED1C7E">
        <w:t>apply to the continuous monitoring approach</w:t>
      </w:r>
      <w:r w:rsidR="0040026D" w:rsidRPr="00ED1C7E">
        <w:t>,</w:t>
      </w:r>
      <w:r w:rsidR="002A281E" w:rsidRPr="00ED1C7E">
        <w:t xml:space="preserve"> rather than be</w:t>
      </w:r>
      <w:r w:rsidR="0040026D" w:rsidRPr="00ED1C7E">
        <w:t>ing</w:t>
      </w:r>
      <w:r w:rsidR="002A281E" w:rsidRPr="00ED1C7E">
        <w:t xml:space="preserve"> used </w:t>
      </w:r>
      <w:r w:rsidR="0043635B" w:rsidRPr="00ED1C7E">
        <w:t xml:space="preserve">in the context of </w:t>
      </w:r>
      <w:r w:rsidR="002A281E" w:rsidRPr="00ED1C7E">
        <w:t>UEFs</w:t>
      </w:r>
      <w:r w:rsidR="0011673E" w:rsidRPr="00ED1C7E">
        <w:t>.</w:t>
      </w:r>
    </w:p>
    <w:p w14:paraId="3449F6CB" w14:textId="5A645113" w:rsidR="009A7FCC" w:rsidRPr="00ED1C7E" w:rsidRDefault="009A7FCC" w:rsidP="003340AB">
      <w:pPr>
        <w:pStyle w:val="Tableheading"/>
      </w:pPr>
      <w:bookmarkStart w:id="26" w:name="_Ref160095499"/>
      <w:bookmarkStart w:id="27" w:name="_Toc165532911"/>
      <w:r w:rsidRPr="00ED1C7E">
        <w:t xml:space="preserve">Table </w:t>
      </w:r>
      <w:r w:rsidR="00594215">
        <w:fldChar w:fldCharType="begin"/>
      </w:r>
      <w:r w:rsidR="00594215">
        <w:instrText xml:space="preserve"> SEQ Table \* ARABIC </w:instrText>
      </w:r>
      <w:r w:rsidR="00594215">
        <w:fldChar w:fldCharType="separate"/>
      </w:r>
      <w:r w:rsidR="00C60130">
        <w:rPr>
          <w:noProof/>
        </w:rPr>
        <w:t>4</w:t>
      </w:r>
      <w:r w:rsidR="00594215">
        <w:rPr>
          <w:noProof/>
        </w:rPr>
        <w:fldChar w:fldCharType="end"/>
      </w:r>
      <w:bookmarkEnd w:id="26"/>
      <w:r w:rsidRPr="00ED1C7E">
        <w:t xml:space="preserve">: </w:t>
      </w:r>
      <w:r w:rsidR="005437FD" w:rsidRPr="00ED1C7E">
        <w:tab/>
      </w:r>
      <w:r w:rsidRPr="00ED1C7E">
        <w:t xml:space="preserve">Options for updates to </w:t>
      </w:r>
      <w:r w:rsidR="00221ACF" w:rsidRPr="00ED1C7E">
        <w:t>NZ ETS</w:t>
      </w:r>
      <w:r w:rsidRPr="00ED1C7E">
        <w:t xml:space="preserve"> regulations for geothermal activities</w:t>
      </w:r>
      <w:bookmarkEnd w:id="27"/>
    </w:p>
    <w:tbl>
      <w:tblPr>
        <w:tblStyle w:val="TableGrid"/>
        <w:tblW w:w="8505"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CellMar>
          <w:left w:w="85" w:type="dxa"/>
          <w:right w:w="85" w:type="dxa"/>
        </w:tblCellMar>
        <w:tblLook w:val="04A0" w:firstRow="1" w:lastRow="0" w:firstColumn="1" w:lastColumn="0" w:noHBand="0" w:noVBand="1"/>
      </w:tblPr>
      <w:tblGrid>
        <w:gridCol w:w="1078"/>
        <w:gridCol w:w="1015"/>
        <w:gridCol w:w="2024"/>
        <w:gridCol w:w="2084"/>
        <w:gridCol w:w="2304"/>
      </w:tblGrid>
      <w:tr w:rsidR="00564002" w:rsidRPr="00ED1C7E" w14:paraId="7CDFBB45" w14:textId="195A6CAC" w:rsidTr="00564002">
        <w:trPr>
          <w:tblHeader/>
        </w:trPr>
        <w:tc>
          <w:tcPr>
            <w:tcW w:w="1079" w:type="dxa"/>
            <w:shd w:val="clear" w:color="auto" w:fill="1B556B"/>
            <w:vAlign w:val="bottom"/>
          </w:tcPr>
          <w:p w14:paraId="3628733B" w14:textId="77777777" w:rsidR="000D007A" w:rsidRPr="00ED1C7E" w:rsidRDefault="000D007A" w:rsidP="004C7543">
            <w:pPr>
              <w:pStyle w:val="TableTextbold"/>
              <w:spacing w:before="40" w:after="40"/>
              <w:rPr>
                <w:color w:val="FFFFFF" w:themeColor="background1"/>
              </w:rPr>
            </w:pPr>
            <w:r w:rsidRPr="00ED1C7E">
              <w:rPr>
                <w:color w:val="FFFFFF" w:themeColor="background1"/>
              </w:rPr>
              <w:t>Criteria</w:t>
            </w:r>
          </w:p>
        </w:tc>
        <w:tc>
          <w:tcPr>
            <w:tcW w:w="1021" w:type="dxa"/>
            <w:shd w:val="clear" w:color="auto" w:fill="1B556B"/>
            <w:vAlign w:val="bottom"/>
          </w:tcPr>
          <w:p w14:paraId="48D98084" w14:textId="77777777" w:rsidR="000D007A" w:rsidRPr="00ED1C7E" w:rsidRDefault="000D007A" w:rsidP="004C7543">
            <w:pPr>
              <w:pStyle w:val="TableTextbold"/>
              <w:spacing w:before="40" w:after="40"/>
              <w:rPr>
                <w:color w:val="FFFFFF" w:themeColor="background1"/>
              </w:rPr>
            </w:pPr>
            <w:r w:rsidRPr="00ED1C7E">
              <w:rPr>
                <w:color w:val="FFFFFF" w:themeColor="background1"/>
              </w:rPr>
              <w:t>Option 1: Status quo</w:t>
            </w:r>
          </w:p>
        </w:tc>
        <w:tc>
          <w:tcPr>
            <w:tcW w:w="2041" w:type="dxa"/>
            <w:shd w:val="clear" w:color="auto" w:fill="1B556B"/>
            <w:vAlign w:val="bottom"/>
          </w:tcPr>
          <w:p w14:paraId="5B2418E0" w14:textId="53E134DB" w:rsidR="000D007A" w:rsidRPr="00ED1C7E" w:rsidRDefault="000D007A" w:rsidP="004C7543">
            <w:pPr>
              <w:pStyle w:val="TableTextbold"/>
              <w:spacing w:before="40" w:after="40"/>
              <w:rPr>
                <w:color w:val="FFFFFF" w:themeColor="background1"/>
              </w:rPr>
            </w:pPr>
            <w:r w:rsidRPr="00ED1C7E">
              <w:rPr>
                <w:color w:val="FFFFFF" w:themeColor="background1"/>
              </w:rPr>
              <w:t>Option 2a:</w:t>
            </w:r>
            <w:r w:rsidRPr="00ED1C7E">
              <w:rPr>
                <w:color w:val="FFFFFF" w:themeColor="background1"/>
              </w:rPr>
              <w:br/>
              <w:t xml:space="preserve">Directly update the </w:t>
            </w:r>
            <w:r w:rsidR="00277350" w:rsidRPr="00ED1C7E">
              <w:rPr>
                <w:color w:val="FFFFFF" w:themeColor="background1"/>
              </w:rPr>
              <w:t xml:space="preserve">DEFs in </w:t>
            </w:r>
            <w:r w:rsidRPr="00ED1C7E">
              <w:rPr>
                <w:color w:val="FFFFFF" w:themeColor="background1"/>
              </w:rPr>
              <w:t>SEIP Regulations</w:t>
            </w:r>
          </w:p>
        </w:tc>
        <w:tc>
          <w:tcPr>
            <w:tcW w:w="2098" w:type="dxa"/>
            <w:shd w:val="clear" w:color="auto" w:fill="1B556B"/>
            <w:vAlign w:val="bottom"/>
          </w:tcPr>
          <w:p w14:paraId="5303FB36" w14:textId="48FADA0C" w:rsidR="000D007A" w:rsidRPr="00ED1C7E" w:rsidRDefault="000D007A" w:rsidP="004C7543">
            <w:pPr>
              <w:pStyle w:val="TableTextbold"/>
              <w:spacing w:before="40" w:after="40"/>
              <w:rPr>
                <w:color w:val="FFFFFF" w:themeColor="background1"/>
              </w:rPr>
            </w:pPr>
            <w:r w:rsidRPr="00ED1C7E">
              <w:rPr>
                <w:color w:val="FFFFFF" w:themeColor="background1"/>
              </w:rPr>
              <w:t>Option 2b:</w:t>
            </w:r>
            <w:r w:rsidRPr="00ED1C7E">
              <w:rPr>
                <w:color w:val="FFFFFF" w:themeColor="background1"/>
              </w:rPr>
              <w:br/>
              <w:t xml:space="preserve">Update </w:t>
            </w:r>
            <w:r w:rsidR="00277350" w:rsidRPr="00ED1C7E">
              <w:rPr>
                <w:color w:val="FFFFFF" w:themeColor="background1"/>
              </w:rPr>
              <w:t xml:space="preserve">methodologies in </w:t>
            </w:r>
            <w:r w:rsidRPr="00ED1C7E">
              <w:rPr>
                <w:color w:val="FFFFFF" w:themeColor="background1"/>
              </w:rPr>
              <w:t xml:space="preserve">UEF </w:t>
            </w:r>
            <w:r w:rsidR="00435CF2">
              <w:rPr>
                <w:color w:val="FFFFFF" w:themeColor="background1"/>
              </w:rPr>
              <w:t>and</w:t>
            </w:r>
            <w:r w:rsidR="00277350" w:rsidRPr="00ED1C7E">
              <w:rPr>
                <w:color w:val="FFFFFF" w:themeColor="background1"/>
              </w:rPr>
              <w:t xml:space="preserve"> SEIP </w:t>
            </w:r>
            <w:r w:rsidRPr="00ED1C7E">
              <w:rPr>
                <w:color w:val="FFFFFF" w:themeColor="background1"/>
              </w:rPr>
              <w:t>Regulations</w:t>
            </w:r>
          </w:p>
        </w:tc>
        <w:tc>
          <w:tcPr>
            <w:tcW w:w="2325" w:type="dxa"/>
            <w:shd w:val="clear" w:color="auto" w:fill="1B556B"/>
            <w:vAlign w:val="bottom"/>
          </w:tcPr>
          <w:p w14:paraId="6193E9A6" w14:textId="5E0D93F4" w:rsidR="000D007A" w:rsidRPr="00ED1C7E" w:rsidRDefault="000D007A" w:rsidP="004C7543">
            <w:pPr>
              <w:pStyle w:val="TableTextbold"/>
              <w:spacing w:before="40" w:after="40"/>
              <w:rPr>
                <w:color w:val="FFFFFF" w:themeColor="background1"/>
              </w:rPr>
            </w:pPr>
            <w:r w:rsidRPr="00ED1C7E">
              <w:rPr>
                <w:color w:val="FFFFFF" w:themeColor="background1"/>
              </w:rPr>
              <w:t>Option 3:</w:t>
            </w:r>
            <w:r w:rsidRPr="00ED1C7E">
              <w:rPr>
                <w:color w:val="FFFFFF" w:themeColor="background1"/>
              </w:rPr>
              <w:br/>
              <w:t>Improve the regulatory approach</w:t>
            </w:r>
          </w:p>
        </w:tc>
      </w:tr>
      <w:tr w:rsidR="000D007A" w:rsidRPr="00ED1C7E" w14:paraId="01D7866A" w14:textId="0E475053" w:rsidTr="00564002">
        <w:tc>
          <w:tcPr>
            <w:tcW w:w="1079" w:type="dxa"/>
            <w:shd w:val="clear" w:color="auto" w:fill="auto"/>
          </w:tcPr>
          <w:p w14:paraId="2E203470" w14:textId="77777777" w:rsidR="000D007A" w:rsidRPr="00ED1C7E" w:rsidRDefault="000D007A" w:rsidP="00E8490B">
            <w:pPr>
              <w:pStyle w:val="TableText"/>
              <w:spacing w:before="20" w:after="20"/>
            </w:pPr>
            <w:r w:rsidRPr="00ED1C7E">
              <w:t>Alignment</w:t>
            </w:r>
          </w:p>
        </w:tc>
        <w:tc>
          <w:tcPr>
            <w:tcW w:w="1021" w:type="dxa"/>
          </w:tcPr>
          <w:p w14:paraId="24887598" w14:textId="77777777" w:rsidR="000D007A" w:rsidRPr="00AC2EEE" w:rsidRDefault="000D007A" w:rsidP="00564002">
            <w:pPr>
              <w:pStyle w:val="TableText"/>
              <w:spacing w:before="20" w:after="20"/>
              <w:rPr>
                <w:b/>
                <w:bCs/>
                <w:sz w:val="20"/>
              </w:rPr>
            </w:pPr>
            <w:r w:rsidRPr="00AC2EEE">
              <w:rPr>
                <w:b/>
                <w:bCs/>
                <w:sz w:val="20"/>
              </w:rPr>
              <w:t>0</w:t>
            </w:r>
          </w:p>
        </w:tc>
        <w:tc>
          <w:tcPr>
            <w:tcW w:w="2041" w:type="dxa"/>
            <w:shd w:val="clear" w:color="auto" w:fill="auto"/>
          </w:tcPr>
          <w:p w14:paraId="634869D4" w14:textId="77777777" w:rsidR="00D6450D" w:rsidRPr="00AC2EEE" w:rsidRDefault="000D007A" w:rsidP="00D6450D">
            <w:pPr>
              <w:pStyle w:val="TableText"/>
              <w:keepNext/>
              <w:rPr>
                <w:rFonts w:cs="Arial"/>
                <w:b/>
                <w:color w:val="00B050"/>
                <w:sz w:val="20"/>
                <w:lang w:eastAsia="en-AU"/>
              </w:rPr>
            </w:pPr>
            <w:r w:rsidRPr="00AC2EEE">
              <w:rPr>
                <w:rFonts w:cs="Arial"/>
                <w:b/>
                <w:color w:val="00B050"/>
                <w:sz w:val="20"/>
                <w:lang w:eastAsia="en-AU"/>
              </w:rPr>
              <w:t>+</w:t>
            </w:r>
          </w:p>
          <w:p w14:paraId="221417F2" w14:textId="10C150E0" w:rsidR="000D007A" w:rsidRPr="00ED1C7E" w:rsidRDefault="000D007A" w:rsidP="00D6450D">
            <w:pPr>
              <w:pStyle w:val="TableText"/>
              <w:keepNext/>
              <w:rPr>
                <w:rFonts w:cs="Arial"/>
                <w:bCs/>
                <w:lang w:eastAsia="en-AU"/>
              </w:rPr>
            </w:pPr>
            <w:r w:rsidRPr="00ED1C7E">
              <w:rPr>
                <w:rFonts w:cs="Arial"/>
                <w:bCs/>
                <w:lang w:eastAsia="en-AU"/>
              </w:rPr>
              <w:t xml:space="preserve">Aligns with the proper functioning of the </w:t>
            </w:r>
            <w:r w:rsidR="00221ACF" w:rsidRPr="00ED1C7E">
              <w:rPr>
                <w:rFonts w:cs="Arial"/>
                <w:bCs/>
                <w:lang w:eastAsia="en-AU"/>
              </w:rPr>
              <w:t>NZ ETS</w:t>
            </w:r>
            <w:r w:rsidRPr="00ED1C7E">
              <w:rPr>
                <w:rFonts w:cs="Arial"/>
                <w:bCs/>
                <w:lang w:eastAsia="en-AU"/>
              </w:rPr>
              <w:t>.</w:t>
            </w:r>
          </w:p>
        </w:tc>
        <w:tc>
          <w:tcPr>
            <w:tcW w:w="2098" w:type="dxa"/>
          </w:tcPr>
          <w:p w14:paraId="72231F21" w14:textId="77777777" w:rsidR="00D6450D" w:rsidRPr="00AC2EEE" w:rsidRDefault="000D007A" w:rsidP="00D6450D">
            <w:pPr>
              <w:pStyle w:val="TableText"/>
              <w:keepNext/>
              <w:rPr>
                <w:rFonts w:cs="Arial"/>
                <w:b/>
                <w:color w:val="00B050"/>
                <w:sz w:val="20"/>
                <w:lang w:eastAsia="en-AU"/>
              </w:rPr>
            </w:pPr>
            <w:r w:rsidRPr="00AC2EEE">
              <w:rPr>
                <w:rFonts w:cs="Arial"/>
                <w:b/>
                <w:color w:val="00B050"/>
                <w:sz w:val="20"/>
                <w:lang w:eastAsia="en-AU"/>
              </w:rPr>
              <w:t>+</w:t>
            </w:r>
          </w:p>
          <w:p w14:paraId="58BEEB45" w14:textId="48835A11" w:rsidR="000D007A" w:rsidRPr="00ED1C7E" w:rsidRDefault="000D007A" w:rsidP="00D6450D">
            <w:pPr>
              <w:pStyle w:val="TableText"/>
              <w:keepNext/>
              <w:rPr>
                <w:rFonts w:cs="Arial"/>
                <w:b/>
                <w:color w:val="00B050"/>
                <w:lang w:eastAsia="en-AU"/>
              </w:rPr>
            </w:pPr>
            <w:r w:rsidRPr="00ED1C7E">
              <w:rPr>
                <w:rFonts w:cs="Arial"/>
                <w:bCs/>
                <w:lang w:eastAsia="en-AU"/>
              </w:rPr>
              <w:t>Aligns with the proper functioning of the ETS.</w:t>
            </w:r>
          </w:p>
        </w:tc>
        <w:tc>
          <w:tcPr>
            <w:tcW w:w="2325" w:type="dxa"/>
          </w:tcPr>
          <w:p w14:paraId="39192283" w14:textId="77777777" w:rsidR="00D6450D" w:rsidRPr="00AC2EEE" w:rsidRDefault="000D007A" w:rsidP="00564002">
            <w:pPr>
              <w:pStyle w:val="TableText"/>
              <w:keepNext/>
              <w:spacing w:before="20" w:after="20"/>
              <w:rPr>
                <w:rFonts w:cs="Arial"/>
                <w:b/>
                <w:color w:val="00B050"/>
                <w:sz w:val="20"/>
                <w:lang w:eastAsia="en-AU"/>
              </w:rPr>
            </w:pPr>
            <w:r w:rsidRPr="00AC2EEE">
              <w:rPr>
                <w:rFonts w:cs="Arial"/>
                <w:b/>
                <w:color w:val="00B050"/>
                <w:sz w:val="20"/>
                <w:lang w:eastAsia="en-AU"/>
              </w:rPr>
              <w:t>+</w:t>
            </w:r>
          </w:p>
          <w:p w14:paraId="011B1993" w14:textId="179E9079" w:rsidR="000D007A" w:rsidRPr="00ED1C7E" w:rsidRDefault="000D007A" w:rsidP="00564002">
            <w:pPr>
              <w:pStyle w:val="TableText"/>
              <w:keepNext/>
              <w:spacing w:before="20" w:after="20"/>
              <w:rPr>
                <w:rFonts w:cs="Arial"/>
                <w:b/>
                <w:color w:val="00B050"/>
                <w:lang w:eastAsia="en-AU"/>
              </w:rPr>
            </w:pPr>
            <w:r w:rsidRPr="00ED1C7E">
              <w:rPr>
                <w:rFonts w:cs="Arial"/>
                <w:bCs/>
                <w:lang w:eastAsia="en-AU"/>
              </w:rPr>
              <w:t xml:space="preserve">Aligns with the proper functioning of the </w:t>
            </w:r>
            <w:r w:rsidR="00221ACF" w:rsidRPr="00ED1C7E">
              <w:rPr>
                <w:rFonts w:cs="Arial"/>
                <w:bCs/>
                <w:lang w:eastAsia="en-AU"/>
              </w:rPr>
              <w:t>NZ ETS</w:t>
            </w:r>
            <w:r w:rsidRPr="00ED1C7E">
              <w:rPr>
                <w:rFonts w:cs="Arial"/>
                <w:bCs/>
                <w:lang w:eastAsia="en-AU"/>
              </w:rPr>
              <w:t>.</w:t>
            </w:r>
          </w:p>
        </w:tc>
      </w:tr>
      <w:tr w:rsidR="000D007A" w:rsidRPr="00ED1C7E" w14:paraId="01081431" w14:textId="7F59717C" w:rsidTr="00564002">
        <w:tc>
          <w:tcPr>
            <w:tcW w:w="1079" w:type="dxa"/>
            <w:shd w:val="clear" w:color="auto" w:fill="auto"/>
          </w:tcPr>
          <w:p w14:paraId="444C52AB" w14:textId="77777777" w:rsidR="000D007A" w:rsidRPr="00ED1C7E" w:rsidRDefault="000D007A" w:rsidP="00564002">
            <w:pPr>
              <w:pStyle w:val="TableText"/>
              <w:spacing w:before="20" w:after="20"/>
            </w:pPr>
            <w:r w:rsidRPr="00ED1C7E">
              <w:t>Accuracy</w:t>
            </w:r>
          </w:p>
        </w:tc>
        <w:tc>
          <w:tcPr>
            <w:tcW w:w="1021" w:type="dxa"/>
          </w:tcPr>
          <w:p w14:paraId="3F0C52E0" w14:textId="6D285D55" w:rsidR="000D007A" w:rsidRPr="00AC2EEE" w:rsidRDefault="00D6450D" w:rsidP="00564002">
            <w:pPr>
              <w:pStyle w:val="TableText"/>
              <w:spacing w:before="20" w:after="20"/>
              <w:rPr>
                <w:b/>
                <w:bCs/>
                <w:sz w:val="20"/>
              </w:rPr>
            </w:pPr>
            <w:r w:rsidRPr="00AC2EEE">
              <w:rPr>
                <w:b/>
                <w:bCs/>
                <w:sz w:val="20"/>
              </w:rPr>
              <w:t>0</w:t>
            </w:r>
          </w:p>
        </w:tc>
        <w:tc>
          <w:tcPr>
            <w:tcW w:w="2041" w:type="dxa"/>
            <w:shd w:val="clear" w:color="auto" w:fill="auto"/>
          </w:tcPr>
          <w:p w14:paraId="2387B55D" w14:textId="77777777" w:rsidR="00A722E3" w:rsidRPr="00AC2EEE" w:rsidRDefault="000D007A" w:rsidP="00E8490B">
            <w:pPr>
              <w:pStyle w:val="TableText"/>
              <w:keepNext/>
              <w:spacing w:before="20" w:after="20"/>
              <w:rPr>
                <w:rFonts w:cs="Arial"/>
                <w:b/>
                <w:color w:val="00B050"/>
                <w:sz w:val="20"/>
                <w:lang w:eastAsia="en-AU"/>
              </w:rPr>
            </w:pPr>
            <w:r w:rsidRPr="00AC2EEE">
              <w:rPr>
                <w:rFonts w:cs="Arial"/>
                <w:b/>
                <w:color w:val="00B050"/>
                <w:sz w:val="20"/>
                <w:lang w:eastAsia="en-AU"/>
              </w:rPr>
              <w:t>+</w:t>
            </w:r>
          </w:p>
          <w:p w14:paraId="56D4234E" w14:textId="372F100E" w:rsidR="000D007A" w:rsidRPr="00ED1C7E" w:rsidRDefault="000D007A" w:rsidP="00564002">
            <w:pPr>
              <w:pStyle w:val="TableText"/>
              <w:keepNext/>
              <w:spacing w:before="20" w:after="20"/>
              <w:rPr>
                <w:rFonts w:cs="Arial"/>
                <w:bCs/>
                <w:lang w:eastAsia="en-AU"/>
              </w:rPr>
            </w:pPr>
            <w:r w:rsidRPr="00ED1C7E">
              <w:rPr>
                <w:rFonts w:cs="Arial"/>
                <w:bCs/>
                <w:lang w:eastAsia="en-AU"/>
              </w:rPr>
              <w:t xml:space="preserve">Reported emissions and associated </w:t>
            </w:r>
            <w:r w:rsidR="00221ACF" w:rsidRPr="00ED1C7E">
              <w:rPr>
                <w:rFonts w:cs="Arial"/>
                <w:bCs/>
                <w:lang w:eastAsia="en-AU"/>
              </w:rPr>
              <w:t>NZ ETS</w:t>
            </w:r>
            <w:r w:rsidRPr="00ED1C7E">
              <w:rPr>
                <w:rFonts w:cs="Arial"/>
                <w:bCs/>
                <w:lang w:eastAsia="en-AU"/>
              </w:rPr>
              <w:t xml:space="preserve"> costs more consistent with actual emissions.</w:t>
            </w:r>
          </w:p>
        </w:tc>
        <w:tc>
          <w:tcPr>
            <w:tcW w:w="2098" w:type="dxa"/>
          </w:tcPr>
          <w:p w14:paraId="4B92FE96" w14:textId="77777777" w:rsidR="00A722E3" w:rsidRPr="00AC2EEE" w:rsidRDefault="000D007A" w:rsidP="00564002">
            <w:pPr>
              <w:pStyle w:val="TableText"/>
              <w:keepNext/>
              <w:spacing w:before="20" w:after="20"/>
              <w:rPr>
                <w:rFonts w:cs="Arial"/>
                <w:b/>
                <w:color w:val="00B050"/>
                <w:sz w:val="20"/>
                <w:lang w:eastAsia="en-AU"/>
              </w:rPr>
            </w:pPr>
            <w:r w:rsidRPr="00AC2EEE">
              <w:rPr>
                <w:rFonts w:cs="Arial"/>
                <w:b/>
                <w:color w:val="00B050"/>
                <w:sz w:val="20"/>
                <w:lang w:eastAsia="en-AU"/>
              </w:rPr>
              <w:t>+</w:t>
            </w:r>
          </w:p>
          <w:p w14:paraId="4ED91339" w14:textId="6076E098" w:rsidR="000D007A" w:rsidRPr="00ED1C7E" w:rsidRDefault="000D007A" w:rsidP="00564002">
            <w:pPr>
              <w:pStyle w:val="TableText"/>
              <w:keepNext/>
              <w:spacing w:before="20" w:after="20"/>
              <w:rPr>
                <w:rFonts w:cs="Arial"/>
                <w:b/>
                <w:color w:val="00B050"/>
                <w:lang w:eastAsia="en-AU"/>
              </w:rPr>
            </w:pPr>
            <w:r w:rsidRPr="00ED1C7E">
              <w:rPr>
                <w:rFonts w:cs="Arial"/>
                <w:bCs/>
                <w:lang w:eastAsia="en-AU"/>
              </w:rPr>
              <w:t xml:space="preserve">Reported emissions and associated </w:t>
            </w:r>
            <w:r w:rsidR="00221ACF" w:rsidRPr="00ED1C7E">
              <w:rPr>
                <w:rFonts w:cs="Arial"/>
                <w:bCs/>
                <w:lang w:eastAsia="en-AU"/>
              </w:rPr>
              <w:t>NZ ETS</w:t>
            </w:r>
            <w:r w:rsidRPr="00ED1C7E">
              <w:rPr>
                <w:rFonts w:cs="Arial"/>
                <w:bCs/>
                <w:lang w:eastAsia="en-AU"/>
              </w:rPr>
              <w:t xml:space="preserve"> costs more consistent with actual emissions.</w:t>
            </w:r>
          </w:p>
        </w:tc>
        <w:tc>
          <w:tcPr>
            <w:tcW w:w="2325" w:type="dxa"/>
          </w:tcPr>
          <w:p w14:paraId="7484015C" w14:textId="77777777" w:rsidR="00A722E3" w:rsidRPr="00AC2EEE" w:rsidRDefault="000D007A" w:rsidP="00564002">
            <w:pPr>
              <w:pStyle w:val="TableText"/>
              <w:keepNext/>
              <w:spacing w:before="20" w:after="20"/>
              <w:rPr>
                <w:rFonts w:cs="Arial"/>
                <w:b/>
                <w:color w:val="00B050"/>
                <w:sz w:val="20"/>
                <w:lang w:eastAsia="en-AU"/>
              </w:rPr>
            </w:pPr>
            <w:r w:rsidRPr="00AC2EEE">
              <w:rPr>
                <w:rFonts w:cs="Arial"/>
                <w:b/>
                <w:color w:val="00B050"/>
                <w:sz w:val="20"/>
                <w:lang w:eastAsia="en-AU"/>
              </w:rPr>
              <w:t>+ +</w:t>
            </w:r>
          </w:p>
          <w:p w14:paraId="233ADD64" w14:textId="1E06EAEE" w:rsidR="00301F41" w:rsidRPr="00A722E3" w:rsidRDefault="000D007A" w:rsidP="00564002">
            <w:pPr>
              <w:pStyle w:val="TableText"/>
              <w:keepNext/>
              <w:spacing w:before="20" w:after="20"/>
              <w:rPr>
                <w:rFonts w:cs="Arial"/>
                <w:bCs/>
                <w:lang w:eastAsia="en-AU"/>
              </w:rPr>
            </w:pPr>
            <w:r w:rsidRPr="00A722E3">
              <w:rPr>
                <w:rFonts w:cs="Arial"/>
                <w:bCs/>
                <w:lang w:eastAsia="en-AU"/>
              </w:rPr>
              <w:t xml:space="preserve">Reported emissions and associated </w:t>
            </w:r>
            <w:r w:rsidR="00221ACF" w:rsidRPr="00A722E3">
              <w:rPr>
                <w:rFonts w:cs="Arial"/>
                <w:bCs/>
                <w:lang w:eastAsia="en-AU"/>
              </w:rPr>
              <w:t>NZ ETS</w:t>
            </w:r>
            <w:r w:rsidRPr="00A722E3">
              <w:rPr>
                <w:rFonts w:cs="Arial"/>
                <w:bCs/>
                <w:lang w:eastAsia="en-AU"/>
              </w:rPr>
              <w:t xml:space="preserve"> costs more consistent with actual </w:t>
            </w:r>
            <w:proofErr w:type="gramStart"/>
            <w:r w:rsidRPr="00A722E3">
              <w:rPr>
                <w:rFonts w:cs="Arial"/>
                <w:bCs/>
                <w:lang w:eastAsia="en-AU"/>
              </w:rPr>
              <w:t>emissions</w:t>
            </w:r>
            <w:r w:rsidR="00055035" w:rsidRPr="00A722E3" w:rsidDel="00E8490B">
              <w:rPr>
                <w:rFonts w:cs="Arial"/>
                <w:bCs/>
                <w:lang w:eastAsia="en-AU"/>
              </w:rPr>
              <w:t>,</w:t>
            </w:r>
            <w:r w:rsidR="00055035" w:rsidRPr="00A722E3">
              <w:rPr>
                <w:rFonts w:cs="Arial"/>
                <w:bCs/>
                <w:lang w:eastAsia="en-AU"/>
              </w:rPr>
              <w:t xml:space="preserve"> and</w:t>
            </w:r>
            <w:proofErr w:type="gramEnd"/>
            <w:r w:rsidR="00055035" w:rsidRPr="00A722E3">
              <w:rPr>
                <w:rFonts w:cs="Arial"/>
                <w:bCs/>
                <w:lang w:eastAsia="en-AU"/>
              </w:rPr>
              <w:t xml:space="preserve"> maintain this </w:t>
            </w:r>
            <w:r w:rsidR="0037452D" w:rsidRPr="00A722E3">
              <w:rPr>
                <w:rFonts w:cs="Arial"/>
                <w:bCs/>
                <w:lang w:eastAsia="en-AU"/>
              </w:rPr>
              <w:t xml:space="preserve">consistency </w:t>
            </w:r>
            <w:r w:rsidR="00055035" w:rsidRPr="00A722E3">
              <w:rPr>
                <w:rFonts w:cs="Arial"/>
                <w:bCs/>
                <w:lang w:eastAsia="en-AU"/>
              </w:rPr>
              <w:t>over time</w:t>
            </w:r>
            <w:r w:rsidRPr="00A722E3">
              <w:rPr>
                <w:rFonts w:cs="Arial"/>
                <w:bCs/>
                <w:lang w:eastAsia="en-AU"/>
              </w:rPr>
              <w:t>.</w:t>
            </w:r>
          </w:p>
        </w:tc>
      </w:tr>
      <w:tr w:rsidR="000D007A" w:rsidRPr="00ED1C7E" w14:paraId="6BDA9183" w14:textId="191BBD29" w:rsidTr="00564002">
        <w:tc>
          <w:tcPr>
            <w:tcW w:w="1079" w:type="dxa"/>
          </w:tcPr>
          <w:p w14:paraId="2DFB5D37" w14:textId="77777777" w:rsidR="000D007A" w:rsidRPr="00ED1C7E" w:rsidRDefault="000D007A" w:rsidP="00564002">
            <w:pPr>
              <w:pStyle w:val="TableText"/>
              <w:spacing w:before="20" w:after="20"/>
            </w:pPr>
            <w:r w:rsidRPr="00ED1C7E">
              <w:t>Efficiency</w:t>
            </w:r>
          </w:p>
        </w:tc>
        <w:tc>
          <w:tcPr>
            <w:tcW w:w="1021" w:type="dxa"/>
          </w:tcPr>
          <w:p w14:paraId="1F33D06A" w14:textId="40B8932C" w:rsidR="000D007A" w:rsidRPr="00AC2EEE" w:rsidRDefault="00D6450D" w:rsidP="00564002">
            <w:pPr>
              <w:pStyle w:val="TableText"/>
              <w:spacing w:before="20" w:after="20"/>
              <w:rPr>
                <w:b/>
                <w:bCs/>
                <w:sz w:val="20"/>
              </w:rPr>
            </w:pPr>
            <w:r w:rsidRPr="00AC2EEE">
              <w:rPr>
                <w:b/>
                <w:bCs/>
                <w:sz w:val="20"/>
              </w:rPr>
              <w:t>0</w:t>
            </w:r>
          </w:p>
        </w:tc>
        <w:tc>
          <w:tcPr>
            <w:tcW w:w="2041" w:type="dxa"/>
          </w:tcPr>
          <w:p w14:paraId="06103468" w14:textId="77777777" w:rsidR="00A722E3" w:rsidRPr="00AC2EEE" w:rsidRDefault="000D007A" w:rsidP="00564002">
            <w:pPr>
              <w:pStyle w:val="TableText"/>
              <w:spacing w:before="20" w:after="20"/>
              <w:rPr>
                <w:b/>
                <w:bCs/>
                <w:color w:val="00B050"/>
                <w:sz w:val="20"/>
              </w:rPr>
            </w:pPr>
            <w:r w:rsidRPr="00AC2EEE">
              <w:rPr>
                <w:b/>
                <w:bCs/>
                <w:color w:val="00B050"/>
                <w:sz w:val="20"/>
              </w:rPr>
              <w:t>+</w:t>
            </w:r>
          </w:p>
          <w:p w14:paraId="21CF31C9" w14:textId="69C357E7" w:rsidR="000D007A" w:rsidRPr="00ED1C7E" w:rsidRDefault="000D007A" w:rsidP="00564002">
            <w:pPr>
              <w:pStyle w:val="TableText"/>
              <w:spacing w:before="20" w:after="20"/>
            </w:pPr>
            <w:r w:rsidRPr="00ED1C7E">
              <w:t>Potentially allows participants currently using a UEF to use an updated DEF instead.</w:t>
            </w:r>
          </w:p>
        </w:tc>
        <w:tc>
          <w:tcPr>
            <w:tcW w:w="2098" w:type="dxa"/>
          </w:tcPr>
          <w:p w14:paraId="3EB399AA" w14:textId="77777777" w:rsidR="00AC2EEE" w:rsidRPr="00AC2EEE" w:rsidRDefault="00AC2EEE" w:rsidP="00AC2EEE">
            <w:pPr>
              <w:pStyle w:val="TableText"/>
              <w:spacing w:before="20" w:after="20"/>
              <w:rPr>
                <w:b/>
                <w:bCs/>
                <w:color w:val="00B050"/>
                <w:sz w:val="20"/>
              </w:rPr>
            </w:pPr>
            <w:r w:rsidRPr="00AC2EEE">
              <w:rPr>
                <w:b/>
                <w:bCs/>
                <w:color w:val="00B050"/>
                <w:sz w:val="20"/>
              </w:rPr>
              <w:t>+</w:t>
            </w:r>
          </w:p>
          <w:p w14:paraId="00E81B63" w14:textId="0F2FEFCB" w:rsidR="00A722E3" w:rsidRPr="00A722E3" w:rsidRDefault="00B03645" w:rsidP="00564002">
            <w:pPr>
              <w:pStyle w:val="TableText"/>
              <w:spacing w:before="20" w:after="20"/>
            </w:pPr>
            <w:r w:rsidRPr="00A722E3">
              <w:t>Reduces</w:t>
            </w:r>
            <w:r w:rsidR="000D007A" w:rsidRPr="00A722E3">
              <w:t xml:space="preserve"> the need for participants to undergo lengthy and expensive sampling and analysis procedures.</w:t>
            </w:r>
          </w:p>
        </w:tc>
        <w:tc>
          <w:tcPr>
            <w:tcW w:w="2325" w:type="dxa"/>
          </w:tcPr>
          <w:p w14:paraId="370FF4C1" w14:textId="77777777" w:rsidR="00A722E3" w:rsidRPr="00AC2EEE" w:rsidRDefault="000D007A" w:rsidP="00564002">
            <w:pPr>
              <w:pStyle w:val="TableText"/>
              <w:spacing w:before="20" w:after="20"/>
              <w:rPr>
                <w:b/>
                <w:color w:val="00B050"/>
                <w:sz w:val="20"/>
              </w:rPr>
            </w:pPr>
            <w:r w:rsidRPr="00AC2EEE">
              <w:rPr>
                <w:rFonts w:cs="Arial"/>
                <w:b/>
                <w:color w:val="00B050"/>
                <w:sz w:val="20"/>
                <w:lang w:eastAsia="en-AU"/>
              </w:rPr>
              <w:t>+</w:t>
            </w:r>
          </w:p>
          <w:p w14:paraId="71A7A4C8" w14:textId="3704AA8F" w:rsidR="00301F41" w:rsidRPr="00A722E3" w:rsidRDefault="000D007A" w:rsidP="00564002">
            <w:pPr>
              <w:pStyle w:val="TableText"/>
              <w:spacing w:before="20" w:after="20"/>
            </w:pPr>
            <w:r w:rsidRPr="00ED1C7E">
              <w:t>Reduces the need for participants to apply for approval to use a UEF,</w:t>
            </w:r>
            <w:r w:rsidR="00DB4AFA" w:rsidRPr="00ED1C7E">
              <w:t xml:space="preserve"> but</w:t>
            </w:r>
            <w:r w:rsidRPr="00ED1C7E">
              <w:t xml:space="preserve"> less simple at this stage in the process than maintaining the existing approach.</w:t>
            </w:r>
          </w:p>
        </w:tc>
      </w:tr>
      <w:tr w:rsidR="000D007A" w:rsidRPr="00ED1C7E" w14:paraId="16721A92" w14:textId="14D27002" w:rsidTr="00564002">
        <w:tc>
          <w:tcPr>
            <w:tcW w:w="1079" w:type="dxa"/>
          </w:tcPr>
          <w:p w14:paraId="3B0D3175" w14:textId="77777777" w:rsidR="000D007A" w:rsidRPr="00ED1C7E" w:rsidRDefault="000D007A" w:rsidP="00564002">
            <w:pPr>
              <w:pStyle w:val="TableText"/>
              <w:spacing w:before="20" w:after="20"/>
            </w:pPr>
            <w:r w:rsidRPr="00ED1C7E">
              <w:t>Clarity</w:t>
            </w:r>
          </w:p>
        </w:tc>
        <w:tc>
          <w:tcPr>
            <w:tcW w:w="1021" w:type="dxa"/>
          </w:tcPr>
          <w:p w14:paraId="042F3617" w14:textId="5D1D44FB" w:rsidR="000D007A" w:rsidRPr="00AC2EEE" w:rsidRDefault="00D6450D" w:rsidP="00564002">
            <w:pPr>
              <w:pStyle w:val="TableText"/>
              <w:spacing w:before="20" w:after="20"/>
              <w:rPr>
                <w:b/>
                <w:bCs/>
                <w:sz w:val="20"/>
              </w:rPr>
            </w:pPr>
            <w:r w:rsidRPr="00AC2EEE">
              <w:rPr>
                <w:b/>
                <w:bCs/>
                <w:sz w:val="20"/>
              </w:rPr>
              <w:t>0</w:t>
            </w:r>
          </w:p>
        </w:tc>
        <w:tc>
          <w:tcPr>
            <w:tcW w:w="2041" w:type="dxa"/>
          </w:tcPr>
          <w:p w14:paraId="00AF560F" w14:textId="77777777" w:rsidR="00D6450D" w:rsidRPr="00AC2EEE" w:rsidRDefault="00D6450D" w:rsidP="00564002">
            <w:pPr>
              <w:pStyle w:val="TableText"/>
              <w:spacing w:before="20" w:after="20"/>
              <w:rPr>
                <w:b/>
                <w:bCs/>
                <w:sz w:val="20"/>
              </w:rPr>
            </w:pPr>
            <w:r w:rsidRPr="00AC2EEE">
              <w:rPr>
                <w:b/>
                <w:bCs/>
                <w:sz w:val="20"/>
              </w:rPr>
              <w:t>0</w:t>
            </w:r>
          </w:p>
          <w:p w14:paraId="223AC901" w14:textId="06EB01C3" w:rsidR="000D007A" w:rsidRPr="00ED1C7E" w:rsidRDefault="000D007A" w:rsidP="00564002">
            <w:pPr>
              <w:pStyle w:val="TableText"/>
              <w:spacing w:before="20" w:after="20"/>
            </w:pPr>
            <w:r w:rsidRPr="00ED1C7E">
              <w:t>No change for participants in how they report their emissions.</w:t>
            </w:r>
          </w:p>
        </w:tc>
        <w:tc>
          <w:tcPr>
            <w:tcW w:w="2098" w:type="dxa"/>
          </w:tcPr>
          <w:p w14:paraId="568C0B7B" w14:textId="77777777" w:rsidR="00D6450D" w:rsidRPr="00AC2EEE" w:rsidRDefault="00D6450D" w:rsidP="00564002">
            <w:pPr>
              <w:pStyle w:val="TableText"/>
              <w:spacing w:before="20" w:after="20"/>
              <w:rPr>
                <w:b/>
                <w:bCs/>
                <w:sz w:val="20"/>
              </w:rPr>
            </w:pPr>
            <w:r w:rsidRPr="00AC2EEE">
              <w:rPr>
                <w:b/>
                <w:bCs/>
                <w:sz w:val="20"/>
              </w:rPr>
              <w:t>0</w:t>
            </w:r>
          </w:p>
          <w:p w14:paraId="06FAA231" w14:textId="58EB50EA" w:rsidR="00D713CA" w:rsidRPr="00ED1C7E" w:rsidRDefault="000D007A" w:rsidP="00564002">
            <w:pPr>
              <w:pStyle w:val="TableText"/>
              <w:spacing w:before="20" w:after="20"/>
            </w:pPr>
            <w:r w:rsidRPr="00ED1C7E">
              <w:t xml:space="preserve">No change to how participants </w:t>
            </w:r>
            <w:proofErr w:type="gramStart"/>
            <w:r w:rsidRPr="00ED1C7E">
              <w:t>calculate</w:t>
            </w:r>
            <w:proofErr w:type="gramEnd"/>
            <w:r w:rsidRPr="00ED1C7E">
              <w:t xml:space="preserve"> their emissions.</w:t>
            </w:r>
          </w:p>
          <w:p w14:paraId="7EB11AFE" w14:textId="582CE247" w:rsidR="000D007A" w:rsidRPr="00ED1C7E" w:rsidRDefault="00D713CA" w:rsidP="00564002">
            <w:pPr>
              <w:pStyle w:val="TableText"/>
              <w:spacing w:before="20" w:after="20"/>
            </w:pPr>
            <w:r w:rsidRPr="00ED1C7E">
              <w:t>S</w:t>
            </w:r>
            <w:r w:rsidR="000D007A" w:rsidRPr="00ED1C7E">
              <w:t>ampling methods for calculating UEFs are well understood.</w:t>
            </w:r>
          </w:p>
        </w:tc>
        <w:tc>
          <w:tcPr>
            <w:tcW w:w="2325" w:type="dxa"/>
          </w:tcPr>
          <w:p w14:paraId="6127ABA2" w14:textId="77777777" w:rsidR="00A722E3" w:rsidRPr="00AC2EEE" w:rsidRDefault="000D007A" w:rsidP="00564002">
            <w:pPr>
              <w:pStyle w:val="TableText"/>
              <w:spacing w:before="20" w:after="20"/>
              <w:rPr>
                <w:b/>
                <w:color w:val="00B050"/>
                <w:sz w:val="20"/>
              </w:rPr>
            </w:pPr>
            <w:r w:rsidRPr="00AC2EEE">
              <w:rPr>
                <w:rFonts w:cs="Arial"/>
                <w:b/>
                <w:color w:val="00B050"/>
                <w:sz w:val="20"/>
                <w:lang w:eastAsia="en-AU"/>
              </w:rPr>
              <w:t>+</w:t>
            </w:r>
          </w:p>
          <w:p w14:paraId="7E5E1D45" w14:textId="44754011" w:rsidR="000D007A" w:rsidRPr="00ED1C7E" w:rsidRDefault="000D007A" w:rsidP="00564002">
            <w:pPr>
              <w:pStyle w:val="TableText"/>
              <w:spacing w:before="20" w:after="20"/>
            </w:pPr>
            <w:r w:rsidRPr="00ED1C7E">
              <w:t>Streamlines the duplicated process for determining emissions factors for participants</w:t>
            </w:r>
            <w:r w:rsidR="00DB4AFA" w:rsidRPr="00ED1C7E">
              <w:t>, but</w:t>
            </w:r>
            <w:r w:rsidRPr="00ED1C7E">
              <w:t xml:space="preserve"> potential uncertainty in the short</w:t>
            </w:r>
            <w:r w:rsidR="00DB4AFA" w:rsidRPr="00ED1C7E">
              <w:t xml:space="preserve"> </w:t>
            </w:r>
            <w:r w:rsidRPr="00ED1C7E">
              <w:t>term as a transition takes place.</w:t>
            </w:r>
          </w:p>
        </w:tc>
      </w:tr>
      <w:tr w:rsidR="000D007A" w:rsidRPr="00ED1C7E" w14:paraId="0DEA9493" w14:textId="45F81C07" w:rsidTr="00564002">
        <w:tc>
          <w:tcPr>
            <w:tcW w:w="1079" w:type="dxa"/>
          </w:tcPr>
          <w:p w14:paraId="327214C1" w14:textId="77777777" w:rsidR="000D007A" w:rsidRPr="00ED1C7E" w:rsidRDefault="000D007A" w:rsidP="00564002">
            <w:pPr>
              <w:pStyle w:val="TableText"/>
              <w:spacing w:before="20" w:after="20"/>
              <w:rPr>
                <w:b/>
                <w:bCs/>
              </w:rPr>
            </w:pPr>
            <w:r w:rsidRPr="00ED1C7E">
              <w:rPr>
                <w:b/>
                <w:bCs/>
              </w:rPr>
              <w:t>Overall assessment</w:t>
            </w:r>
          </w:p>
        </w:tc>
        <w:tc>
          <w:tcPr>
            <w:tcW w:w="1021" w:type="dxa"/>
          </w:tcPr>
          <w:p w14:paraId="5D92EF0D" w14:textId="77777777" w:rsidR="000D007A" w:rsidRPr="00AC2EEE" w:rsidRDefault="000D007A" w:rsidP="00564002">
            <w:pPr>
              <w:pStyle w:val="TableText"/>
              <w:spacing w:before="20" w:after="20"/>
              <w:rPr>
                <w:b/>
                <w:bCs/>
                <w:sz w:val="20"/>
              </w:rPr>
            </w:pPr>
            <w:r w:rsidRPr="00AC2EEE">
              <w:rPr>
                <w:b/>
                <w:bCs/>
                <w:sz w:val="20"/>
              </w:rPr>
              <w:t>0</w:t>
            </w:r>
          </w:p>
        </w:tc>
        <w:tc>
          <w:tcPr>
            <w:tcW w:w="2041" w:type="dxa"/>
          </w:tcPr>
          <w:p w14:paraId="68E9B5BD" w14:textId="77777777" w:rsidR="000D007A" w:rsidRPr="00AC2EEE" w:rsidRDefault="000D007A" w:rsidP="00564002">
            <w:pPr>
              <w:pStyle w:val="TableText"/>
              <w:keepNext/>
              <w:spacing w:before="20" w:after="20"/>
              <w:rPr>
                <w:rFonts w:cs="Arial"/>
                <w:b/>
                <w:color w:val="00B050"/>
                <w:sz w:val="20"/>
                <w:lang w:eastAsia="en-AU"/>
              </w:rPr>
            </w:pPr>
            <w:r w:rsidRPr="00AC2EEE">
              <w:rPr>
                <w:rFonts w:cs="Arial"/>
                <w:b/>
                <w:color w:val="00B050"/>
                <w:sz w:val="20"/>
                <w:lang w:eastAsia="en-AU"/>
              </w:rPr>
              <w:t>3+</w:t>
            </w:r>
          </w:p>
        </w:tc>
        <w:tc>
          <w:tcPr>
            <w:tcW w:w="2098" w:type="dxa"/>
          </w:tcPr>
          <w:p w14:paraId="06E63AE4" w14:textId="4AD378E7" w:rsidR="000D007A" w:rsidRPr="00AC2EEE" w:rsidRDefault="000D007A" w:rsidP="00564002">
            <w:pPr>
              <w:pStyle w:val="TableText"/>
              <w:keepNext/>
              <w:spacing w:before="20" w:after="20"/>
              <w:rPr>
                <w:rFonts w:cs="Arial"/>
                <w:b/>
                <w:color w:val="00B050"/>
                <w:sz w:val="20"/>
                <w:lang w:eastAsia="en-AU"/>
              </w:rPr>
            </w:pPr>
            <w:r w:rsidRPr="00AC2EEE">
              <w:rPr>
                <w:rFonts w:cs="Arial"/>
                <w:b/>
                <w:color w:val="00B050"/>
                <w:sz w:val="20"/>
                <w:lang w:eastAsia="en-AU"/>
              </w:rPr>
              <w:t>3+</w:t>
            </w:r>
          </w:p>
        </w:tc>
        <w:tc>
          <w:tcPr>
            <w:tcW w:w="2325" w:type="dxa"/>
          </w:tcPr>
          <w:p w14:paraId="7922B47C" w14:textId="0052A32D" w:rsidR="000D007A" w:rsidRPr="00AC2EEE" w:rsidRDefault="00055035" w:rsidP="00564002">
            <w:pPr>
              <w:pStyle w:val="TableText"/>
              <w:keepNext/>
              <w:spacing w:before="20" w:after="20"/>
              <w:rPr>
                <w:rFonts w:cs="Arial"/>
                <w:b/>
                <w:color w:val="00B050"/>
                <w:sz w:val="20"/>
                <w:lang w:eastAsia="en-AU"/>
              </w:rPr>
            </w:pPr>
            <w:r w:rsidRPr="00AC2EEE">
              <w:rPr>
                <w:rFonts w:cs="Arial"/>
                <w:b/>
                <w:color w:val="00B050"/>
                <w:sz w:val="20"/>
                <w:lang w:eastAsia="en-AU"/>
              </w:rPr>
              <w:t>5</w:t>
            </w:r>
            <w:r w:rsidR="000D007A" w:rsidRPr="00AC2EEE">
              <w:rPr>
                <w:rFonts w:cs="Arial"/>
                <w:b/>
                <w:color w:val="00B050"/>
                <w:sz w:val="20"/>
                <w:lang w:eastAsia="en-AU"/>
              </w:rPr>
              <w:t>+</w:t>
            </w:r>
          </w:p>
        </w:tc>
      </w:tr>
    </w:tbl>
    <w:p w14:paraId="1CF552DD" w14:textId="77F28E9A" w:rsidR="001B5CBB" w:rsidRPr="00ED1C7E" w:rsidRDefault="00167238" w:rsidP="00C831A7">
      <w:pPr>
        <w:pStyle w:val="BodyText"/>
        <w:spacing w:before="240"/>
      </w:pPr>
      <w:r w:rsidRPr="00ED1C7E">
        <w:lastRenderedPageBreak/>
        <w:t>The expected costs and benefits of these options are as follows</w:t>
      </w:r>
      <w:r w:rsidR="00DB4AFA" w:rsidRPr="00ED1C7E">
        <w:t>.</w:t>
      </w:r>
    </w:p>
    <w:p w14:paraId="7FE6C11D" w14:textId="5AC2629E" w:rsidR="00167238" w:rsidRPr="00ED1C7E" w:rsidRDefault="00D639C8" w:rsidP="004B7690">
      <w:pPr>
        <w:pStyle w:val="Bullet"/>
      </w:pPr>
      <w:r w:rsidRPr="00ED1C7E">
        <w:t>Historical updates following the same process indicate</w:t>
      </w:r>
      <w:r w:rsidR="005E36F2" w:rsidRPr="00ED1C7E">
        <w:t xml:space="preserve"> high </w:t>
      </w:r>
      <w:r w:rsidR="00150749" w:rsidRPr="00ED1C7E">
        <w:t xml:space="preserve">evidence </w:t>
      </w:r>
      <w:r w:rsidR="005E36F2" w:rsidRPr="00ED1C7E">
        <w:t xml:space="preserve">certainty that the </w:t>
      </w:r>
      <w:r w:rsidR="00D7114E" w:rsidRPr="00ED1C7E">
        <w:t xml:space="preserve">total </w:t>
      </w:r>
      <w:r w:rsidR="00A9055F" w:rsidRPr="00ED1C7E">
        <w:t xml:space="preserve">monetary costs of </w:t>
      </w:r>
      <w:r w:rsidR="00521F82" w:rsidRPr="00ED1C7E">
        <w:t>O</w:t>
      </w:r>
      <w:r w:rsidR="00D7114E" w:rsidRPr="00ED1C7E">
        <w:t xml:space="preserve">ptions 2a and 2b are low, </w:t>
      </w:r>
      <w:r w:rsidR="00971088" w:rsidRPr="00ED1C7E">
        <w:t>and</w:t>
      </w:r>
      <w:r w:rsidR="00D7114E" w:rsidRPr="00ED1C7E">
        <w:t xml:space="preserve"> the total monetary benefits </w:t>
      </w:r>
      <w:r w:rsidR="00601F41" w:rsidRPr="00ED1C7E">
        <w:t xml:space="preserve">are </w:t>
      </w:r>
      <w:r w:rsidR="00521F82" w:rsidRPr="00ED1C7E">
        <w:t>low</w:t>
      </w:r>
      <w:r w:rsidR="009027CD" w:rsidRPr="00ED1C7E">
        <w:t>, for relevant participants and the Government</w:t>
      </w:r>
      <w:r w:rsidR="006C4785" w:rsidRPr="00ED1C7E">
        <w:t>.</w:t>
      </w:r>
    </w:p>
    <w:p w14:paraId="51E6EB76" w14:textId="5BAFD959" w:rsidR="00D7114E" w:rsidRPr="00ED1C7E" w:rsidRDefault="00D639C8" w:rsidP="004B7690">
      <w:pPr>
        <w:pStyle w:val="Bullet"/>
      </w:pPr>
      <w:r w:rsidRPr="00ED1C7E">
        <w:t xml:space="preserve">Engagement with relevant sectors and experts indicate </w:t>
      </w:r>
      <w:r w:rsidR="00D47B25" w:rsidRPr="00ED1C7E">
        <w:t>moderate</w:t>
      </w:r>
      <w:r w:rsidR="00521F82" w:rsidRPr="00ED1C7E">
        <w:t xml:space="preserve"> </w:t>
      </w:r>
      <w:r w:rsidR="00150749" w:rsidRPr="00ED1C7E">
        <w:t xml:space="preserve">evidence </w:t>
      </w:r>
      <w:r w:rsidR="00521F82" w:rsidRPr="00ED1C7E">
        <w:t xml:space="preserve">certainty that the total monetary cost of Option 3 </w:t>
      </w:r>
      <w:r w:rsidR="00150749" w:rsidRPr="00ED1C7E">
        <w:t xml:space="preserve">is </w:t>
      </w:r>
      <w:r w:rsidR="00521F82" w:rsidRPr="00ED1C7E">
        <w:t>low, while the total monetary benefit is medium</w:t>
      </w:r>
      <w:r w:rsidR="009027CD" w:rsidRPr="00ED1C7E">
        <w:t>, for relevant participants and the Governmen</w:t>
      </w:r>
      <w:r w:rsidR="00A60869" w:rsidRPr="00ED1C7E">
        <w:t>t.</w:t>
      </w:r>
    </w:p>
    <w:p w14:paraId="302F71CC" w14:textId="144199EB" w:rsidR="00521F82" w:rsidRPr="00ED1C7E" w:rsidRDefault="005659C8" w:rsidP="004B7690">
      <w:pPr>
        <w:pStyle w:val="Bullet"/>
      </w:pPr>
      <w:r w:rsidRPr="00ED1C7E">
        <w:t>A</w:t>
      </w:r>
      <w:r w:rsidR="008651CC" w:rsidRPr="00ED1C7E">
        <w:t>ny change improv</w:t>
      </w:r>
      <w:r w:rsidR="000F131A" w:rsidRPr="00ED1C7E">
        <w:t>ing</w:t>
      </w:r>
      <w:r w:rsidR="008651CC" w:rsidRPr="00ED1C7E">
        <w:t xml:space="preserve"> the accuracy of the </w:t>
      </w:r>
      <w:r w:rsidR="00221ACF" w:rsidRPr="00ED1C7E">
        <w:t>NZ ETS</w:t>
      </w:r>
      <w:r w:rsidR="008651CC" w:rsidRPr="00ED1C7E">
        <w:t xml:space="preserve"> </w:t>
      </w:r>
      <w:r w:rsidRPr="00ED1C7E">
        <w:t xml:space="preserve">positively contributes to </w:t>
      </w:r>
      <w:r w:rsidR="000F131A" w:rsidRPr="00ED1C7E">
        <w:t xml:space="preserve">progress toward </w:t>
      </w:r>
      <w:r w:rsidR="00AB5A6F" w:rsidRPr="00ED1C7E">
        <w:t xml:space="preserve">New Zealand’s </w:t>
      </w:r>
      <w:r w:rsidR="007D41EB" w:rsidRPr="00ED1C7E">
        <w:t>climate targets and budgets</w:t>
      </w:r>
      <w:r w:rsidR="00AB5A6F" w:rsidRPr="00ED1C7E">
        <w:t>. O</w:t>
      </w:r>
      <w:r w:rsidR="00C62389" w:rsidRPr="00ED1C7E">
        <w:t xml:space="preserve">ther than this, there are no expected monetary impacts or benefits </w:t>
      </w:r>
      <w:r w:rsidR="00A10974" w:rsidRPr="00ED1C7E">
        <w:t xml:space="preserve">from this proposal </w:t>
      </w:r>
      <w:r w:rsidR="00C62389" w:rsidRPr="00ED1C7E">
        <w:t xml:space="preserve">that can be quantified for the wider government, the </w:t>
      </w:r>
      <w:proofErr w:type="gramStart"/>
      <w:r w:rsidR="00C62389" w:rsidRPr="00ED1C7E">
        <w:t>general public</w:t>
      </w:r>
      <w:proofErr w:type="gramEnd"/>
      <w:r w:rsidR="00C62389" w:rsidRPr="00ED1C7E">
        <w:t>, or New Zealand’s overall economy.</w:t>
      </w:r>
    </w:p>
    <w:p w14:paraId="3AFC84B3" w14:textId="11B1FAF0" w:rsidR="005F319A" w:rsidRDefault="005F319A" w:rsidP="00FA3021">
      <w:pPr>
        <w:pStyle w:val="Heading3"/>
        <w:spacing w:after="240"/>
      </w:pPr>
      <w:r w:rsidRPr="00ED1C7E">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A926B5" w:rsidRPr="00D71C4F" w14:paraId="6BA127FE" w14:textId="77777777">
        <w:tc>
          <w:tcPr>
            <w:tcW w:w="8505" w:type="dxa"/>
            <w:shd w:val="clear" w:color="auto" w:fill="1B556B" w:themeFill="text2"/>
          </w:tcPr>
          <w:p w14:paraId="43429028" w14:textId="77777777" w:rsidR="00A926B5" w:rsidRPr="00D71C4F" w:rsidRDefault="00A926B5">
            <w:pPr>
              <w:pStyle w:val="TableText"/>
              <w:keepNext/>
              <w:rPr>
                <w:b/>
                <w:bCs/>
                <w:color w:val="FFFFFF" w:themeColor="background1"/>
                <w:sz w:val="20"/>
                <w:szCs w:val="22"/>
              </w:rPr>
            </w:pPr>
            <w:r w:rsidRPr="00D71C4F">
              <w:rPr>
                <w:b/>
                <w:bCs/>
                <w:color w:val="FFFFFF" w:themeColor="background1"/>
                <w:sz w:val="20"/>
                <w:szCs w:val="22"/>
              </w:rPr>
              <w:t>Questions</w:t>
            </w:r>
          </w:p>
        </w:tc>
      </w:tr>
      <w:tr w:rsidR="00A926B5" w:rsidRPr="00943CFD" w14:paraId="24AC5116" w14:textId="77777777">
        <w:tc>
          <w:tcPr>
            <w:tcW w:w="8505" w:type="dxa"/>
          </w:tcPr>
          <w:p w14:paraId="208836D5" w14:textId="77777777" w:rsidR="00A926B5" w:rsidRPr="00943CFD" w:rsidRDefault="00A926B5" w:rsidP="00571CB2">
            <w:pPr>
              <w:pStyle w:val="Questions"/>
              <w:ind w:left="319" w:hanging="319"/>
            </w:pPr>
            <w:bookmarkStart w:id="28" w:name="_Ref161239474"/>
            <w:r w:rsidRPr="000A74CB">
              <w:t>Do you have any feedback or relevant evidence about the proposed DEF values for directly updating the SEIP Regulations for geothermal activities?</w:t>
            </w:r>
            <w:bookmarkEnd w:id="28"/>
          </w:p>
        </w:tc>
      </w:tr>
      <w:tr w:rsidR="00A926B5" w:rsidRPr="00943CFD" w14:paraId="46A6B24D" w14:textId="77777777">
        <w:tc>
          <w:tcPr>
            <w:tcW w:w="8505" w:type="dxa"/>
          </w:tcPr>
          <w:p w14:paraId="01AF8C51" w14:textId="77777777" w:rsidR="00A926B5" w:rsidRPr="00943CFD" w:rsidRDefault="00A926B5" w:rsidP="00571CB2">
            <w:pPr>
              <w:pStyle w:val="Questions"/>
              <w:ind w:left="319" w:hanging="319"/>
            </w:pPr>
            <w:bookmarkStart w:id="29" w:name="_Ref161239485"/>
            <w:r w:rsidRPr="000A74CB">
              <w:t>Do you have any feedback or relevant evidence about the proposed UEF methodology additions for directly updating the UEF Regulations for geothermal activities?</w:t>
            </w:r>
            <w:bookmarkEnd w:id="29"/>
          </w:p>
        </w:tc>
      </w:tr>
      <w:tr w:rsidR="00A926B5" w:rsidRPr="00943CFD" w14:paraId="6BF1571F" w14:textId="77777777">
        <w:tc>
          <w:tcPr>
            <w:tcW w:w="8505" w:type="dxa"/>
          </w:tcPr>
          <w:p w14:paraId="04131AA1" w14:textId="77777777" w:rsidR="00A926B5" w:rsidRPr="000A74CB" w:rsidRDefault="00A926B5" w:rsidP="00571CB2">
            <w:pPr>
              <w:pStyle w:val="Questions"/>
              <w:ind w:left="319" w:hanging="319"/>
            </w:pPr>
            <w:bookmarkStart w:id="30" w:name="_Ref161239496"/>
            <w:r w:rsidRPr="000A74CB">
              <w:t>In your view, for geothermal activities within the NZ ETS, is it better to directly update the existing regulatory structure or take a new approach? Why?</w:t>
            </w:r>
            <w:bookmarkEnd w:id="30"/>
          </w:p>
        </w:tc>
      </w:tr>
    </w:tbl>
    <w:p w14:paraId="24A828CA" w14:textId="77777777" w:rsidR="00A926B5" w:rsidRDefault="00A926B5" w:rsidP="00A926B5">
      <w:pPr>
        <w:pStyle w:val="BodyText"/>
      </w:pPr>
    </w:p>
    <w:p w14:paraId="5B4241B5" w14:textId="77777777" w:rsidR="003C19E8" w:rsidRPr="00ED1C7E" w:rsidRDefault="003C19E8" w:rsidP="00F84DFA">
      <w:pPr>
        <w:pStyle w:val="BodyText"/>
      </w:pPr>
      <w:r w:rsidRPr="00ED1C7E">
        <w:br w:type="page"/>
      </w:r>
    </w:p>
    <w:p w14:paraId="10AC894A" w14:textId="1774292B" w:rsidR="005F319A" w:rsidRPr="00E67474" w:rsidRDefault="00A57C5C" w:rsidP="00002384">
      <w:pPr>
        <w:pStyle w:val="Heading2"/>
        <w:rPr>
          <w:iCs/>
        </w:rPr>
      </w:pPr>
      <w:bookmarkStart w:id="31" w:name="_Toc165532996"/>
      <w:r w:rsidRPr="00ED1C7E">
        <w:lastRenderedPageBreak/>
        <w:t xml:space="preserve">Proposed </w:t>
      </w:r>
      <w:r w:rsidR="008B1A95" w:rsidRPr="00ED1C7E">
        <w:t>r</w:t>
      </w:r>
      <w:r w:rsidRPr="00ED1C7E">
        <w:t xml:space="preserve">egulatory </w:t>
      </w:r>
      <w:r w:rsidR="008B1A95" w:rsidRPr="00ED1C7E">
        <w:t>u</w:t>
      </w:r>
      <w:r w:rsidRPr="00ED1C7E">
        <w:t>pdate</w:t>
      </w:r>
      <w:r w:rsidR="00C84F02" w:rsidRPr="00ED1C7E">
        <w:t xml:space="preserve"> </w:t>
      </w:r>
      <w:r w:rsidR="00990B3D" w:rsidRPr="00ED1C7E">
        <w:t>2:</w:t>
      </w:r>
      <w:r w:rsidR="00990B3D" w:rsidRPr="00ED1C7E">
        <w:br/>
      </w:r>
      <w:r w:rsidR="005F319A" w:rsidRPr="00E67474">
        <w:rPr>
          <w:iCs/>
        </w:rPr>
        <w:t xml:space="preserve">Updating </w:t>
      </w:r>
      <w:r w:rsidR="00D10379" w:rsidRPr="00E67474">
        <w:rPr>
          <w:iCs/>
        </w:rPr>
        <w:t>DEFs</w:t>
      </w:r>
      <w:r w:rsidR="005F319A" w:rsidRPr="00E67474">
        <w:rPr>
          <w:iCs/>
        </w:rPr>
        <w:t xml:space="preserve"> for natural gas</w:t>
      </w:r>
      <w:r w:rsidR="003E757B" w:rsidRPr="00E67474">
        <w:rPr>
          <w:iCs/>
        </w:rPr>
        <w:t xml:space="preserve"> </w:t>
      </w:r>
      <w:proofErr w:type="gramStart"/>
      <w:r w:rsidR="003E757B" w:rsidRPr="00E67474">
        <w:rPr>
          <w:iCs/>
        </w:rPr>
        <w:t>activities</w:t>
      </w:r>
      <w:bookmarkEnd w:id="31"/>
      <w:proofErr w:type="gramEnd"/>
    </w:p>
    <w:p w14:paraId="461B9A4C" w14:textId="77777777" w:rsidR="005F319A" w:rsidRPr="00ED1C7E" w:rsidRDefault="005F319A" w:rsidP="00F84DFA">
      <w:pPr>
        <w:pStyle w:val="Heading3"/>
        <w:spacing w:before="240"/>
      </w:pPr>
      <w:r w:rsidRPr="00ED1C7E">
        <w:t>Background</w:t>
      </w:r>
    </w:p>
    <w:p w14:paraId="65A05EC7" w14:textId="62FBBB93" w:rsidR="005F319A" w:rsidRPr="00ED1C7E" w:rsidRDefault="00842F8C" w:rsidP="00F84DFA">
      <w:pPr>
        <w:pStyle w:val="BodyText"/>
        <w:spacing w:before="100"/>
      </w:pPr>
      <w:r w:rsidRPr="00ED1C7E">
        <w:t xml:space="preserve">The prescribed DEFs for natural gas fields need regular updating due to changes in the composition of mined natural gas over time, and </w:t>
      </w:r>
      <w:r w:rsidR="00860C20" w:rsidRPr="00ED1C7E">
        <w:t xml:space="preserve">for the opening of new fields. </w:t>
      </w:r>
      <w:r w:rsidR="009E345F" w:rsidRPr="00ED1C7E">
        <w:t>Historically, t</w:t>
      </w:r>
      <w:r w:rsidR="00860C20" w:rsidRPr="00ED1C7E">
        <w:t>his</w:t>
      </w:r>
      <w:r w:rsidR="00F84DFA" w:rsidRPr="00ED1C7E">
        <w:t> </w:t>
      </w:r>
      <w:r w:rsidR="00860C20" w:rsidRPr="00ED1C7E">
        <w:t>update has occurred most years</w:t>
      </w:r>
      <w:r w:rsidR="00D9362B" w:rsidRPr="00ED1C7E">
        <w:t>,</w:t>
      </w:r>
      <w:r w:rsidR="00860C20" w:rsidRPr="00ED1C7E">
        <w:t xml:space="preserve"> to maintain the accuracy of emissions reported under the</w:t>
      </w:r>
      <w:r w:rsidR="00F84DFA" w:rsidRPr="00ED1C7E">
        <w:t> </w:t>
      </w:r>
      <w:r w:rsidR="00221ACF" w:rsidRPr="00ED1C7E">
        <w:t>NZ ETS</w:t>
      </w:r>
      <w:r w:rsidR="00F30308" w:rsidRPr="00ED1C7E">
        <w:t xml:space="preserve">. Updates this year will ensure that regulations </w:t>
      </w:r>
      <w:r w:rsidR="00064046" w:rsidRPr="00ED1C7E">
        <w:t>catch up</w:t>
      </w:r>
      <w:r w:rsidR="00F30308" w:rsidRPr="00ED1C7E">
        <w:t xml:space="preserve"> with any </w:t>
      </w:r>
      <w:r w:rsidR="00D61906" w:rsidRPr="00ED1C7E">
        <w:t>changes from the</w:t>
      </w:r>
      <w:r w:rsidR="00F84DFA" w:rsidRPr="00ED1C7E">
        <w:t> </w:t>
      </w:r>
      <w:r w:rsidR="00D61906" w:rsidRPr="00ED1C7E">
        <w:t>past two years</w:t>
      </w:r>
      <w:r w:rsidR="00064046" w:rsidRPr="00ED1C7E">
        <w:t>,</w:t>
      </w:r>
      <w:r w:rsidR="00860C20" w:rsidRPr="00ED1C7E">
        <w:t xml:space="preserve"> following </w:t>
      </w:r>
      <w:r w:rsidR="00D61906" w:rsidRPr="00ED1C7E">
        <w:t>deferral of the</w:t>
      </w:r>
      <w:r w:rsidR="0039395C" w:rsidRPr="00ED1C7E">
        <w:t xml:space="preserve"> 2023</w:t>
      </w:r>
      <w:r w:rsidR="00D61906" w:rsidRPr="00ED1C7E">
        <w:t xml:space="preserve"> updates</w:t>
      </w:r>
      <w:r w:rsidR="0039395C" w:rsidRPr="00ED1C7E">
        <w:t>.</w:t>
      </w:r>
    </w:p>
    <w:p w14:paraId="1D642C0B" w14:textId="73AB0763" w:rsidR="0039395C" w:rsidRPr="00ED1C7E" w:rsidRDefault="0039395C" w:rsidP="00F84DFA">
      <w:pPr>
        <w:pStyle w:val="BodyText"/>
        <w:spacing w:before="100"/>
      </w:pPr>
      <w:r w:rsidRPr="00ED1C7E">
        <w:t>Natural gas miners</w:t>
      </w:r>
      <w:r w:rsidR="00A12E41" w:rsidRPr="00ED1C7E">
        <w:t xml:space="preserve">, along with </w:t>
      </w:r>
      <w:r w:rsidR="00D6304E" w:rsidRPr="00ED1C7E">
        <w:t>gas-purchasing (</w:t>
      </w:r>
      <w:r w:rsidR="00A12E41" w:rsidRPr="00ED1C7E">
        <w:t>opt-in</w:t>
      </w:r>
      <w:r w:rsidR="00D6304E" w:rsidRPr="00ED1C7E">
        <w:t>)</w:t>
      </w:r>
      <w:r w:rsidR="00A12E41" w:rsidRPr="00ED1C7E">
        <w:t xml:space="preserve"> participants to the </w:t>
      </w:r>
      <w:r w:rsidR="00221ACF" w:rsidRPr="00ED1C7E">
        <w:t>NZ ETS</w:t>
      </w:r>
      <w:r w:rsidR="00A12E41" w:rsidRPr="00ED1C7E">
        <w:t xml:space="preserve"> who </w:t>
      </w:r>
      <w:r w:rsidR="00D6304E" w:rsidRPr="00ED1C7E">
        <w:t xml:space="preserve">buy </w:t>
      </w:r>
      <w:r w:rsidR="00A12E41" w:rsidRPr="00ED1C7E">
        <w:t xml:space="preserve">more than </w:t>
      </w:r>
      <w:r w:rsidR="004C47A1">
        <w:t>two</w:t>
      </w:r>
      <w:r w:rsidR="00C225C1" w:rsidRPr="00ED1C7E">
        <w:t xml:space="preserve"> petajoules </w:t>
      </w:r>
      <w:r w:rsidR="00540494" w:rsidRPr="00ED1C7E">
        <w:t xml:space="preserve">of natural gas in a year, </w:t>
      </w:r>
      <w:r w:rsidR="00264A59" w:rsidRPr="00ED1C7E">
        <w:t>use the methodologies and emissions factors in the SEIP Regulations to calculate their emissions.</w:t>
      </w:r>
    </w:p>
    <w:p w14:paraId="16CC09B1" w14:textId="0DA8310B" w:rsidR="00885E7E" w:rsidRPr="00ED1C7E" w:rsidRDefault="00885E7E" w:rsidP="00F84DFA">
      <w:pPr>
        <w:pStyle w:val="BodyText"/>
        <w:spacing w:before="100"/>
      </w:pPr>
      <w:r w:rsidRPr="00ED1C7E">
        <w:t xml:space="preserve">Gas miners </w:t>
      </w:r>
      <w:r w:rsidR="000328A9" w:rsidRPr="00ED1C7E">
        <w:t xml:space="preserve">are required to run various tests on their gas to calculate emissions </w:t>
      </w:r>
      <w:r w:rsidR="005F4F57" w:rsidRPr="00ED1C7E">
        <w:t xml:space="preserve">specific to their field, </w:t>
      </w:r>
      <w:r w:rsidR="00751192" w:rsidRPr="00ED1C7E">
        <w:t>and</w:t>
      </w:r>
      <w:r w:rsidR="0026513D" w:rsidRPr="00ED1C7E">
        <w:t xml:space="preserve"> to</w:t>
      </w:r>
      <w:r w:rsidR="00751192" w:rsidRPr="00ED1C7E">
        <w:t xml:space="preserve"> report </w:t>
      </w:r>
      <w:r w:rsidR="00C26090" w:rsidRPr="00ED1C7E">
        <w:t xml:space="preserve">these </w:t>
      </w:r>
      <w:r w:rsidR="00751192" w:rsidRPr="00ED1C7E">
        <w:t>data</w:t>
      </w:r>
      <w:r w:rsidR="00672BA0" w:rsidRPr="00ED1C7E">
        <w:t xml:space="preserve"> in their emissions returns. Their obligation under the </w:t>
      </w:r>
      <w:r w:rsidR="00221ACF" w:rsidRPr="00ED1C7E">
        <w:t>NZ ETS</w:t>
      </w:r>
      <w:r w:rsidR="00672BA0" w:rsidRPr="00ED1C7E">
        <w:t xml:space="preserve"> is therefore based directly on their total emissions</w:t>
      </w:r>
      <w:r w:rsidR="0001652F" w:rsidRPr="00ED1C7E">
        <w:t xml:space="preserve"> (as opposed to </w:t>
      </w:r>
      <w:r w:rsidR="00A218BC" w:rsidRPr="00ED1C7E">
        <w:t xml:space="preserve">estimated using </w:t>
      </w:r>
      <w:r w:rsidR="00EC76BB" w:rsidRPr="00ED1C7E">
        <w:t>activity data and an averaged DEF).</w:t>
      </w:r>
    </w:p>
    <w:p w14:paraId="0C304B1F" w14:textId="336D0407" w:rsidR="00EC76BB" w:rsidRPr="00ED1C7E" w:rsidRDefault="00EC76BB" w:rsidP="00F84DFA">
      <w:pPr>
        <w:pStyle w:val="BodyText"/>
        <w:spacing w:before="100"/>
      </w:pPr>
      <w:r w:rsidRPr="00ED1C7E">
        <w:t xml:space="preserve">The actual emissions data from gas miners </w:t>
      </w:r>
      <w:r w:rsidR="00C26090" w:rsidRPr="00ED1C7E">
        <w:t>are</w:t>
      </w:r>
      <w:r w:rsidRPr="00ED1C7E">
        <w:t xml:space="preserve"> used to set the table of DEFs in </w:t>
      </w:r>
      <w:hyperlink r:id="rId35" w:history="1">
        <w:r w:rsidR="003A6770" w:rsidRPr="00ED1C7E">
          <w:rPr>
            <w:rStyle w:val="Hyperlink"/>
          </w:rPr>
          <w:t xml:space="preserve">table 10 </w:t>
        </w:r>
        <w:r w:rsidR="005076AF" w:rsidRPr="00ED1C7E">
          <w:rPr>
            <w:rStyle w:val="Hyperlink"/>
          </w:rPr>
          <w:t xml:space="preserve">in </w:t>
        </w:r>
        <w:r w:rsidR="000E5444" w:rsidRPr="00ED1C7E">
          <w:rPr>
            <w:rStyle w:val="Hyperlink"/>
          </w:rPr>
          <w:t>Schedule</w:t>
        </w:r>
        <w:r w:rsidR="005076AF" w:rsidRPr="00ED1C7E">
          <w:rPr>
            <w:rStyle w:val="Hyperlink"/>
          </w:rPr>
          <w:t> </w:t>
        </w:r>
        <w:r w:rsidR="000E5444" w:rsidRPr="00ED1C7E">
          <w:rPr>
            <w:rStyle w:val="Hyperlink"/>
          </w:rPr>
          <w:t>2</w:t>
        </w:r>
      </w:hyperlink>
      <w:r w:rsidR="000E5444" w:rsidRPr="00ED1C7E">
        <w:t xml:space="preserve"> </w:t>
      </w:r>
      <w:r w:rsidR="000A09B4" w:rsidRPr="00ED1C7E">
        <w:t>of</w:t>
      </w:r>
      <w:r w:rsidR="000E5444" w:rsidRPr="00ED1C7E">
        <w:t xml:space="preserve"> the SEIP Regulations. </w:t>
      </w:r>
      <w:r w:rsidR="00525111" w:rsidRPr="00ED1C7E">
        <w:t>As the gas miners report on their actual emissions, t</w:t>
      </w:r>
      <w:r w:rsidR="000E5444" w:rsidRPr="00ED1C7E">
        <w:t xml:space="preserve">hese values are </w:t>
      </w:r>
      <w:r w:rsidR="00D4382B" w:rsidRPr="00ED1C7E">
        <w:t xml:space="preserve">not </w:t>
      </w:r>
      <w:r w:rsidR="000E5444" w:rsidRPr="00ED1C7E">
        <w:t>used to determine</w:t>
      </w:r>
      <w:r w:rsidR="000A09B4" w:rsidRPr="00ED1C7E">
        <w:t xml:space="preserve"> </w:t>
      </w:r>
      <w:r w:rsidR="000E5444" w:rsidRPr="00ED1C7E">
        <w:t>the</w:t>
      </w:r>
      <w:r w:rsidR="00525111" w:rsidRPr="00ED1C7E">
        <w:t xml:space="preserve">ir </w:t>
      </w:r>
      <w:r w:rsidR="00221ACF" w:rsidRPr="00ED1C7E">
        <w:t>NZ ETS</w:t>
      </w:r>
      <w:r w:rsidR="00525111" w:rsidRPr="00ED1C7E">
        <w:t xml:space="preserve"> obligation, but the </w:t>
      </w:r>
      <w:r w:rsidR="00221ACF" w:rsidRPr="00ED1C7E">
        <w:t>NZ ETS</w:t>
      </w:r>
      <w:r w:rsidR="002142C6" w:rsidRPr="00ED1C7E">
        <w:t xml:space="preserve"> obligations of any opt-in participants. </w:t>
      </w:r>
      <w:r w:rsidR="00E44B11" w:rsidRPr="00ED1C7E">
        <w:t>Opt-in participants are not required to perform the same tests on the gas that they purchase as the gas miners</w:t>
      </w:r>
      <w:r w:rsidR="00CA58F5" w:rsidRPr="00ED1C7E">
        <w:t xml:space="preserve"> must perform</w:t>
      </w:r>
      <w:r w:rsidR="00532E61" w:rsidRPr="00ED1C7E">
        <w:t xml:space="preserve">. </w:t>
      </w:r>
      <w:r w:rsidR="00815AE6" w:rsidRPr="00ED1C7E">
        <w:t xml:space="preserve">Instead, </w:t>
      </w:r>
      <w:r w:rsidR="00815E60" w:rsidRPr="00ED1C7E">
        <w:t xml:space="preserve">they </w:t>
      </w:r>
      <w:r w:rsidR="008C0964" w:rsidRPr="00ED1C7E">
        <w:t xml:space="preserve">can </w:t>
      </w:r>
      <w:r w:rsidR="00815E60" w:rsidRPr="00ED1C7E">
        <w:t xml:space="preserve">report </w:t>
      </w:r>
      <w:r w:rsidR="00876C75" w:rsidRPr="00ED1C7E">
        <w:t xml:space="preserve">with only two datapoints: </w:t>
      </w:r>
      <w:r w:rsidR="00B00CF1" w:rsidRPr="00ED1C7E">
        <w:t xml:space="preserve">the total </w:t>
      </w:r>
      <w:r w:rsidR="009E0CB3" w:rsidRPr="00ED1C7E">
        <w:t xml:space="preserve">petajoules purchased </w:t>
      </w:r>
      <w:r w:rsidR="005F2194" w:rsidRPr="00ED1C7E">
        <w:t xml:space="preserve">and </w:t>
      </w:r>
      <w:r w:rsidR="009E0CB3" w:rsidRPr="00ED1C7E">
        <w:t>the appropriate DEF, by referring</w:t>
      </w:r>
      <w:r w:rsidR="005F2194" w:rsidRPr="00ED1C7E">
        <w:t xml:space="preserve"> to the </w:t>
      </w:r>
      <w:r w:rsidR="000D7A7C" w:rsidRPr="00ED1C7E">
        <w:t>prescribed DEF for the field from which the gas was purchased.</w:t>
      </w:r>
    </w:p>
    <w:p w14:paraId="237373E4" w14:textId="28BA4574" w:rsidR="000D7A7C" w:rsidRPr="00ED1C7E" w:rsidRDefault="00720B6F" w:rsidP="00F84DFA">
      <w:pPr>
        <w:pStyle w:val="BodyText"/>
        <w:spacing w:before="100"/>
      </w:pPr>
      <w:r w:rsidRPr="00ED1C7E">
        <w:t xml:space="preserve">The same table in the SEIP Regulations </w:t>
      </w:r>
      <w:r w:rsidR="006E0126" w:rsidRPr="00ED1C7E">
        <w:t xml:space="preserve">also includes a national average DEF, which is used </w:t>
      </w:r>
      <w:r w:rsidR="00706F81" w:rsidRPr="00ED1C7E">
        <w:t>to estimate the emissions associated with the storage of natural gas</w:t>
      </w:r>
      <w:r w:rsidR="00937A12" w:rsidRPr="00ED1C7E">
        <w:t xml:space="preserve">. Once stored, </w:t>
      </w:r>
      <w:r w:rsidR="00FD7A0B" w:rsidRPr="00ED1C7E">
        <w:t xml:space="preserve">quantities extracted from storage cannot </w:t>
      </w:r>
      <w:r w:rsidR="004B526A" w:rsidRPr="00ED1C7E">
        <w:t xml:space="preserve">be associated back to a specific natural gas field, </w:t>
      </w:r>
      <w:r w:rsidR="003F6B19" w:rsidRPr="00ED1C7E">
        <w:t>creating a need for the average</w:t>
      </w:r>
      <w:r w:rsidRPr="00ED1C7E">
        <w:t xml:space="preserve"> emissions</w:t>
      </w:r>
      <w:r w:rsidR="003F6B19" w:rsidRPr="00ED1C7E">
        <w:t xml:space="preserve"> factor.</w:t>
      </w:r>
    </w:p>
    <w:p w14:paraId="13F22B94" w14:textId="57502A67" w:rsidR="003F6B19" w:rsidRPr="00ED1C7E" w:rsidRDefault="00925E8A" w:rsidP="00F84DFA">
      <w:pPr>
        <w:pStyle w:val="BodyText"/>
        <w:spacing w:before="100"/>
      </w:pPr>
      <w:r w:rsidRPr="00ED1C7E">
        <w:t xml:space="preserve">This consultation document does not propose </w:t>
      </w:r>
      <w:r w:rsidR="00EA4376" w:rsidRPr="00ED1C7E">
        <w:t xml:space="preserve">specific values. This is because </w:t>
      </w:r>
      <w:r w:rsidR="002102A0" w:rsidRPr="00ED1C7E">
        <w:t xml:space="preserve">the precise changes can only be determined once the EPA has reviewed the emissions returns of gas miners. </w:t>
      </w:r>
      <w:r w:rsidR="0035282A" w:rsidRPr="00ED1C7E">
        <w:t xml:space="preserve">The data </w:t>
      </w:r>
      <w:r w:rsidRPr="00ED1C7E">
        <w:t>are</w:t>
      </w:r>
      <w:r w:rsidR="0035282A" w:rsidRPr="00ED1C7E">
        <w:t xml:space="preserve"> considered sensitive until that point.</w:t>
      </w:r>
      <w:r w:rsidR="00EB18BC" w:rsidRPr="00ED1C7E">
        <w:t xml:space="preserve"> The </w:t>
      </w:r>
      <w:r w:rsidR="007B256F" w:rsidRPr="00ED1C7E">
        <w:t xml:space="preserve">emissions </w:t>
      </w:r>
      <w:proofErr w:type="gramStart"/>
      <w:r w:rsidR="007B256F" w:rsidRPr="00ED1C7E">
        <w:t>returns</w:t>
      </w:r>
      <w:proofErr w:type="gramEnd"/>
      <w:r w:rsidR="007B256F" w:rsidRPr="00ED1C7E">
        <w:t xml:space="preserve"> </w:t>
      </w:r>
      <w:r w:rsidR="007C31A8" w:rsidRPr="00ED1C7E">
        <w:t>that will form</w:t>
      </w:r>
      <w:r w:rsidR="00F84DFA" w:rsidRPr="00ED1C7E">
        <w:t> </w:t>
      </w:r>
      <w:r w:rsidR="007C31A8" w:rsidRPr="00ED1C7E">
        <w:t xml:space="preserve">the basis of the </w:t>
      </w:r>
      <w:r w:rsidR="00EB18BC" w:rsidRPr="00ED1C7E">
        <w:t xml:space="preserve">values in </w:t>
      </w:r>
      <w:r w:rsidR="007C31A8" w:rsidRPr="00ED1C7E">
        <w:t>the r</w:t>
      </w:r>
      <w:r w:rsidR="00EB18BC" w:rsidRPr="00ED1C7E">
        <w:t xml:space="preserve">egulations </w:t>
      </w:r>
      <w:r w:rsidR="00B47933">
        <w:t xml:space="preserve">were </w:t>
      </w:r>
      <w:r w:rsidR="00A54201" w:rsidRPr="00ED1C7E">
        <w:t xml:space="preserve">due to the EPA by the submission deadline </w:t>
      </w:r>
      <w:r w:rsidR="00AE5851" w:rsidRPr="00ED1C7E">
        <w:t>(</w:t>
      </w:r>
      <w:r w:rsidR="00A54201" w:rsidRPr="00ED1C7E">
        <w:t>31</w:t>
      </w:r>
      <w:r w:rsidR="00F84DFA" w:rsidRPr="00ED1C7E">
        <w:t> </w:t>
      </w:r>
      <w:r w:rsidR="00A54201" w:rsidRPr="00ED1C7E">
        <w:t>March 2024</w:t>
      </w:r>
      <w:r w:rsidR="00AE5851" w:rsidRPr="00ED1C7E">
        <w:t>)</w:t>
      </w:r>
      <w:r w:rsidR="00A54201" w:rsidRPr="00ED1C7E">
        <w:t>.</w:t>
      </w:r>
      <w:r w:rsidR="0018019F" w:rsidRPr="00ED1C7E">
        <w:t xml:space="preserve"> </w:t>
      </w:r>
    </w:p>
    <w:p w14:paraId="5460F2BA" w14:textId="63104861" w:rsidR="005F319A" w:rsidRPr="00ED1C7E" w:rsidRDefault="005F319A" w:rsidP="00F84DFA">
      <w:pPr>
        <w:pStyle w:val="Heading3"/>
        <w:spacing w:before="320"/>
      </w:pPr>
      <w:r w:rsidRPr="00ED1C7E">
        <w:t xml:space="preserve">Why update </w:t>
      </w:r>
      <w:r w:rsidR="00D10379" w:rsidRPr="00ED1C7E">
        <w:t>DEFs</w:t>
      </w:r>
      <w:r w:rsidRPr="00ED1C7E">
        <w:t xml:space="preserve"> for natural gas?</w:t>
      </w:r>
    </w:p>
    <w:p w14:paraId="1B9391C7" w14:textId="230085FB" w:rsidR="000651F1" w:rsidRPr="00ED1C7E" w:rsidRDefault="00D6304E" w:rsidP="00F84DFA">
      <w:pPr>
        <w:pStyle w:val="BodyText"/>
        <w:spacing w:before="100"/>
      </w:pPr>
      <w:r w:rsidRPr="00ED1C7E">
        <w:t>The table of DEFs for natural gas needs to be updated regularly because the chemistry of natural gas from any one field is not constant, and because new fields open. If the</w:t>
      </w:r>
      <w:r w:rsidR="00056E89" w:rsidRPr="00ED1C7E">
        <w:t xml:space="preserve"> DEFs</w:t>
      </w:r>
      <w:r w:rsidRPr="00ED1C7E">
        <w:t xml:space="preserve"> are not</w:t>
      </w:r>
      <w:r w:rsidR="00F84DFA" w:rsidRPr="00ED1C7E">
        <w:t> </w:t>
      </w:r>
      <w:r w:rsidRPr="00ED1C7E">
        <w:t>updated</w:t>
      </w:r>
      <w:r w:rsidR="00C0026D" w:rsidRPr="00ED1C7E">
        <w:t>,</w:t>
      </w:r>
      <w:r w:rsidRPr="00ED1C7E">
        <w:t xml:space="preserve"> opt-in participants </w:t>
      </w:r>
      <w:r w:rsidR="00C0026D" w:rsidRPr="00ED1C7E">
        <w:t xml:space="preserve">have two </w:t>
      </w:r>
      <w:r w:rsidR="000651F1" w:rsidRPr="00ED1C7E">
        <w:t xml:space="preserve">options, neither of which are </w:t>
      </w:r>
      <w:r w:rsidR="00434C3B" w:rsidRPr="00ED1C7E">
        <w:t>ideal</w:t>
      </w:r>
      <w:r w:rsidR="00F57EBB" w:rsidRPr="00ED1C7E">
        <w:t>.</w:t>
      </w:r>
    </w:p>
    <w:p w14:paraId="6339D848" w14:textId="1990237F" w:rsidR="00434C3B" w:rsidRPr="00ED1C7E" w:rsidRDefault="00434C3B" w:rsidP="00F84DFA">
      <w:pPr>
        <w:pStyle w:val="Bullet"/>
        <w:spacing w:after="100"/>
      </w:pPr>
      <w:r w:rsidRPr="00ED1C7E">
        <w:t xml:space="preserve">They can inaccurately report their emissions using the out-of-date DEFs. This would affect both the quality of the data received through the </w:t>
      </w:r>
      <w:r w:rsidR="00221ACF" w:rsidRPr="00ED1C7E">
        <w:t>NZ ETS</w:t>
      </w:r>
      <w:r w:rsidRPr="00ED1C7E">
        <w:t xml:space="preserve">, and </w:t>
      </w:r>
      <w:r w:rsidR="00364C14" w:rsidRPr="00ED1C7E">
        <w:t>the emissions cost</w:t>
      </w:r>
      <w:r w:rsidR="001C4C5B" w:rsidRPr="00ED1C7E">
        <w:t xml:space="preserve"> the opt</w:t>
      </w:r>
      <w:r w:rsidR="00AD01A9">
        <w:noBreakHyphen/>
      </w:r>
      <w:r w:rsidR="001C4C5B" w:rsidRPr="00ED1C7E">
        <w:t xml:space="preserve">in participants </w:t>
      </w:r>
      <w:r w:rsidR="00364C14" w:rsidRPr="00ED1C7E">
        <w:t>face</w:t>
      </w:r>
      <w:r w:rsidR="00F57EBB" w:rsidRPr="00ED1C7E">
        <w:t>.</w:t>
      </w:r>
    </w:p>
    <w:p w14:paraId="2CBA4CC4" w14:textId="1379CD79" w:rsidR="00F701AB" w:rsidRPr="00ED1C7E" w:rsidRDefault="00364C14" w:rsidP="00F84DFA">
      <w:pPr>
        <w:pStyle w:val="Bullet"/>
        <w:spacing w:after="100"/>
      </w:pPr>
      <w:r w:rsidRPr="00ED1C7E">
        <w:t xml:space="preserve">They can seek more detailed information from gas miners. This would ensure their emissions estimate is accurate, </w:t>
      </w:r>
      <w:r w:rsidR="008D6EE7" w:rsidRPr="00ED1C7E">
        <w:t xml:space="preserve">which would </w:t>
      </w:r>
      <w:r w:rsidRPr="00ED1C7E">
        <w:t xml:space="preserve">avoid the </w:t>
      </w:r>
      <w:r w:rsidR="00007A14" w:rsidRPr="00ED1C7E">
        <w:t xml:space="preserve">problems </w:t>
      </w:r>
      <w:r w:rsidR="008D6EE7" w:rsidRPr="00ED1C7E">
        <w:t>of</w:t>
      </w:r>
      <w:r w:rsidR="00007A14" w:rsidRPr="00ED1C7E">
        <w:t xml:space="preserve"> using out-of-date DEFs,</w:t>
      </w:r>
      <w:r w:rsidR="00DD72CF">
        <w:t> </w:t>
      </w:r>
      <w:r w:rsidR="00007A14" w:rsidRPr="00ED1C7E">
        <w:t xml:space="preserve">but </w:t>
      </w:r>
      <w:r w:rsidR="00EA1E81" w:rsidRPr="00ED1C7E">
        <w:t xml:space="preserve">would </w:t>
      </w:r>
      <w:r w:rsidR="00805D71" w:rsidRPr="00ED1C7E">
        <w:t>impos</w:t>
      </w:r>
      <w:r w:rsidR="008D6EE7" w:rsidRPr="00ED1C7E">
        <w:t>e</w:t>
      </w:r>
      <w:r w:rsidR="00805D71" w:rsidRPr="00ED1C7E">
        <w:t xml:space="preserve"> </w:t>
      </w:r>
      <w:r w:rsidR="00F701AB" w:rsidRPr="00ED1C7E">
        <w:t>additional administrative and compliance costs on both mandatory and opt-in participants.</w:t>
      </w:r>
    </w:p>
    <w:p w14:paraId="04EE2E79" w14:textId="77777777" w:rsidR="005F319A" w:rsidRPr="00ED1C7E" w:rsidRDefault="005F319A" w:rsidP="00110CC3">
      <w:pPr>
        <w:pStyle w:val="Heading3"/>
      </w:pPr>
      <w:r w:rsidRPr="00ED1C7E">
        <w:lastRenderedPageBreak/>
        <w:t>Options</w:t>
      </w:r>
    </w:p>
    <w:p w14:paraId="0652D239" w14:textId="1DB2AE41" w:rsidR="00A23A3A" w:rsidRPr="00ED1C7E" w:rsidRDefault="00A23A3A" w:rsidP="00F84DFA">
      <w:pPr>
        <w:pStyle w:val="Heading4"/>
        <w:spacing w:before="240"/>
      </w:pPr>
      <w:r w:rsidRPr="00ED1C7E">
        <w:t xml:space="preserve">Option 1: Status </w:t>
      </w:r>
      <w:r w:rsidR="00EA1E81" w:rsidRPr="00ED1C7E">
        <w:t>q</w:t>
      </w:r>
      <w:r w:rsidRPr="00ED1C7E">
        <w:t>uo</w:t>
      </w:r>
    </w:p>
    <w:p w14:paraId="63F63A66" w14:textId="28381257" w:rsidR="00A23A3A" w:rsidRPr="00ED1C7E" w:rsidRDefault="00A23A3A" w:rsidP="00A23A3A">
      <w:pPr>
        <w:pStyle w:val="BodyText"/>
      </w:pPr>
      <w:r w:rsidRPr="00ED1C7E">
        <w:t>Under this option, the DEFs in the regulations</w:t>
      </w:r>
      <w:r w:rsidR="006F5228" w:rsidRPr="00ED1C7E">
        <w:t xml:space="preserve"> will not be updated</w:t>
      </w:r>
      <w:r w:rsidRPr="00ED1C7E">
        <w:t>. No new natural gas operations will be added to the</w:t>
      </w:r>
      <w:r w:rsidR="006F5228" w:rsidRPr="00ED1C7E">
        <w:t xml:space="preserve"> existing</w:t>
      </w:r>
      <w:r w:rsidRPr="00ED1C7E">
        <w:t xml:space="preserve"> table, and </w:t>
      </w:r>
      <w:r w:rsidR="006F5228" w:rsidRPr="00ED1C7E">
        <w:t xml:space="preserve">opt-in participants will continue to use </w:t>
      </w:r>
      <w:r w:rsidRPr="00ED1C7E">
        <w:t>the</w:t>
      </w:r>
      <w:r w:rsidR="00F84DFA" w:rsidRPr="00ED1C7E">
        <w:t> </w:t>
      </w:r>
      <w:r w:rsidRPr="00ED1C7E">
        <w:t>current DEFs to calculate emissions for purchasing natural gas.</w:t>
      </w:r>
    </w:p>
    <w:p w14:paraId="2EDDACBE" w14:textId="0EF0BB7E" w:rsidR="00A23A3A" w:rsidRPr="00ED1C7E" w:rsidRDefault="00A23A3A" w:rsidP="00971C99">
      <w:pPr>
        <w:pStyle w:val="Heading4"/>
      </w:pPr>
      <w:r w:rsidRPr="00ED1C7E">
        <w:t>Option 2: Update the SEIP Regulations</w:t>
      </w:r>
    </w:p>
    <w:p w14:paraId="0938B398" w14:textId="1E454B4C" w:rsidR="00A23A3A" w:rsidRPr="00ED1C7E" w:rsidRDefault="006F5228" w:rsidP="00A23A3A">
      <w:pPr>
        <w:pStyle w:val="BodyText"/>
      </w:pPr>
      <w:r w:rsidRPr="00ED1C7E">
        <w:t>Th</w:t>
      </w:r>
      <w:r w:rsidR="00A23A3A" w:rsidRPr="00ED1C7E">
        <w:t xml:space="preserve">e DEFs for each </w:t>
      </w:r>
      <w:r w:rsidR="00736C11" w:rsidRPr="00ED1C7E">
        <w:t>natural gas field will be updated using data from emissions returns</w:t>
      </w:r>
      <w:r w:rsidR="002D46AD" w:rsidRPr="00ED1C7E">
        <w:t xml:space="preserve">. This increases the accuracy of the </w:t>
      </w:r>
      <w:r w:rsidR="00221ACF" w:rsidRPr="00ED1C7E">
        <w:t>NZ ETS</w:t>
      </w:r>
      <w:r w:rsidR="002D46AD" w:rsidRPr="00ED1C7E">
        <w:t xml:space="preserve"> and avoids additional administrative and compliance costs to participants.</w:t>
      </w:r>
    </w:p>
    <w:p w14:paraId="3F07518A" w14:textId="7EAE0582" w:rsidR="008D138F" w:rsidRPr="00ED1C7E" w:rsidRDefault="008D138F" w:rsidP="00A23A3A">
      <w:pPr>
        <w:pStyle w:val="BodyText"/>
      </w:pPr>
      <w:r w:rsidRPr="00ED1C7E">
        <w:t xml:space="preserve">Feedback from previous consultations </w:t>
      </w:r>
      <w:r w:rsidR="00BF230D" w:rsidRPr="00ED1C7E">
        <w:t>included strong support from opt-in participants and some gas miners</w:t>
      </w:r>
      <w:r w:rsidR="009426B3" w:rsidRPr="00ED1C7E">
        <w:t xml:space="preserve"> for retaining and regularly updating the DEFs in regulations.</w:t>
      </w:r>
    </w:p>
    <w:p w14:paraId="5363BEBA" w14:textId="5C60DDD5" w:rsidR="009426B3" w:rsidRPr="00ED1C7E" w:rsidRDefault="009426B3" w:rsidP="00A23A3A">
      <w:pPr>
        <w:pStyle w:val="BodyText"/>
      </w:pPr>
      <w:r w:rsidRPr="00ED1C7E">
        <w:t>The DEFs were last updated on 1 January 2023</w:t>
      </w:r>
      <w:r w:rsidR="006F5228" w:rsidRPr="00ED1C7E">
        <w:t>, so they can</w:t>
      </w:r>
      <w:r w:rsidRPr="00ED1C7E">
        <w:t xml:space="preserve"> be used for reporting emissions for the 2023 calendar year. No update was made for the 2024 calendar year.</w:t>
      </w:r>
    </w:p>
    <w:p w14:paraId="41E815F0" w14:textId="77777777" w:rsidR="005F319A" w:rsidRPr="00ED1C7E" w:rsidRDefault="005F319A" w:rsidP="00110CC3">
      <w:pPr>
        <w:pStyle w:val="Heading3"/>
      </w:pPr>
      <w:r w:rsidRPr="00ED1C7E">
        <w:t>Analysis</w:t>
      </w:r>
    </w:p>
    <w:p w14:paraId="59FFCC3C" w14:textId="730E927F" w:rsidR="004D1BA1" w:rsidRPr="00ED1C7E" w:rsidRDefault="00C4301E" w:rsidP="00C4301E">
      <w:pPr>
        <w:pStyle w:val="BodyText"/>
      </w:pPr>
      <w:r w:rsidRPr="00ED1C7E">
        <w:fldChar w:fldCharType="begin"/>
      </w:r>
      <w:r w:rsidRPr="00ED1C7E">
        <w:instrText xml:space="preserve"> REF _Ref161131101 \h </w:instrText>
      </w:r>
      <w:r w:rsidRPr="00ED1C7E">
        <w:fldChar w:fldCharType="separate"/>
      </w:r>
      <w:r w:rsidR="00C60130" w:rsidRPr="00ED1C7E">
        <w:t xml:space="preserve">Table </w:t>
      </w:r>
      <w:r w:rsidR="00C60130">
        <w:rPr>
          <w:noProof/>
        </w:rPr>
        <w:t>5</w:t>
      </w:r>
      <w:r w:rsidRPr="00ED1C7E">
        <w:fldChar w:fldCharType="end"/>
      </w:r>
      <w:r w:rsidRPr="00ED1C7E">
        <w:t xml:space="preserve"> </w:t>
      </w:r>
      <w:r w:rsidR="004D1BA1" w:rsidRPr="00ED1C7E">
        <w:t xml:space="preserve">outlines an assessment of the options described above. To assist with interpretation of the analysis in the table, see the </w:t>
      </w:r>
      <w:hyperlink w:anchor="_Criteria_for_assessing" w:history="1">
        <w:r w:rsidR="004D1BA1" w:rsidRPr="00ED1C7E">
          <w:rPr>
            <w:rStyle w:val="Hyperlink"/>
          </w:rPr>
          <w:t>Criteria for assessing options</w:t>
        </w:r>
      </w:hyperlink>
      <w:r w:rsidR="004D1BA1" w:rsidRPr="00ED1C7E">
        <w:t xml:space="preserve"> section.</w:t>
      </w:r>
    </w:p>
    <w:p w14:paraId="5495009B" w14:textId="447A0841" w:rsidR="009A7FCC" w:rsidRPr="00ED1C7E" w:rsidRDefault="009A7FCC" w:rsidP="003340AB">
      <w:pPr>
        <w:pStyle w:val="Tableheading"/>
      </w:pPr>
      <w:bookmarkStart w:id="32" w:name="_Ref161131101"/>
      <w:bookmarkStart w:id="33" w:name="_Toc165532912"/>
      <w:r w:rsidRPr="00ED1C7E">
        <w:t xml:space="preserve">Table </w:t>
      </w:r>
      <w:r w:rsidR="00594215">
        <w:fldChar w:fldCharType="begin"/>
      </w:r>
      <w:r w:rsidR="00594215">
        <w:instrText xml:space="preserve"> SEQ Table \* ARABIC </w:instrText>
      </w:r>
      <w:r w:rsidR="00594215">
        <w:fldChar w:fldCharType="separate"/>
      </w:r>
      <w:r w:rsidR="00C60130">
        <w:rPr>
          <w:noProof/>
        </w:rPr>
        <w:t>5</w:t>
      </w:r>
      <w:r w:rsidR="00594215">
        <w:rPr>
          <w:noProof/>
        </w:rPr>
        <w:fldChar w:fldCharType="end"/>
      </w:r>
      <w:bookmarkEnd w:id="32"/>
      <w:r w:rsidRPr="00ED1C7E">
        <w:t xml:space="preserve">: </w:t>
      </w:r>
      <w:r w:rsidR="00F84DFA" w:rsidRPr="00ED1C7E">
        <w:tab/>
      </w:r>
      <w:r w:rsidRPr="00ED1C7E">
        <w:t xml:space="preserve">Options for updates to </w:t>
      </w:r>
      <w:r w:rsidR="00221ACF" w:rsidRPr="00ED1C7E">
        <w:t>NZ ETS</w:t>
      </w:r>
      <w:r w:rsidRPr="00ED1C7E">
        <w:t xml:space="preserve"> regulations for natural gas</w:t>
      </w:r>
      <w:bookmarkEnd w:id="33"/>
    </w:p>
    <w:tbl>
      <w:tblPr>
        <w:tblStyle w:val="TableGrid"/>
        <w:tblW w:w="8500"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701"/>
        <w:gridCol w:w="1134"/>
        <w:gridCol w:w="5665"/>
      </w:tblGrid>
      <w:tr w:rsidR="009426B3" w:rsidRPr="00ED1C7E" w14:paraId="6F13136C" w14:textId="77777777" w:rsidTr="00F84DFA">
        <w:trPr>
          <w:tblHeader/>
        </w:trPr>
        <w:tc>
          <w:tcPr>
            <w:tcW w:w="1701" w:type="dxa"/>
            <w:shd w:val="clear" w:color="auto" w:fill="1B556B"/>
            <w:vAlign w:val="bottom"/>
          </w:tcPr>
          <w:p w14:paraId="355B34AE" w14:textId="77777777" w:rsidR="009426B3" w:rsidRPr="00ED1C7E" w:rsidRDefault="009426B3" w:rsidP="00277350">
            <w:pPr>
              <w:pStyle w:val="TableTextbold"/>
              <w:spacing w:before="40" w:after="40"/>
              <w:rPr>
                <w:color w:val="FFFFFF" w:themeColor="background1"/>
              </w:rPr>
            </w:pPr>
            <w:r w:rsidRPr="00ED1C7E">
              <w:rPr>
                <w:color w:val="FFFFFF" w:themeColor="background1"/>
              </w:rPr>
              <w:t>Criteria</w:t>
            </w:r>
          </w:p>
        </w:tc>
        <w:tc>
          <w:tcPr>
            <w:tcW w:w="1134" w:type="dxa"/>
            <w:shd w:val="clear" w:color="auto" w:fill="1B556B"/>
            <w:vAlign w:val="bottom"/>
          </w:tcPr>
          <w:p w14:paraId="0700B6AE" w14:textId="77777777" w:rsidR="009426B3" w:rsidRPr="00ED1C7E" w:rsidRDefault="009426B3" w:rsidP="00277350">
            <w:pPr>
              <w:pStyle w:val="TableTextbold"/>
              <w:spacing w:before="40" w:after="40"/>
              <w:rPr>
                <w:color w:val="FFFFFF" w:themeColor="background1"/>
              </w:rPr>
            </w:pPr>
            <w:r w:rsidRPr="00ED1C7E">
              <w:rPr>
                <w:color w:val="FFFFFF" w:themeColor="background1"/>
              </w:rPr>
              <w:t>Option 1: Status quo</w:t>
            </w:r>
          </w:p>
        </w:tc>
        <w:tc>
          <w:tcPr>
            <w:tcW w:w="5665" w:type="dxa"/>
            <w:shd w:val="clear" w:color="auto" w:fill="1B556B"/>
            <w:vAlign w:val="bottom"/>
          </w:tcPr>
          <w:p w14:paraId="416CDEEB" w14:textId="316F7CB2" w:rsidR="009426B3" w:rsidRPr="00ED1C7E" w:rsidRDefault="009426B3" w:rsidP="00277350">
            <w:pPr>
              <w:pStyle w:val="TableTextbold"/>
              <w:spacing w:before="40" w:after="40"/>
              <w:rPr>
                <w:color w:val="FFFFFF" w:themeColor="background1"/>
              </w:rPr>
            </w:pPr>
            <w:r w:rsidRPr="00ED1C7E">
              <w:rPr>
                <w:color w:val="FFFFFF" w:themeColor="background1"/>
              </w:rPr>
              <w:t>Option 2:</w:t>
            </w:r>
            <w:r w:rsidRPr="00ED1C7E">
              <w:rPr>
                <w:color w:val="FFFFFF" w:themeColor="background1"/>
              </w:rPr>
              <w:br/>
              <w:t>Update the SEIP Regulations</w:t>
            </w:r>
          </w:p>
        </w:tc>
      </w:tr>
      <w:tr w:rsidR="009426B3" w:rsidRPr="00ED1C7E" w14:paraId="558D2F49" w14:textId="77777777" w:rsidTr="00F84DFA">
        <w:tc>
          <w:tcPr>
            <w:tcW w:w="1701" w:type="dxa"/>
            <w:shd w:val="clear" w:color="auto" w:fill="auto"/>
          </w:tcPr>
          <w:p w14:paraId="49DD0B0C" w14:textId="77777777" w:rsidR="009426B3" w:rsidRPr="00ED1C7E" w:rsidRDefault="009426B3" w:rsidP="00277350">
            <w:pPr>
              <w:pStyle w:val="TableText"/>
              <w:spacing w:before="40" w:after="40"/>
            </w:pPr>
            <w:r w:rsidRPr="00ED1C7E">
              <w:t>Alignment</w:t>
            </w:r>
          </w:p>
        </w:tc>
        <w:tc>
          <w:tcPr>
            <w:tcW w:w="1134" w:type="dxa"/>
          </w:tcPr>
          <w:p w14:paraId="3FFDAC18" w14:textId="77777777" w:rsidR="009426B3" w:rsidRPr="002C77B0" w:rsidRDefault="009426B3" w:rsidP="00277350">
            <w:pPr>
              <w:pStyle w:val="TableText"/>
              <w:spacing w:before="40" w:after="40"/>
              <w:rPr>
                <w:b/>
                <w:bCs/>
                <w:sz w:val="20"/>
              </w:rPr>
            </w:pPr>
            <w:r w:rsidRPr="002C77B0">
              <w:rPr>
                <w:b/>
                <w:bCs/>
                <w:sz w:val="20"/>
              </w:rPr>
              <w:t>0</w:t>
            </w:r>
          </w:p>
        </w:tc>
        <w:tc>
          <w:tcPr>
            <w:tcW w:w="5665" w:type="dxa"/>
            <w:shd w:val="clear" w:color="auto" w:fill="auto"/>
          </w:tcPr>
          <w:p w14:paraId="7F0B8467" w14:textId="77777777" w:rsidR="002C77B0" w:rsidRDefault="009426B3" w:rsidP="00277350">
            <w:pPr>
              <w:pStyle w:val="TableText"/>
              <w:keepNext/>
              <w:spacing w:before="40" w:after="40"/>
              <w:rPr>
                <w:rFonts w:cs="Arial"/>
                <w:b/>
                <w:color w:val="00B050"/>
                <w:lang w:eastAsia="en-AU"/>
              </w:rPr>
            </w:pPr>
            <w:r w:rsidRPr="002C77B0">
              <w:rPr>
                <w:rFonts w:cs="Arial"/>
                <w:b/>
                <w:color w:val="00B050"/>
                <w:sz w:val="20"/>
                <w:lang w:eastAsia="en-AU"/>
              </w:rPr>
              <w:t>+</w:t>
            </w:r>
          </w:p>
          <w:p w14:paraId="01BFDB4E" w14:textId="2F5F88B0" w:rsidR="009426B3" w:rsidRPr="00ED1C7E" w:rsidRDefault="009426B3" w:rsidP="00277350">
            <w:pPr>
              <w:pStyle w:val="TableText"/>
              <w:keepNext/>
              <w:spacing w:before="40" w:after="40"/>
              <w:rPr>
                <w:rFonts w:cs="Arial"/>
                <w:bCs/>
                <w:lang w:eastAsia="en-AU"/>
              </w:rPr>
            </w:pPr>
            <w:r w:rsidRPr="00ED1C7E">
              <w:rPr>
                <w:rFonts w:cs="Arial"/>
                <w:bCs/>
                <w:lang w:eastAsia="en-AU"/>
              </w:rPr>
              <w:t xml:space="preserve">Aligns with the proper functioning of the </w:t>
            </w:r>
            <w:r w:rsidR="00221ACF" w:rsidRPr="00ED1C7E">
              <w:rPr>
                <w:rFonts w:cs="Arial"/>
                <w:bCs/>
                <w:lang w:eastAsia="en-AU"/>
              </w:rPr>
              <w:t>NZ ETS</w:t>
            </w:r>
            <w:r w:rsidRPr="00ED1C7E">
              <w:rPr>
                <w:rFonts w:cs="Arial"/>
                <w:bCs/>
                <w:lang w:eastAsia="en-AU"/>
              </w:rPr>
              <w:t>.</w:t>
            </w:r>
          </w:p>
        </w:tc>
      </w:tr>
      <w:tr w:rsidR="009426B3" w:rsidRPr="00ED1C7E" w14:paraId="1A2FB151" w14:textId="77777777" w:rsidTr="00F84DFA">
        <w:tc>
          <w:tcPr>
            <w:tcW w:w="1701" w:type="dxa"/>
            <w:shd w:val="clear" w:color="auto" w:fill="auto"/>
          </w:tcPr>
          <w:p w14:paraId="245BDD10" w14:textId="77777777" w:rsidR="009426B3" w:rsidRPr="00ED1C7E" w:rsidRDefault="009426B3" w:rsidP="00277350">
            <w:pPr>
              <w:pStyle w:val="TableText"/>
              <w:spacing w:before="40" w:after="40"/>
            </w:pPr>
            <w:r w:rsidRPr="00ED1C7E">
              <w:t>Accuracy</w:t>
            </w:r>
          </w:p>
        </w:tc>
        <w:tc>
          <w:tcPr>
            <w:tcW w:w="1134" w:type="dxa"/>
          </w:tcPr>
          <w:p w14:paraId="733C649C" w14:textId="77777777" w:rsidR="009426B3" w:rsidRPr="002C77B0" w:rsidRDefault="009426B3" w:rsidP="00277350">
            <w:pPr>
              <w:pStyle w:val="TableText"/>
              <w:spacing w:before="40" w:after="40"/>
              <w:rPr>
                <w:b/>
                <w:bCs/>
                <w:sz w:val="20"/>
              </w:rPr>
            </w:pPr>
            <w:r w:rsidRPr="002C77B0">
              <w:rPr>
                <w:b/>
                <w:bCs/>
                <w:sz w:val="20"/>
              </w:rPr>
              <w:t>0</w:t>
            </w:r>
          </w:p>
        </w:tc>
        <w:tc>
          <w:tcPr>
            <w:tcW w:w="5665" w:type="dxa"/>
            <w:shd w:val="clear" w:color="auto" w:fill="auto"/>
          </w:tcPr>
          <w:p w14:paraId="4497F38D" w14:textId="77777777" w:rsidR="002C77B0" w:rsidRDefault="009426B3" w:rsidP="00277350">
            <w:pPr>
              <w:pStyle w:val="TableText"/>
              <w:keepNext/>
              <w:spacing w:before="40" w:after="40"/>
              <w:rPr>
                <w:rFonts w:cs="Arial"/>
                <w:b/>
                <w:color w:val="00B050"/>
                <w:sz w:val="20"/>
                <w:lang w:eastAsia="en-AU"/>
              </w:rPr>
            </w:pPr>
            <w:r w:rsidRPr="002C77B0">
              <w:rPr>
                <w:rFonts w:cs="Arial"/>
                <w:b/>
                <w:color w:val="00B050"/>
                <w:sz w:val="20"/>
                <w:lang w:eastAsia="en-AU"/>
              </w:rPr>
              <w:t>+</w:t>
            </w:r>
          </w:p>
          <w:p w14:paraId="6EEC9E8B" w14:textId="2BF3D750" w:rsidR="009426B3" w:rsidRPr="00ED1C7E" w:rsidRDefault="009426B3" w:rsidP="00277350">
            <w:pPr>
              <w:pStyle w:val="TableText"/>
              <w:keepNext/>
              <w:spacing w:before="40" w:after="40"/>
              <w:rPr>
                <w:rFonts w:cs="Arial"/>
                <w:bCs/>
                <w:lang w:eastAsia="en-AU"/>
              </w:rPr>
            </w:pPr>
            <w:r w:rsidRPr="00ED1C7E">
              <w:rPr>
                <w:rFonts w:cs="Arial"/>
                <w:bCs/>
                <w:lang w:eastAsia="en-AU"/>
              </w:rPr>
              <w:t xml:space="preserve">Reported emissions and associated </w:t>
            </w:r>
            <w:r w:rsidR="00221ACF" w:rsidRPr="00ED1C7E">
              <w:rPr>
                <w:rFonts w:cs="Arial"/>
                <w:bCs/>
                <w:lang w:eastAsia="en-AU"/>
              </w:rPr>
              <w:t>NZ ETS</w:t>
            </w:r>
            <w:r w:rsidRPr="00ED1C7E">
              <w:rPr>
                <w:rFonts w:cs="Arial"/>
                <w:bCs/>
                <w:lang w:eastAsia="en-AU"/>
              </w:rPr>
              <w:t xml:space="preserve"> costs are more consistent with actual emissions.</w:t>
            </w:r>
          </w:p>
        </w:tc>
      </w:tr>
      <w:tr w:rsidR="009426B3" w:rsidRPr="00ED1C7E" w14:paraId="448E9CFD" w14:textId="77777777" w:rsidTr="00F84DFA">
        <w:tc>
          <w:tcPr>
            <w:tcW w:w="1701" w:type="dxa"/>
          </w:tcPr>
          <w:p w14:paraId="32B21FB5" w14:textId="77777777" w:rsidR="009426B3" w:rsidRPr="00ED1C7E" w:rsidRDefault="009426B3" w:rsidP="00277350">
            <w:pPr>
              <w:pStyle w:val="TableText"/>
              <w:spacing w:before="40" w:after="40"/>
            </w:pPr>
            <w:r w:rsidRPr="00ED1C7E">
              <w:t>Efficiency</w:t>
            </w:r>
          </w:p>
        </w:tc>
        <w:tc>
          <w:tcPr>
            <w:tcW w:w="1134" w:type="dxa"/>
          </w:tcPr>
          <w:p w14:paraId="76772DD4" w14:textId="77777777" w:rsidR="009426B3" w:rsidRPr="002C77B0" w:rsidRDefault="009426B3" w:rsidP="00277350">
            <w:pPr>
              <w:pStyle w:val="TableText"/>
              <w:spacing w:before="40" w:after="40"/>
              <w:rPr>
                <w:b/>
                <w:bCs/>
                <w:sz w:val="20"/>
              </w:rPr>
            </w:pPr>
            <w:r w:rsidRPr="002C77B0">
              <w:rPr>
                <w:b/>
                <w:bCs/>
                <w:sz w:val="20"/>
              </w:rPr>
              <w:t>0</w:t>
            </w:r>
          </w:p>
        </w:tc>
        <w:tc>
          <w:tcPr>
            <w:tcW w:w="5665" w:type="dxa"/>
          </w:tcPr>
          <w:p w14:paraId="49F4A944" w14:textId="77777777" w:rsidR="002C77B0" w:rsidRDefault="00A14934" w:rsidP="00277350">
            <w:pPr>
              <w:pStyle w:val="TableText"/>
              <w:spacing w:before="40" w:after="40"/>
              <w:rPr>
                <w:b/>
                <w:color w:val="00B050"/>
              </w:rPr>
            </w:pPr>
            <w:r w:rsidRPr="002C77B0">
              <w:rPr>
                <w:rFonts w:cs="Arial"/>
                <w:b/>
                <w:color w:val="00B050"/>
                <w:sz w:val="20"/>
                <w:lang w:eastAsia="en-AU"/>
              </w:rPr>
              <w:t>+</w:t>
            </w:r>
          </w:p>
          <w:p w14:paraId="55261E5E" w14:textId="76738CFC" w:rsidR="009426B3" w:rsidRPr="00ED1C7E" w:rsidRDefault="00A14934" w:rsidP="00277350">
            <w:pPr>
              <w:pStyle w:val="TableText"/>
              <w:spacing w:before="40" w:after="40"/>
            </w:pPr>
            <w:r w:rsidRPr="00ED1C7E">
              <w:t>Avoids opt-in participants needing to obtain additional data for reporting.</w:t>
            </w:r>
          </w:p>
        </w:tc>
      </w:tr>
      <w:tr w:rsidR="009426B3" w:rsidRPr="00ED1C7E" w14:paraId="6377564B" w14:textId="77777777" w:rsidTr="00F84DFA">
        <w:tc>
          <w:tcPr>
            <w:tcW w:w="1701" w:type="dxa"/>
          </w:tcPr>
          <w:p w14:paraId="2E29815C" w14:textId="77777777" w:rsidR="009426B3" w:rsidRPr="00ED1C7E" w:rsidRDefault="009426B3" w:rsidP="00277350">
            <w:pPr>
              <w:pStyle w:val="TableText"/>
              <w:spacing w:before="40" w:after="40"/>
            </w:pPr>
            <w:r w:rsidRPr="00ED1C7E">
              <w:t>Clarity</w:t>
            </w:r>
          </w:p>
        </w:tc>
        <w:tc>
          <w:tcPr>
            <w:tcW w:w="1134" w:type="dxa"/>
          </w:tcPr>
          <w:p w14:paraId="09546C09" w14:textId="77777777" w:rsidR="009426B3" w:rsidRPr="002C77B0" w:rsidRDefault="009426B3" w:rsidP="00277350">
            <w:pPr>
              <w:pStyle w:val="TableText"/>
              <w:spacing w:before="40" w:after="40"/>
              <w:rPr>
                <w:b/>
                <w:bCs/>
                <w:sz w:val="20"/>
              </w:rPr>
            </w:pPr>
            <w:r w:rsidRPr="002C77B0">
              <w:rPr>
                <w:b/>
                <w:bCs/>
                <w:sz w:val="20"/>
              </w:rPr>
              <w:t>0</w:t>
            </w:r>
          </w:p>
        </w:tc>
        <w:tc>
          <w:tcPr>
            <w:tcW w:w="5665" w:type="dxa"/>
          </w:tcPr>
          <w:p w14:paraId="569EA65D" w14:textId="77777777" w:rsidR="002C77B0" w:rsidRDefault="009426B3" w:rsidP="00277350">
            <w:pPr>
              <w:pStyle w:val="TableText"/>
              <w:spacing w:before="40" w:after="40"/>
              <w:rPr>
                <w:b/>
                <w:bCs/>
              </w:rPr>
            </w:pPr>
            <w:r w:rsidRPr="002C77B0">
              <w:rPr>
                <w:b/>
                <w:bCs/>
                <w:sz w:val="20"/>
              </w:rPr>
              <w:t>0</w:t>
            </w:r>
          </w:p>
          <w:p w14:paraId="06C13EEF" w14:textId="47A9C2B0" w:rsidR="009426B3" w:rsidRPr="00ED1C7E" w:rsidRDefault="009426B3" w:rsidP="00277350">
            <w:pPr>
              <w:pStyle w:val="TableText"/>
              <w:spacing w:before="40" w:after="40"/>
            </w:pPr>
            <w:r w:rsidRPr="00ED1C7E">
              <w:t>No change for participants in how they report their emissions.</w:t>
            </w:r>
          </w:p>
        </w:tc>
      </w:tr>
      <w:tr w:rsidR="009426B3" w:rsidRPr="00ED1C7E" w14:paraId="4BB182C7" w14:textId="77777777" w:rsidTr="00F84DFA">
        <w:tc>
          <w:tcPr>
            <w:tcW w:w="1701" w:type="dxa"/>
          </w:tcPr>
          <w:p w14:paraId="74365515" w14:textId="77777777" w:rsidR="009426B3" w:rsidRPr="00ED1C7E" w:rsidRDefault="009426B3" w:rsidP="00277350">
            <w:pPr>
              <w:pStyle w:val="TableText"/>
              <w:spacing w:before="40" w:after="40"/>
              <w:rPr>
                <w:b/>
                <w:bCs/>
              </w:rPr>
            </w:pPr>
            <w:r w:rsidRPr="00ED1C7E">
              <w:rPr>
                <w:b/>
                <w:bCs/>
              </w:rPr>
              <w:t>Overall assessment</w:t>
            </w:r>
          </w:p>
        </w:tc>
        <w:tc>
          <w:tcPr>
            <w:tcW w:w="1134" w:type="dxa"/>
          </w:tcPr>
          <w:p w14:paraId="636AFEAA" w14:textId="77777777" w:rsidR="009426B3" w:rsidRPr="002C77B0" w:rsidRDefault="009426B3" w:rsidP="00277350">
            <w:pPr>
              <w:pStyle w:val="TableText"/>
              <w:spacing w:before="40" w:after="40"/>
              <w:rPr>
                <w:b/>
                <w:bCs/>
                <w:sz w:val="20"/>
              </w:rPr>
            </w:pPr>
            <w:r w:rsidRPr="002C77B0">
              <w:rPr>
                <w:b/>
                <w:bCs/>
                <w:sz w:val="20"/>
              </w:rPr>
              <w:t>0</w:t>
            </w:r>
          </w:p>
        </w:tc>
        <w:tc>
          <w:tcPr>
            <w:tcW w:w="5665" w:type="dxa"/>
          </w:tcPr>
          <w:p w14:paraId="1AB8994D" w14:textId="7E82AF4E" w:rsidR="009426B3" w:rsidRPr="002C77B0" w:rsidRDefault="00A14934" w:rsidP="00277350">
            <w:pPr>
              <w:pStyle w:val="TableText"/>
              <w:keepNext/>
              <w:spacing w:before="40" w:after="40"/>
              <w:rPr>
                <w:rFonts w:cs="Arial"/>
                <w:b/>
                <w:color w:val="00B050"/>
                <w:sz w:val="20"/>
                <w:lang w:eastAsia="en-AU"/>
              </w:rPr>
            </w:pPr>
            <w:r w:rsidRPr="002C77B0">
              <w:rPr>
                <w:rFonts w:cs="Arial"/>
                <w:b/>
                <w:color w:val="00B050"/>
                <w:sz w:val="20"/>
                <w:lang w:eastAsia="en-AU"/>
              </w:rPr>
              <w:t>3</w:t>
            </w:r>
            <w:r w:rsidR="009426B3" w:rsidRPr="002C77B0">
              <w:rPr>
                <w:rFonts w:cs="Arial"/>
                <w:b/>
                <w:color w:val="00B050"/>
                <w:sz w:val="20"/>
                <w:lang w:eastAsia="en-AU"/>
              </w:rPr>
              <w:t>+</w:t>
            </w:r>
          </w:p>
        </w:tc>
      </w:tr>
    </w:tbl>
    <w:p w14:paraId="23C20A02" w14:textId="22B7AAB1" w:rsidR="009426B3" w:rsidRPr="00ED1C7E" w:rsidRDefault="004148F8" w:rsidP="00F84DFA">
      <w:pPr>
        <w:pStyle w:val="BodyText"/>
        <w:spacing w:before="240"/>
      </w:pPr>
      <w:r w:rsidRPr="00ED1C7E">
        <w:t>This proposal is not expected to have material economic impacts.</w:t>
      </w:r>
    </w:p>
    <w:p w14:paraId="2A7C084C" w14:textId="7FE49830" w:rsidR="005F319A" w:rsidRDefault="005F319A" w:rsidP="00EF313A">
      <w:pPr>
        <w:pStyle w:val="Heading3"/>
        <w:spacing w:before="240" w:after="240"/>
      </w:pPr>
      <w:r w:rsidRPr="00ED1C7E">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414C83" w:rsidRPr="00D71C4F" w14:paraId="4321326A" w14:textId="77777777">
        <w:tc>
          <w:tcPr>
            <w:tcW w:w="8505" w:type="dxa"/>
            <w:shd w:val="clear" w:color="auto" w:fill="1B556B" w:themeFill="text2"/>
          </w:tcPr>
          <w:p w14:paraId="23605ECA" w14:textId="77777777" w:rsidR="00414C83" w:rsidRPr="00D71C4F" w:rsidRDefault="00414C83">
            <w:pPr>
              <w:pStyle w:val="TableText"/>
              <w:keepNext/>
              <w:rPr>
                <w:b/>
                <w:bCs/>
                <w:color w:val="FFFFFF" w:themeColor="background1"/>
                <w:sz w:val="20"/>
                <w:szCs w:val="22"/>
              </w:rPr>
            </w:pPr>
            <w:r w:rsidRPr="00D71C4F">
              <w:rPr>
                <w:b/>
                <w:bCs/>
                <w:color w:val="FFFFFF" w:themeColor="background1"/>
                <w:sz w:val="20"/>
                <w:szCs w:val="22"/>
              </w:rPr>
              <w:t>Questions</w:t>
            </w:r>
          </w:p>
        </w:tc>
      </w:tr>
      <w:tr w:rsidR="00414C83" w:rsidRPr="00943CFD" w14:paraId="3E8C2912" w14:textId="77777777">
        <w:tc>
          <w:tcPr>
            <w:tcW w:w="8505" w:type="dxa"/>
          </w:tcPr>
          <w:p w14:paraId="6B97EDD6" w14:textId="77777777" w:rsidR="00414C83" w:rsidRPr="00392F51" w:rsidRDefault="00414C83" w:rsidP="00571CB2">
            <w:pPr>
              <w:pStyle w:val="Questions"/>
              <w:ind w:left="319" w:hanging="319"/>
            </w:pPr>
            <w:bookmarkStart w:id="34" w:name="_Ref161240879"/>
            <w:r w:rsidRPr="00392F51">
              <w:t>Do you have any feedback or relevant evidence about the proposed update to DEFs for natural gas fields in the SEIP Regulations?</w:t>
            </w:r>
            <w:bookmarkEnd w:id="34"/>
          </w:p>
        </w:tc>
      </w:tr>
      <w:tr w:rsidR="00414C83" w:rsidRPr="00943CFD" w14:paraId="6D4A575B" w14:textId="77777777">
        <w:tc>
          <w:tcPr>
            <w:tcW w:w="8505" w:type="dxa"/>
          </w:tcPr>
          <w:p w14:paraId="22107AF9" w14:textId="77777777" w:rsidR="00414C83" w:rsidRPr="00392F51" w:rsidRDefault="00414C83" w:rsidP="00571CB2">
            <w:pPr>
              <w:pStyle w:val="Questions"/>
              <w:ind w:left="319" w:hanging="284"/>
            </w:pPr>
            <w:bookmarkStart w:id="35" w:name="_Ref161240890"/>
            <w:r w:rsidRPr="00392F51">
              <w:t>Do you support continuing to retain and regularly update the DEFs for natural gas fields? How might we improve this process?</w:t>
            </w:r>
            <w:bookmarkEnd w:id="35"/>
          </w:p>
        </w:tc>
      </w:tr>
    </w:tbl>
    <w:p w14:paraId="4FA450AD" w14:textId="135DAF63" w:rsidR="00BE1981" w:rsidRPr="00E67474" w:rsidRDefault="00A57C5C" w:rsidP="0057277E">
      <w:pPr>
        <w:pStyle w:val="Heading2"/>
        <w:rPr>
          <w:iCs/>
        </w:rPr>
      </w:pPr>
      <w:bookmarkStart w:id="36" w:name="_Toc165532997"/>
      <w:r w:rsidRPr="00ED1C7E">
        <w:lastRenderedPageBreak/>
        <w:t xml:space="preserve">Proposed </w:t>
      </w:r>
      <w:r w:rsidR="008B1A95" w:rsidRPr="00ED1C7E">
        <w:t>r</w:t>
      </w:r>
      <w:r w:rsidRPr="00ED1C7E">
        <w:t xml:space="preserve">egulatory </w:t>
      </w:r>
      <w:r w:rsidR="008B1A95" w:rsidRPr="00ED1C7E">
        <w:t>u</w:t>
      </w:r>
      <w:r w:rsidRPr="00ED1C7E">
        <w:t>pdate</w:t>
      </w:r>
      <w:r w:rsidR="00C84F02" w:rsidRPr="00ED1C7E">
        <w:t xml:space="preserve"> </w:t>
      </w:r>
      <w:r w:rsidR="00990B3D" w:rsidRPr="00ED1C7E">
        <w:t>3:</w:t>
      </w:r>
      <w:r w:rsidR="00990B3D" w:rsidRPr="00ED1C7E">
        <w:br/>
      </w:r>
      <w:r w:rsidR="00AA2808" w:rsidRPr="00E67474">
        <w:rPr>
          <w:iCs/>
        </w:rPr>
        <w:t>Updat</w:t>
      </w:r>
      <w:r w:rsidR="0052082B" w:rsidRPr="00E67474">
        <w:rPr>
          <w:iCs/>
        </w:rPr>
        <w:t xml:space="preserve">ing </w:t>
      </w:r>
      <w:r w:rsidR="00D10379" w:rsidRPr="00E67474">
        <w:rPr>
          <w:iCs/>
        </w:rPr>
        <w:t>DEFs</w:t>
      </w:r>
      <w:r w:rsidR="00AA2808" w:rsidRPr="00E67474">
        <w:rPr>
          <w:iCs/>
        </w:rPr>
        <w:t xml:space="preserve"> for liquid fossil fuel</w:t>
      </w:r>
      <w:r w:rsidR="003E757B" w:rsidRPr="00E67474">
        <w:rPr>
          <w:iCs/>
        </w:rPr>
        <w:t xml:space="preserve"> </w:t>
      </w:r>
      <w:proofErr w:type="gramStart"/>
      <w:r w:rsidR="003E757B" w:rsidRPr="00E67474">
        <w:rPr>
          <w:iCs/>
        </w:rPr>
        <w:t>activities</w:t>
      </w:r>
      <w:bookmarkEnd w:id="36"/>
      <w:proofErr w:type="gramEnd"/>
    </w:p>
    <w:p w14:paraId="4A70DEB7" w14:textId="77777777" w:rsidR="00BE1981" w:rsidRPr="00ED1C7E" w:rsidRDefault="00BE1981" w:rsidP="005539FA">
      <w:pPr>
        <w:pStyle w:val="Heading3"/>
        <w:spacing w:before="240"/>
      </w:pPr>
      <w:r w:rsidRPr="00ED1C7E">
        <w:t>Background</w:t>
      </w:r>
    </w:p>
    <w:p w14:paraId="4691F03E" w14:textId="7374E19D" w:rsidR="00FE0B4D" w:rsidRPr="00ED1C7E" w:rsidRDefault="005E27C7" w:rsidP="00F31AEC">
      <w:pPr>
        <w:pStyle w:val="BodyText"/>
        <w:spacing w:before="100" w:after="100"/>
      </w:pPr>
      <w:r w:rsidRPr="00ED1C7E">
        <w:t xml:space="preserve">Since the establishment of the </w:t>
      </w:r>
      <w:r w:rsidR="00221ACF" w:rsidRPr="00ED1C7E">
        <w:t>NZ ETS</w:t>
      </w:r>
      <w:r w:rsidRPr="00ED1C7E">
        <w:t xml:space="preserve">, </w:t>
      </w:r>
      <w:r w:rsidR="00BE1E0D" w:rsidRPr="00ED1C7E">
        <w:t>the</w:t>
      </w:r>
      <w:r w:rsidR="00471ABC" w:rsidRPr="00ED1C7E">
        <w:t xml:space="preserve"> DEFs</w:t>
      </w:r>
      <w:r w:rsidR="00BE1E0D" w:rsidRPr="00ED1C7E">
        <w:t xml:space="preserve"> for liquid fossil fuels have been regularly reviewed to ensure they accurately represent </w:t>
      </w:r>
      <w:r w:rsidR="003F05CF" w:rsidRPr="00ED1C7E">
        <w:t xml:space="preserve">the average </w:t>
      </w:r>
      <w:r w:rsidR="00471ABC" w:rsidRPr="00ED1C7E">
        <w:t xml:space="preserve">quality of </w:t>
      </w:r>
      <w:r w:rsidR="003F05CF" w:rsidRPr="00ED1C7E">
        <w:t>fuel consumed in New</w:t>
      </w:r>
      <w:r w:rsidR="005539FA" w:rsidRPr="00ED1C7E">
        <w:t> </w:t>
      </w:r>
      <w:r w:rsidR="003F05CF" w:rsidRPr="00ED1C7E">
        <w:t xml:space="preserve">Zealand. </w:t>
      </w:r>
      <w:r w:rsidR="00046347" w:rsidRPr="00ED1C7E">
        <w:t xml:space="preserve">This process has resulted </w:t>
      </w:r>
      <w:r w:rsidR="00FD70FD" w:rsidRPr="00ED1C7E">
        <w:t xml:space="preserve">in </w:t>
      </w:r>
      <w:r w:rsidR="0002437A" w:rsidRPr="00ED1C7E">
        <w:t xml:space="preserve">only </w:t>
      </w:r>
      <w:r w:rsidR="00FD70FD" w:rsidRPr="00ED1C7E">
        <w:t xml:space="preserve">infrequent updates to the </w:t>
      </w:r>
      <w:hyperlink r:id="rId36" w:history="1">
        <w:r w:rsidR="00FD70FD" w:rsidRPr="00ED1C7E">
          <w:rPr>
            <w:rStyle w:val="Hyperlink"/>
          </w:rPr>
          <w:t>Climate Change (Liquid Fossil Fuels) Regulations 2008</w:t>
        </w:r>
      </w:hyperlink>
      <w:r w:rsidR="00FD70FD" w:rsidRPr="00ED1C7E">
        <w:t xml:space="preserve"> (LFF Regulations),</w:t>
      </w:r>
      <w:r w:rsidR="00B269C6" w:rsidRPr="00ED1C7E">
        <w:t xml:space="preserve"> with the last</w:t>
      </w:r>
      <w:r w:rsidR="00FE4505" w:rsidRPr="00ED1C7E">
        <w:t xml:space="preserve"> </w:t>
      </w:r>
      <w:r w:rsidR="009D1022" w:rsidRPr="00ED1C7E">
        <w:t>major update</w:t>
      </w:r>
      <w:r w:rsidR="00FE4505" w:rsidRPr="00ED1C7E">
        <w:t xml:space="preserve"> </w:t>
      </w:r>
      <w:r w:rsidR="00B269C6" w:rsidRPr="00ED1C7E">
        <w:t xml:space="preserve">in </w:t>
      </w:r>
      <w:r w:rsidR="00FE4505" w:rsidRPr="00ED1C7E">
        <w:t>2014</w:t>
      </w:r>
      <w:r w:rsidR="0002437A" w:rsidRPr="00ED1C7E">
        <w:t>.</w:t>
      </w:r>
      <w:r w:rsidR="001D4108" w:rsidRPr="00ED1C7E">
        <w:rPr>
          <w:rStyle w:val="FootnoteReference"/>
        </w:rPr>
        <w:footnoteReference w:id="6"/>
      </w:r>
    </w:p>
    <w:p w14:paraId="29B8B02D" w14:textId="3D1CFD9E" w:rsidR="00FA294E" w:rsidRPr="00ED1C7E" w:rsidRDefault="00884525" w:rsidP="00F31AEC">
      <w:pPr>
        <w:pStyle w:val="BodyText"/>
        <w:spacing w:before="100" w:after="100"/>
      </w:pPr>
      <w:r w:rsidRPr="00ED1C7E">
        <w:t>Nevertheless, t</w:t>
      </w:r>
      <w:r w:rsidR="00007C43" w:rsidRPr="00ED1C7E">
        <w:t xml:space="preserve">he </w:t>
      </w:r>
      <w:r w:rsidR="00523EA2" w:rsidRPr="00ED1C7E">
        <w:t>liquid fossil fuel market has shifted in the last decade</w:t>
      </w:r>
      <w:r w:rsidRPr="00ED1C7E">
        <w:t>.</w:t>
      </w:r>
      <w:r w:rsidR="006B2D1D" w:rsidRPr="00ED1C7E">
        <w:t xml:space="preserve"> The original DEFs </w:t>
      </w:r>
      <w:r w:rsidR="009A4140" w:rsidRPr="00ED1C7E">
        <w:t>were primarily based on the quality of fuel produced at the Marsden Point Oil Refinery operated by Refining NZ</w:t>
      </w:r>
      <w:r w:rsidR="009124E2" w:rsidRPr="00ED1C7E">
        <w:t xml:space="preserve">, </w:t>
      </w:r>
      <w:r w:rsidR="00EA0707" w:rsidRPr="00ED1C7E">
        <w:t xml:space="preserve">with domestically refined fuel being comparable </w:t>
      </w:r>
      <w:r w:rsidR="00010CFD" w:rsidRPr="00ED1C7E">
        <w:t>to import fuel quality at the time.</w:t>
      </w:r>
      <w:r w:rsidR="00D518F4" w:rsidRPr="00ED1C7E">
        <w:t xml:space="preserve"> </w:t>
      </w:r>
      <w:r w:rsidR="00E960DB" w:rsidRPr="00ED1C7E">
        <w:t xml:space="preserve">Since </w:t>
      </w:r>
      <w:r w:rsidR="00AC7F75" w:rsidRPr="00ED1C7E">
        <w:t xml:space="preserve">the </w:t>
      </w:r>
      <w:r w:rsidR="0078319D" w:rsidRPr="00ED1C7E">
        <w:t xml:space="preserve">2014 </w:t>
      </w:r>
      <w:r w:rsidR="00AC7F75" w:rsidRPr="00ED1C7E">
        <w:t>update</w:t>
      </w:r>
      <w:r w:rsidR="00E960DB" w:rsidRPr="00ED1C7E">
        <w:t xml:space="preserve">, </w:t>
      </w:r>
      <w:r w:rsidR="00D518F4" w:rsidRPr="00ED1C7E">
        <w:t xml:space="preserve">the proportion of imported fuel </w:t>
      </w:r>
      <w:r w:rsidR="00E960DB" w:rsidRPr="00ED1C7E">
        <w:t>in the market has increased</w:t>
      </w:r>
      <w:r w:rsidR="008072CD" w:rsidRPr="00ED1C7E">
        <w:t xml:space="preserve">, </w:t>
      </w:r>
      <w:r w:rsidR="005C251B" w:rsidRPr="00ED1C7E">
        <w:t xml:space="preserve">but the average fuel quality </w:t>
      </w:r>
      <w:r w:rsidR="004C310F" w:rsidRPr="00ED1C7E">
        <w:t xml:space="preserve">has </w:t>
      </w:r>
      <w:r w:rsidR="002D50E1" w:rsidRPr="00ED1C7E">
        <w:t>remained largely consistent</w:t>
      </w:r>
      <w:r w:rsidR="004C310F" w:rsidRPr="00ED1C7E">
        <w:t>,</w:t>
      </w:r>
      <w:r w:rsidR="002D50E1" w:rsidRPr="00ED1C7E">
        <w:t xml:space="preserve"> </w:t>
      </w:r>
      <w:r w:rsidR="008F0551" w:rsidRPr="00ED1C7E">
        <w:t xml:space="preserve">despite </w:t>
      </w:r>
      <w:r w:rsidR="00032A3C" w:rsidRPr="00ED1C7E">
        <w:t xml:space="preserve">significant </w:t>
      </w:r>
      <w:r w:rsidR="008F0551" w:rsidRPr="00ED1C7E">
        <w:t xml:space="preserve">variation </w:t>
      </w:r>
      <w:r w:rsidR="00451896" w:rsidRPr="00ED1C7E">
        <w:t xml:space="preserve">in quality </w:t>
      </w:r>
      <w:r w:rsidR="00215BB8" w:rsidRPr="00ED1C7E">
        <w:t>between domestically refined and imported fuel.</w:t>
      </w:r>
    </w:p>
    <w:p w14:paraId="0D1F40DB" w14:textId="758531FF" w:rsidR="006B08E3" w:rsidRPr="00ED1C7E" w:rsidRDefault="006B08E3" w:rsidP="00F31AEC">
      <w:pPr>
        <w:pStyle w:val="BodyText"/>
        <w:spacing w:before="100" w:after="100"/>
      </w:pPr>
      <w:r w:rsidRPr="00ED1C7E">
        <w:t xml:space="preserve">However, with the closure of the Marsden Point Oil Refinery in 2022, </w:t>
      </w:r>
      <w:r w:rsidR="002D45F5" w:rsidRPr="00ED1C7E">
        <w:t>100</w:t>
      </w:r>
      <w:r w:rsidR="004C310F" w:rsidRPr="00ED1C7E">
        <w:t xml:space="preserve"> per cent</w:t>
      </w:r>
      <w:r w:rsidR="002D45F5" w:rsidRPr="00ED1C7E">
        <w:t xml:space="preserve"> of the liquid fossil fuel that New Zealand consumes is </w:t>
      </w:r>
      <w:r w:rsidR="003B4D29" w:rsidRPr="00ED1C7E">
        <w:t xml:space="preserve">now </w:t>
      </w:r>
      <w:r w:rsidR="002D45F5" w:rsidRPr="00ED1C7E">
        <w:t>imported</w:t>
      </w:r>
      <w:r w:rsidR="00CF5412" w:rsidRPr="00ED1C7E">
        <w:t xml:space="preserve">. </w:t>
      </w:r>
      <w:r w:rsidR="004C0E51" w:rsidRPr="00ED1C7E">
        <w:t xml:space="preserve">This </w:t>
      </w:r>
      <w:r w:rsidR="009D1022" w:rsidRPr="00ED1C7E">
        <w:t xml:space="preserve">substantively </w:t>
      </w:r>
      <w:r w:rsidR="00766775" w:rsidRPr="00ED1C7E">
        <w:t xml:space="preserve">changes the </w:t>
      </w:r>
      <w:r w:rsidR="00AC1DCB" w:rsidRPr="00ED1C7E">
        <w:t xml:space="preserve">average </w:t>
      </w:r>
      <w:r w:rsidR="00FF55CB" w:rsidRPr="00ED1C7E">
        <w:t xml:space="preserve">quality of </w:t>
      </w:r>
      <w:r w:rsidR="00AC1DCB" w:rsidRPr="00ED1C7E">
        <w:t xml:space="preserve">fuel consumed, </w:t>
      </w:r>
      <w:r w:rsidR="00A83B49" w:rsidRPr="00ED1C7E">
        <w:t xml:space="preserve">and </w:t>
      </w:r>
      <w:r w:rsidR="007E4EF6" w:rsidRPr="00ED1C7E">
        <w:t xml:space="preserve">all liquid fossil fuel DEFs </w:t>
      </w:r>
      <w:r w:rsidR="00066C7A" w:rsidRPr="00ED1C7E">
        <w:t xml:space="preserve">are </w:t>
      </w:r>
      <w:r w:rsidR="00FF55CB" w:rsidRPr="00ED1C7E">
        <w:t xml:space="preserve">out of date </w:t>
      </w:r>
      <w:r w:rsidR="00751B6C" w:rsidRPr="00ED1C7E">
        <w:t>for</w:t>
      </w:r>
      <w:r w:rsidR="00066C7A" w:rsidRPr="00ED1C7E">
        <w:t xml:space="preserve"> accurately represent</w:t>
      </w:r>
      <w:r w:rsidR="00FF55CB" w:rsidRPr="00ED1C7E">
        <w:t>ing</w:t>
      </w:r>
      <w:r w:rsidR="00066C7A" w:rsidRPr="00ED1C7E">
        <w:t xml:space="preserve"> emissions from fuel consumption in New Zealand.</w:t>
      </w:r>
    </w:p>
    <w:p w14:paraId="23E71319" w14:textId="29A5D6B3" w:rsidR="00BE1981" w:rsidRPr="00ED1C7E" w:rsidRDefault="00BE1981" w:rsidP="00F31AEC">
      <w:pPr>
        <w:pStyle w:val="Heading3"/>
        <w:spacing w:before="320"/>
      </w:pPr>
      <w:r w:rsidRPr="00ED1C7E">
        <w:t xml:space="preserve">Why </w:t>
      </w:r>
      <w:r w:rsidR="0052082B" w:rsidRPr="00ED1C7E">
        <w:t>update DEFs for liquid fossil fuels?</w:t>
      </w:r>
    </w:p>
    <w:p w14:paraId="4BE36B1E" w14:textId="42B8F1F7" w:rsidR="00DC6B59" w:rsidRPr="00ED1C7E" w:rsidRDefault="001468DE" w:rsidP="00F31AEC">
      <w:pPr>
        <w:pStyle w:val="BodyText"/>
        <w:tabs>
          <w:tab w:val="left" w:pos="851"/>
        </w:tabs>
        <w:spacing w:before="100" w:after="100"/>
      </w:pPr>
      <w:r w:rsidRPr="00ED1C7E">
        <w:t xml:space="preserve">Officials </w:t>
      </w:r>
      <w:r w:rsidR="00E058E6" w:rsidRPr="00ED1C7E">
        <w:t xml:space="preserve">regularly </w:t>
      </w:r>
      <w:r w:rsidR="00B00D8D" w:rsidRPr="00ED1C7E">
        <w:t xml:space="preserve">review </w:t>
      </w:r>
      <w:r w:rsidR="00E058E6" w:rsidRPr="00ED1C7E">
        <w:t xml:space="preserve">the </w:t>
      </w:r>
      <w:r w:rsidR="00B00D8D" w:rsidRPr="00ED1C7E">
        <w:t xml:space="preserve">DEFs in regulations for </w:t>
      </w:r>
      <w:r w:rsidR="00E058E6" w:rsidRPr="00ED1C7E">
        <w:t xml:space="preserve">liquid fossil </w:t>
      </w:r>
      <w:r w:rsidR="00B00D8D" w:rsidRPr="00ED1C7E">
        <w:t xml:space="preserve">fuels. </w:t>
      </w:r>
      <w:r w:rsidR="000435BA" w:rsidRPr="00ED1C7E">
        <w:t>This</w:t>
      </w:r>
      <w:r w:rsidR="00E058E6" w:rsidRPr="00ED1C7E">
        <w:t xml:space="preserve"> </w:t>
      </w:r>
      <w:r w:rsidR="000435BA" w:rsidRPr="00ED1C7E">
        <w:t xml:space="preserve">review process </w:t>
      </w:r>
      <w:r w:rsidR="00D16186" w:rsidRPr="00ED1C7E">
        <w:t xml:space="preserve">is carried out by </w:t>
      </w:r>
      <w:r w:rsidR="002A6856" w:rsidRPr="00ED1C7E">
        <w:t>the Ministry</w:t>
      </w:r>
      <w:r w:rsidR="007A247F" w:rsidRPr="00ED1C7E">
        <w:t xml:space="preserve"> for the Environment</w:t>
      </w:r>
      <w:r w:rsidR="002A6856" w:rsidRPr="00ED1C7E">
        <w:t xml:space="preserve">, </w:t>
      </w:r>
      <w:r w:rsidR="00DA6564" w:rsidRPr="00ED1C7E">
        <w:t xml:space="preserve">the Ministry </w:t>
      </w:r>
      <w:r w:rsidR="00C63E85" w:rsidRPr="00ED1C7E">
        <w:t xml:space="preserve">of Business, Innovation, and Employment, and the consultancy </w:t>
      </w:r>
      <w:r w:rsidR="00BB744B" w:rsidRPr="00ED1C7E">
        <w:t>Envisory (</w:t>
      </w:r>
      <w:r w:rsidR="006C4D70" w:rsidRPr="00ED1C7E">
        <w:t xml:space="preserve">previously </w:t>
      </w:r>
      <w:r w:rsidR="00BB744B" w:rsidRPr="00ED1C7E">
        <w:t>Hale &amp; Twomey)</w:t>
      </w:r>
      <w:r w:rsidR="003C2AD9" w:rsidRPr="00ED1C7E">
        <w:t xml:space="preserve"> – </w:t>
      </w:r>
      <w:r w:rsidR="00123163" w:rsidRPr="00ED1C7E">
        <w:t xml:space="preserve">the three </w:t>
      </w:r>
      <w:r w:rsidR="00FD2967" w:rsidRPr="00ED1C7E">
        <w:t xml:space="preserve">organisations </w:t>
      </w:r>
      <w:r w:rsidR="00123163" w:rsidRPr="00ED1C7E">
        <w:t xml:space="preserve">that </w:t>
      </w:r>
      <w:r w:rsidR="00005CA8" w:rsidRPr="00ED1C7E">
        <w:t>developed the original DEFs.</w:t>
      </w:r>
    </w:p>
    <w:p w14:paraId="7809BA7D" w14:textId="57635ED2" w:rsidR="00411311" w:rsidRDefault="00FE2873" w:rsidP="00F31AEC">
      <w:pPr>
        <w:pStyle w:val="BodyText"/>
        <w:tabs>
          <w:tab w:val="left" w:pos="851"/>
        </w:tabs>
        <w:spacing w:before="100" w:after="100"/>
      </w:pPr>
      <w:r w:rsidRPr="00ED1C7E">
        <w:t>W</w:t>
      </w:r>
      <w:r w:rsidR="003E50EA" w:rsidRPr="00ED1C7E">
        <w:t xml:space="preserve">hile Refining NZ was discussing the potential closure of the Marsden Point Oil Refinery, </w:t>
      </w:r>
      <w:r w:rsidRPr="00ED1C7E">
        <w:t>the Ministry</w:t>
      </w:r>
      <w:r w:rsidR="003C2AD9" w:rsidRPr="00ED1C7E">
        <w:t xml:space="preserve"> for the Environment</w:t>
      </w:r>
      <w:r w:rsidRPr="00ED1C7E">
        <w:t xml:space="preserve"> sought advice</w:t>
      </w:r>
      <w:r w:rsidR="00B173C0" w:rsidRPr="00ED1C7E">
        <w:t>. Th</w:t>
      </w:r>
      <w:r w:rsidR="00251CF3" w:rsidRPr="00ED1C7E">
        <w:t>e</w:t>
      </w:r>
      <w:r w:rsidR="00B173C0" w:rsidRPr="00ED1C7E">
        <w:t xml:space="preserve"> advice</w:t>
      </w:r>
      <w:r w:rsidRPr="00ED1C7E">
        <w:t xml:space="preserve"> concluded </w:t>
      </w:r>
      <w:r w:rsidR="003E50EA" w:rsidRPr="00ED1C7E">
        <w:t>that</w:t>
      </w:r>
      <w:r w:rsidR="00251CF3" w:rsidRPr="00ED1C7E">
        <w:t>,</w:t>
      </w:r>
      <w:r w:rsidR="003E50EA" w:rsidRPr="00ED1C7E">
        <w:t xml:space="preserve"> </w:t>
      </w:r>
      <w:r w:rsidR="00251CF3" w:rsidRPr="00ED1C7E">
        <w:t xml:space="preserve">should Refinery NZ proceed with the closure, </w:t>
      </w:r>
      <w:r w:rsidR="00D4697C" w:rsidRPr="00ED1C7E">
        <w:t xml:space="preserve">the DEFs </w:t>
      </w:r>
      <w:r w:rsidR="007F0A3B" w:rsidRPr="00ED1C7E">
        <w:t>should be adjusted to solely reflect imported fuel quality</w:t>
      </w:r>
      <w:r w:rsidR="00A63A4B" w:rsidRPr="00ED1C7E">
        <w:t>.</w:t>
      </w:r>
      <w:r w:rsidR="008F7D71" w:rsidRPr="00ED1C7E">
        <w:t xml:space="preserve"> </w:t>
      </w:r>
      <w:r w:rsidR="00A12AB4" w:rsidRPr="00ED1C7E">
        <w:t xml:space="preserve">Updating liquid fossil fuel DEFs this year </w:t>
      </w:r>
      <w:r w:rsidR="002749FA" w:rsidRPr="00ED1C7E">
        <w:t xml:space="preserve">is therefore both necessary </w:t>
      </w:r>
      <w:r w:rsidR="005365D9" w:rsidRPr="00ED1C7E">
        <w:t>(</w:t>
      </w:r>
      <w:r w:rsidR="002749FA" w:rsidRPr="00ED1C7E">
        <w:t>to maintain the accuracy of reported emissions</w:t>
      </w:r>
      <w:r w:rsidR="005365D9" w:rsidRPr="00ED1C7E">
        <w:t>)</w:t>
      </w:r>
      <w:r w:rsidR="002749FA" w:rsidRPr="00ED1C7E">
        <w:t xml:space="preserve"> and </w:t>
      </w:r>
      <w:r w:rsidR="0044584B" w:rsidRPr="00ED1C7E">
        <w:t xml:space="preserve">timely </w:t>
      </w:r>
      <w:r w:rsidR="005365D9" w:rsidRPr="00ED1C7E">
        <w:t>(</w:t>
      </w:r>
      <w:r w:rsidR="0044584B" w:rsidRPr="00ED1C7E">
        <w:t xml:space="preserve">to </w:t>
      </w:r>
      <w:r w:rsidR="00E32EAE" w:rsidRPr="00ED1C7E">
        <w:t xml:space="preserve">reflect </w:t>
      </w:r>
      <w:r w:rsidR="008E4F53" w:rsidRPr="00ED1C7E">
        <w:t>the most up-to-date data available</w:t>
      </w:r>
      <w:r w:rsidR="005365D9" w:rsidRPr="00ED1C7E">
        <w:t>)</w:t>
      </w:r>
      <w:r w:rsidR="00A43968" w:rsidRPr="00ED1C7E">
        <w:t>.</w:t>
      </w:r>
    </w:p>
    <w:p w14:paraId="34959CB0" w14:textId="604F9AA0" w:rsidR="00642BF3" w:rsidRPr="00ED1C7E" w:rsidRDefault="00642BF3" w:rsidP="00F31AEC">
      <w:pPr>
        <w:pStyle w:val="BodyText"/>
        <w:tabs>
          <w:tab w:val="left" w:pos="851"/>
        </w:tabs>
        <w:spacing w:before="100" w:after="100"/>
      </w:pPr>
      <w:r>
        <w:t xml:space="preserve">There are also </w:t>
      </w:r>
      <w:r w:rsidR="0098759A">
        <w:t xml:space="preserve">several customs </w:t>
      </w:r>
      <w:r w:rsidR="002B42F7">
        <w:t xml:space="preserve">item </w:t>
      </w:r>
      <w:r w:rsidR="0098759A">
        <w:t xml:space="preserve">and excise </w:t>
      </w:r>
      <w:r w:rsidR="00837A64">
        <w:t xml:space="preserve">item </w:t>
      </w:r>
      <w:r w:rsidR="0098759A">
        <w:t>numbers</w:t>
      </w:r>
      <w:r w:rsidR="005E5612">
        <w:t xml:space="preserve"> </w:t>
      </w:r>
      <w:r w:rsidR="00F15359">
        <w:t>listed in clause 4 of</w:t>
      </w:r>
      <w:r w:rsidR="005E5612">
        <w:t xml:space="preserve"> the LFF</w:t>
      </w:r>
      <w:r w:rsidR="0098759A">
        <w:t xml:space="preserve"> </w:t>
      </w:r>
      <w:r>
        <w:t xml:space="preserve">regulations that need to be </w:t>
      </w:r>
      <w:r w:rsidR="00837A64">
        <w:t>updated</w:t>
      </w:r>
      <w:r w:rsidR="00A97E87">
        <w:t>. This will not affect how the regulations function</w:t>
      </w:r>
      <w:r w:rsidR="00F15359">
        <w:t xml:space="preserve">, </w:t>
      </w:r>
      <w:r w:rsidR="00837A64">
        <w:t xml:space="preserve">or the values of the DEFs </w:t>
      </w:r>
      <w:r w:rsidR="000528C8">
        <w:t>–</w:t>
      </w:r>
      <w:r w:rsidR="00837A64">
        <w:t xml:space="preserve"> </w:t>
      </w:r>
      <w:r w:rsidR="000528C8">
        <w:t xml:space="preserve">it will </w:t>
      </w:r>
      <w:r w:rsidR="00F15359">
        <w:t xml:space="preserve">simply ensure </w:t>
      </w:r>
      <w:r w:rsidR="00F15359" w:rsidDel="001C2C33">
        <w:t xml:space="preserve">that </w:t>
      </w:r>
      <w:r w:rsidR="00F15359">
        <w:t>the data on which the DEFs are based is correctly referenced</w:t>
      </w:r>
      <w:r w:rsidR="00A97E87">
        <w:t>.</w:t>
      </w:r>
    </w:p>
    <w:p w14:paraId="4A28BF24" w14:textId="77777777" w:rsidR="00BE1981" w:rsidRPr="00ED1C7E" w:rsidRDefault="00BE1981" w:rsidP="00110CC3">
      <w:pPr>
        <w:pStyle w:val="Heading3"/>
      </w:pPr>
      <w:r w:rsidRPr="00ED1C7E">
        <w:t>Options</w:t>
      </w:r>
    </w:p>
    <w:p w14:paraId="217B7770" w14:textId="48A50BB2" w:rsidR="001B2088" w:rsidRPr="00ED1C7E" w:rsidRDefault="001B2088" w:rsidP="005539FA">
      <w:pPr>
        <w:pStyle w:val="Heading4"/>
        <w:spacing w:before="240"/>
      </w:pPr>
      <w:r w:rsidRPr="00ED1C7E">
        <w:t xml:space="preserve">Option 1: Status </w:t>
      </w:r>
      <w:r w:rsidR="005365D9" w:rsidRPr="00ED1C7E">
        <w:t>q</w:t>
      </w:r>
      <w:r w:rsidRPr="00ED1C7E">
        <w:t>uo</w:t>
      </w:r>
    </w:p>
    <w:p w14:paraId="18A1C255" w14:textId="35D04F05" w:rsidR="001B2088" w:rsidRPr="00ED1C7E" w:rsidRDefault="001B2088" w:rsidP="00F31AEC">
      <w:pPr>
        <w:pStyle w:val="BodyText"/>
        <w:spacing w:before="100" w:after="100"/>
      </w:pPr>
      <w:r w:rsidRPr="00ED1C7E">
        <w:t>Under this option, DEFs in the regulations</w:t>
      </w:r>
      <w:r w:rsidR="005365D9" w:rsidRPr="00ED1C7E">
        <w:t xml:space="preserve"> will not be updated</w:t>
      </w:r>
      <w:r w:rsidRPr="00ED1C7E">
        <w:t xml:space="preserve">. </w:t>
      </w:r>
      <w:r w:rsidR="00306CA3" w:rsidRPr="00ED1C7E">
        <w:t>The shift to 100</w:t>
      </w:r>
      <w:r w:rsidR="005365D9" w:rsidRPr="00ED1C7E">
        <w:t xml:space="preserve"> per cent</w:t>
      </w:r>
      <w:r w:rsidR="00306CA3" w:rsidRPr="00ED1C7E">
        <w:t xml:space="preserve"> imported fuel </w:t>
      </w:r>
      <w:r w:rsidR="005365D9" w:rsidRPr="00ED1C7E">
        <w:t xml:space="preserve">will </w:t>
      </w:r>
      <w:r w:rsidR="00306CA3" w:rsidRPr="00ED1C7E">
        <w:t>not be reflected</w:t>
      </w:r>
      <w:r w:rsidRPr="00ED1C7E">
        <w:t xml:space="preserve">, and </w:t>
      </w:r>
      <w:r w:rsidR="00F80A42" w:rsidRPr="00ED1C7E">
        <w:t xml:space="preserve">participants will continue using </w:t>
      </w:r>
      <w:r w:rsidRPr="00ED1C7E">
        <w:t>the current DEFs to</w:t>
      </w:r>
      <w:r w:rsidR="005539FA" w:rsidRPr="00ED1C7E">
        <w:t> </w:t>
      </w:r>
      <w:r w:rsidRPr="00ED1C7E">
        <w:t xml:space="preserve">calculate emissions for </w:t>
      </w:r>
      <w:r w:rsidR="00705694" w:rsidRPr="00ED1C7E">
        <w:t>import</w:t>
      </w:r>
      <w:r w:rsidR="00406C8D" w:rsidRPr="00ED1C7E">
        <w:t>ed</w:t>
      </w:r>
      <w:r w:rsidR="00705694" w:rsidRPr="00ED1C7E">
        <w:t xml:space="preserve"> fuel</w:t>
      </w:r>
      <w:r w:rsidRPr="00ED1C7E">
        <w:t>.</w:t>
      </w:r>
    </w:p>
    <w:p w14:paraId="10A8E4AA" w14:textId="451B73DB" w:rsidR="001B2088" w:rsidRPr="00ED1C7E" w:rsidRDefault="001B2088" w:rsidP="00F31AEC">
      <w:pPr>
        <w:pStyle w:val="Heading4"/>
        <w:spacing w:before="240"/>
      </w:pPr>
      <w:r w:rsidRPr="00ED1C7E">
        <w:lastRenderedPageBreak/>
        <w:t xml:space="preserve">Option 2: Update the </w:t>
      </w:r>
      <w:r w:rsidR="00450B63" w:rsidRPr="00ED1C7E">
        <w:t>LFF</w:t>
      </w:r>
      <w:r w:rsidRPr="00ED1C7E">
        <w:t xml:space="preserve"> Regulations</w:t>
      </w:r>
    </w:p>
    <w:p w14:paraId="12EA17F8" w14:textId="380DC83A" w:rsidR="001B2088" w:rsidRPr="00ED1C7E" w:rsidRDefault="00F80A42" w:rsidP="00F31AEC">
      <w:pPr>
        <w:pStyle w:val="BodyText"/>
        <w:spacing w:before="100" w:after="100"/>
      </w:pPr>
      <w:r w:rsidRPr="00ED1C7E">
        <w:t xml:space="preserve">The </w:t>
      </w:r>
      <w:r w:rsidR="001B2088" w:rsidRPr="00ED1C7E">
        <w:t xml:space="preserve">DEFs for each </w:t>
      </w:r>
      <w:r w:rsidR="00135202" w:rsidRPr="00ED1C7E">
        <w:t xml:space="preserve">category </w:t>
      </w:r>
      <w:r w:rsidR="00406C8D" w:rsidRPr="00ED1C7E">
        <w:t xml:space="preserve">of fuel </w:t>
      </w:r>
      <w:r w:rsidR="001B2088" w:rsidRPr="00ED1C7E">
        <w:t xml:space="preserve">will be updated using </w:t>
      </w:r>
      <w:r w:rsidR="00406C8D" w:rsidRPr="00ED1C7E">
        <w:t xml:space="preserve">the latest </w:t>
      </w:r>
      <w:r w:rsidR="003F1A4A" w:rsidRPr="00ED1C7E">
        <w:t xml:space="preserve">data </w:t>
      </w:r>
      <w:r w:rsidR="007A4DE7" w:rsidRPr="00ED1C7E">
        <w:t>on imported fuel quality</w:t>
      </w:r>
      <w:r w:rsidR="001B2088" w:rsidRPr="00ED1C7E">
        <w:t>.</w:t>
      </w:r>
    </w:p>
    <w:p w14:paraId="2B0AA581" w14:textId="3D04AE39" w:rsidR="00A548D1" w:rsidRPr="00ED1C7E" w:rsidRDefault="00F80A42" w:rsidP="00A548D1">
      <w:pPr>
        <w:pStyle w:val="BodyText"/>
      </w:pPr>
      <w:r w:rsidRPr="00ED1C7E">
        <w:fldChar w:fldCharType="begin"/>
      </w:r>
      <w:r w:rsidRPr="00ED1C7E">
        <w:instrText xml:space="preserve"> REF _Ref160105657 \h </w:instrText>
      </w:r>
      <w:r w:rsidRPr="00ED1C7E">
        <w:fldChar w:fldCharType="separate"/>
      </w:r>
      <w:r w:rsidR="00C60130" w:rsidRPr="00ED1C7E">
        <w:t xml:space="preserve">Table </w:t>
      </w:r>
      <w:r w:rsidR="00C60130">
        <w:rPr>
          <w:noProof/>
        </w:rPr>
        <w:t>6</w:t>
      </w:r>
      <w:r w:rsidRPr="00ED1C7E">
        <w:fldChar w:fldCharType="end"/>
      </w:r>
      <w:r w:rsidRPr="00ED1C7E">
        <w:t xml:space="preserve"> </w:t>
      </w:r>
      <w:r w:rsidR="00E340E9" w:rsidRPr="00ED1C7E">
        <w:t xml:space="preserve">presents the </w:t>
      </w:r>
      <w:r w:rsidR="007356A8" w:rsidRPr="00ED1C7E">
        <w:t xml:space="preserve">existing and proposed </w:t>
      </w:r>
      <w:r w:rsidR="00252FF7" w:rsidRPr="00ED1C7E">
        <w:t>changes to the DEF values</w:t>
      </w:r>
      <w:r w:rsidRPr="00ED1C7E">
        <w:t>.</w:t>
      </w:r>
    </w:p>
    <w:p w14:paraId="396B07EB" w14:textId="7311E928" w:rsidR="009A7FCC" w:rsidRPr="00ED1C7E" w:rsidRDefault="009A7FCC" w:rsidP="003340AB">
      <w:pPr>
        <w:pStyle w:val="Tableheading"/>
      </w:pPr>
      <w:bookmarkStart w:id="37" w:name="_Ref160105657"/>
      <w:bookmarkStart w:id="38" w:name="_Toc165532913"/>
      <w:r w:rsidRPr="00ED1C7E">
        <w:t xml:space="preserve">Table </w:t>
      </w:r>
      <w:r w:rsidR="00594215">
        <w:fldChar w:fldCharType="begin"/>
      </w:r>
      <w:r w:rsidR="00594215">
        <w:instrText xml:space="preserve"> SEQ Table \* ARABIC </w:instrText>
      </w:r>
      <w:r w:rsidR="00594215">
        <w:fldChar w:fldCharType="separate"/>
      </w:r>
      <w:r w:rsidR="00C60130">
        <w:rPr>
          <w:noProof/>
        </w:rPr>
        <w:t>6</w:t>
      </w:r>
      <w:r w:rsidR="00594215">
        <w:rPr>
          <w:noProof/>
        </w:rPr>
        <w:fldChar w:fldCharType="end"/>
      </w:r>
      <w:bookmarkEnd w:id="37"/>
      <w:r w:rsidRPr="00ED1C7E">
        <w:t xml:space="preserve">: </w:t>
      </w:r>
      <w:r w:rsidR="00F31AEC" w:rsidRPr="00ED1C7E">
        <w:tab/>
      </w:r>
      <w:r w:rsidRPr="00ED1C7E">
        <w:t>Existing and proposed DEFs for liquid fossil fuel categories</w:t>
      </w:r>
      <w:bookmarkEnd w:id="38"/>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1247"/>
        <w:gridCol w:w="2562"/>
        <w:gridCol w:w="1565"/>
        <w:gridCol w:w="1997"/>
        <w:gridCol w:w="1134"/>
      </w:tblGrid>
      <w:tr w:rsidR="00F31AEC" w:rsidRPr="00ED1C7E" w14:paraId="52DAB023" w14:textId="77777777" w:rsidTr="00AD01A9">
        <w:tc>
          <w:tcPr>
            <w:tcW w:w="1247" w:type="dxa"/>
            <w:shd w:val="clear" w:color="auto" w:fill="1B556B" w:themeFill="text2"/>
            <w:vAlign w:val="bottom"/>
          </w:tcPr>
          <w:p w14:paraId="33BD1B3F" w14:textId="61C73B8C" w:rsidR="005609FB" w:rsidRPr="00ED1C7E" w:rsidRDefault="005609FB" w:rsidP="00F31AEC">
            <w:pPr>
              <w:pStyle w:val="TableTextbold"/>
              <w:rPr>
                <w:color w:val="FFFFFF" w:themeColor="background1"/>
              </w:rPr>
            </w:pPr>
            <w:r w:rsidRPr="00ED1C7E">
              <w:rPr>
                <w:color w:val="FFFFFF" w:themeColor="background1"/>
              </w:rPr>
              <w:t>Category</w:t>
            </w:r>
          </w:p>
        </w:tc>
        <w:tc>
          <w:tcPr>
            <w:tcW w:w="2562" w:type="dxa"/>
            <w:shd w:val="clear" w:color="auto" w:fill="1B556B" w:themeFill="text2"/>
            <w:vAlign w:val="bottom"/>
          </w:tcPr>
          <w:p w14:paraId="78CB21F7" w14:textId="0443C724" w:rsidR="005609FB" w:rsidRPr="00ED1C7E" w:rsidRDefault="005609FB" w:rsidP="00F31AEC">
            <w:pPr>
              <w:pStyle w:val="TableTextbold"/>
              <w:rPr>
                <w:color w:val="FFFFFF" w:themeColor="background1"/>
              </w:rPr>
            </w:pPr>
            <w:r w:rsidRPr="00ED1C7E">
              <w:rPr>
                <w:color w:val="FFFFFF" w:themeColor="background1"/>
              </w:rPr>
              <w:t xml:space="preserve">Emission </w:t>
            </w:r>
            <w:r w:rsidR="00F80A42" w:rsidRPr="00ED1C7E">
              <w:rPr>
                <w:color w:val="FFFFFF" w:themeColor="background1"/>
              </w:rPr>
              <w:t>s</w:t>
            </w:r>
            <w:r w:rsidRPr="00ED1C7E">
              <w:rPr>
                <w:color w:val="FFFFFF" w:themeColor="background1"/>
              </w:rPr>
              <w:t>ource</w:t>
            </w:r>
          </w:p>
        </w:tc>
        <w:tc>
          <w:tcPr>
            <w:tcW w:w="1565" w:type="dxa"/>
            <w:shd w:val="clear" w:color="auto" w:fill="1B556B" w:themeFill="text2"/>
            <w:vAlign w:val="bottom"/>
          </w:tcPr>
          <w:p w14:paraId="23E2F805" w14:textId="44DA00CD" w:rsidR="005609FB" w:rsidRPr="00ED1C7E" w:rsidRDefault="005609FB" w:rsidP="00F31AEC">
            <w:pPr>
              <w:pStyle w:val="TableTextbold"/>
              <w:jc w:val="center"/>
              <w:rPr>
                <w:color w:val="FFFFFF" w:themeColor="background1"/>
              </w:rPr>
            </w:pPr>
            <w:r w:rsidRPr="00ED1C7E">
              <w:rPr>
                <w:color w:val="FFFFFF" w:themeColor="background1"/>
              </w:rPr>
              <w:t>Current DEF</w:t>
            </w:r>
            <w:r w:rsidR="00373B63" w:rsidRPr="00ED1C7E">
              <w:rPr>
                <w:color w:val="FFFFFF" w:themeColor="background1"/>
              </w:rPr>
              <w:br/>
            </w:r>
            <w:r w:rsidRPr="00ED1C7E">
              <w:rPr>
                <w:i/>
                <w:color w:val="FFFFFF" w:themeColor="background1"/>
                <w:szCs w:val="18"/>
              </w:rPr>
              <w:t>(tCO</w:t>
            </w:r>
            <w:r w:rsidRPr="00ED1C7E">
              <w:rPr>
                <w:i/>
                <w:color w:val="FFFFFF" w:themeColor="background1"/>
                <w:szCs w:val="18"/>
                <w:vertAlign w:val="subscript"/>
              </w:rPr>
              <w:t>2</w:t>
            </w:r>
            <w:r w:rsidRPr="00ED1C7E">
              <w:rPr>
                <w:i/>
                <w:color w:val="FFFFFF" w:themeColor="background1"/>
                <w:szCs w:val="18"/>
              </w:rPr>
              <w:t>e</w:t>
            </w:r>
            <w:r w:rsidR="00B65FC3" w:rsidRPr="00ED1C7E">
              <w:rPr>
                <w:i/>
                <w:color w:val="FFFFFF" w:themeColor="background1"/>
                <w:szCs w:val="18"/>
              </w:rPr>
              <w:t>/kl)</w:t>
            </w:r>
          </w:p>
        </w:tc>
        <w:tc>
          <w:tcPr>
            <w:tcW w:w="1997" w:type="dxa"/>
            <w:shd w:val="clear" w:color="auto" w:fill="1B556B" w:themeFill="text2"/>
            <w:vAlign w:val="bottom"/>
          </w:tcPr>
          <w:p w14:paraId="555191E3" w14:textId="33ABA38B" w:rsidR="005609FB" w:rsidRPr="00ED1C7E" w:rsidRDefault="00B65FC3" w:rsidP="00F31AEC">
            <w:pPr>
              <w:pStyle w:val="TableTextbold"/>
              <w:jc w:val="center"/>
              <w:rPr>
                <w:color w:val="FFFFFF" w:themeColor="background1"/>
              </w:rPr>
            </w:pPr>
            <w:r w:rsidRPr="00ED1C7E">
              <w:rPr>
                <w:color w:val="FFFFFF" w:themeColor="background1"/>
              </w:rPr>
              <w:t>Proposed DEF</w:t>
            </w:r>
            <w:r w:rsidR="00AD01A9">
              <w:rPr>
                <w:color w:val="FFFFFF" w:themeColor="background1"/>
              </w:rPr>
              <w:t xml:space="preserve"> </w:t>
            </w:r>
            <w:r w:rsidR="00373B63" w:rsidRPr="00ED1C7E">
              <w:rPr>
                <w:color w:val="FFFFFF" w:themeColor="background1"/>
              </w:rPr>
              <w:br/>
            </w:r>
            <w:r w:rsidRPr="00ED1C7E">
              <w:rPr>
                <w:i/>
                <w:iCs/>
                <w:color w:val="FFFFFF" w:themeColor="background1"/>
                <w:szCs w:val="18"/>
              </w:rPr>
              <w:t>(tCO</w:t>
            </w:r>
            <w:r w:rsidRPr="00ED1C7E">
              <w:rPr>
                <w:i/>
                <w:iCs/>
                <w:color w:val="FFFFFF" w:themeColor="background1"/>
                <w:szCs w:val="18"/>
                <w:vertAlign w:val="subscript"/>
              </w:rPr>
              <w:t>2</w:t>
            </w:r>
            <w:r w:rsidRPr="00ED1C7E">
              <w:rPr>
                <w:i/>
                <w:iCs/>
                <w:color w:val="FFFFFF" w:themeColor="background1"/>
                <w:szCs w:val="18"/>
              </w:rPr>
              <w:t>e/kl)</w:t>
            </w:r>
          </w:p>
        </w:tc>
        <w:tc>
          <w:tcPr>
            <w:tcW w:w="1134" w:type="dxa"/>
            <w:shd w:val="clear" w:color="auto" w:fill="1B556B" w:themeFill="text2"/>
            <w:vAlign w:val="bottom"/>
          </w:tcPr>
          <w:p w14:paraId="3556828A" w14:textId="7068D5F9" w:rsidR="005609FB" w:rsidRPr="00ED1C7E" w:rsidRDefault="00B65FC3" w:rsidP="00F31AEC">
            <w:pPr>
              <w:pStyle w:val="TableTextbold"/>
              <w:jc w:val="center"/>
              <w:rPr>
                <w:color w:val="FFFFFF" w:themeColor="background1"/>
              </w:rPr>
            </w:pPr>
            <w:r w:rsidRPr="00ED1C7E">
              <w:rPr>
                <w:color w:val="FFFFFF" w:themeColor="background1"/>
              </w:rPr>
              <w:t>% change</w:t>
            </w:r>
          </w:p>
        </w:tc>
      </w:tr>
      <w:tr w:rsidR="007C30A1" w:rsidRPr="00ED1C7E" w14:paraId="30FB7477" w14:textId="77777777" w:rsidTr="00C34FC0">
        <w:tc>
          <w:tcPr>
            <w:tcW w:w="1247" w:type="dxa"/>
            <w:vMerge w:val="restart"/>
            <w:vAlign w:val="center"/>
          </w:tcPr>
          <w:p w14:paraId="7048B9D0" w14:textId="1CDDDD8C" w:rsidR="007C30A1" w:rsidRPr="00ED1C7E" w:rsidRDefault="007C30A1" w:rsidP="00F31AEC">
            <w:pPr>
              <w:pStyle w:val="TableText"/>
              <w:spacing w:before="40" w:after="40"/>
            </w:pPr>
            <w:r w:rsidRPr="00ED1C7E">
              <w:t>Petrol</w:t>
            </w:r>
          </w:p>
        </w:tc>
        <w:tc>
          <w:tcPr>
            <w:tcW w:w="2562" w:type="dxa"/>
            <w:vAlign w:val="center"/>
          </w:tcPr>
          <w:p w14:paraId="310D4604" w14:textId="5480A686" w:rsidR="007C30A1" w:rsidRPr="00ED1C7E" w:rsidRDefault="007C30A1" w:rsidP="00F31AEC">
            <w:pPr>
              <w:pStyle w:val="TableText"/>
              <w:spacing w:before="40" w:after="40"/>
            </w:pPr>
            <w:r w:rsidRPr="00ED1C7E">
              <w:t xml:space="preserve">Regular </w:t>
            </w:r>
            <w:r w:rsidR="00F80A42" w:rsidRPr="00ED1C7E">
              <w:t>p</w:t>
            </w:r>
            <w:r w:rsidRPr="00ED1C7E">
              <w:t>etrol</w:t>
            </w:r>
          </w:p>
        </w:tc>
        <w:tc>
          <w:tcPr>
            <w:tcW w:w="1565" w:type="dxa"/>
          </w:tcPr>
          <w:p w14:paraId="6543DF31" w14:textId="53F79614" w:rsidR="007C30A1" w:rsidRPr="00ED1C7E" w:rsidRDefault="00C542AF" w:rsidP="00F31AEC">
            <w:pPr>
              <w:pStyle w:val="TableText"/>
              <w:spacing w:before="40" w:after="40"/>
              <w:jc w:val="center"/>
            </w:pPr>
            <w:r w:rsidRPr="00346844">
              <w:t>2.313</w:t>
            </w:r>
          </w:p>
        </w:tc>
        <w:tc>
          <w:tcPr>
            <w:tcW w:w="1997" w:type="dxa"/>
          </w:tcPr>
          <w:p w14:paraId="77D64F89" w14:textId="5C455F1F" w:rsidR="007C30A1" w:rsidRPr="00ED1C7E" w:rsidRDefault="00C542AF" w:rsidP="00F31AEC">
            <w:pPr>
              <w:pStyle w:val="TableText"/>
              <w:spacing w:before="40" w:after="40"/>
              <w:jc w:val="center"/>
              <w:rPr>
                <w:highlight w:val="yellow"/>
              </w:rPr>
            </w:pPr>
            <w:r w:rsidRPr="00346844">
              <w:t>2.319</w:t>
            </w:r>
          </w:p>
        </w:tc>
        <w:tc>
          <w:tcPr>
            <w:tcW w:w="1134" w:type="dxa"/>
          </w:tcPr>
          <w:p w14:paraId="73B63AD2" w14:textId="6C5F161B" w:rsidR="007C30A1" w:rsidRPr="00ED1C7E" w:rsidRDefault="00C542AF" w:rsidP="00F31AEC">
            <w:pPr>
              <w:pStyle w:val="TableText"/>
              <w:spacing w:before="40" w:after="40"/>
              <w:jc w:val="center"/>
              <w:rPr>
                <w:highlight w:val="yellow"/>
              </w:rPr>
            </w:pPr>
            <w:r w:rsidRPr="00346844">
              <w:t>0.26</w:t>
            </w:r>
          </w:p>
        </w:tc>
      </w:tr>
      <w:tr w:rsidR="007C30A1" w:rsidRPr="00ED1C7E" w14:paraId="2959C8CA" w14:textId="77777777" w:rsidTr="00C34FC0">
        <w:tc>
          <w:tcPr>
            <w:tcW w:w="1247" w:type="dxa"/>
            <w:vMerge/>
            <w:vAlign w:val="center"/>
          </w:tcPr>
          <w:p w14:paraId="61A00721" w14:textId="77777777" w:rsidR="007C30A1" w:rsidRPr="00ED1C7E" w:rsidRDefault="007C30A1" w:rsidP="00F31AEC">
            <w:pPr>
              <w:pStyle w:val="TableText"/>
              <w:spacing w:before="40" w:after="40"/>
            </w:pPr>
          </w:p>
        </w:tc>
        <w:tc>
          <w:tcPr>
            <w:tcW w:w="2562" w:type="dxa"/>
            <w:vAlign w:val="center"/>
          </w:tcPr>
          <w:p w14:paraId="533E7A91" w14:textId="429FF5B2" w:rsidR="007C30A1" w:rsidRPr="00ED1C7E" w:rsidRDefault="007C30A1" w:rsidP="00F31AEC">
            <w:pPr>
              <w:pStyle w:val="TableText"/>
              <w:spacing w:before="40" w:after="40"/>
            </w:pPr>
            <w:r w:rsidRPr="00ED1C7E">
              <w:t xml:space="preserve">Premium </w:t>
            </w:r>
            <w:r w:rsidR="00F80A42" w:rsidRPr="00ED1C7E">
              <w:t>p</w:t>
            </w:r>
            <w:r w:rsidRPr="00ED1C7E">
              <w:t>etrol</w:t>
            </w:r>
          </w:p>
        </w:tc>
        <w:tc>
          <w:tcPr>
            <w:tcW w:w="1565" w:type="dxa"/>
          </w:tcPr>
          <w:p w14:paraId="1EF0F700" w14:textId="16DFEE97" w:rsidR="007C30A1" w:rsidRPr="00ED1C7E" w:rsidRDefault="00C542AF" w:rsidP="00F31AEC">
            <w:pPr>
              <w:pStyle w:val="TableText"/>
              <w:spacing w:before="40" w:after="40"/>
              <w:jc w:val="center"/>
            </w:pPr>
            <w:r w:rsidRPr="00346844">
              <w:t>2.369</w:t>
            </w:r>
          </w:p>
        </w:tc>
        <w:tc>
          <w:tcPr>
            <w:tcW w:w="1997" w:type="dxa"/>
          </w:tcPr>
          <w:p w14:paraId="1D408B2D" w14:textId="27D0D62C" w:rsidR="007C30A1" w:rsidRPr="00ED1C7E" w:rsidRDefault="00C542AF" w:rsidP="00F31AEC">
            <w:pPr>
              <w:pStyle w:val="TableText"/>
              <w:spacing w:before="40" w:after="40"/>
              <w:jc w:val="center"/>
              <w:rPr>
                <w:highlight w:val="yellow"/>
              </w:rPr>
            </w:pPr>
            <w:r w:rsidRPr="00346844">
              <w:t>2.322</w:t>
            </w:r>
          </w:p>
        </w:tc>
        <w:tc>
          <w:tcPr>
            <w:tcW w:w="1134" w:type="dxa"/>
          </w:tcPr>
          <w:p w14:paraId="5027FE76" w14:textId="11B51C1F" w:rsidR="007C30A1" w:rsidRPr="00ED1C7E" w:rsidRDefault="00C542AF" w:rsidP="00F31AEC">
            <w:pPr>
              <w:pStyle w:val="TableText"/>
              <w:spacing w:before="40" w:after="40"/>
              <w:jc w:val="center"/>
              <w:rPr>
                <w:highlight w:val="yellow"/>
              </w:rPr>
            </w:pPr>
            <w:r>
              <w:t>–</w:t>
            </w:r>
            <w:r w:rsidRPr="00346844">
              <w:t>1.98</w:t>
            </w:r>
          </w:p>
        </w:tc>
      </w:tr>
      <w:tr w:rsidR="007C30A1" w:rsidRPr="00ED1C7E" w14:paraId="1EF19B0D" w14:textId="77777777" w:rsidTr="00C34FC0">
        <w:tc>
          <w:tcPr>
            <w:tcW w:w="1247" w:type="dxa"/>
            <w:vAlign w:val="center"/>
          </w:tcPr>
          <w:p w14:paraId="39AFBB8B" w14:textId="402C314F" w:rsidR="007C30A1" w:rsidRPr="00ED1C7E" w:rsidRDefault="007C30A1" w:rsidP="00F31AEC">
            <w:pPr>
              <w:pStyle w:val="TableText"/>
              <w:spacing w:before="40" w:after="40"/>
            </w:pPr>
            <w:r w:rsidRPr="00ED1C7E">
              <w:t>Diesel</w:t>
            </w:r>
          </w:p>
        </w:tc>
        <w:tc>
          <w:tcPr>
            <w:tcW w:w="2562" w:type="dxa"/>
            <w:vAlign w:val="center"/>
          </w:tcPr>
          <w:p w14:paraId="25BA93D2" w14:textId="40524956" w:rsidR="007C30A1" w:rsidRPr="00ED1C7E" w:rsidRDefault="007C30A1" w:rsidP="00F31AEC">
            <w:pPr>
              <w:pStyle w:val="TableText"/>
              <w:spacing w:before="40" w:after="40"/>
            </w:pPr>
            <w:r w:rsidRPr="00ED1C7E">
              <w:t xml:space="preserve">Automotive </w:t>
            </w:r>
            <w:r w:rsidR="002F7069">
              <w:t>and</w:t>
            </w:r>
            <w:r w:rsidR="002F7069" w:rsidRPr="00ED1C7E">
              <w:t xml:space="preserve"> </w:t>
            </w:r>
            <w:r w:rsidR="00F80A42" w:rsidRPr="00ED1C7E">
              <w:t>m</w:t>
            </w:r>
            <w:r w:rsidRPr="00ED1C7E">
              <w:t xml:space="preserve">arine </w:t>
            </w:r>
            <w:r w:rsidR="00F80A42" w:rsidRPr="00ED1C7E">
              <w:t>d</w:t>
            </w:r>
            <w:r w:rsidRPr="00ED1C7E">
              <w:t>iesel</w:t>
            </w:r>
          </w:p>
        </w:tc>
        <w:tc>
          <w:tcPr>
            <w:tcW w:w="1565" w:type="dxa"/>
          </w:tcPr>
          <w:p w14:paraId="01C5AE58" w14:textId="6C048556" w:rsidR="007C30A1" w:rsidRPr="00ED1C7E" w:rsidRDefault="00C542AF" w:rsidP="00F31AEC">
            <w:pPr>
              <w:pStyle w:val="TableText"/>
              <w:spacing w:before="40" w:after="40"/>
              <w:jc w:val="center"/>
            </w:pPr>
            <w:r w:rsidRPr="00346844">
              <w:t>2.664</w:t>
            </w:r>
          </w:p>
        </w:tc>
        <w:tc>
          <w:tcPr>
            <w:tcW w:w="1997" w:type="dxa"/>
          </w:tcPr>
          <w:p w14:paraId="17BE0B49" w14:textId="047C174D" w:rsidR="007C30A1" w:rsidRPr="00ED1C7E" w:rsidRDefault="00C542AF" w:rsidP="00F31AEC">
            <w:pPr>
              <w:pStyle w:val="TableText"/>
              <w:spacing w:before="40" w:after="40"/>
              <w:jc w:val="center"/>
              <w:rPr>
                <w:highlight w:val="yellow"/>
              </w:rPr>
            </w:pPr>
            <w:r w:rsidRPr="00346844">
              <w:t>2.665</w:t>
            </w:r>
          </w:p>
        </w:tc>
        <w:tc>
          <w:tcPr>
            <w:tcW w:w="1134" w:type="dxa"/>
          </w:tcPr>
          <w:p w14:paraId="70C3B487" w14:textId="27969D8C" w:rsidR="007C30A1" w:rsidRPr="00ED1C7E" w:rsidRDefault="00C542AF" w:rsidP="00F31AEC">
            <w:pPr>
              <w:pStyle w:val="TableText"/>
              <w:spacing w:before="40" w:after="40"/>
              <w:jc w:val="center"/>
              <w:rPr>
                <w:highlight w:val="yellow"/>
              </w:rPr>
            </w:pPr>
            <w:r w:rsidRPr="00346844">
              <w:t>0.04</w:t>
            </w:r>
          </w:p>
        </w:tc>
      </w:tr>
      <w:tr w:rsidR="007C30A1" w:rsidRPr="00ED1C7E" w14:paraId="3CAC698C" w14:textId="77777777" w:rsidTr="00C34FC0">
        <w:tc>
          <w:tcPr>
            <w:tcW w:w="1247" w:type="dxa"/>
            <w:vMerge w:val="restart"/>
            <w:vAlign w:val="center"/>
          </w:tcPr>
          <w:p w14:paraId="35D60CE0" w14:textId="1C6D7367" w:rsidR="007C30A1" w:rsidRPr="00ED1C7E" w:rsidRDefault="007C30A1" w:rsidP="00F31AEC">
            <w:pPr>
              <w:pStyle w:val="TableText"/>
              <w:spacing w:before="40" w:after="40"/>
            </w:pPr>
            <w:r w:rsidRPr="00ED1C7E">
              <w:t>Aviation</w:t>
            </w:r>
          </w:p>
        </w:tc>
        <w:tc>
          <w:tcPr>
            <w:tcW w:w="2562" w:type="dxa"/>
            <w:vAlign w:val="center"/>
          </w:tcPr>
          <w:p w14:paraId="6FB8CE54" w14:textId="750A3019" w:rsidR="007C30A1" w:rsidRPr="00ED1C7E" w:rsidRDefault="007C30A1" w:rsidP="00F31AEC">
            <w:pPr>
              <w:pStyle w:val="TableText"/>
              <w:spacing w:before="40" w:after="40"/>
            </w:pPr>
            <w:r w:rsidRPr="00ED1C7E">
              <w:t xml:space="preserve">Aviation </w:t>
            </w:r>
            <w:r w:rsidR="00F80A42" w:rsidRPr="00ED1C7E">
              <w:t>s</w:t>
            </w:r>
            <w:r w:rsidRPr="00ED1C7E">
              <w:t>pirit</w:t>
            </w:r>
          </w:p>
        </w:tc>
        <w:tc>
          <w:tcPr>
            <w:tcW w:w="1565" w:type="dxa"/>
          </w:tcPr>
          <w:p w14:paraId="1FD06E5E" w14:textId="5826BCA7" w:rsidR="007C30A1" w:rsidRPr="00ED1C7E" w:rsidRDefault="00C542AF" w:rsidP="00F31AEC">
            <w:pPr>
              <w:pStyle w:val="TableText"/>
              <w:spacing w:before="40" w:after="40"/>
              <w:jc w:val="center"/>
            </w:pPr>
            <w:r w:rsidRPr="00346844">
              <w:t>2.198</w:t>
            </w:r>
          </w:p>
        </w:tc>
        <w:tc>
          <w:tcPr>
            <w:tcW w:w="1997" w:type="dxa"/>
          </w:tcPr>
          <w:p w14:paraId="1A26DDBF" w14:textId="612046BB" w:rsidR="007C30A1" w:rsidRPr="00ED1C7E" w:rsidRDefault="00C542AF" w:rsidP="00F31AEC">
            <w:pPr>
              <w:pStyle w:val="TableText"/>
              <w:spacing w:before="40" w:after="40"/>
              <w:jc w:val="center"/>
              <w:rPr>
                <w:highlight w:val="yellow"/>
              </w:rPr>
            </w:pPr>
            <w:r w:rsidRPr="00346844">
              <w:t>2.252</w:t>
            </w:r>
          </w:p>
        </w:tc>
        <w:tc>
          <w:tcPr>
            <w:tcW w:w="1134" w:type="dxa"/>
          </w:tcPr>
          <w:p w14:paraId="6015BACE" w14:textId="2E465BA3" w:rsidR="007C30A1" w:rsidRPr="00ED1C7E" w:rsidRDefault="00C542AF" w:rsidP="00F31AEC">
            <w:pPr>
              <w:pStyle w:val="TableText"/>
              <w:spacing w:before="40" w:after="40"/>
              <w:jc w:val="center"/>
              <w:rPr>
                <w:highlight w:val="yellow"/>
              </w:rPr>
            </w:pPr>
            <w:r w:rsidRPr="00346844">
              <w:t>2.46</w:t>
            </w:r>
          </w:p>
        </w:tc>
      </w:tr>
      <w:tr w:rsidR="007C30A1" w:rsidRPr="00ED1C7E" w14:paraId="529922C7" w14:textId="77777777" w:rsidTr="00C34FC0">
        <w:tc>
          <w:tcPr>
            <w:tcW w:w="1247" w:type="dxa"/>
            <w:vMerge/>
            <w:vAlign w:val="center"/>
          </w:tcPr>
          <w:p w14:paraId="3D59EB3D" w14:textId="6662D98D" w:rsidR="007C30A1" w:rsidRPr="00ED1C7E" w:rsidRDefault="007C30A1" w:rsidP="00F31AEC">
            <w:pPr>
              <w:pStyle w:val="TableText"/>
              <w:spacing w:before="40" w:after="40"/>
            </w:pPr>
          </w:p>
        </w:tc>
        <w:tc>
          <w:tcPr>
            <w:tcW w:w="2562" w:type="dxa"/>
            <w:vAlign w:val="center"/>
          </w:tcPr>
          <w:p w14:paraId="3DA252A9" w14:textId="49CEE4E6" w:rsidR="007C30A1" w:rsidRPr="00ED1C7E" w:rsidRDefault="007C30A1" w:rsidP="00F31AEC">
            <w:pPr>
              <w:pStyle w:val="TableText"/>
              <w:spacing w:before="40" w:after="40"/>
            </w:pPr>
            <w:r w:rsidRPr="00ED1C7E">
              <w:t xml:space="preserve">Jet </w:t>
            </w:r>
            <w:r w:rsidR="00F80A42" w:rsidRPr="00ED1C7E">
              <w:t>f</w:t>
            </w:r>
            <w:r w:rsidRPr="00ED1C7E">
              <w:t>uel</w:t>
            </w:r>
          </w:p>
        </w:tc>
        <w:tc>
          <w:tcPr>
            <w:tcW w:w="1565" w:type="dxa"/>
          </w:tcPr>
          <w:p w14:paraId="1749EC86" w14:textId="5C363EAD" w:rsidR="007C30A1" w:rsidRPr="00ED1C7E" w:rsidRDefault="00C542AF" w:rsidP="00F31AEC">
            <w:pPr>
              <w:pStyle w:val="TableText"/>
              <w:spacing w:before="40" w:after="40"/>
              <w:jc w:val="center"/>
            </w:pPr>
            <w:r w:rsidRPr="00346844">
              <w:t>2.522</w:t>
            </w:r>
          </w:p>
        </w:tc>
        <w:tc>
          <w:tcPr>
            <w:tcW w:w="1997" w:type="dxa"/>
          </w:tcPr>
          <w:p w14:paraId="0A037CF7" w14:textId="280F511C" w:rsidR="007C30A1" w:rsidRPr="00ED1C7E" w:rsidRDefault="00C542AF" w:rsidP="00F31AEC">
            <w:pPr>
              <w:pStyle w:val="TableText"/>
              <w:spacing w:before="40" w:after="40"/>
              <w:jc w:val="center"/>
              <w:rPr>
                <w:highlight w:val="yellow"/>
              </w:rPr>
            </w:pPr>
            <w:r w:rsidRPr="00346844">
              <w:t>2.519</w:t>
            </w:r>
          </w:p>
        </w:tc>
        <w:tc>
          <w:tcPr>
            <w:tcW w:w="1134" w:type="dxa"/>
          </w:tcPr>
          <w:p w14:paraId="42DDD09E" w14:textId="6EA765FA" w:rsidR="007C30A1" w:rsidRPr="00ED1C7E" w:rsidRDefault="00C542AF" w:rsidP="00F31AEC">
            <w:pPr>
              <w:pStyle w:val="TableText"/>
              <w:spacing w:before="40" w:after="40"/>
              <w:jc w:val="center"/>
              <w:rPr>
                <w:highlight w:val="yellow"/>
              </w:rPr>
            </w:pPr>
            <w:r>
              <w:t>–</w:t>
            </w:r>
            <w:r w:rsidRPr="00346844">
              <w:t>0.12</w:t>
            </w:r>
          </w:p>
        </w:tc>
      </w:tr>
      <w:tr w:rsidR="007C30A1" w:rsidRPr="00ED1C7E" w14:paraId="58D474FD" w14:textId="77777777" w:rsidTr="00C34FC0">
        <w:tc>
          <w:tcPr>
            <w:tcW w:w="1247" w:type="dxa"/>
            <w:vMerge w:val="restart"/>
            <w:vAlign w:val="center"/>
          </w:tcPr>
          <w:p w14:paraId="57D7FCEA" w14:textId="6D75E8EB" w:rsidR="007C30A1" w:rsidRPr="00ED1C7E" w:rsidRDefault="007C30A1" w:rsidP="00F31AEC">
            <w:pPr>
              <w:pStyle w:val="TableText"/>
              <w:spacing w:before="40" w:after="40"/>
            </w:pPr>
            <w:r w:rsidRPr="00ED1C7E">
              <w:t xml:space="preserve">Fuel </w:t>
            </w:r>
            <w:r w:rsidR="00F80A42" w:rsidRPr="00ED1C7E">
              <w:t>o</w:t>
            </w:r>
            <w:r w:rsidRPr="00ED1C7E">
              <w:t>il</w:t>
            </w:r>
          </w:p>
        </w:tc>
        <w:tc>
          <w:tcPr>
            <w:tcW w:w="2562" w:type="dxa"/>
            <w:vAlign w:val="center"/>
          </w:tcPr>
          <w:p w14:paraId="140E87EF" w14:textId="331C8E36" w:rsidR="007C30A1" w:rsidRPr="00ED1C7E" w:rsidRDefault="007C30A1" w:rsidP="00F31AEC">
            <w:pPr>
              <w:pStyle w:val="TableText"/>
              <w:spacing w:before="40" w:after="40"/>
            </w:pPr>
            <w:r w:rsidRPr="00ED1C7E">
              <w:t xml:space="preserve">Light </w:t>
            </w:r>
            <w:r w:rsidR="00F80A42" w:rsidRPr="00ED1C7E">
              <w:t>f</w:t>
            </w:r>
            <w:r w:rsidRPr="00ED1C7E">
              <w:t xml:space="preserve">uel </w:t>
            </w:r>
            <w:r w:rsidR="00F80A42" w:rsidRPr="00ED1C7E">
              <w:t>o</w:t>
            </w:r>
            <w:r w:rsidRPr="00ED1C7E">
              <w:t>il</w:t>
            </w:r>
          </w:p>
        </w:tc>
        <w:tc>
          <w:tcPr>
            <w:tcW w:w="1565" w:type="dxa"/>
          </w:tcPr>
          <w:p w14:paraId="0C819705" w14:textId="27001A9D" w:rsidR="007C30A1" w:rsidRPr="00ED1C7E" w:rsidRDefault="00C542AF" w:rsidP="00F31AEC">
            <w:pPr>
              <w:pStyle w:val="TableText"/>
              <w:spacing w:before="40" w:after="40"/>
              <w:jc w:val="center"/>
            </w:pPr>
            <w:r w:rsidRPr="00346844">
              <w:t>2.928</w:t>
            </w:r>
          </w:p>
        </w:tc>
        <w:tc>
          <w:tcPr>
            <w:tcW w:w="1997" w:type="dxa"/>
          </w:tcPr>
          <w:p w14:paraId="628B6152" w14:textId="4A09B700" w:rsidR="007C30A1" w:rsidRPr="00ED1C7E" w:rsidRDefault="00C542AF" w:rsidP="00F31AEC">
            <w:pPr>
              <w:pStyle w:val="TableText"/>
              <w:spacing w:before="40" w:after="40"/>
              <w:jc w:val="center"/>
              <w:rPr>
                <w:highlight w:val="yellow"/>
              </w:rPr>
            </w:pPr>
            <w:r w:rsidRPr="00346844">
              <w:t>3.003</w:t>
            </w:r>
          </w:p>
        </w:tc>
        <w:tc>
          <w:tcPr>
            <w:tcW w:w="1134" w:type="dxa"/>
          </w:tcPr>
          <w:p w14:paraId="18218412" w14:textId="71BE5D27" w:rsidR="007C30A1" w:rsidRPr="00ED1C7E" w:rsidRDefault="00C542AF" w:rsidP="00F31AEC">
            <w:pPr>
              <w:pStyle w:val="TableText"/>
              <w:spacing w:before="40" w:after="40"/>
              <w:jc w:val="center"/>
              <w:rPr>
                <w:highlight w:val="yellow"/>
              </w:rPr>
            </w:pPr>
            <w:r w:rsidRPr="00346844">
              <w:t>2.56</w:t>
            </w:r>
          </w:p>
        </w:tc>
      </w:tr>
      <w:tr w:rsidR="007C30A1" w:rsidRPr="00ED1C7E" w14:paraId="6AF82A1C" w14:textId="77777777" w:rsidTr="00C34FC0">
        <w:tc>
          <w:tcPr>
            <w:tcW w:w="1247" w:type="dxa"/>
            <w:vMerge/>
            <w:vAlign w:val="center"/>
          </w:tcPr>
          <w:p w14:paraId="6998EE91" w14:textId="37913F22" w:rsidR="007C30A1" w:rsidRPr="00ED1C7E" w:rsidRDefault="007C30A1" w:rsidP="00F31AEC">
            <w:pPr>
              <w:pStyle w:val="TableText"/>
              <w:spacing w:before="40" w:after="40"/>
            </w:pPr>
          </w:p>
        </w:tc>
        <w:tc>
          <w:tcPr>
            <w:tcW w:w="2562" w:type="dxa"/>
            <w:vAlign w:val="center"/>
          </w:tcPr>
          <w:p w14:paraId="2B0516A8" w14:textId="631E84A0" w:rsidR="007C30A1" w:rsidRPr="00ED1C7E" w:rsidRDefault="007C30A1" w:rsidP="00F31AEC">
            <w:pPr>
              <w:pStyle w:val="TableText"/>
              <w:spacing w:before="40" w:after="40"/>
            </w:pPr>
            <w:r w:rsidRPr="00ED1C7E">
              <w:t xml:space="preserve">Heavy </w:t>
            </w:r>
            <w:r w:rsidR="00F80A42" w:rsidRPr="00ED1C7E">
              <w:t>f</w:t>
            </w:r>
            <w:r w:rsidRPr="00ED1C7E">
              <w:t xml:space="preserve">uel </w:t>
            </w:r>
            <w:r w:rsidR="00F80A42" w:rsidRPr="00ED1C7E">
              <w:t>o</w:t>
            </w:r>
            <w:r w:rsidRPr="00ED1C7E">
              <w:t>il</w:t>
            </w:r>
          </w:p>
        </w:tc>
        <w:tc>
          <w:tcPr>
            <w:tcW w:w="1565" w:type="dxa"/>
          </w:tcPr>
          <w:p w14:paraId="7D42E6AC" w14:textId="2F089F6C" w:rsidR="007C30A1" w:rsidRPr="00ED1C7E" w:rsidRDefault="00C542AF" w:rsidP="00F31AEC">
            <w:pPr>
              <w:pStyle w:val="TableText"/>
              <w:spacing w:before="40" w:after="40"/>
              <w:jc w:val="center"/>
            </w:pPr>
            <w:r w:rsidRPr="00346844">
              <w:t>3.013</w:t>
            </w:r>
          </w:p>
        </w:tc>
        <w:tc>
          <w:tcPr>
            <w:tcW w:w="1997" w:type="dxa"/>
          </w:tcPr>
          <w:p w14:paraId="0A9844CE" w14:textId="78D8CE9E" w:rsidR="007C30A1" w:rsidRPr="00ED1C7E" w:rsidRDefault="00C542AF" w:rsidP="00F31AEC">
            <w:pPr>
              <w:pStyle w:val="TableText"/>
              <w:spacing w:before="40" w:after="40"/>
              <w:jc w:val="center"/>
              <w:rPr>
                <w:highlight w:val="yellow"/>
              </w:rPr>
            </w:pPr>
            <w:r w:rsidRPr="00346844">
              <w:t>3.119</w:t>
            </w:r>
          </w:p>
        </w:tc>
        <w:tc>
          <w:tcPr>
            <w:tcW w:w="1134" w:type="dxa"/>
          </w:tcPr>
          <w:p w14:paraId="0E94511B" w14:textId="307B822E" w:rsidR="007C30A1" w:rsidRPr="00ED1C7E" w:rsidRDefault="00C542AF" w:rsidP="00F31AEC">
            <w:pPr>
              <w:pStyle w:val="TableText"/>
              <w:spacing w:before="40" w:after="40"/>
              <w:jc w:val="center"/>
              <w:rPr>
                <w:highlight w:val="yellow"/>
              </w:rPr>
            </w:pPr>
            <w:r w:rsidRPr="00346844">
              <w:t>3.52</w:t>
            </w:r>
          </w:p>
        </w:tc>
      </w:tr>
      <w:tr w:rsidR="001D3C29" w:rsidRPr="00ED1C7E" w14:paraId="36C1CA12" w14:textId="77777777" w:rsidTr="00AD01A9">
        <w:tc>
          <w:tcPr>
            <w:tcW w:w="3809" w:type="dxa"/>
            <w:gridSpan w:val="2"/>
            <w:vAlign w:val="center"/>
          </w:tcPr>
          <w:p w14:paraId="2C267766" w14:textId="640776AE" w:rsidR="001D3C29" w:rsidRPr="00ED1C7E" w:rsidRDefault="001D3C29" w:rsidP="00F31AEC">
            <w:pPr>
              <w:pStyle w:val="TableText"/>
              <w:spacing w:before="40" w:after="40"/>
            </w:pPr>
            <w:r w:rsidRPr="00ED1C7E">
              <w:t>Any other fuel</w:t>
            </w:r>
          </w:p>
        </w:tc>
        <w:tc>
          <w:tcPr>
            <w:tcW w:w="1565" w:type="dxa"/>
            <w:vAlign w:val="center"/>
          </w:tcPr>
          <w:p w14:paraId="5ABF40AC" w14:textId="514A2C0E" w:rsidR="001D3C29" w:rsidRPr="00ED1C7E" w:rsidRDefault="006A1A35" w:rsidP="00F31AEC">
            <w:pPr>
              <w:pStyle w:val="TableText"/>
              <w:spacing w:before="40" w:after="40"/>
              <w:jc w:val="center"/>
            </w:pPr>
            <w:r w:rsidRPr="00ED1C7E">
              <w:t>3.299</w:t>
            </w:r>
          </w:p>
        </w:tc>
        <w:tc>
          <w:tcPr>
            <w:tcW w:w="1997" w:type="dxa"/>
            <w:vAlign w:val="center"/>
          </w:tcPr>
          <w:p w14:paraId="7620DE4C" w14:textId="0D3DDF14" w:rsidR="001D3C29" w:rsidRPr="00E73379" w:rsidRDefault="002019E7" w:rsidP="00F31AEC">
            <w:pPr>
              <w:pStyle w:val="TableText"/>
              <w:spacing w:before="40" w:after="40"/>
              <w:jc w:val="center"/>
            </w:pPr>
            <w:r w:rsidRPr="00E73379">
              <w:t>No change</w:t>
            </w:r>
          </w:p>
        </w:tc>
        <w:tc>
          <w:tcPr>
            <w:tcW w:w="1134" w:type="dxa"/>
            <w:vAlign w:val="center"/>
          </w:tcPr>
          <w:p w14:paraId="65FD0550" w14:textId="19A3B6DE" w:rsidR="001D3C29" w:rsidRPr="00E73379" w:rsidRDefault="002019E7" w:rsidP="00F31AEC">
            <w:pPr>
              <w:pStyle w:val="TableText"/>
              <w:spacing w:before="40" w:after="40"/>
              <w:jc w:val="center"/>
            </w:pPr>
            <w:r w:rsidRPr="00E73379">
              <w:t>N/A</w:t>
            </w:r>
          </w:p>
        </w:tc>
      </w:tr>
    </w:tbl>
    <w:p w14:paraId="685DB48D" w14:textId="347C3875" w:rsidR="00A97E87" w:rsidRPr="00ED1C7E" w:rsidRDefault="00A97E87" w:rsidP="00C34FC0">
      <w:pPr>
        <w:pStyle w:val="BodyText"/>
        <w:spacing w:before="240"/>
      </w:pPr>
      <w:r>
        <w:t xml:space="preserve">The customs item and excise </w:t>
      </w:r>
      <w:r w:rsidR="000528C8">
        <w:t xml:space="preserve">item </w:t>
      </w:r>
      <w:r>
        <w:t xml:space="preserve">numbers will also be updated to </w:t>
      </w:r>
      <w:r w:rsidR="0054562D">
        <w:t xml:space="preserve">be </w:t>
      </w:r>
      <w:r>
        <w:t xml:space="preserve">correctly </w:t>
      </w:r>
      <w:r w:rsidR="00F15359">
        <w:t>reference</w:t>
      </w:r>
      <w:r w:rsidR="0054562D">
        <w:t>d.</w:t>
      </w:r>
    </w:p>
    <w:p w14:paraId="3241E2E8" w14:textId="35420BAE" w:rsidR="00BE1981" w:rsidRPr="00ED1C7E" w:rsidRDefault="00BE1981" w:rsidP="00110CC3">
      <w:pPr>
        <w:pStyle w:val="Heading3"/>
      </w:pPr>
      <w:r w:rsidRPr="00ED1C7E">
        <w:t>Analysis</w:t>
      </w:r>
    </w:p>
    <w:p w14:paraId="04D527E5" w14:textId="03AA8EA2" w:rsidR="004D1BA1" w:rsidRPr="006F2870" w:rsidRDefault="00F7573C" w:rsidP="00085029">
      <w:pPr>
        <w:pStyle w:val="BodyText"/>
        <w:rPr>
          <w:b/>
          <w:sz w:val="20"/>
        </w:rPr>
      </w:pPr>
      <w:r w:rsidRPr="00085029">
        <w:rPr>
          <w:rStyle w:val="BodyTextChar"/>
        </w:rPr>
        <w:fldChar w:fldCharType="begin"/>
      </w:r>
      <w:r w:rsidRPr="00085029">
        <w:rPr>
          <w:rStyle w:val="BodyTextChar"/>
        </w:rPr>
        <w:instrText xml:space="preserve"> REF _Ref160105819 \h </w:instrText>
      </w:r>
      <w:r w:rsidR="00085029">
        <w:rPr>
          <w:rStyle w:val="BodyTextChar"/>
        </w:rPr>
        <w:instrText xml:space="preserve"> \* MERGEFORMAT </w:instrText>
      </w:r>
      <w:r w:rsidRPr="00085029">
        <w:rPr>
          <w:rStyle w:val="BodyTextChar"/>
        </w:rPr>
      </w:r>
      <w:r w:rsidRPr="00085029">
        <w:rPr>
          <w:rStyle w:val="BodyTextChar"/>
        </w:rPr>
        <w:fldChar w:fldCharType="separate"/>
      </w:r>
      <w:r w:rsidR="00C60130" w:rsidRPr="00C60130">
        <w:rPr>
          <w:rStyle w:val="BodyTextChar"/>
        </w:rPr>
        <w:t>Table 7</w:t>
      </w:r>
      <w:r w:rsidRPr="00085029">
        <w:rPr>
          <w:rStyle w:val="BodyTextChar"/>
        </w:rPr>
        <w:fldChar w:fldCharType="end"/>
      </w:r>
      <w:r w:rsidRPr="00085029">
        <w:rPr>
          <w:rStyle w:val="BodyTextChar"/>
        </w:rPr>
        <w:t xml:space="preserve"> </w:t>
      </w:r>
      <w:r w:rsidR="004D1BA1" w:rsidRPr="00085029">
        <w:rPr>
          <w:rStyle w:val="BodyTextChar"/>
        </w:rPr>
        <w:t>outlines an assessment of the options described above. To assist with interpretation of</w:t>
      </w:r>
      <w:r w:rsidR="004D1BA1" w:rsidRPr="00ED1C7E">
        <w:t xml:space="preserve"> the analysis in the table, see the </w:t>
      </w:r>
      <w:hyperlink w:anchor="_Criteria_for_assessing" w:history="1">
        <w:r w:rsidR="004D1BA1" w:rsidRPr="00ED1C7E">
          <w:rPr>
            <w:rStyle w:val="Hyperlink"/>
          </w:rPr>
          <w:t>Criteria for assessing options</w:t>
        </w:r>
      </w:hyperlink>
      <w:r w:rsidR="004D1BA1" w:rsidRPr="00ED1C7E">
        <w:t xml:space="preserve"> section.</w:t>
      </w:r>
    </w:p>
    <w:p w14:paraId="202E0F6F" w14:textId="4CEC160C" w:rsidR="009A7FCC" w:rsidRPr="00ED1C7E" w:rsidRDefault="009A7FCC" w:rsidP="003340AB">
      <w:pPr>
        <w:pStyle w:val="Tableheading"/>
      </w:pPr>
      <w:bookmarkStart w:id="39" w:name="_Ref160105819"/>
      <w:bookmarkStart w:id="40" w:name="_Toc165532914"/>
      <w:r w:rsidRPr="00ED1C7E">
        <w:t xml:space="preserve">Table </w:t>
      </w:r>
      <w:r w:rsidR="00594215">
        <w:fldChar w:fldCharType="begin"/>
      </w:r>
      <w:r w:rsidR="00594215">
        <w:instrText xml:space="preserve"> SEQ Table \* ARABIC </w:instrText>
      </w:r>
      <w:r w:rsidR="00594215">
        <w:fldChar w:fldCharType="separate"/>
      </w:r>
      <w:r w:rsidR="00C60130">
        <w:rPr>
          <w:noProof/>
        </w:rPr>
        <w:t>7</w:t>
      </w:r>
      <w:r w:rsidR="00594215">
        <w:rPr>
          <w:noProof/>
        </w:rPr>
        <w:fldChar w:fldCharType="end"/>
      </w:r>
      <w:bookmarkEnd w:id="39"/>
      <w:r w:rsidRPr="00ED1C7E">
        <w:t xml:space="preserve">: </w:t>
      </w:r>
      <w:r w:rsidR="00F31AEC" w:rsidRPr="00ED1C7E">
        <w:tab/>
      </w:r>
      <w:r w:rsidRPr="00ED1C7E">
        <w:t xml:space="preserve">Options for updates to </w:t>
      </w:r>
      <w:r w:rsidR="00221ACF" w:rsidRPr="00ED1C7E">
        <w:t>NZ ETS</w:t>
      </w:r>
      <w:r w:rsidRPr="00ED1C7E">
        <w:t xml:space="preserve"> regulations for liquid fossil fuels</w:t>
      </w:r>
      <w:bookmarkEnd w:id="40"/>
    </w:p>
    <w:tbl>
      <w:tblPr>
        <w:tblStyle w:val="TableGrid"/>
        <w:tblW w:w="8500"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701"/>
        <w:gridCol w:w="1134"/>
        <w:gridCol w:w="5665"/>
      </w:tblGrid>
      <w:tr w:rsidR="006D4491" w:rsidRPr="00ED1C7E" w14:paraId="0260D088" w14:textId="77777777" w:rsidTr="00F31AEC">
        <w:trPr>
          <w:tblHeader/>
        </w:trPr>
        <w:tc>
          <w:tcPr>
            <w:tcW w:w="1701" w:type="dxa"/>
            <w:shd w:val="clear" w:color="auto" w:fill="1B556B"/>
            <w:vAlign w:val="bottom"/>
          </w:tcPr>
          <w:p w14:paraId="5E849A47" w14:textId="77777777" w:rsidR="006D4491" w:rsidRPr="00ED1C7E" w:rsidRDefault="006D4491" w:rsidP="00277350">
            <w:pPr>
              <w:pStyle w:val="TableTextbold"/>
              <w:spacing w:before="40" w:after="40"/>
              <w:rPr>
                <w:color w:val="FFFFFF" w:themeColor="background1"/>
              </w:rPr>
            </w:pPr>
            <w:r w:rsidRPr="00ED1C7E">
              <w:rPr>
                <w:color w:val="FFFFFF" w:themeColor="background1"/>
              </w:rPr>
              <w:t>Criteria</w:t>
            </w:r>
          </w:p>
        </w:tc>
        <w:tc>
          <w:tcPr>
            <w:tcW w:w="1134" w:type="dxa"/>
            <w:shd w:val="clear" w:color="auto" w:fill="1B556B"/>
            <w:vAlign w:val="bottom"/>
          </w:tcPr>
          <w:p w14:paraId="201F799A" w14:textId="77777777" w:rsidR="006D4491" w:rsidRPr="00ED1C7E" w:rsidRDefault="006D4491" w:rsidP="00277350">
            <w:pPr>
              <w:pStyle w:val="TableTextbold"/>
              <w:spacing w:before="40" w:after="40"/>
              <w:rPr>
                <w:color w:val="FFFFFF" w:themeColor="background1"/>
              </w:rPr>
            </w:pPr>
            <w:r w:rsidRPr="00ED1C7E">
              <w:rPr>
                <w:color w:val="FFFFFF" w:themeColor="background1"/>
              </w:rPr>
              <w:t>Option 1: Status quo</w:t>
            </w:r>
          </w:p>
        </w:tc>
        <w:tc>
          <w:tcPr>
            <w:tcW w:w="5665" w:type="dxa"/>
            <w:shd w:val="clear" w:color="auto" w:fill="1B556B"/>
            <w:vAlign w:val="bottom"/>
          </w:tcPr>
          <w:p w14:paraId="7288BA52" w14:textId="2B71B606" w:rsidR="006D4491" w:rsidRPr="00ED1C7E" w:rsidRDefault="006D4491" w:rsidP="00277350">
            <w:pPr>
              <w:pStyle w:val="TableTextbold"/>
              <w:spacing w:before="40" w:after="40"/>
              <w:rPr>
                <w:color w:val="FFFFFF" w:themeColor="background1"/>
              </w:rPr>
            </w:pPr>
            <w:r w:rsidRPr="00ED1C7E">
              <w:rPr>
                <w:color w:val="FFFFFF" w:themeColor="background1"/>
              </w:rPr>
              <w:t>Option 2:</w:t>
            </w:r>
            <w:r w:rsidRPr="00ED1C7E">
              <w:rPr>
                <w:color w:val="FFFFFF" w:themeColor="background1"/>
              </w:rPr>
              <w:br/>
              <w:t>Update the LFF Regulations</w:t>
            </w:r>
          </w:p>
        </w:tc>
      </w:tr>
      <w:tr w:rsidR="006D4491" w:rsidRPr="00ED1C7E" w14:paraId="6C957C4F" w14:textId="77777777" w:rsidTr="00F31AEC">
        <w:tc>
          <w:tcPr>
            <w:tcW w:w="1701" w:type="dxa"/>
            <w:shd w:val="clear" w:color="auto" w:fill="auto"/>
          </w:tcPr>
          <w:p w14:paraId="572CA4E2" w14:textId="77777777" w:rsidR="006D4491" w:rsidRPr="00ED1C7E" w:rsidRDefault="006D4491" w:rsidP="00277350">
            <w:pPr>
              <w:pStyle w:val="TableText"/>
              <w:spacing w:before="40" w:after="40"/>
            </w:pPr>
            <w:r w:rsidRPr="00ED1C7E">
              <w:t>Alignment</w:t>
            </w:r>
          </w:p>
        </w:tc>
        <w:tc>
          <w:tcPr>
            <w:tcW w:w="1134" w:type="dxa"/>
          </w:tcPr>
          <w:p w14:paraId="66BE43C6" w14:textId="77777777" w:rsidR="006D4491" w:rsidRPr="00605D67" w:rsidRDefault="006D4491" w:rsidP="00277350">
            <w:pPr>
              <w:pStyle w:val="TableText"/>
              <w:spacing w:before="40" w:after="40"/>
              <w:rPr>
                <w:b/>
                <w:bCs/>
                <w:sz w:val="20"/>
              </w:rPr>
            </w:pPr>
            <w:r w:rsidRPr="00605D67">
              <w:rPr>
                <w:b/>
                <w:bCs/>
                <w:sz w:val="20"/>
              </w:rPr>
              <w:t>0</w:t>
            </w:r>
          </w:p>
        </w:tc>
        <w:tc>
          <w:tcPr>
            <w:tcW w:w="5665" w:type="dxa"/>
            <w:shd w:val="clear" w:color="auto" w:fill="auto"/>
          </w:tcPr>
          <w:p w14:paraId="0EA5B2B0" w14:textId="77777777" w:rsidR="00605D67" w:rsidRDefault="006D4491" w:rsidP="00277350">
            <w:pPr>
              <w:pStyle w:val="TableText"/>
              <w:keepNext/>
              <w:spacing w:before="40" w:after="40"/>
              <w:rPr>
                <w:rFonts w:cs="Arial"/>
                <w:b/>
                <w:color w:val="00B050"/>
                <w:sz w:val="20"/>
                <w:lang w:eastAsia="en-AU"/>
              </w:rPr>
            </w:pPr>
            <w:r w:rsidRPr="00605D67">
              <w:rPr>
                <w:rFonts w:cs="Arial"/>
                <w:b/>
                <w:color w:val="00B050"/>
                <w:sz w:val="20"/>
                <w:lang w:eastAsia="en-AU"/>
              </w:rPr>
              <w:t>+</w:t>
            </w:r>
          </w:p>
          <w:p w14:paraId="2C3AF353" w14:textId="025193F4" w:rsidR="006D4491" w:rsidRPr="00ED1C7E" w:rsidRDefault="006D4491" w:rsidP="00277350">
            <w:pPr>
              <w:pStyle w:val="TableText"/>
              <w:keepNext/>
              <w:spacing w:before="40" w:after="40"/>
              <w:rPr>
                <w:rFonts w:cs="Arial"/>
                <w:bCs/>
                <w:lang w:eastAsia="en-AU"/>
              </w:rPr>
            </w:pPr>
            <w:r w:rsidRPr="00ED1C7E">
              <w:rPr>
                <w:rFonts w:cs="Arial"/>
                <w:bCs/>
                <w:lang w:eastAsia="en-AU"/>
              </w:rPr>
              <w:t xml:space="preserve">Aligns with the proper functioning of the </w:t>
            </w:r>
            <w:r w:rsidR="00221ACF" w:rsidRPr="00ED1C7E">
              <w:rPr>
                <w:rFonts w:cs="Arial"/>
                <w:bCs/>
                <w:lang w:eastAsia="en-AU"/>
              </w:rPr>
              <w:t>NZ ETS</w:t>
            </w:r>
            <w:r w:rsidRPr="00ED1C7E">
              <w:rPr>
                <w:rFonts w:cs="Arial"/>
                <w:bCs/>
                <w:lang w:eastAsia="en-AU"/>
              </w:rPr>
              <w:t>.</w:t>
            </w:r>
          </w:p>
        </w:tc>
      </w:tr>
      <w:tr w:rsidR="006D4491" w:rsidRPr="00ED1C7E" w14:paraId="19AA8202" w14:textId="77777777" w:rsidTr="00F31AEC">
        <w:tc>
          <w:tcPr>
            <w:tcW w:w="1701" w:type="dxa"/>
            <w:shd w:val="clear" w:color="auto" w:fill="auto"/>
          </w:tcPr>
          <w:p w14:paraId="3DCED5A4" w14:textId="77777777" w:rsidR="006D4491" w:rsidRPr="00ED1C7E" w:rsidRDefault="006D4491" w:rsidP="00277350">
            <w:pPr>
              <w:pStyle w:val="TableText"/>
              <w:spacing w:before="40" w:after="40"/>
            </w:pPr>
            <w:r w:rsidRPr="00ED1C7E">
              <w:t>Accuracy</w:t>
            </w:r>
          </w:p>
        </w:tc>
        <w:tc>
          <w:tcPr>
            <w:tcW w:w="1134" w:type="dxa"/>
          </w:tcPr>
          <w:p w14:paraId="42E6C0A1" w14:textId="77777777" w:rsidR="006D4491" w:rsidRPr="00605D67" w:rsidRDefault="006D4491" w:rsidP="00277350">
            <w:pPr>
              <w:pStyle w:val="TableText"/>
              <w:spacing w:before="40" w:after="40"/>
              <w:rPr>
                <w:b/>
                <w:bCs/>
                <w:sz w:val="20"/>
              </w:rPr>
            </w:pPr>
            <w:r w:rsidRPr="00605D67">
              <w:rPr>
                <w:b/>
                <w:bCs/>
                <w:sz w:val="20"/>
              </w:rPr>
              <w:t>0</w:t>
            </w:r>
          </w:p>
        </w:tc>
        <w:tc>
          <w:tcPr>
            <w:tcW w:w="5665" w:type="dxa"/>
            <w:shd w:val="clear" w:color="auto" w:fill="auto"/>
          </w:tcPr>
          <w:p w14:paraId="3E6D6734" w14:textId="77777777" w:rsidR="00605D67" w:rsidRDefault="006D4491" w:rsidP="00277350">
            <w:pPr>
              <w:pStyle w:val="TableText"/>
              <w:keepNext/>
              <w:spacing w:before="40" w:after="40"/>
              <w:rPr>
                <w:rFonts w:cs="Arial"/>
                <w:b/>
                <w:color w:val="00B050"/>
                <w:sz w:val="20"/>
                <w:lang w:eastAsia="en-AU"/>
              </w:rPr>
            </w:pPr>
            <w:r w:rsidRPr="00605D67">
              <w:rPr>
                <w:rFonts w:cs="Arial"/>
                <w:b/>
                <w:color w:val="00B050"/>
                <w:sz w:val="20"/>
                <w:lang w:eastAsia="en-AU"/>
              </w:rPr>
              <w:t>+ +</w:t>
            </w:r>
          </w:p>
          <w:p w14:paraId="2978C857" w14:textId="1F2736C8" w:rsidR="006D4491" w:rsidRPr="00ED1C7E" w:rsidRDefault="006D4491" w:rsidP="00277350">
            <w:pPr>
              <w:pStyle w:val="TableText"/>
              <w:keepNext/>
              <w:spacing w:before="40" w:after="40"/>
              <w:rPr>
                <w:rFonts w:cs="Arial"/>
                <w:bCs/>
                <w:lang w:eastAsia="en-AU"/>
              </w:rPr>
            </w:pPr>
            <w:r w:rsidRPr="00ED1C7E">
              <w:rPr>
                <w:rFonts w:cs="Arial"/>
                <w:bCs/>
                <w:lang w:eastAsia="en-AU"/>
              </w:rPr>
              <w:t xml:space="preserve">Reported emissions and associated </w:t>
            </w:r>
            <w:r w:rsidR="00221ACF" w:rsidRPr="00ED1C7E">
              <w:rPr>
                <w:rFonts w:cs="Arial"/>
                <w:bCs/>
                <w:lang w:eastAsia="en-AU"/>
              </w:rPr>
              <w:t>NZ ETS</w:t>
            </w:r>
            <w:r w:rsidRPr="00ED1C7E">
              <w:rPr>
                <w:rFonts w:cs="Arial"/>
                <w:bCs/>
                <w:lang w:eastAsia="en-AU"/>
              </w:rPr>
              <w:t xml:space="preserve"> costs are more consistent with actual emissions, accounting for significant recent shifts.</w:t>
            </w:r>
          </w:p>
        </w:tc>
      </w:tr>
      <w:tr w:rsidR="006D4491" w:rsidRPr="00ED1C7E" w14:paraId="46C10446" w14:textId="77777777" w:rsidTr="00F31AEC">
        <w:tc>
          <w:tcPr>
            <w:tcW w:w="1701" w:type="dxa"/>
          </w:tcPr>
          <w:p w14:paraId="3D4A3662" w14:textId="77777777" w:rsidR="006D4491" w:rsidRPr="00ED1C7E" w:rsidRDefault="006D4491" w:rsidP="00277350">
            <w:pPr>
              <w:pStyle w:val="TableText"/>
              <w:spacing w:before="40" w:after="40"/>
            </w:pPr>
            <w:r w:rsidRPr="00ED1C7E">
              <w:t>Efficiency</w:t>
            </w:r>
          </w:p>
        </w:tc>
        <w:tc>
          <w:tcPr>
            <w:tcW w:w="1134" w:type="dxa"/>
          </w:tcPr>
          <w:p w14:paraId="63151528" w14:textId="77777777" w:rsidR="006D4491" w:rsidRPr="00605D67" w:rsidRDefault="006D4491" w:rsidP="00277350">
            <w:pPr>
              <w:pStyle w:val="TableText"/>
              <w:spacing w:before="40" w:after="40"/>
              <w:rPr>
                <w:b/>
                <w:bCs/>
                <w:sz w:val="20"/>
              </w:rPr>
            </w:pPr>
            <w:r w:rsidRPr="00605D67">
              <w:rPr>
                <w:b/>
                <w:bCs/>
                <w:sz w:val="20"/>
              </w:rPr>
              <w:t>0</w:t>
            </w:r>
          </w:p>
        </w:tc>
        <w:tc>
          <w:tcPr>
            <w:tcW w:w="5665" w:type="dxa"/>
          </w:tcPr>
          <w:p w14:paraId="1B77C9BB" w14:textId="77777777" w:rsidR="00605D67" w:rsidRDefault="006D4491" w:rsidP="00277350">
            <w:pPr>
              <w:pStyle w:val="TableText"/>
              <w:spacing w:before="40" w:after="40"/>
              <w:rPr>
                <w:b/>
                <w:bCs/>
                <w:sz w:val="20"/>
              </w:rPr>
            </w:pPr>
            <w:r w:rsidRPr="00605D67">
              <w:rPr>
                <w:b/>
                <w:bCs/>
                <w:sz w:val="20"/>
              </w:rPr>
              <w:t>0</w:t>
            </w:r>
          </w:p>
          <w:p w14:paraId="3AD98B47" w14:textId="6D2E120F" w:rsidR="006D4491" w:rsidRPr="00ED1C7E" w:rsidRDefault="006D4491" w:rsidP="00277350">
            <w:pPr>
              <w:pStyle w:val="TableText"/>
              <w:spacing w:before="40" w:after="40"/>
            </w:pPr>
            <w:r w:rsidRPr="00ED1C7E">
              <w:t>No change for participants in how they report their emissions.</w:t>
            </w:r>
          </w:p>
        </w:tc>
      </w:tr>
      <w:tr w:rsidR="006D4491" w:rsidRPr="00ED1C7E" w14:paraId="42E06C8A" w14:textId="77777777" w:rsidTr="00F31AEC">
        <w:tc>
          <w:tcPr>
            <w:tcW w:w="1701" w:type="dxa"/>
          </w:tcPr>
          <w:p w14:paraId="75CDD754" w14:textId="77777777" w:rsidR="006D4491" w:rsidRPr="00ED1C7E" w:rsidRDefault="006D4491" w:rsidP="00277350">
            <w:pPr>
              <w:pStyle w:val="TableText"/>
              <w:spacing w:before="40" w:after="40"/>
            </w:pPr>
            <w:r w:rsidRPr="00ED1C7E">
              <w:t>Clarity</w:t>
            </w:r>
          </w:p>
        </w:tc>
        <w:tc>
          <w:tcPr>
            <w:tcW w:w="1134" w:type="dxa"/>
          </w:tcPr>
          <w:p w14:paraId="74CAB2EA" w14:textId="77777777" w:rsidR="006D4491" w:rsidRPr="00605D67" w:rsidRDefault="006D4491" w:rsidP="00277350">
            <w:pPr>
              <w:pStyle w:val="TableText"/>
              <w:spacing w:before="40" w:after="40"/>
              <w:rPr>
                <w:b/>
                <w:bCs/>
                <w:sz w:val="20"/>
              </w:rPr>
            </w:pPr>
            <w:r w:rsidRPr="00605D67">
              <w:rPr>
                <w:b/>
                <w:bCs/>
                <w:sz w:val="20"/>
              </w:rPr>
              <w:t>0</w:t>
            </w:r>
          </w:p>
        </w:tc>
        <w:tc>
          <w:tcPr>
            <w:tcW w:w="5665" w:type="dxa"/>
          </w:tcPr>
          <w:p w14:paraId="08AFCCCA" w14:textId="77777777" w:rsidR="00605D67" w:rsidRDefault="006D4491" w:rsidP="00277350">
            <w:pPr>
              <w:pStyle w:val="TableText"/>
              <w:spacing w:before="40" w:after="40"/>
              <w:rPr>
                <w:b/>
                <w:bCs/>
                <w:sz w:val="20"/>
              </w:rPr>
            </w:pPr>
            <w:r w:rsidRPr="00605D67">
              <w:rPr>
                <w:b/>
                <w:bCs/>
                <w:sz w:val="20"/>
              </w:rPr>
              <w:t>0</w:t>
            </w:r>
          </w:p>
          <w:p w14:paraId="1F3EAF86" w14:textId="32EEA800" w:rsidR="006D4491" w:rsidRPr="00ED1C7E" w:rsidRDefault="006D4491" w:rsidP="00277350">
            <w:pPr>
              <w:pStyle w:val="TableText"/>
              <w:spacing w:before="40" w:after="40"/>
            </w:pPr>
            <w:r w:rsidRPr="00ED1C7E">
              <w:t>No change for participants in how they report their emissions.</w:t>
            </w:r>
          </w:p>
        </w:tc>
      </w:tr>
      <w:tr w:rsidR="006D4491" w:rsidRPr="00ED1C7E" w14:paraId="38EEFFF6" w14:textId="77777777" w:rsidTr="00F31AEC">
        <w:tc>
          <w:tcPr>
            <w:tcW w:w="1701" w:type="dxa"/>
          </w:tcPr>
          <w:p w14:paraId="36B0C133" w14:textId="77777777" w:rsidR="006D4491" w:rsidRPr="00ED1C7E" w:rsidRDefault="006D4491" w:rsidP="00277350">
            <w:pPr>
              <w:pStyle w:val="TableText"/>
              <w:spacing w:before="40" w:after="40"/>
              <w:rPr>
                <w:b/>
                <w:bCs/>
              </w:rPr>
            </w:pPr>
            <w:r w:rsidRPr="00ED1C7E">
              <w:rPr>
                <w:b/>
                <w:bCs/>
              </w:rPr>
              <w:t>Overall assessment</w:t>
            </w:r>
          </w:p>
        </w:tc>
        <w:tc>
          <w:tcPr>
            <w:tcW w:w="1134" w:type="dxa"/>
          </w:tcPr>
          <w:p w14:paraId="35F09DEA" w14:textId="77777777" w:rsidR="006D4491" w:rsidRPr="00605D67" w:rsidRDefault="006D4491" w:rsidP="00277350">
            <w:pPr>
              <w:pStyle w:val="TableText"/>
              <w:spacing w:before="40" w:after="40"/>
              <w:rPr>
                <w:b/>
                <w:bCs/>
                <w:sz w:val="20"/>
              </w:rPr>
            </w:pPr>
            <w:r w:rsidRPr="00605D67">
              <w:rPr>
                <w:b/>
                <w:bCs/>
                <w:sz w:val="20"/>
              </w:rPr>
              <w:t>0</w:t>
            </w:r>
          </w:p>
        </w:tc>
        <w:tc>
          <w:tcPr>
            <w:tcW w:w="5665" w:type="dxa"/>
          </w:tcPr>
          <w:p w14:paraId="6AE6F26C" w14:textId="67846687" w:rsidR="006D4491" w:rsidRPr="00605D67" w:rsidRDefault="009D0046" w:rsidP="00277350">
            <w:pPr>
              <w:pStyle w:val="TableText"/>
              <w:keepNext/>
              <w:spacing w:before="40" w:after="40"/>
              <w:rPr>
                <w:rFonts w:cs="Arial"/>
                <w:b/>
                <w:color w:val="00B050"/>
                <w:sz w:val="20"/>
                <w:lang w:eastAsia="en-AU"/>
              </w:rPr>
            </w:pPr>
            <w:r w:rsidRPr="00605D67">
              <w:rPr>
                <w:rFonts w:cs="Arial"/>
                <w:b/>
                <w:color w:val="00B050"/>
                <w:sz w:val="20"/>
                <w:lang w:eastAsia="en-AU"/>
              </w:rPr>
              <w:t>3</w:t>
            </w:r>
            <w:r w:rsidR="006D4491" w:rsidRPr="00605D67">
              <w:rPr>
                <w:rFonts w:cs="Arial"/>
                <w:b/>
                <w:color w:val="00B050"/>
                <w:sz w:val="20"/>
                <w:lang w:eastAsia="en-AU"/>
              </w:rPr>
              <w:t>+</w:t>
            </w:r>
          </w:p>
        </w:tc>
      </w:tr>
    </w:tbl>
    <w:p w14:paraId="43DE5B68" w14:textId="0BE6DEF7" w:rsidR="006D4491" w:rsidRPr="00ED1C7E" w:rsidRDefault="006D4491" w:rsidP="00F31AEC">
      <w:pPr>
        <w:pStyle w:val="BodyText"/>
        <w:keepNext/>
        <w:spacing w:before="240"/>
      </w:pPr>
      <w:r w:rsidRPr="00ED1C7E">
        <w:t>The expected costs and benefits of these options are as follows</w:t>
      </w:r>
      <w:r w:rsidR="00F7573C" w:rsidRPr="00ED1C7E">
        <w:t>.</w:t>
      </w:r>
    </w:p>
    <w:p w14:paraId="446572DB" w14:textId="632DD278" w:rsidR="006D4491" w:rsidRPr="00ED1C7E" w:rsidRDefault="004B5E6B" w:rsidP="00776BF1">
      <w:pPr>
        <w:pStyle w:val="Bullet"/>
      </w:pPr>
      <w:r w:rsidRPr="00ED1C7E">
        <w:t>Historical updates following the same process indicate</w:t>
      </w:r>
      <w:r w:rsidR="006D4491" w:rsidRPr="00ED1C7E">
        <w:t xml:space="preserve"> high evidence certainty that the total monetary cost of Option 2 is low</w:t>
      </w:r>
      <w:r w:rsidR="00E81968" w:rsidRPr="00ED1C7E">
        <w:t xml:space="preserve"> for</w:t>
      </w:r>
      <w:r w:rsidR="006D4491" w:rsidRPr="00ED1C7E">
        <w:t xml:space="preserve"> the Government</w:t>
      </w:r>
      <w:r w:rsidR="00F7573C" w:rsidRPr="00ED1C7E">
        <w:t>.</w:t>
      </w:r>
    </w:p>
    <w:p w14:paraId="7F28AF89" w14:textId="15B166C5" w:rsidR="00667609" w:rsidRPr="00ED1C7E" w:rsidRDefault="004C161E" w:rsidP="00776BF1">
      <w:pPr>
        <w:pStyle w:val="Bullet"/>
      </w:pPr>
      <w:r w:rsidRPr="00ED1C7E">
        <w:t>Historical updates following the same process indicate</w:t>
      </w:r>
      <w:r w:rsidR="00667609" w:rsidRPr="00ED1C7E">
        <w:t xml:space="preserve"> high evidence certainty that the total monetary cost of Option 2 (other than change in </w:t>
      </w:r>
      <w:r w:rsidR="00221ACF" w:rsidRPr="00ED1C7E">
        <w:t>NZ ETS</w:t>
      </w:r>
      <w:r w:rsidR="00667609" w:rsidRPr="00ED1C7E">
        <w:t xml:space="preserve"> obligation) is low for the relevant participants</w:t>
      </w:r>
      <w:r w:rsidR="00D62CB2" w:rsidRPr="00ED1C7E">
        <w:t xml:space="preserve">. </w:t>
      </w:r>
      <w:r w:rsidR="003F70E2" w:rsidRPr="00ED1C7E">
        <w:t>Emissions costs may change for individual participants depending on</w:t>
      </w:r>
      <w:r w:rsidR="00776BF1" w:rsidRPr="00ED1C7E">
        <w:t> </w:t>
      </w:r>
      <w:r w:rsidR="003F70E2" w:rsidRPr="00ED1C7E">
        <w:t xml:space="preserve">the fuel </w:t>
      </w:r>
      <w:r w:rsidR="0070100A" w:rsidRPr="00ED1C7E">
        <w:t>categories</w:t>
      </w:r>
      <w:r w:rsidR="003F70E2" w:rsidRPr="00ED1C7E">
        <w:t xml:space="preserve"> that they </w:t>
      </w:r>
      <w:r w:rsidR="0022165B" w:rsidRPr="00ED1C7E">
        <w:t>have obligations for</w:t>
      </w:r>
      <w:r w:rsidR="006D65E9" w:rsidRPr="00ED1C7E">
        <w:t>, but</w:t>
      </w:r>
      <w:r w:rsidR="0022165B" w:rsidRPr="00ED1C7E">
        <w:t xml:space="preserve"> </w:t>
      </w:r>
      <w:r w:rsidR="002C573C" w:rsidRPr="00ED1C7E">
        <w:t xml:space="preserve">many of the DEF changes are small and </w:t>
      </w:r>
      <w:r w:rsidR="007F1C02" w:rsidRPr="00ED1C7E">
        <w:t>include both increases and decreases</w:t>
      </w:r>
      <w:r w:rsidR="006D65E9" w:rsidRPr="00ED1C7E">
        <w:t>.</w:t>
      </w:r>
    </w:p>
    <w:p w14:paraId="3FCFC9F4" w14:textId="40A1844C" w:rsidR="003C7A55" w:rsidRPr="00ED1C7E" w:rsidRDefault="00AE1C9B" w:rsidP="00776BF1">
      <w:pPr>
        <w:pStyle w:val="Bullet"/>
      </w:pPr>
      <w:r w:rsidRPr="00ED1C7E">
        <w:lastRenderedPageBreak/>
        <w:t>The recommended</w:t>
      </w:r>
      <w:r w:rsidR="00661DBB" w:rsidRPr="00ED1C7E">
        <w:t xml:space="preserve"> DEFs </w:t>
      </w:r>
      <w:r w:rsidRPr="00ED1C7E">
        <w:t>do vary from the current DEFs</w:t>
      </w:r>
      <w:r w:rsidR="006D65E9" w:rsidRPr="00ED1C7E">
        <w:t xml:space="preserve">, which may result in </w:t>
      </w:r>
      <w:r w:rsidR="003C7A55" w:rsidRPr="00ED1C7E">
        <w:t xml:space="preserve">some minor </w:t>
      </w:r>
      <w:r w:rsidR="00157613" w:rsidRPr="00ED1C7E">
        <w:t xml:space="preserve">influence </w:t>
      </w:r>
      <w:r w:rsidR="003C7A55" w:rsidRPr="00ED1C7E">
        <w:t>on the cost of fuel in New Zealand</w:t>
      </w:r>
      <w:r w:rsidR="006D65E9" w:rsidRPr="00ED1C7E">
        <w:t xml:space="preserve">. However, </w:t>
      </w:r>
      <w:r w:rsidR="007F1C02" w:rsidRPr="00ED1C7E">
        <w:t xml:space="preserve">this </w:t>
      </w:r>
      <w:r w:rsidR="00321428" w:rsidRPr="00ED1C7E">
        <w:t>could</w:t>
      </w:r>
      <w:r w:rsidR="00EA062B" w:rsidRPr="00ED1C7E">
        <w:t xml:space="preserve"> </w:t>
      </w:r>
      <w:r w:rsidR="00244A37" w:rsidRPr="00ED1C7E">
        <w:t xml:space="preserve">include </w:t>
      </w:r>
      <w:r w:rsidR="007F1C02" w:rsidRPr="00ED1C7E">
        <w:t>a combination of</w:t>
      </w:r>
      <w:r w:rsidR="00F3494B">
        <w:t> </w:t>
      </w:r>
      <w:r w:rsidR="007F1C02" w:rsidRPr="00ED1C7E">
        <w:t>increases and decreases</w:t>
      </w:r>
      <w:r w:rsidR="0070100A" w:rsidRPr="00ED1C7E">
        <w:t xml:space="preserve"> across fuel categories</w:t>
      </w:r>
      <w:r w:rsidR="00EA062B" w:rsidRPr="00ED1C7E">
        <w:t xml:space="preserve"> and is therefore likely to be negligible overall</w:t>
      </w:r>
      <w:r w:rsidR="006D65E9" w:rsidRPr="00ED1C7E">
        <w:t>.</w:t>
      </w:r>
    </w:p>
    <w:p w14:paraId="02F41FBE" w14:textId="0857F33E" w:rsidR="006D4491" w:rsidRDefault="006D4491" w:rsidP="00776BF1">
      <w:pPr>
        <w:pStyle w:val="Bullet"/>
      </w:pPr>
      <w:r w:rsidRPr="00ED1C7E">
        <w:t xml:space="preserve">Any change improving the accuracy of the </w:t>
      </w:r>
      <w:r w:rsidR="00221ACF" w:rsidRPr="00ED1C7E">
        <w:t>NZ ETS</w:t>
      </w:r>
      <w:r w:rsidRPr="00ED1C7E">
        <w:t xml:space="preserve"> positively contributes to progress toward </w:t>
      </w:r>
      <w:r w:rsidR="00C50E10" w:rsidRPr="00ED1C7E">
        <w:t xml:space="preserve">New Zealand’s </w:t>
      </w:r>
      <w:r w:rsidRPr="00ED1C7E">
        <w:t>climate targets and budgets</w:t>
      </w:r>
      <w:r w:rsidR="006D65E9" w:rsidRPr="00ED1C7E">
        <w:t>.</w:t>
      </w:r>
      <w:r w:rsidRPr="00ED1C7E">
        <w:t xml:space="preserve"> </w:t>
      </w:r>
      <w:r w:rsidR="006D65E9" w:rsidRPr="00ED1C7E">
        <w:t>O</w:t>
      </w:r>
      <w:r w:rsidRPr="00ED1C7E">
        <w:t xml:space="preserve">ther than this, there are no expected monetary impacts or benefits that can be quantified for the wider government, the </w:t>
      </w:r>
      <w:proofErr w:type="gramStart"/>
      <w:r w:rsidRPr="00ED1C7E">
        <w:t>general public</w:t>
      </w:r>
      <w:proofErr w:type="gramEnd"/>
      <w:r w:rsidRPr="00ED1C7E">
        <w:t>, or New Zealand’s overall economy from this proposal</w:t>
      </w:r>
      <w:r w:rsidR="003C7A55" w:rsidRPr="00ED1C7E">
        <w:t>.</w:t>
      </w:r>
    </w:p>
    <w:p w14:paraId="29D4BC0C" w14:textId="4B21B898" w:rsidR="0054562D" w:rsidRPr="00ED1C7E" w:rsidRDefault="0054562D" w:rsidP="00776BF1">
      <w:pPr>
        <w:pStyle w:val="Bullet"/>
      </w:pPr>
      <w:r>
        <w:t xml:space="preserve">Updating the customs item and excise item </w:t>
      </w:r>
      <w:r w:rsidR="00EB3991">
        <w:t xml:space="preserve">reference </w:t>
      </w:r>
      <w:r>
        <w:t>numbers</w:t>
      </w:r>
      <w:r w:rsidR="00EB3991">
        <w:t xml:space="preserve"> has no impacts for the Government, participants, or any other entities or individuals.</w:t>
      </w:r>
    </w:p>
    <w:p w14:paraId="1853434B" w14:textId="77777777" w:rsidR="004C3214" w:rsidRDefault="00BE1981" w:rsidP="00776BF1">
      <w:pPr>
        <w:pStyle w:val="Heading3"/>
        <w:spacing w:after="240"/>
      </w:pPr>
      <w:r w:rsidRPr="00ED1C7E">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4603E2" w:rsidRPr="00D71C4F" w14:paraId="28D46469" w14:textId="77777777">
        <w:tc>
          <w:tcPr>
            <w:tcW w:w="8505" w:type="dxa"/>
            <w:shd w:val="clear" w:color="auto" w:fill="1B556B" w:themeFill="text2"/>
          </w:tcPr>
          <w:p w14:paraId="3BF45E5A" w14:textId="77777777" w:rsidR="004603E2" w:rsidRPr="00D71C4F" w:rsidRDefault="004603E2">
            <w:pPr>
              <w:pStyle w:val="TableText"/>
              <w:keepNext/>
              <w:rPr>
                <w:b/>
                <w:bCs/>
                <w:color w:val="FFFFFF" w:themeColor="background1"/>
                <w:sz w:val="20"/>
                <w:szCs w:val="22"/>
              </w:rPr>
            </w:pPr>
            <w:r w:rsidRPr="00D71C4F">
              <w:rPr>
                <w:b/>
                <w:bCs/>
                <w:color w:val="FFFFFF" w:themeColor="background1"/>
                <w:sz w:val="20"/>
                <w:szCs w:val="22"/>
              </w:rPr>
              <w:t>Questions</w:t>
            </w:r>
          </w:p>
        </w:tc>
      </w:tr>
      <w:tr w:rsidR="004603E2" w:rsidRPr="00943CFD" w14:paraId="274148A6" w14:textId="77777777">
        <w:tc>
          <w:tcPr>
            <w:tcW w:w="8505" w:type="dxa"/>
          </w:tcPr>
          <w:p w14:paraId="771CCF15" w14:textId="77777777" w:rsidR="004603E2" w:rsidRPr="00943CFD" w:rsidRDefault="004603E2" w:rsidP="00571CB2">
            <w:pPr>
              <w:pStyle w:val="Questions"/>
              <w:ind w:left="319" w:hanging="284"/>
            </w:pPr>
            <w:bookmarkStart w:id="41" w:name="_Ref161240904"/>
            <w:r w:rsidRPr="00E1679D">
              <w:t>Do you have any feedback or relevant evidence about the proposed update to DEFs for liquid fossil fuels in the LFF Regulations?</w:t>
            </w:r>
            <w:bookmarkEnd w:id="41"/>
          </w:p>
        </w:tc>
      </w:tr>
      <w:tr w:rsidR="004603E2" w:rsidRPr="00943CFD" w14:paraId="4B3D1499" w14:textId="77777777">
        <w:tc>
          <w:tcPr>
            <w:tcW w:w="8505" w:type="dxa"/>
          </w:tcPr>
          <w:p w14:paraId="0E8CD110" w14:textId="77777777" w:rsidR="004603E2" w:rsidRPr="00943CFD" w:rsidRDefault="004603E2" w:rsidP="00571CB2">
            <w:pPr>
              <w:pStyle w:val="Questions"/>
              <w:ind w:left="319" w:hanging="284"/>
            </w:pPr>
            <w:bookmarkStart w:id="42" w:name="_Ref161240912"/>
            <w:r w:rsidRPr="00E1679D">
              <w:t>Do you support continuing to regularly review and, where needed, update the DEFs for liquid fossil fuels? How might we improve this process?</w:t>
            </w:r>
            <w:bookmarkEnd w:id="42"/>
          </w:p>
        </w:tc>
      </w:tr>
    </w:tbl>
    <w:p w14:paraId="44211898" w14:textId="77777777" w:rsidR="00414C83" w:rsidRPr="00414C83" w:rsidRDefault="00414C83" w:rsidP="00414C83">
      <w:pPr>
        <w:pStyle w:val="BodyText"/>
      </w:pPr>
    </w:p>
    <w:p w14:paraId="1CBF0F10" w14:textId="77777777" w:rsidR="001750D7" w:rsidRPr="00ED1C7E" w:rsidRDefault="001750D7" w:rsidP="001750D7">
      <w:pPr>
        <w:pStyle w:val="BodyText"/>
      </w:pPr>
      <w:r w:rsidRPr="00ED1C7E">
        <w:br w:type="page"/>
      </w:r>
    </w:p>
    <w:p w14:paraId="425636DE" w14:textId="0B5F911D" w:rsidR="00CB5BC5" w:rsidRPr="00E67474" w:rsidRDefault="008921B9" w:rsidP="007C41F9">
      <w:pPr>
        <w:pStyle w:val="Heading2"/>
      </w:pPr>
      <w:bookmarkStart w:id="43" w:name="_Toc165532998"/>
      <w:r w:rsidRPr="00ED1C7E">
        <w:lastRenderedPageBreak/>
        <w:t xml:space="preserve">Proposed </w:t>
      </w:r>
      <w:r w:rsidR="00C50E10" w:rsidRPr="00ED1C7E">
        <w:t>r</w:t>
      </w:r>
      <w:r w:rsidRPr="00ED1C7E">
        <w:t xml:space="preserve">egulatory </w:t>
      </w:r>
      <w:r w:rsidR="00C50E10" w:rsidRPr="00ED1C7E">
        <w:t>u</w:t>
      </w:r>
      <w:r w:rsidRPr="00ED1C7E">
        <w:t xml:space="preserve">pdate </w:t>
      </w:r>
      <w:r w:rsidR="00391B39" w:rsidRPr="00ED1C7E">
        <w:t>4</w:t>
      </w:r>
      <w:r w:rsidRPr="00ED1C7E">
        <w:t>:</w:t>
      </w:r>
      <w:r w:rsidRPr="00ED1C7E">
        <w:br/>
      </w:r>
      <w:r w:rsidR="003B0739" w:rsidRPr="00E67474">
        <w:rPr>
          <w:rFonts w:cs="Segoe UI"/>
          <w:szCs w:val="36"/>
        </w:rPr>
        <w:t>Improving accuracy</w:t>
      </w:r>
      <w:r w:rsidR="007C41F9" w:rsidRPr="00E67474">
        <w:rPr>
          <w:rFonts w:cs="Segoe UI"/>
          <w:szCs w:val="36"/>
        </w:rPr>
        <w:t xml:space="preserve"> for </w:t>
      </w:r>
      <w:r w:rsidR="008C1AEC" w:rsidRPr="00E67474">
        <w:rPr>
          <w:rFonts w:cs="Segoe UI"/>
          <w:szCs w:val="36"/>
        </w:rPr>
        <w:t xml:space="preserve">the </w:t>
      </w:r>
      <w:r w:rsidRPr="00E67474">
        <w:rPr>
          <w:rFonts w:cs="Segoe UI"/>
          <w:szCs w:val="36"/>
        </w:rPr>
        <w:t xml:space="preserve">waste </w:t>
      </w:r>
      <w:proofErr w:type="gramStart"/>
      <w:r w:rsidR="008C1AEC" w:rsidRPr="00E67474">
        <w:rPr>
          <w:rFonts w:cs="Segoe UI"/>
          <w:szCs w:val="36"/>
        </w:rPr>
        <w:t>sector</w:t>
      </w:r>
      <w:bookmarkEnd w:id="43"/>
      <w:proofErr w:type="gramEnd"/>
    </w:p>
    <w:p w14:paraId="2788ED70" w14:textId="07AAE66A" w:rsidR="008921B9" w:rsidRPr="00ED1C7E" w:rsidRDefault="008921B9" w:rsidP="00776BF1">
      <w:pPr>
        <w:pStyle w:val="Heading3"/>
        <w:spacing w:before="240"/>
      </w:pPr>
      <w:r w:rsidRPr="00ED1C7E">
        <w:t>Background</w:t>
      </w:r>
    </w:p>
    <w:p w14:paraId="24BEE17E" w14:textId="437C2A6E" w:rsidR="009F786A" w:rsidRPr="00ED1C7E" w:rsidRDefault="00C50E10" w:rsidP="009E4993">
      <w:pPr>
        <w:pStyle w:val="BodyText"/>
      </w:pPr>
      <w:r w:rsidRPr="00ED1C7E">
        <w:t>Two</w:t>
      </w:r>
      <w:r w:rsidR="009F786A" w:rsidRPr="00ED1C7E">
        <w:t xml:space="preserve"> sets of regulations set how waste participants calculate their emissions. The DEF for disposing of waste is set in the</w:t>
      </w:r>
      <w:r w:rsidR="0041573F" w:rsidRPr="00ED1C7E">
        <w:t xml:space="preserve"> </w:t>
      </w:r>
      <w:hyperlink r:id="rId37" w:history="1">
        <w:r w:rsidR="00773810" w:rsidRPr="00ED1C7E">
          <w:rPr>
            <w:rStyle w:val="Hyperlink"/>
          </w:rPr>
          <w:t>Climate Change (Waste) Regulations 2010</w:t>
        </w:r>
      </w:hyperlink>
      <w:r w:rsidR="009F786A" w:rsidRPr="00ED1C7E">
        <w:t xml:space="preserve"> </w:t>
      </w:r>
      <w:r w:rsidR="0041573F" w:rsidRPr="00ED1C7E">
        <w:t>(W</w:t>
      </w:r>
      <w:r w:rsidR="009F786A" w:rsidRPr="00ED1C7E">
        <w:t xml:space="preserve">aste </w:t>
      </w:r>
      <w:r w:rsidR="0041573F" w:rsidRPr="00ED1C7E">
        <w:t>R</w:t>
      </w:r>
      <w:r w:rsidR="009F786A" w:rsidRPr="00ED1C7E">
        <w:t>egulations</w:t>
      </w:r>
      <w:r w:rsidR="0041573F" w:rsidRPr="00ED1C7E">
        <w:t>)</w:t>
      </w:r>
      <w:r w:rsidR="009F786A" w:rsidRPr="00ED1C7E">
        <w:t xml:space="preserve"> and is periodically updated as New Zealand’s waste profile changes. Th</w:t>
      </w:r>
      <w:r w:rsidR="0041573F" w:rsidRPr="00ED1C7E">
        <w:t>is</w:t>
      </w:r>
      <w:r w:rsidR="009F786A" w:rsidRPr="00ED1C7E">
        <w:t xml:space="preserve"> DEF was last updated in 2022. </w:t>
      </w:r>
    </w:p>
    <w:p w14:paraId="49DD70E5" w14:textId="6C691F7A" w:rsidR="009F786A" w:rsidRPr="00ED1C7E" w:rsidRDefault="009F786A" w:rsidP="009E4993">
      <w:pPr>
        <w:pStyle w:val="BodyText"/>
        <w:rPr>
          <w:rFonts w:eastAsiaTheme="minorHAnsi"/>
        </w:rPr>
      </w:pPr>
      <w:r w:rsidRPr="00ED1C7E">
        <w:t xml:space="preserve">Most waste participants also apply for a site-specific UEF </w:t>
      </w:r>
      <w:r w:rsidRPr="00ED1C7E">
        <w:rPr>
          <w:rFonts w:eastAsiaTheme="minorHAnsi"/>
        </w:rPr>
        <w:t xml:space="preserve">for landfill gas capture and destruction and waste composition. </w:t>
      </w:r>
      <w:hyperlink r:id="rId38" w:anchor="DLM2378480" w:history="1">
        <w:r w:rsidR="008F6812" w:rsidRPr="00ED1C7E">
          <w:rPr>
            <w:rStyle w:val="Hyperlink"/>
            <w:rFonts w:eastAsiaTheme="minorHAnsi"/>
          </w:rPr>
          <w:t>Clauses 18–20</w:t>
        </w:r>
      </w:hyperlink>
      <w:r w:rsidR="00993E9F" w:rsidRPr="00ED1C7E">
        <w:rPr>
          <w:rFonts w:eastAsiaTheme="minorHAnsi"/>
        </w:rPr>
        <w:t xml:space="preserve"> of </w:t>
      </w:r>
      <w:r w:rsidRPr="00ED1C7E">
        <w:rPr>
          <w:rFonts w:eastAsiaTheme="minorHAnsi"/>
        </w:rPr>
        <w:t xml:space="preserve">the </w:t>
      </w:r>
      <w:r w:rsidR="00EC33B4" w:rsidRPr="00ED1C7E">
        <w:rPr>
          <w:rFonts w:eastAsiaTheme="minorHAnsi"/>
        </w:rPr>
        <w:t>UEF Regulations</w:t>
      </w:r>
      <w:r w:rsidR="00993E9F" w:rsidRPr="00ED1C7E">
        <w:rPr>
          <w:rFonts w:eastAsiaTheme="minorHAnsi"/>
        </w:rPr>
        <w:t xml:space="preserve"> contain the requirements for calculating and applying for a UEF</w:t>
      </w:r>
      <w:r w:rsidRPr="00ED1C7E">
        <w:rPr>
          <w:rFonts w:eastAsiaTheme="minorHAnsi"/>
        </w:rPr>
        <w:t xml:space="preserve">. These regulations also refer to the DEF </w:t>
      </w:r>
      <w:r w:rsidR="00315742" w:rsidRPr="00ED1C7E">
        <w:rPr>
          <w:rFonts w:eastAsiaTheme="minorHAnsi"/>
        </w:rPr>
        <w:t>–</w:t>
      </w:r>
      <w:r w:rsidR="00AD01A9">
        <w:rPr>
          <w:rFonts w:eastAsiaTheme="minorHAnsi"/>
        </w:rPr>
        <w:t> </w:t>
      </w:r>
      <w:r w:rsidRPr="00ED1C7E">
        <w:rPr>
          <w:rFonts w:eastAsiaTheme="minorHAnsi"/>
        </w:rPr>
        <w:t>a</w:t>
      </w:r>
      <w:r w:rsidR="00AD01A9">
        <w:rPr>
          <w:rFonts w:eastAsiaTheme="minorHAnsi"/>
        </w:rPr>
        <w:t> </w:t>
      </w:r>
      <w:r w:rsidRPr="00ED1C7E">
        <w:rPr>
          <w:rFonts w:eastAsiaTheme="minorHAnsi"/>
        </w:rPr>
        <w:t>UEF can be a maximum of 90</w:t>
      </w:r>
      <w:r w:rsidR="007A6749" w:rsidRPr="00ED1C7E">
        <w:rPr>
          <w:rFonts w:eastAsiaTheme="minorHAnsi"/>
        </w:rPr>
        <w:t xml:space="preserve"> per cent</w:t>
      </w:r>
      <w:r w:rsidRPr="00ED1C7E">
        <w:rPr>
          <w:rFonts w:eastAsiaTheme="minorHAnsi"/>
        </w:rPr>
        <w:t xml:space="preserve"> of the current DEF. The DEF is also used as a basis for</w:t>
      </w:r>
      <w:r w:rsidR="00AD01A9">
        <w:rPr>
          <w:rFonts w:eastAsiaTheme="minorHAnsi"/>
        </w:rPr>
        <w:t> </w:t>
      </w:r>
      <w:r w:rsidRPr="00ED1C7E">
        <w:rPr>
          <w:rFonts w:eastAsiaTheme="minorHAnsi"/>
        </w:rPr>
        <w:t xml:space="preserve">waste composition to calculate UEFs where actual composition data </w:t>
      </w:r>
      <w:r w:rsidR="007A6749" w:rsidRPr="00ED1C7E">
        <w:rPr>
          <w:rFonts w:eastAsiaTheme="minorHAnsi"/>
        </w:rPr>
        <w:t>are</w:t>
      </w:r>
      <w:r w:rsidRPr="00ED1C7E">
        <w:rPr>
          <w:rFonts w:eastAsiaTheme="minorHAnsi"/>
        </w:rPr>
        <w:t xml:space="preserve"> not available.</w:t>
      </w:r>
    </w:p>
    <w:p w14:paraId="4F40DE07" w14:textId="198950A9" w:rsidR="009F786A" w:rsidRPr="00ED1C7E" w:rsidRDefault="007A6749" w:rsidP="009E4993">
      <w:pPr>
        <w:pStyle w:val="BodyText"/>
      </w:pPr>
      <w:r w:rsidRPr="00ED1C7E">
        <w:t>We are propo</w:t>
      </w:r>
      <w:r w:rsidR="00A45C71" w:rsidRPr="00ED1C7E">
        <w:t xml:space="preserve">sing </w:t>
      </w:r>
      <w:r w:rsidR="009F786A" w:rsidRPr="00ED1C7E">
        <w:t xml:space="preserve">three changes that would impact waste participants. Two of these correct how the DEF should be applied for calculating UEFs. </w:t>
      </w:r>
      <w:r w:rsidR="009F786A" w:rsidRPr="0021442E">
        <w:rPr>
          <w:b/>
        </w:rPr>
        <w:t>If these changes are approved for regulations, all current waste UEF holders will likely need to reapply for a UEF next year</w:t>
      </w:r>
      <w:r w:rsidR="009F786A" w:rsidRPr="005C6EA7">
        <w:rPr>
          <w:b/>
          <w:bCs/>
        </w:rPr>
        <w:t>.</w:t>
      </w:r>
    </w:p>
    <w:p w14:paraId="06928E69" w14:textId="7BFBE114" w:rsidR="009F786A" w:rsidRPr="00ED1C7E" w:rsidRDefault="009B6781" w:rsidP="00776BF1">
      <w:pPr>
        <w:pStyle w:val="BodyText"/>
      </w:pPr>
      <w:r w:rsidRPr="006F2870">
        <w:t xml:space="preserve">The proposed changes are separate to work </w:t>
      </w:r>
      <w:r w:rsidR="00D1578C" w:rsidRPr="006F2870">
        <w:t xml:space="preserve">that </w:t>
      </w:r>
      <w:r w:rsidRPr="006F2870">
        <w:t>t</w:t>
      </w:r>
      <w:r w:rsidR="00994BB4" w:rsidRPr="006F2870">
        <w:t xml:space="preserve">he Ministry </w:t>
      </w:r>
      <w:r w:rsidR="00BD4861" w:rsidRPr="006F2870">
        <w:t xml:space="preserve">for the Environment </w:t>
      </w:r>
      <w:r w:rsidR="00994BB4" w:rsidRPr="006F2870">
        <w:t xml:space="preserve">is </w:t>
      </w:r>
      <w:r w:rsidR="00917E57" w:rsidRPr="006F2870">
        <w:t xml:space="preserve">continuing </w:t>
      </w:r>
      <w:r w:rsidR="00233BA7" w:rsidRPr="006F2870">
        <w:t>with landfill operators</w:t>
      </w:r>
      <w:r w:rsidR="00B224F5" w:rsidRPr="006F2870">
        <w:t xml:space="preserve"> to better understand landfill gas capture efficiency</w:t>
      </w:r>
      <w:r w:rsidR="00C23B99" w:rsidRPr="006F2870">
        <w:t xml:space="preserve">. If any </w:t>
      </w:r>
      <w:r w:rsidR="00557347" w:rsidRPr="006F2870">
        <w:t xml:space="preserve">proposals </w:t>
      </w:r>
      <w:r w:rsidR="00966755" w:rsidRPr="006F2870">
        <w:t>are developed following the work with landfill operators</w:t>
      </w:r>
      <w:r w:rsidR="0098054E" w:rsidRPr="006F2870">
        <w:t>,</w:t>
      </w:r>
      <w:r w:rsidR="00966755" w:rsidRPr="006F2870">
        <w:t xml:space="preserve"> they </w:t>
      </w:r>
      <w:r w:rsidR="00B47E0F" w:rsidRPr="006F2870">
        <w:t xml:space="preserve">would be considered through future </w:t>
      </w:r>
      <w:r w:rsidR="0018746F" w:rsidRPr="006F2870">
        <w:t xml:space="preserve">updates to </w:t>
      </w:r>
      <w:r w:rsidR="00B47E0F" w:rsidRPr="006F2870">
        <w:t>regulation</w:t>
      </w:r>
      <w:r w:rsidR="0018746F" w:rsidRPr="006F2870">
        <w:t>s</w:t>
      </w:r>
      <w:r w:rsidR="00B224F5" w:rsidRPr="006F2870">
        <w:t>.</w:t>
      </w:r>
    </w:p>
    <w:p w14:paraId="3E726B02" w14:textId="68BC5997" w:rsidR="00592C00" w:rsidRPr="00E67474" w:rsidRDefault="00391B39" w:rsidP="00776BF1">
      <w:pPr>
        <w:pStyle w:val="Heading2"/>
      </w:pPr>
      <w:bookmarkStart w:id="44" w:name="_Toc165532999"/>
      <w:r w:rsidRPr="00ED1C7E">
        <w:t>4</w:t>
      </w:r>
      <w:r w:rsidR="00931088" w:rsidRPr="00ED1C7E">
        <w:t>a</w:t>
      </w:r>
      <w:r w:rsidR="008921B9" w:rsidRPr="00ED1C7E">
        <w:t xml:space="preserve"> – </w:t>
      </w:r>
      <w:r w:rsidR="00592C00" w:rsidRPr="00E67474">
        <w:t xml:space="preserve">Aligning values in DEF and UEF </w:t>
      </w:r>
      <w:proofErr w:type="gramStart"/>
      <w:r w:rsidR="00592C00" w:rsidRPr="00E67474">
        <w:t>regulations</w:t>
      </w:r>
      <w:bookmarkEnd w:id="44"/>
      <w:proofErr w:type="gramEnd"/>
    </w:p>
    <w:p w14:paraId="467FFD53" w14:textId="0FB93598" w:rsidR="00592C00" w:rsidRPr="00ED1C7E" w:rsidRDefault="00592C00" w:rsidP="00776BF1">
      <w:pPr>
        <w:pStyle w:val="Heading3"/>
        <w:spacing w:before="240"/>
      </w:pPr>
      <w:r w:rsidRPr="00ED1C7E">
        <w:t>Why does this process need to be improved?</w:t>
      </w:r>
    </w:p>
    <w:p w14:paraId="2FF3188B" w14:textId="36CBD0BE" w:rsidR="0060225C" w:rsidRPr="00ED1C7E" w:rsidRDefault="00592C00" w:rsidP="00592C00">
      <w:pPr>
        <w:pStyle w:val="BodyText"/>
      </w:pPr>
      <w:r w:rsidRPr="00ED1C7E">
        <w:t xml:space="preserve">Landfill operators </w:t>
      </w:r>
      <w:r w:rsidR="00E335E3" w:rsidRPr="00ED1C7E">
        <w:t xml:space="preserve">that </w:t>
      </w:r>
      <w:r w:rsidR="00013EEE" w:rsidRPr="00ED1C7E">
        <w:t xml:space="preserve">use a UEF for capture and destruction of </w:t>
      </w:r>
      <w:r w:rsidR="00E04F81" w:rsidRPr="00ED1C7E">
        <w:t>landfill gas</w:t>
      </w:r>
      <w:r w:rsidR="00390B29" w:rsidRPr="00ED1C7E">
        <w:t xml:space="preserve"> </w:t>
      </w:r>
      <w:r w:rsidR="00FF0822" w:rsidRPr="00ED1C7E">
        <w:t xml:space="preserve">should </w:t>
      </w:r>
      <w:r w:rsidR="005271C7" w:rsidRPr="00ED1C7E">
        <w:t xml:space="preserve">have a maximum landfill gas collection efficiency </w:t>
      </w:r>
      <w:r w:rsidR="002B37CA" w:rsidRPr="00ED1C7E">
        <w:t>of 90</w:t>
      </w:r>
      <w:r w:rsidR="006D179E" w:rsidRPr="00ED1C7E">
        <w:t xml:space="preserve"> per cent</w:t>
      </w:r>
      <w:r w:rsidR="002B37CA" w:rsidRPr="00ED1C7E">
        <w:t xml:space="preserve"> of the DEF</w:t>
      </w:r>
      <w:r w:rsidR="00DF24B6" w:rsidRPr="00ED1C7E">
        <w:t xml:space="preserve">. This </w:t>
      </w:r>
      <w:r w:rsidR="00925CFB" w:rsidRPr="00ED1C7E">
        <w:t>‘</w:t>
      </w:r>
      <w:r w:rsidR="00DF24B6" w:rsidRPr="00ED1C7E">
        <w:t>90</w:t>
      </w:r>
      <w:r w:rsidR="007111D5" w:rsidRPr="00ED1C7E">
        <w:t xml:space="preserve"> per cent</w:t>
      </w:r>
      <w:r w:rsidR="00DF24B6" w:rsidRPr="00ED1C7E">
        <w:t xml:space="preserve"> cap</w:t>
      </w:r>
      <w:r w:rsidR="00925CFB" w:rsidRPr="00ED1C7E">
        <w:t>’</w:t>
      </w:r>
      <w:r w:rsidR="00DF24B6" w:rsidRPr="00ED1C7E">
        <w:t xml:space="preserve"> on waste UEFs</w:t>
      </w:r>
      <w:r w:rsidR="002A7E11" w:rsidRPr="00ED1C7E">
        <w:t xml:space="preserve"> </w:t>
      </w:r>
      <w:r w:rsidR="007061D5" w:rsidRPr="00ED1C7E">
        <w:t>was put in place</w:t>
      </w:r>
      <w:r w:rsidR="003A61FF" w:rsidRPr="00ED1C7E">
        <w:t xml:space="preserve"> due to uncertainty in the modelling that is used to estimate </w:t>
      </w:r>
      <w:r w:rsidR="00BF73A8" w:rsidRPr="00ED1C7E">
        <w:t>the efficiency</w:t>
      </w:r>
      <w:r w:rsidRPr="00ED1C7E">
        <w:t xml:space="preserve"> of </w:t>
      </w:r>
      <w:r w:rsidR="00BF73A8" w:rsidRPr="00ED1C7E">
        <w:t xml:space="preserve">the </w:t>
      </w:r>
      <w:r w:rsidR="009B3B02" w:rsidRPr="00ED1C7E">
        <w:t>capture system</w:t>
      </w:r>
      <w:r w:rsidR="00DC040D" w:rsidRPr="00ED1C7E">
        <w:t>.</w:t>
      </w:r>
      <w:r w:rsidRPr="00ED1C7E">
        <w:t xml:space="preserve"> </w:t>
      </w:r>
    </w:p>
    <w:p w14:paraId="37262B93" w14:textId="56D27465" w:rsidR="00592C00" w:rsidRPr="00ED1C7E" w:rsidRDefault="00590D45" w:rsidP="00592C00">
      <w:pPr>
        <w:pStyle w:val="BodyText"/>
      </w:pPr>
      <w:r w:rsidRPr="00ED1C7E">
        <w:rPr>
          <w:spacing w:val="-2"/>
        </w:rPr>
        <w:t>W</w:t>
      </w:r>
      <w:r w:rsidR="00592C00" w:rsidRPr="00ED1C7E">
        <w:rPr>
          <w:spacing w:val="-2"/>
        </w:rPr>
        <w:t xml:space="preserve">hen the DEFs were updated in the </w:t>
      </w:r>
      <w:r w:rsidR="007111D5" w:rsidRPr="00ED1C7E">
        <w:rPr>
          <w:spacing w:val="-2"/>
        </w:rPr>
        <w:t>W</w:t>
      </w:r>
      <w:r w:rsidR="00592C00" w:rsidRPr="00ED1C7E">
        <w:rPr>
          <w:spacing w:val="-2"/>
        </w:rPr>
        <w:t xml:space="preserve">aste </w:t>
      </w:r>
      <w:r w:rsidR="007111D5" w:rsidRPr="00ED1C7E">
        <w:rPr>
          <w:spacing w:val="-2"/>
        </w:rPr>
        <w:t>R</w:t>
      </w:r>
      <w:r w:rsidR="00592C00" w:rsidRPr="00ED1C7E">
        <w:rPr>
          <w:spacing w:val="-2"/>
        </w:rPr>
        <w:t xml:space="preserve">egulations in 2022, the DEF in the UEF </w:t>
      </w:r>
      <w:r w:rsidR="00576D9B" w:rsidRPr="00ED1C7E">
        <w:rPr>
          <w:spacing w:val="-2"/>
        </w:rPr>
        <w:t>R</w:t>
      </w:r>
      <w:r w:rsidR="00592C00" w:rsidRPr="00ED1C7E">
        <w:rPr>
          <w:spacing w:val="-2"/>
        </w:rPr>
        <w:t>egulations</w:t>
      </w:r>
      <w:r w:rsidR="00592C00" w:rsidRPr="00ED1C7E">
        <w:t xml:space="preserve"> was not similarly updated</w:t>
      </w:r>
      <w:r w:rsidR="00576D9B" w:rsidRPr="00ED1C7E">
        <w:t>,</w:t>
      </w:r>
      <w:r w:rsidR="00592C00" w:rsidRPr="00ED1C7E">
        <w:t xml:space="preserve"> as it should have been. </w:t>
      </w:r>
      <w:r w:rsidR="0060225C" w:rsidRPr="00ED1C7E">
        <w:t xml:space="preserve">This means </w:t>
      </w:r>
      <w:r w:rsidR="00013C48" w:rsidRPr="00ED1C7E">
        <w:t>s</w:t>
      </w:r>
      <w:r w:rsidR="00676A00" w:rsidRPr="00ED1C7E">
        <w:t xml:space="preserve">ome </w:t>
      </w:r>
      <w:r w:rsidR="00153DAE" w:rsidRPr="00ED1C7E">
        <w:t xml:space="preserve">UEF </w:t>
      </w:r>
      <w:r w:rsidR="000205CF" w:rsidRPr="00ED1C7E">
        <w:t xml:space="preserve">applicants could be calculating a UEF that is </w:t>
      </w:r>
      <w:r w:rsidR="0009387B" w:rsidRPr="00ED1C7E">
        <w:t>more than 90</w:t>
      </w:r>
      <w:r w:rsidR="00576D9B" w:rsidRPr="00ED1C7E">
        <w:t xml:space="preserve"> per cent</w:t>
      </w:r>
      <w:r w:rsidR="0009387B" w:rsidRPr="00ED1C7E">
        <w:t xml:space="preserve"> of the DEF used in the </w:t>
      </w:r>
      <w:r w:rsidR="00576D9B" w:rsidRPr="00ED1C7E">
        <w:t>W</w:t>
      </w:r>
      <w:r w:rsidR="0009387B" w:rsidRPr="00ED1C7E">
        <w:t xml:space="preserve">aste </w:t>
      </w:r>
      <w:r w:rsidR="00576D9B" w:rsidRPr="00ED1C7E">
        <w:t>R</w:t>
      </w:r>
      <w:r w:rsidR="0009387B" w:rsidRPr="00ED1C7E">
        <w:t>egulations</w:t>
      </w:r>
      <w:r w:rsidR="00971118" w:rsidRPr="00ED1C7E">
        <w:t>.</w:t>
      </w:r>
    </w:p>
    <w:p w14:paraId="32BF2921" w14:textId="5438A720" w:rsidR="00592C00" w:rsidRPr="00ED1C7E" w:rsidRDefault="00592C00" w:rsidP="00592C00">
      <w:pPr>
        <w:pStyle w:val="Heading3"/>
      </w:pPr>
      <w:r w:rsidRPr="00ED1C7E">
        <w:t>Options</w:t>
      </w:r>
    </w:p>
    <w:p w14:paraId="6A99A67C" w14:textId="353AA559" w:rsidR="00592C00" w:rsidRPr="00ED1C7E" w:rsidRDefault="00592C00" w:rsidP="008D2D2A">
      <w:pPr>
        <w:pStyle w:val="Heading4"/>
        <w:spacing w:before="240"/>
      </w:pPr>
      <w:r w:rsidRPr="00ED1C7E">
        <w:t xml:space="preserve">Option 1: </w:t>
      </w:r>
      <w:r w:rsidRPr="00ED1C7E">
        <w:rPr>
          <w:rFonts w:cs="Times New Roman"/>
        </w:rPr>
        <w:t>Status</w:t>
      </w:r>
      <w:r w:rsidRPr="00ED1C7E">
        <w:t xml:space="preserve"> </w:t>
      </w:r>
      <w:r w:rsidR="00576D9B" w:rsidRPr="00ED1C7E">
        <w:t>q</w:t>
      </w:r>
      <w:r w:rsidRPr="00ED1C7E">
        <w:t>uo</w:t>
      </w:r>
    </w:p>
    <w:p w14:paraId="2394D889" w14:textId="1B9967BB" w:rsidR="00592C00" w:rsidRPr="00ED1C7E" w:rsidRDefault="00592C00" w:rsidP="00592C00">
      <w:pPr>
        <w:pStyle w:val="BodyText"/>
      </w:pPr>
      <w:r w:rsidRPr="00ED1C7E">
        <w:t xml:space="preserve">Under this option, the UEF </w:t>
      </w:r>
      <w:r w:rsidR="001116B6" w:rsidRPr="00ED1C7E">
        <w:t>R</w:t>
      </w:r>
      <w:r w:rsidRPr="00ED1C7E">
        <w:t>egulations</w:t>
      </w:r>
      <w:r w:rsidR="001116B6" w:rsidRPr="00ED1C7E">
        <w:t xml:space="preserve"> will not be updated</w:t>
      </w:r>
      <w:r w:rsidRPr="00ED1C7E">
        <w:t xml:space="preserve"> to reflect the changed DEF in the</w:t>
      </w:r>
      <w:r w:rsidR="00C0645E">
        <w:t> </w:t>
      </w:r>
      <w:r w:rsidRPr="00ED1C7E">
        <w:t>waste regulations.</w:t>
      </w:r>
      <w:r w:rsidR="00C52569" w:rsidRPr="00ED1C7E">
        <w:t xml:space="preserve"> UEF applicants may calculate an emissions factor that is more than 90</w:t>
      </w:r>
      <w:r w:rsidR="00C0645E">
        <w:t> </w:t>
      </w:r>
      <w:r w:rsidR="005938F8">
        <w:t>per</w:t>
      </w:r>
      <w:r w:rsidR="00C0645E">
        <w:t> </w:t>
      </w:r>
      <w:r w:rsidR="005938F8">
        <w:t>cent</w:t>
      </w:r>
      <w:r w:rsidR="005938F8" w:rsidRPr="00ED1C7E">
        <w:t xml:space="preserve"> </w:t>
      </w:r>
      <w:r w:rsidR="00C52569" w:rsidRPr="00ED1C7E">
        <w:t>of the DEF used in the Waste Regulations.</w:t>
      </w:r>
    </w:p>
    <w:p w14:paraId="2043D26B" w14:textId="77777777" w:rsidR="00592C00" w:rsidRPr="00ED1C7E" w:rsidRDefault="00592C00" w:rsidP="008D2D2A">
      <w:pPr>
        <w:pStyle w:val="Heading4"/>
      </w:pPr>
      <w:r w:rsidRPr="00ED1C7E">
        <w:lastRenderedPageBreak/>
        <w:t>Option 2: Update the UEF Regulations</w:t>
      </w:r>
    </w:p>
    <w:p w14:paraId="64EC13C2" w14:textId="2B7A36EC" w:rsidR="00592C00" w:rsidRPr="00ED1C7E" w:rsidRDefault="00592C00" w:rsidP="00054EC9">
      <w:pPr>
        <w:pStyle w:val="BodyText"/>
        <w:spacing w:before="100" w:after="100"/>
      </w:pPr>
      <w:r w:rsidRPr="00ED1C7E">
        <w:t xml:space="preserve">The UEF </w:t>
      </w:r>
      <w:r w:rsidR="00B755B6" w:rsidRPr="00ED1C7E">
        <w:t>R</w:t>
      </w:r>
      <w:r w:rsidRPr="00ED1C7E">
        <w:t xml:space="preserve">egulations </w:t>
      </w:r>
      <w:r w:rsidR="00B755B6" w:rsidRPr="00ED1C7E">
        <w:t xml:space="preserve">will </w:t>
      </w:r>
      <w:r w:rsidRPr="00ED1C7E">
        <w:t xml:space="preserve">be updated so the same DEF </w:t>
      </w:r>
      <w:r w:rsidR="00B755B6" w:rsidRPr="00ED1C7E">
        <w:t xml:space="preserve">is </w:t>
      </w:r>
      <w:r w:rsidRPr="00ED1C7E">
        <w:t>used in both</w:t>
      </w:r>
      <w:r w:rsidR="0083548D" w:rsidRPr="00ED1C7E">
        <w:t xml:space="preserve"> the UEF Regulations and the Waste Regulations</w:t>
      </w:r>
      <w:r w:rsidRPr="00ED1C7E">
        <w:t>. This would increase the DEF referred to in the UEF regulations from 0.91 to 1.023</w:t>
      </w:r>
      <w:r w:rsidR="00332C0A" w:rsidRPr="00ED1C7E">
        <w:t xml:space="preserve"> tCO</w:t>
      </w:r>
      <w:r w:rsidR="00332C0A" w:rsidRPr="00ED1C7E">
        <w:rPr>
          <w:vertAlign w:val="subscript"/>
        </w:rPr>
        <w:t>2</w:t>
      </w:r>
      <w:r w:rsidR="00332C0A" w:rsidRPr="00ED1C7E">
        <w:t>e</w:t>
      </w:r>
      <w:r w:rsidR="00327835" w:rsidRPr="00ED1C7E">
        <w:t>/TJ</w:t>
      </w:r>
      <w:r w:rsidRPr="00ED1C7E">
        <w:t>.</w:t>
      </w:r>
    </w:p>
    <w:p w14:paraId="30754DB4" w14:textId="78220D67" w:rsidR="00E265EC" w:rsidRPr="00ED1C7E" w:rsidRDefault="00E265EC" w:rsidP="00054EC9">
      <w:pPr>
        <w:pStyle w:val="BodyText"/>
        <w:spacing w:before="100" w:after="100"/>
      </w:pPr>
      <w:r w:rsidRPr="00ED1C7E">
        <w:t xml:space="preserve">This is the </w:t>
      </w:r>
      <w:r w:rsidR="0058549B" w:rsidRPr="00ED1C7E">
        <w:t>G</w:t>
      </w:r>
      <w:r w:rsidRPr="00ED1C7E">
        <w:t xml:space="preserve">overnment’s preferred option. </w:t>
      </w:r>
      <w:r w:rsidR="001D13E3" w:rsidRPr="00ED1C7E">
        <w:t xml:space="preserve">Under this option, </w:t>
      </w:r>
      <w:r w:rsidR="009B1120" w:rsidRPr="00ED1C7E">
        <w:t xml:space="preserve">the </w:t>
      </w:r>
      <w:r w:rsidR="0058549B" w:rsidRPr="00ED1C7E">
        <w:t xml:space="preserve">DEF </w:t>
      </w:r>
      <w:r w:rsidR="009B1120" w:rsidRPr="00ED1C7E">
        <w:t xml:space="preserve">(as </w:t>
      </w:r>
      <w:r w:rsidRPr="00ED1C7E">
        <w:t>based on the New</w:t>
      </w:r>
      <w:r w:rsidR="00D60EFE">
        <w:t> </w:t>
      </w:r>
      <w:r w:rsidRPr="00ED1C7E">
        <w:t>Zealand national average</w:t>
      </w:r>
      <w:r w:rsidR="009B1120" w:rsidRPr="00ED1C7E">
        <w:t>)</w:t>
      </w:r>
      <w:r w:rsidRPr="00ED1C7E">
        <w:t xml:space="preserve"> would apply to both sets of regulations</w:t>
      </w:r>
      <w:r w:rsidR="009B1120" w:rsidRPr="00ED1C7E">
        <w:t>, ensuring</w:t>
      </w:r>
      <w:r w:rsidRPr="00ED1C7E">
        <w:t xml:space="preserve"> parties are</w:t>
      </w:r>
      <w:r w:rsidR="00D60EFE">
        <w:t> </w:t>
      </w:r>
      <w:r w:rsidRPr="00ED1C7E">
        <w:t>being treated consistently.</w:t>
      </w:r>
    </w:p>
    <w:p w14:paraId="4FBEDEDB" w14:textId="14090AA4" w:rsidR="00592C00" w:rsidRPr="00ED1C7E" w:rsidRDefault="00592C00" w:rsidP="00D60EFE">
      <w:pPr>
        <w:pStyle w:val="Heading3"/>
        <w:spacing w:before="320"/>
      </w:pPr>
      <w:r w:rsidRPr="00ED1C7E">
        <w:t>Analysis</w:t>
      </w:r>
    </w:p>
    <w:p w14:paraId="4405CED4" w14:textId="4A21A802" w:rsidR="004D1BA1" w:rsidRPr="00ED1C7E" w:rsidRDefault="009B1120" w:rsidP="00054EC9">
      <w:pPr>
        <w:pStyle w:val="BodyText"/>
        <w:spacing w:before="100" w:after="100"/>
      </w:pPr>
      <w:r w:rsidRPr="00ED1C7E">
        <w:fldChar w:fldCharType="begin"/>
      </w:r>
      <w:r w:rsidRPr="00ED1C7E">
        <w:instrText xml:space="preserve"> REF _Ref160108569 \h </w:instrText>
      </w:r>
      <w:r w:rsidRPr="00ED1C7E">
        <w:fldChar w:fldCharType="separate"/>
      </w:r>
      <w:r w:rsidR="00C60130" w:rsidRPr="00ED1C7E">
        <w:t xml:space="preserve">Table </w:t>
      </w:r>
      <w:r w:rsidR="00C60130">
        <w:rPr>
          <w:noProof/>
        </w:rPr>
        <w:t>8</w:t>
      </w:r>
      <w:r w:rsidRPr="00ED1C7E">
        <w:fldChar w:fldCharType="end"/>
      </w:r>
      <w:r w:rsidRPr="00ED1C7E">
        <w:t xml:space="preserve"> </w:t>
      </w:r>
      <w:r w:rsidR="004D1BA1" w:rsidRPr="00ED1C7E">
        <w:t xml:space="preserve">outlines an assessment of the options described above. To assist with interpretation of the analysis in the table, see the </w:t>
      </w:r>
      <w:hyperlink w:anchor="_Criteria_for_assessing" w:history="1">
        <w:r w:rsidR="004D1BA1" w:rsidRPr="00ED1C7E">
          <w:rPr>
            <w:rStyle w:val="Hyperlink"/>
          </w:rPr>
          <w:t>Criteria for assessing options</w:t>
        </w:r>
      </w:hyperlink>
      <w:r w:rsidR="004D1BA1" w:rsidRPr="00ED1C7E">
        <w:t xml:space="preserve"> section.</w:t>
      </w:r>
    </w:p>
    <w:p w14:paraId="0BEF58C0" w14:textId="4785F2F5" w:rsidR="00B60843" w:rsidRPr="00ED1C7E" w:rsidRDefault="00B60843" w:rsidP="003340AB">
      <w:pPr>
        <w:pStyle w:val="Tableheading"/>
      </w:pPr>
      <w:bookmarkStart w:id="45" w:name="_Ref160108569"/>
      <w:bookmarkStart w:id="46" w:name="_Toc165532915"/>
      <w:r w:rsidRPr="00ED1C7E">
        <w:t xml:space="preserve">Table </w:t>
      </w:r>
      <w:r w:rsidR="00594215">
        <w:fldChar w:fldCharType="begin"/>
      </w:r>
      <w:r w:rsidR="00594215">
        <w:instrText xml:space="preserve"> SEQ Table \* ARABIC </w:instrText>
      </w:r>
      <w:r w:rsidR="00594215">
        <w:fldChar w:fldCharType="separate"/>
      </w:r>
      <w:r w:rsidR="00C60130">
        <w:rPr>
          <w:noProof/>
        </w:rPr>
        <w:t>8</w:t>
      </w:r>
      <w:r w:rsidR="00594215">
        <w:rPr>
          <w:noProof/>
        </w:rPr>
        <w:fldChar w:fldCharType="end"/>
      </w:r>
      <w:bookmarkEnd w:id="45"/>
      <w:r w:rsidRPr="00ED1C7E">
        <w:t xml:space="preserve">: </w:t>
      </w:r>
      <w:r w:rsidR="00912202" w:rsidRPr="00ED1C7E">
        <w:tab/>
      </w:r>
      <w:r w:rsidR="00CA302A" w:rsidRPr="00ED1C7E">
        <w:t>O</w:t>
      </w:r>
      <w:r w:rsidRPr="00ED1C7E">
        <w:t xml:space="preserve">ptions </w:t>
      </w:r>
      <w:r w:rsidR="00CA302A" w:rsidRPr="00ED1C7E">
        <w:t xml:space="preserve">for updates to </w:t>
      </w:r>
      <w:r w:rsidRPr="00ED1C7E">
        <w:t>the UEF and DEF regulations</w:t>
      </w:r>
      <w:bookmarkEnd w:id="46"/>
    </w:p>
    <w:tbl>
      <w:tblPr>
        <w:tblStyle w:val="TableGrid1"/>
        <w:tblW w:w="8500"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872"/>
        <w:gridCol w:w="1134"/>
        <w:gridCol w:w="5494"/>
      </w:tblGrid>
      <w:tr w:rsidR="00912202" w:rsidRPr="00ED1C7E" w14:paraId="13C752AA" w14:textId="77777777" w:rsidTr="006871CF">
        <w:trPr>
          <w:tblHeader/>
        </w:trPr>
        <w:tc>
          <w:tcPr>
            <w:tcW w:w="1872" w:type="dxa"/>
            <w:tcBorders>
              <w:right w:val="nil"/>
            </w:tcBorders>
            <w:shd w:val="clear" w:color="auto" w:fill="1B556B"/>
            <w:vAlign w:val="bottom"/>
          </w:tcPr>
          <w:p w14:paraId="6975F7A2" w14:textId="77777777" w:rsidR="00592C00" w:rsidRPr="00ED1C7E" w:rsidRDefault="00592C00" w:rsidP="00912202">
            <w:pPr>
              <w:pStyle w:val="TableTextbold"/>
              <w:rPr>
                <w:color w:val="FFFFFF" w:themeColor="background1"/>
              </w:rPr>
            </w:pPr>
            <w:r w:rsidRPr="00ED1C7E">
              <w:rPr>
                <w:color w:val="FFFFFF" w:themeColor="background1"/>
              </w:rPr>
              <w:t>Criteria</w:t>
            </w:r>
          </w:p>
        </w:tc>
        <w:tc>
          <w:tcPr>
            <w:tcW w:w="1134" w:type="dxa"/>
            <w:tcBorders>
              <w:left w:val="nil"/>
              <w:right w:val="nil"/>
            </w:tcBorders>
            <w:shd w:val="clear" w:color="auto" w:fill="1B556B"/>
            <w:vAlign w:val="bottom"/>
          </w:tcPr>
          <w:p w14:paraId="6DA9E368" w14:textId="77777777" w:rsidR="00592C00" w:rsidRPr="00ED1C7E" w:rsidRDefault="00592C00" w:rsidP="00912202">
            <w:pPr>
              <w:pStyle w:val="TableTextbold"/>
              <w:rPr>
                <w:color w:val="FFFFFF" w:themeColor="background1"/>
              </w:rPr>
            </w:pPr>
            <w:r w:rsidRPr="00ED1C7E">
              <w:rPr>
                <w:color w:val="FFFFFF" w:themeColor="background1"/>
              </w:rPr>
              <w:t>Option 1: Status quo</w:t>
            </w:r>
          </w:p>
        </w:tc>
        <w:tc>
          <w:tcPr>
            <w:tcW w:w="5494" w:type="dxa"/>
            <w:tcBorders>
              <w:left w:val="nil"/>
            </w:tcBorders>
            <w:shd w:val="clear" w:color="auto" w:fill="1B556B"/>
            <w:vAlign w:val="bottom"/>
          </w:tcPr>
          <w:p w14:paraId="2985F9A7" w14:textId="041919DC" w:rsidR="00592C00" w:rsidRPr="00ED1C7E" w:rsidRDefault="00592C00" w:rsidP="00912202">
            <w:pPr>
              <w:pStyle w:val="TableTextbold"/>
              <w:rPr>
                <w:color w:val="FFFFFF" w:themeColor="background1"/>
              </w:rPr>
            </w:pPr>
            <w:r w:rsidRPr="00ED1C7E">
              <w:rPr>
                <w:color w:val="FFFFFF" w:themeColor="background1"/>
              </w:rPr>
              <w:t>Option 2:</w:t>
            </w:r>
            <w:r w:rsidRPr="00ED1C7E">
              <w:rPr>
                <w:color w:val="FFFFFF" w:themeColor="background1"/>
              </w:rPr>
              <w:br/>
              <w:t xml:space="preserve">Update the </w:t>
            </w:r>
            <w:r w:rsidR="006F6D85" w:rsidRPr="00ED1C7E">
              <w:rPr>
                <w:color w:val="FFFFFF" w:themeColor="background1"/>
              </w:rPr>
              <w:t>UEF</w:t>
            </w:r>
            <w:r w:rsidRPr="00ED1C7E">
              <w:rPr>
                <w:color w:val="FFFFFF" w:themeColor="background1"/>
              </w:rPr>
              <w:t xml:space="preserve"> Regulations</w:t>
            </w:r>
          </w:p>
        </w:tc>
      </w:tr>
      <w:tr w:rsidR="00592C00" w:rsidRPr="00ED1C7E" w14:paraId="1ED873F6" w14:textId="77777777" w:rsidTr="006871CF">
        <w:tc>
          <w:tcPr>
            <w:tcW w:w="1872" w:type="dxa"/>
            <w:shd w:val="clear" w:color="auto" w:fill="auto"/>
          </w:tcPr>
          <w:p w14:paraId="60BAF2D0" w14:textId="77777777" w:rsidR="00592C00" w:rsidRPr="00ED1C7E" w:rsidRDefault="00592C00" w:rsidP="005C4E88">
            <w:pPr>
              <w:pStyle w:val="TableText"/>
              <w:spacing w:before="40" w:after="40"/>
            </w:pPr>
            <w:r w:rsidRPr="00ED1C7E">
              <w:t>Alignment</w:t>
            </w:r>
          </w:p>
        </w:tc>
        <w:tc>
          <w:tcPr>
            <w:tcW w:w="1134" w:type="dxa"/>
          </w:tcPr>
          <w:p w14:paraId="7F01F218" w14:textId="77777777" w:rsidR="00592C00" w:rsidRPr="00C0645E" w:rsidRDefault="00592C00" w:rsidP="005C4E88">
            <w:pPr>
              <w:pStyle w:val="TableText"/>
              <w:spacing w:before="40" w:after="40"/>
              <w:rPr>
                <w:b/>
                <w:bCs/>
                <w:sz w:val="20"/>
              </w:rPr>
            </w:pPr>
            <w:r w:rsidRPr="00C0645E">
              <w:rPr>
                <w:b/>
                <w:bCs/>
                <w:sz w:val="20"/>
              </w:rPr>
              <w:t>0</w:t>
            </w:r>
          </w:p>
        </w:tc>
        <w:tc>
          <w:tcPr>
            <w:tcW w:w="5494" w:type="dxa"/>
            <w:shd w:val="clear" w:color="auto" w:fill="auto"/>
          </w:tcPr>
          <w:p w14:paraId="5DF2D26D" w14:textId="77777777" w:rsidR="00C0645E" w:rsidRDefault="00592C00" w:rsidP="005C4E88">
            <w:pPr>
              <w:pStyle w:val="TableText"/>
              <w:spacing w:before="40" w:after="40"/>
              <w:rPr>
                <w:b/>
                <w:color w:val="00B050"/>
                <w:sz w:val="20"/>
                <w:lang w:eastAsia="en-AU"/>
              </w:rPr>
            </w:pPr>
            <w:r w:rsidRPr="00C0645E">
              <w:rPr>
                <w:b/>
                <w:color w:val="00B050"/>
                <w:sz w:val="20"/>
                <w:lang w:eastAsia="en-AU"/>
              </w:rPr>
              <w:t>+</w:t>
            </w:r>
          </w:p>
          <w:p w14:paraId="08B18F70" w14:textId="0DB11803" w:rsidR="00592C00" w:rsidRPr="00ED1C7E" w:rsidRDefault="00592C00" w:rsidP="005C4E88">
            <w:pPr>
              <w:pStyle w:val="TableText"/>
              <w:spacing w:before="40" w:after="40"/>
              <w:rPr>
                <w:bCs/>
                <w:lang w:eastAsia="en-AU"/>
              </w:rPr>
            </w:pPr>
            <w:r w:rsidRPr="00ED1C7E">
              <w:rPr>
                <w:bCs/>
                <w:lang w:eastAsia="en-AU"/>
              </w:rPr>
              <w:t xml:space="preserve">Aligns the UEF </w:t>
            </w:r>
            <w:r w:rsidR="00CA302A" w:rsidRPr="00ED1C7E">
              <w:rPr>
                <w:bCs/>
                <w:lang w:eastAsia="en-AU"/>
              </w:rPr>
              <w:t xml:space="preserve">Regulations </w:t>
            </w:r>
            <w:r w:rsidRPr="00ED1C7E">
              <w:rPr>
                <w:bCs/>
                <w:lang w:eastAsia="en-AU"/>
              </w:rPr>
              <w:t xml:space="preserve">with the DEF derived from New Zealand’s </w:t>
            </w:r>
            <w:r w:rsidR="00CA302A" w:rsidRPr="00ED1C7E">
              <w:rPr>
                <w:bCs/>
                <w:lang w:eastAsia="en-AU"/>
              </w:rPr>
              <w:t>G</w:t>
            </w:r>
            <w:r w:rsidRPr="00ED1C7E">
              <w:rPr>
                <w:bCs/>
                <w:lang w:eastAsia="en-AU"/>
              </w:rPr>
              <w:t xml:space="preserve">reenhouse </w:t>
            </w:r>
            <w:r w:rsidR="00CA302A" w:rsidRPr="00ED1C7E">
              <w:rPr>
                <w:bCs/>
                <w:lang w:eastAsia="en-AU"/>
              </w:rPr>
              <w:t>G</w:t>
            </w:r>
            <w:r w:rsidRPr="00ED1C7E">
              <w:rPr>
                <w:bCs/>
                <w:lang w:eastAsia="en-AU"/>
              </w:rPr>
              <w:t xml:space="preserve">as </w:t>
            </w:r>
            <w:r w:rsidR="00CA302A" w:rsidRPr="00ED1C7E">
              <w:rPr>
                <w:bCs/>
                <w:lang w:eastAsia="en-AU"/>
              </w:rPr>
              <w:t>I</w:t>
            </w:r>
            <w:r w:rsidRPr="00ED1C7E">
              <w:rPr>
                <w:bCs/>
                <w:lang w:eastAsia="en-AU"/>
              </w:rPr>
              <w:t xml:space="preserve">nventory, better supporting the proper functioning of the </w:t>
            </w:r>
            <w:r w:rsidR="00221ACF" w:rsidRPr="00ED1C7E">
              <w:rPr>
                <w:bCs/>
                <w:lang w:eastAsia="en-AU"/>
              </w:rPr>
              <w:t>NZ ETS</w:t>
            </w:r>
            <w:r w:rsidRPr="00ED1C7E">
              <w:rPr>
                <w:bCs/>
                <w:lang w:eastAsia="en-AU"/>
              </w:rPr>
              <w:t>.</w:t>
            </w:r>
          </w:p>
        </w:tc>
      </w:tr>
      <w:tr w:rsidR="00592C00" w:rsidRPr="00ED1C7E" w14:paraId="7639AD78" w14:textId="77777777" w:rsidTr="006871CF">
        <w:tc>
          <w:tcPr>
            <w:tcW w:w="1872" w:type="dxa"/>
            <w:shd w:val="clear" w:color="auto" w:fill="auto"/>
          </w:tcPr>
          <w:p w14:paraId="70E567A6" w14:textId="77777777" w:rsidR="00592C00" w:rsidRPr="00ED1C7E" w:rsidRDefault="00592C00" w:rsidP="005C4E88">
            <w:pPr>
              <w:pStyle w:val="TableText"/>
              <w:spacing w:before="40" w:after="40"/>
            </w:pPr>
            <w:r w:rsidRPr="00ED1C7E">
              <w:t>Accuracy</w:t>
            </w:r>
          </w:p>
        </w:tc>
        <w:tc>
          <w:tcPr>
            <w:tcW w:w="1134" w:type="dxa"/>
          </w:tcPr>
          <w:p w14:paraId="2BC64FDB" w14:textId="77777777" w:rsidR="00592C00" w:rsidRPr="00C0645E" w:rsidRDefault="00592C00" w:rsidP="005C4E88">
            <w:pPr>
              <w:pStyle w:val="TableText"/>
              <w:spacing w:before="40" w:after="40"/>
              <w:rPr>
                <w:b/>
                <w:bCs/>
                <w:sz w:val="20"/>
              </w:rPr>
            </w:pPr>
            <w:r w:rsidRPr="00C0645E">
              <w:rPr>
                <w:b/>
                <w:bCs/>
                <w:sz w:val="20"/>
              </w:rPr>
              <w:t>0</w:t>
            </w:r>
          </w:p>
        </w:tc>
        <w:tc>
          <w:tcPr>
            <w:tcW w:w="5494" w:type="dxa"/>
            <w:shd w:val="clear" w:color="auto" w:fill="auto"/>
          </w:tcPr>
          <w:p w14:paraId="7831D37D" w14:textId="77777777" w:rsidR="00C0645E" w:rsidRDefault="00592C00" w:rsidP="005C4E88">
            <w:pPr>
              <w:pStyle w:val="TableText"/>
              <w:spacing w:before="40" w:after="40"/>
              <w:rPr>
                <w:b/>
                <w:color w:val="00B050"/>
                <w:lang w:eastAsia="en-AU"/>
              </w:rPr>
            </w:pPr>
            <w:r w:rsidRPr="00C0645E">
              <w:rPr>
                <w:b/>
                <w:color w:val="00B050"/>
                <w:sz w:val="20"/>
                <w:lang w:eastAsia="en-AU"/>
              </w:rPr>
              <w:t>+</w:t>
            </w:r>
          </w:p>
          <w:p w14:paraId="71F24478" w14:textId="7AE682B8" w:rsidR="00592C00" w:rsidRPr="00ED1C7E" w:rsidRDefault="00592C00" w:rsidP="005C4E88">
            <w:pPr>
              <w:pStyle w:val="TableText"/>
              <w:spacing w:before="40" w:after="40"/>
              <w:rPr>
                <w:bCs/>
                <w:lang w:eastAsia="en-AU"/>
              </w:rPr>
            </w:pPr>
            <w:r w:rsidRPr="00ED1C7E">
              <w:rPr>
                <w:bCs/>
                <w:lang w:eastAsia="en-AU"/>
              </w:rPr>
              <w:t xml:space="preserve">Reported emissions and associated </w:t>
            </w:r>
            <w:r w:rsidR="00221ACF" w:rsidRPr="00ED1C7E">
              <w:rPr>
                <w:bCs/>
                <w:lang w:eastAsia="en-AU"/>
              </w:rPr>
              <w:t>NZ ETS</w:t>
            </w:r>
            <w:r w:rsidRPr="00ED1C7E">
              <w:rPr>
                <w:bCs/>
                <w:lang w:eastAsia="en-AU"/>
              </w:rPr>
              <w:t xml:space="preserve"> costs are more consistent with actual emissions.</w:t>
            </w:r>
          </w:p>
        </w:tc>
      </w:tr>
      <w:tr w:rsidR="00592C00" w:rsidRPr="00ED1C7E" w14:paraId="7B743DB1" w14:textId="77777777" w:rsidTr="006871CF">
        <w:tc>
          <w:tcPr>
            <w:tcW w:w="1872" w:type="dxa"/>
          </w:tcPr>
          <w:p w14:paraId="1DC0DACB" w14:textId="77777777" w:rsidR="00592C00" w:rsidRPr="00ED1C7E" w:rsidRDefault="00592C00" w:rsidP="005C4E88">
            <w:pPr>
              <w:pStyle w:val="TableText"/>
              <w:spacing w:before="40" w:after="40"/>
            </w:pPr>
            <w:r w:rsidRPr="00ED1C7E">
              <w:t>Efficiency</w:t>
            </w:r>
          </w:p>
        </w:tc>
        <w:tc>
          <w:tcPr>
            <w:tcW w:w="1134" w:type="dxa"/>
          </w:tcPr>
          <w:p w14:paraId="0A965D83" w14:textId="77777777" w:rsidR="00592C00" w:rsidRPr="00C0645E" w:rsidRDefault="00592C00" w:rsidP="005C4E88">
            <w:pPr>
              <w:pStyle w:val="TableText"/>
              <w:spacing w:before="40" w:after="40"/>
              <w:rPr>
                <w:b/>
                <w:bCs/>
                <w:sz w:val="20"/>
              </w:rPr>
            </w:pPr>
            <w:r w:rsidRPr="00C0645E">
              <w:rPr>
                <w:b/>
                <w:bCs/>
                <w:sz w:val="20"/>
              </w:rPr>
              <w:t>0</w:t>
            </w:r>
          </w:p>
        </w:tc>
        <w:tc>
          <w:tcPr>
            <w:tcW w:w="5494" w:type="dxa"/>
          </w:tcPr>
          <w:p w14:paraId="69EFE6D0" w14:textId="77777777" w:rsidR="00C0645E" w:rsidRDefault="00592C00" w:rsidP="005C4E88">
            <w:pPr>
              <w:pStyle w:val="TableText"/>
              <w:spacing w:before="40" w:after="40"/>
              <w:rPr>
                <w:b/>
                <w:bCs/>
              </w:rPr>
            </w:pPr>
            <w:r w:rsidRPr="00C0645E">
              <w:rPr>
                <w:b/>
                <w:bCs/>
                <w:sz w:val="20"/>
              </w:rPr>
              <w:t>0</w:t>
            </w:r>
          </w:p>
          <w:p w14:paraId="458E342B" w14:textId="48D9E340" w:rsidR="00592C00" w:rsidRPr="00ED1C7E" w:rsidRDefault="00592C00" w:rsidP="005C4E88">
            <w:pPr>
              <w:pStyle w:val="TableText"/>
              <w:spacing w:before="40" w:after="40"/>
            </w:pPr>
            <w:r w:rsidRPr="00ED1C7E">
              <w:t>No change for participants in how they report their emissions.</w:t>
            </w:r>
          </w:p>
        </w:tc>
      </w:tr>
      <w:tr w:rsidR="00592C00" w:rsidRPr="00ED1C7E" w14:paraId="4E676024" w14:textId="77777777" w:rsidTr="006871CF">
        <w:tc>
          <w:tcPr>
            <w:tcW w:w="1872" w:type="dxa"/>
          </w:tcPr>
          <w:p w14:paraId="356FBAF8" w14:textId="77777777" w:rsidR="00592C00" w:rsidRPr="00ED1C7E" w:rsidRDefault="00592C00" w:rsidP="005C4E88">
            <w:pPr>
              <w:pStyle w:val="TableText"/>
              <w:spacing w:before="40" w:after="40"/>
            </w:pPr>
            <w:r w:rsidRPr="00ED1C7E">
              <w:t>Clarity</w:t>
            </w:r>
          </w:p>
        </w:tc>
        <w:tc>
          <w:tcPr>
            <w:tcW w:w="1134" w:type="dxa"/>
          </w:tcPr>
          <w:p w14:paraId="1A6485C0" w14:textId="77777777" w:rsidR="00592C00" w:rsidRPr="00C0645E" w:rsidRDefault="00592C00" w:rsidP="005C4E88">
            <w:pPr>
              <w:pStyle w:val="TableText"/>
              <w:spacing w:before="40" w:after="40"/>
              <w:rPr>
                <w:b/>
                <w:bCs/>
                <w:sz w:val="20"/>
              </w:rPr>
            </w:pPr>
            <w:r w:rsidRPr="00C0645E">
              <w:rPr>
                <w:b/>
                <w:bCs/>
                <w:sz w:val="20"/>
              </w:rPr>
              <w:t>0</w:t>
            </w:r>
          </w:p>
        </w:tc>
        <w:tc>
          <w:tcPr>
            <w:tcW w:w="5494" w:type="dxa"/>
          </w:tcPr>
          <w:p w14:paraId="6300E47E" w14:textId="77777777" w:rsidR="00C0645E" w:rsidRDefault="00592C00" w:rsidP="005C4E88">
            <w:pPr>
              <w:pStyle w:val="TableText"/>
              <w:spacing w:before="40" w:after="40"/>
              <w:rPr>
                <w:b/>
                <w:color w:val="00B050"/>
              </w:rPr>
            </w:pPr>
            <w:r w:rsidRPr="00C0645E">
              <w:rPr>
                <w:b/>
                <w:color w:val="00B050"/>
                <w:sz w:val="20"/>
                <w:lang w:eastAsia="en-AU"/>
              </w:rPr>
              <w:t>+</w:t>
            </w:r>
          </w:p>
          <w:p w14:paraId="1D6BDF6F" w14:textId="585C2B95" w:rsidR="00592C00" w:rsidRPr="00ED1C7E" w:rsidRDefault="00592C00" w:rsidP="005C4E88">
            <w:pPr>
              <w:pStyle w:val="TableText"/>
              <w:spacing w:before="40" w:after="40"/>
            </w:pPr>
            <w:r w:rsidRPr="00ED1C7E">
              <w:t>Improves the consistency of the regulations.</w:t>
            </w:r>
          </w:p>
        </w:tc>
      </w:tr>
      <w:tr w:rsidR="00592C00" w:rsidRPr="00ED1C7E" w14:paraId="79239B17" w14:textId="77777777" w:rsidTr="006871CF">
        <w:tc>
          <w:tcPr>
            <w:tcW w:w="1872" w:type="dxa"/>
          </w:tcPr>
          <w:p w14:paraId="6EE03578" w14:textId="77777777" w:rsidR="00592C00" w:rsidRPr="00ED1C7E" w:rsidRDefault="00592C00" w:rsidP="005C4E88">
            <w:pPr>
              <w:pStyle w:val="TableText"/>
              <w:spacing w:before="40" w:after="40"/>
              <w:rPr>
                <w:b/>
                <w:bCs/>
              </w:rPr>
            </w:pPr>
            <w:r w:rsidRPr="00ED1C7E">
              <w:rPr>
                <w:b/>
                <w:bCs/>
              </w:rPr>
              <w:t>Overall assessment</w:t>
            </w:r>
          </w:p>
        </w:tc>
        <w:tc>
          <w:tcPr>
            <w:tcW w:w="1134" w:type="dxa"/>
          </w:tcPr>
          <w:p w14:paraId="2A70281E" w14:textId="77777777" w:rsidR="00592C00" w:rsidRPr="00C0645E" w:rsidRDefault="00592C00" w:rsidP="005C4E88">
            <w:pPr>
              <w:pStyle w:val="TableText"/>
              <w:spacing w:before="40" w:after="40"/>
              <w:rPr>
                <w:b/>
                <w:bCs/>
                <w:sz w:val="20"/>
              </w:rPr>
            </w:pPr>
            <w:r w:rsidRPr="00C0645E">
              <w:rPr>
                <w:b/>
                <w:bCs/>
                <w:sz w:val="20"/>
              </w:rPr>
              <w:t>0</w:t>
            </w:r>
          </w:p>
        </w:tc>
        <w:tc>
          <w:tcPr>
            <w:tcW w:w="5494" w:type="dxa"/>
          </w:tcPr>
          <w:p w14:paraId="2BBFD38D" w14:textId="51F2604E" w:rsidR="00592C00" w:rsidRPr="00C0645E" w:rsidRDefault="009915D7" w:rsidP="005C4E88">
            <w:pPr>
              <w:pStyle w:val="TableText"/>
              <w:spacing w:before="40" w:after="40"/>
              <w:rPr>
                <w:b/>
                <w:color w:val="00B050"/>
                <w:sz w:val="20"/>
                <w:lang w:eastAsia="en-AU"/>
              </w:rPr>
            </w:pPr>
            <w:r w:rsidRPr="00C0645E">
              <w:rPr>
                <w:b/>
                <w:color w:val="00B050"/>
                <w:sz w:val="20"/>
                <w:lang w:eastAsia="en-AU"/>
              </w:rPr>
              <w:t>3</w:t>
            </w:r>
            <w:r w:rsidR="00592C00" w:rsidRPr="00C0645E">
              <w:rPr>
                <w:b/>
                <w:color w:val="00B050"/>
                <w:sz w:val="20"/>
                <w:lang w:eastAsia="en-AU"/>
              </w:rPr>
              <w:t>+</w:t>
            </w:r>
          </w:p>
        </w:tc>
      </w:tr>
    </w:tbl>
    <w:p w14:paraId="6601BD82" w14:textId="01853A89" w:rsidR="00592C00" w:rsidRPr="00ED1C7E" w:rsidRDefault="00592C00" w:rsidP="006871CF">
      <w:pPr>
        <w:pStyle w:val="BodyText"/>
        <w:spacing w:before="240"/>
      </w:pPr>
      <w:r w:rsidRPr="00ED1C7E">
        <w:t xml:space="preserve">This proposal would have </w:t>
      </w:r>
      <w:r w:rsidR="006072F0" w:rsidRPr="00ED1C7E">
        <w:t xml:space="preserve">minor </w:t>
      </w:r>
      <w:r w:rsidRPr="00ED1C7E">
        <w:t xml:space="preserve">economic impact </w:t>
      </w:r>
      <w:r w:rsidR="006072F0" w:rsidRPr="00ED1C7E">
        <w:t>for</w:t>
      </w:r>
      <w:r w:rsidRPr="00ED1C7E">
        <w:t xml:space="preserve"> UEF applicants, as all current waste UEF holders will likely need to reapply for a UEF next year.</w:t>
      </w:r>
    </w:p>
    <w:p w14:paraId="2C783A56" w14:textId="3AAB14D8" w:rsidR="00592C00" w:rsidRDefault="00592C00" w:rsidP="006871CF">
      <w:pPr>
        <w:pStyle w:val="Heading3"/>
        <w:spacing w:after="240"/>
      </w:pPr>
      <w:r w:rsidRPr="00ED1C7E">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054EC9" w:rsidRPr="00D71C4F" w14:paraId="1F39322D" w14:textId="77777777">
        <w:tc>
          <w:tcPr>
            <w:tcW w:w="8505" w:type="dxa"/>
            <w:shd w:val="clear" w:color="auto" w:fill="1B556B" w:themeFill="text2"/>
          </w:tcPr>
          <w:p w14:paraId="72B4DAC2" w14:textId="77777777" w:rsidR="00054EC9" w:rsidRPr="00D71C4F" w:rsidRDefault="00054EC9">
            <w:pPr>
              <w:pStyle w:val="TableText"/>
              <w:keepNext/>
              <w:rPr>
                <w:b/>
                <w:bCs/>
                <w:color w:val="FFFFFF" w:themeColor="background1"/>
                <w:sz w:val="20"/>
                <w:szCs w:val="22"/>
              </w:rPr>
            </w:pPr>
            <w:r w:rsidRPr="00D71C4F">
              <w:rPr>
                <w:b/>
                <w:bCs/>
                <w:color w:val="FFFFFF" w:themeColor="background1"/>
                <w:sz w:val="20"/>
                <w:szCs w:val="22"/>
              </w:rPr>
              <w:t>Question</w:t>
            </w:r>
          </w:p>
        </w:tc>
      </w:tr>
      <w:tr w:rsidR="00054EC9" w:rsidRPr="00943CFD" w14:paraId="5F61C47F" w14:textId="77777777">
        <w:tc>
          <w:tcPr>
            <w:tcW w:w="8505" w:type="dxa"/>
          </w:tcPr>
          <w:p w14:paraId="704698D3" w14:textId="77777777" w:rsidR="00054EC9" w:rsidRPr="00943CFD" w:rsidRDefault="00054EC9" w:rsidP="00571CB2">
            <w:pPr>
              <w:pStyle w:val="Questions"/>
              <w:ind w:left="319" w:hanging="284"/>
            </w:pPr>
            <w:bookmarkStart w:id="47" w:name="_Ref161240919"/>
            <w:r w:rsidRPr="00EF313A">
              <w:t>Do you support updating the waste DEF used to calculate UEFs?</w:t>
            </w:r>
            <w:bookmarkEnd w:id="47"/>
          </w:p>
        </w:tc>
      </w:tr>
    </w:tbl>
    <w:p w14:paraId="4313A170" w14:textId="77777777" w:rsidR="00BD0C8B" w:rsidRPr="00BD0C8B" w:rsidRDefault="00BD0C8B" w:rsidP="00BD0C8B">
      <w:pPr>
        <w:pStyle w:val="BodyText"/>
      </w:pPr>
      <w:bookmarkStart w:id="48" w:name="_Toc165533000"/>
    </w:p>
    <w:p w14:paraId="22AA4A8B" w14:textId="77777777" w:rsidR="00BD0C8B" w:rsidRPr="00BD0C8B" w:rsidRDefault="00BD0C8B" w:rsidP="00BD0C8B">
      <w:pPr>
        <w:pStyle w:val="BodyText"/>
      </w:pPr>
      <w:r w:rsidRPr="00BD0C8B">
        <w:br w:type="page"/>
      </w:r>
    </w:p>
    <w:p w14:paraId="6493D9C6" w14:textId="63252286" w:rsidR="00592C00" w:rsidRPr="00E67474" w:rsidRDefault="00592C00" w:rsidP="006871CF">
      <w:pPr>
        <w:pStyle w:val="Heading2"/>
        <w:spacing w:before="480"/>
        <w:rPr>
          <w:iCs/>
        </w:rPr>
      </w:pPr>
      <w:r w:rsidRPr="00ED1C7E">
        <w:rPr>
          <w:rFonts w:eastAsiaTheme="minorEastAsia" w:cs="Segoe UI"/>
          <w:szCs w:val="36"/>
        </w:rPr>
        <w:lastRenderedPageBreak/>
        <w:t xml:space="preserve">4b – </w:t>
      </w:r>
      <w:r w:rsidRPr="00E67474">
        <w:rPr>
          <w:rFonts w:eastAsiaTheme="minorEastAsia" w:cs="Segoe UI"/>
          <w:iCs/>
          <w:szCs w:val="36"/>
        </w:rPr>
        <w:t>Clarifying data used to calculate UEFs</w:t>
      </w:r>
      <w:r w:rsidR="006871CF" w:rsidRPr="00E67474">
        <w:rPr>
          <w:rFonts w:eastAsiaTheme="minorEastAsia" w:cs="Segoe UI"/>
          <w:iCs/>
          <w:szCs w:val="36"/>
        </w:rPr>
        <w:t> </w:t>
      </w:r>
      <w:r w:rsidRPr="00E67474">
        <w:rPr>
          <w:rFonts w:eastAsiaTheme="minorEastAsia" w:cs="Segoe UI"/>
          <w:iCs/>
          <w:szCs w:val="36"/>
        </w:rPr>
        <w:t xml:space="preserve">for waste </w:t>
      </w:r>
      <w:proofErr w:type="gramStart"/>
      <w:r w:rsidRPr="00E67474">
        <w:rPr>
          <w:rFonts w:eastAsiaTheme="minorEastAsia" w:cs="Segoe UI"/>
          <w:iCs/>
          <w:szCs w:val="36"/>
        </w:rPr>
        <w:t>participants</w:t>
      </w:r>
      <w:bookmarkEnd w:id="48"/>
      <w:proofErr w:type="gramEnd"/>
    </w:p>
    <w:p w14:paraId="17167572" w14:textId="68017ACA" w:rsidR="00592C00" w:rsidRPr="00ED1C7E" w:rsidRDefault="00592C00" w:rsidP="006871CF">
      <w:pPr>
        <w:pStyle w:val="Heading3"/>
        <w:spacing w:before="240"/>
      </w:pPr>
      <w:r w:rsidRPr="00ED1C7E">
        <w:t>Why is this correction to waste UEFs needed?</w:t>
      </w:r>
    </w:p>
    <w:p w14:paraId="53A45B33" w14:textId="0599D6AE" w:rsidR="00592C00" w:rsidRPr="00ED1C7E" w:rsidRDefault="00592C00" w:rsidP="00054EC9">
      <w:pPr>
        <w:pStyle w:val="BodyText"/>
        <w:spacing w:before="100" w:after="100"/>
        <w:rPr>
          <w:kern w:val="2"/>
        </w:rPr>
      </w:pPr>
      <w:r w:rsidRPr="00ED1C7E">
        <w:t xml:space="preserve">Waste participants applying for a UEF for </w:t>
      </w:r>
      <w:r w:rsidR="00840578" w:rsidRPr="00ED1C7E">
        <w:t>landfill gas</w:t>
      </w:r>
      <w:r w:rsidRPr="00ED1C7E">
        <w:t xml:space="preserve"> collection and destruction that do not have historic composition data are required to use the waste composition data for the current DEF, as provided in </w:t>
      </w:r>
      <w:hyperlink r:id="rId39" w:history="1">
        <w:r w:rsidRPr="00ED1C7E">
          <w:rPr>
            <w:rStyle w:val="Hyperlink"/>
          </w:rPr>
          <w:t>Schedule 2</w:t>
        </w:r>
      </w:hyperlink>
      <w:r w:rsidRPr="00ED1C7E">
        <w:t xml:space="preserve"> of the UEF </w:t>
      </w:r>
      <w:r w:rsidR="0062173E" w:rsidRPr="00ED1C7E">
        <w:t>R</w:t>
      </w:r>
      <w:r w:rsidRPr="00ED1C7E">
        <w:t>eg</w:t>
      </w:r>
      <w:r w:rsidR="006F6D85" w:rsidRPr="00ED1C7E">
        <w:t>ulation</w:t>
      </w:r>
      <w:r w:rsidRPr="00ED1C7E">
        <w:t xml:space="preserve">s. </w:t>
      </w:r>
      <w:r w:rsidR="00026756" w:rsidRPr="00ED1C7E">
        <w:t xml:space="preserve">Where site-specific compositional data </w:t>
      </w:r>
      <w:r w:rsidR="0062173E" w:rsidRPr="00ED1C7E">
        <w:t xml:space="preserve">are </w:t>
      </w:r>
      <w:r w:rsidR="00026756" w:rsidRPr="00ED1C7E">
        <w:t>available, UEF applica</w:t>
      </w:r>
      <w:r w:rsidR="007B68CB" w:rsidRPr="00ED1C7E">
        <w:t>n</w:t>
      </w:r>
      <w:r w:rsidR="00026756" w:rsidRPr="00ED1C7E">
        <w:t xml:space="preserve">ts </w:t>
      </w:r>
      <w:r w:rsidR="00503E91" w:rsidRPr="00ED1C7E">
        <w:t>must</w:t>
      </w:r>
      <w:r w:rsidR="00026756" w:rsidRPr="00ED1C7E">
        <w:t xml:space="preserve"> use this information for modelling landfill gas capture.</w:t>
      </w:r>
      <w:r w:rsidR="0065676C" w:rsidRPr="00ED1C7E">
        <w:t xml:space="preserve"> </w:t>
      </w:r>
      <w:r w:rsidR="00AD1E67" w:rsidRPr="00ED1C7E">
        <w:t>Th</w:t>
      </w:r>
      <w:r w:rsidR="00503E91" w:rsidRPr="00ED1C7E">
        <w:t>ese</w:t>
      </w:r>
      <w:r w:rsidR="00AD1E67" w:rsidRPr="00ED1C7E">
        <w:t xml:space="preserve"> </w:t>
      </w:r>
      <w:r w:rsidR="0065676C" w:rsidRPr="00ED1C7E">
        <w:t>composition</w:t>
      </w:r>
      <w:r w:rsidR="00AD1E67" w:rsidRPr="00ED1C7E">
        <w:t xml:space="preserve"> data </w:t>
      </w:r>
      <w:r w:rsidR="00503E91" w:rsidRPr="00ED1C7E">
        <w:t>are</w:t>
      </w:r>
      <w:r w:rsidR="00AD1E67" w:rsidRPr="00ED1C7E">
        <w:t xml:space="preserve"> used to model the efficiency of the landfill gas capture system.</w:t>
      </w:r>
    </w:p>
    <w:p w14:paraId="62E52BE4" w14:textId="52CC7F5C" w:rsidR="00592C00" w:rsidRPr="00ED1C7E" w:rsidRDefault="00592C00" w:rsidP="009E4993">
      <w:pPr>
        <w:pStyle w:val="BodyText"/>
      </w:pPr>
      <w:r w:rsidRPr="00ED1C7E">
        <w:t>Th</w:t>
      </w:r>
      <w:r w:rsidR="0064034F" w:rsidRPr="00ED1C7E">
        <w:t xml:space="preserve">is </w:t>
      </w:r>
      <w:r w:rsidR="00F87933" w:rsidRPr="00ED1C7E">
        <w:t xml:space="preserve">means </w:t>
      </w:r>
      <w:r w:rsidR="00522F41" w:rsidRPr="00ED1C7E">
        <w:t xml:space="preserve">UEF applicants </w:t>
      </w:r>
      <w:r w:rsidR="00423994" w:rsidRPr="00ED1C7E">
        <w:t xml:space="preserve">without </w:t>
      </w:r>
      <w:r w:rsidR="007B5DAC" w:rsidRPr="00ED1C7E">
        <w:t>site-specific compositional data</w:t>
      </w:r>
      <w:r w:rsidR="00522F41" w:rsidRPr="00ED1C7E">
        <w:t xml:space="preserve"> are </w:t>
      </w:r>
      <w:r w:rsidR="002E3697" w:rsidRPr="00ED1C7E">
        <w:t xml:space="preserve">using current </w:t>
      </w:r>
      <w:r w:rsidR="009A0508" w:rsidRPr="00ED1C7E">
        <w:t xml:space="preserve">national </w:t>
      </w:r>
      <w:r w:rsidR="00913601" w:rsidRPr="00ED1C7E">
        <w:t xml:space="preserve">waste composition for </w:t>
      </w:r>
      <w:r w:rsidR="00940040" w:rsidRPr="00ED1C7E">
        <w:t xml:space="preserve">waste disposed </w:t>
      </w:r>
      <w:r w:rsidR="005D7F97" w:rsidRPr="00ED1C7E">
        <w:t xml:space="preserve">historically. </w:t>
      </w:r>
      <w:r w:rsidR="009D4B9A" w:rsidRPr="00ED1C7E">
        <w:t>This is likely to be inaccurate</w:t>
      </w:r>
      <w:r w:rsidR="00BE12F6" w:rsidRPr="00ED1C7E">
        <w:t>,</w:t>
      </w:r>
      <w:r w:rsidR="009D4B9A" w:rsidRPr="00ED1C7E">
        <w:t xml:space="preserve"> as </w:t>
      </w:r>
      <w:r w:rsidR="007D1673" w:rsidRPr="00ED1C7E">
        <w:t xml:space="preserve">waste composition changes over time, reflecting changing </w:t>
      </w:r>
      <w:r w:rsidR="00187C83" w:rsidRPr="00ED1C7E">
        <w:t>behaviours</w:t>
      </w:r>
      <w:r w:rsidR="00016F83" w:rsidRPr="00ED1C7E">
        <w:t>.</w:t>
      </w:r>
    </w:p>
    <w:p w14:paraId="1A5CA259" w14:textId="7E15FD52" w:rsidR="00592C00" w:rsidRPr="00ED1C7E" w:rsidRDefault="00592C00" w:rsidP="00592C00">
      <w:pPr>
        <w:pStyle w:val="Heading3"/>
      </w:pPr>
      <w:r w:rsidRPr="00ED1C7E">
        <w:t>Options</w:t>
      </w:r>
    </w:p>
    <w:p w14:paraId="6ECCF830" w14:textId="0209530A" w:rsidR="00592C00" w:rsidRPr="00ED1C7E" w:rsidRDefault="00592C00" w:rsidP="00336229">
      <w:pPr>
        <w:pStyle w:val="Heading4"/>
        <w:spacing w:before="240"/>
      </w:pPr>
      <w:r w:rsidRPr="00ED1C7E">
        <w:t xml:space="preserve">Option 1: </w:t>
      </w:r>
      <w:r w:rsidRPr="00ED1C7E">
        <w:rPr>
          <w:rFonts w:cs="Times New Roman"/>
        </w:rPr>
        <w:t>Status</w:t>
      </w:r>
      <w:r w:rsidRPr="00ED1C7E">
        <w:t xml:space="preserve"> </w:t>
      </w:r>
      <w:r w:rsidR="00000BF0" w:rsidRPr="00ED1C7E">
        <w:t>q</w:t>
      </w:r>
      <w:r w:rsidRPr="00ED1C7E">
        <w:t>uo</w:t>
      </w:r>
    </w:p>
    <w:p w14:paraId="485A2AB2" w14:textId="05D4E862" w:rsidR="00592C00" w:rsidRPr="00ED1C7E" w:rsidRDefault="00592C00" w:rsidP="00592C00">
      <w:pPr>
        <w:pStyle w:val="BodyText"/>
      </w:pPr>
      <w:r w:rsidRPr="00ED1C7E">
        <w:t xml:space="preserve">Under this option, UEF applicants </w:t>
      </w:r>
      <w:r w:rsidR="00EF1CCC" w:rsidRPr="00ED1C7E">
        <w:t xml:space="preserve">will </w:t>
      </w:r>
      <w:r w:rsidRPr="00ED1C7E">
        <w:t>use the current compositional data to model landfill gas collection, regardless of when the waste was disposed.</w:t>
      </w:r>
    </w:p>
    <w:p w14:paraId="4624BFD0" w14:textId="77777777" w:rsidR="00592C00" w:rsidRPr="00ED1C7E" w:rsidRDefault="00592C00" w:rsidP="00336229">
      <w:pPr>
        <w:pStyle w:val="Heading4"/>
      </w:pPr>
      <w:r w:rsidRPr="00ED1C7E">
        <w:t>Option 2: Update the UEF Regulations</w:t>
      </w:r>
    </w:p>
    <w:p w14:paraId="0ADF5D8A" w14:textId="68AAC64E" w:rsidR="00592C00" w:rsidRPr="00ED1C7E" w:rsidRDefault="00592C00" w:rsidP="00365BE0">
      <w:pPr>
        <w:pStyle w:val="BodyText"/>
        <w:rPr>
          <w:rFonts w:eastAsiaTheme="majorEastAsia" w:cs="Calibri"/>
        </w:rPr>
      </w:pPr>
      <w:r w:rsidRPr="00ED1C7E">
        <w:rPr>
          <w:rFonts w:eastAsiaTheme="majorEastAsia" w:cs="Calibri"/>
        </w:rPr>
        <w:t xml:space="preserve">The alternative option is to update the UEF </w:t>
      </w:r>
      <w:r w:rsidR="00D635FC" w:rsidRPr="00ED1C7E">
        <w:rPr>
          <w:rFonts w:eastAsiaTheme="majorEastAsia" w:cs="Calibri"/>
        </w:rPr>
        <w:t>R</w:t>
      </w:r>
      <w:r w:rsidRPr="00ED1C7E">
        <w:rPr>
          <w:rFonts w:eastAsiaTheme="majorEastAsia" w:cs="Calibri"/>
        </w:rPr>
        <w:t xml:space="preserve">egulations so that applicants use the default </w:t>
      </w:r>
      <w:r w:rsidR="00067A4B" w:rsidRPr="00ED1C7E">
        <w:rPr>
          <w:rFonts w:eastAsiaTheme="majorEastAsia" w:cs="Calibri"/>
        </w:rPr>
        <w:t xml:space="preserve">(historical) </w:t>
      </w:r>
      <w:r w:rsidRPr="00ED1C7E">
        <w:t>waste</w:t>
      </w:r>
      <w:r w:rsidRPr="00ED1C7E">
        <w:rPr>
          <w:rFonts w:eastAsiaTheme="majorEastAsia" w:cs="Calibri"/>
        </w:rPr>
        <w:t xml:space="preserve"> composition that applied when the waste was disposed.</w:t>
      </w:r>
    </w:p>
    <w:p w14:paraId="0F06FFE2" w14:textId="122F8158" w:rsidR="00E265EC" w:rsidRPr="00ED1C7E" w:rsidRDefault="006C1DE8" w:rsidP="00E265EC">
      <w:pPr>
        <w:pStyle w:val="BodyText"/>
      </w:pPr>
      <w:r w:rsidRPr="00ED1C7E">
        <w:t>The</w:t>
      </w:r>
      <w:r w:rsidR="00E265EC" w:rsidRPr="00ED1C7E">
        <w:t xml:space="preserve"> </w:t>
      </w:r>
      <w:r w:rsidR="0059445C" w:rsidRPr="00ED1C7E">
        <w:t>G</w:t>
      </w:r>
      <w:r w:rsidR="00E265EC" w:rsidRPr="00ED1C7E">
        <w:t>overnment prefer</w:t>
      </w:r>
      <w:r w:rsidRPr="00ED1C7E">
        <w:t>s this</w:t>
      </w:r>
      <w:r w:rsidR="00E265EC" w:rsidRPr="00ED1C7E">
        <w:t xml:space="preserve"> </w:t>
      </w:r>
      <w:r w:rsidR="0059445C" w:rsidRPr="00ED1C7E">
        <w:t xml:space="preserve">option, </w:t>
      </w:r>
      <w:r w:rsidRPr="00ED1C7E">
        <w:t xml:space="preserve">which </w:t>
      </w:r>
      <w:r w:rsidR="00E265EC" w:rsidRPr="00ED1C7E">
        <w:t>would improve the accuracy of the model used to calculate</w:t>
      </w:r>
      <w:r w:rsidRPr="00ED1C7E">
        <w:t xml:space="preserve"> the</w:t>
      </w:r>
      <w:r w:rsidR="00E265EC" w:rsidRPr="00ED1C7E">
        <w:t xml:space="preserve"> landfill gas capture efficiency of landfill systems.</w:t>
      </w:r>
    </w:p>
    <w:p w14:paraId="41489699" w14:textId="04ED4F00" w:rsidR="00592C00" w:rsidRPr="00ED1C7E" w:rsidRDefault="00592C00" w:rsidP="00592C00">
      <w:pPr>
        <w:pStyle w:val="Heading3"/>
      </w:pPr>
      <w:r w:rsidRPr="00ED1C7E">
        <w:t>Analysis</w:t>
      </w:r>
    </w:p>
    <w:p w14:paraId="6A4A5125" w14:textId="4BA8DEA2" w:rsidR="004D1BA1" w:rsidRPr="00ED1C7E" w:rsidRDefault="006C1DE8" w:rsidP="00365BE0">
      <w:pPr>
        <w:pStyle w:val="BodyText"/>
      </w:pPr>
      <w:r w:rsidRPr="00ED1C7E">
        <w:fldChar w:fldCharType="begin"/>
      </w:r>
      <w:r w:rsidRPr="00ED1C7E">
        <w:instrText xml:space="preserve"> REF _Ref160164892 \h </w:instrText>
      </w:r>
      <w:r w:rsidRPr="00ED1C7E">
        <w:fldChar w:fldCharType="separate"/>
      </w:r>
      <w:r w:rsidR="00C60130" w:rsidRPr="00ED1C7E">
        <w:t xml:space="preserve">Table </w:t>
      </w:r>
      <w:r w:rsidR="00C60130">
        <w:rPr>
          <w:noProof/>
        </w:rPr>
        <w:t>9</w:t>
      </w:r>
      <w:r w:rsidRPr="00ED1C7E">
        <w:fldChar w:fldCharType="end"/>
      </w:r>
      <w:r w:rsidRPr="00ED1C7E">
        <w:t xml:space="preserve"> </w:t>
      </w:r>
      <w:r w:rsidR="004D1BA1" w:rsidRPr="00ED1C7E">
        <w:t xml:space="preserve">outlines an assessment of the options described above. To assist with interpretation of the analysis in the table, see the </w:t>
      </w:r>
      <w:hyperlink w:anchor="_Criteria_for_assessing" w:history="1">
        <w:r w:rsidR="004D1BA1" w:rsidRPr="00ED1C7E">
          <w:rPr>
            <w:rStyle w:val="Hyperlink"/>
          </w:rPr>
          <w:t>Criteria for assessing options</w:t>
        </w:r>
      </w:hyperlink>
      <w:r w:rsidR="004D1BA1" w:rsidRPr="00ED1C7E">
        <w:t xml:space="preserve"> section.</w:t>
      </w:r>
    </w:p>
    <w:p w14:paraId="12346882" w14:textId="544ACCDB" w:rsidR="00CB33B5" w:rsidRPr="00ED1C7E" w:rsidRDefault="00CB33B5" w:rsidP="003340AB">
      <w:pPr>
        <w:pStyle w:val="Tableheading"/>
      </w:pPr>
      <w:bookmarkStart w:id="49" w:name="_Ref160164892"/>
      <w:bookmarkStart w:id="50" w:name="_Toc165532916"/>
      <w:r w:rsidRPr="00ED1C7E">
        <w:t xml:space="preserve">Table </w:t>
      </w:r>
      <w:r w:rsidR="00594215">
        <w:fldChar w:fldCharType="begin"/>
      </w:r>
      <w:r w:rsidR="00594215">
        <w:instrText xml:space="preserve"> SEQ Table \* ARABIC </w:instrText>
      </w:r>
      <w:r w:rsidR="00594215">
        <w:fldChar w:fldCharType="separate"/>
      </w:r>
      <w:r w:rsidR="00C60130">
        <w:rPr>
          <w:noProof/>
        </w:rPr>
        <w:t>9</w:t>
      </w:r>
      <w:r w:rsidR="00594215">
        <w:rPr>
          <w:noProof/>
        </w:rPr>
        <w:fldChar w:fldCharType="end"/>
      </w:r>
      <w:bookmarkEnd w:id="49"/>
      <w:r w:rsidRPr="00ED1C7E">
        <w:t xml:space="preserve">: </w:t>
      </w:r>
      <w:r w:rsidR="00B5451E" w:rsidRPr="00ED1C7E">
        <w:tab/>
      </w:r>
      <w:r w:rsidR="004E5F6F" w:rsidRPr="00ED1C7E">
        <w:t>Options</w:t>
      </w:r>
      <w:r w:rsidRPr="00ED1C7E">
        <w:t xml:space="preserve"> to clarify the compositional data used to calculate </w:t>
      </w:r>
      <w:proofErr w:type="gramStart"/>
      <w:r w:rsidRPr="00ED1C7E">
        <w:t>UEFs</w:t>
      </w:r>
      <w:bookmarkEnd w:id="50"/>
      <w:proofErr w:type="gramEnd"/>
    </w:p>
    <w:tbl>
      <w:tblPr>
        <w:tblStyle w:val="TableGrid1"/>
        <w:tblW w:w="8500"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1730"/>
        <w:gridCol w:w="1134"/>
        <w:gridCol w:w="5636"/>
      </w:tblGrid>
      <w:tr w:rsidR="00B5451E" w:rsidRPr="00ED1C7E" w14:paraId="5E1A9501" w14:textId="77777777" w:rsidTr="0084194C">
        <w:trPr>
          <w:tblHeader/>
        </w:trPr>
        <w:tc>
          <w:tcPr>
            <w:tcW w:w="1730" w:type="dxa"/>
            <w:shd w:val="clear" w:color="auto" w:fill="1B556B"/>
            <w:vAlign w:val="bottom"/>
          </w:tcPr>
          <w:p w14:paraId="0AFFFF49" w14:textId="77777777" w:rsidR="00592C00" w:rsidRPr="00ED1C7E" w:rsidRDefault="00592C00" w:rsidP="00B5451E">
            <w:pPr>
              <w:pStyle w:val="TableTextbold"/>
              <w:spacing w:before="40" w:after="40"/>
              <w:rPr>
                <w:color w:val="FFFFFF" w:themeColor="background1"/>
              </w:rPr>
            </w:pPr>
            <w:r w:rsidRPr="00ED1C7E">
              <w:rPr>
                <w:color w:val="FFFFFF" w:themeColor="background1"/>
              </w:rPr>
              <w:t>Criteria</w:t>
            </w:r>
          </w:p>
        </w:tc>
        <w:tc>
          <w:tcPr>
            <w:tcW w:w="1134" w:type="dxa"/>
            <w:shd w:val="clear" w:color="auto" w:fill="1B556B"/>
            <w:vAlign w:val="bottom"/>
          </w:tcPr>
          <w:p w14:paraId="19F15AEE" w14:textId="77777777" w:rsidR="00592C00" w:rsidRPr="00ED1C7E" w:rsidRDefault="00592C00" w:rsidP="00B5451E">
            <w:pPr>
              <w:pStyle w:val="TableTextbold"/>
              <w:spacing w:before="40" w:after="40"/>
              <w:rPr>
                <w:color w:val="FFFFFF" w:themeColor="background1"/>
              </w:rPr>
            </w:pPr>
            <w:r w:rsidRPr="00ED1C7E">
              <w:rPr>
                <w:color w:val="FFFFFF" w:themeColor="background1"/>
              </w:rPr>
              <w:t>Option 1: Status quo</w:t>
            </w:r>
          </w:p>
        </w:tc>
        <w:tc>
          <w:tcPr>
            <w:tcW w:w="5636" w:type="dxa"/>
            <w:shd w:val="clear" w:color="auto" w:fill="1B556B"/>
            <w:vAlign w:val="bottom"/>
          </w:tcPr>
          <w:p w14:paraId="5B3A13E8" w14:textId="2EE76F6C" w:rsidR="00592C00" w:rsidRPr="00ED1C7E" w:rsidRDefault="00592C00" w:rsidP="00B5451E">
            <w:pPr>
              <w:pStyle w:val="TableTextbold"/>
              <w:spacing w:before="40" w:after="40"/>
              <w:rPr>
                <w:color w:val="FFFFFF" w:themeColor="background1"/>
              </w:rPr>
            </w:pPr>
            <w:r w:rsidRPr="00ED1C7E">
              <w:rPr>
                <w:color w:val="FFFFFF" w:themeColor="background1"/>
              </w:rPr>
              <w:t>Option 2:</w:t>
            </w:r>
            <w:r w:rsidRPr="00ED1C7E">
              <w:rPr>
                <w:color w:val="FFFFFF" w:themeColor="background1"/>
              </w:rPr>
              <w:br/>
              <w:t xml:space="preserve">Update the </w:t>
            </w:r>
            <w:r w:rsidR="006F6D85" w:rsidRPr="00ED1C7E">
              <w:rPr>
                <w:color w:val="FFFFFF" w:themeColor="background1"/>
              </w:rPr>
              <w:t>UEF</w:t>
            </w:r>
            <w:r w:rsidRPr="00ED1C7E">
              <w:rPr>
                <w:color w:val="FFFFFF" w:themeColor="background1"/>
              </w:rPr>
              <w:t xml:space="preserve"> Regulations</w:t>
            </w:r>
          </w:p>
        </w:tc>
      </w:tr>
      <w:tr w:rsidR="00592C00" w:rsidRPr="00ED1C7E" w14:paraId="381CD03C" w14:textId="77777777" w:rsidTr="0084194C">
        <w:tc>
          <w:tcPr>
            <w:tcW w:w="1730" w:type="dxa"/>
            <w:shd w:val="clear" w:color="auto" w:fill="auto"/>
          </w:tcPr>
          <w:p w14:paraId="3CD32C84" w14:textId="77777777" w:rsidR="00592C00" w:rsidRPr="00ED1C7E" w:rsidRDefault="00592C00" w:rsidP="00B5451E">
            <w:pPr>
              <w:pStyle w:val="TableText"/>
              <w:spacing w:before="40" w:after="40"/>
            </w:pPr>
            <w:r w:rsidRPr="00ED1C7E">
              <w:t>Alignment</w:t>
            </w:r>
          </w:p>
        </w:tc>
        <w:tc>
          <w:tcPr>
            <w:tcW w:w="1134" w:type="dxa"/>
          </w:tcPr>
          <w:p w14:paraId="0C5FA60A" w14:textId="77777777" w:rsidR="00592C00" w:rsidRPr="00FB2A1B" w:rsidRDefault="00592C00" w:rsidP="00B5451E">
            <w:pPr>
              <w:pStyle w:val="TableText"/>
              <w:spacing w:before="40" w:after="40"/>
              <w:rPr>
                <w:b/>
                <w:bCs/>
                <w:sz w:val="20"/>
              </w:rPr>
            </w:pPr>
            <w:r w:rsidRPr="00FB2A1B">
              <w:rPr>
                <w:b/>
                <w:bCs/>
                <w:sz w:val="20"/>
              </w:rPr>
              <w:t>0</w:t>
            </w:r>
          </w:p>
        </w:tc>
        <w:tc>
          <w:tcPr>
            <w:tcW w:w="5636" w:type="dxa"/>
            <w:shd w:val="clear" w:color="auto" w:fill="auto"/>
          </w:tcPr>
          <w:p w14:paraId="0AEEEF9D" w14:textId="77777777" w:rsidR="00FB2A1B" w:rsidRDefault="00592C00" w:rsidP="00B5451E">
            <w:pPr>
              <w:pStyle w:val="TableText"/>
              <w:spacing w:before="40" w:after="40"/>
              <w:rPr>
                <w:b/>
                <w:color w:val="00B050"/>
                <w:sz w:val="20"/>
                <w:lang w:eastAsia="en-AU"/>
              </w:rPr>
            </w:pPr>
            <w:r w:rsidRPr="00FB2A1B">
              <w:rPr>
                <w:b/>
                <w:color w:val="00B050"/>
                <w:sz w:val="20"/>
                <w:lang w:eastAsia="en-AU"/>
              </w:rPr>
              <w:t>+</w:t>
            </w:r>
          </w:p>
          <w:p w14:paraId="4C717831" w14:textId="4C6CF48F" w:rsidR="00592C00" w:rsidRPr="00ED1C7E" w:rsidRDefault="00592C00" w:rsidP="00B5451E">
            <w:pPr>
              <w:pStyle w:val="TableText"/>
              <w:spacing w:before="40" w:after="40"/>
              <w:rPr>
                <w:bCs/>
                <w:lang w:eastAsia="en-AU"/>
              </w:rPr>
            </w:pPr>
            <w:r w:rsidRPr="00ED1C7E">
              <w:rPr>
                <w:bCs/>
                <w:lang w:eastAsia="en-AU"/>
              </w:rPr>
              <w:t>Aligns the UEF reg</w:t>
            </w:r>
            <w:r w:rsidR="004617FC" w:rsidRPr="00ED1C7E">
              <w:rPr>
                <w:bCs/>
                <w:lang w:eastAsia="en-AU"/>
              </w:rPr>
              <w:t>ulation</w:t>
            </w:r>
            <w:r w:rsidRPr="00ED1C7E">
              <w:rPr>
                <w:bCs/>
                <w:lang w:eastAsia="en-AU"/>
              </w:rPr>
              <w:t xml:space="preserve">s with historical waste composition, better supporting the proper functioning of the </w:t>
            </w:r>
            <w:r w:rsidR="00221ACF" w:rsidRPr="00ED1C7E">
              <w:rPr>
                <w:bCs/>
                <w:lang w:eastAsia="en-AU"/>
              </w:rPr>
              <w:t>NZ ETS</w:t>
            </w:r>
            <w:r w:rsidRPr="00ED1C7E">
              <w:rPr>
                <w:bCs/>
                <w:lang w:eastAsia="en-AU"/>
              </w:rPr>
              <w:t>.</w:t>
            </w:r>
          </w:p>
        </w:tc>
      </w:tr>
      <w:tr w:rsidR="00592C00" w:rsidRPr="00ED1C7E" w14:paraId="32BFF210" w14:textId="77777777" w:rsidTr="0084194C">
        <w:tc>
          <w:tcPr>
            <w:tcW w:w="1730" w:type="dxa"/>
            <w:shd w:val="clear" w:color="auto" w:fill="auto"/>
          </w:tcPr>
          <w:p w14:paraId="446D5EDF" w14:textId="77777777" w:rsidR="00592C00" w:rsidRPr="00ED1C7E" w:rsidRDefault="00592C00" w:rsidP="00B5451E">
            <w:pPr>
              <w:pStyle w:val="TableText"/>
              <w:spacing w:before="40" w:after="40"/>
            </w:pPr>
            <w:r w:rsidRPr="00ED1C7E">
              <w:t>Accuracy</w:t>
            </w:r>
          </w:p>
        </w:tc>
        <w:tc>
          <w:tcPr>
            <w:tcW w:w="1134" w:type="dxa"/>
          </w:tcPr>
          <w:p w14:paraId="32DD5905" w14:textId="77777777" w:rsidR="00592C00" w:rsidRPr="00FB2A1B" w:rsidRDefault="00592C00" w:rsidP="00B5451E">
            <w:pPr>
              <w:pStyle w:val="TableText"/>
              <w:spacing w:before="40" w:after="40"/>
              <w:rPr>
                <w:b/>
                <w:bCs/>
                <w:sz w:val="20"/>
              </w:rPr>
            </w:pPr>
            <w:r w:rsidRPr="00FB2A1B">
              <w:rPr>
                <w:b/>
                <w:bCs/>
                <w:sz w:val="20"/>
              </w:rPr>
              <w:t>0</w:t>
            </w:r>
          </w:p>
        </w:tc>
        <w:tc>
          <w:tcPr>
            <w:tcW w:w="5636" w:type="dxa"/>
            <w:shd w:val="clear" w:color="auto" w:fill="auto"/>
          </w:tcPr>
          <w:p w14:paraId="3AD72684" w14:textId="77777777" w:rsidR="00FB2A1B" w:rsidRDefault="00592C00" w:rsidP="00B5451E">
            <w:pPr>
              <w:pStyle w:val="TableText"/>
              <w:spacing w:before="40" w:after="40"/>
              <w:rPr>
                <w:b/>
                <w:color w:val="00B050"/>
                <w:sz w:val="20"/>
                <w:lang w:eastAsia="en-AU"/>
              </w:rPr>
            </w:pPr>
            <w:r w:rsidRPr="00FB2A1B">
              <w:rPr>
                <w:b/>
                <w:color w:val="00B050"/>
                <w:sz w:val="20"/>
                <w:lang w:eastAsia="en-AU"/>
              </w:rPr>
              <w:t>+</w:t>
            </w:r>
          </w:p>
          <w:p w14:paraId="70ACDDA5" w14:textId="3BDA2556" w:rsidR="00592C00" w:rsidRPr="00ED1C7E" w:rsidRDefault="00592C00" w:rsidP="00B5451E">
            <w:pPr>
              <w:pStyle w:val="TableText"/>
              <w:spacing w:before="40" w:after="40"/>
              <w:rPr>
                <w:bCs/>
                <w:lang w:eastAsia="en-AU"/>
              </w:rPr>
            </w:pPr>
            <w:r w:rsidRPr="00ED1C7E">
              <w:rPr>
                <w:bCs/>
                <w:lang w:eastAsia="en-AU"/>
              </w:rPr>
              <w:t xml:space="preserve">Reported emissions and associated </w:t>
            </w:r>
            <w:r w:rsidR="00221ACF" w:rsidRPr="00ED1C7E">
              <w:rPr>
                <w:bCs/>
                <w:lang w:eastAsia="en-AU"/>
              </w:rPr>
              <w:t>NZ ETS</w:t>
            </w:r>
            <w:r w:rsidRPr="00ED1C7E">
              <w:rPr>
                <w:bCs/>
                <w:lang w:eastAsia="en-AU"/>
              </w:rPr>
              <w:t xml:space="preserve"> costs are more consistent with actual emissions.</w:t>
            </w:r>
          </w:p>
        </w:tc>
      </w:tr>
      <w:tr w:rsidR="00592C00" w:rsidRPr="00ED1C7E" w14:paraId="5B8742FA" w14:textId="77777777" w:rsidTr="0084194C">
        <w:tc>
          <w:tcPr>
            <w:tcW w:w="1730" w:type="dxa"/>
          </w:tcPr>
          <w:p w14:paraId="08B611AE" w14:textId="77777777" w:rsidR="00592C00" w:rsidRPr="00ED1C7E" w:rsidRDefault="00592C00" w:rsidP="00B5451E">
            <w:pPr>
              <w:pStyle w:val="TableText"/>
              <w:spacing w:before="40" w:after="40"/>
            </w:pPr>
            <w:r w:rsidRPr="00ED1C7E">
              <w:t>Efficiency</w:t>
            </w:r>
          </w:p>
        </w:tc>
        <w:tc>
          <w:tcPr>
            <w:tcW w:w="1134" w:type="dxa"/>
          </w:tcPr>
          <w:p w14:paraId="4BD0E6B9" w14:textId="77777777" w:rsidR="00592C00" w:rsidRPr="00FB2A1B" w:rsidRDefault="00592C00" w:rsidP="00B5451E">
            <w:pPr>
              <w:pStyle w:val="TableText"/>
              <w:spacing w:before="40" w:after="40"/>
              <w:rPr>
                <w:b/>
                <w:bCs/>
                <w:sz w:val="20"/>
              </w:rPr>
            </w:pPr>
            <w:r w:rsidRPr="00FB2A1B">
              <w:rPr>
                <w:b/>
                <w:bCs/>
                <w:sz w:val="20"/>
              </w:rPr>
              <w:t>0</w:t>
            </w:r>
          </w:p>
        </w:tc>
        <w:tc>
          <w:tcPr>
            <w:tcW w:w="5636" w:type="dxa"/>
          </w:tcPr>
          <w:p w14:paraId="1A3AB11D" w14:textId="77777777" w:rsidR="00FB2A1B" w:rsidRDefault="00592C00" w:rsidP="00B5451E">
            <w:pPr>
              <w:pStyle w:val="TableText"/>
              <w:spacing w:before="40" w:after="40"/>
              <w:rPr>
                <w:b/>
                <w:bCs/>
                <w:sz w:val="20"/>
              </w:rPr>
            </w:pPr>
            <w:r w:rsidRPr="00FB2A1B">
              <w:rPr>
                <w:b/>
                <w:bCs/>
                <w:sz w:val="20"/>
              </w:rPr>
              <w:t>0</w:t>
            </w:r>
          </w:p>
          <w:p w14:paraId="28302EFC" w14:textId="17F7D889" w:rsidR="00592C00" w:rsidRPr="00ED1C7E" w:rsidRDefault="00592C00" w:rsidP="00B5451E">
            <w:pPr>
              <w:pStyle w:val="TableText"/>
              <w:spacing w:before="40" w:after="40"/>
            </w:pPr>
            <w:r w:rsidRPr="00ED1C7E">
              <w:t>No change for participants in how they report their emissions.</w:t>
            </w:r>
          </w:p>
        </w:tc>
      </w:tr>
      <w:tr w:rsidR="00592C00" w:rsidRPr="00ED1C7E" w14:paraId="06A9B988" w14:textId="77777777" w:rsidTr="0084194C">
        <w:tc>
          <w:tcPr>
            <w:tcW w:w="1730" w:type="dxa"/>
          </w:tcPr>
          <w:p w14:paraId="6F214AF5" w14:textId="77777777" w:rsidR="00592C00" w:rsidRPr="00ED1C7E" w:rsidRDefault="00592C00" w:rsidP="00B5451E">
            <w:pPr>
              <w:pStyle w:val="TableText"/>
              <w:spacing w:before="40" w:after="40"/>
            </w:pPr>
            <w:r w:rsidRPr="00ED1C7E">
              <w:t>Clarity</w:t>
            </w:r>
          </w:p>
        </w:tc>
        <w:tc>
          <w:tcPr>
            <w:tcW w:w="1134" w:type="dxa"/>
          </w:tcPr>
          <w:p w14:paraId="6B45868C" w14:textId="77777777" w:rsidR="00592C00" w:rsidRPr="00FB2A1B" w:rsidRDefault="00592C00" w:rsidP="00B5451E">
            <w:pPr>
              <w:pStyle w:val="TableText"/>
              <w:spacing w:before="40" w:after="40"/>
              <w:rPr>
                <w:b/>
                <w:bCs/>
                <w:sz w:val="20"/>
              </w:rPr>
            </w:pPr>
            <w:r w:rsidRPr="00FB2A1B">
              <w:rPr>
                <w:b/>
                <w:bCs/>
                <w:sz w:val="20"/>
              </w:rPr>
              <w:t>0</w:t>
            </w:r>
          </w:p>
        </w:tc>
        <w:tc>
          <w:tcPr>
            <w:tcW w:w="5636" w:type="dxa"/>
          </w:tcPr>
          <w:p w14:paraId="3EA14087" w14:textId="77777777" w:rsidR="00FB2A1B" w:rsidRDefault="00592C00" w:rsidP="00B5451E">
            <w:pPr>
              <w:pStyle w:val="TableText"/>
              <w:spacing w:before="40" w:after="40"/>
              <w:rPr>
                <w:b/>
                <w:color w:val="00B050"/>
                <w:sz w:val="20"/>
              </w:rPr>
            </w:pPr>
            <w:r w:rsidRPr="00FB2A1B">
              <w:rPr>
                <w:b/>
                <w:color w:val="00B050"/>
                <w:sz w:val="20"/>
                <w:lang w:eastAsia="en-AU"/>
              </w:rPr>
              <w:t>+</w:t>
            </w:r>
          </w:p>
          <w:p w14:paraId="65479847" w14:textId="21AE8140" w:rsidR="00592C00" w:rsidRPr="00ED1C7E" w:rsidRDefault="00592C00" w:rsidP="00B5451E">
            <w:pPr>
              <w:pStyle w:val="TableText"/>
              <w:spacing w:before="40" w:after="40"/>
            </w:pPr>
            <w:r w:rsidRPr="00ED1C7E">
              <w:t>Improves the consistency of the regulations.</w:t>
            </w:r>
          </w:p>
        </w:tc>
      </w:tr>
      <w:tr w:rsidR="00592C00" w:rsidRPr="00ED1C7E" w14:paraId="66E18524" w14:textId="77777777" w:rsidTr="0084194C">
        <w:tc>
          <w:tcPr>
            <w:tcW w:w="1730" w:type="dxa"/>
          </w:tcPr>
          <w:p w14:paraId="383F52CD" w14:textId="77777777" w:rsidR="00592C00" w:rsidRPr="00ED1C7E" w:rsidRDefault="00592C00" w:rsidP="00B5451E">
            <w:pPr>
              <w:pStyle w:val="TableText"/>
              <w:spacing w:before="40" w:after="40"/>
              <w:rPr>
                <w:b/>
                <w:bCs/>
              </w:rPr>
            </w:pPr>
            <w:r w:rsidRPr="00ED1C7E">
              <w:rPr>
                <w:b/>
                <w:bCs/>
              </w:rPr>
              <w:t>Overall assessment</w:t>
            </w:r>
          </w:p>
        </w:tc>
        <w:tc>
          <w:tcPr>
            <w:tcW w:w="1134" w:type="dxa"/>
          </w:tcPr>
          <w:p w14:paraId="70584562" w14:textId="77777777" w:rsidR="00592C00" w:rsidRPr="00FB2A1B" w:rsidRDefault="00592C00" w:rsidP="00B5451E">
            <w:pPr>
              <w:pStyle w:val="TableText"/>
              <w:spacing w:before="40" w:after="40"/>
              <w:rPr>
                <w:b/>
                <w:bCs/>
                <w:sz w:val="20"/>
              </w:rPr>
            </w:pPr>
            <w:r w:rsidRPr="00FB2A1B">
              <w:rPr>
                <w:b/>
                <w:bCs/>
                <w:sz w:val="20"/>
              </w:rPr>
              <w:t>0</w:t>
            </w:r>
          </w:p>
        </w:tc>
        <w:tc>
          <w:tcPr>
            <w:tcW w:w="5636" w:type="dxa"/>
          </w:tcPr>
          <w:p w14:paraId="056AA250" w14:textId="038105AA" w:rsidR="00592C00" w:rsidRPr="00FB2A1B" w:rsidRDefault="009915D7" w:rsidP="00B5451E">
            <w:pPr>
              <w:pStyle w:val="TableText"/>
              <w:spacing w:before="40" w:after="40"/>
              <w:rPr>
                <w:b/>
                <w:color w:val="00B050"/>
                <w:sz w:val="20"/>
                <w:lang w:eastAsia="en-AU"/>
              </w:rPr>
            </w:pPr>
            <w:r w:rsidRPr="00FB2A1B">
              <w:rPr>
                <w:b/>
                <w:color w:val="00B050"/>
                <w:sz w:val="20"/>
                <w:lang w:eastAsia="en-AU"/>
              </w:rPr>
              <w:t>3</w:t>
            </w:r>
            <w:r w:rsidR="00592C00" w:rsidRPr="00FB2A1B">
              <w:rPr>
                <w:b/>
                <w:color w:val="00B050"/>
                <w:sz w:val="20"/>
                <w:lang w:eastAsia="en-AU"/>
              </w:rPr>
              <w:t>+</w:t>
            </w:r>
          </w:p>
        </w:tc>
      </w:tr>
    </w:tbl>
    <w:p w14:paraId="74BDAB1D" w14:textId="705A4F13" w:rsidR="00592C00" w:rsidRPr="00ED1C7E" w:rsidRDefault="00592C00" w:rsidP="001A476E">
      <w:pPr>
        <w:pStyle w:val="BodyText"/>
        <w:spacing w:before="240"/>
      </w:pPr>
      <w:r w:rsidRPr="00ED1C7E">
        <w:lastRenderedPageBreak/>
        <w:t xml:space="preserve">This proposal would have </w:t>
      </w:r>
      <w:r w:rsidR="006072F0" w:rsidRPr="00ED1C7E">
        <w:t>minor</w:t>
      </w:r>
      <w:r w:rsidRPr="00ED1C7E">
        <w:t xml:space="preserve"> economic impact </w:t>
      </w:r>
      <w:r w:rsidR="006072F0" w:rsidRPr="00ED1C7E">
        <w:t>for</w:t>
      </w:r>
      <w:r w:rsidRPr="00ED1C7E">
        <w:t xml:space="preserve"> UEF applicants, as all current waste UEF holders will likely need to reapply for a UEF next year.</w:t>
      </w:r>
    </w:p>
    <w:p w14:paraId="063A3CAB" w14:textId="03CF38D6" w:rsidR="00592C00" w:rsidRDefault="00592C00" w:rsidP="004A0581">
      <w:pPr>
        <w:pStyle w:val="Heading3"/>
        <w:spacing w:before="320" w:after="240"/>
      </w:pPr>
      <w:r w:rsidRPr="00ED1C7E">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117D4D" w:rsidRPr="00D71C4F" w14:paraId="3C2A9E1E" w14:textId="77777777">
        <w:tc>
          <w:tcPr>
            <w:tcW w:w="8505" w:type="dxa"/>
            <w:shd w:val="clear" w:color="auto" w:fill="1B556B" w:themeFill="text2"/>
          </w:tcPr>
          <w:p w14:paraId="3E7F7EA7" w14:textId="77777777" w:rsidR="00117D4D" w:rsidRPr="00D71C4F" w:rsidRDefault="00117D4D">
            <w:pPr>
              <w:pStyle w:val="TableText"/>
              <w:keepNext/>
              <w:rPr>
                <w:b/>
                <w:bCs/>
                <w:color w:val="FFFFFF" w:themeColor="background1"/>
                <w:sz w:val="20"/>
                <w:szCs w:val="22"/>
              </w:rPr>
            </w:pPr>
            <w:r w:rsidRPr="00D71C4F">
              <w:rPr>
                <w:b/>
                <w:bCs/>
                <w:color w:val="FFFFFF" w:themeColor="background1"/>
                <w:sz w:val="20"/>
                <w:szCs w:val="22"/>
              </w:rPr>
              <w:t>Question</w:t>
            </w:r>
          </w:p>
        </w:tc>
      </w:tr>
      <w:tr w:rsidR="00117D4D" w:rsidRPr="00943CFD" w14:paraId="166EEF31" w14:textId="77777777">
        <w:tc>
          <w:tcPr>
            <w:tcW w:w="8505" w:type="dxa"/>
          </w:tcPr>
          <w:p w14:paraId="4A00A962" w14:textId="77777777" w:rsidR="00117D4D" w:rsidRPr="00943CFD" w:rsidRDefault="00117D4D" w:rsidP="00571CB2">
            <w:pPr>
              <w:pStyle w:val="Questions"/>
              <w:ind w:left="319" w:hanging="319"/>
            </w:pPr>
            <w:bookmarkStart w:id="51" w:name="_Ref161240963"/>
            <w:r w:rsidRPr="00EF313A">
              <w:t>Do you support using historical waste composition to inform the calculation of UEFs?</w:t>
            </w:r>
            <w:bookmarkEnd w:id="51"/>
          </w:p>
        </w:tc>
      </w:tr>
    </w:tbl>
    <w:p w14:paraId="2D6955A3" w14:textId="60E992D1" w:rsidR="00592C00" w:rsidRPr="00E67474" w:rsidRDefault="00592C00" w:rsidP="0067775D">
      <w:pPr>
        <w:pStyle w:val="Heading2"/>
        <w:spacing w:before="480"/>
        <w:rPr>
          <w:iCs/>
        </w:rPr>
      </w:pPr>
      <w:bookmarkStart w:id="52" w:name="_Toc165533001"/>
      <w:r w:rsidRPr="00ED1C7E">
        <w:t xml:space="preserve">4c – </w:t>
      </w:r>
      <w:r w:rsidRPr="00E67474">
        <w:rPr>
          <w:iCs/>
        </w:rPr>
        <w:t>Offsite destruction of landfill gas</w:t>
      </w:r>
      <w:bookmarkEnd w:id="52"/>
    </w:p>
    <w:p w14:paraId="3D070DAE" w14:textId="023A57E9" w:rsidR="00592C00" w:rsidRPr="00ED1C7E" w:rsidRDefault="00592C00" w:rsidP="0067775D">
      <w:pPr>
        <w:pStyle w:val="Heading3"/>
        <w:spacing w:before="240"/>
      </w:pPr>
      <w:r w:rsidRPr="00ED1C7E">
        <w:t>Why is this correction to waste UEFs needed?</w:t>
      </w:r>
    </w:p>
    <w:p w14:paraId="52A4A048" w14:textId="5110A5F4" w:rsidR="00592C00" w:rsidRDefault="00C35E45" w:rsidP="00E932EF">
      <w:pPr>
        <w:pStyle w:val="BodyText"/>
      </w:pPr>
      <w:r w:rsidRPr="00ED1C7E">
        <w:rPr>
          <w:rStyle w:val="Hyperlink"/>
          <w:color w:val="auto"/>
        </w:rPr>
        <w:t xml:space="preserve">The </w:t>
      </w:r>
      <w:r w:rsidR="00592C00" w:rsidRPr="00ED1C7E">
        <w:rPr>
          <w:rStyle w:val="Hyperlink"/>
          <w:color w:val="auto"/>
        </w:rPr>
        <w:t xml:space="preserve">UEF </w:t>
      </w:r>
      <w:r w:rsidR="00213EF1" w:rsidRPr="00ED1C7E">
        <w:rPr>
          <w:rStyle w:val="Hyperlink"/>
          <w:color w:val="auto"/>
        </w:rPr>
        <w:t>R</w:t>
      </w:r>
      <w:r w:rsidR="00592C00" w:rsidRPr="00ED1C7E">
        <w:rPr>
          <w:rStyle w:val="Hyperlink"/>
          <w:color w:val="auto"/>
        </w:rPr>
        <w:t>egulations</w:t>
      </w:r>
      <w:r w:rsidR="00592C00" w:rsidRPr="00ED1C7E">
        <w:t xml:space="preserve"> currently require that the UEF applicant</w:t>
      </w:r>
      <w:r w:rsidR="0056712D" w:rsidRPr="00ED1C7E">
        <w:t>’s</w:t>
      </w:r>
      <w:r w:rsidR="00592C00" w:rsidRPr="00ED1C7E">
        <w:t xml:space="preserve"> destruction system </w:t>
      </w:r>
      <w:r w:rsidR="0056712D" w:rsidRPr="00ED1C7E">
        <w:t xml:space="preserve">is </w:t>
      </w:r>
      <w:r w:rsidR="00592C00" w:rsidRPr="00ED1C7E">
        <w:t>at the landfill</w:t>
      </w:r>
      <w:r w:rsidR="00587F9E" w:rsidRPr="00ED1C7E">
        <w:t xml:space="preserve"> (as outlined in </w:t>
      </w:r>
      <w:hyperlink r:id="rId40" w:history="1">
        <w:r w:rsidR="00587F9E" w:rsidRPr="00ED1C7E">
          <w:rPr>
            <w:rStyle w:val="Hyperlink"/>
          </w:rPr>
          <w:t>clause 23C</w:t>
        </w:r>
      </w:hyperlink>
      <w:r w:rsidR="00587F9E" w:rsidRPr="00ED1C7E">
        <w:t>)</w:t>
      </w:r>
      <w:r w:rsidR="005A36B7" w:rsidRPr="00ED1C7E">
        <w:t>:</w:t>
      </w:r>
    </w:p>
    <w:p w14:paraId="01088053" w14:textId="13A13145" w:rsidR="007E1CE2" w:rsidRPr="00D606B0" w:rsidRDefault="0033604E" w:rsidP="00916D62">
      <w:pPr>
        <w:pStyle w:val="Quote"/>
        <w:spacing w:before="0"/>
        <w:ind w:left="426"/>
      </w:pPr>
      <w:r w:rsidRPr="00D606B0">
        <w:t xml:space="preserve">A waste participant who wishes to calculate a unique emissions factor that relates to the use of an LFG [landfill gas] collection and destruction system </w:t>
      </w:r>
      <w:r w:rsidRPr="00D606B0">
        <w:rPr>
          <w:b/>
          <w:bCs/>
        </w:rPr>
        <w:t>at a disposal facility</w:t>
      </w:r>
      <w:r w:rsidRPr="00D606B0">
        <w:t>.</w:t>
      </w:r>
    </w:p>
    <w:p w14:paraId="4137AC80" w14:textId="32E6BBEA" w:rsidR="00592C00" w:rsidRPr="00ED1C7E" w:rsidRDefault="00592C00" w:rsidP="00E932EF">
      <w:pPr>
        <w:pStyle w:val="BodyText"/>
        <w:spacing w:after="240"/>
      </w:pPr>
      <w:r w:rsidRPr="00ED1C7E">
        <w:t xml:space="preserve">This means a UEF applicant would not be able to apply for a UEF if the </w:t>
      </w:r>
      <w:r w:rsidR="007A787E" w:rsidRPr="00ED1C7E">
        <w:t>landfill gas</w:t>
      </w:r>
      <w:r w:rsidRPr="00ED1C7E">
        <w:t xml:space="preserve"> is destroyed elsewhere. This is not currently a problem, as we are not aware of any landfills that are destroying </w:t>
      </w:r>
      <w:r w:rsidR="007A787E" w:rsidRPr="00ED1C7E">
        <w:t>landfill gas</w:t>
      </w:r>
      <w:r w:rsidRPr="00ED1C7E">
        <w:t xml:space="preserve"> offsite. However, we are aware some landfills are considering this option, such as for </w:t>
      </w:r>
      <w:r w:rsidR="00F64A90">
        <w:t>developing</w:t>
      </w:r>
      <w:r w:rsidRPr="00ED1C7E">
        <w:t xml:space="preserve"> biomethanol from landfill methane, or potentially </w:t>
      </w:r>
      <w:r w:rsidR="00F64A90">
        <w:t>using</w:t>
      </w:r>
      <w:r w:rsidRPr="00ED1C7E">
        <w:t xml:space="preserve"> biomethane to substitute for natural gas in domestic and commercial uses.</w:t>
      </w:r>
      <w:r w:rsidR="00070585" w:rsidRPr="00ED1C7E">
        <w:t xml:space="preserve"> </w:t>
      </w:r>
      <w:r w:rsidR="00AC2D7E" w:rsidRPr="00ED1C7E">
        <w:t>This change could incentivise the use of landfill gas for other purposes.</w:t>
      </w:r>
    </w:p>
    <w:p w14:paraId="0FE1823F" w14:textId="404CCCFC" w:rsidR="00592C00" w:rsidRPr="00ED1C7E" w:rsidRDefault="00592C00" w:rsidP="00336229">
      <w:pPr>
        <w:pStyle w:val="Heading3"/>
        <w:spacing w:before="320"/>
      </w:pPr>
      <w:r w:rsidRPr="00ED1C7E">
        <w:t>Options</w:t>
      </w:r>
    </w:p>
    <w:p w14:paraId="594E52E6" w14:textId="6143F60E" w:rsidR="00592C00" w:rsidRPr="00ED1C7E" w:rsidRDefault="00592C00" w:rsidP="00336229">
      <w:pPr>
        <w:pStyle w:val="Heading4"/>
        <w:spacing w:before="180"/>
      </w:pPr>
      <w:r w:rsidRPr="00ED1C7E">
        <w:t xml:space="preserve">Option 1: </w:t>
      </w:r>
      <w:r w:rsidRPr="00ED1C7E">
        <w:rPr>
          <w:rFonts w:cs="Times New Roman"/>
        </w:rPr>
        <w:t>Status</w:t>
      </w:r>
      <w:r w:rsidRPr="00ED1C7E">
        <w:t xml:space="preserve"> </w:t>
      </w:r>
      <w:r w:rsidR="001D415D" w:rsidRPr="00ED1C7E">
        <w:t>q</w:t>
      </w:r>
      <w:r w:rsidRPr="00ED1C7E">
        <w:t>uo</w:t>
      </w:r>
    </w:p>
    <w:p w14:paraId="2CCF1B3F" w14:textId="76853635" w:rsidR="00592C00" w:rsidRPr="00ED1C7E" w:rsidRDefault="00592C00" w:rsidP="00D01D41">
      <w:pPr>
        <w:pStyle w:val="BodyText"/>
        <w:spacing w:before="100" w:after="100"/>
      </w:pPr>
      <w:r w:rsidRPr="00ED1C7E">
        <w:t>Under this option, to apply for a UEF</w:t>
      </w:r>
      <w:r w:rsidR="001D415D" w:rsidRPr="00ED1C7E">
        <w:t>,</w:t>
      </w:r>
      <w:r w:rsidRPr="00ED1C7E">
        <w:t xml:space="preserve"> the waste participant must collect and destroy the landfill gas at the landfill</w:t>
      </w:r>
      <w:r w:rsidRPr="00ED1C7E">
        <w:rPr>
          <w:rFonts w:eastAsiaTheme="majorEastAsia" w:cs="Calibri"/>
        </w:rPr>
        <w:t>.</w:t>
      </w:r>
    </w:p>
    <w:p w14:paraId="205503A0" w14:textId="77777777" w:rsidR="00592C00" w:rsidRPr="00ED1C7E" w:rsidRDefault="00592C00" w:rsidP="00D01D41">
      <w:pPr>
        <w:pStyle w:val="Heading4"/>
        <w:spacing w:before="240"/>
      </w:pPr>
      <w:r w:rsidRPr="00ED1C7E">
        <w:t xml:space="preserve">Option 2: Update the </w:t>
      </w:r>
      <w:r w:rsidRPr="00ED1C7E">
        <w:rPr>
          <w:rFonts w:eastAsia="MS Gothic"/>
          <w:iCs/>
        </w:rPr>
        <w:t>UEF Regulations</w:t>
      </w:r>
    </w:p>
    <w:p w14:paraId="7878CC64" w14:textId="475EAF02" w:rsidR="00592C00" w:rsidRPr="00ED1C7E" w:rsidRDefault="00592C00" w:rsidP="00D01D41">
      <w:pPr>
        <w:pStyle w:val="BodyText"/>
        <w:spacing w:before="100" w:after="100"/>
      </w:pPr>
      <w:r w:rsidRPr="00ED1C7E">
        <w:t>Th</w:t>
      </w:r>
      <w:r w:rsidR="009A2037" w:rsidRPr="00ED1C7E">
        <w:t xml:space="preserve">is option is to </w:t>
      </w:r>
      <w:r w:rsidRPr="00ED1C7E">
        <w:t xml:space="preserve">update the regulations so that applicants </w:t>
      </w:r>
      <w:r w:rsidR="004119F2">
        <w:t>can</w:t>
      </w:r>
      <w:r w:rsidRPr="00ED1C7E">
        <w:t xml:space="preserve"> destroy the landfill gas offsite, </w:t>
      </w:r>
      <w:r w:rsidR="002B62E0" w:rsidRPr="00ED1C7E">
        <w:t xml:space="preserve">including by </w:t>
      </w:r>
      <w:r w:rsidRPr="00ED1C7E">
        <w:t>a third party.</w:t>
      </w:r>
    </w:p>
    <w:p w14:paraId="72AAD59A" w14:textId="7429DDA0" w:rsidR="003E7A5D" w:rsidRPr="00ED1C7E" w:rsidRDefault="003E7A5D" w:rsidP="00D01D41">
      <w:pPr>
        <w:pStyle w:val="BodyText"/>
        <w:spacing w:before="100" w:after="100"/>
      </w:pPr>
      <w:r w:rsidRPr="00ED1C7E">
        <w:t xml:space="preserve">This is the </w:t>
      </w:r>
      <w:r w:rsidR="00EB085D" w:rsidRPr="00ED1C7E">
        <w:t>G</w:t>
      </w:r>
      <w:r w:rsidRPr="00ED1C7E">
        <w:t>overnment’s preferred option. The rationale is to encourage destruction of the landfill gas</w:t>
      </w:r>
      <w:r w:rsidR="001F16BD" w:rsidRPr="00ED1C7E">
        <w:t>,</w:t>
      </w:r>
      <w:r w:rsidRPr="00ED1C7E">
        <w:t xml:space="preserve"> regardless of location</w:t>
      </w:r>
      <w:r w:rsidR="001F16BD" w:rsidRPr="00ED1C7E">
        <w:t>,</w:t>
      </w:r>
      <w:r w:rsidRPr="00ED1C7E">
        <w:t xml:space="preserve"> as this could incentivise other uses of landfill gas.</w:t>
      </w:r>
    </w:p>
    <w:p w14:paraId="2A97F7A3" w14:textId="77777777" w:rsidR="00D030A8" w:rsidRDefault="00592C00" w:rsidP="00D030A8">
      <w:pPr>
        <w:pStyle w:val="Heading3"/>
      </w:pPr>
      <w:r w:rsidRPr="00ED1C7E">
        <w:t>Analysis</w:t>
      </w:r>
    </w:p>
    <w:p w14:paraId="74C95820" w14:textId="24B0A8E3" w:rsidR="004D1BA1" w:rsidRPr="00ED1C7E" w:rsidRDefault="00700ED9" w:rsidP="00D01D41">
      <w:pPr>
        <w:pStyle w:val="BodyText"/>
        <w:spacing w:before="100" w:after="100"/>
      </w:pPr>
      <w:r>
        <w:t>Table 10</w:t>
      </w:r>
      <w:r w:rsidR="001F16BD" w:rsidRPr="00ED1C7E">
        <w:t xml:space="preserve"> </w:t>
      </w:r>
      <w:r w:rsidR="004D1BA1" w:rsidRPr="00ED1C7E">
        <w:t xml:space="preserve">outlines an assessment of the options described above. To assist with interpretation of the analysis in the table, see the </w:t>
      </w:r>
      <w:hyperlink w:anchor="_Criteria_for_assessing" w:history="1">
        <w:r w:rsidR="004D1BA1" w:rsidRPr="00ED1C7E">
          <w:rPr>
            <w:rStyle w:val="Hyperlink"/>
          </w:rPr>
          <w:t>Criteria for assessing options</w:t>
        </w:r>
      </w:hyperlink>
      <w:r w:rsidR="004D1BA1" w:rsidRPr="00ED1C7E">
        <w:t xml:space="preserve"> section.</w:t>
      </w:r>
    </w:p>
    <w:p w14:paraId="07BDD597" w14:textId="77777777" w:rsidR="008D0D70" w:rsidRDefault="008D0D70">
      <w:pPr>
        <w:spacing w:before="0" w:after="200" w:line="276" w:lineRule="auto"/>
        <w:jc w:val="left"/>
        <w:rPr>
          <w:b/>
          <w:sz w:val="20"/>
        </w:rPr>
      </w:pPr>
      <w:bookmarkStart w:id="53" w:name="_Ref160165884"/>
      <w:r>
        <w:br w:type="page"/>
      </w:r>
    </w:p>
    <w:p w14:paraId="6580BAA8" w14:textId="3DC33FC9" w:rsidR="00CB33B5" w:rsidRPr="00ED1C7E" w:rsidRDefault="00CB33B5" w:rsidP="003340AB">
      <w:pPr>
        <w:pStyle w:val="Tableheading"/>
      </w:pPr>
      <w:bookmarkStart w:id="54" w:name="_Toc165532917"/>
      <w:r w:rsidRPr="00ED1C7E">
        <w:lastRenderedPageBreak/>
        <w:t xml:space="preserve">Table </w:t>
      </w:r>
      <w:r w:rsidR="00594215">
        <w:fldChar w:fldCharType="begin"/>
      </w:r>
      <w:r w:rsidR="00594215">
        <w:instrText xml:space="preserve"> SEQ Table \* ARABIC </w:instrText>
      </w:r>
      <w:r w:rsidR="00594215">
        <w:fldChar w:fldCharType="separate"/>
      </w:r>
      <w:r w:rsidR="00C60130">
        <w:rPr>
          <w:noProof/>
        </w:rPr>
        <w:t>10</w:t>
      </w:r>
      <w:r w:rsidR="00594215">
        <w:rPr>
          <w:noProof/>
        </w:rPr>
        <w:fldChar w:fldCharType="end"/>
      </w:r>
      <w:bookmarkEnd w:id="53"/>
      <w:r w:rsidRPr="00ED1C7E">
        <w:t xml:space="preserve">: </w:t>
      </w:r>
      <w:r w:rsidR="006A66B0" w:rsidRPr="00ED1C7E">
        <w:tab/>
      </w:r>
      <w:r w:rsidR="001F16BD" w:rsidRPr="00ED1C7E">
        <w:t>Options</w:t>
      </w:r>
      <w:r w:rsidRPr="00ED1C7E">
        <w:t xml:space="preserve"> to clarify the compositional data used to calculate </w:t>
      </w:r>
      <w:proofErr w:type="gramStart"/>
      <w:r w:rsidRPr="00ED1C7E">
        <w:t>UEFs</w:t>
      </w:r>
      <w:bookmarkEnd w:id="54"/>
      <w:proofErr w:type="gramEnd"/>
    </w:p>
    <w:tbl>
      <w:tblPr>
        <w:tblStyle w:val="TableGrid1"/>
        <w:tblW w:w="8500"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1843"/>
        <w:gridCol w:w="1134"/>
        <w:gridCol w:w="5523"/>
      </w:tblGrid>
      <w:tr w:rsidR="006A66B0" w:rsidRPr="00ED1C7E" w14:paraId="790D1A15" w14:textId="77777777" w:rsidTr="006A66B0">
        <w:trPr>
          <w:tblHeader/>
        </w:trPr>
        <w:tc>
          <w:tcPr>
            <w:tcW w:w="1843" w:type="dxa"/>
            <w:shd w:val="clear" w:color="auto" w:fill="1B556B"/>
            <w:vAlign w:val="bottom"/>
          </w:tcPr>
          <w:p w14:paraId="2415B770" w14:textId="77777777" w:rsidR="00592C00" w:rsidRPr="00ED1C7E" w:rsidRDefault="00592C00" w:rsidP="006A66B0">
            <w:pPr>
              <w:pStyle w:val="TableTextbold"/>
              <w:spacing w:before="40" w:after="40"/>
              <w:rPr>
                <w:color w:val="FFFFFF" w:themeColor="background1"/>
              </w:rPr>
            </w:pPr>
            <w:r w:rsidRPr="00ED1C7E">
              <w:rPr>
                <w:color w:val="FFFFFF" w:themeColor="background1"/>
              </w:rPr>
              <w:t>Criteria</w:t>
            </w:r>
          </w:p>
        </w:tc>
        <w:tc>
          <w:tcPr>
            <w:tcW w:w="1134" w:type="dxa"/>
            <w:shd w:val="clear" w:color="auto" w:fill="1B556B"/>
            <w:vAlign w:val="bottom"/>
          </w:tcPr>
          <w:p w14:paraId="702B1894" w14:textId="77777777" w:rsidR="00592C00" w:rsidRPr="00ED1C7E" w:rsidRDefault="00592C00" w:rsidP="006A66B0">
            <w:pPr>
              <w:pStyle w:val="TableTextbold"/>
              <w:spacing w:before="40" w:after="40"/>
              <w:rPr>
                <w:color w:val="FFFFFF" w:themeColor="background1"/>
              </w:rPr>
            </w:pPr>
            <w:r w:rsidRPr="00ED1C7E">
              <w:rPr>
                <w:color w:val="FFFFFF" w:themeColor="background1"/>
              </w:rPr>
              <w:t>Option 1: Status quo</w:t>
            </w:r>
          </w:p>
        </w:tc>
        <w:tc>
          <w:tcPr>
            <w:tcW w:w="5523" w:type="dxa"/>
            <w:shd w:val="clear" w:color="auto" w:fill="1B556B"/>
            <w:vAlign w:val="bottom"/>
          </w:tcPr>
          <w:p w14:paraId="405ADE40" w14:textId="6DB122FB" w:rsidR="00592C00" w:rsidRPr="00ED1C7E" w:rsidRDefault="00592C00" w:rsidP="006A66B0">
            <w:pPr>
              <w:pStyle w:val="TableTextbold"/>
              <w:spacing w:before="40" w:after="40"/>
              <w:rPr>
                <w:color w:val="FFFFFF" w:themeColor="background1"/>
              </w:rPr>
            </w:pPr>
            <w:r w:rsidRPr="00ED1C7E">
              <w:rPr>
                <w:color w:val="FFFFFF" w:themeColor="background1"/>
              </w:rPr>
              <w:t>Option 2:</w:t>
            </w:r>
            <w:r w:rsidRPr="00ED1C7E">
              <w:rPr>
                <w:color w:val="FFFFFF" w:themeColor="background1"/>
              </w:rPr>
              <w:br/>
              <w:t xml:space="preserve">Update the </w:t>
            </w:r>
            <w:r w:rsidR="0038252D" w:rsidRPr="00ED1C7E">
              <w:rPr>
                <w:color w:val="FFFFFF" w:themeColor="background1"/>
              </w:rPr>
              <w:t>UEF</w:t>
            </w:r>
            <w:r w:rsidRPr="00ED1C7E">
              <w:rPr>
                <w:color w:val="FFFFFF" w:themeColor="background1"/>
              </w:rPr>
              <w:t xml:space="preserve"> Regulations</w:t>
            </w:r>
          </w:p>
        </w:tc>
      </w:tr>
      <w:tr w:rsidR="00592C00" w:rsidRPr="00ED1C7E" w14:paraId="345CE42B" w14:textId="77777777" w:rsidTr="006A66B0">
        <w:tc>
          <w:tcPr>
            <w:tcW w:w="1843" w:type="dxa"/>
            <w:shd w:val="clear" w:color="auto" w:fill="auto"/>
          </w:tcPr>
          <w:p w14:paraId="06AE99DC" w14:textId="77777777" w:rsidR="00592C00" w:rsidRPr="00ED1C7E" w:rsidRDefault="00592C00" w:rsidP="00D01D41">
            <w:pPr>
              <w:pStyle w:val="TableText"/>
              <w:spacing w:before="20" w:after="20"/>
            </w:pPr>
            <w:r w:rsidRPr="00ED1C7E">
              <w:t>Alignment</w:t>
            </w:r>
          </w:p>
        </w:tc>
        <w:tc>
          <w:tcPr>
            <w:tcW w:w="1134" w:type="dxa"/>
          </w:tcPr>
          <w:p w14:paraId="735134B5" w14:textId="77777777" w:rsidR="00592C00" w:rsidRPr="00240951" w:rsidRDefault="00592C00" w:rsidP="00D01D41">
            <w:pPr>
              <w:pStyle w:val="TableText"/>
              <w:spacing w:before="20" w:after="20"/>
              <w:rPr>
                <w:b/>
                <w:bCs/>
                <w:sz w:val="20"/>
              </w:rPr>
            </w:pPr>
            <w:r w:rsidRPr="00240951">
              <w:rPr>
                <w:b/>
                <w:bCs/>
                <w:sz w:val="20"/>
              </w:rPr>
              <w:t>0</w:t>
            </w:r>
          </w:p>
        </w:tc>
        <w:tc>
          <w:tcPr>
            <w:tcW w:w="5523" w:type="dxa"/>
            <w:shd w:val="clear" w:color="auto" w:fill="auto"/>
          </w:tcPr>
          <w:p w14:paraId="0D5FEEE8" w14:textId="58947485" w:rsidR="00592C00" w:rsidRPr="00ED1C7E" w:rsidRDefault="00702C76" w:rsidP="00D01D41">
            <w:pPr>
              <w:pStyle w:val="TableText"/>
              <w:spacing w:before="20" w:after="20"/>
              <w:rPr>
                <w:bCs/>
                <w:lang w:eastAsia="en-AU"/>
              </w:rPr>
            </w:pPr>
            <w:r w:rsidRPr="00240951">
              <w:rPr>
                <w:rFonts w:cs="Arial"/>
                <w:b/>
                <w:color w:val="00B050"/>
                <w:sz w:val="20"/>
                <w:lang w:eastAsia="en-AU"/>
              </w:rPr>
              <w:t>+</w:t>
            </w:r>
            <w:r w:rsidR="00240951">
              <w:rPr>
                <w:rFonts w:cs="Arial"/>
                <w:b/>
                <w:color w:val="00B050"/>
                <w:sz w:val="20"/>
                <w:lang w:eastAsia="en-AU"/>
              </w:rPr>
              <w:br/>
            </w:r>
            <w:r w:rsidRPr="00ED1C7E">
              <w:rPr>
                <w:rFonts w:cs="Arial"/>
                <w:bCs/>
                <w:szCs w:val="18"/>
                <w:lang w:eastAsia="en-AU"/>
              </w:rPr>
              <w:t xml:space="preserve">Aligns with the proper functioning of the </w:t>
            </w:r>
            <w:r w:rsidR="00221ACF" w:rsidRPr="00ED1C7E">
              <w:rPr>
                <w:rFonts w:cs="Arial"/>
                <w:bCs/>
                <w:szCs w:val="18"/>
                <w:lang w:eastAsia="en-AU"/>
              </w:rPr>
              <w:t>NZ ETS</w:t>
            </w:r>
            <w:r w:rsidRPr="00ED1C7E">
              <w:rPr>
                <w:rFonts w:cs="Arial"/>
                <w:bCs/>
                <w:szCs w:val="18"/>
                <w:lang w:eastAsia="en-AU"/>
              </w:rPr>
              <w:t>.</w:t>
            </w:r>
          </w:p>
        </w:tc>
      </w:tr>
      <w:tr w:rsidR="00592C00" w:rsidRPr="00ED1C7E" w14:paraId="3CAFC8DA" w14:textId="77777777" w:rsidTr="006A66B0">
        <w:tc>
          <w:tcPr>
            <w:tcW w:w="1843" w:type="dxa"/>
            <w:shd w:val="clear" w:color="auto" w:fill="auto"/>
          </w:tcPr>
          <w:p w14:paraId="6AAA0DB3" w14:textId="77777777" w:rsidR="00592C00" w:rsidRPr="00ED1C7E" w:rsidRDefault="00592C00" w:rsidP="00D01D41">
            <w:pPr>
              <w:pStyle w:val="TableText"/>
              <w:spacing w:before="20" w:after="20"/>
            </w:pPr>
            <w:r w:rsidRPr="00ED1C7E">
              <w:t>Accuracy</w:t>
            </w:r>
          </w:p>
        </w:tc>
        <w:tc>
          <w:tcPr>
            <w:tcW w:w="1134" w:type="dxa"/>
          </w:tcPr>
          <w:p w14:paraId="18DC8231" w14:textId="77777777" w:rsidR="00592C00" w:rsidRPr="00240951" w:rsidRDefault="00592C00" w:rsidP="00D01D41">
            <w:pPr>
              <w:pStyle w:val="TableText"/>
              <w:spacing w:before="20" w:after="20"/>
              <w:rPr>
                <w:b/>
                <w:bCs/>
                <w:sz w:val="20"/>
              </w:rPr>
            </w:pPr>
            <w:r w:rsidRPr="00240951">
              <w:rPr>
                <w:b/>
                <w:bCs/>
                <w:sz w:val="20"/>
              </w:rPr>
              <w:t>0</w:t>
            </w:r>
          </w:p>
        </w:tc>
        <w:tc>
          <w:tcPr>
            <w:tcW w:w="5523" w:type="dxa"/>
            <w:shd w:val="clear" w:color="auto" w:fill="auto"/>
          </w:tcPr>
          <w:p w14:paraId="5E7B566F" w14:textId="6613DD45" w:rsidR="00592C00" w:rsidRPr="00ED1C7E" w:rsidRDefault="00592C00" w:rsidP="00D01D41">
            <w:pPr>
              <w:pStyle w:val="TableText"/>
              <w:spacing w:before="20" w:after="20"/>
              <w:rPr>
                <w:bCs/>
                <w:lang w:eastAsia="en-AU"/>
              </w:rPr>
            </w:pPr>
            <w:r w:rsidRPr="00240951">
              <w:rPr>
                <w:b/>
                <w:color w:val="00B050"/>
                <w:sz w:val="20"/>
                <w:lang w:eastAsia="en-AU"/>
              </w:rPr>
              <w:t>+</w:t>
            </w:r>
            <w:r w:rsidR="00240951">
              <w:rPr>
                <w:b/>
                <w:color w:val="00B050"/>
                <w:sz w:val="20"/>
                <w:lang w:eastAsia="en-AU"/>
              </w:rPr>
              <w:br/>
            </w:r>
            <w:r w:rsidRPr="00ED1C7E">
              <w:rPr>
                <w:bCs/>
                <w:lang w:eastAsia="en-AU"/>
              </w:rPr>
              <w:t xml:space="preserve">If landfill gas is being destroyed offsite, reported </w:t>
            </w:r>
            <w:proofErr w:type="gramStart"/>
            <w:r w:rsidRPr="00ED1C7E">
              <w:rPr>
                <w:bCs/>
                <w:lang w:eastAsia="en-AU"/>
              </w:rPr>
              <w:t>emissions</w:t>
            </w:r>
            <w:proofErr w:type="gramEnd"/>
            <w:r w:rsidRPr="00ED1C7E">
              <w:rPr>
                <w:bCs/>
                <w:lang w:eastAsia="en-AU"/>
              </w:rPr>
              <w:t xml:space="preserve"> and associated </w:t>
            </w:r>
            <w:r w:rsidR="00221ACF" w:rsidRPr="00ED1C7E">
              <w:rPr>
                <w:bCs/>
                <w:lang w:eastAsia="en-AU"/>
              </w:rPr>
              <w:t>NZ ETS</w:t>
            </w:r>
            <w:r w:rsidRPr="00ED1C7E">
              <w:rPr>
                <w:bCs/>
                <w:lang w:eastAsia="en-AU"/>
              </w:rPr>
              <w:t xml:space="preserve"> costs are more consistent with actual emissions.</w:t>
            </w:r>
          </w:p>
        </w:tc>
      </w:tr>
      <w:tr w:rsidR="00592C00" w:rsidRPr="00ED1C7E" w14:paraId="3D17154F" w14:textId="77777777" w:rsidTr="006A66B0">
        <w:tc>
          <w:tcPr>
            <w:tcW w:w="1843" w:type="dxa"/>
          </w:tcPr>
          <w:p w14:paraId="3EB91595" w14:textId="77777777" w:rsidR="00592C00" w:rsidRPr="00ED1C7E" w:rsidRDefault="00592C00" w:rsidP="00D01D41">
            <w:pPr>
              <w:pStyle w:val="TableText"/>
              <w:spacing w:before="20" w:after="20"/>
            </w:pPr>
            <w:r w:rsidRPr="00ED1C7E">
              <w:t>Efficiency</w:t>
            </w:r>
          </w:p>
        </w:tc>
        <w:tc>
          <w:tcPr>
            <w:tcW w:w="1134" w:type="dxa"/>
          </w:tcPr>
          <w:p w14:paraId="5D7DCC6B" w14:textId="77777777" w:rsidR="00592C00" w:rsidRPr="00240951" w:rsidRDefault="00592C00" w:rsidP="00D01D41">
            <w:pPr>
              <w:pStyle w:val="TableText"/>
              <w:spacing w:before="20" w:after="20"/>
              <w:rPr>
                <w:b/>
                <w:bCs/>
                <w:sz w:val="20"/>
              </w:rPr>
            </w:pPr>
            <w:r w:rsidRPr="00240951">
              <w:rPr>
                <w:b/>
                <w:bCs/>
                <w:sz w:val="20"/>
              </w:rPr>
              <w:t>0</w:t>
            </w:r>
          </w:p>
        </w:tc>
        <w:tc>
          <w:tcPr>
            <w:tcW w:w="5523" w:type="dxa"/>
          </w:tcPr>
          <w:p w14:paraId="3E18162A" w14:textId="10E88C74" w:rsidR="00592C00" w:rsidRPr="00ED1C7E" w:rsidRDefault="00592C00" w:rsidP="00D01D41">
            <w:pPr>
              <w:pStyle w:val="TableText"/>
              <w:spacing w:before="20" w:after="20"/>
            </w:pPr>
            <w:r w:rsidRPr="00240951">
              <w:rPr>
                <w:b/>
                <w:bCs/>
                <w:sz w:val="20"/>
              </w:rPr>
              <w:t>0</w:t>
            </w:r>
            <w:r w:rsidR="00240951">
              <w:rPr>
                <w:b/>
                <w:bCs/>
                <w:sz w:val="20"/>
              </w:rPr>
              <w:br/>
            </w:r>
            <w:r w:rsidRPr="00ED1C7E">
              <w:t>No change for participants in how they report their emissions.</w:t>
            </w:r>
          </w:p>
        </w:tc>
      </w:tr>
      <w:tr w:rsidR="00592C00" w:rsidRPr="00ED1C7E" w14:paraId="535C3936" w14:textId="77777777" w:rsidTr="006A66B0">
        <w:tc>
          <w:tcPr>
            <w:tcW w:w="1843" w:type="dxa"/>
          </w:tcPr>
          <w:p w14:paraId="39995F8D" w14:textId="77777777" w:rsidR="00592C00" w:rsidRPr="00ED1C7E" w:rsidRDefault="00592C00" w:rsidP="00D01D41">
            <w:pPr>
              <w:pStyle w:val="TableText"/>
              <w:spacing w:before="20" w:after="20"/>
            </w:pPr>
            <w:r w:rsidRPr="00ED1C7E">
              <w:t>Clarity</w:t>
            </w:r>
          </w:p>
        </w:tc>
        <w:tc>
          <w:tcPr>
            <w:tcW w:w="1134" w:type="dxa"/>
          </w:tcPr>
          <w:p w14:paraId="4BF3749F" w14:textId="77777777" w:rsidR="00592C00" w:rsidRPr="00240951" w:rsidRDefault="00592C00" w:rsidP="00D01D41">
            <w:pPr>
              <w:pStyle w:val="TableText"/>
              <w:spacing w:before="20" w:after="20"/>
              <w:rPr>
                <w:b/>
                <w:bCs/>
                <w:sz w:val="20"/>
              </w:rPr>
            </w:pPr>
            <w:r w:rsidRPr="00240951">
              <w:rPr>
                <w:b/>
                <w:bCs/>
                <w:sz w:val="20"/>
              </w:rPr>
              <w:t>0</w:t>
            </w:r>
          </w:p>
        </w:tc>
        <w:tc>
          <w:tcPr>
            <w:tcW w:w="5523" w:type="dxa"/>
          </w:tcPr>
          <w:p w14:paraId="55CDCDC7" w14:textId="620D160B" w:rsidR="00592C00" w:rsidRPr="00ED1C7E" w:rsidRDefault="00592C00" w:rsidP="00D01D41">
            <w:pPr>
              <w:pStyle w:val="TableText"/>
              <w:spacing w:before="20" w:after="20"/>
            </w:pPr>
            <w:r w:rsidRPr="00240951">
              <w:rPr>
                <w:b/>
                <w:bCs/>
                <w:sz w:val="20"/>
              </w:rPr>
              <w:t>0</w:t>
            </w:r>
            <w:r w:rsidR="00240951">
              <w:rPr>
                <w:b/>
                <w:bCs/>
                <w:sz w:val="20"/>
              </w:rPr>
              <w:br/>
            </w:r>
            <w:r w:rsidRPr="00ED1C7E">
              <w:t>No change for participants in how they report their emissions.</w:t>
            </w:r>
          </w:p>
        </w:tc>
      </w:tr>
      <w:tr w:rsidR="00592C00" w:rsidRPr="00ED1C7E" w14:paraId="1720C459" w14:textId="77777777" w:rsidTr="006A66B0">
        <w:tc>
          <w:tcPr>
            <w:tcW w:w="1843" w:type="dxa"/>
          </w:tcPr>
          <w:p w14:paraId="140BB85E" w14:textId="77777777" w:rsidR="00592C00" w:rsidRPr="00ED1C7E" w:rsidRDefault="00592C00" w:rsidP="00D01D41">
            <w:pPr>
              <w:pStyle w:val="TableText"/>
              <w:spacing w:before="20" w:after="20"/>
              <w:rPr>
                <w:b/>
                <w:bCs/>
              </w:rPr>
            </w:pPr>
            <w:r w:rsidRPr="00ED1C7E">
              <w:rPr>
                <w:b/>
                <w:bCs/>
              </w:rPr>
              <w:t>Overall assessment</w:t>
            </w:r>
          </w:p>
        </w:tc>
        <w:tc>
          <w:tcPr>
            <w:tcW w:w="1134" w:type="dxa"/>
          </w:tcPr>
          <w:p w14:paraId="20ACA945" w14:textId="77777777" w:rsidR="00592C00" w:rsidRPr="00240951" w:rsidRDefault="00592C00" w:rsidP="00D01D41">
            <w:pPr>
              <w:pStyle w:val="TableText"/>
              <w:spacing w:before="20" w:after="20"/>
              <w:rPr>
                <w:b/>
                <w:bCs/>
                <w:sz w:val="20"/>
              </w:rPr>
            </w:pPr>
            <w:r w:rsidRPr="00240951">
              <w:rPr>
                <w:b/>
                <w:bCs/>
                <w:sz w:val="20"/>
              </w:rPr>
              <w:t>0</w:t>
            </w:r>
          </w:p>
        </w:tc>
        <w:tc>
          <w:tcPr>
            <w:tcW w:w="5523" w:type="dxa"/>
          </w:tcPr>
          <w:p w14:paraId="1AE67B9C" w14:textId="43FA9CC5" w:rsidR="00592C00" w:rsidRPr="00240951" w:rsidRDefault="00702C76" w:rsidP="00D01D41">
            <w:pPr>
              <w:pStyle w:val="TableText"/>
              <w:spacing w:before="20" w:after="20"/>
              <w:rPr>
                <w:b/>
                <w:color w:val="00B050"/>
                <w:sz w:val="20"/>
                <w:lang w:eastAsia="en-AU"/>
              </w:rPr>
            </w:pPr>
            <w:r w:rsidRPr="00240951">
              <w:rPr>
                <w:b/>
                <w:color w:val="00B050"/>
                <w:sz w:val="20"/>
                <w:lang w:eastAsia="en-AU"/>
              </w:rPr>
              <w:t>2</w:t>
            </w:r>
            <w:r w:rsidR="00592C00" w:rsidRPr="00240951">
              <w:rPr>
                <w:b/>
                <w:color w:val="00B050"/>
                <w:sz w:val="20"/>
                <w:lang w:eastAsia="en-AU"/>
              </w:rPr>
              <w:t>+</w:t>
            </w:r>
          </w:p>
        </w:tc>
      </w:tr>
    </w:tbl>
    <w:p w14:paraId="3DB06280" w14:textId="77777777" w:rsidR="006072F0" w:rsidRPr="00ED1C7E" w:rsidRDefault="006072F0" w:rsidP="00D01D41">
      <w:pPr>
        <w:pStyle w:val="BodyText"/>
        <w:spacing w:before="240"/>
      </w:pPr>
      <w:r w:rsidRPr="00ED1C7E">
        <w:t>This proposal is not expected to have material economic impacts.</w:t>
      </w:r>
    </w:p>
    <w:p w14:paraId="226560A1" w14:textId="134B3F91" w:rsidR="00592C00" w:rsidRDefault="00592C00" w:rsidP="00D01D41">
      <w:pPr>
        <w:pStyle w:val="Heading3"/>
        <w:spacing w:after="240"/>
      </w:pPr>
      <w:r w:rsidRPr="00ED1C7E">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27100F" w:rsidRPr="00D71C4F" w14:paraId="659CEBD1" w14:textId="77777777">
        <w:tc>
          <w:tcPr>
            <w:tcW w:w="8505" w:type="dxa"/>
            <w:shd w:val="clear" w:color="auto" w:fill="1B556B" w:themeFill="text2"/>
          </w:tcPr>
          <w:p w14:paraId="4B465E4F" w14:textId="77777777" w:rsidR="0027100F" w:rsidRPr="00D71C4F" w:rsidRDefault="0027100F">
            <w:pPr>
              <w:pStyle w:val="TableText"/>
              <w:keepNext/>
              <w:rPr>
                <w:b/>
                <w:bCs/>
                <w:color w:val="FFFFFF" w:themeColor="background1"/>
                <w:sz w:val="20"/>
                <w:szCs w:val="22"/>
              </w:rPr>
            </w:pPr>
            <w:r w:rsidRPr="00D71C4F">
              <w:rPr>
                <w:b/>
                <w:bCs/>
                <w:color w:val="FFFFFF" w:themeColor="background1"/>
                <w:sz w:val="20"/>
                <w:szCs w:val="22"/>
              </w:rPr>
              <w:t>Question</w:t>
            </w:r>
          </w:p>
        </w:tc>
      </w:tr>
      <w:tr w:rsidR="0027100F" w:rsidRPr="00943CFD" w14:paraId="01705A2E" w14:textId="77777777">
        <w:tc>
          <w:tcPr>
            <w:tcW w:w="8505" w:type="dxa"/>
          </w:tcPr>
          <w:p w14:paraId="500F9913" w14:textId="77777777" w:rsidR="0027100F" w:rsidRPr="00943CFD" w:rsidRDefault="0027100F" w:rsidP="00F94B5F">
            <w:pPr>
              <w:pStyle w:val="Questions"/>
              <w:ind w:left="319" w:hanging="319"/>
            </w:pPr>
            <w:bookmarkStart w:id="55" w:name="_Ref161240970"/>
            <w:r w:rsidRPr="00EF313A">
              <w:t>Do you support allowing landfill gas to be destroyed offsite, potentially by a third party? Are you currently working with a third party to destroy landfill gas offsite?</w:t>
            </w:r>
            <w:bookmarkEnd w:id="55"/>
          </w:p>
        </w:tc>
      </w:tr>
    </w:tbl>
    <w:p w14:paraId="6FF18126" w14:textId="77777777" w:rsidR="00505858" w:rsidRPr="00505858" w:rsidRDefault="00505858" w:rsidP="00505858">
      <w:pPr>
        <w:pStyle w:val="BodyText"/>
      </w:pPr>
      <w:bookmarkStart w:id="56" w:name="_Toc165533002"/>
    </w:p>
    <w:p w14:paraId="27B48AC0" w14:textId="77777777" w:rsidR="00505858" w:rsidRPr="00505858" w:rsidRDefault="00505858" w:rsidP="00505858">
      <w:pPr>
        <w:pStyle w:val="BodyText"/>
      </w:pPr>
      <w:r w:rsidRPr="00505858">
        <w:br w:type="page"/>
      </w:r>
    </w:p>
    <w:p w14:paraId="01E928E3" w14:textId="1EF492E8" w:rsidR="000A0224" w:rsidRPr="00ED1C7E" w:rsidRDefault="000A0224" w:rsidP="000A0224">
      <w:pPr>
        <w:pStyle w:val="Heading2"/>
      </w:pPr>
      <w:r w:rsidRPr="00ED1C7E">
        <w:lastRenderedPageBreak/>
        <w:t xml:space="preserve">Proposed </w:t>
      </w:r>
      <w:r w:rsidR="00712A1A" w:rsidRPr="00ED1C7E">
        <w:t>r</w:t>
      </w:r>
      <w:r w:rsidRPr="00ED1C7E">
        <w:t xml:space="preserve">egulatory </w:t>
      </w:r>
      <w:r w:rsidR="00712A1A" w:rsidRPr="00ED1C7E">
        <w:t>u</w:t>
      </w:r>
      <w:r w:rsidRPr="00ED1C7E">
        <w:t>pdate 5:</w:t>
      </w:r>
      <w:r w:rsidRPr="00ED1C7E">
        <w:br/>
      </w:r>
      <w:r w:rsidRPr="00E67474">
        <w:rPr>
          <w:iCs/>
        </w:rPr>
        <w:t xml:space="preserve">Clarifying how the destruction of synthetic greenhouse gases is </w:t>
      </w:r>
      <w:proofErr w:type="gramStart"/>
      <w:r w:rsidRPr="00E67474">
        <w:rPr>
          <w:iCs/>
        </w:rPr>
        <w:t>recognised</w:t>
      </w:r>
      <w:bookmarkEnd w:id="56"/>
      <w:proofErr w:type="gramEnd"/>
    </w:p>
    <w:p w14:paraId="68D24BC7" w14:textId="77777777" w:rsidR="000A0224" w:rsidRPr="00ED1C7E" w:rsidRDefault="000A0224" w:rsidP="00D01D41">
      <w:pPr>
        <w:pStyle w:val="Heading3"/>
        <w:spacing w:before="240"/>
      </w:pPr>
      <w:r w:rsidRPr="00ED1C7E">
        <w:t>Background</w:t>
      </w:r>
    </w:p>
    <w:p w14:paraId="363DC23F" w14:textId="393D4F18" w:rsidR="00A70A93" w:rsidRPr="00B36E3A" w:rsidRDefault="000A0224" w:rsidP="00B36E3A">
      <w:pPr>
        <w:pStyle w:val="BodyText"/>
      </w:pPr>
      <w:r w:rsidRPr="00B36E3A">
        <w:t xml:space="preserve">The </w:t>
      </w:r>
      <w:hyperlink r:id="rId41" w:history="1">
        <w:r w:rsidR="00712A1A" w:rsidRPr="00B36E3A">
          <w:rPr>
            <w:rStyle w:val="Hyperlink"/>
            <w:color w:val="auto"/>
          </w:rPr>
          <w:t>Climate Change (Other Removal Activities) Regulations 2009</w:t>
        </w:r>
      </w:hyperlink>
      <w:r w:rsidRPr="00B36E3A">
        <w:t xml:space="preserve"> (ORA Regulations) currently provide for the export or destruction of synthetic greenhouse gases to receive </w:t>
      </w:r>
      <w:r w:rsidR="007F4366" w:rsidRPr="00B36E3A">
        <w:t>New Zealand Units (</w:t>
      </w:r>
      <w:r w:rsidRPr="00B36E3A">
        <w:t>NZUs</w:t>
      </w:r>
      <w:r w:rsidR="007F4366" w:rsidRPr="00B36E3A">
        <w:t>)</w:t>
      </w:r>
      <w:r w:rsidRPr="00B36E3A">
        <w:t xml:space="preserve">. </w:t>
      </w:r>
    </w:p>
    <w:p w14:paraId="3C766F19" w14:textId="12473C82" w:rsidR="00A70A93" w:rsidRPr="00B36E3A" w:rsidRDefault="000A0224" w:rsidP="00B36E3A">
      <w:pPr>
        <w:pStyle w:val="Bullet"/>
      </w:pPr>
      <w:r w:rsidRPr="00B36E3A">
        <w:t>Gases exported no longer count toward New Zealand’s greenhouse gas inventory and international emissions accounting</w:t>
      </w:r>
      <w:r w:rsidR="00A70A93" w:rsidRPr="00B36E3A">
        <w:t>.</w:t>
      </w:r>
    </w:p>
    <w:p w14:paraId="66B1FDCA" w14:textId="2A3593F9" w:rsidR="000A0224" w:rsidRPr="00B36E3A" w:rsidRDefault="00A70A93" w:rsidP="00B36E3A">
      <w:pPr>
        <w:pStyle w:val="Bullet"/>
      </w:pPr>
      <w:r w:rsidRPr="00B36E3A">
        <w:t>G</w:t>
      </w:r>
      <w:r w:rsidR="000A0224" w:rsidRPr="00B36E3A">
        <w:t>ases destroyed are removed from use</w:t>
      </w:r>
      <w:r w:rsidRPr="00B36E3A">
        <w:t xml:space="preserve">, so </w:t>
      </w:r>
      <w:r w:rsidR="000A0224" w:rsidRPr="00B36E3A">
        <w:t>will not result in future emissions such as emissions from refrigerants leaking over time.</w:t>
      </w:r>
    </w:p>
    <w:p w14:paraId="55621FD3" w14:textId="30C37B05" w:rsidR="000A0224" w:rsidRPr="00B36E3A" w:rsidRDefault="00F93D81" w:rsidP="00B36E3A">
      <w:pPr>
        <w:pStyle w:val="BodyText"/>
      </w:pPr>
      <w:r w:rsidRPr="00B36E3A">
        <w:t xml:space="preserve">Regarding destruction of such gases, </w:t>
      </w:r>
      <w:hyperlink r:id="rId42" w:history="1">
        <w:r w:rsidRPr="00B36E3A">
          <w:rPr>
            <w:rStyle w:val="Hyperlink"/>
            <w:color w:val="auto"/>
          </w:rPr>
          <w:t xml:space="preserve">clause </w:t>
        </w:r>
        <w:r w:rsidR="000A0224" w:rsidRPr="00B36E3A">
          <w:rPr>
            <w:rStyle w:val="Hyperlink"/>
            <w:color w:val="auto"/>
          </w:rPr>
          <w:t>17</w:t>
        </w:r>
      </w:hyperlink>
      <w:r w:rsidR="000A0224" w:rsidRPr="00B36E3A">
        <w:t xml:space="preserve"> of the ORA Regulations states:</w:t>
      </w:r>
    </w:p>
    <w:p w14:paraId="73A4FD57" w14:textId="6432C40E" w:rsidR="00B56443" w:rsidRPr="00ED1C7E" w:rsidRDefault="00B56443" w:rsidP="00916D62">
      <w:pPr>
        <w:pStyle w:val="Quote"/>
        <w:spacing w:before="0"/>
        <w:ind w:left="426"/>
      </w:pPr>
      <w:r w:rsidRPr="00ED1C7E">
        <w:t>The threshold for the destroying synthetic greenhouse gases activity is that the destruction of the synthetic greenhouse gases results in at least 1 tonne of removals in a year from synthetic greenhouse gases other than sulphur hexafluoride imported before 1</w:t>
      </w:r>
      <w:r>
        <w:t> </w:t>
      </w:r>
      <w:r w:rsidRPr="00ED1C7E">
        <w:t>January 2013.</w:t>
      </w:r>
    </w:p>
    <w:p w14:paraId="19659C96" w14:textId="09B4ECF1" w:rsidR="000A0224" w:rsidRPr="00B36E3A" w:rsidRDefault="000A0224" w:rsidP="00B36E3A">
      <w:pPr>
        <w:pStyle w:val="BodyText"/>
      </w:pPr>
      <w:r w:rsidRPr="00B36E3A">
        <w:t>The original policy intention of this provision was to ensure that eligibility for recognition of</w:t>
      </w:r>
      <w:r w:rsidR="00606EAC" w:rsidRPr="00B36E3A">
        <w:t> </w:t>
      </w:r>
      <w:r w:rsidRPr="00B36E3A">
        <w:t>removal of sulphur hexafluoride (SF6) is contingent on evidence that the chemical was imported after 1 January 2013</w:t>
      </w:r>
      <w:r w:rsidR="005A343E" w:rsidRPr="00B36E3A">
        <w:t xml:space="preserve">. </w:t>
      </w:r>
      <w:r w:rsidR="00B5035C" w:rsidRPr="00B36E3A">
        <w:t>Th</w:t>
      </w:r>
      <w:r w:rsidR="002C56F0" w:rsidRPr="00B36E3A">
        <w:t>is</w:t>
      </w:r>
      <w:r w:rsidR="00B5035C" w:rsidRPr="00B36E3A">
        <w:t xml:space="preserve"> was</w:t>
      </w:r>
      <w:r w:rsidRPr="00B36E3A">
        <w:t xml:space="preserve"> </w:t>
      </w:r>
      <w:r w:rsidR="00DB22DC" w:rsidRPr="00B36E3A">
        <w:t xml:space="preserve">to remove </w:t>
      </w:r>
      <w:r w:rsidRPr="00B36E3A">
        <w:t xml:space="preserve">the risk of importing and stockpiling </w:t>
      </w:r>
      <w:r w:rsidR="002C56F0" w:rsidRPr="00B36E3A">
        <w:t>of</w:t>
      </w:r>
      <w:r w:rsidR="00F86707" w:rsidRPr="00B36E3A">
        <w:t> </w:t>
      </w:r>
      <w:r w:rsidRPr="00B36E3A">
        <w:t>SF6 before the regulations came into effect</w:t>
      </w:r>
      <w:r w:rsidR="00DB22DC" w:rsidRPr="00B36E3A">
        <w:t>,</w:t>
      </w:r>
      <w:r w:rsidRPr="00B36E3A">
        <w:t xml:space="preserve"> with the intention </w:t>
      </w:r>
      <w:r w:rsidR="00B37341" w:rsidRPr="00B36E3A">
        <w:t>to</w:t>
      </w:r>
      <w:r w:rsidRPr="00B36E3A">
        <w:t xml:space="preserve"> then export or destroy</w:t>
      </w:r>
      <w:r w:rsidR="00B37341" w:rsidRPr="00B36E3A">
        <w:t xml:space="preserve"> it</w:t>
      </w:r>
      <w:r w:rsidRPr="00B36E3A">
        <w:t xml:space="preserve"> to</w:t>
      </w:r>
      <w:r w:rsidR="00F86707" w:rsidRPr="00B36E3A">
        <w:t> </w:t>
      </w:r>
      <w:r w:rsidRPr="00B36E3A">
        <w:t>receive NZUs.</w:t>
      </w:r>
    </w:p>
    <w:p w14:paraId="6A34F577" w14:textId="59EF21CD" w:rsidR="000A0224" w:rsidRPr="00B36E3A" w:rsidRDefault="002C56F0" w:rsidP="00B36E3A">
      <w:pPr>
        <w:pStyle w:val="BodyText"/>
      </w:pPr>
      <w:r w:rsidRPr="00B36E3A">
        <w:t>To date, k</w:t>
      </w:r>
      <w:r w:rsidR="000A0224" w:rsidRPr="00B36E3A">
        <w:t xml:space="preserve">nown entities that use the provisions to export or destroy synthetic greenhouse gases have </w:t>
      </w:r>
      <w:r w:rsidRPr="00B36E3A">
        <w:t>only</w:t>
      </w:r>
      <w:r w:rsidR="000A0224" w:rsidRPr="00B36E3A">
        <w:t xml:space="preserve"> received NZUs upon proof of export. The gases were then destroyed at a plasma-arc plant in Australia. However, due to increasing cost and </w:t>
      </w:r>
      <w:r w:rsidR="00320E10" w:rsidRPr="00B36E3A">
        <w:t xml:space="preserve">the </w:t>
      </w:r>
      <w:r w:rsidR="000A0224" w:rsidRPr="00B36E3A">
        <w:t>complex logistics of exporting these gases, most refrigerants collected for destruction are currently stored in New</w:t>
      </w:r>
      <w:r w:rsidR="00B576E6" w:rsidRPr="00B36E3A">
        <w:t> </w:t>
      </w:r>
      <w:r w:rsidR="000A0224" w:rsidRPr="00B36E3A">
        <w:t>Zealand</w:t>
      </w:r>
      <w:r w:rsidR="00320E10" w:rsidRPr="00B36E3A">
        <w:t>,</w:t>
      </w:r>
      <w:r w:rsidR="000A0224" w:rsidRPr="00B36E3A">
        <w:t xml:space="preserve"> awaiting a suitable opportunity to export or </w:t>
      </w:r>
      <w:r w:rsidR="00320E10" w:rsidRPr="00B36E3A">
        <w:t xml:space="preserve">to </w:t>
      </w:r>
      <w:r w:rsidR="000A0224" w:rsidRPr="00B36E3A">
        <w:t>destroy domestically.</w:t>
      </w:r>
    </w:p>
    <w:p w14:paraId="0CB9C14E" w14:textId="7BCE2647" w:rsidR="000A0224" w:rsidRPr="00B36E3A" w:rsidRDefault="000A0224" w:rsidP="00B36E3A">
      <w:pPr>
        <w:pStyle w:val="BodyText"/>
      </w:pPr>
      <w:r w:rsidRPr="00B36E3A">
        <w:t>Investigation and investment into opportunities to destroy these gases within New Zealand are</w:t>
      </w:r>
      <w:r w:rsidR="00B576E6" w:rsidRPr="00B36E3A">
        <w:t> </w:t>
      </w:r>
      <w:r w:rsidRPr="00B36E3A">
        <w:t>also taking place, working under the expectation that NZUs will be awarded for domestic destruction of synthetic greenhouse gases.</w:t>
      </w:r>
    </w:p>
    <w:p w14:paraId="4D399677" w14:textId="1E0E28B7" w:rsidR="000A0224" w:rsidRPr="00ED1C7E" w:rsidRDefault="000A0224" w:rsidP="000A0224">
      <w:pPr>
        <w:pStyle w:val="Heading3"/>
      </w:pPr>
      <w:r w:rsidRPr="00ED1C7E">
        <w:t>Why change the wording around recognising these</w:t>
      </w:r>
      <w:r w:rsidR="00B576E6" w:rsidRPr="00ED1C7E">
        <w:t> </w:t>
      </w:r>
      <w:r w:rsidRPr="00ED1C7E">
        <w:t>removals?</w:t>
      </w:r>
    </w:p>
    <w:p w14:paraId="354E37DC" w14:textId="0AACDF4B" w:rsidR="000A0224" w:rsidRPr="00ED1C7E" w:rsidRDefault="000A0224" w:rsidP="003340AB">
      <w:pPr>
        <w:pStyle w:val="BodyText"/>
        <w:spacing w:before="100" w:after="100"/>
      </w:pPr>
      <w:r w:rsidRPr="00ED1C7E">
        <w:t xml:space="preserve">The current text of </w:t>
      </w:r>
      <w:hyperlink r:id="rId43" w:history="1">
        <w:r w:rsidR="00C0644E" w:rsidRPr="00ED1C7E">
          <w:rPr>
            <w:rStyle w:val="Hyperlink"/>
          </w:rPr>
          <w:t xml:space="preserve">clause </w:t>
        </w:r>
        <w:r w:rsidRPr="00ED1C7E">
          <w:rPr>
            <w:rStyle w:val="Hyperlink"/>
          </w:rPr>
          <w:t>17</w:t>
        </w:r>
      </w:hyperlink>
      <w:r w:rsidRPr="00ED1C7E">
        <w:t xml:space="preserve"> in the ORA Regulations</w:t>
      </w:r>
      <w:r w:rsidR="00C0644E" w:rsidRPr="00ED1C7E">
        <w:t xml:space="preserve"> </w:t>
      </w:r>
      <w:r w:rsidR="00675210" w:rsidRPr="00ED1C7E">
        <w:t>(</w:t>
      </w:r>
      <w:r w:rsidRPr="00ED1C7E">
        <w:t>in particular</w:t>
      </w:r>
      <w:r w:rsidR="00C0644E" w:rsidRPr="00ED1C7E">
        <w:t>,</w:t>
      </w:r>
      <w:r w:rsidRPr="00ED1C7E">
        <w:t xml:space="preserve"> </w:t>
      </w:r>
      <w:r w:rsidR="00F741DE" w:rsidRPr="00ED1C7E">
        <w:t>the inclusion of</w:t>
      </w:r>
      <w:r w:rsidRPr="00ED1C7E">
        <w:t xml:space="preserve"> a date criterion</w:t>
      </w:r>
      <w:r w:rsidR="00675210" w:rsidRPr="00ED1C7E">
        <w:t>)</w:t>
      </w:r>
      <w:r w:rsidR="00C0644E" w:rsidRPr="00ED1C7E">
        <w:t xml:space="preserve"> </w:t>
      </w:r>
      <w:r w:rsidR="00965CCB" w:rsidRPr="00ED1C7E">
        <w:t xml:space="preserve">can be read in multiple ways that may diverge from the </w:t>
      </w:r>
      <w:r w:rsidR="0087636C" w:rsidRPr="00ED1C7E">
        <w:t>intended interpretation</w:t>
      </w:r>
      <w:r w:rsidR="00BA5078">
        <w:t>.</w:t>
      </w:r>
      <w:r w:rsidR="0087636C" w:rsidRPr="00ED1C7E">
        <w:t xml:space="preserve"> </w:t>
      </w:r>
      <w:r w:rsidR="00BA5078">
        <w:t>T</w:t>
      </w:r>
      <w:r w:rsidR="00675210" w:rsidRPr="00ED1C7E">
        <w:t>hat is, either</w:t>
      </w:r>
      <w:r w:rsidRPr="00ED1C7E">
        <w:t>:</w:t>
      </w:r>
    </w:p>
    <w:p w14:paraId="14C1CA97" w14:textId="2316AB98" w:rsidR="000A0224" w:rsidRPr="00ED1C7E" w:rsidRDefault="000A0224" w:rsidP="003340AB">
      <w:pPr>
        <w:pStyle w:val="Bullet"/>
        <w:spacing w:after="100"/>
      </w:pPr>
      <w:r w:rsidRPr="00ED1C7E">
        <w:t>the destruction cannot include SF</w:t>
      </w:r>
      <w:r w:rsidRPr="00ED1C7E">
        <w:rPr>
          <w:vertAlign w:val="subscript"/>
        </w:rPr>
        <w:t>6</w:t>
      </w:r>
      <w:r w:rsidRPr="00ED1C7E">
        <w:t xml:space="preserve"> of any kind, and all gases cannot have been imported before 1 January 2013</w:t>
      </w:r>
    </w:p>
    <w:p w14:paraId="6985CA43" w14:textId="059E3A91" w:rsidR="000A0224" w:rsidRPr="00ED1C7E" w:rsidRDefault="000A0224" w:rsidP="003340AB">
      <w:pPr>
        <w:pStyle w:val="Bullet"/>
        <w:spacing w:after="100"/>
      </w:pPr>
      <w:r w:rsidRPr="00ED1C7E">
        <w:t>the destruction can include any synthetic greenhouse gases, except for SF</w:t>
      </w:r>
      <w:r w:rsidRPr="00ED1C7E">
        <w:rPr>
          <w:vertAlign w:val="subscript"/>
        </w:rPr>
        <w:t>6</w:t>
      </w:r>
      <w:r w:rsidRPr="00ED1C7E">
        <w:t xml:space="preserve"> that was imported before 1 January 2013.</w:t>
      </w:r>
    </w:p>
    <w:p w14:paraId="4CAD4A26" w14:textId="46C82C06" w:rsidR="000A0224" w:rsidRPr="00ED1C7E" w:rsidRDefault="00F830CF" w:rsidP="00D47BCF">
      <w:pPr>
        <w:pStyle w:val="BodyText"/>
        <w:spacing w:before="100" w:after="100"/>
      </w:pPr>
      <w:r w:rsidRPr="00ED1C7E">
        <w:t xml:space="preserve">Following the </w:t>
      </w:r>
      <w:r w:rsidR="00A2384B" w:rsidRPr="00ED1C7E">
        <w:t>first</w:t>
      </w:r>
      <w:r w:rsidRPr="00ED1C7E">
        <w:t xml:space="preserve"> </w:t>
      </w:r>
      <w:r w:rsidR="00370ABC" w:rsidRPr="00ED1C7E">
        <w:t xml:space="preserve">approach </w:t>
      </w:r>
      <w:r w:rsidR="000A0224" w:rsidRPr="00ED1C7E">
        <w:t>would somewhat arbitrarily prevent the destruction of any SF</w:t>
      </w:r>
      <w:r w:rsidR="000A0224" w:rsidRPr="00ED1C7E">
        <w:rPr>
          <w:vertAlign w:val="subscript"/>
        </w:rPr>
        <w:t>6</w:t>
      </w:r>
      <w:r w:rsidR="000A0224" w:rsidRPr="00ED1C7E">
        <w:t xml:space="preserve"> in New Zealand</w:t>
      </w:r>
      <w:r w:rsidR="00A2384B" w:rsidRPr="00ED1C7E">
        <w:t>.</w:t>
      </w:r>
      <w:r w:rsidR="000A0224" w:rsidRPr="00ED1C7E">
        <w:t xml:space="preserve"> </w:t>
      </w:r>
      <w:r w:rsidR="00A2384B" w:rsidRPr="00ED1C7E">
        <w:t>I</w:t>
      </w:r>
      <w:r w:rsidR="000A0224" w:rsidRPr="00ED1C7E">
        <w:t>t</w:t>
      </w:r>
      <w:r w:rsidR="00A2384B" w:rsidRPr="00ED1C7E">
        <w:t xml:space="preserve"> would also be</w:t>
      </w:r>
      <w:r w:rsidR="000A0224" w:rsidRPr="00ED1C7E">
        <w:t xml:space="preserve"> effectively impossible for an entity to claim credits for the </w:t>
      </w:r>
      <w:r w:rsidR="000A0224" w:rsidRPr="00ED1C7E">
        <w:lastRenderedPageBreak/>
        <w:t>destruction of other synthetic greenhouse gases</w:t>
      </w:r>
      <w:r w:rsidR="00B700F9" w:rsidRPr="00ED1C7E">
        <w:t>,</w:t>
      </w:r>
      <w:r w:rsidR="000A0224" w:rsidRPr="00ED1C7E">
        <w:t xml:space="preserve"> as they are unlikely to have documentation that shows the date of import.</w:t>
      </w:r>
    </w:p>
    <w:p w14:paraId="2F027D88" w14:textId="6EC18019" w:rsidR="000A0224" w:rsidRPr="00ED1C7E" w:rsidRDefault="000A0224" w:rsidP="00D47BCF">
      <w:pPr>
        <w:pStyle w:val="BodyText"/>
        <w:spacing w:before="100" w:after="100"/>
      </w:pPr>
      <w:r w:rsidRPr="00ED1C7E">
        <w:t xml:space="preserve">Additionally, the date criterion is now more than a decade </w:t>
      </w:r>
      <w:r w:rsidR="00B700F9" w:rsidRPr="00ED1C7E">
        <w:t>ago</w:t>
      </w:r>
      <w:r w:rsidRPr="00ED1C7E">
        <w:t xml:space="preserve">. While the risk of arbitrage is not entirely absent, we are confident it is sufficiently unlikely that redrafting to allow for the more generous </w:t>
      </w:r>
      <w:r w:rsidR="0087636C" w:rsidRPr="00ED1C7E">
        <w:t>approach</w:t>
      </w:r>
      <w:r w:rsidRPr="00ED1C7E">
        <w:t xml:space="preserve"> would</w:t>
      </w:r>
      <w:r w:rsidR="00BE541B" w:rsidRPr="00ED1C7E">
        <w:t xml:space="preserve"> not</w:t>
      </w:r>
      <w:r w:rsidRPr="00ED1C7E">
        <w:t xml:space="preserve"> be problematic. This could include either the removal of the date criterion or </w:t>
      </w:r>
      <w:r w:rsidR="00BE541B" w:rsidRPr="00ED1C7E">
        <w:t>clarifying</w:t>
      </w:r>
      <w:r w:rsidRPr="00ED1C7E">
        <w:t xml:space="preserve"> that it only applies to SF</w:t>
      </w:r>
      <w:r w:rsidRPr="00ED1C7E">
        <w:rPr>
          <w:vertAlign w:val="subscript"/>
        </w:rPr>
        <w:t>6</w:t>
      </w:r>
      <w:r w:rsidRPr="00ED1C7E">
        <w:t>.</w:t>
      </w:r>
    </w:p>
    <w:p w14:paraId="0D968933" w14:textId="0757C232" w:rsidR="000A0224" w:rsidRPr="00ED1C7E" w:rsidRDefault="000A0224" w:rsidP="00D47BCF">
      <w:pPr>
        <w:pStyle w:val="BodyText"/>
        <w:spacing w:before="100" w:after="100"/>
      </w:pPr>
      <w:r w:rsidRPr="00ED1C7E">
        <w:t xml:space="preserve">Clarifying this regulation would enable and incentivise onshore destruction, with a lower compliance barrier for recognising this removal. </w:t>
      </w:r>
      <w:r w:rsidR="00187E3E" w:rsidRPr="00ED1C7E">
        <w:t>N</w:t>
      </w:r>
      <w:r w:rsidRPr="00ED1C7E">
        <w:t xml:space="preserve">ot only </w:t>
      </w:r>
      <w:r w:rsidR="00187E3E" w:rsidRPr="00ED1C7E">
        <w:t xml:space="preserve">would this </w:t>
      </w:r>
      <w:r w:rsidRPr="00ED1C7E">
        <w:t xml:space="preserve">result in an actual removal of the synthetic greenhouse gas from future emission into the atmosphere, but </w:t>
      </w:r>
      <w:r w:rsidR="00187E3E" w:rsidRPr="00ED1C7E">
        <w:t>it</w:t>
      </w:r>
      <w:r w:rsidR="00635E6B" w:rsidRPr="00ED1C7E">
        <w:t xml:space="preserve"> also</w:t>
      </w:r>
      <w:r w:rsidR="00187E3E" w:rsidRPr="00ED1C7E">
        <w:t xml:space="preserve"> </w:t>
      </w:r>
      <w:r w:rsidRPr="00ED1C7E">
        <w:t>avoids the emissions associated with exporting the gases offshore for destruction.</w:t>
      </w:r>
      <w:r w:rsidR="00635E6B" w:rsidRPr="00ED1C7E">
        <w:t xml:space="preserve"> </w:t>
      </w:r>
    </w:p>
    <w:p w14:paraId="631A253E" w14:textId="77777777" w:rsidR="000A0224" w:rsidRPr="00ED1C7E" w:rsidRDefault="000A0224" w:rsidP="00CE4CF6">
      <w:pPr>
        <w:pStyle w:val="Heading3"/>
        <w:spacing w:before="240"/>
      </w:pPr>
      <w:r w:rsidRPr="00ED1C7E">
        <w:t>Options</w:t>
      </w:r>
    </w:p>
    <w:p w14:paraId="7D13B2CE" w14:textId="3CF18611" w:rsidR="000A0224" w:rsidRPr="00ED1C7E" w:rsidRDefault="000A0224" w:rsidP="00336229">
      <w:pPr>
        <w:pStyle w:val="Heading4"/>
        <w:spacing w:before="180"/>
      </w:pPr>
      <w:r w:rsidRPr="00ED1C7E">
        <w:t xml:space="preserve">Option 1: Status </w:t>
      </w:r>
      <w:r w:rsidR="000F7D48" w:rsidRPr="00ED1C7E">
        <w:t>q</w:t>
      </w:r>
      <w:r w:rsidRPr="00ED1C7E">
        <w:t>uo</w:t>
      </w:r>
    </w:p>
    <w:p w14:paraId="77BF8FA1" w14:textId="7730D29B" w:rsidR="000A0224" w:rsidRPr="00ED1C7E" w:rsidRDefault="000A0224" w:rsidP="00D47BCF">
      <w:pPr>
        <w:pStyle w:val="BodyText"/>
        <w:spacing w:before="100" w:after="100"/>
      </w:pPr>
      <w:r w:rsidRPr="00ED1C7E">
        <w:t>Under this option, the ORA Regulations</w:t>
      </w:r>
      <w:r w:rsidR="0071149C" w:rsidRPr="00ED1C7E">
        <w:t xml:space="preserve"> will not be updated</w:t>
      </w:r>
      <w:r w:rsidRPr="00ED1C7E">
        <w:t xml:space="preserve">. The current provisions under </w:t>
      </w:r>
      <w:hyperlink r:id="rId44" w:history="1">
        <w:r w:rsidR="0071149C" w:rsidRPr="00ED1C7E">
          <w:rPr>
            <w:rStyle w:val="Hyperlink"/>
          </w:rPr>
          <w:t>clause </w:t>
        </w:r>
        <w:r w:rsidRPr="00ED1C7E">
          <w:rPr>
            <w:rStyle w:val="Hyperlink"/>
          </w:rPr>
          <w:t>17</w:t>
        </w:r>
      </w:hyperlink>
      <w:r w:rsidRPr="00ED1C7E">
        <w:t xml:space="preserve"> </w:t>
      </w:r>
      <w:r w:rsidR="0071149C" w:rsidRPr="00ED1C7E">
        <w:t xml:space="preserve">will </w:t>
      </w:r>
      <w:r w:rsidRPr="00ED1C7E">
        <w:t xml:space="preserve">remain in place, and attempts to seek NZUs for onshore destruction of synthetic greenhouse gases </w:t>
      </w:r>
      <w:r w:rsidR="00FC58B9" w:rsidRPr="00ED1C7E">
        <w:t>will continue to be at risk due to a lack of clarity</w:t>
      </w:r>
      <w:r w:rsidRPr="00ED1C7E">
        <w:t>.</w:t>
      </w:r>
    </w:p>
    <w:p w14:paraId="0AF60B01" w14:textId="77777777" w:rsidR="000A0224" w:rsidRPr="00ED1C7E" w:rsidRDefault="000A0224" w:rsidP="00336229">
      <w:pPr>
        <w:pStyle w:val="Heading4"/>
        <w:spacing w:before="240"/>
      </w:pPr>
      <w:r w:rsidRPr="00ED1C7E">
        <w:t>Option 2: Update the ORA Regulations</w:t>
      </w:r>
    </w:p>
    <w:p w14:paraId="1C10CE0D" w14:textId="5DC9FEB7" w:rsidR="000A0224" w:rsidRPr="00ED1C7E" w:rsidRDefault="0086107C" w:rsidP="00D47BCF">
      <w:pPr>
        <w:pStyle w:val="BodyText"/>
        <w:spacing w:before="100" w:after="100"/>
      </w:pPr>
      <w:r w:rsidRPr="00ED1C7E">
        <w:t>The</w:t>
      </w:r>
      <w:r w:rsidR="000A0224" w:rsidRPr="00ED1C7E">
        <w:t xml:space="preserve"> ORA Regulations </w:t>
      </w:r>
      <w:r w:rsidRPr="00ED1C7E">
        <w:t xml:space="preserve">will be clarified, to </w:t>
      </w:r>
      <w:r w:rsidR="0043010E" w:rsidRPr="00ED1C7E">
        <w:t xml:space="preserve">ensure that </w:t>
      </w:r>
      <w:r w:rsidR="00912B89" w:rsidRPr="00ED1C7E">
        <w:t>SF</w:t>
      </w:r>
      <w:r w:rsidR="00912B89" w:rsidRPr="00ED1C7E">
        <w:rPr>
          <w:vertAlign w:val="subscript"/>
        </w:rPr>
        <w:t>6</w:t>
      </w:r>
      <w:r w:rsidR="00912B89" w:rsidRPr="00ED1C7E">
        <w:t xml:space="preserve"> imported after 2013 and any other synthetic greenhouse gases </w:t>
      </w:r>
      <w:r w:rsidR="006F4986" w:rsidRPr="00ED1C7E">
        <w:t xml:space="preserve">(with no date criterion) are </w:t>
      </w:r>
      <w:r w:rsidR="000A0224" w:rsidRPr="00ED1C7E">
        <w:t>eligible for NZUs upon destruction</w:t>
      </w:r>
      <w:r w:rsidR="00CB6C74" w:rsidRPr="00ED1C7E">
        <w:t>,</w:t>
      </w:r>
      <w:r w:rsidR="000A0224" w:rsidRPr="00ED1C7E">
        <w:t xml:space="preserve"> while </w:t>
      </w:r>
      <w:r w:rsidR="006F4986" w:rsidRPr="00ED1C7E">
        <w:t xml:space="preserve">considering whether </w:t>
      </w:r>
      <w:r w:rsidR="000A0224" w:rsidRPr="00ED1C7E">
        <w:t xml:space="preserve">any flexibility </w:t>
      </w:r>
      <w:proofErr w:type="gramStart"/>
      <w:r w:rsidR="000A0224" w:rsidRPr="00ED1C7E">
        <w:t>introduced</w:t>
      </w:r>
      <w:proofErr w:type="gramEnd"/>
      <w:r w:rsidR="000A0224" w:rsidRPr="00ED1C7E">
        <w:t xml:space="preserve"> or barriers removed sufficiently mitigate any remaining risk of arbitrage.</w:t>
      </w:r>
    </w:p>
    <w:p w14:paraId="4BBD9466" w14:textId="77777777" w:rsidR="000A0224" w:rsidRPr="00ED1C7E" w:rsidRDefault="000A0224" w:rsidP="00CE4CF6">
      <w:pPr>
        <w:pStyle w:val="Heading3"/>
        <w:spacing w:before="240"/>
      </w:pPr>
      <w:r w:rsidRPr="00ED1C7E">
        <w:t>Analysis</w:t>
      </w:r>
    </w:p>
    <w:p w14:paraId="6BF330E6" w14:textId="3BDFEBF4" w:rsidR="004D1BA1" w:rsidRPr="00ED1C7E" w:rsidRDefault="007A5A62" w:rsidP="00D47BCF">
      <w:pPr>
        <w:pStyle w:val="BodyText"/>
        <w:spacing w:before="100" w:after="100"/>
      </w:pPr>
      <w:r w:rsidRPr="00ED1C7E">
        <w:fldChar w:fldCharType="begin"/>
      </w:r>
      <w:r w:rsidRPr="00ED1C7E">
        <w:instrText xml:space="preserve"> REF _Ref160170094 \h </w:instrText>
      </w:r>
      <w:r w:rsidRPr="00ED1C7E">
        <w:fldChar w:fldCharType="separate"/>
      </w:r>
      <w:r w:rsidR="00C60130" w:rsidRPr="00ED1C7E">
        <w:t xml:space="preserve">Table </w:t>
      </w:r>
      <w:r w:rsidR="00C60130">
        <w:rPr>
          <w:noProof/>
        </w:rPr>
        <w:t>11</w:t>
      </w:r>
      <w:r w:rsidRPr="00ED1C7E">
        <w:fldChar w:fldCharType="end"/>
      </w:r>
      <w:r w:rsidRPr="00ED1C7E">
        <w:t xml:space="preserve"> </w:t>
      </w:r>
      <w:r w:rsidR="004D1BA1" w:rsidRPr="00ED1C7E">
        <w:t xml:space="preserve">outlines an assessment of the options described above. To assist with interpretation of the analysis in the table, see the </w:t>
      </w:r>
      <w:hyperlink w:anchor="_Criteria_for_assessing" w:history="1">
        <w:r w:rsidR="004D1BA1" w:rsidRPr="00ED1C7E">
          <w:rPr>
            <w:rStyle w:val="Hyperlink"/>
          </w:rPr>
          <w:t>Criteria for assessing options</w:t>
        </w:r>
      </w:hyperlink>
      <w:r w:rsidR="004D1BA1" w:rsidRPr="00ED1C7E">
        <w:t xml:space="preserve"> section.</w:t>
      </w:r>
    </w:p>
    <w:p w14:paraId="21C82E63" w14:textId="597E8900" w:rsidR="00F917E2" w:rsidRPr="00ED1C7E" w:rsidRDefault="00F917E2" w:rsidP="003340AB">
      <w:pPr>
        <w:pStyle w:val="Tableheading"/>
      </w:pPr>
      <w:bookmarkStart w:id="57" w:name="_Ref160170094"/>
      <w:bookmarkStart w:id="58" w:name="_Toc165532918"/>
      <w:r w:rsidRPr="00ED1C7E">
        <w:t xml:space="preserve">Table </w:t>
      </w:r>
      <w:r w:rsidR="00594215">
        <w:fldChar w:fldCharType="begin"/>
      </w:r>
      <w:r w:rsidR="00594215">
        <w:instrText xml:space="preserve"> SEQ Table \* ARABIC </w:instrText>
      </w:r>
      <w:r w:rsidR="00594215">
        <w:fldChar w:fldCharType="separate"/>
      </w:r>
      <w:r w:rsidR="00C60130">
        <w:rPr>
          <w:noProof/>
        </w:rPr>
        <w:t>11</w:t>
      </w:r>
      <w:r w:rsidR="00594215">
        <w:rPr>
          <w:noProof/>
        </w:rPr>
        <w:fldChar w:fldCharType="end"/>
      </w:r>
      <w:bookmarkEnd w:id="57"/>
      <w:r w:rsidRPr="00ED1C7E">
        <w:t xml:space="preserve">: </w:t>
      </w:r>
      <w:r w:rsidR="00E03DFF" w:rsidRPr="00ED1C7E">
        <w:tab/>
      </w:r>
      <w:r w:rsidRPr="00ED1C7E">
        <w:t xml:space="preserve">Options for updates to </w:t>
      </w:r>
      <w:r w:rsidR="007A5A62" w:rsidRPr="00ED1C7E">
        <w:t>r</w:t>
      </w:r>
      <w:r w:rsidRPr="00ED1C7E">
        <w:t>egulations for onshore destruction of synthetic greenhouse</w:t>
      </w:r>
      <w:r w:rsidR="00E03DFF" w:rsidRPr="00ED1C7E">
        <w:t> </w:t>
      </w:r>
      <w:r w:rsidRPr="00ED1C7E">
        <w:t>gases</w:t>
      </w:r>
      <w:bookmarkEnd w:id="58"/>
    </w:p>
    <w:tbl>
      <w:tblPr>
        <w:tblStyle w:val="TableGrid"/>
        <w:tblW w:w="8500"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1701"/>
        <w:gridCol w:w="1134"/>
        <w:gridCol w:w="5665"/>
      </w:tblGrid>
      <w:tr w:rsidR="000A0224" w:rsidRPr="00ED1C7E" w14:paraId="59B0AEDF" w14:textId="77777777" w:rsidTr="000A257E">
        <w:trPr>
          <w:tblHeader/>
        </w:trPr>
        <w:tc>
          <w:tcPr>
            <w:tcW w:w="1701" w:type="dxa"/>
            <w:shd w:val="clear" w:color="auto" w:fill="1B556B" w:themeFill="text2"/>
            <w:vAlign w:val="bottom"/>
          </w:tcPr>
          <w:p w14:paraId="7E315299" w14:textId="77777777" w:rsidR="000A0224" w:rsidRPr="00ED1C7E" w:rsidRDefault="000A0224" w:rsidP="003340AB">
            <w:pPr>
              <w:pStyle w:val="TableTextbold"/>
              <w:spacing w:before="20" w:after="20"/>
              <w:rPr>
                <w:color w:val="FFFFFF" w:themeColor="background1"/>
              </w:rPr>
            </w:pPr>
            <w:r w:rsidRPr="00ED1C7E">
              <w:rPr>
                <w:color w:val="FFFFFF" w:themeColor="background1"/>
              </w:rPr>
              <w:t>Criteria</w:t>
            </w:r>
          </w:p>
        </w:tc>
        <w:tc>
          <w:tcPr>
            <w:tcW w:w="1134" w:type="dxa"/>
            <w:shd w:val="clear" w:color="auto" w:fill="1B556B" w:themeFill="text2"/>
            <w:vAlign w:val="bottom"/>
          </w:tcPr>
          <w:p w14:paraId="453AB217" w14:textId="77777777" w:rsidR="000A0224" w:rsidRPr="00ED1C7E" w:rsidRDefault="000A0224" w:rsidP="003340AB">
            <w:pPr>
              <w:pStyle w:val="TableTextbold"/>
              <w:spacing w:before="20" w:after="20"/>
              <w:rPr>
                <w:color w:val="FFFFFF" w:themeColor="background1"/>
              </w:rPr>
            </w:pPr>
            <w:r w:rsidRPr="00ED1C7E">
              <w:rPr>
                <w:color w:val="FFFFFF" w:themeColor="background1"/>
              </w:rPr>
              <w:t>Option 1: Status quo</w:t>
            </w:r>
          </w:p>
        </w:tc>
        <w:tc>
          <w:tcPr>
            <w:tcW w:w="5665" w:type="dxa"/>
            <w:shd w:val="clear" w:color="auto" w:fill="1B556B" w:themeFill="text2"/>
            <w:vAlign w:val="bottom"/>
          </w:tcPr>
          <w:p w14:paraId="77CEF598" w14:textId="77777777" w:rsidR="000A0224" w:rsidRPr="00ED1C7E" w:rsidRDefault="000A0224" w:rsidP="003340AB">
            <w:pPr>
              <w:pStyle w:val="TableTextbold"/>
              <w:spacing w:before="20" w:after="20"/>
              <w:rPr>
                <w:color w:val="FFFFFF" w:themeColor="background1"/>
              </w:rPr>
            </w:pPr>
            <w:r w:rsidRPr="00ED1C7E">
              <w:rPr>
                <w:color w:val="FFFFFF" w:themeColor="background1"/>
              </w:rPr>
              <w:t>Option 2:</w:t>
            </w:r>
            <w:r w:rsidRPr="00ED1C7E">
              <w:rPr>
                <w:color w:val="FFFFFF" w:themeColor="background1"/>
              </w:rPr>
              <w:br/>
              <w:t>Update the ORA Regulations</w:t>
            </w:r>
          </w:p>
        </w:tc>
      </w:tr>
      <w:tr w:rsidR="000A0224" w:rsidRPr="00ED1C7E" w14:paraId="10252273" w14:textId="77777777" w:rsidTr="000A257E">
        <w:tc>
          <w:tcPr>
            <w:tcW w:w="1701" w:type="dxa"/>
            <w:shd w:val="clear" w:color="auto" w:fill="auto"/>
          </w:tcPr>
          <w:p w14:paraId="6A317527" w14:textId="77777777" w:rsidR="000A0224" w:rsidRPr="00ED1C7E" w:rsidRDefault="000A0224" w:rsidP="003340AB">
            <w:pPr>
              <w:pStyle w:val="TableText"/>
              <w:spacing w:before="20" w:after="20"/>
            </w:pPr>
            <w:r w:rsidRPr="00ED1C7E">
              <w:t>Alignment</w:t>
            </w:r>
          </w:p>
        </w:tc>
        <w:tc>
          <w:tcPr>
            <w:tcW w:w="1134" w:type="dxa"/>
          </w:tcPr>
          <w:p w14:paraId="066858B3" w14:textId="77777777" w:rsidR="000A0224" w:rsidRPr="00846AFD" w:rsidRDefault="000A0224" w:rsidP="003340AB">
            <w:pPr>
              <w:pStyle w:val="TableText"/>
              <w:spacing w:before="20" w:after="20"/>
              <w:rPr>
                <w:b/>
                <w:bCs/>
                <w:sz w:val="20"/>
              </w:rPr>
            </w:pPr>
            <w:r w:rsidRPr="00846AFD">
              <w:rPr>
                <w:b/>
                <w:bCs/>
                <w:sz w:val="20"/>
              </w:rPr>
              <w:t>0</w:t>
            </w:r>
          </w:p>
        </w:tc>
        <w:tc>
          <w:tcPr>
            <w:tcW w:w="5665" w:type="dxa"/>
            <w:shd w:val="clear" w:color="auto" w:fill="auto"/>
          </w:tcPr>
          <w:p w14:paraId="06524274" w14:textId="77777777" w:rsidR="00846AFD" w:rsidRDefault="000A0224" w:rsidP="003340AB">
            <w:pPr>
              <w:pStyle w:val="TableText"/>
              <w:keepNext/>
              <w:spacing w:before="20" w:after="20"/>
              <w:rPr>
                <w:rFonts w:cs="Arial"/>
                <w:b/>
                <w:color w:val="00B050"/>
                <w:sz w:val="20"/>
                <w:lang w:eastAsia="en-AU"/>
              </w:rPr>
            </w:pPr>
            <w:r w:rsidRPr="00846AFD">
              <w:rPr>
                <w:rFonts w:cs="Arial"/>
                <w:b/>
                <w:color w:val="00B050"/>
                <w:sz w:val="20"/>
                <w:lang w:eastAsia="en-AU"/>
              </w:rPr>
              <w:t>+</w:t>
            </w:r>
          </w:p>
          <w:p w14:paraId="6C1F8458" w14:textId="65804E8C" w:rsidR="000A0224" w:rsidRPr="00ED1C7E" w:rsidRDefault="000A0224" w:rsidP="003340AB">
            <w:pPr>
              <w:pStyle w:val="TableText"/>
              <w:keepNext/>
              <w:spacing w:before="20" w:after="20"/>
              <w:rPr>
                <w:rFonts w:cs="Arial"/>
                <w:bCs/>
                <w:lang w:eastAsia="en-AU"/>
              </w:rPr>
            </w:pPr>
            <w:r w:rsidRPr="00ED1C7E">
              <w:rPr>
                <w:rFonts w:cs="Arial"/>
                <w:bCs/>
                <w:lang w:eastAsia="en-AU"/>
              </w:rPr>
              <w:t xml:space="preserve">Aligns with the proper functioning of the </w:t>
            </w:r>
            <w:r w:rsidR="00221ACF" w:rsidRPr="00ED1C7E">
              <w:rPr>
                <w:rFonts w:cs="Arial"/>
                <w:bCs/>
                <w:lang w:eastAsia="en-AU"/>
              </w:rPr>
              <w:t>NZ ETS</w:t>
            </w:r>
            <w:r w:rsidRPr="00ED1C7E">
              <w:rPr>
                <w:rFonts w:cs="Arial"/>
                <w:bCs/>
                <w:lang w:eastAsia="en-AU"/>
              </w:rPr>
              <w:t xml:space="preserve"> by ensuring interpretation matches original policy intent and does not prevent genuine removals from occurring.</w:t>
            </w:r>
          </w:p>
        </w:tc>
      </w:tr>
      <w:tr w:rsidR="000A0224" w:rsidRPr="00ED1C7E" w14:paraId="6346F0DF" w14:textId="77777777" w:rsidTr="000A257E">
        <w:tc>
          <w:tcPr>
            <w:tcW w:w="1701" w:type="dxa"/>
            <w:shd w:val="clear" w:color="auto" w:fill="auto"/>
          </w:tcPr>
          <w:p w14:paraId="7BA760A1" w14:textId="77777777" w:rsidR="000A0224" w:rsidRPr="00ED1C7E" w:rsidRDefault="000A0224" w:rsidP="003340AB">
            <w:pPr>
              <w:pStyle w:val="TableText"/>
              <w:spacing w:before="20" w:after="20"/>
            </w:pPr>
            <w:r w:rsidRPr="00ED1C7E">
              <w:t>Accuracy</w:t>
            </w:r>
          </w:p>
        </w:tc>
        <w:tc>
          <w:tcPr>
            <w:tcW w:w="1134" w:type="dxa"/>
          </w:tcPr>
          <w:p w14:paraId="5F32EBEF" w14:textId="77777777" w:rsidR="000A0224" w:rsidRPr="00846AFD" w:rsidRDefault="000A0224" w:rsidP="003340AB">
            <w:pPr>
              <w:pStyle w:val="TableText"/>
              <w:spacing w:before="20" w:after="20"/>
              <w:rPr>
                <w:b/>
                <w:bCs/>
                <w:sz w:val="20"/>
              </w:rPr>
            </w:pPr>
            <w:r w:rsidRPr="00846AFD">
              <w:rPr>
                <w:b/>
                <w:bCs/>
                <w:sz w:val="20"/>
              </w:rPr>
              <w:t>0</w:t>
            </w:r>
          </w:p>
        </w:tc>
        <w:tc>
          <w:tcPr>
            <w:tcW w:w="5665" w:type="dxa"/>
            <w:shd w:val="clear" w:color="auto" w:fill="auto"/>
          </w:tcPr>
          <w:p w14:paraId="33F34A32" w14:textId="77777777" w:rsidR="00846AFD" w:rsidRDefault="000A0224" w:rsidP="003340AB">
            <w:pPr>
              <w:pStyle w:val="TableText"/>
              <w:keepNext/>
              <w:spacing w:before="20" w:after="20"/>
              <w:rPr>
                <w:rFonts w:cs="Arial"/>
                <w:b/>
                <w:sz w:val="20"/>
                <w:lang w:eastAsia="en-AU"/>
              </w:rPr>
            </w:pPr>
            <w:r w:rsidRPr="00846AFD">
              <w:rPr>
                <w:rFonts w:cs="Arial"/>
                <w:b/>
                <w:sz w:val="20"/>
                <w:lang w:eastAsia="en-AU"/>
              </w:rPr>
              <w:t>0</w:t>
            </w:r>
          </w:p>
          <w:p w14:paraId="3F921BF2" w14:textId="277E50ED" w:rsidR="000A0224" w:rsidRPr="00ED1C7E" w:rsidRDefault="000A0224" w:rsidP="003340AB">
            <w:pPr>
              <w:pStyle w:val="TableText"/>
              <w:keepNext/>
              <w:spacing w:before="20" w:after="20"/>
              <w:rPr>
                <w:rFonts w:cs="Arial"/>
                <w:bCs/>
                <w:lang w:eastAsia="en-AU"/>
              </w:rPr>
            </w:pPr>
            <w:r w:rsidRPr="00ED1C7E">
              <w:rPr>
                <w:rFonts w:cs="Arial"/>
                <w:bCs/>
                <w:lang w:eastAsia="en-AU"/>
              </w:rPr>
              <w:t>Has no impact on the accuracy of actual removals reported, only whether they are successfully awarded NZUs.</w:t>
            </w:r>
          </w:p>
        </w:tc>
      </w:tr>
      <w:tr w:rsidR="000A0224" w:rsidRPr="00ED1C7E" w14:paraId="33AB848F" w14:textId="77777777" w:rsidTr="000A257E">
        <w:tc>
          <w:tcPr>
            <w:tcW w:w="1701" w:type="dxa"/>
          </w:tcPr>
          <w:p w14:paraId="339392AC" w14:textId="77777777" w:rsidR="000A0224" w:rsidRPr="00ED1C7E" w:rsidRDefault="000A0224" w:rsidP="003340AB">
            <w:pPr>
              <w:pStyle w:val="TableText"/>
              <w:spacing w:before="20" w:after="20"/>
            </w:pPr>
            <w:r w:rsidRPr="00ED1C7E">
              <w:t>Efficiency</w:t>
            </w:r>
          </w:p>
        </w:tc>
        <w:tc>
          <w:tcPr>
            <w:tcW w:w="1134" w:type="dxa"/>
          </w:tcPr>
          <w:p w14:paraId="3F6EAD65" w14:textId="77777777" w:rsidR="000A0224" w:rsidRPr="00846AFD" w:rsidRDefault="000A0224" w:rsidP="003340AB">
            <w:pPr>
              <w:pStyle w:val="TableText"/>
              <w:spacing w:before="20" w:after="20"/>
              <w:rPr>
                <w:b/>
                <w:bCs/>
                <w:sz w:val="20"/>
              </w:rPr>
            </w:pPr>
            <w:r w:rsidRPr="00846AFD">
              <w:rPr>
                <w:b/>
                <w:bCs/>
                <w:sz w:val="20"/>
              </w:rPr>
              <w:t>0</w:t>
            </w:r>
          </w:p>
        </w:tc>
        <w:tc>
          <w:tcPr>
            <w:tcW w:w="5665" w:type="dxa"/>
          </w:tcPr>
          <w:p w14:paraId="532C1F02" w14:textId="77777777" w:rsidR="00846AFD" w:rsidRDefault="000A0224" w:rsidP="003340AB">
            <w:pPr>
              <w:pStyle w:val="TableText"/>
              <w:spacing w:before="20" w:after="20"/>
              <w:rPr>
                <w:b/>
                <w:bCs/>
                <w:color w:val="00B050"/>
                <w:sz w:val="20"/>
              </w:rPr>
            </w:pPr>
            <w:r w:rsidRPr="00846AFD">
              <w:rPr>
                <w:b/>
                <w:bCs/>
                <w:color w:val="00B050"/>
                <w:sz w:val="20"/>
              </w:rPr>
              <w:t>+</w:t>
            </w:r>
          </w:p>
          <w:p w14:paraId="13FEDE86" w14:textId="44AD9B50" w:rsidR="000A0224" w:rsidRPr="00ED1C7E" w:rsidRDefault="000A0224" w:rsidP="003340AB">
            <w:pPr>
              <w:pStyle w:val="TableText"/>
              <w:spacing w:before="20" w:after="20"/>
            </w:pPr>
            <w:r w:rsidRPr="00ED1C7E">
              <w:t>Participants applying for recognition for destruction of synthetic greenhouse gases can avoid the potential need to seek a ruling guaranteeing the desired interpretation of the regulations.</w:t>
            </w:r>
          </w:p>
        </w:tc>
      </w:tr>
      <w:tr w:rsidR="000A0224" w:rsidRPr="00ED1C7E" w14:paraId="1F76E0B0" w14:textId="77777777" w:rsidTr="000A257E">
        <w:tc>
          <w:tcPr>
            <w:tcW w:w="1701" w:type="dxa"/>
          </w:tcPr>
          <w:p w14:paraId="56093F89" w14:textId="77777777" w:rsidR="000A0224" w:rsidRPr="00ED1C7E" w:rsidRDefault="000A0224" w:rsidP="003340AB">
            <w:pPr>
              <w:pStyle w:val="TableText"/>
              <w:spacing w:before="20" w:after="20"/>
            </w:pPr>
            <w:r w:rsidRPr="00ED1C7E">
              <w:t>Clarity</w:t>
            </w:r>
          </w:p>
        </w:tc>
        <w:tc>
          <w:tcPr>
            <w:tcW w:w="1134" w:type="dxa"/>
          </w:tcPr>
          <w:p w14:paraId="3BD73F97" w14:textId="77777777" w:rsidR="000A0224" w:rsidRPr="00846AFD" w:rsidRDefault="000A0224" w:rsidP="003340AB">
            <w:pPr>
              <w:pStyle w:val="TableText"/>
              <w:spacing w:before="20" w:after="20"/>
              <w:rPr>
                <w:b/>
                <w:bCs/>
                <w:sz w:val="20"/>
              </w:rPr>
            </w:pPr>
            <w:r w:rsidRPr="00846AFD">
              <w:rPr>
                <w:b/>
                <w:bCs/>
                <w:sz w:val="20"/>
              </w:rPr>
              <w:t>0</w:t>
            </w:r>
          </w:p>
        </w:tc>
        <w:tc>
          <w:tcPr>
            <w:tcW w:w="5665" w:type="dxa"/>
          </w:tcPr>
          <w:p w14:paraId="37CD63A3" w14:textId="77777777" w:rsidR="00846AFD" w:rsidRDefault="000A0224" w:rsidP="003340AB">
            <w:pPr>
              <w:pStyle w:val="TableText"/>
              <w:spacing w:before="20" w:after="20"/>
              <w:rPr>
                <w:b/>
                <w:bCs/>
                <w:color w:val="00B050"/>
              </w:rPr>
            </w:pPr>
            <w:r w:rsidRPr="00846AFD">
              <w:rPr>
                <w:b/>
                <w:bCs/>
                <w:color w:val="00B050"/>
                <w:sz w:val="20"/>
              </w:rPr>
              <w:t>+ +</w:t>
            </w:r>
          </w:p>
          <w:p w14:paraId="4BAF4F02" w14:textId="66A3DFCB" w:rsidR="000A0224" w:rsidRPr="00ED1C7E" w:rsidRDefault="000A0224" w:rsidP="003340AB">
            <w:pPr>
              <w:pStyle w:val="TableText"/>
              <w:spacing w:before="20" w:after="20"/>
            </w:pPr>
            <w:r w:rsidRPr="00ED1C7E">
              <w:t>Ensures that interpretation of the regulations is correct for both the regulator and participants.</w:t>
            </w:r>
          </w:p>
        </w:tc>
      </w:tr>
      <w:tr w:rsidR="000A0224" w:rsidRPr="00ED1C7E" w14:paraId="2A353122" w14:textId="77777777" w:rsidTr="000A257E">
        <w:tc>
          <w:tcPr>
            <w:tcW w:w="1701" w:type="dxa"/>
          </w:tcPr>
          <w:p w14:paraId="2E967510" w14:textId="77777777" w:rsidR="000A0224" w:rsidRPr="00ED1C7E" w:rsidRDefault="000A0224" w:rsidP="003340AB">
            <w:pPr>
              <w:pStyle w:val="TableText"/>
              <w:spacing w:before="20" w:after="20"/>
              <w:rPr>
                <w:b/>
                <w:bCs/>
              </w:rPr>
            </w:pPr>
            <w:r w:rsidRPr="00ED1C7E">
              <w:rPr>
                <w:b/>
                <w:bCs/>
              </w:rPr>
              <w:t>Overall assessment</w:t>
            </w:r>
          </w:p>
        </w:tc>
        <w:tc>
          <w:tcPr>
            <w:tcW w:w="1134" w:type="dxa"/>
          </w:tcPr>
          <w:p w14:paraId="5D15B855" w14:textId="77777777" w:rsidR="000A0224" w:rsidRPr="00846AFD" w:rsidRDefault="000A0224" w:rsidP="003340AB">
            <w:pPr>
              <w:pStyle w:val="TableText"/>
              <w:spacing w:before="20" w:after="20"/>
              <w:rPr>
                <w:b/>
                <w:bCs/>
                <w:sz w:val="20"/>
              </w:rPr>
            </w:pPr>
            <w:r w:rsidRPr="00846AFD">
              <w:rPr>
                <w:b/>
                <w:bCs/>
                <w:sz w:val="20"/>
              </w:rPr>
              <w:t>0</w:t>
            </w:r>
          </w:p>
        </w:tc>
        <w:tc>
          <w:tcPr>
            <w:tcW w:w="5665" w:type="dxa"/>
          </w:tcPr>
          <w:p w14:paraId="254D86B2" w14:textId="77777777" w:rsidR="000A0224" w:rsidRPr="00846AFD" w:rsidRDefault="000A0224" w:rsidP="003340AB">
            <w:pPr>
              <w:pStyle w:val="TableText"/>
              <w:keepNext/>
              <w:spacing w:before="20" w:after="20"/>
              <w:rPr>
                <w:rFonts w:cs="Arial"/>
                <w:b/>
                <w:color w:val="00B050"/>
                <w:sz w:val="20"/>
                <w:lang w:eastAsia="en-AU"/>
              </w:rPr>
            </w:pPr>
            <w:r w:rsidRPr="00846AFD">
              <w:rPr>
                <w:rFonts w:cs="Arial"/>
                <w:b/>
                <w:color w:val="00B050"/>
                <w:sz w:val="20"/>
                <w:lang w:eastAsia="en-AU"/>
              </w:rPr>
              <w:t>4+</w:t>
            </w:r>
          </w:p>
        </w:tc>
      </w:tr>
    </w:tbl>
    <w:p w14:paraId="55AAB05B" w14:textId="77777777" w:rsidR="000A0224" w:rsidRPr="00ED1C7E" w:rsidRDefault="000A0224" w:rsidP="00336229">
      <w:pPr>
        <w:pStyle w:val="BodyText"/>
        <w:spacing w:before="200"/>
      </w:pPr>
      <w:r w:rsidRPr="00ED1C7E">
        <w:t>This proposal is not expected to have material economic impacts.</w:t>
      </w:r>
    </w:p>
    <w:p w14:paraId="103C6615" w14:textId="77777777" w:rsidR="000A0224" w:rsidRDefault="000A0224" w:rsidP="0028033D">
      <w:pPr>
        <w:pStyle w:val="Heading3"/>
        <w:spacing w:after="240"/>
      </w:pPr>
      <w:r w:rsidRPr="00ED1C7E">
        <w:lastRenderedPageBreak/>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EE0C83" w:rsidRPr="00D71C4F" w14:paraId="4D54C87E" w14:textId="77777777">
        <w:tc>
          <w:tcPr>
            <w:tcW w:w="8505" w:type="dxa"/>
            <w:shd w:val="clear" w:color="auto" w:fill="1B556B" w:themeFill="text2"/>
          </w:tcPr>
          <w:p w14:paraId="0170540B" w14:textId="77777777" w:rsidR="00EE0C83" w:rsidRPr="00D71C4F" w:rsidRDefault="00EE0C83">
            <w:pPr>
              <w:pStyle w:val="TableText"/>
              <w:keepNext/>
              <w:rPr>
                <w:b/>
                <w:bCs/>
                <w:color w:val="FFFFFF" w:themeColor="background1"/>
                <w:sz w:val="20"/>
                <w:szCs w:val="22"/>
              </w:rPr>
            </w:pPr>
            <w:r w:rsidRPr="00D71C4F">
              <w:rPr>
                <w:b/>
                <w:bCs/>
                <w:color w:val="FFFFFF" w:themeColor="background1"/>
                <w:sz w:val="20"/>
                <w:szCs w:val="22"/>
              </w:rPr>
              <w:t>Question</w:t>
            </w:r>
          </w:p>
        </w:tc>
      </w:tr>
      <w:tr w:rsidR="00EE0C83" w:rsidRPr="00943CFD" w14:paraId="323BFFF5" w14:textId="77777777">
        <w:tc>
          <w:tcPr>
            <w:tcW w:w="8505" w:type="dxa"/>
          </w:tcPr>
          <w:p w14:paraId="489C60D7" w14:textId="503E0EB8" w:rsidR="00EE0C83" w:rsidRPr="00943CFD" w:rsidRDefault="00EE0C83" w:rsidP="00F94B5F">
            <w:pPr>
              <w:pStyle w:val="Questions"/>
              <w:ind w:left="319" w:hanging="319"/>
            </w:pPr>
            <w:bookmarkStart w:id="59" w:name="_Ref161240978"/>
            <w:r w:rsidRPr="00EF313A">
              <w:t>Do you have any feedback or relevant evidence about the proposal to clarify the ORA</w:t>
            </w:r>
            <w:r w:rsidR="00A1227C">
              <w:t> </w:t>
            </w:r>
            <w:r w:rsidRPr="00EF313A">
              <w:t>Regulations to allow for the onshore destruction of synthetic greenhouse gases?</w:t>
            </w:r>
            <w:bookmarkEnd w:id="59"/>
          </w:p>
        </w:tc>
      </w:tr>
    </w:tbl>
    <w:p w14:paraId="5F6E3680" w14:textId="77777777" w:rsidR="00EF313A" w:rsidRPr="00ED1C7E" w:rsidRDefault="00EF313A" w:rsidP="0028033D">
      <w:pPr>
        <w:pStyle w:val="BodyText"/>
      </w:pPr>
    </w:p>
    <w:p w14:paraId="30E4A44F" w14:textId="77777777" w:rsidR="0028033D" w:rsidRPr="00ED1C7E" w:rsidRDefault="0028033D" w:rsidP="00336229">
      <w:pPr>
        <w:pStyle w:val="BodyText"/>
      </w:pPr>
      <w:r w:rsidRPr="00ED1C7E">
        <w:br w:type="page"/>
      </w:r>
    </w:p>
    <w:p w14:paraId="5EBCF3C8" w14:textId="4E8047AF" w:rsidR="005D32EE" w:rsidRPr="00C67E83" w:rsidRDefault="005D32EE" w:rsidP="00C67E83">
      <w:pPr>
        <w:pStyle w:val="Heading1"/>
      </w:pPr>
      <w:bookmarkStart w:id="60" w:name="_Toc165533003"/>
      <w:r w:rsidRPr="00C67E83">
        <w:lastRenderedPageBreak/>
        <w:t>SECTION B:</w:t>
      </w:r>
      <w:r w:rsidRPr="00C67E83">
        <w:br/>
      </w:r>
      <w:r w:rsidR="00221ACF" w:rsidRPr="00C67E83">
        <w:t>NZ ETS</w:t>
      </w:r>
      <w:r w:rsidRPr="00C67E83">
        <w:t xml:space="preserve"> auctioning and </w:t>
      </w:r>
      <w:r w:rsidR="00F72CFE" w:rsidRPr="00C67E83">
        <w:t>operational</w:t>
      </w:r>
      <w:r w:rsidRPr="00C67E83">
        <w:t xml:space="preserve"> regulatory updates and improvements</w:t>
      </w:r>
      <w:bookmarkEnd w:id="60"/>
    </w:p>
    <w:p w14:paraId="540FABB0" w14:textId="77777777" w:rsidR="00080738" w:rsidRPr="00ED1C7E" w:rsidRDefault="00080738" w:rsidP="0028033D">
      <w:pPr>
        <w:pStyle w:val="BodyText"/>
      </w:pPr>
      <w:r w:rsidRPr="00ED1C7E">
        <w:br w:type="page"/>
      </w:r>
    </w:p>
    <w:p w14:paraId="3DA2D782" w14:textId="042DABA8" w:rsidR="00DA77E4" w:rsidRPr="00E67474" w:rsidRDefault="00DA77E4" w:rsidP="00DA77E4">
      <w:pPr>
        <w:pStyle w:val="Heading2"/>
        <w:rPr>
          <w:iCs/>
        </w:rPr>
      </w:pPr>
      <w:bookmarkStart w:id="61" w:name="_Toc165533004"/>
      <w:r w:rsidRPr="00ED1C7E">
        <w:lastRenderedPageBreak/>
        <w:t xml:space="preserve">Proposed </w:t>
      </w:r>
      <w:r w:rsidR="00FA2E8E" w:rsidRPr="00ED1C7E">
        <w:t>r</w:t>
      </w:r>
      <w:r w:rsidRPr="00ED1C7E">
        <w:t xml:space="preserve">egulatory </w:t>
      </w:r>
      <w:r w:rsidR="00FA2E8E" w:rsidRPr="00ED1C7E">
        <w:t>u</w:t>
      </w:r>
      <w:r w:rsidRPr="00ED1C7E">
        <w:t xml:space="preserve">pdate </w:t>
      </w:r>
      <w:r w:rsidR="000A0224" w:rsidRPr="00ED1C7E">
        <w:t>6</w:t>
      </w:r>
      <w:r w:rsidRPr="00ED1C7E">
        <w:t>:</w:t>
      </w:r>
      <w:r w:rsidRPr="00ED1C7E">
        <w:br/>
      </w:r>
      <w:r w:rsidR="00806BD7" w:rsidRPr="00E67474">
        <w:rPr>
          <w:iCs/>
        </w:rPr>
        <w:t>Clarifying the d</w:t>
      </w:r>
      <w:r w:rsidR="007E77A8" w:rsidRPr="00E67474">
        <w:rPr>
          <w:iCs/>
        </w:rPr>
        <w:t xml:space="preserve">efinition </w:t>
      </w:r>
      <w:r w:rsidR="007E65AA" w:rsidRPr="00E67474">
        <w:rPr>
          <w:iCs/>
        </w:rPr>
        <w:t>of</w:t>
      </w:r>
      <w:r w:rsidRPr="00E67474">
        <w:rPr>
          <w:iCs/>
        </w:rPr>
        <w:t xml:space="preserve"> qualified </w:t>
      </w:r>
      <w:proofErr w:type="gramStart"/>
      <w:r w:rsidR="00537BA4" w:rsidRPr="00E67474">
        <w:rPr>
          <w:iCs/>
        </w:rPr>
        <w:t>person</w:t>
      </w:r>
      <w:bookmarkEnd w:id="61"/>
      <w:proofErr w:type="gramEnd"/>
    </w:p>
    <w:p w14:paraId="2B327623" w14:textId="77777777" w:rsidR="00DA77E4" w:rsidRPr="00ED1C7E" w:rsidRDefault="00DA77E4" w:rsidP="00110CC3">
      <w:pPr>
        <w:pStyle w:val="Heading3"/>
      </w:pPr>
      <w:r w:rsidRPr="00ED1C7E">
        <w:t>Background</w:t>
      </w:r>
    </w:p>
    <w:p w14:paraId="0CDCA441" w14:textId="62253C3A" w:rsidR="000B72A5" w:rsidRPr="00ED1C7E" w:rsidRDefault="00385F69" w:rsidP="00DA77E4">
      <w:pPr>
        <w:pStyle w:val="BodyText"/>
      </w:pPr>
      <w:r w:rsidRPr="00ED1C7E">
        <w:t xml:space="preserve">The </w:t>
      </w:r>
      <w:hyperlink r:id="rId45" w:history="1">
        <w:r w:rsidR="00FA2E8E" w:rsidRPr="00ED1C7E">
          <w:rPr>
            <w:rStyle w:val="Hyperlink"/>
          </w:rPr>
          <w:t>Climate Change (Unit Register) Regulations 2008</w:t>
        </w:r>
      </w:hyperlink>
      <w:r w:rsidRPr="00ED1C7E">
        <w:t xml:space="preserve"> (U</w:t>
      </w:r>
      <w:r w:rsidR="00AA7674" w:rsidRPr="00ED1C7E">
        <w:t xml:space="preserve">nit </w:t>
      </w:r>
      <w:r w:rsidRPr="00ED1C7E">
        <w:t>R</w:t>
      </w:r>
      <w:r w:rsidR="00AA7674" w:rsidRPr="00ED1C7E">
        <w:t>egister</w:t>
      </w:r>
      <w:r w:rsidRPr="00ED1C7E">
        <w:t xml:space="preserve"> Regulations) </w:t>
      </w:r>
      <w:r w:rsidR="00EA765C" w:rsidRPr="00ED1C7E">
        <w:t xml:space="preserve">provide </w:t>
      </w:r>
      <w:r w:rsidR="00045B17" w:rsidRPr="00ED1C7E">
        <w:t>process</w:t>
      </w:r>
      <w:r w:rsidR="0072228D" w:rsidRPr="00ED1C7E">
        <w:t>es, structures and definitions</w:t>
      </w:r>
      <w:r w:rsidR="00045B17" w:rsidRPr="00ED1C7E">
        <w:t xml:space="preserve"> for </w:t>
      </w:r>
      <w:r w:rsidR="0072228D" w:rsidRPr="00ED1C7E">
        <w:t xml:space="preserve">managing the </w:t>
      </w:r>
      <w:r w:rsidR="00124329">
        <w:t>R</w:t>
      </w:r>
      <w:r w:rsidR="0072228D" w:rsidRPr="00ED1C7E">
        <w:t xml:space="preserve">egister </w:t>
      </w:r>
      <w:r w:rsidR="000A1A16" w:rsidRPr="00ED1C7E">
        <w:t>of accounts containing</w:t>
      </w:r>
      <w:r w:rsidR="00ED1C7E" w:rsidRPr="00ED1C7E">
        <w:t xml:space="preserve"> </w:t>
      </w:r>
      <w:r w:rsidR="000A1A16" w:rsidRPr="00ED1C7E">
        <w:t>NZUs</w:t>
      </w:r>
      <w:r w:rsidR="000B72A5" w:rsidRPr="00ED1C7E">
        <w:t>.</w:t>
      </w:r>
    </w:p>
    <w:p w14:paraId="2ECE89A2" w14:textId="75530F71" w:rsidR="00F84FB5" w:rsidRPr="00ED1C7E" w:rsidRDefault="000B72A5" w:rsidP="00DA77E4">
      <w:pPr>
        <w:pStyle w:val="BodyText"/>
      </w:pPr>
      <w:r w:rsidRPr="00ED1C7E">
        <w:t xml:space="preserve">The Unit Register Regulations also </w:t>
      </w:r>
      <w:r w:rsidR="00404E41" w:rsidRPr="00ED1C7E">
        <w:t xml:space="preserve">define </w:t>
      </w:r>
      <w:r w:rsidR="008901DA" w:rsidRPr="00ED1C7E">
        <w:t>who can open or manage an account</w:t>
      </w:r>
      <w:r w:rsidR="000A1A16" w:rsidRPr="00ED1C7E">
        <w:t>.</w:t>
      </w:r>
      <w:r w:rsidRPr="00ED1C7E">
        <w:t xml:space="preserve"> </w:t>
      </w:r>
      <w:r w:rsidR="0055434B" w:rsidRPr="00ED1C7E">
        <w:t>This includes</w:t>
      </w:r>
      <w:r w:rsidR="00F84FB5" w:rsidRPr="00ED1C7E">
        <w:t>:</w:t>
      </w:r>
    </w:p>
    <w:p w14:paraId="3FCC69E5" w14:textId="0D7353DB" w:rsidR="00F84FB5" w:rsidRPr="00ED1C7E" w:rsidRDefault="00742BF2" w:rsidP="008E2D75">
      <w:pPr>
        <w:pStyle w:val="Bullet"/>
      </w:pPr>
      <w:r w:rsidRPr="00ED1C7E">
        <w:t xml:space="preserve">accounts that must exist because the account holder is a participant in the </w:t>
      </w:r>
      <w:r w:rsidR="00221ACF" w:rsidRPr="00ED1C7E">
        <w:t>NZ ETS</w:t>
      </w:r>
      <w:r w:rsidRPr="00ED1C7E">
        <w:t xml:space="preserve"> </w:t>
      </w:r>
      <w:r w:rsidR="00365EFF" w:rsidRPr="00ED1C7E">
        <w:t xml:space="preserve">who </w:t>
      </w:r>
      <w:r w:rsidR="005931A4" w:rsidRPr="00ED1C7E">
        <w:t xml:space="preserve">either </w:t>
      </w:r>
      <w:r w:rsidR="00365EFF" w:rsidRPr="00ED1C7E">
        <w:t xml:space="preserve">has </w:t>
      </w:r>
      <w:r w:rsidR="004C4612" w:rsidRPr="00ED1C7E">
        <w:t xml:space="preserve">surrender obligations or </w:t>
      </w:r>
      <w:r w:rsidR="005931A4" w:rsidRPr="00ED1C7E">
        <w:t>receives an allocation (</w:t>
      </w:r>
      <w:r w:rsidR="00762324" w:rsidRPr="00ED1C7E">
        <w:t xml:space="preserve">either </w:t>
      </w:r>
      <w:r w:rsidR="005931A4" w:rsidRPr="00ED1C7E">
        <w:t xml:space="preserve">free allocation or units </w:t>
      </w:r>
      <w:r w:rsidR="00762324" w:rsidRPr="00ED1C7E">
        <w:t xml:space="preserve">received </w:t>
      </w:r>
      <w:r w:rsidR="005931A4" w:rsidRPr="00ED1C7E">
        <w:t>for removals)</w:t>
      </w:r>
    </w:p>
    <w:p w14:paraId="5C9CE7D4" w14:textId="6856F1D7" w:rsidR="00203D19" w:rsidRPr="00ED1C7E" w:rsidRDefault="00053157" w:rsidP="008E2D75">
      <w:pPr>
        <w:pStyle w:val="Bullet"/>
      </w:pPr>
      <w:r w:rsidRPr="00ED1C7E">
        <w:t xml:space="preserve">accounts opened or managed </w:t>
      </w:r>
      <w:r w:rsidR="00790556" w:rsidRPr="00ED1C7E">
        <w:t>by non-participants.</w:t>
      </w:r>
    </w:p>
    <w:p w14:paraId="5321985D" w14:textId="77777777" w:rsidR="00DA77E4" w:rsidRPr="00ED1C7E" w:rsidRDefault="00DA77E4" w:rsidP="00110CC3">
      <w:pPr>
        <w:pStyle w:val="Heading3"/>
      </w:pPr>
      <w:r w:rsidRPr="00ED1C7E">
        <w:t>Why update this definition?</w:t>
      </w:r>
    </w:p>
    <w:p w14:paraId="4ADF145B" w14:textId="163B5F26" w:rsidR="00DA77E4" w:rsidRPr="00ED1C7E" w:rsidRDefault="003D699B" w:rsidP="00DA77E4">
      <w:pPr>
        <w:pStyle w:val="BodyText"/>
      </w:pPr>
      <w:r w:rsidRPr="00ED1C7E">
        <w:t>Any person opening an account in the</w:t>
      </w:r>
      <w:r w:rsidR="00500460" w:rsidRPr="00ED1C7E">
        <w:t xml:space="preserve"> New Zealand Emissions Trading Register (</w:t>
      </w:r>
      <w:r w:rsidR="00221ACF" w:rsidRPr="00ED1C7E">
        <w:t>NZ ETS</w:t>
      </w:r>
      <w:r w:rsidR="00260D3C" w:rsidRPr="00ED1C7E">
        <w:t xml:space="preserve"> </w:t>
      </w:r>
      <w:r w:rsidRPr="00ED1C7E">
        <w:t>Regist</w:t>
      </w:r>
      <w:r w:rsidR="00500460" w:rsidRPr="00ED1C7E">
        <w:t xml:space="preserve">er) </w:t>
      </w:r>
      <w:r w:rsidR="00F36734" w:rsidRPr="00ED1C7E">
        <w:t xml:space="preserve">must </w:t>
      </w:r>
      <w:r w:rsidRPr="00ED1C7E">
        <w:t xml:space="preserve">be </w:t>
      </w:r>
      <w:r w:rsidR="00923F3F" w:rsidRPr="00ED1C7E">
        <w:t xml:space="preserve">a ‘qualified </w:t>
      </w:r>
      <w:r w:rsidRPr="00ED1C7E">
        <w:t xml:space="preserve">person,’ as defined in </w:t>
      </w:r>
      <w:hyperlink r:id="rId46" w:history="1">
        <w:r w:rsidR="00E84113" w:rsidRPr="00ED1C7E">
          <w:rPr>
            <w:rStyle w:val="Hyperlink"/>
          </w:rPr>
          <w:t xml:space="preserve">clause </w:t>
        </w:r>
        <w:r w:rsidR="000E429D" w:rsidRPr="00ED1C7E">
          <w:rPr>
            <w:rStyle w:val="Hyperlink"/>
          </w:rPr>
          <w:t>3</w:t>
        </w:r>
      </w:hyperlink>
      <w:r w:rsidR="000E429D" w:rsidRPr="00ED1C7E">
        <w:t xml:space="preserve"> of the </w:t>
      </w:r>
      <w:r w:rsidR="00AA7674" w:rsidRPr="00ED1C7E">
        <w:t xml:space="preserve">Unit Register </w:t>
      </w:r>
      <w:r w:rsidR="00923F3F" w:rsidRPr="00ED1C7E">
        <w:t>Regulations</w:t>
      </w:r>
      <w:r w:rsidRPr="00ED1C7E">
        <w:t>.</w:t>
      </w:r>
      <w:r w:rsidR="004D7C51" w:rsidRPr="00ED1C7E">
        <w:t xml:space="preserve"> The intention of this definition, and the </w:t>
      </w:r>
      <w:r w:rsidR="00D617C8" w:rsidRPr="00ED1C7E">
        <w:t>other clauses of the</w:t>
      </w:r>
      <w:r w:rsidR="004D7C51" w:rsidRPr="00ED1C7E">
        <w:t xml:space="preserve"> </w:t>
      </w:r>
      <w:r w:rsidR="00AA7674" w:rsidRPr="00ED1C7E">
        <w:t xml:space="preserve">Unit Register </w:t>
      </w:r>
      <w:r w:rsidR="004D7C51" w:rsidRPr="00ED1C7E">
        <w:t xml:space="preserve">Regulations that rely on </w:t>
      </w:r>
      <w:r w:rsidR="00B81990" w:rsidRPr="00ED1C7E">
        <w:t>it</w:t>
      </w:r>
      <w:r w:rsidR="004D7C51" w:rsidRPr="00ED1C7E">
        <w:t xml:space="preserve">, is to </w:t>
      </w:r>
      <w:r w:rsidR="00383F5F" w:rsidRPr="00ED1C7E">
        <w:t xml:space="preserve">prevent unsuitable individuals or entities from opening accounts </w:t>
      </w:r>
      <w:r w:rsidR="005B7BE4" w:rsidRPr="00ED1C7E">
        <w:t>or acting as primary representatives for these accounts.</w:t>
      </w:r>
      <w:r w:rsidR="00F438BC" w:rsidRPr="00ED1C7E">
        <w:t xml:space="preserve"> </w:t>
      </w:r>
      <w:r w:rsidR="00B81990" w:rsidRPr="00ED1C7E">
        <w:t xml:space="preserve">For example, the definition </w:t>
      </w:r>
      <w:r w:rsidR="00F438BC" w:rsidRPr="00ED1C7E">
        <w:t xml:space="preserve">rules out individuals who are under 18 years of age or </w:t>
      </w:r>
      <w:r w:rsidR="003614D3" w:rsidRPr="00ED1C7E">
        <w:t xml:space="preserve">are </w:t>
      </w:r>
      <w:r w:rsidR="00055A49" w:rsidRPr="00ED1C7E">
        <w:t>in undischarged ban</w:t>
      </w:r>
      <w:r w:rsidR="000B6B80" w:rsidRPr="00ED1C7E">
        <w:t>kruptcy.</w:t>
      </w:r>
    </w:p>
    <w:p w14:paraId="3A87EDC0" w14:textId="4A7208E3" w:rsidR="0090791E" w:rsidRPr="00ED1C7E" w:rsidRDefault="009434FE" w:rsidP="00DA77E4">
      <w:pPr>
        <w:pStyle w:val="BodyText"/>
      </w:pPr>
      <w:r w:rsidRPr="00ED1C7E">
        <w:t xml:space="preserve">However, </w:t>
      </w:r>
      <w:r w:rsidR="00282586" w:rsidRPr="00ED1C7E">
        <w:t xml:space="preserve">mandatory participants must </w:t>
      </w:r>
      <w:r w:rsidR="0087179A" w:rsidRPr="00ED1C7E">
        <w:t>have a holding account</w:t>
      </w:r>
      <w:r w:rsidR="00AF40B1" w:rsidRPr="00ED1C7E">
        <w:t xml:space="preserve">, and such a </w:t>
      </w:r>
      <w:r w:rsidR="00AE3EA4" w:rsidRPr="00ED1C7E">
        <w:t xml:space="preserve">participant </w:t>
      </w:r>
      <w:r w:rsidR="00105FA5" w:rsidRPr="00ED1C7E">
        <w:t>could</w:t>
      </w:r>
      <w:r w:rsidR="0087179A" w:rsidRPr="00ED1C7E">
        <w:t xml:space="preserve"> otherwise </w:t>
      </w:r>
      <w:r w:rsidR="00AF40B1" w:rsidRPr="00ED1C7E">
        <w:t>be considered unsuitable</w:t>
      </w:r>
      <w:r w:rsidR="0087179A" w:rsidRPr="00ED1C7E">
        <w:t xml:space="preserve"> under </w:t>
      </w:r>
      <w:r w:rsidR="00427D1F" w:rsidRPr="00ED1C7E">
        <w:t>the definition</w:t>
      </w:r>
      <w:r w:rsidR="00F36734" w:rsidRPr="00ED1C7E">
        <w:t>. Therefore</w:t>
      </w:r>
      <w:r w:rsidR="00427D1F" w:rsidRPr="00ED1C7E">
        <w:t xml:space="preserve">, the regulations must allow for an exemption </w:t>
      </w:r>
      <w:r w:rsidR="00203EE6" w:rsidRPr="00ED1C7E">
        <w:t>in certain cases</w:t>
      </w:r>
      <w:r w:rsidR="00427D1F" w:rsidRPr="00ED1C7E">
        <w:t>.</w:t>
      </w:r>
    </w:p>
    <w:p w14:paraId="6BDE8359" w14:textId="200DF283" w:rsidR="00203EE6" w:rsidRPr="00ED1C7E" w:rsidRDefault="00E679B1" w:rsidP="00DA77E4">
      <w:pPr>
        <w:pStyle w:val="BodyText"/>
      </w:pPr>
      <w:r w:rsidRPr="00ED1C7E">
        <w:t>The</w:t>
      </w:r>
      <w:r w:rsidR="00100297" w:rsidRPr="00ED1C7E">
        <w:t xml:space="preserve"> </w:t>
      </w:r>
      <w:r w:rsidR="00203EE6" w:rsidRPr="00ED1C7E">
        <w:t xml:space="preserve">interactions between this definition and other </w:t>
      </w:r>
      <w:r w:rsidR="008250E6" w:rsidRPr="00ED1C7E">
        <w:t xml:space="preserve">clauses </w:t>
      </w:r>
      <w:r w:rsidR="00203EE6" w:rsidRPr="00ED1C7E">
        <w:t xml:space="preserve">in the Unit Register Regulations </w:t>
      </w:r>
      <w:r w:rsidR="00E562CF" w:rsidRPr="00ED1C7E">
        <w:t>are ambiguous</w:t>
      </w:r>
      <w:r w:rsidR="008250E6" w:rsidRPr="00ED1C7E">
        <w:t>.</w:t>
      </w:r>
      <w:r w:rsidR="00E36060" w:rsidRPr="00ED1C7E">
        <w:t xml:space="preserve"> Depending on </w:t>
      </w:r>
      <w:r w:rsidR="00E60DFA" w:rsidRPr="00ED1C7E">
        <w:t>how the regulations are read</w:t>
      </w:r>
      <w:r w:rsidR="00E36060" w:rsidRPr="00ED1C7E">
        <w:t xml:space="preserve">, </w:t>
      </w:r>
      <w:r w:rsidR="00F51243" w:rsidRPr="00ED1C7E">
        <w:t xml:space="preserve">individuals </w:t>
      </w:r>
      <w:r w:rsidR="00073097" w:rsidRPr="00ED1C7E">
        <w:t xml:space="preserve">unsuitable under </w:t>
      </w:r>
      <w:r w:rsidR="00D11D1A" w:rsidRPr="00ED1C7E">
        <w:t xml:space="preserve">parts of </w:t>
      </w:r>
      <w:r w:rsidR="00073097" w:rsidRPr="00ED1C7E">
        <w:t xml:space="preserve">the definition </w:t>
      </w:r>
      <w:r w:rsidR="00F22312" w:rsidRPr="00ED1C7E">
        <w:t xml:space="preserve">could </w:t>
      </w:r>
      <w:r w:rsidR="00712FE1" w:rsidRPr="00ED1C7E">
        <w:t xml:space="preserve">open or </w:t>
      </w:r>
      <w:r w:rsidR="00693EA9" w:rsidRPr="00ED1C7E">
        <w:t>manage holding accounts</w:t>
      </w:r>
      <w:r w:rsidR="00B02913" w:rsidRPr="00ED1C7E">
        <w:t xml:space="preserve"> using exemptions or loopholes not intended to apply to them</w:t>
      </w:r>
      <w:r w:rsidR="00693EA9" w:rsidRPr="00ED1C7E">
        <w:t>.</w:t>
      </w:r>
    </w:p>
    <w:p w14:paraId="528A5167" w14:textId="53F1474E" w:rsidR="00BC4067" w:rsidRPr="00ED1C7E" w:rsidRDefault="00C642BE" w:rsidP="00DA77E4">
      <w:pPr>
        <w:pStyle w:val="BodyText"/>
      </w:pPr>
      <w:r w:rsidRPr="00ED1C7E">
        <w:t xml:space="preserve">Clarifying the </w:t>
      </w:r>
      <w:r w:rsidR="008D7283" w:rsidRPr="00ED1C7E">
        <w:t xml:space="preserve">wording and cross-referencing </w:t>
      </w:r>
      <w:r w:rsidRPr="00ED1C7E">
        <w:t xml:space="preserve">in two </w:t>
      </w:r>
      <w:r w:rsidR="00A91114" w:rsidRPr="00ED1C7E">
        <w:t>clauses</w:t>
      </w:r>
      <w:r w:rsidR="00C43CC9" w:rsidRPr="00ED1C7E">
        <w:t xml:space="preserve"> of the Unit Register Regulations</w:t>
      </w:r>
      <w:r w:rsidR="00A91114" w:rsidRPr="00ED1C7E">
        <w:t xml:space="preserve"> </w:t>
      </w:r>
      <w:r w:rsidR="008D7283" w:rsidRPr="00ED1C7E">
        <w:t xml:space="preserve">could </w:t>
      </w:r>
      <w:r w:rsidR="008250AD" w:rsidRPr="00ED1C7E">
        <w:t>support interpretation and mitigate the risks identified</w:t>
      </w:r>
      <w:r w:rsidR="00FE1B47">
        <w:t>:</w:t>
      </w:r>
    </w:p>
    <w:p w14:paraId="188378C0" w14:textId="03D5A895" w:rsidR="008234C9" w:rsidRPr="00ED1C7E" w:rsidRDefault="00866E95" w:rsidP="00FE14E4">
      <w:pPr>
        <w:pStyle w:val="Bullet"/>
      </w:pPr>
      <w:hyperlink r:id="rId47" w:history="1">
        <w:r w:rsidR="00A91114" w:rsidRPr="00ED1C7E">
          <w:rPr>
            <w:rStyle w:val="Hyperlink"/>
          </w:rPr>
          <w:t xml:space="preserve">Clause </w:t>
        </w:r>
        <w:r w:rsidR="00280089" w:rsidRPr="00ED1C7E">
          <w:rPr>
            <w:rStyle w:val="Hyperlink"/>
          </w:rPr>
          <w:t>3</w:t>
        </w:r>
      </w:hyperlink>
      <w:r w:rsidR="003536C3" w:rsidRPr="00ED1C7E">
        <w:t xml:space="preserve"> </w:t>
      </w:r>
      <w:r w:rsidR="00B373AD" w:rsidRPr="00ED1C7E">
        <w:t>explicitly defines</w:t>
      </w:r>
      <w:r w:rsidR="003536C3" w:rsidRPr="00ED1C7E">
        <w:t xml:space="preserve"> </w:t>
      </w:r>
      <w:r w:rsidR="00A84501" w:rsidRPr="00ED1C7E">
        <w:t xml:space="preserve">the </w:t>
      </w:r>
      <w:r w:rsidR="00B373AD" w:rsidRPr="00ED1C7E">
        <w:t xml:space="preserve">term </w:t>
      </w:r>
      <w:r w:rsidR="00A84501" w:rsidRPr="00ED1C7E">
        <w:t>‘unit register</w:t>
      </w:r>
      <w:r w:rsidR="009F7256" w:rsidRPr="00ED1C7E">
        <w:t>,</w:t>
      </w:r>
      <w:r w:rsidR="00B373AD" w:rsidRPr="00ED1C7E">
        <w:t>’</w:t>
      </w:r>
      <w:r w:rsidR="00A84501" w:rsidRPr="00ED1C7E">
        <w:t xml:space="preserve"> </w:t>
      </w:r>
      <w:r w:rsidR="00940F67" w:rsidRPr="00ED1C7E">
        <w:t xml:space="preserve">but </w:t>
      </w:r>
      <w:r w:rsidR="00C613A7" w:rsidRPr="00ED1C7E">
        <w:t xml:space="preserve">throughout this </w:t>
      </w:r>
      <w:r w:rsidR="00F55564" w:rsidRPr="00ED1C7E">
        <w:t xml:space="preserve">clause </w:t>
      </w:r>
      <w:r w:rsidR="00C613A7" w:rsidRPr="00ED1C7E">
        <w:t>it is often referred to as ‘a register’</w:t>
      </w:r>
      <w:r w:rsidR="00B373AD" w:rsidRPr="00ED1C7E">
        <w:t xml:space="preserve"> instead.</w:t>
      </w:r>
      <w:r w:rsidR="00C613A7" w:rsidRPr="00ED1C7E">
        <w:t xml:space="preserve"> </w:t>
      </w:r>
      <w:r w:rsidR="001A5DC1" w:rsidRPr="00ED1C7E">
        <w:t xml:space="preserve">Though </w:t>
      </w:r>
      <w:r w:rsidR="00746D39" w:rsidRPr="00ED1C7E">
        <w:t xml:space="preserve">it </w:t>
      </w:r>
      <w:r w:rsidR="003F6A6B" w:rsidRPr="00ED1C7E">
        <w:t xml:space="preserve">should be </w:t>
      </w:r>
      <w:r w:rsidR="00671130" w:rsidRPr="00ED1C7E">
        <w:t xml:space="preserve">clear to </w:t>
      </w:r>
      <w:r w:rsidR="00FF5D42" w:rsidRPr="00ED1C7E">
        <w:t xml:space="preserve">anyone reading the regulations that ‘a register’ refers to the unit register, </w:t>
      </w:r>
      <w:r w:rsidR="00B51157" w:rsidRPr="00ED1C7E">
        <w:t xml:space="preserve">the </w:t>
      </w:r>
      <w:r w:rsidR="007D068A" w:rsidRPr="00ED1C7E">
        <w:t>inconsistency</w:t>
      </w:r>
      <w:r w:rsidR="00B51157" w:rsidRPr="00ED1C7E">
        <w:t xml:space="preserve"> in the </w:t>
      </w:r>
      <w:r w:rsidR="007D068A" w:rsidRPr="00ED1C7E">
        <w:t xml:space="preserve">terms </w:t>
      </w:r>
      <w:r w:rsidR="00B832B3" w:rsidRPr="00ED1C7E">
        <w:t>could</w:t>
      </w:r>
      <w:r w:rsidR="008E2D75" w:rsidRPr="00ED1C7E">
        <w:t> </w:t>
      </w:r>
      <w:r w:rsidR="00B832B3" w:rsidRPr="00ED1C7E">
        <w:t>allow for unintended interpretations.</w:t>
      </w:r>
    </w:p>
    <w:p w14:paraId="03E25A47" w14:textId="42853569" w:rsidR="00771DD8" w:rsidRPr="00ED1C7E" w:rsidRDefault="00866E95" w:rsidP="00FE14E4">
      <w:pPr>
        <w:pStyle w:val="Bullet"/>
      </w:pPr>
      <w:hyperlink r:id="rId48" w:history="1">
        <w:r w:rsidR="001C6990" w:rsidRPr="00ED1C7E">
          <w:rPr>
            <w:rStyle w:val="Hyperlink"/>
          </w:rPr>
          <w:t xml:space="preserve">Clause </w:t>
        </w:r>
        <w:r w:rsidR="00B373AD" w:rsidRPr="00ED1C7E">
          <w:rPr>
            <w:rStyle w:val="Hyperlink"/>
          </w:rPr>
          <w:t>14</w:t>
        </w:r>
      </w:hyperlink>
      <w:r w:rsidR="00B373AD" w:rsidRPr="00ED1C7E">
        <w:t xml:space="preserve"> </w:t>
      </w:r>
      <w:r w:rsidR="00CD06BC" w:rsidRPr="00ED1C7E">
        <w:t xml:space="preserve">sets out that, in addition to authorisation from the relevant account holder, </w:t>
      </w:r>
      <w:r w:rsidR="00DF7108" w:rsidRPr="00ED1C7E">
        <w:t xml:space="preserve">the only other qualification to act as a primary representative for a holding account is to be </w:t>
      </w:r>
      <w:r w:rsidR="00D63191" w:rsidRPr="00ED1C7E">
        <w:t>‘</w:t>
      </w:r>
      <w:r w:rsidR="00DF7108" w:rsidRPr="00ED1C7E">
        <w:t>a</w:t>
      </w:r>
      <w:r w:rsidR="008E2D75" w:rsidRPr="00ED1C7E">
        <w:t> </w:t>
      </w:r>
      <w:r w:rsidR="00DF7108" w:rsidRPr="00ED1C7E">
        <w:t>qualified person</w:t>
      </w:r>
      <w:r w:rsidR="009F7256" w:rsidRPr="00ED1C7E">
        <w:t>.</w:t>
      </w:r>
      <w:r w:rsidR="00D63191" w:rsidRPr="00ED1C7E">
        <w:t>’</w:t>
      </w:r>
      <w:r w:rsidR="00C9798A" w:rsidRPr="00ED1C7E">
        <w:t xml:space="preserve"> </w:t>
      </w:r>
      <w:r w:rsidR="000677E5" w:rsidRPr="00ED1C7E">
        <w:t xml:space="preserve">This is intended to allow </w:t>
      </w:r>
      <w:r w:rsidR="00281D61" w:rsidRPr="00ED1C7E">
        <w:t xml:space="preserve">mandatory participants </w:t>
      </w:r>
      <w:r w:rsidR="00AA55ED" w:rsidRPr="00ED1C7E">
        <w:t xml:space="preserve">to manage </w:t>
      </w:r>
      <w:r w:rsidR="00ED01E4" w:rsidRPr="00ED1C7E">
        <w:t>holding accounts</w:t>
      </w:r>
      <w:r w:rsidR="00D63191" w:rsidRPr="00ED1C7E">
        <w:t>,</w:t>
      </w:r>
      <w:r w:rsidR="00ED01E4" w:rsidRPr="00ED1C7E">
        <w:t xml:space="preserve"> even where they might otherwise not meet the definition of qualified person. However, </w:t>
      </w:r>
      <w:r w:rsidR="00F07E51" w:rsidRPr="00ED1C7E">
        <w:t>we are aware that an unintended reading c</w:t>
      </w:r>
      <w:r w:rsidR="002C2887" w:rsidRPr="00ED1C7E">
        <w:t xml:space="preserve">ould </w:t>
      </w:r>
      <w:r w:rsidR="00F07E51" w:rsidRPr="00ED1C7E">
        <w:t xml:space="preserve">suggest that </w:t>
      </w:r>
      <w:r w:rsidR="002C2887" w:rsidRPr="00ED1C7E">
        <w:t xml:space="preserve">a person </w:t>
      </w:r>
      <w:r w:rsidR="0027740E" w:rsidRPr="00ED1C7E">
        <w:t xml:space="preserve">who only meets the definition of qualified person because they are a mandatory participant </w:t>
      </w:r>
      <w:r w:rsidR="00F07E51" w:rsidRPr="00ED1C7E">
        <w:t xml:space="preserve">can </w:t>
      </w:r>
      <w:r w:rsidR="001C3268" w:rsidRPr="00ED1C7E">
        <w:t xml:space="preserve">become the primary representative for a holding account </w:t>
      </w:r>
      <w:r w:rsidR="00513194" w:rsidRPr="00ED1C7E">
        <w:t xml:space="preserve">other than the one that they are </w:t>
      </w:r>
      <w:r w:rsidR="00BE0647" w:rsidRPr="00ED1C7E">
        <w:t xml:space="preserve">specifically required to </w:t>
      </w:r>
      <w:r w:rsidR="00D11D1A" w:rsidRPr="00ED1C7E">
        <w:t>have.</w:t>
      </w:r>
    </w:p>
    <w:p w14:paraId="6B1CC877" w14:textId="77777777" w:rsidR="00DA77E4" w:rsidRPr="00ED1C7E" w:rsidRDefault="00DA77E4" w:rsidP="00110CC3">
      <w:pPr>
        <w:pStyle w:val="Heading3"/>
      </w:pPr>
      <w:r w:rsidRPr="00ED1C7E">
        <w:lastRenderedPageBreak/>
        <w:t>Options</w:t>
      </w:r>
    </w:p>
    <w:p w14:paraId="5B86FD4B" w14:textId="07900A49" w:rsidR="00785096" w:rsidRPr="00ED1C7E" w:rsidRDefault="00785096" w:rsidP="00336229">
      <w:pPr>
        <w:pStyle w:val="Heading4"/>
        <w:spacing w:before="240"/>
      </w:pPr>
      <w:r w:rsidRPr="00ED1C7E">
        <w:t xml:space="preserve">Option 1: Status </w:t>
      </w:r>
      <w:r w:rsidR="00F95C5F" w:rsidRPr="00ED1C7E">
        <w:t>q</w:t>
      </w:r>
      <w:r w:rsidRPr="00ED1C7E">
        <w:t>uo</w:t>
      </w:r>
    </w:p>
    <w:p w14:paraId="64B01E34" w14:textId="55F48A0C" w:rsidR="00785096" w:rsidRPr="00ED1C7E" w:rsidRDefault="00785096" w:rsidP="00785096">
      <w:pPr>
        <w:pStyle w:val="BodyText"/>
      </w:pPr>
      <w:r w:rsidRPr="00ED1C7E">
        <w:t xml:space="preserve">Under this option, the </w:t>
      </w:r>
      <w:r w:rsidR="00AA7674" w:rsidRPr="00ED1C7E">
        <w:t xml:space="preserve">Unit Register </w:t>
      </w:r>
      <w:r w:rsidRPr="00ED1C7E">
        <w:t>Regulations</w:t>
      </w:r>
      <w:r w:rsidR="00F95C5F" w:rsidRPr="00ED1C7E">
        <w:t xml:space="preserve"> will not be updated</w:t>
      </w:r>
      <w:r w:rsidRPr="00ED1C7E">
        <w:t xml:space="preserve">. The current definition of ‘qualified person’ under </w:t>
      </w:r>
      <w:hyperlink r:id="rId49" w:history="1">
        <w:r w:rsidR="00C261F0" w:rsidRPr="00ED1C7E">
          <w:rPr>
            <w:rStyle w:val="Hyperlink"/>
          </w:rPr>
          <w:t xml:space="preserve">clause </w:t>
        </w:r>
        <w:r w:rsidRPr="00ED1C7E">
          <w:rPr>
            <w:rStyle w:val="Hyperlink"/>
          </w:rPr>
          <w:t>3</w:t>
        </w:r>
      </w:hyperlink>
      <w:r w:rsidRPr="00ED1C7E">
        <w:t xml:space="preserve">, as well as any other </w:t>
      </w:r>
      <w:r w:rsidR="00C261F0" w:rsidRPr="00ED1C7E">
        <w:t xml:space="preserve">clauses </w:t>
      </w:r>
      <w:r w:rsidRPr="00ED1C7E">
        <w:t xml:space="preserve">in the regulations that rely on this definition, </w:t>
      </w:r>
      <w:r w:rsidR="00C1712D" w:rsidRPr="00ED1C7E">
        <w:t xml:space="preserve">will </w:t>
      </w:r>
      <w:r w:rsidRPr="00ED1C7E">
        <w:t>remain the same.</w:t>
      </w:r>
    </w:p>
    <w:p w14:paraId="5383A9AD" w14:textId="48A44B84" w:rsidR="00785096" w:rsidRPr="00ED1C7E" w:rsidRDefault="00785096" w:rsidP="00336229">
      <w:pPr>
        <w:pStyle w:val="Heading4"/>
        <w:spacing w:before="240"/>
      </w:pPr>
      <w:r w:rsidRPr="00ED1C7E">
        <w:t>Option 2: Update the U</w:t>
      </w:r>
      <w:r w:rsidR="00C1712D" w:rsidRPr="00ED1C7E">
        <w:t xml:space="preserve">nit </w:t>
      </w:r>
      <w:r w:rsidRPr="00ED1C7E">
        <w:t>R</w:t>
      </w:r>
      <w:r w:rsidR="00C1712D" w:rsidRPr="00ED1C7E">
        <w:t>egister</w:t>
      </w:r>
      <w:r w:rsidRPr="00ED1C7E">
        <w:t xml:space="preserve"> Regulations</w:t>
      </w:r>
    </w:p>
    <w:p w14:paraId="7D112431" w14:textId="6B98935E" w:rsidR="00785096" w:rsidRPr="00ED1C7E" w:rsidRDefault="00C1712D" w:rsidP="00785096">
      <w:pPr>
        <w:pStyle w:val="BodyText"/>
      </w:pPr>
      <w:r w:rsidRPr="00ED1C7E">
        <w:t>T</w:t>
      </w:r>
      <w:r w:rsidR="00785096" w:rsidRPr="00ED1C7E">
        <w:t xml:space="preserve">he </w:t>
      </w:r>
      <w:r w:rsidRPr="00ED1C7E">
        <w:t xml:space="preserve">relevant clauses of the </w:t>
      </w:r>
      <w:r w:rsidR="00AA7674" w:rsidRPr="00ED1C7E">
        <w:t xml:space="preserve">Unit Register </w:t>
      </w:r>
      <w:r w:rsidR="00785096" w:rsidRPr="00ED1C7E">
        <w:t>Regulations</w:t>
      </w:r>
      <w:r w:rsidRPr="00ED1C7E">
        <w:t xml:space="preserve"> will be clarified to</w:t>
      </w:r>
      <w:r w:rsidR="00785096" w:rsidRPr="00ED1C7E">
        <w:t xml:space="preserve"> </w:t>
      </w:r>
      <w:r w:rsidR="00301FB7" w:rsidRPr="00ED1C7E">
        <w:t xml:space="preserve">remove the ambiguities and </w:t>
      </w:r>
      <w:r w:rsidR="00AD03EF" w:rsidRPr="00ED1C7E">
        <w:t xml:space="preserve">risks </w:t>
      </w:r>
      <w:r w:rsidR="00301FB7" w:rsidRPr="00ED1C7E">
        <w:t>identified</w:t>
      </w:r>
      <w:r w:rsidRPr="00ED1C7E">
        <w:t xml:space="preserve"> above</w:t>
      </w:r>
      <w:r w:rsidR="00AD03EF" w:rsidRPr="00ED1C7E">
        <w:t xml:space="preserve">, while maintaining the intention </w:t>
      </w:r>
      <w:r w:rsidR="009A18AC" w:rsidRPr="00ED1C7E">
        <w:t xml:space="preserve">and </w:t>
      </w:r>
      <w:r w:rsidR="00C34544" w:rsidRPr="00ED1C7E">
        <w:t>functionality of the</w:t>
      </w:r>
      <w:r w:rsidR="008E2D75" w:rsidRPr="00ED1C7E">
        <w:t> </w:t>
      </w:r>
      <w:r w:rsidR="00C34544" w:rsidRPr="00ED1C7E">
        <w:t>unit register</w:t>
      </w:r>
      <w:r w:rsidR="00E960AF" w:rsidRPr="00ED1C7E">
        <w:t>.</w:t>
      </w:r>
    </w:p>
    <w:p w14:paraId="1533967F" w14:textId="77777777" w:rsidR="00DA77E4" w:rsidRPr="00ED1C7E" w:rsidRDefault="00DA77E4" w:rsidP="00110CC3">
      <w:pPr>
        <w:pStyle w:val="Heading3"/>
      </w:pPr>
      <w:r w:rsidRPr="00ED1C7E">
        <w:t>Analysis</w:t>
      </w:r>
    </w:p>
    <w:p w14:paraId="0326AB15" w14:textId="4D5C8533" w:rsidR="004D1BA1" w:rsidRPr="00ED1C7E" w:rsidRDefault="00020C44" w:rsidP="009B6E0D">
      <w:pPr>
        <w:pStyle w:val="BodyText"/>
      </w:pPr>
      <w:r w:rsidRPr="00ED1C7E">
        <w:fldChar w:fldCharType="begin"/>
      </w:r>
      <w:r w:rsidRPr="00ED1C7E">
        <w:instrText xml:space="preserve"> REF _Ref160171385 \h </w:instrText>
      </w:r>
      <w:r w:rsidRPr="00ED1C7E">
        <w:fldChar w:fldCharType="separate"/>
      </w:r>
      <w:r w:rsidR="00C60130" w:rsidRPr="00ED1C7E">
        <w:t xml:space="preserve">Table </w:t>
      </w:r>
      <w:r w:rsidR="00C60130">
        <w:rPr>
          <w:noProof/>
        </w:rPr>
        <w:t>12</w:t>
      </w:r>
      <w:r w:rsidRPr="00ED1C7E">
        <w:fldChar w:fldCharType="end"/>
      </w:r>
      <w:r w:rsidRPr="00ED1C7E">
        <w:t xml:space="preserve"> </w:t>
      </w:r>
      <w:r w:rsidR="004D1BA1" w:rsidRPr="00ED1C7E">
        <w:t xml:space="preserve">outlines an assessment of the options described above. To assist with interpretation of the analysis in the table, see the </w:t>
      </w:r>
      <w:hyperlink w:anchor="_Criteria_for_assessing" w:history="1">
        <w:r w:rsidR="004D1BA1" w:rsidRPr="00ED1C7E">
          <w:rPr>
            <w:rStyle w:val="Hyperlink"/>
          </w:rPr>
          <w:t>Criteria for assessing options</w:t>
        </w:r>
      </w:hyperlink>
      <w:r w:rsidR="004D1BA1" w:rsidRPr="00ED1C7E">
        <w:t xml:space="preserve"> section.</w:t>
      </w:r>
    </w:p>
    <w:p w14:paraId="521C4E71" w14:textId="2CB050BD" w:rsidR="00F917E2" w:rsidRPr="00ED1C7E" w:rsidRDefault="00F917E2" w:rsidP="005124F5">
      <w:pPr>
        <w:pStyle w:val="Tableheading"/>
      </w:pPr>
      <w:bookmarkStart w:id="62" w:name="_Ref160171385"/>
      <w:bookmarkStart w:id="63" w:name="_Toc165532919"/>
      <w:r w:rsidRPr="00ED1C7E">
        <w:t xml:space="preserve">Table </w:t>
      </w:r>
      <w:r w:rsidR="00594215">
        <w:fldChar w:fldCharType="begin"/>
      </w:r>
      <w:r w:rsidR="00594215">
        <w:instrText xml:space="preserve"> SEQ Table \* ARABIC </w:instrText>
      </w:r>
      <w:r w:rsidR="00594215">
        <w:fldChar w:fldCharType="separate"/>
      </w:r>
      <w:r w:rsidR="00C60130">
        <w:rPr>
          <w:noProof/>
        </w:rPr>
        <w:t>12</w:t>
      </w:r>
      <w:r w:rsidR="00594215">
        <w:rPr>
          <w:noProof/>
        </w:rPr>
        <w:fldChar w:fldCharType="end"/>
      </w:r>
      <w:bookmarkEnd w:id="62"/>
      <w:r w:rsidRPr="00ED1C7E">
        <w:t xml:space="preserve">: </w:t>
      </w:r>
      <w:r w:rsidR="008E2D75" w:rsidRPr="00ED1C7E">
        <w:tab/>
      </w:r>
      <w:r w:rsidRPr="00ED1C7E">
        <w:t xml:space="preserve">Options for updates to </w:t>
      </w:r>
      <w:r w:rsidR="00221ACF" w:rsidRPr="00ED1C7E">
        <w:t>NZ ETS</w:t>
      </w:r>
      <w:r w:rsidRPr="00ED1C7E">
        <w:t xml:space="preserve"> regulations for the definition of ‘qualified person’</w:t>
      </w:r>
      <w:bookmarkEnd w:id="63"/>
    </w:p>
    <w:tbl>
      <w:tblPr>
        <w:tblStyle w:val="TableGrid"/>
        <w:tblW w:w="8500"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1701"/>
        <w:gridCol w:w="1134"/>
        <w:gridCol w:w="5665"/>
      </w:tblGrid>
      <w:tr w:rsidR="00E960AF" w:rsidRPr="00ED1C7E" w14:paraId="2FAD120F" w14:textId="77777777" w:rsidTr="00F9170F">
        <w:trPr>
          <w:tblHeader/>
        </w:trPr>
        <w:tc>
          <w:tcPr>
            <w:tcW w:w="1701" w:type="dxa"/>
            <w:shd w:val="clear" w:color="auto" w:fill="1B556B" w:themeFill="text2"/>
            <w:vAlign w:val="bottom"/>
          </w:tcPr>
          <w:p w14:paraId="6541E52B" w14:textId="77777777" w:rsidR="00E960AF" w:rsidRPr="00ED1C7E" w:rsidRDefault="00E960AF" w:rsidP="00277350">
            <w:pPr>
              <w:pStyle w:val="TableTextbold"/>
              <w:spacing w:before="40" w:after="40"/>
              <w:rPr>
                <w:color w:val="FFFFFF" w:themeColor="background1"/>
              </w:rPr>
            </w:pPr>
            <w:r w:rsidRPr="00ED1C7E">
              <w:rPr>
                <w:color w:val="FFFFFF" w:themeColor="background1"/>
              </w:rPr>
              <w:t>Criteria</w:t>
            </w:r>
          </w:p>
        </w:tc>
        <w:tc>
          <w:tcPr>
            <w:tcW w:w="1134" w:type="dxa"/>
            <w:shd w:val="clear" w:color="auto" w:fill="1B556B" w:themeFill="text2"/>
            <w:vAlign w:val="bottom"/>
          </w:tcPr>
          <w:p w14:paraId="2C018035" w14:textId="77777777" w:rsidR="00E960AF" w:rsidRPr="00ED1C7E" w:rsidRDefault="00E960AF" w:rsidP="00277350">
            <w:pPr>
              <w:pStyle w:val="TableTextbold"/>
              <w:spacing w:before="40" w:after="40"/>
              <w:rPr>
                <w:color w:val="FFFFFF" w:themeColor="background1"/>
              </w:rPr>
            </w:pPr>
            <w:r w:rsidRPr="00ED1C7E">
              <w:rPr>
                <w:color w:val="FFFFFF" w:themeColor="background1"/>
              </w:rPr>
              <w:t>Option 1: Status quo</w:t>
            </w:r>
          </w:p>
        </w:tc>
        <w:tc>
          <w:tcPr>
            <w:tcW w:w="5665" w:type="dxa"/>
            <w:shd w:val="clear" w:color="auto" w:fill="1B556B" w:themeFill="text2"/>
            <w:vAlign w:val="bottom"/>
          </w:tcPr>
          <w:p w14:paraId="50A04612" w14:textId="6BC73C71" w:rsidR="00E960AF" w:rsidRPr="00ED1C7E" w:rsidRDefault="00E960AF" w:rsidP="00277350">
            <w:pPr>
              <w:pStyle w:val="TableTextbold"/>
              <w:spacing w:before="40" w:after="40"/>
              <w:rPr>
                <w:color w:val="FFFFFF" w:themeColor="background1"/>
              </w:rPr>
            </w:pPr>
            <w:r w:rsidRPr="00ED1C7E">
              <w:rPr>
                <w:color w:val="FFFFFF" w:themeColor="background1"/>
              </w:rPr>
              <w:t>Option 2:</w:t>
            </w:r>
            <w:r w:rsidRPr="00ED1C7E">
              <w:rPr>
                <w:color w:val="FFFFFF" w:themeColor="background1"/>
              </w:rPr>
              <w:br/>
              <w:t xml:space="preserve">Update the </w:t>
            </w:r>
            <w:r w:rsidR="00AA7674" w:rsidRPr="00ED1C7E">
              <w:rPr>
                <w:color w:val="FFFFFF" w:themeColor="background1"/>
              </w:rPr>
              <w:t xml:space="preserve">Unit Register </w:t>
            </w:r>
            <w:r w:rsidRPr="00ED1C7E">
              <w:rPr>
                <w:color w:val="FFFFFF" w:themeColor="background1"/>
              </w:rPr>
              <w:t>Regulations</w:t>
            </w:r>
          </w:p>
        </w:tc>
      </w:tr>
      <w:tr w:rsidR="00E960AF" w:rsidRPr="00ED1C7E" w14:paraId="6873977D" w14:textId="77777777" w:rsidTr="00F9170F">
        <w:tc>
          <w:tcPr>
            <w:tcW w:w="1701" w:type="dxa"/>
            <w:shd w:val="clear" w:color="auto" w:fill="auto"/>
          </w:tcPr>
          <w:p w14:paraId="1D9A840C" w14:textId="77777777" w:rsidR="00E960AF" w:rsidRPr="00ED1C7E" w:rsidRDefault="00E960AF" w:rsidP="00277350">
            <w:pPr>
              <w:pStyle w:val="TableText"/>
              <w:spacing w:before="40" w:after="40"/>
            </w:pPr>
            <w:r w:rsidRPr="00ED1C7E">
              <w:t>Alignment</w:t>
            </w:r>
          </w:p>
        </w:tc>
        <w:tc>
          <w:tcPr>
            <w:tcW w:w="1134" w:type="dxa"/>
          </w:tcPr>
          <w:p w14:paraId="4BC8757C" w14:textId="77777777" w:rsidR="00E960AF" w:rsidRPr="002F490B" w:rsidRDefault="00E960AF" w:rsidP="00277350">
            <w:pPr>
              <w:pStyle w:val="TableText"/>
              <w:spacing w:before="40" w:after="40"/>
              <w:rPr>
                <w:b/>
                <w:bCs/>
                <w:sz w:val="20"/>
              </w:rPr>
            </w:pPr>
            <w:r w:rsidRPr="002F490B">
              <w:rPr>
                <w:b/>
                <w:bCs/>
                <w:sz w:val="20"/>
              </w:rPr>
              <w:t>0</w:t>
            </w:r>
          </w:p>
        </w:tc>
        <w:tc>
          <w:tcPr>
            <w:tcW w:w="5665" w:type="dxa"/>
            <w:shd w:val="clear" w:color="auto" w:fill="auto"/>
          </w:tcPr>
          <w:p w14:paraId="320B536C" w14:textId="77777777" w:rsidR="002F490B" w:rsidRDefault="00E960AF" w:rsidP="00277350">
            <w:pPr>
              <w:pStyle w:val="TableText"/>
              <w:keepNext/>
              <w:spacing w:before="40" w:after="40"/>
              <w:rPr>
                <w:rFonts w:cs="Arial"/>
                <w:b/>
                <w:color w:val="00B050"/>
                <w:lang w:eastAsia="en-AU"/>
              </w:rPr>
            </w:pPr>
            <w:r w:rsidRPr="002F490B">
              <w:rPr>
                <w:rFonts w:cs="Arial"/>
                <w:b/>
                <w:color w:val="00B050"/>
                <w:sz w:val="20"/>
                <w:lang w:eastAsia="en-AU"/>
              </w:rPr>
              <w:t>+</w:t>
            </w:r>
          </w:p>
          <w:p w14:paraId="644FE791" w14:textId="6DE62AF8" w:rsidR="00E960AF" w:rsidRPr="00ED1C7E" w:rsidRDefault="00E960AF" w:rsidP="00277350">
            <w:pPr>
              <w:pStyle w:val="TableText"/>
              <w:keepNext/>
              <w:spacing w:before="40" w:after="40"/>
              <w:rPr>
                <w:rFonts w:cs="Arial"/>
                <w:bCs/>
                <w:lang w:eastAsia="en-AU"/>
              </w:rPr>
            </w:pPr>
            <w:r w:rsidRPr="00ED1C7E">
              <w:rPr>
                <w:rFonts w:cs="Arial"/>
                <w:bCs/>
                <w:lang w:eastAsia="en-AU"/>
              </w:rPr>
              <w:t xml:space="preserve">Aligns with the proper functioning of the </w:t>
            </w:r>
            <w:r w:rsidR="00221ACF" w:rsidRPr="00ED1C7E">
              <w:rPr>
                <w:rFonts w:cs="Arial"/>
                <w:bCs/>
                <w:lang w:eastAsia="en-AU"/>
              </w:rPr>
              <w:t>NZ ETS</w:t>
            </w:r>
            <w:r w:rsidR="00B007DE" w:rsidRPr="00ED1C7E">
              <w:rPr>
                <w:rFonts w:cs="Arial"/>
                <w:bCs/>
                <w:lang w:eastAsia="en-AU"/>
              </w:rPr>
              <w:t xml:space="preserve"> by maintaining the integrity of the unit register.</w:t>
            </w:r>
          </w:p>
        </w:tc>
      </w:tr>
      <w:tr w:rsidR="00E960AF" w:rsidRPr="00ED1C7E" w14:paraId="3A7ABB8B" w14:textId="77777777" w:rsidTr="00F9170F">
        <w:tc>
          <w:tcPr>
            <w:tcW w:w="1701" w:type="dxa"/>
            <w:shd w:val="clear" w:color="auto" w:fill="auto"/>
          </w:tcPr>
          <w:p w14:paraId="3587933E" w14:textId="77777777" w:rsidR="00E960AF" w:rsidRPr="00ED1C7E" w:rsidRDefault="00E960AF" w:rsidP="00277350">
            <w:pPr>
              <w:pStyle w:val="TableText"/>
              <w:spacing w:before="40" w:after="40"/>
            </w:pPr>
            <w:r w:rsidRPr="00ED1C7E">
              <w:t>Accuracy</w:t>
            </w:r>
          </w:p>
        </w:tc>
        <w:tc>
          <w:tcPr>
            <w:tcW w:w="1134" w:type="dxa"/>
          </w:tcPr>
          <w:p w14:paraId="2D287C87" w14:textId="77777777" w:rsidR="00E960AF" w:rsidRPr="002F490B" w:rsidRDefault="00E960AF" w:rsidP="00277350">
            <w:pPr>
              <w:pStyle w:val="TableText"/>
              <w:spacing w:before="40" w:after="40"/>
              <w:rPr>
                <w:b/>
                <w:bCs/>
                <w:sz w:val="20"/>
              </w:rPr>
            </w:pPr>
            <w:r w:rsidRPr="002F490B">
              <w:rPr>
                <w:b/>
                <w:bCs/>
                <w:sz w:val="20"/>
              </w:rPr>
              <w:t>0</w:t>
            </w:r>
          </w:p>
        </w:tc>
        <w:tc>
          <w:tcPr>
            <w:tcW w:w="5665" w:type="dxa"/>
            <w:shd w:val="clear" w:color="auto" w:fill="auto"/>
          </w:tcPr>
          <w:p w14:paraId="33D6B4BF" w14:textId="77777777" w:rsidR="002F490B" w:rsidRDefault="00E960AF" w:rsidP="00277350">
            <w:pPr>
              <w:pStyle w:val="TableText"/>
              <w:keepNext/>
              <w:spacing w:before="40" w:after="40"/>
              <w:rPr>
                <w:rFonts w:cs="Arial"/>
                <w:b/>
                <w:lang w:eastAsia="en-AU"/>
              </w:rPr>
            </w:pPr>
            <w:r w:rsidRPr="002F490B">
              <w:rPr>
                <w:rFonts w:cs="Arial"/>
                <w:b/>
                <w:sz w:val="20"/>
                <w:lang w:eastAsia="en-AU"/>
              </w:rPr>
              <w:t>0</w:t>
            </w:r>
          </w:p>
          <w:p w14:paraId="053E1A11" w14:textId="17E47E87" w:rsidR="00E960AF" w:rsidRPr="00ED1C7E" w:rsidRDefault="00E960AF" w:rsidP="00277350">
            <w:pPr>
              <w:pStyle w:val="TableText"/>
              <w:keepNext/>
              <w:spacing w:before="40" w:after="40"/>
              <w:rPr>
                <w:rFonts w:cs="Arial"/>
                <w:bCs/>
                <w:lang w:eastAsia="en-AU"/>
              </w:rPr>
            </w:pPr>
            <w:r w:rsidRPr="00ED1C7E">
              <w:rPr>
                <w:rFonts w:cs="Arial"/>
                <w:bCs/>
                <w:lang w:eastAsia="en-AU"/>
              </w:rPr>
              <w:t xml:space="preserve">Has no impact on the </w:t>
            </w:r>
            <w:r w:rsidR="00E802B8" w:rsidRPr="00ED1C7E">
              <w:rPr>
                <w:rFonts w:cs="Arial"/>
                <w:bCs/>
                <w:lang w:eastAsia="en-AU"/>
              </w:rPr>
              <w:t>reporting</w:t>
            </w:r>
            <w:r w:rsidR="00B84416" w:rsidRPr="00ED1C7E">
              <w:rPr>
                <w:rFonts w:cs="Arial"/>
                <w:bCs/>
                <w:lang w:eastAsia="en-AU"/>
              </w:rPr>
              <w:t xml:space="preserve"> o</w:t>
            </w:r>
            <w:r w:rsidR="00CF08E1" w:rsidRPr="00ED1C7E">
              <w:rPr>
                <w:rFonts w:cs="Arial"/>
                <w:bCs/>
                <w:lang w:eastAsia="en-AU"/>
              </w:rPr>
              <w:t xml:space="preserve">r </w:t>
            </w:r>
            <w:r w:rsidR="00E802B8" w:rsidRPr="00ED1C7E">
              <w:rPr>
                <w:rFonts w:cs="Arial"/>
                <w:bCs/>
                <w:lang w:eastAsia="en-AU"/>
              </w:rPr>
              <w:t>calculation</w:t>
            </w:r>
            <w:r w:rsidR="00B84416" w:rsidRPr="00ED1C7E">
              <w:rPr>
                <w:rFonts w:cs="Arial"/>
                <w:bCs/>
                <w:lang w:eastAsia="en-AU"/>
              </w:rPr>
              <w:t xml:space="preserve"> of</w:t>
            </w:r>
            <w:r w:rsidR="00E802B8" w:rsidRPr="00ED1C7E">
              <w:rPr>
                <w:rFonts w:cs="Arial"/>
                <w:bCs/>
                <w:lang w:eastAsia="en-AU"/>
              </w:rPr>
              <w:t xml:space="preserve">, or </w:t>
            </w:r>
            <w:r w:rsidR="00CF08E1" w:rsidRPr="00ED1C7E">
              <w:rPr>
                <w:rFonts w:cs="Arial"/>
                <w:bCs/>
                <w:lang w:eastAsia="en-AU"/>
              </w:rPr>
              <w:t xml:space="preserve">the </w:t>
            </w:r>
            <w:r w:rsidR="00E802B8" w:rsidRPr="00ED1C7E">
              <w:rPr>
                <w:rFonts w:cs="Arial"/>
                <w:bCs/>
                <w:lang w:eastAsia="en-AU"/>
              </w:rPr>
              <w:t xml:space="preserve">obligation </w:t>
            </w:r>
            <w:r w:rsidR="00B84416" w:rsidRPr="00ED1C7E">
              <w:rPr>
                <w:rFonts w:cs="Arial"/>
                <w:bCs/>
                <w:lang w:eastAsia="en-AU"/>
              </w:rPr>
              <w:t>on</w:t>
            </w:r>
            <w:r w:rsidR="00CF08E1" w:rsidRPr="00ED1C7E">
              <w:rPr>
                <w:rFonts w:cs="Arial"/>
                <w:bCs/>
                <w:lang w:eastAsia="en-AU"/>
              </w:rPr>
              <w:t>,</w:t>
            </w:r>
            <w:r w:rsidR="00B84416" w:rsidRPr="00ED1C7E">
              <w:rPr>
                <w:rFonts w:cs="Arial"/>
                <w:bCs/>
                <w:lang w:eastAsia="en-AU"/>
              </w:rPr>
              <w:t xml:space="preserve"> </w:t>
            </w:r>
            <w:r w:rsidR="001B196F" w:rsidRPr="00ED1C7E">
              <w:rPr>
                <w:rFonts w:cs="Arial"/>
                <w:bCs/>
                <w:lang w:eastAsia="en-AU"/>
              </w:rPr>
              <w:t xml:space="preserve">emissions within the </w:t>
            </w:r>
            <w:r w:rsidR="00221ACF" w:rsidRPr="00ED1C7E">
              <w:rPr>
                <w:rFonts w:cs="Arial"/>
                <w:bCs/>
                <w:lang w:eastAsia="en-AU"/>
              </w:rPr>
              <w:t>NZ ETS</w:t>
            </w:r>
            <w:r w:rsidR="001B196F" w:rsidRPr="00ED1C7E">
              <w:rPr>
                <w:rFonts w:cs="Arial"/>
                <w:bCs/>
                <w:lang w:eastAsia="en-AU"/>
              </w:rPr>
              <w:t>.</w:t>
            </w:r>
          </w:p>
        </w:tc>
      </w:tr>
      <w:tr w:rsidR="00E960AF" w:rsidRPr="00ED1C7E" w14:paraId="574895BF" w14:textId="77777777" w:rsidTr="00F9170F">
        <w:tc>
          <w:tcPr>
            <w:tcW w:w="1701" w:type="dxa"/>
          </w:tcPr>
          <w:p w14:paraId="11799446" w14:textId="77777777" w:rsidR="00E960AF" w:rsidRPr="00ED1C7E" w:rsidRDefault="00E960AF" w:rsidP="00277350">
            <w:pPr>
              <w:pStyle w:val="TableText"/>
              <w:spacing w:before="40" w:after="40"/>
            </w:pPr>
            <w:r w:rsidRPr="00ED1C7E">
              <w:t>Efficiency</w:t>
            </w:r>
          </w:p>
        </w:tc>
        <w:tc>
          <w:tcPr>
            <w:tcW w:w="1134" w:type="dxa"/>
          </w:tcPr>
          <w:p w14:paraId="0039ED91" w14:textId="77777777" w:rsidR="00E960AF" w:rsidRPr="002F490B" w:rsidRDefault="00E960AF" w:rsidP="00277350">
            <w:pPr>
              <w:pStyle w:val="TableText"/>
              <w:spacing w:before="40" w:after="40"/>
              <w:rPr>
                <w:b/>
                <w:bCs/>
                <w:sz w:val="20"/>
              </w:rPr>
            </w:pPr>
            <w:r w:rsidRPr="002F490B">
              <w:rPr>
                <w:b/>
                <w:bCs/>
                <w:sz w:val="20"/>
              </w:rPr>
              <w:t>0</w:t>
            </w:r>
          </w:p>
        </w:tc>
        <w:tc>
          <w:tcPr>
            <w:tcW w:w="5665" w:type="dxa"/>
          </w:tcPr>
          <w:p w14:paraId="5E75CEC1" w14:textId="77777777" w:rsidR="002F490B" w:rsidRDefault="00E960AF" w:rsidP="00277350">
            <w:pPr>
              <w:pStyle w:val="TableText"/>
              <w:spacing w:before="40" w:after="40"/>
              <w:rPr>
                <w:b/>
                <w:bCs/>
              </w:rPr>
            </w:pPr>
            <w:r w:rsidRPr="002F490B">
              <w:rPr>
                <w:b/>
                <w:bCs/>
                <w:sz w:val="20"/>
              </w:rPr>
              <w:t>0</w:t>
            </w:r>
          </w:p>
          <w:p w14:paraId="495B86A0" w14:textId="5BD39130" w:rsidR="00E960AF" w:rsidRPr="00ED1C7E" w:rsidRDefault="00E960AF" w:rsidP="00277350">
            <w:pPr>
              <w:pStyle w:val="TableText"/>
              <w:spacing w:before="40" w:after="40"/>
            </w:pPr>
            <w:r w:rsidRPr="00ED1C7E">
              <w:t>No change for participants in how they report their emissions.</w:t>
            </w:r>
          </w:p>
        </w:tc>
      </w:tr>
      <w:tr w:rsidR="00E960AF" w:rsidRPr="00ED1C7E" w14:paraId="404B0AB2" w14:textId="77777777" w:rsidTr="00F9170F">
        <w:tc>
          <w:tcPr>
            <w:tcW w:w="1701" w:type="dxa"/>
          </w:tcPr>
          <w:p w14:paraId="16A59EA6" w14:textId="77777777" w:rsidR="00E960AF" w:rsidRPr="00ED1C7E" w:rsidRDefault="00E960AF" w:rsidP="00277350">
            <w:pPr>
              <w:pStyle w:val="TableText"/>
              <w:spacing w:before="40" w:after="40"/>
            </w:pPr>
            <w:r w:rsidRPr="00ED1C7E">
              <w:t>Clarity</w:t>
            </w:r>
          </w:p>
        </w:tc>
        <w:tc>
          <w:tcPr>
            <w:tcW w:w="1134" w:type="dxa"/>
          </w:tcPr>
          <w:p w14:paraId="6AC40D1C" w14:textId="77777777" w:rsidR="00E960AF" w:rsidRPr="002F490B" w:rsidRDefault="00E960AF" w:rsidP="00277350">
            <w:pPr>
              <w:pStyle w:val="TableText"/>
              <w:spacing w:before="40" w:after="40"/>
              <w:rPr>
                <w:b/>
                <w:bCs/>
                <w:sz w:val="20"/>
              </w:rPr>
            </w:pPr>
            <w:r w:rsidRPr="002F490B">
              <w:rPr>
                <w:b/>
                <w:bCs/>
                <w:sz w:val="20"/>
              </w:rPr>
              <w:t>0</w:t>
            </w:r>
          </w:p>
        </w:tc>
        <w:tc>
          <w:tcPr>
            <w:tcW w:w="5665" w:type="dxa"/>
          </w:tcPr>
          <w:p w14:paraId="6C197A53" w14:textId="77777777" w:rsidR="002F490B" w:rsidRDefault="001B196F" w:rsidP="00277350">
            <w:pPr>
              <w:pStyle w:val="TableText"/>
              <w:spacing w:before="40" w:after="40"/>
              <w:rPr>
                <w:b/>
                <w:bCs/>
                <w:color w:val="00B050"/>
              </w:rPr>
            </w:pPr>
            <w:r w:rsidRPr="002F490B">
              <w:rPr>
                <w:b/>
                <w:bCs/>
                <w:color w:val="00B050"/>
                <w:sz w:val="20"/>
              </w:rPr>
              <w:t>+</w:t>
            </w:r>
          </w:p>
          <w:p w14:paraId="7E37DDF5" w14:textId="10ECEBA9" w:rsidR="00E960AF" w:rsidRPr="00ED1C7E" w:rsidRDefault="001B196F" w:rsidP="00277350">
            <w:pPr>
              <w:pStyle w:val="TableText"/>
              <w:spacing w:before="40" w:after="40"/>
            </w:pPr>
            <w:r w:rsidRPr="00ED1C7E">
              <w:t xml:space="preserve">Ensures that interpretation of the regulations is </w:t>
            </w:r>
            <w:r w:rsidR="00682C19" w:rsidRPr="00ED1C7E">
              <w:t xml:space="preserve">correct </w:t>
            </w:r>
            <w:r w:rsidR="00B007DE" w:rsidRPr="00ED1C7E">
              <w:t>for both the regulator and participants.</w:t>
            </w:r>
          </w:p>
        </w:tc>
      </w:tr>
      <w:tr w:rsidR="00E960AF" w:rsidRPr="00ED1C7E" w14:paraId="0706E4D5" w14:textId="77777777" w:rsidTr="00F9170F">
        <w:tc>
          <w:tcPr>
            <w:tcW w:w="1701" w:type="dxa"/>
          </w:tcPr>
          <w:p w14:paraId="19E630E6" w14:textId="77777777" w:rsidR="00E960AF" w:rsidRPr="00ED1C7E" w:rsidRDefault="00E960AF" w:rsidP="00277350">
            <w:pPr>
              <w:pStyle w:val="TableText"/>
              <w:spacing w:before="40" w:after="40"/>
              <w:rPr>
                <w:b/>
                <w:bCs/>
              </w:rPr>
            </w:pPr>
            <w:r w:rsidRPr="00ED1C7E">
              <w:rPr>
                <w:b/>
                <w:bCs/>
              </w:rPr>
              <w:t>Overall assessment</w:t>
            </w:r>
          </w:p>
        </w:tc>
        <w:tc>
          <w:tcPr>
            <w:tcW w:w="1134" w:type="dxa"/>
          </w:tcPr>
          <w:p w14:paraId="2EEEA00D" w14:textId="77777777" w:rsidR="00E960AF" w:rsidRPr="002F490B" w:rsidRDefault="00E960AF" w:rsidP="00277350">
            <w:pPr>
              <w:pStyle w:val="TableText"/>
              <w:spacing w:before="40" w:after="40"/>
              <w:rPr>
                <w:b/>
                <w:bCs/>
                <w:sz w:val="20"/>
              </w:rPr>
            </w:pPr>
            <w:r w:rsidRPr="002F490B">
              <w:rPr>
                <w:b/>
                <w:bCs/>
                <w:sz w:val="20"/>
              </w:rPr>
              <w:t>0</w:t>
            </w:r>
          </w:p>
        </w:tc>
        <w:tc>
          <w:tcPr>
            <w:tcW w:w="5665" w:type="dxa"/>
          </w:tcPr>
          <w:p w14:paraId="137EEAEB" w14:textId="6E0887DC" w:rsidR="00E960AF" w:rsidRPr="002F490B" w:rsidRDefault="00243472" w:rsidP="00277350">
            <w:pPr>
              <w:pStyle w:val="TableText"/>
              <w:keepNext/>
              <w:spacing w:before="40" w:after="40"/>
              <w:rPr>
                <w:rFonts w:cs="Arial"/>
                <w:b/>
                <w:color w:val="00B050"/>
                <w:sz w:val="20"/>
                <w:lang w:eastAsia="en-AU"/>
              </w:rPr>
            </w:pPr>
            <w:r w:rsidRPr="002F490B">
              <w:rPr>
                <w:rFonts w:cs="Arial"/>
                <w:b/>
                <w:color w:val="00B050"/>
                <w:sz w:val="20"/>
                <w:lang w:eastAsia="en-AU"/>
              </w:rPr>
              <w:t>2</w:t>
            </w:r>
            <w:r w:rsidR="00E960AF" w:rsidRPr="002F490B">
              <w:rPr>
                <w:rFonts w:cs="Arial"/>
                <w:b/>
                <w:color w:val="00B050"/>
                <w:sz w:val="20"/>
                <w:lang w:eastAsia="en-AU"/>
              </w:rPr>
              <w:t>+</w:t>
            </w:r>
          </w:p>
        </w:tc>
      </w:tr>
    </w:tbl>
    <w:p w14:paraId="4A05241E" w14:textId="77777777" w:rsidR="00213D47" w:rsidRPr="00ED1C7E" w:rsidRDefault="00213D47" w:rsidP="00830C4D">
      <w:pPr>
        <w:pStyle w:val="BodyText"/>
        <w:spacing w:before="240"/>
      </w:pPr>
      <w:r w:rsidRPr="00ED1C7E">
        <w:t>This proposal is not expected to have material economic impacts.</w:t>
      </w:r>
    </w:p>
    <w:p w14:paraId="13AE458D" w14:textId="71E546EE" w:rsidR="00DA77E4" w:rsidRDefault="00DA77E4" w:rsidP="00830C4D">
      <w:pPr>
        <w:pStyle w:val="Heading3"/>
        <w:spacing w:after="240"/>
      </w:pPr>
      <w:r w:rsidRPr="00ED1C7E">
        <w:t>Questions</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0D7189" w:rsidRPr="00D71C4F" w14:paraId="3280FBE7" w14:textId="77777777">
        <w:tc>
          <w:tcPr>
            <w:tcW w:w="8505" w:type="dxa"/>
            <w:shd w:val="clear" w:color="auto" w:fill="1B556B" w:themeFill="text2"/>
          </w:tcPr>
          <w:p w14:paraId="3089D36E" w14:textId="77777777" w:rsidR="000D7189" w:rsidRPr="00D71C4F" w:rsidRDefault="000D7189">
            <w:pPr>
              <w:pStyle w:val="TableText"/>
              <w:keepNext/>
              <w:rPr>
                <w:b/>
                <w:bCs/>
                <w:color w:val="FFFFFF" w:themeColor="background1"/>
                <w:sz w:val="20"/>
                <w:szCs w:val="22"/>
              </w:rPr>
            </w:pPr>
            <w:r w:rsidRPr="00D71C4F">
              <w:rPr>
                <w:b/>
                <w:bCs/>
                <w:color w:val="FFFFFF" w:themeColor="background1"/>
                <w:sz w:val="20"/>
                <w:szCs w:val="22"/>
              </w:rPr>
              <w:t>Question</w:t>
            </w:r>
          </w:p>
        </w:tc>
      </w:tr>
      <w:tr w:rsidR="000D7189" w:rsidRPr="00943CFD" w14:paraId="2A646C25" w14:textId="77777777">
        <w:tc>
          <w:tcPr>
            <w:tcW w:w="8505" w:type="dxa"/>
          </w:tcPr>
          <w:p w14:paraId="194C97B3" w14:textId="77777777" w:rsidR="000D7189" w:rsidRPr="00943CFD" w:rsidRDefault="000D7189" w:rsidP="00F94B5F">
            <w:pPr>
              <w:pStyle w:val="Questions"/>
              <w:ind w:left="319" w:hanging="284"/>
            </w:pPr>
            <w:bookmarkStart w:id="64" w:name="_Ref161240985"/>
            <w:r w:rsidRPr="00EF313A">
              <w:t>Do you have any feedback or relevant evidence about the proposed update to the ‘qualified person’ definition in the Unit Register Regulations?</w:t>
            </w:r>
            <w:bookmarkEnd w:id="64"/>
          </w:p>
        </w:tc>
      </w:tr>
    </w:tbl>
    <w:p w14:paraId="59C1F2AC" w14:textId="5755CBCE" w:rsidR="00DA77E4" w:rsidRPr="00E67474" w:rsidRDefault="00DA77E4" w:rsidP="00DA77E4">
      <w:pPr>
        <w:pStyle w:val="Heading2"/>
      </w:pPr>
      <w:bookmarkStart w:id="65" w:name="_Toc165533005"/>
      <w:r w:rsidRPr="00ED1C7E">
        <w:lastRenderedPageBreak/>
        <w:t xml:space="preserve">Proposed </w:t>
      </w:r>
      <w:r w:rsidR="00BC1351" w:rsidRPr="00ED1C7E">
        <w:t>r</w:t>
      </w:r>
      <w:r w:rsidRPr="00ED1C7E">
        <w:t xml:space="preserve">egulatory </w:t>
      </w:r>
      <w:r w:rsidR="00BC1351" w:rsidRPr="00ED1C7E">
        <w:t>u</w:t>
      </w:r>
      <w:r w:rsidRPr="00ED1C7E">
        <w:t xml:space="preserve">pdate </w:t>
      </w:r>
      <w:r w:rsidR="000A0224" w:rsidRPr="00ED1C7E">
        <w:t>7</w:t>
      </w:r>
      <w:r w:rsidRPr="00ED1C7E">
        <w:t>:</w:t>
      </w:r>
      <w:r w:rsidRPr="00ED1C7E">
        <w:br/>
      </w:r>
      <w:r w:rsidR="00023AAD" w:rsidRPr="00E67474">
        <w:t>Improving</w:t>
      </w:r>
      <w:r w:rsidR="00EF0BC7" w:rsidRPr="00E67474">
        <w:t xml:space="preserve"> auctioning </w:t>
      </w:r>
      <w:r w:rsidR="001F30AA">
        <w:t xml:space="preserve">collateral </w:t>
      </w:r>
      <w:proofErr w:type="gramStart"/>
      <w:r w:rsidR="001F30AA">
        <w:t>methodology</w:t>
      </w:r>
      <w:bookmarkEnd w:id="65"/>
      <w:proofErr w:type="gramEnd"/>
    </w:p>
    <w:p w14:paraId="008791F8" w14:textId="77777777" w:rsidR="00DA77E4" w:rsidRPr="00ED1C7E" w:rsidRDefault="00DA77E4" w:rsidP="0036328E">
      <w:pPr>
        <w:pStyle w:val="Heading3"/>
        <w:spacing w:before="240"/>
      </w:pPr>
      <w:r w:rsidRPr="00ED1C7E">
        <w:t>Background</w:t>
      </w:r>
    </w:p>
    <w:p w14:paraId="6AC9A599" w14:textId="5550EDFD" w:rsidR="00DA77E4" w:rsidRPr="00ED1C7E" w:rsidRDefault="1DCD1816" w:rsidP="00DA77E4">
      <w:pPr>
        <w:pStyle w:val="BodyText"/>
      </w:pPr>
      <w:r w:rsidRPr="00ED1C7E">
        <w:t xml:space="preserve">The </w:t>
      </w:r>
      <w:hyperlink r:id="rId50" w:history="1">
        <w:r w:rsidR="00BC1351" w:rsidRPr="00ED1C7E">
          <w:rPr>
            <w:rStyle w:val="Hyperlink"/>
          </w:rPr>
          <w:t>Climate Change (Auctions, Limits, and Price Controls for Units) Regulations 2020</w:t>
        </w:r>
      </w:hyperlink>
      <w:r w:rsidR="063892CC" w:rsidRPr="00ED1C7E">
        <w:t xml:space="preserve"> </w:t>
      </w:r>
      <w:r w:rsidR="4842293B" w:rsidRPr="00ED1C7E">
        <w:t>(</w:t>
      </w:r>
      <w:r w:rsidR="00A572E2" w:rsidRPr="00ED1C7E">
        <w:t>A</w:t>
      </w:r>
      <w:r w:rsidR="00F5740D" w:rsidRPr="00ED1C7E">
        <w:t xml:space="preserve">uction </w:t>
      </w:r>
      <w:r w:rsidR="00A572E2" w:rsidRPr="00ED1C7E">
        <w:t>R</w:t>
      </w:r>
      <w:r w:rsidR="00F5740D" w:rsidRPr="00ED1C7E">
        <w:t>egulations</w:t>
      </w:r>
      <w:r w:rsidR="00E06BCA" w:rsidRPr="00ED1C7E">
        <w:t>)</w:t>
      </w:r>
      <w:r w:rsidR="4842293B" w:rsidRPr="00ED1C7E">
        <w:t xml:space="preserve"> </w:t>
      </w:r>
      <w:r w:rsidR="063892CC" w:rsidRPr="00ED1C7E">
        <w:t>provide processes, structures</w:t>
      </w:r>
      <w:r w:rsidR="063892CC" w:rsidRPr="00ED1C7E" w:rsidDel="00C96AD1">
        <w:t>,</w:t>
      </w:r>
      <w:r w:rsidR="063892CC" w:rsidRPr="00ED1C7E">
        <w:t xml:space="preserve"> and definitions for managing </w:t>
      </w:r>
      <w:r w:rsidR="1CB4A9CE" w:rsidRPr="00ED1C7E">
        <w:t xml:space="preserve">auctions, including </w:t>
      </w:r>
      <w:r w:rsidR="063892CC" w:rsidRPr="00ED1C7E">
        <w:t>units available at auctions.</w:t>
      </w:r>
    </w:p>
    <w:p w14:paraId="17A77207" w14:textId="0CD96047" w:rsidR="00931088" w:rsidRPr="00ED1C7E" w:rsidRDefault="00931088" w:rsidP="00B46151">
      <w:pPr>
        <w:pStyle w:val="Heading3"/>
        <w:spacing w:before="240"/>
      </w:pPr>
      <w:r w:rsidRPr="00ED1C7E">
        <w:t xml:space="preserve">Why </w:t>
      </w:r>
      <w:r w:rsidR="008E665D" w:rsidRPr="00ED1C7E">
        <w:t>does the methodology for auctioning collateral need to be updated</w:t>
      </w:r>
      <w:r w:rsidRPr="00ED1C7E">
        <w:t>?</w:t>
      </w:r>
    </w:p>
    <w:p w14:paraId="6076D936" w14:textId="5D340638" w:rsidR="4CDEF6E9" w:rsidRPr="00ED1C7E" w:rsidRDefault="00114B47" w:rsidP="5E183D5E">
      <w:pPr>
        <w:pStyle w:val="BodyText"/>
      </w:pPr>
      <w:r w:rsidRPr="00ED1C7E">
        <w:t xml:space="preserve">Although </w:t>
      </w:r>
      <w:r w:rsidR="0014155B" w:rsidRPr="00ED1C7E">
        <w:t>t</w:t>
      </w:r>
      <w:r w:rsidR="4CDEF6E9" w:rsidRPr="00ED1C7E">
        <w:t xml:space="preserve">he current method for calculating auctioning collateral </w:t>
      </w:r>
      <w:r w:rsidR="0014155B" w:rsidRPr="00ED1C7E">
        <w:t>work</w:t>
      </w:r>
      <w:r w:rsidR="00914038" w:rsidRPr="00ED1C7E">
        <w:t>s well</w:t>
      </w:r>
      <w:r w:rsidRPr="00ED1C7E">
        <w:t>,</w:t>
      </w:r>
      <w:r w:rsidR="00914038" w:rsidRPr="00ED1C7E">
        <w:t xml:space="preserve"> </w:t>
      </w:r>
      <w:r w:rsidRPr="00ED1C7E">
        <w:t>we c</w:t>
      </w:r>
      <w:r w:rsidR="004C76E6" w:rsidRPr="00ED1C7E">
        <w:t>ould</w:t>
      </w:r>
      <w:r w:rsidRPr="00ED1C7E">
        <w:t xml:space="preserve"> </w:t>
      </w:r>
      <w:r w:rsidR="00914038" w:rsidRPr="00ED1C7E">
        <w:t xml:space="preserve">clarify the definition of </w:t>
      </w:r>
      <w:r w:rsidR="005973E4" w:rsidRPr="00ED1C7E">
        <w:t xml:space="preserve">‘maximum bid’ </w:t>
      </w:r>
      <w:r w:rsidR="002D6679" w:rsidRPr="00ED1C7E">
        <w:t xml:space="preserve">when </w:t>
      </w:r>
      <w:r w:rsidR="007A0E7A" w:rsidRPr="00ED1C7E">
        <w:t xml:space="preserve">a bidder posts multiple bids at different price points. The current </w:t>
      </w:r>
      <w:r w:rsidR="003B49E9" w:rsidRPr="00ED1C7E">
        <w:t xml:space="preserve">definition </w:t>
      </w:r>
      <w:r w:rsidR="4CDEF6E9" w:rsidRPr="00ED1C7E">
        <w:t>can result in participants being required to p</w:t>
      </w:r>
      <w:r w:rsidR="4FC0D346" w:rsidRPr="00ED1C7E">
        <w:t>ay for</w:t>
      </w:r>
      <w:r w:rsidR="4CDEF6E9" w:rsidRPr="00ED1C7E">
        <w:t xml:space="preserve"> more collateral than </w:t>
      </w:r>
      <w:r w:rsidR="00A15F0B" w:rsidRPr="00ED1C7E">
        <w:t>is appropriate</w:t>
      </w:r>
      <w:r w:rsidR="4CDEF6E9" w:rsidRPr="00ED1C7E">
        <w:t xml:space="preserve">. This is because </w:t>
      </w:r>
      <w:r w:rsidR="6C0C1552" w:rsidRPr="00ED1C7E">
        <w:t>participants</w:t>
      </w:r>
      <w:r w:rsidR="4949111E" w:rsidRPr="00ED1C7E">
        <w:t xml:space="preserve"> only need to pay for the clearing price (which is the lowest-priced successful bid above the CRP). </w:t>
      </w:r>
      <w:r w:rsidR="00F8476A" w:rsidRPr="00ED1C7E">
        <w:t>Some stakeholders have suggested a</w:t>
      </w:r>
      <w:r w:rsidR="00665F94" w:rsidRPr="00ED1C7E">
        <w:t xml:space="preserve"> </w:t>
      </w:r>
      <w:r w:rsidR="00E41874" w:rsidRPr="00ED1C7E">
        <w:t>different definition of ‘maximum bid</w:t>
      </w:r>
      <w:r w:rsidR="001F30AA">
        <w:t>,</w:t>
      </w:r>
      <w:r w:rsidR="00E41874" w:rsidRPr="00ED1C7E">
        <w:t>’</w:t>
      </w:r>
      <w:r w:rsidR="004F469D" w:rsidRPr="00ED1C7E">
        <w:t xml:space="preserve"> which</w:t>
      </w:r>
      <w:r w:rsidR="001147E1" w:rsidRPr="00ED1C7E">
        <w:t xml:space="preserve"> might be preferable </w:t>
      </w:r>
      <w:r w:rsidR="003A3E75" w:rsidRPr="00ED1C7E">
        <w:t>when some of the bid prices exceed the clearing price</w:t>
      </w:r>
      <w:r w:rsidR="00B0005B" w:rsidRPr="00ED1C7E">
        <w:t>.</w:t>
      </w:r>
    </w:p>
    <w:p w14:paraId="3AF4FF0E" w14:textId="0FFE4387" w:rsidR="00931088" w:rsidRPr="00ED1C7E" w:rsidRDefault="00931088" w:rsidP="00110CC3">
      <w:pPr>
        <w:pStyle w:val="Heading3"/>
      </w:pPr>
      <w:r w:rsidRPr="00ED1C7E">
        <w:t>Options</w:t>
      </w:r>
    </w:p>
    <w:p w14:paraId="73ABAB56" w14:textId="36D1A2D0" w:rsidR="298C667C" w:rsidRPr="00ED1C7E" w:rsidRDefault="298C667C" w:rsidP="00B46151">
      <w:pPr>
        <w:pStyle w:val="Heading4"/>
        <w:spacing w:before="240"/>
      </w:pPr>
      <w:r w:rsidRPr="00ED1C7E">
        <w:t xml:space="preserve">Option 1: Status </w:t>
      </w:r>
      <w:r w:rsidR="004F469D" w:rsidRPr="00ED1C7E">
        <w:t>q</w:t>
      </w:r>
      <w:r w:rsidRPr="00ED1C7E">
        <w:t>uo</w:t>
      </w:r>
    </w:p>
    <w:p w14:paraId="75A51F34" w14:textId="643A55AF" w:rsidR="00957E94" w:rsidRPr="00ED1C7E" w:rsidRDefault="298C667C" w:rsidP="00B46151">
      <w:pPr>
        <w:pStyle w:val="BodyText"/>
      </w:pPr>
      <w:r w:rsidRPr="00ED1C7E">
        <w:t xml:space="preserve">Under this option, the methodology for </w:t>
      </w:r>
      <w:r w:rsidR="00520B7D" w:rsidRPr="00ED1C7E">
        <w:t xml:space="preserve">calculating </w:t>
      </w:r>
      <w:r w:rsidRPr="00ED1C7E">
        <w:t>auctioning collateral</w:t>
      </w:r>
      <w:r w:rsidR="00C517D3" w:rsidRPr="00ED1C7E">
        <w:t xml:space="preserve"> will not be updated</w:t>
      </w:r>
      <w:r w:rsidRPr="00ED1C7E">
        <w:t>.</w:t>
      </w:r>
    </w:p>
    <w:p w14:paraId="5798786F" w14:textId="4031595D" w:rsidR="298C667C" w:rsidRPr="00ED1C7E" w:rsidRDefault="008E54A3" w:rsidP="5E183D5E">
      <w:pPr>
        <w:pStyle w:val="BodyText"/>
      </w:pPr>
      <w:r w:rsidRPr="00ED1C7E">
        <w:t xml:space="preserve">As provided by </w:t>
      </w:r>
      <w:hyperlink r:id="rId51" w:history="1">
        <w:r w:rsidRPr="00ED1C7E">
          <w:rPr>
            <w:rStyle w:val="Hyperlink"/>
          </w:rPr>
          <w:t>clause 25</w:t>
        </w:r>
      </w:hyperlink>
      <w:r w:rsidRPr="00ED1C7E">
        <w:t xml:space="preserve"> of the</w:t>
      </w:r>
      <w:r w:rsidR="00957E94" w:rsidRPr="00ED1C7E">
        <w:t xml:space="preserve"> current</w:t>
      </w:r>
      <w:r w:rsidR="00C517D3" w:rsidRPr="00ED1C7E">
        <w:t xml:space="preserve"> Auction R</w:t>
      </w:r>
      <w:r w:rsidR="00957E94" w:rsidRPr="00ED1C7E">
        <w:t>egulations, c</w:t>
      </w:r>
      <w:r w:rsidR="00FC1793" w:rsidRPr="00ED1C7E">
        <w:t xml:space="preserve">ollateral is calculated using the formula </w:t>
      </w:r>
      <w:r w:rsidR="00FC1793" w:rsidRPr="00ED1C7E">
        <w:rPr>
          <w:i/>
        </w:rPr>
        <w:t>0.25</w:t>
      </w:r>
      <w:r w:rsidR="004B3E62" w:rsidRPr="00ED1C7E">
        <w:rPr>
          <w:i/>
        </w:rPr>
        <w:t xml:space="preserve"> </w:t>
      </w:r>
      <w:r w:rsidR="004068C4" w:rsidRPr="00ED1C7E">
        <w:rPr>
          <w:rFonts w:ascii="Cambria" w:hAnsi="Cambria"/>
        </w:rPr>
        <w:t>⨉</w:t>
      </w:r>
      <w:r w:rsidR="004B3E62" w:rsidRPr="00ED1C7E">
        <w:rPr>
          <w:i/>
        </w:rPr>
        <w:t xml:space="preserve"> bid volume </w:t>
      </w:r>
      <w:r w:rsidR="004068C4" w:rsidRPr="00ED1C7E">
        <w:rPr>
          <w:rFonts w:ascii="Cambria" w:hAnsi="Cambria"/>
        </w:rPr>
        <w:t>⨉</w:t>
      </w:r>
      <w:r w:rsidR="004B3E62" w:rsidRPr="00ED1C7E">
        <w:rPr>
          <w:i/>
        </w:rPr>
        <w:t xml:space="preserve"> </w:t>
      </w:r>
      <w:r w:rsidR="008D5D1F" w:rsidRPr="00ED1C7E">
        <w:rPr>
          <w:i/>
        </w:rPr>
        <w:t>bid price</w:t>
      </w:r>
      <w:r w:rsidR="00957E94" w:rsidRPr="00ED1C7E">
        <w:t>, totalled across all bids</w:t>
      </w:r>
      <w:r w:rsidR="008757E9" w:rsidRPr="00ED1C7E">
        <w:t>.</w:t>
      </w:r>
    </w:p>
    <w:p w14:paraId="24430285" w14:textId="3551C9E0" w:rsidR="298C667C" w:rsidRPr="00ED1C7E" w:rsidRDefault="298C667C" w:rsidP="00B46151">
      <w:pPr>
        <w:pStyle w:val="Heading4"/>
        <w:spacing w:before="240"/>
      </w:pPr>
      <w:r w:rsidRPr="00ED1C7E">
        <w:t>Option 2: Change the methodology</w:t>
      </w:r>
      <w:r w:rsidR="03E7015F" w:rsidRPr="00ED1C7E">
        <w:t xml:space="preserve"> to a cumulative </w:t>
      </w:r>
      <w:proofErr w:type="gramStart"/>
      <w:r w:rsidR="03E7015F" w:rsidRPr="00ED1C7E">
        <w:t>approach</w:t>
      </w:r>
      <w:proofErr w:type="gramEnd"/>
    </w:p>
    <w:p w14:paraId="5F730715" w14:textId="1C6AA8B4" w:rsidR="00957E94" w:rsidRPr="00ED1C7E" w:rsidRDefault="588A2C3C" w:rsidP="5E183D5E">
      <w:pPr>
        <w:pStyle w:val="BodyText"/>
        <w:rPr>
          <w:rFonts w:asciiTheme="minorHAnsi" w:hAnsiTheme="minorHAnsi"/>
        </w:rPr>
      </w:pPr>
      <w:r w:rsidRPr="00ED1C7E">
        <w:rPr>
          <w:rFonts w:asciiTheme="minorHAnsi" w:hAnsiTheme="minorHAnsi"/>
        </w:rPr>
        <w:t>This approach to calculating collateral is intended to recognise that successful bidders at an auction do not necessarily pay the price they bid</w:t>
      </w:r>
      <w:r w:rsidR="00C74C9F" w:rsidRPr="00ED1C7E">
        <w:rPr>
          <w:rFonts w:asciiTheme="minorHAnsi" w:hAnsiTheme="minorHAnsi"/>
        </w:rPr>
        <w:t>. Rather, they</w:t>
      </w:r>
      <w:r w:rsidRPr="00ED1C7E">
        <w:rPr>
          <w:rFonts w:asciiTheme="minorHAnsi" w:hAnsiTheme="minorHAnsi"/>
        </w:rPr>
        <w:t xml:space="preserve"> purchase units at the price of the lowest-priced successful bid (the clearing price). </w:t>
      </w:r>
      <w:r w:rsidR="045DE232" w:rsidRPr="00ED1C7E">
        <w:rPr>
          <w:rFonts w:asciiTheme="minorHAnsi" w:hAnsiTheme="minorHAnsi"/>
        </w:rPr>
        <w:t>T</w:t>
      </w:r>
      <w:r w:rsidRPr="00ED1C7E">
        <w:rPr>
          <w:rFonts w:asciiTheme="minorHAnsi" w:hAnsiTheme="minorHAnsi"/>
        </w:rPr>
        <w:t>he value of the bids</w:t>
      </w:r>
      <w:r w:rsidR="1ECA5F04" w:rsidRPr="00ED1C7E">
        <w:rPr>
          <w:rFonts w:asciiTheme="minorHAnsi" w:hAnsiTheme="minorHAnsi"/>
        </w:rPr>
        <w:t xml:space="preserve"> is adjusted down</w:t>
      </w:r>
      <w:r w:rsidRPr="00ED1C7E">
        <w:rPr>
          <w:rFonts w:asciiTheme="minorHAnsi" w:hAnsiTheme="minorHAnsi"/>
        </w:rPr>
        <w:t xml:space="preserve"> on</w:t>
      </w:r>
      <w:r w:rsidR="00B46151" w:rsidRPr="00ED1C7E">
        <w:rPr>
          <w:rFonts w:asciiTheme="minorHAnsi" w:hAnsiTheme="minorHAnsi"/>
        </w:rPr>
        <w:t> </w:t>
      </w:r>
      <w:r w:rsidRPr="00ED1C7E">
        <w:rPr>
          <w:rFonts w:asciiTheme="minorHAnsi" w:hAnsiTheme="minorHAnsi"/>
        </w:rPr>
        <w:t>the basis that</w:t>
      </w:r>
      <w:r w:rsidR="00BA0B4F" w:rsidRPr="00ED1C7E">
        <w:rPr>
          <w:rFonts w:asciiTheme="minorHAnsi" w:hAnsiTheme="minorHAnsi"/>
        </w:rPr>
        <w:t>,</w:t>
      </w:r>
      <w:r w:rsidRPr="00ED1C7E">
        <w:rPr>
          <w:rFonts w:asciiTheme="minorHAnsi" w:hAnsiTheme="minorHAnsi"/>
        </w:rPr>
        <w:t xml:space="preserve"> if the lower-priced bids are successful, the price of the higher-priced bids would be adjusted to that same price. </w:t>
      </w:r>
      <w:r w:rsidR="0018510C" w:rsidRPr="00ED1C7E">
        <w:rPr>
          <w:rFonts w:asciiTheme="minorHAnsi" w:hAnsiTheme="minorHAnsi"/>
        </w:rPr>
        <w:t>The calculation</w:t>
      </w:r>
      <w:r w:rsidRPr="00ED1C7E">
        <w:rPr>
          <w:rFonts w:asciiTheme="minorHAnsi" w:hAnsiTheme="minorHAnsi"/>
        </w:rPr>
        <w:t xml:space="preserve"> then </w:t>
      </w:r>
      <w:r w:rsidR="0018510C" w:rsidRPr="00ED1C7E">
        <w:rPr>
          <w:rFonts w:asciiTheme="minorHAnsi" w:hAnsiTheme="minorHAnsi"/>
        </w:rPr>
        <w:t>uses</w:t>
      </w:r>
      <w:r w:rsidRPr="00ED1C7E">
        <w:rPr>
          <w:rFonts w:asciiTheme="minorHAnsi" w:hAnsiTheme="minorHAnsi"/>
        </w:rPr>
        <w:t xml:space="preserve"> the clearing price scenario that would involve the bidder paying the most for their units and calculates the collateral as 25</w:t>
      </w:r>
      <w:r w:rsidR="00B46151" w:rsidRPr="00ED1C7E">
        <w:rPr>
          <w:rFonts w:asciiTheme="minorHAnsi" w:hAnsiTheme="minorHAnsi"/>
        </w:rPr>
        <w:t> </w:t>
      </w:r>
      <w:r w:rsidR="002506CB" w:rsidRPr="00ED1C7E">
        <w:rPr>
          <w:rFonts w:asciiTheme="minorHAnsi" w:hAnsiTheme="minorHAnsi"/>
        </w:rPr>
        <w:t>per cent</w:t>
      </w:r>
      <w:r w:rsidRPr="00ED1C7E">
        <w:rPr>
          <w:rFonts w:asciiTheme="minorHAnsi" w:hAnsiTheme="minorHAnsi"/>
        </w:rPr>
        <w:t xml:space="preserve"> of this value.</w:t>
      </w:r>
    </w:p>
    <w:p w14:paraId="4FF79C38" w14:textId="43C584B9" w:rsidR="588A2C3C" w:rsidRPr="00ED1C7E" w:rsidRDefault="001B06BD" w:rsidP="5E183D5E">
      <w:pPr>
        <w:pStyle w:val="BodyText"/>
        <w:rPr>
          <w:rFonts w:asciiTheme="minorHAnsi" w:hAnsiTheme="minorHAnsi"/>
        </w:rPr>
      </w:pPr>
      <w:r w:rsidRPr="00ED1C7E">
        <w:rPr>
          <w:rFonts w:asciiTheme="minorHAnsi" w:hAnsiTheme="minorHAnsi"/>
        </w:rPr>
        <w:t xml:space="preserve">Under this option, collateral is calculated </w:t>
      </w:r>
      <w:r w:rsidR="005C0AFB" w:rsidRPr="00ED1C7E">
        <w:rPr>
          <w:rFonts w:asciiTheme="minorHAnsi" w:hAnsiTheme="minorHAnsi"/>
        </w:rPr>
        <w:t xml:space="preserve">by </w:t>
      </w:r>
      <w:r w:rsidRPr="00ED1C7E">
        <w:rPr>
          <w:rFonts w:asciiTheme="minorHAnsi" w:hAnsiTheme="minorHAnsi"/>
        </w:rPr>
        <w:t xml:space="preserve">using the formula </w:t>
      </w:r>
      <w:r w:rsidRPr="00ED1C7E">
        <w:rPr>
          <w:rFonts w:asciiTheme="minorHAnsi" w:hAnsiTheme="minorHAnsi"/>
          <w:i/>
        </w:rPr>
        <w:t xml:space="preserve">0.25 </w:t>
      </w:r>
      <w:r w:rsidR="004068C4" w:rsidRPr="00ED1C7E">
        <w:rPr>
          <w:rFonts w:ascii="Cambria" w:hAnsi="Cambria"/>
        </w:rPr>
        <w:t>⨉</w:t>
      </w:r>
      <w:r w:rsidRPr="00ED1C7E">
        <w:rPr>
          <w:rFonts w:asciiTheme="minorHAnsi" w:hAnsiTheme="minorHAnsi"/>
          <w:i/>
        </w:rPr>
        <w:t xml:space="preserve"> </w:t>
      </w:r>
      <w:r w:rsidR="000C3656" w:rsidRPr="00ED1C7E">
        <w:rPr>
          <w:rFonts w:asciiTheme="minorHAnsi" w:hAnsiTheme="minorHAnsi"/>
          <w:i/>
        </w:rPr>
        <w:t xml:space="preserve">cumulative bid volume </w:t>
      </w:r>
      <w:r w:rsidR="004068C4" w:rsidRPr="00ED1C7E">
        <w:rPr>
          <w:rFonts w:ascii="Cambria" w:hAnsi="Cambria"/>
        </w:rPr>
        <w:t>⨉</w:t>
      </w:r>
      <w:r w:rsidR="00B46151" w:rsidRPr="00ED1C7E">
        <w:rPr>
          <w:rFonts w:asciiTheme="minorHAnsi" w:hAnsiTheme="minorHAnsi"/>
          <w:i/>
        </w:rPr>
        <w:t> </w:t>
      </w:r>
      <w:r w:rsidR="00717CDE" w:rsidRPr="00ED1C7E">
        <w:rPr>
          <w:rFonts w:asciiTheme="minorHAnsi" w:hAnsiTheme="minorHAnsi"/>
          <w:i/>
        </w:rPr>
        <w:t>bid price</w:t>
      </w:r>
      <w:r w:rsidR="00717CDE" w:rsidRPr="00ED1C7E">
        <w:rPr>
          <w:rFonts w:asciiTheme="minorHAnsi" w:hAnsiTheme="minorHAnsi"/>
        </w:rPr>
        <w:t xml:space="preserve">, then </w:t>
      </w:r>
      <w:r w:rsidR="005C6951" w:rsidRPr="00ED1C7E">
        <w:rPr>
          <w:rFonts w:asciiTheme="minorHAnsi" w:hAnsiTheme="minorHAnsi"/>
        </w:rPr>
        <w:t>tak</w:t>
      </w:r>
      <w:r w:rsidR="005A7B08" w:rsidRPr="00ED1C7E">
        <w:rPr>
          <w:rFonts w:asciiTheme="minorHAnsi" w:hAnsiTheme="minorHAnsi"/>
        </w:rPr>
        <w:t>ing the maximum amou</w:t>
      </w:r>
      <w:r w:rsidR="005B2373" w:rsidRPr="00ED1C7E">
        <w:rPr>
          <w:rFonts w:asciiTheme="minorHAnsi" w:hAnsiTheme="minorHAnsi"/>
        </w:rPr>
        <w:t>nt</w:t>
      </w:r>
      <w:r w:rsidR="00A60D94" w:rsidRPr="00ED1C7E">
        <w:rPr>
          <w:rFonts w:asciiTheme="minorHAnsi" w:hAnsiTheme="minorHAnsi"/>
        </w:rPr>
        <w:t>.</w:t>
      </w:r>
    </w:p>
    <w:p w14:paraId="134075BD" w14:textId="066BB752" w:rsidR="00931088" w:rsidRPr="00ED1C7E" w:rsidRDefault="4236E231" w:rsidP="00B46151">
      <w:pPr>
        <w:pStyle w:val="Heading4"/>
        <w:spacing w:before="240"/>
      </w:pPr>
      <w:r w:rsidRPr="00ED1C7E">
        <w:t>Example of these two options</w:t>
      </w:r>
    </w:p>
    <w:p w14:paraId="45614F4D" w14:textId="6252A7F9" w:rsidR="00D626F4" w:rsidRPr="00ED1C7E" w:rsidRDefault="00D626F4" w:rsidP="005A1465">
      <w:pPr>
        <w:spacing w:before="0" w:after="200" w:line="276" w:lineRule="auto"/>
        <w:jc w:val="left"/>
      </w:pPr>
      <w:r w:rsidRPr="00ED1C7E">
        <w:t xml:space="preserve">In the example </w:t>
      </w:r>
      <w:r w:rsidR="005C0AFB" w:rsidRPr="00ED1C7E">
        <w:t>provided in</w:t>
      </w:r>
      <w:r w:rsidRPr="00ED1C7E">
        <w:t xml:space="preserve"> </w:t>
      </w:r>
      <w:r w:rsidR="005A1465">
        <w:t>table 14</w:t>
      </w:r>
      <w:r w:rsidR="005C0AFB" w:rsidRPr="00ED1C7E">
        <w:t xml:space="preserve">, </w:t>
      </w:r>
      <w:r w:rsidRPr="00ED1C7E">
        <w:t xml:space="preserve">the greatest amount a bidder would be liable to pay </w:t>
      </w:r>
      <w:r w:rsidR="0092332C" w:rsidRPr="00ED1C7E">
        <w:t xml:space="preserve">under </w:t>
      </w:r>
      <w:r w:rsidR="00DA4AF3" w:rsidRPr="00ED1C7E">
        <w:t>either option</w:t>
      </w:r>
      <w:r w:rsidR="0092332C" w:rsidRPr="00ED1C7E">
        <w:t xml:space="preserve"> </w:t>
      </w:r>
      <w:r w:rsidRPr="00ED1C7E">
        <w:t xml:space="preserve">would </w:t>
      </w:r>
      <w:r w:rsidR="00DE0425" w:rsidRPr="00ED1C7E">
        <w:t>be</w:t>
      </w:r>
      <w:r w:rsidR="00E82851" w:rsidRPr="00ED1C7E">
        <w:t xml:space="preserve"> </w:t>
      </w:r>
      <w:r w:rsidR="00D761EC" w:rsidRPr="00ED1C7E">
        <w:t>when</w:t>
      </w:r>
      <w:r w:rsidRPr="00ED1C7E">
        <w:t xml:space="preserve"> the clearing price was $38.00, which would require them to pay $9,880,000 to purchase 260,000 units at $38.00 each.</w:t>
      </w:r>
    </w:p>
    <w:p w14:paraId="5ED18AC5" w14:textId="342C722D" w:rsidR="00B85AA4" w:rsidRPr="00ED1C7E" w:rsidRDefault="7693E97E" w:rsidP="00386B79">
      <w:pPr>
        <w:pStyle w:val="BodyText"/>
      </w:pPr>
      <w:r w:rsidRPr="00ED1C7E">
        <w:t>O</w:t>
      </w:r>
      <w:r w:rsidR="754E0688" w:rsidRPr="00ED1C7E">
        <w:t>ption 2</w:t>
      </w:r>
      <w:r w:rsidR="00D626F4" w:rsidRPr="00ED1C7E">
        <w:t xml:space="preserve"> would require them to pay $2,470,000 in collateral ($9,880,000 x 0.25)</w:t>
      </w:r>
      <w:r w:rsidR="35D93769" w:rsidRPr="00ED1C7E">
        <w:t xml:space="preserve">, whereas the status quo would </w:t>
      </w:r>
      <w:r w:rsidR="00D626F4" w:rsidRPr="00ED1C7E">
        <w:t>require them to pay $2,822,000 in collateral.</w:t>
      </w:r>
    </w:p>
    <w:p w14:paraId="0C96921F" w14:textId="3E8152C6" w:rsidR="00F917E2" w:rsidRPr="00ED1C7E" w:rsidRDefault="00F917E2" w:rsidP="00E16535">
      <w:pPr>
        <w:pStyle w:val="Tableheading"/>
      </w:pPr>
      <w:bookmarkStart w:id="66" w:name="_Ref160180321"/>
      <w:bookmarkStart w:id="67" w:name="_Toc165532920"/>
      <w:r w:rsidRPr="00ED1C7E">
        <w:lastRenderedPageBreak/>
        <w:t xml:space="preserve">Table </w:t>
      </w:r>
      <w:r w:rsidR="00594215">
        <w:fldChar w:fldCharType="begin"/>
      </w:r>
      <w:r w:rsidR="00594215">
        <w:instrText xml:space="preserve"> SEQ Table \* ARABIC </w:instrText>
      </w:r>
      <w:r w:rsidR="00594215">
        <w:fldChar w:fldCharType="separate"/>
      </w:r>
      <w:r w:rsidR="00C60130">
        <w:rPr>
          <w:noProof/>
        </w:rPr>
        <w:t>13</w:t>
      </w:r>
      <w:r w:rsidR="00594215">
        <w:rPr>
          <w:noProof/>
        </w:rPr>
        <w:fldChar w:fldCharType="end"/>
      </w:r>
      <w:bookmarkEnd w:id="66"/>
      <w:r w:rsidRPr="00ED1C7E">
        <w:t xml:space="preserve">: </w:t>
      </w:r>
      <w:r w:rsidR="009C4CD0" w:rsidRPr="00ED1C7E">
        <w:tab/>
      </w:r>
      <w:r w:rsidR="004220C6" w:rsidRPr="00ED1C7E">
        <w:t xml:space="preserve">Example collateral calculations under </w:t>
      </w:r>
      <w:r w:rsidR="003E30C6" w:rsidRPr="00ED1C7E">
        <w:t>the two proposed options</w:t>
      </w:r>
      <w:bookmarkEnd w:id="67"/>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1115"/>
        <w:gridCol w:w="1116"/>
        <w:gridCol w:w="1116"/>
        <w:gridCol w:w="1116"/>
        <w:gridCol w:w="1347"/>
        <w:gridCol w:w="1347"/>
        <w:gridCol w:w="1348"/>
      </w:tblGrid>
      <w:tr w:rsidR="00DF5722" w:rsidRPr="00ED1C7E" w14:paraId="2B206172" w14:textId="77777777" w:rsidTr="00861675">
        <w:trPr>
          <w:trHeight w:val="300"/>
        </w:trPr>
        <w:tc>
          <w:tcPr>
            <w:tcW w:w="1134" w:type="dxa"/>
            <w:shd w:val="clear" w:color="auto" w:fill="1B556B" w:themeFill="text2"/>
            <w:tcMar>
              <w:left w:w="85" w:type="dxa"/>
              <w:right w:w="57" w:type="dxa"/>
            </w:tcMar>
            <w:vAlign w:val="bottom"/>
          </w:tcPr>
          <w:p w14:paraId="339EB4F2" w14:textId="61CABF2F" w:rsidR="5E183D5E" w:rsidRPr="00ED1C7E" w:rsidRDefault="5E183D5E" w:rsidP="00DF5722">
            <w:pPr>
              <w:pStyle w:val="TableTextbold"/>
              <w:rPr>
                <w:color w:val="FFFFFF" w:themeColor="background1"/>
                <w:sz w:val="20"/>
                <w:szCs w:val="20"/>
              </w:rPr>
            </w:pPr>
            <w:r w:rsidRPr="00ED1C7E">
              <w:rPr>
                <w:color w:val="FFFFFF" w:themeColor="background1"/>
                <w:sz w:val="20"/>
                <w:szCs w:val="20"/>
              </w:rPr>
              <w:t xml:space="preserve">A: </w:t>
            </w:r>
            <w:r w:rsidR="00E567E7" w:rsidRPr="00ED1C7E">
              <w:rPr>
                <w:color w:val="FFFFFF" w:themeColor="background1"/>
                <w:sz w:val="20"/>
                <w:szCs w:val="20"/>
              </w:rPr>
              <w:br/>
            </w:r>
            <w:r w:rsidRPr="00ED1C7E">
              <w:rPr>
                <w:i/>
                <w:iCs/>
                <w:color w:val="FFFFFF" w:themeColor="background1"/>
              </w:rPr>
              <w:t xml:space="preserve">Bid </w:t>
            </w:r>
            <w:r w:rsidR="00447ECD" w:rsidRPr="00ED1C7E">
              <w:rPr>
                <w:i/>
                <w:iCs/>
                <w:color w:val="FFFFFF" w:themeColor="background1"/>
              </w:rPr>
              <w:t>v</w:t>
            </w:r>
            <w:r w:rsidRPr="00ED1C7E">
              <w:rPr>
                <w:i/>
                <w:iCs/>
                <w:color w:val="FFFFFF" w:themeColor="background1"/>
              </w:rPr>
              <w:t>olume</w:t>
            </w:r>
          </w:p>
        </w:tc>
        <w:tc>
          <w:tcPr>
            <w:tcW w:w="1134" w:type="dxa"/>
            <w:shd w:val="clear" w:color="auto" w:fill="1B556B" w:themeFill="text2"/>
            <w:tcMar>
              <w:left w:w="85" w:type="dxa"/>
              <w:right w:w="57" w:type="dxa"/>
            </w:tcMar>
            <w:vAlign w:val="bottom"/>
          </w:tcPr>
          <w:p w14:paraId="7DAD154D" w14:textId="42172342" w:rsidR="5E183D5E" w:rsidRPr="00ED1C7E" w:rsidRDefault="5E183D5E" w:rsidP="00DF5722">
            <w:pPr>
              <w:pStyle w:val="TableTextbold"/>
              <w:rPr>
                <w:color w:val="FFFFFF" w:themeColor="background1"/>
                <w:sz w:val="20"/>
                <w:szCs w:val="20"/>
              </w:rPr>
            </w:pPr>
            <w:r w:rsidRPr="00ED1C7E">
              <w:rPr>
                <w:color w:val="FFFFFF" w:themeColor="background1"/>
                <w:sz w:val="20"/>
                <w:szCs w:val="20"/>
              </w:rPr>
              <w:t xml:space="preserve">B: </w:t>
            </w:r>
            <w:r w:rsidRPr="00ED1C7E">
              <w:rPr>
                <w:i/>
                <w:iCs/>
                <w:color w:val="FFFFFF" w:themeColor="background1"/>
              </w:rPr>
              <w:t xml:space="preserve">Cumulative </w:t>
            </w:r>
            <w:r w:rsidR="00447ECD" w:rsidRPr="00ED1C7E">
              <w:rPr>
                <w:i/>
                <w:iCs/>
                <w:color w:val="FFFFFF" w:themeColor="background1"/>
              </w:rPr>
              <w:t>b</w:t>
            </w:r>
            <w:r w:rsidRPr="00ED1C7E">
              <w:rPr>
                <w:i/>
                <w:iCs/>
                <w:color w:val="FFFFFF" w:themeColor="background1"/>
              </w:rPr>
              <w:t xml:space="preserve">id </w:t>
            </w:r>
            <w:r w:rsidR="00447ECD" w:rsidRPr="00ED1C7E">
              <w:rPr>
                <w:i/>
                <w:iCs/>
                <w:color w:val="FFFFFF" w:themeColor="background1"/>
              </w:rPr>
              <w:t>v</w:t>
            </w:r>
            <w:r w:rsidRPr="00ED1C7E">
              <w:rPr>
                <w:i/>
                <w:iCs/>
                <w:color w:val="FFFFFF" w:themeColor="background1"/>
              </w:rPr>
              <w:t>olume</w:t>
            </w:r>
          </w:p>
        </w:tc>
        <w:tc>
          <w:tcPr>
            <w:tcW w:w="1134" w:type="dxa"/>
            <w:shd w:val="clear" w:color="auto" w:fill="1B556B" w:themeFill="text2"/>
            <w:tcMar>
              <w:left w:w="85" w:type="dxa"/>
              <w:right w:w="57" w:type="dxa"/>
            </w:tcMar>
            <w:vAlign w:val="bottom"/>
          </w:tcPr>
          <w:p w14:paraId="06AC003B" w14:textId="0CB0733F" w:rsidR="5E183D5E" w:rsidRPr="00ED1C7E" w:rsidRDefault="5E183D5E" w:rsidP="00DF5722">
            <w:pPr>
              <w:pStyle w:val="TableTextbold"/>
              <w:rPr>
                <w:color w:val="FFFFFF" w:themeColor="background1"/>
                <w:sz w:val="20"/>
                <w:szCs w:val="20"/>
              </w:rPr>
            </w:pPr>
            <w:r w:rsidRPr="00ED1C7E">
              <w:rPr>
                <w:color w:val="FFFFFF" w:themeColor="background1"/>
                <w:sz w:val="20"/>
                <w:szCs w:val="20"/>
              </w:rPr>
              <w:t xml:space="preserve">C: </w:t>
            </w:r>
            <w:r w:rsidR="00E567E7" w:rsidRPr="00ED1C7E">
              <w:rPr>
                <w:color w:val="FFFFFF" w:themeColor="background1"/>
                <w:sz w:val="20"/>
                <w:szCs w:val="20"/>
              </w:rPr>
              <w:br/>
            </w:r>
            <w:r w:rsidRPr="00ED1C7E">
              <w:rPr>
                <w:i/>
                <w:iCs/>
                <w:color w:val="FFFFFF" w:themeColor="background1"/>
              </w:rPr>
              <w:t xml:space="preserve">Bid </w:t>
            </w:r>
            <w:r w:rsidR="00447ECD" w:rsidRPr="00ED1C7E">
              <w:rPr>
                <w:i/>
                <w:iCs/>
                <w:color w:val="FFFFFF" w:themeColor="background1"/>
              </w:rPr>
              <w:t>p</w:t>
            </w:r>
            <w:r w:rsidRPr="00ED1C7E">
              <w:rPr>
                <w:i/>
                <w:iCs/>
                <w:color w:val="FFFFFF" w:themeColor="background1"/>
              </w:rPr>
              <w:t>rice</w:t>
            </w:r>
          </w:p>
        </w:tc>
        <w:tc>
          <w:tcPr>
            <w:tcW w:w="1134" w:type="dxa"/>
            <w:shd w:val="clear" w:color="auto" w:fill="1B556B" w:themeFill="text2"/>
            <w:tcMar>
              <w:left w:w="85" w:type="dxa"/>
              <w:right w:w="57" w:type="dxa"/>
            </w:tcMar>
            <w:vAlign w:val="bottom"/>
          </w:tcPr>
          <w:p w14:paraId="16679DA2" w14:textId="0970FFC6" w:rsidR="5E183D5E" w:rsidRPr="00ED1C7E" w:rsidRDefault="5E183D5E" w:rsidP="00DF5722">
            <w:pPr>
              <w:pStyle w:val="TableTextbold"/>
              <w:rPr>
                <w:color w:val="FFFFFF" w:themeColor="background1"/>
                <w:sz w:val="20"/>
                <w:szCs w:val="20"/>
              </w:rPr>
            </w:pPr>
            <w:r w:rsidRPr="00ED1C7E">
              <w:rPr>
                <w:color w:val="FFFFFF" w:themeColor="background1"/>
                <w:sz w:val="20"/>
                <w:szCs w:val="20"/>
              </w:rPr>
              <w:t xml:space="preserve">A </w:t>
            </w:r>
            <w:r w:rsidR="001C1525" w:rsidRPr="00ED1C7E">
              <w:rPr>
                <w:rFonts w:ascii="Cambria Math" w:hAnsi="Cambria Math" w:cs="Cambria Math"/>
                <w:color w:val="FFFFFF" w:themeColor="background1"/>
                <w:sz w:val="20"/>
                <w:szCs w:val="20"/>
              </w:rPr>
              <w:t>⨉</w:t>
            </w:r>
            <w:r w:rsidRPr="00ED1C7E">
              <w:rPr>
                <w:color w:val="FFFFFF" w:themeColor="background1"/>
                <w:sz w:val="20"/>
                <w:szCs w:val="20"/>
              </w:rPr>
              <w:t xml:space="preserve"> C: </w:t>
            </w:r>
            <w:r w:rsidR="00E567E7" w:rsidRPr="00ED1C7E">
              <w:rPr>
                <w:color w:val="FFFFFF" w:themeColor="background1"/>
                <w:sz w:val="20"/>
                <w:szCs w:val="20"/>
              </w:rPr>
              <w:br/>
            </w:r>
            <w:r w:rsidRPr="00ED1C7E">
              <w:rPr>
                <w:i/>
                <w:iCs/>
                <w:color w:val="FFFFFF" w:themeColor="background1"/>
              </w:rPr>
              <w:t xml:space="preserve">Bid </w:t>
            </w:r>
            <w:r w:rsidR="00447ECD" w:rsidRPr="00ED1C7E">
              <w:rPr>
                <w:i/>
                <w:iCs/>
                <w:color w:val="FFFFFF" w:themeColor="background1"/>
              </w:rPr>
              <w:t>p</w:t>
            </w:r>
            <w:r w:rsidRPr="00ED1C7E">
              <w:rPr>
                <w:i/>
                <w:iCs/>
                <w:color w:val="FFFFFF" w:themeColor="background1"/>
              </w:rPr>
              <w:t xml:space="preserve">rice </w:t>
            </w:r>
            <w:r w:rsidR="001C1525" w:rsidRPr="00ED1C7E">
              <w:rPr>
                <w:rFonts w:ascii="Cambria Math" w:hAnsi="Cambria Math" w:cs="Cambria Math"/>
                <w:i/>
                <w:iCs/>
                <w:color w:val="FFFFFF" w:themeColor="background1"/>
              </w:rPr>
              <w:t>⨉</w:t>
            </w:r>
            <w:r w:rsidRPr="00ED1C7E">
              <w:rPr>
                <w:i/>
                <w:iCs/>
                <w:color w:val="FFFFFF" w:themeColor="background1"/>
              </w:rPr>
              <w:t xml:space="preserve"> </w:t>
            </w:r>
            <w:r w:rsidR="00CE6985">
              <w:rPr>
                <w:i/>
                <w:iCs/>
                <w:color w:val="FFFFFF" w:themeColor="background1"/>
              </w:rPr>
              <w:t>b</w:t>
            </w:r>
            <w:r w:rsidRPr="00ED1C7E">
              <w:rPr>
                <w:i/>
                <w:iCs/>
                <w:color w:val="FFFFFF" w:themeColor="background1"/>
              </w:rPr>
              <w:t xml:space="preserve">id </w:t>
            </w:r>
            <w:r w:rsidR="00447ECD" w:rsidRPr="00ED1C7E">
              <w:rPr>
                <w:i/>
                <w:iCs/>
                <w:color w:val="FFFFFF" w:themeColor="background1"/>
              </w:rPr>
              <w:t>v</w:t>
            </w:r>
            <w:r w:rsidRPr="00ED1C7E">
              <w:rPr>
                <w:i/>
                <w:iCs/>
                <w:color w:val="FFFFFF" w:themeColor="background1"/>
              </w:rPr>
              <w:t>olume</w:t>
            </w:r>
          </w:p>
        </w:tc>
        <w:tc>
          <w:tcPr>
            <w:tcW w:w="1370" w:type="dxa"/>
            <w:tcBorders>
              <w:bottom w:val="single" w:sz="4" w:space="0" w:color="1B556B" w:themeColor="text2"/>
            </w:tcBorders>
            <w:shd w:val="clear" w:color="auto" w:fill="1B556B" w:themeFill="text2"/>
            <w:tcMar>
              <w:left w:w="85" w:type="dxa"/>
              <w:right w:w="57" w:type="dxa"/>
            </w:tcMar>
            <w:vAlign w:val="bottom"/>
          </w:tcPr>
          <w:p w14:paraId="47F1F6DF" w14:textId="2E2B22DE" w:rsidR="5E183D5E" w:rsidRPr="00ED1C7E" w:rsidRDefault="003A52FC" w:rsidP="00DF5722">
            <w:pPr>
              <w:pStyle w:val="TableTextbold"/>
              <w:rPr>
                <w:color w:val="FFFFFF" w:themeColor="background1"/>
                <w:sz w:val="20"/>
                <w:szCs w:val="20"/>
              </w:rPr>
            </w:pPr>
            <w:r w:rsidRPr="00ED1C7E">
              <w:rPr>
                <w:bCs/>
                <w:color w:val="FFFFFF" w:themeColor="background1"/>
                <w:sz w:val="20"/>
                <w:szCs w:val="20"/>
              </w:rPr>
              <w:t>C</w:t>
            </w:r>
            <w:r w:rsidR="00D315EA" w:rsidRPr="00ED1C7E">
              <w:rPr>
                <w:bCs/>
                <w:color w:val="FFFFFF" w:themeColor="background1"/>
                <w:sz w:val="20"/>
                <w:szCs w:val="20"/>
              </w:rPr>
              <w:t>ollateral</w:t>
            </w:r>
            <w:r w:rsidRPr="00ED1C7E">
              <w:rPr>
                <w:bCs/>
                <w:color w:val="FFFFFF" w:themeColor="background1"/>
                <w:sz w:val="20"/>
                <w:szCs w:val="20"/>
              </w:rPr>
              <w:t xml:space="preserve"> under status quo</w:t>
            </w:r>
            <w:r w:rsidR="00200164" w:rsidRPr="00ED1C7E">
              <w:rPr>
                <w:color w:val="FFFFFF" w:themeColor="background1"/>
                <w:sz w:val="20"/>
                <w:szCs w:val="20"/>
              </w:rPr>
              <w:t>:</w:t>
            </w:r>
            <w:r w:rsidR="00200164" w:rsidRPr="00ED1C7E">
              <w:rPr>
                <w:color w:val="FFFFFF" w:themeColor="background1"/>
                <w:sz w:val="20"/>
                <w:szCs w:val="20"/>
              </w:rPr>
              <w:br/>
            </w:r>
            <w:r w:rsidR="00200164" w:rsidRPr="00ED1C7E">
              <w:rPr>
                <w:i/>
                <w:iCs/>
                <w:color w:val="FFFFFF" w:themeColor="background1"/>
              </w:rPr>
              <w:t>S</w:t>
            </w:r>
            <w:r w:rsidR="5E183D5E" w:rsidRPr="00ED1C7E">
              <w:rPr>
                <w:i/>
                <w:iCs/>
                <w:color w:val="FFFFFF" w:themeColor="background1"/>
              </w:rPr>
              <w:t>um of 0.25</w:t>
            </w:r>
            <w:r w:rsidR="001C1525" w:rsidRPr="00ED1C7E">
              <w:rPr>
                <w:i/>
                <w:iCs/>
                <w:color w:val="FFFFFF" w:themeColor="background1"/>
              </w:rPr>
              <w:t xml:space="preserve"> </w:t>
            </w:r>
            <w:r w:rsidR="001C1525" w:rsidRPr="00ED1C7E">
              <w:rPr>
                <w:rFonts w:ascii="Cambria Math" w:hAnsi="Cambria Math" w:cs="Cambria Math"/>
                <w:i/>
                <w:iCs/>
                <w:color w:val="FFFFFF" w:themeColor="background1"/>
              </w:rPr>
              <w:t>⨉</w:t>
            </w:r>
            <w:r w:rsidR="5E183D5E" w:rsidRPr="00ED1C7E">
              <w:rPr>
                <w:i/>
                <w:iCs/>
                <w:color w:val="FFFFFF" w:themeColor="background1"/>
              </w:rPr>
              <w:t xml:space="preserve"> A </w:t>
            </w:r>
            <w:r w:rsidR="001C1525" w:rsidRPr="00ED1C7E">
              <w:rPr>
                <w:rFonts w:ascii="Cambria Math" w:hAnsi="Cambria Math" w:cs="Cambria Math"/>
                <w:i/>
                <w:iCs/>
                <w:color w:val="FFFFFF" w:themeColor="background1"/>
              </w:rPr>
              <w:t>⨉</w:t>
            </w:r>
            <w:r w:rsidR="5E183D5E" w:rsidRPr="00ED1C7E">
              <w:rPr>
                <w:i/>
                <w:iCs/>
                <w:color w:val="FFFFFF" w:themeColor="background1"/>
              </w:rPr>
              <w:t xml:space="preserve"> C for all bids</w:t>
            </w:r>
          </w:p>
        </w:tc>
        <w:tc>
          <w:tcPr>
            <w:tcW w:w="1370" w:type="dxa"/>
            <w:shd w:val="clear" w:color="auto" w:fill="1B556B" w:themeFill="text2"/>
            <w:tcMar>
              <w:left w:w="85" w:type="dxa"/>
              <w:right w:w="57" w:type="dxa"/>
            </w:tcMar>
            <w:vAlign w:val="bottom"/>
          </w:tcPr>
          <w:p w14:paraId="2B5ECCA1" w14:textId="0AD21995" w:rsidR="5E183D5E" w:rsidRPr="00ED1C7E" w:rsidRDefault="5E183D5E" w:rsidP="00DF5722">
            <w:pPr>
              <w:pStyle w:val="TableTextbold"/>
              <w:rPr>
                <w:color w:val="FFFFFF" w:themeColor="background1"/>
                <w:sz w:val="20"/>
                <w:szCs w:val="20"/>
              </w:rPr>
            </w:pPr>
            <w:r w:rsidRPr="00ED1C7E">
              <w:rPr>
                <w:color w:val="FFFFFF" w:themeColor="background1"/>
                <w:sz w:val="20"/>
                <w:szCs w:val="20"/>
              </w:rPr>
              <w:t xml:space="preserve">B </w:t>
            </w:r>
            <w:r w:rsidR="001C1525" w:rsidRPr="00ED1C7E">
              <w:rPr>
                <w:rFonts w:ascii="Cambria Math" w:hAnsi="Cambria Math" w:cs="Cambria Math"/>
                <w:color w:val="FFFFFF" w:themeColor="background1"/>
                <w:sz w:val="20"/>
                <w:szCs w:val="20"/>
              </w:rPr>
              <w:t>⨉</w:t>
            </w:r>
            <w:r w:rsidRPr="00ED1C7E">
              <w:rPr>
                <w:color w:val="FFFFFF" w:themeColor="background1"/>
                <w:sz w:val="20"/>
                <w:szCs w:val="20"/>
              </w:rPr>
              <w:t xml:space="preserve"> C: </w:t>
            </w:r>
            <w:r w:rsidRPr="00ED1C7E">
              <w:rPr>
                <w:i/>
                <w:iCs/>
                <w:color w:val="FFFFFF" w:themeColor="background1"/>
              </w:rPr>
              <w:t xml:space="preserve">Cumulative </w:t>
            </w:r>
            <w:r w:rsidR="0090175C" w:rsidRPr="00ED1C7E">
              <w:rPr>
                <w:i/>
                <w:iCs/>
                <w:color w:val="FFFFFF" w:themeColor="background1"/>
              </w:rPr>
              <w:t>b</w:t>
            </w:r>
            <w:r w:rsidRPr="00ED1C7E">
              <w:rPr>
                <w:i/>
                <w:iCs/>
                <w:color w:val="FFFFFF" w:themeColor="background1"/>
              </w:rPr>
              <w:t xml:space="preserve">id </w:t>
            </w:r>
            <w:r w:rsidR="0090175C" w:rsidRPr="00ED1C7E">
              <w:rPr>
                <w:i/>
                <w:iCs/>
                <w:color w:val="FFFFFF" w:themeColor="background1"/>
              </w:rPr>
              <w:t>p</w:t>
            </w:r>
            <w:r w:rsidRPr="00ED1C7E">
              <w:rPr>
                <w:i/>
                <w:iCs/>
                <w:color w:val="FFFFFF" w:themeColor="background1"/>
              </w:rPr>
              <w:t>rice IF current price successful on all previous bids</w:t>
            </w:r>
            <w:r w:rsidR="00BB4380" w:rsidRPr="00ED1C7E">
              <w:rPr>
                <w:i/>
                <w:iCs/>
                <w:color w:val="FFFFFF" w:themeColor="background1"/>
              </w:rPr>
              <w:t xml:space="preserve"> (m</w:t>
            </w:r>
            <w:r w:rsidRPr="00ED1C7E">
              <w:rPr>
                <w:i/>
                <w:iCs/>
                <w:color w:val="FFFFFF" w:themeColor="background1"/>
              </w:rPr>
              <w:t>ax</w:t>
            </w:r>
            <w:r w:rsidR="00BB4380" w:rsidRPr="00ED1C7E">
              <w:rPr>
                <w:i/>
                <w:iCs/>
                <w:color w:val="FFFFFF" w:themeColor="background1"/>
              </w:rPr>
              <w:t>imum</w:t>
            </w:r>
            <w:r w:rsidRPr="00ED1C7E">
              <w:rPr>
                <w:i/>
                <w:iCs/>
                <w:color w:val="FFFFFF" w:themeColor="background1"/>
              </w:rPr>
              <w:t xml:space="preserve"> price in bold</w:t>
            </w:r>
            <w:r w:rsidR="00BB4380" w:rsidRPr="00ED1C7E">
              <w:rPr>
                <w:i/>
                <w:iCs/>
                <w:color w:val="FFFFFF" w:themeColor="background1"/>
              </w:rPr>
              <w:t>)</w:t>
            </w:r>
          </w:p>
        </w:tc>
        <w:tc>
          <w:tcPr>
            <w:tcW w:w="1371" w:type="dxa"/>
            <w:tcBorders>
              <w:bottom w:val="single" w:sz="4" w:space="0" w:color="1B556B" w:themeColor="text2"/>
            </w:tcBorders>
            <w:shd w:val="clear" w:color="auto" w:fill="1B556B" w:themeFill="text2"/>
            <w:tcMar>
              <w:left w:w="85" w:type="dxa"/>
              <w:right w:w="57" w:type="dxa"/>
            </w:tcMar>
            <w:vAlign w:val="bottom"/>
          </w:tcPr>
          <w:p w14:paraId="5AE2DF54" w14:textId="2E0B325E" w:rsidR="5E183D5E" w:rsidRPr="00ED1C7E" w:rsidRDefault="003A52FC" w:rsidP="00DF5722">
            <w:pPr>
              <w:pStyle w:val="TableTextbold"/>
              <w:rPr>
                <w:color w:val="FFFFFF" w:themeColor="background1"/>
                <w:sz w:val="20"/>
                <w:szCs w:val="20"/>
              </w:rPr>
            </w:pPr>
            <w:r w:rsidRPr="00ED1C7E">
              <w:rPr>
                <w:bCs/>
                <w:color w:val="FFFFFF" w:themeColor="background1"/>
                <w:sz w:val="20"/>
                <w:szCs w:val="20"/>
              </w:rPr>
              <w:t>Collateral under option</w:t>
            </w:r>
            <w:r w:rsidR="0090175C" w:rsidRPr="00ED1C7E">
              <w:rPr>
                <w:bCs/>
                <w:color w:val="FFFFFF" w:themeColor="background1"/>
                <w:sz w:val="20"/>
                <w:szCs w:val="20"/>
              </w:rPr>
              <w:t> </w:t>
            </w:r>
            <w:r w:rsidRPr="00ED1C7E">
              <w:rPr>
                <w:bCs/>
                <w:color w:val="FFFFFF" w:themeColor="background1"/>
                <w:sz w:val="20"/>
                <w:szCs w:val="20"/>
              </w:rPr>
              <w:t>2</w:t>
            </w:r>
            <w:r w:rsidR="00200164" w:rsidRPr="00ED1C7E">
              <w:rPr>
                <w:color w:val="FFFFFF" w:themeColor="background1"/>
                <w:sz w:val="20"/>
                <w:szCs w:val="20"/>
              </w:rPr>
              <w:t>:</w:t>
            </w:r>
            <w:r w:rsidR="00200164" w:rsidRPr="00ED1C7E">
              <w:rPr>
                <w:color w:val="FFFFFF" w:themeColor="background1"/>
                <w:sz w:val="20"/>
                <w:szCs w:val="20"/>
              </w:rPr>
              <w:br/>
            </w:r>
            <w:r w:rsidR="5E183D5E" w:rsidRPr="00ED1C7E">
              <w:rPr>
                <w:i/>
                <w:iCs/>
                <w:color w:val="FFFFFF" w:themeColor="background1"/>
              </w:rPr>
              <w:t xml:space="preserve">0.25 </w:t>
            </w:r>
            <w:r w:rsidR="001C1525" w:rsidRPr="00ED1C7E">
              <w:rPr>
                <w:rFonts w:ascii="Cambria Math" w:hAnsi="Cambria Math" w:cs="Cambria Math"/>
                <w:i/>
                <w:iCs/>
                <w:color w:val="FFFFFF" w:themeColor="background1"/>
              </w:rPr>
              <w:t>⨉</w:t>
            </w:r>
            <w:r w:rsidR="5E183D5E" w:rsidRPr="00ED1C7E">
              <w:rPr>
                <w:i/>
                <w:iCs/>
                <w:color w:val="FFFFFF" w:themeColor="background1"/>
              </w:rPr>
              <w:t xml:space="preserve"> B </w:t>
            </w:r>
            <w:r w:rsidR="001C1525" w:rsidRPr="00ED1C7E">
              <w:rPr>
                <w:rFonts w:ascii="Cambria Math" w:hAnsi="Cambria Math" w:cs="Cambria Math"/>
                <w:i/>
                <w:iCs/>
                <w:color w:val="FFFFFF" w:themeColor="background1"/>
              </w:rPr>
              <w:t>⨉</w:t>
            </w:r>
            <w:r w:rsidR="5E183D5E" w:rsidRPr="00ED1C7E">
              <w:rPr>
                <w:i/>
                <w:iCs/>
                <w:color w:val="FFFFFF" w:themeColor="background1"/>
              </w:rPr>
              <w:t xml:space="preserve"> C</w:t>
            </w:r>
            <w:r w:rsidR="001C1525" w:rsidRPr="00ED1C7E">
              <w:rPr>
                <w:i/>
                <w:iCs/>
                <w:color w:val="FFFFFF" w:themeColor="background1"/>
              </w:rPr>
              <w:t>,</w:t>
            </w:r>
            <w:r w:rsidR="5E183D5E" w:rsidRPr="00ED1C7E">
              <w:rPr>
                <w:i/>
                <w:iCs/>
                <w:color w:val="FFFFFF" w:themeColor="background1"/>
              </w:rPr>
              <w:t xml:space="preserve"> taking the maximum</w:t>
            </w:r>
          </w:p>
        </w:tc>
      </w:tr>
      <w:tr w:rsidR="00D74C72" w:rsidRPr="00ED1C7E" w14:paraId="63D8B448" w14:textId="77777777" w:rsidTr="00861675">
        <w:trPr>
          <w:trHeight w:val="300"/>
        </w:trPr>
        <w:tc>
          <w:tcPr>
            <w:tcW w:w="1134" w:type="dxa"/>
            <w:tcMar>
              <w:left w:w="85" w:type="dxa"/>
              <w:right w:w="57" w:type="dxa"/>
            </w:tcMar>
            <w:vAlign w:val="center"/>
          </w:tcPr>
          <w:p w14:paraId="303651DE" w14:textId="247551B4" w:rsidR="5E183D5E" w:rsidRPr="00ED1C7E" w:rsidRDefault="5E183D5E" w:rsidP="00BA1ACF">
            <w:pPr>
              <w:pStyle w:val="TableText"/>
              <w:jc w:val="right"/>
            </w:pPr>
            <w:r w:rsidRPr="00ED1C7E">
              <w:t>30,000</w:t>
            </w:r>
          </w:p>
        </w:tc>
        <w:tc>
          <w:tcPr>
            <w:tcW w:w="1134" w:type="dxa"/>
            <w:tcMar>
              <w:left w:w="85" w:type="dxa"/>
              <w:right w:w="57" w:type="dxa"/>
            </w:tcMar>
            <w:vAlign w:val="center"/>
          </w:tcPr>
          <w:p w14:paraId="0EA85157" w14:textId="7431CBF5" w:rsidR="5E183D5E" w:rsidRPr="00ED1C7E" w:rsidRDefault="5E183D5E" w:rsidP="00BA1ACF">
            <w:pPr>
              <w:pStyle w:val="TableText"/>
              <w:jc w:val="right"/>
            </w:pPr>
            <w:r w:rsidRPr="00ED1C7E">
              <w:t>30,000</w:t>
            </w:r>
          </w:p>
        </w:tc>
        <w:tc>
          <w:tcPr>
            <w:tcW w:w="1134" w:type="dxa"/>
            <w:tcMar>
              <w:left w:w="85" w:type="dxa"/>
              <w:right w:w="57" w:type="dxa"/>
            </w:tcMar>
            <w:vAlign w:val="center"/>
          </w:tcPr>
          <w:p w14:paraId="52AAA844" w14:textId="43467786" w:rsidR="5E183D5E" w:rsidRPr="00ED1C7E" w:rsidRDefault="5E183D5E" w:rsidP="00BA1ACF">
            <w:pPr>
              <w:pStyle w:val="TableText"/>
              <w:jc w:val="right"/>
            </w:pPr>
            <w:r w:rsidRPr="00ED1C7E">
              <w:t>$50.00</w:t>
            </w:r>
          </w:p>
        </w:tc>
        <w:tc>
          <w:tcPr>
            <w:tcW w:w="1134" w:type="dxa"/>
            <w:tcMar>
              <w:left w:w="85" w:type="dxa"/>
              <w:right w:w="57" w:type="dxa"/>
            </w:tcMar>
            <w:vAlign w:val="center"/>
          </w:tcPr>
          <w:p w14:paraId="16BC2616" w14:textId="7B23B863" w:rsidR="5E183D5E" w:rsidRPr="00ED1C7E" w:rsidRDefault="5E183D5E" w:rsidP="00BA1ACF">
            <w:pPr>
              <w:pStyle w:val="TableText"/>
              <w:jc w:val="right"/>
            </w:pPr>
            <w:r w:rsidRPr="00ED1C7E">
              <w:t>1,500,000</w:t>
            </w:r>
          </w:p>
        </w:tc>
        <w:tc>
          <w:tcPr>
            <w:tcW w:w="1370" w:type="dxa"/>
            <w:shd w:val="clear" w:color="auto" w:fill="D2DDE1" w:themeFill="background2"/>
            <w:tcMar>
              <w:left w:w="85" w:type="dxa"/>
              <w:right w:w="57" w:type="dxa"/>
            </w:tcMar>
            <w:vAlign w:val="center"/>
          </w:tcPr>
          <w:p w14:paraId="5D946766" w14:textId="063FEE12" w:rsidR="5E183D5E" w:rsidRPr="00ED1C7E" w:rsidRDefault="5E183D5E" w:rsidP="00BA1ACF">
            <w:pPr>
              <w:pStyle w:val="TableText"/>
              <w:jc w:val="right"/>
            </w:pPr>
            <w:r w:rsidRPr="00ED1C7E">
              <w:t>$375,000</w:t>
            </w:r>
          </w:p>
        </w:tc>
        <w:tc>
          <w:tcPr>
            <w:tcW w:w="1370" w:type="dxa"/>
            <w:tcMar>
              <w:left w:w="85" w:type="dxa"/>
              <w:right w:w="57" w:type="dxa"/>
            </w:tcMar>
            <w:vAlign w:val="center"/>
          </w:tcPr>
          <w:p w14:paraId="48484141" w14:textId="0C3EC373" w:rsidR="5E183D5E" w:rsidRPr="00ED1C7E" w:rsidRDefault="5E183D5E" w:rsidP="00BA1ACF">
            <w:pPr>
              <w:pStyle w:val="TableText"/>
              <w:jc w:val="right"/>
            </w:pPr>
            <w:r w:rsidRPr="00ED1C7E">
              <w:t>$1,500,000</w:t>
            </w:r>
          </w:p>
        </w:tc>
        <w:tc>
          <w:tcPr>
            <w:tcW w:w="1371" w:type="dxa"/>
            <w:shd w:val="clear" w:color="auto" w:fill="D2DDE1" w:themeFill="background2"/>
            <w:tcMar>
              <w:left w:w="85" w:type="dxa"/>
              <w:right w:w="57" w:type="dxa"/>
            </w:tcMar>
            <w:vAlign w:val="center"/>
          </w:tcPr>
          <w:p w14:paraId="559387BC" w14:textId="136C2ADE" w:rsidR="5E183D5E" w:rsidRPr="00ED1C7E" w:rsidRDefault="5E183D5E" w:rsidP="00BA1ACF">
            <w:pPr>
              <w:pStyle w:val="TableText"/>
              <w:jc w:val="right"/>
            </w:pPr>
            <w:r w:rsidRPr="00ED1C7E">
              <w:t>$375,000</w:t>
            </w:r>
          </w:p>
        </w:tc>
      </w:tr>
      <w:tr w:rsidR="00D74C72" w:rsidRPr="00ED1C7E" w14:paraId="3D02F1EC" w14:textId="77777777" w:rsidTr="00861675">
        <w:trPr>
          <w:trHeight w:val="300"/>
        </w:trPr>
        <w:tc>
          <w:tcPr>
            <w:tcW w:w="1134" w:type="dxa"/>
            <w:tcMar>
              <w:left w:w="85" w:type="dxa"/>
              <w:right w:w="57" w:type="dxa"/>
            </w:tcMar>
            <w:vAlign w:val="center"/>
          </w:tcPr>
          <w:p w14:paraId="50928C53" w14:textId="43518F50" w:rsidR="5E183D5E" w:rsidRPr="00ED1C7E" w:rsidRDefault="5E183D5E" w:rsidP="00BA1ACF">
            <w:pPr>
              <w:pStyle w:val="TableText"/>
              <w:jc w:val="right"/>
            </w:pPr>
            <w:r w:rsidRPr="00ED1C7E">
              <w:t>20,000</w:t>
            </w:r>
          </w:p>
        </w:tc>
        <w:tc>
          <w:tcPr>
            <w:tcW w:w="1134" w:type="dxa"/>
            <w:tcMar>
              <w:left w:w="85" w:type="dxa"/>
              <w:right w:w="57" w:type="dxa"/>
            </w:tcMar>
            <w:vAlign w:val="center"/>
          </w:tcPr>
          <w:p w14:paraId="26D463F5" w14:textId="31C3C316" w:rsidR="5E183D5E" w:rsidRPr="00ED1C7E" w:rsidRDefault="5E183D5E" w:rsidP="00BA1ACF">
            <w:pPr>
              <w:pStyle w:val="TableText"/>
              <w:jc w:val="right"/>
            </w:pPr>
            <w:r w:rsidRPr="00ED1C7E">
              <w:t>50,000</w:t>
            </w:r>
          </w:p>
        </w:tc>
        <w:tc>
          <w:tcPr>
            <w:tcW w:w="1134" w:type="dxa"/>
            <w:tcMar>
              <w:left w:w="85" w:type="dxa"/>
              <w:right w:w="57" w:type="dxa"/>
            </w:tcMar>
            <w:vAlign w:val="center"/>
          </w:tcPr>
          <w:p w14:paraId="6494FB9C" w14:textId="5BB7B183" w:rsidR="5E183D5E" w:rsidRPr="00ED1C7E" w:rsidRDefault="5E183D5E" w:rsidP="00BA1ACF">
            <w:pPr>
              <w:pStyle w:val="TableText"/>
              <w:jc w:val="right"/>
            </w:pPr>
            <w:r w:rsidRPr="00ED1C7E">
              <w:t>$42.20</w:t>
            </w:r>
          </w:p>
        </w:tc>
        <w:tc>
          <w:tcPr>
            <w:tcW w:w="1134" w:type="dxa"/>
            <w:tcMar>
              <w:left w:w="85" w:type="dxa"/>
              <w:right w:w="57" w:type="dxa"/>
            </w:tcMar>
            <w:vAlign w:val="center"/>
          </w:tcPr>
          <w:p w14:paraId="7BEADA8C" w14:textId="5487F4DF" w:rsidR="5E183D5E" w:rsidRPr="00ED1C7E" w:rsidRDefault="5E183D5E" w:rsidP="00BA1ACF">
            <w:pPr>
              <w:pStyle w:val="TableText"/>
              <w:jc w:val="right"/>
            </w:pPr>
            <w:r w:rsidRPr="00ED1C7E">
              <w:t>844,000</w:t>
            </w:r>
          </w:p>
        </w:tc>
        <w:tc>
          <w:tcPr>
            <w:tcW w:w="1370" w:type="dxa"/>
            <w:shd w:val="clear" w:color="auto" w:fill="D2DDE1" w:themeFill="background2"/>
            <w:tcMar>
              <w:left w:w="85" w:type="dxa"/>
              <w:right w:w="57" w:type="dxa"/>
            </w:tcMar>
            <w:vAlign w:val="center"/>
          </w:tcPr>
          <w:p w14:paraId="4AC5D822" w14:textId="67BC6275" w:rsidR="5E183D5E" w:rsidRPr="00ED1C7E" w:rsidRDefault="5E183D5E" w:rsidP="00BA1ACF">
            <w:pPr>
              <w:pStyle w:val="TableText"/>
              <w:jc w:val="right"/>
            </w:pPr>
            <w:r w:rsidRPr="00ED1C7E">
              <w:t>$211,000</w:t>
            </w:r>
          </w:p>
        </w:tc>
        <w:tc>
          <w:tcPr>
            <w:tcW w:w="1370" w:type="dxa"/>
            <w:tcMar>
              <w:left w:w="85" w:type="dxa"/>
              <w:right w:w="57" w:type="dxa"/>
            </w:tcMar>
            <w:vAlign w:val="center"/>
          </w:tcPr>
          <w:p w14:paraId="5AA5D08D" w14:textId="00F016FA" w:rsidR="5E183D5E" w:rsidRPr="00ED1C7E" w:rsidRDefault="5E183D5E" w:rsidP="00BA1ACF">
            <w:pPr>
              <w:pStyle w:val="TableText"/>
              <w:jc w:val="right"/>
            </w:pPr>
            <w:r w:rsidRPr="00ED1C7E">
              <w:t>$2,110,000</w:t>
            </w:r>
          </w:p>
        </w:tc>
        <w:tc>
          <w:tcPr>
            <w:tcW w:w="1371" w:type="dxa"/>
            <w:shd w:val="clear" w:color="auto" w:fill="D2DDE1" w:themeFill="background2"/>
            <w:tcMar>
              <w:left w:w="85" w:type="dxa"/>
              <w:right w:w="57" w:type="dxa"/>
            </w:tcMar>
            <w:vAlign w:val="center"/>
          </w:tcPr>
          <w:p w14:paraId="5862AE94" w14:textId="07D3DD13" w:rsidR="5E183D5E" w:rsidRPr="00ED1C7E" w:rsidRDefault="5E183D5E" w:rsidP="00BA1ACF">
            <w:pPr>
              <w:pStyle w:val="TableText"/>
              <w:jc w:val="right"/>
            </w:pPr>
            <w:r w:rsidRPr="00ED1C7E">
              <w:t>$527,500</w:t>
            </w:r>
          </w:p>
        </w:tc>
      </w:tr>
      <w:tr w:rsidR="00D74C72" w:rsidRPr="00ED1C7E" w14:paraId="56D35C10" w14:textId="77777777" w:rsidTr="00861675">
        <w:trPr>
          <w:trHeight w:val="300"/>
        </w:trPr>
        <w:tc>
          <w:tcPr>
            <w:tcW w:w="1134" w:type="dxa"/>
            <w:tcMar>
              <w:left w:w="85" w:type="dxa"/>
              <w:right w:w="57" w:type="dxa"/>
            </w:tcMar>
            <w:vAlign w:val="center"/>
          </w:tcPr>
          <w:p w14:paraId="217E3175" w14:textId="6901E5B4" w:rsidR="5E183D5E" w:rsidRPr="00ED1C7E" w:rsidRDefault="5E183D5E" w:rsidP="00BA1ACF">
            <w:pPr>
              <w:pStyle w:val="TableText"/>
              <w:jc w:val="right"/>
            </w:pPr>
            <w:r w:rsidRPr="00ED1C7E">
              <w:t>200,000</w:t>
            </w:r>
          </w:p>
        </w:tc>
        <w:tc>
          <w:tcPr>
            <w:tcW w:w="1134" w:type="dxa"/>
            <w:tcMar>
              <w:left w:w="85" w:type="dxa"/>
              <w:right w:w="57" w:type="dxa"/>
            </w:tcMar>
            <w:vAlign w:val="center"/>
          </w:tcPr>
          <w:p w14:paraId="2D8278D8" w14:textId="28512B40" w:rsidR="5E183D5E" w:rsidRPr="00ED1C7E" w:rsidRDefault="5E183D5E" w:rsidP="00BA1ACF">
            <w:pPr>
              <w:pStyle w:val="TableText"/>
              <w:jc w:val="right"/>
            </w:pPr>
            <w:r w:rsidRPr="00ED1C7E">
              <w:t>250,000</w:t>
            </w:r>
          </w:p>
        </w:tc>
        <w:tc>
          <w:tcPr>
            <w:tcW w:w="1134" w:type="dxa"/>
            <w:tcMar>
              <w:left w:w="85" w:type="dxa"/>
              <w:right w:w="57" w:type="dxa"/>
            </w:tcMar>
            <w:vAlign w:val="center"/>
          </w:tcPr>
          <w:p w14:paraId="742047BF" w14:textId="72FC747F" w:rsidR="5E183D5E" w:rsidRPr="00ED1C7E" w:rsidRDefault="5E183D5E" w:rsidP="00BA1ACF">
            <w:pPr>
              <w:pStyle w:val="TableText"/>
              <w:jc w:val="right"/>
            </w:pPr>
            <w:r w:rsidRPr="00ED1C7E">
              <w:t>$39.40</w:t>
            </w:r>
          </w:p>
        </w:tc>
        <w:tc>
          <w:tcPr>
            <w:tcW w:w="1134" w:type="dxa"/>
            <w:tcMar>
              <w:left w:w="85" w:type="dxa"/>
              <w:right w:w="57" w:type="dxa"/>
            </w:tcMar>
            <w:vAlign w:val="center"/>
          </w:tcPr>
          <w:p w14:paraId="14FAACBB" w14:textId="7193FBE3" w:rsidR="5E183D5E" w:rsidRPr="00ED1C7E" w:rsidRDefault="5E183D5E" w:rsidP="00BA1ACF">
            <w:pPr>
              <w:pStyle w:val="TableText"/>
              <w:jc w:val="right"/>
            </w:pPr>
            <w:r w:rsidRPr="00ED1C7E">
              <w:t>7,880,000</w:t>
            </w:r>
          </w:p>
        </w:tc>
        <w:tc>
          <w:tcPr>
            <w:tcW w:w="1370" w:type="dxa"/>
            <w:shd w:val="clear" w:color="auto" w:fill="D2DDE1" w:themeFill="background2"/>
            <w:tcMar>
              <w:left w:w="85" w:type="dxa"/>
              <w:right w:w="57" w:type="dxa"/>
            </w:tcMar>
            <w:vAlign w:val="center"/>
          </w:tcPr>
          <w:p w14:paraId="1185A036" w14:textId="3D285097" w:rsidR="5E183D5E" w:rsidRPr="00ED1C7E" w:rsidRDefault="5E183D5E" w:rsidP="00BA1ACF">
            <w:pPr>
              <w:pStyle w:val="TableText"/>
              <w:jc w:val="right"/>
            </w:pPr>
            <w:r w:rsidRPr="00ED1C7E">
              <w:t>$1,970,000</w:t>
            </w:r>
          </w:p>
        </w:tc>
        <w:tc>
          <w:tcPr>
            <w:tcW w:w="1370" w:type="dxa"/>
            <w:tcMar>
              <w:left w:w="85" w:type="dxa"/>
              <w:right w:w="57" w:type="dxa"/>
            </w:tcMar>
            <w:vAlign w:val="center"/>
          </w:tcPr>
          <w:p w14:paraId="38603C2D" w14:textId="40E6AF50" w:rsidR="5E183D5E" w:rsidRPr="00ED1C7E" w:rsidRDefault="5E183D5E" w:rsidP="00BA1ACF">
            <w:pPr>
              <w:pStyle w:val="TableText"/>
              <w:jc w:val="right"/>
            </w:pPr>
            <w:r w:rsidRPr="00ED1C7E">
              <w:t>$9,850,000</w:t>
            </w:r>
          </w:p>
        </w:tc>
        <w:tc>
          <w:tcPr>
            <w:tcW w:w="1371" w:type="dxa"/>
            <w:shd w:val="clear" w:color="auto" w:fill="D2DDE1" w:themeFill="background2"/>
            <w:tcMar>
              <w:left w:w="85" w:type="dxa"/>
              <w:right w:w="57" w:type="dxa"/>
            </w:tcMar>
            <w:vAlign w:val="center"/>
          </w:tcPr>
          <w:p w14:paraId="77FD1EBD" w14:textId="2FE9459B" w:rsidR="5E183D5E" w:rsidRPr="00ED1C7E" w:rsidRDefault="5E183D5E" w:rsidP="00BA1ACF">
            <w:pPr>
              <w:pStyle w:val="TableText"/>
              <w:jc w:val="right"/>
            </w:pPr>
            <w:r w:rsidRPr="00ED1C7E">
              <w:t>$2,462,500</w:t>
            </w:r>
          </w:p>
        </w:tc>
      </w:tr>
      <w:tr w:rsidR="00D74C72" w:rsidRPr="00ED1C7E" w14:paraId="49FA6444" w14:textId="77777777" w:rsidTr="00861675">
        <w:trPr>
          <w:trHeight w:val="300"/>
        </w:trPr>
        <w:tc>
          <w:tcPr>
            <w:tcW w:w="1134" w:type="dxa"/>
            <w:tcMar>
              <w:left w:w="85" w:type="dxa"/>
              <w:right w:w="57" w:type="dxa"/>
            </w:tcMar>
            <w:vAlign w:val="center"/>
          </w:tcPr>
          <w:p w14:paraId="514587DF" w14:textId="1A72307F" w:rsidR="5E183D5E" w:rsidRPr="00ED1C7E" w:rsidRDefault="5E183D5E" w:rsidP="00BA1ACF">
            <w:pPr>
              <w:pStyle w:val="TableText"/>
              <w:jc w:val="right"/>
            </w:pPr>
            <w:r w:rsidRPr="00ED1C7E">
              <w:t>10,000</w:t>
            </w:r>
          </w:p>
        </w:tc>
        <w:tc>
          <w:tcPr>
            <w:tcW w:w="1134" w:type="dxa"/>
            <w:tcMar>
              <w:left w:w="85" w:type="dxa"/>
              <w:right w:w="57" w:type="dxa"/>
            </w:tcMar>
            <w:vAlign w:val="center"/>
          </w:tcPr>
          <w:p w14:paraId="700ED302" w14:textId="5864DA27" w:rsidR="5E183D5E" w:rsidRPr="00ED1C7E" w:rsidRDefault="5E183D5E" w:rsidP="00BA1ACF">
            <w:pPr>
              <w:pStyle w:val="TableText"/>
              <w:jc w:val="right"/>
            </w:pPr>
            <w:r w:rsidRPr="00ED1C7E">
              <w:t>260,000</w:t>
            </w:r>
          </w:p>
        </w:tc>
        <w:tc>
          <w:tcPr>
            <w:tcW w:w="1134" w:type="dxa"/>
            <w:tcMar>
              <w:left w:w="85" w:type="dxa"/>
              <w:right w:w="57" w:type="dxa"/>
            </w:tcMar>
            <w:vAlign w:val="center"/>
          </w:tcPr>
          <w:p w14:paraId="0B858D51" w14:textId="5BDD8494" w:rsidR="5E183D5E" w:rsidRPr="00ED1C7E" w:rsidRDefault="5E183D5E" w:rsidP="00BA1ACF">
            <w:pPr>
              <w:pStyle w:val="TableText"/>
              <w:jc w:val="right"/>
            </w:pPr>
            <w:r w:rsidRPr="00ED1C7E">
              <w:t>$38.00</w:t>
            </w:r>
          </w:p>
        </w:tc>
        <w:tc>
          <w:tcPr>
            <w:tcW w:w="1134" w:type="dxa"/>
            <w:tcMar>
              <w:left w:w="85" w:type="dxa"/>
              <w:right w:w="57" w:type="dxa"/>
            </w:tcMar>
            <w:vAlign w:val="center"/>
          </w:tcPr>
          <w:p w14:paraId="0B8FA881" w14:textId="15C9C10A" w:rsidR="5E183D5E" w:rsidRPr="00ED1C7E" w:rsidRDefault="5E183D5E" w:rsidP="00BA1ACF">
            <w:pPr>
              <w:pStyle w:val="TableText"/>
              <w:jc w:val="right"/>
            </w:pPr>
            <w:r w:rsidRPr="00ED1C7E">
              <w:t>380,000</w:t>
            </w:r>
          </w:p>
        </w:tc>
        <w:tc>
          <w:tcPr>
            <w:tcW w:w="1370" w:type="dxa"/>
            <w:shd w:val="clear" w:color="auto" w:fill="D2DDE1" w:themeFill="background2"/>
            <w:tcMar>
              <w:left w:w="85" w:type="dxa"/>
              <w:right w:w="57" w:type="dxa"/>
            </w:tcMar>
            <w:vAlign w:val="center"/>
          </w:tcPr>
          <w:p w14:paraId="5FEE98E4" w14:textId="1E4C9C72" w:rsidR="5E183D5E" w:rsidRPr="00ED1C7E" w:rsidRDefault="5E183D5E" w:rsidP="00BA1ACF">
            <w:pPr>
              <w:pStyle w:val="TableText"/>
              <w:jc w:val="right"/>
            </w:pPr>
            <w:r w:rsidRPr="00ED1C7E">
              <w:t>$95,000</w:t>
            </w:r>
          </w:p>
        </w:tc>
        <w:tc>
          <w:tcPr>
            <w:tcW w:w="1370" w:type="dxa"/>
            <w:tcMar>
              <w:left w:w="85" w:type="dxa"/>
              <w:right w:w="57" w:type="dxa"/>
            </w:tcMar>
            <w:vAlign w:val="center"/>
          </w:tcPr>
          <w:p w14:paraId="566DDCAC" w14:textId="19F27E48" w:rsidR="5E183D5E" w:rsidRPr="00ED1C7E" w:rsidRDefault="5E183D5E" w:rsidP="00BA1ACF">
            <w:pPr>
              <w:pStyle w:val="TableText"/>
              <w:jc w:val="right"/>
            </w:pPr>
            <w:r w:rsidRPr="00ED1C7E">
              <w:rPr>
                <w:b/>
              </w:rPr>
              <w:t>$9,880,000</w:t>
            </w:r>
          </w:p>
        </w:tc>
        <w:tc>
          <w:tcPr>
            <w:tcW w:w="1371" w:type="dxa"/>
            <w:shd w:val="clear" w:color="auto" w:fill="D2DDE1" w:themeFill="background2"/>
            <w:tcMar>
              <w:left w:w="85" w:type="dxa"/>
              <w:right w:w="57" w:type="dxa"/>
            </w:tcMar>
            <w:vAlign w:val="center"/>
          </w:tcPr>
          <w:p w14:paraId="52A02B20" w14:textId="1D7FAEB1" w:rsidR="5E183D5E" w:rsidRPr="00ED1C7E" w:rsidRDefault="5E183D5E" w:rsidP="00BA1ACF">
            <w:pPr>
              <w:pStyle w:val="TableText"/>
              <w:jc w:val="right"/>
            </w:pPr>
            <w:r w:rsidRPr="00ED1C7E">
              <w:rPr>
                <w:b/>
              </w:rPr>
              <w:t>$2,470,000</w:t>
            </w:r>
          </w:p>
        </w:tc>
      </w:tr>
      <w:tr w:rsidR="00D74C72" w:rsidRPr="00ED1C7E" w14:paraId="2874856F" w14:textId="77777777" w:rsidTr="00861675">
        <w:trPr>
          <w:trHeight w:val="300"/>
        </w:trPr>
        <w:tc>
          <w:tcPr>
            <w:tcW w:w="1134" w:type="dxa"/>
            <w:tcMar>
              <w:left w:w="85" w:type="dxa"/>
              <w:right w:w="57" w:type="dxa"/>
            </w:tcMar>
            <w:vAlign w:val="center"/>
          </w:tcPr>
          <w:p w14:paraId="3D6C1427" w14:textId="1170C6A1" w:rsidR="5E183D5E" w:rsidRPr="00ED1C7E" w:rsidRDefault="5E183D5E" w:rsidP="00BA1ACF">
            <w:pPr>
              <w:pStyle w:val="TableText"/>
              <w:jc w:val="right"/>
            </w:pPr>
            <w:r w:rsidRPr="00ED1C7E">
              <w:t>20,000</w:t>
            </w:r>
          </w:p>
        </w:tc>
        <w:tc>
          <w:tcPr>
            <w:tcW w:w="1134" w:type="dxa"/>
            <w:tcMar>
              <w:left w:w="85" w:type="dxa"/>
              <w:right w:w="57" w:type="dxa"/>
            </w:tcMar>
            <w:vAlign w:val="center"/>
          </w:tcPr>
          <w:p w14:paraId="7E835B7F" w14:textId="612FB66C" w:rsidR="5E183D5E" w:rsidRPr="00ED1C7E" w:rsidRDefault="5E183D5E" w:rsidP="00BA1ACF">
            <w:pPr>
              <w:pStyle w:val="TableText"/>
              <w:jc w:val="right"/>
            </w:pPr>
            <w:r w:rsidRPr="00ED1C7E">
              <w:t>280,000</w:t>
            </w:r>
          </w:p>
        </w:tc>
        <w:tc>
          <w:tcPr>
            <w:tcW w:w="1134" w:type="dxa"/>
            <w:tcMar>
              <w:left w:w="85" w:type="dxa"/>
              <w:right w:w="57" w:type="dxa"/>
            </w:tcMar>
            <w:vAlign w:val="center"/>
          </w:tcPr>
          <w:p w14:paraId="62B0C5F5" w14:textId="723EF0F2" w:rsidR="5E183D5E" w:rsidRPr="00ED1C7E" w:rsidRDefault="5E183D5E" w:rsidP="00BA1ACF">
            <w:pPr>
              <w:pStyle w:val="TableText"/>
              <w:jc w:val="right"/>
            </w:pPr>
            <w:r w:rsidRPr="00ED1C7E">
              <w:t>$34.20</w:t>
            </w:r>
          </w:p>
        </w:tc>
        <w:tc>
          <w:tcPr>
            <w:tcW w:w="1134" w:type="dxa"/>
            <w:tcMar>
              <w:left w:w="85" w:type="dxa"/>
              <w:right w:w="57" w:type="dxa"/>
            </w:tcMar>
            <w:vAlign w:val="center"/>
          </w:tcPr>
          <w:p w14:paraId="476BD7F1" w14:textId="3AC6D6B4" w:rsidR="5E183D5E" w:rsidRPr="00ED1C7E" w:rsidRDefault="5E183D5E" w:rsidP="00BA1ACF">
            <w:pPr>
              <w:pStyle w:val="TableText"/>
              <w:jc w:val="right"/>
            </w:pPr>
            <w:r w:rsidRPr="00ED1C7E">
              <w:t>684,000</w:t>
            </w:r>
          </w:p>
        </w:tc>
        <w:tc>
          <w:tcPr>
            <w:tcW w:w="1370" w:type="dxa"/>
            <w:shd w:val="clear" w:color="auto" w:fill="D2DDE1" w:themeFill="background2"/>
            <w:tcMar>
              <w:left w:w="85" w:type="dxa"/>
              <w:right w:w="57" w:type="dxa"/>
            </w:tcMar>
            <w:vAlign w:val="center"/>
          </w:tcPr>
          <w:p w14:paraId="6817ACF9" w14:textId="41C39D72" w:rsidR="5E183D5E" w:rsidRPr="00ED1C7E" w:rsidRDefault="5E183D5E" w:rsidP="00BA1ACF">
            <w:pPr>
              <w:pStyle w:val="TableText"/>
              <w:jc w:val="right"/>
            </w:pPr>
            <w:r w:rsidRPr="00ED1C7E">
              <w:t>$171,000</w:t>
            </w:r>
          </w:p>
        </w:tc>
        <w:tc>
          <w:tcPr>
            <w:tcW w:w="1370" w:type="dxa"/>
            <w:tcMar>
              <w:left w:w="85" w:type="dxa"/>
              <w:right w:w="57" w:type="dxa"/>
            </w:tcMar>
            <w:vAlign w:val="center"/>
          </w:tcPr>
          <w:p w14:paraId="247B398D" w14:textId="34617D84" w:rsidR="5E183D5E" w:rsidRPr="00ED1C7E" w:rsidRDefault="5E183D5E" w:rsidP="00BA1ACF">
            <w:pPr>
              <w:pStyle w:val="TableText"/>
              <w:jc w:val="right"/>
            </w:pPr>
            <w:r w:rsidRPr="00ED1C7E">
              <w:t>$9,576,000</w:t>
            </w:r>
          </w:p>
        </w:tc>
        <w:tc>
          <w:tcPr>
            <w:tcW w:w="1371" w:type="dxa"/>
            <w:shd w:val="clear" w:color="auto" w:fill="D2DDE1" w:themeFill="background2"/>
            <w:tcMar>
              <w:left w:w="85" w:type="dxa"/>
              <w:right w:w="57" w:type="dxa"/>
            </w:tcMar>
            <w:vAlign w:val="center"/>
          </w:tcPr>
          <w:p w14:paraId="140A80F3" w14:textId="15125529" w:rsidR="5E183D5E" w:rsidRPr="00ED1C7E" w:rsidRDefault="5E183D5E" w:rsidP="00BA1ACF">
            <w:pPr>
              <w:pStyle w:val="TableText"/>
              <w:jc w:val="right"/>
            </w:pPr>
            <w:r w:rsidRPr="00ED1C7E">
              <w:t>$2,394,000</w:t>
            </w:r>
          </w:p>
        </w:tc>
      </w:tr>
      <w:tr w:rsidR="003E30C6" w:rsidRPr="00ED1C7E" w14:paraId="3080969B" w14:textId="77777777" w:rsidTr="00861675">
        <w:trPr>
          <w:trHeight w:val="300"/>
        </w:trPr>
        <w:tc>
          <w:tcPr>
            <w:tcW w:w="3402" w:type="dxa"/>
            <w:gridSpan w:val="3"/>
            <w:tcMar>
              <w:left w:w="85" w:type="dxa"/>
              <w:right w:w="57" w:type="dxa"/>
            </w:tcMar>
            <w:vAlign w:val="center"/>
          </w:tcPr>
          <w:p w14:paraId="1D435F0E" w14:textId="02D02004" w:rsidR="003E30C6" w:rsidRPr="00ED1C7E" w:rsidRDefault="003E30C6" w:rsidP="00BA1ACF">
            <w:pPr>
              <w:pStyle w:val="TableTextbold"/>
            </w:pPr>
            <w:r w:rsidRPr="00ED1C7E">
              <w:t xml:space="preserve">Total </w:t>
            </w:r>
            <w:r w:rsidR="003E6C1B" w:rsidRPr="00ED1C7E">
              <w:t>f</w:t>
            </w:r>
            <w:r w:rsidRPr="00ED1C7E">
              <w:t xml:space="preserve">ace </w:t>
            </w:r>
            <w:r w:rsidR="003E6C1B" w:rsidRPr="00ED1C7E">
              <w:t>v</w:t>
            </w:r>
            <w:r w:rsidRPr="00ED1C7E">
              <w:t>alue</w:t>
            </w:r>
            <w:r w:rsidRPr="00ED1C7E">
              <w:rPr>
                <w:bCs/>
              </w:rPr>
              <w:t>:</w:t>
            </w:r>
          </w:p>
        </w:tc>
        <w:tc>
          <w:tcPr>
            <w:tcW w:w="1134" w:type="dxa"/>
            <w:tcMar>
              <w:left w:w="85" w:type="dxa"/>
              <w:right w:w="57" w:type="dxa"/>
            </w:tcMar>
            <w:vAlign w:val="center"/>
          </w:tcPr>
          <w:p w14:paraId="3CA26F7B" w14:textId="60EF6746" w:rsidR="003E30C6" w:rsidRPr="00ED1C7E" w:rsidRDefault="003E30C6" w:rsidP="00BA1ACF">
            <w:pPr>
              <w:pStyle w:val="TableTextbold"/>
              <w:jc w:val="right"/>
            </w:pPr>
            <w:r w:rsidRPr="00ED1C7E">
              <w:rPr>
                <w:bCs/>
              </w:rPr>
              <w:t>11,288,000</w:t>
            </w:r>
          </w:p>
        </w:tc>
        <w:tc>
          <w:tcPr>
            <w:tcW w:w="1370" w:type="dxa"/>
            <w:shd w:val="clear" w:color="auto" w:fill="D2DDE1" w:themeFill="background2"/>
            <w:tcMar>
              <w:left w:w="85" w:type="dxa"/>
              <w:right w:w="57" w:type="dxa"/>
            </w:tcMar>
            <w:vAlign w:val="center"/>
          </w:tcPr>
          <w:p w14:paraId="3E9BA1E4" w14:textId="317F2010" w:rsidR="003E30C6" w:rsidRPr="00ED1C7E" w:rsidRDefault="003E30C6" w:rsidP="00BA1ACF">
            <w:pPr>
              <w:pStyle w:val="TableTextbold"/>
              <w:jc w:val="right"/>
            </w:pPr>
            <w:r w:rsidRPr="00ED1C7E">
              <w:rPr>
                <w:bCs/>
              </w:rPr>
              <w:t>$2,822,000</w:t>
            </w:r>
          </w:p>
        </w:tc>
        <w:tc>
          <w:tcPr>
            <w:tcW w:w="1370" w:type="dxa"/>
            <w:tcMar>
              <w:left w:w="85" w:type="dxa"/>
              <w:right w:w="57" w:type="dxa"/>
            </w:tcMar>
            <w:vAlign w:val="center"/>
          </w:tcPr>
          <w:p w14:paraId="739E8A5B" w14:textId="3F220DBD" w:rsidR="003E30C6" w:rsidRPr="00ED1C7E" w:rsidRDefault="003E30C6" w:rsidP="00BA1ACF">
            <w:pPr>
              <w:pStyle w:val="TableTextbold"/>
              <w:jc w:val="right"/>
            </w:pPr>
            <w:r w:rsidRPr="00ED1C7E">
              <w:rPr>
                <w:bCs/>
              </w:rPr>
              <w:t>$9,880,000</w:t>
            </w:r>
          </w:p>
        </w:tc>
        <w:tc>
          <w:tcPr>
            <w:tcW w:w="1371" w:type="dxa"/>
            <w:shd w:val="clear" w:color="auto" w:fill="D2DDE1" w:themeFill="background2"/>
            <w:tcMar>
              <w:left w:w="85" w:type="dxa"/>
              <w:right w:w="57" w:type="dxa"/>
            </w:tcMar>
            <w:vAlign w:val="center"/>
          </w:tcPr>
          <w:p w14:paraId="242EBFCB" w14:textId="0558CD1C" w:rsidR="003E30C6" w:rsidRPr="00ED1C7E" w:rsidRDefault="003E30C6" w:rsidP="00BA1ACF">
            <w:pPr>
              <w:pStyle w:val="TableTextbold"/>
              <w:jc w:val="right"/>
            </w:pPr>
            <w:r w:rsidRPr="00ED1C7E">
              <w:rPr>
                <w:bCs/>
              </w:rPr>
              <w:t>$2,470,000</w:t>
            </w:r>
          </w:p>
        </w:tc>
      </w:tr>
    </w:tbl>
    <w:p w14:paraId="5C6C5B0A" w14:textId="55CD3902" w:rsidR="08F86EEB" w:rsidRPr="00ED1C7E" w:rsidRDefault="00352DA6" w:rsidP="00861675">
      <w:pPr>
        <w:pStyle w:val="Heading3"/>
        <w:spacing w:before="480"/>
      </w:pPr>
      <w:r w:rsidRPr="00ED1C7E">
        <w:t>Analysis</w:t>
      </w:r>
    </w:p>
    <w:p w14:paraId="77498A0D" w14:textId="65F95802" w:rsidR="004D1BA1" w:rsidRPr="00ED1C7E" w:rsidRDefault="008F6D17" w:rsidP="00150026">
      <w:pPr>
        <w:pStyle w:val="BodyText"/>
      </w:pPr>
      <w:r w:rsidRPr="00ED1C7E">
        <w:fldChar w:fldCharType="begin"/>
      </w:r>
      <w:r w:rsidRPr="00ED1C7E">
        <w:instrText xml:space="preserve"> REF _Ref160180577 \h </w:instrText>
      </w:r>
      <w:r w:rsidRPr="00ED1C7E">
        <w:fldChar w:fldCharType="separate"/>
      </w:r>
      <w:r w:rsidR="00C60130" w:rsidRPr="00ED1C7E">
        <w:t xml:space="preserve">Table </w:t>
      </w:r>
      <w:r w:rsidR="00C60130">
        <w:rPr>
          <w:noProof/>
        </w:rPr>
        <w:t>14</w:t>
      </w:r>
      <w:r w:rsidRPr="00ED1C7E">
        <w:fldChar w:fldCharType="end"/>
      </w:r>
      <w:r w:rsidRPr="00ED1C7E">
        <w:t xml:space="preserve"> </w:t>
      </w:r>
      <w:r w:rsidR="004D1BA1" w:rsidRPr="00ED1C7E">
        <w:t xml:space="preserve">outlines an assessment of the options described above. To assist with interpretation of the analysis in the table, see the </w:t>
      </w:r>
      <w:hyperlink w:anchor="_Criteria_for_assessing" w:history="1">
        <w:r w:rsidR="004D1BA1" w:rsidRPr="00ED1C7E">
          <w:rPr>
            <w:rStyle w:val="Hyperlink"/>
          </w:rPr>
          <w:t>Criteria for assessing options</w:t>
        </w:r>
      </w:hyperlink>
      <w:r w:rsidR="004D1BA1" w:rsidRPr="00ED1C7E">
        <w:t xml:space="preserve"> section.</w:t>
      </w:r>
    </w:p>
    <w:p w14:paraId="7D82B39C" w14:textId="1C518D78" w:rsidR="00F917E2" w:rsidRPr="00ED1C7E" w:rsidRDefault="00F917E2" w:rsidP="003340AB">
      <w:pPr>
        <w:pStyle w:val="Tableheading"/>
      </w:pPr>
      <w:bookmarkStart w:id="68" w:name="_Ref160180577"/>
      <w:bookmarkStart w:id="69" w:name="_Toc165532921"/>
      <w:r w:rsidRPr="00ED1C7E">
        <w:t xml:space="preserve">Table </w:t>
      </w:r>
      <w:r w:rsidR="00594215">
        <w:fldChar w:fldCharType="begin"/>
      </w:r>
      <w:r w:rsidR="00594215">
        <w:instrText xml:space="preserve"> SEQ Table \* ARABIC </w:instrText>
      </w:r>
      <w:r w:rsidR="00594215">
        <w:fldChar w:fldCharType="separate"/>
      </w:r>
      <w:r w:rsidR="00C60130">
        <w:rPr>
          <w:noProof/>
        </w:rPr>
        <w:t>14</w:t>
      </w:r>
      <w:r w:rsidR="00594215">
        <w:rPr>
          <w:noProof/>
        </w:rPr>
        <w:fldChar w:fldCharType="end"/>
      </w:r>
      <w:bookmarkEnd w:id="68"/>
      <w:r w:rsidRPr="00ED1C7E">
        <w:t xml:space="preserve">: </w:t>
      </w:r>
      <w:r w:rsidR="00861675" w:rsidRPr="00ED1C7E">
        <w:tab/>
      </w:r>
      <w:r w:rsidRPr="00ED1C7E">
        <w:t xml:space="preserve">Options for updates to </w:t>
      </w:r>
      <w:r w:rsidR="00221ACF" w:rsidRPr="00ED1C7E">
        <w:t>NZ ETS</w:t>
      </w:r>
      <w:r w:rsidRPr="00ED1C7E">
        <w:t xml:space="preserve"> regulations for the calculation of auction collateral</w:t>
      </w:r>
      <w:bookmarkEnd w:id="69"/>
    </w:p>
    <w:tbl>
      <w:tblPr>
        <w:tblStyle w:val="TableGrid"/>
        <w:tblW w:w="8504"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1701"/>
        <w:gridCol w:w="1020"/>
        <w:gridCol w:w="5783"/>
      </w:tblGrid>
      <w:tr w:rsidR="007D4A51" w:rsidRPr="00ED1C7E" w14:paraId="229B541E" w14:textId="77777777" w:rsidTr="0006425F">
        <w:trPr>
          <w:trHeight w:val="300"/>
        </w:trPr>
        <w:tc>
          <w:tcPr>
            <w:tcW w:w="1701" w:type="dxa"/>
            <w:shd w:val="clear" w:color="auto" w:fill="1B556B" w:themeFill="text2"/>
          </w:tcPr>
          <w:p w14:paraId="08F97354" w14:textId="77777777" w:rsidR="007D4A51" w:rsidRPr="00ED1C7E" w:rsidRDefault="007D4A51" w:rsidP="00277350">
            <w:pPr>
              <w:pStyle w:val="TableTextbold"/>
              <w:spacing w:before="40" w:after="40"/>
              <w:rPr>
                <w:color w:val="FFFFFF" w:themeColor="background1"/>
              </w:rPr>
            </w:pPr>
            <w:r w:rsidRPr="00ED1C7E">
              <w:rPr>
                <w:color w:val="FFFFFF" w:themeColor="background1"/>
              </w:rPr>
              <w:t>Criteria</w:t>
            </w:r>
          </w:p>
        </w:tc>
        <w:tc>
          <w:tcPr>
            <w:tcW w:w="1020" w:type="dxa"/>
            <w:shd w:val="clear" w:color="auto" w:fill="1B556B" w:themeFill="text2"/>
          </w:tcPr>
          <w:p w14:paraId="64CA15B5" w14:textId="42B30776" w:rsidR="007D4A51" w:rsidRPr="00ED1C7E" w:rsidRDefault="007D4A51" w:rsidP="00277350">
            <w:pPr>
              <w:pStyle w:val="TableTextbold"/>
              <w:spacing w:before="40" w:after="40"/>
              <w:rPr>
                <w:color w:val="FFFFFF" w:themeColor="background1"/>
              </w:rPr>
            </w:pPr>
            <w:r w:rsidRPr="00ED1C7E">
              <w:rPr>
                <w:color w:val="FFFFFF" w:themeColor="background1"/>
              </w:rPr>
              <w:t xml:space="preserve">Option 1: </w:t>
            </w:r>
            <w:r w:rsidR="006D4951" w:rsidRPr="00ED1C7E">
              <w:rPr>
                <w:color w:val="FFFFFF" w:themeColor="background1"/>
              </w:rPr>
              <w:br/>
            </w:r>
            <w:r w:rsidRPr="00ED1C7E">
              <w:rPr>
                <w:color w:val="FFFFFF" w:themeColor="background1"/>
              </w:rPr>
              <w:t>Status quo</w:t>
            </w:r>
          </w:p>
        </w:tc>
        <w:tc>
          <w:tcPr>
            <w:tcW w:w="5783" w:type="dxa"/>
            <w:shd w:val="clear" w:color="auto" w:fill="1B556B" w:themeFill="text2"/>
          </w:tcPr>
          <w:p w14:paraId="37AF9BD0" w14:textId="31CC508C" w:rsidR="007D4A51" w:rsidRPr="00ED1C7E" w:rsidRDefault="007D4A51" w:rsidP="00277350">
            <w:pPr>
              <w:pStyle w:val="TableTextbold"/>
              <w:spacing w:before="40" w:after="40"/>
              <w:rPr>
                <w:color w:val="FFFFFF" w:themeColor="background1"/>
              </w:rPr>
            </w:pPr>
            <w:r w:rsidRPr="00ED1C7E">
              <w:rPr>
                <w:color w:val="FFFFFF" w:themeColor="background1"/>
              </w:rPr>
              <w:t xml:space="preserve">Option 2: </w:t>
            </w:r>
            <w:r w:rsidR="006D4951" w:rsidRPr="00ED1C7E">
              <w:rPr>
                <w:color w:val="FFFFFF" w:themeColor="background1"/>
              </w:rPr>
              <w:br/>
            </w:r>
            <w:r w:rsidR="006815BC" w:rsidRPr="00ED1C7E">
              <w:rPr>
                <w:color w:val="FFFFFF" w:themeColor="background1"/>
              </w:rPr>
              <w:t>Chang</w:t>
            </w:r>
            <w:r w:rsidR="006B0729">
              <w:rPr>
                <w:color w:val="FFFFFF" w:themeColor="background1"/>
              </w:rPr>
              <w:t xml:space="preserve">e the methodology to a </w:t>
            </w:r>
            <w:r w:rsidR="006815BC" w:rsidRPr="00ED1C7E">
              <w:rPr>
                <w:color w:val="FFFFFF" w:themeColor="background1"/>
              </w:rPr>
              <w:t xml:space="preserve">cumulative approach </w:t>
            </w:r>
          </w:p>
        </w:tc>
      </w:tr>
      <w:tr w:rsidR="007D4A51" w:rsidRPr="00ED1C7E" w14:paraId="3B65BE2D" w14:textId="77777777" w:rsidTr="0006425F">
        <w:trPr>
          <w:trHeight w:val="300"/>
        </w:trPr>
        <w:tc>
          <w:tcPr>
            <w:tcW w:w="1701" w:type="dxa"/>
            <w:shd w:val="clear" w:color="auto" w:fill="auto"/>
          </w:tcPr>
          <w:p w14:paraId="3BF6BB2C" w14:textId="77777777" w:rsidR="007D4A51" w:rsidRPr="00ED1C7E" w:rsidRDefault="007D4A51" w:rsidP="0006425F">
            <w:pPr>
              <w:pStyle w:val="TableText"/>
              <w:spacing w:before="40" w:after="40" w:line="240" w:lineRule="auto"/>
            </w:pPr>
            <w:r w:rsidRPr="00ED1C7E">
              <w:t>Alignment</w:t>
            </w:r>
          </w:p>
        </w:tc>
        <w:tc>
          <w:tcPr>
            <w:tcW w:w="1020" w:type="dxa"/>
          </w:tcPr>
          <w:p w14:paraId="03774A46" w14:textId="77777777" w:rsidR="007D4A51" w:rsidRPr="00B35849" w:rsidRDefault="007D4A51" w:rsidP="0006425F">
            <w:pPr>
              <w:pStyle w:val="TableText"/>
              <w:spacing w:before="40" w:after="40" w:line="240" w:lineRule="auto"/>
              <w:rPr>
                <w:b/>
                <w:bCs/>
                <w:sz w:val="20"/>
              </w:rPr>
            </w:pPr>
            <w:r w:rsidRPr="00B35849">
              <w:rPr>
                <w:b/>
                <w:bCs/>
                <w:sz w:val="20"/>
              </w:rPr>
              <w:t>0</w:t>
            </w:r>
          </w:p>
        </w:tc>
        <w:tc>
          <w:tcPr>
            <w:tcW w:w="5783" w:type="dxa"/>
          </w:tcPr>
          <w:p w14:paraId="5608B71A" w14:textId="77777777" w:rsidR="00B35849" w:rsidRDefault="0016225A" w:rsidP="0006425F">
            <w:pPr>
              <w:pStyle w:val="TableText"/>
              <w:spacing w:before="40" w:after="40" w:line="240" w:lineRule="auto"/>
              <w:rPr>
                <w:b/>
                <w:bCs/>
                <w:color w:val="00B050"/>
                <w:sz w:val="20"/>
              </w:rPr>
            </w:pPr>
            <w:r w:rsidRPr="00B35849">
              <w:rPr>
                <w:b/>
                <w:bCs/>
                <w:color w:val="00B050"/>
                <w:sz w:val="20"/>
              </w:rPr>
              <w:t>+</w:t>
            </w:r>
          </w:p>
          <w:p w14:paraId="12691741" w14:textId="0C8499B0" w:rsidR="007D4A51" w:rsidRPr="00ED1C7E" w:rsidRDefault="00AA4461" w:rsidP="0006425F">
            <w:pPr>
              <w:pStyle w:val="TableText"/>
              <w:spacing w:before="40" w:after="40" w:line="240" w:lineRule="auto"/>
              <w:rPr>
                <w:b/>
                <w:bCs/>
              </w:rPr>
            </w:pPr>
            <w:r w:rsidRPr="00ED1C7E">
              <w:rPr>
                <w:rFonts w:asciiTheme="minorHAnsi" w:hAnsiTheme="minorHAnsi" w:cstheme="minorBidi"/>
              </w:rPr>
              <w:t>M</w:t>
            </w:r>
            <w:r w:rsidR="00FF6BD2" w:rsidRPr="00ED1C7E">
              <w:rPr>
                <w:rFonts w:asciiTheme="minorHAnsi" w:hAnsiTheme="minorHAnsi" w:cstheme="minorBidi"/>
              </w:rPr>
              <w:t>ore accurately reflect</w:t>
            </w:r>
            <w:r w:rsidR="008F6D17" w:rsidRPr="00ED1C7E">
              <w:rPr>
                <w:rFonts w:asciiTheme="minorHAnsi" w:hAnsiTheme="minorHAnsi" w:cstheme="minorBidi"/>
              </w:rPr>
              <w:t>s</w:t>
            </w:r>
            <w:r w:rsidR="00FF6BD2" w:rsidRPr="00ED1C7E">
              <w:rPr>
                <w:rFonts w:asciiTheme="minorHAnsi" w:hAnsiTheme="minorHAnsi" w:cstheme="minorBidi"/>
              </w:rPr>
              <w:t xml:space="preserve"> the </w:t>
            </w:r>
            <w:r w:rsidR="00164DD1" w:rsidRPr="00ED1C7E">
              <w:rPr>
                <w:rFonts w:asciiTheme="minorHAnsi" w:hAnsiTheme="minorHAnsi" w:cstheme="minorBidi"/>
              </w:rPr>
              <w:t>value of winning bids in the calculation of</w:t>
            </w:r>
            <w:r w:rsidR="003F7627" w:rsidRPr="00ED1C7E">
              <w:rPr>
                <w:rFonts w:asciiTheme="minorHAnsi" w:hAnsiTheme="minorHAnsi" w:cstheme="minorBidi"/>
              </w:rPr>
              <w:t xml:space="preserve"> </w:t>
            </w:r>
            <w:r w:rsidR="00FF6BD2" w:rsidRPr="00ED1C7E">
              <w:rPr>
                <w:rFonts w:asciiTheme="minorHAnsi" w:hAnsiTheme="minorHAnsi" w:cstheme="minorBidi"/>
              </w:rPr>
              <w:t>collateral</w:t>
            </w:r>
            <w:r w:rsidR="00560B84" w:rsidRPr="00ED1C7E">
              <w:rPr>
                <w:rFonts w:asciiTheme="minorHAnsi" w:hAnsiTheme="minorHAnsi" w:cstheme="minorBidi"/>
              </w:rPr>
              <w:t xml:space="preserve"> when multiple bids are entered</w:t>
            </w:r>
            <w:r w:rsidR="00FF6BD2" w:rsidRPr="00ED1C7E">
              <w:rPr>
                <w:rFonts w:asciiTheme="minorHAnsi" w:hAnsiTheme="minorHAnsi" w:cstheme="minorBidi"/>
              </w:rPr>
              <w:t>.</w:t>
            </w:r>
          </w:p>
        </w:tc>
      </w:tr>
      <w:tr w:rsidR="007D4A51" w:rsidRPr="00ED1C7E" w14:paraId="571E50E5" w14:textId="77777777" w:rsidTr="0006425F">
        <w:trPr>
          <w:trHeight w:val="300"/>
        </w:trPr>
        <w:tc>
          <w:tcPr>
            <w:tcW w:w="1701" w:type="dxa"/>
            <w:shd w:val="clear" w:color="auto" w:fill="auto"/>
          </w:tcPr>
          <w:p w14:paraId="493D9D83" w14:textId="77777777" w:rsidR="007D4A51" w:rsidRPr="00ED1C7E" w:rsidRDefault="007D4A51" w:rsidP="0006425F">
            <w:pPr>
              <w:pStyle w:val="TableText"/>
              <w:spacing w:before="40" w:after="40" w:line="240" w:lineRule="auto"/>
            </w:pPr>
            <w:r w:rsidRPr="00ED1C7E">
              <w:t>Accuracy</w:t>
            </w:r>
          </w:p>
        </w:tc>
        <w:tc>
          <w:tcPr>
            <w:tcW w:w="1020" w:type="dxa"/>
          </w:tcPr>
          <w:p w14:paraId="5BD098A8" w14:textId="6BAB9B74" w:rsidR="007D4A51" w:rsidRPr="00B35849" w:rsidRDefault="007D4A51" w:rsidP="0006425F">
            <w:pPr>
              <w:pStyle w:val="TableText"/>
              <w:spacing w:before="40" w:after="40" w:line="240" w:lineRule="auto"/>
              <w:rPr>
                <w:b/>
                <w:bCs/>
                <w:sz w:val="20"/>
              </w:rPr>
            </w:pPr>
            <w:r w:rsidRPr="00B35849">
              <w:rPr>
                <w:b/>
                <w:bCs/>
                <w:sz w:val="20"/>
              </w:rPr>
              <w:t>0</w:t>
            </w:r>
          </w:p>
        </w:tc>
        <w:tc>
          <w:tcPr>
            <w:tcW w:w="5783" w:type="dxa"/>
          </w:tcPr>
          <w:p w14:paraId="1EE8D7B7" w14:textId="77777777" w:rsidR="00B35849" w:rsidRDefault="00AA6607" w:rsidP="0006425F">
            <w:pPr>
              <w:pStyle w:val="TableText"/>
              <w:spacing w:before="40" w:after="40" w:line="240" w:lineRule="auto"/>
              <w:rPr>
                <w:b/>
                <w:bCs/>
                <w:sz w:val="20"/>
              </w:rPr>
            </w:pPr>
            <w:r w:rsidRPr="00B35849">
              <w:rPr>
                <w:b/>
                <w:bCs/>
                <w:sz w:val="20"/>
              </w:rPr>
              <w:t>0</w:t>
            </w:r>
          </w:p>
          <w:p w14:paraId="6C7D5EB6" w14:textId="22BBEFBD" w:rsidR="007D4A51" w:rsidRPr="00ED1C7E" w:rsidRDefault="003F7627" w:rsidP="0006425F">
            <w:pPr>
              <w:pStyle w:val="TableText"/>
              <w:spacing w:before="40" w:after="40" w:line="240" w:lineRule="auto"/>
              <w:rPr>
                <w:rFonts w:cs="Arial"/>
                <w:lang w:eastAsia="en-AU"/>
              </w:rPr>
            </w:pPr>
            <w:r w:rsidRPr="00ED1C7E">
              <w:rPr>
                <w:rFonts w:cs="Arial"/>
                <w:lang w:eastAsia="en-AU"/>
              </w:rPr>
              <w:t>Has no impact on the reporting o</w:t>
            </w:r>
            <w:r w:rsidR="008F6D17" w:rsidRPr="00ED1C7E">
              <w:rPr>
                <w:rFonts w:cs="Arial"/>
                <w:lang w:eastAsia="en-AU"/>
              </w:rPr>
              <w:t xml:space="preserve">r </w:t>
            </w:r>
            <w:r w:rsidRPr="00ED1C7E">
              <w:rPr>
                <w:rFonts w:cs="Arial"/>
                <w:lang w:eastAsia="en-AU"/>
              </w:rPr>
              <w:t>calculation of, or obligation on</w:t>
            </w:r>
            <w:r w:rsidR="00B039CA" w:rsidRPr="00ED1C7E">
              <w:rPr>
                <w:rFonts w:cs="Arial"/>
                <w:lang w:eastAsia="en-AU"/>
              </w:rPr>
              <w:t>,</w:t>
            </w:r>
            <w:r w:rsidRPr="00ED1C7E">
              <w:rPr>
                <w:rFonts w:cs="Arial"/>
                <w:lang w:eastAsia="en-AU"/>
              </w:rPr>
              <w:t xml:space="preserve"> emissions within the </w:t>
            </w:r>
            <w:r w:rsidR="00221ACF" w:rsidRPr="00ED1C7E">
              <w:rPr>
                <w:rFonts w:cs="Arial"/>
                <w:lang w:eastAsia="en-AU"/>
              </w:rPr>
              <w:t>NZ ETS</w:t>
            </w:r>
            <w:r w:rsidRPr="00ED1C7E">
              <w:rPr>
                <w:rFonts w:cs="Arial"/>
                <w:lang w:eastAsia="en-AU"/>
              </w:rPr>
              <w:t>.</w:t>
            </w:r>
          </w:p>
        </w:tc>
      </w:tr>
      <w:tr w:rsidR="007D4A51" w:rsidRPr="00ED1C7E" w14:paraId="4DD7811E" w14:textId="77777777" w:rsidTr="0006425F">
        <w:trPr>
          <w:trHeight w:val="300"/>
        </w:trPr>
        <w:tc>
          <w:tcPr>
            <w:tcW w:w="1701" w:type="dxa"/>
          </w:tcPr>
          <w:p w14:paraId="41123509" w14:textId="77777777" w:rsidR="007D4A51" w:rsidRPr="00ED1C7E" w:rsidRDefault="007D4A51" w:rsidP="0006425F">
            <w:pPr>
              <w:pStyle w:val="TableText"/>
              <w:spacing w:before="40" w:after="40" w:line="240" w:lineRule="auto"/>
            </w:pPr>
            <w:r w:rsidRPr="00ED1C7E">
              <w:t>Efficiency</w:t>
            </w:r>
          </w:p>
        </w:tc>
        <w:tc>
          <w:tcPr>
            <w:tcW w:w="1020" w:type="dxa"/>
          </w:tcPr>
          <w:p w14:paraId="1FB0B6E8" w14:textId="7D948AE0" w:rsidR="007D4A51" w:rsidRPr="00B35849" w:rsidRDefault="00892C78" w:rsidP="0006425F">
            <w:pPr>
              <w:pStyle w:val="TableText"/>
              <w:spacing w:before="40" w:after="40" w:line="240" w:lineRule="auto"/>
              <w:rPr>
                <w:rFonts w:asciiTheme="minorHAnsi" w:hAnsiTheme="minorHAnsi" w:cstheme="minorBidi"/>
                <w:b/>
                <w:bCs/>
                <w:sz w:val="20"/>
              </w:rPr>
            </w:pPr>
            <w:r w:rsidRPr="00B35849">
              <w:rPr>
                <w:b/>
                <w:bCs/>
                <w:sz w:val="20"/>
              </w:rPr>
              <w:t>0</w:t>
            </w:r>
          </w:p>
        </w:tc>
        <w:tc>
          <w:tcPr>
            <w:tcW w:w="5783" w:type="dxa"/>
          </w:tcPr>
          <w:p w14:paraId="043E9E88" w14:textId="77777777" w:rsidR="00B35849" w:rsidRDefault="00456A63" w:rsidP="0006425F">
            <w:pPr>
              <w:pStyle w:val="TableText"/>
              <w:spacing w:before="40" w:after="40" w:line="240" w:lineRule="auto"/>
              <w:rPr>
                <w:b/>
                <w:bCs/>
                <w:color w:val="00B050"/>
                <w:sz w:val="20"/>
              </w:rPr>
            </w:pPr>
            <w:r w:rsidRPr="00B35849">
              <w:rPr>
                <w:b/>
                <w:bCs/>
                <w:color w:val="00B050"/>
                <w:sz w:val="20"/>
              </w:rPr>
              <w:t>+</w:t>
            </w:r>
          </w:p>
          <w:p w14:paraId="28B64A95" w14:textId="275BB515" w:rsidR="007D4A51" w:rsidRPr="00ED1C7E" w:rsidRDefault="00F7392F" w:rsidP="0006425F">
            <w:pPr>
              <w:pStyle w:val="TableText"/>
              <w:spacing w:before="40" w:after="40" w:line="240" w:lineRule="auto"/>
            </w:pPr>
            <w:r w:rsidRPr="00ED1C7E">
              <w:rPr>
                <w:rFonts w:asciiTheme="minorHAnsi" w:hAnsiTheme="minorHAnsi" w:cstheme="minorBidi"/>
              </w:rPr>
              <w:t xml:space="preserve">The cost of </w:t>
            </w:r>
            <w:r w:rsidR="004959F0" w:rsidRPr="00ED1C7E">
              <w:rPr>
                <w:rFonts w:asciiTheme="minorHAnsi" w:hAnsiTheme="minorHAnsi" w:cstheme="minorBidi"/>
              </w:rPr>
              <w:t xml:space="preserve">providing collateral </w:t>
            </w:r>
            <w:r w:rsidR="00E73CAA" w:rsidRPr="00ED1C7E">
              <w:rPr>
                <w:rFonts w:asciiTheme="minorHAnsi" w:hAnsiTheme="minorHAnsi" w:cstheme="minorBidi"/>
              </w:rPr>
              <w:t>reflects</w:t>
            </w:r>
            <w:r w:rsidR="00A903A5" w:rsidRPr="00ED1C7E">
              <w:rPr>
                <w:rFonts w:asciiTheme="minorHAnsi" w:hAnsiTheme="minorHAnsi" w:cstheme="minorBidi"/>
              </w:rPr>
              <w:t xml:space="preserve"> more closely</w:t>
            </w:r>
            <w:r w:rsidR="00E73CAA" w:rsidRPr="00ED1C7E">
              <w:rPr>
                <w:rFonts w:asciiTheme="minorHAnsi" w:hAnsiTheme="minorHAnsi" w:cstheme="minorBidi"/>
              </w:rPr>
              <w:t xml:space="preserve"> the</w:t>
            </w:r>
            <w:r w:rsidR="00E47FA0" w:rsidRPr="00ED1C7E">
              <w:rPr>
                <w:rFonts w:asciiTheme="minorHAnsi" w:hAnsiTheme="minorHAnsi" w:cstheme="minorBidi"/>
              </w:rPr>
              <w:t xml:space="preserve"> likely</w:t>
            </w:r>
            <w:r w:rsidR="00E73CAA" w:rsidRPr="00ED1C7E">
              <w:rPr>
                <w:rFonts w:asciiTheme="minorHAnsi" w:hAnsiTheme="minorHAnsi" w:cstheme="minorBidi"/>
              </w:rPr>
              <w:t xml:space="preserve"> value of the </w:t>
            </w:r>
            <w:r w:rsidR="00AF13B4" w:rsidRPr="00ED1C7E">
              <w:rPr>
                <w:rFonts w:asciiTheme="minorHAnsi" w:hAnsiTheme="minorHAnsi" w:cstheme="minorBidi"/>
              </w:rPr>
              <w:t>successful bids</w:t>
            </w:r>
            <w:r w:rsidR="002367E1" w:rsidRPr="00ED1C7E">
              <w:rPr>
                <w:rFonts w:asciiTheme="minorHAnsi" w:hAnsiTheme="minorHAnsi" w:cstheme="minorBidi"/>
              </w:rPr>
              <w:t xml:space="preserve"> and </w:t>
            </w:r>
            <w:r w:rsidR="00142AA2" w:rsidRPr="00ED1C7E">
              <w:rPr>
                <w:rFonts w:asciiTheme="minorHAnsi" w:hAnsiTheme="minorHAnsi" w:cstheme="minorBidi"/>
              </w:rPr>
              <w:t xml:space="preserve">increases ease of </w:t>
            </w:r>
            <w:r w:rsidR="00CB697B" w:rsidRPr="00ED1C7E">
              <w:rPr>
                <w:rFonts w:asciiTheme="minorHAnsi" w:hAnsiTheme="minorHAnsi" w:cstheme="minorBidi"/>
              </w:rPr>
              <w:t>participation in auctions</w:t>
            </w:r>
            <w:r w:rsidR="00B039CA" w:rsidRPr="00ED1C7E">
              <w:rPr>
                <w:rFonts w:asciiTheme="minorHAnsi" w:hAnsiTheme="minorHAnsi" w:cstheme="minorBidi"/>
              </w:rPr>
              <w:t>,</w:t>
            </w:r>
            <w:r w:rsidR="00C9595B" w:rsidRPr="00ED1C7E">
              <w:rPr>
                <w:rFonts w:asciiTheme="minorHAnsi" w:hAnsiTheme="minorHAnsi" w:cstheme="minorBidi"/>
              </w:rPr>
              <w:t xml:space="preserve"> as</w:t>
            </w:r>
            <w:r w:rsidR="00C8190C" w:rsidRPr="00ED1C7E">
              <w:rPr>
                <w:rFonts w:asciiTheme="minorHAnsi" w:hAnsiTheme="minorHAnsi" w:cstheme="minorBidi"/>
              </w:rPr>
              <w:t xml:space="preserve"> less money needs to be moved</w:t>
            </w:r>
            <w:r w:rsidR="00CB697B" w:rsidRPr="00ED1C7E">
              <w:rPr>
                <w:rFonts w:asciiTheme="minorHAnsi" w:hAnsiTheme="minorHAnsi" w:cstheme="minorBidi"/>
              </w:rPr>
              <w:t>.</w:t>
            </w:r>
          </w:p>
        </w:tc>
      </w:tr>
      <w:tr w:rsidR="007D4A51" w:rsidRPr="00ED1C7E" w14:paraId="3C2AB06C" w14:textId="77777777" w:rsidTr="0006425F">
        <w:trPr>
          <w:trHeight w:val="300"/>
        </w:trPr>
        <w:tc>
          <w:tcPr>
            <w:tcW w:w="1701" w:type="dxa"/>
          </w:tcPr>
          <w:p w14:paraId="5F8142A0" w14:textId="77777777" w:rsidR="007D4A51" w:rsidRPr="00ED1C7E" w:rsidRDefault="007D4A51" w:rsidP="0006425F">
            <w:pPr>
              <w:pStyle w:val="TableText"/>
              <w:spacing w:before="40" w:after="40" w:line="240" w:lineRule="auto"/>
            </w:pPr>
            <w:r w:rsidRPr="00ED1C7E">
              <w:t>Clarity</w:t>
            </w:r>
          </w:p>
        </w:tc>
        <w:tc>
          <w:tcPr>
            <w:tcW w:w="1020" w:type="dxa"/>
          </w:tcPr>
          <w:p w14:paraId="7CE5CF16" w14:textId="77777777" w:rsidR="007D4A51" w:rsidRPr="00B35849" w:rsidRDefault="007D4A51" w:rsidP="0006425F">
            <w:pPr>
              <w:pStyle w:val="TableText"/>
              <w:spacing w:before="40" w:after="40" w:line="240" w:lineRule="auto"/>
              <w:rPr>
                <w:b/>
                <w:bCs/>
                <w:sz w:val="20"/>
              </w:rPr>
            </w:pPr>
            <w:r w:rsidRPr="00B35849">
              <w:rPr>
                <w:b/>
                <w:bCs/>
                <w:sz w:val="20"/>
              </w:rPr>
              <w:t>0</w:t>
            </w:r>
          </w:p>
        </w:tc>
        <w:tc>
          <w:tcPr>
            <w:tcW w:w="5783" w:type="dxa"/>
          </w:tcPr>
          <w:p w14:paraId="12BE4780" w14:textId="77777777" w:rsidR="00B35849" w:rsidRDefault="0D3D1E2B" w:rsidP="0006425F">
            <w:pPr>
              <w:pStyle w:val="TableText"/>
              <w:spacing w:before="40" w:after="40" w:line="240" w:lineRule="auto"/>
              <w:rPr>
                <w:b/>
                <w:bCs/>
                <w:sz w:val="20"/>
              </w:rPr>
            </w:pPr>
            <w:r w:rsidRPr="00B35849">
              <w:rPr>
                <w:b/>
                <w:bCs/>
                <w:sz w:val="20"/>
              </w:rPr>
              <w:t>0</w:t>
            </w:r>
          </w:p>
          <w:p w14:paraId="17466C77" w14:textId="7BF8CC30" w:rsidR="007D4A51" w:rsidRPr="00ED1C7E" w:rsidRDefault="00B039CA" w:rsidP="0006425F">
            <w:pPr>
              <w:pStyle w:val="TableText"/>
              <w:spacing w:before="40" w:after="40" w:line="240" w:lineRule="auto"/>
              <w:rPr>
                <w:b/>
                <w:bCs/>
              </w:rPr>
            </w:pPr>
            <w:r w:rsidRPr="00ED1C7E">
              <w:t>W</w:t>
            </w:r>
            <w:r w:rsidR="61D557C8" w:rsidRPr="00ED1C7E">
              <w:t>ould change the rule of collateral calculation, but this can be communicated clearly to participants and NZX.</w:t>
            </w:r>
          </w:p>
        </w:tc>
      </w:tr>
      <w:tr w:rsidR="007D4A51" w:rsidRPr="00ED1C7E" w14:paraId="7C770063" w14:textId="77777777" w:rsidTr="0006425F">
        <w:trPr>
          <w:trHeight w:val="300"/>
        </w:trPr>
        <w:tc>
          <w:tcPr>
            <w:tcW w:w="1701" w:type="dxa"/>
          </w:tcPr>
          <w:p w14:paraId="4CBEEBE3" w14:textId="77777777" w:rsidR="007D4A51" w:rsidRPr="00ED1C7E" w:rsidRDefault="007D4A51" w:rsidP="00277350">
            <w:pPr>
              <w:pStyle w:val="TableText"/>
              <w:spacing w:before="40" w:after="40"/>
              <w:rPr>
                <w:b/>
                <w:bCs/>
              </w:rPr>
            </w:pPr>
            <w:r w:rsidRPr="00ED1C7E">
              <w:rPr>
                <w:b/>
                <w:bCs/>
              </w:rPr>
              <w:t>Overall assessment</w:t>
            </w:r>
          </w:p>
        </w:tc>
        <w:tc>
          <w:tcPr>
            <w:tcW w:w="1020" w:type="dxa"/>
          </w:tcPr>
          <w:p w14:paraId="536C3656" w14:textId="77777777" w:rsidR="007D4A51" w:rsidRPr="00B35849" w:rsidRDefault="007D4A51" w:rsidP="00277350">
            <w:pPr>
              <w:pStyle w:val="TableText"/>
              <w:spacing w:before="40" w:after="40"/>
              <w:rPr>
                <w:b/>
                <w:bCs/>
                <w:sz w:val="20"/>
              </w:rPr>
            </w:pPr>
            <w:r w:rsidRPr="00B35849">
              <w:rPr>
                <w:b/>
                <w:bCs/>
                <w:sz w:val="20"/>
              </w:rPr>
              <w:t>0</w:t>
            </w:r>
          </w:p>
        </w:tc>
        <w:tc>
          <w:tcPr>
            <w:tcW w:w="5783" w:type="dxa"/>
          </w:tcPr>
          <w:p w14:paraId="796D5708" w14:textId="5902E63A" w:rsidR="007D4A51" w:rsidRPr="00B35849" w:rsidRDefault="00366E00" w:rsidP="00277350">
            <w:pPr>
              <w:pStyle w:val="TableText"/>
              <w:spacing w:before="40" w:after="40"/>
              <w:rPr>
                <w:b/>
                <w:bCs/>
                <w:sz w:val="20"/>
              </w:rPr>
            </w:pPr>
            <w:r w:rsidRPr="00B35849">
              <w:rPr>
                <w:b/>
                <w:bCs/>
                <w:color w:val="00B050"/>
                <w:sz w:val="20"/>
              </w:rPr>
              <w:t>+</w:t>
            </w:r>
            <w:r w:rsidR="006F372B" w:rsidRPr="00B35849">
              <w:rPr>
                <w:b/>
                <w:bCs/>
                <w:color w:val="00B050"/>
                <w:sz w:val="20"/>
              </w:rPr>
              <w:t>2</w:t>
            </w:r>
          </w:p>
        </w:tc>
      </w:tr>
    </w:tbl>
    <w:p w14:paraId="08AC8A48" w14:textId="77777777" w:rsidR="00352DA6" w:rsidRPr="00ED1C7E" w:rsidRDefault="00352DA6" w:rsidP="006D4951">
      <w:pPr>
        <w:pStyle w:val="BodyText"/>
        <w:spacing w:before="240"/>
      </w:pPr>
      <w:r w:rsidRPr="00ED1C7E">
        <w:t>This proposal is not expected to have material economic impacts.</w:t>
      </w:r>
    </w:p>
    <w:p w14:paraId="4A63D0F5" w14:textId="77777777" w:rsidR="00DA77E4" w:rsidRDefault="00DA77E4" w:rsidP="00C73F0D">
      <w:pPr>
        <w:pStyle w:val="Heading3"/>
        <w:spacing w:before="240" w:after="240"/>
      </w:pPr>
      <w:r w:rsidRPr="00ED1C7E">
        <w:t>Questions</w:t>
      </w:r>
    </w:p>
    <w:tbl>
      <w:tblPr>
        <w:tblStyle w:val="TableGrid"/>
        <w:tblW w:w="0" w:type="auto"/>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8505"/>
      </w:tblGrid>
      <w:tr w:rsidR="00B2354A" w:rsidRPr="00D71C4F" w14:paraId="70B5A7A2" w14:textId="77777777" w:rsidTr="3A754CB1">
        <w:trPr>
          <w:trHeight w:val="300"/>
        </w:trPr>
        <w:tc>
          <w:tcPr>
            <w:tcW w:w="8505" w:type="dxa"/>
            <w:shd w:val="clear" w:color="auto" w:fill="1B556B" w:themeFill="text2"/>
          </w:tcPr>
          <w:p w14:paraId="46CAE4C5" w14:textId="77777777" w:rsidR="00B2354A" w:rsidRDefault="00B2354A">
            <w:pPr>
              <w:pStyle w:val="TableText"/>
              <w:keepNext/>
              <w:rPr>
                <w:b/>
                <w:color w:val="FFFFFF" w:themeColor="background1"/>
                <w:sz w:val="20"/>
              </w:rPr>
            </w:pPr>
            <w:r w:rsidRPr="27E0071C">
              <w:rPr>
                <w:b/>
                <w:color w:val="FFFFFF" w:themeColor="background1"/>
                <w:sz w:val="20"/>
              </w:rPr>
              <w:t>Questions</w:t>
            </w:r>
          </w:p>
        </w:tc>
      </w:tr>
      <w:tr w:rsidR="00B2354A" w:rsidRPr="00943CFD" w14:paraId="3647F385" w14:textId="77777777" w:rsidTr="3A754CB1">
        <w:trPr>
          <w:trHeight w:val="300"/>
        </w:trPr>
        <w:tc>
          <w:tcPr>
            <w:tcW w:w="8505" w:type="dxa"/>
          </w:tcPr>
          <w:p w14:paraId="16BD0929" w14:textId="24D38F5F" w:rsidR="00B2354A" w:rsidRPr="00943CFD" w:rsidRDefault="00B2354A" w:rsidP="00F94B5F">
            <w:pPr>
              <w:pStyle w:val="Questions"/>
              <w:ind w:left="319" w:hanging="284"/>
            </w:pPr>
            <w:r w:rsidRPr="00EF313A">
              <w:t>Do you agree that the methodology of calculating auctioning collateral needs to be updated?</w:t>
            </w:r>
          </w:p>
        </w:tc>
      </w:tr>
      <w:tr w:rsidR="00B2354A" w:rsidRPr="00943CFD" w14:paraId="578D6FE8" w14:textId="77777777" w:rsidTr="3A754CB1">
        <w:trPr>
          <w:trHeight w:val="300"/>
        </w:trPr>
        <w:tc>
          <w:tcPr>
            <w:tcW w:w="8505" w:type="dxa"/>
          </w:tcPr>
          <w:p w14:paraId="5C846E8D" w14:textId="5EAB178C" w:rsidR="00B2354A" w:rsidRPr="00943CFD" w:rsidRDefault="00B2354A" w:rsidP="00F94B5F">
            <w:pPr>
              <w:pStyle w:val="Questions"/>
              <w:ind w:left="319" w:hanging="284"/>
            </w:pPr>
            <w:r w:rsidRPr="00EF313A">
              <w:t>Are there any options for calculating auctioning collateral that we haven’t considered, which you would prefer? Please explain.</w:t>
            </w:r>
          </w:p>
        </w:tc>
      </w:tr>
    </w:tbl>
    <w:p w14:paraId="3EE60474" w14:textId="2B2BA864" w:rsidR="00346BA0" w:rsidRPr="00ED1C7E" w:rsidRDefault="00346BA0" w:rsidP="009C5863">
      <w:pPr>
        <w:pStyle w:val="Heading1"/>
      </w:pPr>
      <w:bookmarkStart w:id="70" w:name="_Consultation_questions_and"/>
      <w:bookmarkStart w:id="71" w:name="_Toc165533006"/>
      <w:bookmarkEnd w:id="70"/>
      <w:r w:rsidRPr="00ED1C7E">
        <w:lastRenderedPageBreak/>
        <w:t xml:space="preserve">Consultation questions and providing </w:t>
      </w:r>
      <w:proofErr w:type="gramStart"/>
      <w:r w:rsidRPr="00ED1C7E">
        <w:t>feedback</w:t>
      </w:r>
      <w:bookmarkEnd w:id="71"/>
      <w:proofErr w:type="gramEnd"/>
    </w:p>
    <w:p w14:paraId="0B8759D6" w14:textId="3A85F16F" w:rsidR="00A00005" w:rsidRPr="00ED1C7E" w:rsidRDefault="006264C7" w:rsidP="00C73F0D">
      <w:pPr>
        <w:pStyle w:val="Heading2"/>
        <w:spacing w:before="120"/>
      </w:pPr>
      <w:bookmarkStart w:id="72" w:name="_Consultation_questions"/>
      <w:bookmarkStart w:id="73" w:name="_Toc165533007"/>
      <w:bookmarkEnd w:id="72"/>
      <w:r w:rsidRPr="00ED1C7E">
        <w:t>Consultation questions</w:t>
      </w:r>
      <w:bookmarkEnd w:id="73"/>
    </w:p>
    <w:p w14:paraId="4AD0F2B9" w14:textId="7D4A8F4F" w:rsidR="009B3091" w:rsidRDefault="00340E3B" w:rsidP="00417FEF">
      <w:pPr>
        <w:pStyle w:val="BodyText"/>
        <w:spacing w:after="240"/>
      </w:pPr>
      <w:r w:rsidRPr="00ED1C7E">
        <w:t xml:space="preserve">The questions </w:t>
      </w:r>
      <w:r w:rsidR="0088586B" w:rsidRPr="00ED1C7E">
        <w:t>below are also</w:t>
      </w:r>
      <w:r w:rsidRPr="00ED1C7E">
        <w:t xml:space="preserve"> </w:t>
      </w:r>
      <w:r w:rsidR="00565CEF" w:rsidRPr="00ED1C7E">
        <w:t xml:space="preserve">included under the relevant proposals </w:t>
      </w:r>
      <w:r w:rsidR="0088586B" w:rsidRPr="00ED1C7E">
        <w:t>throughout the document</w:t>
      </w:r>
      <w:r w:rsidR="00596ECD" w:rsidRPr="00ED1C7E">
        <w:t>.</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D71C4F" w:rsidRPr="00330DF1" w14:paraId="2A7ADAF5" w14:textId="77777777" w:rsidTr="00D71C4F">
        <w:tc>
          <w:tcPr>
            <w:tcW w:w="8505" w:type="dxa"/>
            <w:shd w:val="clear" w:color="auto" w:fill="1B556B" w:themeFill="text2"/>
          </w:tcPr>
          <w:p w14:paraId="43804243" w14:textId="74B0BB4E" w:rsidR="00D71C4F" w:rsidRPr="00330DF1" w:rsidRDefault="00D71C4F" w:rsidP="00D71C4F">
            <w:pPr>
              <w:pStyle w:val="TableText"/>
              <w:rPr>
                <w:rFonts w:cs="Calibri"/>
                <w:b/>
                <w:bCs/>
                <w:color w:val="FFFFFF" w:themeColor="background1"/>
                <w:sz w:val="20"/>
              </w:rPr>
            </w:pPr>
            <w:r w:rsidRPr="00330DF1">
              <w:rPr>
                <w:rFonts w:cs="Calibri"/>
                <w:b/>
                <w:bCs/>
                <w:color w:val="FFFFFF" w:themeColor="background1"/>
                <w:sz w:val="20"/>
              </w:rPr>
              <w:t>Questions</w:t>
            </w:r>
          </w:p>
        </w:tc>
      </w:tr>
      <w:tr w:rsidR="00C06AB7" w:rsidRPr="00330DF1" w14:paraId="04849FA1" w14:textId="77777777">
        <w:tc>
          <w:tcPr>
            <w:tcW w:w="8505" w:type="dxa"/>
          </w:tcPr>
          <w:p w14:paraId="571CBCD2" w14:textId="18533B9B" w:rsidR="00C06AB7" w:rsidRPr="00330DF1" w:rsidRDefault="00C06AB7" w:rsidP="006C670F">
            <w:pPr>
              <w:pStyle w:val="TableText"/>
              <w:spacing w:before="80" w:after="80"/>
              <w:ind w:left="397" w:hanging="397"/>
              <w:rPr>
                <w:rFonts w:cs="Calibri"/>
                <w:sz w:val="20"/>
              </w:rPr>
            </w:pPr>
            <w:r w:rsidRPr="00330DF1">
              <w:rPr>
                <w:rFonts w:cs="Calibri"/>
                <w:sz w:val="20"/>
              </w:rPr>
              <w:t>1</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_Ref161239474 \h  \* MERGEFORMAT </w:instrText>
            </w:r>
            <w:r w:rsidRPr="00330DF1">
              <w:rPr>
                <w:rFonts w:cs="Calibri"/>
                <w:sz w:val="20"/>
              </w:rPr>
            </w:r>
            <w:r w:rsidRPr="00330DF1">
              <w:rPr>
                <w:rFonts w:cs="Calibri"/>
                <w:sz w:val="20"/>
              </w:rPr>
              <w:fldChar w:fldCharType="separate"/>
            </w:r>
            <w:r w:rsidR="00C60130" w:rsidRPr="00C60130">
              <w:rPr>
                <w:rFonts w:cs="Calibri"/>
                <w:sz w:val="20"/>
              </w:rPr>
              <w:t>Do you have any feedback or relevant evidence about the proposed DEF values for directly updating the SEIP Regulations for geothermal activities?</w:t>
            </w:r>
            <w:r w:rsidRPr="00330DF1">
              <w:rPr>
                <w:rFonts w:cs="Calibri"/>
                <w:sz w:val="20"/>
              </w:rPr>
              <w:fldChar w:fldCharType="end"/>
            </w:r>
          </w:p>
        </w:tc>
      </w:tr>
      <w:tr w:rsidR="00C06AB7" w:rsidRPr="00330DF1" w14:paraId="2B775E60" w14:textId="77777777">
        <w:tc>
          <w:tcPr>
            <w:tcW w:w="8505" w:type="dxa"/>
          </w:tcPr>
          <w:p w14:paraId="07D2579A" w14:textId="787F39A0" w:rsidR="00C06AB7" w:rsidRPr="00330DF1" w:rsidRDefault="00C06AB7" w:rsidP="006C670F">
            <w:pPr>
              <w:pStyle w:val="TableText"/>
              <w:spacing w:before="80" w:after="80"/>
              <w:ind w:left="397" w:hanging="397"/>
              <w:rPr>
                <w:rFonts w:cs="Calibri"/>
                <w:sz w:val="20"/>
              </w:rPr>
            </w:pPr>
            <w:r w:rsidRPr="00330DF1">
              <w:rPr>
                <w:rFonts w:cs="Calibri"/>
                <w:sz w:val="20"/>
              </w:rPr>
              <w:t>2</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_Ref161239485 \h  \* MERGEFORMAT </w:instrText>
            </w:r>
            <w:r w:rsidRPr="00330DF1">
              <w:rPr>
                <w:rFonts w:cs="Calibri"/>
                <w:sz w:val="20"/>
              </w:rPr>
            </w:r>
            <w:r w:rsidRPr="00330DF1">
              <w:rPr>
                <w:rFonts w:cs="Calibri"/>
                <w:sz w:val="20"/>
              </w:rPr>
              <w:fldChar w:fldCharType="separate"/>
            </w:r>
            <w:r w:rsidR="00C60130" w:rsidRPr="00C60130">
              <w:rPr>
                <w:rFonts w:cs="Calibri"/>
                <w:sz w:val="20"/>
              </w:rPr>
              <w:t>Do you have any feedback or relevant evidence about the proposed UEF methodology additions for directly updating the UEF Regulations for geothermal activities?</w:t>
            </w:r>
            <w:r w:rsidRPr="00330DF1">
              <w:rPr>
                <w:rFonts w:cs="Calibri"/>
                <w:sz w:val="20"/>
              </w:rPr>
              <w:fldChar w:fldCharType="end"/>
            </w:r>
          </w:p>
        </w:tc>
      </w:tr>
      <w:tr w:rsidR="00C06AB7" w:rsidRPr="00330DF1" w14:paraId="71519CC2" w14:textId="77777777">
        <w:tc>
          <w:tcPr>
            <w:tcW w:w="8505" w:type="dxa"/>
          </w:tcPr>
          <w:p w14:paraId="61F43993" w14:textId="3E907184" w:rsidR="00C06AB7" w:rsidRPr="00330DF1" w:rsidRDefault="00C06AB7" w:rsidP="006C670F">
            <w:pPr>
              <w:pStyle w:val="TableText"/>
              <w:spacing w:before="80" w:after="80"/>
              <w:ind w:left="397" w:hanging="397"/>
              <w:rPr>
                <w:rFonts w:cs="Calibri"/>
                <w:sz w:val="20"/>
              </w:rPr>
            </w:pPr>
            <w:r w:rsidRPr="00330DF1">
              <w:rPr>
                <w:rFonts w:cs="Calibri"/>
                <w:sz w:val="20"/>
              </w:rPr>
              <w:t>3</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_Ref161239496 \h  \* MERGEFORMAT </w:instrText>
            </w:r>
            <w:r w:rsidRPr="00330DF1">
              <w:rPr>
                <w:rFonts w:cs="Calibri"/>
                <w:sz w:val="20"/>
              </w:rPr>
            </w:r>
            <w:r w:rsidRPr="00330DF1">
              <w:rPr>
                <w:rFonts w:cs="Calibri"/>
                <w:sz w:val="20"/>
              </w:rPr>
              <w:fldChar w:fldCharType="separate"/>
            </w:r>
            <w:r w:rsidR="00C60130" w:rsidRPr="00C60130">
              <w:rPr>
                <w:rFonts w:cs="Calibri"/>
                <w:sz w:val="20"/>
              </w:rPr>
              <w:t>In your view, for geothermal activities within the NZ ETS, is it better to directly update the existing regulatory structure or take a new approach? Why?</w:t>
            </w:r>
            <w:r w:rsidRPr="00330DF1">
              <w:rPr>
                <w:rFonts w:cs="Calibri"/>
                <w:sz w:val="20"/>
              </w:rPr>
              <w:fldChar w:fldCharType="end"/>
            </w:r>
          </w:p>
        </w:tc>
      </w:tr>
      <w:tr w:rsidR="00C06AB7" w:rsidRPr="00330DF1" w14:paraId="2631BC53" w14:textId="77777777">
        <w:tc>
          <w:tcPr>
            <w:tcW w:w="8505" w:type="dxa"/>
          </w:tcPr>
          <w:p w14:paraId="52FF461E" w14:textId="0025A53D" w:rsidR="00C06AB7" w:rsidRPr="00330DF1" w:rsidRDefault="00C06AB7" w:rsidP="006C670F">
            <w:pPr>
              <w:pStyle w:val="TableText"/>
              <w:spacing w:before="80" w:after="80"/>
              <w:ind w:left="397" w:hanging="397"/>
              <w:rPr>
                <w:rFonts w:cs="Calibri"/>
                <w:sz w:val="20"/>
              </w:rPr>
            </w:pPr>
            <w:r w:rsidRPr="00330DF1">
              <w:rPr>
                <w:rFonts w:cs="Calibri"/>
                <w:sz w:val="20"/>
              </w:rPr>
              <w:t>4</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_Ref161240879 \h  \* MERGEFORMAT </w:instrText>
            </w:r>
            <w:r w:rsidRPr="00330DF1">
              <w:rPr>
                <w:rFonts w:cs="Calibri"/>
                <w:sz w:val="20"/>
              </w:rPr>
            </w:r>
            <w:r w:rsidRPr="00330DF1">
              <w:rPr>
                <w:rFonts w:cs="Calibri"/>
                <w:sz w:val="20"/>
              </w:rPr>
              <w:fldChar w:fldCharType="separate"/>
            </w:r>
            <w:r w:rsidR="00C60130" w:rsidRPr="00C60130">
              <w:rPr>
                <w:rFonts w:cs="Calibri"/>
                <w:sz w:val="20"/>
              </w:rPr>
              <w:t>Do you have any feedback or relevant evidence about the proposed update to DEFs for natural gas fields in the SEIP Regulations?</w:t>
            </w:r>
            <w:r w:rsidRPr="00330DF1">
              <w:rPr>
                <w:rFonts w:cs="Calibri"/>
                <w:sz w:val="20"/>
              </w:rPr>
              <w:fldChar w:fldCharType="end"/>
            </w:r>
            <w:r w:rsidR="00E012FB" w:rsidRPr="00330DF1">
              <w:rPr>
                <w:rFonts w:cs="Calibri"/>
                <w:sz w:val="20"/>
              </w:rPr>
              <w:t xml:space="preserve"> </w:t>
            </w:r>
          </w:p>
        </w:tc>
      </w:tr>
      <w:tr w:rsidR="00C06AB7" w:rsidRPr="00330DF1" w14:paraId="57C1391B" w14:textId="77777777">
        <w:tc>
          <w:tcPr>
            <w:tcW w:w="8505" w:type="dxa"/>
          </w:tcPr>
          <w:p w14:paraId="2A6AA178" w14:textId="62090174" w:rsidR="00C06AB7" w:rsidRPr="00330DF1" w:rsidRDefault="00C06AB7" w:rsidP="006C670F">
            <w:pPr>
              <w:pStyle w:val="TableText"/>
              <w:spacing w:before="80" w:after="80"/>
              <w:ind w:left="397" w:hanging="397"/>
              <w:rPr>
                <w:rFonts w:cs="Calibri"/>
                <w:sz w:val="20"/>
              </w:rPr>
            </w:pPr>
            <w:r w:rsidRPr="00330DF1">
              <w:rPr>
                <w:rFonts w:cs="Calibri"/>
                <w:sz w:val="20"/>
              </w:rPr>
              <w:t>5</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_Ref161240890 \h  \* MERGEFORMAT </w:instrText>
            </w:r>
            <w:r w:rsidRPr="00330DF1">
              <w:rPr>
                <w:rFonts w:cs="Calibri"/>
                <w:sz w:val="20"/>
              </w:rPr>
            </w:r>
            <w:r w:rsidRPr="00330DF1">
              <w:rPr>
                <w:rFonts w:cs="Calibri"/>
                <w:sz w:val="20"/>
              </w:rPr>
              <w:fldChar w:fldCharType="separate"/>
            </w:r>
            <w:r w:rsidR="00C60130" w:rsidRPr="00C60130">
              <w:rPr>
                <w:rFonts w:cs="Calibri"/>
                <w:sz w:val="20"/>
              </w:rPr>
              <w:t>Do you support continuing to retain and regularly update the DEFs for natural gas fields? How might we improve this process?</w:t>
            </w:r>
            <w:r w:rsidRPr="00330DF1">
              <w:rPr>
                <w:rFonts w:cs="Calibri"/>
                <w:sz w:val="20"/>
              </w:rPr>
              <w:fldChar w:fldCharType="end"/>
            </w:r>
          </w:p>
        </w:tc>
      </w:tr>
      <w:tr w:rsidR="00C06AB7" w:rsidRPr="00330DF1" w14:paraId="6015AB3B" w14:textId="77777777">
        <w:tc>
          <w:tcPr>
            <w:tcW w:w="8505" w:type="dxa"/>
          </w:tcPr>
          <w:p w14:paraId="095369FC" w14:textId="7A5787A7" w:rsidR="00C06AB7" w:rsidRPr="00330DF1" w:rsidRDefault="00C06AB7" w:rsidP="006C670F">
            <w:pPr>
              <w:pStyle w:val="TableText"/>
              <w:spacing w:before="80" w:after="80"/>
              <w:ind w:left="397" w:hanging="397"/>
              <w:rPr>
                <w:rFonts w:cs="Calibri"/>
                <w:sz w:val="20"/>
              </w:rPr>
            </w:pPr>
            <w:r w:rsidRPr="00330DF1">
              <w:rPr>
                <w:rFonts w:cs="Calibri"/>
                <w:sz w:val="20"/>
              </w:rPr>
              <w:t>6</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_Ref161240904 \h  \* MERGEFORMAT </w:instrText>
            </w:r>
            <w:r w:rsidRPr="00330DF1">
              <w:rPr>
                <w:rFonts w:cs="Calibri"/>
                <w:sz w:val="20"/>
              </w:rPr>
            </w:r>
            <w:r w:rsidRPr="00330DF1">
              <w:rPr>
                <w:rFonts w:cs="Calibri"/>
                <w:sz w:val="20"/>
              </w:rPr>
              <w:fldChar w:fldCharType="separate"/>
            </w:r>
            <w:r w:rsidR="00C60130" w:rsidRPr="00C60130">
              <w:rPr>
                <w:rFonts w:cs="Calibri"/>
                <w:sz w:val="20"/>
              </w:rPr>
              <w:t>Do you have any feedback or relevant evidence about the proposed update to DEFs for liquid fossil fuels in the LFF Regulations?</w:t>
            </w:r>
            <w:r w:rsidRPr="00330DF1">
              <w:rPr>
                <w:rFonts w:cs="Calibri"/>
                <w:sz w:val="20"/>
              </w:rPr>
              <w:fldChar w:fldCharType="end"/>
            </w:r>
          </w:p>
        </w:tc>
      </w:tr>
      <w:tr w:rsidR="00C06AB7" w:rsidRPr="00330DF1" w14:paraId="16F390E2" w14:textId="77777777">
        <w:tc>
          <w:tcPr>
            <w:tcW w:w="8505" w:type="dxa"/>
          </w:tcPr>
          <w:p w14:paraId="334C7364" w14:textId="60DD53F8" w:rsidR="00C06AB7" w:rsidRPr="00330DF1" w:rsidRDefault="00C06AB7" w:rsidP="006C670F">
            <w:pPr>
              <w:pStyle w:val="TableText"/>
              <w:spacing w:before="80" w:after="80"/>
              <w:ind w:left="397" w:hanging="397"/>
              <w:rPr>
                <w:rFonts w:cs="Calibri"/>
                <w:sz w:val="20"/>
              </w:rPr>
            </w:pPr>
            <w:r w:rsidRPr="00330DF1">
              <w:rPr>
                <w:rFonts w:cs="Calibri"/>
                <w:sz w:val="20"/>
              </w:rPr>
              <w:t>7</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_Ref161240912 \h  \* MERGEFORMAT </w:instrText>
            </w:r>
            <w:r w:rsidRPr="00330DF1">
              <w:rPr>
                <w:rFonts w:cs="Calibri"/>
                <w:sz w:val="20"/>
              </w:rPr>
            </w:r>
            <w:r w:rsidRPr="00330DF1">
              <w:rPr>
                <w:rFonts w:cs="Calibri"/>
                <w:sz w:val="20"/>
              </w:rPr>
              <w:fldChar w:fldCharType="separate"/>
            </w:r>
            <w:r w:rsidR="00C60130" w:rsidRPr="00C60130">
              <w:rPr>
                <w:rFonts w:cs="Calibri"/>
                <w:sz w:val="20"/>
              </w:rPr>
              <w:t>Do you support continuing to regularly review and, where needed, update the DEFs for liquid fossil fuels? How might we improve this process?</w:t>
            </w:r>
            <w:r w:rsidRPr="00330DF1">
              <w:rPr>
                <w:rFonts w:cs="Calibri"/>
                <w:sz w:val="20"/>
              </w:rPr>
              <w:fldChar w:fldCharType="end"/>
            </w:r>
          </w:p>
        </w:tc>
      </w:tr>
      <w:tr w:rsidR="00C06AB7" w:rsidRPr="00330DF1" w14:paraId="0D468431" w14:textId="77777777">
        <w:tc>
          <w:tcPr>
            <w:tcW w:w="8505" w:type="dxa"/>
          </w:tcPr>
          <w:p w14:paraId="2B1CDC92" w14:textId="404CE942" w:rsidR="00C06AB7" w:rsidRPr="00330DF1" w:rsidRDefault="00C06AB7" w:rsidP="006C670F">
            <w:pPr>
              <w:pStyle w:val="TableText"/>
              <w:spacing w:before="80" w:after="80"/>
              <w:ind w:left="397" w:hanging="397"/>
              <w:rPr>
                <w:rFonts w:cs="Calibri"/>
                <w:sz w:val="20"/>
              </w:rPr>
            </w:pPr>
            <w:r w:rsidRPr="00330DF1">
              <w:rPr>
                <w:rFonts w:cs="Calibri"/>
                <w:sz w:val="20"/>
              </w:rPr>
              <w:t>8</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_Ref161240919 \h  \* MERGEFORMAT </w:instrText>
            </w:r>
            <w:r w:rsidRPr="00330DF1">
              <w:rPr>
                <w:rFonts w:cs="Calibri"/>
                <w:sz w:val="20"/>
              </w:rPr>
            </w:r>
            <w:r w:rsidRPr="00330DF1">
              <w:rPr>
                <w:rFonts w:cs="Calibri"/>
                <w:sz w:val="20"/>
              </w:rPr>
              <w:fldChar w:fldCharType="separate"/>
            </w:r>
            <w:r w:rsidR="00C60130" w:rsidRPr="00C60130">
              <w:rPr>
                <w:rFonts w:cs="Calibri"/>
                <w:sz w:val="20"/>
              </w:rPr>
              <w:t>Do you support updating the waste DEF used to calculate UEFs?</w:t>
            </w:r>
            <w:r w:rsidRPr="00330DF1">
              <w:rPr>
                <w:rFonts w:cs="Calibri"/>
                <w:sz w:val="20"/>
              </w:rPr>
              <w:fldChar w:fldCharType="end"/>
            </w:r>
          </w:p>
        </w:tc>
      </w:tr>
      <w:tr w:rsidR="00C06AB7" w:rsidRPr="00330DF1" w14:paraId="6B5C381D" w14:textId="77777777">
        <w:tc>
          <w:tcPr>
            <w:tcW w:w="8505" w:type="dxa"/>
          </w:tcPr>
          <w:p w14:paraId="61072D28" w14:textId="17DE8BB7" w:rsidR="00C06AB7" w:rsidRPr="00330DF1" w:rsidRDefault="00C06AB7" w:rsidP="006C670F">
            <w:pPr>
              <w:pStyle w:val="TableText"/>
              <w:spacing w:before="80" w:after="80"/>
              <w:ind w:left="397" w:hanging="397"/>
              <w:rPr>
                <w:rFonts w:cs="Calibri"/>
                <w:sz w:val="20"/>
              </w:rPr>
            </w:pPr>
            <w:r w:rsidRPr="00330DF1">
              <w:rPr>
                <w:rFonts w:cs="Calibri"/>
                <w:sz w:val="20"/>
              </w:rPr>
              <w:t>9</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_Ref161240963 \h  \* MERGEFORMAT </w:instrText>
            </w:r>
            <w:r w:rsidRPr="00330DF1">
              <w:rPr>
                <w:rFonts w:cs="Calibri"/>
                <w:sz w:val="20"/>
              </w:rPr>
            </w:r>
            <w:r w:rsidRPr="00330DF1">
              <w:rPr>
                <w:rFonts w:cs="Calibri"/>
                <w:sz w:val="20"/>
              </w:rPr>
              <w:fldChar w:fldCharType="separate"/>
            </w:r>
            <w:r w:rsidR="00C60130" w:rsidRPr="00C60130">
              <w:rPr>
                <w:rFonts w:cs="Calibri"/>
                <w:sz w:val="20"/>
              </w:rPr>
              <w:t>Do you support using historical waste composition to inform the calculation of UEFs?</w:t>
            </w:r>
            <w:r w:rsidRPr="00330DF1">
              <w:rPr>
                <w:rFonts w:cs="Calibri"/>
                <w:sz w:val="20"/>
              </w:rPr>
              <w:fldChar w:fldCharType="end"/>
            </w:r>
          </w:p>
        </w:tc>
      </w:tr>
      <w:tr w:rsidR="00C06AB7" w:rsidRPr="00330DF1" w14:paraId="43AD9CB4" w14:textId="77777777">
        <w:tc>
          <w:tcPr>
            <w:tcW w:w="8505" w:type="dxa"/>
          </w:tcPr>
          <w:p w14:paraId="274CADA0" w14:textId="5D4F1513" w:rsidR="00C06AB7" w:rsidRPr="00330DF1" w:rsidRDefault="00C06AB7" w:rsidP="006C670F">
            <w:pPr>
              <w:pStyle w:val="TableText"/>
              <w:spacing w:before="80" w:after="80"/>
              <w:ind w:left="397" w:hanging="397"/>
              <w:rPr>
                <w:rFonts w:cs="Calibri"/>
                <w:sz w:val="20"/>
              </w:rPr>
            </w:pPr>
            <w:r w:rsidRPr="00330DF1">
              <w:rPr>
                <w:rFonts w:cs="Calibri"/>
                <w:sz w:val="20"/>
              </w:rPr>
              <w:t>10</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_Ref161240970 \h  \* MERGEFORMAT </w:instrText>
            </w:r>
            <w:r w:rsidRPr="00330DF1">
              <w:rPr>
                <w:rFonts w:cs="Calibri"/>
                <w:sz w:val="20"/>
              </w:rPr>
            </w:r>
            <w:r w:rsidRPr="00330DF1">
              <w:rPr>
                <w:rFonts w:cs="Calibri"/>
                <w:sz w:val="20"/>
              </w:rPr>
              <w:fldChar w:fldCharType="separate"/>
            </w:r>
            <w:r w:rsidR="00C60130" w:rsidRPr="00C60130">
              <w:rPr>
                <w:rFonts w:cs="Calibri"/>
                <w:sz w:val="20"/>
              </w:rPr>
              <w:t>Do you support allowing landfill gas to be destroyed offsite, potentially by a third party? Are you currently working with a third party to destroy landfill gas offsite?</w:t>
            </w:r>
            <w:r w:rsidRPr="00330DF1">
              <w:rPr>
                <w:rFonts w:cs="Calibri"/>
                <w:sz w:val="20"/>
              </w:rPr>
              <w:fldChar w:fldCharType="end"/>
            </w:r>
          </w:p>
        </w:tc>
      </w:tr>
      <w:tr w:rsidR="00C06AB7" w:rsidRPr="00330DF1" w14:paraId="2F97986D" w14:textId="77777777">
        <w:tc>
          <w:tcPr>
            <w:tcW w:w="8505" w:type="dxa"/>
          </w:tcPr>
          <w:p w14:paraId="177CF389" w14:textId="75DA1CF7" w:rsidR="00C06AB7" w:rsidRPr="00330DF1" w:rsidRDefault="00C06AB7" w:rsidP="006C670F">
            <w:pPr>
              <w:pStyle w:val="TableText"/>
              <w:spacing w:before="80" w:after="80"/>
              <w:ind w:left="397" w:hanging="397"/>
              <w:rPr>
                <w:rFonts w:cs="Calibri"/>
                <w:sz w:val="20"/>
              </w:rPr>
            </w:pPr>
            <w:r w:rsidRPr="00330DF1">
              <w:rPr>
                <w:rFonts w:cs="Calibri"/>
                <w:sz w:val="20"/>
              </w:rPr>
              <w:t>11</w:t>
            </w:r>
            <w:r w:rsidR="00B35849">
              <w:rPr>
                <w:rFonts w:cs="Calibri"/>
                <w:sz w:val="20"/>
              </w:rPr>
              <w:t>.</w:t>
            </w:r>
            <w:r>
              <w:rPr>
                <w:rFonts w:cs="Calibri"/>
                <w:sz w:val="20"/>
              </w:rPr>
              <w:tab/>
            </w:r>
            <w:r w:rsidRPr="00330DF1">
              <w:rPr>
                <w:rFonts w:cs="Calibri"/>
                <w:sz w:val="20"/>
              </w:rPr>
              <w:fldChar w:fldCharType="begin"/>
            </w:r>
            <w:r w:rsidRPr="00330DF1">
              <w:rPr>
                <w:rFonts w:cs="Calibri"/>
                <w:sz w:val="20"/>
              </w:rPr>
              <w:instrText xml:space="preserve"> REF _Ref161240978 \h  \* MERGEFORMAT </w:instrText>
            </w:r>
            <w:r w:rsidRPr="00330DF1">
              <w:rPr>
                <w:rFonts w:cs="Calibri"/>
                <w:sz w:val="20"/>
              </w:rPr>
            </w:r>
            <w:r w:rsidRPr="00330DF1">
              <w:rPr>
                <w:rFonts w:cs="Calibri"/>
                <w:sz w:val="20"/>
              </w:rPr>
              <w:fldChar w:fldCharType="separate"/>
            </w:r>
            <w:r w:rsidR="00C60130" w:rsidRPr="00C60130">
              <w:rPr>
                <w:rFonts w:cs="Calibri"/>
                <w:sz w:val="20"/>
              </w:rPr>
              <w:t>Do you have any feedback or relevant evidence about the proposal to clarify the ORA Regulations to allow for the onshore destruction of synthetic greenhouse gases?</w:t>
            </w:r>
            <w:r w:rsidRPr="00330DF1">
              <w:rPr>
                <w:rFonts w:cs="Calibri"/>
                <w:sz w:val="20"/>
              </w:rPr>
              <w:fldChar w:fldCharType="end"/>
            </w:r>
          </w:p>
        </w:tc>
      </w:tr>
      <w:tr w:rsidR="00C06AB7" w:rsidRPr="00330DF1" w14:paraId="400DBADA" w14:textId="77777777">
        <w:tc>
          <w:tcPr>
            <w:tcW w:w="8505" w:type="dxa"/>
          </w:tcPr>
          <w:p w14:paraId="785DC2F9" w14:textId="1410BE55" w:rsidR="00C06AB7" w:rsidRPr="00330DF1" w:rsidRDefault="00C06AB7" w:rsidP="006C670F">
            <w:pPr>
              <w:pStyle w:val="TableText"/>
              <w:spacing w:before="80" w:after="80"/>
              <w:ind w:left="397" w:hanging="397"/>
              <w:rPr>
                <w:rFonts w:cs="Calibri"/>
                <w:sz w:val="20"/>
              </w:rPr>
            </w:pPr>
            <w:r w:rsidRPr="00330DF1">
              <w:rPr>
                <w:rFonts w:cs="Calibri"/>
                <w:sz w:val="20"/>
              </w:rPr>
              <w:t>12</w:t>
            </w:r>
            <w:r w:rsidR="00B35849">
              <w:rPr>
                <w:rFonts w:cs="Calibri"/>
                <w:sz w:val="20"/>
              </w:rPr>
              <w:t>.</w:t>
            </w:r>
            <w:r>
              <w:rPr>
                <w:rFonts w:cs="Calibri"/>
                <w:sz w:val="20"/>
              </w:rPr>
              <w:tab/>
            </w:r>
            <w:r w:rsidR="00C96AD1" w:rsidRPr="00C96AD1">
              <w:rPr>
                <w:sz w:val="20"/>
              </w:rPr>
              <w:t>Do you have any feedback or relevant evidence about the proposed update to the ‘qualified person’ definition in the Unit Register Regulations?</w:t>
            </w:r>
          </w:p>
        </w:tc>
      </w:tr>
      <w:tr w:rsidR="00C06AB7" w:rsidRPr="00330DF1" w14:paraId="01C778FB" w14:textId="77777777">
        <w:tc>
          <w:tcPr>
            <w:tcW w:w="8505" w:type="dxa"/>
          </w:tcPr>
          <w:p w14:paraId="5DAE4630" w14:textId="2B7B0B57" w:rsidR="00C06AB7" w:rsidRPr="00330DF1" w:rsidRDefault="00C06AB7" w:rsidP="006C670F">
            <w:pPr>
              <w:pStyle w:val="TableText"/>
              <w:spacing w:before="80" w:after="80"/>
              <w:ind w:left="397" w:hanging="397"/>
              <w:rPr>
                <w:rFonts w:cs="Calibri"/>
                <w:sz w:val="20"/>
              </w:rPr>
            </w:pPr>
            <w:r w:rsidRPr="00CE6437">
              <w:rPr>
                <w:rFonts w:cs="Calibri"/>
                <w:sz w:val="20"/>
              </w:rPr>
              <w:t>1</w:t>
            </w:r>
            <w:r w:rsidR="00F66160">
              <w:rPr>
                <w:rFonts w:cs="Calibri"/>
                <w:sz w:val="20"/>
              </w:rPr>
              <w:t>3</w:t>
            </w:r>
            <w:r w:rsidR="00B35849" w:rsidRPr="00CE6437">
              <w:rPr>
                <w:rFonts w:cs="Calibri"/>
                <w:sz w:val="20"/>
              </w:rPr>
              <w:t>.</w:t>
            </w:r>
            <w:r w:rsidRPr="00CE6437">
              <w:rPr>
                <w:rFonts w:cs="Calibri"/>
                <w:sz w:val="20"/>
              </w:rPr>
              <w:tab/>
            </w:r>
            <w:r w:rsidR="00CE6437" w:rsidRPr="00CE6437">
              <w:rPr>
                <w:sz w:val="20"/>
              </w:rPr>
              <w:t>Do you agree that the methodology of calculating auctioning collateral needs to be updated?</w:t>
            </w:r>
          </w:p>
        </w:tc>
      </w:tr>
      <w:tr w:rsidR="006C670F" w:rsidRPr="00330DF1" w14:paraId="3DB8814E" w14:textId="77777777">
        <w:tc>
          <w:tcPr>
            <w:tcW w:w="8505" w:type="dxa"/>
          </w:tcPr>
          <w:p w14:paraId="2D8E0DE9" w14:textId="2A6EE0F3" w:rsidR="006C670F" w:rsidRPr="00330DF1" w:rsidRDefault="006C670F" w:rsidP="006C670F">
            <w:pPr>
              <w:pStyle w:val="TableText"/>
              <w:spacing w:before="80" w:after="80"/>
              <w:ind w:left="397" w:hanging="397"/>
              <w:rPr>
                <w:rFonts w:cs="Calibri"/>
                <w:sz w:val="20"/>
              </w:rPr>
            </w:pPr>
            <w:r w:rsidRPr="00CE6437">
              <w:rPr>
                <w:rFonts w:cs="Calibri"/>
                <w:sz w:val="20"/>
              </w:rPr>
              <w:t>1</w:t>
            </w:r>
            <w:r w:rsidR="00F66160">
              <w:rPr>
                <w:rFonts w:cs="Calibri"/>
                <w:sz w:val="20"/>
              </w:rPr>
              <w:t>4</w:t>
            </w:r>
            <w:r w:rsidR="00B35849" w:rsidRPr="00CE6437">
              <w:rPr>
                <w:rFonts w:cs="Calibri"/>
                <w:sz w:val="20"/>
              </w:rPr>
              <w:t>.</w:t>
            </w:r>
            <w:r w:rsidRPr="00CE6437">
              <w:rPr>
                <w:rFonts w:cs="Calibri"/>
                <w:sz w:val="20"/>
              </w:rPr>
              <w:tab/>
            </w:r>
            <w:r w:rsidR="00CE6437" w:rsidRPr="00CE6437">
              <w:rPr>
                <w:sz w:val="20"/>
              </w:rPr>
              <w:t>Are there any options for calculating auctioning collateral that we haven’t considered, which you would prefer? Please explain.</w:t>
            </w:r>
          </w:p>
        </w:tc>
      </w:tr>
    </w:tbl>
    <w:p w14:paraId="2016403A" w14:textId="0F530856" w:rsidR="00D16B6C" w:rsidRDefault="00D16B6C" w:rsidP="00C73F0D">
      <w:pPr>
        <w:pStyle w:val="BodyText"/>
        <w:keepNext/>
        <w:spacing w:before="240"/>
      </w:pPr>
      <w:r w:rsidRPr="00ED1C7E">
        <w:t xml:space="preserve">We are also interested in your </w:t>
      </w:r>
      <w:r w:rsidR="009D1BD8" w:rsidRPr="00ED1C7E">
        <w:t>thoughts on</w:t>
      </w:r>
      <w:r w:rsidR="0088586B" w:rsidRPr="00ED1C7E">
        <w:t xml:space="preserve"> the </w:t>
      </w:r>
      <w:r w:rsidR="009D1BD8" w:rsidRPr="00ED1C7E">
        <w:t>overall regulatory update process</w:t>
      </w:r>
      <w:r w:rsidR="00E2708A" w:rsidRPr="00ED1C7E">
        <w:t xml:space="preserve">, and we have provided the </w:t>
      </w:r>
      <w:r w:rsidR="00FF15D8">
        <w:t xml:space="preserve">following </w:t>
      </w:r>
      <w:r w:rsidR="00E2708A" w:rsidRPr="00ED1C7E">
        <w:t>general questions to guide your feedback</w:t>
      </w:r>
      <w:r w:rsidR="00312BD4" w:rsidRPr="00ED1C7E">
        <w:t>.</w:t>
      </w:r>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ayout w:type="fixed"/>
        <w:tblLook w:val="04A0" w:firstRow="1" w:lastRow="0" w:firstColumn="1" w:lastColumn="0" w:noHBand="0" w:noVBand="1"/>
      </w:tblPr>
      <w:tblGrid>
        <w:gridCol w:w="8505"/>
      </w:tblGrid>
      <w:tr w:rsidR="00933F8C" w:rsidRPr="00D71C4F" w14:paraId="6EB17265" w14:textId="77777777">
        <w:tc>
          <w:tcPr>
            <w:tcW w:w="8505" w:type="dxa"/>
            <w:shd w:val="clear" w:color="auto" w:fill="1B556B" w:themeFill="text2"/>
          </w:tcPr>
          <w:p w14:paraId="7AE2ED2B" w14:textId="77777777" w:rsidR="00933F8C" w:rsidRPr="00D71C4F" w:rsidRDefault="00933F8C" w:rsidP="00933F8C">
            <w:pPr>
              <w:pStyle w:val="TableText"/>
              <w:keepNext/>
              <w:rPr>
                <w:b/>
                <w:bCs/>
                <w:color w:val="FFFFFF" w:themeColor="background1"/>
                <w:sz w:val="20"/>
                <w:szCs w:val="22"/>
              </w:rPr>
            </w:pPr>
            <w:r w:rsidRPr="00D71C4F">
              <w:rPr>
                <w:b/>
                <w:bCs/>
                <w:color w:val="FFFFFF" w:themeColor="background1"/>
                <w:sz w:val="20"/>
                <w:szCs w:val="22"/>
              </w:rPr>
              <w:t>Questions</w:t>
            </w:r>
          </w:p>
        </w:tc>
      </w:tr>
      <w:tr w:rsidR="00F174EA" w:rsidRPr="00943CFD" w14:paraId="3F1DF162" w14:textId="77777777">
        <w:tc>
          <w:tcPr>
            <w:tcW w:w="8505" w:type="dxa"/>
          </w:tcPr>
          <w:p w14:paraId="177D5B22" w14:textId="33C883AB" w:rsidR="00F174EA" w:rsidRPr="00943CFD" w:rsidRDefault="00F174EA" w:rsidP="00F174EA">
            <w:pPr>
              <w:pStyle w:val="TableText"/>
              <w:spacing w:before="80" w:after="80"/>
              <w:ind w:left="397" w:hanging="397"/>
              <w:rPr>
                <w:sz w:val="20"/>
              </w:rPr>
            </w:pPr>
            <w:r w:rsidRPr="00943CFD">
              <w:rPr>
                <w:sz w:val="20"/>
              </w:rPr>
              <w:t>1</w:t>
            </w:r>
            <w:r w:rsidR="00866E95">
              <w:rPr>
                <w:sz w:val="20"/>
              </w:rPr>
              <w:t>5</w:t>
            </w:r>
            <w:r w:rsidR="00E012FB">
              <w:rPr>
                <w:sz w:val="20"/>
              </w:rPr>
              <w:t>.</w:t>
            </w:r>
            <w:r>
              <w:rPr>
                <w:sz w:val="20"/>
              </w:rPr>
              <w:tab/>
            </w:r>
            <w:r w:rsidRPr="00943CFD">
              <w:rPr>
                <w:sz w:val="20"/>
              </w:rPr>
              <w:t>Do you have any feedback or suggestions on the process by which the Government routinely updates the regulations that govern the NZ ETS?</w:t>
            </w:r>
          </w:p>
        </w:tc>
      </w:tr>
      <w:tr w:rsidR="00F174EA" w:rsidRPr="00943CFD" w14:paraId="122E6EED" w14:textId="77777777">
        <w:tc>
          <w:tcPr>
            <w:tcW w:w="8505" w:type="dxa"/>
          </w:tcPr>
          <w:p w14:paraId="7FCA626A" w14:textId="18312E1E" w:rsidR="00F174EA" w:rsidRPr="00943CFD" w:rsidRDefault="00F174EA" w:rsidP="00F174EA">
            <w:pPr>
              <w:pStyle w:val="TableText"/>
              <w:spacing w:before="80" w:after="80"/>
              <w:ind w:left="397" w:hanging="397"/>
              <w:rPr>
                <w:sz w:val="20"/>
              </w:rPr>
            </w:pPr>
            <w:r>
              <w:rPr>
                <w:sz w:val="20"/>
              </w:rPr>
              <w:t>1</w:t>
            </w:r>
            <w:r w:rsidR="00866E95">
              <w:rPr>
                <w:sz w:val="20"/>
              </w:rPr>
              <w:t>6</w:t>
            </w:r>
            <w:r w:rsidR="00E012FB">
              <w:rPr>
                <w:sz w:val="20"/>
              </w:rPr>
              <w:t>.</w:t>
            </w:r>
            <w:r>
              <w:rPr>
                <w:sz w:val="20"/>
              </w:rPr>
              <w:tab/>
            </w:r>
            <w:r w:rsidRPr="00943CFD">
              <w:rPr>
                <w:sz w:val="20"/>
              </w:rPr>
              <w:t>Are there any improvements, corrections</w:t>
            </w:r>
            <w:r w:rsidRPr="00943CFD" w:rsidDel="00F92965">
              <w:rPr>
                <w:sz w:val="20"/>
              </w:rPr>
              <w:t>,</w:t>
            </w:r>
            <w:r w:rsidRPr="00943CFD">
              <w:rPr>
                <w:sz w:val="20"/>
              </w:rPr>
              <w:t xml:space="preserve"> or clarifications to the NZ ETS regulations, along the lines of those proposed in this document, that you think the Government </w:t>
            </w:r>
            <w:r w:rsidR="00C302FA">
              <w:rPr>
                <w:sz w:val="20"/>
              </w:rPr>
              <w:t xml:space="preserve">should </w:t>
            </w:r>
            <w:r w:rsidRPr="00943CFD">
              <w:rPr>
                <w:sz w:val="20"/>
              </w:rPr>
              <w:t>add to the update process in future years?</w:t>
            </w:r>
          </w:p>
        </w:tc>
      </w:tr>
    </w:tbl>
    <w:p w14:paraId="22407910" w14:textId="77777777" w:rsidR="00346BA0" w:rsidRPr="00ED1C7E" w:rsidRDefault="00346BA0" w:rsidP="001E37B4">
      <w:pPr>
        <w:pStyle w:val="Heading2"/>
        <w:spacing w:before="480"/>
      </w:pPr>
      <w:bookmarkStart w:id="74" w:name="_Toc165533008"/>
      <w:r w:rsidRPr="00ED1C7E">
        <w:lastRenderedPageBreak/>
        <w:t>How to have your say</w:t>
      </w:r>
      <w:bookmarkEnd w:id="74"/>
    </w:p>
    <w:p w14:paraId="1E712884" w14:textId="57A85772" w:rsidR="00346BA0" w:rsidRPr="00ED1C7E" w:rsidRDefault="00346BA0" w:rsidP="00346BA0">
      <w:pPr>
        <w:pStyle w:val="BodyText"/>
      </w:pPr>
      <w:r w:rsidRPr="00ED1C7E">
        <w:t xml:space="preserve">The Government welcomes your feedback on the issues described in this consultation document. The questions throughout the document and summarised here are </w:t>
      </w:r>
      <w:r w:rsidR="0031084E" w:rsidRPr="00ED1C7E">
        <w:t>intended as a useful</w:t>
      </w:r>
      <w:r w:rsidRPr="00ED1C7E">
        <w:t xml:space="preserve"> guide. You do not have to answer them all and any additional comments are welcome.</w:t>
      </w:r>
    </w:p>
    <w:p w14:paraId="762C114A" w14:textId="1A8B855D" w:rsidR="00346BA0" w:rsidRPr="00ED1C7E" w:rsidRDefault="00346BA0" w:rsidP="00346BA0">
      <w:pPr>
        <w:pStyle w:val="BodyText"/>
      </w:pPr>
      <w:r w:rsidRPr="00ED1C7E">
        <w:t xml:space="preserve">To ensure </w:t>
      </w:r>
      <w:r w:rsidR="00B54DC6" w:rsidRPr="00ED1C7E">
        <w:t xml:space="preserve">that those reading and analysing submissions </w:t>
      </w:r>
      <w:r w:rsidRPr="00ED1C7E">
        <w:t>clearly understand your point of view, you should explain the reasons for your views and give any supporting evidence.</w:t>
      </w:r>
    </w:p>
    <w:p w14:paraId="39E0A370" w14:textId="0B7259CB" w:rsidR="00E02D3C" w:rsidRPr="00ED1C7E" w:rsidRDefault="00E02D3C" w:rsidP="00346BA0">
      <w:pPr>
        <w:pStyle w:val="BodyText"/>
      </w:pPr>
      <w:r w:rsidRPr="00ED1C7E">
        <w:t xml:space="preserve">You are welcome to submit on both the proposals presented in this document and those </w:t>
      </w:r>
      <w:r w:rsidR="004342BA" w:rsidRPr="00ED1C7E">
        <w:t>in the consultation on</w:t>
      </w:r>
      <w:r w:rsidRPr="00ED1C7E">
        <w:t xml:space="preserve"> </w:t>
      </w:r>
      <w:r w:rsidR="00221ACF" w:rsidRPr="00ED1C7E">
        <w:t>NZ ETS</w:t>
      </w:r>
      <w:r w:rsidRPr="00ED1C7E">
        <w:t xml:space="preserve"> </w:t>
      </w:r>
      <w:r w:rsidR="004342BA" w:rsidRPr="00ED1C7E">
        <w:t>s</w:t>
      </w:r>
      <w:r w:rsidRPr="00ED1C7E">
        <w:t xml:space="preserve">ettings </w:t>
      </w:r>
      <w:r w:rsidR="00CF1A14" w:rsidRPr="00ED1C7E">
        <w:t xml:space="preserve">in the same submission. </w:t>
      </w:r>
      <w:r w:rsidR="000B42B4" w:rsidRPr="00ED1C7E">
        <w:t>As part of the respective analyses, w</w:t>
      </w:r>
      <w:r w:rsidR="004342BA" w:rsidRPr="00ED1C7E">
        <w:t>e will consider a</w:t>
      </w:r>
      <w:r w:rsidR="00CF1A14" w:rsidRPr="00ED1C7E">
        <w:t xml:space="preserve">ny feedback that you provide </w:t>
      </w:r>
      <w:r w:rsidR="00492BD3" w:rsidRPr="00ED1C7E">
        <w:t>relating to</w:t>
      </w:r>
      <w:r w:rsidR="00CF1A14" w:rsidRPr="00ED1C7E">
        <w:t xml:space="preserve"> </w:t>
      </w:r>
      <w:r w:rsidR="00FA1FFB" w:rsidRPr="00ED1C7E">
        <w:t xml:space="preserve">either </w:t>
      </w:r>
      <w:r w:rsidR="003325FB" w:rsidRPr="00ED1C7E">
        <w:t>set of proposals</w:t>
      </w:r>
      <w:r w:rsidR="00CF1A14" w:rsidRPr="00ED1C7E">
        <w:t>.</w:t>
      </w:r>
    </w:p>
    <w:p w14:paraId="02DFFA18" w14:textId="77777777" w:rsidR="00346BA0" w:rsidRPr="00ED1C7E" w:rsidRDefault="00346BA0" w:rsidP="00C73F0D">
      <w:pPr>
        <w:pStyle w:val="Heading2"/>
        <w:spacing w:before="240"/>
      </w:pPr>
      <w:bookmarkStart w:id="75" w:name="_Toc165533009"/>
      <w:r w:rsidRPr="00ED1C7E">
        <w:t>Timeframes</w:t>
      </w:r>
      <w:bookmarkEnd w:id="75"/>
    </w:p>
    <w:p w14:paraId="2EE217EA" w14:textId="489A810D" w:rsidR="00222B69" w:rsidRPr="00ED1C7E" w:rsidRDefault="00346BA0" w:rsidP="00346BA0">
      <w:pPr>
        <w:pStyle w:val="BodyText"/>
        <w:rPr>
          <w:rFonts w:eastAsia="Calibri" w:cs="Calibri"/>
          <w:color w:val="000000" w:themeColor="text1"/>
        </w:rPr>
      </w:pPr>
      <w:r w:rsidRPr="00ED1C7E">
        <w:rPr>
          <w:rFonts w:eastAsia="Calibri" w:cs="Calibri"/>
          <w:color w:val="000000" w:themeColor="text1"/>
        </w:rPr>
        <w:t xml:space="preserve">This consultation starts on </w:t>
      </w:r>
      <w:r w:rsidR="00D3359A" w:rsidRPr="00940809">
        <w:rPr>
          <w:rFonts w:eastAsia="Calibri" w:cs="Calibri"/>
          <w:color w:val="000000" w:themeColor="text1"/>
        </w:rPr>
        <w:t>1</w:t>
      </w:r>
      <w:r w:rsidR="00560AC2">
        <w:rPr>
          <w:rFonts w:eastAsia="Calibri" w:cs="Calibri"/>
          <w:color w:val="000000" w:themeColor="text1"/>
        </w:rPr>
        <w:t>5</w:t>
      </w:r>
      <w:r w:rsidR="007A485B" w:rsidRPr="00940809">
        <w:rPr>
          <w:rFonts w:eastAsia="Calibri" w:cs="Calibri"/>
          <w:color w:val="000000" w:themeColor="text1"/>
        </w:rPr>
        <w:t xml:space="preserve"> </w:t>
      </w:r>
      <w:r w:rsidR="00560AC2">
        <w:rPr>
          <w:rFonts w:eastAsia="Calibri" w:cs="Calibri"/>
          <w:color w:val="000000" w:themeColor="text1"/>
        </w:rPr>
        <w:t xml:space="preserve">May </w:t>
      </w:r>
      <w:r w:rsidRPr="00ED1C7E">
        <w:rPr>
          <w:rFonts w:eastAsia="Calibri" w:cs="Calibri"/>
          <w:color w:val="000000" w:themeColor="text1"/>
        </w:rPr>
        <w:t>202</w:t>
      </w:r>
      <w:r w:rsidR="00B54DC6" w:rsidRPr="00ED1C7E">
        <w:rPr>
          <w:rFonts w:eastAsia="Calibri" w:cs="Calibri"/>
          <w:color w:val="000000" w:themeColor="text1"/>
        </w:rPr>
        <w:t>4</w:t>
      </w:r>
      <w:r w:rsidRPr="00ED1C7E">
        <w:rPr>
          <w:rFonts w:eastAsia="Calibri" w:cs="Calibri"/>
          <w:color w:val="000000" w:themeColor="text1"/>
        </w:rPr>
        <w:t xml:space="preserve"> and ends on </w:t>
      </w:r>
      <w:r w:rsidR="00560AC2">
        <w:rPr>
          <w:rFonts w:eastAsia="Calibri" w:cs="Calibri"/>
          <w:color w:val="000000" w:themeColor="text1"/>
        </w:rPr>
        <w:t xml:space="preserve">14 June </w:t>
      </w:r>
      <w:r w:rsidRPr="00ED1C7E">
        <w:rPr>
          <w:rFonts w:eastAsia="Calibri" w:cs="Calibri"/>
          <w:color w:val="000000" w:themeColor="text1"/>
        </w:rPr>
        <w:t>202</w:t>
      </w:r>
      <w:r w:rsidR="00B54DC6" w:rsidRPr="00ED1C7E">
        <w:rPr>
          <w:rFonts w:eastAsia="Calibri" w:cs="Calibri"/>
          <w:color w:val="000000" w:themeColor="text1"/>
        </w:rPr>
        <w:t>4</w:t>
      </w:r>
      <w:r w:rsidRPr="00ED1C7E">
        <w:rPr>
          <w:rFonts w:eastAsia="Calibri" w:cs="Calibri"/>
          <w:color w:val="000000" w:themeColor="text1"/>
        </w:rPr>
        <w:t>.</w:t>
      </w:r>
      <w:r w:rsidR="00D04CF8" w:rsidRPr="00ED1C7E">
        <w:rPr>
          <w:rFonts w:eastAsia="Calibri" w:cs="Calibri"/>
          <w:color w:val="000000" w:themeColor="text1"/>
        </w:rPr>
        <w:t xml:space="preserve"> Submissions should be made by no later than </w:t>
      </w:r>
      <w:r w:rsidR="00560AC2">
        <w:rPr>
          <w:rFonts w:eastAsia="Calibri" w:cs="Calibri"/>
          <w:color w:val="000000" w:themeColor="text1"/>
        </w:rPr>
        <w:t xml:space="preserve">5:00 pm </w:t>
      </w:r>
      <w:r w:rsidR="00594215">
        <w:rPr>
          <w:rFonts w:eastAsia="Calibri" w:cs="Calibri"/>
          <w:color w:val="000000" w:themeColor="text1"/>
        </w:rPr>
        <w:t>on 14 June 2024</w:t>
      </w:r>
      <w:r w:rsidR="00D04CF8" w:rsidRPr="00ED1C7E">
        <w:rPr>
          <w:rFonts w:eastAsia="Calibri" w:cs="Calibri"/>
          <w:color w:val="000000" w:themeColor="text1"/>
        </w:rPr>
        <w:t xml:space="preserve">, to ensure that your views are considered </w:t>
      </w:r>
      <w:r w:rsidR="00920F28" w:rsidRPr="00ED1C7E">
        <w:rPr>
          <w:rFonts w:eastAsia="Calibri" w:cs="Calibri"/>
          <w:color w:val="000000" w:themeColor="text1"/>
        </w:rPr>
        <w:t>in our analysis.</w:t>
      </w:r>
    </w:p>
    <w:p w14:paraId="658A1221" w14:textId="4DFC3F6F" w:rsidR="00346BA0" w:rsidRPr="00ED1C7E" w:rsidRDefault="00920F28" w:rsidP="00346BA0">
      <w:pPr>
        <w:pStyle w:val="BodyText"/>
        <w:rPr>
          <w:rFonts w:eastAsia="Calibri" w:cs="Calibri"/>
          <w:color w:val="000000" w:themeColor="text1"/>
        </w:rPr>
      </w:pPr>
      <w:r w:rsidRPr="00ED1C7E">
        <w:rPr>
          <w:rFonts w:eastAsia="Calibri" w:cs="Calibri"/>
          <w:color w:val="000000" w:themeColor="text1"/>
        </w:rPr>
        <w:t>Submissions made after this date will be received</w:t>
      </w:r>
      <w:r w:rsidR="00222B69" w:rsidRPr="00ED1C7E">
        <w:rPr>
          <w:rFonts w:eastAsia="Calibri" w:cs="Calibri"/>
          <w:color w:val="000000" w:themeColor="text1"/>
        </w:rPr>
        <w:t xml:space="preserve"> and noted</w:t>
      </w:r>
      <w:r w:rsidRPr="00ED1C7E">
        <w:rPr>
          <w:rFonts w:eastAsia="Calibri" w:cs="Calibri"/>
          <w:color w:val="000000" w:themeColor="text1"/>
        </w:rPr>
        <w:t xml:space="preserve">, but </w:t>
      </w:r>
      <w:r w:rsidR="009C373E" w:rsidRPr="00ED1C7E">
        <w:rPr>
          <w:rFonts w:eastAsia="Calibri" w:cs="Calibri"/>
          <w:color w:val="000000" w:themeColor="text1"/>
        </w:rPr>
        <w:t xml:space="preserve">we </w:t>
      </w:r>
      <w:r w:rsidRPr="00ED1C7E">
        <w:rPr>
          <w:rFonts w:eastAsia="Calibri" w:cs="Calibri"/>
          <w:color w:val="000000" w:themeColor="text1"/>
        </w:rPr>
        <w:t xml:space="preserve">may not be </w:t>
      </w:r>
      <w:r w:rsidR="009C373E" w:rsidRPr="00ED1C7E">
        <w:rPr>
          <w:rFonts w:eastAsia="Calibri" w:cs="Calibri"/>
          <w:color w:val="000000" w:themeColor="text1"/>
        </w:rPr>
        <w:t xml:space="preserve">able </w:t>
      </w:r>
      <w:r w:rsidRPr="00ED1C7E">
        <w:rPr>
          <w:rFonts w:eastAsia="Calibri" w:cs="Calibri"/>
          <w:color w:val="000000" w:themeColor="text1"/>
        </w:rPr>
        <w:t xml:space="preserve">to reflect the views presented in late submissions in our </w:t>
      </w:r>
      <w:r w:rsidR="00222B69" w:rsidRPr="00ED1C7E">
        <w:rPr>
          <w:rFonts w:eastAsia="Calibri" w:cs="Calibri"/>
          <w:color w:val="000000" w:themeColor="text1"/>
        </w:rPr>
        <w:t>analysis and decisions.</w:t>
      </w:r>
    </w:p>
    <w:p w14:paraId="7CE66AA8" w14:textId="73974404" w:rsidR="00346BA0" w:rsidRPr="00ED1C7E" w:rsidRDefault="00346BA0" w:rsidP="00346BA0">
      <w:pPr>
        <w:pStyle w:val="BodyText"/>
        <w:rPr>
          <w:rFonts w:eastAsia="Calibri" w:cs="Calibri"/>
          <w:color w:val="000000" w:themeColor="text1"/>
        </w:rPr>
      </w:pPr>
      <w:r w:rsidRPr="00ED1C7E">
        <w:rPr>
          <w:rFonts w:eastAsia="Calibri" w:cs="Calibri"/>
          <w:color w:val="000000" w:themeColor="text1"/>
        </w:rPr>
        <w:t>When the consultation period has ended, we will develop recommendations on changes to</w:t>
      </w:r>
      <w:r w:rsidR="00707682">
        <w:rPr>
          <w:rFonts w:eastAsia="Calibri" w:cs="Calibri"/>
          <w:color w:val="000000" w:themeColor="text1"/>
        </w:rPr>
        <w:t> </w:t>
      </w:r>
      <w:r w:rsidRPr="00ED1C7E">
        <w:rPr>
          <w:rFonts w:eastAsia="Calibri" w:cs="Calibri"/>
          <w:color w:val="000000" w:themeColor="text1"/>
        </w:rPr>
        <w:t>regulations.</w:t>
      </w:r>
    </w:p>
    <w:p w14:paraId="6520EA4D" w14:textId="77777777" w:rsidR="00346BA0" w:rsidRPr="00ED1C7E" w:rsidRDefault="00346BA0" w:rsidP="00346BA0">
      <w:pPr>
        <w:pStyle w:val="Heading2"/>
      </w:pPr>
      <w:bookmarkStart w:id="76" w:name="_Toc165533010"/>
      <w:r w:rsidRPr="00ED1C7E">
        <w:t>How to make a submission</w:t>
      </w:r>
      <w:bookmarkEnd w:id="76"/>
    </w:p>
    <w:p w14:paraId="3AC97D6A" w14:textId="413CEB16" w:rsidR="00346BA0" w:rsidRPr="00ED1C7E" w:rsidRDefault="00346BA0" w:rsidP="00346BA0">
      <w:pPr>
        <w:pStyle w:val="BodyText"/>
        <w:rPr>
          <w:rFonts w:eastAsia="Calibri" w:cs="Calibri"/>
          <w:color w:val="000000" w:themeColor="text1"/>
        </w:rPr>
      </w:pPr>
      <w:r w:rsidRPr="00ED1C7E">
        <w:rPr>
          <w:rFonts w:eastAsia="Calibri" w:cs="Calibri"/>
          <w:color w:val="000000" w:themeColor="text1"/>
        </w:rPr>
        <w:t>There are two ways you can make a submission</w:t>
      </w:r>
      <w:r w:rsidR="00DD6ACC" w:rsidRPr="00ED1C7E">
        <w:rPr>
          <w:rFonts w:eastAsia="Calibri" w:cs="Calibri"/>
          <w:color w:val="000000" w:themeColor="text1"/>
        </w:rPr>
        <w:t>:</w:t>
      </w:r>
    </w:p>
    <w:p w14:paraId="1B4D093B" w14:textId="27BF0AF7" w:rsidR="00DA4C1A" w:rsidRDefault="003C22BB" w:rsidP="006407BB">
      <w:pPr>
        <w:pStyle w:val="Bullet"/>
      </w:pPr>
      <w:r w:rsidRPr="00561643">
        <w:t>V</w:t>
      </w:r>
      <w:r w:rsidR="00AB3BED" w:rsidRPr="00561643">
        <w:t>ia</w:t>
      </w:r>
      <w:r w:rsidR="00346BA0" w:rsidRPr="00561643">
        <w:t xml:space="preserve"> </w:t>
      </w:r>
      <w:hyperlink r:id="rId52" w:history="1">
        <w:r w:rsidR="00346BA0" w:rsidRPr="00561643">
          <w:rPr>
            <w:rStyle w:val="Hyperlink"/>
          </w:rPr>
          <w:t>Citizen Space</w:t>
        </w:r>
      </w:hyperlink>
      <w:r w:rsidR="00346BA0" w:rsidRPr="00561643">
        <w:t>, our consultation hub</w:t>
      </w:r>
      <w:r w:rsidR="00AB3BED" w:rsidRPr="00ED1C7E">
        <w:t xml:space="preserve">. </w:t>
      </w:r>
      <w:r>
        <w:t>You can also</w:t>
      </w:r>
      <w:r w:rsidR="007F0B16" w:rsidRPr="00ED1C7E">
        <w:t xml:space="preserve"> provide feedback on </w:t>
      </w:r>
      <w:r w:rsidR="00221ACF" w:rsidRPr="00ED1C7E">
        <w:t>NZ ETS</w:t>
      </w:r>
      <w:r w:rsidR="007F0B16" w:rsidRPr="00ED1C7E">
        <w:t xml:space="preserve"> </w:t>
      </w:r>
      <w:r w:rsidR="009C373E" w:rsidRPr="00ED1C7E">
        <w:t>s</w:t>
      </w:r>
      <w:r w:rsidR="007F0B16" w:rsidRPr="00ED1C7E">
        <w:t>ettings proposals</w:t>
      </w:r>
      <w:r w:rsidR="00E9020E">
        <w:t xml:space="preserve"> at the same time</w:t>
      </w:r>
      <w:r w:rsidR="007F0B16" w:rsidRPr="00ED1C7E">
        <w:t xml:space="preserve"> if this is of interest to you.</w:t>
      </w:r>
    </w:p>
    <w:p w14:paraId="2A8AB5BB" w14:textId="556EEB7D" w:rsidR="006407BB" w:rsidRDefault="006407BB" w:rsidP="006407BB">
      <w:pPr>
        <w:pStyle w:val="Bullet"/>
      </w:pPr>
      <w:r>
        <w:t>W</w:t>
      </w:r>
      <w:r w:rsidR="00346BA0" w:rsidRPr="00ED1C7E">
        <w:t>rite your own submission.</w:t>
      </w:r>
    </w:p>
    <w:p w14:paraId="70A01EBE" w14:textId="41B24B79" w:rsidR="00346BA0" w:rsidRPr="006407BB" w:rsidRDefault="006407BB" w:rsidP="006407BB">
      <w:pPr>
        <w:pStyle w:val="BodyText"/>
      </w:pPr>
      <w:r w:rsidRPr="00ED1C7E">
        <w:t>If you want to provide your own written submission, you can include this as an uploaded file in Citizen Space.</w:t>
      </w:r>
      <w:r>
        <w:t xml:space="preserve"> </w:t>
      </w:r>
      <w:r w:rsidR="00346BA0" w:rsidRPr="006407BB">
        <w:t xml:space="preserve">We prefer </w:t>
      </w:r>
      <w:r w:rsidR="009C373E" w:rsidRPr="006407BB">
        <w:t xml:space="preserve">not to receive email </w:t>
      </w:r>
      <w:r w:rsidR="00346BA0" w:rsidRPr="006407BB">
        <w:t>or post submissions</w:t>
      </w:r>
      <w:r w:rsidR="009C373E" w:rsidRPr="006407BB">
        <w:t>,</w:t>
      </w:r>
      <w:r w:rsidR="00346BA0" w:rsidRPr="006407BB">
        <w:t xml:space="preserve"> as this makes analysis more difficult. However, if you need to</w:t>
      </w:r>
      <w:r w:rsidR="009C373E" w:rsidRPr="006407BB">
        <w:t>,</w:t>
      </w:r>
      <w:r w:rsidR="00346BA0" w:rsidRPr="006407BB">
        <w:t xml:space="preserve"> please send written submissions to </w:t>
      </w:r>
      <w:r w:rsidR="00221ACF" w:rsidRPr="006407BB">
        <w:t>NZ ETS</w:t>
      </w:r>
      <w:r w:rsidR="00346BA0" w:rsidRPr="006407BB">
        <w:t xml:space="preserve"> </w:t>
      </w:r>
      <w:r w:rsidR="00222B69" w:rsidRPr="006407BB">
        <w:t>R</w:t>
      </w:r>
      <w:r w:rsidR="00346BA0" w:rsidRPr="006407BB">
        <w:t>egulat</w:t>
      </w:r>
      <w:r w:rsidR="00222B69" w:rsidRPr="006407BB">
        <w:t>ory</w:t>
      </w:r>
      <w:r w:rsidR="00346BA0" w:rsidRPr="006407BB">
        <w:t xml:space="preserve"> </w:t>
      </w:r>
      <w:r w:rsidR="00222B69" w:rsidRPr="006407BB">
        <w:t>U</w:t>
      </w:r>
      <w:r w:rsidR="00346BA0" w:rsidRPr="006407BB">
        <w:t>pdates, Ministry for the Environment, PO Box 10362, Wellington 6143 and include:</w:t>
      </w:r>
    </w:p>
    <w:p w14:paraId="49C84A18" w14:textId="77777777" w:rsidR="00346BA0" w:rsidRPr="006407BB" w:rsidRDefault="00346BA0" w:rsidP="006407BB">
      <w:pPr>
        <w:pStyle w:val="Bullet"/>
      </w:pPr>
      <w:r w:rsidRPr="006407BB">
        <w:t>the title of the consultation</w:t>
      </w:r>
    </w:p>
    <w:p w14:paraId="23CF6A4A" w14:textId="77777777" w:rsidR="00346BA0" w:rsidRPr="006407BB" w:rsidRDefault="00346BA0" w:rsidP="006407BB">
      <w:pPr>
        <w:pStyle w:val="Bullet"/>
      </w:pPr>
      <w:r w:rsidRPr="006407BB">
        <w:t>your name or organisation</w:t>
      </w:r>
    </w:p>
    <w:p w14:paraId="672D5E1D" w14:textId="77777777" w:rsidR="00346BA0" w:rsidRPr="006407BB" w:rsidRDefault="00346BA0" w:rsidP="006407BB">
      <w:pPr>
        <w:pStyle w:val="Bullet"/>
      </w:pPr>
      <w:r w:rsidRPr="006407BB">
        <w:t>your postal address</w:t>
      </w:r>
    </w:p>
    <w:p w14:paraId="52807871" w14:textId="77777777" w:rsidR="00346BA0" w:rsidRPr="006407BB" w:rsidRDefault="00346BA0" w:rsidP="006407BB">
      <w:pPr>
        <w:pStyle w:val="Bullet"/>
      </w:pPr>
      <w:r w:rsidRPr="006407BB">
        <w:t xml:space="preserve">your telephone </w:t>
      </w:r>
      <w:proofErr w:type="gramStart"/>
      <w:r w:rsidRPr="006407BB">
        <w:t>number</w:t>
      </w:r>
      <w:proofErr w:type="gramEnd"/>
    </w:p>
    <w:p w14:paraId="25997533" w14:textId="19CBF88F" w:rsidR="00346BA0" w:rsidRPr="006407BB" w:rsidRDefault="00346BA0" w:rsidP="006407BB">
      <w:pPr>
        <w:pStyle w:val="Bullet"/>
      </w:pPr>
      <w:r w:rsidRPr="006407BB">
        <w:t>your email address</w:t>
      </w:r>
      <w:r w:rsidR="00B65D43" w:rsidRPr="006407BB">
        <w:t>.</w:t>
      </w:r>
    </w:p>
    <w:p w14:paraId="0B31D975" w14:textId="77777777" w:rsidR="00346BA0" w:rsidRPr="00ED1C7E" w:rsidRDefault="00346BA0" w:rsidP="00346BA0">
      <w:pPr>
        <w:pStyle w:val="BodyText"/>
        <w:keepNext/>
        <w:spacing w:before="240"/>
        <w:rPr>
          <w:rFonts w:eastAsia="Calibri" w:cs="Calibri"/>
          <w:color w:val="000000" w:themeColor="text1"/>
        </w:rPr>
      </w:pPr>
      <w:r w:rsidRPr="00ED1C7E">
        <w:rPr>
          <w:rFonts w:eastAsia="Calibri" w:cs="Calibri"/>
          <w:color w:val="000000" w:themeColor="text1"/>
        </w:rPr>
        <w:t xml:space="preserve">If you are emailing your submission, send it to </w:t>
      </w:r>
      <w:hyperlink r:id="rId53" w:history="1">
        <w:r w:rsidRPr="00940809">
          <w:rPr>
            <w:rStyle w:val="Hyperlink"/>
            <w:rFonts w:eastAsia="Calibri" w:cs="Calibri"/>
          </w:rPr>
          <w:t>etsconsultation@mfe.govt.nz</w:t>
        </w:r>
      </w:hyperlink>
      <w:r w:rsidRPr="00ED1C7E">
        <w:rPr>
          <w:rFonts w:eastAsia="Calibri" w:cs="Calibri"/>
          <w:color w:val="000000" w:themeColor="text1"/>
        </w:rPr>
        <w:t xml:space="preserve"> as a:</w:t>
      </w:r>
    </w:p>
    <w:p w14:paraId="12700C43" w14:textId="77777777" w:rsidR="00346BA0" w:rsidRPr="006407BB" w:rsidRDefault="00346BA0" w:rsidP="006407BB">
      <w:pPr>
        <w:pStyle w:val="Bullet"/>
      </w:pPr>
      <w:r w:rsidRPr="006407BB">
        <w:t>PDF</w:t>
      </w:r>
    </w:p>
    <w:p w14:paraId="6F932700" w14:textId="5C836404" w:rsidR="00346BA0" w:rsidRPr="006407BB" w:rsidRDefault="00346BA0" w:rsidP="006407BB">
      <w:pPr>
        <w:pStyle w:val="Bullet"/>
      </w:pPr>
      <w:r w:rsidRPr="006407BB">
        <w:t>Microsoft Word document (2003 or later version)</w:t>
      </w:r>
      <w:r w:rsidR="00B65D43" w:rsidRPr="006407BB">
        <w:t>.</w:t>
      </w:r>
    </w:p>
    <w:p w14:paraId="7B4C21D5" w14:textId="3BCEEFA2" w:rsidR="00346BA0" w:rsidRPr="00ED1C7E" w:rsidRDefault="00346BA0" w:rsidP="0003586F">
      <w:pPr>
        <w:pStyle w:val="BodyText"/>
        <w:spacing w:before="240"/>
        <w:rPr>
          <w:rFonts w:eastAsia="Calibri" w:cs="Calibri"/>
          <w:color w:val="000000" w:themeColor="text1"/>
        </w:rPr>
      </w:pPr>
      <w:r w:rsidRPr="00ED1C7E">
        <w:rPr>
          <w:rFonts w:eastAsia="Calibri" w:cs="Calibri"/>
          <w:b/>
          <w:bCs/>
          <w:color w:val="000000" w:themeColor="text1"/>
        </w:rPr>
        <w:t xml:space="preserve">Submissions close </w:t>
      </w:r>
      <w:r w:rsidR="00940809">
        <w:rPr>
          <w:rFonts w:eastAsia="Calibri" w:cs="Calibri"/>
          <w:b/>
          <w:bCs/>
          <w:color w:val="000000" w:themeColor="text1"/>
        </w:rPr>
        <w:t xml:space="preserve">at 5:00 pm </w:t>
      </w:r>
      <w:r w:rsidRPr="00ED1C7E">
        <w:rPr>
          <w:rFonts w:eastAsia="Calibri" w:cs="Calibri"/>
          <w:b/>
          <w:bCs/>
          <w:color w:val="000000" w:themeColor="text1"/>
        </w:rPr>
        <w:t xml:space="preserve">on </w:t>
      </w:r>
      <w:r w:rsidR="002A65BE">
        <w:rPr>
          <w:rFonts w:eastAsia="Calibri" w:cs="Calibri"/>
          <w:b/>
          <w:bCs/>
          <w:color w:val="000000" w:themeColor="text1"/>
        </w:rPr>
        <w:t>14 June</w:t>
      </w:r>
      <w:r w:rsidRPr="00ED1C7E">
        <w:rPr>
          <w:rFonts w:eastAsia="Calibri" w:cs="Calibri"/>
          <w:b/>
          <w:bCs/>
          <w:color w:val="000000" w:themeColor="text1"/>
        </w:rPr>
        <w:t xml:space="preserve"> 202</w:t>
      </w:r>
      <w:r w:rsidR="00222B69" w:rsidRPr="00ED1C7E">
        <w:rPr>
          <w:rFonts w:eastAsia="Calibri" w:cs="Calibri"/>
          <w:b/>
          <w:bCs/>
          <w:color w:val="000000" w:themeColor="text1"/>
        </w:rPr>
        <w:t>4</w:t>
      </w:r>
      <w:r w:rsidRPr="00ED1C7E">
        <w:rPr>
          <w:rFonts w:eastAsia="Calibri" w:cs="Calibri"/>
          <w:b/>
          <w:bCs/>
          <w:color w:val="000000" w:themeColor="text1"/>
        </w:rPr>
        <w:t>.</w:t>
      </w:r>
    </w:p>
    <w:p w14:paraId="32BAEBE1" w14:textId="77777777" w:rsidR="00346BA0" w:rsidRPr="00ED1C7E" w:rsidRDefault="00346BA0" w:rsidP="00346BA0">
      <w:pPr>
        <w:pStyle w:val="Heading2"/>
      </w:pPr>
      <w:bookmarkStart w:id="77" w:name="_Toc165533011"/>
      <w:r w:rsidRPr="00ED1C7E">
        <w:lastRenderedPageBreak/>
        <w:t>For more information</w:t>
      </w:r>
      <w:bookmarkEnd w:id="77"/>
    </w:p>
    <w:p w14:paraId="47F7E82F" w14:textId="77777777" w:rsidR="00346BA0" w:rsidRPr="00ED1C7E" w:rsidRDefault="00346BA0" w:rsidP="00346BA0">
      <w:pPr>
        <w:pStyle w:val="BodyText"/>
        <w:rPr>
          <w:rFonts w:eastAsia="Calibri" w:cs="Calibri"/>
          <w:color w:val="000000" w:themeColor="text1"/>
        </w:rPr>
      </w:pPr>
      <w:r w:rsidRPr="00ED1C7E">
        <w:rPr>
          <w:rFonts w:eastAsia="Calibri" w:cs="Calibri"/>
          <w:color w:val="000000" w:themeColor="text1"/>
        </w:rPr>
        <w:t>Please direct any queries to:</w:t>
      </w:r>
    </w:p>
    <w:p w14:paraId="0C933DED" w14:textId="77777777" w:rsidR="00346BA0" w:rsidRPr="00ED1C7E" w:rsidRDefault="00346BA0" w:rsidP="00346BA0">
      <w:pPr>
        <w:pStyle w:val="BodyText"/>
        <w:tabs>
          <w:tab w:val="left" w:pos="851"/>
        </w:tabs>
        <w:spacing w:before="0" w:after="0"/>
        <w:rPr>
          <w:rFonts w:eastAsia="Calibri" w:cs="Calibri"/>
          <w:color w:val="000000" w:themeColor="text1"/>
        </w:rPr>
      </w:pPr>
      <w:r w:rsidRPr="00ED1C7E">
        <w:rPr>
          <w:rFonts w:eastAsia="Calibri" w:cs="Calibri"/>
          <w:color w:val="000000" w:themeColor="text1"/>
        </w:rPr>
        <w:t xml:space="preserve">Email: </w:t>
      </w:r>
      <w:r w:rsidRPr="00ED1C7E">
        <w:tab/>
      </w:r>
      <w:hyperlink r:id="rId54" w:history="1">
        <w:r w:rsidRPr="00940809">
          <w:rPr>
            <w:rStyle w:val="Hyperlink"/>
            <w:rFonts w:eastAsia="Calibri" w:cs="Calibri"/>
          </w:rPr>
          <w:t>etsconsultation@mfe.govt.nz</w:t>
        </w:r>
      </w:hyperlink>
    </w:p>
    <w:p w14:paraId="07BB6154" w14:textId="7C5FCDA7" w:rsidR="00346BA0" w:rsidRPr="00ED1C7E" w:rsidRDefault="00346BA0" w:rsidP="00222B69">
      <w:pPr>
        <w:pStyle w:val="BodyText"/>
        <w:ind w:left="851" w:hanging="851"/>
        <w:rPr>
          <w:rFonts w:eastAsia="Calibri" w:cs="Calibri"/>
          <w:color w:val="000000" w:themeColor="text1"/>
        </w:rPr>
      </w:pPr>
      <w:r w:rsidRPr="00ED1C7E">
        <w:rPr>
          <w:rFonts w:eastAsia="Calibri" w:cs="Calibri"/>
          <w:color w:val="000000" w:themeColor="text1"/>
        </w:rPr>
        <w:t xml:space="preserve">Postal: </w:t>
      </w:r>
      <w:r w:rsidRPr="00ED1C7E">
        <w:tab/>
      </w:r>
      <w:r w:rsidR="00221ACF" w:rsidRPr="00ED1C7E">
        <w:t>NZ ETS</w:t>
      </w:r>
      <w:r w:rsidRPr="00ED1C7E">
        <w:rPr>
          <w:rFonts w:eastAsia="Calibri" w:cs="Calibri"/>
          <w:color w:val="000000" w:themeColor="text1"/>
        </w:rPr>
        <w:t xml:space="preserve"> </w:t>
      </w:r>
      <w:r w:rsidR="006E69EE">
        <w:rPr>
          <w:rFonts w:eastAsia="Calibri" w:cs="Calibri"/>
          <w:color w:val="000000" w:themeColor="text1"/>
        </w:rPr>
        <w:t>r</w:t>
      </w:r>
      <w:r w:rsidR="00222B69" w:rsidRPr="00ED1C7E">
        <w:rPr>
          <w:rFonts w:eastAsia="Calibri" w:cs="Calibri"/>
          <w:color w:val="000000" w:themeColor="text1"/>
        </w:rPr>
        <w:t xml:space="preserve">egulatory </w:t>
      </w:r>
      <w:r w:rsidR="006E69EE">
        <w:rPr>
          <w:rFonts w:eastAsia="Calibri" w:cs="Calibri"/>
          <w:color w:val="000000" w:themeColor="text1"/>
        </w:rPr>
        <w:t>u</w:t>
      </w:r>
      <w:r w:rsidRPr="00ED1C7E">
        <w:rPr>
          <w:rFonts w:eastAsia="Calibri" w:cs="Calibri"/>
          <w:color w:val="000000" w:themeColor="text1"/>
        </w:rPr>
        <w:t xml:space="preserve">pdates, Ministry for the Environment, </w:t>
      </w:r>
      <w:r w:rsidRPr="00ED1C7E">
        <w:rPr>
          <w:rFonts w:eastAsia="Calibri" w:cs="Calibri"/>
          <w:color w:val="000000" w:themeColor="text1"/>
        </w:rPr>
        <w:br/>
        <w:t>PO Box 10362, Wellington 6143</w:t>
      </w:r>
    </w:p>
    <w:p w14:paraId="3A9177C8" w14:textId="77777777" w:rsidR="00346BA0" w:rsidRPr="00ED1C7E" w:rsidRDefault="00346BA0" w:rsidP="00346BA0">
      <w:pPr>
        <w:pStyle w:val="Heading2"/>
      </w:pPr>
      <w:bookmarkStart w:id="78" w:name="_Toc165533012"/>
      <w:r w:rsidRPr="00ED1C7E">
        <w:t xml:space="preserve">Publishing and releasing </w:t>
      </w:r>
      <w:proofErr w:type="gramStart"/>
      <w:r w:rsidRPr="00ED1C7E">
        <w:t>submissions</w:t>
      </w:r>
      <w:bookmarkEnd w:id="78"/>
      <w:proofErr w:type="gramEnd"/>
    </w:p>
    <w:p w14:paraId="79AD0A32" w14:textId="77777777" w:rsidR="00346BA0" w:rsidRPr="00ED1C7E" w:rsidRDefault="00346BA0" w:rsidP="00346BA0">
      <w:pPr>
        <w:pStyle w:val="BodyText"/>
        <w:rPr>
          <w:rFonts w:eastAsia="Calibri" w:cs="Calibri"/>
          <w:color w:val="000000" w:themeColor="text1"/>
        </w:rPr>
      </w:pPr>
      <w:r w:rsidRPr="00ED1C7E">
        <w:rPr>
          <w:rFonts w:eastAsia="Calibri" w:cs="Calibri"/>
          <w:color w:val="000000" w:themeColor="text1"/>
        </w:rPr>
        <w:t xml:space="preserve">All or part of any written comments (including names of submitters), may be published on the Ministry for the Environment’s website, </w:t>
      </w:r>
      <w:hyperlink r:id="rId55" w:history="1">
        <w:r w:rsidRPr="00ED1C7E">
          <w:rPr>
            <w:rStyle w:val="Hyperlink"/>
            <w:rFonts w:eastAsia="Calibri" w:cs="Calibri"/>
          </w:rPr>
          <w:t>environment.govt.nz</w:t>
        </w:r>
      </w:hyperlink>
      <w:r w:rsidRPr="00ED1C7E">
        <w:rPr>
          <w:rFonts w:eastAsia="Calibri" w:cs="Calibri"/>
          <w:color w:val="000000" w:themeColor="text1"/>
        </w:rPr>
        <w:t>. Unless you clearly specify otherwise in your submission, the Ministry will consider that you have consented to website posting of both your submission and your name.</w:t>
      </w:r>
    </w:p>
    <w:p w14:paraId="7E6D187F" w14:textId="77777777" w:rsidR="00346BA0" w:rsidRPr="00ED1C7E" w:rsidRDefault="00346BA0" w:rsidP="00346BA0">
      <w:pPr>
        <w:pStyle w:val="BodyText"/>
        <w:rPr>
          <w:rFonts w:eastAsia="Calibri" w:cs="Calibri"/>
          <w:color w:val="000000" w:themeColor="text1"/>
        </w:rPr>
      </w:pPr>
      <w:r w:rsidRPr="00ED1C7E">
        <w:rPr>
          <w:rFonts w:eastAsia="Calibri" w:cs="Calibri"/>
          <w:color w:val="000000" w:themeColor="text1"/>
        </w:rPr>
        <w:t xml:space="preserve">Contents of submissions may be released to the public under the Official Information Act 1982 following requests to the Ministry for the Environment (including via email). Please advise if you have any objection to the release of any information contained in a submission and, </w:t>
      </w:r>
      <w:proofErr w:type="gramStart"/>
      <w:r w:rsidRPr="00ED1C7E">
        <w:rPr>
          <w:rFonts w:eastAsia="Calibri" w:cs="Calibri"/>
          <w:color w:val="000000" w:themeColor="text1"/>
        </w:rPr>
        <w:t>in particular, which</w:t>
      </w:r>
      <w:proofErr w:type="gramEnd"/>
      <w:r w:rsidRPr="00ED1C7E">
        <w:rPr>
          <w:rFonts w:eastAsia="Calibri" w:cs="Calibri"/>
          <w:color w:val="000000" w:themeColor="text1"/>
        </w:rPr>
        <w:t xml:space="preserve"> part(s) you consider should be withheld, together with the reason(s) for withholding the information. We will </w:t>
      </w:r>
      <w:proofErr w:type="gramStart"/>
      <w:r w:rsidRPr="00ED1C7E">
        <w:rPr>
          <w:rFonts w:eastAsia="Calibri" w:cs="Calibri"/>
          <w:color w:val="000000" w:themeColor="text1"/>
        </w:rPr>
        <w:t>take into account</w:t>
      </w:r>
      <w:proofErr w:type="gramEnd"/>
      <w:r w:rsidRPr="00ED1C7E">
        <w:rPr>
          <w:rFonts w:eastAsia="Calibri" w:cs="Calibri"/>
          <w:color w:val="000000" w:themeColor="text1"/>
        </w:rPr>
        <w:t xml:space="preserve"> all such objections when responding to requests for copies of, and information on, submissions to this document under the Official Information Act.</w:t>
      </w:r>
    </w:p>
    <w:p w14:paraId="3A51B58D" w14:textId="77777777" w:rsidR="00346BA0" w:rsidRPr="00ED1C7E" w:rsidRDefault="00346BA0" w:rsidP="00346BA0">
      <w:pPr>
        <w:pStyle w:val="BodyText"/>
        <w:rPr>
          <w:rFonts w:eastAsia="Calibri" w:cs="Calibri"/>
          <w:color w:val="000000" w:themeColor="text1"/>
        </w:rPr>
      </w:pPr>
      <w:r w:rsidRPr="00ED1C7E">
        <w:rPr>
          <w:rFonts w:eastAsia="Calibri" w:cs="Calibri"/>
          <w:color w:val="000000" w:themeColor="text1"/>
        </w:rPr>
        <w:t xml:space="preserve">The Privacy Act 2020 applies certain principles about the collection, use and disclosure of information about individuals by various agencies, including the Ministry for the Environment. It governs access by individuals to information about themselves held by agencies. Any personal information you supply to the Ministry </w:t>
      </w:r>
      <w:proofErr w:type="gramStart"/>
      <w:r w:rsidRPr="00ED1C7E">
        <w:rPr>
          <w:rFonts w:eastAsia="Calibri" w:cs="Calibri"/>
          <w:color w:val="000000" w:themeColor="text1"/>
        </w:rPr>
        <w:t>in the course of</w:t>
      </w:r>
      <w:proofErr w:type="gramEnd"/>
      <w:r w:rsidRPr="00ED1C7E">
        <w:rPr>
          <w:rFonts w:eastAsia="Calibri" w:cs="Calibri"/>
          <w:color w:val="000000" w:themeColor="text1"/>
        </w:rPr>
        <w:t xml:space="preserve"> making a submission will be used by the Ministry only in relation to the matters covered by this document. Please clearly indicate in your submission if you do not wish your name to be included in any summary of submissions that the Ministry may publish.</w:t>
      </w:r>
    </w:p>
    <w:p w14:paraId="6BAEADF9" w14:textId="77777777" w:rsidR="00346BA0" w:rsidRPr="00417FEF" w:rsidRDefault="00346BA0" w:rsidP="00346BA0">
      <w:pPr>
        <w:pStyle w:val="BodyText"/>
      </w:pPr>
      <w:r w:rsidRPr="00ED1C7E">
        <w:rPr>
          <w:rFonts w:eastAsia="Calibri" w:cs="Calibri"/>
          <w:color w:val="000000" w:themeColor="text1"/>
        </w:rPr>
        <w:t xml:space="preserve">If you have any questions or want more information about the submission process, please email </w:t>
      </w:r>
      <w:hyperlink r:id="rId56" w:history="1">
        <w:r w:rsidRPr="00940809">
          <w:rPr>
            <w:rStyle w:val="Hyperlink"/>
            <w:rFonts w:eastAsia="Calibri" w:cs="Calibri"/>
          </w:rPr>
          <w:t>etsconsultation@mfe.govt.nz</w:t>
        </w:r>
      </w:hyperlink>
      <w:r w:rsidRPr="00FD7FCC">
        <w:rPr>
          <w:rStyle w:val="Hyperlink"/>
          <w:rFonts w:eastAsia="Calibri" w:cs="Calibri"/>
          <w:color w:val="auto"/>
        </w:rPr>
        <w:t>.</w:t>
      </w:r>
    </w:p>
    <w:p w14:paraId="25403C45" w14:textId="77777777" w:rsidR="00C73F0D" w:rsidRPr="00C73F0D" w:rsidRDefault="00C73F0D" w:rsidP="00C73F0D">
      <w:pPr>
        <w:pStyle w:val="BodyText"/>
      </w:pPr>
      <w:bookmarkStart w:id="79" w:name="_Toc165533013"/>
      <w:r w:rsidRPr="00C73F0D">
        <w:br w:type="page"/>
      </w:r>
    </w:p>
    <w:p w14:paraId="2BB5CF5E" w14:textId="65811CF1" w:rsidR="00B14038" w:rsidRPr="00D175BC" w:rsidRDefault="00E851C2" w:rsidP="00D175BC">
      <w:pPr>
        <w:pStyle w:val="Heading1"/>
      </w:pPr>
      <w:r w:rsidRPr="00D175BC">
        <w:lastRenderedPageBreak/>
        <w:t>List of abbreviations</w:t>
      </w:r>
      <w:r w:rsidR="002308B1" w:rsidRPr="00D175BC">
        <w:t xml:space="preserve"> used in this </w:t>
      </w:r>
      <w:proofErr w:type="gramStart"/>
      <w:r w:rsidR="002308B1" w:rsidRPr="00D175BC">
        <w:t>document</w:t>
      </w:r>
      <w:bookmarkEnd w:id="79"/>
      <w:proofErr w:type="gramEnd"/>
    </w:p>
    <w:tbl>
      <w:tblPr>
        <w:tblStyle w:val="LightList-Accent11"/>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tblBorders>
        <w:tblLook w:val="04A0" w:firstRow="1" w:lastRow="0" w:firstColumn="1" w:lastColumn="0" w:noHBand="0" w:noVBand="1"/>
      </w:tblPr>
      <w:tblGrid>
        <w:gridCol w:w="2835"/>
        <w:gridCol w:w="5670"/>
      </w:tblGrid>
      <w:tr w:rsidR="00B14038" w:rsidRPr="00ED1C7E" w14:paraId="391D80AF" w14:textId="77777777" w:rsidTr="00F41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single" w:sz="4" w:space="0" w:color="1B556B" w:themeColor="text2"/>
            </w:tcBorders>
            <w:shd w:val="clear" w:color="auto" w:fill="1B556B" w:themeFill="text2"/>
            <w:vAlign w:val="center"/>
          </w:tcPr>
          <w:p w14:paraId="2F8B329B" w14:textId="3F94DBB6" w:rsidR="00B14038" w:rsidRPr="00ED1C7E" w:rsidRDefault="00E31FCB" w:rsidP="001E37B4">
            <w:pPr>
              <w:pStyle w:val="TableText"/>
            </w:pPr>
            <w:r w:rsidRPr="00ED1C7E">
              <w:t xml:space="preserve">Term or </w:t>
            </w:r>
            <w:r w:rsidR="00184C6E" w:rsidRPr="00ED1C7E">
              <w:t>abbreviation</w:t>
            </w:r>
          </w:p>
        </w:tc>
        <w:tc>
          <w:tcPr>
            <w:tcW w:w="5670" w:type="dxa"/>
            <w:tcBorders>
              <w:bottom w:val="single" w:sz="4" w:space="0" w:color="1B556B" w:themeColor="text2"/>
              <w:right w:val="nil"/>
            </w:tcBorders>
            <w:shd w:val="clear" w:color="auto" w:fill="1B556B" w:themeFill="text2"/>
            <w:vAlign w:val="center"/>
          </w:tcPr>
          <w:p w14:paraId="0A21433F" w14:textId="2D040F95" w:rsidR="00B14038" w:rsidRPr="00ED1C7E" w:rsidRDefault="00E31FCB" w:rsidP="001E37B4">
            <w:pPr>
              <w:pStyle w:val="TableText"/>
              <w:cnfStyle w:val="100000000000" w:firstRow="1" w:lastRow="0" w:firstColumn="0" w:lastColumn="0" w:oddVBand="0" w:evenVBand="0" w:oddHBand="0" w:evenHBand="0" w:firstRowFirstColumn="0" w:firstRowLastColumn="0" w:lastRowFirstColumn="0" w:lastRowLastColumn="0"/>
            </w:pPr>
            <w:r w:rsidRPr="00ED1C7E">
              <w:t>Definition</w:t>
            </w:r>
          </w:p>
        </w:tc>
      </w:tr>
      <w:tr w:rsidR="005371E1" w:rsidRPr="00ED1C7E" w14:paraId="6FF28ACF" w14:textId="77777777" w:rsidTr="00F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left w:val="nil"/>
              <w:right w:val="nil"/>
            </w:tcBorders>
            <w:shd w:val="clear" w:color="auto" w:fill="D2DDE1" w:themeFill="background2"/>
            <w:vAlign w:val="center"/>
          </w:tcPr>
          <w:p w14:paraId="62F87021" w14:textId="3CE39882" w:rsidR="005371E1" w:rsidRPr="00ED1C7E" w:rsidRDefault="005371E1" w:rsidP="001E37B4">
            <w:pPr>
              <w:pStyle w:val="TableText"/>
            </w:pPr>
            <w:r w:rsidRPr="00ED1C7E">
              <w:t xml:space="preserve">Legislation </w:t>
            </w:r>
            <w:r w:rsidR="002515B3">
              <w:t>and</w:t>
            </w:r>
            <w:r w:rsidRPr="00ED1C7E">
              <w:t xml:space="preserve"> </w:t>
            </w:r>
            <w:r w:rsidR="00184C6E" w:rsidRPr="00ED1C7E">
              <w:t>r</w:t>
            </w:r>
            <w:r w:rsidRPr="00ED1C7E">
              <w:t>egulations</w:t>
            </w:r>
          </w:p>
        </w:tc>
      </w:tr>
      <w:tr w:rsidR="00B14038" w:rsidRPr="00ED1C7E" w14:paraId="0A07AF0A" w14:textId="77777777" w:rsidTr="00124329">
        <w:tc>
          <w:tcPr>
            <w:cnfStyle w:val="001000000000" w:firstRow="0" w:lastRow="0" w:firstColumn="1" w:lastColumn="0" w:oddVBand="0" w:evenVBand="0" w:oddHBand="0" w:evenHBand="0" w:firstRowFirstColumn="0" w:firstRowLastColumn="0" w:lastRowFirstColumn="0" w:lastRowLastColumn="0"/>
            <w:tcW w:w="2835" w:type="dxa"/>
            <w:tcBorders>
              <w:left w:val="nil"/>
            </w:tcBorders>
          </w:tcPr>
          <w:p w14:paraId="46C42BD2" w14:textId="7928DC99" w:rsidR="00B14038" w:rsidRPr="00ED1C7E" w:rsidRDefault="00C2524B" w:rsidP="001E37B4">
            <w:pPr>
              <w:pStyle w:val="TableText"/>
              <w:rPr>
                <w:b w:val="0"/>
                <w:bCs w:val="0"/>
              </w:rPr>
            </w:pPr>
            <w:r w:rsidRPr="00ED1C7E">
              <w:rPr>
                <w:b w:val="0"/>
                <w:bCs w:val="0"/>
              </w:rPr>
              <w:t>The Act</w:t>
            </w:r>
          </w:p>
        </w:tc>
        <w:tc>
          <w:tcPr>
            <w:tcW w:w="5670" w:type="dxa"/>
            <w:tcBorders>
              <w:right w:val="nil"/>
            </w:tcBorders>
            <w:vAlign w:val="center"/>
          </w:tcPr>
          <w:p w14:paraId="6ED2049B" w14:textId="627FFCF3" w:rsidR="00B14038" w:rsidRPr="00ED1C7E" w:rsidRDefault="00C2524B" w:rsidP="001E37B4">
            <w:pPr>
              <w:pStyle w:val="TableText"/>
              <w:cnfStyle w:val="000000000000" w:firstRow="0" w:lastRow="0" w:firstColumn="0" w:lastColumn="0" w:oddVBand="0" w:evenVBand="0" w:oddHBand="0" w:evenHBand="0" w:firstRowFirstColumn="0" w:firstRowLastColumn="0" w:lastRowFirstColumn="0" w:lastRowLastColumn="0"/>
            </w:pPr>
            <w:r w:rsidRPr="00ED1C7E">
              <w:t>Climate Change Response Act 2002</w:t>
            </w:r>
          </w:p>
        </w:tc>
      </w:tr>
      <w:tr w:rsidR="001F5E7F" w:rsidRPr="00ED1C7E" w14:paraId="2EE2B4CD" w14:textId="77777777" w:rsidTr="0012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tcPr>
          <w:p w14:paraId="72F66D3A" w14:textId="6CC6A49F" w:rsidR="001F5E7F" w:rsidRPr="00ED1C7E" w:rsidRDefault="001920E2" w:rsidP="001E37B4">
            <w:pPr>
              <w:pStyle w:val="TableText"/>
              <w:rPr>
                <w:b w:val="0"/>
                <w:bCs w:val="0"/>
              </w:rPr>
            </w:pPr>
            <w:r w:rsidRPr="00ED1C7E">
              <w:rPr>
                <w:b w:val="0"/>
                <w:bCs w:val="0"/>
              </w:rPr>
              <w:t>Auction</w:t>
            </w:r>
            <w:r w:rsidR="001F5E7F" w:rsidRPr="00ED1C7E">
              <w:rPr>
                <w:b w:val="0"/>
                <w:bCs w:val="0"/>
              </w:rPr>
              <w:t xml:space="preserve"> Regulations</w:t>
            </w:r>
          </w:p>
        </w:tc>
        <w:tc>
          <w:tcPr>
            <w:tcW w:w="5670" w:type="dxa"/>
            <w:tcBorders>
              <w:right w:val="nil"/>
            </w:tcBorders>
            <w:vAlign w:val="center"/>
          </w:tcPr>
          <w:p w14:paraId="72C9482C" w14:textId="77777777" w:rsidR="001F5E7F" w:rsidRPr="00ED1C7E" w:rsidRDefault="001F5E7F" w:rsidP="001E37B4">
            <w:pPr>
              <w:pStyle w:val="TableText"/>
              <w:cnfStyle w:val="000000100000" w:firstRow="0" w:lastRow="0" w:firstColumn="0" w:lastColumn="0" w:oddVBand="0" w:evenVBand="0" w:oddHBand="1" w:evenHBand="0" w:firstRowFirstColumn="0" w:firstRowLastColumn="0" w:lastRowFirstColumn="0" w:lastRowLastColumn="0"/>
            </w:pPr>
            <w:r w:rsidRPr="00ED1C7E">
              <w:t>Climate Change (Auctions, Limits, and Price Controls for Units) Regulations 2020</w:t>
            </w:r>
          </w:p>
        </w:tc>
      </w:tr>
      <w:tr w:rsidR="001F5E7F" w:rsidRPr="00ED1C7E" w14:paraId="4922F85D" w14:textId="77777777" w:rsidTr="00124329">
        <w:tc>
          <w:tcPr>
            <w:cnfStyle w:val="001000000000" w:firstRow="0" w:lastRow="0" w:firstColumn="1" w:lastColumn="0" w:oddVBand="0" w:evenVBand="0" w:oddHBand="0" w:evenHBand="0" w:firstRowFirstColumn="0" w:firstRowLastColumn="0" w:lastRowFirstColumn="0" w:lastRowLastColumn="0"/>
            <w:tcW w:w="2835" w:type="dxa"/>
            <w:tcBorders>
              <w:left w:val="nil"/>
            </w:tcBorders>
          </w:tcPr>
          <w:p w14:paraId="5492F600" w14:textId="77777777" w:rsidR="001F5E7F" w:rsidRPr="00ED1C7E" w:rsidRDefault="001F5E7F" w:rsidP="001E37B4">
            <w:pPr>
              <w:pStyle w:val="TableText"/>
              <w:rPr>
                <w:b w:val="0"/>
                <w:bCs w:val="0"/>
              </w:rPr>
            </w:pPr>
            <w:r w:rsidRPr="00ED1C7E">
              <w:rPr>
                <w:b w:val="0"/>
                <w:bCs w:val="0"/>
              </w:rPr>
              <w:t>LFF Regulations</w:t>
            </w:r>
          </w:p>
        </w:tc>
        <w:tc>
          <w:tcPr>
            <w:tcW w:w="5670" w:type="dxa"/>
            <w:tcBorders>
              <w:right w:val="nil"/>
            </w:tcBorders>
            <w:vAlign w:val="center"/>
          </w:tcPr>
          <w:p w14:paraId="24F43F09" w14:textId="77777777" w:rsidR="001F5E7F" w:rsidRPr="00ED1C7E" w:rsidRDefault="001F5E7F" w:rsidP="001E37B4">
            <w:pPr>
              <w:pStyle w:val="TableText"/>
              <w:cnfStyle w:val="000000000000" w:firstRow="0" w:lastRow="0" w:firstColumn="0" w:lastColumn="0" w:oddVBand="0" w:evenVBand="0" w:oddHBand="0" w:evenHBand="0" w:firstRowFirstColumn="0" w:firstRowLastColumn="0" w:lastRowFirstColumn="0" w:lastRowLastColumn="0"/>
            </w:pPr>
            <w:r w:rsidRPr="00ED1C7E">
              <w:t>Climate Change (Liquid Fossil Fuels) Regulations 2008</w:t>
            </w:r>
          </w:p>
        </w:tc>
      </w:tr>
      <w:tr w:rsidR="001F5E7F" w:rsidRPr="00ED1C7E" w14:paraId="18DE29A7" w14:textId="77777777" w:rsidTr="0012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tcPr>
          <w:p w14:paraId="5D9ED52F" w14:textId="77777777" w:rsidR="001F5E7F" w:rsidRPr="00ED1C7E" w:rsidRDefault="001F5E7F" w:rsidP="001E37B4">
            <w:pPr>
              <w:pStyle w:val="TableText"/>
              <w:rPr>
                <w:b w:val="0"/>
                <w:bCs w:val="0"/>
              </w:rPr>
            </w:pPr>
            <w:r w:rsidRPr="00ED1C7E">
              <w:rPr>
                <w:b w:val="0"/>
                <w:bCs w:val="0"/>
              </w:rPr>
              <w:t>ORA Regulations</w:t>
            </w:r>
          </w:p>
        </w:tc>
        <w:tc>
          <w:tcPr>
            <w:tcW w:w="5670" w:type="dxa"/>
            <w:tcBorders>
              <w:right w:val="nil"/>
            </w:tcBorders>
            <w:vAlign w:val="center"/>
          </w:tcPr>
          <w:p w14:paraId="31655E44" w14:textId="77777777" w:rsidR="001F5E7F" w:rsidRPr="00ED1C7E" w:rsidRDefault="001F5E7F" w:rsidP="001E37B4">
            <w:pPr>
              <w:pStyle w:val="TableText"/>
              <w:cnfStyle w:val="000000100000" w:firstRow="0" w:lastRow="0" w:firstColumn="0" w:lastColumn="0" w:oddVBand="0" w:evenVBand="0" w:oddHBand="1" w:evenHBand="0" w:firstRowFirstColumn="0" w:firstRowLastColumn="0" w:lastRowFirstColumn="0" w:lastRowLastColumn="0"/>
            </w:pPr>
            <w:r w:rsidRPr="00ED1C7E">
              <w:t>Climate Change (Other Removal Activities) Regulations 2009</w:t>
            </w:r>
          </w:p>
        </w:tc>
      </w:tr>
      <w:tr w:rsidR="001F5E7F" w:rsidRPr="00ED1C7E" w14:paraId="3F94F3A9" w14:textId="77777777" w:rsidTr="00124329">
        <w:trPr>
          <w:trHeight w:val="5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tcPr>
          <w:p w14:paraId="1DF0A211" w14:textId="77777777" w:rsidR="001F5E7F" w:rsidRPr="00ED1C7E" w:rsidRDefault="001F5E7F" w:rsidP="001E37B4">
            <w:pPr>
              <w:pStyle w:val="TableText"/>
              <w:rPr>
                <w:b w:val="0"/>
                <w:bCs w:val="0"/>
              </w:rPr>
            </w:pPr>
            <w:r w:rsidRPr="00ED1C7E">
              <w:rPr>
                <w:b w:val="0"/>
                <w:bCs w:val="0"/>
              </w:rPr>
              <w:t>SEIP Regulations</w:t>
            </w:r>
          </w:p>
        </w:tc>
        <w:tc>
          <w:tcPr>
            <w:tcW w:w="5670" w:type="dxa"/>
            <w:tcBorders>
              <w:right w:val="nil"/>
            </w:tcBorders>
            <w:vAlign w:val="center"/>
          </w:tcPr>
          <w:p w14:paraId="33863B12" w14:textId="77777777" w:rsidR="001F5E7F" w:rsidRPr="00ED1C7E" w:rsidRDefault="001F5E7F" w:rsidP="001E37B4">
            <w:pPr>
              <w:pStyle w:val="TableText"/>
              <w:cnfStyle w:val="000000000000" w:firstRow="0" w:lastRow="0" w:firstColumn="0" w:lastColumn="0" w:oddVBand="0" w:evenVBand="0" w:oddHBand="0" w:evenHBand="0" w:firstRowFirstColumn="0" w:firstRowLastColumn="0" w:lastRowFirstColumn="0" w:lastRowLastColumn="0"/>
            </w:pPr>
            <w:r w:rsidRPr="00ED1C7E">
              <w:t>Climate Change (Stationary Energy and Industrial Processes) Regulations 2009</w:t>
            </w:r>
          </w:p>
        </w:tc>
      </w:tr>
      <w:tr w:rsidR="001F5E7F" w:rsidRPr="00ED1C7E" w14:paraId="4DAA14CF" w14:textId="77777777" w:rsidTr="0012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tcPr>
          <w:p w14:paraId="0402E8E3" w14:textId="77777777" w:rsidR="001F5E7F" w:rsidRPr="00ED1C7E" w:rsidRDefault="001F5E7F" w:rsidP="001E37B4">
            <w:pPr>
              <w:pStyle w:val="TableText"/>
              <w:rPr>
                <w:b w:val="0"/>
                <w:bCs w:val="0"/>
              </w:rPr>
            </w:pPr>
            <w:r w:rsidRPr="00ED1C7E">
              <w:rPr>
                <w:b w:val="0"/>
                <w:bCs w:val="0"/>
              </w:rPr>
              <w:t>UEF Regulations</w:t>
            </w:r>
          </w:p>
        </w:tc>
        <w:tc>
          <w:tcPr>
            <w:tcW w:w="5670" w:type="dxa"/>
            <w:tcBorders>
              <w:right w:val="nil"/>
            </w:tcBorders>
            <w:vAlign w:val="center"/>
          </w:tcPr>
          <w:p w14:paraId="7EACFE70" w14:textId="77777777" w:rsidR="001F5E7F" w:rsidRPr="00ED1C7E" w:rsidRDefault="001F5E7F" w:rsidP="001E37B4">
            <w:pPr>
              <w:pStyle w:val="TableText"/>
              <w:cnfStyle w:val="000000100000" w:firstRow="0" w:lastRow="0" w:firstColumn="0" w:lastColumn="0" w:oddVBand="0" w:evenVBand="0" w:oddHBand="1" w:evenHBand="0" w:firstRowFirstColumn="0" w:firstRowLastColumn="0" w:lastRowFirstColumn="0" w:lastRowLastColumn="0"/>
            </w:pPr>
            <w:r w:rsidRPr="00ED1C7E">
              <w:t>Climate Change (Unique Emissions Factors) Regulations 2009</w:t>
            </w:r>
          </w:p>
        </w:tc>
      </w:tr>
      <w:tr w:rsidR="001F5E7F" w:rsidRPr="00ED1C7E" w14:paraId="0D2739DB" w14:textId="77777777" w:rsidTr="00124329">
        <w:tc>
          <w:tcPr>
            <w:cnfStyle w:val="001000000000" w:firstRow="0" w:lastRow="0" w:firstColumn="1" w:lastColumn="0" w:oddVBand="0" w:evenVBand="0" w:oddHBand="0" w:evenHBand="0" w:firstRowFirstColumn="0" w:firstRowLastColumn="0" w:lastRowFirstColumn="0" w:lastRowLastColumn="0"/>
            <w:tcW w:w="2835" w:type="dxa"/>
            <w:tcBorders>
              <w:left w:val="nil"/>
            </w:tcBorders>
          </w:tcPr>
          <w:p w14:paraId="10ED2870" w14:textId="77777777" w:rsidR="001F5E7F" w:rsidRPr="00ED1C7E" w:rsidRDefault="001F5E7F" w:rsidP="001E37B4">
            <w:pPr>
              <w:pStyle w:val="TableText"/>
              <w:rPr>
                <w:b w:val="0"/>
                <w:bCs w:val="0"/>
              </w:rPr>
            </w:pPr>
            <w:r w:rsidRPr="00ED1C7E">
              <w:rPr>
                <w:b w:val="0"/>
                <w:bCs w:val="0"/>
              </w:rPr>
              <w:t>Unit Register Regulations</w:t>
            </w:r>
          </w:p>
        </w:tc>
        <w:tc>
          <w:tcPr>
            <w:tcW w:w="5670" w:type="dxa"/>
            <w:tcBorders>
              <w:right w:val="nil"/>
            </w:tcBorders>
            <w:vAlign w:val="center"/>
          </w:tcPr>
          <w:p w14:paraId="7534FEFE" w14:textId="77777777" w:rsidR="001F5E7F" w:rsidRPr="00ED1C7E" w:rsidRDefault="001F5E7F" w:rsidP="001E37B4">
            <w:pPr>
              <w:pStyle w:val="TableText"/>
              <w:cnfStyle w:val="000000000000" w:firstRow="0" w:lastRow="0" w:firstColumn="0" w:lastColumn="0" w:oddVBand="0" w:evenVBand="0" w:oddHBand="0" w:evenHBand="0" w:firstRowFirstColumn="0" w:firstRowLastColumn="0" w:lastRowFirstColumn="0" w:lastRowLastColumn="0"/>
            </w:pPr>
            <w:r w:rsidRPr="00ED1C7E">
              <w:t>Climate Change (Unit Register) Regulations 2008</w:t>
            </w:r>
          </w:p>
        </w:tc>
      </w:tr>
      <w:tr w:rsidR="00DD7FA5" w:rsidRPr="00ED1C7E" w14:paraId="0B8E059C" w14:textId="77777777" w:rsidTr="0012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single" w:sz="4" w:space="0" w:color="1B556B" w:themeColor="text2"/>
            </w:tcBorders>
          </w:tcPr>
          <w:p w14:paraId="2C022837" w14:textId="1CEA3E8B" w:rsidR="00DD7FA5" w:rsidRPr="00ED1C7E" w:rsidRDefault="00DD7FA5" w:rsidP="001E37B4">
            <w:pPr>
              <w:pStyle w:val="TableText"/>
              <w:rPr>
                <w:b w:val="0"/>
                <w:bCs w:val="0"/>
              </w:rPr>
            </w:pPr>
            <w:r w:rsidRPr="00ED1C7E">
              <w:rPr>
                <w:b w:val="0"/>
                <w:bCs w:val="0"/>
              </w:rPr>
              <w:t>Waste Regulations</w:t>
            </w:r>
          </w:p>
        </w:tc>
        <w:tc>
          <w:tcPr>
            <w:tcW w:w="5670" w:type="dxa"/>
            <w:tcBorders>
              <w:bottom w:val="single" w:sz="4" w:space="0" w:color="1B556B" w:themeColor="text2"/>
              <w:right w:val="nil"/>
            </w:tcBorders>
            <w:vAlign w:val="center"/>
          </w:tcPr>
          <w:p w14:paraId="69CD7F00" w14:textId="35F60464" w:rsidR="00DD7FA5" w:rsidRPr="00ED1C7E" w:rsidRDefault="00DD7FA5" w:rsidP="001E37B4">
            <w:pPr>
              <w:pStyle w:val="TableText"/>
              <w:cnfStyle w:val="000000100000" w:firstRow="0" w:lastRow="0" w:firstColumn="0" w:lastColumn="0" w:oddVBand="0" w:evenVBand="0" w:oddHBand="1" w:evenHBand="0" w:firstRowFirstColumn="0" w:firstRowLastColumn="0" w:lastRowFirstColumn="0" w:lastRowLastColumn="0"/>
            </w:pPr>
            <w:r w:rsidRPr="00ED1C7E">
              <w:t>Climate Change (Waste) Regulations 2010</w:t>
            </w:r>
          </w:p>
        </w:tc>
      </w:tr>
      <w:tr w:rsidR="005371E1" w:rsidRPr="00ED1C7E" w14:paraId="3CDC908C" w14:textId="77777777" w:rsidTr="00F419B0">
        <w:tc>
          <w:tcPr>
            <w:cnfStyle w:val="001000000000" w:firstRow="0" w:lastRow="0" w:firstColumn="1" w:lastColumn="0" w:oddVBand="0" w:evenVBand="0" w:oddHBand="0" w:evenHBand="0" w:firstRowFirstColumn="0" w:firstRowLastColumn="0" w:lastRowFirstColumn="0" w:lastRowLastColumn="0"/>
            <w:tcW w:w="8505" w:type="dxa"/>
            <w:gridSpan w:val="2"/>
            <w:tcBorders>
              <w:left w:val="nil"/>
              <w:right w:val="nil"/>
            </w:tcBorders>
            <w:shd w:val="clear" w:color="auto" w:fill="D2DDE1" w:themeFill="background2"/>
            <w:vAlign w:val="center"/>
          </w:tcPr>
          <w:p w14:paraId="73206556" w14:textId="37EEDE5C" w:rsidR="005371E1" w:rsidRPr="00ED1C7E" w:rsidRDefault="005371E1" w:rsidP="001E37B4">
            <w:pPr>
              <w:pStyle w:val="TableText"/>
            </w:pPr>
            <w:r w:rsidRPr="00ED1C7E">
              <w:t xml:space="preserve">Government </w:t>
            </w:r>
            <w:r w:rsidR="00184C6E" w:rsidRPr="00ED1C7E">
              <w:t>e</w:t>
            </w:r>
            <w:r w:rsidRPr="00ED1C7E">
              <w:t xml:space="preserve">ntities </w:t>
            </w:r>
            <w:r w:rsidR="002515B3">
              <w:t>and</w:t>
            </w:r>
            <w:r w:rsidRPr="00ED1C7E">
              <w:t xml:space="preserve"> </w:t>
            </w:r>
            <w:r w:rsidR="00184C6E" w:rsidRPr="00ED1C7E">
              <w:t>p</w:t>
            </w:r>
            <w:r w:rsidRPr="00ED1C7E">
              <w:t>olicies</w:t>
            </w:r>
          </w:p>
        </w:tc>
      </w:tr>
      <w:tr w:rsidR="009C3DB6" w:rsidRPr="00ED1C7E" w14:paraId="4A97F91D" w14:textId="77777777" w:rsidTr="00F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2F82E429" w14:textId="77777777" w:rsidR="009C3DB6" w:rsidRPr="00ED1C7E" w:rsidRDefault="009C3DB6" w:rsidP="001E37B4">
            <w:pPr>
              <w:pStyle w:val="TableText"/>
              <w:rPr>
                <w:b w:val="0"/>
                <w:bCs w:val="0"/>
              </w:rPr>
            </w:pPr>
            <w:r w:rsidRPr="00ED1C7E">
              <w:rPr>
                <w:b w:val="0"/>
                <w:bCs w:val="0"/>
              </w:rPr>
              <w:t>EPA</w:t>
            </w:r>
          </w:p>
        </w:tc>
        <w:tc>
          <w:tcPr>
            <w:tcW w:w="5670" w:type="dxa"/>
            <w:tcBorders>
              <w:right w:val="nil"/>
            </w:tcBorders>
            <w:vAlign w:val="center"/>
          </w:tcPr>
          <w:p w14:paraId="4B77B643" w14:textId="77777777" w:rsidR="009C3DB6" w:rsidRPr="00ED1C7E" w:rsidRDefault="009C3DB6" w:rsidP="001E37B4">
            <w:pPr>
              <w:pStyle w:val="TableText"/>
              <w:cnfStyle w:val="000000100000" w:firstRow="0" w:lastRow="0" w:firstColumn="0" w:lastColumn="0" w:oddVBand="0" w:evenVBand="0" w:oddHBand="1" w:evenHBand="0" w:firstRowFirstColumn="0" w:firstRowLastColumn="0" w:lastRowFirstColumn="0" w:lastRowLastColumn="0"/>
            </w:pPr>
            <w:r w:rsidRPr="00ED1C7E">
              <w:t>Environmental Protection Authority</w:t>
            </w:r>
          </w:p>
        </w:tc>
      </w:tr>
      <w:tr w:rsidR="009C3DB6" w:rsidRPr="00ED1C7E" w14:paraId="4B079222" w14:textId="77777777" w:rsidTr="00F419B0">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3838A56A" w14:textId="0DE6D8E5" w:rsidR="009C3DB6" w:rsidRPr="00ED1C7E" w:rsidRDefault="00221ACF" w:rsidP="001E37B4">
            <w:pPr>
              <w:pStyle w:val="TableText"/>
              <w:rPr>
                <w:b w:val="0"/>
                <w:bCs w:val="0"/>
              </w:rPr>
            </w:pPr>
            <w:r w:rsidRPr="00ED1C7E">
              <w:rPr>
                <w:b w:val="0"/>
                <w:bCs w:val="0"/>
              </w:rPr>
              <w:t>NZ ETS</w:t>
            </w:r>
          </w:p>
        </w:tc>
        <w:tc>
          <w:tcPr>
            <w:tcW w:w="5670" w:type="dxa"/>
            <w:tcBorders>
              <w:right w:val="nil"/>
            </w:tcBorders>
            <w:vAlign w:val="center"/>
          </w:tcPr>
          <w:p w14:paraId="702EB5F6" w14:textId="77777777" w:rsidR="009C3DB6" w:rsidRPr="00ED1C7E" w:rsidRDefault="009C3DB6" w:rsidP="001E37B4">
            <w:pPr>
              <w:pStyle w:val="TableText"/>
              <w:cnfStyle w:val="000000000000" w:firstRow="0" w:lastRow="0" w:firstColumn="0" w:lastColumn="0" w:oddVBand="0" w:evenVBand="0" w:oddHBand="0" w:evenHBand="0" w:firstRowFirstColumn="0" w:firstRowLastColumn="0" w:lastRowFirstColumn="0" w:lastRowLastColumn="0"/>
            </w:pPr>
            <w:r w:rsidRPr="00ED1C7E">
              <w:t>New Zealand Emissions Trading Scheme</w:t>
            </w:r>
          </w:p>
        </w:tc>
      </w:tr>
      <w:tr w:rsidR="009C3DB6" w:rsidRPr="00ED1C7E" w14:paraId="01982B4A" w14:textId="77777777" w:rsidTr="00F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65B6EF29" w14:textId="1A1C6654" w:rsidR="009C3DB6" w:rsidRPr="00ED1C7E" w:rsidRDefault="00221ACF" w:rsidP="001E37B4">
            <w:pPr>
              <w:pStyle w:val="TableText"/>
              <w:rPr>
                <w:b w:val="0"/>
                <w:bCs w:val="0"/>
              </w:rPr>
            </w:pPr>
            <w:r w:rsidRPr="00ED1C7E">
              <w:rPr>
                <w:b w:val="0"/>
                <w:bCs w:val="0"/>
              </w:rPr>
              <w:t>NZ ETS</w:t>
            </w:r>
            <w:r w:rsidR="009C3DB6" w:rsidRPr="00ED1C7E">
              <w:rPr>
                <w:b w:val="0"/>
                <w:bCs w:val="0"/>
              </w:rPr>
              <w:t xml:space="preserve"> </w:t>
            </w:r>
            <w:r w:rsidR="00747BE2" w:rsidRPr="00ED1C7E">
              <w:rPr>
                <w:b w:val="0"/>
                <w:bCs w:val="0"/>
              </w:rPr>
              <w:t>s</w:t>
            </w:r>
            <w:r w:rsidR="009C3DB6" w:rsidRPr="00ED1C7E">
              <w:rPr>
                <w:b w:val="0"/>
                <w:bCs w:val="0"/>
              </w:rPr>
              <w:t>ettings</w:t>
            </w:r>
          </w:p>
        </w:tc>
        <w:tc>
          <w:tcPr>
            <w:tcW w:w="5670" w:type="dxa"/>
            <w:tcBorders>
              <w:right w:val="nil"/>
            </w:tcBorders>
            <w:vAlign w:val="center"/>
          </w:tcPr>
          <w:p w14:paraId="3601E418" w14:textId="6CCE55F0" w:rsidR="009C3DB6" w:rsidRPr="00ED1C7E" w:rsidRDefault="00B15F53" w:rsidP="001E37B4">
            <w:pPr>
              <w:pStyle w:val="TableText"/>
              <w:cnfStyle w:val="000000100000" w:firstRow="0" w:lastRow="0" w:firstColumn="0" w:lastColumn="0" w:oddVBand="0" w:evenVBand="0" w:oddHBand="1" w:evenHBand="0" w:firstRowFirstColumn="0" w:firstRowLastColumn="0" w:lastRowFirstColumn="0" w:lastRowLastColumn="0"/>
            </w:pPr>
            <w:r w:rsidRPr="00ED1C7E">
              <w:t xml:space="preserve">Annual process </w:t>
            </w:r>
            <w:r w:rsidR="00492BD3" w:rsidRPr="00ED1C7E">
              <w:t>for</w:t>
            </w:r>
            <w:r w:rsidRPr="00ED1C7E">
              <w:t xml:space="preserve"> </w:t>
            </w:r>
            <w:r w:rsidR="00B8419B" w:rsidRPr="00ED1C7E">
              <w:t>u</w:t>
            </w:r>
            <w:r w:rsidRPr="00ED1C7E">
              <w:t xml:space="preserve">nit </w:t>
            </w:r>
            <w:r w:rsidR="00B8419B" w:rsidRPr="00ED1C7E">
              <w:t>l</w:t>
            </w:r>
            <w:r w:rsidRPr="00ED1C7E">
              <w:t xml:space="preserve">imits and </w:t>
            </w:r>
            <w:r w:rsidR="00B8419B" w:rsidRPr="00ED1C7E">
              <w:t>p</w:t>
            </w:r>
            <w:r w:rsidRPr="00ED1C7E">
              <w:t xml:space="preserve">rice </w:t>
            </w:r>
            <w:r w:rsidR="00B8419B" w:rsidRPr="00ED1C7E">
              <w:t>c</w:t>
            </w:r>
            <w:r w:rsidRPr="00ED1C7E">
              <w:t xml:space="preserve">ontrol </w:t>
            </w:r>
            <w:r w:rsidR="00B8419B" w:rsidRPr="00ED1C7E">
              <w:t>s</w:t>
            </w:r>
            <w:r w:rsidRPr="00ED1C7E">
              <w:t>ettings</w:t>
            </w:r>
          </w:p>
        </w:tc>
      </w:tr>
      <w:tr w:rsidR="009C3DB6" w:rsidRPr="00ED1C7E" w14:paraId="1655CCB0" w14:textId="77777777" w:rsidTr="00F419B0">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7C7DEE40" w14:textId="77777777" w:rsidR="009C3DB6" w:rsidRPr="00ED1C7E" w:rsidRDefault="009C3DB6" w:rsidP="001E37B4">
            <w:pPr>
              <w:pStyle w:val="TableText"/>
              <w:rPr>
                <w:b w:val="0"/>
                <w:bCs w:val="0"/>
              </w:rPr>
            </w:pPr>
            <w:r w:rsidRPr="00ED1C7E">
              <w:rPr>
                <w:b w:val="0"/>
                <w:bCs w:val="0"/>
              </w:rPr>
              <w:t>SGG Levy</w:t>
            </w:r>
          </w:p>
        </w:tc>
        <w:tc>
          <w:tcPr>
            <w:tcW w:w="5670" w:type="dxa"/>
            <w:tcBorders>
              <w:right w:val="nil"/>
            </w:tcBorders>
            <w:vAlign w:val="center"/>
          </w:tcPr>
          <w:p w14:paraId="062A0D88" w14:textId="77777777" w:rsidR="009C3DB6" w:rsidRPr="00ED1C7E" w:rsidRDefault="009C3DB6" w:rsidP="001E37B4">
            <w:pPr>
              <w:pStyle w:val="TableText"/>
              <w:cnfStyle w:val="000000000000" w:firstRow="0" w:lastRow="0" w:firstColumn="0" w:lastColumn="0" w:oddVBand="0" w:evenVBand="0" w:oddHBand="0" w:evenHBand="0" w:firstRowFirstColumn="0" w:firstRowLastColumn="0" w:lastRowFirstColumn="0" w:lastRowLastColumn="0"/>
            </w:pPr>
            <w:r w:rsidRPr="00ED1C7E">
              <w:t>Synthetic Greenhouse Gas Levy</w:t>
            </w:r>
          </w:p>
        </w:tc>
      </w:tr>
      <w:tr w:rsidR="00297DAD" w:rsidRPr="00ED1C7E" w14:paraId="6485FBD6" w14:textId="77777777" w:rsidTr="00F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single" w:sz="4" w:space="0" w:color="1B556B" w:themeColor="text2"/>
            </w:tcBorders>
            <w:vAlign w:val="center"/>
          </w:tcPr>
          <w:p w14:paraId="774DBB14" w14:textId="54D17BA5" w:rsidR="00297DAD" w:rsidRPr="00ED1C7E" w:rsidRDefault="00297DAD" w:rsidP="001E37B4">
            <w:pPr>
              <w:pStyle w:val="TableText"/>
              <w:rPr>
                <w:b w:val="0"/>
                <w:bCs w:val="0"/>
              </w:rPr>
            </w:pPr>
            <w:r w:rsidRPr="00ED1C7E">
              <w:rPr>
                <w:b w:val="0"/>
                <w:bCs w:val="0"/>
              </w:rPr>
              <w:t>The Register</w:t>
            </w:r>
          </w:p>
        </w:tc>
        <w:tc>
          <w:tcPr>
            <w:tcW w:w="5670" w:type="dxa"/>
            <w:tcBorders>
              <w:bottom w:val="single" w:sz="4" w:space="0" w:color="1B556B" w:themeColor="text2"/>
              <w:right w:val="nil"/>
            </w:tcBorders>
            <w:vAlign w:val="center"/>
          </w:tcPr>
          <w:p w14:paraId="7C0EF2CF" w14:textId="67B2AFD2" w:rsidR="00297DAD" w:rsidRPr="00ED1C7E" w:rsidRDefault="00297DAD" w:rsidP="001E37B4">
            <w:pPr>
              <w:pStyle w:val="TableText"/>
              <w:cnfStyle w:val="000000100000" w:firstRow="0" w:lastRow="0" w:firstColumn="0" w:lastColumn="0" w:oddVBand="0" w:evenVBand="0" w:oddHBand="1" w:evenHBand="0" w:firstRowFirstColumn="0" w:firstRowLastColumn="0" w:lastRowFirstColumn="0" w:lastRowLastColumn="0"/>
            </w:pPr>
            <w:r w:rsidRPr="00ED1C7E">
              <w:t>New Zealand Emissions Trading Register</w:t>
            </w:r>
          </w:p>
        </w:tc>
      </w:tr>
      <w:tr w:rsidR="005371E1" w:rsidRPr="00ED1C7E" w14:paraId="18656EF8" w14:textId="77777777" w:rsidTr="00F419B0">
        <w:tc>
          <w:tcPr>
            <w:cnfStyle w:val="001000000000" w:firstRow="0" w:lastRow="0" w:firstColumn="1" w:lastColumn="0" w:oddVBand="0" w:evenVBand="0" w:oddHBand="0" w:evenHBand="0" w:firstRowFirstColumn="0" w:firstRowLastColumn="0" w:lastRowFirstColumn="0" w:lastRowLastColumn="0"/>
            <w:tcW w:w="8505" w:type="dxa"/>
            <w:gridSpan w:val="2"/>
            <w:tcBorders>
              <w:left w:val="nil"/>
              <w:right w:val="nil"/>
            </w:tcBorders>
            <w:shd w:val="clear" w:color="auto" w:fill="D2DDE1" w:themeFill="background2"/>
            <w:vAlign w:val="center"/>
          </w:tcPr>
          <w:p w14:paraId="3ED1F9B5" w14:textId="168301C8" w:rsidR="005371E1" w:rsidRPr="00ED1C7E" w:rsidRDefault="005371E1" w:rsidP="001E37B4">
            <w:pPr>
              <w:pStyle w:val="TableText"/>
            </w:pPr>
            <w:r w:rsidRPr="00ED1C7E">
              <w:t xml:space="preserve">Technical </w:t>
            </w:r>
            <w:r w:rsidR="00184C6E" w:rsidRPr="00ED1C7E">
              <w:t>t</w:t>
            </w:r>
            <w:r w:rsidRPr="00ED1C7E">
              <w:t>erminology</w:t>
            </w:r>
          </w:p>
        </w:tc>
      </w:tr>
      <w:tr w:rsidR="000B0F04" w:rsidRPr="00ED1C7E" w14:paraId="5A319BFF" w14:textId="77777777" w:rsidTr="00F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2167C5FE" w14:textId="69172E0E" w:rsidR="000B0F04" w:rsidRPr="00ED1C7E" w:rsidRDefault="000B0F04" w:rsidP="001E37B4">
            <w:pPr>
              <w:pStyle w:val="TableText"/>
              <w:rPr>
                <w:b w:val="0"/>
                <w:bCs w:val="0"/>
              </w:rPr>
            </w:pPr>
            <w:r w:rsidRPr="00ED1C7E">
              <w:rPr>
                <w:b w:val="0"/>
                <w:bCs w:val="0"/>
              </w:rPr>
              <w:t>CRP</w:t>
            </w:r>
          </w:p>
        </w:tc>
        <w:tc>
          <w:tcPr>
            <w:tcW w:w="5670" w:type="dxa"/>
            <w:tcBorders>
              <w:right w:val="nil"/>
            </w:tcBorders>
            <w:vAlign w:val="center"/>
          </w:tcPr>
          <w:p w14:paraId="252366F5" w14:textId="708EB2C9" w:rsidR="000B0F04" w:rsidRPr="00ED1C7E" w:rsidRDefault="000B0F04" w:rsidP="001E37B4">
            <w:pPr>
              <w:pStyle w:val="TableText"/>
              <w:cnfStyle w:val="000000100000" w:firstRow="0" w:lastRow="0" w:firstColumn="0" w:lastColumn="0" w:oddVBand="0" w:evenVBand="0" w:oddHBand="1" w:evenHBand="0" w:firstRowFirstColumn="0" w:firstRowLastColumn="0" w:lastRowFirstColumn="0" w:lastRowLastColumn="0"/>
            </w:pPr>
            <w:r w:rsidRPr="00ED1C7E">
              <w:t>Confidential reserve price</w:t>
            </w:r>
          </w:p>
        </w:tc>
      </w:tr>
      <w:tr w:rsidR="004A5B38" w:rsidRPr="00ED1C7E" w14:paraId="3CD5FFA7" w14:textId="77777777" w:rsidTr="00F419B0">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7AEEA83B" w14:textId="77777777" w:rsidR="004A5B38" w:rsidRPr="00ED1C7E" w:rsidRDefault="004A5B38" w:rsidP="001E37B4">
            <w:pPr>
              <w:pStyle w:val="TableText"/>
              <w:rPr>
                <w:b w:val="0"/>
                <w:bCs w:val="0"/>
              </w:rPr>
            </w:pPr>
            <w:r w:rsidRPr="00ED1C7E">
              <w:rPr>
                <w:b w:val="0"/>
                <w:bCs w:val="0"/>
              </w:rPr>
              <w:t>DEF</w:t>
            </w:r>
          </w:p>
        </w:tc>
        <w:tc>
          <w:tcPr>
            <w:tcW w:w="5670" w:type="dxa"/>
            <w:tcBorders>
              <w:right w:val="nil"/>
            </w:tcBorders>
            <w:vAlign w:val="center"/>
          </w:tcPr>
          <w:p w14:paraId="30B8CE7B" w14:textId="4E5D23A0" w:rsidR="004A5B38" w:rsidRPr="00ED1C7E" w:rsidRDefault="004A5B38" w:rsidP="001E37B4">
            <w:pPr>
              <w:pStyle w:val="TableText"/>
              <w:cnfStyle w:val="000000000000" w:firstRow="0" w:lastRow="0" w:firstColumn="0" w:lastColumn="0" w:oddVBand="0" w:evenVBand="0" w:oddHBand="0" w:evenHBand="0" w:firstRowFirstColumn="0" w:firstRowLastColumn="0" w:lastRowFirstColumn="0" w:lastRowLastColumn="0"/>
            </w:pPr>
            <w:r w:rsidRPr="00ED1C7E">
              <w:t xml:space="preserve">Default </w:t>
            </w:r>
            <w:r w:rsidR="00E771DD" w:rsidRPr="00ED1C7E">
              <w:t>e</w:t>
            </w:r>
            <w:r w:rsidRPr="00ED1C7E">
              <w:t xml:space="preserve">missions </w:t>
            </w:r>
            <w:r w:rsidR="00E771DD" w:rsidRPr="00ED1C7E">
              <w:t>f</w:t>
            </w:r>
            <w:r w:rsidRPr="00ED1C7E">
              <w:t>actor</w:t>
            </w:r>
          </w:p>
        </w:tc>
      </w:tr>
      <w:tr w:rsidR="000B0F04" w:rsidRPr="00ED1C7E" w14:paraId="4A0AFBC7" w14:textId="77777777" w:rsidTr="00F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307A6EC6" w14:textId="7B6304CA" w:rsidR="000B0F04" w:rsidRPr="00ED1C7E" w:rsidRDefault="000B0F04" w:rsidP="001E37B4">
            <w:pPr>
              <w:pStyle w:val="TableText"/>
              <w:rPr>
                <w:b w:val="0"/>
                <w:bCs w:val="0"/>
              </w:rPr>
            </w:pPr>
            <w:r w:rsidRPr="00ED1C7E">
              <w:rPr>
                <w:b w:val="0"/>
                <w:bCs w:val="0"/>
              </w:rPr>
              <w:t>NCG</w:t>
            </w:r>
          </w:p>
        </w:tc>
        <w:tc>
          <w:tcPr>
            <w:tcW w:w="5670" w:type="dxa"/>
            <w:tcBorders>
              <w:right w:val="nil"/>
            </w:tcBorders>
            <w:vAlign w:val="center"/>
          </w:tcPr>
          <w:p w14:paraId="63F85CBF" w14:textId="17D141FE" w:rsidR="000B0F04" w:rsidRPr="00ED1C7E" w:rsidRDefault="000B0F04" w:rsidP="001E37B4">
            <w:pPr>
              <w:pStyle w:val="TableText"/>
              <w:cnfStyle w:val="000000100000" w:firstRow="0" w:lastRow="0" w:firstColumn="0" w:lastColumn="0" w:oddVBand="0" w:evenVBand="0" w:oddHBand="1" w:evenHBand="0" w:firstRowFirstColumn="0" w:firstRowLastColumn="0" w:lastRowFirstColumn="0" w:lastRowLastColumn="0"/>
            </w:pPr>
            <w:r w:rsidRPr="00ED1C7E">
              <w:t>Non-condensable gas</w:t>
            </w:r>
          </w:p>
        </w:tc>
      </w:tr>
      <w:tr w:rsidR="004A5B38" w:rsidRPr="00ED1C7E" w14:paraId="54647864" w14:textId="77777777" w:rsidTr="00F419B0">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5D529372" w14:textId="77777777" w:rsidR="004A5B38" w:rsidRPr="00ED1C7E" w:rsidRDefault="004A5B38" w:rsidP="001E37B4">
            <w:pPr>
              <w:pStyle w:val="TableText"/>
              <w:rPr>
                <w:b w:val="0"/>
                <w:bCs w:val="0"/>
              </w:rPr>
            </w:pPr>
            <w:r w:rsidRPr="00ED1C7E">
              <w:rPr>
                <w:b w:val="0"/>
                <w:bCs w:val="0"/>
              </w:rPr>
              <w:t>NZU</w:t>
            </w:r>
          </w:p>
        </w:tc>
        <w:tc>
          <w:tcPr>
            <w:tcW w:w="5670" w:type="dxa"/>
            <w:tcBorders>
              <w:right w:val="nil"/>
            </w:tcBorders>
            <w:vAlign w:val="center"/>
          </w:tcPr>
          <w:p w14:paraId="43EF74E6" w14:textId="2A2B0CCC" w:rsidR="004A5B38" w:rsidRPr="00ED1C7E" w:rsidRDefault="004A5B38" w:rsidP="001E37B4">
            <w:pPr>
              <w:pStyle w:val="TableText"/>
              <w:cnfStyle w:val="000000000000" w:firstRow="0" w:lastRow="0" w:firstColumn="0" w:lastColumn="0" w:oddVBand="0" w:evenVBand="0" w:oddHBand="0" w:evenHBand="0" w:firstRowFirstColumn="0" w:firstRowLastColumn="0" w:lastRowFirstColumn="0" w:lastRowLastColumn="0"/>
            </w:pPr>
            <w:r w:rsidRPr="00ED1C7E">
              <w:t>New Zealand Unit (representing 1 tCO</w:t>
            </w:r>
            <w:r w:rsidRPr="00ED1C7E">
              <w:rPr>
                <w:vertAlign w:val="subscript"/>
              </w:rPr>
              <w:t>2</w:t>
            </w:r>
            <w:r w:rsidRPr="00ED1C7E">
              <w:t>e)</w:t>
            </w:r>
          </w:p>
        </w:tc>
      </w:tr>
      <w:tr w:rsidR="00E02BE2" w:rsidRPr="00ED1C7E" w14:paraId="449D6DE6" w14:textId="77777777" w:rsidTr="00F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12D48987" w14:textId="29CAB8EF" w:rsidR="00E02BE2" w:rsidRPr="00ED1C7E" w:rsidRDefault="00E02BE2" w:rsidP="001E37B4">
            <w:pPr>
              <w:pStyle w:val="TableText"/>
              <w:rPr>
                <w:b w:val="0"/>
                <w:bCs w:val="0"/>
              </w:rPr>
            </w:pPr>
            <w:r w:rsidRPr="00ED1C7E">
              <w:rPr>
                <w:b w:val="0"/>
                <w:bCs w:val="0"/>
              </w:rPr>
              <w:t>SF</w:t>
            </w:r>
            <w:r w:rsidRPr="00ED1C7E">
              <w:rPr>
                <w:b w:val="0"/>
                <w:bCs w:val="0"/>
                <w:vertAlign w:val="subscript"/>
              </w:rPr>
              <w:t>6</w:t>
            </w:r>
          </w:p>
        </w:tc>
        <w:tc>
          <w:tcPr>
            <w:tcW w:w="5670" w:type="dxa"/>
            <w:tcBorders>
              <w:right w:val="nil"/>
            </w:tcBorders>
            <w:vAlign w:val="center"/>
          </w:tcPr>
          <w:p w14:paraId="7EACC20D" w14:textId="46BF2266" w:rsidR="00E02BE2" w:rsidRPr="00ED1C7E" w:rsidRDefault="00E02BE2" w:rsidP="001E37B4">
            <w:pPr>
              <w:pStyle w:val="TableText"/>
              <w:cnfStyle w:val="000000100000" w:firstRow="0" w:lastRow="0" w:firstColumn="0" w:lastColumn="0" w:oddVBand="0" w:evenVBand="0" w:oddHBand="1" w:evenHBand="0" w:firstRowFirstColumn="0" w:firstRowLastColumn="0" w:lastRowFirstColumn="0" w:lastRowLastColumn="0"/>
            </w:pPr>
            <w:r w:rsidRPr="00ED1C7E">
              <w:t>Sulphur hexafluoride</w:t>
            </w:r>
          </w:p>
        </w:tc>
      </w:tr>
      <w:tr w:rsidR="004A5B38" w:rsidRPr="00ED1C7E" w14:paraId="7A05F6AE" w14:textId="77777777" w:rsidTr="00F419B0">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2D6B7031" w14:textId="364209D2" w:rsidR="004A5B38" w:rsidRPr="00ED1C7E" w:rsidRDefault="004A5B38" w:rsidP="001E37B4">
            <w:pPr>
              <w:pStyle w:val="TableText"/>
              <w:rPr>
                <w:b w:val="0"/>
                <w:bCs w:val="0"/>
              </w:rPr>
            </w:pPr>
            <w:r w:rsidRPr="00ED1C7E">
              <w:rPr>
                <w:b w:val="0"/>
                <w:bCs w:val="0"/>
              </w:rPr>
              <w:t>tCO</w:t>
            </w:r>
            <w:r w:rsidRPr="00ED1C7E">
              <w:rPr>
                <w:b w:val="0"/>
                <w:bCs w:val="0"/>
                <w:vertAlign w:val="subscript"/>
              </w:rPr>
              <w:t>2</w:t>
            </w:r>
            <w:r w:rsidRPr="00ED1C7E">
              <w:rPr>
                <w:b w:val="0"/>
                <w:bCs w:val="0"/>
              </w:rPr>
              <w:t>e</w:t>
            </w:r>
          </w:p>
        </w:tc>
        <w:tc>
          <w:tcPr>
            <w:tcW w:w="5670" w:type="dxa"/>
            <w:tcBorders>
              <w:right w:val="nil"/>
            </w:tcBorders>
            <w:vAlign w:val="center"/>
          </w:tcPr>
          <w:p w14:paraId="0DBBD5CE" w14:textId="77777777" w:rsidR="004A5B38" w:rsidRPr="00ED1C7E" w:rsidRDefault="004A5B38" w:rsidP="001E37B4">
            <w:pPr>
              <w:pStyle w:val="TableText"/>
              <w:cnfStyle w:val="000000000000" w:firstRow="0" w:lastRow="0" w:firstColumn="0" w:lastColumn="0" w:oddVBand="0" w:evenVBand="0" w:oddHBand="0" w:evenHBand="0" w:firstRowFirstColumn="0" w:firstRowLastColumn="0" w:lastRowFirstColumn="0" w:lastRowLastColumn="0"/>
            </w:pPr>
            <w:r w:rsidRPr="00ED1C7E">
              <w:t>Unit of measurement: tonnes of carbon dioxide equivalent</w:t>
            </w:r>
          </w:p>
        </w:tc>
      </w:tr>
      <w:tr w:rsidR="004A5B38" w:rsidRPr="00ED1C7E" w14:paraId="3DBE7529" w14:textId="77777777" w:rsidTr="00F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tcPr>
          <w:p w14:paraId="51D56FEA" w14:textId="77777777" w:rsidR="004A5B38" w:rsidRPr="00ED1C7E" w:rsidRDefault="004A5B38" w:rsidP="001E37B4">
            <w:pPr>
              <w:pStyle w:val="TableText"/>
              <w:rPr>
                <w:b w:val="0"/>
                <w:bCs w:val="0"/>
              </w:rPr>
            </w:pPr>
            <w:r w:rsidRPr="00ED1C7E">
              <w:rPr>
                <w:b w:val="0"/>
                <w:bCs w:val="0"/>
              </w:rPr>
              <w:t>UEF</w:t>
            </w:r>
          </w:p>
        </w:tc>
        <w:tc>
          <w:tcPr>
            <w:tcW w:w="5670" w:type="dxa"/>
            <w:tcBorders>
              <w:right w:val="nil"/>
            </w:tcBorders>
            <w:vAlign w:val="center"/>
          </w:tcPr>
          <w:p w14:paraId="043343D8" w14:textId="6CE8639C" w:rsidR="004A5B38" w:rsidRPr="00ED1C7E" w:rsidRDefault="004A5B38" w:rsidP="001E37B4">
            <w:pPr>
              <w:pStyle w:val="TableText"/>
              <w:cnfStyle w:val="000000100000" w:firstRow="0" w:lastRow="0" w:firstColumn="0" w:lastColumn="0" w:oddVBand="0" w:evenVBand="0" w:oddHBand="1" w:evenHBand="0" w:firstRowFirstColumn="0" w:firstRowLastColumn="0" w:lastRowFirstColumn="0" w:lastRowLastColumn="0"/>
            </w:pPr>
            <w:r w:rsidRPr="00ED1C7E">
              <w:t xml:space="preserve">Unique </w:t>
            </w:r>
            <w:r w:rsidR="00263002" w:rsidRPr="00ED1C7E">
              <w:t>e</w:t>
            </w:r>
            <w:r w:rsidRPr="00ED1C7E">
              <w:t xml:space="preserve">missions </w:t>
            </w:r>
            <w:r w:rsidR="00263002" w:rsidRPr="00ED1C7E">
              <w:t>f</w:t>
            </w:r>
            <w:r w:rsidRPr="00ED1C7E">
              <w:t>actor</w:t>
            </w:r>
          </w:p>
        </w:tc>
      </w:tr>
      <w:bookmarkEnd w:id="6"/>
    </w:tbl>
    <w:p w14:paraId="252A12FB" w14:textId="776B37A2" w:rsidR="00BE1981" w:rsidRPr="00ED1C7E" w:rsidRDefault="00BE1981" w:rsidP="00DB1C97">
      <w:pPr>
        <w:pStyle w:val="BodyText"/>
      </w:pPr>
    </w:p>
    <w:sectPr w:rsidR="00BE1981" w:rsidRPr="00ED1C7E" w:rsidSect="00F76EF0">
      <w:footerReference w:type="even" r:id="rId57"/>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C899" w14:textId="77777777" w:rsidR="00F76EF0" w:rsidRDefault="00F76EF0" w:rsidP="0080531E">
      <w:pPr>
        <w:spacing w:before="0" w:after="0" w:line="240" w:lineRule="auto"/>
      </w:pPr>
      <w:r>
        <w:separator/>
      </w:r>
    </w:p>
    <w:p w14:paraId="0BF47305" w14:textId="77777777" w:rsidR="00F76EF0" w:rsidRDefault="00F76EF0"/>
  </w:endnote>
  <w:endnote w:type="continuationSeparator" w:id="0">
    <w:p w14:paraId="19CA9F6D" w14:textId="77777777" w:rsidR="00F76EF0" w:rsidRDefault="00F76EF0" w:rsidP="0080531E">
      <w:pPr>
        <w:spacing w:before="0" w:after="0" w:line="240" w:lineRule="auto"/>
      </w:pPr>
      <w:r>
        <w:continuationSeparator/>
      </w:r>
    </w:p>
    <w:p w14:paraId="0D52D272" w14:textId="77777777" w:rsidR="00F76EF0" w:rsidRDefault="00F76EF0"/>
  </w:endnote>
  <w:endnote w:type="continuationNotice" w:id="1">
    <w:p w14:paraId="2B0EF780" w14:textId="77777777" w:rsidR="00F76EF0" w:rsidRDefault="00F76E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Black">
    <w:panose1 w:val="00000A00000000000000"/>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F781" w14:textId="5464D036" w:rsidR="00E5210B" w:rsidRDefault="00E32211" w:rsidP="00E32211">
    <w:pPr>
      <w:pStyle w:val="Footerodd"/>
    </w:pPr>
    <w:r>
      <w:tab/>
      <w:t xml:space="preserve">Proposed changes to New Zealand Emissions Trading Scheme </w:t>
    </w:r>
    <w:r w:rsidR="00855C62">
      <w:t xml:space="preserve">regulations </w:t>
    </w:r>
    <w:r>
      <w:t>2024: Consultation document</w:t>
    </w:r>
    <w:r>
      <w:tab/>
    </w:r>
    <w:r>
      <w:fldChar w:fldCharType="begin"/>
    </w:r>
    <w:r>
      <w:instrText xml:space="preserve"> PAGE   \* MERGEFORMAT </w:instrText>
    </w:r>
    <w:r>
      <w:fldChar w:fldCharType="separate"/>
    </w:r>
    <w:r>
      <w:t>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5DE5" w14:textId="77777777" w:rsidR="0075686A" w:rsidRPr="0075686A" w:rsidRDefault="0075686A" w:rsidP="00756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02027"/>
      <w:docPartObj>
        <w:docPartGallery w:val="Page Numbers (Bottom of Page)"/>
        <w:docPartUnique/>
      </w:docPartObj>
    </w:sdtPr>
    <w:sdtEndPr>
      <w:rPr>
        <w:noProof/>
      </w:rPr>
    </w:sdtEndPr>
    <w:sdtContent>
      <w:p w14:paraId="746567F9" w14:textId="6922CD69" w:rsidR="0075686A" w:rsidRPr="0075686A" w:rsidRDefault="0075686A" w:rsidP="0075686A">
        <w:pPr>
          <w:pStyle w:val="Footereven"/>
        </w:pPr>
        <w:r>
          <w:fldChar w:fldCharType="begin"/>
        </w:r>
        <w:r>
          <w:instrText xml:space="preserve"> PAGE   \* MERGEFORMAT </w:instrText>
        </w:r>
        <w:r>
          <w:fldChar w:fldCharType="separate"/>
        </w:r>
        <w:r>
          <w:t>2</w:t>
        </w:r>
        <w:r>
          <w:rPr>
            <w:noProof/>
          </w:rPr>
          <w:fldChar w:fldCharType="end"/>
        </w:r>
        <w:r w:rsidRPr="00222FF0">
          <w:t xml:space="preserve"> </w:t>
        </w:r>
        <w:r>
          <w:tab/>
          <w:t xml:space="preserve">Proposed changes to New Zealand Emissions Trading Scheme </w:t>
        </w:r>
        <w:r w:rsidR="00661D80">
          <w:t xml:space="preserve">regulations </w:t>
        </w:r>
        <w:r>
          <w:t>2024: Consultation document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4A8A" w14:textId="77777777" w:rsidR="00F76EF0" w:rsidRDefault="00F76EF0" w:rsidP="00CB5C5F">
      <w:pPr>
        <w:spacing w:before="0" w:after="80" w:line="240" w:lineRule="auto"/>
      </w:pPr>
      <w:r>
        <w:separator/>
      </w:r>
    </w:p>
  </w:footnote>
  <w:footnote w:type="continuationSeparator" w:id="0">
    <w:p w14:paraId="7783B2F3" w14:textId="77777777" w:rsidR="00F76EF0" w:rsidRDefault="00F76EF0" w:rsidP="0080531E">
      <w:pPr>
        <w:spacing w:before="0" w:after="0" w:line="240" w:lineRule="auto"/>
      </w:pPr>
      <w:r>
        <w:continuationSeparator/>
      </w:r>
    </w:p>
    <w:p w14:paraId="12751D79" w14:textId="77777777" w:rsidR="00F76EF0" w:rsidRDefault="00F76EF0"/>
  </w:footnote>
  <w:footnote w:type="continuationNotice" w:id="1">
    <w:p w14:paraId="23A9F333" w14:textId="77777777" w:rsidR="00F76EF0" w:rsidRDefault="00F76EF0">
      <w:pPr>
        <w:spacing w:before="0" w:after="0" w:line="240" w:lineRule="auto"/>
      </w:pPr>
    </w:p>
  </w:footnote>
  <w:footnote w:id="2">
    <w:p w14:paraId="46FA6F9F" w14:textId="3D032289" w:rsidR="002F3C0D" w:rsidRDefault="002F3C0D" w:rsidP="00D857B6">
      <w:pPr>
        <w:pStyle w:val="FootnoteText"/>
      </w:pPr>
      <w:r>
        <w:rPr>
          <w:rStyle w:val="FootnoteReference"/>
        </w:rPr>
        <w:footnoteRef/>
      </w:r>
      <w:r>
        <w:t xml:space="preserve"> </w:t>
      </w:r>
      <w:r w:rsidR="00D857B6">
        <w:tab/>
      </w:r>
      <w:r w:rsidR="00C71635">
        <w:t xml:space="preserve">The term </w:t>
      </w:r>
      <w:r>
        <w:t>‘</w:t>
      </w:r>
      <w:r w:rsidR="00C71635">
        <w:t>g</w:t>
      </w:r>
      <w:r>
        <w:t xml:space="preserve">eothermal activities’ </w:t>
      </w:r>
      <w:r w:rsidR="000919B8">
        <w:t>means</w:t>
      </w:r>
      <w:r w:rsidR="00C71635">
        <w:t xml:space="preserve"> activities</w:t>
      </w:r>
      <w:r w:rsidR="00854E8C">
        <w:t xml:space="preserve"> </w:t>
      </w:r>
      <w:r w:rsidR="00C71635">
        <w:t>that relate to “using geothermal fluid for the purpose of</w:t>
      </w:r>
      <w:r w:rsidR="00971C99">
        <w:t> </w:t>
      </w:r>
      <w:r w:rsidR="00C71635">
        <w:t xml:space="preserve">generating electricity or industrial heat (initial use </w:t>
      </w:r>
      <w:r w:rsidR="00C71635" w:rsidRPr="00D857B6">
        <w:t>only</w:t>
      </w:r>
      <w:r w:rsidR="00C71635">
        <w:t>)</w:t>
      </w:r>
      <w:r w:rsidR="005A1989">
        <w:t>,</w:t>
      </w:r>
      <w:r w:rsidR="00C71635">
        <w:t>”</w:t>
      </w:r>
      <w:r w:rsidR="00854E8C">
        <w:t xml:space="preserve"> as</w:t>
      </w:r>
      <w:r w:rsidR="00276AD2">
        <w:t xml:space="preserve"> set out under </w:t>
      </w:r>
      <w:hyperlink r:id="rId1" w:history="1">
        <w:r w:rsidR="00276AD2" w:rsidRPr="00653B32">
          <w:rPr>
            <w:rStyle w:val="Hyperlink"/>
          </w:rPr>
          <w:t>Subpart 1 of Part 3 in Schedule 3</w:t>
        </w:r>
      </w:hyperlink>
      <w:r w:rsidR="00276AD2">
        <w:t xml:space="preserve"> of the Climate Change Response Act 2002</w:t>
      </w:r>
      <w:r w:rsidR="00AB11B3">
        <w:t>.</w:t>
      </w:r>
      <w:r w:rsidR="00282C1A">
        <w:t xml:space="preserve"> </w:t>
      </w:r>
      <w:r w:rsidR="00F46CE3">
        <w:t>An entity that carries out geothermal activities is a</w:t>
      </w:r>
      <w:r w:rsidR="00971C99">
        <w:t> </w:t>
      </w:r>
      <w:r w:rsidR="00F46CE3">
        <w:t>‘geothermal participant</w:t>
      </w:r>
      <w:r w:rsidR="00971C99">
        <w:t>’</w:t>
      </w:r>
      <w:r w:rsidR="000072F5">
        <w:t>.</w:t>
      </w:r>
    </w:p>
  </w:footnote>
  <w:footnote w:id="3">
    <w:p w14:paraId="5C097F69" w14:textId="04DA8B53" w:rsidR="0084688A" w:rsidRDefault="0084688A" w:rsidP="005769BC">
      <w:pPr>
        <w:pStyle w:val="FootnoteText"/>
      </w:pPr>
      <w:r>
        <w:rPr>
          <w:rStyle w:val="FootnoteReference"/>
        </w:rPr>
        <w:footnoteRef/>
      </w:r>
      <w:r>
        <w:t xml:space="preserve"> </w:t>
      </w:r>
      <w:r w:rsidR="005769BC">
        <w:tab/>
      </w:r>
      <w:r>
        <w:t xml:space="preserve">Natural gas DEFs </w:t>
      </w:r>
      <w:r w:rsidR="00252C73">
        <w:t>do exist in regulations, but these are used by opt-in participants who purchase natural gas from natural gas miners.</w:t>
      </w:r>
      <w:r w:rsidR="00AB2A8B">
        <w:t xml:space="preserve"> The miners themselves report on their actual emissions directly, and do not use these</w:t>
      </w:r>
      <w:r w:rsidR="00CE7044">
        <w:t xml:space="preserve"> </w:t>
      </w:r>
      <w:r w:rsidR="00AB2A8B">
        <w:t>DEFs.</w:t>
      </w:r>
    </w:p>
  </w:footnote>
  <w:footnote w:id="4">
    <w:p w14:paraId="271AAC61" w14:textId="661F177E" w:rsidR="00F43F02" w:rsidRDefault="00F43F02" w:rsidP="00BF6F91">
      <w:pPr>
        <w:pStyle w:val="FootnoteText"/>
      </w:pPr>
      <w:r>
        <w:rPr>
          <w:rStyle w:val="FootnoteReference"/>
        </w:rPr>
        <w:footnoteRef/>
      </w:r>
      <w:r>
        <w:t xml:space="preserve"> </w:t>
      </w:r>
      <w:r w:rsidR="00BF6F91">
        <w:tab/>
      </w:r>
      <w:r w:rsidR="00187B5E">
        <w:t>S</w:t>
      </w:r>
      <w:r>
        <w:t>ome names have been updated to reflect legal business names</w:t>
      </w:r>
      <w:r w:rsidR="00EF3171">
        <w:t xml:space="preserve">, which will be reflected in amended regulations alongside </w:t>
      </w:r>
      <w:r w:rsidR="00EF3171" w:rsidRPr="00BF6F91">
        <w:t>updated</w:t>
      </w:r>
      <w:r w:rsidR="00EF3171">
        <w:t xml:space="preserve"> </w:t>
      </w:r>
      <w:r w:rsidR="00617F62">
        <w:t>DEF values</w:t>
      </w:r>
      <w:r>
        <w:t>.</w:t>
      </w:r>
    </w:p>
  </w:footnote>
  <w:footnote w:id="5">
    <w:p w14:paraId="4553D7CF" w14:textId="6444DBA8" w:rsidR="00F43F02" w:rsidRDefault="00F43F02" w:rsidP="00BF6F91">
      <w:pPr>
        <w:pStyle w:val="FootnoteText"/>
      </w:pPr>
      <w:r>
        <w:rPr>
          <w:rStyle w:val="FootnoteReference"/>
        </w:rPr>
        <w:footnoteRef/>
      </w:r>
      <w:r>
        <w:t xml:space="preserve"> </w:t>
      </w:r>
      <w:r w:rsidR="00BF6F91">
        <w:tab/>
      </w:r>
      <w:r>
        <w:t xml:space="preserve">ORC = Organic Rankine </w:t>
      </w:r>
      <w:r w:rsidDel="00DB4561">
        <w:t>C</w:t>
      </w:r>
      <w:r>
        <w:t xml:space="preserve">ycle power plant; Flash </w:t>
      </w:r>
      <w:r w:rsidR="006759E2">
        <w:t>p</w:t>
      </w:r>
      <w:r>
        <w:t xml:space="preserve">lant = Steam Rankine </w:t>
      </w:r>
      <w:r w:rsidDel="00DB4561">
        <w:t>C</w:t>
      </w:r>
      <w:r>
        <w:t xml:space="preserve">ycle power plant; </w:t>
      </w:r>
      <w:r w:rsidR="00047766">
        <w:br/>
      </w:r>
      <w:r>
        <w:t>Combined =</w:t>
      </w:r>
      <w:r w:rsidR="00BF6F91">
        <w:t> </w:t>
      </w:r>
      <w:r>
        <w:t xml:space="preserve">Combined </w:t>
      </w:r>
      <w:r w:rsidDel="00DB4561">
        <w:t>C</w:t>
      </w:r>
      <w:r>
        <w:t>ycle power plant;</w:t>
      </w:r>
      <w:r w:rsidR="000750F2">
        <w:t xml:space="preserve"> Direct </w:t>
      </w:r>
      <w:r w:rsidR="006759E2">
        <w:t>u</w:t>
      </w:r>
      <w:r w:rsidR="000750F2">
        <w:t xml:space="preserve">se = </w:t>
      </w:r>
      <w:r w:rsidR="005A5E16">
        <w:t xml:space="preserve">the </w:t>
      </w:r>
      <w:r w:rsidR="00E97EFD">
        <w:t>geothermal fluid itself is used</w:t>
      </w:r>
      <w:r w:rsidR="005A5E16">
        <w:t xml:space="preserve"> by the </w:t>
      </w:r>
      <w:r w:rsidR="00BC1984">
        <w:t>participant</w:t>
      </w:r>
      <w:r>
        <w:t>.</w:t>
      </w:r>
    </w:p>
  </w:footnote>
  <w:footnote w:id="6">
    <w:p w14:paraId="3D0C253A" w14:textId="45EB31A3" w:rsidR="001D4108" w:rsidRDefault="001D4108" w:rsidP="005539FA">
      <w:pPr>
        <w:pStyle w:val="FootnoteText"/>
      </w:pPr>
      <w:r>
        <w:rPr>
          <w:rStyle w:val="FootnoteReference"/>
        </w:rPr>
        <w:footnoteRef/>
      </w:r>
      <w:r>
        <w:t xml:space="preserve"> </w:t>
      </w:r>
      <w:r w:rsidR="005539FA">
        <w:tab/>
      </w:r>
      <w:r>
        <w:t xml:space="preserve">Some general </w:t>
      </w:r>
      <w:r w:rsidRPr="005539FA">
        <w:t>changes</w:t>
      </w:r>
      <w:r>
        <w:t xml:space="preserve"> across </w:t>
      </w:r>
      <w:r w:rsidR="00645FBB">
        <w:t xml:space="preserve">the </w:t>
      </w:r>
      <w:r w:rsidR="00221ACF">
        <w:t>NZ ETS</w:t>
      </w:r>
      <w:r w:rsidR="009A4625">
        <w:t xml:space="preserve">, to reflect </w:t>
      </w:r>
      <w:r w:rsidR="00AF339E">
        <w:t xml:space="preserve">adopting new methodologies recommended internationally, have resulted in small changes to </w:t>
      </w:r>
      <w:r w:rsidR="00102172">
        <w:t>liquid fossil fuel DEFs</w:t>
      </w:r>
      <w:r w:rsidR="00212793">
        <w:t xml:space="preserve"> since </w:t>
      </w:r>
      <w:r w:rsidR="00747BB7">
        <w:t xml:space="preserve">the last </w:t>
      </w:r>
      <w:r w:rsidR="00E2337A">
        <w:t>targeted update of</w:t>
      </w:r>
      <w:r w:rsidR="00AD01A9">
        <w:t> </w:t>
      </w:r>
      <w:r w:rsidR="00E2337A">
        <w:t>the LFF</w:t>
      </w:r>
      <w:r w:rsidR="00F80A42">
        <w:t> </w:t>
      </w:r>
      <w:r w:rsidR="00E2337A">
        <w:t>regulations</w:t>
      </w:r>
      <w:r w:rsidR="00212793">
        <w:t>. However</w:t>
      </w:r>
      <w:r w:rsidR="00E2337A">
        <w:t xml:space="preserve">, </w:t>
      </w:r>
      <w:r w:rsidR="0017005A">
        <w:t xml:space="preserve">these were not the result of </w:t>
      </w:r>
      <w:r w:rsidR="0052719A">
        <w:t>an identified change in fuel 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2E5C" w14:textId="643E746B" w:rsidR="00280854" w:rsidRDefault="00280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F780" w14:textId="4B051000" w:rsidR="00DE7BF8" w:rsidRPr="00DE7BF8" w:rsidRDefault="00DE7BF8" w:rsidP="009F1D7F">
    <w:pPr>
      <w:pStyle w:val="Header"/>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0A89" w14:textId="71D71B47" w:rsidR="00280854" w:rsidRDefault="002808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C49C" w14:textId="6CA07A36" w:rsidR="002F3C0D" w:rsidRDefault="002F3C0D"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87E0" w14:textId="637D664C" w:rsidR="00280854" w:rsidRDefault="002808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6FD4" w14:textId="1C43B5C1" w:rsidR="00280854" w:rsidRDefault="0028085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AA00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BF157FA"/>
    <w:multiLevelType w:val="hybridMultilevel"/>
    <w:tmpl w:val="BEC4FE58"/>
    <w:lvl w:ilvl="0" w:tplc="05669604">
      <w:start w:val="1"/>
      <w:numFmt w:val="bullet"/>
      <w:lvlText w:val=""/>
      <w:lvlJc w:val="left"/>
      <w:pPr>
        <w:ind w:left="1100" w:hanging="360"/>
      </w:pPr>
      <w:rPr>
        <w:rFonts w:ascii="Symbol" w:hAnsi="Symbol"/>
      </w:rPr>
    </w:lvl>
    <w:lvl w:ilvl="1" w:tplc="B7DE3894">
      <w:start w:val="1"/>
      <w:numFmt w:val="bullet"/>
      <w:lvlText w:val=""/>
      <w:lvlJc w:val="left"/>
      <w:pPr>
        <w:ind w:left="1100" w:hanging="360"/>
      </w:pPr>
      <w:rPr>
        <w:rFonts w:ascii="Symbol" w:hAnsi="Symbol"/>
      </w:rPr>
    </w:lvl>
    <w:lvl w:ilvl="2" w:tplc="070E0AB6">
      <w:start w:val="1"/>
      <w:numFmt w:val="bullet"/>
      <w:lvlText w:val=""/>
      <w:lvlJc w:val="left"/>
      <w:pPr>
        <w:ind w:left="1100" w:hanging="360"/>
      </w:pPr>
      <w:rPr>
        <w:rFonts w:ascii="Symbol" w:hAnsi="Symbol"/>
      </w:rPr>
    </w:lvl>
    <w:lvl w:ilvl="3" w:tplc="47D2D13A">
      <w:start w:val="1"/>
      <w:numFmt w:val="bullet"/>
      <w:lvlText w:val=""/>
      <w:lvlJc w:val="left"/>
      <w:pPr>
        <w:ind w:left="1100" w:hanging="360"/>
      </w:pPr>
      <w:rPr>
        <w:rFonts w:ascii="Symbol" w:hAnsi="Symbol"/>
      </w:rPr>
    </w:lvl>
    <w:lvl w:ilvl="4" w:tplc="44503B8A">
      <w:start w:val="1"/>
      <w:numFmt w:val="bullet"/>
      <w:lvlText w:val=""/>
      <w:lvlJc w:val="left"/>
      <w:pPr>
        <w:ind w:left="1100" w:hanging="360"/>
      </w:pPr>
      <w:rPr>
        <w:rFonts w:ascii="Symbol" w:hAnsi="Symbol"/>
      </w:rPr>
    </w:lvl>
    <w:lvl w:ilvl="5" w:tplc="6890B96E">
      <w:start w:val="1"/>
      <w:numFmt w:val="bullet"/>
      <w:lvlText w:val=""/>
      <w:lvlJc w:val="left"/>
      <w:pPr>
        <w:ind w:left="1100" w:hanging="360"/>
      </w:pPr>
      <w:rPr>
        <w:rFonts w:ascii="Symbol" w:hAnsi="Symbol"/>
      </w:rPr>
    </w:lvl>
    <w:lvl w:ilvl="6" w:tplc="35267E1A">
      <w:start w:val="1"/>
      <w:numFmt w:val="bullet"/>
      <w:lvlText w:val=""/>
      <w:lvlJc w:val="left"/>
      <w:pPr>
        <w:ind w:left="1100" w:hanging="360"/>
      </w:pPr>
      <w:rPr>
        <w:rFonts w:ascii="Symbol" w:hAnsi="Symbol"/>
      </w:rPr>
    </w:lvl>
    <w:lvl w:ilvl="7" w:tplc="4AE23A6E">
      <w:start w:val="1"/>
      <w:numFmt w:val="bullet"/>
      <w:lvlText w:val=""/>
      <w:lvlJc w:val="left"/>
      <w:pPr>
        <w:ind w:left="1100" w:hanging="360"/>
      </w:pPr>
      <w:rPr>
        <w:rFonts w:ascii="Symbol" w:hAnsi="Symbol"/>
      </w:rPr>
    </w:lvl>
    <w:lvl w:ilvl="8" w:tplc="D5F24BAA">
      <w:start w:val="1"/>
      <w:numFmt w:val="bullet"/>
      <w:lvlText w:val=""/>
      <w:lvlJc w:val="left"/>
      <w:pPr>
        <w:ind w:left="1100" w:hanging="360"/>
      </w:pPr>
      <w:rPr>
        <w:rFonts w:ascii="Symbol" w:hAnsi="Symbol"/>
      </w:rPr>
    </w:lvl>
  </w:abstractNum>
  <w:abstractNum w:abstractNumId="4" w15:restartNumberingAfterBreak="0">
    <w:nsid w:val="1342020A"/>
    <w:multiLevelType w:val="hybridMultilevel"/>
    <w:tmpl w:val="5BA8A8B2"/>
    <w:lvl w:ilvl="0" w:tplc="04687C7E">
      <w:start w:val="4"/>
      <w:numFmt w:val="decimal"/>
      <w:lvlText w:val="%1"/>
      <w:lvlJc w:val="left"/>
      <w:pPr>
        <w:ind w:left="760" w:hanging="40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0908B0"/>
    <w:multiLevelType w:val="hybridMultilevel"/>
    <w:tmpl w:val="BD46BBF2"/>
    <w:lvl w:ilvl="0" w:tplc="BCF6DD8E">
      <w:start w:val="17"/>
      <w:numFmt w:val="bullet"/>
      <w:lvlText w:val="–"/>
      <w:lvlJc w:val="left"/>
      <w:pPr>
        <w:ind w:left="720" w:hanging="360"/>
      </w:pPr>
      <w:rPr>
        <w:rFonts w:ascii="Calibri" w:eastAsiaTheme="minorEastAsia" w:hAnsi="Calibri" w:cs="Calibri"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25541FB"/>
    <w:multiLevelType w:val="hybridMultilevel"/>
    <w:tmpl w:val="38022454"/>
    <w:lvl w:ilvl="0" w:tplc="EF427C7E">
      <w:start w:val="1"/>
      <w:numFmt w:val="decimal"/>
      <w:pStyle w:val="Questions"/>
      <w:lvlText w:val="%1."/>
      <w:lvlJc w:val="left"/>
      <w:pPr>
        <w:ind w:left="680" w:hanging="396"/>
      </w:pPr>
      <w:rPr>
        <w:sz w:val="20"/>
      </w:rPr>
    </w:lvl>
    <w:lvl w:ilvl="1" w:tplc="037E6FCC">
      <w:start w:val="1"/>
      <w:numFmt w:val="lowerLetter"/>
      <w:lvlText w:val="%2."/>
      <w:lvlJc w:val="left"/>
      <w:pPr>
        <w:ind w:left="1724" w:hanging="360"/>
      </w:pPr>
    </w:lvl>
    <w:lvl w:ilvl="2" w:tplc="7610A3F4">
      <w:start w:val="1"/>
      <w:numFmt w:val="lowerRoman"/>
      <w:lvlText w:val="%3."/>
      <w:lvlJc w:val="right"/>
      <w:pPr>
        <w:ind w:left="2444" w:hanging="180"/>
      </w:pPr>
    </w:lvl>
    <w:lvl w:ilvl="3" w:tplc="39C49B5E">
      <w:start w:val="1"/>
      <w:numFmt w:val="decimal"/>
      <w:lvlText w:val="%4."/>
      <w:lvlJc w:val="left"/>
      <w:pPr>
        <w:ind w:left="3164" w:hanging="360"/>
      </w:pPr>
    </w:lvl>
    <w:lvl w:ilvl="4" w:tplc="0BD07602">
      <w:start w:val="1"/>
      <w:numFmt w:val="lowerLetter"/>
      <w:lvlText w:val="%5."/>
      <w:lvlJc w:val="left"/>
      <w:pPr>
        <w:ind w:left="3884" w:hanging="360"/>
      </w:pPr>
    </w:lvl>
    <w:lvl w:ilvl="5" w:tplc="C01EBBF6">
      <w:start w:val="1"/>
      <w:numFmt w:val="lowerRoman"/>
      <w:lvlText w:val="%6."/>
      <w:lvlJc w:val="right"/>
      <w:pPr>
        <w:ind w:left="4604" w:hanging="180"/>
      </w:pPr>
    </w:lvl>
    <w:lvl w:ilvl="6" w:tplc="53241ED2">
      <w:start w:val="1"/>
      <w:numFmt w:val="decimal"/>
      <w:lvlText w:val="%7."/>
      <w:lvlJc w:val="left"/>
      <w:pPr>
        <w:ind w:left="5324" w:hanging="360"/>
      </w:pPr>
    </w:lvl>
    <w:lvl w:ilvl="7" w:tplc="C658A1AC">
      <w:start w:val="1"/>
      <w:numFmt w:val="lowerLetter"/>
      <w:lvlText w:val="%8."/>
      <w:lvlJc w:val="left"/>
      <w:pPr>
        <w:ind w:left="6044" w:hanging="360"/>
      </w:pPr>
    </w:lvl>
    <w:lvl w:ilvl="8" w:tplc="E162F66C">
      <w:start w:val="1"/>
      <w:numFmt w:val="lowerRoman"/>
      <w:lvlText w:val="%9."/>
      <w:lvlJc w:val="right"/>
      <w:pPr>
        <w:ind w:left="6764" w:hanging="180"/>
      </w:pPr>
    </w:lvl>
  </w:abstractNum>
  <w:abstractNum w:abstractNumId="9" w15:restartNumberingAfterBreak="0">
    <w:nsid w:val="22D4507E"/>
    <w:multiLevelType w:val="hybridMultilevel"/>
    <w:tmpl w:val="6BE21F3A"/>
    <w:lvl w:ilvl="0" w:tplc="3746EE8A">
      <w:start w:val="1"/>
      <w:numFmt w:val="bullet"/>
      <w:lvlText w:val=""/>
      <w:lvlJc w:val="left"/>
      <w:pPr>
        <w:ind w:left="1440" w:hanging="360"/>
      </w:pPr>
      <w:rPr>
        <w:rFonts w:ascii="Symbol" w:hAnsi="Symbol"/>
      </w:rPr>
    </w:lvl>
    <w:lvl w:ilvl="1" w:tplc="E49A9E32">
      <w:start w:val="1"/>
      <w:numFmt w:val="bullet"/>
      <w:lvlText w:val=""/>
      <w:lvlJc w:val="left"/>
      <w:pPr>
        <w:ind w:left="1440" w:hanging="360"/>
      </w:pPr>
      <w:rPr>
        <w:rFonts w:ascii="Symbol" w:hAnsi="Symbol"/>
      </w:rPr>
    </w:lvl>
    <w:lvl w:ilvl="2" w:tplc="8D7C78C2">
      <w:start w:val="1"/>
      <w:numFmt w:val="bullet"/>
      <w:lvlText w:val=""/>
      <w:lvlJc w:val="left"/>
      <w:pPr>
        <w:ind w:left="1440" w:hanging="360"/>
      </w:pPr>
      <w:rPr>
        <w:rFonts w:ascii="Symbol" w:hAnsi="Symbol"/>
      </w:rPr>
    </w:lvl>
    <w:lvl w:ilvl="3" w:tplc="07C20578">
      <w:start w:val="1"/>
      <w:numFmt w:val="bullet"/>
      <w:lvlText w:val=""/>
      <w:lvlJc w:val="left"/>
      <w:pPr>
        <w:ind w:left="1440" w:hanging="360"/>
      </w:pPr>
      <w:rPr>
        <w:rFonts w:ascii="Symbol" w:hAnsi="Symbol"/>
      </w:rPr>
    </w:lvl>
    <w:lvl w:ilvl="4" w:tplc="45BEFB74">
      <w:start w:val="1"/>
      <w:numFmt w:val="bullet"/>
      <w:lvlText w:val=""/>
      <w:lvlJc w:val="left"/>
      <w:pPr>
        <w:ind w:left="1440" w:hanging="360"/>
      </w:pPr>
      <w:rPr>
        <w:rFonts w:ascii="Symbol" w:hAnsi="Symbol"/>
      </w:rPr>
    </w:lvl>
    <w:lvl w:ilvl="5" w:tplc="50485FC6">
      <w:start w:val="1"/>
      <w:numFmt w:val="bullet"/>
      <w:lvlText w:val=""/>
      <w:lvlJc w:val="left"/>
      <w:pPr>
        <w:ind w:left="1440" w:hanging="360"/>
      </w:pPr>
      <w:rPr>
        <w:rFonts w:ascii="Symbol" w:hAnsi="Symbol"/>
      </w:rPr>
    </w:lvl>
    <w:lvl w:ilvl="6" w:tplc="8C8EA9BA">
      <w:start w:val="1"/>
      <w:numFmt w:val="bullet"/>
      <w:lvlText w:val=""/>
      <w:lvlJc w:val="left"/>
      <w:pPr>
        <w:ind w:left="1440" w:hanging="360"/>
      </w:pPr>
      <w:rPr>
        <w:rFonts w:ascii="Symbol" w:hAnsi="Symbol"/>
      </w:rPr>
    </w:lvl>
    <w:lvl w:ilvl="7" w:tplc="D12042CE">
      <w:start w:val="1"/>
      <w:numFmt w:val="bullet"/>
      <w:lvlText w:val=""/>
      <w:lvlJc w:val="left"/>
      <w:pPr>
        <w:ind w:left="1440" w:hanging="360"/>
      </w:pPr>
      <w:rPr>
        <w:rFonts w:ascii="Symbol" w:hAnsi="Symbol"/>
      </w:rPr>
    </w:lvl>
    <w:lvl w:ilvl="8" w:tplc="471C8E60">
      <w:start w:val="1"/>
      <w:numFmt w:val="bullet"/>
      <w:lvlText w:val=""/>
      <w:lvlJc w:val="left"/>
      <w:pPr>
        <w:ind w:left="1440" w:hanging="360"/>
      </w:pPr>
      <w:rPr>
        <w:rFonts w:ascii="Symbol" w:hAnsi="Symbol"/>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B1E6937"/>
    <w:multiLevelType w:val="hybridMultilevel"/>
    <w:tmpl w:val="FFFFFFFF"/>
    <w:lvl w:ilvl="0" w:tplc="19A40AA6">
      <w:start w:val="1"/>
      <w:numFmt w:val="bullet"/>
      <w:lvlText w:val=""/>
      <w:lvlJc w:val="left"/>
      <w:pPr>
        <w:ind w:left="720" w:hanging="360"/>
      </w:pPr>
      <w:rPr>
        <w:rFonts w:ascii="Symbol" w:hAnsi="Symbol" w:hint="default"/>
      </w:rPr>
    </w:lvl>
    <w:lvl w:ilvl="1" w:tplc="C038944C">
      <w:start w:val="1"/>
      <w:numFmt w:val="bullet"/>
      <w:lvlText w:val="o"/>
      <w:lvlJc w:val="left"/>
      <w:pPr>
        <w:ind w:left="1440" w:hanging="360"/>
      </w:pPr>
      <w:rPr>
        <w:rFonts w:ascii="Courier New" w:hAnsi="Courier New" w:hint="default"/>
      </w:rPr>
    </w:lvl>
    <w:lvl w:ilvl="2" w:tplc="C046C95E">
      <w:start w:val="1"/>
      <w:numFmt w:val="bullet"/>
      <w:lvlText w:val=""/>
      <w:lvlJc w:val="left"/>
      <w:pPr>
        <w:ind w:left="2160" w:hanging="360"/>
      </w:pPr>
      <w:rPr>
        <w:rFonts w:ascii="Wingdings" w:hAnsi="Wingdings" w:hint="default"/>
      </w:rPr>
    </w:lvl>
    <w:lvl w:ilvl="3" w:tplc="B30EB828">
      <w:start w:val="1"/>
      <w:numFmt w:val="bullet"/>
      <w:lvlText w:val=""/>
      <w:lvlJc w:val="left"/>
      <w:pPr>
        <w:ind w:left="2880" w:hanging="360"/>
      </w:pPr>
      <w:rPr>
        <w:rFonts w:ascii="Symbol" w:hAnsi="Symbol" w:hint="default"/>
      </w:rPr>
    </w:lvl>
    <w:lvl w:ilvl="4" w:tplc="66AAF5F4">
      <w:start w:val="1"/>
      <w:numFmt w:val="bullet"/>
      <w:lvlText w:val="o"/>
      <w:lvlJc w:val="left"/>
      <w:pPr>
        <w:ind w:left="3600" w:hanging="360"/>
      </w:pPr>
      <w:rPr>
        <w:rFonts w:ascii="Courier New" w:hAnsi="Courier New" w:hint="default"/>
      </w:rPr>
    </w:lvl>
    <w:lvl w:ilvl="5" w:tplc="262CD31A">
      <w:start w:val="1"/>
      <w:numFmt w:val="bullet"/>
      <w:lvlText w:val=""/>
      <w:lvlJc w:val="left"/>
      <w:pPr>
        <w:ind w:left="4320" w:hanging="360"/>
      </w:pPr>
      <w:rPr>
        <w:rFonts w:ascii="Wingdings" w:hAnsi="Wingdings" w:hint="default"/>
      </w:rPr>
    </w:lvl>
    <w:lvl w:ilvl="6" w:tplc="23FCD414">
      <w:start w:val="1"/>
      <w:numFmt w:val="bullet"/>
      <w:lvlText w:val=""/>
      <w:lvlJc w:val="left"/>
      <w:pPr>
        <w:ind w:left="5040" w:hanging="360"/>
      </w:pPr>
      <w:rPr>
        <w:rFonts w:ascii="Symbol" w:hAnsi="Symbol" w:hint="default"/>
      </w:rPr>
    </w:lvl>
    <w:lvl w:ilvl="7" w:tplc="9F2E38A0">
      <w:start w:val="1"/>
      <w:numFmt w:val="bullet"/>
      <w:lvlText w:val="o"/>
      <w:lvlJc w:val="left"/>
      <w:pPr>
        <w:ind w:left="5760" w:hanging="360"/>
      </w:pPr>
      <w:rPr>
        <w:rFonts w:ascii="Courier New" w:hAnsi="Courier New" w:hint="default"/>
      </w:rPr>
    </w:lvl>
    <w:lvl w:ilvl="8" w:tplc="9D3EE36A">
      <w:start w:val="1"/>
      <w:numFmt w:val="bullet"/>
      <w:lvlText w:val=""/>
      <w:lvlJc w:val="left"/>
      <w:pPr>
        <w:ind w:left="6480" w:hanging="360"/>
      </w:pPr>
      <w:rPr>
        <w:rFonts w:ascii="Wingdings" w:hAnsi="Wingdings" w:hint="default"/>
      </w:rPr>
    </w:lvl>
  </w:abstractNum>
  <w:abstractNum w:abstractNumId="16"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DF452D"/>
    <w:multiLevelType w:val="multilevel"/>
    <w:tmpl w:val="F3FA665A"/>
    <w:styleLink w:val="QuestionNumbers"/>
    <w:lvl w:ilvl="0">
      <w:start w:val="1"/>
      <w:numFmt w:val="decimal"/>
      <w:lvlText w:val="Q%1"/>
      <w:lvlJc w:val="left"/>
      <w:pPr>
        <w:ind w:left="567" w:hanging="567"/>
      </w:pPr>
      <w:rPr>
        <w:rFonts w:asciiTheme="minorHAnsi" w:hAnsiTheme="minorHAnsi"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7701FB"/>
    <w:multiLevelType w:val="multilevel"/>
    <w:tmpl w:val="F012ABEA"/>
    <w:lvl w:ilvl="0">
      <w:start w:val="1"/>
      <w:numFmt w:val="bullet"/>
      <w:pStyle w:val="Sub-list"/>
      <w:lvlText w:val=""/>
      <w:lvlJc w:val="left"/>
      <w:pPr>
        <w:tabs>
          <w:tab w:val="num" w:pos="397"/>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1" w15:restartNumberingAfterBreak="0">
    <w:nsid w:val="4C2D29B4"/>
    <w:multiLevelType w:val="hybridMultilevel"/>
    <w:tmpl w:val="9424C284"/>
    <w:lvl w:ilvl="0" w:tplc="D006FBC0">
      <w:start w:val="4"/>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3535234"/>
    <w:multiLevelType w:val="singleLevel"/>
    <w:tmpl w:val="CB5078B4"/>
    <w:lvl w:ilvl="0">
      <w:start w:val="1"/>
      <w:numFmt w:val="bullet"/>
      <w:pStyle w:val="Boxbullet"/>
      <w:lvlText w:val=""/>
      <w:lvlJc w:val="left"/>
      <w:pPr>
        <w:ind w:left="644" w:hanging="360"/>
      </w:pPr>
      <w:rPr>
        <w:rFonts w:ascii="Symbol" w:hAnsi="Symbol" w:hint="default"/>
        <w:color w:val="1B556B"/>
        <w:sz w:val="16"/>
      </w:rPr>
    </w:lvl>
  </w:abstractNum>
  <w:abstractNum w:abstractNumId="2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1331758852">
    <w:abstractNumId w:val="14"/>
  </w:num>
  <w:num w:numId="2" w16cid:durableId="1068383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916551">
    <w:abstractNumId w:val="12"/>
  </w:num>
  <w:num w:numId="4" w16cid:durableId="600920532">
    <w:abstractNumId w:val="23"/>
  </w:num>
  <w:num w:numId="5" w16cid:durableId="1222253969">
    <w:abstractNumId w:val="2"/>
  </w:num>
  <w:num w:numId="6" w16cid:durableId="1192843160">
    <w:abstractNumId w:val="10"/>
  </w:num>
  <w:num w:numId="7" w16cid:durableId="1268197921">
    <w:abstractNumId w:val="24"/>
  </w:num>
  <w:num w:numId="8" w16cid:durableId="2083598680">
    <w:abstractNumId w:val="17"/>
  </w:num>
  <w:num w:numId="9" w16cid:durableId="1353992896">
    <w:abstractNumId w:val="19"/>
    <w:lvlOverride w:ilvl="0">
      <w:startOverride w:val="1"/>
    </w:lvlOverride>
  </w:num>
  <w:num w:numId="10" w16cid:durableId="1251620363">
    <w:abstractNumId w:val="22"/>
  </w:num>
  <w:num w:numId="11" w16cid:durableId="127745606">
    <w:abstractNumId w:val="6"/>
  </w:num>
  <w:num w:numId="12" w16cid:durableId="1156920855">
    <w:abstractNumId w:val="16"/>
  </w:num>
  <w:num w:numId="13" w16cid:durableId="1225530114">
    <w:abstractNumId w:val="13"/>
  </w:num>
  <w:num w:numId="14" w16cid:durableId="1426685860">
    <w:abstractNumId w:val="18"/>
  </w:num>
  <w:num w:numId="15" w16cid:durableId="2028481922">
    <w:abstractNumId w:val="7"/>
  </w:num>
  <w:num w:numId="16" w16cid:durableId="310256042">
    <w:abstractNumId w:val="20"/>
  </w:num>
  <w:num w:numId="17" w16cid:durableId="657539776">
    <w:abstractNumId w:val="19"/>
  </w:num>
  <w:num w:numId="18" w16cid:durableId="1912304384">
    <w:abstractNumId w:val="25"/>
  </w:num>
  <w:num w:numId="19" w16cid:durableId="990257950">
    <w:abstractNumId w:val="1"/>
  </w:num>
  <w:num w:numId="20" w16cid:durableId="1551771677">
    <w:abstractNumId w:val="8"/>
  </w:num>
  <w:num w:numId="21" w16cid:durableId="5875387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8653047">
    <w:abstractNumId w:val="15"/>
  </w:num>
  <w:num w:numId="23" w16cid:durableId="355271909">
    <w:abstractNumId w:val="3"/>
  </w:num>
  <w:num w:numId="24" w16cid:durableId="1770615197">
    <w:abstractNumId w:val="11"/>
  </w:num>
  <w:num w:numId="25" w16cid:durableId="429660530">
    <w:abstractNumId w:val="21"/>
  </w:num>
  <w:num w:numId="26" w16cid:durableId="412632665">
    <w:abstractNumId w:val="4"/>
  </w:num>
  <w:num w:numId="27" w16cid:durableId="1219129190">
    <w:abstractNumId w:val="9"/>
  </w:num>
  <w:num w:numId="28" w16cid:durableId="449665420">
    <w:abstractNumId w:val="5"/>
  </w:num>
  <w:num w:numId="29" w16cid:durableId="1860584597">
    <w:abstractNumId w:val="0"/>
  </w:num>
  <w:num w:numId="30" w16cid:durableId="19936325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C6"/>
    <w:rsid w:val="0000005F"/>
    <w:rsid w:val="000001A6"/>
    <w:rsid w:val="00000257"/>
    <w:rsid w:val="00000695"/>
    <w:rsid w:val="00000773"/>
    <w:rsid w:val="00000792"/>
    <w:rsid w:val="00000BF0"/>
    <w:rsid w:val="00000F04"/>
    <w:rsid w:val="00001477"/>
    <w:rsid w:val="000018F0"/>
    <w:rsid w:val="000019D7"/>
    <w:rsid w:val="00001FA7"/>
    <w:rsid w:val="00002059"/>
    <w:rsid w:val="00002112"/>
    <w:rsid w:val="00002384"/>
    <w:rsid w:val="0000263B"/>
    <w:rsid w:val="000035AF"/>
    <w:rsid w:val="000038A7"/>
    <w:rsid w:val="00003B4D"/>
    <w:rsid w:val="00003C4F"/>
    <w:rsid w:val="00003DD2"/>
    <w:rsid w:val="00004024"/>
    <w:rsid w:val="0000417F"/>
    <w:rsid w:val="00004705"/>
    <w:rsid w:val="00004754"/>
    <w:rsid w:val="00004986"/>
    <w:rsid w:val="00004D3B"/>
    <w:rsid w:val="00004E0A"/>
    <w:rsid w:val="00004FD3"/>
    <w:rsid w:val="00005071"/>
    <w:rsid w:val="0000531B"/>
    <w:rsid w:val="000053AA"/>
    <w:rsid w:val="00005CA8"/>
    <w:rsid w:val="00005EAE"/>
    <w:rsid w:val="00006860"/>
    <w:rsid w:val="00006D09"/>
    <w:rsid w:val="00006DF5"/>
    <w:rsid w:val="00006F95"/>
    <w:rsid w:val="00007023"/>
    <w:rsid w:val="0000709F"/>
    <w:rsid w:val="00007132"/>
    <w:rsid w:val="000071D6"/>
    <w:rsid w:val="000072F5"/>
    <w:rsid w:val="00007717"/>
    <w:rsid w:val="0000782A"/>
    <w:rsid w:val="000079BE"/>
    <w:rsid w:val="00007A14"/>
    <w:rsid w:val="00007C43"/>
    <w:rsid w:val="00007F2D"/>
    <w:rsid w:val="00007FAC"/>
    <w:rsid w:val="00010A9C"/>
    <w:rsid w:val="00010ABA"/>
    <w:rsid w:val="00010B93"/>
    <w:rsid w:val="00010CFD"/>
    <w:rsid w:val="00010E15"/>
    <w:rsid w:val="00010F57"/>
    <w:rsid w:val="0001100C"/>
    <w:rsid w:val="00011188"/>
    <w:rsid w:val="00011591"/>
    <w:rsid w:val="0001198D"/>
    <w:rsid w:val="00011BDC"/>
    <w:rsid w:val="00012121"/>
    <w:rsid w:val="000122E6"/>
    <w:rsid w:val="00012492"/>
    <w:rsid w:val="00012555"/>
    <w:rsid w:val="00012813"/>
    <w:rsid w:val="000133FE"/>
    <w:rsid w:val="0001363B"/>
    <w:rsid w:val="00013969"/>
    <w:rsid w:val="00013B61"/>
    <w:rsid w:val="00013C48"/>
    <w:rsid w:val="00013E92"/>
    <w:rsid w:val="00013EEE"/>
    <w:rsid w:val="00014236"/>
    <w:rsid w:val="00014653"/>
    <w:rsid w:val="000148F6"/>
    <w:rsid w:val="00014C46"/>
    <w:rsid w:val="00014C48"/>
    <w:rsid w:val="00015170"/>
    <w:rsid w:val="00015217"/>
    <w:rsid w:val="000153DD"/>
    <w:rsid w:val="000159D2"/>
    <w:rsid w:val="00015ABA"/>
    <w:rsid w:val="000161DD"/>
    <w:rsid w:val="00016264"/>
    <w:rsid w:val="0001652F"/>
    <w:rsid w:val="00016993"/>
    <w:rsid w:val="00016CAB"/>
    <w:rsid w:val="00016E5B"/>
    <w:rsid w:val="00016E94"/>
    <w:rsid w:val="00016F83"/>
    <w:rsid w:val="00017170"/>
    <w:rsid w:val="000171B3"/>
    <w:rsid w:val="0001749B"/>
    <w:rsid w:val="00017D75"/>
    <w:rsid w:val="00017FE5"/>
    <w:rsid w:val="000205CF"/>
    <w:rsid w:val="00020C44"/>
    <w:rsid w:val="000214CE"/>
    <w:rsid w:val="00021766"/>
    <w:rsid w:val="00021910"/>
    <w:rsid w:val="00021BB6"/>
    <w:rsid w:val="00021C8C"/>
    <w:rsid w:val="00022489"/>
    <w:rsid w:val="00022708"/>
    <w:rsid w:val="00022D74"/>
    <w:rsid w:val="00022E8D"/>
    <w:rsid w:val="00022FAE"/>
    <w:rsid w:val="00023197"/>
    <w:rsid w:val="00023262"/>
    <w:rsid w:val="0002341D"/>
    <w:rsid w:val="0002348A"/>
    <w:rsid w:val="000235B5"/>
    <w:rsid w:val="00023841"/>
    <w:rsid w:val="0002391D"/>
    <w:rsid w:val="00023AAD"/>
    <w:rsid w:val="00023BDA"/>
    <w:rsid w:val="0002437A"/>
    <w:rsid w:val="0002465B"/>
    <w:rsid w:val="00024708"/>
    <w:rsid w:val="000248D1"/>
    <w:rsid w:val="00024B34"/>
    <w:rsid w:val="00024E3B"/>
    <w:rsid w:val="00024EE7"/>
    <w:rsid w:val="00025AB1"/>
    <w:rsid w:val="00025F96"/>
    <w:rsid w:val="00025FAB"/>
    <w:rsid w:val="00026756"/>
    <w:rsid w:val="000269A3"/>
    <w:rsid w:val="00026E89"/>
    <w:rsid w:val="000275A3"/>
    <w:rsid w:val="000277EB"/>
    <w:rsid w:val="000278D9"/>
    <w:rsid w:val="00030370"/>
    <w:rsid w:val="00030558"/>
    <w:rsid w:val="00030699"/>
    <w:rsid w:val="000306E5"/>
    <w:rsid w:val="00030725"/>
    <w:rsid w:val="000308AF"/>
    <w:rsid w:val="000309B7"/>
    <w:rsid w:val="00030DB8"/>
    <w:rsid w:val="0003114D"/>
    <w:rsid w:val="00031A83"/>
    <w:rsid w:val="00031A8F"/>
    <w:rsid w:val="00031ACB"/>
    <w:rsid w:val="00031F08"/>
    <w:rsid w:val="0003213A"/>
    <w:rsid w:val="000324D6"/>
    <w:rsid w:val="000328A9"/>
    <w:rsid w:val="00032A3C"/>
    <w:rsid w:val="00032A81"/>
    <w:rsid w:val="00032DCA"/>
    <w:rsid w:val="00033153"/>
    <w:rsid w:val="00033274"/>
    <w:rsid w:val="000335CF"/>
    <w:rsid w:val="000336FF"/>
    <w:rsid w:val="00033A8C"/>
    <w:rsid w:val="00033F00"/>
    <w:rsid w:val="000340D8"/>
    <w:rsid w:val="00034249"/>
    <w:rsid w:val="0003427D"/>
    <w:rsid w:val="0003439A"/>
    <w:rsid w:val="00034406"/>
    <w:rsid w:val="00034435"/>
    <w:rsid w:val="000348C7"/>
    <w:rsid w:val="00034ACC"/>
    <w:rsid w:val="00034C2E"/>
    <w:rsid w:val="00034DFA"/>
    <w:rsid w:val="00034E27"/>
    <w:rsid w:val="000357ED"/>
    <w:rsid w:val="0003586F"/>
    <w:rsid w:val="000359A6"/>
    <w:rsid w:val="00035A7E"/>
    <w:rsid w:val="00035CAF"/>
    <w:rsid w:val="00035D5D"/>
    <w:rsid w:val="00035E15"/>
    <w:rsid w:val="00035F51"/>
    <w:rsid w:val="00036271"/>
    <w:rsid w:val="0003640E"/>
    <w:rsid w:val="0003688A"/>
    <w:rsid w:val="000368FC"/>
    <w:rsid w:val="00036A0D"/>
    <w:rsid w:val="00036AA3"/>
    <w:rsid w:val="00036DA3"/>
    <w:rsid w:val="00036E18"/>
    <w:rsid w:val="000378CD"/>
    <w:rsid w:val="000378D8"/>
    <w:rsid w:val="000379BF"/>
    <w:rsid w:val="00037A9D"/>
    <w:rsid w:val="00037BEC"/>
    <w:rsid w:val="000400D9"/>
    <w:rsid w:val="0004035C"/>
    <w:rsid w:val="0004081A"/>
    <w:rsid w:val="0004081B"/>
    <w:rsid w:val="00040860"/>
    <w:rsid w:val="00040BD8"/>
    <w:rsid w:val="00040CED"/>
    <w:rsid w:val="00040E8E"/>
    <w:rsid w:val="00040EA1"/>
    <w:rsid w:val="0004166F"/>
    <w:rsid w:val="00041988"/>
    <w:rsid w:val="00041B5E"/>
    <w:rsid w:val="00041E87"/>
    <w:rsid w:val="0004205F"/>
    <w:rsid w:val="00042165"/>
    <w:rsid w:val="00042330"/>
    <w:rsid w:val="000423C6"/>
    <w:rsid w:val="00042B7A"/>
    <w:rsid w:val="00042EDB"/>
    <w:rsid w:val="000435BA"/>
    <w:rsid w:val="0004370A"/>
    <w:rsid w:val="000437B6"/>
    <w:rsid w:val="0004392E"/>
    <w:rsid w:val="00043BCE"/>
    <w:rsid w:val="00043FEF"/>
    <w:rsid w:val="00044373"/>
    <w:rsid w:val="00044400"/>
    <w:rsid w:val="0004441E"/>
    <w:rsid w:val="00044727"/>
    <w:rsid w:val="00044A33"/>
    <w:rsid w:val="00044A50"/>
    <w:rsid w:val="00044C65"/>
    <w:rsid w:val="00044D0A"/>
    <w:rsid w:val="00044DC5"/>
    <w:rsid w:val="00044F5A"/>
    <w:rsid w:val="00044FA5"/>
    <w:rsid w:val="00045664"/>
    <w:rsid w:val="000458C7"/>
    <w:rsid w:val="00045965"/>
    <w:rsid w:val="00045991"/>
    <w:rsid w:val="00045B17"/>
    <w:rsid w:val="00045E5C"/>
    <w:rsid w:val="000460D6"/>
    <w:rsid w:val="00046243"/>
    <w:rsid w:val="00046288"/>
    <w:rsid w:val="00046347"/>
    <w:rsid w:val="000465E5"/>
    <w:rsid w:val="0004667C"/>
    <w:rsid w:val="00047129"/>
    <w:rsid w:val="0004720A"/>
    <w:rsid w:val="000476F3"/>
    <w:rsid w:val="00047766"/>
    <w:rsid w:val="00047941"/>
    <w:rsid w:val="00047B19"/>
    <w:rsid w:val="00047CFD"/>
    <w:rsid w:val="00047E43"/>
    <w:rsid w:val="000500F6"/>
    <w:rsid w:val="000501B0"/>
    <w:rsid w:val="0005027D"/>
    <w:rsid w:val="00050A22"/>
    <w:rsid w:val="00050B0F"/>
    <w:rsid w:val="00050C2A"/>
    <w:rsid w:val="00050E27"/>
    <w:rsid w:val="0005144F"/>
    <w:rsid w:val="00051AF1"/>
    <w:rsid w:val="00051D42"/>
    <w:rsid w:val="00052105"/>
    <w:rsid w:val="00052522"/>
    <w:rsid w:val="0005282C"/>
    <w:rsid w:val="000528C8"/>
    <w:rsid w:val="00052E02"/>
    <w:rsid w:val="00053157"/>
    <w:rsid w:val="0005374A"/>
    <w:rsid w:val="000537C2"/>
    <w:rsid w:val="000538A1"/>
    <w:rsid w:val="00053BA7"/>
    <w:rsid w:val="00054660"/>
    <w:rsid w:val="000547EF"/>
    <w:rsid w:val="00054AF2"/>
    <w:rsid w:val="00054D80"/>
    <w:rsid w:val="00054E01"/>
    <w:rsid w:val="00054EC9"/>
    <w:rsid w:val="00054F88"/>
    <w:rsid w:val="00055035"/>
    <w:rsid w:val="000552F7"/>
    <w:rsid w:val="00055375"/>
    <w:rsid w:val="000558C9"/>
    <w:rsid w:val="00055A49"/>
    <w:rsid w:val="00055D7D"/>
    <w:rsid w:val="00056319"/>
    <w:rsid w:val="000564E7"/>
    <w:rsid w:val="00056770"/>
    <w:rsid w:val="000568AB"/>
    <w:rsid w:val="00056B1B"/>
    <w:rsid w:val="00056B2A"/>
    <w:rsid w:val="00056E4B"/>
    <w:rsid w:val="00056E89"/>
    <w:rsid w:val="00057386"/>
    <w:rsid w:val="00057A34"/>
    <w:rsid w:val="00057CEB"/>
    <w:rsid w:val="00057EEF"/>
    <w:rsid w:val="00057F1B"/>
    <w:rsid w:val="00060265"/>
    <w:rsid w:val="0006067B"/>
    <w:rsid w:val="0006082D"/>
    <w:rsid w:val="00060C49"/>
    <w:rsid w:val="00061307"/>
    <w:rsid w:val="00061327"/>
    <w:rsid w:val="0006159D"/>
    <w:rsid w:val="000616F2"/>
    <w:rsid w:val="000619CB"/>
    <w:rsid w:val="00061B8C"/>
    <w:rsid w:val="00061C91"/>
    <w:rsid w:val="0006231C"/>
    <w:rsid w:val="00062387"/>
    <w:rsid w:val="0006269F"/>
    <w:rsid w:val="0006298E"/>
    <w:rsid w:val="00062CFC"/>
    <w:rsid w:val="00062EA7"/>
    <w:rsid w:val="00063367"/>
    <w:rsid w:val="00063600"/>
    <w:rsid w:val="0006388B"/>
    <w:rsid w:val="00063891"/>
    <w:rsid w:val="000638FF"/>
    <w:rsid w:val="000639B9"/>
    <w:rsid w:val="00064046"/>
    <w:rsid w:val="000640F0"/>
    <w:rsid w:val="0006425F"/>
    <w:rsid w:val="0006434D"/>
    <w:rsid w:val="000643A1"/>
    <w:rsid w:val="000644A6"/>
    <w:rsid w:val="00064679"/>
    <w:rsid w:val="00064A13"/>
    <w:rsid w:val="00064A96"/>
    <w:rsid w:val="00064AF4"/>
    <w:rsid w:val="00064BCA"/>
    <w:rsid w:val="00064DB1"/>
    <w:rsid w:val="0006501D"/>
    <w:rsid w:val="000651F1"/>
    <w:rsid w:val="00065407"/>
    <w:rsid w:val="000656B3"/>
    <w:rsid w:val="00065BA3"/>
    <w:rsid w:val="00065D3B"/>
    <w:rsid w:val="00065FA4"/>
    <w:rsid w:val="00066236"/>
    <w:rsid w:val="000667E9"/>
    <w:rsid w:val="000668E9"/>
    <w:rsid w:val="00066C3E"/>
    <w:rsid w:val="00066C7A"/>
    <w:rsid w:val="00067128"/>
    <w:rsid w:val="000671AB"/>
    <w:rsid w:val="000671C7"/>
    <w:rsid w:val="000671D1"/>
    <w:rsid w:val="0006724C"/>
    <w:rsid w:val="000675CD"/>
    <w:rsid w:val="000677E5"/>
    <w:rsid w:val="00067872"/>
    <w:rsid w:val="000678AC"/>
    <w:rsid w:val="00067A4B"/>
    <w:rsid w:val="00067D0E"/>
    <w:rsid w:val="00067E66"/>
    <w:rsid w:val="00067ED3"/>
    <w:rsid w:val="000703B2"/>
    <w:rsid w:val="00070585"/>
    <w:rsid w:val="00070DD5"/>
    <w:rsid w:val="00070F11"/>
    <w:rsid w:val="00070FBF"/>
    <w:rsid w:val="000711EE"/>
    <w:rsid w:val="0007131E"/>
    <w:rsid w:val="0007180E"/>
    <w:rsid w:val="00071942"/>
    <w:rsid w:val="00071AE4"/>
    <w:rsid w:val="00071BCB"/>
    <w:rsid w:val="00071CB5"/>
    <w:rsid w:val="00071CCB"/>
    <w:rsid w:val="00071D03"/>
    <w:rsid w:val="00071D08"/>
    <w:rsid w:val="00071FAB"/>
    <w:rsid w:val="0007217E"/>
    <w:rsid w:val="0007232B"/>
    <w:rsid w:val="00072909"/>
    <w:rsid w:val="00072E64"/>
    <w:rsid w:val="0007305A"/>
    <w:rsid w:val="00073097"/>
    <w:rsid w:val="000735A2"/>
    <w:rsid w:val="000736AD"/>
    <w:rsid w:val="000738F4"/>
    <w:rsid w:val="00073D0F"/>
    <w:rsid w:val="0007411B"/>
    <w:rsid w:val="000745C5"/>
    <w:rsid w:val="00074B1D"/>
    <w:rsid w:val="00074BB4"/>
    <w:rsid w:val="000750F2"/>
    <w:rsid w:val="00075129"/>
    <w:rsid w:val="0007517E"/>
    <w:rsid w:val="00075676"/>
    <w:rsid w:val="00075C8D"/>
    <w:rsid w:val="00075FE1"/>
    <w:rsid w:val="00076667"/>
    <w:rsid w:val="00076F6B"/>
    <w:rsid w:val="00077473"/>
    <w:rsid w:val="00077481"/>
    <w:rsid w:val="00077486"/>
    <w:rsid w:val="000776F9"/>
    <w:rsid w:val="0007793D"/>
    <w:rsid w:val="00077BF3"/>
    <w:rsid w:val="00077CA4"/>
    <w:rsid w:val="00077D5A"/>
    <w:rsid w:val="00077EE0"/>
    <w:rsid w:val="00077F8C"/>
    <w:rsid w:val="0008013F"/>
    <w:rsid w:val="000802F9"/>
    <w:rsid w:val="00080738"/>
    <w:rsid w:val="0008084F"/>
    <w:rsid w:val="0008145A"/>
    <w:rsid w:val="0008162D"/>
    <w:rsid w:val="000819B2"/>
    <w:rsid w:val="000819E3"/>
    <w:rsid w:val="00081B4D"/>
    <w:rsid w:val="00082392"/>
    <w:rsid w:val="0008241F"/>
    <w:rsid w:val="00082F77"/>
    <w:rsid w:val="000831C8"/>
    <w:rsid w:val="00083F5E"/>
    <w:rsid w:val="000841E8"/>
    <w:rsid w:val="000847CB"/>
    <w:rsid w:val="000849A8"/>
    <w:rsid w:val="00084C7E"/>
    <w:rsid w:val="00084EB1"/>
    <w:rsid w:val="00084ED1"/>
    <w:rsid w:val="00084FC4"/>
    <w:rsid w:val="00084FDB"/>
    <w:rsid w:val="00085029"/>
    <w:rsid w:val="0008505C"/>
    <w:rsid w:val="000852BF"/>
    <w:rsid w:val="00085C46"/>
    <w:rsid w:val="00086231"/>
    <w:rsid w:val="0008641A"/>
    <w:rsid w:val="0008686A"/>
    <w:rsid w:val="00086B4E"/>
    <w:rsid w:val="00087175"/>
    <w:rsid w:val="000873F9"/>
    <w:rsid w:val="000878BF"/>
    <w:rsid w:val="00087BC2"/>
    <w:rsid w:val="00087D35"/>
    <w:rsid w:val="00087D9C"/>
    <w:rsid w:val="00087F5D"/>
    <w:rsid w:val="00090009"/>
    <w:rsid w:val="00090120"/>
    <w:rsid w:val="000901E6"/>
    <w:rsid w:val="00090203"/>
    <w:rsid w:val="00090F7A"/>
    <w:rsid w:val="000913B6"/>
    <w:rsid w:val="00091420"/>
    <w:rsid w:val="00091642"/>
    <w:rsid w:val="00091796"/>
    <w:rsid w:val="000918B7"/>
    <w:rsid w:val="000919B8"/>
    <w:rsid w:val="00091BA2"/>
    <w:rsid w:val="00091CB0"/>
    <w:rsid w:val="00092A6D"/>
    <w:rsid w:val="000930A3"/>
    <w:rsid w:val="00093449"/>
    <w:rsid w:val="0009387B"/>
    <w:rsid w:val="00093A31"/>
    <w:rsid w:val="00093AD4"/>
    <w:rsid w:val="00093FE2"/>
    <w:rsid w:val="00094324"/>
    <w:rsid w:val="00094344"/>
    <w:rsid w:val="00094823"/>
    <w:rsid w:val="00094A10"/>
    <w:rsid w:val="00094E57"/>
    <w:rsid w:val="000953C6"/>
    <w:rsid w:val="000953F4"/>
    <w:rsid w:val="00095663"/>
    <w:rsid w:val="00095672"/>
    <w:rsid w:val="00095743"/>
    <w:rsid w:val="0009590C"/>
    <w:rsid w:val="000959E7"/>
    <w:rsid w:val="00095A2C"/>
    <w:rsid w:val="00095C45"/>
    <w:rsid w:val="00095E7D"/>
    <w:rsid w:val="00095EDD"/>
    <w:rsid w:val="00095EF7"/>
    <w:rsid w:val="0009649A"/>
    <w:rsid w:val="000964DE"/>
    <w:rsid w:val="0009663B"/>
    <w:rsid w:val="00096843"/>
    <w:rsid w:val="000972AB"/>
    <w:rsid w:val="00097588"/>
    <w:rsid w:val="000975BA"/>
    <w:rsid w:val="000975EA"/>
    <w:rsid w:val="00097B40"/>
    <w:rsid w:val="00097D0E"/>
    <w:rsid w:val="000A0224"/>
    <w:rsid w:val="000A026B"/>
    <w:rsid w:val="000A087E"/>
    <w:rsid w:val="000A09B4"/>
    <w:rsid w:val="000A0E64"/>
    <w:rsid w:val="000A109B"/>
    <w:rsid w:val="000A10CF"/>
    <w:rsid w:val="000A1368"/>
    <w:rsid w:val="000A172D"/>
    <w:rsid w:val="000A17EA"/>
    <w:rsid w:val="000A185D"/>
    <w:rsid w:val="000A1A16"/>
    <w:rsid w:val="000A1C7A"/>
    <w:rsid w:val="000A1CD0"/>
    <w:rsid w:val="000A1D7F"/>
    <w:rsid w:val="000A2345"/>
    <w:rsid w:val="000A2394"/>
    <w:rsid w:val="000A257E"/>
    <w:rsid w:val="000A26AC"/>
    <w:rsid w:val="000A3038"/>
    <w:rsid w:val="000A31C1"/>
    <w:rsid w:val="000A32C5"/>
    <w:rsid w:val="000A3411"/>
    <w:rsid w:val="000A34CA"/>
    <w:rsid w:val="000A3595"/>
    <w:rsid w:val="000A3C8C"/>
    <w:rsid w:val="000A3DD3"/>
    <w:rsid w:val="000A426F"/>
    <w:rsid w:val="000A4559"/>
    <w:rsid w:val="000A45FD"/>
    <w:rsid w:val="000A477B"/>
    <w:rsid w:val="000A48FA"/>
    <w:rsid w:val="000A558D"/>
    <w:rsid w:val="000A558E"/>
    <w:rsid w:val="000A5611"/>
    <w:rsid w:val="000A563C"/>
    <w:rsid w:val="000A57B6"/>
    <w:rsid w:val="000A59C5"/>
    <w:rsid w:val="000A5C4E"/>
    <w:rsid w:val="000A5DEA"/>
    <w:rsid w:val="000A5EBD"/>
    <w:rsid w:val="000A622F"/>
    <w:rsid w:val="000A68BE"/>
    <w:rsid w:val="000A6A86"/>
    <w:rsid w:val="000A74CB"/>
    <w:rsid w:val="000A74FB"/>
    <w:rsid w:val="000A7658"/>
    <w:rsid w:val="000A7727"/>
    <w:rsid w:val="000A7A2A"/>
    <w:rsid w:val="000A7E94"/>
    <w:rsid w:val="000A7F0F"/>
    <w:rsid w:val="000A7F4C"/>
    <w:rsid w:val="000B02BC"/>
    <w:rsid w:val="000B0498"/>
    <w:rsid w:val="000B06C6"/>
    <w:rsid w:val="000B0703"/>
    <w:rsid w:val="000B0BE0"/>
    <w:rsid w:val="000B0F04"/>
    <w:rsid w:val="000B0F36"/>
    <w:rsid w:val="000B11D9"/>
    <w:rsid w:val="000B1464"/>
    <w:rsid w:val="000B16D4"/>
    <w:rsid w:val="000B171F"/>
    <w:rsid w:val="000B1942"/>
    <w:rsid w:val="000B1AF3"/>
    <w:rsid w:val="000B1BED"/>
    <w:rsid w:val="000B2240"/>
    <w:rsid w:val="000B2308"/>
    <w:rsid w:val="000B2477"/>
    <w:rsid w:val="000B2600"/>
    <w:rsid w:val="000B29A2"/>
    <w:rsid w:val="000B3459"/>
    <w:rsid w:val="000B36F9"/>
    <w:rsid w:val="000B3701"/>
    <w:rsid w:val="000B4074"/>
    <w:rsid w:val="000B42A1"/>
    <w:rsid w:val="000B42B4"/>
    <w:rsid w:val="000B44D1"/>
    <w:rsid w:val="000B4732"/>
    <w:rsid w:val="000B490A"/>
    <w:rsid w:val="000B4917"/>
    <w:rsid w:val="000B4948"/>
    <w:rsid w:val="000B4BCD"/>
    <w:rsid w:val="000B4DE3"/>
    <w:rsid w:val="000B4EE2"/>
    <w:rsid w:val="000B4FED"/>
    <w:rsid w:val="000B56F9"/>
    <w:rsid w:val="000B5709"/>
    <w:rsid w:val="000B58AA"/>
    <w:rsid w:val="000B5A02"/>
    <w:rsid w:val="000B66DC"/>
    <w:rsid w:val="000B6B80"/>
    <w:rsid w:val="000B6D1F"/>
    <w:rsid w:val="000B6FBF"/>
    <w:rsid w:val="000B72A5"/>
    <w:rsid w:val="000B797D"/>
    <w:rsid w:val="000B7997"/>
    <w:rsid w:val="000B7FD2"/>
    <w:rsid w:val="000C0004"/>
    <w:rsid w:val="000C00F4"/>
    <w:rsid w:val="000C0618"/>
    <w:rsid w:val="000C062F"/>
    <w:rsid w:val="000C064B"/>
    <w:rsid w:val="000C0C7E"/>
    <w:rsid w:val="000C0E68"/>
    <w:rsid w:val="000C1608"/>
    <w:rsid w:val="000C17E7"/>
    <w:rsid w:val="000C1FB4"/>
    <w:rsid w:val="000C2751"/>
    <w:rsid w:val="000C2AD3"/>
    <w:rsid w:val="000C31F1"/>
    <w:rsid w:val="000C31F6"/>
    <w:rsid w:val="000C3270"/>
    <w:rsid w:val="000C340C"/>
    <w:rsid w:val="000C3656"/>
    <w:rsid w:val="000C3C3C"/>
    <w:rsid w:val="000C3CAD"/>
    <w:rsid w:val="000C43B1"/>
    <w:rsid w:val="000C5285"/>
    <w:rsid w:val="000C5390"/>
    <w:rsid w:val="000C539E"/>
    <w:rsid w:val="000C565E"/>
    <w:rsid w:val="000C577E"/>
    <w:rsid w:val="000C58CE"/>
    <w:rsid w:val="000C5958"/>
    <w:rsid w:val="000C5AAF"/>
    <w:rsid w:val="000C5C9E"/>
    <w:rsid w:val="000C5DB8"/>
    <w:rsid w:val="000C5E42"/>
    <w:rsid w:val="000C5ECC"/>
    <w:rsid w:val="000C5F0F"/>
    <w:rsid w:val="000C685F"/>
    <w:rsid w:val="000C6A40"/>
    <w:rsid w:val="000C72CB"/>
    <w:rsid w:val="000C7FDF"/>
    <w:rsid w:val="000D007A"/>
    <w:rsid w:val="000D0166"/>
    <w:rsid w:val="000D01AE"/>
    <w:rsid w:val="000D02AA"/>
    <w:rsid w:val="000D04A2"/>
    <w:rsid w:val="000D04BA"/>
    <w:rsid w:val="000D07BB"/>
    <w:rsid w:val="000D08FD"/>
    <w:rsid w:val="000D0B6E"/>
    <w:rsid w:val="000D0D65"/>
    <w:rsid w:val="000D0D9D"/>
    <w:rsid w:val="000D102C"/>
    <w:rsid w:val="000D117D"/>
    <w:rsid w:val="000D11B2"/>
    <w:rsid w:val="000D12E0"/>
    <w:rsid w:val="000D1904"/>
    <w:rsid w:val="000D1944"/>
    <w:rsid w:val="000D1DD9"/>
    <w:rsid w:val="000D2172"/>
    <w:rsid w:val="000D22C8"/>
    <w:rsid w:val="000D293C"/>
    <w:rsid w:val="000D2BC1"/>
    <w:rsid w:val="000D2DBC"/>
    <w:rsid w:val="000D337B"/>
    <w:rsid w:val="000D385A"/>
    <w:rsid w:val="000D38C2"/>
    <w:rsid w:val="000D3CA7"/>
    <w:rsid w:val="000D3CB2"/>
    <w:rsid w:val="000D3DF1"/>
    <w:rsid w:val="000D41CC"/>
    <w:rsid w:val="000D4431"/>
    <w:rsid w:val="000D46E7"/>
    <w:rsid w:val="000D4BC3"/>
    <w:rsid w:val="000D4CA9"/>
    <w:rsid w:val="000D50C3"/>
    <w:rsid w:val="000D5446"/>
    <w:rsid w:val="000D547E"/>
    <w:rsid w:val="000D556E"/>
    <w:rsid w:val="000D578A"/>
    <w:rsid w:val="000D5B16"/>
    <w:rsid w:val="000D5BE0"/>
    <w:rsid w:val="000D5DF8"/>
    <w:rsid w:val="000D5FD6"/>
    <w:rsid w:val="000D60D3"/>
    <w:rsid w:val="000D6201"/>
    <w:rsid w:val="000D6322"/>
    <w:rsid w:val="000D6488"/>
    <w:rsid w:val="000D7088"/>
    <w:rsid w:val="000D7189"/>
    <w:rsid w:val="000D7254"/>
    <w:rsid w:val="000D75E7"/>
    <w:rsid w:val="000D770B"/>
    <w:rsid w:val="000D770E"/>
    <w:rsid w:val="000D788E"/>
    <w:rsid w:val="000D7A7C"/>
    <w:rsid w:val="000D7C6F"/>
    <w:rsid w:val="000D7E0C"/>
    <w:rsid w:val="000E0505"/>
    <w:rsid w:val="000E06B4"/>
    <w:rsid w:val="000E0980"/>
    <w:rsid w:val="000E0A38"/>
    <w:rsid w:val="000E0C38"/>
    <w:rsid w:val="000E0CF8"/>
    <w:rsid w:val="000E0F3E"/>
    <w:rsid w:val="000E102D"/>
    <w:rsid w:val="000E1080"/>
    <w:rsid w:val="000E12B0"/>
    <w:rsid w:val="000E1349"/>
    <w:rsid w:val="000E1780"/>
    <w:rsid w:val="000E1A00"/>
    <w:rsid w:val="000E1A02"/>
    <w:rsid w:val="000E1BC8"/>
    <w:rsid w:val="000E1D32"/>
    <w:rsid w:val="000E201F"/>
    <w:rsid w:val="000E2473"/>
    <w:rsid w:val="000E26D8"/>
    <w:rsid w:val="000E292D"/>
    <w:rsid w:val="000E29C0"/>
    <w:rsid w:val="000E2B94"/>
    <w:rsid w:val="000E2ECD"/>
    <w:rsid w:val="000E2FA0"/>
    <w:rsid w:val="000E2FE7"/>
    <w:rsid w:val="000E3156"/>
    <w:rsid w:val="000E3255"/>
    <w:rsid w:val="000E35B6"/>
    <w:rsid w:val="000E3865"/>
    <w:rsid w:val="000E39FF"/>
    <w:rsid w:val="000E3BB8"/>
    <w:rsid w:val="000E3D9B"/>
    <w:rsid w:val="000E3DFD"/>
    <w:rsid w:val="000E3EC9"/>
    <w:rsid w:val="000E3FE4"/>
    <w:rsid w:val="000E3FF2"/>
    <w:rsid w:val="000E4261"/>
    <w:rsid w:val="000E429D"/>
    <w:rsid w:val="000E44FC"/>
    <w:rsid w:val="000E4697"/>
    <w:rsid w:val="000E4716"/>
    <w:rsid w:val="000E4849"/>
    <w:rsid w:val="000E4A02"/>
    <w:rsid w:val="000E4B5E"/>
    <w:rsid w:val="000E50B1"/>
    <w:rsid w:val="000E50DC"/>
    <w:rsid w:val="000E5444"/>
    <w:rsid w:val="000E54C2"/>
    <w:rsid w:val="000E5561"/>
    <w:rsid w:val="000E5609"/>
    <w:rsid w:val="000E5621"/>
    <w:rsid w:val="000E5684"/>
    <w:rsid w:val="000E58C5"/>
    <w:rsid w:val="000E5D90"/>
    <w:rsid w:val="000E60D9"/>
    <w:rsid w:val="000E6203"/>
    <w:rsid w:val="000E64CB"/>
    <w:rsid w:val="000E6507"/>
    <w:rsid w:val="000E67AA"/>
    <w:rsid w:val="000E67EA"/>
    <w:rsid w:val="000E68A0"/>
    <w:rsid w:val="000E710C"/>
    <w:rsid w:val="000E722C"/>
    <w:rsid w:val="000E744E"/>
    <w:rsid w:val="000E755B"/>
    <w:rsid w:val="000E786F"/>
    <w:rsid w:val="000E78D3"/>
    <w:rsid w:val="000E7DA7"/>
    <w:rsid w:val="000E7DE4"/>
    <w:rsid w:val="000E7F50"/>
    <w:rsid w:val="000E7FA0"/>
    <w:rsid w:val="000E7FFD"/>
    <w:rsid w:val="000F00BA"/>
    <w:rsid w:val="000F01DB"/>
    <w:rsid w:val="000F02F8"/>
    <w:rsid w:val="000F0387"/>
    <w:rsid w:val="000F0409"/>
    <w:rsid w:val="000F049F"/>
    <w:rsid w:val="000F04D3"/>
    <w:rsid w:val="000F0642"/>
    <w:rsid w:val="000F07FA"/>
    <w:rsid w:val="000F0B5E"/>
    <w:rsid w:val="000F0CB2"/>
    <w:rsid w:val="000F0D32"/>
    <w:rsid w:val="000F0DD9"/>
    <w:rsid w:val="000F131A"/>
    <w:rsid w:val="000F1929"/>
    <w:rsid w:val="000F1D43"/>
    <w:rsid w:val="000F1FFF"/>
    <w:rsid w:val="000F20AA"/>
    <w:rsid w:val="000F2404"/>
    <w:rsid w:val="000F2651"/>
    <w:rsid w:val="000F2856"/>
    <w:rsid w:val="000F2BAA"/>
    <w:rsid w:val="000F3084"/>
    <w:rsid w:val="000F348D"/>
    <w:rsid w:val="000F369A"/>
    <w:rsid w:val="000F374D"/>
    <w:rsid w:val="000F38FA"/>
    <w:rsid w:val="000F3D3A"/>
    <w:rsid w:val="000F3E7E"/>
    <w:rsid w:val="000F3EB3"/>
    <w:rsid w:val="000F40AC"/>
    <w:rsid w:val="000F40FC"/>
    <w:rsid w:val="000F4215"/>
    <w:rsid w:val="000F4463"/>
    <w:rsid w:val="000F45D0"/>
    <w:rsid w:val="000F467F"/>
    <w:rsid w:val="000F4774"/>
    <w:rsid w:val="000F4F0E"/>
    <w:rsid w:val="000F5285"/>
    <w:rsid w:val="000F52E0"/>
    <w:rsid w:val="000F53A9"/>
    <w:rsid w:val="000F5709"/>
    <w:rsid w:val="000F6464"/>
    <w:rsid w:val="000F64A8"/>
    <w:rsid w:val="000F6628"/>
    <w:rsid w:val="000F67E4"/>
    <w:rsid w:val="000F6C25"/>
    <w:rsid w:val="000F6DB0"/>
    <w:rsid w:val="000F7073"/>
    <w:rsid w:val="000F7208"/>
    <w:rsid w:val="000F7355"/>
    <w:rsid w:val="000F74B1"/>
    <w:rsid w:val="000F76EB"/>
    <w:rsid w:val="000F78AE"/>
    <w:rsid w:val="000F7CB9"/>
    <w:rsid w:val="000F7D48"/>
    <w:rsid w:val="000F7E25"/>
    <w:rsid w:val="00100240"/>
    <w:rsid w:val="00100297"/>
    <w:rsid w:val="001007EE"/>
    <w:rsid w:val="00100DAC"/>
    <w:rsid w:val="00100F76"/>
    <w:rsid w:val="0010111F"/>
    <w:rsid w:val="0010126E"/>
    <w:rsid w:val="0010148E"/>
    <w:rsid w:val="001014D1"/>
    <w:rsid w:val="001015CD"/>
    <w:rsid w:val="001015F0"/>
    <w:rsid w:val="00101626"/>
    <w:rsid w:val="0010165D"/>
    <w:rsid w:val="00101B9A"/>
    <w:rsid w:val="00101CE5"/>
    <w:rsid w:val="00102172"/>
    <w:rsid w:val="0010217A"/>
    <w:rsid w:val="001022F5"/>
    <w:rsid w:val="0010253C"/>
    <w:rsid w:val="0010259C"/>
    <w:rsid w:val="00102BD1"/>
    <w:rsid w:val="00102FFD"/>
    <w:rsid w:val="0010306F"/>
    <w:rsid w:val="0010352D"/>
    <w:rsid w:val="001036C2"/>
    <w:rsid w:val="00103A99"/>
    <w:rsid w:val="001045DC"/>
    <w:rsid w:val="00104750"/>
    <w:rsid w:val="0010486A"/>
    <w:rsid w:val="00104BFD"/>
    <w:rsid w:val="0010512C"/>
    <w:rsid w:val="00105355"/>
    <w:rsid w:val="0010561C"/>
    <w:rsid w:val="0010574E"/>
    <w:rsid w:val="001059B7"/>
    <w:rsid w:val="00105C0F"/>
    <w:rsid w:val="00105E39"/>
    <w:rsid w:val="00105FA5"/>
    <w:rsid w:val="0010644C"/>
    <w:rsid w:val="00106561"/>
    <w:rsid w:val="00106D63"/>
    <w:rsid w:val="001075F3"/>
    <w:rsid w:val="00107977"/>
    <w:rsid w:val="00107A01"/>
    <w:rsid w:val="00107B76"/>
    <w:rsid w:val="00107C23"/>
    <w:rsid w:val="00107EEF"/>
    <w:rsid w:val="00107F33"/>
    <w:rsid w:val="001101EE"/>
    <w:rsid w:val="00110307"/>
    <w:rsid w:val="001104AB"/>
    <w:rsid w:val="00110A5E"/>
    <w:rsid w:val="00110C7F"/>
    <w:rsid w:val="00110CC3"/>
    <w:rsid w:val="00110EE2"/>
    <w:rsid w:val="001116A8"/>
    <w:rsid w:val="001116B6"/>
    <w:rsid w:val="00111903"/>
    <w:rsid w:val="00111A88"/>
    <w:rsid w:val="0011221A"/>
    <w:rsid w:val="00112A53"/>
    <w:rsid w:val="00113283"/>
    <w:rsid w:val="0011371E"/>
    <w:rsid w:val="001137AE"/>
    <w:rsid w:val="00113B20"/>
    <w:rsid w:val="00113E72"/>
    <w:rsid w:val="00113ECD"/>
    <w:rsid w:val="0011479E"/>
    <w:rsid w:val="001147B3"/>
    <w:rsid w:val="001147E1"/>
    <w:rsid w:val="0011483A"/>
    <w:rsid w:val="001148F7"/>
    <w:rsid w:val="001149B2"/>
    <w:rsid w:val="00114B47"/>
    <w:rsid w:val="00114C2D"/>
    <w:rsid w:val="00114E3E"/>
    <w:rsid w:val="00114EB8"/>
    <w:rsid w:val="00115102"/>
    <w:rsid w:val="00115125"/>
    <w:rsid w:val="001152F2"/>
    <w:rsid w:val="00115451"/>
    <w:rsid w:val="001156F7"/>
    <w:rsid w:val="001157D7"/>
    <w:rsid w:val="00115984"/>
    <w:rsid w:val="00115AF3"/>
    <w:rsid w:val="00115E1B"/>
    <w:rsid w:val="00116382"/>
    <w:rsid w:val="00116484"/>
    <w:rsid w:val="0011659B"/>
    <w:rsid w:val="0011673E"/>
    <w:rsid w:val="00116ACF"/>
    <w:rsid w:val="00116D5C"/>
    <w:rsid w:val="00117207"/>
    <w:rsid w:val="001172B2"/>
    <w:rsid w:val="00117421"/>
    <w:rsid w:val="001179DA"/>
    <w:rsid w:val="00117BF5"/>
    <w:rsid w:val="00117D4D"/>
    <w:rsid w:val="00117F9B"/>
    <w:rsid w:val="00117FA2"/>
    <w:rsid w:val="00120CDF"/>
    <w:rsid w:val="00121211"/>
    <w:rsid w:val="00121628"/>
    <w:rsid w:val="0012167D"/>
    <w:rsid w:val="00121736"/>
    <w:rsid w:val="001218B6"/>
    <w:rsid w:val="00121A6C"/>
    <w:rsid w:val="00121BE3"/>
    <w:rsid w:val="00122121"/>
    <w:rsid w:val="00122189"/>
    <w:rsid w:val="00122280"/>
    <w:rsid w:val="001224FE"/>
    <w:rsid w:val="0012284F"/>
    <w:rsid w:val="001228F2"/>
    <w:rsid w:val="00122AEA"/>
    <w:rsid w:val="00122C11"/>
    <w:rsid w:val="00122D42"/>
    <w:rsid w:val="00122E22"/>
    <w:rsid w:val="00123163"/>
    <w:rsid w:val="001232F3"/>
    <w:rsid w:val="00123345"/>
    <w:rsid w:val="0012373E"/>
    <w:rsid w:val="00123C46"/>
    <w:rsid w:val="00124329"/>
    <w:rsid w:val="0012470B"/>
    <w:rsid w:val="00124878"/>
    <w:rsid w:val="001249EE"/>
    <w:rsid w:val="00124D94"/>
    <w:rsid w:val="001250B4"/>
    <w:rsid w:val="00125C75"/>
    <w:rsid w:val="00125C7E"/>
    <w:rsid w:val="00125D0D"/>
    <w:rsid w:val="0012639C"/>
    <w:rsid w:val="0012682B"/>
    <w:rsid w:val="0012690C"/>
    <w:rsid w:val="00126CAB"/>
    <w:rsid w:val="001274F6"/>
    <w:rsid w:val="00127945"/>
    <w:rsid w:val="00127C1F"/>
    <w:rsid w:val="00127D94"/>
    <w:rsid w:val="00127E90"/>
    <w:rsid w:val="001302C1"/>
    <w:rsid w:val="0013059F"/>
    <w:rsid w:val="001306D3"/>
    <w:rsid w:val="001307F6"/>
    <w:rsid w:val="001310BF"/>
    <w:rsid w:val="001317BB"/>
    <w:rsid w:val="001317CE"/>
    <w:rsid w:val="001320CF"/>
    <w:rsid w:val="00132C0D"/>
    <w:rsid w:val="001332CB"/>
    <w:rsid w:val="001333A2"/>
    <w:rsid w:val="00133452"/>
    <w:rsid w:val="00133535"/>
    <w:rsid w:val="00133965"/>
    <w:rsid w:val="00133C12"/>
    <w:rsid w:val="00133D33"/>
    <w:rsid w:val="00133DD9"/>
    <w:rsid w:val="00133E73"/>
    <w:rsid w:val="00133EBB"/>
    <w:rsid w:val="00133FDB"/>
    <w:rsid w:val="0013420E"/>
    <w:rsid w:val="001342B2"/>
    <w:rsid w:val="001344F3"/>
    <w:rsid w:val="00134638"/>
    <w:rsid w:val="00134F06"/>
    <w:rsid w:val="00134F4A"/>
    <w:rsid w:val="001351A0"/>
    <w:rsid w:val="00135202"/>
    <w:rsid w:val="00135656"/>
    <w:rsid w:val="00135A1B"/>
    <w:rsid w:val="00135BA4"/>
    <w:rsid w:val="00135E4E"/>
    <w:rsid w:val="001361B4"/>
    <w:rsid w:val="00136246"/>
    <w:rsid w:val="001364D4"/>
    <w:rsid w:val="001368D1"/>
    <w:rsid w:val="00136D02"/>
    <w:rsid w:val="00136DAF"/>
    <w:rsid w:val="00136E9D"/>
    <w:rsid w:val="001371C8"/>
    <w:rsid w:val="00137240"/>
    <w:rsid w:val="001372A2"/>
    <w:rsid w:val="001372DC"/>
    <w:rsid w:val="001372ED"/>
    <w:rsid w:val="001372FD"/>
    <w:rsid w:val="0013756B"/>
    <w:rsid w:val="001376BB"/>
    <w:rsid w:val="00137B79"/>
    <w:rsid w:val="0014002F"/>
    <w:rsid w:val="0014008C"/>
    <w:rsid w:val="00140159"/>
    <w:rsid w:val="0014028C"/>
    <w:rsid w:val="0014039B"/>
    <w:rsid w:val="00140A9D"/>
    <w:rsid w:val="00140C6B"/>
    <w:rsid w:val="00140CE3"/>
    <w:rsid w:val="00140FEF"/>
    <w:rsid w:val="0014109A"/>
    <w:rsid w:val="00141190"/>
    <w:rsid w:val="00141416"/>
    <w:rsid w:val="001414C9"/>
    <w:rsid w:val="0014155B"/>
    <w:rsid w:val="00141916"/>
    <w:rsid w:val="00141DC3"/>
    <w:rsid w:val="00141FE8"/>
    <w:rsid w:val="001420BF"/>
    <w:rsid w:val="001420C7"/>
    <w:rsid w:val="00142369"/>
    <w:rsid w:val="00142452"/>
    <w:rsid w:val="0014245B"/>
    <w:rsid w:val="0014258C"/>
    <w:rsid w:val="00142AA2"/>
    <w:rsid w:val="00142B50"/>
    <w:rsid w:val="00142CE4"/>
    <w:rsid w:val="00142FF2"/>
    <w:rsid w:val="001437AF"/>
    <w:rsid w:val="00143873"/>
    <w:rsid w:val="001439E9"/>
    <w:rsid w:val="00143C55"/>
    <w:rsid w:val="00144A44"/>
    <w:rsid w:val="00144AF7"/>
    <w:rsid w:val="00144C51"/>
    <w:rsid w:val="00144C6F"/>
    <w:rsid w:val="00145089"/>
    <w:rsid w:val="001450D7"/>
    <w:rsid w:val="0014517D"/>
    <w:rsid w:val="001451E7"/>
    <w:rsid w:val="00145452"/>
    <w:rsid w:val="0014621C"/>
    <w:rsid w:val="001462E3"/>
    <w:rsid w:val="001463AC"/>
    <w:rsid w:val="00146743"/>
    <w:rsid w:val="001468DE"/>
    <w:rsid w:val="0014720C"/>
    <w:rsid w:val="00147291"/>
    <w:rsid w:val="001472C2"/>
    <w:rsid w:val="00147458"/>
    <w:rsid w:val="0014785C"/>
    <w:rsid w:val="00147B60"/>
    <w:rsid w:val="00147E21"/>
    <w:rsid w:val="00147F77"/>
    <w:rsid w:val="00150026"/>
    <w:rsid w:val="00150399"/>
    <w:rsid w:val="001503A3"/>
    <w:rsid w:val="00150536"/>
    <w:rsid w:val="00150749"/>
    <w:rsid w:val="00150BA8"/>
    <w:rsid w:val="00150C74"/>
    <w:rsid w:val="00150D0F"/>
    <w:rsid w:val="00150D19"/>
    <w:rsid w:val="00151242"/>
    <w:rsid w:val="00151402"/>
    <w:rsid w:val="0015144E"/>
    <w:rsid w:val="0015145C"/>
    <w:rsid w:val="0015181B"/>
    <w:rsid w:val="00151A9F"/>
    <w:rsid w:val="001522CF"/>
    <w:rsid w:val="0015296E"/>
    <w:rsid w:val="00152B87"/>
    <w:rsid w:val="00152C79"/>
    <w:rsid w:val="00152F6E"/>
    <w:rsid w:val="00153851"/>
    <w:rsid w:val="00153A96"/>
    <w:rsid w:val="00153D09"/>
    <w:rsid w:val="00153D1C"/>
    <w:rsid w:val="00153D99"/>
    <w:rsid w:val="00153DAE"/>
    <w:rsid w:val="00154231"/>
    <w:rsid w:val="001542F5"/>
    <w:rsid w:val="001543E2"/>
    <w:rsid w:val="001544EC"/>
    <w:rsid w:val="00154619"/>
    <w:rsid w:val="00154A41"/>
    <w:rsid w:val="00154CC2"/>
    <w:rsid w:val="00154D5B"/>
    <w:rsid w:val="00155B43"/>
    <w:rsid w:val="001561F2"/>
    <w:rsid w:val="00156561"/>
    <w:rsid w:val="001565A2"/>
    <w:rsid w:val="001565B6"/>
    <w:rsid w:val="001567C3"/>
    <w:rsid w:val="00156A12"/>
    <w:rsid w:val="00156C13"/>
    <w:rsid w:val="00156DBB"/>
    <w:rsid w:val="00156F48"/>
    <w:rsid w:val="00157365"/>
    <w:rsid w:val="00157613"/>
    <w:rsid w:val="0015763D"/>
    <w:rsid w:val="00157A92"/>
    <w:rsid w:val="00157B3F"/>
    <w:rsid w:val="00157F8A"/>
    <w:rsid w:val="0016052F"/>
    <w:rsid w:val="00160995"/>
    <w:rsid w:val="001609D6"/>
    <w:rsid w:val="00160BA7"/>
    <w:rsid w:val="00160C3D"/>
    <w:rsid w:val="00160DDC"/>
    <w:rsid w:val="00160FD9"/>
    <w:rsid w:val="00161153"/>
    <w:rsid w:val="001611DD"/>
    <w:rsid w:val="001613B7"/>
    <w:rsid w:val="00161716"/>
    <w:rsid w:val="001618E5"/>
    <w:rsid w:val="0016198F"/>
    <w:rsid w:val="00161A8B"/>
    <w:rsid w:val="00161B24"/>
    <w:rsid w:val="00161C11"/>
    <w:rsid w:val="00161C41"/>
    <w:rsid w:val="00161DD5"/>
    <w:rsid w:val="00161EDD"/>
    <w:rsid w:val="0016225A"/>
    <w:rsid w:val="001628DE"/>
    <w:rsid w:val="00162FD2"/>
    <w:rsid w:val="001631CB"/>
    <w:rsid w:val="0016339D"/>
    <w:rsid w:val="001633A4"/>
    <w:rsid w:val="001634D6"/>
    <w:rsid w:val="0016403B"/>
    <w:rsid w:val="00164604"/>
    <w:rsid w:val="001648DD"/>
    <w:rsid w:val="00164DD1"/>
    <w:rsid w:val="0016511C"/>
    <w:rsid w:val="001652C2"/>
    <w:rsid w:val="00165705"/>
    <w:rsid w:val="00165E4C"/>
    <w:rsid w:val="001661F7"/>
    <w:rsid w:val="00166345"/>
    <w:rsid w:val="00166389"/>
    <w:rsid w:val="001668EF"/>
    <w:rsid w:val="00166CAD"/>
    <w:rsid w:val="00166E03"/>
    <w:rsid w:val="00167238"/>
    <w:rsid w:val="0016767B"/>
    <w:rsid w:val="00167C7A"/>
    <w:rsid w:val="00167DF5"/>
    <w:rsid w:val="00167E4C"/>
    <w:rsid w:val="0017005A"/>
    <w:rsid w:val="0017033C"/>
    <w:rsid w:val="0017111E"/>
    <w:rsid w:val="00171449"/>
    <w:rsid w:val="0017199C"/>
    <w:rsid w:val="00171B98"/>
    <w:rsid w:val="00171C53"/>
    <w:rsid w:val="00171C7E"/>
    <w:rsid w:val="00171DD5"/>
    <w:rsid w:val="00171F35"/>
    <w:rsid w:val="00172552"/>
    <w:rsid w:val="00172873"/>
    <w:rsid w:val="0017299C"/>
    <w:rsid w:val="00172BBA"/>
    <w:rsid w:val="00172CF7"/>
    <w:rsid w:val="00172FAE"/>
    <w:rsid w:val="0017319E"/>
    <w:rsid w:val="0017325A"/>
    <w:rsid w:val="00173A1F"/>
    <w:rsid w:val="00173BC3"/>
    <w:rsid w:val="00174128"/>
    <w:rsid w:val="00174945"/>
    <w:rsid w:val="001749B5"/>
    <w:rsid w:val="001749DE"/>
    <w:rsid w:val="001750D7"/>
    <w:rsid w:val="00175308"/>
    <w:rsid w:val="001753F7"/>
    <w:rsid w:val="001755D2"/>
    <w:rsid w:val="001758F8"/>
    <w:rsid w:val="00175C34"/>
    <w:rsid w:val="00175DCC"/>
    <w:rsid w:val="00175F4F"/>
    <w:rsid w:val="00175F9A"/>
    <w:rsid w:val="001760D1"/>
    <w:rsid w:val="001761FA"/>
    <w:rsid w:val="00176E98"/>
    <w:rsid w:val="00177293"/>
    <w:rsid w:val="00177704"/>
    <w:rsid w:val="001777C2"/>
    <w:rsid w:val="00177996"/>
    <w:rsid w:val="00177AFC"/>
    <w:rsid w:val="00177F5D"/>
    <w:rsid w:val="0018019F"/>
    <w:rsid w:val="00180242"/>
    <w:rsid w:val="0018032A"/>
    <w:rsid w:val="0018032E"/>
    <w:rsid w:val="00180380"/>
    <w:rsid w:val="0018050F"/>
    <w:rsid w:val="00180B3F"/>
    <w:rsid w:val="00180C83"/>
    <w:rsid w:val="00180CE5"/>
    <w:rsid w:val="00181497"/>
    <w:rsid w:val="001814EF"/>
    <w:rsid w:val="00181526"/>
    <w:rsid w:val="0018175B"/>
    <w:rsid w:val="001820A3"/>
    <w:rsid w:val="00182651"/>
    <w:rsid w:val="0018274D"/>
    <w:rsid w:val="00182AE2"/>
    <w:rsid w:val="00182B63"/>
    <w:rsid w:val="00182C84"/>
    <w:rsid w:val="001831F5"/>
    <w:rsid w:val="0018332A"/>
    <w:rsid w:val="00183937"/>
    <w:rsid w:val="00183BFB"/>
    <w:rsid w:val="00183D80"/>
    <w:rsid w:val="001842C8"/>
    <w:rsid w:val="0018448C"/>
    <w:rsid w:val="0018467A"/>
    <w:rsid w:val="0018467D"/>
    <w:rsid w:val="001846B6"/>
    <w:rsid w:val="00184ADD"/>
    <w:rsid w:val="00184C6E"/>
    <w:rsid w:val="00184FC3"/>
    <w:rsid w:val="00185044"/>
    <w:rsid w:val="001850DB"/>
    <w:rsid w:val="0018510C"/>
    <w:rsid w:val="0018599C"/>
    <w:rsid w:val="00185C79"/>
    <w:rsid w:val="00185E60"/>
    <w:rsid w:val="0018611C"/>
    <w:rsid w:val="00186752"/>
    <w:rsid w:val="001869EE"/>
    <w:rsid w:val="00186CE2"/>
    <w:rsid w:val="00186D00"/>
    <w:rsid w:val="0018743A"/>
    <w:rsid w:val="0018746F"/>
    <w:rsid w:val="001874D7"/>
    <w:rsid w:val="00187551"/>
    <w:rsid w:val="001878BF"/>
    <w:rsid w:val="00187B5E"/>
    <w:rsid w:val="00187B61"/>
    <w:rsid w:val="00187C83"/>
    <w:rsid w:val="00187E3E"/>
    <w:rsid w:val="00190564"/>
    <w:rsid w:val="00190879"/>
    <w:rsid w:val="00190A57"/>
    <w:rsid w:val="00190B3F"/>
    <w:rsid w:val="00190B78"/>
    <w:rsid w:val="00190BEC"/>
    <w:rsid w:val="00190D0D"/>
    <w:rsid w:val="0019122C"/>
    <w:rsid w:val="001912D5"/>
    <w:rsid w:val="0019138E"/>
    <w:rsid w:val="00191908"/>
    <w:rsid w:val="00191F64"/>
    <w:rsid w:val="001920E2"/>
    <w:rsid w:val="001921A3"/>
    <w:rsid w:val="00192CE7"/>
    <w:rsid w:val="00192DF3"/>
    <w:rsid w:val="0019301F"/>
    <w:rsid w:val="0019309C"/>
    <w:rsid w:val="00193229"/>
    <w:rsid w:val="00193286"/>
    <w:rsid w:val="001937B8"/>
    <w:rsid w:val="001937C9"/>
    <w:rsid w:val="00193961"/>
    <w:rsid w:val="00193984"/>
    <w:rsid w:val="001939D1"/>
    <w:rsid w:val="00193C59"/>
    <w:rsid w:val="001940B2"/>
    <w:rsid w:val="0019425A"/>
    <w:rsid w:val="0019438C"/>
    <w:rsid w:val="00194B49"/>
    <w:rsid w:val="00194BB7"/>
    <w:rsid w:val="00194CC5"/>
    <w:rsid w:val="00195016"/>
    <w:rsid w:val="001951B2"/>
    <w:rsid w:val="0019565D"/>
    <w:rsid w:val="00195CCB"/>
    <w:rsid w:val="00195EF6"/>
    <w:rsid w:val="001974DE"/>
    <w:rsid w:val="00197564"/>
    <w:rsid w:val="00197EC2"/>
    <w:rsid w:val="00197ECE"/>
    <w:rsid w:val="001A0621"/>
    <w:rsid w:val="001A0A16"/>
    <w:rsid w:val="001A0E51"/>
    <w:rsid w:val="001A1239"/>
    <w:rsid w:val="001A1CED"/>
    <w:rsid w:val="001A2352"/>
    <w:rsid w:val="001A2381"/>
    <w:rsid w:val="001A2563"/>
    <w:rsid w:val="001A279B"/>
    <w:rsid w:val="001A2DC3"/>
    <w:rsid w:val="001A2E87"/>
    <w:rsid w:val="001A3318"/>
    <w:rsid w:val="001A3869"/>
    <w:rsid w:val="001A38C2"/>
    <w:rsid w:val="001A38E6"/>
    <w:rsid w:val="001A3DCA"/>
    <w:rsid w:val="001A431E"/>
    <w:rsid w:val="001A44E6"/>
    <w:rsid w:val="001A45FB"/>
    <w:rsid w:val="001A4662"/>
    <w:rsid w:val="001A476E"/>
    <w:rsid w:val="001A4C0A"/>
    <w:rsid w:val="001A564C"/>
    <w:rsid w:val="001A58BA"/>
    <w:rsid w:val="001A59D8"/>
    <w:rsid w:val="001A5DC1"/>
    <w:rsid w:val="001A62C8"/>
    <w:rsid w:val="001A65C8"/>
    <w:rsid w:val="001A6622"/>
    <w:rsid w:val="001A6E9F"/>
    <w:rsid w:val="001A732E"/>
    <w:rsid w:val="001A737C"/>
    <w:rsid w:val="001A795D"/>
    <w:rsid w:val="001A7C91"/>
    <w:rsid w:val="001A7CB1"/>
    <w:rsid w:val="001A7DA4"/>
    <w:rsid w:val="001A7F30"/>
    <w:rsid w:val="001B06BD"/>
    <w:rsid w:val="001B06E2"/>
    <w:rsid w:val="001B0887"/>
    <w:rsid w:val="001B0AD6"/>
    <w:rsid w:val="001B0C63"/>
    <w:rsid w:val="001B0E42"/>
    <w:rsid w:val="001B0E6B"/>
    <w:rsid w:val="001B103A"/>
    <w:rsid w:val="001B103D"/>
    <w:rsid w:val="001B1513"/>
    <w:rsid w:val="001B1767"/>
    <w:rsid w:val="001B196F"/>
    <w:rsid w:val="001B1A2C"/>
    <w:rsid w:val="001B1A3D"/>
    <w:rsid w:val="001B1EA6"/>
    <w:rsid w:val="001B2088"/>
    <w:rsid w:val="001B2149"/>
    <w:rsid w:val="001B23DD"/>
    <w:rsid w:val="001B2453"/>
    <w:rsid w:val="001B274F"/>
    <w:rsid w:val="001B27DD"/>
    <w:rsid w:val="001B27EF"/>
    <w:rsid w:val="001B2838"/>
    <w:rsid w:val="001B2B74"/>
    <w:rsid w:val="001B2C7C"/>
    <w:rsid w:val="001B2DDC"/>
    <w:rsid w:val="001B2EC7"/>
    <w:rsid w:val="001B3040"/>
    <w:rsid w:val="001B31D6"/>
    <w:rsid w:val="001B3A4B"/>
    <w:rsid w:val="001B3D48"/>
    <w:rsid w:val="001B42D1"/>
    <w:rsid w:val="001B4781"/>
    <w:rsid w:val="001B4A43"/>
    <w:rsid w:val="001B4DFC"/>
    <w:rsid w:val="001B5272"/>
    <w:rsid w:val="001B5561"/>
    <w:rsid w:val="001B5AF9"/>
    <w:rsid w:val="001B5CBB"/>
    <w:rsid w:val="001B6404"/>
    <w:rsid w:val="001B6600"/>
    <w:rsid w:val="001B6764"/>
    <w:rsid w:val="001B6B9B"/>
    <w:rsid w:val="001B6C27"/>
    <w:rsid w:val="001B7054"/>
    <w:rsid w:val="001B7144"/>
    <w:rsid w:val="001B720D"/>
    <w:rsid w:val="001B727F"/>
    <w:rsid w:val="001B742E"/>
    <w:rsid w:val="001B7E91"/>
    <w:rsid w:val="001C034C"/>
    <w:rsid w:val="001C0603"/>
    <w:rsid w:val="001C0CDB"/>
    <w:rsid w:val="001C0ED0"/>
    <w:rsid w:val="001C147E"/>
    <w:rsid w:val="001C151B"/>
    <w:rsid w:val="001C1525"/>
    <w:rsid w:val="001C1595"/>
    <w:rsid w:val="001C1766"/>
    <w:rsid w:val="001C19E5"/>
    <w:rsid w:val="001C1F2C"/>
    <w:rsid w:val="001C1FFE"/>
    <w:rsid w:val="001C27BE"/>
    <w:rsid w:val="001C2C33"/>
    <w:rsid w:val="001C2D89"/>
    <w:rsid w:val="001C308F"/>
    <w:rsid w:val="001C3267"/>
    <w:rsid w:val="001C3268"/>
    <w:rsid w:val="001C3800"/>
    <w:rsid w:val="001C382B"/>
    <w:rsid w:val="001C389B"/>
    <w:rsid w:val="001C3906"/>
    <w:rsid w:val="001C3C7B"/>
    <w:rsid w:val="001C4C5B"/>
    <w:rsid w:val="001C5724"/>
    <w:rsid w:val="001C5B92"/>
    <w:rsid w:val="001C5D22"/>
    <w:rsid w:val="001C5D24"/>
    <w:rsid w:val="001C6122"/>
    <w:rsid w:val="001C6587"/>
    <w:rsid w:val="001C662F"/>
    <w:rsid w:val="001C6672"/>
    <w:rsid w:val="001C6990"/>
    <w:rsid w:val="001C69BE"/>
    <w:rsid w:val="001C6DB5"/>
    <w:rsid w:val="001C71AC"/>
    <w:rsid w:val="001C7316"/>
    <w:rsid w:val="001C738F"/>
    <w:rsid w:val="001C7D09"/>
    <w:rsid w:val="001C7E5C"/>
    <w:rsid w:val="001D00CC"/>
    <w:rsid w:val="001D02B8"/>
    <w:rsid w:val="001D0494"/>
    <w:rsid w:val="001D06FA"/>
    <w:rsid w:val="001D0745"/>
    <w:rsid w:val="001D078E"/>
    <w:rsid w:val="001D07B7"/>
    <w:rsid w:val="001D0A1B"/>
    <w:rsid w:val="001D0C4A"/>
    <w:rsid w:val="001D13E3"/>
    <w:rsid w:val="001D1719"/>
    <w:rsid w:val="001D171B"/>
    <w:rsid w:val="001D1732"/>
    <w:rsid w:val="001D1D36"/>
    <w:rsid w:val="001D1E2E"/>
    <w:rsid w:val="001D1F59"/>
    <w:rsid w:val="001D2182"/>
    <w:rsid w:val="001D2203"/>
    <w:rsid w:val="001D255C"/>
    <w:rsid w:val="001D289A"/>
    <w:rsid w:val="001D2AA1"/>
    <w:rsid w:val="001D2D6D"/>
    <w:rsid w:val="001D2DEF"/>
    <w:rsid w:val="001D2F5F"/>
    <w:rsid w:val="001D309F"/>
    <w:rsid w:val="001D30BB"/>
    <w:rsid w:val="001D3193"/>
    <w:rsid w:val="001D32B0"/>
    <w:rsid w:val="001D3603"/>
    <w:rsid w:val="001D3B02"/>
    <w:rsid w:val="001D3C29"/>
    <w:rsid w:val="001D4108"/>
    <w:rsid w:val="001D415D"/>
    <w:rsid w:val="001D4597"/>
    <w:rsid w:val="001D488C"/>
    <w:rsid w:val="001D4A06"/>
    <w:rsid w:val="001D4CDF"/>
    <w:rsid w:val="001D4E93"/>
    <w:rsid w:val="001D4F88"/>
    <w:rsid w:val="001D4FFD"/>
    <w:rsid w:val="001D523E"/>
    <w:rsid w:val="001D578D"/>
    <w:rsid w:val="001D5818"/>
    <w:rsid w:val="001D585C"/>
    <w:rsid w:val="001D5C94"/>
    <w:rsid w:val="001D62A8"/>
    <w:rsid w:val="001D653A"/>
    <w:rsid w:val="001D701A"/>
    <w:rsid w:val="001D75EA"/>
    <w:rsid w:val="001D7DEE"/>
    <w:rsid w:val="001E02CB"/>
    <w:rsid w:val="001E14FD"/>
    <w:rsid w:val="001E16BC"/>
    <w:rsid w:val="001E1751"/>
    <w:rsid w:val="001E180F"/>
    <w:rsid w:val="001E1C64"/>
    <w:rsid w:val="001E1CEC"/>
    <w:rsid w:val="001E1EFF"/>
    <w:rsid w:val="001E2125"/>
    <w:rsid w:val="001E25AC"/>
    <w:rsid w:val="001E25D1"/>
    <w:rsid w:val="001E2BE1"/>
    <w:rsid w:val="001E2C40"/>
    <w:rsid w:val="001E2DDE"/>
    <w:rsid w:val="001E2ECB"/>
    <w:rsid w:val="001E2FC1"/>
    <w:rsid w:val="001E37B4"/>
    <w:rsid w:val="001E39CC"/>
    <w:rsid w:val="001E4098"/>
    <w:rsid w:val="001E414B"/>
    <w:rsid w:val="001E43EA"/>
    <w:rsid w:val="001E4792"/>
    <w:rsid w:val="001E4942"/>
    <w:rsid w:val="001E4B64"/>
    <w:rsid w:val="001E4EEB"/>
    <w:rsid w:val="001E5090"/>
    <w:rsid w:val="001E50FE"/>
    <w:rsid w:val="001E5256"/>
    <w:rsid w:val="001E552A"/>
    <w:rsid w:val="001E5673"/>
    <w:rsid w:val="001E5712"/>
    <w:rsid w:val="001E577C"/>
    <w:rsid w:val="001E57B9"/>
    <w:rsid w:val="001E5B10"/>
    <w:rsid w:val="001E5D0E"/>
    <w:rsid w:val="001E6080"/>
    <w:rsid w:val="001E66CD"/>
    <w:rsid w:val="001E686B"/>
    <w:rsid w:val="001E6E8D"/>
    <w:rsid w:val="001E6F1A"/>
    <w:rsid w:val="001E70BC"/>
    <w:rsid w:val="001E72C6"/>
    <w:rsid w:val="001E741A"/>
    <w:rsid w:val="001E7BFA"/>
    <w:rsid w:val="001E7EE4"/>
    <w:rsid w:val="001E7F76"/>
    <w:rsid w:val="001E7F83"/>
    <w:rsid w:val="001F0584"/>
    <w:rsid w:val="001F08F6"/>
    <w:rsid w:val="001F0FAF"/>
    <w:rsid w:val="001F139F"/>
    <w:rsid w:val="001F16BD"/>
    <w:rsid w:val="001F1792"/>
    <w:rsid w:val="001F19E3"/>
    <w:rsid w:val="001F1C8D"/>
    <w:rsid w:val="001F1E7D"/>
    <w:rsid w:val="001F1FF6"/>
    <w:rsid w:val="001F27DA"/>
    <w:rsid w:val="001F2805"/>
    <w:rsid w:val="001F2E79"/>
    <w:rsid w:val="001F2EFC"/>
    <w:rsid w:val="001F2F07"/>
    <w:rsid w:val="001F30AA"/>
    <w:rsid w:val="001F3123"/>
    <w:rsid w:val="001F3557"/>
    <w:rsid w:val="001F376D"/>
    <w:rsid w:val="001F3915"/>
    <w:rsid w:val="001F3F24"/>
    <w:rsid w:val="001F418C"/>
    <w:rsid w:val="001F462C"/>
    <w:rsid w:val="001F48A5"/>
    <w:rsid w:val="001F4B2D"/>
    <w:rsid w:val="001F4F40"/>
    <w:rsid w:val="001F50D6"/>
    <w:rsid w:val="001F50E0"/>
    <w:rsid w:val="001F54B3"/>
    <w:rsid w:val="001F594C"/>
    <w:rsid w:val="001F5E44"/>
    <w:rsid w:val="001F5E7F"/>
    <w:rsid w:val="001F61BB"/>
    <w:rsid w:val="001F69FC"/>
    <w:rsid w:val="001F6C69"/>
    <w:rsid w:val="001F6D62"/>
    <w:rsid w:val="001F7021"/>
    <w:rsid w:val="001F7675"/>
    <w:rsid w:val="001F76FE"/>
    <w:rsid w:val="001F7DDF"/>
    <w:rsid w:val="00200164"/>
    <w:rsid w:val="002006BE"/>
    <w:rsid w:val="00200BEF"/>
    <w:rsid w:val="00200CED"/>
    <w:rsid w:val="00200FAE"/>
    <w:rsid w:val="0020102D"/>
    <w:rsid w:val="002010E2"/>
    <w:rsid w:val="0020113D"/>
    <w:rsid w:val="002012F9"/>
    <w:rsid w:val="002014A8"/>
    <w:rsid w:val="00201812"/>
    <w:rsid w:val="002019E7"/>
    <w:rsid w:val="00201B49"/>
    <w:rsid w:val="00201B73"/>
    <w:rsid w:val="002022BA"/>
    <w:rsid w:val="00202517"/>
    <w:rsid w:val="002029B1"/>
    <w:rsid w:val="00202ADB"/>
    <w:rsid w:val="00202BB7"/>
    <w:rsid w:val="00202F40"/>
    <w:rsid w:val="002030E2"/>
    <w:rsid w:val="002038BB"/>
    <w:rsid w:val="00203D19"/>
    <w:rsid w:val="00203D5A"/>
    <w:rsid w:val="00203DBB"/>
    <w:rsid w:val="00203EE6"/>
    <w:rsid w:val="0020435B"/>
    <w:rsid w:val="00204533"/>
    <w:rsid w:val="00204839"/>
    <w:rsid w:val="0020484D"/>
    <w:rsid w:val="00204BF2"/>
    <w:rsid w:val="00204E83"/>
    <w:rsid w:val="00204F2D"/>
    <w:rsid w:val="00205421"/>
    <w:rsid w:val="00205566"/>
    <w:rsid w:val="00205630"/>
    <w:rsid w:val="002056D9"/>
    <w:rsid w:val="002062AB"/>
    <w:rsid w:val="002063AA"/>
    <w:rsid w:val="002064F4"/>
    <w:rsid w:val="00206593"/>
    <w:rsid w:val="00206F36"/>
    <w:rsid w:val="00207062"/>
    <w:rsid w:val="00207417"/>
    <w:rsid w:val="0020761E"/>
    <w:rsid w:val="00207C33"/>
    <w:rsid w:val="0021003F"/>
    <w:rsid w:val="002102A0"/>
    <w:rsid w:val="00210549"/>
    <w:rsid w:val="0021069E"/>
    <w:rsid w:val="00210804"/>
    <w:rsid w:val="0021088F"/>
    <w:rsid w:val="00210A48"/>
    <w:rsid w:val="00210F5B"/>
    <w:rsid w:val="002113FE"/>
    <w:rsid w:val="00211737"/>
    <w:rsid w:val="0021181B"/>
    <w:rsid w:val="00211D21"/>
    <w:rsid w:val="00211DF5"/>
    <w:rsid w:val="00211F2E"/>
    <w:rsid w:val="0021230F"/>
    <w:rsid w:val="002125B0"/>
    <w:rsid w:val="002125F6"/>
    <w:rsid w:val="00212793"/>
    <w:rsid w:val="00212A82"/>
    <w:rsid w:val="00213218"/>
    <w:rsid w:val="00213279"/>
    <w:rsid w:val="002132D7"/>
    <w:rsid w:val="00213D47"/>
    <w:rsid w:val="00213EF1"/>
    <w:rsid w:val="002142C6"/>
    <w:rsid w:val="0021442E"/>
    <w:rsid w:val="00214EA2"/>
    <w:rsid w:val="0021557A"/>
    <w:rsid w:val="002156C4"/>
    <w:rsid w:val="002157AA"/>
    <w:rsid w:val="00215BB8"/>
    <w:rsid w:val="00215DAF"/>
    <w:rsid w:val="00215F31"/>
    <w:rsid w:val="002160FA"/>
    <w:rsid w:val="002166DD"/>
    <w:rsid w:val="002168A2"/>
    <w:rsid w:val="00216971"/>
    <w:rsid w:val="00216D33"/>
    <w:rsid w:val="00217121"/>
    <w:rsid w:val="002171B8"/>
    <w:rsid w:val="002174A3"/>
    <w:rsid w:val="002175FE"/>
    <w:rsid w:val="002176D4"/>
    <w:rsid w:val="00217867"/>
    <w:rsid w:val="00217ED8"/>
    <w:rsid w:val="002205E4"/>
    <w:rsid w:val="00220D67"/>
    <w:rsid w:val="00221030"/>
    <w:rsid w:val="002215F8"/>
    <w:rsid w:val="0022165B"/>
    <w:rsid w:val="00221826"/>
    <w:rsid w:val="00221991"/>
    <w:rsid w:val="00221ACF"/>
    <w:rsid w:val="00221BCD"/>
    <w:rsid w:val="00221F80"/>
    <w:rsid w:val="00222268"/>
    <w:rsid w:val="0022236C"/>
    <w:rsid w:val="002223D4"/>
    <w:rsid w:val="00222675"/>
    <w:rsid w:val="0022273A"/>
    <w:rsid w:val="00222AFC"/>
    <w:rsid w:val="00222B69"/>
    <w:rsid w:val="00222C82"/>
    <w:rsid w:val="00222D28"/>
    <w:rsid w:val="0022322A"/>
    <w:rsid w:val="00223326"/>
    <w:rsid w:val="0022333D"/>
    <w:rsid w:val="002233A5"/>
    <w:rsid w:val="002235BB"/>
    <w:rsid w:val="002239E1"/>
    <w:rsid w:val="00223C4D"/>
    <w:rsid w:val="00223CF4"/>
    <w:rsid w:val="00223D6B"/>
    <w:rsid w:val="00224161"/>
    <w:rsid w:val="00224220"/>
    <w:rsid w:val="00224398"/>
    <w:rsid w:val="002248AA"/>
    <w:rsid w:val="00224A81"/>
    <w:rsid w:val="00224E91"/>
    <w:rsid w:val="00224FEF"/>
    <w:rsid w:val="0022538F"/>
    <w:rsid w:val="00225672"/>
    <w:rsid w:val="00225B09"/>
    <w:rsid w:val="00225B4C"/>
    <w:rsid w:val="00225DEF"/>
    <w:rsid w:val="00225E1E"/>
    <w:rsid w:val="00226129"/>
    <w:rsid w:val="0022614D"/>
    <w:rsid w:val="0022629A"/>
    <w:rsid w:val="00226350"/>
    <w:rsid w:val="0022644D"/>
    <w:rsid w:val="0022648A"/>
    <w:rsid w:val="002264FD"/>
    <w:rsid w:val="00226A9A"/>
    <w:rsid w:val="00226AA2"/>
    <w:rsid w:val="00226BF6"/>
    <w:rsid w:val="00227218"/>
    <w:rsid w:val="00227468"/>
    <w:rsid w:val="0022770A"/>
    <w:rsid w:val="0022785C"/>
    <w:rsid w:val="002278E5"/>
    <w:rsid w:val="0022794A"/>
    <w:rsid w:val="00227BEE"/>
    <w:rsid w:val="00227FB4"/>
    <w:rsid w:val="0023057E"/>
    <w:rsid w:val="002308B1"/>
    <w:rsid w:val="00230FEC"/>
    <w:rsid w:val="002310E7"/>
    <w:rsid w:val="002312BC"/>
    <w:rsid w:val="002312E7"/>
    <w:rsid w:val="002315F4"/>
    <w:rsid w:val="002317E4"/>
    <w:rsid w:val="002319B6"/>
    <w:rsid w:val="00231C75"/>
    <w:rsid w:val="00232323"/>
    <w:rsid w:val="00232A15"/>
    <w:rsid w:val="002337E5"/>
    <w:rsid w:val="00233AFB"/>
    <w:rsid w:val="00233BA7"/>
    <w:rsid w:val="00233C06"/>
    <w:rsid w:val="00233EBF"/>
    <w:rsid w:val="00233F24"/>
    <w:rsid w:val="00234761"/>
    <w:rsid w:val="00234BBB"/>
    <w:rsid w:val="00234CCF"/>
    <w:rsid w:val="002351E4"/>
    <w:rsid w:val="002356F4"/>
    <w:rsid w:val="00235A04"/>
    <w:rsid w:val="00235ABC"/>
    <w:rsid w:val="00235BD0"/>
    <w:rsid w:val="00235F00"/>
    <w:rsid w:val="00235F02"/>
    <w:rsid w:val="002360A1"/>
    <w:rsid w:val="0023642C"/>
    <w:rsid w:val="00236550"/>
    <w:rsid w:val="00236554"/>
    <w:rsid w:val="0023660B"/>
    <w:rsid w:val="002367E1"/>
    <w:rsid w:val="0023688B"/>
    <w:rsid w:val="00236B66"/>
    <w:rsid w:val="00236D28"/>
    <w:rsid w:val="00236E51"/>
    <w:rsid w:val="00237354"/>
    <w:rsid w:val="00237843"/>
    <w:rsid w:val="00237ABD"/>
    <w:rsid w:val="00237FE4"/>
    <w:rsid w:val="00240656"/>
    <w:rsid w:val="002407FD"/>
    <w:rsid w:val="0024080E"/>
    <w:rsid w:val="00240951"/>
    <w:rsid w:val="00240959"/>
    <w:rsid w:val="0024100E"/>
    <w:rsid w:val="00241344"/>
    <w:rsid w:val="002414BE"/>
    <w:rsid w:val="00241610"/>
    <w:rsid w:val="00241677"/>
    <w:rsid w:val="00241AED"/>
    <w:rsid w:val="00241C4E"/>
    <w:rsid w:val="00241C4F"/>
    <w:rsid w:val="00242086"/>
    <w:rsid w:val="002423C2"/>
    <w:rsid w:val="00242B09"/>
    <w:rsid w:val="00242D81"/>
    <w:rsid w:val="00242F5A"/>
    <w:rsid w:val="0024306A"/>
    <w:rsid w:val="00243182"/>
    <w:rsid w:val="00243472"/>
    <w:rsid w:val="002436BB"/>
    <w:rsid w:val="00243928"/>
    <w:rsid w:val="00243946"/>
    <w:rsid w:val="00243BC5"/>
    <w:rsid w:val="00243C7D"/>
    <w:rsid w:val="00243C86"/>
    <w:rsid w:val="00243E9A"/>
    <w:rsid w:val="00243F81"/>
    <w:rsid w:val="00243F94"/>
    <w:rsid w:val="00244371"/>
    <w:rsid w:val="002447DD"/>
    <w:rsid w:val="00244A37"/>
    <w:rsid w:val="00244AF8"/>
    <w:rsid w:val="00244BC5"/>
    <w:rsid w:val="00244BD0"/>
    <w:rsid w:val="00244E68"/>
    <w:rsid w:val="0024536B"/>
    <w:rsid w:val="002456C5"/>
    <w:rsid w:val="0024588F"/>
    <w:rsid w:val="00245ABE"/>
    <w:rsid w:val="00245C0B"/>
    <w:rsid w:val="0024636D"/>
    <w:rsid w:val="00246A9A"/>
    <w:rsid w:val="00246EAE"/>
    <w:rsid w:val="00247116"/>
    <w:rsid w:val="002471E5"/>
    <w:rsid w:val="002474D2"/>
    <w:rsid w:val="0024750A"/>
    <w:rsid w:val="00247602"/>
    <w:rsid w:val="002477F5"/>
    <w:rsid w:val="002479BD"/>
    <w:rsid w:val="00247A12"/>
    <w:rsid w:val="00247AEE"/>
    <w:rsid w:val="00247CBE"/>
    <w:rsid w:val="002501D0"/>
    <w:rsid w:val="002503A0"/>
    <w:rsid w:val="00250411"/>
    <w:rsid w:val="0025069A"/>
    <w:rsid w:val="002506CB"/>
    <w:rsid w:val="0025088E"/>
    <w:rsid w:val="00250D86"/>
    <w:rsid w:val="002510B6"/>
    <w:rsid w:val="00251230"/>
    <w:rsid w:val="00251343"/>
    <w:rsid w:val="002515B3"/>
    <w:rsid w:val="002515DA"/>
    <w:rsid w:val="00251634"/>
    <w:rsid w:val="002517A8"/>
    <w:rsid w:val="00251810"/>
    <w:rsid w:val="00251CF3"/>
    <w:rsid w:val="00251E0A"/>
    <w:rsid w:val="00251EEE"/>
    <w:rsid w:val="00251EF3"/>
    <w:rsid w:val="00252630"/>
    <w:rsid w:val="0025284F"/>
    <w:rsid w:val="00252879"/>
    <w:rsid w:val="00252A79"/>
    <w:rsid w:val="00252C73"/>
    <w:rsid w:val="00252EDF"/>
    <w:rsid w:val="00252FF7"/>
    <w:rsid w:val="00253177"/>
    <w:rsid w:val="002531FA"/>
    <w:rsid w:val="00253306"/>
    <w:rsid w:val="002533B9"/>
    <w:rsid w:val="002535A3"/>
    <w:rsid w:val="0025383F"/>
    <w:rsid w:val="002538B8"/>
    <w:rsid w:val="00253927"/>
    <w:rsid w:val="0025396F"/>
    <w:rsid w:val="00254201"/>
    <w:rsid w:val="00254319"/>
    <w:rsid w:val="0025489D"/>
    <w:rsid w:val="00255001"/>
    <w:rsid w:val="0025539F"/>
    <w:rsid w:val="002557A3"/>
    <w:rsid w:val="00255A50"/>
    <w:rsid w:val="00256388"/>
    <w:rsid w:val="002569F8"/>
    <w:rsid w:val="00256BF4"/>
    <w:rsid w:val="00256E44"/>
    <w:rsid w:val="0025730B"/>
    <w:rsid w:val="002574BB"/>
    <w:rsid w:val="002576F1"/>
    <w:rsid w:val="002576F7"/>
    <w:rsid w:val="002577B5"/>
    <w:rsid w:val="00257BDA"/>
    <w:rsid w:val="00257FED"/>
    <w:rsid w:val="00260211"/>
    <w:rsid w:val="00260327"/>
    <w:rsid w:val="00260919"/>
    <w:rsid w:val="00260D3C"/>
    <w:rsid w:val="0026112F"/>
    <w:rsid w:val="002612FD"/>
    <w:rsid w:val="00261334"/>
    <w:rsid w:val="002613DC"/>
    <w:rsid w:val="00261635"/>
    <w:rsid w:val="0026171E"/>
    <w:rsid w:val="00261755"/>
    <w:rsid w:val="00261AAA"/>
    <w:rsid w:val="00261CBA"/>
    <w:rsid w:val="00262097"/>
    <w:rsid w:val="00262C2F"/>
    <w:rsid w:val="00262D20"/>
    <w:rsid w:val="00262E4C"/>
    <w:rsid w:val="00262F11"/>
    <w:rsid w:val="00263002"/>
    <w:rsid w:val="00263207"/>
    <w:rsid w:val="002633A7"/>
    <w:rsid w:val="002634AB"/>
    <w:rsid w:val="002638E0"/>
    <w:rsid w:val="00263C19"/>
    <w:rsid w:val="00263E9F"/>
    <w:rsid w:val="002648E8"/>
    <w:rsid w:val="00264A59"/>
    <w:rsid w:val="00264AE0"/>
    <w:rsid w:val="00264D37"/>
    <w:rsid w:val="00264F03"/>
    <w:rsid w:val="00264F3E"/>
    <w:rsid w:val="00264F8F"/>
    <w:rsid w:val="002650DC"/>
    <w:rsid w:val="0026513D"/>
    <w:rsid w:val="00265580"/>
    <w:rsid w:val="002655AE"/>
    <w:rsid w:val="00265694"/>
    <w:rsid w:val="0026591F"/>
    <w:rsid w:val="00265A65"/>
    <w:rsid w:val="00265BA8"/>
    <w:rsid w:val="00265BED"/>
    <w:rsid w:val="002660F0"/>
    <w:rsid w:val="00266132"/>
    <w:rsid w:val="00266709"/>
    <w:rsid w:val="00266799"/>
    <w:rsid w:val="0026695C"/>
    <w:rsid w:val="00266BE0"/>
    <w:rsid w:val="0026704B"/>
    <w:rsid w:val="0026751D"/>
    <w:rsid w:val="002675B6"/>
    <w:rsid w:val="00267814"/>
    <w:rsid w:val="00267A99"/>
    <w:rsid w:val="00267C7D"/>
    <w:rsid w:val="00267F13"/>
    <w:rsid w:val="00270271"/>
    <w:rsid w:val="002702D0"/>
    <w:rsid w:val="00270C7E"/>
    <w:rsid w:val="00270D09"/>
    <w:rsid w:val="0027100F"/>
    <w:rsid w:val="00271167"/>
    <w:rsid w:val="00271B28"/>
    <w:rsid w:val="00271E52"/>
    <w:rsid w:val="00272174"/>
    <w:rsid w:val="002721A6"/>
    <w:rsid w:val="002722E0"/>
    <w:rsid w:val="00272403"/>
    <w:rsid w:val="002724E2"/>
    <w:rsid w:val="00272ACD"/>
    <w:rsid w:val="00272CE2"/>
    <w:rsid w:val="00272F65"/>
    <w:rsid w:val="002730EC"/>
    <w:rsid w:val="00273100"/>
    <w:rsid w:val="00273172"/>
    <w:rsid w:val="002735CC"/>
    <w:rsid w:val="002736DD"/>
    <w:rsid w:val="002739D4"/>
    <w:rsid w:val="00273A91"/>
    <w:rsid w:val="00273AB9"/>
    <w:rsid w:val="00273E16"/>
    <w:rsid w:val="00274048"/>
    <w:rsid w:val="00274407"/>
    <w:rsid w:val="00274588"/>
    <w:rsid w:val="00274641"/>
    <w:rsid w:val="00274810"/>
    <w:rsid w:val="002749D0"/>
    <w:rsid w:val="002749FA"/>
    <w:rsid w:val="00274A67"/>
    <w:rsid w:val="00274AA2"/>
    <w:rsid w:val="00274CAA"/>
    <w:rsid w:val="00274E55"/>
    <w:rsid w:val="0027559D"/>
    <w:rsid w:val="002755A0"/>
    <w:rsid w:val="002755B0"/>
    <w:rsid w:val="002756EF"/>
    <w:rsid w:val="00275708"/>
    <w:rsid w:val="00275ACD"/>
    <w:rsid w:val="00275CA0"/>
    <w:rsid w:val="00275E1F"/>
    <w:rsid w:val="002768CF"/>
    <w:rsid w:val="00276AD2"/>
    <w:rsid w:val="00276B5E"/>
    <w:rsid w:val="00276DF5"/>
    <w:rsid w:val="00276F82"/>
    <w:rsid w:val="002770C0"/>
    <w:rsid w:val="00277350"/>
    <w:rsid w:val="0027740E"/>
    <w:rsid w:val="002777B9"/>
    <w:rsid w:val="00277D20"/>
    <w:rsid w:val="00277D62"/>
    <w:rsid w:val="00277D97"/>
    <w:rsid w:val="00280089"/>
    <w:rsid w:val="0028016C"/>
    <w:rsid w:val="0028033D"/>
    <w:rsid w:val="00280549"/>
    <w:rsid w:val="002805D5"/>
    <w:rsid w:val="002805DF"/>
    <w:rsid w:val="00280854"/>
    <w:rsid w:val="0028092D"/>
    <w:rsid w:val="00280F8F"/>
    <w:rsid w:val="00281170"/>
    <w:rsid w:val="002812CF"/>
    <w:rsid w:val="002815D9"/>
    <w:rsid w:val="0028181F"/>
    <w:rsid w:val="00281875"/>
    <w:rsid w:val="00281CA9"/>
    <w:rsid w:val="00281CF8"/>
    <w:rsid w:val="00281D61"/>
    <w:rsid w:val="00281ED3"/>
    <w:rsid w:val="00282089"/>
    <w:rsid w:val="00282152"/>
    <w:rsid w:val="002821A6"/>
    <w:rsid w:val="00282317"/>
    <w:rsid w:val="00282586"/>
    <w:rsid w:val="002826AE"/>
    <w:rsid w:val="002826B2"/>
    <w:rsid w:val="0028275E"/>
    <w:rsid w:val="00282A60"/>
    <w:rsid w:val="00282BFD"/>
    <w:rsid w:val="00282C1A"/>
    <w:rsid w:val="00282D25"/>
    <w:rsid w:val="00282DF9"/>
    <w:rsid w:val="0028399F"/>
    <w:rsid w:val="00283A44"/>
    <w:rsid w:val="002841B4"/>
    <w:rsid w:val="002845D1"/>
    <w:rsid w:val="0028499E"/>
    <w:rsid w:val="0028529F"/>
    <w:rsid w:val="00285486"/>
    <w:rsid w:val="0028559D"/>
    <w:rsid w:val="00285612"/>
    <w:rsid w:val="00285687"/>
    <w:rsid w:val="00285790"/>
    <w:rsid w:val="002859F9"/>
    <w:rsid w:val="00285F87"/>
    <w:rsid w:val="002863D8"/>
    <w:rsid w:val="0028668E"/>
    <w:rsid w:val="002874C0"/>
    <w:rsid w:val="00287649"/>
    <w:rsid w:val="00287A68"/>
    <w:rsid w:val="00287DAB"/>
    <w:rsid w:val="00287E58"/>
    <w:rsid w:val="00287FB6"/>
    <w:rsid w:val="002900C5"/>
    <w:rsid w:val="002901E0"/>
    <w:rsid w:val="00290735"/>
    <w:rsid w:val="0029075B"/>
    <w:rsid w:val="00290A9A"/>
    <w:rsid w:val="00290BB1"/>
    <w:rsid w:val="00291179"/>
    <w:rsid w:val="00291BC1"/>
    <w:rsid w:val="00292050"/>
    <w:rsid w:val="00292CF5"/>
    <w:rsid w:val="00292D8E"/>
    <w:rsid w:val="00292F85"/>
    <w:rsid w:val="002930C3"/>
    <w:rsid w:val="002933CA"/>
    <w:rsid w:val="00293779"/>
    <w:rsid w:val="002939B1"/>
    <w:rsid w:val="00293A8F"/>
    <w:rsid w:val="00293D96"/>
    <w:rsid w:val="0029400B"/>
    <w:rsid w:val="00295155"/>
    <w:rsid w:val="00295310"/>
    <w:rsid w:val="0029547D"/>
    <w:rsid w:val="0029583D"/>
    <w:rsid w:val="0029594C"/>
    <w:rsid w:val="00295954"/>
    <w:rsid w:val="00295CA9"/>
    <w:rsid w:val="00295D51"/>
    <w:rsid w:val="00295F5F"/>
    <w:rsid w:val="00296203"/>
    <w:rsid w:val="00296428"/>
    <w:rsid w:val="0029643D"/>
    <w:rsid w:val="002964C9"/>
    <w:rsid w:val="00296A05"/>
    <w:rsid w:val="00296DDE"/>
    <w:rsid w:val="0029706A"/>
    <w:rsid w:val="002972EE"/>
    <w:rsid w:val="00297697"/>
    <w:rsid w:val="00297B93"/>
    <w:rsid w:val="00297DAD"/>
    <w:rsid w:val="00297F01"/>
    <w:rsid w:val="00297F38"/>
    <w:rsid w:val="002A01BB"/>
    <w:rsid w:val="002A01C8"/>
    <w:rsid w:val="002A01F7"/>
    <w:rsid w:val="002A0297"/>
    <w:rsid w:val="002A02BE"/>
    <w:rsid w:val="002A052D"/>
    <w:rsid w:val="002A0559"/>
    <w:rsid w:val="002A0BEC"/>
    <w:rsid w:val="002A0DF8"/>
    <w:rsid w:val="002A11F5"/>
    <w:rsid w:val="002A1432"/>
    <w:rsid w:val="002A18BB"/>
    <w:rsid w:val="002A191C"/>
    <w:rsid w:val="002A1928"/>
    <w:rsid w:val="002A1F1F"/>
    <w:rsid w:val="002A1FF4"/>
    <w:rsid w:val="002A206A"/>
    <w:rsid w:val="002A21B5"/>
    <w:rsid w:val="002A2249"/>
    <w:rsid w:val="002A2631"/>
    <w:rsid w:val="002A281E"/>
    <w:rsid w:val="002A28F8"/>
    <w:rsid w:val="002A2A0C"/>
    <w:rsid w:val="002A2A5D"/>
    <w:rsid w:val="002A2B0F"/>
    <w:rsid w:val="002A2B46"/>
    <w:rsid w:val="002A2BB6"/>
    <w:rsid w:val="002A30E0"/>
    <w:rsid w:val="002A310C"/>
    <w:rsid w:val="002A3129"/>
    <w:rsid w:val="002A3521"/>
    <w:rsid w:val="002A35C5"/>
    <w:rsid w:val="002A37E1"/>
    <w:rsid w:val="002A3B61"/>
    <w:rsid w:val="002A402A"/>
    <w:rsid w:val="002A407E"/>
    <w:rsid w:val="002A4104"/>
    <w:rsid w:val="002A4517"/>
    <w:rsid w:val="002A45AA"/>
    <w:rsid w:val="002A46F0"/>
    <w:rsid w:val="002A4972"/>
    <w:rsid w:val="002A4B0B"/>
    <w:rsid w:val="002A4B6F"/>
    <w:rsid w:val="002A4F8B"/>
    <w:rsid w:val="002A4FFF"/>
    <w:rsid w:val="002A533C"/>
    <w:rsid w:val="002A544F"/>
    <w:rsid w:val="002A5516"/>
    <w:rsid w:val="002A56E1"/>
    <w:rsid w:val="002A57D8"/>
    <w:rsid w:val="002A59BD"/>
    <w:rsid w:val="002A5AAC"/>
    <w:rsid w:val="002A5B6C"/>
    <w:rsid w:val="002A5E15"/>
    <w:rsid w:val="002A65BE"/>
    <w:rsid w:val="002A6856"/>
    <w:rsid w:val="002A6C09"/>
    <w:rsid w:val="002A6EBE"/>
    <w:rsid w:val="002A7081"/>
    <w:rsid w:val="002A72A9"/>
    <w:rsid w:val="002A7391"/>
    <w:rsid w:val="002A7567"/>
    <w:rsid w:val="002A75CA"/>
    <w:rsid w:val="002A7889"/>
    <w:rsid w:val="002A799A"/>
    <w:rsid w:val="002A7AF6"/>
    <w:rsid w:val="002A7B99"/>
    <w:rsid w:val="002A7E11"/>
    <w:rsid w:val="002A7F4C"/>
    <w:rsid w:val="002B0244"/>
    <w:rsid w:val="002B097D"/>
    <w:rsid w:val="002B0C09"/>
    <w:rsid w:val="002B0D3D"/>
    <w:rsid w:val="002B0D98"/>
    <w:rsid w:val="002B109E"/>
    <w:rsid w:val="002B11B2"/>
    <w:rsid w:val="002B18F7"/>
    <w:rsid w:val="002B1C96"/>
    <w:rsid w:val="002B2120"/>
    <w:rsid w:val="002B2232"/>
    <w:rsid w:val="002B251B"/>
    <w:rsid w:val="002B2621"/>
    <w:rsid w:val="002B26AB"/>
    <w:rsid w:val="002B2867"/>
    <w:rsid w:val="002B316B"/>
    <w:rsid w:val="002B32B5"/>
    <w:rsid w:val="002B3313"/>
    <w:rsid w:val="002B3396"/>
    <w:rsid w:val="002B347C"/>
    <w:rsid w:val="002B35E2"/>
    <w:rsid w:val="002B3665"/>
    <w:rsid w:val="002B37C8"/>
    <w:rsid w:val="002B37CA"/>
    <w:rsid w:val="002B3B73"/>
    <w:rsid w:val="002B3C31"/>
    <w:rsid w:val="002B3E4B"/>
    <w:rsid w:val="002B3ED7"/>
    <w:rsid w:val="002B4193"/>
    <w:rsid w:val="002B42F7"/>
    <w:rsid w:val="002B45D1"/>
    <w:rsid w:val="002B4748"/>
    <w:rsid w:val="002B4778"/>
    <w:rsid w:val="002B4F9B"/>
    <w:rsid w:val="002B5210"/>
    <w:rsid w:val="002B52F6"/>
    <w:rsid w:val="002B5A45"/>
    <w:rsid w:val="002B5AB0"/>
    <w:rsid w:val="002B6029"/>
    <w:rsid w:val="002B61B4"/>
    <w:rsid w:val="002B62E0"/>
    <w:rsid w:val="002B65B8"/>
    <w:rsid w:val="002B69C6"/>
    <w:rsid w:val="002B706F"/>
    <w:rsid w:val="002B718C"/>
    <w:rsid w:val="002B71D5"/>
    <w:rsid w:val="002B75B2"/>
    <w:rsid w:val="002B75D4"/>
    <w:rsid w:val="002B7635"/>
    <w:rsid w:val="002B79B7"/>
    <w:rsid w:val="002B7DD8"/>
    <w:rsid w:val="002C0295"/>
    <w:rsid w:val="002C0311"/>
    <w:rsid w:val="002C03C3"/>
    <w:rsid w:val="002C03E7"/>
    <w:rsid w:val="002C07AA"/>
    <w:rsid w:val="002C07B0"/>
    <w:rsid w:val="002C0D21"/>
    <w:rsid w:val="002C0FAE"/>
    <w:rsid w:val="002C100A"/>
    <w:rsid w:val="002C141D"/>
    <w:rsid w:val="002C14E9"/>
    <w:rsid w:val="002C159C"/>
    <w:rsid w:val="002C17EE"/>
    <w:rsid w:val="002C19C0"/>
    <w:rsid w:val="002C2485"/>
    <w:rsid w:val="002C25E0"/>
    <w:rsid w:val="002C2887"/>
    <w:rsid w:val="002C2A2D"/>
    <w:rsid w:val="002C3570"/>
    <w:rsid w:val="002C36C0"/>
    <w:rsid w:val="002C3928"/>
    <w:rsid w:val="002C3B33"/>
    <w:rsid w:val="002C4063"/>
    <w:rsid w:val="002C435E"/>
    <w:rsid w:val="002C43BB"/>
    <w:rsid w:val="002C44AB"/>
    <w:rsid w:val="002C4644"/>
    <w:rsid w:val="002C47C7"/>
    <w:rsid w:val="002C487D"/>
    <w:rsid w:val="002C4944"/>
    <w:rsid w:val="002C4A60"/>
    <w:rsid w:val="002C4D9A"/>
    <w:rsid w:val="002C5683"/>
    <w:rsid w:val="002C56F0"/>
    <w:rsid w:val="002C573C"/>
    <w:rsid w:val="002C578B"/>
    <w:rsid w:val="002C5E39"/>
    <w:rsid w:val="002C5FA2"/>
    <w:rsid w:val="002C5FEB"/>
    <w:rsid w:val="002C615D"/>
    <w:rsid w:val="002C6998"/>
    <w:rsid w:val="002C6CA9"/>
    <w:rsid w:val="002C7047"/>
    <w:rsid w:val="002C7379"/>
    <w:rsid w:val="002C77B0"/>
    <w:rsid w:val="002C77FA"/>
    <w:rsid w:val="002C7938"/>
    <w:rsid w:val="002C7A02"/>
    <w:rsid w:val="002C7BD4"/>
    <w:rsid w:val="002D0107"/>
    <w:rsid w:val="002D062E"/>
    <w:rsid w:val="002D0CAD"/>
    <w:rsid w:val="002D0D43"/>
    <w:rsid w:val="002D15C2"/>
    <w:rsid w:val="002D15D2"/>
    <w:rsid w:val="002D1D6B"/>
    <w:rsid w:val="002D1EAE"/>
    <w:rsid w:val="002D2B10"/>
    <w:rsid w:val="002D33C2"/>
    <w:rsid w:val="002D3513"/>
    <w:rsid w:val="002D3585"/>
    <w:rsid w:val="002D3658"/>
    <w:rsid w:val="002D386A"/>
    <w:rsid w:val="002D388F"/>
    <w:rsid w:val="002D3FBE"/>
    <w:rsid w:val="002D4056"/>
    <w:rsid w:val="002D4100"/>
    <w:rsid w:val="002D4247"/>
    <w:rsid w:val="002D45F5"/>
    <w:rsid w:val="002D46AD"/>
    <w:rsid w:val="002D4762"/>
    <w:rsid w:val="002D477F"/>
    <w:rsid w:val="002D4A30"/>
    <w:rsid w:val="002D4F48"/>
    <w:rsid w:val="002D50E1"/>
    <w:rsid w:val="002D519B"/>
    <w:rsid w:val="002D55FF"/>
    <w:rsid w:val="002D621E"/>
    <w:rsid w:val="002D6301"/>
    <w:rsid w:val="002D6679"/>
    <w:rsid w:val="002D66DA"/>
    <w:rsid w:val="002D6852"/>
    <w:rsid w:val="002D6CA2"/>
    <w:rsid w:val="002D7027"/>
    <w:rsid w:val="002D70DC"/>
    <w:rsid w:val="002D758B"/>
    <w:rsid w:val="002D76C5"/>
    <w:rsid w:val="002D79BC"/>
    <w:rsid w:val="002D7C42"/>
    <w:rsid w:val="002D7E58"/>
    <w:rsid w:val="002E0193"/>
    <w:rsid w:val="002E030B"/>
    <w:rsid w:val="002E0747"/>
    <w:rsid w:val="002E0C9B"/>
    <w:rsid w:val="002E0D2A"/>
    <w:rsid w:val="002E0D31"/>
    <w:rsid w:val="002E0E98"/>
    <w:rsid w:val="002E0EFA"/>
    <w:rsid w:val="002E1073"/>
    <w:rsid w:val="002E1128"/>
    <w:rsid w:val="002E12D0"/>
    <w:rsid w:val="002E12EC"/>
    <w:rsid w:val="002E146D"/>
    <w:rsid w:val="002E1803"/>
    <w:rsid w:val="002E1CBE"/>
    <w:rsid w:val="002E1E81"/>
    <w:rsid w:val="002E270F"/>
    <w:rsid w:val="002E272B"/>
    <w:rsid w:val="002E2885"/>
    <w:rsid w:val="002E29F8"/>
    <w:rsid w:val="002E2C52"/>
    <w:rsid w:val="002E2C5D"/>
    <w:rsid w:val="002E314F"/>
    <w:rsid w:val="002E342B"/>
    <w:rsid w:val="002E3697"/>
    <w:rsid w:val="002E38E9"/>
    <w:rsid w:val="002E39BE"/>
    <w:rsid w:val="002E3B81"/>
    <w:rsid w:val="002E3C36"/>
    <w:rsid w:val="002E3D08"/>
    <w:rsid w:val="002E3E1D"/>
    <w:rsid w:val="002E3EE2"/>
    <w:rsid w:val="002E3EEA"/>
    <w:rsid w:val="002E40B5"/>
    <w:rsid w:val="002E410B"/>
    <w:rsid w:val="002E4601"/>
    <w:rsid w:val="002E47E6"/>
    <w:rsid w:val="002E4D08"/>
    <w:rsid w:val="002E4DA5"/>
    <w:rsid w:val="002E4E65"/>
    <w:rsid w:val="002E4EBE"/>
    <w:rsid w:val="002E52B8"/>
    <w:rsid w:val="002E538A"/>
    <w:rsid w:val="002E5704"/>
    <w:rsid w:val="002E5DBF"/>
    <w:rsid w:val="002E5E01"/>
    <w:rsid w:val="002E60F5"/>
    <w:rsid w:val="002E6231"/>
    <w:rsid w:val="002E652C"/>
    <w:rsid w:val="002E6536"/>
    <w:rsid w:val="002E695B"/>
    <w:rsid w:val="002E69F5"/>
    <w:rsid w:val="002E6CAA"/>
    <w:rsid w:val="002E6E7C"/>
    <w:rsid w:val="002E6EA5"/>
    <w:rsid w:val="002E729C"/>
    <w:rsid w:val="002E73EC"/>
    <w:rsid w:val="002E7528"/>
    <w:rsid w:val="002E75F6"/>
    <w:rsid w:val="002F023D"/>
    <w:rsid w:val="002F0454"/>
    <w:rsid w:val="002F08E1"/>
    <w:rsid w:val="002F0968"/>
    <w:rsid w:val="002F0D9C"/>
    <w:rsid w:val="002F10EC"/>
    <w:rsid w:val="002F1136"/>
    <w:rsid w:val="002F1231"/>
    <w:rsid w:val="002F1521"/>
    <w:rsid w:val="002F15EE"/>
    <w:rsid w:val="002F1879"/>
    <w:rsid w:val="002F23CD"/>
    <w:rsid w:val="002F2541"/>
    <w:rsid w:val="002F25A0"/>
    <w:rsid w:val="002F2675"/>
    <w:rsid w:val="002F2750"/>
    <w:rsid w:val="002F28E4"/>
    <w:rsid w:val="002F2A27"/>
    <w:rsid w:val="002F2FF1"/>
    <w:rsid w:val="002F301A"/>
    <w:rsid w:val="002F3632"/>
    <w:rsid w:val="002F3AFB"/>
    <w:rsid w:val="002F3C0D"/>
    <w:rsid w:val="002F3C41"/>
    <w:rsid w:val="002F3E56"/>
    <w:rsid w:val="002F3FBC"/>
    <w:rsid w:val="002F4050"/>
    <w:rsid w:val="002F490B"/>
    <w:rsid w:val="002F4C8E"/>
    <w:rsid w:val="002F4F61"/>
    <w:rsid w:val="002F5076"/>
    <w:rsid w:val="002F533B"/>
    <w:rsid w:val="002F5839"/>
    <w:rsid w:val="002F5CAC"/>
    <w:rsid w:val="002F64A2"/>
    <w:rsid w:val="002F64D9"/>
    <w:rsid w:val="002F651D"/>
    <w:rsid w:val="002F6648"/>
    <w:rsid w:val="002F6D68"/>
    <w:rsid w:val="002F6E0E"/>
    <w:rsid w:val="002F6E44"/>
    <w:rsid w:val="002F7069"/>
    <w:rsid w:val="002F74FD"/>
    <w:rsid w:val="002F787B"/>
    <w:rsid w:val="002F7974"/>
    <w:rsid w:val="002F7A36"/>
    <w:rsid w:val="002F7D01"/>
    <w:rsid w:val="0030005C"/>
    <w:rsid w:val="003000CB"/>
    <w:rsid w:val="00300369"/>
    <w:rsid w:val="0030057A"/>
    <w:rsid w:val="00300D8B"/>
    <w:rsid w:val="00300F08"/>
    <w:rsid w:val="00301101"/>
    <w:rsid w:val="0030134F"/>
    <w:rsid w:val="003018B3"/>
    <w:rsid w:val="00301B6B"/>
    <w:rsid w:val="00301D0A"/>
    <w:rsid w:val="00301E9A"/>
    <w:rsid w:val="00301F41"/>
    <w:rsid w:val="00301FB7"/>
    <w:rsid w:val="0030220C"/>
    <w:rsid w:val="00302442"/>
    <w:rsid w:val="003027B8"/>
    <w:rsid w:val="0030293F"/>
    <w:rsid w:val="00302947"/>
    <w:rsid w:val="00302C50"/>
    <w:rsid w:val="0030314E"/>
    <w:rsid w:val="003031C2"/>
    <w:rsid w:val="0030340A"/>
    <w:rsid w:val="00303861"/>
    <w:rsid w:val="003038BC"/>
    <w:rsid w:val="00304090"/>
    <w:rsid w:val="0030414D"/>
    <w:rsid w:val="00304232"/>
    <w:rsid w:val="00304456"/>
    <w:rsid w:val="00304573"/>
    <w:rsid w:val="0030460E"/>
    <w:rsid w:val="00304AE8"/>
    <w:rsid w:val="00304C37"/>
    <w:rsid w:val="00304C3A"/>
    <w:rsid w:val="00304FFF"/>
    <w:rsid w:val="00305557"/>
    <w:rsid w:val="0030561F"/>
    <w:rsid w:val="0030573C"/>
    <w:rsid w:val="0030592C"/>
    <w:rsid w:val="00305CA3"/>
    <w:rsid w:val="00305D65"/>
    <w:rsid w:val="003063E2"/>
    <w:rsid w:val="0030647E"/>
    <w:rsid w:val="003064CF"/>
    <w:rsid w:val="00306CA3"/>
    <w:rsid w:val="00306E5C"/>
    <w:rsid w:val="00306EE4"/>
    <w:rsid w:val="00307803"/>
    <w:rsid w:val="00307C19"/>
    <w:rsid w:val="00307E24"/>
    <w:rsid w:val="00307ED8"/>
    <w:rsid w:val="003101AE"/>
    <w:rsid w:val="003105F2"/>
    <w:rsid w:val="00310664"/>
    <w:rsid w:val="00310732"/>
    <w:rsid w:val="0031080B"/>
    <w:rsid w:val="0031084E"/>
    <w:rsid w:val="00310BC9"/>
    <w:rsid w:val="00310DF3"/>
    <w:rsid w:val="003111D2"/>
    <w:rsid w:val="0031124A"/>
    <w:rsid w:val="00311755"/>
    <w:rsid w:val="00311762"/>
    <w:rsid w:val="003118D9"/>
    <w:rsid w:val="00311965"/>
    <w:rsid w:val="00311BE4"/>
    <w:rsid w:val="00311E94"/>
    <w:rsid w:val="00311E98"/>
    <w:rsid w:val="00312215"/>
    <w:rsid w:val="0031249C"/>
    <w:rsid w:val="003125C3"/>
    <w:rsid w:val="00312611"/>
    <w:rsid w:val="00312713"/>
    <w:rsid w:val="00312896"/>
    <w:rsid w:val="00312A21"/>
    <w:rsid w:val="00312B79"/>
    <w:rsid w:val="00312BD4"/>
    <w:rsid w:val="00313EAC"/>
    <w:rsid w:val="00314024"/>
    <w:rsid w:val="003142F4"/>
    <w:rsid w:val="0031454E"/>
    <w:rsid w:val="003149AE"/>
    <w:rsid w:val="00314BF4"/>
    <w:rsid w:val="00314F3C"/>
    <w:rsid w:val="00314F8E"/>
    <w:rsid w:val="003150F1"/>
    <w:rsid w:val="0031554A"/>
    <w:rsid w:val="00315735"/>
    <w:rsid w:val="00315742"/>
    <w:rsid w:val="00315E37"/>
    <w:rsid w:val="0031611F"/>
    <w:rsid w:val="0031616F"/>
    <w:rsid w:val="003164D1"/>
    <w:rsid w:val="00316DAC"/>
    <w:rsid w:val="00316FD0"/>
    <w:rsid w:val="003172F7"/>
    <w:rsid w:val="00317418"/>
    <w:rsid w:val="00317544"/>
    <w:rsid w:val="00317717"/>
    <w:rsid w:val="00317A33"/>
    <w:rsid w:val="003202C0"/>
    <w:rsid w:val="00320339"/>
    <w:rsid w:val="00320917"/>
    <w:rsid w:val="00320D07"/>
    <w:rsid w:val="00320D27"/>
    <w:rsid w:val="00320D33"/>
    <w:rsid w:val="00320E10"/>
    <w:rsid w:val="003211CC"/>
    <w:rsid w:val="00321214"/>
    <w:rsid w:val="003213D5"/>
    <w:rsid w:val="00321428"/>
    <w:rsid w:val="00321C5B"/>
    <w:rsid w:val="0032206A"/>
    <w:rsid w:val="0032220B"/>
    <w:rsid w:val="0032227D"/>
    <w:rsid w:val="00322476"/>
    <w:rsid w:val="00322D2D"/>
    <w:rsid w:val="00322E65"/>
    <w:rsid w:val="00323737"/>
    <w:rsid w:val="0032387F"/>
    <w:rsid w:val="00323AD6"/>
    <w:rsid w:val="00323C20"/>
    <w:rsid w:val="00323E88"/>
    <w:rsid w:val="00323F27"/>
    <w:rsid w:val="00324141"/>
    <w:rsid w:val="003242EF"/>
    <w:rsid w:val="00324473"/>
    <w:rsid w:val="00324921"/>
    <w:rsid w:val="00324F21"/>
    <w:rsid w:val="00325339"/>
    <w:rsid w:val="003255AA"/>
    <w:rsid w:val="00325719"/>
    <w:rsid w:val="00325C09"/>
    <w:rsid w:val="0032615F"/>
    <w:rsid w:val="00326295"/>
    <w:rsid w:val="0032695E"/>
    <w:rsid w:val="003269E5"/>
    <w:rsid w:val="00326C04"/>
    <w:rsid w:val="00326C49"/>
    <w:rsid w:val="00327273"/>
    <w:rsid w:val="0032752C"/>
    <w:rsid w:val="00327834"/>
    <w:rsid w:val="00327835"/>
    <w:rsid w:val="00327BFC"/>
    <w:rsid w:val="00330169"/>
    <w:rsid w:val="003308CB"/>
    <w:rsid w:val="00330DF1"/>
    <w:rsid w:val="00331315"/>
    <w:rsid w:val="00331333"/>
    <w:rsid w:val="00331402"/>
    <w:rsid w:val="003314B6"/>
    <w:rsid w:val="0033181A"/>
    <w:rsid w:val="00331A20"/>
    <w:rsid w:val="00331C14"/>
    <w:rsid w:val="00331E65"/>
    <w:rsid w:val="003325FB"/>
    <w:rsid w:val="003327C1"/>
    <w:rsid w:val="00332C0A"/>
    <w:rsid w:val="00332D4A"/>
    <w:rsid w:val="00333107"/>
    <w:rsid w:val="00333108"/>
    <w:rsid w:val="0033343B"/>
    <w:rsid w:val="003336EE"/>
    <w:rsid w:val="0033393C"/>
    <w:rsid w:val="00333AC1"/>
    <w:rsid w:val="003340AB"/>
    <w:rsid w:val="003340C1"/>
    <w:rsid w:val="00334223"/>
    <w:rsid w:val="00334227"/>
    <w:rsid w:val="00334709"/>
    <w:rsid w:val="003350B5"/>
    <w:rsid w:val="003350DF"/>
    <w:rsid w:val="00335255"/>
    <w:rsid w:val="0033573C"/>
    <w:rsid w:val="003357EE"/>
    <w:rsid w:val="0033604E"/>
    <w:rsid w:val="00336229"/>
    <w:rsid w:val="00336F42"/>
    <w:rsid w:val="00337368"/>
    <w:rsid w:val="003373E1"/>
    <w:rsid w:val="00337B4D"/>
    <w:rsid w:val="00337BEE"/>
    <w:rsid w:val="003402EE"/>
    <w:rsid w:val="003406BF"/>
    <w:rsid w:val="003407A9"/>
    <w:rsid w:val="003407CE"/>
    <w:rsid w:val="003408B7"/>
    <w:rsid w:val="003409DA"/>
    <w:rsid w:val="00340BA3"/>
    <w:rsid w:val="00340BAF"/>
    <w:rsid w:val="00340C2B"/>
    <w:rsid w:val="00340CB1"/>
    <w:rsid w:val="00340E3B"/>
    <w:rsid w:val="00340F05"/>
    <w:rsid w:val="00340F9A"/>
    <w:rsid w:val="00341018"/>
    <w:rsid w:val="00341723"/>
    <w:rsid w:val="00341780"/>
    <w:rsid w:val="00341B52"/>
    <w:rsid w:val="003420D9"/>
    <w:rsid w:val="0034223A"/>
    <w:rsid w:val="003423E0"/>
    <w:rsid w:val="00342E22"/>
    <w:rsid w:val="0034301A"/>
    <w:rsid w:val="00343D76"/>
    <w:rsid w:val="00343EEA"/>
    <w:rsid w:val="00344289"/>
    <w:rsid w:val="003446A1"/>
    <w:rsid w:val="0034479E"/>
    <w:rsid w:val="00344CFE"/>
    <w:rsid w:val="00344D04"/>
    <w:rsid w:val="00344DFD"/>
    <w:rsid w:val="00345106"/>
    <w:rsid w:val="003451D3"/>
    <w:rsid w:val="003459BE"/>
    <w:rsid w:val="00345CFB"/>
    <w:rsid w:val="00346631"/>
    <w:rsid w:val="00346659"/>
    <w:rsid w:val="00346AAD"/>
    <w:rsid w:val="00346B02"/>
    <w:rsid w:val="00346BA0"/>
    <w:rsid w:val="00346D04"/>
    <w:rsid w:val="00346D96"/>
    <w:rsid w:val="00346F12"/>
    <w:rsid w:val="00346F68"/>
    <w:rsid w:val="0034736A"/>
    <w:rsid w:val="00347438"/>
    <w:rsid w:val="0034747C"/>
    <w:rsid w:val="00347B6C"/>
    <w:rsid w:val="00347C6F"/>
    <w:rsid w:val="00347E10"/>
    <w:rsid w:val="00347F18"/>
    <w:rsid w:val="00350167"/>
    <w:rsid w:val="0035018D"/>
    <w:rsid w:val="00350540"/>
    <w:rsid w:val="003505A3"/>
    <w:rsid w:val="00350618"/>
    <w:rsid w:val="00350AE0"/>
    <w:rsid w:val="00351423"/>
    <w:rsid w:val="003514D0"/>
    <w:rsid w:val="00351507"/>
    <w:rsid w:val="0035151C"/>
    <w:rsid w:val="00351A91"/>
    <w:rsid w:val="00351DCA"/>
    <w:rsid w:val="00351EA5"/>
    <w:rsid w:val="00352254"/>
    <w:rsid w:val="003522A3"/>
    <w:rsid w:val="003524D8"/>
    <w:rsid w:val="0035273E"/>
    <w:rsid w:val="003527A9"/>
    <w:rsid w:val="0035282A"/>
    <w:rsid w:val="00352DA6"/>
    <w:rsid w:val="003536C3"/>
    <w:rsid w:val="00353929"/>
    <w:rsid w:val="00353E88"/>
    <w:rsid w:val="00353F9E"/>
    <w:rsid w:val="003540D1"/>
    <w:rsid w:val="003545AF"/>
    <w:rsid w:val="003545BF"/>
    <w:rsid w:val="0035496C"/>
    <w:rsid w:val="00354D07"/>
    <w:rsid w:val="0035530B"/>
    <w:rsid w:val="0035586A"/>
    <w:rsid w:val="00356007"/>
    <w:rsid w:val="0035611A"/>
    <w:rsid w:val="003562E4"/>
    <w:rsid w:val="003564A2"/>
    <w:rsid w:val="00356678"/>
    <w:rsid w:val="00356746"/>
    <w:rsid w:val="00356906"/>
    <w:rsid w:val="00356966"/>
    <w:rsid w:val="00356BD2"/>
    <w:rsid w:val="00356C3D"/>
    <w:rsid w:val="00357006"/>
    <w:rsid w:val="0035751C"/>
    <w:rsid w:val="00357BED"/>
    <w:rsid w:val="00357C0F"/>
    <w:rsid w:val="00357CDB"/>
    <w:rsid w:val="0036015B"/>
    <w:rsid w:val="00360744"/>
    <w:rsid w:val="00360B75"/>
    <w:rsid w:val="00360BC2"/>
    <w:rsid w:val="003614D3"/>
    <w:rsid w:val="003614D9"/>
    <w:rsid w:val="0036151C"/>
    <w:rsid w:val="00361788"/>
    <w:rsid w:val="00361A01"/>
    <w:rsid w:val="00361A9B"/>
    <w:rsid w:val="00362375"/>
    <w:rsid w:val="003629F7"/>
    <w:rsid w:val="00362B80"/>
    <w:rsid w:val="00362CCF"/>
    <w:rsid w:val="003631DB"/>
    <w:rsid w:val="0036328E"/>
    <w:rsid w:val="00363577"/>
    <w:rsid w:val="00363C57"/>
    <w:rsid w:val="003640D6"/>
    <w:rsid w:val="00364309"/>
    <w:rsid w:val="00364524"/>
    <w:rsid w:val="0036460B"/>
    <w:rsid w:val="003646DF"/>
    <w:rsid w:val="00364C14"/>
    <w:rsid w:val="00364D25"/>
    <w:rsid w:val="00364ECA"/>
    <w:rsid w:val="00364F38"/>
    <w:rsid w:val="00365002"/>
    <w:rsid w:val="0036513A"/>
    <w:rsid w:val="00365237"/>
    <w:rsid w:val="0036559C"/>
    <w:rsid w:val="0036587E"/>
    <w:rsid w:val="00365A44"/>
    <w:rsid w:val="00365BE0"/>
    <w:rsid w:val="00365EFF"/>
    <w:rsid w:val="003660CD"/>
    <w:rsid w:val="00366A0A"/>
    <w:rsid w:val="00366AC2"/>
    <w:rsid w:val="00366B08"/>
    <w:rsid w:val="00366E00"/>
    <w:rsid w:val="003670A6"/>
    <w:rsid w:val="00367496"/>
    <w:rsid w:val="003678BE"/>
    <w:rsid w:val="00367C20"/>
    <w:rsid w:val="003700F8"/>
    <w:rsid w:val="003707D0"/>
    <w:rsid w:val="00370949"/>
    <w:rsid w:val="00370ABC"/>
    <w:rsid w:val="00370D5A"/>
    <w:rsid w:val="0037112D"/>
    <w:rsid w:val="003717F3"/>
    <w:rsid w:val="0037191A"/>
    <w:rsid w:val="00371BE1"/>
    <w:rsid w:val="00371E89"/>
    <w:rsid w:val="00371FE6"/>
    <w:rsid w:val="00372218"/>
    <w:rsid w:val="0037243B"/>
    <w:rsid w:val="0037251C"/>
    <w:rsid w:val="0037253D"/>
    <w:rsid w:val="0037272C"/>
    <w:rsid w:val="00372B9A"/>
    <w:rsid w:val="00372C57"/>
    <w:rsid w:val="00372D06"/>
    <w:rsid w:val="00373156"/>
    <w:rsid w:val="003731BF"/>
    <w:rsid w:val="003734C9"/>
    <w:rsid w:val="00373B0A"/>
    <w:rsid w:val="00373B63"/>
    <w:rsid w:val="00373BBA"/>
    <w:rsid w:val="0037452D"/>
    <w:rsid w:val="0037478D"/>
    <w:rsid w:val="003747E7"/>
    <w:rsid w:val="00374F33"/>
    <w:rsid w:val="00375287"/>
    <w:rsid w:val="0037537B"/>
    <w:rsid w:val="00375791"/>
    <w:rsid w:val="00375826"/>
    <w:rsid w:val="00375929"/>
    <w:rsid w:val="00375994"/>
    <w:rsid w:val="00375C59"/>
    <w:rsid w:val="00375E05"/>
    <w:rsid w:val="00375E48"/>
    <w:rsid w:val="003761E6"/>
    <w:rsid w:val="003763B3"/>
    <w:rsid w:val="00376A8D"/>
    <w:rsid w:val="00376BB7"/>
    <w:rsid w:val="00376EEE"/>
    <w:rsid w:val="00376FB5"/>
    <w:rsid w:val="00377BA1"/>
    <w:rsid w:val="00377FF0"/>
    <w:rsid w:val="00380616"/>
    <w:rsid w:val="00380D41"/>
    <w:rsid w:val="00381022"/>
    <w:rsid w:val="003813A7"/>
    <w:rsid w:val="003814B8"/>
    <w:rsid w:val="003819D0"/>
    <w:rsid w:val="00381B21"/>
    <w:rsid w:val="00381B82"/>
    <w:rsid w:val="00381F0C"/>
    <w:rsid w:val="0038252D"/>
    <w:rsid w:val="00382909"/>
    <w:rsid w:val="00382912"/>
    <w:rsid w:val="00382C81"/>
    <w:rsid w:val="00382EE1"/>
    <w:rsid w:val="003830BB"/>
    <w:rsid w:val="00383410"/>
    <w:rsid w:val="003835CD"/>
    <w:rsid w:val="00383659"/>
    <w:rsid w:val="00383F5F"/>
    <w:rsid w:val="00384016"/>
    <w:rsid w:val="00384258"/>
    <w:rsid w:val="003847C4"/>
    <w:rsid w:val="0038501E"/>
    <w:rsid w:val="00385131"/>
    <w:rsid w:val="003855A0"/>
    <w:rsid w:val="003855D3"/>
    <w:rsid w:val="00385790"/>
    <w:rsid w:val="00385D5C"/>
    <w:rsid w:val="00385F69"/>
    <w:rsid w:val="0038620B"/>
    <w:rsid w:val="003868B6"/>
    <w:rsid w:val="00386B79"/>
    <w:rsid w:val="00387647"/>
    <w:rsid w:val="0038791A"/>
    <w:rsid w:val="00387FD9"/>
    <w:rsid w:val="00390056"/>
    <w:rsid w:val="00390125"/>
    <w:rsid w:val="0039018C"/>
    <w:rsid w:val="00390547"/>
    <w:rsid w:val="0039055C"/>
    <w:rsid w:val="00390718"/>
    <w:rsid w:val="00390767"/>
    <w:rsid w:val="00390883"/>
    <w:rsid w:val="00390B29"/>
    <w:rsid w:val="0039120C"/>
    <w:rsid w:val="00391470"/>
    <w:rsid w:val="00391619"/>
    <w:rsid w:val="00391B39"/>
    <w:rsid w:val="00392046"/>
    <w:rsid w:val="003920C4"/>
    <w:rsid w:val="00392170"/>
    <w:rsid w:val="00392177"/>
    <w:rsid w:val="00392184"/>
    <w:rsid w:val="00392652"/>
    <w:rsid w:val="00392B41"/>
    <w:rsid w:val="00392B88"/>
    <w:rsid w:val="00392ED8"/>
    <w:rsid w:val="00393040"/>
    <w:rsid w:val="00393232"/>
    <w:rsid w:val="0039381E"/>
    <w:rsid w:val="0039395C"/>
    <w:rsid w:val="0039456F"/>
    <w:rsid w:val="003945C8"/>
    <w:rsid w:val="0039480D"/>
    <w:rsid w:val="003949A4"/>
    <w:rsid w:val="00394B14"/>
    <w:rsid w:val="00394E75"/>
    <w:rsid w:val="00394FF1"/>
    <w:rsid w:val="00395446"/>
    <w:rsid w:val="00395CA1"/>
    <w:rsid w:val="00395E46"/>
    <w:rsid w:val="00396094"/>
    <w:rsid w:val="00396725"/>
    <w:rsid w:val="00396814"/>
    <w:rsid w:val="00396ECE"/>
    <w:rsid w:val="00397361"/>
    <w:rsid w:val="003976D5"/>
    <w:rsid w:val="0039793E"/>
    <w:rsid w:val="00397A28"/>
    <w:rsid w:val="00397A85"/>
    <w:rsid w:val="00397B19"/>
    <w:rsid w:val="00397E94"/>
    <w:rsid w:val="00397F05"/>
    <w:rsid w:val="003A0442"/>
    <w:rsid w:val="003A0568"/>
    <w:rsid w:val="003A07BE"/>
    <w:rsid w:val="003A0899"/>
    <w:rsid w:val="003A0A83"/>
    <w:rsid w:val="003A0CEE"/>
    <w:rsid w:val="003A1512"/>
    <w:rsid w:val="003A15EE"/>
    <w:rsid w:val="003A1790"/>
    <w:rsid w:val="003A1E97"/>
    <w:rsid w:val="003A1EB7"/>
    <w:rsid w:val="003A23F3"/>
    <w:rsid w:val="003A2D82"/>
    <w:rsid w:val="003A312D"/>
    <w:rsid w:val="003A337C"/>
    <w:rsid w:val="003A34D6"/>
    <w:rsid w:val="003A34F2"/>
    <w:rsid w:val="003A36DA"/>
    <w:rsid w:val="003A37C8"/>
    <w:rsid w:val="003A38F1"/>
    <w:rsid w:val="003A3D1B"/>
    <w:rsid w:val="003A3E75"/>
    <w:rsid w:val="003A3F39"/>
    <w:rsid w:val="003A4129"/>
    <w:rsid w:val="003A4296"/>
    <w:rsid w:val="003A4549"/>
    <w:rsid w:val="003A4645"/>
    <w:rsid w:val="003A48AC"/>
    <w:rsid w:val="003A4913"/>
    <w:rsid w:val="003A49B3"/>
    <w:rsid w:val="003A4D30"/>
    <w:rsid w:val="003A4DCA"/>
    <w:rsid w:val="003A4ECE"/>
    <w:rsid w:val="003A5266"/>
    <w:rsid w:val="003A52FC"/>
    <w:rsid w:val="003A55B4"/>
    <w:rsid w:val="003A5BDB"/>
    <w:rsid w:val="003A5EFE"/>
    <w:rsid w:val="003A6063"/>
    <w:rsid w:val="003A61B6"/>
    <w:rsid w:val="003A61FF"/>
    <w:rsid w:val="003A623F"/>
    <w:rsid w:val="003A6770"/>
    <w:rsid w:val="003A71AD"/>
    <w:rsid w:val="003A7D1D"/>
    <w:rsid w:val="003AB433"/>
    <w:rsid w:val="003B028F"/>
    <w:rsid w:val="003B0739"/>
    <w:rsid w:val="003B07FC"/>
    <w:rsid w:val="003B0E28"/>
    <w:rsid w:val="003B1688"/>
    <w:rsid w:val="003B1ADA"/>
    <w:rsid w:val="003B1B09"/>
    <w:rsid w:val="003B1B9A"/>
    <w:rsid w:val="003B1FA4"/>
    <w:rsid w:val="003B1FE6"/>
    <w:rsid w:val="003B23DC"/>
    <w:rsid w:val="003B25B7"/>
    <w:rsid w:val="003B2815"/>
    <w:rsid w:val="003B3106"/>
    <w:rsid w:val="003B31DB"/>
    <w:rsid w:val="003B3267"/>
    <w:rsid w:val="003B38A9"/>
    <w:rsid w:val="003B38AB"/>
    <w:rsid w:val="003B3974"/>
    <w:rsid w:val="003B39E0"/>
    <w:rsid w:val="003B3DAB"/>
    <w:rsid w:val="003B404D"/>
    <w:rsid w:val="003B409E"/>
    <w:rsid w:val="003B42EB"/>
    <w:rsid w:val="003B49E9"/>
    <w:rsid w:val="003B4B34"/>
    <w:rsid w:val="003B4CDA"/>
    <w:rsid w:val="003B4D29"/>
    <w:rsid w:val="003B4F2D"/>
    <w:rsid w:val="003B52B8"/>
    <w:rsid w:val="003B535D"/>
    <w:rsid w:val="003B56BC"/>
    <w:rsid w:val="003B5770"/>
    <w:rsid w:val="003B5785"/>
    <w:rsid w:val="003B5BD9"/>
    <w:rsid w:val="003B5DE8"/>
    <w:rsid w:val="003B6127"/>
    <w:rsid w:val="003B618D"/>
    <w:rsid w:val="003B62A1"/>
    <w:rsid w:val="003B64A3"/>
    <w:rsid w:val="003B6899"/>
    <w:rsid w:val="003B6A6E"/>
    <w:rsid w:val="003B6B54"/>
    <w:rsid w:val="003B6BD7"/>
    <w:rsid w:val="003B6C27"/>
    <w:rsid w:val="003B6DB8"/>
    <w:rsid w:val="003B72B9"/>
    <w:rsid w:val="003B7725"/>
    <w:rsid w:val="003B7A21"/>
    <w:rsid w:val="003B7F4A"/>
    <w:rsid w:val="003C02A6"/>
    <w:rsid w:val="003C0887"/>
    <w:rsid w:val="003C08AF"/>
    <w:rsid w:val="003C0FAE"/>
    <w:rsid w:val="003C1560"/>
    <w:rsid w:val="003C1931"/>
    <w:rsid w:val="003C19E8"/>
    <w:rsid w:val="003C1C9E"/>
    <w:rsid w:val="003C1CDA"/>
    <w:rsid w:val="003C1E4D"/>
    <w:rsid w:val="003C1F92"/>
    <w:rsid w:val="003C2139"/>
    <w:rsid w:val="003C2184"/>
    <w:rsid w:val="003C22BB"/>
    <w:rsid w:val="003C22E2"/>
    <w:rsid w:val="003C28BD"/>
    <w:rsid w:val="003C2AD9"/>
    <w:rsid w:val="003C2EDD"/>
    <w:rsid w:val="003C3220"/>
    <w:rsid w:val="003C329A"/>
    <w:rsid w:val="003C3A38"/>
    <w:rsid w:val="003C3A47"/>
    <w:rsid w:val="003C3A79"/>
    <w:rsid w:val="003C3DD0"/>
    <w:rsid w:val="003C43FE"/>
    <w:rsid w:val="003C44B1"/>
    <w:rsid w:val="003C44FB"/>
    <w:rsid w:val="003C48F2"/>
    <w:rsid w:val="003C4C2F"/>
    <w:rsid w:val="003C5177"/>
    <w:rsid w:val="003C52B0"/>
    <w:rsid w:val="003C5911"/>
    <w:rsid w:val="003C5B0A"/>
    <w:rsid w:val="003C5CDB"/>
    <w:rsid w:val="003C5D52"/>
    <w:rsid w:val="003C615C"/>
    <w:rsid w:val="003C6465"/>
    <w:rsid w:val="003C65E4"/>
    <w:rsid w:val="003C6699"/>
    <w:rsid w:val="003C72A7"/>
    <w:rsid w:val="003C7712"/>
    <w:rsid w:val="003C7862"/>
    <w:rsid w:val="003C7A55"/>
    <w:rsid w:val="003C7ECD"/>
    <w:rsid w:val="003D007D"/>
    <w:rsid w:val="003D019E"/>
    <w:rsid w:val="003D01A1"/>
    <w:rsid w:val="003D03E2"/>
    <w:rsid w:val="003D0466"/>
    <w:rsid w:val="003D04D6"/>
    <w:rsid w:val="003D04F6"/>
    <w:rsid w:val="003D06C8"/>
    <w:rsid w:val="003D0E3F"/>
    <w:rsid w:val="003D0F11"/>
    <w:rsid w:val="003D13D2"/>
    <w:rsid w:val="003D18CC"/>
    <w:rsid w:val="003D18F1"/>
    <w:rsid w:val="003D1F6E"/>
    <w:rsid w:val="003D2415"/>
    <w:rsid w:val="003D2475"/>
    <w:rsid w:val="003D24C7"/>
    <w:rsid w:val="003D2643"/>
    <w:rsid w:val="003D285B"/>
    <w:rsid w:val="003D3067"/>
    <w:rsid w:val="003D3483"/>
    <w:rsid w:val="003D3542"/>
    <w:rsid w:val="003D3583"/>
    <w:rsid w:val="003D391E"/>
    <w:rsid w:val="003D3B6F"/>
    <w:rsid w:val="003D3DCD"/>
    <w:rsid w:val="003D40E8"/>
    <w:rsid w:val="003D455E"/>
    <w:rsid w:val="003D45CE"/>
    <w:rsid w:val="003D45ED"/>
    <w:rsid w:val="003D4787"/>
    <w:rsid w:val="003D4858"/>
    <w:rsid w:val="003D4B48"/>
    <w:rsid w:val="003D4EEE"/>
    <w:rsid w:val="003D5635"/>
    <w:rsid w:val="003D56C0"/>
    <w:rsid w:val="003D5785"/>
    <w:rsid w:val="003D57AB"/>
    <w:rsid w:val="003D59B5"/>
    <w:rsid w:val="003D5A2D"/>
    <w:rsid w:val="003D5A9D"/>
    <w:rsid w:val="003D628F"/>
    <w:rsid w:val="003D62C0"/>
    <w:rsid w:val="003D64B9"/>
    <w:rsid w:val="003D65F6"/>
    <w:rsid w:val="003D6911"/>
    <w:rsid w:val="003D699B"/>
    <w:rsid w:val="003D6C4B"/>
    <w:rsid w:val="003D7770"/>
    <w:rsid w:val="003D7A49"/>
    <w:rsid w:val="003D7CB7"/>
    <w:rsid w:val="003D7E4B"/>
    <w:rsid w:val="003E0035"/>
    <w:rsid w:val="003E01EC"/>
    <w:rsid w:val="003E055D"/>
    <w:rsid w:val="003E0C14"/>
    <w:rsid w:val="003E0D6F"/>
    <w:rsid w:val="003E0EAE"/>
    <w:rsid w:val="003E0EB3"/>
    <w:rsid w:val="003E1412"/>
    <w:rsid w:val="003E1591"/>
    <w:rsid w:val="003E19D4"/>
    <w:rsid w:val="003E1ACF"/>
    <w:rsid w:val="003E1CFC"/>
    <w:rsid w:val="003E1D9A"/>
    <w:rsid w:val="003E216C"/>
    <w:rsid w:val="003E2293"/>
    <w:rsid w:val="003E236E"/>
    <w:rsid w:val="003E23A7"/>
    <w:rsid w:val="003E259D"/>
    <w:rsid w:val="003E26BA"/>
    <w:rsid w:val="003E2906"/>
    <w:rsid w:val="003E2969"/>
    <w:rsid w:val="003E2988"/>
    <w:rsid w:val="003E2A06"/>
    <w:rsid w:val="003E2C1A"/>
    <w:rsid w:val="003E30C6"/>
    <w:rsid w:val="003E3265"/>
    <w:rsid w:val="003E32D7"/>
    <w:rsid w:val="003E330F"/>
    <w:rsid w:val="003E3478"/>
    <w:rsid w:val="003E3AAF"/>
    <w:rsid w:val="003E3FB0"/>
    <w:rsid w:val="003E4537"/>
    <w:rsid w:val="003E4550"/>
    <w:rsid w:val="003E4889"/>
    <w:rsid w:val="003E4995"/>
    <w:rsid w:val="003E49E5"/>
    <w:rsid w:val="003E4C7A"/>
    <w:rsid w:val="003E4DCC"/>
    <w:rsid w:val="003E4E74"/>
    <w:rsid w:val="003E50EA"/>
    <w:rsid w:val="003E55EC"/>
    <w:rsid w:val="003E5F7D"/>
    <w:rsid w:val="003E60F2"/>
    <w:rsid w:val="003E62D3"/>
    <w:rsid w:val="003E64DC"/>
    <w:rsid w:val="003E6520"/>
    <w:rsid w:val="003E65F9"/>
    <w:rsid w:val="003E67E7"/>
    <w:rsid w:val="003E6B25"/>
    <w:rsid w:val="003E6B3C"/>
    <w:rsid w:val="003E6B95"/>
    <w:rsid w:val="003E6C1B"/>
    <w:rsid w:val="003E70FF"/>
    <w:rsid w:val="003E757B"/>
    <w:rsid w:val="003E769E"/>
    <w:rsid w:val="003E7A5D"/>
    <w:rsid w:val="003E7F1B"/>
    <w:rsid w:val="003F0308"/>
    <w:rsid w:val="003F05CF"/>
    <w:rsid w:val="003F06B5"/>
    <w:rsid w:val="003F0B41"/>
    <w:rsid w:val="003F0BD0"/>
    <w:rsid w:val="003F0D4F"/>
    <w:rsid w:val="003F0F5C"/>
    <w:rsid w:val="003F16D4"/>
    <w:rsid w:val="003F180B"/>
    <w:rsid w:val="003F1893"/>
    <w:rsid w:val="003F1A4A"/>
    <w:rsid w:val="003F1E39"/>
    <w:rsid w:val="003F229D"/>
    <w:rsid w:val="003F24AE"/>
    <w:rsid w:val="003F25E1"/>
    <w:rsid w:val="003F25F0"/>
    <w:rsid w:val="003F2A8D"/>
    <w:rsid w:val="003F2B9D"/>
    <w:rsid w:val="003F2D5B"/>
    <w:rsid w:val="003F3221"/>
    <w:rsid w:val="003F3349"/>
    <w:rsid w:val="003F3409"/>
    <w:rsid w:val="003F3C21"/>
    <w:rsid w:val="003F4669"/>
    <w:rsid w:val="003F4E45"/>
    <w:rsid w:val="003F4E80"/>
    <w:rsid w:val="003F4F11"/>
    <w:rsid w:val="003F58F4"/>
    <w:rsid w:val="003F5AD2"/>
    <w:rsid w:val="003F5CA4"/>
    <w:rsid w:val="003F644F"/>
    <w:rsid w:val="003F676B"/>
    <w:rsid w:val="003F6893"/>
    <w:rsid w:val="003F6A6B"/>
    <w:rsid w:val="003F6B19"/>
    <w:rsid w:val="003F6B22"/>
    <w:rsid w:val="003F6C03"/>
    <w:rsid w:val="003F6C56"/>
    <w:rsid w:val="003F6D50"/>
    <w:rsid w:val="003F7006"/>
    <w:rsid w:val="003F70E2"/>
    <w:rsid w:val="003F7127"/>
    <w:rsid w:val="003F7507"/>
    <w:rsid w:val="003F75DF"/>
    <w:rsid w:val="003F7627"/>
    <w:rsid w:val="003F7B5A"/>
    <w:rsid w:val="003F7C72"/>
    <w:rsid w:val="003F7D10"/>
    <w:rsid w:val="00400233"/>
    <w:rsid w:val="0040026D"/>
    <w:rsid w:val="004003ED"/>
    <w:rsid w:val="00400B34"/>
    <w:rsid w:val="00400F6A"/>
    <w:rsid w:val="00401000"/>
    <w:rsid w:val="004016C6"/>
    <w:rsid w:val="0040179A"/>
    <w:rsid w:val="00401856"/>
    <w:rsid w:val="00401F74"/>
    <w:rsid w:val="00402284"/>
    <w:rsid w:val="0040283F"/>
    <w:rsid w:val="004028A2"/>
    <w:rsid w:val="00402FEB"/>
    <w:rsid w:val="00403344"/>
    <w:rsid w:val="004033B5"/>
    <w:rsid w:val="004034E3"/>
    <w:rsid w:val="004038F3"/>
    <w:rsid w:val="00403AB6"/>
    <w:rsid w:val="00403C82"/>
    <w:rsid w:val="00404285"/>
    <w:rsid w:val="00404307"/>
    <w:rsid w:val="004045A9"/>
    <w:rsid w:val="00404954"/>
    <w:rsid w:val="00404B4D"/>
    <w:rsid w:val="00404BE7"/>
    <w:rsid w:val="00404C44"/>
    <w:rsid w:val="00404E41"/>
    <w:rsid w:val="00404EE8"/>
    <w:rsid w:val="0040510D"/>
    <w:rsid w:val="0040512D"/>
    <w:rsid w:val="004051A9"/>
    <w:rsid w:val="00405305"/>
    <w:rsid w:val="004059F0"/>
    <w:rsid w:val="0040602F"/>
    <w:rsid w:val="00406431"/>
    <w:rsid w:val="004068C4"/>
    <w:rsid w:val="00406AFB"/>
    <w:rsid w:val="00406C8D"/>
    <w:rsid w:val="00406F88"/>
    <w:rsid w:val="00406FB4"/>
    <w:rsid w:val="00407382"/>
    <w:rsid w:val="00407606"/>
    <w:rsid w:val="0040760E"/>
    <w:rsid w:val="00407832"/>
    <w:rsid w:val="0040791B"/>
    <w:rsid w:val="00407C38"/>
    <w:rsid w:val="00407FE9"/>
    <w:rsid w:val="00410255"/>
    <w:rsid w:val="004105A8"/>
    <w:rsid w:val="004107DA"/>
    <w:rsid w:val="00410DB3"/>
    <w:rsid w:val="00410F53"/>
    <w:rsid w:val="004112FC"/>
    <w:rsid w:val="00411311"/>
    <w:rsid w:val="0041144B"/>
    <w:rsid w:val="00411655"/>
    <w:rsid w:val="00411958"/>
    <w:rsid w:val="004119F2"/>
    <w:rsid w:val="00411B2A"/>
    <w:rsid w:val="00411B9E"/>
    <w:rsid w:val="00411BC2"/>
    <w:rsid w:val="00411BCA"/>
    <w:rsid w:val="004120E8"/>
    <w:rsid w:val="004123A4"/>
    <w:rsid w:val="00412973"/>
    <w:rsid w:val="00412B1D"/>
    <w:rsid w:val="00412D42"/>
    <w:rsid w:val="00412DA4"/>
    <w:rsid w:val="00412EB6"/>
    <w:rsid w:val="0041327D"/>
    <w:rsid w:val="0041351F"/>
    <w:rsid w:val="00413568"/>
    <w:rsid w:val="004137C8"/>
    <w:rsid w:val="004138EB"/>
    <w:rsid w:val="00413BF9"/>
    <w:rsid w:val="00413C25"/>
    <w:rsid w:val="004141BE"/>
    <w:rsid w:val="004148F8"/>
    <w:rsid w:val="00414A6D"/>
    <w:rsid w:val="00414B5A"/>
    <w:rsid w:val="00414C83"/>
    <w:rsid w:val="00414FDD"/>
    <w:rsid w:val="0041543C"/>
    <w:rsid w:val="00415531"/>
    <w:rsid w:val="0041573F"/>
    <w:rsid w:val="004159C4"/>
    <w:rsid w:val="00415A33"/>
    <w:rsid w:val="00415BD5"/>
    <w:rsid w:val="00416330"/>
    <w:rsid w:val="00416470"/>
    <w:rsid w:val="004166D2"/>
    <w:rsid w:val="004176C7"/>
    <w:rsid w:val="00417877"/>
    <w:rsid w:val="00417C9C"/>
    <w:rsid w:val="00417D14"/>
    <w:rsid w:val="00417D1B"/>
    <w:rsid w:val="00417D9F"/>
    <w:rsid w:val="00417F68"/>
    <w:rsid w:val="00417FEF"/>
    <w:rsid w:val="00420229"/>
    <w:rsid w:val="00420C45"/>
    <w:rsid w:val="00420DBA"/>
    <w:rsid w:val="00420E94"/>
    <w:rsid w:val="00421311"/>
    <w:rsid w:val="00421945"/>
    <w:rsid w:val="00421C3D"/>
    <w:rsid w:val="004220C6"/>
    <w:rsid w:val="004221CA"/>
    <w:rsid w:val="00422341"/>
    <w:rsid w:val="00422398"/>
    <w:rsid w:val="004224FB"/>
    <w:rsid w:val="00422CDE"/>
    <w:rsid w:val="00422E13"/>
    <w:rsid w:val="00422EA3"/>
    <w:rsid w:val="00422F69"/>
    <w:rsid w:val="004233C8"/>
    <w:rsid w:val="0042350F"/>
    <w:rsid w:val="00423599"/>
    <w:rsid w:val="0042384C"/>
    <w:rsid w:val="00423893"/>
    <w:rsid w:val="00423994"/>
    <w:rsid w:val="00423BC9"/>
    <w:rsid w:val="0042427D"/>
    <w:rsid w:val="00424493"/>
    <w:rsid w:val="00424AD0"/>
    <w:rsid w:val="00425090"/>
    <w:rsid w:val="0042532D"/>
    <w:rsid w:val="004253EC"/>
    <w:rsid w:val="004255B4"/>
    <w:rsid w:val="00425FEC"/>
    <w:rsid w:val="00426199"/>
    <w:rsid w:val="00426473"/>
    <w:rsid w:val="00426766"/>
    <w:rsid w:val="004267D0"/>
    <w:rsid w:val="00426D5B"/>
    <w:rsid w:val="0042701C"/>
    <w:rsid w:val="00427366"/>
    <w:rsid w:val="004275B9"/>
    <w:rsid w:val="00427707"/>
    <w:rsid w:val="004278C1"/>
    <w:rsid w:val="00427910"/>
    <w:rsid w:val="004279CA"/>
    <w:rsid w:val="00427A67"/>
    <w:rsid w:val="00427A82"/>
    <w:rsid w:val="00427C2D"/>
    <w:rsid w:val="00427D1F"/>
    <w:rsid w:val="00427E4B"/>
    <w:rsid w:val="00427EA2"/>
    <w:rsid w:val="00427F99"/>
    <w:rsid w:val="00427F9B"/>
    <w:rsid w:val="0043008C"/>
    <w:rsid w:val="0043010E"/>
    <w:rsid w:val="00430115"/>
    <w:rsid w:val="00430477"/>
    <w:rsid w:val="00430A4B"/>
    <w:rsid w:val="00431499"/>
    <w:rsid w:val="0043152A"/>
    <w:rsid w:val="004315B4"/>
    <w:rsid w:val="004319E9"/>
    <w:rsid w:val="00431C46"/>
    <w:rsid w:val="00431CD4"/>
    <w:rsid w:val="00431F20"/>
    <w:rsid w:val="00432424"/>
    <w:rsid w:val="0043242A"/>
    <w:rsid w:val="00432642"/>
    <w:rsid w:val="004327E6"/>
    <w:rsid w:val="004328BF"/>
    <w:rsid w:val="00432916"/>
    <w:rsid w:val="004329DC"/>
    <w:rsid w:val="00432AC6"/>
    <w:rsid w:val="00432C7B"/>
    <w:rsid w:val="0043310D"/>
    <w:rsid w:val="0043374A"/>
    <w:rsid w:val="0043378D"/>
    <w:rsid w:val="0043404D"/>
    <w:rsid w:val="004342AB"/>
    <w:rsid w:val="004342BA"/>
    <w:rsid w:val="004342DE"/>
    <w:rsid w:val="0043495F"/>
    <w:rsid w:val="00434C3B"/>
    <w:rsid w:val="00434C5E"/>
    <w:rsid w:val="00434D79"/>
    <w:rsid w:val="00434E61"/>
    <w:rsid w:val="00435021"/>
    <w:rsid w:val="00435132"/>
    <w:rsid w:val="00435182"/>
    <w:rsid w:val="00435591"/>
    <w:rsid w:val="00435765"/>
    <w:rsid w:val="00435A38"/>
    <w:rsid w:val="00435BCE"/>
    <w:rsid w:val="00435CF2"/>
    <w:rsid w:val="004360B6"/>
    <w:rsid w:val="00436278"/>
    <w:rsid w:val="004362E5"/>
    <w:rsid w:val="00436356"/>
    <w:rsid w:val="0043635B"/>
    <w:rsid w:val="00436460"/>
    <w:rsid w:val="0043778B"/>
    <w:rsid w:val="00437C99"/>
    <w:rsid w:val="00437D90"/>
    <w:rsid w:val="004405EF"/>
    <w:rsid w:val="0044070B"/>
    <w:rsid w:val="00440722"/>
    <w:rsid w:val="004409EF"/>
    <w:rsid w:val="00440B47"/>
    <w:rsid w:val="00440D0E"/>
    <w:rsid w:val="00440D64"/>
    <w:rsid w:val="0044175F"/>
    <w:rsid w:val="00441BA7"/>
    <w:rsid w:val="00442259"/>
    <w:rsid w:val="004425D9"/>
    <w:rsid w:val="004425EF"/>
    <w:rsid w:val="00442F96"/>
    <w:rsid w:val="00443244"/>
    <w:rsid w:val="00443378"/>
    <w:rsid w:val="004434A5"/>
    <w:rsid w:val="00443661"/>
    <w:rsid w:val="00443D70"/>
    <w:rsid w:val="00443F1D"/>
    <w:rsid w:val="00444256"/>
    <w:rsid w:val="004446C7"/>
    <w:rsid w:val="004449D8"/>
    <w:rsid w:val="00444A08"/>
    <w:rsid w:val="00444AF6"/>
    <w:rsid w:val="00444C05"/>
    <w:rsid w:val="0044505D"/>
    <w:rsid w:val="0044519D"/>
    <w:rsid w:val="004451D8"/>
    <w:rsid w:val="00445544"/>
    <w:rsid w:val="0044584B"/>
    <w:rsid w:val="00445C0B"/>
    <w:rsid w:val="00446195"/>
    <w:rsid w:val="00446E89"/>
    <w:rsid w:val="00446EDA"/>
    <w:rsid w:val="0044712E"/>
    <w:rsid w:val="00447248"/>
    <w:rsid w:val="00447AC1"/>
    <w:rsid w:val="00447BE3"/>
    <w:rsid w:val="00447CD0"/>
    <w:rsid w:val="00447ECD"/>
    <w:rsid w:val="00447FC2"/>
    <w:rsid w:val="0045024F"/>
    <w:rsid w:val="004502F4"/>
    <w:rsid w:val="00450462"/>
    <w:rsid w:val="0045052B"/>
    <w:rsid w:val="0045068B"/>
    <w:rsid w:val="004506F4"/>
    <w:rsid w:val="00450715"/>
    <w:rsid w:val="0045087F"/>
    <w:rsid w:val="004509D1"/>
    <w:rsid w:val="00450A42"/>
    <w:rsid w:val="00450B63"/>
    <w:rsid w:val="00450D7A"/>
    <w:rsid w:val="00451087"/>
    <w:rsid w:val="004513A5"/>
    <w:rsid w:val="00451896"/>
    <w:rsid w:val="00451A7D"/>
    <w:rsid w:val="00451D50"/>
    <w:rsid w:val="00451E3B"/>
    <w:rsid w:val="00451E63"/>
    <w:rsid w:val="00452432"/>
    <w:rsid w:val="004526D6"/>
    <w:rsid w:val="00452725"/>
    <w:rsid w:val="00452E27"/>
    <w:rsid w:val="00452E6A"/>
    <w:rsid w:val="00452EC4"/>
    <w:rsid w:val="00453240"/>
    <w:rsid w:val="00453340"/>
    <w:rsid w:val="0045357B"/>
    <w:rsid w:val="00453775"/>
    <w:rsid w:val="00453890"/>
    <w:rsid w:val="00453BD4"/>
    <w:rsid w:val="004540AB"/>
    <w:rsid w:val="004540D6"/>
    <w:rsid w:val="00454131"/>
    <w:rsid w:val="00454269"/>
    <w:rsid w:val="00454380"/>
    <w:rsid w:val="0045470C"/>
    <w:rsid w:val="004549A0"/>
    <w:rsid w:val="00454A98"/>
    <w:rsid w:val="00454ADE"/>
    <w:rsid w:val="004552C8"/>
    <w:rsid w:val="0045536C"/>
    <w:rsid w:val="004557C4"/>
    <w:rsid w:val="00455A07"/>
    <w:rsid w:val="00455AEB"/>
    <w:rsid w:val="0045603C"/>
    <w:rsid w:val="00456053"/>
    <w:rsid w:val="00456068"/>
    <w:rsid w:val="0045643D"/>
    <w:rsid w:val="00456896"/>
    <w:rsid w:val="00456A63"/>
    <w:rsid w:val="00456ADA"/>
    <w:rsid w:val="00456B0D"/>
    <w:rsid w:val="00456F76"/>
    <w:rsid w:val="00457135"/>
    <w:rsid w:val="00457217"/>
    <w:rsid w:val="0045731F"/>
    <w:rsid w:val="004574BD"/>
    <w:rsid w:val="0045770D"/>
    <w:rsid w:val="0045779C"/>
    <w:rsid w:val="0045790F"/>
    <w:rsid w:val="00457D63"/>
    <w:rsid w:val="00457E21"/>
    <w:rsid w:val="00457F66"/>
    <w:rsid w:val="0046007E"/>
    <w:rsid w:val="0046024B"/>
    <w:rsid w:val="004603E2"/>
    <w:rsid w:val="00460863"/>
    <w:rsid w:val="00460AA4"/>
    <w:rsid w:val="00460E36"/>
    <w:rsid w:val="00461155"/>
    <w:rsid w:val="00461426"/>
    <w:rsid w:val="004617FC"/>
    <w:rsid w:val="00461AB0"/>
    <w:rsid w:val="0046218C"/>
    <w:rsid w:val="004623D4"/>
    <w:rsid w:val="00462863"/>
    <w:rsid w:val="00463100"/>
    <w:rsid w:val="00463767"/>
    <w:rsid w:val="00463944"/>
    <w:rsid w:val="00463CC2"/>
    <w:rsid w:val="00463E37"/>
    <w:rsid w:val="004641E5"/>
    <w:rsid w:val="004646F3"/>
    <w:rsid w:val="00464783"/>
    <w:rsid w:val="00464DAD"/>
    <w:rsid w:val="00464E55"/>
    <w:rsid w:val="00464F05"/>
    <w:rsid w:val="0046512A"/>
    <w:rsid w:val="00465234"/>
    <w:rsid w:val="00465275"/>
    <w:rsid w:val="00465A69"/>
    <w:rsid w:val="00465B24"/>
    <w:rsid w:val="00466814"/>
    <w:rsid w:val="00466858"/>
    <w:rsid w:val="00466BCD"/>
    <w:rsid w:val="00466D0F"/>
    <w:rsid w:val="00467281"/>
    <w:rsid w:val="004672BB"/>
    <w:rsid w:val="00467544"/>
    <w:rsid w:val="004676BA"/>
    <w:rsid w:val="0046784C"/>
    <w:rsid w:val="00467AF1"/>
    <w:rsid w:val="00467ECB"/>
    <w:rsid w:val="00470CF3"/>
    <w:rsid w:val="00470D16"/>
    <w:rsid w:val="00470F89"/>
    <w:rsid w:val="004710C3"/>
    <w:rsid w:val="00471459"/>
    <w:rsid w:val="00471A3B"/>
    <w:rsid w:val="00471ABC"/>
    <w:rsid w:val="0047203E"/>
    <w:rsid w:val="004720F1"/>
    <w:rsid w:val="00472274"/>
    <w:rsid w:val="004722D4"/>
    <w:rsid w:val="004722D9"/>
    <w:rsid w:val="0047287A"/>
    <w:rsid w:val="00472A35"/>
    <w:rsid w:val="00472A54"/>
    <w:rsid w:val="00472AD0"/>
    <w:rsid w:val="00472D9C"/>
    <w:rsid w:val="00472E6B"/>
    <w:rsid w:val="00473B60"/>
    <w:rsid w:val="00473BB6"/>
    <w:rsid w:val="00473D5F"/>
    <w:rsid w:val="00473ED1"/>
    <w:rsid w:val="00473F8F"/>
    <w:rsid w:val="0047418E"/>
    <w:rsid w:val="004743D9"/>
    <w:rsid w:val="00474719"/>
    <w:rsid w:val="00474AE1"/>
    <w:rsid w:val="00474E25"/>
    <w:rsid w:val="00474EA8"/>
    <w:rsid w:val="0047506A"/>
    <w:rsid w:val="00475083"/>
    <w:rsid w:val="004757D5"/>
    <w:rsid w:val="00475A7B"/>
    <w:rsid w:val="00475AFF"/>
    <w:rsid w:val="00475D30"/>
    <w:rsid w:val="00475E89"/>
    <w:rsid w:val="00476002"/>
    <w:rsid w:val="004760AE"/>
    <w:rsid w:val="004765F4"/>
    <w:rsid w:val="0047663F"/>
    <w:rsid w:val="0047677A"/>
    <w:rsid w:val="00476B4D"/>
    <w:rsid w:val="00476CBC"/>
    <w:rsid w:val="00476E6C"/>
    <w:rsid w:val="00476E99"/>
    <w:rsid w:val="00476FEE"/>
    <w:rsid w:val="00477101"/>
    <w:rsid w:val="00477282"/>
    <w:rsid w:val="00477947"/>
    <w:rsid w:val="004801A0"/>
    <w:rsid w:val="004805C7"/>
    <w:rsid w:val="00480C9C"/>
    <w:rsid w:val="00480E0A"/>
    <w:rsid w:val="00480F6C"/>
    <w:rsid w:val="00480FA1"/>
    <w:rsid w:val="0048117D"/>
    <w:rsid w:val="00481B21"/>
    <w:rsid w:val="00481C7B"/>
    <w:rsid w:val="00481FD7"/>
    <w:rsid w:val="00482171"/>
    <w:rsid w:val="0048251E"/>
    <w:rsid w:val="00482521"/>
    <w:rsid w:val="004825ED"/>
    <w:rsid w:val="00482882"/>
    <w:rsid w:val="00482992"/>
    <w:rsid w:val="00482A29"/>
    <w:rsid w:val="00482C5A"/>
    <w:rsid w:val="00482CCF"/>
    <w:rsid w:val="00482D3B"/>
    <w:rsid w:val="00482DE5"/>
    <w:rsid w:val="0048322C"/>
    <w:rsid w:val="00483266"/>
    <w:rsid w:val="0048352E"/>
    <w:rsid w:val="004836A9"/>
    <w:rsid w:val="00483B23"/>
    <w:rsid w:val="0048401B"/>
    <w:rsid w:val="004840D7"/>
    <w:rsid w:val="00484493"/>
    <w:rsid w:val="00484664"/>
    <w:rsid w:val="004846F4"/>
    <w:rsid w:val="00485089"/>
    <w:rsid w:val="00485347"/>
    <w:rsid w:val="00485423"/>
    <w:rsid w:val="00485C26"/>
    <w:rsid w:val="00485EC0"/>
    <w:rsid w:val="00486058"/>
    <w:rsid w:val="004864A9"/>
    <w:rsid w:val="00486A12"/>
    <w:rsid w:val="00486EE8"/>
    <w:rsid w:val="0048706F"/>
    <w:rsid w:val="0048720E"/>
    <w:rsid w:val="004875E1"/>
    <w:rsid w:val="0048772B"/>
    <w:rsid w:val="00487A62"/>
    <w:rsid w:val="00487A6A"/>
    <w:rsid w:val="00487B37"/>
    <w:rsid w:val="004902A7"/>
    <w:rsid w:val="00490305"/>
    <w:rsid w:val="00490636"/>
    <w:rsid w:val="0049079B"/>
    <w:rsid w:val="00490B0F"/>
    <w:rsid w:val="00490E40"/>
    <w:rsid w:val="00490EEF"/>
    <w:rsid w:val="00490FF0"/>
    <w:rsid w:val="00491004"/>
    <w:rsid w:val="004910FE"/>
    <w:rsid w:val="00491198"/>
    <w:rsid w:val="004913BD"/>
    <w:rsid w:val="004917E0"/>
    <w:rsid w:val="00491A62"/>
    <w:rsid w:val="00491BF6"/>
    <w:rsid w:val="00491FED"/>
    <w:rsid w:val="00492013"/>
    <w:rsid w:val="00492414"/>
    <w:rsid w:val="00492BD3"/>
    <w:rsid w:val="00492F82"/>
    <w:rsid w:val="0049356E"/>
    <w:rsid w:val="00493B05"/>
    <w:rsid w:val="00493C94"/>
    <w:rsid w:val="00493E5E"/>
    <w:rsid w:val="00493ED6"/>
    <w:rsid w:val="004941BD"/>
    <w:rsid w:val="004943C2"/>
    <w:rsid w:val="004946B5"/>
    <w:rsid w:val="00494918"/>
    <w:rsid w:val="00494C65"/>
    <w:rsid w:val="00494F0C"/>
    <w:rsid w:val="00494F45"/>
    <w:rsid w:val="00495091"/>
    <w:rsid w:val="00495208"/>
    <w:rsid w:val="00495262"/>
    <w:rsid w:val="004952C8"/>
    <w:rsid w:val="0049535A"/>
    <w:rsid w:val="00495426"/>
    <w:rsid w:val="00495557"/>
    <w:rsid w:val="004959F0"/>
    <w:rsid w:val="00495A89"/>
    <w:rsid w:val="00495C10"/>
    <w:rsid w:val="00495E61"/>
    <w:rsid w:val="0049618D"/>
    <w:rsid w:val="004965EF"/>
    <w:rsid w:val="00496BC9"/>
    <w:rsid w:val="00496E95"/>
    <w:rsid w:val="00496EE7"/>
    <w:rsid w:val="0049719D"/>
    <w:rsid w:val="004976C6"/>
    <w:rsid w:val="0049789B"/>
    <w:rsid w:val="00497FCD"/>
    <w:rsid w:val="00497FF3"/>
    <w:rsid w:val="004A01A0"/>
    <w:rsid w:val="004A0581"/>
    <w:rsid w:val="004A0589"/>
    <w:rsid w:val="004A086D"/>
    <w:rsid w:val="004A095C"/>
    <w:rsid w:val="004A0AB3"/>
    <w:rsid w:val="004A0BBF"/>
    <w:rsid w:val="004A0C15"/>
    <w:rsid w:val="004A0C36"/>
    <w:rsid w:val="004A0D1E"/>
    <w:rsid w:val="004A0E66"/>
    <w:rsid w:val="004A0EEC"/>
    <w:rsid w:val="004A12FC"/>
    <w:rsid w:val="004A130F"/>
    <w:rsid w:val="004A1594"/>
    <w:rsid w:val="004A17EF"/>
    <w:rsid w:val="004A1BDA"/>
    <w:rsid w:val="004A1D44"/>
    <w:rsid w:val="004A22D8"/>
    <w:rsid w:val="004A22DA"/>
    <w:rsid w:val="004A2700"/>
    <w:rsid w:val="004A278C"/>
    <w:rsid w:val="004A2E8A"/>
    <w:rsid w:val="004A321C"/>
    <w:rsid w:val="004A36C8"/>
    <w:rsid w:val="004A3721"/>
    <w:rsid w:val="004A3742"/>
    <w:rsid w:val="004A37B8"/>
    <w:rsid w:val="004A3CC2"/>
    <w:rsid w:val="004A3D48"/>
    <w:rsid w:val="004A3ED3"/>
    <w:rsid w:val="004A471B"/>
    <w:rsid w:val="004A47BC"/>
    <w:rsid w:val="004A4909"/>
    <w:rsid w:val="004A4AA1"/>
    <w:rsid w:val="004A4AC6"/>
    <w:rsid w:val="004A4C53"/>
    <w:rsid w:val="004A55A6"/>
    <w:rsid w:val="004A5797"/>
    <w:rsid w:val="004A5B38"/>
    <w:rsid w:val="004A5F7B"/>
    <w:rsid w:val="004A6142"/>
    <w:rsid w:val="004A61C7"/>
    <w:rsid w:val="004A679D"/>
    <w:rsid w:val="004A6848"/>
    <w:rsid w:val="004A6E44"/>
    <w:rsid w:val="004A7355"/>
    <w:rsid w:val="004A7411"/>
    <w:rsid w:val="004A7E36"/>
    <w:rsid w:val="004A7FF5"/>
    <w:rsid w:val="004B0AC9"/>
    <w:rsid w:val="004B1199"/>
    <w:rsid w:val="004B1530"/>
    <w:rsid w:val="004B1689"/>
    <w:rsid w:val="004B16C4"/>
    <w:rsid w:val="004B1728"/>
    <w:rsid w:val="004B1867"/>
    <w:rsid w:val="004B2A64"/>
    <w:rsid w:val="004B2AA2"/>
    <w:rsid w:val="004B2AAC"/>
    <w:rsid w:val="004B2DC0"/>
    <w:rsid w:val="004B30B2"/>
    <w:rsid w:val="004B378A"/>
    <w:rsid w:val="004B3863"/>
    <w:rsid w:val="004B3ACF"/>
    <w:rsid w:val="004B3B95"/>
    <w:rsid w:val="004B3E62"/>
    <w:rsid w:val="004B4034"/>
    <w:rsid w:val="004B4170"/>
    <w:rsid w:val="004B41B4"/>
    <w:rsid w:val="004B41DA"/>
    <w:rsid w:val="004B45E0"/>
    <w:rsid w:val="004B470D"/>
    <w:rsid w:val="004B4764"/>
    <w:rsid w:val="004B4846"/>
    <w:rsid w:val="004B4CA4"/>
    <w:rsid w:val="004B4D15"/>
    <w:rsid w:val="004B4F9E"/>
    <w:rsid w:val="004B50C7"/>
    <w:rsid w:val="004B50E8"/>
    <w:rsid w:val="004B526A"/>
    <w:rsid w:val="004B5394"/>
    <w:rsid w:val="004B5A43"/>
    <w:rsid w:val="004B5BDD"/>
    <w:rsid w:val="004B5D7B"/>
    <w:rsid w:val="004B5E6B"/>
    <w:rsid w:val="004B6222"/>
    <w:rsid w:val="004B64B9"/>
    <w:rsid w:val="004B654E"/>
    <w:rsid w:val="004B65F9"/>
    <w:rsid w:val="004B69CC"/>
    <w:rsid w:val="004B6AD9"/>
    <w:rsid w:val="004B6E9E"/>
    <w:rsid w:val="004B6F83"/>
    <w:rsid w:val="004B722D"/>
    <w:rsid w:val="004B7690"/>
    <w:rsid w:val="004B78F2"/>
    <w:rsid w:val="004B7C29"/>
    <w:rsid w:val="004B7D1E"/>
    <w:rsid w:val="004C0066"/>
    <w:rsid w:val="004C0347"/>
    <w:rsid w:val="004C06E5"/>
    <w:rsid w:val="004C0819"/>
    <w:rsid w:val="004C0826"/>
    <w:rsid w:val="004C0A75"/>
    <w:rsid w:val="004C0E51"/>
    <w:rsid w:val="004C150D"/>
    <w:rsid w:val="004C161E"/>
    <w:rsid w:val="004C1761"/>
    <w:rsid w:val="004C1B7D"/>
    <w:rsid w:val="004C1C78"/>
    <w:rsid w:val="004C1DD8"/>
    <w:rsid w:val="004C1E3C"/>
    <w:rsid w:val="004C1FB3"/>
    <w:rsid w:val="004C22D5"/>
    <w:rsid w:val="004C234B"/>
    <w:rsid w:val="004C25F0"/>
    <w:rsid w:val="004C26A7"/>
    <w:rsid w:val="004C26DD"/>
    <w:rsid w:val="004C2725"/>
    <w:rsid w:val="004C292D"/>
    <w:rsid w:val="004C2968"/>
    <w:rsid w:val="004C2B5D"/>
    <w:rsid w:val="004C2D68"/>
    <w:rsid w:val="004C2F56"/>
    <w:rsid w:val="004C310F"/>
    <w:rsid w:val="004C3214"/>
    <w:rsid w:val="004C333A"/>
    <w:rsid w:val="004C3389"/>
    <w:rsid w:val="004C339D"/>
    <w:rsid w:val="004C33E8"/>
    <w:rsid w:val="004C34A9"/>
    <w:rsid w:val="004C34C1"/>
    <w:rsid w:val="004C3A7D"/>
    <w:rsid w:val="004C4307"/>
    <w:rsid w:val="004C4309"/>
    <w:rsid w:val="004C4422"/>
    <w:rsid w:val="004C4612"/>
    <w:rsid w:val="004C47A1"/>
    <w:rsid w:val="004C47C4"/>
    <w:rsid w:val="004C49E3"/>
    <w:rsid w:val="004C4E8A"/>
    <w:rsid w:val="004C5106"/>
    <w:rsid w:val="004C514A"/>
    <w:rsid w:val="004C5713"/>
    <w:rsid w:val="004C645A"/>
    <w:rsid w:val="004C653B"/>
    <w:rsid w:val="004C6572"/>
    <w:rsid w:val="004C65E3"/>
    <w:rsid w:val="004C681F"/>
    <w:rsid w:val="004C6D3F"/>
    <w:rsid w:val="004C6D4F"/>
    <w:rsid w:val="004C715A"/>
    <w:rsid w:val="004C7355"/>
    <w:rsid w:val="004C7541"/>
    <w:rsid w:val="004C7543"/>
    <w:rsid w:val="004C75C3"/>
    <w:rsid w:val="004C76E6"/>
    <w:rsid w:val="004C7B96"/>
    <w:rsid w:val="004D026A"/>
    <w:rsid w:val="004D0344"/>
    <w:rsid w:val="004D039B"/>
    <w:rsid w:val="004D052E"/>
    <w:rsid w:val="004D0623"/>
    <w:rsid w:val="004D06F2"/>
    <w:rsid w:val="004D0906"/>
    <w:rsid w:val="004D13F7"/>
    <w:rsid w:val="004D16A8"/>
    <w:rsid w:val="004D1856"/>
    <w:rsid w:val="004D1951"/>
    <w:rsid w:val="004D195B"/>
    <w:rsid w:val="004D1BA1"/>
    <w:rsid w:val="004D1BE1"/>
    <w:rsid w:val="004D1CDD"/>
    <w:rsid w:val="004D1D29"/>
    <w:rsid w:val="004D1E71"/>
    <w:rsid w:val="004D29A5"/>
    <w:rsid w:val="004D2B2D"/>
    <w:rsid w:val="004D2CDF"/>
    <w:rsid w:val="004D2D7E"/>
    <w:rsid w:val="004D2F3D"/>
    <w:rsid w:val="004D33CE"/>
    <w:rsid w:val="004D3887"/>
    <w:rsid w:val="004D3891"/>
    <w:rsid w:val="004D3BFC"/>
    <w:rsid w:val="004D3C3F"/>
    <w:rsid w:val="004D40F0"/>
    <w:rsid w:val="004D4360"/>
    <w:rsid w:val="004D4800"/>
    <w:rsid w:val="004D4AAE"/>
    <w:rsid w:val="004D4D49"/>
    <w:rsid w:val="004D5363"/>
    <w:rsid w:val="004D61E0"/>
    <w:rsid w:val="004D672E"/>
    <w:rsid w:val="004D6AF1"/>
    <w:rsid w:val="004D6C47"/>
    <w:rsid w:val="004D7025"/>
    <w:rsid w:val="004D754A"/>
    <w:rsid w:val="004D7757"/>
    <w:rsid w:val="004D7BB5"/>
    <w:rsid w:val="004D7C51"/>
    <w:rsid w:val="004D7C86"/>
    <w:rsid w:val="004E0197"/>
    <w:rsid w:val="004E1055"/>
    <w:rsid w:val="004E1122"/>
    <w:rsid w:val="004E1409"/>
    <w:rsid w:val="004E1A87"/>
    <w:rsid w:val="004E1BB0"/>
    <w:rsid w:val="004E1D00"/>
    <w:rsid w:val="004E3030"/>
    <w:rsid w:val="004E3311"/>
    <w:rsid w:val="004E3394"/>
    <w:rsid w:val="004E38EC"/>
    <w:rsid w:val="004E3933"/>
    <w:rsid w:val="004E4195"/>
    <w:rsid w:val="004E42AC"/>
    <w:rsid w:val="004E4549"/>
    <w:rsid w:val="004E489D"/>
    <w:rsid w:val="004E4C83"/>
    <w:rsid w:val="004E4D53"/>
    <w:rsid w:val="004E4D84"/>
    <w:rsid w:val="004E4E19"/>
    <w:rsid w:val="004E4EBC"/>
    <w:rsid w:val="004E502A"/>
    <w:rsid w:val="004E5104"/>
    <w:rsid w:val="004E52BF"/>
    <w:rsid w:val="004E544C"/>
    <w:rsid w:val="004E5513"/>
    <w:rsid w:val="004E574C"/>
    <w:rsid w:val="004E5B06"/>
    <w:rsid w:val="004E5F6F"/>
    <w:rsid w:val="004E5FA8"/>
    <w:rsid w:val="004E684C"/>
    <w:rsid w:val="004E6C1B"/>
    <w:rsid w:val="004E6DE1"/>
    <w:rsid w:val="004E6E57"/>
    <w:rsid w:val="004E6FF1"/>
    <w:rsid w:val="004E71A6"/>
    <w:rsid w:val="004E76DB"/>
    <w:rsid w:val="004E7906"/>
    <w:rsid w:val="004E799F"/>
    <w:rsid w:val="004E7B3F"/>
    <w:rsid w:val="004E7BDE"/>
    <w:rsid w:val="004F0AAE"/>
    <w:rsid w:val="004F0DDD"/>
    <w:rsid w:val="004F127C"/>
    <w:rsid w:val="004F1A0D"/>
    <w:rsid w:val="004F1B3C"/>
    <w:rsid w:val="004F1BD7"/>
    <w:rsid w:val="004F1D46"/>
    <w:rsid w:val="004F1F90"/>
    <w:rsid w:val="004F2401"/>
    <w:rsid w:val="004F242D"/>
    <w:rsid w:val="004F270A"/>
    <w:rsid w:val="004F2A44"/>
    <w:rsid w:val="004F2A83"/>
    <w:rsid w:val="004F2CF1"/>
    <w:rsid w:val="004F2DAD"/>
    <w:rsid w:val="004F34F7"/>
    <w:rsid w:val="004F3874"/>
    <w:rsid w:val="004F3C76"/>
    <w:rsid w:val="004F3FAC"/>
    <w:rsid w:val="004F4205"/>
    <w:rsid w:val="004F45C2"/>
    <w:rsid w:val="004F469D"/>
    <w:rsid w:val="004F48F4"/>
    <w:rsid w:val="004F4B57"/>
    <w:rsid w:val="004F4C75"/>
    <w:rsid w:val="004F5106"/>
    <w:rsid w:val="004F529E"/>
    <w:rsid w:val="004F55D6"/>
    <w:rsid w:val="004F565A"/>
    <w:rsid w:val="004F571B"/>
    <w:rsid w:val="004F5802"/>
    <w:rsid w:val="004F58CE"/>
    <w:rsid w:val="004F62D3"/>
    <w:rsid w:val="004F64EB"/>
    <w:rsid w:val="004F669E"/>
    <w:rsid w:val="004F686B"/>
    <w:rsid w:val="004F73A6"/>
    <w:rsid w:val="004F7503"/>
    <w:rsid w:val="004F765E"/>
    <w:rsid w:val="004F7662"/>
    <w:rsid w:val="004F7A74"/>
    <w:rsid w:val="004F7E95"/>
    <w:rsid w:val="00500166"/>
    <w:rsid w:val="00500250"/>
    <w:rsid w:val="00500264"/>
    <w:rsid w:val="0050042C"/>
    <w:rsid w:val="00500460"/>
    <w:rsid w:val="0050067E"/>
    <w:rsid w:val="005007E3"/>
    <w:rsid w:val="00500824"/>
    <w:rsid w:val="0050091E"/>
    <w:rsid w:val="00500DAB"/>
    <w:rsid w:val="00500F23"/>
    <w:rsid w:val="00501042"/>
    <w:rsid w:val="00501144"/>
    <w:rsid w:val="00501267"/>
    <w:rsid w:val="005013EF"/>
    <w:rsid w:val="00501618"/>
    <w:rsid w:val="005019E0"/>
    <w:rsid w:val="00501F91"/>
    <w:rsid w:val="0050211F"/>
    <w:rsid w:val="005022E7"/>
    <w:rsid w:val="00502405"/>
    <w:rsid w:val="00502801"/>
    <w:rsid w:val="00502A93"/>
    <w:rsid w:val="00502FAE"/>
    <w:rsid w:val="00503063"/>
    <w:rsid w:val="00503081"/>
    <w:rsid w:val="005030EB"/>
    <w:rsid w:val="00503E91"/>
    <w:rsid w:val="00504F1A"/>
    <w:rsid w:val="00505858"/>
    <w:rsid w:val="00506083"/>
    <w:rsid w:val="005062CE"/>
    <w:rsid w:val="005068D6"/>
    <w:rsid w:val="00506B86"/>
    <w:rsid w:val="00506D8B"/>
    <w:rsid w:val="00506E4C"/>
    <w:rsid w:val="00506ED9"/>
    <w:rsid w:val="00506EEC"/>
    <w:rsid w:val="00506FD4"/>
    <w:rsid w:val="005070BF"/>
    <w:rsid w:val="00507200"/>
    <w:rsid w:val="005073EC"/>
    <w:rsid w:val="005075D1"/>
    <w:rsid w:val="00507612"/>
    <w:rsid w:val="005076AF"/>
    <w:rsid w:val="00507B5D"/>
    <w:rsid w:val="00507DAA"/>
    <w:rsid w:val="005107FF"/>
    <w:rsid w:val="00510839"/>
    <w:rsid w:val="00510896"/>
    <w:rsid w:val="00510A2E"/>
    <w:rsid w:val="00510A72"/>
    <w:rsid w:val="00510CBC"/>
    <w:rsid w:val="00510EDB"/>
    <w:rsid w:val="0051102D"/>
    <w:rsid w:val="0051114A"/>
    <w:rsid w:val="005112A5"/>
    <w:rsid w:val="005112C7"/>
    <w:rsid w:val="0051149E"/>
    <w:rsid w:val="005115B3"/>
    <w:rsid w:val="00511D8E"/>
    <w:rsid w:val="00511E6D"/>
    <w:rsid w:val="00511F48"/>
    <w:rsid w:val="00511FE9"/>
    <w:rsid w:val="00512448"/>
    <w:rsid w:val="005124F5"/>
    <w:rsid w:val="0051253A"/>
    <w:rsid w:val="0051266C"/>
    <w:rsid w:val="00512CDB"/>
    <w:rsid w:val="00512E7D"/>
    <w:rsid w:val="00513194"/>
    <w:rsid w:val="0051383A"/>
    <w:rsid w:val="005138B4"/>
    <w:rsid w:val="00513B72"/>
    <w:rsid w:val="00515277"/>
    <w:rsid w:val="00515339"/>
    <w:rsid w:val="00515593"/>
    <w:rsid w:val="00515898"/>
    <w:rsid w:val="005158C2"/>
    <w:rsid w:val="00515E93"/>
    <w:rsid w:val="005163AE"/>
    <w:rsid w:val="0051673A"/>
    <w:rsid w:val="005167FA"/>
    <w:rsid w:val="005169DE"/>
    <w:rsid w:val="005174F2"/>
    <w:rsid w:val="0051754D"/>
    <w:rsid w:val="00517590"/>
    <w:rsid w:val="0051785D"/>
    <w:rsid w:val="00517913"/>
    <w:rsid w:val="00517BC1"/>
    <w:rsid w:val="0052005F"/>
    <w:rsid w:val="005200F0"/>
    <w:rsid w:val="00520200"/>
    <w:rsid w:val="005206A8"/>
    <w:rsid w:val="005206C1"/>
    <w:rsid w:val="0052082B"/>
    <w:rsid w:val="005208F6"/>
    <w:rsid w:val="00520A5D"/>
    <w:rsid w:val="00520AC6"/>
    <w:rsid w:val="00520B7D"/>
    <w:rsid w:val="00520D48"/>
    <w:rsid w:val="00520E2D"/>
    <w:rsid w:val="00520F04"/>
    <w:rsid w:val="00521717"/>
    <w:rsid w:val="00521C20"/>
    <w:rsid w:val="00521CD7"/>
    <w:rsid w:val="00521F82"/>
    <w:rsid w:val="005224B2"/>
    <w:rsid w:val="005226CD"/>
    <w:rsid w:val="00522F41"/>
    <w:rsid w:val="00522FA9"/>
    <w:rsid w:val="005235A8"/>
    <w:rsid w:val="005238BD"/>
    <w:rsid w:val="005238F1"/>
    <w:rsid w:val="00523B23"/>
    <w:rsid w:val="00523DFA"/>
    <w:rsid w:val="00523E7C"/>
    <w:rsid w:val="00523EA2"/>
    <w:rsid w:val="00523FD2"/>
    <w:rsid w:val="00524301"/>
    <w:rsid w:val="00524364"/>
    <w:rsid w:val="005245BF"/>
    <w:rsid w:val="00525111"/>
    <w:rsid w:val="005254BC"/>
    <w:rsid w:val="005256FC"/>
    <w:rsid w:val="005258DD"/>
    <w:rsid w:val="005259F9"/>
    <w:rsid w:val="00525B7D"/>
    <w:rsid w:val="00525FDC"/>
    <w:rsid w:val="00526158"/>
    <w:rsid w:val="00526162"/>
    <w:rsid w:val="005267C1"/>
    <w:rsid w:val="00526BFA"/>
    <w:rsid w:val="00526C27"/>
    <w:rsid w:val="00526C98"/>
    <w:rsid w:val="00526D09"/>
    <w:rsid w:val="00526DFF"/>
    <w:rsid w:val="00526F66"/>
    <w:rsid w:val="0052719A"/>
    <w:rsid w:val="005271C7"/>
    <w:rsid w:val="005272C8"/>
    <w:rsid w:val="005273D8"/>
    <w:rsid w:val="00527473"/>
    <w:rsid w:val="005274AC"/>
    <w:rsid w:val="00527A0F"/>
    <w:rsid w:val="00527D96"/>
    <w:rsid w:val="00527E94"/>
    <w:rsid w:val="00527EF9"/>
    <w:rsid w:val="005305FF"/>
    <w:rsid w:val="00530C9B"/>
    <w:rsid w:val="00530ECA"/>
    <w:rsid w:val="0053136A"/>
    <w:rsid w:val="00532334"/>
    <w:rsid w:val="00532351"/>
    <w:rsid w:val="005324AF"/>
    <w:rsid w:val="00532619"/>
    <w:rsid w:val="00532E61"/>
    <w:rsid w:val="00532F42"/>
    <w:rsid w:val="00533266"/>
    <w:rsid w:val="0053335E"/>
    <w:rsid w:val="00533C34"/>
    <w:rsid w:val="0053402C"/>
    <w:rsid w:val="00534054"/>
    <w:rsid w:val="00534090"/>
    <w:rsid w:val="00534428"/>
    <w:rsid w:val="00534ABA"/>
    <w:rsid w:val="00534B20"/>
    <w:rsid w:val="00534D6A"/>
    <w:rsid w:val="00534EAD"/>
    <w:rsid w:val="00535102"/>
    <w:rsid w:val="00535167"/>
    <w:rsid w:val="00535970"/>
    <w:rsid w:val="005359DA"/>
    <w:rsid w:val="00535FFF"/>
    <w:rsid w:val="005360DE"/>
    <w:rsid w:val="0053616F"/>
    <w:rsid w:val="00536294"/>
    <w:rsid w:val="00536505"/>
    <w:rsid w:val="005365D9"/>
    <w:rsid w:val="005365E7"/>
    <w:rsid w:val="0053665E"/>
    <w:rsid w:val="00536715"/>
    <w:rsid w:val="005368AD"/>
    <w:rsid w:val="005368EC"/>
    <w:rsid w:val="00536A07"/>
    <w:rsid w:val="00536B56"/>
    <w:rsid w:val="00536C30"/>
    <w:rsid w:val="00536C6C"/>
    <w:rsid w:val="00537095"/>
    <w:rsid w:val="005370BC"/>
    <w:rsid w:val="005371E1"/>
    <w:rsid w:val="005373C2"/>
    <w:rsid w:val="00537A62"/>
    <w:rsid w:val="00537B35"/>
    <w:rsid w:val="00537BA4"/>
    <w:rsid w:val="00537DE7"/>
    <w:rsid w:val="00537EC4"/>
    <w:rsid w:val="00537FE4"/>
    <w:rsid w:val="0054027D"/>
    <w:rsid w:val="00540286"/>
    <w:rsid w:val="00540494"/>
    <w:rsid w:val="00540A8A"/>
    <w:rsid w:val="005410FA"/>
    <w:rsid w:val="00541222"/>
    <w:rsid w:val="0054167F"/>
    <w:rsid w:val="00541730"/>
    <w:rsid w:val="00541A8D"/>
    <w:rsid w:val="00541F68"/>
    <w:rsid w:val="0054200F"/>
    <w:rsid w:val="005428BE"/>
    <w:rsid w:val="00542CCA"/>
    <w:rsid w:val="00543461"/>
    <w:rsid w:val="005437FD"/>
    <w:rsid w:val="005443C1"/>
    <w:rsid w:val="005448CD"/>
    <w:rsid w:val="00544BB7"/>
    <w:rsid w:val="00544DA0"/>
    <w:rsid w:val="00545280"/>
    <w:rsid w:val="005454BD"/>
    <w:rsid w:val="0054562D"/>
    <w:rsid w:val="005456CC"/>
    <w:rsid w:val="0054576D"/>
    <w:rsid w:val="005457E4"/>
    <w:rsid w:val="0054582B"/>
    <w:rsid w:val="00545AD3"/>
    <w:rsid w:val="00545DD3"/>
    <w:rsid w:val="00545E73"/>
    <w:rsid w:val="00545ED7"/>
    <w:rsid w:val="0054622D"/>
    <w:rsid w:val="00546417"/>
    <w:rsid w:val="0054653F"/>
    <w:rsid w:val="005465CA"/>
    <w:rsid w:val="005469FC"/>
    <w:rsid w:val="00546C49"/>
    <w:rsid w:val="005500FB"/>
    <w:rsid w:val="0055010B"/>
    <w:rsid w:val="00550123"/>
    <w:rsid w:val="00550386"/>
    <w:rsid w:val="00550442"/>
    <w:rsid w:val="00550479"/>
    <w:rsid w:val="005506D7"/>
    <w:rsid w:val="0055089D"/>
    <w:rsid w:val="00550904"/>
    <w:rsid w:val="00550D59"/>
    <w:rsid w:val="0055110D"/>
    <w:rsid w:val="0055110F"/>
    <w:rsid w:val="00551583"/>
    <w:rsid w:val="0055173B"/>
    <w:rsid w:val="0055187F"/>
    <w:rsid w:val="00551F2B"/>
    <w:rsid w:val="00551F81"/>
    <w:rsid w:val="0055210F"/>
    <w:rsid w:val="00552683"/>
    <w:rsid w:val="00552CD7"/>
    <w:rsid w:val="00552ECA"/>
    <w:rsid w:val="00552F20"/>
    <w:rsid w:val="005533BE"/>
    <w:rsid w:val="005533CE"/>
    <w:rsid w:val="00553602"/>
    <w:rsid w:val="005538D0"/>
    <w:rsid w:val="005539FA"/>
    <w:rsid w:val="00553E8A"/>
    <w:rsid w:val="0055400B"/>
    <w:rsid w:val="00554100"/>
    <w:rsid w:val="0055434B"/>
    <w:rsid w:val="0055455B"/>
    <w:rsid w:val="0055480D"/>
    <w:rsid w:val="005549A4"/>
    <w:rsid w:val="00554B30"/>
    <w:rsid w:val="00554BA3"/>
    <w:rsid w:val="00554BAB"/>
    <w:rsid w:val="00554C28"/>
    <w:rsid w:val="00554F07"/>
    <w:rsid w:val="00554FFB"/>
    <w:rsid w:val="00555897"/>
    <w:rsid w:val="00555AF8"/>
    <w:rsid w:val="00555BA7"/>
    <w:rsid w:val="00556184"/>
    <w:rsid w:val="005563EE"/>
    <w:rsid w:val="0055644F"/>
    <w:rsid w:val="00556735"/>
    <w:rsid w:val="005568DE"/>
    <w:rsid w:val="00556D26"/>
    <w:rsid w:val="00557083"/>
    <w:rsid w:val="005572BF"/>
    <w:rsid w:val="0055730D"/>
    <w:rsid w:val="00557347"/>
    <w:rsid w:val="005576E8"/>
    <w:rsid w:val="00557813"/>
    <w:rsid w:val="00557C50"/>
    <w:rsid w:val="00557D98"/>
    <w:rsid w:val="00560132"/>
    <w:rsid w:val="005604E2"/>
    <w:rsid w:val="00560581"/>
    <w:rsid w:val="005606B6"/>
    <w:rsid w:val="00560858"/>
    <w:rsid w:val="005608D6"/>
    <w:rsid w:val="005609FB"/>
    <w:rsid w:val="00560AC2"/>
    <w:rsid w:val="00560B84"/>
    <w:rsid w:val="00560F19"/>
    <w:rsid w:val="00560FE0"/>
    <w:rsid w:val="00561643"/>
    <w:rsid w:val="005616E6"/>
    <w:rsid w:val="00561C26"/>
    <w:rsid w:val="00561E6B"/>
    <w:rsid w:val="00561FFE"/>
    <w:rsid w:val="005621D2"/>
    <w:rsid w:val="005621E0"/>
    <w:rsid w:val="005622E6"/>
    <w:rsid w:val="0056285E"/>
    <w:rsid w:val="00562D90"/>
    <w:rsid w:val="00562FF2"/>
    <w:rsid w:val="005631CD"/>
    <w:rsid w:val="00563317"/>
    <w:rsid w:val="005634E5"/>
    <w:rsid w:val="005637BF"/>
    <w:rsid w:val="00563A23"/>
    <w:rsid w:val="00563A5A"/>
    <w:rsid w:val="00563C61"/>
    <w:rsid w:val="00563E18"/>
    <w:rsid w:val="00563ECB"/>
    <w:rsid w:val="00563F47"/>
    <w:rsid w:val="00564002"/>
    <w:rsid w:val="005640BB"/>
    <w:rsid w:val="00564C23"/>
    <w:rsid w:val="00564C5B"/>
    <w:rsid w:val="00564FEC"/>
    <w:rsid w:val="00565118"/>
    <w:rsid w:val="00565406"/>
    <w:rsid w:val="00565570"/>
    <w:rsid w:val="005656F7"/>
    <w:rsid w:val="00565705"/>
    <w:rsid w:val="005657DD"/>
    <w:rsid w:val="005659C8"/>
    <w:rsid w:val="00565B29"/>
    <w:rsid w:val="00565CEF"/>
    <w:rsid w:val="00565D70"/>
    <w:rsid w:val="005664CC"/>
    <w:rsid w:val="0056664B"/>
    <w:rsid w:val="00566795"/>
    <w:rsid w:val="0056684E"/>
    <w:rsid w:val="00566A01"/>
    <w:rsid w:val="00566D37"/>
    <w:rsid w:val="00566F92"/>
    <w:rsid w:val="0056712D"/>
    <w:rsid w:val="00567216"/>
    <w:rsid w:val="00567588"/>
    <w:rsid w:val="005676E8"/>
    <w:rsid w:val="00567992"/>
    <w:rsid w:val="00567C3C"/>
    <w:rsid w:val="005702F8"/>
    <w:rsid w:val="00570304"/>
    <w:rsid w:val="0057073D"/>
    <w:rsid w:val="00570E9E"/>
    <w:rsid w:val="00571231"/>
    <w:rsid w:val="00571767"/>
    <w:rsid w:val="00571CB2"/>
    <w:rsid w:val="00571E2B"/>
    <w:rsid w:val="00571E44"/>
    <w:rsid w:val="00571F36"/>
    <w:rsid w:val="005721BE"/>
    <w:rsid w:val="005722BF"/>
    <w:rsid w:val="005724BF"/>
    <w:rsid w:val="0057277E"/>
    <w:rsid w:val="005728D6"/>
    <w:rsid w:val="00572F55"/>
    <w:rsid w:val="00573298"/>
    <w:rsid w:val="0057369D"/>
    <w:rsid w:val="00573E61"/>
    <w:rsid w:val="0057411B"/>
    <w:rsid w:val="005741AB"/>
    <w:rsid w:val="005742B5"/>
    <w:rsid w:val="00574525"/>
    <w:rsid w:val="00574778"/>
    <w:rsid w:val="0057498F"/>
    <w:rsid w:val="00574CB8"/>
    <w:rsid w:val="00574DE9"/>
    <w:rsid w:val="0057518B"/>
    <w:rsid w:val="00575479"/>
    <w:rsid w:val="00575533"/>
    <w:rsid w:val="005756B6"/>
    <w:rsid w:val="0057585B"/>
    <w:rsid w:val="00575864"/>
    <w:rsid w:val="00575C88"/>
    <w:rsid w:val="00575DF4"/>
    <w:rsid w:val="0057659A"/>
    <w:rsid w:val="0057690C"/>
    <w:rsid w:val="005769BC"/>
    <w:rsid w:val="00576B50"/>
    <w:rsid w:val="00576C45"/>
    <w:rsid w:val="00576D9B"/>
    <w:rsid w:val="005771FE"/>
    <w:rsid w:val="005774AD"/>
    <w:rsid w:val="0057765D"/>
    <w:rsid w:val="005777C4"/>
    <w:rsid w:val="005777FC"/>
    <w:rsid w:val="00577C8D"/>
    <w:rsid w:val="0058009B"/>
    <w:rsid w:val="00580364"/>
    <w:rsid w:val="005803EB"/>
    <w:rsid w:val="005808EB"/>
    <w:rsid w:val="00580D37"/>
    <w:rsid w:val="00581709"/>
    <w:rsid w:val="00581FA0"/>
    <w:rsid w:val="005821F4"/>
    <w:rsid w:val="0058221F"/>
    <w:rsid w:val="00582320"/>
    <w:rsid w:val="0058288A"/>
    <w:rsid w:val="00582B90"/>
    <w:rsid w:val="00582D1A"/>
    <w:rsid w:val="005831A7"/>
    <w:rsid w:val="00583321"/>
    <w:rsid w:val="0058341E"/>
    <w:rsid w:val="005835C4"/>
    <w:rsid w:val="00583FEF"/>
    <w:rsid w:val="0058445D"/>
    <w:rsid w:val="00584BC3"/>
    <w:rsid w:val="00584DAC"/>
    <w:rsid w:val="00584DE1"/>
    <w:rsid w:val="00584E5F"/>
    <w:rsid w:val="00584F3A"/>
    <w:rsid w:val="00585258"/>
    <w:rsid w:val="005853AB"/>
    <w:rsid w:val="0058549B"/>
    <w:rsid w:val="00585748"/>
    <w:rsid w:val="005857FA"/>
    <w:rsid w:val="00585920"/>
    <w:rsid w:val="005859AB"/>
    <w:rsid w:val="005859C5"/>
    <w:rsid w:val="00585B37"/>
    <w:rsid w:val="00585B70"/>
    <w:rsid w:val="00585C79"/>
    <w:rsid w:val="00585D19"/>
    <w:rsid w:val="00585FD0"/>
    <w:rsid w:val="00586049"/>
    <w:rsid w:val="00586144"/>
    <w:rsid w:val="00586322"/>
    <w:rsid w:val="0058755C"/>
    <w:rsid w:val="00587785"/>
    <w:rsid w:val="00587839"/>
    <w:rsid w:val="0058788D"/>
    <w:rsid w:val="00587B38"/>
    <w:rsid w:val="00587C63"/>
    <w:rsid w:val="00587E29"/>
    <w:rsid w:val="00587F9E"/>
    <w:rsid w:val="00587FE6"/>
    <w:rsid w:val="0059012B"/>
    <w:rsid w:val="005901B5"/>
    <w:rsid w:val="00590294"/>
    <w:rsid w:val="00590539"/>
    <w:rsid w:val="00590A25"/>
    <w:rsid w:val="00590D45"/>
    <w:rsid w:val="00590E62"/>
    <w:rsid w:val="00591295"/>
    <w:rsid w:val="00591698"/>
    <w:rsid w:val="00591809"/>
    <w:rsid w:val="005918A8"/>
    <w:rsid w:val="00592145"/>
    <w:rsid w:val="00592158"/>
    <w:rsid w:val="00592513"/>
    <w:rsid w:val="005927CD"/>
    <w:rsid w:val="005927FD"/>
    <w:rsid w:val="00592BDD"/>
    <w:rsid w:val="00592C00"/>
    <w:rsid w:val="00592FFA"/>
    <w:rsid w:val="005931A4"/>
    <w:rsid w:val="005938F8"/>
    <w:rsid w:val="00593B87"/>
    <w:rsid w:val="00593C1C"/>
    <w:rsid w:val="00593DEE"/>
    <w:rsid w:val="00593E94"/>
    <w:rsid w:val="00593F6D"/>
    <w:rsid w:val="00594143"/>
    <w:rsid w:val="00594215"/>
    <w:rsid w:val="00594417"/>
    <w:rsid w:val="0059445C"/>
    <w:rsid w:val="00594543"/>
    <w:rsid w:val="00594612"/>
    <w:rsid w:val="0059474F"/>
    <w:rsid w:val="00594D65"/>
    <w:rsid w:val="005957E5"/>
    <w:rsid w:val="00595859"/>
    <w:rsid w:val="00595873"/>
    <w:rsid w:val="0059594A"/>
    <w:rsid w:val="00595CDD"/>
    <w:rsid w:val="00595D46"/>
    <w:rsid w:val="00596293"/>
    <w:rsid w:val="005963BE"/>
    <w:rsid w:val="005964BB"/>
    <w:rsid w:val="00596A70"/>
    <w:rsid w:val="00596BD3"/>
    <w:rsid w:val="00596BE7"/>
    <w:rsid w:val="00596C3E"/>
    <w:rsid w:val="00596EC9"/>
    <w:rsid w:val="00596ECD"/>
    <w:rsid w:val="00597079"/>
    <w:rsid w:val="005973E4"/>
    <w:rsid w:val="005975EB"/>
    <w:rsid w:val="00597785"/>
    <w:rsid w:val="005977DD"/>
    <w:rsid w:val="00597968"/>
    <w:rsid w:val="00597E28"/>
    <w:rsid w:val="005A01EC"/>
    <w:rsid w:val="005A04BD"/>
    <w:rsid w:val="005A0A39"/>
    <w:rsid w:val="005A0A3F"/>
    <w:rsid w:val="005A0B34"/>
    <w:rsid w:val="005A0E5F"/>
    <w:rsid w:val="005A114F"/>
    <w:rsid w:val="005A1465"/>
    <w:rsid w:val="005A1989"/>
    <w:rsid w:val="005A1A04"/>
    <w:rsid w:val="005A1F49"/>
    <w:rsid w:val="005A2364"/>
    <w:rsid w:val="005A2480"/>
    <w:rsid w:val="005A2B2C"/>
    <w:rsid w:val="005A2B3E"/>
    <w:rsid w:val="005A2D6B"/>
    <w:rsid w:val="005A2E4E"/>
    <w:rsid w:val="005A2F6B"/>
    <w:rsid w:val="005A3252"/>
    <w:rsid w:val="005A33F7"/>
    <w:rsid w:val="005A343E"/>
    <w:rsid w:val="005A36B7"/>
    <w:rsid w:val="005A38AD"/>
    <w:rsid w:val="005A40CF"/>
    <w:rsid w:val="005A445A"/>
    <w:rsid w:val="005A46B0"/>
    <w:rsid w:val="005A4A9C"/>
    <w:rsid w:val="005A4BAE"/>
    <w:rsid w:val="005A4F39"/>
    <w:rsid w:val="005A50FF"/>
    <w:rsid w:val="005A5343"/>
    <w:rsid w:val="005A574D"/>
    <w:rsid w:val="005A5B5C"/>
    <w:rsid w:val="005A5E0F"/>
    <w:rsid w:val="005A5E16"/>
    <w:rsid w:val="005A610B"/>
    <w:rsid w:val="005A6432"/>
    <w:rsid w:val="005A6932"/>
    <w:rsid w:val="005A6D52"/>
    <w:rsid w:val="005A6E31"/>
    <w:rsid w:val="005A6E93"/>
    <w:rsid w:val="005A707A"/>
    <w:rsid w:val="005A7267"/>
    <w:rsid w:val="005A72B5"/>
    <w:rsid w:val="005A7340"/>
    <w:rsid w:val="005A745C"/>
    <w:rsid w:val="005A75C6"/>
    <w:rsid w:val="005A7619"/>
    <w:rsid w:val="005A7903"/>
    <w:rsid w:val="005A7B08"/>
    <w:rsid w:val="005A7C32"/>
    <w:rsid w:val="005A7D70"/>
    <w:rsid w:val="005A7EB5"/>
    <w:rsid w:val="005A7F34"/>
    <w:rsid w:val="005A7F93"/>
    <w:rsid w:val="005A7F97"/>
    <w:rsid w:val="005B0001"/>
    <w:rsid w:val="005B026F"/>
    <w:rsid w:val="005B040B"/>
    <w:rsid w:val="005B0524"/>
    <w:rsid w:val="005B07EA"/>
    <w:rsid w:val="005B085A"/>
    <w:rsid w:val="005B09B1"/>
    <w:rsid w:val="005B0B20"/>
    <w:rsid w:val="005B0B86"/>
    <w:rsid w:val="005B0BD6"/>
    <w:rsid w:val="005B0EFB"/>
    <w:rsid w:val="005B1060"/>
    <w:rsid w:val="005B12B9"/>
    <w:rsid w:val="005B12C2"/>
    <w:rsid w:val="005B13EB"/>
    <w:rsid w:val="005B17C1"/>
    <w:rsid w:val="005B18A6"/>
    <w:rsid w:val="005B1BBE"/>
    <w:rsid w:val="005B1CFD"/>
    <w:rsid w:val="005B2033"/>
    <w:rsid w:val="005B2094"/>
    <w:rsid w:val="005B20F8"/>
    <w:rsid w:val="005B2373"/>
    <w:rsid w:val="005B272E"/>
    <w:rsid w:val="005B2C6B"/>
    <w:rsid w:val="005B2CEC"/>
    <w:rsid w:val="005B3613"/>
    <w:rsid w:val="005B3737"/>
    <w:rsid w:val="005B3A42"/>
    <w:rsid w:val="005B4280"/>
    <w:rsid w:val="005B445A"/>
    <w:rsid w:val="005B45FB"/>
    <w:rsid w:val="005B4700"/>
    <w:rsid w:val="005B4BB1"/>
    <w:rsid w:val="005B4FD3"/>
    <w:rsid w:val="005B5243"/>
    <w:rsid w:val="005B5465"/>
    <w:rsid w:val="005B54C4"/>
    <w:rsid w:val="005B583E"/>
    <w:rsid w:val="005B5AE7"/>
    <w:rsid w:val="005B5D40"/>
    <w:rsid w:val="005B5EFC"/>
    <w:rsid w:val="005B6412"/>
    <w:rsid w:val="005B656A"/>
    <w:rsid w:val="005B6628"/>
    <w:rsid w:val="005B6698"/>
    <w:rsid w:val="005B68A7"/>
    <w:rsid w:val="005B68CC"/>
    <w:rsid w:val="005B6AC3"/>
    <w:rsid w:val="005B7316"/>
    <w:rsid w:val="005B7613"/>
    <w:rsid w:val="005B79CB"/>
    <w:rsid w:val="005B7BE4"/>
    <w:rsid w:val="005B7EEF"/>
    <w:rsid w:val="005C022A"/>
    <w:rsid w:val="005C03BD"/>
    <w:rsid w:val="005C055E"/>
    <w:rsid w:val="005C0AFB"/>
    <w:rsid w:val="005C0C43"/>
    <w:rsid w:val="005C0C58"/>
    <w:rsid w:val="005C0FA1"/>
    <w:rsid w:val="005C1326"/>
    <w:rsid w:val="005C14F2"/>
    <w:rsid w:val="005C1615"/>
    <w:rsid w:val="005C19CA"/>
    <w:rsid w:val="005C1A05"/>
    <w:rsid w:val="005C1D98"/>
    <w:rsid w:val="005C1DA5"/>
    <w:rsid w:val="005C24ED"/>
    <w:rsid w:val="005C251B"/>
    <w:rsid w:val="005C2559"/>
    <w:rsid w:val="005C259D"/>
    <w:rsid w:val="005C2787"/>
    <w:rsid w:val="005C2873"/>
    <w:rsid w:val="005C2D4D"/>
    <w:rsid w:val="005C2E14"/>
    <w:rsid w:val="005C3185"/>
    <w:rsid w:val="005C3240"/>
    <w:rsid w:val="005C34FC"/>
    <w:rsid w:val="005C3545"/>
    <w:rsid w:val="005C3B5C"/>
    <w:rsid w:val="005C3B99"/>
    <w:rsid w:val="005C3C7F"/>
    <w:rsid w:val="005C3CD4"/>
    <w:rsid w:val="005C3D90"/>
    <w:rsid w:val="005C485D"/>
    <w:rsid w:val="005C48A1"/>
    <w:rsid w:val="005C4C6C"/>
    <w:rsid w:val="005C4E88"/>
    <w:rsid w:val="005C4F2C"/>
    <w:rsid w:val="005C5143"/>
    <w:rsid w:val="005C5182"/>
    <w:rsid w:val="005C5639"/>
    <w:rsid w:val="005C5742"/>
    <w:rsid w:val="005C5B84"/>
    <w:rsid w:val="005C5BFA"/>
    <w:rsid w:val="005C5E00"/>
    <w:rsid w:val="005C6063"/>
    <w:rsid w:val="005C6951"/>
    <w:rsid w:val="005C6BF5"/>
    <w:rsid w:val="005C6EA7"/>
    <w:rsid w:val="005C75BD"/>
    <w:rsid w:val="005C760E"/>
    <w:rsid w:val="005C767C"/>
    <w:rsid w:val="005C77C3"/>
    <w:rsid w:val="005C7D60"/>
    <w:rsid w:val="005C7E57"/>
    <w:rsid w:val="005C7E9E"/>
    <w:rsid w:val="005C7F61"/>
    <w:rsid w:val="005D0455"/>
    <w:rsid w:val="005D05DC"/>
    <w:rsid w:val="005D072A"/>
    <w:rsid w:val="005D0789"/>
    <w:rsid w:val="005D1242"/>
    <w:rsid w:val="005D18C9"/>
    <w:rsid w:val="005D1AD4"/>
    <w:rsid w:val="005D1B72"/>
    <w:rsid w:val="005D1C68"/>
    <w:rsid w:val="005D2204"/>
    <w:rsid w:val="005D231E"/>
    <w:rsid w:val="005D2421"/>
    <w:rsid w:val="005D2471"/>
    <w:rsid w:val="005D25A3"/>
    <w:rsid w:val="005D2779"/>
    <w:rsid w:val="005D2BA7"/>
    <w:rsid w:val="005D2E1F"/>
    <w:rsid w:val="005D3057"/>
    <w:rsid w:val="005D3242"/>
    <w:rsid w:val="005D32EE"/>
    <w:rsid w:val="005D3410"/>
    <w:rsid w:val="005D3524"/>
    <w:rsid w:val="005D36F4"/>
    <w:rsid w:val="005D41D8"/>
    <w:rsid w:val="005D4396"/>
    <w:rsid w:val="005D4CB8"/>
    <w:rsid w:val="005D4D55"/>
    <w:rsid w:val="005D5507"/>
    <w:rsid w:val="005D583B"/>
    <w:rsid w:val="005D5D6B"/>
    <w:rsid w:val="005D610C"/>
    <w:rsid w:val="005D67FB"/>
    <w:rsid w:val="005D6813"/>
    <w:rsid w:val="005D684B"/>
    <w:rsid w:val="005D6A33"/>
    <w:rsid w:val="005D73F6"/>
    <w:rsid w:val="005D74E7"/>
    <w:rsid w:val="005D7F7B"/>
    <w:rsid w:val="005D7F97"/>
    <w:rsid w:val="005E01B7"/>
    <w:rsid w:val="005E0712"/>
    <w:rsid w:val="005E090C"/>
    <w:rsid w:val="005E0CD9"/>
    <w:rsid w:val="005E0F95"/>
    <w:rsid w:val="005E162C"/>
    <w:rsid w:val="005E1C96"/>
    <w:rsid w:val="005E1D6A"/>
    <w:rsid w:val="005E2298"/>
    <w:rsid w:val="005E2682"/>
    <w:rsid w:val="005E27C7"/>
    <w:rsid w:val="005E28E8"/>
    <w:rsid w:val="005E2C40"/>
    <w:rsid w:val="005E2E4E"/>
    <w:rsid w:val="005E3373"/>
    <w:rsid w:val="005E35E7"/>
    <w:rsid w:val="005E36F2"/>
    <w:rsid w:val="005E37EB"/>
    <w:rsid w:val="005E3A07"/>
    <w:rsid w:val="005E3A7A"/>
    <w:rsid w:val="005E3BCD"/>
    <w:rsid w:val="005E3EE8"/>
    <w:rsid w:val="005E41AA"/>
    <w:rsid w:val="005E42BF"/>
    <w:rsid w:val="005E42E5"/>
    <w:rsid w:val="005E47A0"/>
    <w:rsid w:val="005E4A87"/>
    <w:rsid w:val="005E4DA5"/>
    <w:rsid w:val="005E4E6D"/>
    <w:rsid w:val="005E503E"/>
    <w:rsid w:val="005E5364"/>
    <w:rsid w:val="005E5612"/>
    <w:rsid w:val="005E59C7"/>
    <w:rsid w:val="005E5C9F"/>
    <w:rsid w:val="005E5E7B"/>
    <w:rsid w:val="005E6095"/>
    <w:rsid w:val="005E6119"/>
    <w:rsid w:val="005E61E1"/>
    <w:rsid w:val="005E6A3F"/>
    <w:rsid w:val="005E6A45"/>
    <w:rsid w:val="005E6DB8"/>
    <w:rsid w:val="005E70EE"/>
    <w:rsid w:val="005E7228"/>
    <w:rsid w:val="005E7284"/>
    <w:rsid w:val="005E72A2"/>
    <w:rsid w:val="005E7BAC"/>
    <w:rsid w:val="005F00CE"/>
    <w:rsid w:val="005F0CFE"/>
    <w:rsid w:val="005F0E5C"/>
    <w:rsid w:val="005F112A"/>
    <w:rsid w:val="005F11CF"/>
    <w:rsid w:val="005F134E"/>
    <w:rsid w:val="005F1365"/>
    <w:rsid w:val="005F1ABA"/>
    <w:rsid w:val="005F2194"/>
    <w:rsid w:val="005F223E"/>
    <w:rsid w:val="005F22C8"/>
    <w:rsid w:val="005F234E"/>
    <w:rsid w:val="005F2837"/>
    <w:rsid w:val="005F28A6"/>
    <w:rsid w:val="005F2AA7"/>
    <w:rsid w:val="005F2C1F"/>
    <w:rsid w:val="005F2E07"/>
    <w:rsid w:val="005F2E44"/>
    <w:rsid w:val="005F2F1C"/>
    <w:rsid w:val="005F319A"/>
    <w:rsid w:val="005F3690"/>
    <w:rsid w:val="005F3986"/>
    <w:rsid w:val="005F3B8A"/>
    <w:rsid w:val="005F3BB8"/>
    <w:rsid w:val="005F43F2"/>
    <w:rsid w:val="005F45C5"/>
    <w:rsid w:val="005F482C"/>
    <w:rsid w:val="005F4C57"/>
    <w:rsid w:val="005F4F57"/>
    <w:rsid w:val="005F5358"/>
    <w:rsid w:val="005F5580"/>
    <w:rsid w:val="005F56B6"/>
    <w:rsid w:val="005F5AF2"/>
    <w:rsid w:val="005F5BBA"/>
    <w:rsid w:val="005F5F1E"/>
    <w:rsid w:val="005F5FA8"/>
    <w:rsid w:val="005F6774"/>
    <w:rsid w:val="005F67CF"/>
    <w:rsid w:val="005F6C17"/>
    <w:rsid w:val="005F6DEC"/>
    <w:rsid w:val="005F7315"/>
    <w:rsid w:val="005F74FE"/>
    <w:rsid w:val="005F7575"/>
    <w:rsid w:val="005F7682"/>
    <w:rsid w:val="005F76EA"/>
    <w:rsid w:val="005F79AA"/>
    <w:rsid w:val="0060044B"/>
    <w:rsid w:val="00600D35"/>
    <w:rsid w:val="00600EFD"/>
    <w:rsid w:val="00601258"/>
    <w:rsid w:val="006013D7"/>
    <w:rsid w:val="00601449"/>
    <w:rsid w:val="006014D5"/>
    <w:rsid w:val="006014DB"/>
    <w:rsid w:val="00601587"/>
    <w:rsid w:val="00601A96"/>
    <w:rsid w:val="00601F41"/>
    <w:rsid w:val="00602079"/>
    <w:rsid w:val="0060225C"/>
    <w:rsid w:val="0060228D"/>
    <w:rsid w:val="006022F3"/>
    <w:rsid w:val="00602579"/>
    <w:rsid w:val="00602938"/>
    <w:rsid w:val="00602A1C"/>
    <w:rsid w:val="00602BA4"/>
    <w:rsid w:val="00602DA2"/>
    <w:rsid w:val="00602FF4"/>
    <w:rsid w:val="006031E2"/>
    <w:rsid w:val="00603228"/>
    <w:rsid w:val="006033FC"/>
    <w:rsid w:val="0060348B"/>
    <w:rsid w:val="00603846"/>
    <w:rsid w:val="00603BC5"/>
    <w:rsid w:val="00603BCE"/>
    <w:rsid w:val="00603D24"/>
    <w:rsid w:val="00603F07"/>
    <w:rsid w:val="00604110"/>
    <w:rsid w:val="00604264"/>
    <w:rsid w:val="0060445C"/>
    <w:rsid w:val="00604A94"/>
    <w:rsid w:val="00604ACD"/>
    <w:rsid w:val="00604B66"/>
    <w:rsid w:val="00604B77"/>
    <w:rsid w:val="00604C15"/>
    <w:rsid w:val="00604DC2"/>
    <w:rsid w:val="00604EF7"/>
    <w:rsid w:val="006052CE"/>
    <w:rsid w:val="00605D67"/>
    <w:rsid w:val="00605F91"/>
    <w:rsid w:val="00605FA4"/>
    <w:rsid w:val="006060C4"/>
    <w:rsid w:val="006063F6"/>
    <w:rsid w:val="00606508"/>
    <w:rsid w:val="0060670A"/>
    <w:rsid w:val="00606B70"/>
    <w:rsid w:val="00606E51"/>
    <w:rsid w:val="00606EAC"/>
    <w:rsid w:val="00606EF5"/>
    <w:rsid w:val="0060711C"/>
    <w:rsid w:val="006071D7"/>
    <w:rsid w:val="00607206"/>
    <w:rsid w:val="006072F0"/>
    <w:rsid w:val="00607C35"/>
    <w:rsid w:val="00610659"/>
    <w:rsid w:val="00610774"/>
    <w:rsid w:val="00611376"/>
    <w:rsid w:val="00611722"/>
    <w:rsid w:val="00611750"/>
    <w:rsid w:val="00611777"/>
    <w:rsid w:val="00611816"/>
    <w:rsid w:val="0061189F"/>
    <w:rsid w:val="00611AF4"/>
    <w:rsid w:val="00611BA0"/>
    <w:rsid w:val="00611CA9"/>
    <w:rsid w:val="00611F02"/>
    <w:rsid w:val="00611FA6"/>
    <w:rsid w:val="00612063"/>
    <w:rsid w:val="00612172"/>
    <w:rsid w:val="0061219B"/>
    <w:rsid w:val="00612293"/>
    <w:rsid w:val="00612331"/>
    <w:rsid w:val="006127D1"/>
    <w:rsid w:val="00612D05"/>
    <w:rsid w:val="00613932"/>
    <w:rsid w:val="00613B88"/>
    <w:rsid w:val="00613FB6"/>
    <w:rsid w:val="006140C6"/>
    <w:rsid w:val="00614134"/>
    <w:rsid w:val="00614241"/>
    <w:rsid w:val="0061428D"/>
    <w:rsid w:val="006143B4"/>
    <w:rsid w:val="006144DA"/>
    <w:rsid w:val="00615090"/>
    <w:rsid w:val="00615264"/>
    <w:rsid w:val="0061533E"/>
    <w:rsid w:val="00615411"/>
    <w:rsid w:val="006154C9"/>
    <w:rsid w:val="006156F7"/>
    <w:rsid w:val="006157FE"/>
    <w:rsid w:val="0061599E"/>
    <w:rsid w:val="00615AC7"/>
    <w:rsid w:val="00615AF9"/>
    <w:rsid w:val="006160FE"/>
    <w:rsid w:val="00616190"/>
    <w:rsid w:val="006161FC"/>
    <w:rsid w:val="00616224"/>
    <w:rsid w:val="00616228"/>
    <w:rsid w:val="006162E6"/>
    <w:rsid w:val="006169B8"/>
    <w:rsid w:val="00616BD6"/>
    <w:rsid w:val="006171A5"/>
    <w:rsid w:val="00617276"/>
    <w:rsid w:val="00617C9D"/>
    <w:rsid w:val="00617F62"/>
    <w:rsid w:val="0062020D"/>
    <w:rsid w:val="00620309"/>
    <w:rsid w:val="00620858"/>
    <w:rsid w:val="00620C4E"/>
    <w:rsid w:val="006214DE"/>
    <w:rsid w:val="0062159D"/>
    <w:rsid w:val="00621680"/>
    <w:rsid w:val="0062173E"/>
    <w:rsid w:val="00621966"/>
    <w:rsid w:val="00621C25"/>
    <w:rsid w:val="00621D74"/>
    <w:rsid w:val="00621EC5"/>
    <w:rsid w:val="006223E0"/>
    <w:rsid w:val="006223E7"/>
    <w:rsid w:val="006224D0"/>
    <w:rsid w:val="00622AA7"/>
    <w:rsid w:val="00622BCE"/>
    <w:rsid w:val="00622E29"/>
    <w:rsid w:val="006232DA"/>
    <w:rsid w:val="00623643"/>
    <w:rsid w:val="00624018"/>
    <w:rsid w:val="006240C4"/>
    <w:rsid w:val="00624513"/>
    <w:rsid w:val="006246CA"/>
    <w:rsid w:val="00624AAB"/>
    <w:rsid w:val="00624B3C"/>
    <w:rsid w:val="006251DE"/>
    <w:rsid w:val="00625304"/>
    <w:rsid w:val="0062581B"/>
    <w:rsid w:val="0062590C"/>
    <w:rsid w:val="006259CB"/>
    <w:rsid w:val="00625CB2"/>
    <w:rsid w:val="006261F4"/>
    <w:rsid w:val="006264C7"/>
    <w:rsid w:val="00627124"/>
    <w:rsid w:val="00627141"/>
    <w:rsid w:val="00627487"/>
    <w:rsid w:val="00627C76"/>
    <w:rsid w:val="00627F82"/>
    <w:rsid w:val="00630386"/>
    <w:rsid w:val="006304A3"/>
    <w:rsid w:val="00630AFA"/>
    <w:rsid w:val="00630BD4"/>
    <w:rsid w:val="00631023"/>
    <w:rsid w:val="0063164E"/>
    <w:rsid w:val="00631673"/>
    <w:rsid w:val="0063191D"/>
    <w:rsid w:val="006319E4"/>
    <w:rsid w:val="00631FBE"/>
    <w:rsid w:val="00632212"/>
    <w:rsid w:val="006327C0"/>
    <w:rsid w:val="00632A54"/>
    <w:rsid w:val="00633380"/>
    <w:rsid w:val="00633488"/>
    <w:rsid w:val="00633513"/>
    <w:rsid w:val="00633581"/>
    <w:rsid w:val="00633933"/>
    <w:rsid w:val="006339AF"/>
    <w:rsid w:val="00633C47"/>
    <w:rsid w:val="006340DA"/>
    <w:rsid w:val="006348F7"/>
    <w:rsid w:val="00634920"/>
    <w:rsid w:val="00634D1B"/>
    <w:rsid w:val="00634DE9"/>
    <w:rsid w:val="0063510E"/>
    <w:rsid w:val="0063512D"/>
    <w:rsid w:val="006352E8"/>
    <w:rsid w:val="006358FB"/>
    <w:rsid w:val="00635A04"/>
    <w:rsid w:val="00635AE2"/>
    <w:rsid w:val="00635B19"/>
    <w:rsid w:val="00635D66"/>
    <w:rsid w:val="00635E1E"/>
    <w:rsid w:val="00635E67"/>
    <w:rsid w:val="00635E6B"/>
    <w:rsid w:val="00635F86"/>
    <w:rsid w:val="006364E7"/>
    <w:rsid w:val="006366EF"/>
    <w:rsid w:val="0063677C"/>
    <w:rsid w:val="00636972"/>
    <w:rsid w:val="00636B69"/>
    <w:rsid w:val="00636BC2"/>
    <w:rsid w:val="006370B3"/>
    <w:rsid w:val="006370B8"/>
    <w:rsid w:val="006371BF"/>
    <w:rsid w:val="00637435"/>
    <w:rsid w:val="00637441"/>
    <w:rsid w:val="00637AF2"/>
    <w:rsid w:val="00637E59"/>
    <w:rsid w:val="00637F8F"/>
    <w:rsid w:val="0064034F"/>
    <w:rsid w:val="0064043B"/>
    <w:rsid w:val="00640451"/>
    <w:rsid w:val="006404B1"/>
    <w:rsid w:val="006404D1"/>
    <w:rsid w:val="006407BB"/>
    <w:rsid w:val="00640D49"/>
    <w:rsid w:val="00640D78"/>
    <w:rsid w:val="00640F43"/>
    <w:rsid w:val="0064129E"/>
    <w:rsid w:val="006412CA"/>
    <w:rsid w:val="0064138F"/>
    <w:rsid w:val="00641890"/>
    <w:rsid w:val="00641D3B"/>
    <w:rsid w:val="00641E4F"/>
    <w:rsid w:val="00642012"/>
    <w:rsid w:val="006420DA"/>
    <w:rsid w:val="0064256D"/>
    <w:rsid w:val="00642623"/>
    <w:rsid w:val="00642A0A"/>
    <w:rsid w:val="00642BF3"/>
    <w:rsid w:val="006433AB"/>
    <w:rsid w:val="006437A8"/>
    <w:rsid w:val="00643AC1"/>
    <w:rsid w:val="00643D62"/>
    <w:rsid w:val="006443BE"/>
    <w:rsid w:val="00644461"/>
    <w:rsid w:val="0064474B"/>
    <w:rsid w:val="00644763"/>
    <w:rsid w:val="006449FB"/>
    <w:rsid w:val="00644A59"/>
    <w:rsid w:val="00644A5E"/>
    <w:rsid w:val="00644A6C"/>
    <w:rsid w:val="00644B59"/>
    <w:rsid w:val="00644B65"/>
    <w:rsid w:val="00644D69"/>
    <w:rsid w:val="006451D9"/>
    <w:rsid w:val="006455E9"/>
    <w:rsid w:val="006457A8"/>
    <w:rsid w:val="00645A82"/>
    <w:rsid w:val="00645EA0"/>
    <w:rsid w:val="00645F76"/>
    <w:rsid w:val="00645FBB"/>
    <w:rsid w:val="00646084"/>
    <w:rsid w:val="0064619E"/>
    <w:rsid w:val="0064638C"/>
    <w:rsid w:val="0064699D"/>
    <w:rsid w:val="00646E05"/>
    <w:rsid w:val="00646EB0"/>
    <w:rsid w:val="00647027"/>
    <w:rsid w:val="0064714D"/>
    <w:rsid w:val="00647172"/>
    <w:rsid w:val="0064727D"/>
    <w:rsid w:val="0064771B"/>
    <w:rsid w:val="00647B32"/>
    <w:rsid w:val="00647C27"/>
    <w:rsid w:val="00647D03"/>
    <w:rsid w:val="00647D4C"/>
    <w:rsid w:val="00650161"/>
    <w:rsid w:val="006511DA"/>
    <w:rsid w:val="006512D0"/>
    <w:rsid w:val="006519E6"/>
    <w:rsid w:val="00651CDE"/>
    <w:rsid w:val="00652326"/>
    <w:rsid w:val="006524F6"/>
    <w:rsid w:val="0065280E"/>
    <w:rsid w:val="00652907"/>
    <w:rsid w:val="00652DF5"/>
    <w:rsid w:val="00652E06"/>
    <w:rsid w:val="006531D2"/>
    <w:rsid w:val="006537A6"/>
    <w:rsid w:val="0065383B"/>
    <w:rsid w:val="00653911"/>
    <w:rsid w:val="00653B22"/>
    <w:rsid w:val="00653B32"/>
    <w:rsid w:val="00653FC4"/>
    <w:rsid w:val="00654A26"/>
    <w:rsid w:val="00654F91"/>
    <w:rsid w:val="00655361"/>
    <w:rsid w:val="00655A89"/>
    <w:rsid w:val="00655F2F"/>
    <w:rsid w:val="00656253"/>
    <w:rsid w:val="0065653D"/>
    <w:rsid w:val="0065676C"/>
    <w:rsid w:val="00656799"/>
    <w:rsid w:val="006568F6"/>
    <w:rsid w:val="00656B77"/>
    <w:rsid w:val="00656E72"/>
    <w:rsid w:val="00657637"/>
    <w:rsid w:val="006576F2"/>
    <w:rsid w:val="006576F6"/>
    <w:rsid w:val="00657723"/>
    <w:rsid w:val="006578A1"/>
    <w:rsid w:val="006600E9"/>
    <w:rsid w:val="00660337"/>
    <w:rsid w:val="00660B20"/>
    <w:rsid w:val="00660C5B"/>
    <w:rsid w:val="00660CBA"/>
    <w:rsid w:val="0066137B"/>
    <w:rsid w:val="0066174E"/>
    <w:rsid w:val="00661765"/>
    <w:rsid w:val="006617F8"/>
    <w:rsid w:val="00661BBB"/>
    <w:rsid w:val="00661D80"/>
    <w:rsid w:val="00661DBB"/>
    <w:rsid w:val="00661E57"/>
    <w:rsid w:val="006620E7"/>
    <w:rsid w:val="006622A2"/>
    <w:rsid w:val="006625D0"/>
    <w:rsid w:val="00662870"/>
    <w:rsid w:val="006629E4"/>
    <w:rsid w:val="00662B84"/>
    <w:rsid w:val="00662E71"/>
    <w:rsid w:val="006631DA"/>
    <w:rsid w:val="0066352A"/>
    <w:rsid w:val="0066352E"/>
    <w:rsid w:val="0066362A"/>
    <w:rsid w:val="00663783"/>
    <w:rsid w:val="006637E7"/>
    <w:rsid w:val="00663829"/>
    <w:rsid w:val="00663DE3"/>
    <w:rsid w:val="00663E47"/>
    <w:rsid w:val="00663F0A"/>
    <w:rsid w:val="006644A7"/>
    <w:rsid w:val="00664BDE"/>
    <w:rsid w:val="00664F38"/>
    <w:rsid w:val="006651B3"/>
    <w:rsid w:val="0066565B"/>
    <w:rsid w:val="006659AB"/>
    <w:rsid w:val="00665C44"/>
    <w:rsid w:val="00665DBA"/>
    <w:rsid w:val="00665F94"/>
    <w:rsid w:val="00666284"/>
    <w:rsid w:val="006667F3"/>
    <w:rsid w:val="00667153"/>
    <w:rsid w:val="00667609"/>
    <w:rsid w:val="006676CC"/>
    <w:rsid w:val="0066778F"/>
    <w:rsid w:val="006678A3"/>
    <w:rsid w:val="0066792F"/>
    <w:rsid w:val="00667971"/>
    <w:rsid w:val="00667AEA"/>
    <w:rsid w:val="00667E8F"/>
    <w:rsid w:val="00670281"/>
    <w:rsid w:val="006704FA"/>
    <w:rsid w:val="00670687"/>
    <w:rsid w:val="00670DC5"/>
    <w:rsid w:val="00670F14"/>
    <w:rsid w:val="00670F25"/>
    <w:rsid w:val="00671130"/>
    <w:rsid w:val="00671364"/>
    <w:rsid w:val="00671652"/>
    <w:rsid w:val="006717D6"/>
    <w:rsid w:val="00671A3B"/>
    <w:rsid w:val="00671A89"/>
    <w:rsid w:val="00671FAA"/>
    <w:rsid w:val="00672114"/>
    <w:rsid w:val="00672179"/>
    <w:rsid w:val="00672207"/>
    <w:rsid w:val="006728A6"/>
    <w:rsid w:val="00672BA0"/>
    <w:rsid w:val="00673E26"/>
    <w:rsid w:val="00674908"/>
    <w:rsid w:val="00675210"/>
    <w:rsid w:val="00675937"/>
    <w:rsid w:val="006759E2"/>
    <w:rsid w:val="00675A43"/>
    <w:rsid w:val="00675DA5"/>
    <w:rsid w:val="00676117"/>
    <w:rsid w:val="00676A00"/>
    <w:rsid w:val="00676A2F"/>
    <w:rsid w:val="00676FA0"/>
    <w:rsid w:val="00677138"/>
    <w:rsid w:val="006774E4"/>
    <w:rsid w:val="006775D4"/>
    <w:rsid w:val="0067775D"/>
    <w:rsid w:val="00677DB1"/>
    <w:rsid w:val="00680482"/>
    <w:rsid w:val="006806B0"/>
    <w:rsid w:val="006808DC"/>
    <w:rsid w:val="006809F8"/>
    <w:rsid w:val="00680D9F"/>
    <w:rsid w:val="00680DC1"/>
    <w:rsid w:val="006812C3"/>
    <w:rsid w:val="006815BC"/>
    <w:rsid w:val="006816B6"/>
    <w:rsid w:val="006816D7"/>
    <w:rsid w:val="00681721"/>
    <w:rsid w:val="00681A2C"/>
    <w:rsid w:val="00681B04"/>
    <w:rsid w:val="00681C9B"/>
    <w:rsid w:val="00681D00"/>
    <w:rsid w:val="006820EB"/>
    <w:rsid w:val="00682128"/>
    <w:rsid w:val="006821CB"/>
    <w:rsid w:val="0068220C"/>
    <w:rsid w:val="006827D7"/>
    <w:rsid w:val="00682A89"/>
    <w:rsid w:val="00682AB1"/>
    <w:rsid w:val="00682B6D"/>
    <w:rsid w:val="00682C19"/>
    <w:rsid w:val="00682E9F"/>
    <w:rsid w:val="00682F7C"/>
    <w:rsid w:val="00683252"/>
    <w:rsid w:val="0068328B"/>
    <w:rsid w:val="0068343A"/>
    <w:rsid w:val="006834D4"/>
    <w:rsid w:val="0068350B"/>
    <w:rsid w:val="00683518"/>
    <w:rsid w:val="006835C8"/>
    <w:rsid w:val="00683C76"/>
    <w:rsid w:val="0068413D"/>
    <w:rsid w:val="006842EC"/>
    <w:rsid w:val="006844BA"/>
    <w:rsid w:val="006845A2"/>
    <w:rsid w:val="006845F3"/>
    <w:rsid w:val="0068469B"/>
    <w:rsid w:val="00684BF8"/>
    <w:rsid w:val="00684D9B"/>
    <w:rsid w:val="00685335"/>
    <w:rsid w:val="00685416"/>
    <w:rsid w:val="006858AA"/>
    <w:rsid w:val="00685934"/>
    <w:rsid w:val="006859B4"/>
    <w:rsid w:val="00685BCF"/>
    <w:rsid w:val="00685D70"/>
    <w:rsid w:val="00686560"/>
    <w:rsid w:val="00686747"/>
    <w:rsid w:val="006867CF"/>
    <w:rsid w:val="0068687A"/>
    <w:rsid w:val="0068698A"/>
    <w:rsid w:val="00686A00"/>
    <w:rsid w:val="00686AFC"/>
    <w:rsid w:val="00686B9B"/>
    <w:rsid w:val="006871C1"/>
    <w:rsid w:val="006871CF"/>
    <w:rsid w:val="006871D0"/>
    <w:rsid w:val="00687414"/>
    <w:rsid w:val="0068751F"/>
    <w:rsid w:val="00687642"/>
    <w:rsid w:val="0068795D"/>
    <w:rsid w:val="006900D1"/>
    <w:rsid w:val="00690297"/>
    <w:rsid w:val="0069037C"/>
    <w:rsid w:val="00690BE8"/>
    <w:rsid w:val="0069115A"/>
    <w:rsid w:val="006912F1"/>
    <w:rsid w:val="00691387"/>
    <w:rsid w:val="00691728"/>
    <w:rsid w:val="0069174A"/>
    <w:rsid w:val="00691AC0"/>
    <w:rsid w:val="00691D48"/>
    <w:rsid w:val="00691F59"/>
    <w:rsid w:val="00691FDB"/>
    <w:rsid w:val="0069268F"/>
    <w:rsid w:val="006927F2"/>
    <w:rsid w:val="006929E5"/>
    <w:rsid w:val="00692B53"/>
    <w:rsid w:val="00692C7F"/>
    <w:rsid w:val="006931E1"/>
    <w:rsid w:val="00693EA9"/>
    <w:rsid w:val="00693EC8"/>
    <w:rsid w:val="0069410B"/>
    <w:rsid w:val="00694310"/>
    <w:rsid w:val="00694448"/>
    <w:rsid w:val="00694700"/>
    <w:rsid w:val="00694803"/>
    <w:rsid w:val="00694CB1"/>
    <w:rsid w:val="00694CE8"/>
    <w:rsid w:val="00694F2F"/>
    <w:rsid w:val="00695045"/>
    <w:rsid w:val="0069569E"/>
    <w:rsid w:val="006956C6"/>
    <w:rsid w:val="006957BB"/>
    <w:rsid w:val="00695D67"/>
    <w:rsid w:val="0069688D"/>
    <w:rsid w:val="00696973"/>
    <w:rsid w:val="00696A69"/>
    <w:rsid w:val="00696EE3"/>
    <w:rsid w:val="0069708B"/>
    <w:rsid w:val="0069715D"/>
    <w:rsid w:val="00697392"/>
    <w:rsid w:val="006973E5"/>
    <w:rsid w:val="0069743E"/>
    <w:rsid w:val="00697600"/>
    <w:rsid w:val="00697664"/>
    <w:rsid w:val="00697681"/>
    <w:rsid w:val="0069770C"/>
    <w:rsid w:val="006979F3"/>
    <w:rsid w:val="006A0204"/>
    <w:rsid w:val="006A04E5"/>
    <w:rsid w:val="006A08F2"/>
    <w:rsid w:val="006A11E9"/>
    <w:rsid w:val="006A151A"/>
    <w:rsid w:val="006A1576"/>
    <w:rsid w:val="006A1A35"/>
    <w:rsid w:val="006A1BE3"/>
    <w:rsid w:val="006A1E62"/>
    <w:rsid w:val="006A1E77"/>
    <w:rsid w:val="006A2020"/>
    <w:rsid w:val="006A229F"/>
    <w:rsid w:val="006A23F9"/>
    <w:rsid w:val="006A246A"/>
    <w:rsid w:val="006A27A0"/>
    <w:rsid w:val="006A2958"/>
    <w:rsid w:val="006A2A12"/>
    <w:rsid w:val="006A2CCC"/>
    <w:rsid w:val="006A2E9C"/>
    <w:rsid w:val="006A3255"/>
    <w:rsid w:val="006A35E0"/>
    <w:rsid w:val="006A377F"/>
    <w:rsid w:val="006A384A"/>
    <w:rsid w:val="006A3875"/>
    <w:rsid w:val="006A3D40"/>
    <w:rsid w:val="006A4029"/>
    <w:rsid w:val="006A40E6"/>
    <w:rsid w:val="006A41D6"/>
    <w:rsid w:val="006A4605"/>
    <w:rsid w:val="006A4A4D"/>
    <w:rsid w:val="006A50D7"/>
    <w:rsid w:val="006A561D"/>
    <w:rsid w:val="006A5A0C"/>
    <w:rsid w:val="006A5BA0"/>
    <w:rsid w:val="006A5BB1"/>
    <w:rsid w:val="006A5F63"/>
    <w:rsid w:val="006A5F88"/>
    <w:rsid w:val="006A65FD"/>
    <w:rsid w:val="006A66AE"/>
    <w:rsid w:val="006A66B0"/>
    <w:rsid w:val="006A67E7"/>
    <w:rsid w:val="006A6BFA"/>
    <w:rsid w:val="006A6F77"/>
    <w:rsid w:val="006A728D"/>
    <w:rsid w:val="006A7332"/>
    <w:rsid w:val="006A73DC"/>
    <w:rsid w:val="006A7D95"/>
    <w:rsid w:val="006B0729"/>
    <w:rsid w:val="006B08E3"/>
    <w:rsid w:val="006B0FA3"/>
    <w:rsid w:val="006B120D"/>
    <w:rsid w:val="006B13C1"/>
    <w:rsid w:val="006B2082"/>
    <w:rsid w:val="006B2744"/>
    <w:rsid w:val="006B2CC7"/>
    <w:rsid w:val="006B2D1D"/>
    <w:rsid w:val="006B3286"/>
    <w:rsid w:val="006B34E7"/>
    <w:rsid w:val="006B3554"/>
    <w:rsid w:val="006B37B9"/>
    <w:rsid w:val="006B3881"/>
    <w:rsid w:val="006B3AAF"/>
    <w:rsid w:val="006B3AF9"/>
    <w:rsid w:val="006B437A"/>
    <w:rsid w:val="006B43FA"/>
    <w:rsid w:val="006B44C5"/>
    <w:rsid w:val="006B4517"/>
    <w:rsid w:val="006B4683"/>
    <w:rsid w:val="006B4D1D"/>
    <w:rsid w:val="006B4E76"/>
    <w:rsid w:val="006B5077"/>
    <w:rsid w:val="006B5103"/>
    <w:rsid w:val="006B51E1"/>
    <w:rsid w:val="006B555F"/>
    <w:rsid w:val="006B58A6"/>
    <w:rsid w:val="006B5A1F"/>
    <w:rsid w:val="006B5EFA"/>
    <w:rsid w:val="006B6242"/>
    <w:rsid w:val="006B64F9"/>
    <w:rsid w:val="006B6702"/>
    <w:rsid w:val="006B6C0E"/>
    <w:rsid w:val="006B6C7C"/>
    <w:rsid w:val="006B6EA4"/>
    <w:rsid w:val="006B70C2"/>
    <w:rsid w:val="006B77BB"/>
    <w:rsid w:val="006B7897"/>
    <w:rsid w:val="006B79BA"/>
    <w:rsid w:val="006B7B92"/>
    <w:rsid w:val="006B7B9A"/>
    <w:rsid w:val="006B7F0C"/>
    <w:rsid w:val="006B7F8F"/>
    <w:rsid w:val="006B7FC5"/>
    <w:rsid w:val="006C028C"/>
    <w:rsid w:val="006C0350"/>
    <w:rsid w:val="006C055E"/>
    <w:rsid w:val="006C05F7"/>
    <w:rsid w:val="006C07EC"/>
    <w:rsid w:val="006C0D13"/>
    <w:rsid w:val="006C12BE"/>
    <w:rsid w:val="006C157D"/>
    <w:rsid w:val="006C16B0"/>
    <w:rsid w:val="006C1818"/>
    <w:rsid w:val="006C187F"/>
    <w:rsid w:val="006C19A6"/>
    <w:rsid w:val="006C19BC"/>
    <w:rsid w:val="006C19D5"/>
    <w:rsid w:val="006C1B44"/>
    <w:rsid w:val="006C1DE8"/>
    <w:rsid w:val="006C1F77"/>
    <w:rsid w:val="006C2211"/>
    <w:rsid w:val="006C2811"/>
    <w:rsid w:val="006C2CD7"/>
    <w:rsid w:val="006C2CDE"/>
    <w:rsid w:val="006C2EB1"/>
    <w:rsid w:val="006C3031"/>
    <w:rsid w:val="006C3607"/>
    <w:rsid w:val="006C3990"/>
    <w:rsid w:val="006C3A0D"/>
    <w:rsid w:val="006C3CD5"/>
    <w:rsid w:val="006C3DD0"/>
    <w:rsid w:val="006C3ED2"/>
    <w:rsid w:val="006C3FCD"/>
    <w:rsid w:val="006C3FE2"/>
    <w:rsid w:val="006C4233"/>
    <w:rsid w:val="006C42B0"/>
    <w:rsid w:val="006C42E7"/>
    <w:rsid w:val="006C4422"/>
    <w:rsid w:val="006C4785"/>
    <w:rsid w:val="006C4AF5"/>
    <w:rsid w:val="006C4C04"/>
    <w:rsid w:val="006C4D70"/>
    <w:rsid w:val="006C5551"/>
    <w:rsid w:val="006C5A70"/>
    <w:rsid w:val="006C5B6D"/>
    <w:rsid w:val="006C5CCA"/>
    <w:rsid w:val="006C625F"/>
    <w:rsid w:val="006C65E0"/>
    <w:rsid w:val="006C670F"/>
    <w:rsid w:val="006C78A6"/>
    <w:rsid w:val="006C79D2"/>
    <w:rsid w:val="006C7AB4"/>
    <w:rsid w:val="006D006B"/>
    <w:rsid w:val="006D0336"/>
    <w:rsid w:val="006D04AA"/>
    <w:rsid w:val="006D105C"/>
    <w:rsid w:val="006D179E"/>
    <w:rsid w:val="006D1AEA"/>
    <w:rsid w:val="006D2364"/>
    <w:rsid w:val="006D29B1"/>
    <w:rsid w:val="006D29E2"/>
    <w:rsid w:val="006D2C1C"/>
    <w:rsid w:val="006D30E7"/>
    <w:rsid w:val="006D31BC"/>
    <w:rsid w:val="006D369C"/>
    <w:rsid w:val="006D4491"/>
    <w:rsid w:val="006D44C4"/>
    <w:rsid w:val="006D48AE"/>
    <w:rsid w:val="006D48E7"/>
    <w:rsid w:val="006D4947"/>
    <w:rsid w:val="006D4951"/>
    <w:rsid w:val="006D4D0C"/>
    <w:rsid w:val="006D4DD7"/>
    <w:rsid w:val="006D523A"/>
    <w:rsid w:val="006D5793"/>
    <w:rsid w:val="006D5F16"/>
    <w:rsid w:val="006D5FDE"/>
    <w:rsid w:val="006D60AE"/>
    <w:rsid w:val="006D6295"/>
    <w:rsid w:val="006D63AD"/>
    <w:rsid w:val="006D65E9"/>
    <w:rsid w:val="006D66D2"/>
    <w:rsid w:val="006D6764"/>
    <w:rsid w:val="006D67D9"/>
    <w:rsid w:val="006D696A"/>
    <w:rsid w:val="006D6C93"/>
    <w:rsid w:val="006D6D79"/>
    <w:rsid w:val="006D6FD3"/>
    <w:rsid w:val="006D6FDC"/>
    <w:rsid w:val="006D70B7"/>
    <w:rsid w:val="006D7549"/>
    <w:rsid w:val="006D7568"/>
    <w:rsid w:val="006D7573"/>
    <w:rsid w:val="006D7581"/>
    <w:rsid w:val="006D7A63"/>
    <w:rsid w:val="006D7C03"/>
    <w:rsid w:val="006E0126"/>
    <w:rsid w:val="006E02ED"/>
    <w:rsid w:val="006E0340"/>
    <w:rsid w:val="006E06F9"/>
    <w:rsid w:val="006E07A9"/>
    <w:rsid w:val="006E0965"/>
    <w:rsid w:val="006E0D91"/>
    <w:rsid w:val="006E1139"/>
    <w:rsid w:val="006E1601"/>
    <w:rsid w:val="006E1706"/>
    <w:rsid w:val="006E18A0"/>
    <w:rsid w:val="006E1C3D"/>
    <w:rsid w:val="006E28A0"/>
    <w:rsid w:val="006E28FF"/>
    <w:rsid w:val="006E292B"/>
    <w:rsid w:val="006E3588"/>
    <w:rsid w:val="006E37EF"/>
    <w:rsid w:val="006E3CB2"/>
    <w:rsid w:val="006E3DA8"/>
    <w:rsid w:val="006E4106"/>
    <w:rsid w:val="006E4111"/>
    <w:rsid w:val="006E4231"/>
    <w:rsid w:val="006E485E"/>
    <w:rsid w:val="006E4965"/>
    <w:rsid w:val="006E4CC6"/>
    <w:rsid w:val="006E4F9A"/>
    <w:rsid w:val="006E50D8"/>
    <w:rsid w:val="006E54D1"/>
    <w:rsid w:val="006E5DAA"/>
    <w:rsid w:val="006E6141"/>
    <w:rsid w:val="006E633F"/>
    <w:rsid w:val="006E63BD"/>
    <w:rsid w:val="006E6428"/>
    <w:rsid w:val="006E69EE"/>
    <w:rsid w:val="006E7006"/>
    <w:rsid w:val="006E7820"/>
    <w:rsid w:val="006E7A47"/>
    <w:rsid w:val="006F0092"/>
    <w:rsid w:val="006F00E7"/>
    <w:rsid w:val="006F0F6E"/>
    <w:rsid w:val="006F0FDD"/>
    <w:rsid w:val="006F1AA9"/>
    <w:rsid w:val="006F1B22"/>
    <w:rsid w:val="006F1BA4"/>
    <w:rsid w:val="006F2259"/>
    <w:rsid w:val="006F23E1"/>
    <w:rsid w:val="006F2870"/>
    <w:rsid w:val="006F2B3F"/>
    <w:rsid w:val="006F2CD5"/>
    <w:rsid w:val="006F2D35"/>
    <w:rsid w:val="006F2DFB"/>
    <w:rsid w:val="006F2F8F"/>
    <w:rsid w:val="006F2FDA"/>
    <w:rsid w:val="006F2FE5"/>
    <w:rsid w:val="006F3228"/>
    <w:rsid w:val="006F3460"/>
    <w:rsid w:val="006F34FE"/>
    <w:rsid w:val="006F3568"/>
    <w:rsid w:val="006F3615"/>
    <w:rsid w:val="006F372B"/>
    <w:rsid w:val="006F3E07"/>
    <w:rsid w:val="006F3FA3"/>
    <w:rsid w:val="006F48BA"/>
    <w:rsid w:val="006F4986"/>
    <w:rsid w:val="006F4AF1"/>
    <w:rsid w:val="006F4AF9"/>
    <w:rsid w:val="006F4E0D"/>
    <w:rsid w:val="006F4E4D"/>
    <w:rsid w:val="006F5228"/>
    <w:rsid w:val="006F54EB"/>
    <w:rsid w:val="006F5849"/>
    <w:rsid w:val="006F5A54"/>
    <w:rsid w:val="006F5A67"/>
    <w:rsid w:val="006F5CC1"/>
    <w:rsid w:val="006F5CDD"/>
    <w:rsid w:val="006F5E59"/>
    <w:rsid w:val="006F60DF"/>
    <w:rsid w:val="006F61AF"/>
    <w:rsid w:val="006F67A5"/>
    <w:rsid w:val="006F6D40"/>
    <w:rsid w:val="006F6D85"/>
    <w:rsid w:val="006F6E43"/>
    <w:rsid w:val="006F6EDB"/>
    <w:rsid w:val="006F7236"/>
    <w:rsid w:val="006F7400"/>
    <w:rsid w:val="006F74E7"/>
    <w:rsid w:val="006F762D"/>
    <w:rsid w:val="006F772B"/>
    <w:rsid w:val="006F77D5"/>
    <w:rsid w:val="006F78A8"/>
    <w:rsid w:val="006F78D6"/>
    <w:rsid w:val="006F7AC5"/>
    <w:rsid w:val="006F7B86"/>
    <w:rsid w:val="006F7B8C"/>
    <w:rsid w:val="006F7DC2"/>
    <w:rsid w:val="0070008B"/>
    <w:rsid w:val="00700492"/>
    <w:rsid w:val="007006B9"/>
    <w:rsid w:val="007009AC"/>
    <w:rsid w:val="00700B54"/>
    <w:rsid w:val="00700ED9"/>
    <w:rsid w:val="0070100A"/>
    <w:rsid w:val="007013A7"/>
    <w:rsid w:val="0070167E"/>
    <w:rsid w:val="00701682"/>
    <w:rsid w:val="0070192F"/>
    <w:rsid w:val="00701949"/>
    <w:rsid w:val="00701BE4"/>
    <w:rsid w:val="00701E1B"/>
    <w:rsid w:val="0070223A"/>
    <w:rsid w:val="007022B0"/>
    <w:rsid w:val="007025B5"/>
    <w:rsid w:val="007026EE"/>
    <w:rsid w:val="00702742"/>
    <w:rsid w:val="00702C76"/>
    <w:rsid w:val="00702C96"/>
    <w:rsid w:val="00702E50"/>
    <w:rsid w:val="00702EA5"/>
    <w:rsid w:val="00702ED0"/>
    <w:rsid w:val="00703007"/>
    <w:rsid w:val="007032B6"/>
    <w:rsid w:val="00703525"/>
    <w:rsid w:val="00703885"/>
    <w:rsid w:val="00703C09"/>
    <w:rsid w:val="00703DFC"/>
    <w:rsid w:val="007040B3"/>
    <w:rsid w:val="007042EA"/>
    <w:rsid w:val="007042EC"/>
    <w:rsid w:val="0070434A"/>
    <w:rsid w:val="007048C4"/>
    <w:rsid w:val="00704C30"/>
    <w:rsid w:val="00704CC4"/>
    <w:rsid w:val="00704EA8"/>
    <w:rsid w:val="00705345"/>
    <w:rsid w:val="00705694"/>
    <w:rsid w:val="00705828"/>
    <w:rsid w:val="00705B96"/>
    <w:rsid w:val="007060C8"/>
    <w:rsid w:val="007061D5"/>
    <w:rsid w:val="0070638D"/>
    <w:rsid w:val="007064E3"/>
    <w:rsid w:val="007065F1"/>
    <w:rsid w:val="00706A36"/>
    <w:rsid w:val="00706DBF"/>
    <w:rsid w:val="00706F81"/>
    <w:rsid w:val="00707641"/>
    <w:rsid w:val="00707682"/>
    <w:rsid w:val="00707A59"/>
    <w:rsid w:val="00707EEE"/>
    <w:rsid w:val="0071046B"/>
    <w:rsid w:val="00710AC6"/>
    <w:rsid w:val="00710AE8"/>
    <w:rsid w:val="00710C1D"/>
    <w:rsid w:val="007110A3"/>
    <w:rsid w:val="00711108"/>
    <w:rsid w:val="007111D5"/>
    <w:rsid w:val="00711213"/>
    <w:rsid w:val="007112A1"/>
    <w:rsid w:val="0071147D"/>
    <w:rsid w:val="0071149C"/>
    <w:rsid w:val="007114B4"/>
    <w:rsid w:val="00711640"/>
    <w:rsid w:val="00711786"/>
    <w:rsid w:val="007118FF"/>
    <w:rsid w:val="00711996"/>
    <w:rsid w:val="00711B3B"/>
    <w:rsid w:val="00711BA3"/>
    <w:rsid w:val="00711C9D"/>
    <w:rsid w:val="00712A1A"/>
    <w:rsid w:val="00712B71"/>
    <w:rsid w:val="00712B91"/>
    <w:rsid w:val="00712E55"/>
    <w:rsid w:val="00712FE1"/>
    <w:rsid w:val="00713023"/>
    <w:rsid w:val="0071322C"/>
    <w:rsid w:val="0071325B"/>
    <w:rsid w:val="00713779"/>
    <w:rsid w:val="0071381A"/>
    <w:rsid w:val="00713989"/>
    <w:rsid w:val="00713DCF"/>
    <w:rsid w:val="00714004"/>
    <w:rsid w:val="007140DD"/>
    <w:rsid w:val="0071458E"/>
    <w:rsid w:val="007145C9"/>
    <w:rsid w:val="00714607"/>
    <w:rsid w:val="00714631"/>
    <w:rsid w:val="00714773"/>
    <w:rsid w:val="0071492D"/>
    <w:rsid w:val="0071499D"/>
    <w:rsid w:val="007149B6"/>
    <w:rsid w:val="00714B6E"/>
    <w:rsid w:val="0071512F"/>
    <w:rsid w:val="007155A7"/>
    <w:rsid w:val="007156DF"/>
    <w:rsid w:val="007157FF"/>
    <w:rsid w:val="00715A3A"/>
    <w:rsid w:val="00715AA7"/>
    <w:rsid w:val="00715B45"/>
    <w:rsid w:val="00715C92"/>
    <w:rsid w:val="00715CAF"/>
    <w:rsid w:val="007166C0"/>
    <w:rsid w:val="007167F4"/>
    <w:rsid w:val="007169AC"/>
    <w:rsid w:val="007169DD"/>
    <w:rsid w:val="00717679"/>
    <w:rsid w:val="00717B22"/>
    <w:rsid w:val="00717B67"/>
    <w:rsid w:val="00717B6D"/>
    <w:rsid w:val="00717CDE"/>
    <w:rsid w:val="00717D86"/>
    <w:rsid w:val="00717EB6"/>
    <w:rsid w:val="00720309"/>
    <w:rsid w:val="007206A2"/>
    <w:rsid w:val="007207CD"/>
    <w:rsid w:val="00720A5D"/>
    <w:rsid w:val="00720AD8"/>
    <w:rsid w:val="00720B38"/>
    <w:rsid w:val="00720B6F"/>
    <w:rsid w:val="00720B85"/>
    <w:rsid w:val="00720C3F"/>
    <w:rsid w:val="00720CA7"/>
    <w:rsid w:val="00720CF8"/>
    <w:rsid w:val="00721167"/>
    <w:rsid w:val="007212C2"/>
    <w:rsid w:val="0072147B"/>
    <w:rsid w:val="00721713"/>
    <w:rsid w:val="0072181E"/>
    <w:rsid w:val="00721991"/>
    <w:rsid w:val="00721A01"/>
    <w:rsid w:val="00722152"/>
    <w:rsid w:val="00722267"/>
    <w:rsid w:val="0072228D"/>
    <w:rsid w:val="0072285E"/>
    <w:rsid w:val="007228CF"/>
    <w:rsid w:val="0072295A"/>
    <w:rsid w:val="00722C1A"/>
    <w:rsid w:val="00722C62"/>
    <w:rsid w:val="00722D8B"/>
    <w:rsid w:val="00722DE8"/>
    <w:rsid w:val="0072321F"/>
    <w:rsid w:val="00723295"/>
    <w:rsid w:val="00723329"/>
    <w:rsid w:val="0072389A"/>
    <w:rsid w:val="007238E2"/>
    <w:rsid w:val="007239B4"/>
    <w:rsid w:val="00724446"/>
    <w:rsid w:val="00724584"/>
    <w:rsid w:val="007249E3"/>
    <w:rsid w:val="00724A14"/>
    <w:rsid w:val="00724AA1"/>
    <w:rsid w:val="00724AC1"/>
    <w:rsid w:val="00724C98"/>
    <w:rsid w:val="00724D39"/>
    <w:rsid w:val="0072529F"/>
    <w:rsid w:val="0072542A"/>
    <w:rsid w:val="007255DC"/>
    <w:rsid w:val="007259C6"/>
    <w:rsid w:val="00725A19"/>
    <w:rsid w:val="00725F55"/>
    <w:rsid w:val="00726356"/>
    <w:rsid w:val="0072652A"/>
    <w:rsid w:val="007268C7"/>
    <w:rsid w:val="00726906"/>
    <w:rsid w:val="00726AAB"/>
    <w:rsid w:val="00726EA3"/>
    <w:rsid w:val="00726FA0"/>
    <w:rsid w:val="00727070"/>
    <w:rsid w:val="00727077"/>
    <w:rsid w:val="007273E4"/>
    <w:rsid w:val="00727554"/>
    <w:rsid w:val="00727BFD"/>
    <w:rsid w:val="00727E14"/>
    <w:rsid w:val="00730607"/>
    <w:rsid w:val="00730C63"/>
    <w:rsid w:val="00730EA6"/>
    <w:rsid w:val="00730FCC"/>
    <w:rsid w:val="00731B18"/>
    <w:rsid w:val="00731C15"/>
    <w:rsid w:val="00731C31"/>
    <w:rsid w:val="00731DAA"/>
    <w:rsid w:val="00732045"/>
    <w:rsid w:val="007322A0"/>
    <w:rsid w:val="007324AE"/>
    <w:rsid w:val="00732C1A"/>
    <w:rsid w:val="00732EAF"/>
    <w:rsid w:val="00732EB4"/>
    <w:rsid w:val="00732F97"/>
    <w:rsid w:val="0073300D"/>
    <w:rsid w:val="00733424"/>
    <w:rsid w:val="007338CB"/>
    <w:rsid w:val="00733CDC"/>
    <w:rsid w:val="00734206"/>
    <w:rsid w:val="007344B3"/>
    <w:rsid w:val="0073489C"/>
    <w:rsid w:val="00734B9A"/>
    <w:rsid w:val="00734C27"/>
    <w:rsid w:val="00735074"/>
    <w:rsid w:val="00735640"/>
    <w:rsid w:val="00735695"/>
    <w:rsid w:val="007356A8"/>
    <w:rsid w:val="007360CB"/>
    <w:rsid w:val="00736109"/>
    <w:rsid w:val="007362E4"/>
    <w:rsid w:val="00736387"/>
    <w:rsid w:val="00736734"/>
    <w:rsid w:val="00736C11"/>
    <w:rsid w:val="00737566"/>
    <w:rsid w:val="007375DC"/>
    <w:rsid w:val="00737629"/>
    <w:rsid w:val="00737A75"/>
    <w:rsid w:val="00737E51"/>
    <w:rsid w:val="00737F7B"/>
    <w:rsid w:val="00740389"/>
    <w:rsid w:val="00740D0B"/>
    <w:rsid w:val="007410DD"/>
    <w:rsid w:val="00741137"/>
    <w:rsid w:val="0074186C"/>
    <w:rsid w:val="00741BA2"/>
    <w:rsid w:val="00741CF4"/>
    <w:rsid w:val="00741DCC"/>
    <w:rsid w:val="00741DE2"/>
    <w:rsid w:val="00741FE9"/>
    <w:rsid w:val="007421A1"/>
    <w:rsid w:val="007422A1"/>
    <w:rsid w:val="007427FE"/>
    <w:rsid w:val="0074292C"/>
    <w:rsid w:val="00742B91"/>
    <w:rsid w:val="00742BF2"/>
    <w:rsid w:val="00742C51"/>
    <w:rsid w:val="007432BF"/>
    <w:rsid w:val="00743366"/>
    <w:rsid w:val="00743445"/>
    <w:rsid w:val="00743461"/>
    <w:rsid w:val="00743F56"/>
    <w:rsid w:val="0074408D"/>
    <w:rsid w:val="00744154"/>
    <w:rsid w:val="007450D8"/>
    <w:rsid w:val="0074540A"/>
    <w:rsid w:val="00745B5B"/>
    <w:rsid w:val="00745E01"/>
    <w:rsid w:val="00746073"/>
    <w:rsid w:val="0074666B"/>
    <w:rsid w:val="00746681"/>
    <w:rsid w:val="007468D6"/>
    <w:rsid w:val="00746BFF"/>
    <w:rsid w:val="00746D39"/>
    <w:rsid w:val="0074700F"/>
    <w:rsid w:val="007473E1"/>
    <w:rsid w:val="0074762A"/>
    <w:rsid w:val="00747897"/>
    <w:rsid w:val="00747BB7"/>
    <w:rsid w:val="00747BE2"/>
    <w:rsid w:val="00747E47"/>
    <w:rsid w:val="00750192"/>
    <w:rsid w:val="00750224"/>
    <w:rsid w:val="007503F4"/>
    <w:rsid w:val="007504E1"/>
    <w:rsid w:val="00750544"/>
    <w:rsid w:val="00750804"/>
    <w:rsid w:val="007509AB"/>
    <w:rsid w:val="00750B03"/>
    <w:rsid w:val="00750C5A"/>
    <w:rsid w:val="00751192"/>
    <w:rsid w:val="007511FB"/>
    <w:rsid w:val="00751689"/>
    <w:rsid w:val="007517DE"/>
    <w:rsid w:val="00751B6C"/>
    <w:rsid w:val="00751C6D"/>
    <w:rsid w:val="007524AA"/>
    <w:rsid w:val="00752E22"/>
    <w:rsid w:val="00752F9D"/>
    <w:rsid w:val="00753498"/>
    <w:rsid w:val="00753535"/>
    <w:rsid w:val="00753744"/>
    <w:rsid w:val="00753974"/>
    <w:rsid w:val="00753A93"/>
    <w:rsid w:val="007543A1"/>
    <w:rsid w:val="00754815"/>
    <w:rsid w:val="00754ABC"/>
    <w:rsid w:val="00754D72"/>
    <w:rsid w:val="00754ECB"/>
    <w:rsid w:val="00755165"/>
    <w:rsid w:val="0075552D"/>
    <w:rsid w:val="00755663"/>
    <w:rsid w:val="00755759"/>
    <w:rsid w:val="00755922"/>
    <w:rsid w:val="00755F75"/>
    <w:rsid w:val="00756386"/>
    <w:rsid w:val="00756603"/>
    <w:rsid w:val="00756797"/>
    <w:rsid w:val="0075686A"/>
    <w:rsid w:val="007575C0"/>
    <w:rsid w:val="00757AB6"/>
    <w:rsid w:val="00757D2F"/>
    <w:rsid w:val="00757F6B"/>
    <w:rsid w:val="00757FC4"/>
    <w:rsid w:val="0076000E"/>
    <w:rsid w:val="00760C00"/>
    <w:rsid w:val="007610BE"/>
    <w:rsid w:val="007610E9"/>
    <w:rsid w:val="007610EC"/>
    <w:rsid w:val="00761442"/>
    <w:rsid w:val="00761728"/>
    <w:rsid w:val="00761888"/>
    <w:rsid w:val="00761C6C"/>
    <w:rsid w:val="00761D3E"/>
    <w:rsid w:val="00761DEA"/>
    <w:rsid w:val="00761E80"/>
    <w:rsid w:val="00762067"/>
    <w:rsid w:val="00762324"/>
    <w:rsid w:val="00762804"/>
    <w:rsid w:val="00762B72"/>
    <w:rsid w:val="00762EAB"/>
    <w:rsid w:val="007636F9"/>
    <w:rsid w:val="00763CCB"/>
    <w:rsid w:val="00763D92"/>
    <w:rsid w:val="00763E26"/>
    <w:rsid w:val="007642AB"/>
    <w:rsid w:val="007642B4"/>
    <w:rsid w:val="007645E2"/>
    <w:rsid w:val="00764C45"/>
    <w:rsid w:val="00764C7F"/>
    <w:rsid w:val="007652AE"/>
    <w:rsid w:val="00765512"/>
    <w:rsid w:val="00765CC8"/>
    <w:rsid w:val="007660C0"/>
    <w:rsid w:val="00766277"/>
    <w:rsid w:val="0076646C"/>
    <w:rsid w:val="007664C1"/>
    <w:rsid w:val="0076656A"/>
    <w:rsid w:val="00766701"/>
    <w:rsid w:val="00766712"/>
    <w:rsid w:val="00766775"/>
    <w:rsid w:val="00766911"/>
    <w:rsid w:val="00766ADC"/>
    <w:rsid w:val="00767573"/>
    <w:rsid w:val="007676F5"/>
    <w:rsid w:val="00767793"/>
    <w:rsid w:val="007679D8"/>
    <w:rsid w:val="00770414"/>
    <w:rsid w:val="00770803"/>
    <w:rsid w:val="00770DBA"/>
    <w:rsid w:val="00770DCF"/>
    <w:rsid w:val="00771154"/>
    <w:rsid w:val="00771319"/>
    <w:rsid w:val="00771353"/>
    <w:rsid w:val="007713E8"/>
    <w:rsid w:val="007715CE"/>
    <w:rsid w:val="007716D4"/>
    <w:rsid w:val="00771794"/>
    <w:rsid w:val="00771924"/>
    <w:rsid w:val="00771CCF"/>
    <w:rsid w:val="00771DD8"/>
    <w:rsid w:val="00771E23"/>
    <w:rsid w:val="00771F7D"/>
    <w:rsid w:val="00771F99"/>
    <w:rsid w:val="00771FC1"/>
    <w:rsid w:val="00772430"/>
    <w:rsid w:val="00772439"/>
    <w:rsid w:val="00772763"/>
    <w:rsid w:val="00772827"/>
    <w:rsid w:val="00772C3E"/>
    <w:rsid w:val="00772D84"/>
    <w:rsid w:val="007732D0"/>
    <w:rsid w:val="007736E8"/>
    <w:rsid w:val="00773810"/>
    <w:rsid w:val="007740FC"/>
    <w:rsid w:val="00774400"/>
    <w:rsid w:val="00774788"/>
    <w:rsid w:val="007747F6"/>
    <w:rsid w:val="0077480E"/>
    <w:rsid w:val="00774A27"/>
    <w:rsid w:val="00774ACE"/>
    <w:rsid w:val="00774C15"/>
    <w:rsid w:val="00774FC3"/>
    <w:rsid w:val="007757A2"/>
    <w:rsid w:val="00775823"/>
    <w:rsid w:val="00775CD1"/>
    <w:rsid w:val="00775D01"/>
    <w:rsid w:val="00775F57"/>
    <w:rsid w:val="007760DA"/>
    <w:rsid w:val="00776116"/>
    <w:rsid w:val="00776539"/>
    <w:rsid w:val="00776584"/>
    <w:rsid w:val="0077687B"/>
    <w:rsid w:val="007769EF"/>
    <w:rsid w:val="00776BF1"/>
    <w:rsid w:val="00776D4F"/>
    <w:rsid w:val="00776DDC"/>
    <w:rsid w:val="00776E1F"/>
    <w:rsid w:val="007770F9"/>
    <w:rsid w:val="00777179"/>
    <w:rsid w:val="007774BE"/>
    <w:rsid w:val="007774C1"/>
    <w:rsid w:val="0077761F"/>
    <w:rsid w:val="00777689"/>
    <w:rsid w:val="00777868"/>
    <w:rsid w:val="00777945"/>
    <w:rsid w:val="007779AF"/>
    <w:rsid w:val="00777A82"/>
    <w:rsid w:val="00777D40"/>
    <w:rsid w:val="00777E66"/>
    <w:rsid w:val="007801CC"/>
    <w:rsid w:val="00780A5B"/>
    <w:rsid w:val="00780B8D"/>
    <w:rsid w:val="00780B8E"/>
    <w:rsid w:val="00780BC7"/>
    <w:rsid w:val="00781036"/>
    <w:rsid w:val="00781649"/>
    <w:rsid w:val="00781E59"/>
    <w:rsid w:val="00782132"/>
    <w:rsid w:val="007822C5"/>
    <w:rsid w:val="007823D6"/>
    <w:rsid w:val="0078254E"/>
    <w:rsid w:val="00782628"/>
    <w:rsid w:val="007826AB"/>
    <w:rsid w:val="007826FA"/>
    <w:rsid w:val="00782A29"/>
    <w:rsid w:val="00782F2F"/>
    <w:rsid w:val="0078319D"/>
    <w:rsid w:val="00783B02"/>
    <w:rsid w:val="007840E2"/>
    <w:rsid w:val="00784645"/>
    <w:rsid w:val="007849C4"/>
    <w:rsid w:val="00784C51"/>
    <w:rsid w:val="00784F63"/>
    <w:rsid w:val="00785096"/>
    <w:rsid w:val="0078549A"/>
    <w:rsid w:val="0078569F"/>
    <w:rsid w:val="0078575F"/>
    <w:rsid w:val="00785783"/>
    <w:rsid w:val="00785803"/>
    <w:rsid w:val="00785B01"/>
    <w:rsid w:val="00785C63"/>
    <w:rsid w:val="00785EB4"/>
    <w:rsid w:val="0078609A"/>
    <w:rsid w:val="007860AF"/>
    <w:rsid w:val="00786CC8"/>
    <w:rsid w:val="00786D39"/>
    <w:rsid w:val="00786D54"/>
    <w:rsid w:val="00786D90"/>
    <w:rsid w:val="00786F85"/>
    <w:rsid w:val="00786FC0"/>
    <w:rsid w:val="0078731A"/>
    <w:rsid w:val="00787487"/>
    <w:rsid w:val="00787879"/>
    <w:rsid w:val="00790152"/>
    <w:rsid w:val="007901EA"/>
    <w:rsid w:val="00790552"/>
    <w:rsid w:val="00790556"/>
    <w:rsid w:val="007906F1"/>
    <w:rsid w:val="00790881"/>
    <w:rsid w:val="007908F8"/>
    <w:rsid w:val="00790B99"/>
    <w:rsid w:val="00790EDA"/>
    <w:rsid w:val="00791349"/>
    <w:rsid w:val="007914E0"/>
    <w:rsid w:val="00791BD6"/>
    <w:rsid w:val="00791C5B"/>
    <w:rsid w:val="00791D85"/>
    <w:rsid w:val="00791DAF"/>
    <w:rsid w:val="00792259"/>
    <w:rsid w:val="007924CA"/>
    <w:rsid w:val="00792A22"/>
    <w:rsid w:val="00792F6C"/>
    <w:rsid w:val="007930B6"/>
    <w:rsid w:val="00793400"/>
    <w:rsid w:val="007938AD"/>
    <w:rsid w:val="00793900"/>
    <w:rsid w:val="0079391A"/>
    <w:rsid w:val="00793D7E"/>
    <w:rsid w:val="00794365"/>
    <w:rsid w:val="0079465A"/>
    <w:rsid w:val="007947BF"/>
    <w:rsid w:val="00794CBF"/>
    <w:rsid w:val="00795081"/>
    <w:rsid w:val="00795365"/>
    <w:rsid w:val="0079567E"/>
    <w:rsid w:val="00795814"/>
    <w:rsid w:val="00795852"/>
    <w:rsid w:val="00795DB4"/>
    <w:rsid w:val="00795E12"/>
    <w:rsid w:val="007961D5"/>
    <w:rsid w:val="00796459"/>
    <w:rsid w:val="007966E8"/>
    <w:rsid w:val="00796726"/>
    <w:rsid w:val="00796A6F"/>
    <w:rsid w:val="00796C5D"/>
    <w:rsid w:val="00796EBD"/>
    <w:rsid w:val="007971E6"/>
    <w:rsid w:val="00797614"/>
    <w:rsid w:val="00797B06"/>
    <w:rsid w:val="00797B4B"/>
    <w:rsid w:val="00797B9C"/>
    <w:rsid w:val="007A01F6"/>
    <w:rsid w:val="007A0463"/>
    <w:rsid w:val="007A0483"/>
    <w:rsid w:val="007A061A"/>
    <w:rsid w:val="007A09F8"/>
    <w:rsid w:val="007A0E57"/>
    <w:rsid w:val="007A0E7A"/>
    <w:rsid w:val="007A1065"/>
    <w:rsid w:val="007A110B"/>
    <w:rsid w:val="007A161F"/>
    <w:rsid w:val="007A1A5B"/>
    <w:rsid w:val="007A1D86"/>
    <w:rsid w:val="007A1DC1"/>
    <w:rsid w:val="007A1F70"/>
    <w:rsid w:val="007A247F"/>
    <w:rsid w:val="007A26AD"/>
    <w:rsid w:val="007A2A97"/>
    <w:rsid w:val="007A2CDC"/>
    <w:rsid w:val="007A2FC0"/>
    <w:rsid w:val="007A303B"/>
    <w:rsid w:val="007A3285"/>
    <w:rsid w:val="007A32FE"/>
    <w:rsid w:val="007A356E"/>
    <w:rsid w:val="007A371B"/>
    <w:rsid w:val="007A3832"/>
    <w:rsid w:val="007A3A0F"/>
    <w:rsid w:val="007A3C8A"/>
    <w:rsid w:val="007A3D4A"/>
    <w:rsid w:val="007A3E60"/>
    <w:rsid w:val="007A3F34"/>
    <w:rsid w:val="007A3FEE"/>
    <w:rsid w:val="007A407D"/>
    <w:rsid w:val="007A42C3"/>
    <w:rsid w:val="007A464F"/>
    <w:rsid w:val="007A476C"/>
    <w:rsid w:val="007A485B"/>
    <w:rsid w:val="007A49C4"/>
    <w:rsid w:val="007A4DAA"/>
    <w:rsid w:val="007A4DE7"/>
    <w:rsid w:val="007A4FBB"/>
    <w:rsid w:val="007A51DC"/>
    <w:rsid w:val="007A5684"/>
    <w:rsid w:val="007A585A"/>
    <w:rsid w:val="007A589F"/>
    <w:rsid w:val="007A5A62"/>
    <w:rsid w:val="007A5CCF"/>
    <w:rsid w:val="007A6196"/>
    <w:rsid w:val="007A63D5"/>
    <w:rsid w:val="007A6665"/>
    <w:rsid w:val="007A6749"/>
    <w:rsid w:val="007A689A"/>
    <w:rsid w:val="007A68EA"/>
    <w:rsid w:val="007A6972"/>
    <w:rsid w:val="007A6B7D"/>
    <w:rsid w:val="007A6BAB"/>
    <w:rsid w:val="007A6E88"/>
    <w:rsid w:val="007A710F"/>
    <w:rsid w:val="007A7629"/>
    <w:rsid w:val="007A787E"/>
    <w:rsid w:val="007A7DD4"/>
    <w:rsid w:val="007A7F61"/>
    <w:rsid w:val="007A7FA7"/>
    <w:rsid w:val="007B0735"/>
    <w:rsid w:val="007B08DA"/>
    <w:rsid w:val="007B0BB2"/>
    <w:rsid w:val="007B1027"/>
    <w:rsid w:val="007B10E3"/>
    <w:rsid w:val="007B1572"/>
    <w:rsid w:val="007B1691"/>
    <w:rsid w:val="007B174F"/>
    <w:rsid w:val="007B1863"/>
    <w:rsid w:val="007B1D08"/>
    <w:rsid w:val="007B1D35"/>
    <w:rsid w:val="007B1DFB"/>
    <w:rsid w:val="007B1E60"/>
    <w:rsid w:val="007B22E0"/>
    <w:rsid w:val="007B256F"/>
    <w:rsid w:val="007B28BE"/>
    <w:rsid w:val="007B28CA"/>
    <w:rsid w:val="007B2AAA"/>
    <w:rsid w:val="007B2C4D"/>
    <w:rsid w:val="007B2C5A"/>
    <w:rsid w:val="007B30E8"/>
    <w:rsid w:val="007B358D"/>
    <w:rsid w:val="007B3A66"/>
    <w:rsid w:val="007B3BAA"/>
    <w:rsid w:val="007B3E1C"/>
    <w:rsid w:val="007B4E32"/>
    <w:rsid w:val="007B5401"/>
    <w:rsid w:val="007B570A"/>
    <w:rsid w:val="007B5DAC"/>
    <w:rsid w:val="007B5F79"/>
    <w:rsid w:val="007B5FB4"/>
    <w:rsid w:val="007B6052"/>
    <w:rsid w:val="007B62BF"/>
    <w:rsid w:val="007B6523"/>
    <w:rsid w:val="007B68CB"/>
    <w:rsid w:val="007B69CE"/>
    <w:rsid w:val="007B6B2B"/>
    <w:rsid w:val="007B6B9A"/>
    <w:rsid w:val="007B6EB6"/>
    <w:rsid w:val="007B7944"/>
    <w:rsid w:val="007B7949"/>
    <w:rsid w:val="007B7C33"/>
    <w:rsid w:val="007B7C7C"/>
    <w:rsid w:val="007B7D30"/>
    <w:rsid w:val="007C03B0"/>
    <w:rsid w:val="007C072C"/>
    <w:rsid w:val="007C0FA9"/>
    <w:rsid w:val="007C10E7"/>
    <w:rsid w:val="007C1598"/>
    <w:rsid w:val="007C1B34"/>
    <w:rsid w:val="007C1F7F"/>
    <w:rsid w:val="007C2087"/>
    <w:rsid w:val="007C2413"/>
    <w:rsid w:val="007C25AE"/>
    <w:rsid w:val="007C2D76"/>
    <w:rsid w:val="007C30A1"/>
    <w:rsid w:val="007C3152"/>
    <w:rsid w:val="007C31A8"/>
    <w:rsid w:val="007C333B"/>
    <w:rsid w:val="007C3404"/>
    <w:rsid w:val="007C3914"/>
    <w:rsid w:val="007C3CEA"/>
    <w:rsid w:val="007C3D92"/>
    <w:rsid w:val="007C3E98"/>
    <w:rsid w:val="007C41F9"/>
    <w:rsid w:val="007C42A6"/>
    <w:rsid w:val="007C433D"/>
    <w:rsid w:val="007C5A8F"/>
    <w:rsid w:val="007C5B38"/>
    <w:rsid w:val="007C676A"/>
    <w:rsid w:val="007C6998"/>
    <w:rsid w:val="007C6A56"/>
    <w:rsid w:val="007C6CD7"/>
    <w:rsid w:val="007C6F75"/>
    <w:rsid w:val="007C7354"/>
    <w:rsid w:val="007C76E8"/>
    <w:rsid w:val="007C7879"/>
    <w:rsid w:val="007C78F4"/>
    <w:rsid w:val="007C7B67"/>
    <w:rsid w:val="007C7C92"/>
    <w:rsid w:val="007C7E3D"/>
    <w:rsid w:val="007C7F5A"/>
    <w:rsid w:val="007C7FBA"/>
    <w:rsid w:val="007D0149"/>
    <w:rsid w:val="007D01E6"/>
    <w:rsid w:val="007D035E"/>
    <w:rsid w:val="007D0396"/>
    <w:rsid w:val="007D0534"/>
    <w:rsid w:val="007D0644"/>
    <w:rsid w:val="007D068A"/>
    <w:rsid w:val="007D06F1"/>
    <w:rsid w:val="007D0BAC"/>
    <w:rsid w:val="007D0EFA"/>
    <w:rsid w:val="007D1673"/>
    <w:rsid w:val="007D16B7"/>
    <w:rsid w:val="007D179D"/>
    <w:rsid w:val="007D1801"/>
    <w:rsid w:val="007D1869"/>
    <w:rsid w:val="007D1FE0"/>
    <w:rsid w:val="007D20BB"/>
    <w:rsid w:val="007D2138"/>
    <w:rsid w:val="007D2244"/>
    <w:rsid w:val="007D22F7"/>
    <w:rsid w:val="007D24DC"/>
    <w:rsid w:val="007D261E"/>
    <w:rsid w:val="007D2A43"/>
    <w:rsid w:val="007D2BD5"/>
    <w:rsid w:val="007D2F61"/>
    <w:rsid w:val="007D3004"/>
    <w:rsid w:val="007D3D0E"/>
    <w:rsid w:val="007D3D33"/>
    <w:rsid w:val="007D41C2"/>
    <w:rsid w:val="007D41EB"/>
    <w:rsid w:val="007D422F"/>
    <w:rsid w:val="007D4A51"/>
    <w:rsid w:val="007D4F02"/>
    <w:rsid w:val="007D509D"/>
    <w:rsid w:val="007D5B5C"/>
    <w:rsid w:val="007D618F"/>
    <w:rsid w:val="007D62B3"/>
    <w:rsid w:val="007D62D8"/>
    <w:rsid w:val="007D6573"/>
    <w:rsid w:val="007D674C"/>
    <w:rsid w:val="007D6B7B"/>
    <w:rsid w:val="007D6B80"/>
    <w:rsid w:val="007D6CF1"/>
    <w:rsid w:val="007D6D96"/>
    <w:rsid w:val="007D7131"/>
    <w:rsid w:val="007D777C"/>
    <w:rsid w:val="007D7820"/>
    <w:rsid w:val="007D7A92"/>
    <w:rsid w:val="007D7BEC"/>
    <w:rsid w:val="007D7CE3"/>
    <w:rsid w:val="007E018A"/>
    <w:rsid w:val="007E051A"/>
    <w:rsid w:val="007E0798"/>
    <w:rsid w:val="007E0DCD"/>
    <w:rsid w:val="007E0FE9"/>
    <w:rsid w:val="007E1285"/>
    <w:rsid w:val="007E136D"/>
    <w:rsid w:val="007E1B72"/>
    <w:rsid w:val="007E1CE2"/>
    <w:rsid w:val="007E1E8F"/>
    <w:rsid w:val="007E203F"/>
    <w:rsid w:val="007E234A"/>
    <w:rsid w:val="007E23B2"/>
    <w:rsid w:val="007E281D"/>
    <w:rsid w:val="007E28DC"/>
    <w:rsid w:val="007E2A5E"/>
    <w:rsid w:val="007E3520"/>
    <w:rsid w:val="007E3BD4"/>
    <w:rsid w:val="007E3CCF"/>
    <w:rsid w:val="007E3EE3"/>
    <w:rsid w:val="007E429E"/>
    <w:rsid w:val="007E4AFA"/>
    <w:rsid w:val="007E4C05"/>
    <w:rsid w:val="007E4C5F"/>
    <w:rsid w:val="007E4D56"/>
    <w:rsid w:val="007E4EF6"/>
    <w:rsid w:val="007E4EF9"/>
    <w:rsid w:val="007E5483"/>
    <w:rsid w:val="007E57DE"/>
    <w:rsid w:val="007E588F"/>
    <w:rsid w:val="007E58D8"/>
    <w:rsid w:val="007E5902"/>
    <w:rsid w:val="007E5A26"/>
    <w:rsid w:val="007E5AE3"/>
    <w:rsid w:val="007E5C7A"/>
    <w:rsid w:val="007E6382"/>
    <w:rsid w:val="007E63EC"/>
    <w:rsid w:val="007E65AA"/>
    <w:rsid w:val="007E6642"/>
    <w:rsid w:val="007E6719"/>
    <w:rsid w:val="007E68ED"/>
    <w:rsid w:val="007E69ED"/>
    <w:rsid w:val="007E6C50"/>
    <w:rsid w:val="007E779D"/>
    <w:rsid w:val="007E77A8"/>
    <w:rsid w:val="007E783C"/>
    <w:rsid w:val="007E7B2D"/>
    <w:rsid w:val="007E7CF1"/>
    <w:rsid w:val="007F0074"/>
    <w:rsid w:val="007F0221"/>
    <w:rsid w:val="007F034B"/>
    <w:rsid w:val="007F07B9"/>
    <w:rsid w:val="007F0928"/>
    <w:rsid w:val="007F0A3B"/>
    <w:rsid w:val="007F0AF0"/>
    <w:rsid w:val="007F0B16"/>
    <w:rsid w:val="007F0CE1"/>
    <w:rsid w:val="007F0F0D"/>
    <w:rsid w:val="007F1116"/>
    <w:rsid w:val="007F14A3"/>
    <w:rsid w:val="007F15CE"/>
    <w:rsid w:val="007F1694"/>
    <w:rsid w:val="007F18C7"/>
    <w:rsid w:val="007F1919"/>
    <w:rsid w:val="007F1A79"/>
    <w:rsid w:val="007F1B52"/>
    <w:rsid w:val="007F1B89"/>
    <w:rsid w:val="007F1C02"/>
    <w:rsid w:val="007F1D6D"/>
    <w:rsid w:val="007F1E88"/>
    <w:rsid w:val="007F2AE3"/>
    <w:rsid w:val="007F2CD7"/>
    <w:rsid w:val="007F3047"/>
    <w:rsid w:val="007F3087"/>
    <w:rsid w:val="007F3231"/>
    <w:rsid w:val="007F3550"/>
    <w:rsid w:val="007F3568"/>
    <w:rsid w:val="007F3697"/>
    <w:rsid w:val="007F3974"/>
    <w:rsid w:val="007F3BC2"/>
    <w:rsid w:val="007F3EB9"/>
    <w:rsid w:val="007F422D"/>
    <w:rsid w:val="007F4366"/>
    <w:rsid w:val="007F491A"/>
    <w:rsid w:val="007F4D93"/>
    <w:rsid w:val="007F4DBA"/>
    <w:rsid w:val="007F519C"/>
    <w:rsid w:val="007F51CB"/>
    <w:rsid w:val="007F534D"/>
    <w:rsid w:val="007F54A2"/>
    <w:rsid w:val="007F54FE"/>
    <w:rsid w:val="007F5535"/>
    <w:rsid w:val="007F5558"/>
    <w:rsid w:val="007F5D32"/>
    <w:rsid w:val="007F5E98"/>
    <w:rsid w:val="007F62C8"/>
    <w:rsid w:val="007F6691"/>
    <w:rsid w:val="007F6D94"/>
    <w:rsid w:val="007F715E"/>
    <w:rsid w:val="007F71E3"/>
    <w:rsid w:val="007F72DC"/>
    <w:rsid w:val="007F7712"/>
    <w:rsid w:val="007F7942"/>
    <w:rsid w:val="007F795F"/>
    <w:rsid w:val="007F7B44"/>
    <w:rsid w:val="007F7ED1"/>
    <w:rsid w:val="0080057B"/>
    <w:rsid w:val="0080069C"/>
    <w:rsid w:val="008006FD"/>
    <w:rsid w:val="008008A5"/>
    <w:rsid w:val="00800C15"/>
    <w:rsid w:val="00801021"/>
    <w:rsid w:val="0080148D"/>
    <w:rsid w:val="0080156B"/>
    <w:rsid w:val="00801A3A"/>
    <w:rsid w:val="00801AAE"/>
    <w:rsid w:val="00801AB4"/>
    <w:rsid w:val="00801BF1"/>
    <w:rsid w:val="00801E61"/>
    <w:rsid w:val="00801FB5"/>
    <w:rsid w:val="00801FF1"/>
    <w:rsid w:val="008025E2"/>
    <w:rsid w:val="00802F27"/>
    <w:rsid w:val="00803156"/>
    <w:rsid w:val="008035EC"/>
    <w:rsid w:val="00803BE2"/>
    <w:rsid w:val="00803DBE"/>
    <w:rsid w:val="00804114"/>
    <w:rsid w:val="00804441"/>
    <w:rsid w:val="00804634"/>
    <w:rsid w:val="0080476C"/>
    <w:rsid w:val="008047E8"/>
    <w:rsid w:val="0080531E"/>
    <w:rsid w:val="008057CA"/>
    <w:rsid w:val="00805C3D"/>
    <w:rsid w:val="00805D71"/>
    <w:rsid w:val="00805E70"/>
    <w:rsid w:val="00805F35"/>
    <w:rsid w:val="00806018"/>
    <w:rsid w:val="0080627A"/>
    <w:rsid w:val="008062C3"/>
    <w:rsid w:val="00806552"/>
    <w:rsid w:val="0080667B"/>
    <w:rsid w:val="008067A7"/>
    <w:rsid w:val="008067BE"/>
    <w:rsid w:val="008068D5"/>
    <w:rsid w:val="00806B26"/>
    <w:rsid w:val="00806BD7"/>
    <w:rsid w:val="00806E52"/>
    <w:rsid w:val="00806F1D"/>
    <w:rsid w:val="00807173"/>
    <w:rsid w:val="008072CD"/>
    <w:rsid w:val="00807416"/>
    <w:rsid w:val="0080746C"/>
    <w:rsid w:val="008077ED"/>
    <w:rsid w:val="00807B6F"/>
    <w:rsid w:val="00807E93"/>
    <w:rsid w:val="00810129"/>
    <w:rsid w:val="00810172"/>
    <w:rsid w:val="00810277"/>
    <w:rsid w:val="008103B7"/>
    <w:rsid w:val="008103C4"/>
    <w:rsid w:val="00810762"/>
    <w:rsid w:val="00810858"/>
    <w:rsid w:val="00810EBF"/>
    <w:rsid w:val="00810EFF"/>
    <w:rsid w:val="00810F5A"/>
    <w:rsid w:val="00810FAA"/>
    <w:rsid w:val="00811314"/>
    <w:rsid w:val="008116F6"/>
    <w:rsid w:val="00811A39"/>
    <w:rsid w:val="00811A83"/>
    <w:rsid w:val="00811BAF"/>
    <w:rsid w:val="00811DDD"/>
    <w:rsid w:val="0081211D"/>
    <w:rsid w:val="008128D7"/>
    <w:rsid w:val="0081291B"/>
    <w:rsid w:val="00812D16"/>
    <w:rsid w:val="00813096"/>
    <w:rsid w:val="00813617"/>
    <w:rsid w:val="00813622"/>
    <w:rsid w:val="008138A4"/>
    <w:rsid w:val="00813AE3"/>
    <w:rsid w:val="00813DCF"/>
    <w:rsid w:val="00813FAB"/>
    <w:rsid w:val="00814089"/>
    <w:rsid w:val="0081471D"/>
    <w:rsid w:val="0081498C"/>
    <w:rsid w:val="00814A6E"/>
    <w:rsid w:val="00814AE1"/>
    <w:rsid w:val="00814AE2"/>
    <w:rsid w:val="00815AE6"/>
    <w:rsid w:val="00815D31"/>
    <w:rsid w:val="00815E5C"/>
    <w:rsid w:val="00815E60"/>
    <w:rsid w:val="0081601F"/>
    <w:rsid w:val="00816064"/>
    <w:rsid w:val="00816EE4"/>
    <w:rsid w:val="00816FDD"/>
    <w:rsid w:val="008174B2"/>
    <w:rsid w:val="008175F8"/>
    <w:rsid w:val="00817C97"/>
    <w:rsid w:val="00817CFF"/>
    <w:rsid w:val="0082000D"/>
    <w:rsid w:val="008201AA"/>
    <w:rsid w:val="0082037E"/>
    <w:rsid w:val="00820C83"/>
    <w:rsid w:val="00820C9C"/>
    <w:rsid w:val="00820F55"/>
    <w:rsid w:val="00821462"/>
    <w:rsid w:val="00821572"/>
    <w:rsid w:val="0082171B"/>
    <w:rsid w:val="00821CCF"/>
    <w:rsid w:val="00821E0B"/>
    <w:rsid w:val="00822310"/>
    <w:rsid w:val="008228A1"/>
    <w:rsid w:val="00822E22"/>
    <w:rsid w:val="00822F52"/>
    <w:rsid w:val="0082304B"/>
    <w:rsid w:val="008233DB"/>
    <w:rsid w:val="008234C9"/>
    <w:rsid w:val="00823794"/>
    <w:rsid w:val="008237F4"/>
    <w:rsid w:val="00823F67"/>
    <w:rsid w:val="00824022"/>
    <w:rsid w:val="0082483A"/>
    <w:rsid w:val="00824A81"/>
    <w:rsid w:val="00824B64"/>
    <w:rsid w:val="008250AD"/>
    <w:rsid w:val="008250E6"/>
    <w:rsid w:val="008257B8"/>
    <w:rsid w:val="00825897"/>
    <w:rsid w:val="00825903"/>
    <w:rsid w:val="008260ED"/>
    <w:rsid w:val="008260F1"/>
    <w:rsid w:val="0082639E"/>
    <w:rsid w:val="008264B6"/>
    <w:rsid w:val="00826729"/>
    <w:rsid w:val="00826879"/>
    <w:rsid w:val="0082697F"/>
    <w:rsid w:val="0082699D"/>
    <w:rsid w:val="00826A92"/>
    <w:rsid w:val="00826DCD"/>
    <w:rsid w:val="00826E6B"/>
    <w:rsid w:val="00827443"/>
    <w:rsid w:val="008275FD"/>
    <w:rsid w:val="00827A91"/>
    <w:rsid w:val="008304D7"/>
    <w:rsid w:val="00830712"/>
    <w:rsid w:val="00830BA1"/>
    <w:rsid w:val="00830C4D"/>
    <w:rsid w:val="00830C7D"/>
    <w:rsid w:val="00830E43"/>
    <w:rsid w:val="00830EB2"/>
    <w:rsid w:val="0083102A"/>
    <w:rsid w:val="008314DD"/>
    <w:rsid w:val="00831652"/>
    <w:rsid w:val="00831983"/>
    <w:rsid w:val="00831A20"/>
    <w:rsid w:val="00831A34"/>
    <w:rsid w:val="0083202E"/>
    <w:rsid w:val="0083203A"/>
    <w:rsid w:val="008321EF"/>
    <w:rsid w:val="0083236A"/>
    <w:rsid w:val="008329F4"/>
    <w:rsid w:val="0083304F"/>
    <w:rsid w:val="008331AB"/>
    <w:rsid w:val="008332CD"/>
    <w:rsid w:val="008334C9"/>
    <w:rsid w:val="0083353F"/>
    <w:rsid w:val="00833604"/>
    <w:rsid w:val="0083392B"/>
    <w:rsid w:val="00833BDA"/>
    <w:rsid w:val="00833D93"/>
    <w:rsid w:val="00834122"/>
    <w:rsid w:val="00835246"/>
    <w:rsid w:val="008352C5"/>
    <w:rsid w:val="0083548D"/>
    <w:rsid w:val="00835774"/>
    <w:rsid w:val="008358A6"/>
    <w:rsid w:val="00835941"/>
    <w:rsid w:val="008359FB"/>
    <w:rsid w:val="00835C56"/>
    <w:rsid w:val="00835E69"/>
    <w:rsid w:val="008360FC"/>
    <w:rsid w:val="008364A5"/>
    <w:rsid w:val="00836629"/>
    <w:rsid w:val="00836DBE"/>
    <w:rsid w:val="00836E81"/>
    <w:rsid w:val="00836FA6"/>
    <w:rsid w:val="0083724E"/>
    <w:rsid w:val="008377C1"/>
    <w:rsid w:val="00837908"/>
    <w:rsid w:val="008379B6"/>
    <w:rsid w:val="00837A64"/>
    <w:rsid w:val="00837C3D"/>
    <w:rsid w:val="00837C90"/>
    <w:rsid w:val="00837EB1"/>
    <w:rsid w:val="0084007C"/>
    <w:rsid w:val="0084035A"/>
    <w:rsid w:val="0084042B"/>
    <w:rsid w:val="00840578"/>
    <w:rsid w:val="008409BB"/>
    <w:rsid w:val="00840BE4"/>
    <w:rsid w:val="00840D13"/>
    <w:rsid w:val="00840F5F"/>
    <w:rsid w:val="00840F92"/>
    <w:rsid w:val="008412D1"/>
    <w:rsid w:val="0084184A"/>
    <w:rsid w:val="0084194C"/>
    <w:rsid w:val="00841A65"/>
    <w:rsid w:val="00841B86"/>
    <w:rsid w:val="00842360"/>
    <w:rsid w:val="008423F2"/>
    <w:rsid w:val="00842729"/>
    <w:rsid w:val="00842A30"/>
    <w:rsid w:val="00842A6F"/>
    <w:rsid w:val="00842F71"/>
    <w:rsid w:val="00842F8C"/>
    <w:rsid w:val="00842FEE"/>
    <w:rsid w:val="00843179"/>
    <w:rsid w:val="00843555"/>
    <w:rsid w:val="0084370D"/>
    <w:rsid w:val="0084386A"/>
    <w:rsid w:val="00843CA2"/>
    <w:rsid w:val="00843E0E"/>
    <w:rsid w:val="008442EA"/>
    <w:rsid w:val="00844589"/>
    <w:rsid w:val="00844794"/>
    <w:rsid w:val="00844C02"/>
    <w:rsid w:val="00844FA7"/>
    <w:rsid w:val="00844FE7"/>
    <w:rsid w:val="00845244"/>
    <w:rsid w:val="008452EF"/>
    <w:rsid w:val="008453DB"/>
    <w:rsid w:val="008456B3"/>
    <w:rsid w:val="008458BC"/>
    <w:rsid w:val="00845969"/>
    <w:rsid w:val="00845ED9"/>
    <w:rsid w:val="00845EDA"/>
    <w:rsid w:val="00845F37"/>
    <w:rsid w:val="00845FF5"/>
    <w:rsid w:val="00846001"/>
    <w:rsid w:val="0084615D"/>
    <w:rsid w:val="008463FC"/>
    <w:rsid w:val="0084642A"/>
    <w:rsid w:val="0084656E"/>
    <w:rsid w:val="008465C4"/>
    <w:rsid w:val="00846710"/>
    <w:rsid w:val="0084688A"/>
    <w:rsid w:val="00846AFD"/>
    <w:rsid w:val="00846BB6"/>
    <w:rsid w:val="00846D77"/>
    <w:rsid w:val="008470C5"/>
    <w:rsid w:val="00847310"/>
    <w:rsid w:val="008478ED"/>
    <w:rsid w:val="00847D92"/>
    <w:rsid w:val="00847E00"/>
    <w:rsid w:val="00847FC3"/>
    <w:rsid w:val="0085005C"/>
    <w:rsid w:val="0085026E"/>
    <w:rsid w:val="008503B3"/>
    <w:rsid w:val="008505F8"/>
    <w:rsid w:val="00850E97"/>
    <w:rsid w:val="008510C6"/>
    <w:rsid w:val="00851728"/>
    <w:rsid w:val="00851844"/>
    <w:rsid w:val="008518CE"/>
    <w:rsid w:val="00851BFD"/>
    <w:rsid w:val="00851DFF"/>
    <w:rsid w:val="00851E60"/>
    <w:rsid w:val="00852592"/>
    <w:rsid w:val="0085265F"/>
    <w:rsid w:val="00852798"/>
    <w:rsid w:val="00852963"/>
    <w:rsid w:val="00852C1A"/>
    <w:rsid w:val="00853084"/>
    <w:rsid w:val="0085310D"/>
    <w:rsid w:val="00853142"/>
    <w:rsid w:val="008540A6"/>
    <w:rsid w:val="0085429C"/>
    <w:rsid w:val="00854420"/>
    <w:rsid w:val="00854481"/>
    <w:rsid w:val="00854B7D"/>
    <w:rsid w:val="00854E8C"/>
    <w:rsid w:val="00854EF1"/>
    <w:rsid w:val="008554D2"/>
    <w:rsid w:val="008555EF"/>
    <w:rsid w:val="00855642"/>
    <w:rsid w:val="00855ACB"/>
    <w:rsid w:val="00855C62"/>
    <w:rsid w:val="00856370"/>
    <w:rsid w:val="0085740A"/>
    <w:rsid w:val="00857591"/>
    <w:rsid w:val="00857E88"/>
    <w:rsid w:val="008609B2"/>
    <w:rsid w:val="00860AF2"/>
    <w:rsid w:val="00860C20"/>
    <w:rsid w:val="00860CA0"/>
    <w:rsid w:val="0086107C"/>
    <w:rsid w:val="008610C2"/>
    <w:rsid w:val="00861265"/>
    <w:rsid w:val="008612DB"/>
    <w:rsid w:val="008612DE"/>
    <w:rsid w:val="00861675"/>
    <w:rsid w:val="0086198D"/>
    <w:rsid w:val="00861B57"/>
    <w:rsid w:val="00861D92"/>
    <w:rsid w:val="00861DB4"/>
    <w:rsid w:val="00861E55"/>
    <w:rsid w:val="00861FBD"/>
    <w:rsid w:val="00861FE4"/>
    <w:rsid w:val="008620DA"/>
    <w:rsid w:val="00862125"/>
    <w:rsid w:val="0086291E"/>
    <w:rsid w:val="00862AA0"/>
    <w:rsid w:val="00862AC4"/>
    <w:rsid w:val="008631C6"/>
    <w:rsid w:val="008633AC"/>
    <w:rsid w:val="008634E3"/>
    <w:rsid w:val="0086369B"/>
    <w:rsid w:val="008636A6"/>
    <w:rsid w:val="008638A7"/>
    <w:rsid w:val="00863907"/>
    <w:rsid w:val="00863BF8"/>
    <w:rsid w:val="00864060"/>
    <w:rsid w:val="008640B2"/>
    <w:rsid w:val="0086448B"/>
    <w:rsid w:val="00864627"/>
    <w:rsid w:val="00864635"/>
    <w:rsid w:val="00864678"/>
    <w:rsid w:val="00864C1A"/>
    <w:rsid w:val="00864C62"/>
    <w:rsid w:val="00864CBE"/>
    <w:rsid w:val="008651CC"/>
    <w:rsid w:val="00865217"/>
    <w:rsid w:val="008654EB"/>
    <w:rsid w:val="00865516"/>
    <w:rsid w:val="0086563C"/>
    <w:rsid w:val="008658AA"/>
    <w:rsid w:val="00865B96"/>
    <w:rsid w:val="00865CBD"/>
    <w:rsid w:val="00866297"/>
    <w:rsid w:val="00866711"/>
    <w:rsid w:val="00866C98"/>
    <w:rsid w:val="00866E37"/>
    <w:rsid w:val="00866E95"/>
    <w:rsid w:val="00866F33"/>
    <w:rsid w:val="00866F9E"/>
    <w:rsid w:val="0086720D"/>
    <w:rsid w:val="008672E2"/>
    <w:rsid w:val="0086793D"/>
    <w:rsid w:val="008679DE"/>
    <w:rsid w:val="00867B1C"/>
    <w:rsid w:val="00867C08"/>
    <w:rsid w:val="00870079"/>
    <w:rsid w:val="008702E9"/>
    <w:rsid w:val="008705B1"/>
    <w:rsid w:val="008708B7"/>
    <w:rsid w:val="00870BC3"/>
    <w:rsid w:val="00870DCC"/>
    <w:rsid w:val="00870E4D"/>
    <w:rsid w:val="00871004"/>
    <w:rsid w:val="008713D6"/>
    <w:rsid w:val="0087162F"/>
    <w:rsid w:val="00871643"/>
    <w:rsid w:val="0087179A"/>
    <w:rsid w:val="0087184B"/>
    <w:rsid w:val="00871929"/>
    <w:rsid w:val="00871944"/>
    <w:rsid w:val="00871A6E"/>
    <w:rsid w:val="00871E40"/>
    <w:rsid w:val="008721FB"/>
    <w:rsid w:val="0087228C"/>
    <w:rsid w:val="008723BF"/>
    <w:rsid w:val="00872627"/>
    <w:rsid w:val="0087281D"/>
    <w:rsid w:val="00872B71"/>
    <w:rsid w:val="008730E6"/>
    <w:rsid w:val="008732D8"/>
    <w:rsid w:val="00873377"/>
    <w:rsid w:val="00873505"/>
    <w:rsid w:val="00873577"/>
    <w:rsid w:val="0087409F"/>
    <w:rsid w:val="008740CB"/>
    <w:rsid w:val="008747DC"/>
    <w:rsid w:val="00874D58"/>
    <w:rsid w:val="008750D2"/>
    <w:rsid w:val="00875406"/>
    <w:rsid w:val="00875562"/>
    <w:rsid w:val="008757E9"/>
    <w:rsid w:val="008758DA"/>
    <w:rsid w:val="00875AB5"/>
    <w:rsid w:val="00875C91"/>
    <w:rsid w:val="00875F85"/>
    <w:rsid w:val="0087636C"/>
    <w:rsid w:val="008767CE"/>
    <w:rsid w:val="00876841"/>
    <w:rsid w:val="00876C6B"/>
    <w:rsid w:val="00876C75"/>
    <w:rsid w:val="00876DC9"/>
    <w:rsid w:val="00876EAD"/>
    <w:rsid w:val="00877125"/>
    <w:rsid w:val="008777C2"/>
    <w:rsid w:val="00877B5F"/>
    <w:rsid w:val="008800A7"/>
    <w:rsid w:val="00880208"/>
    <w:rsid w:val="0088043B"/>
    <w:rsid w:val="00880858"/>
    <w:rsid w:val="0088097B"/>
    <w:rsid w:val="00880C37"/>
    <w:rsid w:val="00880E21"/>
    <w:rsid w:val="00881511"/>
    <w:rsid w:val="0088155D"/>
    <w:rsid w:val="00882448"/>
    <w:rsid w:val="00882949"/>
    <w:rsid w:val="00882E5B"/>
    <w:rsid w:val="00882E7C"/>
    <w:rsid w:val="00882EA0"/>
    <w:rsid w:val="00882F1D"/>
    <w:rsid w:val="008834E1"/>
    <w:rsid w:val="0088380A"/>
    <w:rsid w:val="00883A38"/>
    <w:rsid w:val="00883A4D"/>
    <w:rsid w:val="00883B21"/>
    <w:rsid w:val="00883F8F"/>
    <w:rsid w:val="00884235"/>
    <w:rsid w:val="00884525"/>
    <w:rsid w:val="00884600"/>
    <w:rsid w:val="00884604"/>
    <w:rsid w:val="00884712"/>
    <w:rsid w:val="00884834"/>
    <w:rsid w:val="00885285"/>
    <w:rsid w:val="0088586B"/>
    <w:rsid w:val="00885985"/>
    <w:rsid w:val="00885B92"/>
    <w:rsid w:val="00885E7E"/>
    <w:rsid w:val="00886334"/>
    <w:rsid w:val="00886699"/>
    <w:rsid w:val="0088677F"/>
    <w:rsid w:val="008867FA"/>
    <w:rsid w:val="00886EC9"/>
    <w:rsid w:val="00886F62"/>
    <w:rsid w:val="0088709A"/>
    <w:rsid w:val="00887DB9"/>
    <w:rsid w:val="00887EFE"/>
    <w:rsid w:val="008901DA"/>
    <w:rsid w:val="00890434"/>
    <w:rsid w:val="00890FBA"/>
    <w:rsid w:val="008911F8"/>
    <w:rsid w:val="008912DD"/>
    <w:rsid w:val="008913B2"/>
    <w:rsid w:val="00891673"/>
    <w:rsid w:val="0089199F"/>
    <w:rsid w:val="00891A26"/>
    <w:rsid w:val="00891C32"/>
    <w:rsid w:val="00891C80"/>
    <w:rsid w:val="00891D7F"/>
    <w:rsid w:val="008921B9"/>
    <w:rsid w:val="00892238"/>
    <w:rsid w:val="00892265"/>
    <w:rsid w:val="0089233E"/>
    <w:rsid w:val="00892393"/>
    <w:rsid w:val="008927A8"/>
    <w:rsid w:val="00892A7E"/>
    <w:rsid w:val="00892C78"/>
    <w:rsid w:val="00892CC2"/>
    <w:rsid w:val="00892CDC"/>
    <w:rsid w:val="00892DC1"/>
    <w:rsid w:val="0089313B"/>
    <w:rsid w:val="008932CB"/>
    <w:rsid w:val="0089330E"/>
    <w:rsid w:val="00893544"/>
    <w:rsid w:val="008936B6"/>
    <w:rsid w:val="00893A8E"/>
    <w:rsid w:val="00893B58"/>
    <w:rsid w:val="00893BAB"/>
    <w:rsid w:val="00893DF2"/>
    <w:rsid w:val="00893E27"/>
    <w:rsid w:val="00894061"/>
    <w:rsid w:val="008940E7"/>
    <w:rsid w:val="0089436D"/>
    <w:rsid w:val="008945F7"/>
    <w:rsid w:val="0089463D"/>
    <w:rsid w:val="008946DA"/>
    <w:rsid w:val="0089472B"/>
    <w:rsid w:val="008947CC"/>
    <w:rsid w:val="00894871"/>
    <w:rsid w:val="00894B03"/>
    <w:rsid w:val="00894BE8"/>
    <w:rsid w:val="0089554F"/>
    <w:rsid w:val="008955E6"/>
    <w:rsid w:val="0089562F"/>
    <w:rsid w:val="00895892"/>
    <w:rsid w:val="008958F2"/>
    <w:rsid w:val="00895B5F"/>
    <w:rsid w:val="00895D80"/>
    <w:rsid w:val="0089622F"/>
    <w:rsid w:val="0089637C"/>
    <w:rsid w:val="0089648F"/>
    <w:rsid w:val="0089669C"/>
    <w:rsid w:val="00896712"/>
    <w:rsid w:val="00896775"/>
    <w:rsid w:val="00896870"/>
    <w:rsid w:val="008969BD"/>
    <w:rsid w:val="008969DB"/>
    <w:rsid w:val="00896E2E"/>
    <w:rsid w:val="008975BB"/>
    <w:rsid w:val="00897995"/>
    <w:rsid w:val="008979F7"/>
    <w:rsid w:val="008A02AE"/>
    <w:rsid w:val="008A0363"/>
    <w:rsid w:val="008A04FD"/>
    <w:rsid w:val="008A052C"/>
    <w:rsid w:val="008A0764"/>
    <w:rsid w:val="008A0A06"/>
    <w:rsid w:val="008A0AF6"/>
    <w:rsid w:val="008A0CB1"/>
    <w:rsid w:val="008A0D98"/>
    <w:rsid w:val="008A13BD"/>
    <w:rsid w:val="008A1596"/>
    <w:rsid w:val="008A1A7D"/>
    <w:rsid w:val="008A1D83"/>
    <w:rsid w:val="008A1DCE"/>
    <w:rsid w:val="008A1EDF"/>
    <w:rsid w:val="008A2695"/>
    <w:rsid w:val="008A298E"/>
    <w:rsid w:val="008A2A17"/>
    <w:rsid w:val="008A2C0B"/>
    <w:rsid w:val="008A2C99"/>
    <w:rsid w:val="008A2D48"/>
    <w:rsid w:val="008A2DC9"/>
    <w:rsid w:val="008A2F9E"/>
    <w:rsid w:val="008A2FF1"/>
    <w:rsid w:val="008A32D4"/>
    <w:rsid w:val="008A367F"/>
    <w:rsid w:val="008A37AF"/>
    <w:rsid w:val="008A3860"/>
    <w:rsid w:val="008A3D62"/>
    <w:rsid w:val="008A448D"/>
    <w:rsid w:val="008A4508"/>
    <w:rsid w:val="008A4592"/>
    <w:rsid w:val="008A47FD"/>
    <w:rsid w:val="008A48F9"/>
    <w:rsid w:val="008A4A55"/>
    <w:rsid w:val="008A4EDF"/>
    <w:rsid w:val="008A506F"/>
    <w:rsid w:val="008A5218"/>
    <w:rsid w:val="008A528A"/>
    <w:rsid w:val="008A5298"/>
    <w:rsid w:val="008A530E"/>
    <w:rsid w:val="008A535A"/>
    <w:rsid w:val="008A55DC"/>
    <w:rsid w:val="008A59B7"/>
    <w:rsid w:val="008A5A01"/>
    <w:rsid w:val="008A5AE4"/>
    <w:rsid w:val="008A5C09"/>
    <w:rsid w:val="008A5F2D"/>
    <w:rsid w:val="008A65D4"/>
    <w:rsid w:val="008A68EF"/>
    <w:rsid w:val="008A6A70"/>
    <w:rsid w:val="008A6B52"/>
    <w:rsid w:val="008A6F14"/>
    <w:rsid w:val="008A720F"/>
    <w:rsid w:val="008A7498"/>
    <w:rsid w:val="008A74B0"/>
    <w:rsid w:val="008A75DF"/>
    <w:rsid w:val="008A76F9"/>
    <w:rsid w:val="008A7C72"/>
    <w:rsid w:val="008A7C95"/>
    <w:rsid w:val="008B04F2"/>
    <w:rsid w:val="008B085D"/>
    <w:rsid w:val="008B09EB"/>
    <w:rsid w:val="008B0B0A"/>
    <w:rsid w:val="008B0D0E"/>
    <w:rsid w:val="008B0DDB"/>
    <w:rsid w:val="008B1080"/>
    <w:rsid w:val="008B12BB"/>
    <w:rsid w:val="008B1411"/>
    <w:rsid w:val="008B17A2"/>
    <w:rsid w:val="008B198C"/>
    <w:rsid w:val="008B1A3C"/>
    <w:rsid w:val="008B1A95"/>
    <w:rsid w:val="008B1BDF"/>
    <w:rsid w:val="008B25F2"/>
    <w:rsid w:val="008B2643"/>
    <w:rsid w:val="008B2700"/>
    <w:rsid w:val="008B2A69"/>
    <w:rsid w:val="008B2AD5"/>
    <w:rsid w:val="008B2D16"/>
    <w:rsid w:val="008B2D6C"/>
    <w:rsid w:val="008B2F8E"/>
    <w:rsid w:val="008B2FAE"/>
    <w:rsid w:val="008B31D9"/>
    <w:rsid w:val="008B3317"/>
    <w:rsid w:val="008B3873"/>
    <w:rsid w:val="008B3B30"/>
    <w:rsid w:val="008B414B"/>
    <w:rsid w:val="008B44B2"/>
    <w:rsid w:val="008B4CC6"/>
    <w:rsid w:val="008B4D66"/>
    <w:rsid w:val="008B4E0E"/>
    <w:rsid w:val="008B4FB9"/>
    <w:rsid w:val="008B515D"/>
    <w:rsid w:val="008B561A"/>
    <w:rsid w:val="008B5715"/>
    <w:rsid w:val="008B5A2D"/>
    <w:rsid w:val="008B5A58"/>
    <w:rsid w:val="008B5AAD"/>
    <w:rsid w:val="008B5BC2"/>
    <w:rsid w:val="008B5D2F"/>
    <w:rsid w:val="008B5E54"/>
    <w:rsid w:val="008B5EB2"/>
    <w:rsid w:val="008B60BB"/>
    <w:rsid w:val="008B6484"/>
    <w:rsid w:val="008B6732"/>
    <w:rsid w:val="008B67F3"/>
    <w:rsid w:val="008B68EC"/>
    <w:rsid w:val="008B6FB2"/>
    <w:rsid w:val="008B711E"/>
    <w:rsid w:val="008B72E6"/>
    <w:rsid w:val="008B737C"/>
    <w:rsid w:val="008B748E"/>
    <w:rsid w:val="008C0227"/>
    <w:rsid w:val="008C03C1"/>
    <w:rsid w:val="008C042F"/>
    <w:rsid w:val="008C057B"/>
    <w:rsid w:val="008C0614"/>
    <w:rsid w:val="008C091A"/>
    <w:rsid w:val="008C0964"/>
    <w:rsid w:val="008C0A1D"/>
    <w:rsid w:val="008C0B30"/>
    <w:rsid w:val="008C0CAC"/>
    <w:rsid w:val="008C0D2F"/>
    <w:rsid w:val="008C11B8"/>
    <w:rsid w:val="008C11E4"/>
    <w:rsid w:val="008C13B4"/>
    <w:rsid w:val="008C1557"/>
    <w:rsid w:val="008C16E5"/>
    <w:rsid w:val="008C1AEC"/>
    <w:rsid w:val="008C1B8C"/>
    <w:rsid w:val="008C2083"/>
    <w:rsid w:val="008C2117"/>
    <w:rsid w:val="008C2133"/>
    <w:rsid w:val="008C2306"/>
    <w:rsid w:val="008C23FB"/>
    <w:rsid w:val="008C260B"/>
    <w:rsid w:val="008C260D"/>
    <w:rsid w:val="008C26D1"/>
    <w:rsid w:val="008C2762"/>
    <w:rsid w:val="008C2B7F"/>
    <w:rsid w:val="008C2D56"/>
    <w:rsid w:val="008C2D86"/>
    <w:rsid w:val="008C2D88"/>
    <w:rsid w:val="008C324F"/>
    <w:rsid w:val="008C36AC"/>
    <w:rsid w:val="008C39C2"/>
    <w:rsid w:val="008C3BA4"/>
    <w:rsid w:val="008C4046"/>
    <w:rsid w:val="008C412A"/>
    <w:rsid w:val="008C452F"/>
    <w:rsid w:val="008C466C"/>
    <w:rsid w:val="008C4953"/>
    <w:rsid w:val="008C4E44"/>
    <w:rsid w:val="008C54A6"/>
    <w:rsid w:val="008C55FB"/>
    <w:rsid w:val="008C58D4"/>
    <w:rsid w:val="008C6255"/>
    <w:rsid w:val="008C65F6"/>
    <w:rsid w:val="008C67D2"/>
    <w:rsid w:val="008C684B"/>
    <w:rsid w:val="008C6ABD"/>
    <w:rsid w:val="008C6AE7"/>
    <w:rsid w:val="008C6D8A"/>
    <w:rsid w:val="008C6F18"/>
    <w:rsid w:val="008C7685"/>
    <w:rsid w:val="008C7880"/>
    <w:rsid w:val="008C78DD"/>
    <w:rsid w:val="008D007A"/>
    <w:rsid w:val="008D07DE"/>
    <w:rsid w:val="008D0831"/>
    <w:rsid w:val="008D0C20"/>
    <w:rsid w:val="008D0C23"/>
    <w:rsid w:val="008D0D70"/>
    <w:rsid w:val="008D0E38"/>
    <w:rsid w:val="008D0E40"/>
    <w:rsid w:val="008D0EB4"/>
    <w:rsid w:val="008D138F"/>
    <w:rsid w:val="008D16C2"/>
    <w:rsid w:val="008D1746"/>
    <w:rsid w:val="008D1C5C"/>
    <w:rsid w:val="008D1E7F"/>
    <w:rsid w:val="008D1F54"/>
    <w:rsid w:val="008D2367"/>
    <w:rsid w:val="008D2690"/>
    <w:rsid w:val="008D274E"/>
    <w:rsid w:val="008D2B9F"/>
    <w:rsid w:val="008D2BEA"/>
    <w:rsid w:val="008D2C8F"/>
    <w:rsid w:val="008D2D2A"/>
    <w:rsid w:val="008D2DB6"/>
    <w:rsid w:val="008D2DD9"/>
    <w:rsid w:val="008D30E6"/>
    <w:rsid w:val="008D3103"/>
    <w:rsid w:val="008D3107"/>
    <w:rsid w:val="008D31A4"/>
    <w:rsid w:val="008D3707"/>
    <w:rsid w:val="008D3ABC"/>
    <w:rsid w:val="008D3B2B"/>
    <w:rsid w:val="008D427A"/>
    <w:rsid w:val="008D4935"/>
    <w:rsid w:val="008D497A"/>
    <w:rsid w:val="008D4DD5"/>
    <w:rsid w:val="008D4F9D"/>
    <w:rsid w:val="008D5555"/>
    <w:rsid w:val="008D5657"/>
    <w:rsid w:val="008D5799"/>
    <w:rsid w:val="008D5A98"/>
    <w:rsid w:val="008D5D1F"/>
    <w:rsid w:val="008D5D75"/>
    <w:rsid w:val="008D5DEA"/>
    <w:rsid w:val="008D60F1"/>
    <w:rsid w:val="008D6203"/>
    <w:rsid w:val="008D6248"/>
    <w:rsid w:val="008D6752"/>
    <w:rsid w:val="008D69E7"/>
    <w:rsid w:val="008D6BF3"/>
    <w:rsid w:val="008D6C46"/>
    <w:rsid w:val="008D6C8F"/>
    <w:rsid w:val="008D6CC5"/>
    <w:rsid w:val="008D6EE7"/>
    <w:rsid w:val="008D6FC1"/>
    <w:rsid w:val="008D7283"/>
    <w:rsid w:val="008D7740"/>
    <w:rsid w:val="008D7D0A"/>
    <w:rsid w:val="008D7EAE"/>
    <w:rsid w:val="008D7F6D"/>
    <w:rsid w:val="008E0091"/>
    <w:rsid w:val="008E0140"/>
    <w:rsid w:val="008E03F6"/>
    <w:rsid w:val="008E0688"/>
    <w:rsid w:val="008E080E"/>
    <w:rsid w:val="008E0BEF"/>
    <w:rsid w:val="008E0D41"/>
    <w:rsid w:val="008E0ED7"/>
    <w:rsid w:val="008E103C"/>
    <w:rsid w:val="008E16F9"/>
    <w:rsid w:val="008E1932"/>
    <w:rsid w:val="008E1C5C"/>
    <w:rsid w:val="008E1D89"/>
    <w:rsid w:val="008E1E4F"/>
    <w:rsid w:val="008E21A9"/>
    <w:rsid w:val="008E266D"/>
    <w:rsid w:val="008E2D75"/>
    <w:rsid w:val="008E2F0C"/>
    <w:rsid w:val="008E2F61"/>
    <w:rsid w:val="008E31EA"/>
    <w:rsid w:val="008E338D"/>
    <w:rsid w:val="008E3E23"/>
    <w:rsid w:val="008E4021"/>
    <w:rsid w:val="008E4313"/>
    <w:rsid w:val="008E433D"/>
    <w:rsid w:val="008E44D8"/>
    <w:rsid w:val="008E4D0C"/>
    <w:rsid w:val="008E4F53"/>
    <w:rsid w:val="008E50EA"/>
    <w:rsid w:val="008E5263"/>
    <w:rsid w:val="008E534B"/>
    <w:rsid w:val="008E547B"/>
    <w:rsid w:val="008E54A3"/>
    <w:rsid w:val="008E5836"/>
    <w:rsid w:val="008E5DF8"/>
    <w:rsid w:val="008E5FB8"/>
    <w:rsid w:val="008E614F"/>
    <w:rsid w:val="008E6307"/>
    <w:rsid w:val="008E64BC"/>
    <w:rsid w:val="008E65B8"/>
    <w:rsid w:val="008E6610"/>
    <w:rsid w:val="008E665D"/>
    <w:rsid w:val="008E69A0"/>
    <w:rsid w:val="008E6E9E"/>
    <w:rsid w:val="008E7181"/>
    <w:rsid w:val="008E757A"/>
    <w:rsid w:val="008E77DD"/>
    <w:rsid w:val="008E79C8"/>
    <w:rsid w:val="008E7F47"/>
    <w:rsid w:val="008F01A1"/>
    <w:rsid w:val="008F0250"/>
    <w:rsid w:val="008F027E"/>
    <w:rsid w:val="008F03E7"/>
    <w:rsid w:val="008F04BA"/>
    <w:rsid w:val="008F0551"/>
    <w:rsid w:val="008F0AA2"/>
    <w:rsid w:val="008F11F4"/>
    <w:rsid w:val="008F13D8"/>
    <w:rsid w:val="008F1603"/>
    <w:rsid w:val="008F1952"/>
    <w:rsid w:val="008F1C78"/>
    <w:rsid w:val="008F200F"/>
    <w:rsid w:val="008F254D"/>
    <w:rsid w:val="008F3079"/>
    <w:rsid w:val="008F3096"/>
    <w:rsid w:val="008F310B"/>
    <w:rsid w:val="008F322B"/>
    <w:rsid w:val="008F34CB"/>
    <w:rsid w:val="008F3519"/>
    <w:rsid w:val="008F3A26"/>
    <w:rsid w:val="008F3AD3"/>
    <w:rsid w:val="008F3CA7"/>
    <w:rsid w:val="008F3F81"/>
    <w:rsid w:val="008F443F"/>
    <w:rsid w:val="008F44F5"/>
    <w:rsid w:val="008F4511"/>
    <w:rsid w:val="008F4518"/>
    <w:rsid w:val="008F4B7C"/>
    <w:rsid w:val="008F57DB"/>
    <w:rsid w:val="008F586F"/>
    <w:rsid w:val="008F5DE4"/>
    <w:rsid w:val="008F5DE5"/>
    <w:rsid w:val="008F5E42"/>
    <w:rsid w:val="008F63B1"/>
    <w:rsid w:val="008F63C8"/>
    <w:rsid w:val="008F6812"/>
    <w:rsid w:val="008F6973"/>
    <w:rsid w:val="008F6A18"/>
    <w:rsid w:val="008F6D17"/>
    <w:rsid w:val="008F6E6A"/>
    <w:rsid w:val="008F6E88"/>
    <w:rsid w:val="008F70A3"/>
    <w:rsid w:val="008F7391"/>
    <w:rsid w:val="008F73A4"/>
    <w:rsid w:val="008F76A7"/>
    <w:rsid w:val="008F7AA7"/>
    <w:rsid w:val="008F7D11"/>
    <w:rsid w:val="008F7D71"/>
    <w:rsid w:val="008F7F94"/>
    <w:rsid w:val="009001BE"/>
    <w:rsid w:val="00900788"/>
    <w:rsid w:val="009007A7"/>
    <w:rsid w:val="00900947"/>
    <w:rsid w:val="00900B01"/>
    <w:rsid w:val="00900C0B"/>
    <w:rsid w:val="00900EB8"/>
    <w:rsid w:val="00900F9F"/>
    <w:rsid w:val="00900FBA"/>
    <w:rsid w:val="00901251"/>
    <w:rsid w:val="0090146B"/>
    <w:rsid w:val="009015A0"/>
    <w:rsid w:val="0090175C"/>
    <w:rsid w:val="00901844"/>
    <w:rsid w:val="00901FC2"/>
    <w:rsid w:val="009022D1"/>
    <w:rsid w:val="00902319"/>
    <w:rsid w:val="00902344"/>
    <w:rsid w:val="009027CD"/>
    <w:rsid w:val="00902B90"/>
    <w:rsid w:val="00902E5B"/>
    <w:rsid w:val="00903119"/>
    <w:rsid w:val="00903530"/>
    <w:rsid w:val="00903883"/>
    <w:rsid w:val="00903A7D"/>
    <w:rsid w:val="00903E7D"/>
    <w:rsid w:val="00903F0B"/>
    <w:rsid w:val="00903F8B"/>
    <w:rsid w:val="00903FD9"/>
    <w:rsid w:val="00904498"/>
    <w:rsid w:val="00904A97"/>
    <w:rsid w:val="00904C39"/>
    <w:rsid w:val="00904CF5"/>
    <w:rsid w:val="00904CF7"/>
    <w:rsid w:val="0090501D"/>
    <w:rsid w:val="00905259"/>
    <w:rsid w:val="00905261"/>
    <w:rsid w:val="0090556C"/>
    <w:rsid w:val="00905633"/>
    <w:rsid w:val="0090567D"/>
    <w:rsid w:val="00905E02"/>
    <w:rsid w:val="00905EAE"/>
    <w:rsid w:val="009060C4"/>
    <w:rsid w:val="00906481"/>
    <w:rsid w:val="009066E7"/>
    <w:rsid w:val="00906B19"/>
    <w:rsid w:val="00906B95"/>
    <w:rsid w:val="00906C91"/>
    <w:rsid w:val="00906C95"/>
    <w:rsid w:val="009071D1"/>
    <w:rsid w:val="00907656"/>
    <w:rsid w:val="0090791E"/>
    <w:rsid w:val="00907BE3"/>
    <w:rsid w:val="00907E47"/>
    <w:rsid w:val="009100EA"/>
    <w:rsid w:val="009104C9"/>
    <w:rsid w:val="009108D6"/>
    <w:rsid w:val="00910A09"/>
    <w:rsid w:val="00910E3B"/>
    <w:rsid w:val="0091104D"/>
    <w:rsid w:val="009112B4"/>
    <w:rsid w:val="009115EF"/>
    <w:rsid w:val="009116DD"/>
    <w:rsid w:val="00911B47"/>
    <w:rsid w:val="00911C6E"/>
    <w:rsid w:val="00911D57"/>
    <w:rsid w:val="009120AE"/>
    <w:rsid w:val="009121E1"/>
    <w:rsid w:val="00912202"/>
    <w:rsid w:val="00912368"/>
    <w:rsid w:val="009124E2"/>
    <w:rsid w:val="00912B89"/>
    <w:rsid w:val="00912D1C"/>
    <w:rsid w:val="00913019"/>
    <w:rsid w:val="009130FA"/>
    <w:rsid w:val="00913601"/>
    <w:rsid w:val="00913F1E"/>
    <w:rsid w:val="00913FB2"/>
    <w:rsid w:val="00914038"/>
    <w:rsid w:val="009140C4"/>
    <w:rsid w:val="00914347"/>
    <w:rsid w:val="009144A9"/>
    <w:rsid w:val="0091468B"/>
    <w:rsid w:val="009146DA"/>
    <w:rsid w:val="009147FE"/>
    <w:rsid w:val="00914848"/>
    <w:rsid w:val="009149D3"/>
    <w:rsid w:val="00914CED"/>
    <w:rsid w:val="0091526F"/>
    <w:rsid w:val="009153D2"/>
    <w:rsid w:val="00915572"/>
    <w:rsid w:val="0091576E"/>
    <w:rsid w:val="00915C0F"/>
    <w:rsid w:val="009160C9"/>
    <w:rsid w:val="0091621E"/>
    <w:rsid w:val="00916286"/>
    <w:rsid w:val="00916595"/>
    <w:rsid w:val="009169D0"/>
    <w:rsid w:val="00916A85"/>
    <w:rsid w:val="00916ABB"/>
    <w:rsid w:val="00916C47"/>
    <w:rsid w:val="00916D62"/>
    <w:rsid w:val="009171AD"/>
    <w:rsid w:val="00917569"/>
    <w:rsid w:val="00917AA9"/>
    <w:rsid w:val="00917E57"/>
    <w:rsid w:val="00920174"/>
    <w:rsid w:val="00920508"/>
    <w:rsid w:val="00920F28"/>
    <w:rsid w:val="0092177C"/>
    <w:rsid w:val="00921966"/>
    <w:rsid w:val="009219D2"/>
    <w:rsid w:val="00921A4E"/>
    <w:rsid w:val="00921E37"/>
    <w:rsid w:val="00922511"/>
    <w:rsid w:val="00922ACE"/>
    <w:rsid w:val="00922BED"/>
    <w:rsid w:val="00922F07"/>
    <w:rsid w:val="009230ED"/>
    <w:rsid w:val="0092332C"/>
    <w:rsid w:val="00923463"/>
    <w:rsid w:val="009236BD"/>
    <w:rsid w:val="00923894"/>
    <w:rsid w:val="00923B60"/>
    <w:rsid w:val="00923B63"/>
    <w:rsid w:val="00923F3F"/>
    <w:rsid w:val="00923F8D"/>
    <w:rsid w:val="009243E0"/>
    <w:rsid w:val="009245B4"/>
    <w:rsid w:val="00924D6D"/>
    <w:rsid w:val="00924EC4"/>
    <w:rsid w:val="00925238"/>
    <w:rsid w:val="009252B5"/>
    <w:rsid w:val="00925ACF"/>
    <w:rsid w:val="00925B49"/>
    <w:rsid w:val="00925CFB"/>
    <w:rsid w:val="00925E8A"/>
    <w:rsid w:val="00925FB2"/>
    <w:rsid w:val="0092615D"/>
    <w:rsid w:val="009262C6"/>
    <w:rsid w:val="00926546"/>
    <w:rsid w:val="009265A1"/>
    <w:rsid w:val="009267AD"/>
    <w:rsid w:val="00926FA2"/>
    <w:rsid w:val="00927484"/>
    <w:rsid w:val="00927700"/>
    <w:rsid w:val="0093036E"/>
    <w:rsid w:val="00930525"/>
    <w:rsid w:val="00930A79"/>
    <w:rsid w:val="00930C69"/>
    <w:rsid w:val="00930DA8"/>
    <w:rsid w:val="00930FD5"/>
    <w:rsid w:val="00931088"/>
    <w:rsid w:val="00931224"/>
    <w:rsid w:val="009315A8"/>
    <w:rsid w:val="0093190C"/>
    <w:rsid w:val="00931CC2"/>
    <w:rsid w:val="00931F92"/>
    <w:rsid w:val="0093264C"/>
    <w:rsid w:val="009328A6"/>
    <w:rsid w:val="00932EB3"/>
    <w:rsid w:val="00932FB8"/>
    <w:rsid w:val="009333D3"/>
    <w:rsid w:val="0093342D"/>
    <w:rsid w:val="009334C0"/>
    <w:rsid w:val="00933661"/>
    <w:rsid w:val="009339B6"/>
    <w:rsid w:val="00933B4C"/>
    <w:rsid w:val="00933DC4"/>
    <w:rsid w:val="00933EFD"/>
    <w:rsid w:val="00933F8C"/>
    <w:rsid w:val="00934023"/>
    <w:rsid w:val="0093431B"/>
    <w:rsid w:val="009344CF"/>
    <w:rsid w:val="009346D6"/>
    <w:rsid w:val="00934743"/>
    <w:rsid w:val="0093487E"/>
    <w:rsid w:val="0093492D"/>
    <w:rsid w:val="00934C34"/>
    <w:rsid w:val="00934FFE"/>
    <w:rsid w:val="009355C6"/>
    <w:rsid w:val="009356C7"/>
    <w:rsid w:val="00935975"/>
    <w:rsid w:val="00935A41"/>
    <w:rsid w:val="00935B92"/>
    <w:rsid w:val="00936405"/>
    <w:rsid w:val="00936491"/>
    <w:rsid w:val="009364D3"/>
    <w:rsid w:val="00936705"/>
    <w:rsid w:val="00936B64"/>
    <w:rsid w:val="0093751A"/>
    <w:rsid w:val="009376AE"/>
    <w:rsid w:val="009379C4"/>
    <w:rsid w:val="00937A12"/>
    <w:rsid w:val="00937A96"/>
    <w:rsid w:val="00937D63"/>
    <w:rsid w:val="00937D8A"/>
    <w:rsid w:val="00937E3A"/>
    <w:rsid w:val="00940040"/>
    <w:rsid w:val="009402AE"/>
    <w:rsid w:val="0094041A"/>
    <w:rsid w:val="00940809"/>
    <w:rsid w:val="00940A00"/>
    <w:rsid w:val="00940D32"/>
    <w:rsid w:val="00940EA8"/>
    <w:rsid w:val="00940EFC"/>
    <w:rsid w:val="00940F67"/>
    <w:rsid w:val="009412E8"/>
    <w:rsid w:val="0094147D"/>
    <w:rsid w:val="00941906"/>
    <w:rsid w:val="0094190D"/>
    <w:rsid w:val="00941A5A"/>
    <w:rsid w:val="00941C99"/>
    <w:rsid w:val="00941D79"/>
    <w:rsid w:val="00942354"/>
    <w:rsid w:val="00942681"/>
    <w:rsid w:val="009426B3"/>
    <w:rsid w:val="00942845"/>
    <w:rsid w:val="00942AA3"/>
    <w:rsid w:val="00942F0C"/>
    <w:rsid w:val="00942F53"/>
    <w:rsid w:val="009430C0"/>
    <w:rsid w:val="009434FE"/>
    <w:rsid w:val="0094352B"/>
    <w:rsid w:val="00943A7E"/>
    <w:rsid w:val="00943CFD"/>
    <w:rsid w:val="00943E42"/>
    <w:rsid w:val="00943E5D"/>
    <w:rsid w:val="00944728"/>
    <w:rsid w:val="00945188"/>
    <w:rsid w:val="009451D9"/>
    <w:rsid w:val="009453E8"/>
    <w:rsid w:val="00945664"/>
    <w:rsid w:val="00945749"/>
    <w:rsid w:val="00945900"/>
    <w:rsid w:val="00945AD1"/>
    <w:rsid w:val="00945BC1"/>
    <w:rsid w:val="00945D34"/>
    <w:rsid w:val="00945DAA"/>
    <w:rsid w:val="009465B7"/>
    <w:rsid w:val="009465F9"/>
    <w:rsid w:val="0094689A"/>
    <w:rsid w:val="00946ECB"/>
    <w:rsid w:val="00947268"/>
    <w:rsid w:val="009472EA"/>
    <w:rsid w:val="0094750E"/>
    <w:rsid w:val="00947580"/>
    <w:rsid w:val="00947671"/>
    <w:rsid w:val="00947960"/>
    <w:rsid w:val="00947C94"/>
    <w:rsid w:val="009503BE"/>
    <w:rsid w:val="009507C8"/>
    <w:rsid w:val="00950926"/>
    <w:rsid w:val="00950D09"/>
    <w:rsid w:val="00950DCE"/>
    <w:rsid w:val="0095108D"/>
    <w:rsid w:val="0095115E"/>
    <w:rsid w:val="0095118A"/>
    <w:rsid w:val="009511A2"/>
    <w:rsid w:val="009512FE"/>
    <w:rsid w:val="00951314"/>
    <w:rsid w:val="0095138C"/>
    <w:rsid w:val="00951797"/>
    <w:rsid w:val="00951CB4"/>
    <w:rsid w:val="00951D9D"/>
    <w:rsid w:val="00951E84"/>
    <w:rsid w:val="00951F80"/>
    <w:rsid w:val="00952468"/>
    <w:rsid w:val="00952FFC"/>
    <w:rsid w:val="009532BE"/>
    <w:rsid w:val="0095342C"/>
    <w:rsid w:val="00953440"/>
    <w:rsid w:val="00953ED3"/>
    <w:rsid w:val="00954767"/>
    <w:rsid w:val="0095487A"/>
    <w:rsid w:val="009548FB"/>
    <w:rsid w:val="00954FE3"/>
    <w:rsid w:val="00955061"/>
    <w:rsid w:val="0095538B"/>
    <w:rsid w:val="0095541D"/>
    <w:rsid w:val="0095563C"/>
    <w:rsid w:val="009558B7"/>
    <w:rsid w:val="00955D9D"/>
    <w:rsid w:val="00955E92"/>
    <w:rsid w:val="0095640E"/>
    <w:rsid w:val="00956DE0"/>
    <w:rsid w:val="00956F32"/>
    <w:rsid w:val="00957058"/>
    <w:rsid w:val="009576F4"/>
    <w:rsid w:val="009578E6"/>
    <w:rsid w:val="00957A72"/>
    <w:rsid w:val="00957AF7"/>
    <w:rsid w:val="00957E94"/>
    <w:rsid w:val="009601ED"/>
    <w:rsid w:val="0096034E"/>
    <w:rsid w:val="0096055F"/>
    <w:rsid w:val="00960ACA"/>
    <w:rsid w:val="00960C4F"/>
    <w:rsid w:val="009617D8"/>
    <w:rsid w:val="009618FC"/>
    <w:rsid w:val="0096193D"/>
    <w:rsid w:val="00961A07"/>
    <w:rsid w:val="00961D20"/>
    <w:rsid w:val="009620B1"/>
    <w:rsid w:val="0096217C"/>
    <w:rsid w:val="00962441"/>
    <w:rsid w:val="00962769"/>
    <w:rsid w:val="0096280B"/>
    <w:rsid w:val="00962BB8"/>
    <w:rsid w:val="009631B1"/>
    <w:rsid w:val="00963277"/>
    <w:rsid w:val="009637C9"/>
    <w:rsid w:val="00963B20"/>
    <w:rsid w:val="00964B53"/>
    <w:rsid w:val="00964C3F"/>
    <w:rsid w:val="00964C6C"/>
    <w:rsid w:val="00964DDD"/>
    <w:rsid w:val="00965176"/>
    <w:rsid w:val="00965240"/>
    <w:rsid w:val="00965847"/>
    <w:rsid w:val="009659A5"/>
    <w:rsid w:val="00965A3E"/>
    <w:rsid w:val="00965C48"/>
    <w:rsid w:val="00965CCB"/>
    <w:rsid w:val="0096648C"/>
    <w:rsid w:val="00966755"/>
    <w:rsid w:val="00966D2F"/>
    <w:rsid w:val="00966D38"/>
    <w:rsid w:val="00966D9D"/>
    <w:rsid w:val="00966DD5"/>
    <w:rsid w:val="00966E4A"/>
    <w:rsid w:val="00967041"/>
    <w:rsid w:val="009673AB"/>
    <w:rsid w:val="009679AE"/>
    <w:rsid w:val="00967C64"/>
    <w:rsid w:val="00967EF0"/>
    <w:rsid w:val="009707AD"/>
    <w:rsid w:val="00970918"/>
    <w:rsid w:val="0097099E"/>
    <w:rsid w:val="00970AC8"/>
    <w:rsid w:val="00970AE0"/>
    <w:rsid w:val="00971088"/>
    <w:rsid w:val="009710E8"/>
    <w:rsid w:val="00971118"/>
    <w:rsid w:val="00971274"/>
    <w:rsid w:val="00971411"/>
    <w:rsid w:val="00971440"/>
    <w:rsid w:val="00971761"/>
    <w:rsid w:val="00971B8D"/>
    <w:rsid w:val="00971C99"/>
    <w:rsid w:val="00971FFC"/>
    <w:rsid w:val="0097216F"/>
    <w:rsid w:val="00972513"/>
    <w:rsid w:val="0097261D"/>
    <w:rsid w:val="00972C3B"/>
    <w:rsid w:val="00972CD9"/>
    <w:rsid w:val="00972DA9"/>
    <w:rsid w:val="00973057"/>
    <w:rsid w:val="009732A3"/>
    <w:rsid w:val="0097341A"/>
    <w:rsid w:val="00973527"/>
    <w:rsid w:val="00973723"/>
    <w:rsid w:val="00973E6D"/>
    <w:rsid w:val="00973ED0"/>
    <w:rsid w:val="00974327"/>
    <w:rsid w:val="009743B0"/>
    <w:rsid w:val="009748AB"/>
    <w:rsid w:val="00974D4C"/>
    <w:rsid w:val="00974D50"/>
    <w:rsid w:val="00974E33"/>
    <w:rsid w:val="009751AF"/>
    <w:rsid w:val="00975326"/>
    <w:rsid w:val="00975DEA"/>
    <w:rsid w:val="00976363"/>
    <w:rsid w:val="00976A98"/>
    <w:rsid w:val="00976EB2"/>
    <w:rsid w:val="0097731A"/>
    <w:rsid w:val="009776C8"/>
    <w:rsid w:val="00977772"/>
    <w:rsid w:val="00977977"/>
    <w:rsid w:val="00977A74"/>
    <w:rsid w:val="00977CDF"/>
    <w:rsid w:val="00977FAD"/>
    <w:rsid w:val="0098043F"/>
    <w:rsid w:val="009804C3"/>
    <w:rsid w:val="009804F9"/>
    <w:rsid w:val="0098054E"/>
    <w:rsid w:val="00980632"/>
    <w:rsid w:val="00980A9B"/>
    <w:rsid w:val="00980B91"/>
    <w:rsid w:val="00981038"/>
    <w:rsid w:val="0098106E"/>
    <w:rsid w:val="00981393"/>
    <w:rsid w:val="009813D9"/>
    <w:rsid w:val="00981511"/>
    <w:rsid w:val="00981BB2"/>
    <w:rsid w:val="00981C1C"/>
    <w:rsid w:val="00981C27"/>
    <w:rsid w:val="00981D1C"/>
    <w:rsid w:val="00981E1C"/>
    <w:rsid w:val="00982118"/>
    <w:rsid w:val="009822DD"/>
    <w:rsid w:val="00982302"/>
    <w:rsid w:val="009826BB"/>
    <w:rsid w:val="00982C62"/>
    <w:rsid w:val="00982C91"/>
    <w:rsid w:val="00982F76"/>
    <w:rsid w:val="00982FA3"/>
    <w:rsid w:val="0098318A"/>
    <w:rsid w:val="00983E3E"/>
    <w:rsid w:val="009840EE"/>
    <w:rsid w:val="009840FD"/>
    <w:rsid w:val="009842AB"/>
    <w:rsid w:val="00984429"/>
    <w:rsid w:val="00984701"/>
    <w:rsid w:val="00984847"/>
    <w:rsid w:val="00984BEC"/>
    <w:rsid w:val="00984F1D"/>
    <w:rsid w:val="00985243"/>
    <w:rsid w:val="009853EC"/>
    <w:rsid w:val="00985EB8"/>
    <w:rsid w:val="00985FB3"/>
    <w:rsid w:val="009864FD"/>
    <w:rsid w:val="00986566"/>
    <w:rsid w:val="009869FD"/>
    <w:rsid w:val="00986CC1"/>
    <w:rsid w:val="00986DEB"/>
    <w:rsid w:val="00986F4E"/>
    <w:rsid w:val="00987153"/>
    <w:rsid w:val="00987191"/>
    <w:rsid w:val="0098724A"/>
    <w:rsid w:val="0098733F"/>
    <w:rsid w:val="00987398"/>
    <w:rsid w:val="0098759A"/>
    <w:rsid w:val="009876C3"/>
    <w:rsid w:val="009878E7"/>
    <w:rsid w:val="00987A5A"/>
    <w:rsid w:val="00987CB4"/>
    <w:rsid w:val="00987DD1"/>
    <w:rsid w:val="00987EAA"/>
    <w:rsid w:val="0099023B"/>
    <w:rsid w:val="009903C7"/>
    <w:rsid w:val="0099097E"/>
    <w:rsid w:val="00990B07"/>
    <w:rsid w:val="00990B3D"/>
    <w:rsid w:val="00990B49"/>
    <w:rsid w:val="0099109B"/>
    <w:rsid w:val="009912F7"/>
    <w:rsid w:val="009915D7"/>
    <w:rsid w:val="00991686"/>
    <w:rsid w:val="00992152"/>
    <w:rsid w:val="009921FC"/>
    <w:rsid w:val="0099272B"/>
    <w:rsid w:val="00992A0E"/>
    <w:rsid w:val="00992A9F"/>
    <w:rsid w:val="0099317E"/>
    <w:rsid w:val="009931DC"/>
    <w:rsid w:val="0099335F"/>
    <w:rsid w:val="009933B9"/>
    <w:rsid w:val="0099399E"/>
    <w:rsid w:val="00993C11"/>
    <w:rsid w:val="00993E9F"/>
    <w:rsid w:val="0099413C"/>
    <w:rsid w:val="00994230"/>
    <w:rsid w:val="0099479E"/>
    <w:rsid w:val="00994BB4"/>
    <w:rsid w:val="009951D8"/>
    <w:rsid w:val="00995355"/>
    <w:rsid w:val="0099586F"/>
    <w:rsid w:val="00995C59"/>
    <w:rsid w:val="00996329"/>
    <w:rsid w:val="00996335"/>
    <w:rsid w:val="009965FD"/>
    <w:rsid w:val="00996AA3"/>
    <w:rsid w:val="00996CB5"/>
    <w:rsid w:val="00996D0C"/>
    <w:rsid w:val="00996DE5"/>
    <w:rsid w:val="00996FB8"/>
    <w:rsid w:val="009970CF"/>
    <w:rsid w:val="0099719E"/>
    <w:rsid w:val="009975E0"/>
    <w:rsid w:val="009A0169"/>
    <w:rsid w:val="009A0508"/>
    <w:rsid w:val="009A0C89"/>
    <w:rsid w:val="009A1846"/>
    <w:rsid w:val="009A18AC"/>
    <w:rsid w:val="009A1B25"/>
    <w:rsid w:val="009A1B56"/>
    <w:rsid w:val="009A1D9F"/>
    <w:rsid w:val="009A2037"/>
    <w:rsid w:val="009A2427"/>
    <w:rsid w:val="009A2633"/>
    <w:rsid w:val="009A2786"/>
    <w:rsid w:val="009A2A8A"/>
    <w:rsid w:val="009A2ACE"/>
    <w:rsid w:val="009A3120"/>
    <w:rsid w:val="009A3310"/>
    <w:rsid w:val="009A382B"/>
    <w:rsid w:val="009A3AEC"/>
    <w:rsid w:val="009A3BAA"/>
    <w:rsid w:val="009A3C93"/>
    <w:rsid w:val="009A3FD0"/>
    <w:rsid w:val="009A4140"/>
    <w:rsid w:val="009A43F9"/>
    <w:rsid w:val="009A4534"/>
    <w:rsid w:val="009A4625"/>
    <w:rsid w:val="009A4B0B"/>
    <w:rsid w:val="009A5101"/>
    <w:rsid w:val="009A51C7"/>
    <w:rsid w:val="009A559E"/>
    <w:rsid w:val="009A596A"/>
    <w:rsid w:val="009A59EC"/>
    <w:rsid w:val="009A5B85"/>
    <w:rsid w:val="009A5BAF"/>
    <w:rsid w:val="009A5BBE"/>
    <w:rsid w:val="009A5C56"/>
    <w:rsid w:val="009A5CA8"/>
    <w:rsid w:val="009A5D8D"/>
    <w:rsid w:val="009A5F12"/>
    <w:rsid w:val="009A6962"/>
    <w:rsid w:val="009A6A8C"/>
    <w:rsid w:val="009A6C27"/>
    <w:rsid w:val="009A6ED0"/>
    <w:rsid w:val="009A6F5F"/>
    <w:rsid w:val="009A706A"/>
    <w:rsid w:val="009A71AB"/>
    <w:rsid w:val="009A7745"/>
    <w:rsid w:val="009A7A2E"/>
    <w:rsid w:val="009A7C3D"/>
    <w:rsid w:val="009A7FCC"/>
    <w:rsid w:val="009B0156"/>
    <w:rsid w:val="009B0295"/>
    <w:rsid w:val="009B04C4"/>
    <w:rsid w:val="009B0596"/>
    <w:rsid w:val="009B05BA"/>
    <w:rsid w:val="009B0B2A"/>
    <w:rsid w:val="009B0F25"/>
    <w:rsid w:val="009B1120"/>
    <w:rsid w:val="009B1171"/>
    <w:rsid w:val="009B1B0E"/>
    <w:rsid w:val="009B1B58"/>
    <w:rsid w:val="009B22E9"/>
    <w:rsid w:val="009B2596"/>
    <w:rsid w:val="009B28C7"/>
    <w:rsid w:val="009B2AD1"/>
    <w:rsid w:val="009B3091"/>
    <w:rsid w:val="009B3105"/>
    <w:rsid w:val="009B388C"/>
    <w:rsid w:val="009B3B02"/>
    <w:rsid w:val="009B3C29"/>
    <w:rsid w:val="009B42B6"/>
    <w:rsid w:val="009B42CC"/>
    <w:rsid w:val="009B4314"/>
    <w:rsid w:val="009B43D6"/>
    <w:rsid w:val="009B48E9"/>
    <w:rsid w:val="009B4CE2"/>
    <w:rsid w:val="009B4CE4"/>
    <w:rsid w:val="009B4D64"/>
    <w:rsid w:val="009B4E95"/>
    <w:rsid w:val="009B4FE3"/>
    <w:rsid w:val="009B5081"/>
    <w:rsid w:val="009B5128"/>
    <w:rsid w:val="009B5B20"/>
    <w:rsid w:val="009B5FFA"/>
    <w:rsid w:val="009B6781"/>
    <w:rsid w:val="009B6889"/>
    <w:rsid w:val="009B6985"/>
    <w:rsid w:val="009B69AE"/>
    <w:rsid w:val="009B69B3"/>
    <w:rsid w:val="009B6D06"/>
    <w:rsid w:val="009B6DE3"/>
    <w:rsid w:val="009B6E0D"/>
    <w:rsid w:val="009B7011"/>
    <w:rsid w:val="009B7086"/>
    <w:rsid w:val="009B71E4"/>
    <w:rsid w:val="009B7212"/>
    <w:rsid w:val="009B7AF6"/>
    <w:rsid w:val="009B7F5A"/>
    <w:rsid w:val="009C03CC"/>
    <w:rsid w:val="009C04EE"/>
    <w:rsid w:val="009C0CD4"/>
    <w:rsid w:val="009C0D25"/>
    <w:rsid w:val="009C12FA"/>
    <w:rsid w:val="009C13EE"/>
    <w:rsid w:val="009C1425"/>
    <w:rsid w:val="009C15E7"/>
    <w:rsid w:val="009C17C8"/>
    <w:rsid w:val="009C192A"/>
    <w:rsid w:val="009C1C7B"/>
    <w:rsid w:val="009C1EC1"/>
    <w:rsid w:val="009C2B23"/>
    <w:rsid w:val="009C2EEA"/>
    <w:rsid w:val="009C3446"/>
    <w:rsid w:val="009C373E"/>
    <w:rsid w:val="009C37C5"/>
    <w:rsid w:val="009C385B"/>
    <w:rsid w:val="009C38FB"/>
    <w:rsid w:val="009C3A26"/>
    <w:rsid w:val="009C3DB6"/>
    <w:rsid w:val="009C3E3C"/>
    <w:rsid w:val="009C421C"/>
    <w:rsid w:val="009C4353"/>
    <w:rsid w:val="009C488B"/>
    <w:rsid w:val="009C49C2"/>
    <w:rsid w:val="009C4B28"/>
    <w:rsid w:val="009C4CD0"/>
    <w:rsid w:val="009C4E2D"/>
    <w:rsid w:val="009C4ECB"/>
    <w:rsid w:val="009C4EF0"/>
    <w:rsid w:val="009C54BA"/>
    <w:rsid w:val="009C5863"/>
    <w:rsid w:val="009C60F2"/>
    <w:rsid w:val="009C62C0"/>
    <w:rsid w:val="009C65B2"/>
    <w:rsid w:val="009C66F3"/>
    <w:rsid w:val="009C6A88"/>
    <w:rsid w:val="009C6BBA"/>
    <w:rsid w:val="009C6CA3"/>
    <w:rsid w:val="009C6F19"/>
    <w:rsid w:val="009C75EE"/>
    <w:rsid w:val="009C765D"/>
    <w:rsid w:val="009C7918"/>
    <w:rsid w:val="009C7ADA"/>
    <w:rsid w:val="009D000A"/>
    <w:rsid w:val="009D0046"/>
    <w:rsid w:val="009D07D7"/>
    <w:rsid w:val="009D081A"/>
    <w:rsid w:val="009D0B0C"/>
    <w:rsid w:val="009D1022"/>
    <w:rsid w:val="009D112D"/>
    <w:rsid w:val="009D12FE"/>
    <w:rsid w:val="009D1942"/>
    <w:rsid w:val="009D1A86"/>
    <w:rsid w:val="009D1BD8"/>
    <w:rsid w:val="009D1E12"/>
    <w:rsid w:val="009D1FFB"/>
    <w:rsid w:val="009D2421"/>
    <w:rsid w:val="009D244B"/>
    <w:rsid w:val="009D2DA9"/>
    <w:rsid w:val="009D2E93"/>
    <w:rsid w:val="009D2EA9"/>
    <w:rsid w:val="009D3038"/>
    <w:rsid w:val="009D307A"/>
    <w:rsid w:val="009D34C0"/>
    <w:rsid w:val="009D3580"/>
    <w:rsid w:val="009D35FB"/>
    <w:rsid w:val="009D3DF1"/>
    <w:rsid w:val="009D3E9B"/>
    <w:rsid w:val="009D454C"/>
    <w:rsid w:val="009D454D"/>
    <w:rsid w:val="009D4AFD"/>
    <w:rsid w:val="009D4B9A"/>
    <w:rsid w:val="009D4BBE"/>
    <w:rsid w:val="009D4E00"/>
    <w:rsid w:val="009D4E16"/>
    <w:rsid w:val="009D5170"/>
    <w:rsid w:val="009D5709"/>
    <w:rsid w:val="009D5791"/>
    <w:rsid w:val="009D5869"/>
    <w:rsid w:val="009D5893"/>
    <w:rsid w:val="009D5D3B"/>
    <w:rsid w:val="009D5F1F"/>
    <w:rsid w:val="009D5F54"/>
    <w:rsid w:val="009D613E"/>
    <w:rsid w:val="009D6620"/>
    <w:rsid w:val="009D6651"/>
    <w:rsid w:val="009D6817"/>
    <w:rsid w:val="009D6883"/>
    <w:rsid w:val="009D68F3"/>
    <w:rsid w:val="009D6C54"/>
    <w:rsid w:val="009D6DF4"/>
    <w:rsid w:val="009D72B0"/>
    <w:rsid w:val="009D77CE"/>
    <w:rsid w:val="009D77DC"/>
    <w:rsid w:val="009D78D1"/>
    <w:rsid w:val="009D7B7B"/>
    <w:rsid w:val="009D7D19"/>
    <w:rsid w:val="009D7DE3"/>
    <w:rsid w:val="009E004A"/>
    <w:rsid w:val="009E066B"/>
    <w:rsid w:val="009E0879"/>
    <w:rsid w:val="009E092D"/>
    <w:rsid w:val="009E094B"/>
    <w:rsid w:val="009E0A86"/>
    <w:rsid w:val="009E0ABA"/>
    <w:rsid w:val="009E0CB3"/>
    <w:rsid w:val="009E1515"/>
    <w:rsid w:val="009E1657"/>
    <w:rsid w:val="009E1CFF"/>
    <w:rsid w:val="009E1D7A"/>
    <w:rsid w:val="009E1EDF"/>
    <w:rsid w:val="009E1FEE"/>
    <w:rsid w:val="009E23D0"/>
    <w:rsid w:val="009E23EA"/>
    <w:rsid w:val="009E2882"/>
    <w:rsid w:val="009E2D24"/>
    <w:rsid w:val="009E2EA0"/>
    <w:rsid w:val="009E305F"/>
    <w:rsid w:val="009E339E"/>
    <w:rsid w:val="009E345F"/>
    <w:rsid w:val="009E3624"/>
    <w:rsid w:val="009E36FF"/>
    <w:rsid w:val="009E37D3"/>
    <w:rsid w:val="009E3C6B"/>
    <w:rsid w:val="009E3E10"/>
    <w:rsid w:val="009E428D"/>
    <w:rsid w:val="009E42A2"/>
    <w:rsid w:val="009E4993"/>
    <w:rsid w:val="009E49F8"/>
    <w:rsid w:val="009E4E0F"/>
    <w:rsid w:val="009E5028"/>
    <w:rsid w:val="009E50FB"/>
    <w:rsid w:val="009E5280"/>
    <w:rsid w:val="009E5386"/>
    <w:rsid w:val="009E5DD1"/>
    <w:rsid w:val="009E603C"/>
    <w:rsid w:val="009E60AD"/>
    <w:rsid w:val="009E613B"/>
    <w:rsid w:val="009E6529"/>
    <w:rsid w:val="009E658A"/>
    <w:rsid w:val="009E68C8"/>
    <w:rsid w:val="009E68DF"/>
    <w:rsid w:val="009E6AB5"/>
    <w:rsid w:val="009E6BDC"/>
    <w:rsid w:val="009E6DAB"/>
    <w:rsid w:val="009E6F4B"/>
    <w:rsid w:val="009E703C"/>
    <w:rsid w:val="009E723F"/>
    <w:rsid w:val="009E7E4C"/>
    <w:rsid w:val="009E7FE5"/>
    <w:rsid w:val="009F00DF"/>
    <w:rsid w:val="009F08F5"/>
    <w:rsid w:val="009F091D"/>
    <w:rsid w:val="009F0956"/>
    <w:rsid w:val="009F0E40"/>
    <w:rsid w:val="009F0EE5"/>
    <w:rsid w:val="009F113C"/>
    <w:rsid w:val="009F1264"/>
    <w:rsid w:val="009F17DA"/>
    <w:rsid w:val="009F19A3"/>
    <w:rsid w:val="009F1D7F"/>
    <w:rsid w:val="009F2235"/>
    <w:rsid w:val="009F245B"/>
    <w:rsid w:val="009F25E6"/>
    <w:rsid w:val="009F2648"/>
    <w:rsid w:val="009F28BF"/>
    <w:rsid w:val="009F293B"/>
    <w:rsid w:val="009F2B27"/>
    <w:rsid w:val="009F2BE8"/>
    <w:rsid w:val="009F2CE4"/>
    <w:rsid w:val="009F2F09"/>
    <w:rsid w:val="009F36B3"/>
    <w:rsid w:val="009F38B2"/>
    <w:rsid w:val="009F38DF"/>
    <w:rsid w:val="009F39A7"/>
    <w:rsid w:val="009F3F32"/>
    <w:rsid w:val="009F40B7"/>
    <w:rsid w:val="009F4188"/>
    <w:rsid w:val="009F4302"/>
    <w:rsid w:val="009F4393"/>
    <w:rsid w:val="009F4BE9"/>
    <w:rsid w:val="009F4C6F"/>
    <w:rsid w:val="009F5111"/>
    <w:rsid w:val="009F5FC3"/>
    <w:rsid w:val="009F62D3"/>
    <w:rsid w:val="009F6DC3"/>
    <w:rsid w:val="009F6E3D"/>
    <w:rsid w:val="009F7256"/>
    <w:rsid w:val="009F72D7"/>
    <w:rsid w:val="009F74CF"/>
    <w:rsid w:val="009F7522"/>
    <w:rsid w:val="009F786A"/>
    <w:rsid w:val="009F7912"/>
    <w:rsid w:val="009F7983"/>
    <w:rsid w:val="009F7F6B"/>
    <w:rsid w:val="00A00005"/>
    <w:rsid w:val="00A00112"/>
    <w:rsid w:val="00A008B5"/>
    <w:rsid w:val="00A00ED4"/>
    <w:rsid w:val="00A0161E"/>
    <w:rsid w:val="00A017B4"/>
    <w:rsid w:val="00A0182D"/>
    <w:rsid w:val="00A0187D"/>
    <w:rsid w:val="00A01C53"/>
    <w:rsid w:val="00A01D38"/>
    <w:rsid w:val="00A01F22"/>
    <w:rsid w:val="00A01F7E"/>
    <w:rsid w:val="00A02414"/>
    <w:rsid w:val="00A025B9"/>
    <w:rsid w:val="00A02B64"/>
    <w:rsid w:val="00A0355C"/>
    <w:rsid w:val="00A03631"/>
    <w:rsid w:val="00A03A13"/>
    <w:rsid w:val="00A03AD3"/>
    <w:rsid w:val="00A03C25"/>
    <w:rsid w:val="00A03F21"/>
    <w:rsid w:val="00A03F6A"/>
    <w:rsid w:val="00A040B4"/>
    <w:rsid w:val="00A040CD"/>
    <w:rsid w:val="00A04429"/>
    <w:rsid w:val="00A044FF"/>
    <w:rsid w:val="00A04A03"/>
    <w:rsid w:val="00A04C89"/>
    <w:rsid w:val="00A05070"/>
    <w:rsid w:val="00A057BF"/>
    <w:rsid w:val="00A05A51"/>
    <w:rsid w:val="00A05B4E"/>
    <w:rsid w:val="00A05D24"/>
    <w:rsid w:val="00A05ECF"/>
    <w:rsid w:val="00A0601F"/>
    <w:rsid w:val="00A06198"/>
    <w:rsid w:val="00A06446"/>
    <w:rsid w:val="00A0657B"/>
    <w:rsid w:val="00A06661"/>
    <w:rsid w:val="00A06697"/>
    <w:rsid w:val="00A069C4"/>
    <w:rsid w:val="00A06BF0"/>
    <w:rsid w:val="00A06C40"/>
    <w:rsid w:val="00A06D96"/>
    <w:rsid w:val="00A070B6"/>
    <w:rsid w:val="00A0741C"/>
    <w:rsid w:val="00A07918"/>
    <w:rsid w:val="00A07F00"/>
    <w:rsid w:val="00A07FE7"/>
    <w:rsid w:val="00A10586"/>
    <w:rsid w:val="00A10705"/>
    <w:rsid w:val="00A108A6"/>
    <w:rsid w:val="00A10974"/>
    <w:rsid w:val="00A10A48"/>
    <w:rsid w:val="00A11064"/>
    <w:rsid w:val="00A110BD"/>
    <w:rsid w:val="00A110DA"/>
    <w:rsid w:val="00A1132B"/>
    <w:rsid w:val="00A11930"/>
    <w:rsid w:val="00A119BB"/>
    <w:rsid w:val="00A11B54"/>
    <w:rsid w:val="00A11C1D"/>
    <w:rsid w:val="00A11CDC"/>
    <w:rsid w:val="00A11FA0"/>
    <w:rsid w:val="00A12091"/>
    <w:rsid w:val="00A12163"/>
    <w:rsid w:val="00A1227C"/>
    <w:rsid w:val="00A1238C"/>
    <w:rsid w:val="00A1239C"/>
    <w:rsid w:val="00A12588"/>
    <w:rsid w:val="00A1263D"/>
    <w:rsid w:val="00A12AB4"/>
    <w:rsid w:val="00A12AF2"/>
    <w:rsid w:val="00A12D60"/>
    <w:rsid w:val="00A12D8A"/>
    <w:rsid w:val="00A12E41"/>
    <w:rsid w:val="00A12E6C"/>
    <w:rsid w:val="00A13074"/>
    <w:rsid w:val="00A1363B"/>
    <w:rsid w:val="00A136D0"/>
    <w:rsid w:val="00A13799"/>
    <w:rsid w:val="00A13D1A"/>
    <w:rsid w:val="00A13F1C"/>
    <w:rsid w:val="00A146AB"/>
    <w:rsid w:val="00A14928"/>
    <w:rsid w:val="00A14934"/>
    <w:rsid w:val="00A14DC2"/>
    <w:rsid w:val="00A14DD6"/>
    <w:rsid w:val="00A14E1B"/>
    <w:rsid w:val="00A14E1C"/>
    <w:rsid w:val="00A15483"/>
    <w:rsid w:val="00A15A5E"/>
    <w:rsid w:val="00A15BC0"/>
    <w:rsid w:val="00A15D5E"/>
    <w:rsid w:val="00A15F0B"/>
    <w:rsid w:val="00A161F8"/>
    <w:rsid w:val="00A16341"/>
    <w:rsid w:val="00A164DE"/>
    <w:rsid w:val="00A164F2"/>
    <w:rsid w:val="00A169FA"/>
    <w:rsid w:val="00A16ABB"/>
    <w:rsid w:val="00A16DBD"/>
    <w:rsid w:val="00A16F96"/>
    <w:rsid w:val="00A172FA"/>
    <w:rsid w:val="00A17368"/>
    <w:rsid w:val="00A1736F"/>
    <w:rsid w:val="00A174BE"/>
    <w:rsid w:val="00A1766A"/>
    <w:rsid w:val="00A200F4"/>
    <w:rsid w:val="00A20247"/>
    <w:rsid w:val="00A206C9"/>
    <w:rsid w:val="00A20C27"/>
    <w:rsid w:val="00A20D4A"/>
    <w:rsid w:val="00A20E7D"/>
    <w:rsid w:val="00A21129"/>
    <w:rsid w:val="00A2118F"/>
    <w:rsid w:val="00A21285"/>
    <w:rsid w:val="00A216BC"/>
    <w:rsid w:val="00A21825"/>
    <w:rsid w:val="00A218BC"/>
    <w:rsid w:val="00A21A13"/>
    <w:rsid w:val="00A21CF8"/>
    <w:rsid w:val="00A21F9D"/>
    <w:rsid w:val="00A2203C"/>
    <w:rsid w:val="00A224EB"/>
    <w:rsid w:val="00A22616"/>
    <w:rsid w:val="00A229E3"/>
    <w:rsid w:val="00A23727"/>
    <w:rsid w:val="00A2384B"/>
    <w:rsid w:val="00A23931"/>
    <w:rsid w:val="00A23A3A"/>
    <w:rsid w:val="00A23BD0"/>
    <w:rsid w:val="00A23C10"/>
    <w:rsid w:val="00A23C14"/>
    <w:rsid w:val="00A23DB8"/>
    <w:rsid w:val="00A23FD6"/>
    <w:rsid w:val="00A2414E"/>
    <w:rsid w:val="00A242D7"/>
    <w:rsid w:val="00A248BE"/>
    <w:rsid w:val="00A24AAE"/>
    <w:rsid w:val="00A24D0F"/>
    <w:rsid w:val="00A2502D"/>
    <w:rsid w:val="00A25251"/>
    <w:rsid w:val="00A25317"/>
    <w:rsid w:val="00A256A4"/>
    <w:rsid w:val="00A25706"/>
    <w:rsid w:val="00A25A87"/>
    <w:rsid w:val="00A25B57"/>
    <w:rsid w:val="00A25C8E"/>
    <w:rsid w:val="00A25D2C"/>
    <w:rsid w:val="00A25D84"/>
    <w:rsid w:val="00A25FCA"/>
    <w:rsid w:val="00A26029"/>
    <w:rsid w:val="00A262E4"/>
    <w:rsid w:val="00A26501"/>
    <w:rsid w:val="00A268EA"/>
    <w:rsid w:val="00A269AB"/>
    <w:rsid w:val="00A27961"/>
    <w:rsid w:val="00A27A77"/>
    <w:rsid w:val="00A27E34"/>
    <w:rsid w:val="00A27FD0"/>
    <w:rsid w:val="00A307C7"/>
    <w:rsid w:val="00A30958"/>
    <w:rsid w:val="00A30BD6"/>
    <w:rsid w:val="00A30E0B"/>
    <w:rsid w:val="00A31273"/>
    <w:rsid w:val="00A314B0"/>
    <w:rsid w:val="00A314DB"/>
    <w:rsid w:val="00A31999"/>
    <w:rsid w:val="00A31A49"/>
    <w:rsid w:val="00A31C64"/>
    <w:rsid w:val="00A31CE0"/>
    <w:rsid w:val="00A31D4B"/>
    <w:rsid w:val="00A31FA9"/>
    <w:rsid w:val="00A3206D"/>
    <w:rsid w:val="00A333BF"/>
    <w:rsid w:val="00A33630"/>
    <w:rsid w:val="00A33689"/>
    <w:rsid w:val="00A33825"/>
    <w:rsid w:val="00A33827"/>
    <w:rsid w:val="00A3398F"/>
    <w:rsid w:val="00A3413E"/>
    <w:rsid w:val="00A34A1C"/>
    <w:rsid w:val="00A35069"/>
    <w:rsid w:val="00A3507D"/>
    <w:rsid w:val="00A352E2"/>
    <w:rsid w:val="00A35583"/>
    <w:rsid w:val="00A355BB"/>
    <w:rsid w:val="00A35A17"/>
    <w:rsid w:val="00A363A0"/>
    <w:rsid w:val="00A363EF"/>
    <w:rsid w:val="00A36778"/>
    <w:rsid w:val="00A36A72"/>
    <w:rsid w:val="00A36CF4"/>
    <w:rsid w:val="00A36DFE"/>
    <w:rsid w:val="00A370FD"/>
    <w:rsid w:val="00A37307"/>
    <w:rsid w:val="00A37686"/>
    <w:rsid w:val="00A3783D"/>
    <w:rsid w:val="00A3798C"/>
    <w:rsid w:val="00A37DD9"/>
    <w:rsid w:val="00A402E5"/>
    <w:rsid w:val="00A40363"/>
    <w:rsid w:val="00A406EA"/>
    <w:rsid w:val="00A40A73"/>
    <w:rsid w:val="00A40A77"/>
    <w:rsid w:val="00A40ED7"/>
    <w:rsid w:val="00A40F83"/>
    <w:rsid w:val="00A4103F"/>
    <w:rsid w:val="00A41164"/>
    <w:rsid w:val="00A412BA"/>
    <w:rsid w:val="00A41416"/>
    <w:rsid w:val="00A41B02"/>
    <w:rsid w:val="00A4200D"/>
    <w:rsid w:val="00A424BF"/>
    <w:rsid w:val="00A4258E"/>
    <w:rsid w:val="00A426A9"/>
    <w:rsid w:val="00A42CBF"/>
    <w:rsid w:val="00A430C1"/>
    <w:rsid w:val="00A432D1"/>
    <w:rsid w:val="00A43420"/>
    <w:rsid w:val="00A434AE"/>
    <w:rsid w:val="00A4361B"/>
    <w:rsid w:val="00A43716"/>
    <w:rsid w:val="00A438D0"/>
    <w:rsid w:val="00A43968"/>
    <w:rsid w:val="00A43F41"/>
    <w:rsid w:val="00A43F47"/>
    <w:rsid w:val="00A442C5"/>
    <w:rsid w:val="00A44712"/>
    <w:rsid w:val="00A44AC5"/>
    <w:rsid w:val="00A44AF5"/>
    <w:rsid w:val="00A44B8B"/>
    <w:rsid w:val="00A44BDC"/>
    <w:rsid w:val="00A44DF7"/>
    <w:rsid w:val="00A4557B"/>
    <w:rsid w:val="00A45820"/>
    <w:rsid w:val="00A45A13"/>
    <w:rsid w:val="00A45C71"/>
    <w:rsid w:val="00A45EC4"/>
    <w:rsid w:val="00A4618D"/>
    <w:rsid w:val="00A46444"/>
    <w:rsid w:val="00A468FA"/>
    <w:rsid w:val="00A46921"/>
    <w:rsid w:val="00A46F8F"/>
    <w:rsid w:val="00A47212"/>
    <w:rsid w:val="00A47323"/>
    <w:rsid w:val="00A474EA"/>
    <w:rsid w:val="00A47779"/>
    <w:rsid w:val="00A50027"/>
    <w:rsid w:val="00A501B2"/>
    <w:rsid w:val="00A5034A"/>
    <w:rsid w:val="00A50700"/>
    <w:rsid w:val="00A50FFA"/>
    <w:rsid w:val="00A523AF"/>
    <w:rsid w:val="00A52521"/>
    <w:rsid w:val="00A528F6"/>
    <w:rsid w:val="00A52CF1"/>
    <w:rsid w:val="00A53352"/>
    <w:rsid w:val="00A534F3"/>
    <w:rsid w:val="00A53583"/>
    <w:rsid w:val="00A53799"/>
    <w:rsid w:val="00A53804"/>
    <w:rsid w:val="00A539D1"/>
    <w:rsid w:val="00A53E02"/>
    <w:rsid w:val="00A54099"/>
    <w:rsid w:val="00A54201"/>
    <w:rsid w:val="00A548D1"/>
    <w:rsid w:val="00A54B93"/>
    <w:rsid w:val="00A54DAE"/>
    <w:rsid w:val="00A54DB2"/>
    <w:rsid w:val="00A5532D"/>
    <w:rsid w:val="00A55A0C"/>
    <w:rsid w:val="00A567B6"/>
    <w:rsid w:val="00A56C09"/>
    <w:rsid w:val="00A56D3B"/>
    <w:rsid w:val="00A572E2"/>
    <w:rsid w:val="00A57450"/>
    <w:rsid w:val="00A57479"/>
    <w:rsid w:val="00A57C08"/>
    <w:rsid w:val="00A57C5C"/>
    <w:rsid w:val="00A57DF4"/>
    <w:rsid w:val="00A57EA2"/>
    <w:rsid w:val="00A57ECB"/>
    <w:rsid w:val="00A600D9"/>
    <w:rsid w:val="00A6021E"/>
    <w:rsid w:val="00A604CD"/>
    <w:rsid w:val="00A60869"/>
    <w:rsid w:val="00A609B9"/>
    <w:rsid w:val="00A60A48"/>
    <w:rsid w:val="00A60B7C"/>
    <w:rsid w:val="00A60D80"/>
    <w:rsid w:val="00A60D94"/>
    <w:rsid w:val="00A60DB3"/>
    <w:rsid w:val="00A61741"/>
    <w:rsid w:val="00A61C24"/>
    <w:rsid w:val="00A61D62"/>
    <w:rsid w:val="00A62186"/>
    <w:rsid w:val="00A6265D"/>
    <w:rsid w:val="00A627D2"/>
    <w:rsid w:val="00A62899"/>
    <w:rsid w:val="00A62B0D"/>
    <w:rsid w:val="00A62C42"/>
    <w:rsid w:val="00A62C4A"/>
    <w:rsid w:val="00A62C51"/>
    <w:rsid w:val="00A62FF0"/>
    <w:rsid w:val="00A637A0"/>
    <w:rsid w:val="00A63A4B"/>
    <w:rsid w:val="00A63ECD"/>
    <w:rsid w:val="00A64093"/>
    <w:rsid w:val="00A640EB"/>
    <w:rsid w:val="00A64136"/>
    <w:rsid w:val="00A64815"/>
    <w:rsid w:val="00A6493E"/>
    <w:rsid w:val="00A64ECB"/>
    <w:rsid w:val="00A64EE2"/>
    <w:rsid w:val="00A65043"/>
    <w:rsid w:val="00A65464"/>
    <w:rsid w:val="00A65DF6"/>
    <w:rsid w:val="00A65F42"/>
    <w:rsid w:val="00A6681B"/>
    <w:rsid w:val="00A66C6E"/>
    <w:rsid w:val="00A66CFA"/>
    <w:rsid w:val="00A66DAE"/>
    <w:rsid w:val="00A66DF9"/>
    <w:rsid w:val="00A66EB5"/>
    <w:rsid w:val="00A671F2"/>
    <w:rsid w:val="00A67351"/>
    <w:rsid w:val="00A67393"/>
    <w:rsid w:val="00A673DA"/>
    <w:rsid w:val="00A67B4C"/>
    <w:rsid w:val="00A7015E"/>
    <w:rsid w:val="00A702D5"/>
    <w:rsid w:val="00A704E4"/>
    <w:rsid w:val="00A70928"/>
    <w:rsid w:val="00A70A93"/>
    <w:rsid w:val="00A7136A"/>
    <w:rsid w:val="00A71BE9"/>
    <w:rsid w:val="00A71BF7"/>
    <w:rsid w:val="00A71C44"/>
    <w:rsid w:val="00A71C7F"/>
    <w:rsid w:val="00A71FA5"/>
    <w:rsid w:val="00A72296"/>
    <w:rsid w:val="00A722E3"/>
    <w:rsid w:val="00A72845"/>
    <w:rsid w:val="00A72DC7"/>
    <w:rsid w:val="00A72FE3"/>
    <w:rsid w:val="00A7388E"/>
    <w:rsid w:val="00A7406A"/>
    <w:rsid w:val="00A7433E"/>
    <w:rsid w:val="00A74544"/>
    <w:rsid w:val="00A74548"/>
    <w:rsid w:val="00A745E9"/>
    <w:rsid w:val="00A74D0D"/>
    <w:rsid w:val="00A74DE5"/>
    <w:rsid w:val="00A74DF2"/>
    <w:rsid w:val="00A74E4D"/>
    <w:rsid w:val="00A7532A"/>
    <w:rsid w:val="00A757FE"/>
    <w:rsid w:val="00A7592E"/>
    <w:rsid w:val="00A75F90"/>
    <w:rsid w:val="00A7615D"/>
    <w:rsid w:val="00A76435"/>
    <w:rsid w:val="00A7677E"/>
    <w:rsid w:val="00A76818"/>
    <w:rsid w:val="00A76C1F"/>
    <w:rsid w:val="00A76EEE"/>
    <w:rsid w:val="00A771F6"/>
    <w:rsid w:val="00A77551"/>
    <w:rsid w:val="00A77A0C"/>
    <w:rsid w:val="00A8002F"/>
    <w:rsid w:val="00A80194"/>
    <w:rsid w:val="00A8032D"/>
    <w:rsid w:val="00A803FC"/>
    <w:rsid w:val="00A8071A"/>
    <w:rsid w:val="00A80A44"/>
    <w:rsid w:val="00A80DD9"/>
    <w:rsid w:val="00A80FCA"/>
    <w:rsid w:val="00A81132"/>
    <w:rsid w:val="00A812EF"/>
    <w:rsid w:val="00A81351"/>
    <w:rsid w:val="00A81721"/>
    <w:rsid w:val="00A81B8F"/>
    <w:rsid w:val="00A81CBC"/>
    <w:rsid w:val="00A82506"/>
    <w:rsid w:val="00A829B9"/>
    <w:rsid w:val="00A82A02"/>
    <w:rsid w:val="00A82DDD"/>
    <w:rsid w:val="00A8304F"/>
    <w:rsid w:val="00A837CE"/>
    <w:rsid w:val="00A837ED"/>
    <w:rsid w:val="00A83A48"/>
    <w:rsid w:val="00A83B49"/>
    <w:rsid w:val="00A83DB5"/>
    <w:rsid w:val="00A83DF7"/>
    <w:rsid w:val="00A83FBA"/>
    <w:rsid w:val="00A84501"/>
    <w:rsid w:val="00A84636"/>
    <w:rsid w:val="00A849CB"/>
    <w:rsid w:val="00A84CC0"/>
    <w:rsid w:val="00A84FE1"/>
    <w:rsid w:val="00A85080"/>
    <w:rsid w:val="00A850E3"/>
    <w:rsid w:val="00A85337"/>
    <w:rsid w:val="00A853DB"/>
    <w:rsid w:val="00A856CB"/>
    <w:rsid w:val="00A85DEA"/>
    <w:rsid w:val="00A85EED"/>
    <w:rsid w:val="00A8626D"/>
    <w:rsid w:val="00A86406"/>
    <w:rsid w:val="00A86441"/>
    <w:rsid w:val="00A865E1"/>
    <w:rsid w:val="00A86853"/>
    <w:rsid w:val="00A868EF"/>
    <w:rsid w:val="00A86B75"/>
    <w:rsid w:val="00A86E75"/>
    <w:rsid w:val="00A86F33"/>
    <w:rsid w:val="00A876B2"/>
    <w:rsid w:val="00A87737"/>
    <w:rsid w:val="00A87EBD"/>
    <w:rsid w:val="00A87FF1"/>
    <w:rsid w:val="00A903A5"/>
    <w:rsid w:val="00A9055F"/>
    <w:rsid w:val="00A9065F"/>
    <w:rsid w:val="00A9070D"/>
    <w:rsid w:val="00A90828"/>
    <w:rsid w:val="00A90B0E"/>
    <w:rsid w:val="00A91114"/>
    <w:rsid w:val="00A913EB"/>
    <w:rsid w:val="00A91AA1"/>
    <w:rsid w:val="00A91C8C"/>
    <w:rsid w:val="00A91D54"/>
    <w:rsid w:val="00A91F0D"/>
    <w:rsid w:val="00A9235A"/>
    <w:rsid w:val="00A924AE"/>
    <w:rsid w:val="00A926B5"/>
    <w:rsid w:val="00A92852"/>
    <w:rsid w:val="00A92F27"/>
    <w:rsid w:val="00A92FF7"/>
    <w:rsid w:val="00A93069"/>
    <w:rsid w:val="00A9374B"/>
    <w:rsid w:val="00A945D3"/>
    <w:rsid w:val="00A9461F"/>
    <w:rsid w:val="00A9468F"/>
    <w:rsid w:val="00A94754"/>
    <w:rsid w:val="00A948CD"/>
    <w:rsid w:val="00A9492A"/>
    <w:rsid w:val="00A9498D"/>
    <w:rsid w:val="00A94D8B"/>
    <w:rsid w:val="00A95335"/>
    <w:rsid w:val="00A9566B"/>
    <w:rsid w:val="00A958B3"/>
    <w:rsid w:val="00A9592E"/>
    <w:rsid w:val="00A95A6B"/>
    <w:rsid w:val="00A95D15"/>
    <w:rsid w:val="00A96075"/>
    <w:rsid w:val="00A961BB"/>
    <w:rsid w:val="00A962C9"/>
    <w:rsid w:val="00A96490"/>
    <w:rsid w:val="00A9657F"/>
    <w:rsid w:val="00A967B9"/>
    <w:rsid w:val="00A970F0"/>
    <w:rsid w:val="00A9725D"/>
    <w:rsid w:val="00A97323"/>
    <w:rsid w:val="00A9778D"/>
    <w:rsid w:val="00A97840"/>
    <w:rsid w:val="00A9784C"/>
    <w:rsid w:val="00A9797D"/>
    <w:rsid w:val="00A97A1A"/>
    <w:rsid w:val="00A97D68"/>
    <w:rsid w:val="00A97E87"/>
    <w:rsid w:val="00A97FE6"/>
    <w:rsid w:val="00AA015F"/>
    <w:rsid w:val="00AA0266"/>
    <w:rsid w:val="00AA04F0"/>
    <w:rsid w:val="00AA05C4"/>
    <w:rsid w:val="00AA0C3A"/>
    <w:rsid w:val="00AA0F5A"/>
    <w:rsid w:val="00AA1380"/>
    <w:rsid w:val="00AA1723"/>
    <w:rsid w:val="00AA190D"/>
    <w:rsid w:val="00AA198D"/>
    <w:rsid w:val="00AA1BD1"/>
    <w:rsid w:val="00AA1FDD"/>
    <w:rsid w:val="00AA22C3"/>
    <w:rsid w:val="00AA22D5"/>
    <w:rsid w:val="00AA230D"/>
    <w:rsid w:val="00AA26DB"/>
    <w:rsid w:val="00AA2808"/>
    <w:rsid w:val="00AA297E"/>
    <w:rsid w:val="00AA2C21"/>
    <w:rsid w:val="00AA2DCD"/>
    <w:rsid w:val="00AA30C5"/>
    <w:rsid w:val="00AA33F2"/>
    <w:rsid w:val="00AA382B"/>
    <w:rsid w:val="00AA3A8F"/>
    <w:rsid w:val="00AA3BA6"/>
    <w:rsid w:val="00AA3CFA"/>
    <w:rsid w:val="00AA4461"/>
    <w:rsid w:val="00AA4941"/>
    <w:rsid w:val="00AA498A"/>
    <w:rsid w:val="00AA49E9"/>
    <w:rsid w:val="00AA4AEF"/>
    <w:rsid w:val="00AA4C27"/>
    <w:rsid w:val="00AA5475"/>
    <w:rsid w:val="00AA54D8"/>
    <w:rsid w:val="00AA55ED"/>
    <w:rsid w:val="00AA5876"/>
    <w:rsid w:val="00AA5A4E"/>
    <w:rsid w:val="00AA6607"/>
    <w:rsid w:val="00AA6A8A"/>
    <w:rsid w:val="00AA6DD8"/>
    <w:rsid w:val="00AA6EED"/>
    <w:rsid w:val="00AA6FA3"/>
    <w:rsid w:val="00AA70BB"/>
    <w:rsid w:val="00AA757C"/>
    <w:rsid w:val="00AA75F7"/>
    <w:rsid w:val="00AA7674"/>
    <w:rsid w:val="00AA781F"/>
    <w:rsid w:val="00AA7C11"/>
    <w:rsid w:val="00AA7C4F"/>
    <w:rsid w:val="00AA7E79"/>
    <w:rsid w:val="00AA7F10"/>
    <w:rsid w:val="00AB0391"/>
    <w:rsid w:val="00AB0418"/>
    <w:rsid w:val="00AB079E"/>
    <w:rsid w:val="00AB09FC"/>
    <w:rsid w:val="00AB11B3"/>
    <w:rsid w:val="00AB121B"/>
    <w:rsid w:val="00AB140C"/>
    <w:rsid w:val="00AB17E6"/>
    <w:rsid w:val="00AB195D"/>
    <w:rsid w:val="00AB1A69"/>
    <w:rsid w:val="00AB1A9F"/>
    <w:rsid w:val="00AB1D70"/>
    <w:rsid w:val="00AB2138"/>
    <w:rsid w:val="00AB2151"/>
    <w:rsid w:val="00AB2361"/>
    <w:rsid w:val="00AB2533"/>
    <w:rsid w:val="00AB262E"/>
    <w:rsid w:val="00AB263E"/>
    <w:rsid w:val="00AB2A8B"/>
    <w:rsid w:val="00AB2C59"/>
    <w:rsid w:val="00AB2C8A"/>
    <w:rsid w:val="00AB3078"/>
    <w:rsid w:val="00AB33BA"/>
    <w:rsid w:val="00AB34CE"/>
    <w:rsid w:val="00AB357F"/>
    <w:rsid w:val="00AB38C0"/>
    <w:rsid w:val="00AB3BED"/>
    <w:rsid w:val="00AB42B6"/>
    <w:rsid w:val="00AB4834"/>
    <w:rsid w:val="00AB4C17"/>
    <w:rsid w:val="00AB4CD8"/>
    <w:rsid w:val="00AB4D67"/>
    <w:rsid w:val="00AB4DC0"/>
    <w:rsid w:val="00AB5151"/>
    <w:rsid w:val="00AB545D"/>
    <w:rsid w:val="00AB54D7"/>
    <w:rsid w:val="00AB5663"/>
    <w:rsid w:val="00AB57D3"/>
    <w:rsid w:val="00AB5A6F"/>
    <w:rsid w:val="00AB5A9D"/>
    <w:rsid w:val="00AB5C88"/>
    <w:rsid w:val="00AB6773"/>
    <w:rsid w:val="00AB6886"/>
    <w:rsid w:val="00AB6AE4"/>
    <w:rsid w:val="00AB6CDE"/>
    <w:rsid w:val="00AB6E00"/>
    <w:rsid w:val="00AB6F1F"/>
    <w:rsid w:val="00AB6F37"/>
    <w:rsid w:val="00AB6FD1"/>
    <w:rsid w:val="00AB73F2"/>
    <w:rsid w:val="00AB769E"/>
    <w:rsid w:val="00AB785F"/>
    <w:rsid w:val="00AB7D55"/>
    <w:rsid w:val="00AC0681"/>
    <w:rsid w:val="00AC0801"/>
    <w:rsid w:val="00AC0ADB"/>
    <w:rsid w:val="00AC0E67"/>
    <w:rsid w:val="00AC125F"/>
    <w:rsid w:val="00AC154B"/>
    <w:rsid w:val="00AC15E9"/>
    <w:rsid w:val="00AC1B72"/>
    <w:rsid w:val="00AC1C6C"/>
    <w:rsid w:val="00AC1DCB"/>
    <w:rsid w:val="00AC1EC7"/>
    <w:rsid w:val="00AC237C"/>
    <w:rsid w:val="00AC244B"/>
    <w:rsid w:val="00AC26FE"/>
    <w:rsid w:val="00AC2940"/>
    <w:rsid w:val="00AC2A89"/>
    <w:rsid w:val="00AC2D7E"/>
    <w:rsid w:val="00AC2EEE"/>
    <w:rsid w:val="00AC2F74"/>
    <w:rsid w:val="00AC3425"/>
    <w:rsid w:val="00AC350D"/>
    <w:rsid w:val="00AC3568"/>
    <w:rsid w:val="00AC367F"/>
    <w:rsid w:val="00AC37E8"/>
    <w:rsid w:val="00AC3CF2"/>
    <w:rsid w:val="00AC3F57"/>
    <w:rsid w:val="00AC4361"/>
    <w:rsid w:val="00AC45D0"/>
    <w:rsid w:val="00AC45D2"/>
    <w:rsid w:val="00AC45F2"/>
    <w:rsid w:val="00AC474B"/>
    <w:rsid w:val="00AC47EC"/>
    <w:rsid w:val="00AC4CC8"/>
    <w:rsid w:val="00AC4CCF"/>
    <w:rsid w:val="00AC4E5D"/>
    <w:rsid w:val="00AC4EE6"/>
    <w:rsid w:val="00AC4F67"/>
    <w:rsid w:val="00AC565A"/>
    <w:rsid w:val="00AC58E6"/>
    <w:rsid w:val="00AC594A"/>
    <w:rsid w:val="00AC5E56"/>
    <w:rsid w:val="00AC6151"/>
    <w:rsid w:val="00AC61F0"/>
    <w:rsid w:val="00AC639A"/>
    <w:rsid w:val="00AC640F"/>
    <w:rsid w:val="00AC6444"/>
    <w:rsid w:val="00AC6782"/>
    <w:rsid w:val="00AC6C53"/>
    <w:rsid w:val="00AC6E85"/>
    <w:rsid w:val="00AC6FDD"/>
    <w:rsid w:val="00AC7181"/>
    <w:rsid w:val="00AC7284"/>
    <w:rsid w:val="00AC76BC"/>
    <w:rsid w:val="00AC7CE6"/>
    <w:rsid w:val="00AC7F75"/>
    <w:rsid w:val="00AD0135"/>
    <w:rsid w:val="00AD01A9"/>
    <w:rsid w:val="00AD02A1"/>
    <w:rsid w:val="00AD03EF"/>
    <w:rsid w:val="00AD05A7"/>
    <w:rsid w:val="00AD05DB"/>
    <w:rsid w:val="00AD0729"/>
    <w:rsid w:val="00AD0776"/>
    <w:rsid w:val="00AD0828"/>
    <w:rsid w:val="00AD08E7"/>
    <w:rsid w:val="00AD0B13"/>
    <w:rsid w:val="00AD0D53"/>
    <w:rsid w:val="00AD0E36"/>
    <w:rsid w:val="00AD0E69"/>
    <w:rsid w:val="00AD103D"/>
    <w:rsid w:val="00AD10C4"/>
    <w:rsid w:val="00AD13AC"/>
    <w:rsid w:val="00AD159C"/>
    <w:rsid w:val="00AD17FA"/>
    <w:rsid w:val="00AD196E"/>
    <w:rsid w:val="00AD19EC"/>
    <w:rsid w:val="00AD1E67"/>
    <w:rsid w:val="00AD22AC"/>
    <w:rsid w:val="00AD2717"/>
    <w:rsid w:val="00AD2933"/>
    <w:rsid w:val="00AD2F01"/>
    <w:rsid w:val="00AD303A"/>
    <w:rsid w:val="00AD3670"/>
    <w:rsid w:val="00AD3B4C"/>
    <w:rsid w:val="00AD3DC4"/>
    <w:rsid w:val="00AD4A2B"/>
    <w:rsid w:val="00AD4B1A"/>
    <w:rsid w:val="00AD4E57"/>
    <w:rsid w:val="00AD4FF4"/>
    <w:rsid w:val="00AD50FF"/>
    <w:rsid w:val="00AD5265"/>
    <w:rsid w:val="00AD52A4"/>
    <w:rsid w:val="00AD531D"/>
    <w:rsid w:val="00AD56D4"/>
    <w:rsid w:val="00AD600C"/>
    <w:rsid w:val="00AD603D"/>
    <w:rsid w:val="00AD61C4"/>
    <w:rsid w:val="00AD63D6"/>
    <w:rsid w:val="00AD6544"/>
    <w:rsid w:val="00AD691F"/>
    <w:rsid w:val="00AD6C87"/>
    <w:rsid w:val="00AD6CD5"/>
    <w:rsid w:val="00AD733B"/>
    <w:rsid w:val="00AD7BA9"/>
    <w:rsid w:val="00AD7CA7"/>
    <w:rsid w:val="00AD7D3B"/>
    <w:rsid w:val="00AD7FBD"/>
    <w:rsid w:val="00AE0040"/>
    <w:rsid w:val="00AE03FE"/>
    <w:rsid w:val="00AE0799"/>
    <w:rsid w:val="00AE1732"/>
    <w:rsid w:val="00AE184D"/>
    <w:rsid w:val="00AE1C03"/>
    <w:rsid w:val="00AE1C9B"/>
    <w:rsid w:val="00AE1EBD"/>
    <w:rsid w:val="00AE20E1"/>
    <w:rsid w:val="00AE221F"/>
    <w:rsid w:val="00AE23E3"/>
    <w:rsid w:val="00AE26EB"/>
    <w:rsid w:val="00AE2F65"/>
    <w:rsid w:val="00AE317E"/>
    <w:rsid w:val="00AE3276"/>
    <w:rsid w:val="00AE34EE"/>
    <w:rsid w:val="00AE35A5"/>
    <w:rsid w:val="00AE35F8"/>
    <w:rsid w:val="00AE3824"/>
    <w:rsid w:val="00AE3B91"/>
    <w:rsid w:val="00AE3EA4"/>
    <w:rsid w:val="00AE40C9"/>
    <w:rsid w:val="00AE4E2A"/>
    <w:rsid w:val="00AE53EF"/>
    <w:rsid w:val="00AE5851"/>
    <w:rsid w:val="00AE592F"/>
    <w:rsid w:val="00AE5B11"/>
    <w:rsid w:val="00AE5CF9"/>
    <w:rsid w:val="00AE5DB6"/>
    <w:rsid w:val="00AE5F7B"/>
    <w:rsid w:val="00AE68F2"/>
    <w:rsid w:val="00AE6926"/>
    <w:rsid w:val="00AE69DD"/>
    <w:rsid w:val="00AE6C3C"/>
    <w:rsid w:val="00AE702E"/>
    <w:rsid w:val="00AE73E0"/>
    <w:rsid w:val="00AE7E46"/>
    <w:rsid w:val="00AF03C0"/>
    <w:rsid w:val="00AF0424"/>
    <w:rsid w:val="00AF0807"/>
    <w:rsid w:val="00AF0E08"/>
    <w:rsid w:val="00AF0FBA"/>
    <w:rsid w:val="00AF10BB"/>
    <w:rsid w:val="00AF12D2"/>
    <w:rsid w:val="00AF13B4"/>
    <w:rsid w:val="00AF166F"/>
    <w:rsid w:val="00AF1912"/>
    <w:rsid w:val="00AF1C03"/>
    <w:rsid w:val="00AF1C4B"/>
    <w:rsid w:val="00AF1C7A"/>
    <w:rsid w:val="00AF207B"/>
    <w:rsid w:val="00AF294F"/>
    <w:rsid w:val="00AF332E"/>
    <w:rsid w:val="00AF339E"/>
    <w:rsid w:val="00AF3585"/>
    <w:rsid w:val="00AF36E6"/>
    <w:rsid w:val="00AF39AF"/>
    <w:rsid w:val="00AF3DAB"/>
    <w:rsid w:val="00AF3E3B"/>
    <w:rsid w:val="00AF3E5A"/>
    <w:rsid w:val="00AF40B1"/>
    <w:rsid w:val="00AF42C3"/>
    <w:rsid w:val="00AF46FE"/>
    <w:rsid w:val="00AF486F"/>
    <w:rsid w:val="00AF4B98"/>
    <w:rsid w:val="00AF548B"/>
    <w:rsid w:val="00AF55E0"/>
    <w:rsid w:val="00AF5666"/>
    <w:rsid w:val="00AF5870"/>
    <w:rsid w:val="00AF5D3C"/>
    <w:rsid w:val="00AF5F84"/>
    <w:rsid w:val="00AF62B3"/>
    <w:rsid w:val="00AF6619"/>
    <w:rsid w:val="00AF6681"/>
    <w:rsid w:val="00AF6745"/>
    <w:rsid w:val="00AF68BE"/>
    <w:rsid w:val="00AF6AE9"/>
    <w:rsid w:val="00AF6C30"/>
    <w:rsid w:val="00AF6CFD"/>
    <w:rsid w:val="00AF6DD5"/>
    <w:rsid w:val="00AF718F"/>
    <w:rsid w:val="00AF774E"/>
    <w:rsid w:val="00AF7BEC"/>
    <w:rsid w:val="00AF7DC1"/>
    <w:rsid w:val="00B0005B"/>
    <w:rsid w:val="00B000AE"/>
    <w:rsid w:val="00B00205"/>
    <w:rsid w:val="00B0040B"/>
    <w:rsid w:val="00B007DE"/>
    <w:rsid w:val="00B00830"/>
    <w:rsid w:val="00B00AB5"/>
    <w:rsid w:val="00B00CC0"/>
    <w:rsid w:val="00B00CF1"/>
    <w:rsid w:val="00B00D01"/>
    <w:rsid w:val="00B00D8D"/>
    <w:rsid w:val="00B00F5C"/>
    <w:rsid w:val="00B00FF6"/>
    <w:rsid w:val="00B012F8"/>
    <w:rsid w:val="00B019C1"/>
    <w:rsid w:val="00B01EAE"/>
    <w:rsid w:val="00B02253"/>
    <w:rsid w:val="00B0236E"/>
    <w:rsid w:val="00B024FC"/>
    <w:rsid w:val="00B02502"/>
    <w:rsid w:val="00B02506"/>
    <w:rsid w:val="00B02913"/>
    <w:rsid w:val="00B02923"/>
    <w:rsid w:val="00B029EE"/>
    <w:rsid w:val="00B02ACE"/>
    <w:rsid w:val="00B03219"/>
    <w:rsid w:val="00B03645"/>
    <w:rsid w:val="00B03913"/>
    <w:rsid w:val="00B039CA"/>
    <w:rsid w:val="00B03AF4"/>
    <w:rsid w:val="00B04086"/>
    <w:rsid w:val="00B040B5"/>
    <w:rsid w:val="00B04740"/>
    <w:rsid w:val="00B04CEA"/>
    <w:rsid w:val="00B04D68"/>
    <w:rsid w:val="00B04E65"/>
    <w:rsid w:val="00B05607"/>
    <w:rsid w:val="00B0575F"/>
    <w:rsid w:val="00B05A08"/>
    <w:rsid w:val="00B05A4C"/>
    <w:rsid w:val="00B05B15"/>
    <w:rsid w:val="00B05C56"/>
    <w:rsid w:val="00B05F14"/>
    <w:rsid w:val="00B0609C"/>
    <w:rsid w:val="00B0641F"/>
    <w:rsid w:val="00B064FC"/>
    <w:rsid w:val="00B0659F"/>
    <w:rsid w:val="00B06637"/>
    <w:rsid w:val="00B06694"/>
    <w:rsid w:val="00B06737"/>
    <w:rsid w:val="00B070DA"/>
    <w:rsid w:val="00B070DD"/>
    <w:rsid w:val="00B0716E"/>
    <w:rsid w:val="00B07227"/>
    <w:rsid w:val="00B0784C"/>
    <w:rsid w:val="00B07C7F"/>
    <w:rsid w:val="00B07CE9"/>
    <w:rsid w:val="00B101D5"/>
    <w:rsid w:val="00B10633"/>
    <w:rsid w:val="00B106E9"/>
    <w:rsid w:val="00B1075A"/>
    <w:rsid w:val="00B107EE"/>
    <w:rsid w:val="00B10977"/>
    <w:rsid w:val="00B10A11"/>
    <w:rsid w:val="00B10B08"/>
    <w:rsid w:val="00B10C58"/>
    <w:rsid w:val="00B113EA"/>
    <w:rsid w:val="00B11A78"/>
    <w:rsid w:val="00B11CFB"/>
    <w:rsid w:val="00B12111"/>
    <w:rsid w:val="00B12399"/>
    <w:rsid w:val="00B123B1"/>
    <w:rsid w:val="00B12DC3"/>
    <w:rsid w:val="00B12EB2"/>
    <w:rsid w:val="00B1353C"/>
    <w:rsid w:val="00B1373C"/>
    <w:rsid w:val="00B13C62"/>
    <w:rsid w:val="00B13E18"/>
    <w:rsid w:val="00B13F2B"/>
    <w:rsid w:val="00B14038"/>
    <w:rsid w:val="00B14109"/>
    <w:rsid w:val="00B1417F"/>
    <w:rsid w:val="00B1436D"/>
    <w:rsid w:val="00B14410"/>
    <w:rsid w:val="00B1441E"/>
    <w:rsid w:val="00B14522"/>
    <w:rsid w:val="00B1486D"/>
    <w:rsid w:val="00B14AEA"/>
    <w:rsid w:val="00B14DB8"/>
    <w:rsid w:val="00B14F71"/>
    <w:rsid w:val="00B150D6"/>
    <w:rsid w:val="00B15373"/>
    <w:rsid w:val="00B15405"/>
    <w:rsid w:val="00B1547F"/>
    <w:rsid w:val="00B15639"/>
    <w:rsid w:val="00B15863"/>
    <w:rsid w:val="00B158E3"/>
    <w:rsid w:val="00B15C4D"/>
    <w:rsid w:val="00B15D15"/>
    <w:rsid w:val="00B15E42"/>
    <w:rsid w:val="00B15EEE"/>
    <w:rsid w:val="00B15F53"/>
    <w:rsid w:val="00B16198"/>
    <w:rsid w:val="00B1641D"/>
    <w:rsid w:val="00B16617"/>
    <w:rsid w:val="00B16642"/>
    <w:rsid w:val="00B167E5"/>
    <w:rsid w:val="00B16893"/>
    <w:rsid w:val="00B16A2C"/>
    <w:rsid w:val="00B16B29"/>
    <w:rsid w:val="00B16FB6"/>
    <w:rsid w:val="00B17022"/>
    <w:rsid w:val="00B173C0"/>
    <w:rsid w:val="00B174A9"/>
    <w:rsid w:val="00B174E0"/>
    <w:rsid w:val="00B1766C"/>
    <w:rsid w:val="00B20397"/>
    <w:rsid w:val="00B203EA"/>
    <w:rsid w:val="00B20614"/>
    <w:rsid w:val="00B20642"/>
    <w:rsid w:val="00B20981"/>
    <w:rsid w:val="00B215C6"/>
    <w:rsid w:val="00B21736"/>
    <w:rsid w:val="00B218B1"/>
    <w:rsid w:val="00B21907"/>
    <w:rsid w:val="00B21A33"/>
    <w:rsid w:val="00B22015"/>
    <w:rsid w:val="00B222D1"/>
    <w:rsid w:val="00B224AA"/>
    <w:rsid w:val="00B224F5"/>
    <w:rsid w:val="00B2278B"/>
    <w:rsid w:val="00B22998"/>
    <w:rsid w:val="00B229FE"/>
    <w:rsid w:val="00B2302B"/>
    <w:rsid w:val="00B234B3"/>
    <w:rsid w:val="00B234EA"/>
    <w:rsid w:val="00B2354A"/>
    <w:rsid w:val="00B23740"/>
    <w:rsid w:val="00B23DB6"/>
    <w:rsid w:val="00B240DD"/>
    <w:rsid w:val="00B24363"/>
    <w:rsid w:val="00B2456E"/>
    <w:rsid w:val="00B247E5"/>
    <w:rsid w:val="00B24979"/>
    <w:rsid w:val="00B24D9D"/>
    <w:rsid w:val="00B250A5"/>
    <w:rsid w:val="00B25651"/>
    <w:rsid w:val="00B25701"/>
    <w:rsid w:val="00B266E3"/>
    <w:rsid w:val="00B26937"/>
    <w:rsid w:val="00B269C6"/>
    <w:rsid w:val="00B26B79"/>
    <w:rsid w:val="00B27335"/>
    <w:rsid w:val="00B30243"/>
    <w:rsid w:val="00B30421"/>
    <w:rsid w:val="00B30DA5"/>
    <w:rsid w:val="00B30DC8"/>
    <w:rsid w:val="00B31316"/>
    <w:rsid w:val="00B313CF"/>
    <w:rsid w:val="00B315BB"/>
    <w:rsid w:val="00B31977"/>
    <w:rsid w:val="00B3235A"/>
    <w:rsid w:val="00B32B04"/>
    <w:rsid w:val="00B32C25"/>
    <w:rsid w:val="00B333FE"/>
    <w:rsid w:val="00B3382B"/>
    <w:rsid w:val="00B3413A"/>
    <w:rsid w:val="00B347AF"/>
    <w:rsid w:val="00B34FC5"/>
    <w:rsid w:val="00B35094"/>
    <w:rsid w:val="00B350F0"/>
    <w:rsid w:val="00B357AC"/>
    <w:rsid w:val="00B35849"/>
    <w:rsid w:val="00B35992"/>
    <w:rsid w:val="00B35E4B"/>
    <w:rsid w:val="00B35FCC"/>
    <w:rsid w:val="00B362D9"/>
    <w:rsid w:val="00B362F3"/>
    <w:rsid w:val="00B364BC"/>
    <w:rsid w:val="00B36518"/>
    <w:rsid w:val="00B368A4"/>
    <w:rsid w:val="00B36E3A"/>
    <w:rsid w:val="00B370EE"/>
    <w:rsid w:val="00B3725C"/>
    <w:rsid w:val="00B37271"/>
    <w:rsid w:val="00B37341"/>
    <w:rsid w:val="00B373AD"/>
    <w:rsid w:val="00B3766D"/>
    <w:rsid w:val="00B3783D"/>
    <w:rsid w:val="00B378CC"/>
    <w:rsid w:val="00B37B09"/>
    <w:rsid w:val="00B37CFC"/>
    <w:rsid w:val="00B37EF3"/>
    <w:rsid w:val="00B400BC"/>
    <w:rsid w:val="00B4017B"/>
    <w:rsid w:val="00B40225"/>
    <w:rsid w:val="00B4051A"/>
    <w:rsid w:val="00B411DF"/>
    <w:rsid w:val="00B41615"/>
    <w:rsid w:val="00B41AB2"/>
    <w:rsid w:val="00B41FD8"/>
    <w:rsid w:val="00B420DF"/>
    <w:rsid w:val="00B424F3"/>
    <w:rsid w:val="00B42832"/>
    <w:rsid w:val="00B428BF"/>
    <w:rsid w:val="00B428E2"/>
    <w:rsid w:val="00B4296E"/>
    <w:rsid w:val="00B42A2C"/>
    <w:rsid w:val="00B42A5C"/>
    <w:rsid w:val="00B42A98"/>
    <w:rsid w:val="00B42C1B"/>
    <w:rsid w:val="00B42C64"/>
    <w:rsid w:val="00B42DB3"/>
    <w:rsid w:val="00B433E3"/>
    <w:rsid w:val="00B43D89"/>
    <w:rsid w:val="00B4402F"/>
    <w:rsid w:val="00B443B0"/>
    <w:rsid w:val="00B448EF"/>
    <w:rsid w:val="00B44970"/>
    <w:rsid w:val="00B45AD4"/>
    <w:rsid w:val="00B45FE9"/>
    <w:rsid w:val="00B46151"/>
    <w:rsid w:val="00B46333"/>
    <w:rsid w:val="00B468A2"/>
    <w:rsid w:val="00B4745E"/>
    <w:rsid w:val="00B47493"/>
    <w:rsid w:val="00B474C8"/>
    <w:rsid w:val="00B474DF"/>
    <w:rsid w:val="00B47915"/>
    <w:rsid w:val="00B47933"/>
    <w:rsid w:val="00B47E0F"/>
    <w:rsid w:val="00B47F0D"/>
    <w:rsid w:val="00B50063"/>
    <w:rsid w:val="00B5035C"/>
    <w:rsid w:val="00B50590"/>
    <w:rsid w:val="00B50983"/>
    <w:rsid w:val="00B50B09"/>
    <w:rsid w:val="00B50DE8"/>
    <w:rsid w:val="00B50E18"/>
    <w:rsid w:val="00B51157"/>
    <w:rsid w:val="00B51174"/>
    <w:rsid w:val="00B513A9"/>
    <w:rsid w:val="00B51568"/>
    <w:rsid w:val="00B51610"/>
    <w:rsid w:val="00B5167B"/>
    <w:rsid w:val="00B51687"/>
    <w:rsid w:val="00B5192E"/>
    <w:rsid w:val="00B520E3"/>
    <w:rsid w:val="00B52336"/>
    <w:rsid w:val="00B526EF"/>
    <w:rsid w:val="00B52A08"/>
    <w:rsid w:val="00B52EC5"/>
    <w:rsid w:val="00B532FA"/>
    <w:rsid w:val="00B53683"/>
    <w:rsid w:val="00B53716"/>
    <w:rsid w:val="00B5388C"/>
    <w:rsid w:val="00B53BE2"/>
    <w:rsid w:val="00B53D6C"/>
    <w:rsid w:val="00B543B1"/>
    <w:rsid w:val="00B543B9"/>
    <w:rsid w:val="00B5451E"/>
    <w:rsid w:val="00B5469F"/>
    <w:rsid w:val="00B54BDB"/>
    <w:rsid w:val="00B54DC6"/>
    <w:rsid w:val="00B55155"/>
    <w:rsid w:val="00B55576"/>
    <w:rsid w:val="00B5581D"/>
    <w:rsid w:val="00B55CED"/>
    <w:rsid w:val="00B55D57"/>
    <w:rsid w:val="00B55E0B"/>
    <w:rsid w:val="00B55E9D"/>
    <w:rsid w:val="00B55EA3"/>
    <w:rsid w:val="00B55F80"/>
    <w:rsid w:val="00B56443"/>
    <w:rsid w:val="00B56480"/>
    <w:rsid w:val="00B565D6"/>
    <w:rsid w:val="00B56A4F"/>
    <w:rsid w:val="00B57183"/>
    <w:rsid w:val="00B573FB"/>
    <w:rsid w:val="00B573FF"/>
    <w:rsid w:val="00B576A4"/>
    <w:rsid w:val="00B576E6"/>
    <w:rsid w:val="00B57974"/>
    <w:rsid w:val="00B57998"/>
    <w:rsid w:val="00B57CC8"/>
    <w:rsid w:val="00B57CD0"/>
    <w:rsid w:val="00B57DA9"/>
    <w:rsid w:val="00B57E8E"/>
    <w:rsid w:val="00B60177"/>
    <w:rsid w:val="00B60639"/>
    <w:rsid w:val="00B60843"/>
    <w:rsid w:val="00B60A1F"/>
    <w:rsid w:val="00B60CB1"/>
    <w:rsid w:val="00B61162"/>
    <w:rsid w:val="00B61692"/>
    <w:rsid w:val="00B62049"/>
    <w:rsid w:val="00B626E0"/>
    <w:rsid w:val="00B629C3"/>
    <w:rsid w:val="00B62CDD"/>
    <w:rsid w:val="00B63032"/>
    <w:rsid w:val="00B6308E"/>
    <w:rsid w:val="00B636A8"/>
    <w:rsid w:val="00B638BB"/>
    <w:rsid w:val="00B63954"/>
    <w:rsid w:val="00B63C8C"/>
    <w:rsid w:val="00B63D58"/>
    <w:rsid w:val="00B63D95"/>
    <w:rsid w:val="00B63DA9"/>
    <w:rsid w:val="00B64267"/>
    <w:rsid w:val="00B6443A"/>
    <w:rsid w:val="00B646F1"/>
    <w:rsid w:val="00B647A4"/>
    <w:rsid w:val="00B6488C"/>
    <w:rsid w:val="00B64BA8"/>
    <w:rsid w:val="00B64CE0"/>
    <w:rsid w:val="00B64E8A"/>
    <w:rsid w:val="00B64F88"/>
    <w:rsid w:val="00B652C7"/>
    <w:rsid w:val="00B653A7"/>
    <w:rsid w:val="00B65588"/>
    <w:rsid w:val="00B658D1"/>
    <w:rsid w:val="00B65BAD"/>
    <w:rsid w:val="00B65BC3"/>
    <w:rsid w:val="00B65D43"/>
    <w:rsid w:val="00B65F8F"/>
    <w:rsid w:val="00B65FC3"/>
    <w:rsid w:val="00B66064"/>
    <w:rsid w:val="00B66959"/>
    <w:rsid w:val="00B66995"/>
    <w:rsid w:val="00B6700E"/>
    <w:rsid w:val="00B671A1"/>
    <w:rsid w:val="00B673CF"/>
    <w:rsid w:val="00B675A6"/>
    <w:rsid w:val="00B6794D"/>
    <w:rsid w:val="00B67B2C"/>
    <w:rsid w:val="00B67B55"/>
    <w:rsid w:val="00B67C6C"/>
    <w:rsid w:val="00B700F9"/>
    <w:rsid w:val="00B70252"/>
    <w:rsid w:val="00B7074D"/>
    <w:rsid w:val="00B70893"/>
    <w:rsid w:val="00B70C61"/>
    <w:rsid w:val="00B70E5A"/>
    <w:rsid w:val="00B70FBB"/>
    <w:rsid w:val="00B71012"/>
    <w:rsid w:val="00B717BF"/>
    <w:rsid w:val="00B718F6"/>
    <w:rsid w:val="00B71A5B"/>
    <w:rsid w:val="00B7220D"/>
    <w:rsid w:val="00B723BF"/>
    <w:rsid w:val="00B724BA"/>
    <w:rsid w:val="00B72A19"/>
    <w:rsid w:val="00B72FA2"/>
    <w:rsid w:val="00B736FD"/>
    <w:rsid w:val="00B7379F"/>
    <w:rsid w:val="00B74018"/>
    <w:rsid w:val="00B74047"/>
    <w:rsid w:val="00B749B6"/>
    <w:rsid w:val="00B74ABC"/>
    <w:rsid w:val="00B7509A"/>
    <w:rsid w:val="00B755B6"/>
    <w:rsid w:val="00B7582D"/>
    <w:rsid w:val="00B75CB5"/>
    <w:rsid w:val="00B7613E"/>
    <w:rsid w:val="00B7620D"/>
    <w:rsid w:val="00B76659"/>
    <w:rsid w:val="00B766C1"/>
    <w:rsid w:val="00B76849"/>
    <w:rsid w:val="00B7684B"/>
    <w:rsid w:val="00B76966"/>
    <w:rsid w:val="00B76B96"/>
    <w:rsid w:val="00B76C99"/>
    <w:rsid w:val="00B76EFB"/>
    <w:rsid w:val="00B77129"/>
    <w:rsid w:val="00B77139"/>
    <w:rsid w:val="00B7772C"/>
    <w:rsid w:val="00B77C37"/>
    <w:rsid w:val="00B77CDB"/>
    <w:rsid w:val="00B804CF"/>
    <w:rsid w:val="00B805B0"/>
    <w:rsid w:val="00B807BF"/>
    <w:rsid w:val="00B80875"/>
    <w:rsid w:val="00B809B1"/>
    <w:rsid w:val="00B80F33"/>
    <w:rsid w:val="00B80F62"/>
    <w:rsid w:val="00B812C0"/>
    <w:rsid w:val="00B81708"/>
    <w:rsid w:val="00B8181C"/>
    <w:rsid w:val="00B81990"/>
    <w:rsid w:val="00B82012"/>
    <w:rsid w:val="00B82502"/>
    <w:rsid w:val="00B82543"/>
    <w:rsid w:val="00B82734"/>
    <w:rsid w:val="00B827CB"/>
    <w:rsid w:val="00B82998"/>
    <w:rsid w:val="00B82D57"/>
    <w:rsid w:val="00B832B3"/>
    <w:rsid w:val="00B834B0"/>
    <w:rsid w:val="00B8376A"/>
    <w:rsid w:val="00B837F6"/>
    <w:rsid w:val="00B839DB"/>
    <w:rsid w:val="00B83DAE"/>
    <w:rsid w:val="00B8419B"/>
    <w:rsid w:val="00B84416"/>
    <w:rsid w:val="00B84566"/>
    <w:rsid w:val="00B84D24"/>
    <w:rsid w:val="00B84FB4"/>
    <w:rsid w:val="00B8594F"/>
    <w:rsid w:val="00B85AA4"/>
    <w:rsid w:val="00B85C8D"/>
    <w:rsid w:val="00B86504"/>
    <w:rsid w:val="00B86BF0"/>
    <w:rsid w:val="00B86EE0"/>
    <w:rsid w:val="00B86F2A"/>
    <w:rsid w:val="00B8756E"/>
    <w:rsid w:val="00B87BC5"/>
    <w:rsid w:val="00B87CA8"/>
    <w:rsid w:val="00B87D2E"/>
    <w:rsid w:val="00B87D4B"/>
    <w:rsid w:val="00B87D97"/>
    <w:rsid w:val="00B87DF9"/>
    <w:rsid w:val="00B9076F"/>
    <w:rsid w:val="00B90922"/>
    <w:rsid w:val="00B90D42"/>
    <w:rsid w:val="00B9114A"/>
    <w:rsid w:val="00B91251"/>
    <w:rsid w:val="00B912D5"/>
    <w:rsid w:val="00B91594"/>
    <w:rsid w:val="00B91951"/>
    <w:rsid w:val="00B91A58"/>
    <w:rsid w:val="00B91E56"/>
    <w:rsid w:val="00B91EAD"/>
    <w:rsid w:val="00B91F8D"/>
    <w:rsid w:val="00B92059"/>
    <w:rsid w:val="00B920B9"/>
    <w:rsid w:val="00B922A4"/>
    <w:rsid w:val="00B92348"/>
    <w:rsid w:val="00B9274D"/>
    <w:rsid w:val="00B927D1"/>
    <w:rsid w:val="00B92D7D"/>
    <w:rsid w:val="00B930D2"/>
    <w:rsid w:val="00B93675"/>
    <w:rsid w:val="00B93747"/>
    <w:rsid w:val="00B937CD"/>
    <w:rsid w:val="00B938BC"/>
    <w:rsid w:val="00B93997"/>
    <w:rsid w:val="00B93C98"/>
    <w:rsid w:val="00B94281"/>
    <w:rsid w:val="00B94FE2"/>
    <w:rsid w:val="00B9513B"/>
    <w:rsid w:val="00B955F1"/>
    <w:rsid w:val="00B95897"/>
    <w:rsid w:val="00B95CAA"/>
    <w:rsid w:val="00B95EDA"/>
    <w:rsid w:val="00B967D4"/>
    <w:rsid w:val="00B973D1"/>
    <w:rsid w:val="00B976BB"/>
    <w:rsid w:val="00BA01A7"/>
    <w:rsid w:val="00BA0224"/>
    <w:rsid w:val="00BA05C8"/>
    <w:rsid w:val="00BA09AA"/>
    <w:rsid w:val="00BA0AD5"/>
    <w:rsid w:val="00BA0B4F"/>
    <w:rsid w:val="00BA0C00"/>
    <w:rsid w:val="00BA0C66"/>
    <w:rsid w:val="00BA0CA0"/>
    <w:rsid w:val="00BA0E3C"/>
    <w:rsid w:val="00BA14F8"/>
    <w:rsid w:val="00BA1548"/>
    <w:rsid w:val="00BA1ACF"/>
    <w:rsid w:val="00BA1C01"/>
    <w:rsid w:val="00BA1F74"/>
    <w:rsid w:val="00BA1FE7"/>
    <w:rsid w:val="00BA2091"/>
    <w:rsid w:val="00BA22B8"/>
    <w:rsid w:val="00BA2383"/>
    <w:rsid w:val="00BA23F2"/>
    <w:rsid w:val="00BA2953"/>
    <w:rsid w:val="00BA2B1D"/>
    <w:rsid w:val="00BA2FD8"/>
    <w:rsid w:val="00BA3C84"/>
    <w:rsid w:val="00BA3D14"/>
    <w:rsid w:val="00BA402A"/>
    <w:rsid w:val="00BA427C"/>
    <w:rsid w:val="00BA435A"/>
    <w:rsid w:val="00BA461B"/>
    <w:rsid w:val="00BA484C"/>
    <w:rsid w:val="00BA4C4D"/>
    <w:rsid w:val="00BA502F"/>
    <w:rsid w:val="00BA5078"/>
    <w:rsid w:val="00BA51D5"/>
    <w:rsid w:val="00BA5293"/>
    <w:rsid w:val="00BA54BA"/>
    <w:rsid w:val="00BA5603"/>
    <w:rsid w:val="00BA56D9"/>
    <w:rsid w:val="00BA6194"/>
    <w:rsid w:val="00BA62C6"/>
    <w:rsid w:val="00BA6725"/>
    <w:rsid w:val="00BA6851"/>
    <w:rsid w:val="00BA68F6"/>
    <w:rsid w:val="00BA6B5B"/>
    <w:rsid w:val="00BA7206"/>
    <w:rsid w:val="00BA72E2"/>
    <w:rsid w:val="00BA773F"/>
    <w:rsid w:val="00BA7C02"/>
    <w:rsid w:val="00BA7EEE"/>
    <w:rsid w:val="00BB0272"/>
    <w:rsid w:val="00BB0A69"/>
    <w:rsid w:val="00BB0BE0"/>
    <w:rsid w:val="00BB0D92"/>
    <w:rsid w:val="00BB0F53"/>
    <w:rsid w:val="00BB13CD"/>
    <w:rsid w:val="00BB1F10"/>
    <w:rsid w:val="00BB2008"/>
    <w:rsid w:val="00BB29DF"/>
    <w:rsid w:val="00BB2B4B"/>
    <w:rsid w:val="00BB2CFC"/>
    <w:rsid w:val="00BB30B2"/>
    <w:rsid w:val="00BB34DC"/>
    <w:rsid w:val="00BB35D0"/>
    <w:rsid w:val="00BB381F"/>
    <w:rsid w:val="00BB3925"/>
    <w:rsid w:val="00BB39F6"/>
    <w:rsid w:val="00BB3AC4"/>
    <w:rsid w:val="00BB3B25"/>
    <w:rsid w:val="00BB3C34"/>
    <w:rsid w:val="00BB3C89"/>
    <w:rsid w:val="00BB4380"/>
    <w:rsid w:val="00BB4999"/>
    <w:rsid w:val="00BB49F6"/>
    <w:rsid w:val="00BB4B2B"/>
    <w:rsid w:val="00BB4BCD"/>
    <w:rsid w:val="00BB4EBD"/>
    <w:rsid w:val="00BB52EB"/>
    <w:rsid w:val="00BB56C7"/>
    <w:rsid w:val="00BB579E"/>
    <w:rsid w:val="00BB5B62"/>
    <w:rsid w:val="00BB612A"/>
    <w:rsid w:val="00BB6502"/>
    <w:rsid w:val="00BB6627"/>
    <w:rsid w:val="00BB6BCD"/>
    <w:rsid w:val="00BB70F9"/>
    <w:rsid w:val="00BB7300"/>
    <w:rsid w:val="00BB738E"/>
    <w:rsid w:val="00BB744B"/>
    <w:rsid w:val="00BB74C5"/>
    <w:rsid w:val="00BB79B2"/>
    <w:rsid w:val="00BB7C9B"/>
    <w:rsid w:val="00BC114A"/>
    <w:rsid w:val="00BC125C"/>
    <w:rsid w:val="00BC1351"/>
    <w:rsid w:val="00BC1527"/>
    <w:rsid w:val="00BC18F7"/>
    <w:rsid w:val="00BC1984"/>
    <w:rsid w:val="00BC1BFE"/>
    <w:rsid w:val="00BC1CF1"/>
    <w:rsid w:val="00BC2306"/>
    <w:rsid w:val="00BC2F31"/>
    <w:rsid w:val="00BC35E4"/>
    <w:rsid w:val="00BC36CE"/>
    <w:rsid w:val="00BC3A9C"/>
    <w:rsid w:val="00BC3CCD"/>
    <w:rsid w:val="00BC3E2A"/>
    <w:rsid w:val="00BC4036"/>
    <w:rsid w:val="00BC4063"/>
    <w:rsid w:val="00BC4067"/>
    <w:rsid w:val="00BC4621"/>
    <w:rsid w:val="00BC47FB"/>
    <w:rsid w:val="00BC4A21"/>
    <w:rsid w:val="00BC4F0A"/>
    <w:rsid w:val="00BC509F"/>
    <w:rsid w:val="00BC51D2"/>
    <w:rsid w:val="00BC5419"/>
    <w:rsid w:val="00BC5A99"/>
    <w:rsid w:val="00BC5C10"/>
    <w:rsid w:val="00BC5ED8"/>
    <w:rsid w:val="00BC64A9"/>
    <w:rsid w:val="00BC64BE"/>
    <w:rsid w:val="00BC65BC"/>
    <w:rsid w:val="00BC6637"/>
    <w:rsid w:val="00BC69B9"/>
    <w:rsid w:val="00BC6AAF"/>
    <w:rsid w:val="00BC6BCF"/>
    <w:rsid w:val="00BC7155"/>
    <w:rsid w:val="00BC7374"/>
    <w:rsid w:val="00BC73ED"/>
    <w:rsid w:val="00BC7550"/>
    <w:rsid w:val="00BC7780"/>
    <w:rsid w:val="00BC7E7F"/>
    <w:rsid w:val="00BD0210"/>
    <w:rsid w:val="00BD02B4"/>
    <w:rsid w:val="00BD03B3"/>
    <w:rsid w:val="00BD03B8"/>
    <w:rsid w:val="00BD0B72"/>
    <w:rsid w:val="00BD0C8B"/>
    <w:rsid w:val="00BD11B3"/>
    <w:rsid w:val="00BD14A4"/>
    <w:rsid w:val="00BD17FB"/>
    <w:rsid w:val="00BD1CEF"/>
    <w:rsid w:val="00BD1E26"/>
    <w:rsid w:val="00BD24CB"/>
    <w:rsid w:val="00BD2668"/>
    <w:rsid w:val="00BD2892"/>
    <w:rsid w:val="00BD2C09"/>
    <w:rsid w:val="00BD3197"/>
    <w:rsid w:val="00BD3430"/>
    <w:rsid w:val="00BD3472"/>
    <w:rsid w:val="00BD34B9"/>
    <w:rsid w:val="00BD3639"/>
    <w:rsid w:val="00BD3924"/>
    <w:rsid w:val="00BD3A20"/>
    <w:rsid w:val="00BD3B45"/>
    <w:rsid w:val="00BD43AF"/>
    <w:rsid w:val="00BD4488"/>
    <w:rsid w:val="00BD450F"/>
    <w:rsid w:val="00BD4512"/>
    <w:rsid w:val="00BD4861"/>
    <w:rsid w:val="00BD49AE"/>
    <w:rsid w:val="00BD4AA7"/>
    <w:rsid w:val="00BD4C3E"/>
    <w:rsid w:val="00BD4D27"/>
    <w:rsid w:val="00BD4E96"/>
    <w:rsid w:val="00BD4F57"/>
    <w:rsid w:val="00BD4FE2"/>
    <w:rsid w:val="00BD52AA"/>
    <w:rsid w:val="00BD592A"/>
    <w:rsid w:val="00BD5941"/>
    <w:rsid w:val="00BD5DF7"/>
    <w:rsid w:val="00BD60F0"/>
    <w:rsid w:val="00BD6BDD"/>
    <w:rsid w:val="00BD6CAB"/>
    <w:rsid w:val="00BD6F3C"/>
    <w:rsid w:val="00BD71BA"/>
    <w:rsid w:val="00BD745A"/>
    <w:rsid w:val="00BD78E1"/>
    <w:rsid w:val="00BE0206"/>
    <w:rsid w:val="00BE0642"/>
    <w:rsid w:val="00BE0647"/>
    <w:rsid w:val="00BE06EB"/>
    <w:rsid w:val="00BE0ECF"/>
    <w:rsid w:val="00BE0F2A"/>
    <w:rsid w:val="00BE0F50"/>
    <w:rsid w:val="00BE1061"/>
    <w:rsid w:val="00BE12F6"/>
    <w:rsid w:val="00BE1321"/>
    <w:rsid w:val="00BE1407"/>
    <w:rsid w:val="00BE1981"/>
    <w:rsid w:val="00BE1E0D"/>
    <w:rsid w:val="00BE1EDB"/>
    <w:rsid w:val="00BE2379"/>
    <w:rsid w:val="00BE243C"/>
    <w:rsid w:val="00BE2893"/>
    <w:rsid w:val="00BE2EB4"/>
    <w:rsid w:val="00BE2F5A"/>
    <w:rsid w:val="00BE3006"/>
    <w:rsid w:val="00BE35C7"/>
    <w:rsid w:val="00BE376F"/>
    <w:rsid w:val="00BE37D3"/>
    <w:rsid w:val="00BE3964"/>
    <w:rsid w:val="00BE40B9"/>
    <w:rsid w:val="00BE522A"/>
    <w:rsid w:val="00BE541B"/>
    <w:rsid w:val="00BE5584"/>
    <w:rsid w:val="00BE56CE"/>
    <w:rsid w:val="00BE57B5"/>
    <w:rsid w:val="00BE5835"/>
    <w:rsid w:val="00BE59DA"/>
    <w:rsid w:val="00BE650F"/>
    <w:rsid w:val="00BE690C"/>
    <w:rsid w:val="00BE70CB"/>
    <w:rsid w:val="00BE7A7C"/>
    <w:rsid w:val="00BE7E89"/>
    <w:rsid w:val="00BE7FD5"/>
    <w:rsid w:val="00BF06E5"/>
    <w:rsid w:val="00BF0908"/>
    <w:rsid w:val="00BF0A44"/>
    <w:rsid w:val="00BF0CEC"/>
    <w:rsid w:val="00BF0E1A"/>
    <w:rsid w:val="00BF1A23"/>
    <w:rsid w:val="00BF1A44"/>
    <w:rsid w:val="00BF1C5A"/>
    <w:rsid w:val="00BF1D12"/>
    <w:rsid w:val="00BF1DB2"/>
    <w:rsid w:val="00BF1E5B"/>
    <w:rsid w:val="00BF1EDF"/>
    <w:rsid w:val="00BF1F9C"/>
    <w:rsid w:val="00BF217A"/>
    <w:rsid w:val="00BF22BC"/>
    <w:rsid w:val="00BF230D"/>
    <w:rsid w:val="00BF23C6"/>
    <w:rsid w:val="00BF3AD3"/>
    <w:rsid w:val="00BF3C0A"/>
    <w:rsid w:val="00BF412B"/>
    <w:rsid w:val="00BF478D"/>
    <w:rsid w:val="00BF487A"/>
    <w:rsid w:val="00BF4A42"/>
    <w:rsid w:val="00BF4D3D"/>
    <w:rsid w:val="00BF55F9"/>
    <w:rsid w:val="00BF597F"/>
    <w:rsid w:val="00BF5B8C"/>
    <w:rsid w:val="00BF66B7"/>
    <w:rsid w:val="00BF6A68"/>
    <w:rsid w:val="00BF6DE0"/>
    <w:rsid w:val="00BF6E32"/>
    <w:rsid w:val="00BF6EDD"/>
    <w:rsid w:val="00BF6F91"/>
    <w:rsid w:val="00BF7152"/>
    <w:rsid w:val="00BF73A8"/>
    <w:rsid w:val="00BF73F0"/>
    <w:rsid w:val="00BF75B1"/>
    <w:rsid w:val="00BF75C9"/>
    <w:rsid w:val="00BF7BD3"/>
    <w:rsid w:val="00BF7C95"/>
    <w:rsid w:val="00BF7D7C"/>
    <w:rsid w:val="00BF7EEE"/>
    <w:rsid w:val="00C0026D"/>
    <w:rsid w:val="00C00352"/>
    <w:rsid w:val="00C00624"/>
    <w:rsid w:val="00C007CE"/>
    <w:rsid w:val="00C00825"/>
    <w:rsid w:val="00C00838"/>
    <w:rsid w:val="00C008C4"/>
    <w:rsid w:val="00C00A22"/>
    <w:rsid w:val="00C00C74"/>
    <w:rsid w:val="00C00F18"/>
    <w:rsid w:val="00C0134C"/>
    <w:rsid w:val="00C01A75"/>
    <w:rsid w:val="00C01D39"/>
    <w:rsid w:val="00C0200C"/>
    <w:rsid w:val="00C020A8"/>
    <w:rsid w:val="00C0232C"/>
    <w:rsid w:val="00C02BA6"/>
    <w:rsid w:val="00C034A4"/>
    <w:rsid w:val="00C0358D"/>
    <w:rsid w:val="00C03595"/>
    <w:rsid w:val="00C03921"/>
    <w:rsid w:val="00C0394A"/>
    <w:rsid w:val="00C03C27"/>
    <w:rsid w:val="00C03DD0"/>
    <w:rsid w:val="00C04096"/>
    <w:rsid w:val="00C041ED"/>
    <w:rsid w:val="00C04445"/>
    <w:rsid w:val="00C04705"/>
    <w:rsid w:val="00C04A7F"/>
    <w:rsid w:val="00C04B54"/>
    <w:rsid w:val="00C04E2B"/>
    <w:rsid w:val="00C04FC0"/>
    <w:rsid w:val="00C051AA"/>
    <w:rsid w:val="00C05432"/>
    <w:rsid w:val="00C05BE9"/>
    <w:rsid w:val="00C05E74"/>
    <w:rsid w:val="00C05F5E"/>
    <w:rsid w:val="00C060A0"/>
    <w:rsid w:val="00C06114"/>
    <w:rsid w:val="00C062D9"/>
    <w:rsid w:val="00C0644E"/>
    <w:rsid w:val="00C0645E"/>
    <w:rsid w:val="00C067AF"/>
    <w:rsid w:val="00C068C9"/>
    <w:rsid w:val="00C06AB7"/>
    <w:rsid w:val="00C06F10"/>
    <w:rsid w:val="00C06FBA"/>
    <w:rsid w:val="00C07187"/>
    <w:rsid w:val="00C072CD"/>
    <w:rsid w:val="00C07349"/>
    <w:rsid w:val="00C073E9"/>
    <w:rsid w:val="00C075B5"/>
    <w:rsid w:val="00C075C9"/>
    <w:rsid w:val="00C07DEF"/>
    <w:rsid w:val="00C07FA4"/>
    <w:rsid w:val="00C07FAD"/>
    <w:rsid w:val="00C106C4"/>
    <w:rsid w:val="00C10713"/>
    <w:rsid w:val="00C1097B"/>
    <w:rsid w:val="00C10EE5"/>
    <w:rsid w:val="00C111EA"/>
    <w:rsid w:val="00C119AD"/>
    <w:rsid w:val="00C11D0F"/>
    <w:rsid w:val="00C12012"/>
    <w:rsid w:val="00C120DF"/>
    <w:rsid w:val="00C1228D"/>
    <w:rsid w:val="00C122E0"/>
    <w:rsid w:val="00C129D6"/>
    <w:rsid w:val="00C12A6B"/>
    <w:rsid w:val="00C12BE6"/>
    <w:rsid w:val="00C13314"/>
    <w:rsid w:val="00C133A7"/>
    <w:rsid w:val="00C138D8"/>
    <w:rsid w:val="00C13D10"/>
    <w:rsid w:val="00C13FED"/>
    <w:rsid w:val="00C1403B"/>
    <w:rsid w:val="00C14352"/>
    <w:rsid w:val="00C14377"/>
    <w:rsid w:val="00C14E7D"/>
    <w:rsid w:val="00C15722"/>
    <w:rsid w:val="00C15AB6"/>
    <w:rsid w:val="00C15C24"/>
    <w:rsid w:val="00C15F9E"/>
    <w:rsid w:val="00C1687C"/>
    <w:rsid w:val="00C16897"/>
    <w:rsid w:val="00C16F67"/>
    <w:rsid w:val="00C16F92"/>
    <w:rsid w:val="00C1712D"/>
    <w:rsid w:val="00C1762F"/>
    <w:rsid w:val="00C20060"/>
    <w:rsid w:val="00C200C9"/>
    <w:rsid w:val="00C200D8"/>
    <w:rsid w:val="00C20A1E"/>
    <w:rsid w:val="00C20C12"/>
    <w:rsid w:val="00C21358"/>
    <w:rsid w:val="00C2160D"/>
    <w:rsid w:val="00C218FD"/>
    <w:rsid w:val="00C21B6E"/>
    <w:rsid w:val="00C21D06"/>
    <w:rsid w:val="00C21D8E"/>
    <w:rsid w:val="00C21E0B"/>
    <w:rsid w:val="00C2201E"/>
    <w:rsid w:val="00C221F5"/>
    <w:rsid w:val="00C22420"/>
    <w:rsid w:val="00C22525"/>
    <w:rsid w:val="00C2255C"/>
    <w:rsid w:val="00C225C1"/>
    <w:rsid w:val="00C226CD"/>
    <w:rsid w:val="00C22973"/>
    <w:rsid w:val="00C22A43"/>
    <w:rsid w:val="00C23122"/>
    <w:rsid w:val="00C23209"/>
    <w:rsid w:val="00C2320C"/>
    <w:rsid w:val="00C239E4"/>
    <w:rsid w:val="00C23AFC"/>
    <w:rsid w:val="00C23B99"/>
    <w:rsid w:val="00C23D89"/>
    <w:rsid w:val="00C23DBB"/>
    <w:rsid w:val="00C23E58"/>
    <w:rsid w:val="00C23FE1"/>
    <w:rsid w:val="00C2410D"/>
    <w:rsid w:val="00C24BAF"/>
    <w:rsid w:val="00C24F62"/>
    <w:rsid w:val="00C2524B"/>
    <w:rsid w:val="00C252CA"/>
    <w:rsid w:val="00C25430"/>
    <w:rsid w:val="00C25F8B"/>
    <w:rsid w:val="00C26090"/>
    <w:rsid w:val="00C261F0"/>
    <w:rsid w:val="00C26348"/>
    <w:rsid w:val="00C265AE"/>
    <w:rsid w:val="00C265C0"/>
    <w:rsid w:val="00C267E6"/>
    <w:rsid w:val="00C26B9A"/>
    <w:rsid w:val="00C26B9E"/>
    <w:rsid w:val="00C26FB9"/>
    <w:rsid w:val="00C272EF"/>
    <w:rsid w:val="00C2732B"/>
    <w:rsid w:val="00C2753F"/>
    <w:rsid w:val="00C276A8"/>
    <w:rsid w:val="00C278DB"/>
    <w:rsid w:val="00C27975"/>
    <w:rsid w:val="00C27D5F"/>
    <w:rsid w:val="00C300BC"/>
    <w:rsid w:val="00C300F3"/>
    <w:rsid w:val="00C30257"/>
    <w:rsid w:val="00C302FA"/>
    <w:rsid w:val="00C30B70"/>
    <w:rsid w:val="00C313A6"/>
    <w:rsid w:val="00C313F8"/>
    <w:rsid w:val="00C31896"/>
    <w:rsid w:val="00C318F7"/>
    <w:rsid w:val="00C319D2"/>
    <w:rsid w:val="00C31A2E"/>
    <w:rsid w:val="00C31AF6"/>
    <w:rsid w:val="00C31BED"/>
    <w:rsid w:val="00C31CB2"/>
    <w:rsid w:val="00C31CD9"/>
    <w:rsid w:val="00C31F85"/>
    <w:rsid w:val="00C323E9"/>
    <w:rsid w:val="00C32534"/>
    <w:rsid w:val="00C32625"/>
    <w:rsid w:val="00C326EE"/>
    <w:rsid w:val="00C32951"/>
    <w:rsid w:val="00C32C02"/>
    <w:rsid w:val="00C32FD6"/>
    <w:rsid w:val="00C33235"/>
    <w:rsid w:val="00C33274"/>
    <w:rsid w:val="00C33677"/>
    <w:rsid w:val="00C33D94"/>
    <w:rsid w:val="00C34137"/>
    <w:rsid w:val="00C3429D"/>
    <w:rsid w:val="00C34544"/>
    <w:rsid w:val="00C3476B"/>
    <w:rsid w:val="00C347B6"/>
    <w:rsid w:val="00C34AC0"/>
    <w:rsid w:val="00C34B17"/>
    <w:rsid w:val="00C34FC0"/>
    <w:rsid w:val="00C35240"/>
    <w:rsid w:val="00C358BB"/>
    <w:rsid w:val="00C35C6E"/>
    <w:rsid w:val="00C35E45"/>
    <w:rsid w:val="00C365C1"/>
    <w:rsid w:val="00C368B3"/>
    <w:rsid w:val="00C3694F"/>
    <w:rsid w:val="00C36B05"/>
    <w:rsid w:val="00C36C68"/>
    <w:rsid w:val="00C36F07"/>
    <w:rsid w:val="00C3704A"/>
    <w:rsid w:val="00C37214"/>
    <w:rsid w:val="00C372E8"/>
    <w:rsid w:val="00C373DC"/>
    <w:rsid w:val="00C376AA"/>
    <w:rsid w:val="00C37983"/>
    <w:rsid w:val="00C37C74"/>
    <w:rsid w:val="00C4029B"/>
    <w:rsid w:val="00C402A4"/>
    <w:rsid w:val="00C40998"/>
    <w:rsid w:val="00C409DC"/>
    <w:rsid w:val="00C40A59"/>
    <w:rsid w:val="00C40B04"/>
    <w:rsid w:val="00C40B1B"/>
    <w:rsid w:val="00C40D75"/>
    <w:rsid w:val="00C40E88"/>
    <w:rsid w:val="00C41247"/>
    <w:rsid w:val="00C41256"/>
    <w:rsid w:val="00C413F6"/>
    <w:rsid w:val="00C416A3"/>
    <w:rsid w:val="00C41785"/>
    <w:rsid w:val="00C41786"/>
    <w:rsid w:val="00C41FC1"/>
    <w:rsid w:val="00C423B5"/>
    <w:rsid w:val="00C42820"/>
    <w:rsid w:val="00C42B0A"/>
    <w:rsid w:val="00C42D79"/>
    <w:rsid w:val="00C4301E"/>
    <w:rsid w:val="00C4337F"/>
    <w:rsid w:val="00C434C2"/>
    <w:rsid w:val="00C4369A"/>
    <w:rsid w:val="00C43737"/>
    <w:rsid w:val="00C437D7"/>
    <w:rsid w:val="00C43940"/>
    <w:rsid w:val="00C43A3B"/>
    <w:rsid w:val="00C43BC2"/>
    <w:rsid w:val="00C43CC9"/>
    <w:rsid w:val="00C44342"/>
    <w:rsid w:val="00C44475"/>
    <w:rsid w:val="00C44694"/>
    <w:rsid w:val="00C44744"/>
    <w:rsid w:val="00C448F4"/>
    <w:rsid w:val="00C44D7F"/>
    <w:rsid w:val="00C44DC0"/>
    <w:rsid w:val="00C44F01"/>
    <w:rsid w:val="00C457C1"/>
    <w:rsid w:val="00C45EC0"/>
    <w:rsid w:val="00C46625"/>
    <w:rsid w:val="00C46870"/>
    <w:rsid w:val="00C46F24"/>
    <w:rsid w:val="00C47004"/>
    <w:rsid w:val="00C474DD"/>
    <w:rsid w:val="00C47545"/>
    <w:rsid w:val="00C47593"/>
    <w:rsid w:val="00C47748"/>
    <w:rsid w:val="00C5044B"/>
    <w:rsid w:val="00C506BD"/>
    <w:rsid w:val="00C50E10"/>
    <w:rsid w:val="00C50E55"/>
    <w:rsid w:val="00C50FCD"/>
    <w:rsid w:val="00C51426"/>
    <w:rsid w:val="00C51568"/>
    <w:rsid w:val="00C51622"/>
    <w:rsid w:val="00C517D3"/>
    <w:rsid w:val="00C517DD"/>
    <w:rsid w:val="00C51851"/>
    <w:rsid w:val="00C51D71"/>
    <w:rsid w:val="00C51E30"/>
    <w:rsid w:val="00C51FB3"/>
    <w:rsid w:val="00C520C3"/>
    <w:rsid w:val="00C521A5"/>
    <w:rsid w:val="00C5223C"/>
    <w:rsid w:val="00C522ED"/>
    <w:rsid w:val="00C5245C"/>
    <w:rsid w:val="00C5246F"/>
    <w:rsid w:val="00C5249A"/>
    <w:rsid w:val="00C52569"/>
    <w:rsid w:val="00C52981"/>
    <w:rsid w:val="00C52A35"/>
    <w:rsid w:val="00C52A8F"/>
    <w:rsid w:val="00C52BE3"/>
    <w:rsid w:val="00C52D1E"/>
    <w:rsid w:val="00C52DD9"/>
    <w:rsid w:val="00C530E3"/>
    <w:rsid w:val="00C531F0"/>
    <w:rsid w:val="00C53213"/>
    <w:rsid w:val="00C53917"/>
    <w:rsid w:val="00C541DE"/>
    <w:rsid w:val="00C542AF"/>
    <w:rsid w:val="00C54358"/>
    <w:rsid w:val="00C544FE"/>
    <w:rsid w:val="00C54A4B"/>
    <w:rsid w:val="00C54BDA"/>
    <w:rsid w:val="00C54C11"/>
    <w:rsid w:val="00C54C67"/>
    <w:rsid w:val="00C54E65"/>
    <w:rsid w:val="00C552C2"/>
    <w:rsid w:val="00C56324"/>
    <w:rsid w:val="00C5653B"/>
    <w:rsid w:val="00C565A3"/>
    <w:rsid w:val="00C566E4"/>
    <w:rsid w:val="00C568D3"/>
    <w:rsid w:val="00C56B5C"/>
    <w:rsid w:val="00C56C37"/>
    <w:rsid w:val="00C577F7"/>
    <w:rsid w:val="00C57E1F"/>
    <w:rsid w:val="00C6008B"/>
    <w:rsid w:val="00C60130"/>
    <w:rsid w:val="00C60653"/>
    <w:rsid w:val="00C60667"/>
    <w:rsid w:val="00C60FF5"/>
    <w:rsid w:val="00C611FA"/>
    <w:rsid w:val="00C613A7"/>
    <w:rsid w:val="00C61502"/>
    <w:rsid w:val="00C61A9A"/>
    <w:rsid w:val="00C61AB9"/>
    <w:rsid w:val="00C61B26"/>
    <w:rsid w:val="00C61F84"/>
    <w:rsid w:val="00C6205B"/>
    <w:rsid w:val="00C62196"/>
    <w:rsid w:val="00C621DD"/>
    <w:rsid w:val="00C62389"/>
    <w:rsid w:val="00C62A8F"/>
    <w:rsid w:val="00C62F52"/>
    <w:rsid w:val="00C62FF7"/>
    <w:rsid w:val="00C63135"/>
    <w:rsid w:val="00C63480"/>
    <w:rsid w:val="00C637DC"/>
    <w:rsid w:val="00C6380B"/>
    <w:rsid w:val="00C639AC"/>
    <w:rsid w:val="00C63C2E"/>
    <w:rsid w:val="00C63C34"/>
    <w:rsid w:val="00C63E85"/>
    <w:rsid w:val="00C63EE8"/>
    <w:rsid w:val="00C642BE"/>
    <w:rsid w:val="00C6432E"/>
    <w:rsid w:val="00C64388"/>
    <w:rsid w:val="00C643FC"/>
    <w:rsid w:val="00C649FF"/>
    <w:rsid w:val="00C64A80"/>
    <w:rsid w:val="00C64D9C"/>
    <w:rsid w:val="00C65718"/>
    <w:rsid w:val="00C65978"/>
    <w:rsid w:val="00C65C81"/>
    <w:rsid w:val="00C65D88"/>
    <w:rsid w:val="00C65ED5"/>
    <w:rsid w:val="00C666DE"/>
    <w:rsid w:val="00C66772"/>
    <w:rsid w:val="00C66A8A"/>
    <w:rsid w:val="00C66D23"/>
    <w:rsid w:val="00C66D2B"/>
    <w:rsid w:val="00C6731F"/>
    <w:rsid w:val="00C67580"/>
    <w:rsid w:val="00C675CA"/>
    <w:rsid w:val="00C6781C"/>
    <w:rsid w:val="00C6786B"/>
    <w:rsid w:val="00C678DB"/>
    <w:rsid w:val="00C67E83"/>
    <w:rsid w:val="00C67EA1"/>
    <w:rsid w:val="00C704EE"/>
    <w:rsid w:val="00C708B5"/>
    <w:rsid w:val="00C70ADA"/>
    <w:rsid w:val="00C70AEE"/>
    <w:rsid w:val="00C70D73"/>
    <w:rsid w:val="00C70DD8"/>
    <w:rsid w:val="00C7100D"/>
    <w:rsid w:val="00C715B9"/>
    <w:rsid w:val="00C71635"/>
    <w:rsid w:val="00C716A0"/>
    <w:rsid w:val="00C71D15"/>
    <w:rsid w:val="00C71DDE"/>
    <w:rsid w:val="00C71E09"/>
    <w:rsid w:val="00C71F65"/>
    <w:rsid w:val="00C71FEC"/>
    <w:rsid w:val="00C7234D"/>
    <w:rsid w:val="00C7244E"/>
    <w:rsid w:val="00C726C9"/>
    <w:rsid w:val="00C72741"/>
    <w:rsid w:val="00C72801"/>
    <w:rsid w:val="00C72B3F"/>
    <w:rsid w:val="00C72C0A"/>
    <w:rsid w:val="00C72F28"/>
    <w:rsid w:val="00C72F9F"/>
    <w:rsid w:val="00C73B01"/>
    <w:rsid w:val="00C73E67"/>
    <w:rsid w:val="00C73F0D"/>
    <w:rsid w:val="00C73FAD"/>
    <w:rsid w:val="00C7420A"/>
    <w:rsid w:val="00C744D4"/>
    <w:rsid w:val="00C74602"/>
    <w:rsid w:val="00C748D9"/>
    <w:rsid w:val="00C7496C"/>
    <w:rsid w:val="00C74AE1"/>
    <w:rsid w:val="00C74C9F"/>
    <w:rsid w:val="00C757B8"/>
    <w:rsid w:val="00C75A20"/>
    <w:rsid w:val="00C75CEA"/>
    <w:rsid w:val="00C75E59"/>
    <w:rsid w:val="00C761EE"/>
    <w:rsid w:val="00C76419"/>
    <w:rsid w:val="00C764C5"/>
    <w:rsid w:val="00C76577"/>
    <w:rsid w:val="00C76906"/>
    <w:rsid w:val="00C76A28"/>
    <w:rsid w:val="00C76B7C"/>
    <w:rsid w:val="00C76CC7"/>
    <w:rsid w:val="00C76D36"/>
    <w:rsid w:val="00C76F81"/>
    <w:rsid w:val="00C76FF6"/>
    <w:rsid w:val="00C776A4"/>
    <w:rsid w:val="00C77905"/>
    <w:rsid w:val="00C77B62"/>
    <w:rsid w:val="00C77D8F"/>
    <w:rsid w:val="00C8001D"/>
    <w:rsid w:val="00C800DD"/>
    <w:rsid w:val="00C8013D"/>
    <w:rsid w:val="00C8036F"/>
    <w:rsid w:val="00C806BA"/>
    <w:rsid w:val="00C80920"/>
    <w:rsid w:val="00C80AB5"/>
    <w:rsid w:val="00C80B03"/>
    <w:rsid w:val="00C80C36"/>
    <w:rsid w:val="00C81475"/>
    <w:rsid w:val="00C818A0"/>
    <w:rsid w:val="00C8190C"/>
    <w:rsid w:val="00C81A34"/>
    <w:rsid w:val="00C81A5C"/>
    <w:rsid w:val="00C81B7E"/>
    <w:rsid w:val="00C81FD2"/>
    <w:rsid w:val="00C821DC"/>
    <w:rsid w:val="00C8228E"/>
    <w:rsid w:val="00C82364"/>
    <w:rsid w:val="00C8243F"/>
    <w:rsid w:val="00C82614"/>
    <w:rsid w:val="00C82687"/>
    <w:rsid w:val="00C8276A"/>
    <w:rsid w:val="00C8277D"/>
    <w:rsid w:val="00C8289B"/>
    <w:rsid w:val="00C828D4"/>
    <w:rsid w:val="00C82CE6"/>
    <w:rsid w:val="00C82D54"/>
    <w:rsid w:val="00C82F3B"/>
    <w:rsid w:val="00C831A7"/>
    <w:rsid w:val="00C8376B"/>
    <w:rsid w:val="00C837C4"/>
    <w:rsid w:val="00C83829"/>
    <w:rsid w:val="00C838B3"/>
    <w:rsid w:val="00C83EDD"/>
    <w:rsid w:val="00C8406F"/>
    <w:rsid w:val="00C8427A"/>
    <w:rsid w:val="00C84BF1"/>
    <w:rsid w:val="00C84CA2"/>
    <w:rsid w:val="00C84F02"/>
    <w:rsid w:val="00C85523"/>
    <w:rsid w:val="00C858BA"/>
    <w:rsid w:val="00C8599A"/>
    <w:rsid w:val="00C85A36"/>
    <w:rsid w:val="00C85AA5"/>
    <w:rsid w:val="00C85CD1"/>
    <w:rsid w:val="00C85F29"/>
    <w:rsid w:val="00C86109"/>
    <w:rsid w:val="00C86164"/>
    <w:rsid w:val="00C86C56"/>
    <w:rsid w:val="00C86E37"/>
    <w:rsid w:val="00C8773E"/>
    <w:rsid w:val="00C8778B"/>
    <w:rsid w:val="00C87BBC"/>
    <w:rsid w:val="00C87D1D"/>
    <w:rsid w:val="00C87EDA"/>
    <w:rsid w:val="00C87FA3"/>
    <w:rsid w:val="00C90601"/>
    <w:rsid w:val="00C907E7"/>
    <w:rsid w:val="00C90955"/>
    <w:rsid w:val="00C90D16"/>
    <w:rsid w:val="00C9116A"/>
    <w:rsid w:val="00C91729"/>
    <w:rsid w:val="00C917BF"/>
    <w:rsid w:val="00C9187C"/>
    <w:rsid w:val="00C91E4A"/>
    <w:rsid w:val="00C92160"/>
    <w:rsid w:val="00C9265D"/>
    <w:rsid w:val="00C927E4"/>
    <w:rsid w:val="00C92824"/>
    <w:rsid w:val="00C92CFF"/>
    <w:rsid w:val="00C935C3"/>
    <w:rsid w:val="00C9370D"/>
    <w:rsid w:val="00C9377E"/>
    <w:rsid w:val="00C937BA"/>
    <w:rsid w:val="00C93862"/>
    <w:rsid w:val="00C93ABB"/>
    <w:rsid w:val="00C93D76"/>
    <w:rsid w:val="00C93F7D"/>
    <w:rsid w:val="00C93FA0"/>
    <w:rsid w:val="00C949FC"/>
    <w:rsid w:val="00C94AD0"/>
    <w:rsid w:val="00C94DC8"/>
    <w:rsid w:val="00C9515D"/>
    <w:rsid w:val="00C951E2"/>
    <w:rsid w:val="00C9551A"/>
    <w:rsid w:val="00C95677"/>
    <w:rsid w:val="00C958E7"/>
    <w:rsid w:val="00C9595B"/>
    <w:rsid w:val="00C95EB7"/>
    <w:rsid w:val="00C960CF"/>
    <w:rsid w:val="00C9655C"/>
    <w:rsid w:val="00C96672"/>
    <w:rsid w:val="00C96678"/>
    <w:rsid w:val="00C96772"/>
    <w:rsid w:val="00C9697A"/>
    <w:rsid w:val="00C96AD1"/>
    <w:rsid w:val="00C96C0F"/>
    <w:rsid w:val="00C96C75"/>
    <w:rsid w:val="00C96CFA"/>
    <w:rsid w:val="00C96E5A"/>
    <w:rsid w:val="00C96EB5"/>
    <w:rsid w:val="00C9744C"/>
    <w:rsid w:val="00C97913"/>
    <w:rsid w:val="00C9798A"/>
    <w:rsid w:val="00CA0257"/>
    <w:rsid w:val="00CA07CE"/>
    <w:rsid w:val="00CA0917"/>
    <w:rsid w:val="00CA0E3E"/>
    <w:rsid w:val="00CA102B"/>
    <w:rsid w:val="00CA11B1"/>
    <w:rsid w:val="00CA14DA"/>
    <w:rsid w:val="00CA170B"/>
    <w:rsid w:val="00CA1CEE"/>
    <w:rsid w:val="00CA1E0B"/>
    <w:rsid w:val="00CA21E0"/>
    <w:rsid w:val="00CA283D"/>
    <w:rsid w:val="00CA29CE"/>
    <w:rsid w:val="00CA29D1"/>
    <w:rsid w:val="00CA2DD6"/>
    <w:rsid w:val="00CA300C"/>
    <w:rsid w:val="00CA302A"/>
    <w:rsid w:val="00CA3247"/>
    <w:rsid w:val="00CA343B"/>
    <w:rsid w:val="00CA3752"/>
    <w:rsid w:val="00CA38B5"/>
    <w:rsid w:val="00CA3999"/>
    <w:rsid w:val="00CA39C0"/>
    <w:rsid w:val="00CA3A08"/>
    <w:rsid w:val="00CA3CC3"/>
    <w:rsid w:val="00CA43DC"/>
    <w:rsid w:val="00CA4C08"/>
    <w:rsid w:val="00CA56DF"/>
    <w:rsid w:val="00CA58F5"/>
    <w:rsid w:val="00CA5AD3"/>
    <w:rsid w:val="00CA5DA7"/>
    <w:rsid w:val="00CA5F2C"/>
    <w:rsid w:val="00CA60E6"/>
    <w:rsid w:val="00CA62DD"/>
    <w:rsid w:val="00CA65BD"/>
    <w:rsid w:val="00CA6632"/>
    <w:rsid w:val="00CA6636"/>
    <w:rsid w:val="00CA671F"/>
    <w:rsid w:val="00CA6947"/>
    <w:rsid w:val="00CA69BA"/>
    <w:rsid w:val="00CA741E"/>
    <w:rsid w:val="00CA743D"/>
    <w:rsid w:val="00CA75D4"/>
    <w:rsid w:val="00CA77E2"/>
    <w:rsid w:val="00CA78C9"/>
    <w:rsid w:val="00CA7DE6"/>
    <w:rsid w:val="00CB00AA"/>
    <w:rsid w:val="00CB02FC"/>
    <w:rsid w:val="00CB0339"/>
    <w:rsid w:val="00CB0A67"/>
    <w:rsid w:val="00CB0D17"/>
    <w:rsid w:val="00CB110E"/>
    <w:rsid w:val="00CB11F8"/>
    <w:rsid w:val="00CB12D7"/>
    <w:rsid w:val="00CB1D49"/>
    <w:rsid w:val="00CB225B"/>
    <w:rsid w:val="00CB23CF"/>
    <w:rsid w:val="00CB2B46"/>
    <w:rsid w:val="00CB2E25"/>
    <w:rsid w:val="00CB2EF5"/>
    <w:rsid w:val="00CB33B5"/>
    <w:rsid w:val="00CB33E4"/>
    <w:rsid w:val="00CB34C7"/>
    <w:rsid w:val="00CB3671"/>
    <w:rsid w:val="00CB368D"/>
    <w:rsid w:val="00CB3711"/>
    <w:rsid w:val="00CB3C96"/>
    <w:rsid w:val="00CB3DED"/>
    <w:rsid w:val="00CB4230"/>
    <w:rsid w:val="00CB425E"/>
    <w:rsid w:val="00CB431B"/>
    <w:rsid w:val="00CB445E"/>
    <w:rsid w:val="00CB4A77"/>
    <w:rsid w:val="00CB4B31"/>
    <w:rsid w:val="00CB4C25"/>
    <w:rsid w:val="00CB4CBD"/>
    <w:rsid w:val="00CB4EA5"/>
    <w:rsid w:val="00CB557F"/>
    <w:rsid w:val="00CB57A1"/>
    <w:rsid w:val="00CB592B"/>
    <w:rsid w:val="00CB5BAF"/>
    <w:rsid w:val="00CB5BC5"/>
    <w:rsid w:val="00CB5C5F"/>
    <w:rsid w:val="00CB5EEA"/>
    <w:rsid w:val="00CB5FC2"/>
    <w:rsid w:val="00CB600E"/>
    <w:rsid w:val="00CB64BB"/>
    <w:rsid w:val="00CB65B8"/>
    <w:rsid w:val="00CB663F"/>
    <w:rsid w:val="00CB66CB"/>
    <w:rsid w:val="00CB693B"/>
    <w:rsid w:val="00CB697B"/>
    <w:rsid w:val="00CB6C74"/>
    <w:rsid w:val="00CB6C91"/>
    <w:rsid w:val="00CB6CDF"/>
    <w:rsid w:val="00CB6EEC"/>
    <w:rsid w:val="00CB7242"/>
    <w:rsid w:val="00CB7264"/>
    <w:rsid w:val="00CB730F"/>
    <w:rsid w:val="00CB7495"/>
    <w:rsid w:val="00CB74B7"/>
    <w:rsid w:val="00CB7507"/>
    <w:rsid w:val="00CB761C"/>
    <w:rsid w:val="00CB76B5"/>
    <w:rsid w:val="00CB78DB"/>
    <w:rsid w:val="00CB7947"/>
    <w:rsid w:val="00CB798F"/>
    <w:rsid w:val="00CB7AA5"/>
    <w:rsid w:val="00CB7AD6"/>
    <w:rsid w:val="00CB7EC0"/>
    <w:rsid w:val="00CB7F1B"/>
    <w:rsid w:val="00CC0288"/>
    <w:rsid w:val="00CC0495"/>
    <w:rsid w:val="00CC10CF"/>
    <w:rsid w:val="00CC10F9"/>
    <w:rsid w:val="00CC110F"/>
    <w:rsid w:val="00CC11B8"/>
    <w:rsid w:val="00CC1359"/>
    <w:rsid w:val="00CC1AF9"/>
    <w:rsid w:val="00CC20E0"/>
    <w:rsid w:val="00CC2581"/>
    <w:rsid w:val="00CC27D9"/>
    <w:rsid w:val="00CC2818"/>
    <w:rsid w:val="00CC2B0F"/>
    <w:rsid w:val="00CC2B19"/>
    <w:rsid w:val="00CC2E3C"/>
    <w:rsid w:val="00CC2F7A"/>
    <w:rsid w:val="00CC37AD"/>
    <w:rsid w:val="00CC3880"/>
    <w:rsid w:val="00CC38D5"/>
    <w:rsid w:val="00CC3A70"/>
    <w:rsid w:val="00CC3AB4"/>
    <w:rsid w:val="00CC3D3C"/>
    <w:rsid w:val="00CC4033"/>
    <w:rsid w:val="00CC40B8"/>
    <w:rsid w:val="00CC430C"/>
    <w:rsid w:val="00CC4A4C"/>
    <w:rsid w:val="00CC5276"/>
    <w:rsid w:val="00CC52E7"/>
    <w:rsid w:val="00CC543A"/>
    <w:rsid w:val="00CC5444"/>
    <w:rsid w:val="00CC55A6"/>
    <w:rsid w:val="00CC5631"/>
    <w:rsid w:val="00CC5739"/>
    <w:rsid w:val="00CC58AE"/>
    <w:rsid w:val="00CC5B08"/>
    <w:rsid w:val="00CC5C30"/>
    <w:rsid w:val="00CC5E3A"/>
    <w:rsid w:val="00CC62A6"/>
    <w:rsid w:val="00CC6422"/>
    <w:rsid w:val="00CC676C"/>
    <w:rsid w:val="00CC6E3A"/>
    <w:rsid w:val="00CC702C"/>
    <w:rsid w:val="00CC7266"/>
    <w:rsid w:val="00CC7826"/>
    <w:rsid w:val="00CC785A"/>
    <w:rsid w:val="00CC7A11"/>
    <w:rsid w:val="00CD0292"/>
    <w:rsid w:val="00CD04A8"/>
    <w:rsid w:val="00CD051B"/>
    <w:rsid w:val="00CD06BC"/>
    <w:rsid w:val="00CD0F6D"/>
    <w:rsid w:val="00CD1250"/>
    <w:rsid w:val="00CD1629"/>
    <w:rsid w:val="00CD1DB1"/>
    <w:rsid w:val="00CD2150"/>
    <w:rsid w:val="00CD22B5"/>
    <w:rsid w:val="00CD22F4"/>
    <w:rsid w:val="00CD23E3"/>
    <w:rsid w:val="00CD24CD"/>
    <w:rsid w:val="00CD25E1"/>
    <w:rsid w:val="00CD2689"/>
    <w:rsid w:val="00CD26E2"/>
    <w:rsid w:val="00CD2D24"/>
    <w:rsid w:val="00CD2F4E"/>
    <w:rsid w:val="00CD367C"/>
    <w:rsid w:val="00CD3B5F"/>
    <w:rsid w:val="00CD41C9"/>
    <w:rsid w:val="00CD454A"/>
    <w:rsid w:val="00CD46F3"/>
    <w:rsid w:val="00CD4C3B"/>
    <w:rsid w:val="00CD4CFF"/>
    <w:rsid w:val="00CD4D42"/>
    <w:rsid w:val="00CD4F54"/>
    <w:rsid w:val="00CD4FFE"/>
    <w:rsid w:val="00CD52E7"/>
    <w:rsid w:val="00CD57FA"/>
    <w:rsid w:val="00CD5A28"/>
    <w:rsid w:val="00CD5A65"/>
    <w:rsid w:val="00CD5A6E"/>
    <w:rsid w:val="00CD5B73"/>
    <w:rsid w:val="00CD5BF4"/>
    <w:rsid w:val="00CD5FC6"/>
    <w:rsid w:val="00CD64E4"/>
    <w:rsid w:val="00CD6655"/>
    <w:rsid w:val="00CD696A"/>
    <w:rsid w:val="00CD6AF4"/>
    <w:rsid w:val="00CD70B7"/>
    <w:rsid w:val="00CD7107"/>
    <w:rsid w:val="00CD711F"/>
    <w:rsid w:val="00CD74A7"/>
    <w:rsid w:val="00CD768E"/>
    <w:rsid w:val="00CD79B2"/>
    <w:rsid w:val="00CD7D4C"/>
    <w:rsid w:val="00CD7FEB"/>
    <w:rsid w:val="00CE0FCE"/>
    <w:rsid w:val="00CE1124"/>
    <w:rsid w:val="00CE157C"/>
    <w:rsid w:val="00CE16A6"/>
    <w:rsid w:val="00CE17DC"/>
    <w:rsid w:val="00CE1AF6"/>
    <w:rsid w:val="00CE20B1"/>
    <w:rsid w:val="00CE2223"/>
    <w:rsid w:val="00CE2298"/>
    <w:rsid w:val="00CE2C6B"/>
    <w:rsid w:val="00CE2E2B"/>
    <w:rsid w:val="00CE2F93"/>
    <w:rsid w:val="00CE3064"/>
    <w:rsid w:val="00CE3406"/>
    <w:rsid w:val="00CE3657"/>
    <w:rsid w:val="00CE380D"/>
    <w:rsid w:val="00CE39E4"/>
    <w:rsid w:val="00CE3B9E"/>
    <w:rsid w:val="00CE3E29"/>
    <w:rsid w:val="00CE4282"/>
    <w:rsid w:val="00CE428D"/>
    <w:rsid w:val="00CE456E"/>
    <w:rsid w:val="00CE4773"/>
    <w:rsid w:val="00CE4A51"/>
    <w:rsid w:val="00CE4CA2"/>
    <w:rsid w:val="00CE4CF6"/>
    <w:rsid w:val="00CE4EA8"/>
    <w:rsid w:val="00CE4FA5"/>
    <w:rsid w:val="00CE54E1"/>
    <w:rsid w:val="00CE55B6"/>
    <w:rsid w:val="00CE5837"/>
    <w:rsid w:val="00CE5856"/>
    <w:rsid w:val="00CE5BDE"/>
    <w:rsid w:val="00CE6108"/>
    <w:rsid w:val="00CE62BB"/>
    <w:rsid w:val="00CE6437"/>
    <w:rsid w:val="00CE6444"/>
    <w:rsid w:val="00CE6985"/>
    <w:rsid w:val="00CE6A6D"/>
    <w:rsid w:val="00CE6AD9"/>
    <w:rsid w:val="00CE6F0C"/>
    <w:rsid w:val="00CE7044"/>
    <w:rsid w:val="00CE727E"/>
    <w:rsid w:val="00CE7330"/>
    <w:rsid w:val="00CE74E9"/>
    <w:rsid w:val="00CE774C"/>
    <w:rsid w:val="00CE7AFC"/>
    <w:rsid w:val="00CF012E"/>
    <w:rsid w:val="00CF01B3"/>
    <w:rsid w:val="00CF04D4"/>
    <w:rsid w:val="00CF08E1"/>
    <w:rsid w:val="00CF099D"/>
    <w:rsid w:val="00CF09EE"/>
    <w:rsid w:val="00CF0B4C"/>
    <w:rsid w:val="00CF0D15"/>
    <w:rsid w:val="00CF138C"/>
    <w:rsid w:val="00CF1618"/>
    <w:rsid w:val="00CF1680"/>
    <w:rsid w:val="00CF16FE"/>
    <w:rsid w:val="00CF1A14"/>
    <w:rsid w:val="00CF1BD7"/>
    <w:rsid w:val="00CF1D4E"/>
    <w:rsid w:val="00CF1E45"/>
    <w:rsid w:val="00CF21A5"/>
    <w:rsid w:val="00CF24AB"/>
    <w:rsid w:val="00CF2518"/>
    <w:rsid w:val="00CF2DDE"/>
    <w:rsid w:val="00CF30C6"/>
    <w:rsid w:val="00CF33A1"/>
    <w:rsid w:val="00CF344A"/>
    <w:rsid w:val="00CF39A0"/>
    <w:rsid w:val="00CF3D1C"/>
    <w:rsid w:val="00CF3F50"/>
    <w:rsid w:val="00CF4004"/>
    <w:rsid w:val="00CF40BD"/>
    <w:rsid w:val="00CF444A"/>
    <w:rsid w:val="00CF4687"/>
    <w:rsid w:val="00CF4713"/>
    <w:rsid w:val="00CF4B12"/>
    <w:rsid w:val="00CF4B62"/>
    <w:rsid w:val="00CF5412"/>
    <w:rsid w:val="00CF54B4"/>
    <w:rsid w:val="00CF58FE"/>
    <w:rsid w:val="00CF5A29"/>
    <w:rsid w:val="00CF5A2D"/>
    <w:rsid w:val="00CF5EBE"/>
    <w:rsid w:val="00CF5EDF"/>
    <w:rsid w:val="00CF5F28"/>
    <w:rsid w:val="00CF6023"/>
    <w:rsid w:val="00CF6995"/>
    <w:rsid w:val="00CF6EB2"/>
    <w:rsid w:val="00CF728A"/>
    <w:rsid w:val="00CF76F9"/>
    <w:rsid w:val="00CF783B"/>
    <w:rsid w:val="00CF7A6A"/>
    <w:rsid w:val="00CF7B88"/>
    <w:rsid w:val="00CF7D97"/>
    <w:rsid w:val="00CF7EEC"/>
    <w:rsid w:val="00CF7EF6"/>
    <w:rsid w:val="00D001C2"/>
    <w:rsid w:val="00D00252"/>
    <w:rsid w:val="00D00779"/>
    <w:rsid w:val="00D00854"/>
    <w:rsid w:val="00D009D8"/>
    <w:rsid w:val="00D00BDB"/>
    <w:rsid w:val="00D00DE9"/>
    <w:rsid w:val="00D012E1"/>
    <w:rsid w:val="00D01318"/>
    <w:rsid w:val="00D01665"/>
    <w:rsid w:val="00D01D17"/>
    <w:rsid w:val="00D01D1E"/>
    <w:rsid w:val="00D01D41"/>
    <w:rsid w:val="00D022E8"/>
    <w:rsid w:val="00D02580"/>
    <w:rsid w:val="00D026BA"/>
    <w:rsid w:val="00D02D34"/>
    <w:rsid w:val="00D030A8"/>
    <w:rsid w:val="00D03371"/>
    <w:rsid w:val="00D036EB"/>
    <w:rsid w:val="00D03A6E"/>
    <w:rsid w:val="00D03BF7"/>
    <w:rsid w:val="00D03C51"/>
    <w:rsid w:val="00D03CF6"/>
    <w:rsid w:val="00D03D1D"/>
    <w:rsid w:val="00D03F1E"/>
    <w:rsid w:val="00D0428E"/>
    <w:rsid w:val="00D04426"/>
    <w:rsid w:val="00D0482F"/>
    <w:rsid w:val="00D0490D"/>
    <w:rsid w:val="00D04A33"/>
    <w:rsid w:val="00D04AD5"/>
    <w:rsid w:val="00D04CF8"/>
    <w:rsid w:val="00D04E06"/>
    <w:rsid w:val="00D054C3"/>
    <w:rsid w:val="00D0553E"/>
    <w:rsid w:val="00D05892"/>
    <w:rsid w:val="00D05BF9"/>
    <w:rsid w:val="00D05C64"/>
    <w:rsid w:val="00D05EE6"/>
    <w:rsid w:val="00D06049"/>
    <w:rsid w:val="00D063AF"/>
    <w:rsid w:val="00D06824"/>
    <w:rsid w:val="00D06C03"/>
    <w:rsid w:val="00D0701B"/>
    <w:rsid w:val="00D0721C"/>
    <w:rsid w:val="00D07230"/>
    <w:rsid w:val="00D0729F"/>
    <w:rsid w:val="00D07365"/>
    <w:rsid w:val="00D075C2"/>
    <w:rsid w:val="00D07648"/>
    <w:rsid w:val="00D078B5"/>
    <w:rsid w:val="00D079C7"/>
    <w:rsid w:val="00D07F98"/>
    <w:rsid w:val="00D10313"/>
    <w:rsid w:val="00D10379"/>
    <w:rsid w:val="00D1037A"/>
    <w:rsid w:val="00D10419"/>
    <w:rsid w:val="00D10925"/>
    <w:rsid w:val="00D10D09"/>
    <w:rsid w:val="00D10F56"/>
    <w:rsid w:val="00D1163E"/>
    <w:rsid w:val="00D11669"/>
    <w:rsid w:val="00D1194A"/>
    <w:rsid w:val="00D11CCD"/>
    <w:rsid w:val="00D11D1A"/>
    <w:rsid w:val="00D122C8"/>
    <w:rsid w:val="00D12362"/>
    <w:rsid w:val="00D1244D"/>
    <w:rsid w:val="00D125A5"/>
    <w:rsid w:val="00D12682"/>
    <w:rsid w:val="00D12A4F"/>
    <w:rsid w:val="00D12B44"/>
    <w:rsid w:val="00D12D1B"/>
    <w:rsid w:val="00D131E7"/>
    <w:rsid w:val="00D13348"/>
    <w:rsid w:val="00D135AA"/>
    <w:rsid w:val="00D13A93"/>
    <w:rsid w:val="00D13C2F"/>
    <w:rsid w:val="00D14237"/>
    <w:rsid w:val="00D1429A"/>
    <w:rsid w:val="00D1451D"/>
    <w:rsid w:val="00D14C15"/>
    <w:rsid w:val="00D14E84"/>
    <w:rsid w:val="00D14FE2"/>
    <w:rsid w:val="00D156F8"/>
    <w:rsid w:val="00D1578C"/>
    <w:rsid w:val="00D15CB3"/>
    <w:rsid w:val="00D15F51"/>
    <w:rsid w:val="00D16186"/>
    <w:rsid w:val="00D164D6"/>
    <w:rsid w:val="00D167A7"/>
    <w:rsid w:val="00D167C3"/>
    <w:rsid w:val="00D16B6C"/>
    <w:rsid w:val="00D16ED5"/>
    <w:rsid w:val="00D170C3"/>
    <w:rsid w:val="00D173C5"/>
    <w:rsid w:val="00D174C4"/>
    <w:rsid w:val="00D175BC"/>
    <w:rsid w:val="00D17946"/>
    <w:rsid w:val="00D17A93"/>
    <w:rsid w:val="00D17BA6"/>
    <w:rsid w:val="00D202B1"/>
    <w:rsid w:val="00D205B4"/>
    <w:rsid w:val="00D20662"/>
    <w:rsid w:val="00D206A2"/>
    <w:rsid w:val="00D2086D"/>
    <w:rsid w:val="00D20B08"/>
    <w:rsid w:val="00D210B2"/>
    <w:rsid w:val="00D21291"/>
    <w:rsid w:val="00D212B9"/>
    <w:rsid w:val="00D214A2"/>
    <w:rsid w:val="00D216D5"/>
    <w:rsid w:val="00D21C8A"/>
    <w:rsid w:val="00D21E72"/>
    <w:rsid w:val="00D21F4B"/>
    <w:rsid w:val="00D22239"/>
    <w:rsid w:val="00D2297E"/>
    <w:rsid w:val="00D22DE5"/>
    <w:rsid w:val="00D22EE9"/>
    <w:rsid w:val="00D233BD"/>
    <w:rsid w:val="00D233D7"/>
    <w:rsid w:val="00D23B17"/>
    <w:rsid w:val="00D23BC7"/>
    <w:rsid w:val="00D23C39"/>
    <w:rsid w:val="00D23CBB"/>
    <w:rsid w:val="00D23D71"/>
    <w:rsid w:val="00D23EF0"/>
    <w:rsid w:val="00D2428F"/>
    <w:rsid w:val="00D24676"/>
    <w:rsid w:val="00D24B42"/>
    <w:rsid w:val="00D24E84"/>
    <w:rsid w:val="00D24F4B"/>
    <w:rsid w:val="00D25317"/>
    <w:rsid w:val="00D25806"/>
    <w:rsid w:val="00D2583D"/>
    <w:rsid w:val="00D25C65"/>
    <w:rsid w:val="00D25E9D"/>
    <w:rsid w:val="00D25F1C"/>
    <w:rsid w:val="00D26920"/>
    <w:rsid w:val="00D269B6"/>
    <w:rsid w:val="00D26DE6"/>
    <w:rsid w:val="00D26EE7"/>
    <w:rsid w:val="00D26FF6"/>
    <w:rsid w:val="00D27277"/>
    <w:rsid w:val="00D272B0"/>
    <w:rsid w:val="00D27786"/>
    <w:rsid w:val="00D27921"/>
    <w:rsid w:val="00D279A5"/>
    <w:rsid w:val="00D27B1E"/>
    <w:rsid w:val="00D27E7B"/>
    <w:rsid w:val="00D30718"/>
    <w:rsid w:val="00D30864"/>
    <w:rsid w:val="00D309C4"/>
    <w:rsid w:val="00D312D2"/>
    <w:rsid w:val="00D31553"/>
    <w:rsid w:val="00D315EA"/>
    <w:rsid w:val="00D31EB5"/>
    <w:rsid w:val="00D320FF"/>
    <w:rsid w:val="00D32273"/>
    <w:rsid w:val="00D322FB"/>
    <w:rsid w:val="00D32411"/>
    <w:rsid w:val="00D32475"/>
    <w:rsid w:val="00D32686"/>
    <w:rsid w:val="00D32EC2"/>
    <w:rsid w:val="00D32EF4"/>
    <w:rsid w:val="00D32F2A"/>
    <w:rsid w:val="00D33049"/>
    <w:rsid w:val="00D3359A"/>
    <w:rsid w:val="00D337A2"/>
    <w:rsid w:val="00D337EB"/>
    <w:rsid w:val="00D33F81"/>
    <w:rsid w:val="00D34120"/>
    <w:rsid w:val="00D3429A"/>
    <w:rsid w:val="00D34361"/>
    <w:rsid w:val="00D343F4"/>
    <w:rsid w:val="00D34850"/>
    <w:rsid w:val="00D3499C"/>
    <w:rsid w:val="00D34B5B"/>
    <w:rsid w:val="00D35060"/>
    <w:rsid w:val="00D355DC"/>
    <w:rsid w:val="00D357CE"/>
    <w:rsid w:val="00D35EDC"/>
    <w:rsid w:val="00D36387"/>
    <w:rsid w:val="00D369D4"/>
    <w:rsid w:val="00D36AD7"/>
    <w:rsid w:val="00D36F31"/>
    <w:rsid w:val="00D37038"/>
    <w:rsid w:val="00D37043"/>
    <w:rsid w:val="00D373E9"/>
    <w:rsid w:val="00D377DB"/>
    <w:rsid w:val="00D37C61"/>
    <w:rsid w:val="00D37E16"/>
    <w:rsid w:val="00D4037C"/>
    <w:rsid w:val="00D403FF"/>
    <w:rsid w:val="00D4047D"/>
    <w:rsid w:val="00D40498"/>
    <w:rsid w:val="00D404C4"/>
    <w:rsid w:val="00D40572"/>
    <w:rsid w:val="00D40950"/>
    <w:rsid w:val="00D40987"/>
    <w:rsid w:val="00D40CE9"/>
    <w:rsid w:val="00D40E9F"/>
    <w:rsid w:val="00D410F5"/>
    <w:rsid w:val="00D4112C"/>
    <w:rsid w:val="00D41232"/>
    <w:rsid w:val="00D41AA5"/>
    <w:rsid w:val="00D41AC2"/>
    <w:rsid w:val="00D42115"/>
    <w:rsid w:val="00D421C0"/>
    <w:rsid w:val="00D4222B"/>
    <w:rsid w:val="00D423B0"/>
    <w:rsid w:val="00D4280E"/>
    <w:rsid w:val="00D42AC0"/>
    <w:rsid w:val="00D42E61"/>
    <w:rsid w:val="00D42EFD"/>
    <w:rsid w:val="00D4382B"/>
    <w:rsid w:val="00D43AEB"/>
    <w:rsid w:val="00D43B9B"/>
    <w:rsid w:val="00D43DB9"/>
    <w:rsid w:val="00D43DCC"/>
    <w:rsid w:val="00D43EEE"/>
    <w:rsid w:val="00D44396"/>
    <w:rsid w:val="00D45722"/>
    <w:rsid w:val="00D457D1"/>
    <w:rsid w:val="00D458AA"/>
    <w:rsid w:val="00D4607D"/>
    <w:rsid w:val="00D46338"/>
    <w:rsid w:val="00D4697C"/>
    <w:rsid w:val="00D469B0"/>
    <w:rsid w:val="00D46BA2"/>
    <w:rsid w:val="00D46E31"/>
    <w:rsid w:val="00D46E9D"/>
    <w:rsid w:val="00D47134"/>
    <w:rsid w:val="00D47234"/>
    <w:rsid w:val="00D47281"/>
    <w:rsid w:val="00D4749C"/>
    <w:rsid w:val="00D47581"/>
    <w:rsid w:val="00D4788B"/>
    <w:rsid w:val="00D47B25"/>
    <w:rsid w:val="00D47BCF"/>
    <w:rsid w:val="00D47C06"/>
    <w:rsid w:val="00D47FBF"/>
    <w:rsid w:val="00D50295"/>
    <w:rsid w:val="00D5069A"/>
    <w:rsid w:val="00D50E43"/>
    <w:rsid w:val="00D510B1"/>
    <w:rsid w:val="00D51158"/>
    <w:rsid w:val="00D5143B"/>
    <w:rsid w:val="00D51469"/>
    <w:rsid w:val="00D518F4"/>
    <w:rsid w:val="00D5192E"/>
    <w:rsid w:val="00D51BE2"/>
    <w:rsid w:val="00D520A8"/>
    <w:rsid w:val="00D52616"/>
    <w:rsid w:val="00D52AAD"/>
    <w:rsid w:val="00D52B45"/>
    <w:rsid w:val="00D52B80"/>
    <w:rsid w:val="00D530EB"/>
    <w:rsid w:val="00D53393"/>
    <w:rsid w:val="00D534D2"/>
    <w:rsid w:val="00D535B6"/>
    <w:rsid w:val="00D53818"/>
    <w:rsid w:val="00D53BBE"/>
    <w:rsid w:val="00D53BF0"/>
    <w:rsid w:val="00D53E7F"/>
    <w:rsid w:val="00D541D3"/>
    <w:rsid w:val="00D54845"/>
    <w:rsid w:val="00D54ED8"/>
    <w:rsid w:val="00D54FB4"/>
    <w:rsid w:val="00D5519F"/>
    <w:rsid w:val="00D55235"/>
    <w:rsid w:val="00D55307"/>
    <w:rsid w:val="00D55939"/>
    <w:rsid w:val="00D55D78"/>
    <w:rsid w:val="00D55DDD"/>
    <w:rsid w:val="00D56572"/>
    <w:rsid w:val="00D571DD"/>
    <w:rsid w:val="00D572B2"/>
    <w:rsid w:val="00D57F53"/>
    <w:rsid w:val="00D606B0"/>
    <w:rsid w:val="00D6071F"/>
    <w:rsid w:val="00D60911"/>
    <w:rsid w:val="00D60CAB"/>
    <w:rsid w:val="00D60EFE"/>
    <w:rsid w:val="00D60F5E"/>
    <w:rsid w:val="00D60FBD"/>
    <w:rsid w:val="00D610FD"/>
    <w:rsid w:val="00D612AF"/>
    <w:rsid w:val="00D617C8"/>
    <w:rsid w:val="00D61906"/>
    <w:rsid w:val="00D619F3"/>
    <w:rsid w:val="00D62582"/>
    <w:rsid w:val="00D62630"/>
    <w:rsid w:val="00D626F4"/>
    <w:rsid w:val="00D62A5B"/>
    <w:rsid w:val="00D62B43"/>
    <w:rsid w:val="00D62CB2"/>
    <w:rsid w:val="00D62ECD"/>
    <w:rsid w:val="00D6304E"/>
    <w:rsid w:val="00D63191"/>
    <w:rsid w:val="00D63260"/>
    <w:rsid w:val="00D632DA"/>
    <w:rsid w:val="00D635FC"/>
    <w:rsid w:val="00D63748"/>
    <w:rsid w:val="00D639C8"/>
    <w:rsid w:val="00D639F0"/>
    <w:rsid w:val="00D63C1B"/>
    <w:rsid w:val="00D63D76"/>
    <w:rsid w:val="00D63E01"/>
    <w:rsid w:val="00D6434D"/>
    <w:rsid w:val="00D6450D"/>
    <w:rsid w:val="00D64BFF"/>
    <w:rsid w:val="00D64C10"/>
    <w:rsid w:val="00D64DE1"/>
    <w:rsid w:val="00D64E3E"/>
    <w:rsid w:val="00D64E3F"/>
    <w:rsid w:val="00D64FA9"/>
    <w:rsid w:val="00D653D0"/>
    <w:rsid w:val="00D65464"/>
    <w:rsid w:val="00D656CF"/>
    <w:rsid w:val="00D65AA7"/>
    <w:rsid w:val="00D66483"/>
    <w:rsid w:val="00D668EB"/>
    <w:rsid w:val="00D6692A"/>
    <w:rsid w:val="00D66C73"/>
    <w:rsid w:val="00D66E55"/>
    <w:rsid w:val="00D674E9"/>
    <w:rsid w:val="00D6781F"/>
    <w:rsid w:val="00D6799A"/>
    <w:rsid w:val="00D67E5B"/>
    <w:rsid w:val="00D7009C"/>
    <w:rsid w:val="00D70552"/>
    <w:rsid w:val="00D709F2"/>
    <w:rsid w:val="00D70B6A"/>
    <w:rsid w:val="00D70DCF"/>
    <w:rsid w:val="00D70F17"/>
    <w:rsid w:val="00D7114E"/>
    <w:rsid w:val="00D712DA"/>
    <w:rsid w:val="00D713CA"/>
    <w:rsid w:val="00D715B2"/>
    <w:rsid w:val="00D71630"/>
    <w:rsid w:val="00D719EF"/>
    <w:rsid w:val="00D71C4F"/>
    <w:rsid w:val="00D71FB8"/>
    <w:rsid w:val="00D720FC"/>
    <w:rsid w:val="00D72327"/>
    <w:rsid w:val="00D727E0"/>
    <w:rsid w:val="00D72B87"/>
    <w:rsid w:val="00D72C72"/>
    <w:rsid w:val="00D72E79"/>
    <w:rsid w:val="00D731DC"/>
    <w:rsid w:val="00D736FA"/>
    <w:rsid w:val="00D73870"/>
    <w:rsid w:val="00D73DCB"/>
    <w:rsid w:val="00D73E27"/>
    <w:rsid w:val="00D73E98"/>
    <w:rsid w:val="00D74040"/>
    <w:rsid w:val="00D74160"/>
    <w:rsid w:val="00D74587"/>
    <w:rsid w:val="00D7473F"/>
    <w:rsid w:val="00D7487A"/>
    <w:rsid w:val="00D74C72"/>
    <w:rsid w:val="00D74CD1"/>
    <w:rsid w:val="00D74E50"/>
    <w:rsid w:val="00D75581"/>
    <w:rsid w:val="00D75615"/>
    <w:rsid w:val="00D75686"/>
    <w:rsid w:val="00D75777"/>
    <w:rsid w:val="00D75A48"/>
    <w:rsid w:val="00D75D22"/>
    <w:rsid w:val="00D75DA5"/>
    <w:rsid w:val="00D761EC"/>
    <w:rsid w:val="00D7630F"/>
    <w:rsid w:val="00D76373"/>
    <w:rsid w:val="00D76448"/>
    <w:rsid w:val="00D767D0"/>
    <w:rsid w:val="00D76C58"/>
    <w:rsid w:val="00D76CF2"/>
    <w:rsid w:val="00D76E7C"/>
    <w:rsid w:val="00D77679"/>
    <w:rsid w:val="00D77C37"/>
    <w:rsid w:val="00D77D55"/>
    <w:rsid w:val="00D8069D"/>
    <w:rsid w:val="00D80B40"/>
    <w:rsid w:val="00D80BC9"/>
    <w:rsid w:val="00D80D24"/>
    <w:rsid w:val="00D81505"/>
    <w:rsid w:val="00D8155B"/>
    <w:rsid w:val="00D816D5"/>
    <w:rsid w:val="00D81CCD"/>
    <w:rsid w:val="00D81E79"/>
    <w:rsid w:val="00D82231"/>
    <w:rsid w:val="00D823C8"/>
    <w:rsid w:val="00D825A5"/>
    <w:rsid w:val="00D825B7"/>
    <w:rsid w:val="00D8290E"/>
    <w:rsid w:val="00D82964"/>
    <w:rsid w:val="00D82AD1"/>
    <w:rsid w:val="00D82B7F"/>
    <w:rsid w:val="00D82E6E"/>
    <w:rsid w:val="00D82F19"/>
    <w:rsid w:val="00D83040"/>
    <w:rsid w:val="00D8323B"/>
    <w:rsid w:val="00D83292"/>
    <w:rsid w:val="00D833D8"/>
    <w:rsid w:val="00D83489"/>
    <w:rsid w:val="00D836CD"/>
    <w:rsid w:val="00D83886"/>
    <w:rsid w:val="00D83AF1"/>
    <w:rsid w:val="00D83D13"/>
    <w:rsid w:val="00D8401D"/>
    <w:rsid w:val="00D841AC"/>
    <w:rsid w:val="00D8425D"/>
    <w:rsid w:val="00D84718"/>
    <w:rsid w:val="00D84B1B"/>
    <w:rsid w:val="00D84E87"/>
    <w:rsid w:val="00D84EDD"/>
    <w:rsid w:val="00D84F9C"/>
    <w:rsid w:val="00D85003"/>
    <w:rsid w:val="00D85274"/>
    <w:rsid w:val="00D85284"/>
    <w:rsid w:val="00D857B6"/>
    <w:rsid w:val="00D85855"/>
    <w:rsid w:val="00D8589D"/>
    <w:rsid w:val="00D85A81"/>
    <w:rsid w:val="00D85C81"/>
    <w:rsid w:val="00D86466"/>
    <w:rsid w:val="00D86846"/>
    <w:rsid w:val="00D8687B"/>
    <w:rsid w:val="00D87050"/>
    <w:rsid w:val="00D870D4"/>
    <w:rsid w:val="00D870E8"/>
    <w:rsid w:val="00D87423"/>
    <w:rsid w:val="00D87442"/>
    <w:rsid w:val="00D87452"/>
    <w:rsid w:val="00D87485"/>
    <w:rsid w:val="00D874B0"/>
    <w:rsid w:val="00D87A19"/>
    <w:rsid w:val="00D87B7D"/>
    <w:rsid w:val="00D87EAB"/>
    <w:rsid w:val="00D87F7C"/>
    <w:rsid w:val="00D90208"/>
    <w:rsid w:val="00D90499"/>
    <w:rsid w:val="00D907CB"/>
    <w:rsid w:val="00D912BB"/>
    <w:rsid w:val="00D91427"/>
    <w:rsid w:val="00D915C3"/>
    <w:rsid w:val="00D91BF2"/>
    <w:rsid w:val="00D9225B"/>
    <w:rsid w:val="00D92509"/>
    <w:rsid w:val="00D92B9A"/>
    <w:rsid w:val="00D92D0C"/>
    <w:rsid w:val="00D92FAF"/>
    <w:rsid w:val="00D9318D"/>
    <w:rsid w:val="00D9326D"/>
    <w:rsid w:val="00D93322"/>
    <w:rsid w:val="00D9362B"/>
    <w:rsid w:val="00D93710"/>
    <w:rsid w:val="00D93A4F"/>
    <w:rsid w:val="00D93C1C"/>
    <w:rsid w:val="00D93F8F"/>
    <w:rsid w:val="00D94026"/>
    <w:rsid w:val="00D94120"/>
    <w:rsid w:val="00D942D7"/>
    <w:rsid w:val="00D94782"/>
    <w:rsid w:val="00D951DD"/>
    <w:rsid w:val="00D95269"/>
    <w:rsid w:val="00D952ED"/>
    <w:rsid w:val="00D957FA"/>
    <w:rsid w:val="00D95A95"/>
    <w:rsid w:val="00D96144"/>
    <w:rsid w:val="00D9664C"/>
    <w:rsid w:val="00D96921"/>
    <w:rsid w:val="00D96CF3"/>
    <w:rsid w:val="00D97404"/>
    <w:rsid w:val="00D975A3"/>
    <w:rsid w:val="00D9794C"/>
    <w:rsid w:val="00D979D0"/>
    <w:rsid w:val="00D97C9F"/>
    <w:rsid w:val="00DA00CB"/>
    <w:rsid w:val="00DA04E9"/>
    <w:rsid w:val="00DA08CA"/>
    <w:rsid w:val="00DA0E6F"/>
    <w:rsid w:val="00DA0F37"/>
    <w:rsid w:val="00DA101A"/>
    <w:rsid w:val="00DA122C"/>
    <w:rsid w:val="00DA14EF"/>
    <w:rsid w:val="00DA1A06"/>
    <w:rsid w:val="00DA1F28"/>
    <w:rsid w:val="00DA1F78"/>
    <w:rsid w:val="00DA1F83"/>
    <w:rsid w:val="00DA238B"/>
    <w:rsid w:val="00DA2D3E"/>
    <w:rsid w:val="00DA2D83"/>
    <w:rsid w:val="00DA2FD5"/>
    <w:rsid w:val="00DA3084"/>
    <w:rsid w:val="00DA3925"/>
    <w:rsid w:val="00DA3B75"/>
    <w:rsid w:val="00DA3E96"/>
    <w:rsid w:val="00DA3F0B"/>
    <w:rsid w:val="00DA4324"/>
    <w:rsid w:val="00DA4838"/>
    <w:rsid w:val="00DA4989"/>
    <w:rsid w:val="00DA4AF3"/>
    <w:rsid w:val="00DA4C1A"/>
    <w:rsid w:val="00DA5381"/>
    <w:rsid w:val="00DA54D0"/>
    <w:rsid w:val="00DA54FB"/>
    <w:rsid w:val="00DA5721"/>
    <w:rsid w:val="00DA57E2"/>
    <w:rsid w:val="00DA59BE"/>
    <w:rsid w:val="00DA5CF0"/>
    <w:rsid w:val="00DA6173"/>
    <w:rsid w:val="00DA6241"/>
    <w:rsid w:val="00DA6564"/>
    <w:rsid w:val="00DA6693"/>
    <w:rsid w:val="00DA66B0"/>
    <w:rsid w:val="00DA69D9"/>
    <w:rsid w:val="00DA6AA8"/>
    <w:rsid w:val="00DA6C70"/>
    <w:rsid w:val="00DA6DD2"/>
    <w:rsid w:val="00DA6E34"/>
    <w:rsid w:val="00DA7477"/>
    <w:rsid w:val="00DA74A8"/>
    <w:rsid w:val="00DA7573"/>
    <w:rsid w:val="00DA77E4"/>
    <w:rsid w:val="00DA7AFB"/>
    <w:rsid w:val="00DA7BD4"/>
    <w:rsid w:val="00DA7F73"/>
    <w:rsid w:val="00DB0191"/>
    <w:rsid w:val="00DB0282"/>
    <w:rsid w:val="00DB0359"/>
    <w:rsid w:val="00DB0414"/>
    <w:rsid w:val="00DB05BD"/>
    <w:rsid w:val="00DB072A"/>
    <w:rsid w:val="00DB0EF6"/>
    <w:rsid w:val="00DB0F8A"/>
    <w:rsid w:val="00DB18B6"/>
    <w:rsid w:val="00DB18DE"/>
    <w:rsid w:val="00DB1909"/>
    <w:rsid w:val="00DB1BFF"/>
    <w:rsid w:val="00DB1C97"/>
    <w:rsid w:val="00DB22DC"/>
    <w:rsid w:val="00DB2604"/>
    <w:rsid w:val="00DB26A8"/>
    <w:rsid w:val="00DB27CF"/>
    <w:rsid w:val="00DB2A5D"/>
    <w:rsid w:val="00DB2B06"/>
    <w:rsid w:val="00DB324C"/>
    <w:rsid w:val="00DB328F"/>
    <w:rsid w:val="00DB33BE"/>
    <w:rsid w:val="00DB3C20"/>
    <w:rsid w:val="00DB3FD3"/>
    <w:rsid w:val="00DB4561"/>
    <w:rsid w:val="00DB47C9"/>
    <w:rsid w:val="00DB47DF"/>
    <w:rsid w:val="00DB4A9B"/>
    <w:rsid w:val="00DB4AFA"/>
    <w:rsid w:val="00DB4B7C"/>
    <w:rsid w:val="00DB4B81"/>
    <w:rsid w:val="00DB4F1B"/>
    <w:rsid w:val="00DB4FC6"/>
    <w:rsid w:val="00DB5824"/>
    <w:rsid w:val="00DB5A92"/>
    <w:rsid w:val="00DB5BF6"/>
    <w:rsid w:val="00DB5CDC"/>
    <w:rsid w:val="00DB5F2A"/>
    <w:rsid w:val="00DB6432"/>
    <w:rsid w:val="00DB67D8"/>
    <w:rsid w:val="00DB6911"/>
    <w:rsid w:val="00DB691F"/>
    <w:rsid w:val="00DB6A2B"/>
    <w:rsid w:val="00DB6EE9"/>
    <w:rsid w:val="00DB6F45"/>
    <w:rsid w:val="00DB70FD"/>
    <w:rsid w:val="00DB7140"/>
    <w:rsid w:val="00DB72B7"/>
    <w:rsid w:val="00DB7546"/>
    <w:rsid w:val="00DB782D"/>
    <w:rsid w:val="00DB78DD"/>
    <w:rsid w:val="00DB79C5"/>
    <w:rsid w:val="00DB7E19"/>
    <w:rsid w:val="00DC02F5"/>
    <w:rsid w:val="00DC040D"/>
    <w:rsid w:val="00DC0624"/>
    <w:rsid w:val="00DC0723"/>
    <w:rsid w:val="00DC0962"/>
    <w:rsid w:val="00DC0E98"/>
    <w:rsid w:val="00DC0FC3"/>
    <w:rsid w:val="00DC10B2"/>
    <w:rsid w:val="00DC1302"/>
    <w:rsid w:val="00DC14C7"/>
    <w:rsid w:val="00DC16F3"/>
    <w:rsid w:val="00DC1911"/>
    <w:rsid w:val="00DC1A58"/>
    <w:rsid w:val="00DC1AC0"/>
    <w:rsid w:val="00DC1C68"/>
    <w:rsid w:val="00DC1CDD"/>
    <w:rsid w:val="00DC1D8E"/>
    <w:rsid w:val="00DC202D"/>
    <w:rsid w:val="00DC20C3"/>
    <w:rsid w:val="00DC2161"/>
    <w:rsid w:val="00DC227A"/>
    <w:rsid w:val="00DC2360"/>
    <w:rsid w:val="00DC23A2"/>
    <w:rsid w:val="00DC26E4"/>
    <w:rsid w:val="00DC27C6"/>
    <w:rsid w:val="00DC29E2"/>
    <w:rsid w:val="00DC2BAE"/>
    <w:rsid w:val="00DC2CEE"/>
    <w:rsid w:val="00DC3257"/>
    <w:rsid w:val="00DC3279"/>
    <w:rsid w:val="00DC3343"/>
    <w:rsid w:val="00DC33CB"/>
    <w:rsid w:val="00DC3BF1"/>
    <w:rsid w:val="00DC3CFC"/>
    <w:rsid w:val="00DC3D53"/>
    <w:rsid w:val="00DC3E0D"/>
    <w:rsid w:val="00DC4BB3"/>
    <w:rsid w:val="00DC4D1D"/>
    <w:rsid w:val="00DC4D87"/>
    <w:rsid w:val="00DC52E9"/>
    <w:rsid w:val="00DC5493"/>
    <w:rsid w:val="00DC54EB"/>
    <w:rsid w:val="00DC55F1"/>
    <w:rsid w:val="00DC580A"/>
    <w:rsid w:val="00DC5ADD"/>
    <w:rsid w:val="00DC5B50"/>
    <w:rsid w:val="00DC5B9C"/>
    <w:rsid w:val="00DC5BAE"/>
    <w:rsid w:val="00DC60BA"/>
    <w:rsid w:val="00DC66BC"/>
    <w:rsid w:val="00DC6AEF"/>
    <w:rsid w:val="00DC6B59"/>
    <w:rsid w:val="00DC6BDA"/>
    <w:rsid w:val="00DC711E"/>
    <w:rsid w:val="00DC727F"/>
    <w:rsid w:val="00DC7509"/>
    <w:rsid w:val="00DC7909"/>
    <w:rsid w:val="00DC7DC8"/>
    <w:rsid w:val="00DC7E78"/>
    <w:rsid w:val="00DD02EF"/>
    <w:rsid w:val="00DD03C9"/>
    <w:rsid w:val="00DD0493"/>
    <w:rsid w:val="00DD0896"/>
    <w:rsid w:val="00DD0908"/>
    <w:rsid w:val="00DD0924"/>
    <w:rsid w:val="00DD0CBF"/>
    <w:rsid w:val="00DD0E5F"/>
    <w:rsid w:val="00DD1071"/>
    <w:rsid w:val="00DD10DE"/>
    <w:rsid w:val="00DD12FD"/>
    <w:rsid w:val="00DD1576"/>
    <w:rsid w:val="00DD1B15"/>
    <w:rsid w:val="00DD1C5C"/>
    <w:rsid w:val="00DD1E43"/>
    <w:rsid w:val="00DD251D"/>
    <w:rsid w:val="00DD2634"/>
    <w:rsid w:val="00DD2818"/>
    <w:rsid w:val="00DD2893"/>
    <w:rsid w:val="00DD2922"/>
    <w:rsid w:val="00DD2F57"/>
    <w:rsid w:val="00DD3167"/>
    <w:rsid w:val="00DD3186"/>
    <w:rsid w:val="00DD31CE"/>
    <w:rsid w:val="00DD332E"/>
    <w:rsid w:val="00DD397F"/>
    <w:rsid w:val="00DD3ACE"/>
    <w:rsid w:val="00DD3E4E"/>
    <w:rsid w:val="00DD4269"/>
    <w:rsid w:val="00DD4682"/>
    <w:rsid w:val="00DD4717"/>
    <w:rsid w:val="00DD4B34"/>
    <w:rsid w:val="00DD4BB4"/>
    <w:rsid w:val="00DD4CD5"/>
    <w:rsid w:val="00DD4F74"/>
    <w:rsid w:val="00DD5037"/>
    <w:rsid w:val="00DD531F"/>
    <w:rsid w:val="00DD556C"/>
    <w:rsid w:val="00DD5737"/>
    <w:rsid w:val="00DD5D7C"/>
    <w:rsid w:val="00DD5E81"/>
    <w:rsid w:val="00DD6261"/>
    <w:rsid w:val="00DD643C"/>
    <w:rsid w:val="00DD664D"/>
    <w:rsid w:val="00DD687F"/>
    <w:rsid w:val="00DD6AA0"/>
    <w:rsid w:val="00DD6ACC"/>
    <w:rsid w:val="00DD6C46"/>
    <w:rsid w:val="00DD6C7A"/>
    <w:rsid w:val="00DD6DE2"/>
    <w:rsid w:val="00DD6F44"/>
    <w:rsid w:val="00DD71E6"/>
    <w:rsid w:val="00DD72CF"/>
    <w:rsid w:val="00DD7343"/>
    <w:rsid w:val="00DD747C"/>
    <w:rsid w:val="00DD759F"/>
    <w:rsid w:val="00DD7CCA"/>
    <w:rsid w:val="00DD7E38"/>
    <w:rsid w:val="00DD7FA5"/>
    <w:rsid w:val="00DE0329"/>
    <w:rsid w:val="00DE0425"/>
    <w:rsid w:val="00DE048F"/>
    <w:rsid w:val="00DE0BDE"/>
    <w:rsid w:val="00DE0C8F"/>
    <w:rsid w:val="00DE0F0C"/>
    <w:rsid w:val="00DE10CF"/>
    <w:rsid w:val="00DE1270"/>
    <w:rsid w:val="00DE1278"/>
    <w:rsid w:val="00DE1542"/>
    <w:rsid w:val="00DE18C0"/>
    <w:rsid w:val="00DE1B2B"/>
    <w:rsid w:val="00DE1E1E"/>
    <w:rsid w:val="00DE1EFC"/>
    <w:rsid w:val="00DE1FF9"/>
    <w:rsid w:val="00DE223E"/>
    <w:rsid w:val="00DE228E"/>
    <w:rsid w:val="00DE25DB"/>
    <w:rsid w:val="00DE2722"/>
    <w:rsid w:val="00DE27DF"/>
    <w:rsid w:val="00DE2CCB"/>
    <w:rsid w:val="00DE2D33"/>
    <w:rsid w:val="00DE2FC4"/>
    <w:rsid w:val="00DE3076"/>
    <w:rsid w:val="00DE34EB"/>
    <w:rsid w:val="00DE3592"/>
    <w:rsid w:val="00DE3817"/>
    <w:rsid w:val="00DE3A1B"/>
    <w:rsid w:val="00DE3BE0"/>
    <w:rsid w:val="00DE3E78"/>
    <w:rsid w:val="00DE3EE3"/>
    <w:rsid w:val="00DE3FB7"/>
    <w:rsid w:val="00DE40B2"/>
    <w:rsid w:val="00DE413E"/>
    <w:rsid w:val="00DE41F8"/>
    <w:rsid w:val="00DE4209"/>
    <w:rsid w:val="00DE4B9D"/>
    <w:rsid w:val="00DE4D2B"/>
    <w:rsid w:val="00DE4E12"/>
    <w:rsid w:val="00DE4EF0"/>
    <w:rsid w:val="00DE4F3F"/>
    <w:rsid w:val="00DE5034"/>
    <w:rsid w:val="00DE50E7"/>
    <w:rsid w:val="00DE50EA"/>
    <w:rsid w:val="00DE5185"/>
    <w:rsid w:val="00DE5341"/>
    <w:rsid w:val="00DE545C"/>
    <w:rsid w:val="00DE55E2"/>
    <w:rsid w:val="00DE5C4B"/>
    <w:rsid w:val="00DE5C9F"/>
    <w:rsid w:val="00DE678B"/>
    <w:rsid w:val="00DE6C0C"/>
    <w:rsid w:val="00DE6CBF"/>
    <w:rsid w:val="00DE6FAF"/>
    <w:rsid w:val="00DE6FCD"/>
    <w:rsid w:val="00DE6FE3"/>
    <w:rsid w:val="00DE71A9"/>
    <w:rsid w:val="00DE734E"/>
    <w:rsid w:val="00DE73C0"/>
    <w:rsid w:val="00DE74BA"/>
    <w:rsid w:val="00DE768E"/>
    <w:rsid w:val="00DE76F4"/>
    <w:rsid w:val="00DE7887"/>
    <w:rsid w:val="00DE7920"/>
    <w:rsid w:val="00DE7BF8"/>
    <w:rsid w:val="00DE7C97"/>
    <w:rsid w:val="00DE7D60"/>
    <w:rsid w:val="00DE7F0D"/>
    <w:rsid w:val="00DF0DC3"/>
    <w:rsid w:val="00DF0F5A"/>
    <w:rsid w:val="00DF14F9"/>
    <w:rsid w:val="00DF1570"/>
    <w:rsid w:val="00DF168D"/>
    <w:rsid w:val="00DF1B32"/>
    <w:rsid w:val="00DF1C2D"/>
    <w:rsid w:val="00DF1CFC"/>
    <w:rsid w:val="00DF1D27"/>
    <w:rsid w:val="00DF1DC5"/>
    <w:rsid w:val="00DF1DFA"/>
    <w:rsid w:val="00DF1FAE"/>
    <w:rsid w:val="00DF2427"/>
    <w:rsid w:val="00DF24B6"/>
    <w:rsid w:val="00DF2579"/>
    <w:rsid w:val="00DF2A0F"/>
    <w:rsid w:val="00DF2AD9"/>
    <w:rsid w:val="00DF2D91"/>
    <w:rsid w:val="00DF2EA8"/>
    <w:rsid w:val="00DF3282"/>
    <w:rsid w:val="00DF3299"/>
    <w:rsid w:val="00DF3386"/>
    <w:rsid w:val="00DF34D1"/>
    <w:rsid w:val="00DF3644"/>
    <w:rsid w:val="00DF3838"/>
    <w:rsid w:val="00DF3BBE"/>
    <w:rsid w:val="00DF448E"/>
    <w:rsid w:val="00DF5204"/>
    <w:rsid w:val="00DF549C"/>
    <w:rsid w:val="00DF54D0"/>
    <w:rsid w:val="00DF5722"/>
    <w:rsid w:val="00DF580C"/>
    <w:rsid w:val="00DF5C1A"/>
    <w:rsid w:val="00DF5CDC"/>
    <w:rsid w:val="00DF61F5"/>
    <w:rsid w:val="00DF658E"/>
    <w:rsid w:val="00DF66FF"/>
    <w:rsid w:val="00DF6ACA"/>
    <w:rsid w:val="00DF6BCB"/>
    <w:rsid w:val="00DF6CC2"/>
    <w:rsid w:val="00DF6D45"/>
    <w:rsid w:val="00DF6F98"/>
    <w:rsid w:val="00DF7042"/>
    <w:rsid w:val="00DF7108"/>
    <w:rsid w:val="00DF76E4"/>
    <w:rsid w:val="00DF78A5"/>
    <w:rsid w:val="00DF78FD"/>
    <w:rsid w:val="00DF7EBD"/>
    <w:rsid w:val="00DF7EFE"/>
    <w:rsid w:val="00E00168"/>
    <w:rsid w:val="00E002C5"/>
    <w:rsid w:val="00E0046F"/>
    <w:rsid w:val="00E00E15"/>
    <w:rsid w:val="00E00F63"/>
    <w:rsid w:val="00E01210"/>
    <w:rsid w:val="00E01265"/>
    <w:rsid w:val="00E012FB"/>
    <w:rsid w:val="00E014F2"/>
    <w:rsid w:val="00E015E2"/>
    <w:rsid w:val="00E01D50"/>
    <w:rsid w:val="00E021F4"/>
    <w:rsid w:val="00E02359"/>
    <w:rsid w:val="00E02398"/>
    <w:rsid w:val="00E02664"/>
    <w:rsid w:val="00E02A06"/>
    <w:rsid w:val="00E02BE2"/>
    <w:rsid w:val="00E02BFF"/>
    <w:rsid w:val="00E02C4D"/>
    <w:rsid w:val="00E02D3C"/>
    <w:rsid w:val="00E03080"/>
    <w:rsid w:val="00E031A5"/>
    <w:rsid w:val="00E0341B"/>
    <w:rsid w:val="00E0348F"/>
    <w:rsid w:val="00E035A6"/>
    <w:rsid w:val="00E03618"/>
    <w:rsid w:val="00E038F5"/>
    <w:rsid w:val="00E03A1B"/>
    <w:rsid w:val="00E03C51"/>
    <w:rsid w:val="00E03D65"/>
    <w:rsid w:val="00E03D67"/>
    <w:rsid w:val="00E03DFF"/>
    <w:rsid w:val="00E03E6E"/>
    <w:rsid w:val="00E040DC"/>
    <w:rsid w:val="00E04510"/>
    <w:rsid w:val="00E04587"/>
    <w:rsid w:val="00E04784"/>
    <w:rsid w:val="00E04A5B"/>
    <w:rsid w:val="00E04ACB"/>
    <w:rsid w:val="00E04F50"/>
    <w:rsid w:val="00E04F81"/>
    <w:rsid w:val="00E05107"/>
    <w:rsid w:val="00E05569"/>
    <w:rsid w:val="00E0573B"/>
    <w:rsid w:val="00E057FA"/>
    <w:rsid w:val="00E058E6"/>
    <w:rsid w:val="00E05961"/>
    <w:rsid w:val="00E05A6C"/>
    <w:rsid w:val="00E05E64"/>
    <w:rsid w:val="00E05F40"/>
    <w:rsid w:val="00E05F59"/>
    <w:rsid w:val="00E06135"/>
    <w:rsid w:val="00E06200"/>
    <w:rsid w:val="00E06331"/>
    <w:rsid w:val="00E06428"/>
    <w:rsid w:val="00E0655D"/>
    <w:rsid w:val="00E0676F"/>
    <w:rsid w:val="00E06A24"/>
    <w:rsid w:val="00E06BCA"/>
    <w:rsid w:val="00E07106"/>
    <w:rsid w:val="00E0710E"/>
    <w:rsid w:val="00E071C7"/>
    <w:rsid w:val="00E07311"/>
    <w:rsid w:val="00E07654"/>
    <w:rsid w:val="00E07C2F"/>
    <w:rsid w:val="00E07D7A"/>
    <w:rsid w:val="00E07E03"/>
    <w:rsid w:val="00E1024A"/>
    <w:rsid w:val="00E10B08"/>
    <w:rsid w:val="00E10B17"/>
    <w:rsid w:val="00E10B67"/>
    <w:rsid w:val="00E10E0C"/>
    <w:rsid w:val="00E110BE"/>
    <w:rsid w:val="00E114AB"/>
    <w:rsid w:val="00E11D3E"/>
    <w:rsid w:val="00E1255D"/>
    <w:rsid w:val="00E126C2"/>
    <w:rsid w:val="00E12742"/>
    <w:rsid w:val="00E12822"/>
    <w:rsid w:val="00E12926"/>
    <w:rsid w:val="00E12AB9"/>
    <w:rsid w:val="00E12B67"/>
    <w:rsid w:val="00E12C93"/>
    <w:rsid w:val="00E12CBC"/>
    <w:rsid w:val="00E12E3D"/>
    <w:rsid w:val="00E134A2"/>
    <w:rsid w:val="00E136E6"/>
    <w:rsid w:val="00E1389A"/>
    <w:rsid w:val="00E13BBC"/>
    <w:rsid w:val="00E13F3F"/>
    <w:rsid w:val="00E141D3"/>
    <w:rsid w:val="00E14941"/>
    <w:rsid w:val="00E14A5A"/>
    <w:rsid w:val="00E151EC"/>
    <w:rsid w:val="00E1526B"/>
    <w:rsid w:val="00E1534B"/>
    <w:rsid w:val="00E1535B"/>
    <w:rsid w:val="00E15408"/>
    <w:rsid w:val="00E154F6"/>
    <w:rsid w:val="00E15743"/>
    <w:rsid w:val="00E1577F"/>
    <w:rsid w:val="00E15C52"/>
    <w:rsid w:val="00E15D5A"/>
    <w:rsid w:val="00E15EA6"/>
    <w:rsid w:val="00E15EDA"/>
    <w:rsid w:val="00E15F0B"/>
    <w:rsid w:val="00E16087"/>
    <w:rsid w:val="00E160E8"/>
    <w:rsid w:val="00E16199"/>
    <w:rsid w:val="00E16311"/>
    <w:rsid w:val="00E1648A"/>
    <w:rsid w:val="00E16535"/>
    <w:rsid w:val="00E1679D"/>
    <w:rsid w:val="00E16A56"/>
    <w:rsid w:val="00E16EF3"/>
    <w:rsid w:val="00E16FC5"/>
    <w:rsid w:val="00E1702C"/>
    <w:rsid w:val="00E171A3"/>
    <w:rsid w:val="00E1721D"/>
    <w:rsid w:val="00E17303"/>
    <w:rsid w:val="00E1767B"/>
    <w:rsid w:val="00E179AB"/>
    <w:rsid w:val="00E2017F"/>
    <w:rsid w:val="00E20CC5"/>
    <w:rsid w:val="00E20D53"/>
    <w:rsid w:val="00E20DCD"/>
    <w:rsid w:val="00E21184"/>
    <w:rsid w:val="00E21360"/>
    <w:rsid w:val="00E21607"/>
    <w:rsid w:val="00E2166B"/>
    <w:rsid w:val="00E21899"/>
    <w:rsid w:val="00E21ACA"/>
    <w:rsid w:val="00E21DC0"/>
    <w:rsid w:val="00E22492"/>
    <w:rsid w:val="00E22A53"/>
    <w:rsid w:val="00E22B80"/>
    <w:rsid w:val="00E22C0E"/>
    <w:rsid w:val="00E22CFF"/>
    <w:rsid w:val="00E231CD"/>
    <w:rsid w:val="00E231E1"/>
    <w:rsid w:val="00E23363"/>
    <w:rsid w:val="00E2337A"/>
    <w:rsid w:val="00E23729"/>
    <w:rsid w:val="00E23888"/>
    <w:rsid w:val="00E23B9C"/>
    <w:rsid w:val="00E23CE3"/>
    <w:rsid w:val="00E23CF7"/>
    <w:rsid w:val="00E23E76"/>
    <w:rsid w:val="00E23E84"/>
    <w:rsid w:val="00E2424F"/>
    <w:rsid w:val="00E2430F"/>
    <w:rsid w:val="00E248F9"/>
    <w:rsid w:val="00E249DB"/>
    <w:rsid w:val="00E24B7B"/>
    <w:rsid w:val="00E25246"/>
    <w:rsid w:val="00E2527E"/>
    <w:rsid w:val="00E253A3"/>
    <w:rsid w:val="00E25402"/>
    <w:rsid w:val="00E2541E"/>
    <w:rsid w:val="00E25886"/>
    <w:rsid w:val="00E259B0"/>
    <w:rsid w:val="00E25AF8"/>
    <w:rsid w:val="00E25F83"/>
    <w:rsid w:val="00E260A1"/>
    <w:rsid w:val="00E2619E"/>
    <w:rsid w:val="00E265EC"/>
    <w:rsid w:val="00E2662F"/>
    <w:rsid w:val="00E268FC"/>
    <w:rsid w:val="00E26AEC"/>
    <w:rsid w:val="00E26CA3"/>
    <w:rsid w:val="00E26CF2"/>
    <w:rsid w:val="00E27054"/>
    <w:rsid w:val="00E2708A"/>
    <w:rsid w:val="00E270B2"/>
    <w:rsid w:val="00E2757B"/>
    <w:rsid w:val="00E2792D"/>
    <w:rsid w:val="00E27B1D"/>
    <w:rsid w:val="00E27B75"/>
    <w:rsid w:val="00E27C5D"/>
    <w:rsid w:val="00E27C8F"/>
    <w:rsid w:val="00E27CAF"/>
    <w:rsid w:val="00E27DF9"/>
    <w:rsid w:val="00E3028E"/>
    <w:rsid w:val="00E30301"/>
    <w:rsid w:val="00E303C3"/>
    <w:rsid w:val="00E306B1"/>
    <w:rsid w:val="00E30828"/>
    <w:rsid w:val="00E30B37"/>
    <w:rsid w:val="00E30C6D"/>
    <w:rsid w:val="00E3109C"/>
    <w:rsid w:val="00E311D1"/>
    <w:rsid w:val="00E31251"/>
    <w:rsid w:val="00E31293"/>
    <w:rsid w:val="00E317A1"/>
    <w:rsid w:val="00E318B0"/>
    <w:rsid w:val="00E31B70"/>
    <w:rsid w:val="00E31C2D"/>
    <w:rsid w:val="00E31FCB"/>
    <w:rsid w:val="00E32211"/>
    <w:rsid w:val="00E32432"/>
    <w:rsid w:val="00E32716"/>
    <w:rsid w:val="00E328C7"/>
    <w:rsid w:val="00E3290E"/>
    <w:rsid w:val="00E32EAE"/>
    <w:rsid w:val="00E335E3"/>
    <w:rsid w:val="00E33B1E"/>
    <w:rsid w:val="00E34080"/>
    <w:rsid w:val="00E340E9"/>
    <w:rsid w:val="00E34277"/>
    <w:rsid w:val="00E34718"/>
    <w:rsid w:val="00E34781"/>
    <w:rsid w:val="00E34D9C"/>
    <w:rsid w:val="00E35299"/>
    <w:rsid w:val="00E354CF"/>
    <w:rsid w:val="00E35597"/>
    <w:rsid w:val="00E3568D"/>
    <w:rsid w:val="00E35975"/>
    <w:rsid w:val="00E35DA8"/>
    <w:rsid w:val="00E35EBE"/>
    <w:rsid w:val="00E35F87"/>
    <w:rsid w:val="00E36060"/>
    <w:rsid w:val="00E3621B"/>
    <w:rsid w:val="00E3644D"/>
    <w:rsid w:val="00E3666E"/>
    <w:rsid w:val="00E367D2"/>
    <w:rsid w:val="00E36EF8"/>
    <w:rsid w:val="00E36EFF"/>
    <w:rsid w:val="00E36F43"/>
    <w:rsid w:val="00E37288"/>
    <w:rsid w:val="00E372D1"/>
    <w:rsid w:val="00E37423"/>
    <w:rsid w:val="00E37BE9"/>
    <w:rsid w:val="00E37F0C"/>
    <w:rsid w:val="00E40656"/>
    <w:rsid w:val="00E40A19"/>
    <w:rsid w:val="00E40ADF"/>
    <w:rsid w:val="00E41131"/>
    <w:rsid w:val="00E41510"/>
    <w:rsid w:val="00E41573"/>
    <w:rsid w:val="00E41874"/>
    <w:rsid w:val="00E418E3"/>
    <w:rsid w:val="00E41B9E"/>
    <w:rsid w:val="00E41BEE"/>
    <w:rsid w:val="00E41DC5"/>
    <w:rsid w:val="00E423DE"/>
    <w:rsid w:val="00E4245E"/>
    <w:rsid w:val="00E42527"/>
    <w:rsid w:val="00E427BC"/>
    <w:rsid w:val="00E427E0"/>
    <w:rsid w:val="00E42A49"/>
    <w:rsid w:val="00E42B51"/>
    <w:rsid w:val="00E42D2E"/>
    <w:rsid w:val="00E42DD2"/>
    <w:rsid w:val="00E42F07"/>
    <w:rsid w:val="00E4370F"/>
    <w:rsid w:val="00E43713"/>
    <w:rsid w:val="00E43B9C"/>
    <w:rsid w:val="00E4424A"/>
    <w:rsid w:val="00E443BD"/>
    <w:rsid w:val="00E4441D"/>
    <w:rsid w:val="00E44496"/>
    <w:rsid w:val="00E444B9"/>
    <w:rsid w:val="00E44B11"/>
    <w:rsid w:val="00E44D6B"/>
    <w:rsid w:val="00E45052"/>
    <w:rsid w:val="00E453AB"/>
    <w:rsid w:val="00E4559B"/>
    <w:rsid w:val="00E4563A"/>
    <w:rsid w:val="00E462E6"/>
    <w:rsid w:val="00E463A0"/>
    <w:rsid w:val="00E46624"/>
    <w:rsid w:val="00E466AE"/>
    <w:rsid w:val="00E468AC"/>
    <w:rsid w:val="00E46C2D"/>
    <w:rsid w:val="00E46C6D"/>
    <w:rsid w:val="00E46E0E"/>
    <w:rsid w:val="00E46FC4"/>
    <w:rsid w:val="00E4706A"/>
    <w:rsid w:val="00E47390"/>
    <w:rsid w:val="00E473C1"/>
    <w:rsid w:val="00E47839"/>
    <w:rsid w:val="00E47A00"/>
    <w:rsid w:val="00E47A7B"/>
    <w:rsid w:val="00E47DEC"/>
    <w:rsid w:val="00E47FA0"/>
    <w:rsid w:val="00E5010E"/>
    <w:rsid w:val="00E5065C"/>
    <w:rsid w:val="00E50721"/>
    <w:rsid w:val="00E50768"/>
    <w:rsid w:val="00E5088B"/>
    <w:rsid w:val="00E50D12"/>
    <w:rsid w:val="00E50EE6"/>
    <w:rsid w:val="00E5191B"/>
    <w:rsid w:val="00E51CDE"/>
    <w:rsid w:val="00E52078"/>
    <w:rsid w:val="00E5210B"/>
    <w:rsid w:val="00E52228"/>
    <w:rsid w:val="00E523D7"/>
    <w:rsid w:val="00E525A0"/>
    <w:rsid w:val="00E527EA"/>
    <w:rsid w:val="00E52942"/>
    <w:rsid w:val="00E52EAD"/>
    <w:rsid w:val="00E52FC8"/>
    <w:rsid w:val="00E531E9"/>
    <w:rsid w:val="00E532AC"/>
    <w:rsid w:val="00E53631"/>
    <w:rsid w:val="00E53828"/>
    <w:rsid w:val="00E5388F"/>
    <w:rsid w:val="00E539F6"/>
    <w:rsid w:val="00E53DD6"/>
    <w:rsid w:val="00E54076"/>
    <w:rsid w:val="00E540FB"/>
    <w:rsid w:val="00E54239"/>
    <w:rsid w:val="00E54272"/>
    <w:rsid w:val="00E542BC"/>
    <w:rsid w:val="00E54521"/>
    <w:rsid w:val="00E54617"/>
    <w:rsid w:val="00E54643"/>
    <w:rsid w:val="00E5484B"/>
    <w:rsid w:val="00E54DCB"/>
    <w:rsid w:val="00E550A0"/>
    <w:rsid w:val="00E553FD"/>
    <w:rsid w:val="00E5561A"/>
    <w:rsid w:val="00E55B4C"/>
    <w:rsid w:val="00E55DE9"/>
    <w:rsid w:val="00E55F49"/>
    <w:rsid w:val="00E55FC5"/>
    <w:rsid w:val="00E56023"/>
    <w:rsid w:val="00E562CF"/>
    <w:rsid w:val="00E563D8"/>
    <w:rsid w:val="00E5642A"/>
    <w:rsid w:val="00E56565"/>
    <w:rsid w:val="00E56644"/>
    <w:rsid w:val="00E567E7"/>
    <w:rsid w:val="00E5683B"/>
    <w:rsid w:val="00E5683E"/>
    <w:rsid w:val="00E568FB"/>
    <w:rsid w:val="00E56B73"/>
    <w:rsid w:val="00E56D6E"/>
    <w:rsid w:val="00E56FEF"/>
    <w:rsid w:val="00E5717E"/>
    <w:rsid w:val="00E5769B"/>
    <w:rsid w:val="00E577F9"/>
    <w:rsid w:val="00E57FB5"/>
    <w:rsid w:val="00E60105"/>
    <w:rsid w:val="00E605C3"/>
    <w:rsid w:val="00E60600"/>
    <w:rsid w:val="00E60759"/>
    <w:rsid w:val="00E60946"/>
    <w:rsid w:val="00E60AA5"/>
    <w:rsid w:val="00E60CB2"/>
    <w:rsid w:val="00E60DFA"/>
    <w:rsid w:val="00E60F14"/>
    <w:rsid w:val="00E6120A"/>
    <w:rsid w:val="00E61463"/>
    <w:rsid w:val="00E616B5"/>
    <w:rsid w:val="00E616C0"/>
    <w:rsid w:val="00E61B23"/>
    <w:rsid w:val="00E61D17"/>
    <w:rsid w:val="00E6233D"/>
    <w:rsid w:val="00E625BE"/>
    <w:rsid w:val="00E6284B"/>
    <w:rsid w:val="00E62929"/>
    <w:rsid w:val="00E6296A"/>
    <w:rsid w:val="00E62AE1"/>
    <w:rsid w:val="00E62B42"/>
    <w:rsid w:val="00E62B65"/>
    <w:rsid w:val="00E62D07"/>
    <w:rsid w:val="00E62DF6"/>
    <w:rsid w:val="00E62F30"/>
    <w:rsid w:val="00E63357"/>
    <w:rsid w:val="00E6340A"/>
    <w:rsid w:val="00E63460"/>
    <w:rsid w:val="00E63636"/>
    <w:rsid w:val="00E637D8"/>
    <w:rsid w:val="00E63A22"/>
    <w:rsid w:val="00E63B8F"/>
    <w:rsid w:val="00E6453D"/>
    <w:rsid w:val="00E64683"/>
    <w:rsid w:val="00E646B5"/>
    <w:rsid w:val="00E646D2"/>
    <w:rsid w:val="00E64803"/>
    <w:rsid w:val="00E64890"/>
    <w:rsid w:val="00E64C31"/>
    <w:rsid w:val="00E64EC7"/>
    <w:rsid w:val="00E65427"/>
    <w:rsid w:val="00E6543F"/>
    <w:rsid w:val="00E65647"/>
    <w:rsid w:val="00E65CDB"/>
    <w:rsid w:val="00E65FAB"/>
    <w:rsid w:val="00E66050"/>
    <w:rsid w:val="00E661C0"/>
    <w:rsid w:val="00E66235"/>
    <w:rsid w:val="00E663F5"/>
    <w:rsid w:val="00E666A0"/>
    <w:rsid w:val="00E66846"/>
    <w:rsid w:val="00E668C2"/>
    <w:rsid w:val="00E66E97"/>
    <w:rsid w:val="00E6717E"/>
    <w:rsid w:val="00E67433"/>
    <w:rsid w:val="00E67474"/>
    <w:rsid w:val="00E679B1"/>
    <w:rsid w:val="00E67B7E"/>
    <w:rsid w:val="00E67C5E"/>
    <w:rsid w:val="00E67E29"/>
    <w:rsid w:val="00E67F98"/>
    <w:rsid w:val="00E701D0"/>
    <w:rsid w:val="00E70355"/>
    <w:rsid w:val="00E70422"/>
    <w:rsid w:val="00E70BD6"/>
    <w:rsid w:val="00E70F00"/>
    <w:rsid w:val="00E71305"/>
    <w:rsid w:val="00E71A29"/>
    <w:rsid w:val="00E71BC5"/>
    <w:rsid w:val="00E72383"/>
    <w:rsid w:val="00E724D2"/>
    <w:rsid w:val="00E725FC"/>
    <w:rsid w:val="00E72A53"/>
    <w:rsid w:val="00E72D9F"/>
    <w:rsid w:val="00E72F06"/>
    <w:rsid w:val="00E72F14"/>
    <w:rsid w:val="00E72F29"/>
    <w:rsid w:val="00E73379"/>
    <w:rsid w:val="00E733F9"/>
    <w:rsid w:val="00E73648"/>
    <w:rsid w:val="00E73C41"/>
    <w:rsid w:val="00E73CAA"/>
    <w:rsid w:val="00E74203"/>
    <w:rsid w:val="00E74536"/>
    <w:rsid w:val="00E74933"/>
    <w:rsid w:val="00E7494A"/>
    <w:rsid w:val="00E74CEB"/>
    <w:rsid w:val="00E74DD1"/>
    <w:rsid w:val="00E74E22"/>
    <w:rsid w:val="00E74EDC"/>
    <w:rsid w:val="00E74EE7"/>
    <w:rsid w:val="00E754CB"/>
    <w:rsid w:val="00E75611"/>
    <w:rsid w:val="00E75737"/>
    <w:rsid w:val="00E75875"/>
    <w:rsid w:val="00E75886"/>
    <w:rsid w:val="00E75945"/>
    <w:rsid w:val="00E75B58"/>
    <w:rsid w:val="00E75D6E"/>
    <w:rsid w:val="00E75DB3"/>
    <w:rsid w:val="00E76007"/>
    <w:rsid w:val="00E76037"/>
    <w:rsid w:val="00E76181"/>
    <w:rsid w:val="00E7622D"/>
    <w:rsid w:val="00E767C3"/>
    <w:rsid w:val="00E7697B"/>
    <w:rsid w:val="00E76AC8"/>
    <w:rsid w:val="00E76B65"/>
    <w:rsid w:val="00E770F2"/>
    <w:rsid w:val="00E771DD"/>
    <w:rsid w:val="00E77386"/>
    <w:rsid w:val="00E773E6"/>
    <w:rsid w:val="00E775C8"/>
    <w:rsid w:val="00E776F8"/>
    <w:rsid w:val="00E77EAC"/>
    <w:rsid w:val="00E77EFB"/>
    <w:rsid w:val="00E77F49"/>
    <w:rsid w:val="00E800FA"/>
    <w:rsid w:val="00E802B8"/>
    <w:rsid w:val="00E80B75"/>
    <w:rsid w:val="00E81069"/>
    <w:rsid w:val="00E8106E"/>
    <w:rsid w:val="00E8147B"/>
    <w:rsid w:val="00E8151C"/>
    <w:rsid w:val="00E817AD"/>
    <w:rsid w:val="00E817EF"/>
    <w:rsid w:val="00E8184F"/>
    <w:rsid w:val="00E81968"/>
    <w:rsid w:val="00E81A45"/>
    <w:rsid w:val="00E81A72"/>
    <w:rsid w:val="00E81D6B"/>
    <w:rsid w:val="00E82460"/>
    <w:rsid w:val="00E82851"/>
    <w:rsid w:val="00E82856"/>
    <w:rsid w:val="00E828D5"/>
    <w:rsid w:val="00E82947"/>
    <w:rsid w:val="00E82D81"/>
    <w:rsid w:val="00E82EDC"/>
    <w:rsid w:val="00E83259"/>
    <w:rsid w:val="00E8373C"/>
    <w:rsid w:val="00E8375C"/>
    <w:rsid w:val="00E83803"/>
    <w:rsid w:val="00E839BE"/>
    <w:rsid w:val="00E83CAC"/>
    <w:rsid w:val="00E84113"/>
    <w:rsid w:val="00E841B2"/>
    <w:rsid w:val="00E844DB"/>
    <w:rsid w:val="00E8490B"/>
    <w:rsid w:val="00E84AF3"/>
    <w:rsid w:val="00E84C89"/>
    <w:rsid w:val="00E84D8D"/>
    <w:rsid w:val="00E84EAA"/>
    <w:rsid w:val="00E851C2"/>
    <w:rsid w:val="00E8547A"/>
    <w:rsid w:val="00E8556B"/>
    <w:rsid w:val="00E85790"/>
    <w:rsid w:val="00E858F8"/>
    <w:rsid w:val="00E85BC7"/>
    <w:rsid w:val="00E85E56"/>
    <w:rsid w:val="00E860DD"/>
    <w:rsid w:val="00E86E75"/>
    <w:rsid w:val="00E86F62"/>
    <w:rsid w:val="00E86FD3"/>
    <w:rsid w:val="00E86FFD"/>
    <w:rsid w:val="00E8713D"/>
    <w:rsid w:val="00E87336"/>
    <w:rsid w:val="00E8745D"/>
    <w:rsid w:val="00E87D1D"/>
    <w:rsid w:val="00E90146"/>
    <w:rsid w:val="00E9020E"/>
    <w:rsid w:val="00E90329"/>
    <w:rsid w:val="00E9051D"/>
    <w:rsid w:val="00E90B66"/>
    <w:rsid w:val="00E910D5"/>
    <w:rsid w:val="00E9135A"/>
    <w:rsid w:val="00E91C2F"/>
    <w:rsid w:val="00E922C4"/>
    <w:rsid w:val="00E923A6"/>
    <w:rsid w:val="00E92521"/>
    <w:rsid w:val="00E9299C"/>
    <w:rsid w:val="00E92F35"/>
    <w:rsid w:val="00E932EF"/>
    <w:rsid w:val="00E93985"/>
    <w:rsid w:val="00E93BAF"/>
    <w:rsid w:val="00E94030"/>
    <w:rsid w:val="00E940F3"/>
    <w:rsid w:val="00E943AE"/>
    <w:rsid w:val="00E947AA"/>
    <w:rsid w:val="00E947B0"/>
    <w:rsid w:val="00E94805"/>
    <w:rsid w:val="00E9486D"/>
    <w:rsid w:val="00E94D0A"/>
    <w:rsid w:val="00E951CF"/>
    <w:rsid w:val="00E9530D"/>
    <w:rsid w:val="00E95639"/>
    <w:rsid w:val="00E95994"/>
    <w:rsid w:val="00E95CDB"/>
    <w:rsid w:val="00E95D82"/>
    <w:rsid w:val="00E95F21"/>
    <w:rsid w:val="00E960AB"/>
    <w:rsid w:val="00E960AF"/>
    <w:rsid w:val="00E960DB"/>
    <w:rsid w:val="00E96273"/>
    <w:rsid w:val="00E96CAF"/>
    <w:rsid w:val="00E96E97"/>
    <w:rsid w:val="00E9793A"/>
    <w:rsid w:val="00E97A01"/>
    <w:rsid w:val="00E97AEC"/>
    <w:rsid w:val="00E97C66"/>
    <w:rsid w:val="00E97D49"/>
    <w:rsid w:val="00E97DC7"/>
    <w:rsid w:val="00E97EFD"/>
    <w:rsid w:val="00EA0251"/>
    <w:rsid w:val="00EA0265"/>
    <w:rsid w:val="00EA049C"/>
    <w:rsid w:val="00EA0588"/>
    <w:rsid w:val="00EA062B"/>
    <w:rsid w:val="00EA0707"/>
    <w:rsid w:val="00EA087B"/>
    <w:rsid w:val="00EA0B9D"/>
    <w:rsid w:val="00EA0D73"/>
    <w:rsid w:val="00EA0E47"/>
    <w:rsid w:val="00EA1065"/>
    <w:rsid w:val="00EA1077"/>
    <w:rsid w:val="00EA1434"/>
    <w:rsid w:val="00EA1455"/>
    <w:rsid w:val="00EA14AE"/>
    <w:rsid w:val="00EA16F8"/>
    <w:rsid w:val="00EA1C7A"/>
    <w:rsid w:val="00EA1E81"/>
    <w:rsid w:val="00EA1F47"/>
    <w:rsid w:val="00EA2A2C"/>
    <w:rsid w:val="00EA2B27"/>
    <w:rsid w:val="00EA2F11"/>
    <w:rsid w:val="00EA30D3"/>
    <w:rsid w:val="00EA3AD0"/>
    <w:rsid w:val="00EA3C3E"/>
    <w:rsid w:val="00EA3C9C"/>
    <w:rsid w:val="00EA3D04"/>
    <w:rsid w:val="00EA4154"/>
    <w:rsid w:val="00EA42C1"/>
    <w:rsid w:val="00EA4376"/>
    <w:rsid w:val="00EA4694"/>
    <w:rsid w:val="00EA4878"/>
    <w:rsid w:val="00EA48D3"/>
    <w:rsid w:val="00EA494C"/>
    <w:rsid w:val="00EA49E6"/>
    <w:rsid w:val="00EA4B7B"/>
    <w:rsid w:val="00EA4C6D"/>
    <w:rsid w:val="00EA4D76"/>
    <w:rsid w:val="00EA4F03"/>
    <w:rsid w:val="00EA500F"/>
    <w:rsid w:val="00EA546B"/>
    <w:rsid w:val="00EA57C5"/>
    <w:rsid w:val="00EA58F0"/>
    <w:rsid w:val="00EA59D8"/>
    <w:rsid w:val="00EA5AD1"/>
    <w:rsid w:val="00EA5B3C"/>
    <w:rsid w:val="00EA5D7E"/>
    <w:rsid w:val="00EA5F0A"/>
    <w:rsid w:val="00EA5F31"/>
    <w:rsid w:val="00EA5F92"/>
    <w:rsid w:val="00EA6264"/>
    <w:rsid w:val="00EA64B4"/>
    <w:rsid w:val="00EA6562"/>
    <w:rsid w:val="00EA65F1"/>
    <w:rsid w:val="00EA6665"/>
    <w:rsid w:val="00EA6935"/>
    <w:rsid w:val="00EA6967"/>
    <w:rsid w:val="00EA6DE6"/>
    <w:rsid w:val="00EA6F44"/>
    <w:rsid w:val="00EA6F94"/>
    <w:rsid w:val="00EA717B"/>
    <w:rsid w:val="00EA7306"/>
    <w:rsid w:val="00EA7422"/>
    <w:rsid w:val="00EA75F0"/>
    <w:rsid w:val="00EA7613"/>
    <w:rsid w:val="00EA765C"/>
    <w:rsid w:val="00EA793B"/>
    <w:rsid w:val="00EA7A7E"/>
    <w:rsid w:val="00EA7A93"/>
    <w:rsid w:val="00EA7FF6"/>
    <w:rsid w:val="00EB0334"/>
    <w:rsid w:val="00EB05DA"/>
    <w:rsid w:val="00EB085D"/>
    <w:rsid w:val="00EB1219"/>
    <w:rsid w:val="00EB18BC"/>
    <w:rsid w:val="00EB190F"/>
    <w:rsid w:val="00EB1A70"/>
    <w:rsid w:val="00EB2338"/>
    <w:rsid w:val="00EB235B"/>
    <w:rsid w:val="00EB25E7"/>
    <w:rsid w:val="00EB2BBE"/>
    <w:rsid w:val="00EB2FB1"/>
    <w:rsid w:val="00EB31A3"/>
    <w:rsid w:val="00EB325B"/>
    <w:rsid w:val="00EB334D"/>
    <w:rsid w:val="00EB387C"/>
    <w:rsid w:val="00EB389E"/>
    <w:rsid w:val="00EB3991"/>
    <w:rsid w:val="00EB3E22"/>
    <w:rsid w:val="00EB409C"/>
    <w:rsid w:val="00EB41C9"/>
    <w:rsid w:val="00EB430C"/>
    <w:rsid w:val="00EB51FF"/>
    <w:rsid w:val="00EB5B3C"/>
    <w:rsid w:val="00EB5C39"/>
    <w:rsid w:val="00EB5DB9"/>
    <w:rsid w:val="00EB5E78"/>
    <w:rsid w:val="00EB63AB"/>
    <w:rsid w:val="00EB65EE"/>
    <w:rsid w:val="00EB6621"/>
    <w:rsid w:val="00EB6685"/>
    <w:rsid w:val="00EB689B"/>
    <w:rsid w:val="00EB693B"/>
    <w:rsid w:val="00EB6EC9"/>
    <w:rsid w:val="00EB6F43"/>
    <w:rsid w:val="00EB70DC"/>
    <w:rsid w:val="00EB71DC"/>
    <w:rsid w:val="00EB75CF"/>
    <w:rsid w:val="00EB7A01"/>
    <w:rsid w:val="00EB7BA9"/>
    <w:rsid w:val="00EB7D75"/>
    <w:rsid w:val="00EC0572"/>
    <w:rsid w:val="00EC065A"/>
    <w:rsid w:val="00EC0995"/>
    <w:rsid w:val="00EC0B20"/>
    <w:rsid w:val="00EC0B30"/>
    <w:rsid w:val="00EC0B5A"/>
    <w:rsid w:val="00EC0EE7"/>
    <w:rsid w:val="00EC136D"/>
    <w:rsid w:val="00EC1772"/>
    <w:rsid w:val="00EC1BEC"/>
    <w:rsid w:val="00EC1C3A"/>
    <w:rsid w:val="00EC1E17"/>
    <w:rsid w:val="00EC1F51"/>
    <w:rsid w:val="00EC26DA"/>
    <w:rsid w:val="00EC272A"/>
    <w:rsid w:val="00EC2949"/>
    <w:rsid w:val="00EC2B1D"/>
    <w:rsid w:val="00EC30CB"/>
    <w:rsid w:val="00EC3270"/>
    <w:rsid w:val="00EC33B4"/>
    <w:rsid w:val="00EC3E5B"/>
    <w:rsid w:val="00EC404E"/>
    <w:rsid w:val="00EC408E"/>
    <w:rsid w:val="00EC4233"/>
    <w:rsid w:val="00EC447D"/>
    <w:rsid w:val="00EC4544"/>
    <w:rsid w:val="00EC4584"/>
    <w:rsid w:val="00EC47DE"/>
    <w:rsid w:val="00EC4A85"/>
    <w:rsid w:val="00EC4DFA"/>
    <w:rsid w:val="00EC5472"/>
    <w:rsid w:val="00EC57B2"/>
    <w:rsid w:val="00EC58F4"/>
    <w:rsid w:val="00EC5AF3"/>
    <w:rsid w:val="00EC650B"/>
    <w:rsid w:val="00EC68B1"/>
    <w:rsid w:val="00EC690D"/>
    <w:rsid w:val="00EC69BF"/>
    <w:rsid w:val="00EC7605"/>
    <w:rsid w:val="00EC76BB"/>
    <w:rsid w:val="00EC77E7"/>
    <w:rsid w:val="00EC7808"/>
    <w:rsid w:val="00EC7BFA"/>
    <w:rsid w:val="00EC7D2B"/>
    <w:rsid w:val="00ED01E4"/>
    <w:rsid w:val="00ED042E"/>
    <w:rsid w:val="00ED05DD"/>
    <w:rsid w:val="00ED0D4F"/>
    <w:rsid w:val="00ED0E2C"/>
    <w:rsid w:val="00ED0EF0"/>
    <w:rsid w:val="00ED11FB"/>
    <w:rsid w:val="00ED1295"/>
    <w:rsid w:val="00ED134F"/>
    <w:rsid w:val="00ED16C7"/>
    <w:rsid w:val="00ED17A0"/>
    <w:rsid w:val="00ED17CC"/>
    <w:rsid w:val="00ED1A9A"/>
    <w:rsid w:val="00ED1C7E"/>
    <w:rsid w:val="00ED2725"/>
    <w:rsid w:val="00ED2BDF"/>
    <w:rsid w:val="00ED34D1"/>
    <w:rsid w:val="00ED367F"/>
    <w:rsid w:val="00ED3829"/>
    <w:rsid w:val="00ED3BA1"/>
    <w:rsid w:val="00ED3FD0"/>
    <w:rsid w:val="00ED4206"/>
    <w:rsid w:val="00ED4295"/>
    <w:rsid w:val="00ED571C"/>
    <w:rsid w:val="00ED58A2"/>
    <w:rsid w:val="00ED58C3"/>
    <w:rsid w:val="00ED5BFE"/>
    <w:rsid w:val="00ED5C71"/>
    <w:rsid w:val="00ED5DD9"/>
    <w:rsid w:val="00ED5E23"/>
    <w:rsid w:val="00ED5EC3"/>
    <w:rsid w:val="00ED5EEE"/>
    <w:rsid w:val="00ED63AF"/>
    <w:rsid w:val="00ED64B4"/>
    <w:rsid w:val="00ED667C"/>
    <w:rsid w:val="00ED679C"/>
    <w:rsid w:val="00ED6884"/>
    <w:rsid w:val="00ED6C8A"/>
    <w:rsid w:val="00ED6CB3"/>
    <w:rsid w:val="00ED6D85"/>
    <w:rsid w:val="00ED6E7F"/>
    <w:rsid w:val="00ED6F3D"/>
    <w:rsid w:val="00ED74A6"/>
    <w:rsid w:val="00ED74DB"/>
    <w:rsid w:val="00ED7966"/>
    <w:rsid w:val="00ED7C01"/>
    <w:rsid w:val="00ED7CDE"/>
    <w:rsid w:val="00ED7E18"/>
    <w:rsid w:val="00ED7FFA"/>
    <w:rsid w:val="00EE0026"/>
    <w:rsid w:val="00EE01CC"/>
    <w:rsid w:val="00EE04EE"/>
    <w:rsid w:val="00EE07A6"/>
    <w:rsid w:val="00EE0BAF"/>
    <w:rsid w:val="00EE0C83"/>
    <w:rsid w:val="00EE12FD"/>
    <w:rsid w:val="00EE153D"/>
    <w:rsid w:val="00EE1760"/>
    <w:rsid w:val="00EE1B85"/>
    <w:rsid w:val="00EE1D10"/>
    <w:rsid w:val="00EE21B3"/>
    <w:rsid w:val="00EE2377"/>
    <w:rsid w:val="00EE2493"/>
    <w:rsid w:val="00EE26B9"/>
    <w:rsid w:val="00EE287D"/>
    <w:rsid w:val="00EE2A1E"/>
    <w:rsid w:val="00EE2E1C"/>
    <w:rsid w:val="00EE3321"/>
    <w:rsid w:val="00EE3B32"/>
    <w:rsid w:val="00EE3CFF"/>
    <w:rsid w:val="00EE3F39"/>
    <w:rsid w:val="00EE414C"/>
    <w:rsid w:val="00EE4160"/>
    <w:rsid w:val="00EE44FE"/>
    <w:rsid w:val="00EE4D77"/>
    <w:rsid w:val="00EE52B0"/>
    <w:rsid w:val="00EE5406"/>
    <w:rsid w:val="00EE58B0"/>
    <w:rsid w:val="00EE5B7C"/>
    <w:rsid w:val="00EE5D57"/>
    <w:rsid w:val="00EE5D87"/>
    <w:rsid w:val="00EE5EF8"/>
    <w:rsid w:val="00EE5F1A"/>
    <w:rsid w:val="00EE5F6A"/>
    <w:rsid w:val="00EE60C1"/>
    <w:rsid w:val="00EE6104"/>
    <w:rsid w:val="00EE6686"/>
    <w:rsid w:val="00EE6743"/>
    <w:rsid w:val="00EE6964"/>
    <w:rsid w:val="00EE6A1D"/>
    <w:rsid w:val="00EE6D18"/>
    <w:rsid w:val="00EE6F45"/>
    <w:rsid w:val="00EE6FFD"/>
    <w:rsid w:val="00EE7147"/>
    <w:rsid w:val="00EE75D3"/>
    <w:rsid w:val="00EE791E"/>
    <w:rsid w:val="00EE7D86"/>
    <w:rsid w:val="00EE7E7A"/>
    <w:rsid w:val="00EF04D6"/>
    <w:rsid w:val="00EF04D8"/>
    <w:rsid w:val="00EF0BC7"/>
    <w:rsid w:val="00EF0EC5"/>
    <w:rsid w:val="00EF1230"/>
    <w:rsid w:val="00EF1330"/>
    <w:rsid w:val="00EF1420"/>
    <w:rsid w:val="00EF18B8"/>
    <w:rsid w:val="00EF1B4E"/>
    <w:rsid w:val="00EF1CCC"/>
    <w:rsid w:val="00EF223B"/>
    <w:rsid w:val="00EF2544"/>
    <w:rsid w:val="00EF29DE"/>
    <w:rsid w:val="00EF2A7A"/>
    <w:rsid w:val="00EF2C4E"/>
    <w:rsid w:val="00EF2C67"/>
    <w:rsid w:val="00EF2C83"/>
    <w:rsid w:val="00EF303D"/>
    <w:rsid w:val="00EF313A"/>
    <w:rsid w:val="00EF3171"/>
    <w:rsid w:val="00EF36F2"/>
    <w:rsid w:val="00EF3800"/>
    <w:rsid w:val="00EF3978"/>
    <w:rsid w:val="00EF3A24"/>
    <w:rsid w:val="00EF3AAC"/>
    <w:rsid w:val="00EF3EA2"/>
    <w:rsid w:val="00EF3FAF"/>
    <w:rsid w:val="00EF40B2"/>
    <w:rsid w:val="00EF48B8"/>
    <w:rsid w:val="00EF4D42"/>
    <w:rsid w:val="00EF4FD1"/>
    <w:rsid w:val="00EF50BA"/>
    <w:rsid w:val="00EF5151"/>
    <w:rsid w:val="00EF516C"/>
    <w:rsid w:val="00EF52D2"/>
    <w:rsid w:val="00EF5318"/>
    <w:rsid w:val="00EF54AF"/>
    <w:rsid w:val="00EF5A40"/>
    <w:rsid w:val="00EF5FFD"/>
    <w:rsid w:val="00EF60AB"/>
    <w:rsid w:val="00EF6134"/>
    <w:rsid w:val="00EF6143"/>
    <w:rsid w:val="00EF6493"/>
    <w:rsid w:val="00EF6639"/>
    <w:rsid w:val="00EF6823"/>
    <w:rsid w:val="00EF6BAC"/>
    <w:rsid w:val="00EF6BB8"/>
    <w:rsid w:val="00EF708A"/>
    <w:rsid w:val="00EF7291"/>
    <w:rsid w:val="00EF72C3"/>
    <w:rsid w:val="00EF7410"/>
    <w:rsid w:val="00EF7579"/>
    <w:rsid w:val="00EF766A"/>
    <w:rsid w:val="00EF79CE"/>
    <w:rsid w:val="00F00152"/>
    <w:rsid w:val="00F0030B"/>
    <w:rsid w:val="00F00352"/>
    <w:rsid w:val="00F005BF"/>
    <w:rsid w:val="00F0067D"/>
    <w:rsid w:val="00F0091A"/>
    <w:rsid w:val="00F00941"/>
    <w:rsid w:val="00F00AE9"/>
    <w:rsid w:val="00F00B1B"/>
    <w:rsid w:val="00F00E37"/>
    <w:rsid w:val="00F010EE"/>
    <w:rsid w:val="00F01383"/>
    <w:rsid w:val="00F01641"/>
    <w:rsid w:val="00F0167D"/>
    <w:rsid w:val="00F0177A"/>
    <w:rsid w:val="00F019D5"/>
    <w:rsid w:val="00F01AD6"/>
    <w:rsid w:val="00F0209E"/>
    <w:rsid w:val="00F02500"/>
    <w:rsid w:val="00F02680"/>
    <w:rsid w:val="00F02CC1"/>
    <w:rsid w:val="00F02DC0"/>
    <w:rsid w:val="00F02E54"/>
    <w:rsid w:val="00F032E2"/>
    <w:rsid w:val="00F037E3"/>
    <w:rsid w:val="00F03B4C"/>
    <w:rsid w:val="00F03FF2"/>
    <w:rsid w:val="00F044D5"/>
    <w:rsid w:val="00F04AB3"/>
    <w:rsid w:val="00F04DDA"/>
    <w:rsid w:val="00F04F9E"/>
    <w:rsid w:val="00F057AF"/>
    <w:rsid w:val="00F05ADD"/>
    <w:rsid w:val="00F05E01"/>
    <w:rsid w:val="00F05E12"/>
    <w:rsid w:val="00F06A47"/>
    <w:rsid w:val="00F06E0B"/>
    <w:rsid w:val="00F06E49"/>
    <w:rsid w:val="00F0717F"/>
    <w:rsid w:val="00F0747A"/>
    <w:rsid w:val="00F07788"/>
    <w:rsid w:val="00F07849"/>
    <w:rsid w:val="00F07882"/>
    <w:rsid w:val="00F07883"/>
    <w:rsid w:val="00F07B49"/>
    <w:rsid w:val="00F07C32"/>
    <w:rsid w:val="00F07E51"/>
    <w:rsid w:val="00F10177"/>
    <w:rsid w:val="00F10788"/>
    <w:rsid w:val="00F1092A"/>
    <w:rsid w:val="00F10A70"/>
    <w:rsid w:val="00F10D83"/>
    <w:rsid w:val="00F11076"/>
    <w:rsid w:val="00F114B2"/>
    <w:rsid w:val="00F11762"/>
    <w:rsid w:val="00F117E7"/>
    <w:rsid w:val="00F1196B"/>
    <w:rsid w:val="00F11A6A"/>
    <w:rsid w:val="00F11AF1"/>
    <w:rsid w:val="00F126BD"/>
    <w:rsid w:val="00F12D35"/>
    <w:rsid w:val="00F12DCD"/>
    <w:rsid w:val="00F13284"/>
    <w:rsid w:val="00F13420"/>
    <w:rsid w:val="00F13433"/>
    <w:rsid w:val="00F134FC"/>
    <w:rsid w:val="00F1350E"/>
    <w:rsid w:val="00F13CF8"/>
    <w:rsid w:val="00F14419"/>
    <w:rsid w:val="00F145B4"/>
    <w:rsid w:val="00F1470E"/>
    <w:rsid w:val="00F147A5"/>
    <w:rsid w:val="00F14AA7"/>
    <w:rsid w:val="00F14B1F"/>
    <w:rsid w:val="00F14C4F"/>
    <w:rsid w:val="00F14D19"/>
    <w:rsid w:val="00F152B6"/>
    <w:rsid w:val="00F15359"/>
    <w:rsid w:val="00F15884"/>
    <w:rsid w:val="00F159DA"/>
    <w:rsid w:val="00F15B8E"/>
    <w:rsid w:val="00F15C18"/>
    <w:rsid w:val="00F15E16"/>
    <w:rsid w:val="00F16665"/>
    <w:rsid w:val="00F1681C"/>
    <w:rsid w:val="00F16B40"/>
    <w:rsid w:val="00F16C87"/>
    <w:rsid w:val="00F16FB0"/>
    <w:rsid w:val="00F1733B"/>
    <w:rsid w:val="00F17474"/>
    <w:rsid w:val="00F174EA"/>
    <w:rsid w:val="00F2009B"/>
    <w:rsid w:val="00F201CC"/>
    <w:rsid w:val="00F20487"/>
    <w:rsid w:val="00F206C3"/>
    <w:rsid w:val="00F206EC"/>
    <w:rsid w:val="00F20B22"/>
    <w:rsid w:val="00F20F65"/>
    <w:rsid w:val="00F20F98"/>
    <w:rsid w:val="00F2106D"/>
    <w:rsid w:val="00F212B0"/>
    <w:rsid w:val="00F216EF"/>
    <w:rsid w:val="00F21709"/>
    <w:rsid w:val="00F221CC"/>
    <w:rsid w:val="00F22312"/>
    <w:rsid w:val="00F22337"/>
    <w:rsid w:val="00F22436"/>
    <w:rsid w:val="00F22C14"/>
    <w:rsid w:val="00F22D65"/>
    <w:rsid w:val="00F23175"/>
    <w:rsid w:val="00F2329B"/>
    <w:rsid w:val="00F23859"/>
    <w:rsid w:val="00F23915"/>
    <w:rsid w:val="00F23A18"/>
    <w:rsid w:val="00F23FB0"/>
    <w:rsid w:val="00F2480A"/>
    <w:rsid w:val="00F24891"/>
    <w:rsid w:val="00F24AF7"/>
    <w:rsid w:val="00F24B9F"/>
    <w:rsid w:val="00F24CA5"/>
    <w:rsid w:val="00F24CA6"/>
    <w:rsid w:val="00F24ECC"/>
    <w:rsid w:val="00F25345"/>
    <w:rsid w:val="00F2557F"/>
    <w:rsid w:val="00F256AE"/>
    <w:rsid w:val="00F25773"/>
    <w:rsid w:val="00F257FA"/>
    <w:rsid w:val="00F2587A"/>
    <w:rsid w:val="00F25E68"/>
    <w:rsid w:val="00F26004"/>
    <w:rsid w:val="00F26120"/>
    <w:rsid w:val="00F270E8"/>
    <w:rsid w:val="00F2757A"/>
    <w:rsid w:val="00F27640"/>
    <w:rsid w:val="00F27EF5"/>
    <w:rsid w:val="00F27FDB"/>
    <w:rsid w:val="00F30178"/>
    <w:rsid w:val="00F30251"/>
    <w:rsid w:val="00F30308"/>
    <w:rsid w:val="00F305CC"/>
    <w:rsid w:val="00F313C9"/>
    <w:rsid w:val="00F3179A"/>
    <w:rsid w:val="00F31938"/>
    <w:rsid w:val="00F31A0F"/>
    <w:rsid w:val="00F31AEC"/>
    <w:rsid w:val="00F31C73"/>
    <w:rsid w:val="00F31D54"/>
    <w:rsid w:val="00F32357"/>
    <w:rsid w:val="00F3253E"/>
    <w:rsid w:val="00F325B0"/>
    <w:rsid w:val="00F32610"/>
    <w:rsid w:val="00F32894"/>
    <w:rsid w:val="00F32AB9"/>
    <w:rsid w:val="00F32AC6"/>
    <w:rsid w:val="00F32C70"/>
    <w:rsid w:val="00F33217"/>
    <w:rsid w:val="00F33568"/>
    <w:rsid w:val="00F335A0"/>
    <w:rsid w:val="00F335B1"/>
    <w:rsid w:val="00F33A93"/>
    <w:rsid w:val="00F33D7D"/>
    <w:rsid w:val="00F33E70"/>
    <w:rsid w:val="00F33E99"/>
    <w:rsid w:val="00F33FCA"/>
    <w:rsid w:val="00F3481F"/>
    <w:rsid w:val="00F3494B"/>
    <w:rsid w:val="00F34B0B"/>
    <w:rsid w:val="00F34D38"/>
    <w:rsid w:val="00F34E02"/>
    <w:rsid w:val="00F3549E"/>
    <w:rsid w:val="00F35759"/>
    <w:rsid w:val="00F35974"/>
    <w:rsid w:val="00F35EAB"/>
    <w:rsid w:val="00F3605F"/>
    <w:rsid w:val="00F362A2"/>
    <w:rsid w:val="00F36315"/>
    <w:rsid w:val="00F365A7"/>
    <w:rsid w:val="00F36734"/>
    <w:rsid w:val="00F36748"/>
    <w:rsid w:val="00F3681C"/>
    <w:rsid w:val="00F36AEA"/>
    <w:rsid w:val="00F36E5A"/>
    <w:rsid w:val="00F36F7D"/>
    <w:rsid w:val="00F372B8"/>
    <w:rsid w:val="00F3769D"/>
    <w:rsid w:val="00F37AFF"/>
    <w:rsid w:val="00F40397"/>
    <w:rsid w:val="00F404F4"/>
    <w:rsid w:val="00F40C11"/>
    <w:rsid w:val="00F40FD2"/>
    <w:rsid w:val="00F4119B"/>
    <w:rsid w:val="00F41214"/>
    <w:rsid w:val="00F4143E"/>
    <w:rsid w:val="00F4158E"/>
    <w:rsid w:val="00F419B0"/>
    <w:rsid w:val="00F41CC5"/>
    <w:rsid w:val="00F41D25"/>
    <w:rsid w:val="00F42042"/>
    <w:rsid w:val="00F423C2"/>
    <w:rsid w:val="00F427D7"/>
    <w:rsid w:val="00F429CE"/>
    <w:rsid w:val="00F42C7E"/>
    <w:rsid w:val="00F4326F"/>
    <w:rsid w:val="00F432A2"/>
    <w:rsid w:val="00F433F8"/>
    <w:rsid w:val="00F433FE"/>
    <w:rsid w:val="00F435CE"/>
    <w:rsid w:val="00F43627"/>
    <w:rsid w:val="00F43643"/>
    <w:rsid w:val="00F436BF"/>
    <w:rsid w:val="00F43781"/>
    <w:rsid w:val="00F438BC"/>
    <w:rsid w:val="00F43B29"/>
    <w:rsid w:val="00F43F02"/>
    <w:rsid w:val="00F44331"/>
    <w:rsid w:val="00F443F9"/>
    <w:rsid w:val="00F4463C"/>
    <w:rsid w:val="00F44FCA"/>
    <w:rsid w:val="00F450BE"/>
    <w:rsid w:val="00F45D06"/>
    <w:rsid w:val="00F463BC"/>
    <w:rsid w:val="00F46771"/>
    <w:rsid w:val="00F468B2"/>
    <w:rsid w:val="00F46913"/>
    <w:rsid w:val="00F46CE3"/>
    <w:rsid w:val="00F47342"/>
    <w:rsid w:val="00F473A5"/>
    <w:rsid w:val="00F473F3"/>
    <w:rsid w:val="00F474B8"/>
    <w:rsid w:val="00F478CA"/>
    <w:rsid w:val="00F47B93"/>
    <w:rsid w:val="00F47CE2"/>
    <w:rsid w:val="00F500E2"/>
    <w:rsid w:val="00F501F3"/>
    <w:rsid w:val="00F50228"/>
    <w:rsid w:val="00F504A4"/>
    <w:rsid w:val="00F504DF"/>
    <w:rsid w:val="00F50586"/>
    <w:rsid w:val="00F507D8"/>
    <w:rsid w:val="00F509C3"/>
    <w:rsid w:val="00F50A98"/>
    <w:rsid w:val="00F50E5F"/>
    <w:rsid w:val="00F51243"/>
    <w:rsid w:val="00F512F6"/>
    <w:rsid w:val="00F51333"/>
    <w:rsid w:val="00F51460"/>
    <w:rsid w:val="00F51487"/>
    <w:rsid w:val="00F51667"/>
    <w:rsid w:val="00F516CE"/>
    <w:rsid w:val="00F51EA1"/>
    <w:rsid w:val="00F5210E"/>
    <w:rsid w:val="00F521DC"/>
    <w:rsid w:val="00F5247A"/>
    <w:rsid w:val="00F5276B"/>
    <w:rsid w:val="00F52CAF"/>
    <w:rsid w:val="00F53173"/>
    <w:rsid w:val="00F53199"/>
    <w:rsid w:val="00F535C3"/>
    <w:rsid w:val="00F53844"/>
    <w:rsid w:val="00F53C5B"/>
    <w:rsid w:val="00F541A1"/>
    <w:rsid w:val="00F54330"/>
    <w:rsid w:val="00F54788"/>
    <w:rsid w:val="00F54B09"/>
    <w:rsid w:val="00F54BA3"/>
    <w:rsid w:val="00F54BCD"/>
    <w:rsid w:val="00F54BEA"/>
    <w:rsid w:val="00F54E3E"/>
    <w:rsid w:val="00F54E8A"/>
    <w:rsid w:val="00F55564"/>
    <w:rsid w:val="00F559A8"/>
    <w:rsid w:val="00F559EE"/>
    <w:rsid w:val="00F55C21"/>
    <w:rsid w:val="00F55E5F"/>
    <w:rsid w:val="00F55F2F"/>
    <w:rsid w:val="00F55F6D"/>
    <w:rsid w:val="00F560CD"/>
    <w:rsid w:val="00F569FB"/>
    <w:rsid w:val="00F572FB"/>
    <w:rsid w:val="00F5736B"/>
    <w:rsid w:val="00F5740D"/>
    <w:rsid w:val="00F57498"/>
    <w:rsid w:val="00F57880"/>
    <w:rsid w:val="00F57A29"/>
    <w:rsid w:val="00F57EAB"/>
    <w:rsid w:val="00F57EBB"/>
    <w:rsid w:val="00F601FB"/>
    <w:rsid w:val="00F608AB"/>
    <w:rsid w:val="00F60BE7"/>
    <w:rsid w:val="00F60CEF"/>
    <w:rsid w:val="00F60D09"/>
    <w:rsid w:val="00F60D64"/>
    <w:rsid w:val="00F6116D"/>
    <w:rsid w:val="00F6116F"/>
    <w:rsid w:val="00F614BA"/>
    <w:rsid w:val="00F614F4"/>
    <w:rsid w:val="00F6159C"/>
    <w:rsid w:val="00F61714"/>
    <w:rsid w:val="00F61DC3"/>
    <w:rsid w:val="00F6238F"/>
    <w:rsid w:val="00F631C0"/>
    <w:rsid w:val="00F635DC"/>
    <w:rsid w:val="00F637F0"/>
    <w:rsid w:val="00F63874"/>
    <w:rsid w:val="00F63C8C"/>
    <w:rsid w:val="00F63E44"/>
    <w:rsid w:val="00F63E59"/>
    <w:rsid w:val="00F6421B"/>
    <w:rsid w:val="00F64220"/>
    <w:rsid w:val="00F642C8"/>
    <w:rsid w:val="00F646F8"/>
    <w:rsid w:val="00F64837"/>
    <w:rsid w:val="00F64A90"/>
    <w:rsid w:val="00F64BE0"/>
    <w:rsid w:val="00F64C9D"/>
    <w:rsid w:val="00F64FB4"/>
    <w:rsid w:val="00F650B2"/>
    <w:rsid w:val="00F65343"/>
    <w:rsid w:val="00F653A2"/>
    <w:rsid w:val="00F654B6"/>
    <w:rsid w:val="00F65B57"/>
    <w:rsid w:val="00F65B68"/>
    <w:rsid w:val="00F65C61"/>
    <w:rsid w:val="00F66160"/>
    <w:rsid w:val="00F66DEE"/>
    <w:rsid w:val="00F67047"/>
    <w:rsid w:val="00F6709C"/>
    <w:rsid w:val="00F676F6"/>
    <w:rsid w:val="00F67755"/>
    <w:rsid w:val="00F67846"/>
    <w:rsid w:val="00F67935"/>
    <w:rsid w:val="00F67B42"/>
    <w:rsid w:val="00F67FC0"/>
    <w:rsid w:val="00F701AB"/>
    <w:rsid w:val="00F7058A"/>
    <w:rsid w:val="00F70B72"/>
    <w:rsid w:val="00F70DEF"/>
    <w:rsid w:val="00F70EA3"/>
    <w:rsid w:val="00F71169"/>
    <w:rsid w:val="00F71398"/>
    <w:rsid w:val="00F716B0"/>
    <w:rsid w:val="00F71B82"/>
    <w:rsid w:val="00F7235F"/>
    <w:rsid w:val="00F72402"/>
    <w:rsid w:val="00F72411"/>
    <w:rsid w:val="00F7282E"/>
    <w:rsid w:val="00F7294C"/>
    <w:rsid w:val="00F72C5F"/>
    <w:rsid w:val="00F72C97"/>
    <w:rsid w:val="00F72CFE"/>
    <w:rsid w:val="00F7303C"/>
    <w:rsid w:val="00F731C2"/>
    <w:rsid w:val="00F73208"/>
    <w:rsid w:val="00F73549"/>
    <w:rsid w:val="00F7355C"/>
    <w:rsid w:val="00F7392F"/>
    <w:rsid w:val="00F73C76"/>
    <w:rsid w:val="00F73D34"/>
    <w:rsid w:val="00F73DF1"/>
    <w:rsid w:val="00F73E0D"/>
    <w:rsid w:val="00F73EA9"/>
    <w:rsid w:val="00F741DE"/>
    <w:rsid w:val="00F742BD"/>
    <w:rsid w:val="00F7465E"/>
    <w:rsid w:val="00F74766"/>
    <w:rsid w:val="00F7573C"/>
    <w:rsid w:val="00F75782"/>
    <w:rsid w:val="00F760DA"/>
    <w:rsid w:val="00F760F1"/>
    <w:rsid w:val="00F7624F"/>
    <w:rsid w:val="00F76291"/>
    <w:rsid w:val="00F7644D"/>
    <w:rsid w:val="00F765B5"/>
    <w:rsid w:val="00F768CE"/>
    <w:rsid w:val="00F76C82"/>
    <w:rsid w:val="00F76E4E"/>
    <w:rsid w:val="00F76EF0"/>
    <w:rsid w:val="00F775B4"/>
    <w:rsid w:val="00F77615"/>
    <w:rsid w:val="00F77D8C"/>
    <w:rsid w:val="00F77EB7"/>
    <w:rsid w:val="00F77EEF"/>
    <w:rsid w:val="00F80144"/>
    <w:rsid w:val="00F80418"/>
    <w:rsid w:val="00F80512"/>
    <w:rsid w:val="00F80A42"/>
    <w:rsid w:val="00F80A77"/>
    <w:rsid w:val="00F80C1D"/>
    <w:rsid w:val="00F81130"/>
    <w:rsid w:val="00F8138F"/>
    <w:rsid w:val="00F813DF"/>
    <w:rsid w:val="00F818F7"/>
    <w:rsid w:val="00F81972"/>
    <w:rsid w:val="00F82193"/>
    <w:rsid w:val="00F82530"/>
    <w:rsid w:val="00F8253B"/>
    <w:rsid w:val="00F8268E"/>
    <w:rsid w:val="00F830CF"/>
    <w:rsid w:val="00F830E3"/>
    <w:rsid w:val="00F8319C"/>
    <w:rsid w:val="00F8325D"/>
    <w:rsid w:val="00F832A9"/>
    <w:rsid w:val="00F832B0"/>
    <w:rsid w:val="00F83307"/>
    <w:rsid w:val="00F833A5"/>
    <w:rsid w:val="00F8364D"/>
    <w:rsid w:val="00F83694"/>
    <w:rsid w:val="00F83C5E"/>
    <w:rsid w:val="00F84476"/>
    <w:rsid w:val="00F844D3"/>
    <w:rsid w:val="00F84629"/>
    <w:rsid w:val="00F8476A"/>
    <w:rsid w:val="00F84B71"/>
    <w:rsid w:val="00F84DFA"/>
    <w:rsid w:val="00F84F0E"/>
    <w:rsid w:val="00F84FB5"/>
    <w:rsid w:val="00F85086"/>
    <w:rsid w:val="00F8519E"/>
    <w:rsid w:val="00F856A0"/>
    <w:rsid w:val="00F8583C"/>
    <w:rsid w:val="00F858B1"/>
    <w:rsid w:val="00F85D30"/>
    <w:rsid w:val="00F85D5F"/>
    <w:rsid w:val="00F85FF5"/>
    <w:rsid w:val="00F860BA"/>
    <w:rsid w:val="00F86707"/>
    <w:rsid w:val="00F86795"/>
    <w:rsid w:val="00F86BB4"/>
    <w:rsid w:val="00F86DB7"/>
    <w:rsid w:val="00F86DF3"/>
    <w:rsid w:val="00F86E2D"/>
    <w:rsid w:val="00F870F5"/>
    <w:rsid w:val="00F873C7"/>
    <w:rsid w:val="00F87933"/>
    <w:rsid w:val="00F87D42"/>
    <w:rsid w:val="00F87EA6"/>
    <w:rsid w:val="00F90080"/>
    <w:rsid w:val="00F902D2"/>
    <w:rsid w:val="00F9081C"/>
    <w:rsid w:val="00F90B12"/>
    <w:rsid w:val="00F90BA4"/>
    <w:rsid w:val="00F90CBD"/>
    <w:rsid w:val="00F9109E"/>
    <w:rsid w:val="00F9170F"/>
    <w:rsid w:val="00F9177E"/>
    <w:rsid w:val="00F917E2"/>
    <w:rsid w:val="00F91CF2"/>
    <w:rsid w:val="00F91E4F"/>
    <w:rsid w:val="00F91EEA"/>
    <w:rsid w:val="00F91FDF"/>
    <w:rsid w:val="00F9220E"/>
    <w:rsid w:val="00F92219"/>
    <w:rsid w:val="00F922C8"/>
    <w:rsid w:val="00F92965"/>
    <w:rsid w:val="00F92AA1"/>
    <w:rsid w:val="00F92B95"/>
    <w:rsid w:val="00F92D84"/>
    <w:rsid w:val="00F92DDB"/>
    <w:rsid w:val="00F92FDC"/>
    <w:rsid w:val="00F931D2"/>
    <w:rsid w:val="00F932C8"/>
    <w:rsid w:val="00F93431"/>
    <w:rsid w:val="00F9353C"/>
    <w:rsid w:val="00F93A4A"/>
    <w:rsid w:val="00F93A94"/>
    <w:rsid w:val="00F93D27"/>
    <w:rsid w:val="00F93D81"/>
    <w:rsid w:val="00F93DE5"/>
    <w:rsid w:val="00F9401B"/>
    <w:rsid w:val="00F94036"/>
    <w:rsid w:val="00F94190"/>
    <w:rsid w:val="00F942E7"/>
    <w:rsid w:val="00F94B5F"/>
    <w:rsid w:val="00F95582"/>
    <w:rsid w:val="00F9574F"/>
    <w:rsid w:val="00F95B55"/>
    <w:rsid w:val="00F95C5F"/>
    <w:rsid w:val="00F95DD6"/>
    <w:rsid w:val="00F96011"/>
    <w:rsid w:val="00F9613B"/>
    <w:rsid w:val="00F96245"/>
    <w:rsid w:val="00F96370"/>
    <w:rsid w:val="00F963BA"/>
    <w:rsid w:val="00F96640"/>
    <w:rsid w:val="00F96839"/>
    <w:rsid w:val="00F96940"/>
    <w:rsid w:val="00F96ED8"/>
    <w:rsid w:val="00F96F73"/>
    <w:rsid w:val="00F97019"/>
    <w:rsid w:val="00F9718C"/>
    <w:rsid w:val="00F97940"/>
    <w:rsid w:val="00F97980"/>
    <w:rsid w:val="00F97ACC"/>
    <w:rsid w:val="00F97BA3"/>
    <w:rsid w:val="00F97EA2"/>
    <w:rsid w:val="00F97F0D"/>
    <w:rsid w:val="00FA0594"/>
    <w:rsid w:val="00FA0B0A"/>
    <w:rsid w:val="00FA0BB9"/>
    <w:rsid w:val="00FA0CBA"/>
    <w:rsid w:val="00FA0EBE"/>
    <w:rsid w:val="00FA11F7"/>
    <w:rsid w:val="00FA121C"/>
    <w:rsid w:val="00FA1407"/>
    <w:rsid w:val="00FA1A68"/>
    <w:rsid w:val="00FA1B1A"/>
    <w:rsid w:val="00FA1E6D"/>
    <w:rsid w:val="00FA1FFB"/>
    <w:rsid w:val="00FA2543"/>
    <w:rsid w:val="00FA2747"/>
    <w:rsid w:val="00FA294E"/>
    <w:rsid w:val="00FA2A33"/>
    <w:rsid w:val="00FA2A82"/>
    <w:rsid w:val="00FA2A8A"/>
    <w:rsid w:val="00FA2C8F"/>
    <w:rsid w:val="00FA2CF7"/>
    <w:rsid w:val="00FA2DD7"/>
    <w:rsid w:val="00FA2E8E"/>
    <w:rsid w:val="00FA2F4B"/>
    <w:rsid w:val="00FA3021"/>
    <w:rsid w:val="00FA32AA"/>
    <w:rsid w:val="00FA3410"/>
    <w:rsid w:val="00FA3420"/>
    <w:rsid w:val="00FA360B"/>
    <w:rsid w:val="00FA3860"/>
    <w:rsid w:val="00FA3A50"/>
    <w:rsid w:val="00FA3CC9"/>
    <w:rsid w:val="00FA41B7"/>
    <w:rsid w:val="00FA4763"/>
    <w:rsid w:val="00FA4830"/>
    <w:rsid w:val="00FA5032"/>
    <w:rsid w:val="00FA54B8"/>
    <w:rsid w:val="00FA5709"/>
    <w:rsid w:val="00FA5818"/>
    <w:rsid w:val="00FA592B"/>
    <w:rsid w:val="00FA5AA6"/>
    <w:rsid w:val="00FA5AF4"/>
    <w:rsid w:val="00FA6246"/>
    <w:rsid w:val="00FA6629"/>
    <w:rsid w:val="00FA68C0"/>
    <w:rsid w:val="00FA6980"/>
    <w:rsid w:val="00FA6CDF"/>
    <w:rsid w:val="00FA701A"/>
    <w:rsid w:val="00FA70F0"/>
    <w:rsid w:val="00FA71D8"/>
    <w:rsid w:val="00FA7699"/>
    <w:rsid w:val="00FA7776"/>
    <w:rsid w:val="00FA7B36"/>
    <w:rsid w:val="00FA7BB5"/>
    <w:rsid w:val="00FA7C85"/>
    <w:rsid w:val="00FB0386"/>
    <w:rsid w:val="00FB0411"/>
    <w:rsid w:val="00FB05EA"/>
    <w:rsid w:val="00FB0801"/>
    <w:rsid w:val="00FB12D8"/>
    <w:rsid w:val="00FB176A"/>
    <w:rsid w:val="00FB179D"/>
    <w:rsid w:val="00FB180A"/>
    <w:rsid w:val="00FB1A76"/>
    <w:rsid w:val="00FB1B4E"/>
    <w:rsid w:val="00FB1CDC"/>
    <w:rsid w:val="00FB238A"/>
    <w:rsid w:val="00FB23F3"/>
    <w:rsid w:val="00FB2446"/>
    <w:rsid w:val="00FB2A1B"/>
    <w:rsid w:val="00FB2A98"/>
    <w:rsid w:val="00FB2B58"/>
    <w:rsid w:val="00FB2BE8"/>
    <w:rsid w:val="00FB2C81"/>
    <w:rsid w:val="00FB355B"/>
    <w:rsid w:val="00FB3606"/>
    <w:rsid w:val="00FB38A9"/>
    <w:rsid w:val="00FB391B"/>
    <w:rsid w:val="00FB3BC4"/>
    <w:rsid w:val="00FB3E7F"/>
    <w:rsid w:val="00FB3F9C"/>
    <w:rsid w:val="00FB3FDE"/>
    <w:rsid w:val="00FB446F"/>
    <w:rsid w:val="00FB4586"/>
    <w:rsid w:val="00FB4676"/>
    <w:rsid w:val="00FB4722"/>
    <w:rsid w:val="00FB4C38"/>
    <w:rsid w:val="00FB5327"/>
    <w:rsid w:val="00FB53C0"/>
    <w:rsid w:val="00FB5552"/>
    <w:rsid w:val="00FB5555"/>
    <w:rsid w:val="00FB5789"/>
    <w:rsid w:val="00FB5887"/>
    <w:rsid w:val="00FB5C29"/>
    <w:rsid w:val="00FB5F02"/>
    <w:rsid w:val="00FB5F3A"/>
    <w:rsid w:val="00FB63A6"/>
    <w:rsid w:val="00FB69F5"/>
    <w:rsid w:val="00FB6A30"/>
    <w:rsid w:val="00FB6AA9"/>
    <w:rsid w:val="00FB6AD4"/>
    <w:rsid w:val="00FB72AF"/>
    <w:rsid w:val="00FB77F6"/>
    <w:rsid w:val="00FB78A0"/>
    <w:rsid w:val="00FB7907"/>
    <w:rsid w:val="00FB7F22"/>
    <w:rsid w:val="00FC00F3"/>
    <w:rsid w:val="00FC0685"/>
    <w:rsid w:val="00FC0A33"/>
    <w:rsid w:val="00FC0F7B"/>
    <w:rsid w:val="00FC13E9"/>
    <w:rsid w:val="00FC1416"/>
    <w:rsid w:val="00FC14B2"/>
    <w:rsid w:val="00FC1650"/>
    <w:rsid w:val="00FC1793"/>
    <w:rsid w:val="00FC1823"/>
    <w:rsid w:val="00FC1C13"/>
    <w:rsid w:val="00FC20EE"/>
    <w:rsid w:val="00FC2182"/>
    <w:rsid w:val="00FC2198"/>
    <w:rsid w:val="00FC2472"/>
    <w:rsid w:val="00FC26A4"/>
    <w:rsid w:val="00FC2795"/>
    <w:rsid w:val="00FC2C92"/>
    <w:rsid w:val="00FC2C93"/>
    <w:rsid w:val="00FC325A"/>
    <w:rsid w:val="00FC3338"/>
    <w:rsid w:val="00FC33ED"/>
    <w:rsid w:val="00FC36E6"/>
    <w:rsid w:val="00FC3B5E"/>
    <w:rsid w:val="00FC4013"/>
    <w:rsid w:val="00FC403F"/>
    <w:rsid w:val="00FC439C"/>
    <w:rsid w:val="00FC43AD"/>
    <w:rsid w:val="00FC5103"/>
    <w:rsid w:val="00FC5791"/>
    <w:rsid w:val="00FC5876"/>
    <w:rsid w:val="00FC58B9"/>
    <w:rsid w:val="00FC60DE"/>
    <w:rsid w:val="00FC60FE"/>
    <w:rsid w:val="00FC6173"/>
    <w:rsid w:val="00FC62F5"/>
    <w:rsid w:val="00FC6432"/>
    <w:rsid w:val="00FC68A3"/>
    <w:rsid w:val="00FC69BD"/>
    <w:rsid w:val="00FC69FB"/>
    <w:rsid w:val="00FC714F"/>
    <w:rsid w:val="00FC723E"/>
    <w:rsid w:val="00FC7288"/>
    <w:rsid w:val="00FC731E"/>
    <w:rsid w:val="00FC7883"/>
    <w:rsid w:val="00FC7DFA"/>
    <w:rsid w:val="00FC7EBB"/>
    <w:rsid w:val="00FC7F12"/>
    <w:rsid w:val="00FD002B"/>
    <w:rsid w:val="00FD00AA"/>
    <w:rsid w:val="00FD035A"/>
    <w:rsid w:val="00FD0810"/>
    <w:rsid w:val="00FD0833"/>
    <w:rsid w:val="00FD09E3"/>
    <w:rsid w:val="00FD0EA5"/>
    <w:rsid w:val="00FD1002"/>
    <w:rsid w:val="00FD19F1"/>
    <w:rsid w:val="00FD1A7E"/>
    <w:rsid w:val="00FD24F4"/>
    <w:rsid w:val="00FD2584"/>
    <w:rsid w:val="00FD292E"/>
    <w:rsid w:val="00FD2967"/>
    <w:rsid w:val="00FD2CC3"/>
    <w:rsid w:val="00FD301F"/>
    <w:rsid w:val="00FD31BF"/>
    <w:rsid w:val="00FD3B2B"/>
    <w:rsid w:val="00FD3CC7"/>
    <w:rsid w:val="00FD3F92"/>
    <w:rsid w:val="00FD408B"/>
    <w:rsid w:val="00FD4148"/>
    <w:rsid w:val="00FD4B55"/>
    <w:rsid w:val="00FD4D5B"/>
    <w:rsid w:val="00FD4E32"/>
    <w:rsid w:val="00FD4EF9"/>
    <w:rsid w:val="00FD50E0"/>
    <w:rsid w:val="00FD54D8"/>
    <w:rsid w:val="00FD5626"/>
    <w:rsid w:val="00FD57AF"/>
    <w:rsid w:val="00FD5952"/>
    <w:rsid w:val="00FD61B7"/>
    <w:rsid w:val="00FD6416"/>
    <w:rsid w:val="00FD6453"/>
    <w:rsid w:val="00FD6580"/>
    <w:rsid w:val="00FD6737"/>
    <w:rsid w:val="00FD67FD"/>
    <w:rsid w:val="00FD6994"/>
    <w:rsid w:val="00FD6A9E"/>
    <w:rsid w:val="00FD6BE3"/>
    <w:rsid w:val="00FD6CF7"/>
    <w:rsid w:val="00FD70FD"/>
    <w:rsid w:val="00FD760B"/>
    <w:rsid w:val="00FD7A0B"/>
    <w:rsid w:val="00FD7CB2"/>
    <w:rsid w:val="00FD7D46"/>
    <w:rsid w:val="00FD7D8B"/>
    <w:rsid w:val="00FD7E0F"/>
    <w:rsid w:val="00FD7EC8"/>
    <w:rsid w:val="00FD7FCC"/>
    <w:rsid w:val="00FE018F"/>
    <w:rsid w:val="00FE032E"/>
    <w:rsid w:val="00FE039A"/>
    <w:rsid w:val="00FE0AF2"/>
    <w:rsid w:val="00FE0B4D"/>
    <w:rsid w:val="00FE0DFD"/>
    <w:rsid w:val="00FE0F5D"/>
    <w:rsid w:val="00FE14E4"/>
    <w:rsid w:val="00FE17DB"/>
    <w:rsid w:val="00FE1AB8"/>
    <w:rsid w:val="00FE1B47"/>
    <w:rsid w:val="00FE1BA7"/>
    <w:rsid w:val="00FE1C47"/>
    <w:rsid w:val="00FE1F98"/>
    <w:rsid w:val="00FE22DD"/>
    <w:rsid w:val="00FE2467"/>
    <w:rsid w:val="00FE27CF"/>
    <w:rsid w:val="00FE2873"/>
    <w:rsid w:val="00FE2CCE"/>
    <w:rsid w:val="00FE2CFB"/>
    <w:rsid w:val="00FE39E4"/>
    <w:rsid w:val="00FE3F14"/>
    <w:rsid w:val="00FE3F39"/>
    <w:rsid w:val="00FE403F"/>
    <w:rsid w:val="00FE4505"/>
    <w:rsid w:val="00FE4693"/>
    <w:rsid w:val="00FE4A60"/>
    <w:rsid w:val="00FE4A85"/>
    <w:rsid w:val="00FE4D21"/>
    <w:rsid w:val="00FE4D5F"/>
    <w:rsid w:val="00FE4F75"/>
    <w:rsid w:val="00FE5244"/>
    <w:rsid w:val="00FE54E0"/>
    <w:rsid w:val="00FE551F"/>
    <w:rsid w:val="00FE55F0"/>
    <w:rsid w:val="00FE5AAF"/>
    <w:rsid w:val="00FE6168"/>
    <w:rsid w:val="00FE6331"/>
    <w:rsid w:val="00FE685B"/>
    <w:rsid w:val="00FE6945"/>
    <w:rsid w:val="00FE69FE"/>
    <w:rsid w:val="00FE6C12"/>
    <w:rsid w:val="00FE6D4C"/>
    <w:rsid w:val="00FE73B8"/>
    <w:rsid w:val="00FE73C5"/>
    <w:rsid w:val="00FE7894"/>
    <w:rsid w:val="00FE7B60"/>
    <w:rsid w:val="00FE7F8C"/>
    <w:rsid w:val="00FF01FA"/>
    <w:rsid w:val="00FF021A"/>
    <w:rsid w:val="00FF0822"/>
    <w:rsid w:val="00FF08D3"/>
    <w:rsid w:val="00FF0CC3"/>
    <w:rsid w:val="00FF119A"/>
    <w:rsid w:val="00FF12B8"/>
    <w:rsid w:val="00FF15D8"/>
    <w:rsid w:val="00FF21B5"/>
    <w:rsid w:val="00FF21C3"/>
    <w:rsid w:val="00FF24CE"/>
    <w:rsid w:val="00FF2A11"/>
    <w:rsid w:val="00FF2AA0"/>
    <w:rsid w:val="00FF2D1F"/>
    <w:rsid w:val="00FF3836"/>
    <w:rsid w:val="00FF3AF3"/>
    <w:rsid w:val="00FF3CA9"/>
    <w:rsid w:val="00FF3EEB"/>
    <w:rsid w:val="00FF3F6C"/>
    <w:rsid w:val="00FF3F94"/>
    <w:rsid w:val="00FF4142"/>
    <w:rsid w:val="00FF41A6"/>
    <w:rsid w:val="00FF4603"/>
    <w:rsid w:val="00FF4AE5"/>
    <w:rsid w:val="00FF4B01"/>
    <w:rsid w:val="00FF4B07"/>
    <w:rsid w:val="00FF4BFC"/>
    <w:rsid w:val="00FF4C11"/>
    <w:rsid w:val="00FF506F"/>
    <w:rsid w:val="00FF541F"/>
    <w:rsid w:val="00FF55CB"/>
    <w:rsid w:val="00FF56B9"/>
    <w:rsid w:val="00FF5770"/>
    <w:rsid w:val="00FF57E8"/>
    <w:rsid w:val="00FF58C0"/>
    <w:rsid w:val="00FF5948"/>
    <w:rsid w:val="00FF5D42"/>
    <w:rsid w:val="00FF620A"/>
    <w:rsid w:val="00FF6288"/>
    <w:rsid w:val="00FF6330"/>
    <w:rsid w:val="00FF6559"/>
    <w:rsid w:val="00FF6B71"/>
    <w:rsid w:val="00FF6BD2"/>
    <w:rsid w:val="00FF6EDF"/>
    <w:rsid w:val="00FF6EEA"/>
    <w:rsid w:val="00FF6F1A"/>
    <w:rsid w:val="00FF71A7"/>
    <w:rsid w:val="00FF729F"/>
    <w:rsid w:val="00FF77DF"/>
    <w:rsid w:val="00FF78F1"/>
    <w:rsid w:val="00FF7ABB"/>
    <w:rsid w:val="00FF7B99"/>
    <w:rsid w:val="00FF7E9B"/>
    <w:rsid w:val="016E862E"/>
    <w:rsid w:val="01BE4299"/>
    <w:rsid w:val="01F6D251"/>
    <w:rsid w:val="02084396"/>
    <w:rsid w:val="0216D4CE"/>
    <w:rsid w:val="025164D9"/>
    <w:rsid w:val="0252F4E3"/>
    <w:rsid w:val="02956E8D"/>
    <w:rsid w:val="02B5BBCD"/>
    <w:rsid w:val="02F3382A"/>
    <w:rsid w:val="034C7AB0"/>
    <w:rsid w:val="03914E7D"/>
    <w:rsid w:val="039B6B17"/>
    <w:rsid w:val="03E7015F"/>
    <w:rsid w:val="042651A7"/>
    <w:rsid w:val="043369FD"/>
    <w:rsid w:val="04544A3F"/>
    <w:rsid w:val="045DE232"/>
    <w:rsid w:val="0461336E"/>
    <w:rsid w:val="0478C5FA"/>
    <w:rsid w:val="04B4359E"/>
    <w:rsid w:val="05093F36"/>
    <w:rsid w:val="050A3B55"/>
    <w:rsid w:val="05C27355"/>
    <w:rsid w:val="05F08342"/>
    <w:rsid w:val="061049FB"/>
    <w:rsid w:val="0635E03B"/>
    <w:rsid w:val="063892CC"/>
    <w:rsid w:val="06B4CA08"/>
    <w:rsid w:val="06B6DB6B"/>
    <w:rsid w:val="06B9F24D"/>
    <w:rsid w:val="06E9A385"/>
    <w:rsid w:val="06F225E2"/>
    <w:rsid w:val="0714797E"/>
    <w:rsid w:val="07150D70"/>
    <w:rsid w:val="0737DFA4"/>
    <w:rsid w:val="07390E94"/>
    <w:rsid w:val="07820712"/>
    <w:rsid w:val="078713AA"/>
    <w:rsid w:val="078BDCDA"/>
    <w:rsid w:val="0821CEED"/>
    <w:rsid w:val="082843AF"/>
    <w:rsid w:val="0832F332"/>
    <w:rsid w:val="084BE919"/>
    <w:rsid w:val="085D7B5E"/>
    <w:rsid w:val="08631D23"/>
    <w:rsid w:val="08AC24A6"/>
    <w:rsid w:val="08BCEC03"/>
    <w:rsid w:val="08F86EEB"/>
    <w:rsid w:val="0922C43D"/>
    <w:rsid w:val="0923AC06"/>
    <w:rsid w:val="0924FD51"/>
    <w:rsid w:val="0970D59E"/>
    <w:rsid w:val="097C3768"/>
    <w:rsid w:val="09955FC5"/>
    <w:rsid w:val="09990619"/>
    <w:rsid w:val="09AEC5B1"/>
    <w:rsid w:val="0A04DCEB"/>
    <w:rsid w:val="0A179EA6"/>
    <w:rsid w:val="0A22005C"/>
    <w:rsid w:val="0A28C98A"/>
    <w:rsid w:val="0A42151C"/>
    <w:rsid w:val="0A4B68F7"/>
    <w:rsid w:val="0A9249A8"/>
    <w:rsid w:val="0AD19AC6"/>
    <w:rsid w:val="0AE236CD"/>
    <w:rsid w:val="0B1CF3C5"/>
    <w:rsid w:val="0B8A7324"/>
    <w:rsid w:val="0B979F0A"/>
    <w:rsid w:val="0B9FBE66"/>
    <w:rsid w:val="0BB251E2"/>
    <w:rsid w:val="0BB3931B"/>
    <w:rsid w:val="0BD1383F"/>
    <w:rsid w:val="0BF9EC3B"/>
    <w:rsid w:val="0C41A191"/>
    <w:rsid w:val="0C6D7187"/>
    <w:rsid w:val="0C911A5D"/>
    <w:rsid w:val="0CBE3452"/>
    <w:rsid w:val="0CF9D6F0"/>
    <w:rsid w:val="0D1843AB"/>
    <w:rsid w:val="0D39C842"/>
    <w:rsid w:val="0D3D1E2B"/>
    <w:rsid w:val="0D580F22"/>
    <w:rsid w:val="0D63223B"/>
    <w:rsid w:val="0D6827A2"/>
    <w:rsid w:val="0D87117B"/>
    <w:rsid w:val="0DA4CC64"/>
    <w:rsid w:val="0DA50C8E"/>
    <w:rsid w:val="0DC22AF0"/>
    <w:rsid w:val="0DDE046E"/>
    <w:rsid w:val="0E05FA6C"/>
    <w:rsid w:val="0E1F71C8"/>
    <w:rsid w:val="0EB80D3B"/>
    <w:rsid w:val="0ED72D52"/>
    <w:rsid w:val="0F008A50"/>
    <w:rsid w:val="0F0A42F2"/>
    <w:rsid w:val="0F2A9924"/>
    <w:rsid w:val="0F9B2550"/>
    <w:rsid w:val="0FA0F4CE"/>
    <w:rsid w:val="0FA4484A"/>
    <w:rsid w:val="0FF12F31"/>
    <w:rsid w:val="0FF4C59E"/>
    <w:rsid w:val="1013371C"/>
    <w:rsid w:val="1019C80C"/>
    <w:rsid w:val="1030F205"/>
    <w:rsid w:val="1058309C"/>
    <w:rsid w:val="1090745B"/>
    <w:rsid w:val="10B0D165"/>
    <w:rsid w:val="1107F62E"/>
    <w:rsid w:val="111A9FCC"/>
    <w:rsid w:val="111C2CF2"/>
    <w:rsid w:val="11335BFC"/>
    <w:rsid w:val="117D58F1"/>
    <w:rsid w:val="117E2106"/>
    <w:rsid w:val="11C64A55"/>
    <w:rsid w:val="11CA6BFC"/>
    <w:rsid w:val="11DE8962"/>
    <w:rsid w:val="12309E45"/>
    <w:rsid w:val="12416638"/>
    <w:rsid w:val="124686DA"/>
    <w:rsid w:val="124C9F25"/>
    <w:rsid w:val="1252DADA"/>
    <w:rsid w:val="127D559B"/>
    <w:rsid w:val="131EEA2F"/>
    <w:rsid w:val="1338CEA1"/>
    <w:rsid w:val="139CA428"/>
    <w:rsid w:val="13AEBABE"/>
    <w:rsid w:val="13B8CD7C"/>
    <w:rsid w:val="13CA76DB"/>
    <w:rsid w:val="14209B4C"/>
    <w:rsid w:val="142D6590"/>
    <w:rsid w:val="1492D481"/>
    <w:rsid w:val="14C70B33"/>
    <w:rsid w:val="14F06686"/>
    <w:rsid w:val="155DCD5E"/>
    <w:rsid w:val="160A4D90"/>
    <w:rsid w:val="16955AC2"/>
    <w:rsid w:val="16C9DE78"/>
    <w:rsid w:val="173F5430"/>
    <w:rsid w:val="1748EA7D"/>
    <w:rsid w:val="1754AA53"/>
    <w:rsid w:val="1793DAE5"/>
    <w:rsid w:val="17DFDDD7"/>
    <w:rsid w:val="1815421C"/>
    <w:rsid w:val="1895C16B"/>
    <w:rsid w:val="18C13703"/>
    <w:rsid w:val="191768C9"/>
    <w:rsid w:val="191C04F6"/>
    <w:rsid w:val="1983CD94"/>
    <w:rsid w:val="19852948"/>
    <w:rsid w:val="19ADB725"/>
    <w:rsid w:val="19B00AE4"/>
    <w:rsid w:val="19CB67ED"/>
    <w:rsid w:val="1A3C5D4E"/>
    <w:rsid w:val="1A40045D"/>
    <w:rsid w:val="1A79A37D"/>
    <w:rsid w:val="1A8D5001"/>
    <w:rsid w:val="1AB79F8F"/>
    <w:rsid w:val="1AB7A5EA"/>
    <w:rsid w:val="1B0DF6B2"/>
    <w:rsid w:val="1B484F36"/>
    <w:rsid w:val="1BC7A3B9"/>
    <w:rsid w:val="1BD82D33"/>
    <w:rsid w:val="1BF8C945"/>
    <w:rsid w:val="1BFDD5A2"/>
    <w:rsid w:val="1C05406F"/>
    <w:rsid w:val="1C349A14"/>
    <w:rsid w:val="1C404DE0"/>
    <w:rsid w:val="1C82994D"/>
    <w:rsid w:val="1CB4A9CE"/>
    <w:rsid w:val="1CEDC490"/>
    <w:rsid w:val="1CEE4F9B"/>
    <w:rsid w:val="1D343325"/>
    <w:rsid w:val="1D402FAC"/>
    <w:rsid w:val="1D8F42FE"/>
    <w:rsid w:val="1DCD1816"/>
    <w:rsid w:val="1E2DE870"/>
    <w:rsid w:val="1E49A369"/>
    <w:rsid w:val="1E867AFC"/>
    <w:rsid w:val="1E9DBBED"/>
    <w:rsid w:val="1ECA5F04"/>
    <w:rsid w:val="1EF108D5"/>
    <w:rsid w:val="1F00B565"/>
    <w:rsid w:val="1F299137"/>
    <w:rsid w:val="1F74A52D"/>
    <w:rsid w:val="1FC31C3E"/>
    <w:rsid w:val="1FE83651"/>
    <w:rsid w:val="2004F27A"/>
    <w:rsid w:val="20174E58"/>
    <w:rsid w:val="207944CB"/>
    <w:rsid w:val="20A53974"/>
    <w:rsid w:val="20A6424D"/>
    <w:rsid w:val="20CC1F33"/>
    <w:rsid w:val="20EBAB55"/>
    <w:rsid w:val="20F4E197"/>
    <w:rsid w:val="2146FD49"/>
    <w:rsid w:val="21B265F5"/>
    <w:rsid w:val="21B354DB"/>
    <w:rsid w:val="21C95FD6"/>
    <w:rsid w:val="21C9D50D"/>
    <w:rsid w:val="21DAA611"/>
    <w:rsid w:val="2204D915"/>
    <w:rsid w:val="22252DE6"/>
    <w:rsid w:val="2234B125"/>
    <w:rsid w:val="2293E083"/>
    <w:rsid w:val="22979E62"/>
    <w:rsid w:val="2322544F"/>
    <w:rsid w:val="233BCC8F"/>
    <w:rsid w:val="237BCB50"/>
    <w:rsid w:val="24112D5B"/>
    <w:rsid w:val="2485EA02"/>
    <w:rsid w:val="24B8E26D"/>
    <w:rsid w:val="24C36229"/>
    <w:rsid w:val="24E00D24"/>
    <w:rsid w:val="25AE90AF"/>
    <w:rsid w:val="25FA1825"/>
    <w:rsid w:val="260BC34B"/>
    <w:rsid w:val="2612E31B"/>
    <w:rsid w:val="26A24816"/>
    <w:rsid w:val="26C06577"/>
    <w:rsid w:val="26F4B76A"/>
    <w:rsid w:val="2700139F"/>
    <w:rsid w:val="27070E22"/>
    <w:rsid w:val="271DCF83"/>
    <w:rsid w:val="27706D0B"/>
    <w:rsid w:val="27833AAD"/>
    <w:rsid w:val="278362AB"/>
    <w:rsid w:val="27B3C4D8"/>
    <w:rsid w:val="27C9ACAA"/>
    <w:rsid w:val="27CEE6A1"/>
    <w:rsid w:val="27E0071C"/>
    <w:rsid w:val="27FFC848"/>
    <w:rsid w:val="283D6A24"/>
    <w:rsid w:val="287738AB"/>
    <w:rsid w:val="28936701"/>
    <w:rsid w:val="2898D732"/>
    <w:rsid w:val="28BE2D87"/>
    <w:rsid w:val="28D1F73A"/>
    <w:rsid w:val="28DA3E17"/>
    <w:rsid w:val="291F0B0E"/>
    <w:rsid w:val="29224F25"/>
    <w:rsid w:val="2932AF29"/>
    <w:rsid w:val="2951106E"/>
    <w:rsid w:val="29669DAC"/>
    <w:rsid w:val="297E99D5"/>
    <w:rsid w:val="298C667C"/>
    <w:rsid w:val="29C099FF"/>
    <w:rsid w:val="29F606A1"/>
    <w:rsid w:val="29F65B55"/>
    <w:rsid w:val="2A507BDA"/>
    <w:rsid w:val="2AEE36FD"/>
    <w:rsid w:val="2B417EFE"/>
    <w:rsid w:val="2BE28CF0"/>
    <w:rsid w:val="2BEE4665"/>
    <w:rsid w:val="2C03013B"/>
    <w:rsid w:val="2C2E85FC"/>
    <w:rsid w:val="2C30E736"/>
    <w:rsid w:val="2C56ABD0"/>
    <w:rsid w:val="2C8819B8"/>
    <w:rsid w:val="2CA70391"/>
    <w:rsid w:val="2CDA8C0C"/>
    <w:rsid w:val="2CED27F4"/>
    <w:rsid w:val="2D0546E0"/>
    <w:rsid w:val="2D13C68E"/>
    <w:rsid w:val="2D34B1BF"/>
    <w:rsid w:val="2D4B1191"/>
    <w:rsid w:val="2D500286"/>
    <w:rsid w:val="2D577362"/>
    <w:rsid w:val="2D6B6B22"/>
    <w:rsid w:val="2DCB9CCB"/>
    <w:rsid w:val="2DECA22C"/>
    <w:rsid w:val="2E15FDAE"/>
    <w:rsid w:val="2E20B85C"/>
    <w:rsid w:val="2E619173"/>
    <w:rsid w:val="2EB98CE6"/>
    <w:rsid w:val="2EC26A40"/>
    <w:rsid w:val="2F15EAEE"/>
    <w:rsid w:val="2F3951F6"/>
    <w:rsid w:val="2F914F0D"/>
    <w:rsid w:val="2FAC94F3"/>
    <w:rsid w:val="2FB6D376"/>
    <w:rsid w:val="300BB1BE"/>
    <w:rsid w:val="304D6E24"/>
    <w:rsid w:val="3051930E"/>
    <w:rsid w:val="30B0C007"/>
    <w:rsid w:val="30BC98E8"/>
    <w:rsid w:val="30FECFF1"/>
    <w:rsid w:val="319E1886"/>
    <w:rsid w:val="31AAE6AD"/>
    <w:rsid w:val="321BBD11"/>
    <w:rsid w:val="32382050"/>
    <w:rsid w:val="327AB6ED"/>
    <w:rsid w:val="32924AB8"/>
    <w:rsid w:val="3293186E"/>
    <w:rsid w:val="32CCB63C"/>
    <w:rsid w:val="32DEA3FA"/>
    <w:rsid w:val="331AA90B"/>
    <w:rsid w:val="331B71BA"/>
    <w:rsid w:val="331CE509"/>
    <w:rsid w:val="337E485E"/>
    <w:rsid w:val="3398B015"/>
    <w:rsid w:val="33A3EBBF"/>
    <w:rsid w:val="33C0669B"/>
    <w:rsid w:val="3420EEFC"/>
    <w:rsid w:val="34549043"/>
    <w:rsid w:val="3468A5EF"/>
    <w:rsid w:val="346F1362"/>
    <w:rsid w:val="34D01108"/>
    <w:rsid w:val="35239DCA"/>
    <w:rsid w:val="353A9E4F"/>
    <w:rsid w:val="355D649D"/>
    <w:rsid w:val="355FF632"/>
    <w:rsid w:val="356C312D"/>
    <w:rsid w:val="35702347"/>
    <w:rsid w:val="35BF0637"/>
    <w:rsid w:val="35D93769"/>
    <w:rsid w:val="35E97C6A"/>
    <w:rsid w:val="3607E736"/>
    <w:rsid w:val="36580E30"/>
    <w:rsid w:val="368D1DBA"/>
    <w:rsid w:val="369460AD"/>
    <w:rsid w:val="36C08299"/>
    <w:rsid w:val="377090B5"/>
    <w:rsid w:val="377FDB06"/>
    <w:rsid w:val="37966E37"/>
    <w:rsid w:val="379F4A05"/>
    <w:rsid w:val="37A5DDA7"/>
    <w:rsid w:val="37AAE78C"/>
    <w:rsid w:val="37F766C9"/>
    <w:rsid w:val="387DD3FA"/>
    <w:rsid w:val="38D3484F"/>
    <w:rsid w:val="38E211CD"/>
    <w:rsid w:val="38F0C2AF"/>
    <w:rsid w:val="39072C2C"/>
    <w:rsid w:val="390BD0F8"/>
    <w:rsid w:val="3933EA00"/>
    <w:rsid w:val="39C9CA9D"/>
    <w:rsid w:val="39E037B2"/>
    <w:rsid w:val="39FFE74F"/>
    <w:rsid w:val="3A34529D"/>
    <w:rsid w:val="3A5911A6"/>
    <w:rsid w:val="3A636AED"/>
    <w:rsid w:val="3A754CB1"/>
    <w:rsid w:val="3AB97BE5"/>
    <w:rsid w:val="3B000F41"/>
    <w:rsid w:val="3BCCAC90"/>
    <w:rsid w:val="3BD48E8F"/>
    <w:rsid w:val="3BF49E23"/>
    <w:rsid w:val="3C336C4E"/>
    <w:rsid w:val="3CADE763"/>
    <w:rsid w:val="3CD7ED1B"/>
    <w:rsid w:val="3D488831"/>
    <w:rsid w:val="3DAABAB9"/>
    <w:rsid w:val="3DC996E5"/>
    <w:rsid w:val="3DD374D2"/>
    <w:rsid w:val="3DDB65F2"/>
    <w:rsid w:val="3DDC860F"/>
    <w:rsid w:val="3DDEE853"/>
    <w:rsid w:val="3DE55552"/>
    <w:rsid w:val="3DED91B1"/>
    <w:rsid w:val="3DF14CEA"/>
    <w:rsid w:val="3E0C96BC"/>
    <w:rsid w:val="3E4E1F1E"/>
    <w:rsid w:val="3E4E9AC1"/>
    <w:rsid w:val="3EABC684"/>
    <w:rsid w:val="3ED5241A"/>
    <w:rsid w:val="3EED803C"/>
    <w:rsid w:val="3F1378BD"/>
    <w:rsid w:val="3F25A750"/>
    <w:rsid w:val="3F6D772E"/>
    <w:rsid w:val="3FAC97F2"/>
    <w:rsid w:val="3FE7AAE1"/>
    <w:rsid w:val="4067396D"/>
    <w:rsid w:val="4079A5BD"/>
    <w:rsid w:val="407C581B"/>
    <w:rsid w:val="40844F16"/>
    <w:rsid w:val="4099B0FE"/>
    <w:rsid w:val="41333B3C"/>
    <w:rsid w:val="41567F80"/>
    <w:rsid w:val="4177149A"/>
    <w:rsid w:val="41FF7918"/>
    <w:rsid w:val="4236E231"/>
    <w:rsid w:val="425D8DE1"/>
    <w:rsid w:val="426106A6"/>
    <w:rsid w:val="427ACB70"/>
    <w:rsid w:val="428ADBA3"/>
    <w:rsid w:val="42B814B9"/>
    <w:rsid w:val="42EB440E"/>
    <w:rsid w:val="42EC22AE"/>
    <w:rsid w:val="43023552"/>
    <w:rsid w:val="4343CD18"/>
    <w:rsid w:val="43507F5D"/>
    <w:rsid w:val="4352FC8C"/>
    <w:rsid w:val="435E2E5F"/>
    <w:rsid w:val="4366808C"/>
    <w:rsid w:val="437E3DA9"/>
    <w:rsid w:val="43A76085"/>
    <w:rsid w:val="43CA4FCF"/>
    <w:rsid w:val="441D5C55"/>
    <w:rsid w:val="441E3D56"/>
    <w:rsid w:val="44234EB4"/>
    <w:rsid w:val="4427FE9E"/>
    <w:rsid w:val="44F99778"/>
    <w:rsid w:val="4528C2AA"/>
    <w:rsid w:val="45ABFD9A"/>
    <w:rsid w:val="45C1533D"/>
    <w:rsid w:val="45FE609C"/>
    <w:rsid w:val="4629B84F"/>
    <w:rsid w:val="4631E53D"/>
    <w:rsid w:val="4691C9F6"/>
    <w:rsid w:val="46E443C0"/>
    <w:rsid w:val="46F24967"/>
    <w:rsid w:val="4702AF04"/>
    <w:rsid w:val="4713EF36"/>
    <w:rsid w:val="478B550F"/>
    <w:rsid w:val="47AA4D8C"/>
    <w:rsid w:val="47AABE60"/>
    <w:rsid w:val="47BF43C9"/>
    <w:rsid w:val="47C1B09F"/>
    <w:rsid w:val="47F6F63E"/>
    <w:rsid w:val="480585D6"/>
    <w:rsid w:val="480C4B3B"/>
    <w:rsid w:val="4842293B"/>
    <w:rsid w:val="48B085BB"/>
    <w:rsid w:val="48CACFF9"/>
    <w:rsid w:val="48DE3272"/>
    <w:rsid w:val="490255EE"/>
    <w:rsid w:val="4903EA43"/>
    <w:rsid w:val="4907968A"/>
    <w:rsid w:val="491FAE9F"/>
    <w:rsid w:val="492333F9"/>
    <w:rsid w:val="4949111E"/>
    <w:rsid w:val="494A08CF"/>
    <w:rsid w:val="494D1CAD"/>
    <w:rsid w:val="49A65E3D"/>
    <w:rsid w:val="49F91B23"/>
    <w:rsid w:val="4A0C0196"/>
    <w:rsid w:val="4A45E815"/>
    <w:rsid w:val="4A98F64D"/>
    <w:rsid w:val="4A9AF71A"/>
    <w:rsid w:val="4ABB680F"/>
    <w:rsid w:val="4AC22AC1"/>
    <w:rsid w:val="4B1D7D86"/>
    <w:rsid w:val="4B2DFF88"/>
    <w:rsid w:val="4B5F032B"/>
    <w:rsid w:val="4BA2AA24"/>
    <w:rsid w:val="4BC55D3B"/>
    <w:rsid w:val="4BD27E45"/>
    <w:rsid w:val="4BECF941"/>
    <w:rsid w:val="4C577391"/>
    <w:rsid w:val="4CA65796"/>
    <w:rsid w:val="4CC23733"/>
    <w:rsid w:val="4CDEF6E9"/>
    <w:rsid w:val="4CDF9050"/>
    <w:rsid w:val="4CDFCB37"/>
    <w:rsid w:val="4D8EFE83"/>
    <w:rsid w:val="4DCEC157"/>
    <w:rsid w:val="4DE6ED95"/>
    <w:rsid w:val="4E265A8D"/>
    <w:rsid w:val="4EA2FEDC"/>
    <w:rsid w:val="4EA67DFE"/>
    <w:rsid w:val="4EC69390"/>
    <w:rsid w:val="4F1401C6"/>
    <w:rsid w:val="4F21DC23"/>
    <w:rsid w:val="4F278D74"/>
    <w:rsid w:val="4FB0FFC5"/>
    <w:rsid w:val="4FBECB40"/>
    <w:rsid w:val="4FC0D346"/>
    <w:rsid w:val="4FD476A0"/>
    <w:rsid w:val="502EC470"/>
    <w:rsid w:val="506828A4"/>
    <w:rsid w:val="50AAA0AD"/>
    <w:rsid w:val="50AEA337"/>
    <w:rsid w:val="50E52477"/>
    <w:rsid w:val="5132B449"/>
    <w:rsid w:val="513AED20"/>
    <w:rsid w:val="51514071"/>
    <w:rsid w:val="51D69A01"/>
    <w:rsid w:val="51DF9BE9"/>
    <w:rsid w:val="527EBBF0"/>
    <w:rsid w:val="5280F200"/>
    <w:rsid w:val="52AE228A"/>
    <w:rsid w:val="52FE72E7"/>
    <w:rsid w:val="532389E6"/>
    <w:rsid w:val="532AA056"/>
    <w:rsid w:val="534F42CC"/>
    <w:rsid w:val="536C029A"/>
    <w:rsid w:val="5375D887"/>
    <w:rsid w:val="53763348"/>
    <w:rsid w:val="5384223F"/>
    <w:rsid w:val="5392B1B7"/>
    <w:rsid w:val="53939370"/>
    <w:rsid w:val="53D4BD04"/>
    <w:rsid w:val="53DE273E"/>
    <w:rsid w:val="53FB10BB"/>
    <w:rsid w:val="549995A9"/>
    <w:rsid w:val="54B79F3C"/>
    <w:rsid w:val="54CA2F7C"/>
    <w:rsid w:val="54D34AF7"/>
    <w:rsid w:val="552E3213"/>
    <w:rsid w:val="553B65D6"/>
    <w:rsid w:val="5584E2B7"/>
    <w:rsid w:val="55AD18D2"/>
    <w:rsid w:val="560D8399"/>
    <w:rsid w:val="562A03E8"/>
    <w:rsid w:val="56597DB3"/>
    <w:rsid w:val="56C84B16"/>
    <w:rsid w:val="56F557E2"/>
    <w:rsid w:val="57357981"/>
    <w:rsid w:val="5754628E"/>
    <w:rsid w:val="5767971F"/>
    <w:rsid w:val="57A58282"/>
    <w:rsid w:val="57BDA02B"/>
    <w:rsid w:val="57F2BDD5"/>
    <w:rsid w:val="580219EA"/>
    <w:rsid w:val="5846B928"/>
    <w:rsid w:val="586A0E4F"/>
    <w:rsid w:val="588A2C3C"/>
    <w:rsid w:val="58A1A338"/>
    <w:rsid w:val="58BD6D47"/>
    <w:rsid w:val="591B2A31"/>
    <w:rsid w:val="598841C1"/>
    <w:rsid w:val="5996F9DF"/>
    <w:rsid w:val="59B63210"/>
    <w:rsid w:val="59E2B8DA"/>
    <w:rsid w:val="5A24FBC3"/>
    <w:rsid w:val="5A50ED2D"/>
    <w:rsid w:val="5A7A1FE8"/>
    <w:rsid w:val="5AB6FA92"/>
    <w:rsid w:val="5AE730B1"/>
    <w:rsid w:val="5AFBE6F8"/>
    <w:rsid w:val="5B180529"/>
    <w:rsid w:val="5B1AB68B"/>
    <w:rsid w:val="5B39D5A7"/>
    <w:rsid w:val="5B7944D9"/>
    <w:rsid w:val="5B7E893B"/>
    <w:rsid w:val="5C2029B7"/>
    <w:rsid w:val="5C3C059D"/>
    <w:rsid w:val="5C4E223C"/>
    <w:rsid w:val="5C86EE21"/>
    <w:rsid w:val="5CC3610D"/>
    <w:rsid w:val="5CE89E2B"/>
    <w:rsid w:val="5D535EF3"/>
    <w:rsid w:val="5D72E043"/>
    <w:rsid w:val="5E161F45"/>
    <w:rsid w:val="5E183D5E"/>
    <w:rsid w:val="5E187832"/>
    <w:rsid w:val="5E69873D"/>
    <w:rsid w:val="5E7D1979"/>
    <w:rsid w:val="5E9A8B41"/>
    <w:rsid w:val="5EC51879"/>
    <w:rsid w:val="5EDC5F73"/>
    <w:rsid w:val="5EDEEDEE"/>
    <w:rsid w:val="5F00C0AC"/>
    <w:rsid w:val="5F0642BD"/>
    <w:rsid w:val="5F2F41AB"/>
    <w:rsid w:val="5F383939"/>
    <w:rsid w:val="5F56BE6B"/>
    <w:rsid w:val="5F6140CE"/>
    <w:rsid w:val="60127F1B"/>
    <w:rsid w:val="60211230"/>
    <w:rsid w:val="6046FAB5"/>
    <w:rsid w:val="607CCAA2"/>
    <w:rsid w:val="60A2131E"/>
    <w:rsid w:val="60E7045E"/>
    <w:rsid w:val="60F9D0C9"/>
    <w:rsid w:val="611D2F69"/>
    <w:rsid w:val="612E9C16"/>
    <w:rsid w:val="61D2B908"/>
    <w:rsid w:val="61D557C8"/>
    <w:rsid w:val="620857DC"/>
    <w:rsid w:val="623E2226"/>
    <w:rsid w:val="626EA914"/>
    <w:rsid w:val="635885F5"/>
    <w:rsid w:val="63AB82EF"/>
    <w:rsid w:val="63D880AD"/>
    <w:rsid w:val="63E6678F"/>
    <w:rsid w:val="640F838D"/>
    <w:rsid w:val="6420EC1C"/>
    <w:rsid w:val="64688559"/>
    <w:rsid w:val="64879D8B"/>
    <w:rsid w:val="64E96188"/>
    <w:rsid w:val="64F621A4"/>
    <w:rsid w:val="64F9D311"/>
    <w:rsid w:val="653369D3"/>
    <w:rsid w:val="65453CAD"/>
    <w:rsid w:val="658DB07F"/>
    <w:rsid w:val="65A3912E"/>
    <w:rsid w:val="65AEAFD9"/>
    <w:rsid w:val="661A5AEA"/>
    <w:rsid w:val="663CB8F1"/>
    <w:rsid w:val="6647274B"/>
    <w:rsid w:val="667074B6"/>
    <w:rsid w:val="6676B999"/>
    <w:rsid w:val="66AAAFB4"/>
    <w:rsid w:val="66C7A6FA"/>
    <w:rsid w:val="66E17B0C"/>
    <w:rsid w:val="66E75161"/>
    <w:rsid w:val="66EBEFE8"/>
    <w:rsid w:val="66F4E5EC"/>
    <w:rsid w:val="66FDBF58"/>
    <w:rsid w:val="6713849A"/>
    <w:rsid w:val="672A8B04"/>
    <w:rsid w:val="67444CD5"/>
    <w:rsid w:val="677BF374"/>
    <w:rsid w:val="67BB367D"/>
    <w:rsid w:val="6820AADC"/>
    <w:rsid w:val="685C4A63"/>
    <w:rsid w:val="685EDA19"/>
    <w:rsid w:val="6877B7A7"/>
    <w:rsid w:val="687E0EB8"/>
    <w:rsid w:val="68A268EA"/>
    <w:rsid w:val="68AFB59A"/>
    <w:rsid w:val="68E08D04"/>
    <w:rsid w:val="68EB08BB"/>
    <w:rsid w:val="6905C2AE"/>
    <w:rsid w:val="6948AD40"/>
    <w:rsid w:val="69ACD3FD"/>
    <w:rsid w:val="69BFBA55"/>
    <w:rsid w:val="69DF204F"/>
    <w:rsid w:val="6A55ABB4"/>
    <w:rsid w:val="6A5EE75F"/>
    <w:rsid w:val="6A712290"/>
    <w:rsid w:val="6A96A139"/>
    <w:rsid w:val="6AB6FBCB"/>
    <w:rsid w:val="6AB9683E"/>
    <w:rsid w:val="6ACC6582"/>
    <w:rsid w:val="6AE40581"/>
    <w:rsid w:val="6B0EC987"/>
    <w:rsid w:val="6B18D3E1"/>
    <w:rsid w:val="6B3F2786"/>
    <w:rsid w:val="6B401360"/>
    <w:rsid w:val="6B41A34A"/>
    <w:rsid w:val="6B51E236"/>
    <w:rsid w:val="6B82B6C9"/>
    <w:rsid w:val="6BCF5956"/>
    <w:rsid w:val="6BE81133"/>
    <w:rsid w:val="6C0C1552"/>
    <w:rsid w:val="6C0EF6F4"/>
    <w:rsid w:val="6C6D8F5B"/>
    <w:rsid w:val="6C8DA814"/>
    <w:rsid w:val="6C914441"/>
    <w:rsid w:val="6CE0F0D5"/>
    <w:rsid w:val="6D0F0781"/>
    <w:rsid w:val="6D34CA22"/>
    <w:rsid w:val="6D3909D2"/>
    <w:rsid w:val="6D3A8B9E"/>
    <w:rsid w:val="6DDCF9A2"/>
    <w:rsid w:val="6DDE3EE3"/>
    <w:rsid w:val="6DDEF54D"/>
    <w:rsid w:val="6E6B0FB6"/>
    <w:rsid w:val="6E7B43D6"/>
    <w:rsid w:val="6E8001C5"/>
    <w:rsid w:val="6E87FFD5"/>
    <w:rsid w:val="6E9449A9"/>
    <w:rsid w:val="6EA82F82"/>
    <w:rsid w:val="6F80AF52"/>
    <w:rsid w:val="6FA11106"/>
    <w:rsid w:val="6FB1747D"/>
    <w:rsid w:val="6FD93AB4"/>
    <w:rsid w:val="6FDE06AE"/>
    <w:rsid w:val="7032AEC7"/>
    <w:rsid w:val="706DF129"/>
    <w:rsid w:val="70AAB737"/>
    <w:rsid w:val="70DA32FD"/>
    <w:rsid w:val="7123D244"/>
    <w:rsid w:val="71627AF8"/>
    <w:rsid w:val="71AD9B77"/>
    <w:rsid w:val="71DD919E"/>
    <w:rsid w:val="72113AA3"/>
    <w:rsid w:val="724534EA"/>
    <w:rsid w:val="72561F86"/>
    <w:rsid w:val="725D9CDC"/>
    <w:rsid w:val="72A60A0E"/>
    <w:rsid w:val="72B330B9"/>
    <w:rsid w:val="733EF157"/>
    <w:rsid w:val="734D8609"/>
    <w:rsid w:val="739D40B9"/>
    <w:rsid w:val="73D6A367"/>
    <w:rsid w:val="73E67C57"/>
    <w:rsid w:val="745320FA"/>
    <w:rsid w:val="754E0688"/>
    <w:rsid w:val="758F9F37"/>
    <w:rsid w:val="7662E3BF"/>
    <w:rsid w:val="7693E97E"/>
    <w:rsid w:val="76A1F04B"/>
    <w:rsid w:val="76BC1B24"/>
    <w:rsid w:val="76E69E42"/>
    <w:rsid w:val="7746A07A"/>
    <w:rsid w:val="774D3C32"/>
    <w:rsid w:val="775B4574"/>
    <w:rsid w:val="7773582B"/>
    <w:rsid w:val="77A9B99A"/>
    <w:rsid w:val="77F78BFA"/>
    <w:rsid w:val="784A0AAD"/>
    <w:rsid w:val="78535B9A"/>
    <w:rsid w:val="78685D0E"/>
    <w:rsid w:val="788B7907"/>
    <w:rsid w:val="788C89E5"/>
    <w:rsid w:val="78DFEE61"/>
    <w:rsid w:val="7949E048"/>
    <w:rsid w:val="795AF4C8"/>
    <w:rsid w:val="7966DED7"/>
    <w:rsid w:val="796AAF9B"/>
    <w:rsid w:val="7985975D"/>
    <w:rsid w:val="7A1BD1D5"/>
    <w:rsid w:val="7A29F9E1"/>
    <w:rsid w:val="7A5DAA67"/>
    <w:rsid w:val="7A6E0525"/>
    <w:rsid w:val="7A9564FC"/>
    <w:rsid w:val="7ADD5531"/>
    <w:rsid w:val="7AFF4816"/>
    <w:rsid w:val="7B36CF06"/>
    <w:rsid w:val="7B97DDA8"/>
    <w:rsid w:val="7B9AF043"/>
    <w:rsid w:val="7BCDC59B"/>
    <w:rsid w:val="7BD64C3F"/>
    <w:rsid w:val="7BE1C2B7"/>
    <w:rsid w:val="7BF6F269"/>
    <w:rsid w:val="7C765F1D"/>
    <w:rsid w:val="7C8670EA"/>
    <w:rsid w:val="7C87000D"/>
    <w:rsid w:val="7C89971B"/>
    <w:rsid w:val="7CA54AE2"/>
    <w:rsid w:val="7CCD88B6"/>
    <w:rsid w:val="7CD4B528"/>
    <w:rsid w:val="7CE4EDE5"/>
    <w:rsid w:val="7CFFC388"/>
    <w:rsid w:val="7D43B2C5"/>
    <w:rsid w:val="7D5D7D32"/>
    <w:rsid w:val="7DED8D62"/>
    <w:rsid w:val="7DFC8E6B"/>
    <w:rsid w:val="7DFCD06D"/>
    <w:rsid w:val="7E009D0A"/>
    <w:rsid w:val="7E0BBB31"/>
    <w:rsid w:val="7E32229C"/>
    <w:rsid w:val="7E735CFE"/>
    <w:rsid w:val="7EA26E93"/>
    <w:rsid w:val="7EA7E13C"/>
    <w:rsid w:val="7EA91EEB"/>
    <w:rsid w:val="7EC19BFB"/>
    <w:rsid w:val="7ED936A5"/>
    <w:rsid w:val="7F6F1894"/>
    <w:rsid w:val="7F87381F"/>
    <w:rsid w:val="7FA5546F"/>
    <w:rsid w:val="7FE56D3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B8F70A"/>
  <w14:defaultImageDpi w14:val="330"/>
  <w15:docId w15:val="{9CE0A1E1-35CE-402C-BA32-445C0212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B6"/>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D41AA5"/>
    <w:pPr>
      <w:keepNext/>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D41AA5"/>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D41AA5"/>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971C99"/>
    <w:pPr>
      <w:spacing w:before="280"/>
      <w:outlineLvl w:val="3"/>
    </w:pPr>
    <w:rPr>
      <w:sz w:val="24"/>
    </w:rPr>
  </w:style>
  <w:style w:type="paragraph" w:styleId="Heading5">
    <w:name w:val="heading 5"/>
    <w:basedOn w:val="Normal"/>
    <w:next w:val="BodyText"/>
    <w:link w:val="Heading5Char"/>
    <w:qFormat/>
    <w:rsid w:val="00912202"/>
    <w:pPr>
      <w:keepNext/>
      <w:spacing w:before="24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AA5"/>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D41AA5"/>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D41AA5"/>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971C99"/>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912202"/>
    <w:rPr>
      <w:rFonts w:ascii="Calibri" w:eastAsiaTheme="majorEastAsia" w:hAnsi="Calibri" w:cstheme="majorBidi"/>
      <w:i/>
      <w:sz w:val="24"/>
      <w:lang w:eastAsia="en-NZ"/>
    </w:rPr>
  </w:style>
  <w:style w:type="paragraph" w:styleId="BodyText">
    <w:name w:val="Body Text"/>
    <w:basedOn w:val="Normal"/>
    <w:link w:val="BodyTextChar"/>
    <w:qFormat/>
    <w:rsid w:val="00D41AA5"/>
    <w:pPr>
      <w:jc w:val="left"/>
    </w:pPr>
  </w:style>
  <w:style w:type="character" w:customStyle="1" w:styleId="BodyTextChar">
    <w:name w:val="Body Text Char"/>
    <w:basedOn w:val="DefaultParagraphFont"/>
    <w:link w:val="BodyText"/>
    <w:rsid w:val="00D41AA5"/>
    <w:rPr>
      <w:rFonts w:ascii="Calibri" w:eastAsiaTheme="minorEastAsia" w:hAnsi="Calibri"/>
      <w:lang w:eastAsia="en-NZ"/>
    </w:rPr>
  </w:style>
  <w:style w:type="table" w:styleId="TableGrid">
    <w:name w:val="Table Grid"/>
    <w:aliases w:val="RS Table Grid a"/>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D41AA5"/>
    <w:pPr>
      <w:spacing w:before="60" w:after="60"/>
      <w:ind w:left="567" w:right="567"/>
      <w:jc w:val="left"/>
    </w:pPr>
    <w:rPr>
      <w:sz w:val="20"/>
    </w:rPr>
  </w:style>
  <w:style w:type="character" w:customStyle="1" w:styleId="QuoteChar">
    <w:name w:val="Quote Char"/>
    <w:basedOn w:val="DefaultParagraphFont"/>
    <w:link w:val="Quote"/>
    <w:uiPriority w:val="1"/>
    <w:rsid w:val="00806018"/>
    <w:rPr>
      <w:rFonts w:ascii="Calibri" w:eastAsiaTheme="minorEastAsia" w:hAnsi="Calibri"/>
      <w:sz w:val="20"/>
      <w:lang w:eastAsia="en-NZ"/>
    </w:rPr>
  </w:style>
  <w:style w:type="paragraph" w:customStyle="1" w:styleId="Bullet">
    <w:name w:val="Bullet"/>
    <w:basedOn w:val="Normal"/>
    <w:link w:val="BulletChar"/>
    <w:qFormat/>
    <w:rsid w:val="00D41AA5"/>
    <w:pPr>
      <w:numPr>
        <w:numId w:val="12"/>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rsid w:val="00D41AA5"/>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D41AA5"/>
    <w:pPr>
      <w:numPr>
        <w:numId w:val="14"/>
      </w:numPr>
      <w:tabs>
        <w:tab w:val="left" w:pos="794"/>
      </w:tabs>
      <w:spacing w:before="0"/>
      <w:jc w:val="left"/>
    </w:pPr>
  </w:style>
  <w:style w:type="paragraph" w:customStyle="1" w:styleId="Figureheading">
    <w:name w:val="Figure heading"/>
    <w:basedOn w:val="Normal"/>
    <w:next w:val="BodyText"/>
    <w:uiPriority w:val="1"/>
    <w:qFormat/>
    <w:rsid w:val="00D41AA5"/>
    <w:pPr>
      <w:keepNext/>
      <w:ind w:left="1134" w:hanging="1134"/>
      <w:jc w:val="left"/>
    </w:pPr>
    <w:rPr>
      <w:b/>
      <w:sz w:val="20"/>
    </w:rPr>
  </w:style>
  <w:style w:type="character" w:styleId="FootnoteReference">
    <w:name w:val="footnote reference"/>
    <w:semiHidden/>
    <w:rsid w:val="00D41AA5"/>
    <w:rPr>
      <w:rFonts w:ascii="Calibri" w:hAnsi="Calibri"/>
      <w:color w:val="auto"/>
      <w:sz w:val="22"/>
      <w:vertAlign w:val="superscript"/>
    </w:rPr>
  </w:style>
  <w:style w:type="paragraph" w:styleId="FootnoteText">
    <w:name w:val="footnote text"/>
    <w:basedOn w:val="Normal"/>
    <w:link w:val="FootnoteTextChar"/>
    <w:uiPriority w:val="99"/>
    <w:rsid w:val="00D41AA5"/>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D41AA5"/>
    <w:rPr>
      <w:rFonts w:ascii="Calibri" w:eastAsiaTheme="minorEastAsia" w:hAnsi="Calibri"/>
      <w:sz w:val="19"/>
      <w:lang w:eastAsia="en-NZ"/>
    </w:rPr>
  </w:style>
  <w:style w:type="character" w:styleId="Hyperlink">
    <w:name w:val="Hyperlink"/>
    <w:uiPriority w:val="99"/>
    <w:qFormat/>
    <w:rsid w:val="00D41AA5"/>
    <w:rPr>
      <w:color w:val="32809C"/>
      <w:u w:val="none"/>
    </w:rPr>
  </w:style>
  <w:style w:type="paragraph" w:customStyle="1" w:styleId="Imprint">
    <w:name w:val="Imprint"/>
    <w:basedOn w:val="Normal"/>
    <w:uiPriority w:val="3"/>
    <w:rsid w:val="00D41AA5"/>
    <w:pPr>
      <w:jc w:val="left"/>
    </w:pPr>
  </w:style>
  <w:style w:type="paragraph" w:customStyle="1" w:styleId="Note">
    <w:name w:val="Note"/>
    <w:basedOn w:val="BodyText"/>
    <w:next w:val="Normal"/>
    <w:uiPriority w:val="1"/>
    <w:semiHidden/>
    <w:qFormat/>
    <w:rsid w:val="00D41AA5"/>
    <w:pPr>
      <w:spacing w:line="240" w:lineRule="atLeast"/>
    </w:pPr>
    <w:rPr>
      <w:sz w:val="18"/>
    </w:rPr>
  </w:style>
  <w:style w:type="paragraph" w:customStyle="1" w:styleId="References">
    <w:name w:val="References"/>
    <w:basedOn w:val="Normal"/>
    <w:uiPriority w:val="1"/>
    <w:semiHidden/>
    <w:qFormat/>
    <w:rsid w:val="00D41AA5"/>
    <w:pPr>
      <w:spacing w:before="0" w:line="260" w:lineRule="atLeast"/>
      <w:jc w:val="left"/>
    </w:pPr>
    <w:rPr>
      <w:sz w:val="20"/>
    </w:rPr>
  </w:style>
  <w:style w:type="paragraph" w:customStyle="1" w:styleId="Source">
    <w:name w:val="Source"/>
    <w:basedOn w:val="Normal"/>
    <w:next w:val="Normal"/>
    <w:uiPriority w:val="1"/>
    <w:semiHidden/>
    <w:qFormat/>
    <w:rsid w:val="00D41AA5"/>
    <w:pPr>
      <w:tabs>
        <w:tab w:val="left" w:pos="680"/>
      </w:tabs>
      <w:spacing w:line="240" w:lineRule="atLeast"/>
      <w:jc w:val="left"/>
    </w:pPr>
    <w:rPr>
      <w:sz w:val="18"/>
    </w:rPr>
  </w:style>
  <w:style w:type="paragraph" w:styleId="Title">
    <w:name w:val="Title"/>
    <w:basedOn w:val="Normal"/>
    <w:link w:val="TitleChar"/>
    <w:uiPriority w:val="2"/>
    <w:rsid w:val="00D41AA5"/>
    <w:pPr>
      <w:spacing w:line="360" w:lineRule="auto"/>
      <w:jc w:val="center"/>
    </w:pPr>
    <w:rPr>
      <w:rFonts w:ascii="Georgia" w:hAnsi="Georgia"/>
      <w:b/>
      <w:color w:val="1B556B"/>
      <w:sz w:val="56"/>
    </w:rPr>
  </w:style>
  <w:style w:type="character" w:customStyle="1" w:styleId="TitleChar">
    <w:name w:val="Title Char"/>
    <w:basedOn w:val="DefaultParagraphFont"/>
    <w:link w:val="Title"/>
    <w:uiPriority w:val="2"/>
    <w:rsid w:val="00D41AA5"/>
    <w:rPr>
      <w:rFonts w:ascii="Georgia" w:eastAsiaTheme="minorEastAsia" w:hAnsi="Georgia"/>
      <w:b/>
      <w:color w:val="1B556B"/>
      <w:sz w:val="56"/>
      <w:lang w:eastAsia="en-NZ"/>
    </w:rPr>
  </w:style>
  <w:style w:type="paragraph" w:styleId="Subtitle">
    <w:name w:val="Subtitle"/>
    <w:basedOn w:val="Title"/>
    <w:link w:val="SubtitleChar"/>
    <w:uiPriority w:val="2"/>
    <w:rsid w:val="00D41AA5"/>
    <w:pPr>
      <w:spacing w:before="600" w:line="240" w:lineRule="auto"/>
    </w:pPr>
    <w:rPr>
      <w:sz w:val="36"/>
      <w:szCs w:val="36"/>
    </w:rPr>
  </w:style>
  <w:style w:type="character" w:customStyle="1" w:styleId="SubtitleChar">
    <w:name w:val="Subtitle Char"/>
    <w:basedOn w:val="DefaultParagraphFont"/>
    <w:link w:val="Subtitle"/>
    <w:uiPriority w:val="2"/>
    <w:rsid w:val="00D41AA5"/>
    <w:rPr>
      <w:rFonts w:ascii="Georgia" w:eastAsiaTheme="minorEastAsia" w:hAnsi="Georgia"/>
      <w:b/>
      <w:color w:val="1B556B"/>
      <w:sz w:val="36"/>
      <w:szCs w:val="36"/>
      <w:lang w:eastAsia="en-NZ"/>
    </w:rPr>
  </w:style>
  <w:style w:type="paragraph" w:customStyle="1" w:styleId="Tableheading">
    <w:name w:val="Table heading"/>
    <w:basedOn w:val="Normal"/>
    <w:next w:val="Normal"/>
    <w:qFormat/>
    <w:rsid w:val="003340AB"/>
    <w:pPr>
      <w:keepNext/>
      <w:spacing w:line="260" w:lineRule="atLeast"/>
      <w:ind w:left="1134" w:hanging="1134"/>
      <w:jc w:val="left"/>
    </w:pPr>
    <w:rPr>
      <w:b/>
      <w:sz w:val="20"/>
    </w:rPr>
  </w:style>
  <w:style w:type="paragraph" w:customStyle="1" w:styleId="TableText">
    <w:name w:val="TableText"/>
    <w:basedOn w:val="Normal"/>
    <w:qFormat/>
    <w:rsid w:val="00D41AA5"/>
    <w:pPr>
      <w:spacing w:before="60" w:after="60" w:line="240" w:lineRule="atLeast"/>
      <w:jc w:val="left"/>
    </w:pPr>
    <w:rPr>
      <w:sz w:val="18"/>
    </w:rPr>
  </w:style>
  <w:style w:type="paragraph" w:customStyle="1" w:styleId="TableTextbold">
    <w:name w:val="TableText bold"/>
    <w:basedOn w:val="TableText"/>
    <w:rsid w:val="00D41AA5"/>
    <w:rPr>
      <w:b/>
    </w:rPr>
  </w:style>
  <w:style w:type="paragraph" w:styleId="TOC1">
    <w:name w:val="toc 1"/>
    <w:basedOn w:val="Normal"/>
    <w:next w:val="Normal"/>
    <w:uiPriority w:val="39"/>
    <w:rsid w:val="00D83886"/>
    <w:pPr>
      <w:tabs>
        <w:tab w:val="right" w:pos="8505"/>
      </w:tabs>
      <w:spacing w:before="200" w:after="20" w:line="240" w:lineRule="auto"/>
      <w:ind w:left="567" w:right="567" w:hanging="567"/>
      <w:jc w:val="left"/>
    </w:pPr>
    <w:rPr>
      <w:rFonts w:ascii="Merriweather Black" w:hAnsi="Merriweather Black"/>
      <w:noProof/>
    </w:r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D41AA5"/>
    <w:pPr>
      <w:tabs>
        <w:tab w:val="left" w:pos="2835"/>
      </w:tabs>
      <w:spacing w:after="0"/>
      <w:jc w:val="left"/>
    </w:pPr>
  </w:style>
  <w:style w:type="paragraph" w:customStyle="1" w:styleId="Footerodd">
    <w:name w:val="Footer odd"/>
    <w:basedOn w:val="Normal"/>
    <w:uiPriority w:val="2"/>
    <w:rsid w:val="00D41AA5"/>
    <w:pPr>
      <w:tabs>
        <w:tab w:val="right" w:pos="7938"/>
        <w:tab w:val="right" w:pos="8505"/>
      </w:tabs>
      <w:jc w:val="left"/>
    </w:pPr>
    <w:rPr>
      <w:sz w:val="16"/>
    </w:rPr>
  </w:style>
  <w:style w:type="paragraph" w:customStyle="1" w:styleId="Footereven">
    <w:name w:val="Footer even"/>
    <w:basedOn w:val="Normal"/>
    <w:uiPriority w:val="2"/>
    <w:rsid w:val="00D41AA5"/>
    <w:pPr>
      <w:tabs>
        <w:tab w:val="left" w:pos="567"/>
      </w:tabs>
    </w:pPr>
    <w:rPr>
      <w:sz w:val="16"/>
    </w:rPr>
  </w:style>
  <w:style w:type="paragraph" w:customStyle="1" w:styleId="Numberedparagraph">
    <w:name w:val="Numbered paragraph"/>
    <w:basedOn w:val="Normal"/>
    <w:uiPriority w:val="1"/>
    <w:qFormat/>
    <w:rsid w:val="00D41AA5"/>
    <w:pPr>
      <w:numPr>
        <w:numId w:val="13"/>
      </w:numPr>
      <w:spacing w:before="0"/>
      <w:jc w:val="left"/>
    </w:pPr>
  </w:style>
  <w:style w:type="paragraph" w:customStyle="1" w:styleId="Sub-lista">
    <w:name w:val="Sub-list a"/>
    <w:aliases w:val="b"/>
    <w:basedOn w:val="Normal"/>
    <w:uiPriority w:val="2"/>
    <w:rsid w:val="00D41AA5"/>
    <w:pPr>
      <w:numPr>
        <w:numId w:val="1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uiPriority w:val="39"/>
    <w:semiHidden/>
    <w:rsid w:val="00EA64B4"/>
    <w:pPr>
      <w:ind w:left="440"/>
    </w:pPr>
  </w:style>
  <w:style w:type="paragraph" w:styleId="TableofFigures">
    <w:name w:val="table of figures"/>
    <w:basedOn w:val="Normal"/>
    <w:next w:val="Normal"/>
    <w:uiPriority w:val="99"/>
    <w:rsid w:val="00ED1C7E"/>
    <w:pPr>
      <w:tabs>
        <w:tab w:val="right" w:pos="8495"/>
      </w:tabs>
      <w:spacing w:before="0"/>
      <w:ind w:left="1134" w:right="567" w:hanging="1134"/>
      <w:jc w:val="left"/>
    </w:pPr>
    <w:rPr>
      <w:rFonts w:cs="Calibri"/>
      <w:noProof/>
    </w:rPr>
  </w:style>
  <w:style w:type="paragraph" w:customStyle="1" w:styleId="Sub-listi">
    <w:name w:val="Sub-list i"/>
    <w:aliases w:val="ii"/>
    <w:basedOn w:val="BodyText"/>
    <w:semiHidden/>
    <w:rsid w:val="00D41AA5"/>
    <w:pPr>
      <w:numPr>
        <w:numId w:val="16"/>
      </w:numPr>
      <w:spacing w:before="60" w:after="60"/>
    </w:pPr>
  </w:style>
  <w:style w:type="paragraph" w:customStyle="1" w:styleId="TableBullet">
    <w:name w:val="TableBullet"/>
    <w:basedOn w:val="Normal"/>
    <w:qFormat/>
    <w:rsid w:val="00D41AA5"/>
    <w:pPr>
      <w:numPr>
        <w:numId w:val="17"/>
      </w:numPr>
      <w:spacing w:before="0" w:after="60" w:line="240" w:lineRule="atLeast"/>
      <w:jc w:val="left"/>
    </w:pPr>
    <w:rPr>
      <w:rFonts w:cs="Arial"/>
      <w:sz w:val="18"/>
      <w:szCs w:val="16"/>
    </w:rPr>
  </w:style>
  <w:style w:type="paragraph" w:customStyle="1" w:styleId="TableDash">
    <w:name w:val="TableDash"/>
    <w:basedOn w:val="TableBullet"/>
    <w:qFormat/>
    <w:rsid w:val="00D41AA5"/>
    <w:pPr>
      <w:numPr>
        <w:numId w:val="18"/>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2"/>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D41AA5"/>
    <w:rPr>
      <w:color w:val="800080" w:themeColor="followedHyperlink"/>
      <w:u w:val="none"/>
    </w:rPr>
  </w:style>
  <w:style w:type="paragraph" w:customStyle="1" w:styleId="BoxBullet0">
    <w:name w:val="Box Bullet"/>
    <w:basedOn w:val="Normal"/>
    <w:semiHidden/>
    <w:rsid w:val="008B5E54"/>
    <w:pPr>
      <w:pBdr>
        <w:top w:val="single" w:sz="6" w:space="15" w:color="auto"/>
        <w:left w:val="single" w:sz="6" w:space="15" w:color="auto"/>
        <w:bottom w:val="single" w:sz="6" w:space="15" w:color="auto"/>
        <w:right w:val="single" w:sz="6" w:space="15" w:color="auto"/>
      </w:pBdr>
      <w:tabs>
        <w:tab w:val="num" w:pos="851"/>
      </w:tabs>
      <w:spacing w:after="0" w:line="240" w:lineRule="auto"/>
      <w:ind w:left="851" w:right="284" w:hanging="567"/>
      <w:jc w:val="left"/>
    </w:pPr>
    <w:rPr>
      <w:rFonts w:ascii="Arial" w:eastAsia="Times New Roman" w:hAnsi="Arial" w:cs="Times New Roman"/>
      <w:sz w:val="20"/>
      <w:szCs w:val="20"/>
      <w:lang w:eastAsia="en-GB"/>
    </w:rPr>
  </w:style>
  <w:style w:type="paragraph" w:customStyle="1" w:styleId="BoxHeading">
    <w:name w:val="BoxHeading"/>
    <w:basedOn w:val="Normal"/>
    <w:next w:val="Normal"/>
    <w:semiHidden/>
    <w:rsid w:val="008B5E54"/>
    <w:pPr>
      <w:pBdr>
        <w:top w:val="single" w:sz="6" w:space="15" w:color="auto"/>
        <w:left w:val="single" w:sz="6" w:space="15" w:color="auto"/>
        <w:bottom w:val="single" w:sz="6" w:space="15" w:color="auto"/>
        <w:right w:val="single" w:sz="6" w:space="15" w:color="auto"/>
      </w:pBdr>
      <w:spacing w:before="0" w:after="240" w:line="240" w:lineRule="auto"/>
      <w:ind w:left="284" w:right="284"/>
    </w:pPr>
    <w:rPr>
      <w:rFonts w:ascii="Arial" w:eastAsia="Times New Roman" w:hAnsi="Arial" w:cs="Times New Roman"/>
      <w:b/>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uiPriority w:val="39"/>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D41AA5"/>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B07CE9"/>
    <w:pPr>
      <w:numPr>
        <w:numId w:val="3"/>
      </w:numPr>
    </w:pPr>
  </w:style>
  <w:style w:type="numbering" w:customStyle="1" w:styleId="Style2">
    <w:name w:val="Style2"/>
    <w:uiPriority w:val="99"/>
    <w:rsid w:val="008E0688"/>
    <w:pPr>
      <w:numPr>
        <w:numId w:val="4"/>
      </w:numPr>
    </w:pPr>
  </w:style>
  <w:style w:type="paragraph" w:customStyle="1" w:styleId="Greenbullet-casestudytables">
    <w:name w:val="Green bullet - case study tables"/>
    <w:basedOn w:val="Greentext-casestudytables"/>
    <w:uiPriority w:val="1"/>
    <w:semiHidden/>
    <w:rsid w:val="00C15722"/>
    <w:pPr>
      <w:numPr>
        <w:numId w:val="5"/>
      </w:numPr>
      <w:spacing w:before="0"/>
      <w:ind w:left="681"/>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9F1D7F"/>
    <w:pPr>
      <w:keepNext/>
      <w:spacing w:before="240" w:after="0"/>
    </w:pPr>
    <w:rPr>
      <w:rFonts w:eastAsia="Times New Roman"/>
      <w:b/>
      <w:color w:val="1B556B"/>
      <w:sz w:val="22"/>
    </w:rPr>
  </w:style>
  <w:style w:type="numbering" w:customStyle="1" w:styleId="Style3">
    <w:name w:val="Style3"/>
    <w:uiPriority w:val="99"/>
    <w:rsid w:val="008B5A2D"/>
    <w:pPr>
      <w:numPr>
        <w:numId w:val="6"/>
      </w:numPr>
    </w:pPr>
  </w:style>
  <w:style w:type="paragraph" w:customStyle="1" w:styleId="Boxtext">
    <w:name w:val="Box text"/>
    <w:basedOn w:val="Normal"/>
    <w:uiPriority w:val="1"/>
    <w:qFormat/>
    <w:rsid w:val="00D41AA5"/>
    <w:pPr>
      <w:spacing w:line="260" w:lineRule="atLeast"/>
      <w:ind w:left="284" w:right="284"/>
      <w:jc w:val="left"/>
    </w:pPr>
    <w:rPr>
      <w:color w:val="1B556B"/>
      <w:sz w:val="20"/>
    </w:rPr>
  </w:style>
  <w:style w:type="paragraph" w:customStyle="1" w:styleId="Boxbullet">
    <w:name w:val="Box bullet"/>
    <w:basedOn w:val="Boxtext"/>
    <w:uiPriority w:val="1"/>
    <w:qFormat/>
    <w:rsid w:val="00CC3AB4"/>
    <w:pPr>
      <w:numPr>
        <w:numId w:val="10"/>
      </w:numPr>
      <w:tabs>
        <w:tab w:val="left" w:pos="680"/>
      </w:tabs>
      <w:spacing w:before="0"/>
      <w:ind w:left="681" w:hanging="397"/>
    </w:pPr>
    <w:rPr>
      <w:rFonts w:cs="Times New Roman"/>
      <w:szCs w:val="20"/>
    </w:rPr>
  </w:style>
  <w:style w:type="paragraph" w:customStyle="1" w:styleId="Boxheading0">
    <w:name w:val="Box heading"/>
    <w:basedOn w:val="Boxtext"/>
    <w:next w:val="Boxtext"/>
    <w:uiPriority w:val="1"/>
    <w:qFormat/>
    <w:rsid w:val="00D41AA5"/>
    <w:pPr>
      <w:keepNext/>
      <w:spacing w:before="240" w:after="0"/>
    </w:pPr>
    <w:rPr>
      <w:rFonts w:cs="Times New Roman"/>
      <w:b/>
      <w:sz w:val="22"/>
      <w:szCs w:val="20"/>
    </w:rPr>
  </w:style>
  <w:style w:type="paragraph" w:customStyle="1" w:styleId="Boxsub-bullet">
    <w:name w:val="Box sub-bullet"/>
    <w:basedOn w:val="Boxtext"/>
    <w:uiPriority w:val="1"/>
    <w:qFormat/>
    <w:rsid w:val="00D41AA5"/>
    <w:pPr>
      <w:numPr>
        <w:numId w:val="11"/>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7"/>
      </w:numPr>
      <w:spacing w:before="0"/>
      <w:ind w:left="1077"/>
    </w:pPr>
  </w:style>
  <w:style w:type="character" w:styleId="UnresolvedMention">
    <w:name w:val="Unresolved Mention"/>
    <w:basedOn w:val="DefaultParagraphFont"/>
    <w:uiPriority w:val="99"/>
    <w:semiHidden/>
    <w:unhideWhenUsed/>
    <w:rsid w:val="00563317"/>
    <w:rPr>
      <w:color w:val="605E5C"/>
      <w:shd w:val="clear" w:color="auto" w:fill="E1DFDD"/>
    </w:rPr>
  </w:style>
  <w:style w:type="paragraph" w:styleId="CommentText">
    <w:name w:val="annotation text"/>
    <w:basedOn w:val="Normal"/>
    <w:link w:val="CommentTextChar"/>
    <w:rsid w:val="008C091A"/>
    <w:pPr>
      <w:spacing w:line="240" w:lineRule="auto"/>
    </w:pPr>
    <w:rPr>
      <w:sz w:val="20"/>
      <w:szCs w:val="20"/>
    </w:rPr>
  </w:style>
  <w:style w:type="character" w:customStyle="1" w:styleId="CommentTextChar">
    <w:name w:val="Comment Text Char"/>
    <w:basedOn w:val="DefaultParagraphFont"/>
    <w:link w:val="CommentText"/>
    <w:rsid w:val="00D41AA5"/>
    <w:rPr>
      <w:rFonts w:ascii="Calibri" w:eastAsiaTheme="minorEastAsia" w:hAnsi="Calibri"/>
      <w:sz w:val="20"/>
      <w:szCs w:val="20"/>
      <w:lang w:eastAsia="en-NZ"/>
    </w:rPr>
  </w:style>
  <w:style w:type="paragraph" w:styleId="TOC2">
    <w:name w:val="toc 2"/>
    <w:basedOn w:val="Normal"/>
    <w:next w:val="Normal"/>
    <w:uiPriority w:val="39"/>
    <w:rsid w:val="00D83886"/>
    <w:pPr>
      <w:tabs>
        <w:tab w:val="right" w:pos="8505"/>
      </w:tabs>
      <w:spacing w:before="60" w:after="60" w:line="240" w:lineRule="auto"/>
      <w:ind w:left="567" w:right="567"/>
      <w:jc w:val="left"/>
    </w:pPr>
    <w:rPr>
      <w:noProof/>
    </w:rPr>
  </w:style>
  <w:style w:type="character" w:styleId="HTMLDefinition">
    <w:name w:val="HTML Definition"/>
    <w:basedOn w:val="DefaultParagraphFont"/>
    <w:uiPriority w:val="99"/>
    <w:semiHidden/>
    <w:unhideWhenUsed/>
    <w:rsid w:val="004F45C2"/>
    <w:rPr>
      <w:i/>
      <w:iCs/>
    </w:rPr>
  </w:style>
  <w:style w:type="paragraph" w:styleId="TOC5">
    <w:name w:val="toc 5"/>
    <w:basedOn w:val="Normal"/>
    <w:next w:val="Normal"/>
    <w:autoRedefine/>
    <w:uiPriority w:val="39"/>
    <w:semiHidden/>
    <w:rsid w:val="00607206"/>
    <w:pPr>
      <w:spacing w:before="0" w:after="100" w:line="259" w:lineRule="auto"/>
      <w:ind w:left="880"/>
      <w:jc w:val="left"/>
    </w:pPr>
    <w:rPr>
      <w:rFonts w:asciiTheme="minorHAnsi" w:hAnsiTheme="minorHAnsi"/>
      <w:kern w:val="2"/>
    </w:rPr>
  </w:style>
  <w:style w:type="paragraph" w:styleId="TOC6">
    <w:name w:val="toc 6"/>
    <w:basedOn w:val="Normal"/>
    <w:next w:val="Normal"/>
    <w:autoRedefine/>
    <w:uiPriority w:val="39"/>
    <w:semiHidden/>
    <w:rsid w:val="00607206"/>
    <w:pPr>
      <w:spacing w:before="0" w:after="100" w:line="259" w:lineRule="auto"/>
      <w:ind w:left="1100"/>
      <w:jc w:val="left"/>
    </w:pPr>
    <w:rPr>
      <w:rFonts w:asciiTheme="minorHAnsi" w:hAnsiTheme="minorHAnsi"/>
      <w:kern w:val="2"/>
    </w:rPr>
  </w:style>
  <w:style w:type="paragraph" w:styleId="TOC7">
    <w:name w:val="toc 7"/>
    <w:basedOn w:val="Normal"/>
    <w:next w:val="Normal"/>
    <w:autoRedefine/>
    <w:uiPriority w:val="39"/>
    <w:semiHidden/>
    <w:rsid w:val="00607206"/>
    <w:pPr>
      <w:spacing w:before="0" w:after="100" w:line="259" w:lineRule="auto"/>
      <w:ind w:left="1320"/>
      <w:jc w:val="left"/>
    </w:pPr>
    <w:rPr>
      <w:rFonts w:asciiTheme="minorHAnsi" w:hAnsiTheme="minorHAnsi"/>
      <w:kern w:val="2"/>
    </w:rPr>
  </w:style>
  <w:style w:type="paragraph" w:styleId="TOC8">
    <w:name w:val="toc 8"/>
    <w:basedOn w:val="Normal"/>
    <w:next w:val="Normal"/>
    <w:autoRedefine/>
    <w:uiPriority w:val="39"/>
    <w:semiHidden/>
    <w:rsid w:val="00607206"/>
    <w:pPr>
      <w:spacing w:before="0" w:after="100" w:line="259" w:lineRule="auto"/>
      <w:ind w:left="1540"/>
      <w:jc w:val="left"/>
    </w:pPr>
    <w:rPr>
      <w:rFonts w:asciiTheme="minorHAnsi" w:hAnsiTheme="minorHAnsi"/>
      <w:kern w:val="2"/>
    </w:rPr>
  </w:style>
  <w:style w:type="paragraph" w:styleId="TOC9">
    <w:name w:val="toc 9"/>
    <w:basedOn w:val="Normal"/>
    <w:next w:val="Normal"/>
    <w:autoRedefine/>
    <w:uiPriority w:val="39"/>
    <w:semiHidden/>
    <w:rsid w:val="00607206"/>
    <w:pPr>
      <w:spacing w:before="0" w:after="100" w:line="259" w:lineRule="auto"/>
      <w:ind w:left="1760"/>
      <w:jc w:val="left"/>
    </w:pPr>
    <w:rPr>
      <w:rFonts w:asciiTheme="minorHAnsi" w:hAnsiTheme="minorHAnsi"/>
      <w:kern w:val="2"/>
    </w:rPr>
  </w:style>
  <w:style w:type="numbering" w:customStyle="1" w:styleId="QuestionNumbers">
    <w:name w:val="Question Numbers"/>
    <w:basedOn w:val="NoList"/>
    <w:uiPriority w:val="99"/>
    <w:rsid w:val="003B2815"/>
    <w:pPr>
      <w:numPr>
        <w:numId w:val="8"/>
      </w:numPr>
    </w:pPr>
  </w:style>
  <w:style w:type="table" w:customStyle="1" w:styleId="TableGrid1">
    <w:name w:val="Table Grid1"/>
    <w:basedOn w:val="TableNormal"/>
    <w:next w:val="TableGrid"/>
    <w:uiPriority w:val="59"/>
    <w:rsid w:val="00521CD7"/>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Boxtext"/>
    <w:qFormat/>
    <w:rsid w:val="00FA5818"/>
    <w:pPr>
      <w:numPr>
        <w:numId w:val="21"/>
      </w:numPr>
      <w:ind w:right="0"/>
    </w:pPr>
    <w:rPr>
      <w:rFonts w:cs="Times New Roman"/>
      <w:color w:val="auto"/>
      <w:szCs w:val="20"/>
    </w:rPr>
  </w:style>
  <w:style w:type="character" w:styleId="Mention">
    <w:name w:val="Mention"/>
    <w:basedOn w:val="DefaultParagraphFont"/>
    <w:uiPriority w:val="99"/>
    <w:unhideWhenUsed/>
    <w:rsid w:val="00635E67"/>
    <w:rPr>
      <w:color w:val="2B579A"/>
      <w:shd w:val="clear" w:color="auto" w:fill="E1DFDD"/>
    </w:rPr>
  </w:style>
  <w:style w:type="paragraph" w:customStyle="1" w:styleId="paragraph">
    <w:name w:val="paragraph"/>
    <w:basedOn w:val="Normal"/>
    <w:rsid w:val="009B4E9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9B4E95"/>
  </w:style>
  <w:style w:type="character" w:customStyle="1" w:styleId="eop">
    <w:name w:val="eop"/>
    <w:basedOn w:val="DefaultParagraphFont"/>
    <w:rsid w:val="009B4E95"/>
  </w:style>
  <w:style w:type="character" w:customStyle="1" w:styleId="wacimagecontainer">
    <w:name w:val="wacimagecontainer"/>
    <w:basedOn w:val="DefaultParagraphFont"/>
    <w:rsid w:val="009B4E95"/>
  </w:style>
  <w:style w:type="character" w:customStyle="1" w:styleId="ui-provider">
    <w:name w:val="ui-provider"/>
    <w:basedOn w:val="DefaultParagraphFont"/>
    <w:rsid w:val="009B4E95"/>
  </w:style>
  <w:style w:type="paragraph" w:styleId="ListBullet">
    <w:name w:val="List Bullet"/>
    <w:basedOn w:val="Normal"/>
    <w:uiPriority w:val="99"/>
    <w:unhideWhenUsed/>
    <w:rsid w:val="009B4E95"/>
    <w:pPr>
      <w:numPr>
        <w:numId w:val="29"/>
      </w:numPr>
      <w:spacing w:before="0" w:after="160" w:line="259" w:lineRule="auto"/>
      <w:contextualSpacing/>
      <w:jc w:val="left"/>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16571505">
      <w:bodyDiv w:val="1"/>
      <w:marLeft w:val="0"/>
      <w:marRight w:val="0"/>
      <w:marTop w:val="0"/>
      <w:marBottom w:val="0"/>
      <w:divBdr>
        <w:top w:val="none" w:sz="0" w:space="0" w:color="auto"/>
        <w:left w:val="none" w:sz="0" w:space="0" w:color="auto"/>
        <w:bottom w:val="none" w:sz="0" w:space="0" w:color="auto"/>
        <w:right w:val="none" w:sz="0" w:space="0" w:color="auto"/>
      </w:divBdr>
      <w:divsChild>
        <w:div w:id="1737391401">
          <w:marLeft w:val="0"/>
          <w:marRight w:val="0"/>
          <w:marTop w:val="83"/>
          <w:marBottom w:val="0"/>
          <w:divBdr>
            <w:top w:val="none" w:sz="0" w:space="0" w:color="auto"/>
            <w:left w:val="none" w:sz="0" w:space="0" w:color="auto"/>
            <w:bottom w:val="none" w:sz="0" w:space="0" w:color="auto"/>
            <w:right w:val="none" w:sz="0" w:space="0" w:color="auto"/>
          </w:divBdr>
          <w:divsChild>
            <w:div w:id="302931331">
              <w:marLeft w:val="0"/>
              <w:marRight w:val="0"/>
              <w:marTop w:val="83"/>
              <w:marBottom w:val="0"/>
              <w:divBdr>
                <w:top w:val="none" w:sz="0" w:space="0" w:color="auto"/>
                <w:left w:val="none" w:sz="0" w:space="0" w:color="auto"/>
                <w:bottom w:val="none" w:sz="0" w:space="0" w:color="auto"/>
                <w:right w:val="none" w:sz="0" w:space="0" w:color="auto"/>
              </w:divBdr>
            </w:div>
            <w:div w:id="423842748">
              <w:marLeft w:val="0"/>
              <w:marRight w:val="0"/>
              <w:marTop w:val="83"/>
              <w:marBottom w:val="0"/>
              <w:divBdr>
                <w:top w:val="none" w:sz="0" w:space="0" w:color="auto"/>
                <w:left w:val="none" w:sz="0" w:space="0" w:color="auto"/>
                <w:bottom w:val="none" w:sz="0" w:space="0" w:color="auto"/>
                <w:right w:val="none" w:sz="0" w:space="0" w:color="auto"/>
              </w:divBdr>
            </w:div>
            <w:div w:id="801846098">
              <w:marLeft w:val="0"/>
              <w:marRight w:val="0"/>
              <w:marTop w:val="83"/>
              <w:marBottom w:val="0"/>
              <w:divBdr>
                <w:top w:val="none" w:sz="0" w:space="0" w:color="auto"/>
                <w:left w:val="none" w:sz="0" w:space="0" w:color="auto"/>
                <w:bottom w:val="none" w:sz="0" w:space="0" w:color="auto"/>
                <w:right w:val="none" w:sz="0" w:space="0" w:color="auto"/>
              </w:divBdr>
            </w:div>
            <w:div w:id="1293247386">
              <w:marLeft w:val="0"/>
              <w:marRight w:val="0"/>
              <w:marTop w:val="83"/>
              <w:marBottom w:val="0"/>
              <w:divBdr>
                <w:top w:val="none" w:sz="0" w:space="0" w:color="auto"/>
                <w:left w:val="none" w:sz="0" w:space="0" w:color="auto"/>
                <w:bottom w:val="none" w:sz="0" w:space="0" w:color="auto"/>
                <w:right w:val="none" w:sz="0" w:space="0" w:color="auto"/>
              </w:divBdr>
              <w:divsChild>
                <w:div w:id="1350834370">
                  <w:marLeft w:val="0"/>
                  <w:marRight w:val="0"/>
                  <w:marTop w:val="83"/>
                  <w:marBottom w:val="0"/>
                  <w:divBdr>
                    <w:top w:val="none" w:sz="0" w:space="0" w:color="auto"/>
                    <w:left w:val="none" w:sz="0" w:space="0" w:color="auto"/>
                    <w:bottom w:val="none" w:sz="0" w:space="0" w:color="auto"/>
                    <w:right w:val="none" w:sz="0" w:space="0" w:color="auto"/>
                  </w:divBdr>
                </w:div>
                <w:div w:id="1925408147">
                  <w:marLeft w:val="0"/>
                  <w:marRight w:val="0"/>
                  <w:marTop w:val="83"/>
                  <w:marBottom w:val="0"/>
                  <w:divBdr>
                    <w:top w:val="none" w:sz="0" w:space="0" w:color="auto"/>
                    <w:left w:val="none" w:sz="0" w:space="0" w:color="auto"/>
                    <w:bottom w:val="none" w:sz="0" w:space="0" w:color="auto"/>
                    <w:right w:val="none" w:sz="0" w:space="0" w:color="auto"/>
                  </w:divBdr>
                </w:div>
              </w:divsChild>
            </w:div>
            <w:div w:id="1595745016">
              <w:marLeft w:val="0"/>
              <w:marRight w:val="0"/>
              <w:marTop w:val="83"/>
              <w:marBottom w:val="0"/>
              <w:divBdr>
                <w:top w:val="none" w:sz="0" w:space="0" w:color="auto"/>
                <w:left w:val="none" w:sz="0" w:space="0" w:color="auto"/>
                <w:bottom w:val="none" w:sz="0" w:space="0" w:color="auto"/>
                <w:right w:val="none" w:sz="0" w:space="0" w:color="auto"/>
              </w:divBdr>
            </w:div>
            <w:div w:id="1882279644">
              <w:marLeft w:val="0"/>
              <w:marRight w:val="0"/>
              <w:marTop w:val="83"/>
              <w:marBottom w:val="0"/>
              <w:divBdr>
                <w:top w:val="none" w:sz="0" w:space="0" w:color="auto"/>
                <w:left w:val="none" w:sz="0" w:space="0" w:color="auto"/>
                <w:bottom w:val="none" w:sz="0" w:space="0" w:color="auto"/>
                <w:right w:val="none" w:sz="0" w:space="0" w:color="auto"/>
              </w:divBdr>
            </w:div>
          </w:divsChild>
        </w:div>
        <w:div w:id="2005816099">
          <w:marLeft w:val="0"/>
          <w:marRight w:val="0"/>
          <w:marTop w:val="83"/>
          <w:marBottom w:val="0"/>
          <w:divBdr>
            <w:top w:val="none" w:sz="0" w:space="0" w:color="auto"/>
            <w:left w:val="none" w:sz="0" w:space="0" w:color="auto"/>
            <w:bottom w:val="none" w:sz="0" w:space="0" w:color="auto"/>
            <w:right w:val="none" w:sz="0" w:space="0" w:color="auto"/>
          </w:divBdr>
          <w:divsChild>
            <w:div w:id="1015771427">
              <w:marLeft w:val="0"/>
              <w:marRight w:val="0"/>
              <w:marTop w:val="83"/>
              <w:marBottom w:val="0"/>
              <w:divBdr>
                <w:top w:val="none" w:sz="0" w:space="0" w:color="auto"/>
                <w:left w:val="none" w:sz="0" w:space="0" w:color="auto"/>
                <w:bottom w:val="none" w:sz="0" w:space="0" w:color="auto"/>
                <w:right w:val="none" w:sz="0" w:space="0" w:color="auto"/>
              </w:divBdr>
            </w:div>
            <w:div w:id="1810050214">
              <w:marLeft w:val="0"/>
              <w:marRight w:val="0"/>
              <w:marTop w:val="83"/>
              <w:marBottom w:val="0"/>
              <w:divBdr>
                <w:top w:val="none" w:sz="0" w:space="0" w:color="auto"/>
                <w:left w:val="none" w:sz="0" w:space="0" w:color="auto"/>
                <w:bottom w:val="none" w:sz="0" w:space="0" w:color="auto"/>
                <w:right w:val="none" w:sz="0" w:space="0" w:color="auto"/>
              </w:divBdr>
            </w:div>
            <w:div w:id="20876111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99430343">
      <w:bodyDiv w:val="1"/>
      <w:marLeft w:val="0"/>
      <w:marRight w:val="0"/>
      <w:marTop w:val="0"/>
      <w:marBottom w:val="0"/>
      <w:divBdr>
        <w:top w:val="none" w:sz="0" w:space="0" w:color="auto"/>
        <w:left w:val="none" w:sz="0" w:space="0" w:color="auto"/>
        <w:bottom w:val="none" w:sz="0" w:space="0" w:color="auto"/>
        <w:right w:val="none" w:sz="0" w:space="0" w:color="auto"/>
      </w:divBdr>
    </w:div>
    <w:div w:id="1024288061">
      <w:bodyDiv w:val="1"/>
      <w:marLeft w:val="0"/>
      <w:marRight w:val="0"/>
      <w:marTop w:val="0"/>
      <w:marBottom w:val="0"/>
      <w:divBdr>
        <w:top w:val="none" w:sz="0" w:space="0" w:color="auto"/>
        <w:left w:val="none" w:sz="0" w:space="0" w:color="auto"/>
        <w:bottom w:val="none" w:sz="0" w:space="0" w:color="auto"/>
        <w:right w:val="none" w:sz="0" w:space="0" w:color="auto"/>
      </w:divBdr>
    </w:div>
    <w:div w:id="1448163022">
      <w:bodyDiv w:val="1"/>
      <w:marLeft w:val="0"/>
      <w:marRight w:val="0"/>
      <w:marTop w:val="0"/>
      <w:marBottom w:val="0"/>
      <w:divBdr>
        <w:top w:val="none" w:sz="0" w:space="0" w:color="auto"/>
        <w:left w:val="none" w:sz="0" w:space="0" w:color="auto"/>
        <w:bottom w:val="none" w:sz="0" w:space="0" w:color="auto"/>
        <w:right w:val="none" w:sz="0" w:space="0" w:color="auto"/>
      </w:divBdr>
    </w:div>
    <w:div w:id="151245329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97707994">
      <w:bodyDiv w:val="1"/>
      <w:marLeft w:val="0"/>
      <w:marRight w:val="0"/>
      <w:marTop w:val="0"/>
      <w:marBottom w:val="0"/>
      <w:divBdr>
        <w:top w:val="none" w:sz="0" w:space="0" w:color="auto"/>
        <w:left w:val="none" w:sz="0" w:space="0" w:color="auto"/>
        <w:bottom w:val="none" w:sz="0" w:space="0" w:color="auto"/>
        <w:right w:val="none" w:sz="0" w:space="0" w:color="auto"/>
      </w:divBdr>
    </w:div>
    <w:div w:id="1698041001">
      <w:bodyDiv w:val="1"/>
      <w:marLeft w:val="0"/>
      <w:marRight w:val="0"/>
      <w:marTop w:val="0"/>
      <w:marBottom w:val="0"/>
      <w:divBdr>
        <w:top w:val="none" w:sz="0" w:space="0" w:color="auto"/>
        <w:left w:val="none" w:sz="0" w:space="0" w:color="auto"/>
        <w:bottom w:val="none" w:sz="0" w:space="0" w:color="auto"/>
        <w:right w:val="none" w:sz="0" w:space="0" w:color="auto"/>
      </w:divBdr>
      <w:divsChild>
        <w:div w:id="10381346">
          <w:marLeft w:val="0"/>
          <w:marRight w:val="0"/>
          <w:marTop w:val="0"/>
          <w:marBottom w:val="0"/>
          <w:divBdr>
            <w:top w:val="none" w:sz="0" w:space="0" w:color="auto"/>
            <w:left w:val="none" w:sz="0" w:space="0" w:color="auto"/>
            <w:bottom w:val="none" w:sz="0" w:space="0" w:color="auto"/>
            <w:right w:val="none" w:sz="0" w:space="0" w:color="auto"/>
          </w:divBdr>
        </w:div>
        <w:div w:id="156460673">
          <w:marLeft w:val="0"/>
          <w:marRight w:val="0"/>
          <w:marTop w:val="0"/>
          <w:marBottom w:val="0"/>
          <w:divBdr>
            <w:top w:val="none" w:sz="0" w:space="0" w:color="auto"/>
            <w:left w:val="none" w:sz="0" w:space="0" w:color="auto"/>
            <w:bottom w:val="none" w:sz="0" w:space="0" w:color="auto"/>
            <w:right w:val="none" w:sz="0" w:space="0" w:color="auto"/>
          </w:divBdr>
        </w:div>
        <w:div w:id="162285016">
          <w:marLeft w:val="0"/>
          <w:marRight w:val="0"/>
          <w:marTop w:val="0"/>
          <w:marBottom w:val="0"/>
          <w:divBdr>
            <w:top w:val="none" w:sz="0" w:space="0" w:color="auto"/>
            <w:left w:val="none" w:sz="0" w:space="0" w:color="auto"/>
            <w:bottom w:val="none" w:sz="0" w:space="0" w:color="auto"/>
            <w:right w:val="none" w:sz="0" w:space="0" w:color="auto"/>
          </w:divBdr>
        </w:div>
        <w:div w:id="201869641">
          <w:marLeft w:val="0"/>
          <w:marRight w:val="0"/>
          <w:marTop w:val="0"/>
          <w:marBottom w:val="0"/>
          <w:divBdr>
            <w:top w:val="none" w:sz="0" w:space="0" w:color="auto"/>
            <w:left w:val="none" w:sz="0" w:space="0" w:color="auto"/>
            <w:bottom w:val="none" w:sz="0" w:space="0" w:color="auto"/>
            <w:right w:val="none" w:sz="0" w:space="0" w:color="auto"/>
          </w:divBdr>
        </w:div>
        <w:div w:id="215702790">
          <w:marLeft w:val="0"/>
          <w:marRight w:val="0"/>
          <w:marTop w:val="0"/>
          <w:marBottom w:val="0"/>
          <w:divBdr>
            <w:top w:val="none" w:sz="0" w:space="0" w:color="auto"/>
            <w:left w:val="none" w:sz="0" w:space="0" w:color="auto"/>
            <w:bottom w:val="none" w:sz="0" w:space="0" w:color="auto"/>
            <w:right w:val="none" w:sz="0" w:space="0" w:color="auto"/>
          </w:divBdr>
        </w:div>
        <w:div w:id="237709559">
          <w:marLeft w:val="0"/>
          <w:marRight w:val="0"/>
          <w:marTop w:val="0"/>
          <w:marBottom w:val="0"/>
          <w:divBdr>
            <w:top w:val="none" w:sz="0" w:space="0" w:color="auto"/>
            <w:left w:val="none" w:sz="0" w:space="0" w:color="auto"/>
            <w:bottom w:val="none" w:sz="0" w:space="0" w:color="auto"/>
            <w:right w:val="none" w:sz="0" w:space="0" w:color="auto"/>
          </w:divBdr>
        </w:div>
        <w:div w:id="328337612">
          <w:marLeft w:val="0"/>
          <w:marRight w:val="0"/>
          <w:marTop w:val="0"/>
          <w:marBottom w:val="0"/>
          <w:divBdr>
            <w:top w:val="none" w:sz="0" w:space="0" w:color="auto"/>
            <w:left w:val="none" w:sz="0" w:space="0" w:color="auto"/>
            <w:bottom w:val="none" w:sz="0" w:space="0" w:color="auto"/>
            <w:right w:val="none" w:sz="0" w:space="0" w:color="auto"/>
          </w:divBdr>
        </w:div>
        <w:div w:id="338777269">
          <w:marLeft w:val="0"/>
          <w:marRight w:val="0"/>
          <w:marTop w:val="0"/>
          <w:marBottom w:val="0"/>
          <w:divBdr>
            <w:top w:val="none" w:sz="0" w:space="0" w:color="auto"/>
            <w:left w:val="none" w:sz="0" w:space="0" w:color="auto"/>
            <w:bottom w:val="none" w:sz="0" w:space="0" w:color="auto"/>
            <w:right w:val="none" w:sz="0" w:space="0" w:color="auto"/>
          </w:divBdr>
        </w:div>
        <w:div w:id="386926258">
          <w:marLeft w:val="0"/>
          <w:marRight w:val="0"/>
          <w:marTop w:val="0"/>
          <w:marBottom w:val="0"/>
          <w:divBdr>
            <w:top w:val="none" w:sz="0" w:space="0" w:color="auto"/>
            <w:left w:val="none" w:sz="0" w:space="0" w:color="auto"/>
            <w:bottom w:val="none" w:sz="0" w:space="0" w:color="auto"/>
            <w:right w:val="none" w:sz="0" w:space="0" w:color="auto"/>
          </w:divBdr>
        </w:div>
        <w:div w:id="394820811">
          <w:marLeft w:val="0"/>
          <w:marRight w:val="0"/>
          <w:marTop w:val="0"/>
          <w:marBottom w:val="0"/>
          <w:divBdr>
            <w:top w:val="none" w:sz="0" w:space="0" w:color="auto"/>
            <w:left w:val="none" w:sz="0" w:space="0" w:color="auto"/>
            <w:bottom w:val="none" w:sz="0" w:space="0" w:color="auto"/>
            <w:right w:val="none" w:sz="0" w:space="0" w:color="auto"/>
          </w:divBdr>
        </w:div>
        <w:div w:id="559176325">
          <w:marLeft w:val="0"/>
          <w:marRight w:val="0"/>
          <w:marTop w:val="0"/>
          <w:marBottom w:val="0"/>
          <w:divBdr>
            <w:top w:val="none" w:sz="0" w:space="0" w:color="auto"/>
            <w:left w:val="none" w:sz="0" w:space="0" w:color="auto"/>
            <w:bottom w:val="none" w:sz="0" w:space="0" w:color="auto"/>
            <w:right w:val="none" w:sz="0" w:space="0" w:color="auto"/>
          </w:divBdr>
        </w:div>
        <w:div w:id="624584565">
          <w:marLeft w:val="0"/>
          <w:marRight w:val="0"/>
          <w:marTop w:val="0"/>
          <w:marBottom w:val="0"/>
          <w:divBdr>
            <w:top w:val="none" w:sz="0" w:space="0" w:color="auto"/>
            <w:left w:val="none" w:sz="0" w:space="0" w:color="auto"/>
            <w:bottom w:val="none" w:sz="0" w:space="0" w:color="auto"/>
            <w:right w:val="none" w:sz="0" w:space="0" w:color="auto"/>
          </w:divBdr>
        </w:div>
        <w:div w:id="649138660">
          <w:marLeft w:val="0"/>
          <w:marRight w:val="0"/>
          <w:marTop w:val="0"/>
          <w:marBottom w:val="0"/>
          <w:divBdr>
            <w:top w:val="none" w:sz="0" w:space="0" w:color="auto"/>
            <w:left w:val="none" w:sz="0" w:space="0" w:color="auto"/>
            <w:bottom w:val="none" w:sz="0" w:space="0" w:color="auto"/>
            <w:right w:val="none" w:sz="0" w:space="0" w:color="auto"/>
          </w:divBdr>
        </w:div>
        <w:div w:id="742800711">
          <w:marLeft w:val="0"/>
          <w:marRight w:val="0"/>
          <w:marTop w:val="0"/>
          <w:marBottom w:val="0"/>
          <w:divBdr>
            <w:top w:val="none" w:sz="0" w:space="0" w:color="auto"/>
            <w:left w:val="none" w:sz="0" w:space="0" w:color="auto"/>
            <w:bottom w:val="none" w:sz="0" w:space="0" w:color="auto"/>
            <w:right w:val="none" w:sz="0" w:space="0" w:color="auto"/>
          </w:divBdr>
        </w:div>
        <w:div w:id="872307308">
          <w:marLeft w:val="0"/>
          <w:marRight w:val="0"/>
          <w:marTop w:val="0"/>
          <w:marBottom w:val="0"/>
          <w:divBdr>
            <w:top w:val="none" w:sz="0" w:space="0" w:color="auto"/>
            <w:left w:val="none" w:sz="0" w:space="0" w:color="auto"/>
            <w:bottom w:val="none" w:sz="0" w:space="0" w:color="auto"/>
            <w:right w:val="none" w:sz="0" w:space="0" w:color="auto"/>
          </w:divBdr>
        </w:div>
        <w:div w:id="1001154411">
          <w:marLeft w:val="0"/>
          <w:marRight w:val="0"/>
          <w:marTop w:val="0"/>
          <w:marBottom w:val="0"/>
          <w:divBdr>
            <w:top w:val="none" w:sz="0" w:space="0" w:color="auto"/>
            <w:left w:val="none" w:sz="0" w:space="0" w:color="auto"/>
            <w:bottom w:val="none" w:sz="0" w:space="0" w:color="auto"/>
            <w:right w:val="none" w:sz="0" w:space="0" w:color="auto"/>
          </w:divBdr>
        </w:div>
        <w:div w:id="1211843034">
          <w:marLeft w:val="0"/>
          <w:marRight w:val="0"/>
          <w:marTop w:val="0"/>
          <w:marBottom w:val="0"/>
          <w:divBdr>
            <w:top w:val="none" w:sz="0" w:space="0" w:color="auto"/>
            <w:left w:val="none" w:sz="0" w:space="0" w:color="auto"/>
            <w:bottom w:val="none" w:sz="0" w:space="0" w:color="auto"/>
            <w:right w:val="none" w:sz="0" w:space="0" w:color="auto"/>
          </w:divBdr>
        </w:div>
        <w:div w:id="1520192501">
          <w:marLeft w:val="0"/>
          <w:marRight w:val="0"/>
          <w:marTop w:val="0"/>
          <w:marBottom w:val="0"/>
          <w:divBdr>
            <w:top w:val="none" w:sz="0" w:space="0" w:color="auto"/>
            <w:left w:val="none" w:sz="0" w:space="0" w:color="auto"/>
            <w:bottom w:val="none" w:sz="0" w:space="0" w:color="auto"/>
            <w:right w:val="none" w:sz="0" w:space="0" w:color="auto"/>
          </w:divBdr>
        </w:div>
        <w:div w:id="1673795900">
          <w:marLeft w:val="0"/>
          <w:marRight w:val="0"/>
          <w:marTop w:val="0"/>
          <w:marBottom w:val="0"/>
          <w:divBdr>
            <w:top w:val="none" w:sz="0" w:space="0" w:color="auto"/>
            <w:left w:val="none" w:sz="0" w:space="0" w:color="auto"/>
            <w:bottom w:val="none" w:sz="0" w:space="0" w:color="auto"/>
            <w:right w:val="none" w:sz="0" w:space="0" w:color="auto"/>
          </w:divBdr>
        </w:div>
        <w:div w:id="1711682036">
          <w:marLeft w:val="0"/>
          <w:marRight w:val="0"/>
          <w:marTop w:val="0"/>
          <w:marBottom w:val="0"/>
          <w:divBdr>
            <w:top w:val="none" w:sz="0" w:space="0" w:color="auto"/>
            <w:left w:val="none" w:sz="0" w:space="0" w:color="auto"/>
            <w:bottom w:val="none" w:sz="0" w:space="0" w:color="auto"/>
            <w:right w:val="none" w:sz="0" w:space="0" w:color="auto"/>
          </w:divBdr>
        </w:div>
        <w:div w:id="1782727865">
          <w:marLeft w:val="0"/>
          <w:marRight w:val="0"/>
          <w:marTop w:val="0"/>
          <w:marBottom w:val="0"/>
          <w:divBdr>
            <w:top w:val="none" w:sz="0" w:space="0" w:color="auto"/>
            <w:left w:val="none" w:sz="0" w:space="0" w:color="auto"/>
            <w:bottom w:val="none" w:sz="0" w:space="0" w:color="auto"/>
            <w:right w:val="none" w:sz="0" w:space="0" w:color="auto"/>
          </w:divBdr>
        </w:div>
        <w:div w:id="1924297971">
          <w:marLeft w:val="0"/>
          <w:marRight w:val="0"/>
          <w:marTop w:val="0"/>
          <w:marBottom w:val="0"/>
          <w:divBdr>
            <w:top w:val="none" w:sz="0" w:space="0" w:color="auto"/>
            <w:left w:val="none" w:sz="0" w:space="0" w:color="auto"/>
            <w:bottom w:val="none" w:sz="0" w:space="0" w:color="auto"/>
            <w:right w:val="none" w:sz="0" w:space="0" w:color="auto"/>
          </w:divBdr>
        </w:div>
        <w:div w:id="2039968992">
          <w:marLeft w:val="0"/>
          <w:marRight w:val="0"/>
          <w:marTop w:val="0"/>
          <w:marBottom w:val="0"/>
          <w:divBdr>
            <w:top w:val="none" w:sz="0" w:space="0" w:color="auto"/>
            <w:left w:val="none" w:sz="0" w:space="0" w:color="auto"/>
            <w:bottom w:val="none" w:sz="0" w:space="0" w:color="auto"/>
            <w:right w:val="none" w:sz="0" w:space="0" w:color="auto"/>
          </w:divBdr>
        </w:div>
      </w:divsChild>
    </w:div>
    <w:div w:id="19938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legislation.govt.nz/regulation/public/2009/0284/latest/DLM2381201.html?" TargetMode="External"/><Relationship Id="rId39" Type="http://schemas.openxmlformats.org/officeDocument/2006/relationships/hyperlink" Target="https://www.legislation.govt.nz/regulation/public/2009/0286/latest/DLM3515159.html" TargetMode="External"/><Relationship Id="rId21" Type="http://schemas.openxmlformats.org/officeDocument/2006/relationships/header" Target="header6.xml"/><Relationship Id="rId34" Type="http://schemas.openxmlformats.org/officeDocument/2006/relationships/image" Target="media/image2.jpg"/><Relationship Id="rId42" Type="http://schemas.openxmlformats.org/officeDocument/2006/relationships/hyperlink" Target="https://www.legislation.govt.nz/regulation/public/2009/0284/latest/DLM3512526.html" TargetMode="External"/><Relationship Id="rId47" Type="http://schemas.openxmlformats.org/officeDocument/2006/relationships/hyperlink" Target="https://www.legislation.govt.nz/regulation/public/2008/0357/latest/DLM1313003.html" TargetMode="External"/><Relationship Id="rId50" Type="http://schemas.openxmlformats.org/officeDocument/2006/relationships/hyperlink" Target="https://www.legislation.govt.nz/regulation/public/2020/0264/latest/LMS375230.html?" TargetMode="External"/><Relationship Id="rId55" Type="http://schemas.openxmlformats.org/officeDocument/2006/relationships/hyperlink" Target="http://www.environment.govt.nz/"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legislation.govt.nz/regulation/public/2008/0357/latest/DLM1634227.html?" TargetMode="External"/><Relationship Id="rId11" Type="http://schemas.openxmlformats.org/officeDocument/2006/relationships/endnotes" Target="endnotes.xml"/><Relationship Id="rId24" Type="http://schemas.openxmlformats.org/officeDocument/2006/relationships/hyperlink" Target="https://www.legislation.govt.nz/regulation/public/2020/0264/latest/LMS375230.html?" TargetMode="External"/><Relationship Id="rId32" Type="http://schemas.openxmlformats.org/officeDocument/2006/relationships/hyperlink" Target="https://www.legislation.govt.nz/regulation/public/2009/0286/latest/whole.html" TargetMode="External"/><Relationship Id="rId37" Type="http://schemas.openxmlformats.org/officeDocument/2006/relationships/hyperlink" Target="https://www.legislation.govt.nz/regulation/public/2010/0338/latest/DLM3249508.html?" TargetMode="External"/><Relationship Id="rId40" Type="http://schemas.openxmlformats.org/officeDocument/2006/relationships/hyperlink" Target="https://www.legislation.govt.nz/regulation/public/2009/0286/latest/DLM3515125.html" TargetMode="External"/><Relationship Id="rId45" Type="http://schemas.openxmlformats.org/officeDocument/2006/relationships/hyperlink" Target="https://www.legislation.govt.nz/regulation/public/2008/0357/latest/DLM1634227.html?" TargetMode="External"/><Relationship Id="rId53" Type="http://schemas.openxmlformats.org/officeDocument/2006/relationships/hyperlink" Target="mailto:etsconsultation@mfe.govt.nz" TargetMode="External"/><Relationship Id="rId58" Type="http://schemas.openxmlformats.org/officeDocument/2006/relationships/fontTable" Target="fontTable.xml"/><Relationship Id="rId5" Type="http://schemas.openxmlformats.org/officeDocument/2006/relationships/customXml" Target="../customXml/item5.xml"/><Relationship Id="rId61" Type="http://schemas.microsoft.com/office/2020/10/relationships/intelligence" Target="intelligence2.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yperlink" Target="https://environment.govt.nz/publications/annual-updates-to-new-zealand-emissions-trading-scheme-limits-and-price-control-settings-for-units-2024-consultation-document" TargetMode="External"/><Relationship Id="rId27" Type="http://schemas.openxmlformats.org/officeDocument/2006/relationships/hyperlink" Target="https://www.legislation.govt.nz/regulation/public/2009/0285/latest/DLM2394207.html?" TargetMode="External"/><Relationship Id="rId30" Type="http://schemas.openxmlformats.org/officeDocument/2006/relationships/hyperlink" Target="https://www.legislation.govt.nz/regulation/public/2010/0338/latest/DLM3249508.html?" TargetMode="External"/><Relationship Id="rId35" Type="http://schemas.openxmlformats.org/officeDocument/2006/relationships/hyperlink" Target="https://www.legislation.govt.nz/regulation/public/2009/0285/latest/DLM2390302.html" TargetMode="External"/><Relationship Id="rId43" Type="http://schemas.openxmlformats.org/officeDocument/2006/relationships/hyperlink" Target="https://www.legislation.govt.nz/regulation/public/2009/0284/latest/DLM3512526.html" TargetMode="External"/><Relationship Id="rId48" Type="http://schemas.openxmlformats.org/officeDocument/2006/relationships/hyperlink" Target="https://www.legislation.govt.nz/regulation/public/2008/0357/latest/DLM1634238.html" TargetMode="External"/><Relationship Id="rId56" Type="http://schemas.openxmlformats.org/officeDocument/2006/relationships/hyperlink" Target="mailto:etsconsultation@mfe.govt.nz" TargetMode="External"/><Relationship Id="rId8" Type="http://schemas.openxmlformats.org/officeDocument/2006/relationships/settings" Target="settings.xml"/><Relationship Id="rId51" Type="http://schemas.openxmlformats.org/officeDocument/2006/relationships/hyperlink" Target="https://www.legislation.govt.nz/regulation/public/2020/0264/latest/LMS381177.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nvironment.govt.nz" TargetMode="External"/><Relationship Id="rId25" Type="http://schemas.openxmlformats.org/officeDocument/2006/relationships/hyperlink" Target="https://www.legislation.govt.nz/regulation/public/2008/0356/latest/DLM1635601.html?" TargetMode="External"/><Relationship Id="rId33" Type="http://schemas.openxmlformats.org/officeDocument/2006/relationships/hyperlink" Target="https://www.legislation.govt.nz/regulation/public/2009/0286/latest/whole.html" TargetMode="External"/><Relationship Id="rId38" Type="http://schemas.openxmlformats.org/officeDocument/2006/relationships/hyperlink" Target="https://www.legislation.govt.nz/regulation/public/2009/0286/latest/whole.html" TargetMode="External"/><Relationship Id="rId46" Type="http://schemas.openxmlformats.org/officeDocument/2006/relationships/hyperlink" Target="https://www.legislation.govt.nz/regulation/public/2008/0357/latest/DLM1313003.html" TargetMode="External"/><Relationship Id="rId5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www.legislation.govt.nz/regulation/public/2009/0284/latest/DLM2381201.html?" TargetMode="External"/><Relationship Id="rId54" Type="http://schemas.openxmlformats.org/officeDocument/2006/relationships/hyperlink" Target="mailto:etsconsultation@mfe.govt.nz"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nvironment.govt.nz/assets/publications/Aotearoa-New-Zealands-first-emissions-reduction-plan.pdf" TargetMode="External"/><Relationship Id="rId28" Type="http://schemas.openxmlformats.org/officeDocument/2006/relationships/hyperlink" Target="https://www.legislation.govt.nz/regulation/public/2009/0286/latest/DLM2378401.html?" TargetMode="External"/><Relationship Id="rId36" Type="http://schemas.openxmlformats.org/officeDocument/2006/relationships/hyperlink" Target="https://www.legislation.govt.nz/regulation/public/2008/0356/latest/DLM1635601.html?" TargetMode="External"/><Relationship Id="rId49" Type="http://schemas.openxmlformats.org/officeDocument/2006/relationships/hyperlink" Target="https://www.legislation.govt.nz/regulation/public/2008/0357/latest/DLM1313003.html" TargetMode="External"/><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https://www.legislation.govt.nz/regulation/public/2009/0285/latest/DLM2390302.html" TargetMode="External"/><Relationship Id="rId44" Type="http://schemas.openxmlformats.org/officeDocument/2006/relationships/hyperlink" Target="https://www.legislation.govt.nz/regulation/public/2009/0284/latest/DLM3512526.html" TargetMode="External"/><Relationship Id="rId52" Type="http://schemas.openxmlformats.org/officeDocument/2006/relationships/hyperlink" Target="https://consult.environment.govt.nz/climate/nz-ets-unit-settings-and-regulatory-updates-2024" TargetMode="Externa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t.nz/act/public/2002/0040/latest/DLM166284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AppData\Roaming\Microsoft\Templates\Normal1.dotm" TargetMode="External"/></Relationships>
</file>

<file path=word/documenttasks/documenttasks1.xml><?xml version="1.0" encoding="utf-8"?>
<t:Tasks xmlns:t="http://schemas.microsoft.com/office/tasks/2019/documenttasks" xmlns:oel="http://schemas.microsoft.com/office/2019/extlst">
  <t:Task id="{709CE28D-EF8D-4AE2-8CAC-4324CA8B959E}">
    <t:Anchor>
      <t:Comment id="642148031"/>
    </t:Anchor>
    <t:History>
      <t:Event id="{6537754D-F83E-4818-9129-E835421BDDB9}" time="2024-04-02T20:21:42.584Z">
        <t:Attribution userId="S::Arwen.Norrish@mfe.govt.nz::152dda8d-8173-4444-91ea-7e87ac6499e2" userProvider="AD" userName="Arwen Norrish"/>
        <t:Anchor>
          <t:Comment id="642148031"/>
        </t:Anchor>
        <t:Create/>
      </t:Event>
      <t:Event id="{E4649933-3375-432B-8A25-FBD2BA54B86B}" time="2024-04-02T20:21:42.584Z">
        <t:Attribution userId="S::Arwen.Norrish@mfe.govt.nz::152dda8d-8173-4444-91ea-7e87ac6499e2" userProvider="AD" userName="Arwen Norrish"/>
        <t:Anchor>
          <t:Comment id="642148031"/>
        </t:Anchor>
        <t:Assign userId="S::Katharina.Achterberg@mfe.govt.nz::ad950efa-27f4-43a8-b21d-b70745cd3221" userProvider="AD" userName="Katharina Achterberg"/>
      </t:Event>
      <t:Event id="{FF6DCC68-52E7-4B58-A637-A07E20711DB6}" time="2024-04-02T20:21:42.584Z">
        <t:Attribution userId="S::Arwen.Norrish@mfe.govt.nz::152dda8d-8173-4444-91ea-7e87ac6499e2" userProvider="AD" userName="Arwen Norrish"/>
        <t:Anchor>
          <t:Comment id="642148031"/>
        </t:Anchor>
        <t:SetTitle title="@Katharina Achterberg can you update these questions please for the frequency of auctions options?"/>
      </t:Event>
    </t:History>
  </t:Task>
</t:Tasks>
</file>

<file path=word/theme/theme1.xml><?xml version="1.0" encoding="utf-8"?>
<a:theme xmlns:a="http://schemas.openxmlformats.org/drawingml/2006/main" name="MF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_dlc_DocId xmlns="58a6f171-52cb-4404-b47d-af1c8daf8fd1">ECM-1896812316-45504</_dlc_DocId>
    <_dlc_DocIdUrl xmlns="58a6f171-52cb-4404-b47d-af1c8daf8fd1">
      <Url>https://ministryforenvironment.sharepoint.com/sites/ECM-Pol-ETS/_layouts/15/DocIdRedir.aspx?ID=ECM-1896812316-45504</Url>
      <Description>ECM-1896812316-45504</Description>
    </_dlc_DocIdUrl>
    <Legacy_x0020_DocID xmlns="0260602b-329e-45fc-b32d-889d2cd1ae59" xsi:nil="true"/>
    <Year xmlns="0260602b-329e-45fc-b32d-889d2cd1ae59" xsi:nil="true"/>
    <Legacy_x0020_Version xmlns="0260602b-329e-45fc-b32d-889d2cd1ae59" xsi:nil="true"/>
    <Sender_x0020_Date xmlns="0260602b-329e-45fc-b32d-889d2cd1ae59" xsi:nil="true"/>
    <Library xmlns="0260602b-329e-45fc-b32d-889d2cd1ae59" xsi:nil="true"/>
    <Class xmlns="0260602b-329e-45fc-b32d-889d2cd1ae59" xsi:nil="true"/>
    <Sender xmlns="0260602b-329e-45fc-b32d-889d2cd1ae59" xsi:nil="true"/>
    <Other_x0020_Details xmlns="0260602b-329e-45fc-b32d-889d2cd1ae59" xsi:nil="true"/>
    <Carbon_x0020_Copy xmlns="0260602b-329e-45fc-b32d-889d2cd1ae59" xsi:nil="true"/>
    <Author0 xmlns="0260602b-329e-45fc-b32d-889d2cd1ae59" xsi:nil="true"/>
    <Email_x0020_Table xmlns="0260602b-329e-45fc-b32d-889d2cd1ae59" xsi:nil="true"/>
    <MTS_x0020_ID xmlns="0260602b-329e-45fc-b32d-889d2cd1ae59" xsi:nil="true"/>
    <MTS_x0020_Type xmlns="0260602b-329e-45fc-b32d-889d2cd1ae59" xsi:nil="true"/>
    <Receiver xmlns="0260602b-329e-45fc-b32d-889d2cd1ae59" xsi:nil="true"/>
    <Receiver_x0020_Date xmlns="0260602b-329e-45fc-b32d-889d2cd1ae59" xsi:nil="true"/>
    <Status xmlns="0260602b-329e-45fc-b32d-889d2cd1ae59" xsi:nil="true"/>
    <Document_x0020_Type xmlns="0260602b-329e-45fc-b32d-889d2cd1ae59" xsi:nil="true"/>
    <lcf76f155ced4ddcb4097134ff3c332f xmlns="0260602b-329e-45fc-b32d-889d2cd1ae59">
      <Terms xmlns="http://schemas.microsoft.com/office/infopath/2007/PartnerControls"/>
    </lcf76f155ced4ddcb4097134ff3c332f>
    <Supplemental_x0020_Markings xmlns="0260602b-329e-45fc-b32d-889d2cd1ae59" xsi:nil="true"/>
    <TaxCatchAll xmlns="58a6f171-52cb-4404-b47d-af1c8daf8fd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01ED631E09C5F47A877DCE13B9406DB" ma:contentTypeVersion="41" ma:contentTypeDescription="Create a new document." ma:contentTypeScope="" ma:versionID="564b5830c95bda1fa0066ee87b4276c3">
  <xsd:schema xmlns:xsd="http://www.w3.org/2001/XMLSchema" xmlns:xs="http://www.w3.org/2001/XMLSchema" xmlns:p="http://schemas.microsoft.com/office/2006/metadata/properties" xmlns:ns1="http://schemas.microsoft.com/sharepoint/v3" xmlns:ns2="58a6f171-52cb-4404-b47d-af1c8daf8fd1" xmlns:ns3="0260602b-329e-45fc-b32d-889d2cd1ae59" xmlns:ns4="65e65512-4319-4e85-9548-8afb53a63346" xmlns:ns5="http://schemas.microsoft.com/sharepoint/v4" targetNamespace="http://schemas.microsoft.com/office/2006/metadata/properties" ma:root="true" ma:fieldsID="39fbfa479e301aa2e895adea344e8d65" ns1:_="" ns2:_="" ns3:_="" ns4:_="" ns5:_="">
    <xsd:import namespace="http://schemas.microsoft.com/sharepoint/v3"/>
    <xsd:import namespace="58a6f171-52cb-4404-b47d-af1c8daf8fd1"/>
    <xsd:import namespace="0260602b-329e-45fc-b32d-889d2cd1ae59"/>
    <xsd:import namespace="65e65512-4319-4e85-9548-8afb53a6334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Supplemental_x0020_Markings" minOccurs="0"/>
                <xsd:element ref="ns3:MTS_x0020_Type" minOccurs="0"/>
                <xsd:element ref="ns3:MTS_x0020_ID"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3:MediaServiceOCR" minOccurs="0"/>
                <xsd:element ref="ns3:MediaLengthInSeconds" minOccurs="0"/>
                <xsd:element ref="ns5:IconOverlay"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8" nillable="true" ma:displayName="Taxonomy Catch All Column" ma:hidden="true" ma:list="{6e916042-cea3-48f2-970e-8528f5d6a2e1}" ma:internalName="TaxCatchAll" ma:showField="CatchAllData" ma:web="65e65512-4319-4e85-9548-8afb53a633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60602b-329e-45fc-b32d-889d2cd1ae59"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Supplemental_x0020_Markings" ma:index="23" nillable="true" ma:displayName="Supplemental Markings" ma:description="" ma:internalName="Supplemental_x0020_Markings">
      <xsd:simpleType>
        <xsd:restriction base="dms:Note">
          <xsd:maxLength value="255"/>
        </xsd:restriction>
      </xsd:simpleType>
    </xsd:element>
    <xsd:element name="MTS_x0020_Type" ma:index="24" nillable="true" ma:displayName="MTS Type" ma:default="" ma:description="" ma:internalName="MTS_x0020_Type">
      <xsd:simpleType>
        <xsd:restriction base="dms:Note">
          <xsd:maxLength value="255"/>
        </xsd:restriction>
      </xsd:simpleType>
    </xsd:element>
    <xsd:element name="MTS_x0020_ID" ma:index="25" nillable="true" ma:displayName="MTS ID" ma:default="" ma:description="" ma:internalName="MTS_x0020_ID">
      <xsd:simpleType>
        <xsd:restriction base="dms:Text">
          <xsd:maxLength value="255"/>
        </xsd:restriction>
      </xsd:simpleType>
    </xsd:element>
    <xsd:element name="Library" ma:index="26" nillable="true" ma:displayName="Library" ma:default="" ma:description="" ma:internalName="Library">
      <xsd:simpleType>
        <xsd:restriction base="dms:Text">
          <xsd:maxLength value="255"/>
        </xsd:restriction>
      </xsd:simpleType>
    </xsd:element>
    <xsd:element name="Legacy_x0020_DocID" ma:index="27" nillable="true" ma:displayName="Legacy DocID" ma:decimals="-1" ma:default="" ma:description="" ma:internalName="Legacy_x0020_DocID">
      <xsd:simpleType>
        <xsd:restriction base="dms:Number"/>
      </xsd:simpleType>
    </xsd:element>
    <xsd:element name="Legacy_x0020_Version" ma:index="28" nillable="true" ma:displayName="Legacy Version" ma:default="" ma:description="" ma:internalName="Legacy_x0020_Version">
      <xsd:simpleType>
        <xsd:restriction base="dms:Text">
          <xsd:maxLength value="255"/>
        </xsd:restriction>
      </xsd:simpleType>
    </xsd:element>
    <xsd:element name="Class" ma:index="29" nillable="true" ma:displayName="Class" ma:default="" ma:description="" ma:internalName="Class">
      <xsd:simpleType>
        <xsd:restriction base="dms:Text">
          <xsd:maxLength value="255"/>
        </xsd:restriction>
      </xsd:simpleType>
    </xsd:element>
    <xsd:element name="Author0" ma:index="30" nillable="true" ma:displayName="Author" ma:default="" ma:description="" ma:internalName="Author0">
      <xsd:simpleType>
        <xsd:restriction base="dms:Text">
          <xsd:maxLength value="255"/>
        </xsd:restriction>
      </xsd:simpleType>
    </xsd:element>
    <xsd:element name="Status" ma:index="31" nillable="true" ma:displayName="Status" ma:default="" ma:description="" ma:internalName="Status">
      <xsd:simpleType>
        <xsd:restriction base="dms:Text">
          <xsd:maxLength value="255"/>
        </xsd:restriction>
      </xsd:simpleType>
    </xsd:element>
    <xsd:element name="Year" ma:index="32" nillable="true" ma:displayName="Year" ma:default="" ma:description="" ma:internalName="Year">
      <xsd:simpleType>
        <xsd:restriction base="dms:Text">
          <xsd:maxLength value="255"/>
        </xsd:restriction>
      </xsd:simpleType>
    </xsd:element>
    <xsd:element name="Other_x0020_Details" ma:index="33" nillable="true" ma:displayName="Other Details" ma:default="" ma:description="" ma:internalName="Other_x0020_Details">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e65512-4319-4e85-9548-8afb53a63346"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BE385-CC81-41C6-A3F2-1BC9449571F7}">
  <ds:schemaRefs>
    <ds:schemaRef ds:uri="http://purl.org/dc/dcmitype/"/>
    <ds:schemaRef ds:uri="http://schemas.microsoft.com/office/infopath/2007/PartnerControls"/>
    <ds:schemaRef ds:uri="0260602b-329e-45fc-b32d-889d2cd1ae59"/>
    <ds:schemaRef ds:uri="http://schemas.openxmlformats.org/package/2006/metadata/core-properties"/>
    <ds:schemaRef ds:uri="58a6f171-52cb-4404-b47d-af1c8daf8fd1"/>
    <ds:schemaRef ds:uri="http://purl.org/dc/terms/"/>
    <ds:schemaRef ds:uri="http://www.w3.org/XML/1998/namespace"/>
    <ds:schemaRef ds:uri="http://schemas.microsoft.com/office/2006/documentManagement/types"/>
    <ds:schemaRef ds:uri="http://purl.org/dc/elements/1.1/"/>
    <ds:schemaRef ds:uri="http://schemas.microsoft.com/sharepoint/v3"/>
    <ds:schemaRef ds:uri="http://schemas.microsoft.com/sharepoint/v4"/>
    <ds:schemaRef ds:uri="65e65512-4319-4e85-9548-8afb53a63346"/>
    <ds:schemaRef ds:uri="http://schemas.microsoft.com/office/2006/metadata/properties"/>
  </ds:schemaRefs>
</ds:datastoreItem>
</file>

<file path=customXml/itemProps2.xml><?xml version="1.0" encoding="utf-8"?>
<ds:datastoreItem xmlns:ds="http://schemas.openxmlformats.org/officeDocument/2006/customXml" ds:itemID="{D27907E1-733D-40A2-9501-D22B1B74D9CB}">
  <ds:schemaRefs>
    <ds:schemaRef ds:uri="http://schemas.openxmlformats.org/officeDocument/2006/bibliography"/>
  </ds:schemaRefs>
</ds:datastoreItem>
</file>

<file path=customXml/itemProps3.xml><?xml version="1.0" encoding="utf-8"?>
<ds:datastoreItem xmlns:ds="http://schemas.openxmlformats.org/officeDocument/2006/customXml" ds:itemID="{D5A613BA-8105-4E0E-B7E9-7C17F86CC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0260602b-329e-45fc-b32d-889d2cd1ae59"/>
    <ds:schemaRef ds:uri="65e65512-4319-4e85-9548-8afb53a6334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5373F-630C-45C1-9D1D-0033FB98D60B}">
  <ds:schemaRefs>
    <ds:schemaRef ds:uri="http://schemas.microsoft.com/sharepoint/events"/>
  </ds:schemaRefs>
</ds:datastoreItem>
</file>

<file path=customXml/itemProps5.xml><?xml version="1.0" encoding="utf-8"?>
<ds:datastoreItem xmlns:ds="http://schemas.openxmlformats.org/officeDocument/2006/customXml" ds:itemID="{4D0CDAC4-0417-4665-BFBD-38D6177B7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Normal1.dotm</Template>
  <TotalTime>4</TotalTime>
  <Pages>42</Pages>
  <Words>13939</Words>
  <Characters>74998</Characters>
  <Application>Microsoft Office Word</Application>
  <DocSecurity>0</DocSecurity>
  <Lines>1923</Lines>
  <Paragraphs>1252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87685</CharactersWithSpaces>
  <SharedDoc>false</SharedDoc>
  <HLinks>
    <vt:vector size="600" baseType="variant">
      <vt:variant>
        <vt:i4>3080276</vt:i4>
      </vt:variant>
      <vt:variant>
        <vt:i4>567</vt:i4>
      </vt:variant>
      <vt:variant>
        <vt:i4>0</vt:i4>
      </vt:variant>
      <vt:variant>
        <vt:i4>5</vt:i4>
      </vt:variant>
      <vt:variant>
        <vt:lpwstr>mailto:etsconsultation@mfe.govt.nz</vt:lpwstr>
      </vt:variant>
      <vt:variant>
        <vt:lpwstr/>
      </vt:variant>
      <vt:variant>
        <vt:i4>7340128</vt:i4>
      </vt:variant>
      <vt:variant>
        <vt:i4>564</vt:i4>
      </vt:variant>
      <vt:variant>
        <vt:i4>0</vt:i4>
      </vt:variant>
      <vt:variant>
        <vt:i4>5</vt:i4>
      </vt:variant>
      <vt:variant>
        <vt:lpwstr>http://www.environment.govt.nz/</vt:lpwstr>
      </vt:variant>
      <vt:variant>
        <vt:lpwstr/>
      </vt:variant>
      <vt:variant>
        <vt:i4>3080276</vt:i4>
      </vt:variant>
      <vt:variant>
        <vt:i4>561</vt:i4>
      </vt:variant>
      <vt:variant>
        <vt:i4>0</vt:i4>
      </vt:variant>
      <vt:variant>
        <vt:i4>5</vt:i4>
      </vt:variant>
      <vt:variant>
        <vt:lpwstr>mailto:etsconsultation@mfe.govt.nz</vt:lpwstr>
      </vt:variant>
      <vt:variant>
        <vt:lpwstr/>
      </vt:variant>
      <vt:variant>
        <vt:i4>3080276</vt:i4>
      </vt:variant>
      <vt:variant>
        <vt:i4>558</vt:i4>
      </vt:variant>
      <vt:variant>
        <vt:i4>0</vt:i4>
      </vt:variant>
      <vt:variant>
        <vt:i4>5</vt:i4>
      </vt:variant>
      <vt:variant>
        <vt:lpwstr>mailto:etsconsultation@mfe.govt.nz</vt:lpwstr>
      </vt:variant>
      <vt:variant>
        <vt:lpwstr/>
      </vt:variant>
      <vt:variant>
        <vt:i4>6422614</vt:i4>
      </vt:variant>
      <vt:variant>
        <vt:i4>504</vt:i4>
      </vt:variant>
      <vt:variant>
        <vt:i4>0</vt:i4>
      </vt:variant>
      <vt:variant>
        <vt:i4>5</vt:i4>
      </vt:variant>
      <vt:variant>
        <vt:lpwstr/>
      </vt:variant>
      <vt:variant>
        <vt:lpwstr>_Criteria_for_assessing</vt:lpwstr>
      </vt:variant>
      <vt:variant>
        <vt:i4>1572931</vt:i4>
      </vt:variant>
      <vt:variant>
        <vt:i4>492</vt:i4>
      </vt:variant>
      <vt:variant>
        <vt:i4>0</vt:i4>
      </vt:variant>
      <vt:variant>
        <vt:i4>5</vt:i4>
      </vt:variant>
      <vt:variant>
        <vt:lpwstr>https://www.legislation.govt.nz/regulation/public/2020/0264/latest/LMS381177.html</vt:lpwstr>
      </vt:variant>
      <vt:variant>
        <vt:lpwstr/>
      </vt:variant>
      <vt:variant>
        <vt:i4>6422614</vt:i4>
      </vt:variant>
      <vt:variant>
        <vt:i4>486</vt:i4>
      </vt:variant>
      <vt:variant>
        <vt:i4>0</vt:i4>
      </vt:variant>
      <vt:variant>
        <vt:i4>5</vt:i4>
      </vt:variant>
      <vt:variant>
        <vt:lpwstr/>
      </vt:variant>
      <vt:variant>
        <vt:lpwstr>_Criteria_for_assessing</vt:lpwstr>
      </vt:variant>
      <vt:variant>
        <vt:i4>2883631</vt:i4>
      </vt:variant>
      <vt:variant>
        <vt:i4>480</vt:i4>
      </vt:variant>
      <vt:variant>
        <vt:i4>0</vt:i4>
      </vt:variant>
      <vt:variant>
        <vt:i4>5</vt:i4>
      </vt:variant>
      <vt:variant>
        <vt:lpwstr>https://www.legislation.govt.nz/regulation/public/2020/0264/latest/LMS375230.html?</vt:lpwstr>
      </vt:variant>
      <vt:variant>
        <vt:lpwstr/>
      </vt:variant>
      <vt:variant>
        <vt:i4>6422614</vt:i4>
      </vt:variant>
      <vt:variant>
        <vt:i4>474</vt:i4>
      </vt:variant>
      <vt:variant>
        <vt:i4>0</vt:i4>
      </vt:variant>
      <vt:variant>
        <vt:i4>5</vt:i4>
      </vt:variant>
      <vt:variant>
        <vt:lpwstr/>
      </vt:variant>
      <vt:variant>
        <vt:lpwstr>_Criteria_for_assessing</vt:lpwstr>
      </vt:variant>
      <vt:variant>
        <vt:i4>3670059</vt:i4>
      </vt:variant>
      <vt:variant>
        <vt:i4>468</vt:i4>
      </vt:variant>
      <vt:variant>
        <vt:i4>0</vt:i4>
      </vt:variant>
      <vt:variant>
        <vt:i4>5</vt:i4>
      </vt:variant>
      <vt:variant>
        <vt:lpwstr>https://www.legislation.govt.nz/regulation/public/2008/0357/latest/DLM1313003.html</vt:lpwstr>
      </vt:variant>
      <vt:variant>
        <vt:lpwstr/>
      </vt:variant>
      <vt:variant>
        <vt:i4>3735584</vt:i4>
      </vt:variant>
      <vt:variant>
        <vt:i4>465</vt:i4>
      </vt:variant>
      <vt:variant>
        <vt:i4>0</vt:i4>
      </vt:variant>
      <vt:variant>
        <vt:i4>5</vt:i4>
      </vt:variant>
      <vt:variant>
        <vt:lpwstr>https://www.legislation.govt.nz/regulation/public/2008/0357/latest/DLM1634238.html</vt:lpwstr>
      </vt:variant>
      <vt:variant>
        <vt:lpwstr/>
      </vt:variant>
      <vt:variant>
        <vt:i4>3670059</vt:i4>
      </vt:variant>
      <vt:variant>
        <vt:i4>462</vt:i4>
      </vt:variant>
      <vt:variant>
        <vt:i4>0</vt:i4>
      </vt:variant>
      <vt:variant>
        <vt:i4>5</vt:i4>
      </vt:variant>
      <vt:variant>
        <vt:lpwstr>https://www.legislation.govt.nz/regulation/public/2008/0357/latest/DLM1313003.html</vt:lpwstr>
      </vt:variant>
      <vt:variant>
        <vt:lpwstr/>
      </vt:variant>
      <vt:variant>
        <vt:i4>3670059</vt:i4>
      </vt:variant>
      <vt:variant>
        <vt:i4>459</vt:i4>
      </vt:variant>
      <vt:variant>
        <vt:i4>0</vt:i4>
      </vt:variant>
      <vt:variant>
        <vt:i4>5</vt:i4>
      </vt:variant>
      <vt:variant>
        <vt:lpwstr>https://www.legislation.govt.nz/regulation/public/2008/0357/latest/DLM1313003.html</vt:lpwstr>
      </vt:variant>
      <vt:variant>
        <vt:lpwstr/>
      </vt:variant>
      <vt:variant>
        <vt:i4>3670063</vt:i4>
      </vt:variant>
      <vt:variant>
        <vt:i4>456</vt:i4>
      </vt:variant>
      <vt:variant>
        <vt:i4>0</vt:i4>
      </vt:variant>
      <vt:variant>
        <vt:i4>5</vt:i4>
      </vt:variant>
      <vt:variant>
        <vt:lpwstr>https://www.legislation.govt.nz/regulation/public/2008/0357/latest/DLM1634227.html?</vt:lpwstr>
      </vt:variant>
      <vt:variant>
        <vt:lpwstr/>
      </vt:variant>
      <vt:variant>
        <vt:i4>6422614</vt:i4>
      </vt:variant>
      <vt:variant>
        <vt:i4>450</vt:i4>
      </vt:variant>
      <vt:variant>
        <vt:i4>0</vt:i4>
      </vt:variant>
      <vt:variant>
        <vt:i4>5</vt:i4>
      </vt:variant>
      <vt:variant>
        <vt:lpwstr/>
      </vt:variant>
      <vt:variant>
        <vt:lpwstr>_Criteria_for_assessing</vt:lpwstr>
      </vt:variant>
      <vt:variant>
        <vt:i4>3211307</vt:i4>
      </vt:variant>
      <vt:variant>
        <vt:i4>444</vt:i4>
      </vt:variant>
      <vt:variant>
        <vt:i4>0</vt:i4>
      </vt:variant>
      <vt:variant>
        <vt:i4>5</vt:i4>
      </vt:variant>
      <vt:variant>
        <vt:lpwstr>https://www.legislation.govt.nz/regulation/public/2009/0284/latest/DLM3512526.html</vt:lpwstr>
      </vt:variant>
      <vt:variant>
        <vt:lpwstr/>
      </vt:variant>
      <vt:variant>
        <vt:i4>3211307</vt:i4>
      </vt:variant>
      <vt:variant>
        <vt:i4>441</vt:i4>
      </vt:variant>
      <vt:variant>
        <vt:i4>0</vt:i4>
      </vt:variant>
      <vt:variant>
        <vt:i4>5</vt:i4>
      </vt:variant>
      <vt:variant>
        <vt:lpwstr>https://www.legislation.govt.nz/regulation/public/2009/0284/latest/DLM3512526.html</vt:lpwstr>
      </vt:variant>
      <vt:variant>
        <vt:lpwstr/>
      </vt:variant>
      <vt:variant>
        <vt:i4>3211307</vt:i4>
      </vt:variant>
      <vt:variant>
        <vt:i4>438</vt:i4>
      </vt:variant>
      <vt:variant>
        <vt:i4>0</vt:i4>
      </vt:variant>
      <vt:variant>
        <vt:i4>5</vt:i4>
      </vt:variant>
      <vt:variant>
        <vt:lpwstr>https://www.legislation.govt.nz/regulation/public/2009/0284/latest/DLM3512526.html</vt:lpwstr>
      </vt:variant>
      <vt:variant>
        <vt:lpwstr/>
      </vt:variant>
      <vt:variant>
        <vt:i4>3538979</vt:i4>
      </vt:variant>
      <vt:variant>
        <vt:i4>435</vt:i4>
      </vt:variant>
      <vt:variant>
        <vt:i4>0</vt:i4>
      </vt:variant>
      <vt:variant>
        <vt:i4>5</vt:i4>
      </vt:variant>
      <vt:variant>
        <vt:lpwstr>https://www.legislation.govt.nz/regulation/public/2009/0284/latest/DLM2381201.html?</vt:lpwstr>
      </vt:variant>
      <vt:variant>
        <vt:lpwstr/>
      </vt:variant>
      <vt:variant>
        <vt:i4>6422614</vt:i4>
      </vt:variant>
      <vt:variant>
        <vt:i4>429</vt:i4>
      </vt:variant>
      <vt:variant>
        <vt:i4>0</vt:i4>
      </vt:variant>
      <vt:variant>
        <vt:i4>5</vt:i4>
      </vt:variant>
      <vt:variant>
        <vt:lpwstr/>
      </vt:variant>
      <vt:variant>
        <vt:lpwstr>_Criteria_for_assessing</vt:lpwstr>
      </vt:variant>
      <vt:variant>
        <vt:i4>3538990</vt:i4>
      </vt:variant>
      <vt:variant>
        <vt:i4>423</vt:i4>
      </vt:variant>
      <vt:variant>
        <vt:i4>0</vt:i4>
      </vt:variant>
      <vt:variant>
        <vt:i4>5</vt:i4>
      </vt:variant>
      <vt:variant>
        <vt:lpwstr>https://www.legislation.govt.nz/regulation/public/2009/0286/latest/DLM3515125.html</vt:lpwstr>
      </vt:variant>
      <vt:variant>
        <vt:lpwstr/>
      </vt:variant>
      <vt:variant>
        <vt:i4>6422614</vt:i4>
      </vt:variant>
      <vt:variant>
        <vt:i4>417</vt:i4>
      </vt:variant>
      <vt:variant>
        <vt:i4>0</vt:i4>
      </vt:variant>
      <vt:variant>
        <vt:i4>5</vt:i4>
      </vt:variant>
      <vt:variant>
        <vt:lpwstr/>
      </vt:variant>
      <vt:variant>
        <vt:lpwstr>_Criteria_for_assessing</vt:lpwstr>
      </vt:variant>
      <vt:variant>
        <vt:i4>3211298</vt:i4>
      </vt:variant>
      <vt:variant>
        <vt:i4>411</vt:i4>
      </vt:variant>
      <vt:variant>
        <vt:i4>0</vt:i4>
      </vt:variant>
      <vt:variant>
        <vt:i4>5</vt:i4>
      </vt:variant>
      <vt:variant>
        <vt:lpwstr>https://www.legislation.govt.nz/regulation/public/2009/0286/latest/DLM3515159.html</vt:lpwstr>
      </vt:variant>
      <vt:variant>
        <vt:lpwstr/>
      </vt:variant>
      <vt:variant>
        <vt:i4>6422614</vt:i4>
      </vt:variant>
      <vt:variant>
        <vt:i4>405</vt:i4>
      </vt:variant>
      <vt:variant>
        <vt:i4>0</vt:i4>
      </vt:variant>
      <vt:variant>
        <vt:i4>5</vt:i4>
      </vt:variant>
      <vt:variant>
        <vt:lpwstr/>
      </vt:variant>
      <vt:variant>
        <vt:lpwstr>_Criteria_for_assessing</vt:lpwstr>
      </vt:variant>
      <vt:variant>
        <vt:i4>3014693</vt:i4>
      </vt:variant>
      <vt:variant>
        <vt:i4>399</vt:i4>
      </vt:variant>
      <vt:variant>
        <vt:i4>0</vt:i4>
      </vt:variant>
      <vt:variant>
        <vt:i4>5</vt:i4>
      </vt:variant>
      <vt:variant>
        <vt:lpwstr>https://www.legislation.govt.nz/regulation/public/2009/0286/latest/whole.html</vt:lpwstr>
      </vt:variant>
      <vt:variant>
        <vt:lpwstr>DLM2378480</vt:lpwstr>
      </vt:variant>
      <vt:variant>
        <vt:i4>3997740</vt:i4>
      </vt:variant>
      <vt:variant>
        <vt:i4>396</vt:i4>
      </vt:variant>
      <vt:variant>
        <vt:i4>0</vt:i4>
      </vt:variant>
      <vt:variant>
        <vt:i4>5</vt:i4>
      </vt:variant>
      <vt:variant>
        <vt:lpwstr>https://www.legislation.govt.nz/regulation/public/2010/0338/latest/DLM3249508.html?</vt:lpwstr>
      </vt:variant>
      <vt:variant>
        <vt:lpwstr/>
      </vt:variant>
      <vt:variant>
        <vt:i4>6422614</vt:i4>
      </vt:variant>
      <vt:variant>
        <vt:i4>390</vt:i4>
      </vt:variant>
      <vt:variant>
        <vt:i4>0</vt:i4>
      </vt:variant>
      <vt:variant>
        <vt:i4>5</vt:i4>
      </vt:variant>
      <vt:variant>
        <vt:lpwstr/>
      </vt:variant>
      <vt:variant>
        <vt:lpwstr>_Criteria_for_assessing</vt:lpwstr>
      </vt:variant>
      <vt:variant>
        <vt:i4>3866668</vt:i4>
      </vt:variant>
      <vt:variant>
        <vt:i4>378</vt:i4>
      </vt:variant>
      <vt:variant>
        <vt:i4>0</vt:i4>
      </vt:variant>
      <vt:variant>
        <vt:i4>5</vt:i4>
      </vt:variant>
      <vt:variant>
        <vt:lpwstr>https://www.legislation.govt.nz/regulation/public/2008/0356/latest/DLM1635601.html?</vt:lpwstr>
      </vt:variant>
      <vt:variant>
        <vt:lpwstr/>
      </vt:variant>
      <vt:variant>
        <vt:i4>6422614</vt:i4>
      </vt:variant>
      <vt:variant>
        <vt:i4>372</vt:i4>
      </vt:variant>
      <vt:variant>
        <vt:i4>0</vt:i4>
      </vt:variant>
      <vt:variant>
        <vt:i4>5</vt:i4>
      </vt:variant>
      <vt:variant>
        <vt:lpwstr/>
      </vt:variant>
      <vt:variant>
        <vt:lpwstr>_Criteria_for_assessing</vt:lpwstr>
      </vt:variant>
      <vt:variant>
        <vt:i4>3604513</vt:i4>
      </vt:variant>
      <vt:variant>
        <vt:i4>366</vt:i4>
      </vt:variant>
      <vt:variant>
        <vt:i4>0</vt:i4>
      </vt:variant>
      <vt:variant>
        <vt:i4>5</vt:i4>
      </vt:variant>
      <vt:variant>
        <vt:lpwstr>https://www.legislation.govt.nz/regulation/public/2009/0285/latest/DLM2390302.html</vt:lpwstr>
      </vt:variant>
      <vt:variant>
        <vt:lpwstr/>
      </vt:variant>
      <vt:variant>
        <vt:i4>6422614</vt:i4>
      </vt:variant>
      <vt:variant>
        <vt:i4>360</vt:i4>
      </vt:variant>
      <vt:variant>
        <vt:i4>0</vt:i4>
      </vt:variant>
      <vt:variant>
        <vt:i4>5</vt:i4>
      </vt:variant>
      <vt:variant>
        <vt:lpwstr/>
      </vt:variant>
      <vt:variant>
        <vt:lpwstr>_Criteria_for_assessing</vt:lpwstr>
      </vt:variant>
      <vt:variant>
        <vt:i4>3014693</vt:i4>
      </vt:variant>
      <vt:variant>
        <vt:i4>339</vt:i4>
      </vt:variant>
      <vt:variant>
        <vt:i4>0</vt:i4>
      </vt:variant>
      <vt:variant>
        <vt:i4>5</vt:i4>
      </vt:variant>
      <vt:variant>
        <vt:lpwstr>https://www.legislation.govt.nz/regulation/public/2009/0286/latest/whole.html</vt:lpwstr>
      </vt:variant>
      <vt:variant>
        <vt:lpwstr>DLM2378480</vt:lpwstr>
      </vt:variant>
      <vt:variant>
        <vt:i4>3014693</vt:i4>
      </vt:variant>
      <vt:variant>
        <vt:i4>336</vt:i4>
      </vt:variant>
      <vt:variant>
        <vt:i4>0</vt:i4>
      </vt:variant>
      <vt:variant>
        <vt:i4>5</vt:i4>
      </vt:variant>
      <vt:variant>
        <vt:lpwstr>https://www.legislation.govt.nz/regulation/public/2009/0286/latest/whole.html</vt:lpwstr>
      </vt:variant>
      <vt:variant>
        <vt:lpwstr>DLM2378480</vt:lpwstr>
      </vt:variant>
      <vt:variant>
        <vt:i4>3604513</vt:i4>
      </vt:variant>
      <vt:variant>
        <vt:i4>333</vt:i4>
      </vt:variant>
      <vt:variant>
        <vt:i4>0</vt:i4>
      </vt:variant>
      <vt:variant>
        <vt:i4>5</vt:i4>
      </vt:variant>
      <vt:variant>
        <vt:lpwstr>https://www.legislation.govt.nz/regulation/public/2009/0285/latest/DLM2390302.html</vt:lpwstr>
      </vt:variant>
      <vt:variant>
        <vt:lpwstr/>
      </vt:variant>
      <vt:variant>
        <vt:i4>7864404</vt:i4>
      </vt:variant>
      <vt:variant>
        <vt:i4>327</vt:i4>
      </vt:variant>
      <vt:variant>
        <vt:i4>0</vt:i4>
      </vt:variant>
      <vt:variant>
        <vt:i4>5</vt:i4>
      </vt:variant>
      <vt:variant>
        <vt:lpwstr/>
      </vt:variant>
      <vt:variant>
        <vt:lpwstr>_Consultation_questions_and</vt:lpwstr>
      </vt:variant>
      <vt:variant>
        <vt:i4>4784198</vt:i4>
      </vt:variant>
      <vt:variant>
        <vt:i4>324</vt:i4>
      </vt:variant>
      <vt:variant>
        <vt:i4>0</vt:i4>
      </vt:variant>
      <vt:variant>
        <vt:i4>5</vt:i4>
      </vt:variant>
      <vt:variant>
        <vt:lpwstr/>
      </vt:variant>
      <vt:variant>
        <vt:lpwstr>_Consultation_questions</vt:lpwstr>
      </vt:variant>
      <vt:variant>
        <vt:i4>3997740</vt:i4>
      </vt:variant>
      <vt:variant>
        <vt:i4>321</vt:i4>
      </vt:variant>
      <vt:variant>
        <vt:i4>0</vt:i4>
      </vt:variant>
      <vt:variant>
        <vt:i4>5</vt:i4>
      </vt:variant>
      <vt:variant>
        <vt:lpwstr>https://www.legislation.govt.nz/regulation/public/2010/0338/latest/DLM3249508.html?</vt:lpwstr>
      </vt:variant>
      <vt:variant>
        <vt:lpwstr/>
      </vt:variant>
      <vt:variant>
        <vt:i4>3670063</vt:i4>
      </vt:variant>
      <vt:variant>
        <vt:i4>318</vt:i4>
      </vt:variant>
      <vt:variant>
        <vt:i4>0</vt:i4>
      </vt:variant>
      <vt:variant>
        <vt:i4>5</vt:i4>
      </vt:variant>
      <vt:variant>
        <vt:lpwstr>https://www.legislation.govt.nz/regulation/public/2008/0357/latest/DLM1634227.html?</vt:lpwstr>
      </vt:variant>
      <vt:variant>
        <vt:lpwstr/>
      </vt:variant>
      <vt:variant>
        <vt:i4>4128808</vt:i4>
      </vt:variant>
      <vt:variant>
        <vt:i4>315</vt:i4>
      </vt:variant>
      <vt:variant>
        <vt:i4>0</vt:i4>
      </vt:variant>
      <vt:variant>
        <vt:i4>5</vt:i4>
      </vt:variant>
      <vt:variant>
        <vt:lpwstr>https://www.legislation.govt.nz/regulation/public/2009/0286/latest/DLM2378401.html?</vt:lpwstr>
      </vt:variant>
      <vt:variant>
        <vt:lpwstr/>
      </vt:variant>
      <vt:variant>
        <vt:i4>3342373</vt:i4>
      </vt:variant>
      <vt:variant>
        <vt:i4>312</vt:i4>
      </vt:variant>
      <vt:variant>
        <vt:i4>0</vt:i4>
      </vt:variant>
      <vt:variant>
        <vt:i4>5</vt:i4>
      </vt:variant>
      <vt:variant>
        <vt:lpwstr>https://www.legislation.govt.nz/regulation/public/2009/0285/latest/DLM2394207.html?</vt:lpwstr>
      </vt:variant>
      <vt:variant>
        <vt:lpwstr/>
      </vt:variant>
      <vt:variant>
        <vt:i4>3538979</vt:i4>
      </vt:variant>
      <vt:variant>
        <vt:i4>309</vt:i4>
      </vt:variant>
      <vt:variant>
        <vt:i4>0</vt:i4>
      </vt:variant>
      <vt:variant>
        <vt:i4>5</vt:i4>
      </vt:variant>
      <vt:variant>
        <vt:lpwstr>https://www.legislation.govt.nz/regulation/public/2009/0284/latest/DLM2381201.html?</vt:lpwstr>
      </vt:variant>
      <vt:variant>
        <vt:lpwstr/>
      </vt:variant>
      <vt:variant>
        <vt:i4>3866668</vt:i4>
      </vt:variant>
      <vt:variant>
        <vt:i4>306</vt:i4>
      </vt:variant>
      <vt:variant>
        <vt:i4>0</vt:i4>
      </vt:variant>
      <vt:variant>
        <vt:i4>5</vt:i4>
      </vt:variant>
      <vt:variant>
        <vt:lpwstr>https://www.legislation.govt.nz/regulation/public/2008/0356/latest/DLM1635601.html?</vt:lpwstr>
      </vt:variant>
      <vt:variant>
        <vt:lpwstr/>
      </vt:variant>
      <vt:variant>
        <vt:i4>2883631</vt:i4>
      </vt:variant>
      <vt:variant>
        <vt:i4>303</vt:i4>
      </vt:variant>
      <vt:variant>
        <vt:i4>0</vt:i4>
      </vt:variant>
      <vt:variant>
        <vt:i4>5</vt:i4>
      </vt:variant>
      <vt:variant>
        <vt:lpwstr>https://www.legislation.govt.nz/regulation/public/2020/0264/latest/LMS375230.html?</vt:lpwstr>
      </vt:variant>
      <vt:variant>
        <vt:lpwstr/>
      </vt:variant>
      <vt:variant>
        <vt:i4>5963776</vt:i4>
      </vt:variant>
      <vt:variant>
        <vt:i4>294</vt:i4>
      </vt:variant>
      <vt:variant>
        <vt:i4>0</vt:i4>
      </vt:variant>
      <vt:variant>
        <vt:i4>5</vt:i4>
      </vt:variant>
      <vt:variant>
        <vt:lpwstr>https://environment.govt.nz/assets/publications/Aotearoa-New-Zealands-first-emissions-reduction-plan.pdf</vt:lpwstr>
      </vt:variant>
      <vt:variant>
        <vt:lpwstr/>
      </vt:variant>
      <vt:variant>
        <vt:i4>1245233</vt:i4>
      </vt:variant>
      <vt:variant>
        <vt:i4>287</vt:i4>
      </vt:variant>
      <vt:variant>
        <vt:i4>0</vt:i4>
      </vt:variant>
      <vt:variant>
        <vt:i4>5</vt:i4>
      </vt:variant>
      <vt:variant>
        <vt:lpwstr/>
      </vt:variant>
      <vt:variant>
        <vt:lpwstr>_Toc162431175</vt:lpwstr>
      </vt:variant>
      <vt:variant>
        <vt:i4>1114165</vt:i4>
      </vt:variant>
      <vt:variant>
        <vt:i4>278</vt:i4>
      </vt:variant>
      <vt:variant>
        <vt:i4>0</vt:i4>
      </vt:variant>
      <vt:variant>
        <vt:i4>5</vt:i4>
      </vt:variant>
      <vt:variant>
        <vt:lpwstr/>
      </vt:variant>
      <vt:variant>
        <vt:lpwstr>_Toc161224760</vt:lpwstr>
      </vt:variant>
      <vt:variant>
        <vt:i4>1179701</vt:i4>
      </vt:variant>
      <vt:variant>
        <vt:i4>272</vt:i4>
      </vt:variant>
      <vt:variant>
        <vt:i4>0</vt:i4>
      </vt:variant>
      <vt:variant>
        <vt:i4>5</vt:i4>
      </vt:variant>
      <vt:variant>
        <vt:lpwstr/>
      </vt:variant>
      <vt:variant>
        <vt:lpwstr>_Toc161224759</vt:lpwstr>
      </vt:variant>
      <vt:variant>
        <vt:i4>1179701</vt:i4>
      </vt:variant>
      <vt:variant>
        <vt:i4>266</vt:i4>
      </vt:variant>
      <vt:variant>
        <vt:i4>0</vt:i4>
      </vt:variant>
      <vt:variant>
        <vt:i4>5</vt:i4>
      </vt:variant>
      <vt:variant>
        <vt:lpwstr/>
      </vt:variant>
      <vt:variant>
        <vt:lpwstr>_Toc161224758</vt:lpwstr>
      </vt:variant>
      <vt:variant>
        <vt:i4>1179701</vt:i4>
      </vt:variant>
      <vt:variant>
        <vt:i4>260</vt:i4>
      </vt:variant>
      <vt:variant>
        <vt:i4>0</vt:i4>
      </vt:variant>
      <vt:variant>
        <vt:i4>5</vt:i4>
      </vt:variant>
      <vt:variant>
        <vt:lpwstr/>
      </vt:variant>
      <vt:variant>
        <vt:lpwstr>_Toc161224757</vt:lpwstr>
      </vt:variant>
      <vt:variant>
        <vt:i4>1179701</vt:i4>
      </vt:variant>
      <vt:variant>
        <vt:i4>254</vt:i4>
      </vt:variant>
      <vt:variant>
        <vt:i4>0</vt:i4>
      </vt:variant>
      <vt:variant>
        <vt:i4>5</vt:i4>
      </vt:variant>
      <vt:variant>
        <vt:lpwstr/>
      </vt:variant>
      <vt:variant>
        <vt:lpwstr>_Toc161224756</vt:lpwstr>
      </vt:variant>
      <vt:variant>
        <vt:i4>1179701</vt:i4>
      </vt:variant>
      <vt:variant>
        <vt:i4>248</vt:i4>
      </vt:variant>
      <vt:variant>
        <vt:i4>0</vt:i4>
      </vt:variant>
      <vt:variant>
        <vt:i4>5</vt:i4>
      </vt:variant>
      <vt:variant>
        <vt:lpwstr/>
      </vt:variant>
      <vt:variant>
        <vt:lpwstr>_Toc161224755</vt:lpwstr>
      </vt:variant>
      <vt:variant>
        <vt:i4>1179701</vt:i4>
      </vt:variant>
      <vt:variant>
        <vt:i4>242</vt:i4>
      </vt:variant>
      <vt:variant>
        <vt:i4>0</vt:i4>
      </vt:variant>
      <vt:variant>
        <vt:i4>5</vt:i4>
      </vt:variant>
      <vt:variant>
        <vt:lpwstr/>
      </vt:variant>
      <vt:variant>
        <vt:lpwstr>_Toc161224754</vt:lpwstr>
      </vt:variant>
      <vt:variant>
        <vt:i4>1179701</vt:i4>
      </vt:variant>
      <vt:variant>
        <vt:i4>236</vt:i4>
      </vt:variant>
      <vt:variant>
        <vt:i4>0</vt:i4>
      </vt:variant>
      <vt:variant>
        <vt:i4>5</vt:i4>
      </vt:variant>
      <vt:variant>
        <vt:lpwstr/>
      </vt:variant>
      <vt:variant>
        <vt:lpwstr>_Toc161224753</vt:lpwstr>
      </vt:variant>
      <vt:variant>
        <vt:i4>1179701</vt:i4>
      </vt:variant>
      <vt:variant>
        <vt:i4>230</vt:i4>
      </vt:variant>
      <vt:variant>
        <vt:i4>0</vt:i4>
      </vt:variant>
      <vt:variant>
        <vt:i4>5</vt:i4>
      </vt:variant>
      <vt:variant>
        <vt:lpwstr/>
      </vt:variant>
      <vt:variant>
        <vt:lpwstr>_Toc161224752</vt:lpwstr>
      </vt:variant>
      <vt:variant>
        <vt:i4>1179701</vt:i4>
      </vt:variant>
      <vt:variant>
        <vt:i4>224</vt:i4>
      </vt:variant>
      <vt:variant>
        <vt:i4>0</vt:i4>
      </vt:variant>
      <vt:variant>
        <vt:i4>5</vt:i4>
      </vt:variant>
      <vt:variant>
        <vt:lpwstr/>
      </vt:variant>
      <vt:variant>
        <vt:lpwstr>_Toc161224751</vt:lpwstr>
      </vt:variant>
      <vt:variant>
        <vt:i4>1179701</vt:i4>
      </vt:variant>
      <vt:variant>
        <vt:i4>218</vt:i4>
      </vt:variant>
      <vt:variant>
        <vt:i4>0</vt:i4>
      </vt:variant>
      <vt:variant>
        <vt:i4>5</vt:i4>
      </vt:variant>
      <vt:variant>
        <vt:lpwstr/>
      </vt:variant>
      <vt:variant>
        <vt:lpwstr>_Toc161224750</vt:lpwstr>
      </vt:variant>
      <vt:variant>
        <vt:i4>1245237</vt:i4>
      </vt:variant>
      <vt:variant>
        <vt:i4>212</vt:i4>
      </vt:variant>
      <vt:variant>
        <vt:i4>0</vt:i4>
      </vt:variant>
      <vt:variant>
        <vt:i4>5</vt:i4>
      </vt:variant>
      <vt:variant>
        <vt:lpwstr/>
      </vt:variant>
      <vt:variant>
        <vt:lpwstr>_Toc161224749</vt:lpwstr>
      </vt:variant>
      <vt:variant>
        <vt:i4>1245237</vt:i4>
      </vt:variant>
      <vt:variant>
        <vt:i4>206</vt:i4>
      </vt:variant>
      <vt:variant>
        <vt:i4>0</vt:i4>
      </vt:variant>
      <vt:variant>
        <vt:i4>5</vt:i4>
      </vt:variant>
      <vt:variant>
        <vt:lpwstr/>
      </vt:variant>
      <vt:variant>
        <vt:lpwstr>_Toc161224748</vt:lpwstr>
      </vt:variant>
      <vt:variant>
        <vt:i4>1245237</vt:i4>
      </vt:variant>
      <vt:variant>
        <vt:i4>200</vt:i4>
      </vt:variant>
      <vt:variant>
        <vt:i4>0</vt:i4>
      </vt:variant>
      <vt:variant>
        <vt:i4>5</vt:i4>
      </vt:variant>
      <vt:variant>
        <vt:lpwstr/>
      </vt:variant>
      <vt:variant>
        <vt:lpwstr>_Toc161224747</vt:lpwstr>
      </vt:variant>
      <vt:variant>
        <vt:i4>1245237</vt:i4>
      </vt:variant>
      <vt:variant>
        <vt:i4>194</vt:i4>
      </vt:variant>
      <vt:variant>
        <vt:i4>0</vt:i4>
      </vt:variant>
      <vt:variant>
        <vt:i4>5</vt:i4>
      </vt:variant>
      <vt:variant>
        <vt:lpwstr/>
      </vt:variant>
      <vt:variant>
        <vt:lpwstr>_Toc161224746</vt:lpwstr>
      </vt:variant>
      <vt:variant>
        <vt:i4>1572916</vt:i4>
      </vt:variant>
      <vt:variant>
        <vt:i4>185</vt:i4>
      </vt:variant>
      <vt:variant>
        <vt:i4>0</vt:i4>
      </vt:variant>
      <vt:variant>
        <vt:i4>5</vt:i4>
      </vt:variant>
      <vt:variant>
        <vt:lpwstr/>
      </vt:variant>
      <vt:variant>
        <vt:lpwstr>_Toc162525594</vt:lpwstr>
      </vt:variant>
      <vt:variant>
        <vt:i4>1572916</vt:i4>
      </vt:variant>
      <vt:variant>
        <vt:i4>179</vt:i4>
      </vt:variant>
      <vt:variant>
        <vt:i4>0</vt:i4>
      </vt:variant>
      <vt:variant>
        <vt:i4>5</vt:i4>
      </vt:variant>
      <vt:variant>
        <vt:lpwstr/>
      </vt:variant>
      <vt:variant>
        <vt:lpwstr>_Toc162525593</vt:lpwstr>
      </vt:variant>
      <vt:variant>
        <vt:i4>1572916</vt:i4>
      </vt:variant>
      <vt:variant>
        <vt:i4>173</vt:i4>
      </vt:variant>
      <vt:variant>
        <vt:i4>0</vt:i4>
      </vt:variant>
      <vt:variant>
        <vt:i4>5</vt:i4>
      </vt:variant>
      <vt:variant>
        <vt:lpwstr/>
      </vt:variant>
      <vt:variant>
        <vt:lpwstr>_Toc162525592</vt:lpwstr>
      </vt:variant>
      <vt:variant>
        <vt:i4>1572916</vt:i4>
      </vt:variant>
      <vt:variant>
        <vt:i4>167</vt:i4>
      </vt:variant>
      <vt:variant>
        <vt:i4>0</vt:i4>
      </vt:variant>
      <vt:variant>
        <vt:i4>5</vt:i4>
      </vt:variant>
      <vt:variant>
        <vt:lpwstr/>
      </vt:variant>
      <vt:variant>
        <vt:lpwstr>_Toc162525591</vt:lpwstr>
      </vt:variant>
      <vt:variant>
        <vt:i4>1572916</vt:i4>
      </vt:variant>
      <vt:variant>
        <vt:i4>161</vt:i4>
      </vt:variant>
      <vt:variant>
        <vt:i4>0</vt:i4>
      </vt:variant>
      <vt:variant>
        <vt:i4>5</vt:i4>
      </vt:variant>
      <vt:variant>
        <vt:lpwstr/>
      </vt:variant>
      <vt:variant>
        <vt:lpwstr>_Toc162525590</vt:lpwstr>
      </vt:variant>
      <vt:variant>
        <vt:i4>1638452</vt:i4>
      </vt:variant>
      <vt:variant>
        <vt:i4>155</vt:i4>
      </vt:variant>
      <vt:variant>
        <vt:i4>0</vt:i4>
      </vt:variant>
      <vt:variant>
        <vt:i4>5</vt:i4>
      </vt:variant>
      <vt:variant>
        <vt:lpwstr/>
      </vt:variant>
      <vt:variant>
        <vt:lpwstr>_Toc162525589</vt:lpwstr>
      </vt:variant>
      <vt:variant>
        <vt:i4>1638452</vt:i4>
      </vt:variant>
      <vt:variant>
        <vt:i4>149</vt:i4>
      </vt:variant>
      <vt:variant>
        <vt:i4>0</vt:i4>
      </vt:variant>
      <vt:variant>
        <vt:i4>5</vt:i4>
      </vt:variant>
      <vt:variant>
        <vt:lpwstr/>
      </vt:variant>
      <vt:variant>
        <vt:lpwstr>_Toc162525588</vt:lpwstr>
      </vt:variant>
      <vt:variant>
        <vt:i4>1638452</vt:i4>
      </vt:variant>
      <vt:variant>
        <vt:i4>143</vt:i4>
      </vt:variant>
      <vt:variant>
        <vt:i4>0</vt:i4>
      </vt:variant>
      <vt:variant>
        <vt:i4>5</vt:i4>
      </vt:variant>
      <vt:variant>
        <vt:lpwstr/>
      </vt:variant>
      <vt:variant>
        <vt:lpwstr>_Toc162525587</vt:lpwstr>
      </vt:variant>
      <vt:variant>
        <vt:i4>1638452</vt:i4>
      </vt:variant>
      <vt:variant>
        <vt:i4>137</vt:i4>
      </vt:variant>
      <vt:variant>
        <vt:i4>0</vt:i4>
      </vt:variant>
      <vt:variant>
        <vt:i4>5</vt:i4>
      </vt:variant>
      <vt:variant>
        <vt:lpwstr/>
      </vt:variant>
      <vt:variant>
        <vt:lpwstr>_Toc162525586</vt:lpwstr>
      </vt:variant>
      <vt:variant>
        <vt:i4>1638452</vt:i4>
      </vt:variant>
      <vt:variant>
        <vt:i4>131</vt:i4>
      </vt:variant>
      <vt:variant>
        <vt:i4>0</vt:i4>
      </vt:variant>
      <vt:variant>
        <vt:i4>5</vt:i4>
      </vt:variant>
      <vt:variant>
        <vt:lpwstr/>
      </vt:variant>
      <vt:variant>
        <vt:lpwstr>_Toc162525585</vt:lpwstr>
      </vt:variant>
      <vt:variant>
        <vt:i4>1638452</vt:i4>
      </vt:variant>
      <vt:variant>
        <vt:i4>125</vt:i4>
      </vt:variant>
      <vt:variant>
        <vt:i4>0</vt:i4>
      </vt:variant>
      <vt:variant>
        <vt:i4>5</vt:i4>
      </vt:variant>
      <vt:variant>
        <vt:lpwstr/>
      </vt:variant>
      <vt:variant>
        <vt:lpwstr>_Toc162525584</vt:lpwstr>
      </vt:variant>
      <vt:variant>
        <vt:i4>1638452</vt:i4>
      </vt:variant>
      <vt:variant>
        <vt:i4>119</vt:i4>
      </vt:variant>
      <vt:variant>
        <vt:i4>0</vt:i4>
      </vt:variant>
      <vt:variant>
        <vt:i4>5</vt:i4>
      </vt:variant>
      <vt:variant>
        <vt:lpwstr/>
      </vt:variant>
      <vt:variant>
        <vt:lpwstr>_Toc162525583</vt:lpwstr>
      </vt:variant>
      <vt:variant>
        <vt:i4>1638452</vt:i4>
      </vt:variant>
      <vt:variant>
        <vt:i4>113</vt:i4>
      </vt:variant>
      <vt:variant>
        <vt:i4>0</vt:i4>
      </vt:variant>
      <vt:variant>
        <vt:i4>5</vt:i4>
      </vt:variant>
      <vt:variant>
        <vt:lpwstr/>
      </vt:variant>
      <vt:variant>
        <vt:lpwstr>_Toc162525582</vt:lpwstr>
      </vt:variant>
      <vt:variant>
        <vt:i4>1638452</vt:i4>
      </vt:variant>
      <vt:variant>
        <vt:i4>107</vt:i4>
      </vt:variant>
      <vt:variant>
        <vt:i4>0</vt:i4>
      </vt:variant>
      <vt:variant>
        <vt:i4>5</vt:i4>
      </vt:variant>
      <vt:variant>
        <vt:lpwstr/>
      </vt:variant>
      <vt:variant>
        <vt:lpwstr>_Toc162525581</vt:lpwstr>
      </vt:variant>
      <vt:variant>
        <vt:i4>1638452</vt:i4>
      </vt:variant>
      <vt:variant>
        <vt:i4>101</vt:i4>
      </vt:variant>
      <vt:variant>
        <vt:i4>0</vt:i4>
      </vt:variant>
      <vt:variant>
        <vt:i4>5</vt:i4>
      </vt:variant>
      <vt:variant>
        <vt:lpwstr/>
      </vt:variant>
      <vt:variant>
        <vt:lpwstr>_Toc162525580</vt:lpwstr>
      </vt:variant>
      <vt:variant>
        <vt:i4>1441844</vt:i4>
      </vt:variant>
      <vt:variant>
        <vt:i4>95</vt:i4>
      </vt:variant>
      <vt:variant>
        <vt:i4>0</vt:i4>
      </vt:variant>
      <vt:variant>
        <vt:i4>5</vt:i4>
      </vt:variant>
      <vt:variant>
        <vt:lpwstr/>
      </vt:variant>
      <vt:variant>
        <vt:lpwstr>_Toc162525579</vt:lpwstr>
      </vt:variant>
      <vt:variant>
        <vt:i4>1441844</vt:i4>
      </vt:variant>
      <vt:variant>
        <vt:i4>89</vt:i4>
      </vt:variant>
      <vt:variant>
        <vt:i4>0</vt:i4>
      </vt:variant>
      <vt:variant>
        <vt:i4>5</vt:i4>
      </vt:variant>
      <vt:variant>
        <vt:lpwstr/>
      </vt:variant>
      <vt:variant>
        <vt:lpwstr>_Toc162525578</vt:lpwstr>
      </vt:variant>
      <vt:variant>
        <vt:i4>1441844</vt:i4>
      </vt:variant>
      <vt:variant>
        <vt:i4>83</vt:i4>
      </vt:variant>
      <vt:variant>
        <vt:i4>0</vt:i4>
      </vt:variant>
      <vt:variant>
        <vt:i4>5</vt:i4>
      </vt:variant>
      <vt:variant>
        <vt:lpwstr/>
      </vt:variant>
      <vt:variant>
        <vt:lpwstr>_Toc162525577</vt:lpwstr>
      </vt:variant>
      <vt:variant>
        <vt:i4>1441844</vt:i4>
      </vt:variant>
      <vt:variant>
        <vt:i4>77</vt:i4>
      </vt:variant>
      <vt:variant>
        <vt:i4>0</vt:i4>
      </vt:variant>
      <vt:variant>
        <vt:i4>5</vt:i4>
      </vt:variant>
      <vt:variant>
        <vt:lpwstr/>
      </vt:variant>
      <vt:variant>
        <vt:lpwstr>_Toc162525576</vt:lpwstr>
      </vt:variant>
      <vt:variant>
        <vt:i4>1441844</vt:i4>
      </vt:variant>
      <vt:variant>
        <vt:i4>71</vt:i4>
      </vt:variant>
      <vt:variant>
        <vt:i4>0</vt:i4>
      </vt:variant>
      <vt:variant>
        <vt:i4>5</vt:i4>
      </vt:variant>
      <vt:variant>
        <vt:lpwstr/>
      </vt:variant>
      <vt:variant>
        <vt:lpwstr>_Toc162525575</vt:lpwstr>
      </vt:variant>
      <vt:variant>
        <vt:i4>1441844</vt:i4>
      </vt:variant>
      <vt:variant>
        <vt:i4>65</vt:i4>
      </vt:variant>
      <vt:variant>
        <vt:i4>0</vt:i4>
      </vt:variant>
      <vt:variant>
        <vt:i4>5</vt:i4>
      </vt:variant>
      <vt:variant>
        <vt:lpwstr/>
      </vt:variant>
      <vt:variant>
        <vt:lpwstr>_Toc162525574</vt:lpwstr>
      </vt:variant>
      <vt:variant>
        <vt:i4>1441844</vt:i4>
      </vt:variant>
      <vt:variant>
        <vt:i4>59</vt:i4>
      </vt:variant>
      <vt:variant>
        <vt:i4>0</vt:i4>
      </vt:variant>
      <vt:variant>
        <vt:i4>5</vt:i4>
      </vt:variant>
      <vt:variant>
        <vt:lpwstr/>
      </vt:variant>
      <vt:variant>
        <vt:lpwstr>_Toc162525573</vt:lpwstr>
      </vt:variant>
      <vt:variant>
        <vt:i4>1441844</vt:i4>
      </vt:variant>
      <vt:variant>
        <vt:i4>53</vt:i4>
      </vt:variant>
      <vt:variant>
        <vt:i4>0</vt:i4>
      </vt:variant>
      <vt:variant>
        <vt:i4>5</vt:i4>
      </vt:variant>
      <vt:variant>
        <vt:lpwstr/>
      </vt:variant>
      <vt:variant>
        <vt:lpwstr>_Toc162525572</vt:lpwstr>
      </vt:variant>
      <vt:variant>
        <vt:i4>1441844</vt:i4>
      </vt:variant>
      <vt:variant>
        <vt:i4>47</vt:i4>
      </vt:variant>
      <vt:variant>
        <vt:i4>0</vt:i4>
      </vt:variant>
      <vt:variant>
        <vt:i4>5</vt:i4>
      </vt:variant>
      <vt:variant>
        <vt:lpwstr/>
      </vt:variant>
      <vt:variant>
        <vt:lpwstr>_Toc162525571</vt:lpwstr>
      </vt:variant>
      <vt:variant>
        <vt:i4>1441844</vt:i4>
      </vt:variant>
      <vt:variant>
        <vt:i4>41</vt:i4>
      </vt:variant>
      <vt:variant>
        <vt:i4>0</vt:i4>
      </vt:variant>
      <vt:variant>
        <vt:i4>5</vt:i4>
      </vt:variant>
      <vt:variant>
        <vt:lpwstr/>
      </vt:variant>
      <vt:variant>
        <vt:lpwstr>_Toc162525570</vt:lpwstr>
      </vt:variant>
      <vt:variant>
        <vt:i4>1507380</vt:i4>
      </vt:variant>
      <vt:variant>
        <vt:i4>35</vt:i4>
      </vt:variant>
      <vt:variant>
        <vt:i4>0</vt:i4>
      </vt:variant>
      <vt:variant>
        <vt:i4>5</vt:i4>
      </vt:variant>
      <vt:variant>
        <vt:lpwstr/>
      </vt:variant>
      <vt:variant>
        <vt:lpwstr>_Toc162525569</vt:lpwstr>
      </vt:variant>
      <vt:variant>
        <vt:i4>1507380</vt:i4>
      </vt:variant>
      <vt:variant>
        <vt:i4>29</vt:i4>
      </vt:variant>
      <vt:variant>
        <vt:i4>0</vt:i4>
      </vt:variant>
      <vt:variant>
        <vt:i4>5</vt:i4>
      </vt:variant>
      <vt:variant>
        <vt:lpwstr/>
      </vt:variant>
      <vt:variant>
        <vt:lpwstr>_Toc162525568</vt:lpwstr>
      </vt:variant>
      <vt:variant>
        <vt:i4>1507380</vt:i4>
      </vt:variant>
      <vt:variant>
        <vt:i4>23</vt:i4>
      </vt:variant>
      <vt:variant>
        <vt:i4>0</vt:i4>
      </vt:variant>
      <vt:variant>
        <vt:i4>5</vt:i4>
      </vt:variant>
      <vt:variant>
        <vt:lpwstr/>
      </vt:variant>
      <vt:variant>
        <vt:lpwstr>_Toc162525567</vt:lpwstr>
      </vt:variant>
      <vt:variant>
        <vt:i4>1507380</vt:i4>
      </vt:variant>
      <vt:variant>
        <vt:i4>17</vt:i4>
      </vt:variant>
      <vt:variant>
        <vt:i4>0</vt:i4>
      </vt:variant>
      <vt:variant>
        <vt:i4>5</vt:i4>
      </vt:variant>
      <vt:variant>
        <vt:lpwstr/>
      </vt:variant>
      <vt:variant>
        <vt:lpwstr>_Toc162525566</vt:lpwstr>
      </vt:variant>
      <vt:variant>
        <vt:i4>1507380</vt:i4>
      </vt:variant>
      <vt:variant>
        <vt:i4>11</vt:i4>
      </vt:variant>
      <vt:variant>
        <vt:i4>0</vt:i4>
      </vt:variant>
      <vt:variant>
        <vt:i4>5</vt:i4>
      </vt:variant>
      <vt:variant>
        <vt:lpwstr/>
      </vt:variant>
      <vt:variant>
        <vt:lpwstr>_Toc162525565</vt:lpwstr>
      </vt:variant>
      <vt:variant>
        <vt:i4>1507380</vt:i4>
      </vt:variant>
      <vt:variant>
        <vt:i4>5</vt:i4>
      </vt:variant>
      <vt:variant>
        <vt:i4>0</vt:i4>
      </vt:variant>
      <vt:variant>
        <vt:i4>5</vt:i4>
      </vt:variant>
      <vt:variant>
        <vt:lpwstr/>
      </vt:variant>
      <vt:variant>
        <vt:lpwstr>_Toc162525564</vt:lpwstr>
      </vt:variant>
      <vt:variant>
        <vt:i4>7340128</vt:i4>
      </vt:variant>
      <vt:variant>
        <vt:i4>0</vt:i4>
      </vt:variant>
      <vt:variant>
        <vt:i4>0</vt:i4>
      </vt:variant>
      <vt:variant>
        <vt:i4>5</vt:i4>
      </vt:variant>
      <vt:variant>
        <vt:lpwstr>http://www.environment.govt.nz/</vt:lpwstr>
      </vt:variant>
      <vt:variant>
        <vt:lpwstr/>
      </vt:variant>
      <vt:variant>
        <vt:i4>8323168</vt:i4>
      </vt:variant>
      <vt:variant>
        <vt:i4>0</vt:i4>
      </vt:variant>
      <vt:variant>
        <vt:i4>0</vt:i4>
      </vt:variant>
      <vt:variant>
        <vt:i4>5</vt:i4>
      </vt:variant>
      <vt:variant>
        <vt:lpwstr>https://www.legislation.govt.nz/act/public/2002/0040/latest/DLM1662841.html</vt:lpwstr>
      </vt:variant>
      <vt:variant>
        <vt:lpwstr/>
      </vt:variant>
      <vt:variant>
        <vt:i4>6160500</vt:i4>
      </vt:variant>
      <vt:variant>
        <vt:i4>18</vt:i4>
      </vt:variant>
      <vt:variant>
        <vt:i4>0</vt:i4>
      </vt:variant>
      <vt:variant>
        <vt:i4>5</vt:i4>
      </vt:variant>
      <vt:variant>
        <vt:lpwstr>mailto:Fraser.Wyeth@mfe.govt.nz</vt:lpwstr>
      </vt:variant>
      <vt:variant>
        <vt:lpwstr/>
      </vt:variant>
      <vt:variant>
        <vt:i4>7733342</vt:i4>
      </vt:variant>
      <vt:variant>
        <vt:i4>15</vt:i4>
      </vt:variant>
      <vt:variant>
        <vt:i4>0</vt:i4>
      </vt:variant>
      <vt:variant>
        <vt:i4>5</vt:i4>
      </vt:variant>
      <vt:variant>
        <vt:lpwstr>mailto:Francesca.Williams@mfe.govt.nz</vt:lpwstr>
      </vt:variant>
      <vt:variant>
        <vt:lpwstr/>
      </vt:variant>
      <vt:variant>
        <vt:i4>6160500</vt:i4>
      </vt:variant>
      <vt:variant>
        <vt:i4>12</vt:i4>
      </vt:variant>
      <vt:variant>
        <vt:i4>0</vt:i4>
      </vt:variant>
      <vt:variant>
        <vt:i4>5</vt:i4>
      </vt:variant>
      <vt:variant>
        <vt:lpwstr>mailto:Fraser.Wyeth@mfe.govt.nz</vt:lpwstr>
      </vt:variant>
      <vt:variant>
        <vt:lpwstr/>
      </vt:variant>
      <vt:variant>
        <vt:i4>1572922</vt:i4>
      </vt:variant>
      <vt:variant>
        <vt:i4>9</vt:i4>
      </vt:variant>
      <vt:variant>
        <vt:i4>0</vt:i4>
      </vt:variant>
      <vt:variant>
        <vt:i4>5</vt:i4>
      </vt:variant>
      <vt:variant>
        <vt:lpwstr>https://www.etsauctions.govt.nz/public/auction_noticeboard/44</vt:lpwstr>
      </vt:variant>
      <vt:variant>
        <vt:lpwstr/>
      </vt:variant>
      <vt:variant>
        <vt:i4>7340112</vt:i4>
      </vt:variant>
      <vt:variant>
        <vt:i4>6</vt:i4>
      </vt:variant>
      <vt:variant>
        <vt:i4>0</vt:i4>
      </vt:variant>
      <vt:variant>
        <vt:i4>5</vt:i4>
      </vt:variant>
      <vt:variant>
        <vt:lpwstr>mailto:Charlotte.Berg@mfe.govt.nz</vt:lpwstr>
      </vt:variant>
      <vt:variant>
        <vt:lpwstr/>
      </vt:variant>
      <vt:variant>
        <vt:i4>2097173</vt:i4>
      </vt:variant>
      <vt:variant>
        <vt:i4>3</vt:i4>
      </vt:variant>
      <vt:variant>
        <vt:i4>0</vt:i4>
      </vt:variant>
      <vt:variant>
        <vt:i4>5</vt:i4>
      </vt:variant>
      <vt:variant>
        <vt:lpwstr>mailto:Jay.Forlong@mfe.govt.nz</vt:lpwstr>
      </vt:variant>
      <vt:variant>
        <vt:lpwstr/>
      </vt:variant>
      <vt:variant>
        <vt:i4>1376289</vt:i4>
      </vt:variant>
      <vt:variant>
        <vt:i4>0</vt:i4>
      </vt:variant>
      <vt:variant>
        <vt:i4>0</vt:i4>
      </vt:variant>
      <vt:variant>
        <vt:i4>5</vt:i4>
      </vt:variant>
      <vt:variant>
        <vt:lpwstr>mailto:Katharina.Achterberg@mfe.govt.nz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Linda Stirling</cp:lastModifiedBy>
  <cp:revision>4</cp:revision>
  <dcterms:created xsi:type="dcterms:W3CDTF">2024-05-13T21:37:00Z</dcterms:created>
  <dcterms:modified xsi:type="dcterms:W3CDTF">2024-05-13T21:49:00Z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0x010100F01ED631E09C5F47A877DCE13B9406DB</vt:lpwstr>
  </property>
  <property fmtid="{D5CDD505-2E9C-101B-9397-08002B2CF9AE}" pid="3" name="_dlc_DocIdItemGuid">
    <vt:lpwstr>67a89a89-7d73-47e4-9ec3-c2554089fb1f</vt:lpwstr>
  </property>
  <property fmtid="{D5CDD505-2E9C-101B-9397-08002B2CF9AE}" pid="4" name="MSIP_Label_52dda6cc-d61d-4fd2-bf18-9b3017d931cc_Enabled">
    <vt:lpwstr>true</vt:lpwstr>
  </property>
  <property fmtid="{D5CDD505-2E9C-101B-9397-08002B2CF9AE}" pid="5" name="MSIP_Label_52dda6cc-d61d-4fd2-bf18-9b3017d931cc_SetDate">
    <vt:lpwstr>2022-01-16T22:14:40Z</vt:lpwstr>
  </property>
  <property fmtid="{D5CDD505-2E9C-101B-9397-08002B2CF9AE}" pid="6" name="MSIP_Label_52dda6cc-d61d-4fd2-bf18-9b3017d931cc_Method">
    <vt:lpwstr>Privileged</vt:lpwstr>
  </property>
  <property fmtid="{D5CDD505-2E9C-101B-9397-08002B2CF9AE}" pid="7" name="MSIP_Label_52dda6cc-d61d-4fd2-bf18-9b3017d931cc_Name">
    <vt:lpwstr>[UNCLASSIFIED]</vt:lpwstr>
  </property>
  <property fmtid="{D5CDD505-2E9C-101B-9397-08002B2CF9AE}" pid="8" name="MSIP_Label_52dda6cc-d61d-4fd2-bf18-9b3017d931cc_SiteId">
    <vt:lpwstr>761dd003-d4ff-4049-8a72-8549b20fcbb1</vt:lpwstr>
  </property>
  <property fmtid="{D5CDD505-2E9C-101B-9397-08002B2CF9AE}" pid="9" name="MSIP_Label_52dda6cc-d61d-4fd2-bf18-9b3017d931cc_ActionId">
    <vt:lpwstr>9adb5016-2886-4e41-9a13-e62dbe13137f</vt:lpwstr>
  </property>
  <property fmtid="{D5CDD505-2E9C-101B-9397-08002B2CF9AE}" pid="10" name="MSIP_Label_52dda6cc-d61d-4fd2-bf18-9b3017d931cc_ContentBits">
    <vt:lpwstr>0</vt:lpwstr>
  </property>
  <property fmtid="{D5CDD505-2E9C-101B-9397-08002B2CF9AE}" pid="11" name="MediaServiceImageTags">
    <vt:lpwstr/>
  </property>
</Properties>
</file>