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E7416" w14:textId="45EC387C" w:rsidR="0080531E" w:rsidRPr="006E15DE" w:rsidRDefault="006E15DE" w:rsidP="006E15DE">
      <w:pPr>
        <w:pStyle w:val="Title"/>
        <w:spacing w:before="0"/>
        <w:rPr>
          <w:color w:val="1B556B"/>
          <w:sz w:val="48"/>
          <w:szCs w:val="48"/>
        </w:rPr>
      </w:pPr>
      <w:r w:rsidRPr="002007E7">
        <w:rPr>
          <w:color w:val="1B556B"/>
          <w:sz w:val="48"/>
          <w:szCs w:val="48"/>
        </w:rPr>
        <w:t>202</w:t>
      </w:r>
      <w:r>
        <w:rPr>
          <w:color w:val="1B556B"/>
          <w:sz w:val="48"/>
          <w:szCs w:val="48"/>
        </w:rPr>
        <w:t>6</w:t>
      </w:r>
      <w:r w:rsidRPr="002007E7">
        <w:rPr>
          <w:color w:val="1B556B"/>
          <w:sz w:val="48"/>
          <w:szCs w:val="48"/>
        </w:rPr>
        <w:t xml:space="preserve"> Report </w:t>
      </w:r>
      <w:r>
        <w:rPr>
          <w:color w:val="1B556B"/>
          <w:sz w:val="48"/>
          <w:szCs w:val="48"/>
        </w:rPr>
        <w:t>o</w:t>
      </w:r>
      <w:r w:rsidRPr="002007E7">
        <w:rPr>
          <w:color w:val="1B556B"/>
          <w:sz w:val="48"/>
          <w:szCs w:val="48"/>
        </w:rPr>
        <w:t xml:space="preserve">n Reasons </w:t>
      </w:r>
      <w:r>
        <w:rPr>
          <w:color w:val="1B556B"/>
          <w:sz w:val="48"/>
          <w:szCs w:val="48"/>
        </w:rPr>
        <w:t>f</w:t>
      </w:r>
      <w:r w:rsidRPr="002007E7">
        <w:rPr>
          <w:color w:val="1B556B"/>
          <w:sz w:val="48"/>
          <w:szCs w:val="48"/>
        </w:rPr>
        <w:t xml:space="preserve">or Differences </w:t>
      </w:r>
      <w:r>
        <w:rPr>
          <w:color w:val="1B556B"/>
          <w:sz w:val="48"/>
          <w:szCs w:val="48"/>
        </w:rPr>
        <w:t>b</w:t>
      </w:r>
      <w:r w:rsidRPr="002007E7">
        <w:rPr>
          <w:color w:val="1B556B"/>
          <w:sz w:val="48"/>
          <w:szCs w:val="48"/>
        </w:rPr>
        <w:t>etween Prescribed E</w:t>
      </w:r>
      <w:r>
        <w:rPr>
          <w:color w:val="1B556B"/>
          <w:sz w:val="48"/>
          <w:szCs w:val="48"/>
        </w:rPr>
        <w:t>TS</w:t>
      </w:r>
      <w:r w:rsidRPr="002007E7">
        <w:rPr>
          <w:color w:val="1B556B"/>
          <w:sz w:val="48"/>
          <w:szCs w:val="48"/>
        </w:rPr>
        <w:t xml:space="preserve"> Limits </w:t>
      </w:r>
      <w:r>
        <w:rPr>
          <w:color w:val="1B556B"/>
          <w:sz w:val="48"/>
          <w:szCs w:val="48"/>
        </w:rPr>
        <w:t>a</w:t>
      </w:r>
      <w:r w:rsidRPr="002007E7">
        <w:rPr>
          <w:color w:val="1B556B"/>
          <w:sz w:val="48"/>
          <w:szCs w:val="48"/>
        </w:rPr>
        <w:t xml:space="preserve">nd Price Control Settings </w:t>
      </w:r>
      <w:r>
        <w:rPr>
          <w:color w:val="1B556B"/>
          <w:sz w:val="48"/>
          <w:szCs w:val="48"/>
        </w:rPr>
        <w:t>f</w:t>
      </w:r>
      <w:r w:rsidRPr="002007E7">
        <w:rPr>
          <w:color w:val="1B556B"/>
          <w:sz w:val="48"/>
          <w:szCs w:val="48"/>
        </w:rPr>
        <w:t xml:space="preserve">or Units </w:t>
      </w:r>
      <w:r>
        <w:rPr>
          <w:color w:val="1B556B"/>
          <w:sz w:val="48"/>
          <w:szCs w:val="48"/>
        </w:rPr>
        <w:t>a</w:t>
      </w:r>
      <w:r w:rsidRPr="002007E7">
        <w:rPr>
          <w:color w:val="1B556B"/>
          <w:sz w:val="48"/>
          <w:szCs w:val="48"/>
        </w:rPr>
        <w:t xml:space="preserve">nd </w:t>
      </w:r>
      <w:r>
        <w:rPr>
          <w:color w:val="1B556B"/>
          <w:sz w:val="48"/>
          <w:szCs w:val="48"/>
        </w:rPr>
        <w:t>t</w:t>
      </w:r>
      <w:r w:rsidRPr="002007E7">
        <w:rPr>
          <w:color w:val="1B556B"/>
          <w:sz w:val="48"/>
          <w:szCs w:val="48"/>
        </w:rPr>
        <w:t xml:space="preserve">he Climate Change Commission’s Advice </w:t>
      </w:r>
      <w:r>
        <w:rPr>
          <w:color w:val="1B556B"/>
          <w:sz w:val="48"/>
          <w:szCs w:val="48"/>
        </w:rPr>
        <w:t>o</w:t>
      </w:r>
      <w:r w:rsidRPr="002007E7">
        <w:rPr>
          <w:color w:val="1B556B"/>
          <w:sz w:val="48"/>
          <w:szCs w:val="48"/>
        </w:rPr>
        <w:t>n</w:t>
      </w:r>
      <w:r>
        <w:rPr>
          <w:color w:val="1B556B"/>
          <w:sz w:val="48"/>
          <w:szCs w:val="48"/>
        </w:rPr>
        <w:t> t</w:t>
      </w:r>
      <w:r w:rsidRPr="002007E7">
        <w:rPr>
          <w:color w:val="1B556B"/>
          <w:sz w:val="48"/>
          <w:szCs w:val="48"/>
        </w:rPr>
        <w:t>hese Settings</w:t>
      </w:r>
    </w:p>
    <w:p w14:paraId="4BE8561E" w14:textId="4EE825A0" w:rsidR="0003640E" w:rsidRPr="006E15DE" w:rsidRDefault="008C0FD1" w:rsidP="006E15DE">
      <w:pPr>
        <w:pStyle w:val="Subtitle"/>
        <w:rPr>
          <w:rFonts w:cs="Calibri"/>
          <w:color w:val="1C556C"/>
          <w:sz w:val="40"/>
          <w:szCs w:val="40"/>
        </w:rPr>
      </w:pPr>
      <w:r>
        <w:rPr>
          <w:color w:val="1B556B"/>
          <w:sz w:val="32"/>
          <w:szCs w:val="32"/>
        </w:rPr>
        <w:t>30</w:t>
      </w:r>
      <w:r w:rsidR="002D0C56" w:rsidRPr="00BF26C9">
        <w:rPr>
          <w:color w:val="1B556B"/>
          <w:sz w:val="32"/>
          <w:szCs w:val="32"/>
        </w:rPr>
        <w:t xml:space="preserve"> </w:t>
      </w:r>
      <w:r w:rsidR="006E15DE" w:rsidRPr="002D0C56">
        <w:rPr>
          <w:color w:val="1B556B"/>
          <w:sz w:val="32"/>
          <w:szCs w:val="32"/>
        </w:rPr>
        <w:t>September</w:t>
      </w:r>
      <w:r w:rsidR="006E15DE" w:rsidRPr="002007E7">
        <w:rPr>
          <w:color w:val="1B556B"/>
          <w:sz w:val="32"/>
          <w:szCs w:val="32"/>
        </w:rPr>
        <w:t xml:space="preserve"> 202</w:t>
      </w:r>
      <w:r w:rsidR="006E15DE">
        <w:rPr>
          <w:color w:val="1B556B"/>
          <w:sz w:val="32"/>
          <w:szCs w:val="32"/>
        </w:rPr>
        <w:t>6</w:t>
      </w:r>
    </w:p>
    <w:p w14:paraId="2B3CACEB" w14:textId="77777777" w:rsidR="0080531E" w:rsidRDefault="0080531E" w:rsidP="0003640E">
      <w:pPr>
        <w:pStyle w:val="BodyText"/>
      </w:pPr>
    </w:p>
    <w:p w14:paraId="31D7283B" w14:textId="77777777" w:rsidR="006E15DE" w:rsidRDefault="006E15DE" w:rsidP="0003640E">
      <w:pPr>
        <w:pStyle w:val="BodyText"/>
      </w:pPr>
    </w:p>
    <w:p w14:paraId="481EE3FA" w14:textId="77777777" w:rsidR="006E15DE" w:rsidRDefault="006E15DE" w:rsidP="0003640E">
      <w:pPr>
        <w:pStyle w:val="BodyText"/>
      </w:pPr>
    </w:p>
    <w:p w14:paraId="410D1A15" w14:textId="77777777" w:rsidR="006E15DE" w:rsidRDefault="006E15DE" w:rsidP="0003640E">
      <w:pPr>
        <w:pStyle w:val="BodyText"/>
      </w:pPr>
    </w:p>
    <w:p w14:paraId="02C4A3CB" w14:textId="77777777" w:rsidR="002E34D6" w:rsidRDefault="002E34D6" w:rsidP="0003640E">
      <w:pPr>
        <w:pStyle w:val="BodyText"/>
      </w:pPr>
    </w:p>
    <w:p w14:paraId="73B16C5E" w14:textId="77777777" w:rsidR="006E15DE" w:rsidRDefault="006E15DE" w:rsidP="0003640E">
      <w:pPr>
        <w:pStyle w:val="BodyText"/>
      </w:pPr>
    </w:p>
    <w:p w14:paraId="6574EBFE" w14:textId="77777777" w:rsidR="006E15DE" w:rsidRDefault="006E15DE" w:rsidP="0003640E">
      <w:pPr>
        <w:pStyle w:val="BodyText"/>
      </w:pPr>
    </w:p>
    <w:p w14:paraId="2D1DDFE8" w14:textId="66588B86" w:rsidR="0003640E" w:rsidRPr="006E15DE" w:rsidRDefault="006E15DE" w:rsidP="006E15DE">
      <w:pPr>
        <w:pStyle w:val="BodyText"/>
        <w:sectPr w:rsidR="0003640E" w:rsidRPr="006E15DE" w:rsidSect="006E15DE">
          <w:headerReference w:type="even" r:id="rId12"/>
          <w:headerReference w:type="default" r:id="rId13"/>
          <w:footerReference w:type="even" r:id="rId14"/>
          <w:footerReference w:type="default" r:id="rId15"/>
          <w:headerReference w:type="first" r:id="rId16"/>
          <w:footerReference w:type="first" r:id="rId17"/>
          <w:pgSz w:w="11907" w:h="16840" w:code="9"/>
          <w:pgMar w:top="3828" w:right="1701" w:bottom="1701" w:left="1701" w:header="567" w:footer="1134" w:gutter="0"/>
          <w:cols w:space="720"/>
        </w:sectPr>
      </w:pPr>
      <w:r w:rsidRPr="006E15DE">
        <w:rPr>
          <w:rStyle w:val="normaltextrun"/>
        </w:rPr>
        <w:t xml:space="preserve">Presented to the House of Representatives </w:t>
      </w:r>
      <w:r w:rsidR="007D1A86">
        <w:rPr>
          <w:rStyle w:val="normaltextrun"/>
        </w:rPr>
        <w:t>under</w:t>
      </w:r>
      <w:r w:rsidRPr="006E15DE">
        <w:rPr>
          <w:rStyle w:val="normaltextrun"/>
        </w:rPr>
        <w:t xml:space="preserve"> section 30</w:t>
      </w:r>
      <w:proofErr w:type="gramStart"/>
      <w:r w:rsidRPr="006E15DE">
        <w:rPr>
          <w:rStyle w:val="normaltextrun"/>
        </w:rPr>
        <w:t>GC(</w:t>
      </w:r>
      <w:proofErr w:type="gramEnd"/>
      <w:r w:rsidRPr="006E15DE">
        <w:rPr>
          <w:rStyle w:val="normaltextrun"/>
        </w:rPr>
        <w:t>7) of the Climate Change Response Act 2002</w:t>
      </w:r>
    </w:p>
    <w:p w14:paraId="6E23914F" w14:textId="77777777" w:rsidR="00452EC4" w:rsidRPr="006B77BB" w:rsidRDefault="00452EC4" w:rsidP="00775F57">
      <w:pPr>
        <w:pStyle w:val="Imprint"/>
        <w:spacing w:before="0" w:after="0"/>
        <w:rPr>
          <w:b/>
        </w:rPr>
      </w:pPr>
      <w:r w:rsidRPr="006B77BB">
        <w:rPr>
          <w:b/>
        </w:rPr>
        <w:lastRenderedPageBreak/>
        <w:t>Disclaimer</w:t>
      </w:r>
    </w:p>
    <w:p w14:paraId="0AD9AA5D" w14:textId="77777777" w:rsidR="0059040D" w:rsidRDefault="0059040D" w:rsidP="0059040D">
      <w:pPr>
        <w:pStyle w:val="Imprint"/>
      </w:pPr>
      <w:r>
        <w:t xml:space="preserve">The information in this publication is, according to the Ministry for </w:t>
      </w:r>
      <w:r w:rsidR="00012A27">
        <w:t xml:space="preserve">Cities, Environment, Regions and Transport’s </w:t>
      </w:r>
      <w:r>
        <w:t xml:space="preserve">best efforts, accurate at the time of publication. The Ministry will make every reasonable effort to keep it current and accurate. However, users of this publication are advised that: </w:t>
      </w:r>
    </w:p>
    <w:p w14:paraId="5B695E4B" w14:textId="77777777" w:rsidR="0059040D" w:rsidRDefault="0059040D" w:rsidP="00D01DD6">
      <w:pPr>
        <w:pStyle w:val="Bullet"/>
      </w:pPr>
      <w:r>
        <w:t xml:space="preserve">the information does not alter the laws of New Zealand, other official guidelines, or requirements </w:t>
      </w:r>
    </w:p>
    <w:p w14:paraId="74533909" w14:textId="77777777" w:rsidR="0059040D" w:rsidRDefault="0059040D" w:rsidP="00D01DD6">
      <w:pPr>
        <w:pStyle w:val="Bullet"/>
      </w:pPr>
      <w:r>
        <w:t xml:space="preserve">it does not constitute legal advice, and users should take specific advice from qualified professionals before taking any action based on information in this publication </w:t>
      </w:r>
    </w:p>
    <w:p w14:paraId="37C00DA6" w14:textId="77777777" w:rsidR="0059040D" w:rsidRDefault="0059040D" w:rsidP="00D01DD6">
      <w:pPr>
        <w:pStyle w:val="Bullet"/>
      </w:pPr>
      <w:r>
        <w:t xml:space="preserve">the Ministry does not accept any responsibility or liability whatsoever whether in contract, tort, equity, or otherwise for any action taken as a result of reading, or reliance placed on this publication because of having read any part, or all, of the information in this publication or for any error, or inadequacy, deficiency, flaw in, or omission from the information in this publication </w:t>
      </w:r>
    </w:p>
    <w:p w14:paraId="5DD86B0D" w14:textId="77777777" w:rsidR="00452EC4" w:rsidRPr="006B77BB" w:rsidRDefault="0059040D" w:rsidP="00D01DD6">
      <w:pPr>
        <w:pStyle w:val="Bullet"/>
      </w:pPr>
      <w:r>
        <w:t>all references to websites, organisations or people not within the Ministry are for convenience only and should not be taken as endorsement of those websites or information contained in those websites nor of organisations or people referred to.</w:t>
      </w:r>
    </w:p>
    <w:p w14:paraId="04A98D6E" w14:textId="77777777" w:rsidR="00452EC4" w:rsidRDefault="00452EC4" w:rsidP="00452EC4">
      <w:pPr>
        <w:pStyle w:val="Imprint"/>
      </w:pPr>
    </w:p>
    <w:p w14:paraId="4FE7AF23" w14:textId="77777777" w:rsidR="006E15DE" w:rsidRPr="006B77BB" w:rsidRDefault="006E15DE" w:rsidP="00452EC4">
      <w:pPr>
        <w:pStyle w:val="Imprint"/>
      </w:pPr>
    </w:p>
    <w:p w14:paraId="77A3570D" w14:textId="0360823A" w:rsidR="00452EC4" w:rsidRPr="006B77BB" w:rsidRDefault="00452EC4" w:rsidP="00452EC4">
      <w:pPr>
        <w:pStyle w:val="Imprint"/>
      </w:pPr>
      <w:r w:rsidRPr="006B77BB">
        <w:t xml:space="preserve">This </w:t>
      </w:r>
      <w:r w:rsidR="00775F57" w:rsidRPr="006B77BB">
        <w:t>document</w:t>
      </w:r>
      <w:r w:rsidRPr="006B77BB">
        <w:t xml:space="preserve"> may be cited as:</w:t>
      </w:r>
      <w:r w:rsidR="00775F57" w:rsidRPr="006B77BB">
        <w:t xml:space="preserve"> Ministry for </w:t>
      </w:r>
      <w:r w:rsidR="00012A27">
        <w:t>Cities, Environment, Regions and Transport</w:t>
      </w:r>
      <w:r w:rsidR="00775F57" w:rsidRPr="006B77BB">
        <w:t xml:space="preserve">. </w:t>
      </w:r>
      <w:r w:rsidR="006E15DE">
        <w:t>2026</w:t>
      </w:r>
      <w:r w:rsidR="00775F57" w:rsidRPr="006B77BB">
        <w:t xml:space="preserve">. </w:t>
      </w:r>
      <w:r w:rsidR="006E15DE" w:rsidRPr="00FA2526">
        <w:rPr>
          <w:i/>
          <w:iCs/>
        </w:rPr>
        <w:t>202</w:t>
      </w:r>
      <w:r w:rsidR="006E15DE">
        <w:rPr>
          <w:i/>
          <w:iCs/>
        </w:rPr>
        <w:t>6</w:t>
      </w:r>
      <w:r w:rsidR="006E15DE" w:rsidRPr="00FA2526">
        <w:rPr>
          <w:i/>
          <w:iCs/>
        </w:rPr>
        <w:t xml:space="preserve"> Report on Reasons for Differences between Prescribed ETS Limits and Price Control Settings for Units and the Climate Change Commission’s Advice on these Settings</w:t>
      </w:r>
      <w:r w:rsidR="00775F57" w:rsidRPr="006B77BB">
        <w:t xml:space="preserve">. Wellington: Ministry for </w:t>
      </w:r>
      <w:r w:rsidR="00012A27">
        <w:t>Cities, Environment, Regions and Transport</w:t>
      </w:r>
      <w:r w:rsidR="00775F57" w:rsidRPr="006B77BB">
        <w:t>.</w:t>
      </w:r>
    </w:p>
    <w:p w14:paraId="504F805D" w14:textId="77777777" w:rsidR="00760C00" w:rsidRDefault="00760C00" w:rsidP="0080531E">
      <w:pPr>
        <w:pStyle w:val="Imprint"/>
      </w:pPr>
    </w:p>
    <w:p w14:paraId="14FC4655" w14:textId="77777777" w:rsidR="00457135" w:rsidRDefault="00457135" w:rsidP="0080531E">
      <w:pPr>
        <w:pStyle w:val="Imprint"/>
      </w:pPr>
    </w:p>
    <w:p w14:paraId="2D22D67D" w14:textId="77777777" w:rsidR="00563317" w:rsidRDefault="00563317" w:rsidP="0080531E">
      <w:pPr>
        <w:pStyle w:val="Imprint"/>
      </w:pPr>
    </w:p>
    <w:p w14:paraId="2C8B4850" w14:textId="77777777" w:rsidR="00130A41" w:rsidRDefault="00130A41" w:rsidP="0080531E">
      <w:pPr>
        <w:pStyle w:val="Imprint"/>
      </w:pPr>
    </w:p>
    <w:p w14:paraId="5C16A354" w14:textId="77777777" w:rsidR="00174F71" w:rsidRDefault="00174F71" w:rsidP="0080531E">
      <w:pPr>
        <w:pStyle w:val="Imprint"/>
      </w:pPr>
    </w:p>
    <w:p w14:paraId="78D949D8" w14:textId="77777777" w:rsidR="006E15DE" w:rsidRDefault="006E15DE" w:rsidP="0080531E">
      <w:pPr>
        <w:pStyle w:val="Imprint"/>
      </w:pPr>
    </w:p>
    <w:p w14:paraId="2446C617" w14:textId="77777777" w:rsidR="00457135" w:rsidRPr="006B77BB" w:rsidRDefault="00457135" w:rsidP="0080531E">
      <w:pPr>
        <w:pStyle w:val="Imprint"/>
      </w:pPr>
    </w:p>
    <w:p w14:paraId="4A2A1E52" w14:textId="4DD77DCD" w:rsidR="0080531E" w:rsidRPr="006E3CC3" w:rsidRDefault="0080531E" w:rsidP="0080531E">
      <w:pPr>
        <w:pStyle w:val="Imprint"/>
      </w:pPr>
      <w:r w:rsidRPr="006B77BB">
        <w:t xml:space="preserve">Published in </w:t>
      </w:r>
      <w:r w:rsidR="00D528B1">
        <w:t>September</w:t>
      </w:r>
      <w:r w:rsidR="006E15DE">
        <w:t xml:space="preserve"> 2026</w:t>
      </w:r>
      <w:r w:rsidRPr="006B77BB">
        <w:t xml:space="preserve"> by the</w:t>
      </w:r>
      <w:r w:rsidRPr="006B77BB">
        <w:br/>
        <w:t xml:space="preserve">Ministry for </w:t>
      </w:r>
      <w:r w:rsidR="00012A27">
        <w:t>Cities, Environment, Regions and Transport</w:t>
      </w:r>
      <w:r w:rsidRPr="006B77BB">
        <w:br/>
        <w:t>PO Box 10362, Wellington 6143, New Zealand</w:t>
      </w:r>
      <w:r w:rsidR="00F27E5C">
        <w:br/>
      </w:r>
    </w:p>
    <w:p w14:paraId="64EF48CE" w14:textId="1EF164D5" w:rsidR="0080531E" w:rsidRPr="006B77BB" w:rsidRDefault="0080531E" w:rsidP="006E15DE">
      <w:pPr>
        <w:pStyle w:val="Imprint"/>
        <w:tabs>
          <w:tab w:val="left" w:pos="0"/>
        </w:tabs>
      </w:pPr>
      <w:r w:rsidRPr="006B77BB">
        <w:t xml:space="preserve">ISBN: </w:t>
      </w:r>
      <w:r w:rsidR="006E15DE" w:rsidRPr="00DF4361">
        <w:rPr>
          <w:lang w:val="de-DE"/>
        </w:rPr>
        <w:t>978-1-997358-15-2</w:t>
      </w:r>
      <w:r w:rsidR="006E15DE">
        <w:rPr>
          <w:lang w:val="de-DE"/>
        </w:rPr>
        <w:br/>
      </w:r>
      <w:r w:rsidRPr="006B77BB">
        <w:t xml:space="preserve">Publication number: </w:t>
      </w:r>
      <w:r w:rsidR="00012A27" w:rsidRPr="006E15DE">
        <w:t xml:space="preserve">MCERT </w:t>
      </w:r>
      <w:r w:rsidR="006E15DE" w:rsidRPr="006E15DE">
        <w:t>15</w:t>
      </w:r>
    </w:p>
    <w:p w14:paraId="4AC8E326" w14:textId="35D27572" w:rsidR="0080531E" w:rsidRPr="006B77BB" w:rsidRDefault="0080531E" w:rsidP="00593E94">
      <w:pPr>
        <w:pStyle w:val="Imprint"/>
        <w:spacing w:after="80"/>
      </w:pPr>
      <w:r w:rsidRPr="006B77BB">
        <w:t xml:space="preserve">© Crown copyright New Zealand </w:t>
      </w:r>
      <w:r w:rsidR="006E15DE">
        <w:t>2026</w:t>
      </w:r>
    </w:p>
    <w:p w14:paraId="17BEFA41" w14:textId="77777777" w:rsidR="0080531E" w:rsidRPr="00A84FE1" w:rsidRDefault="0080531E" w:rsidP="00A84FE1">
      <w:pPr>
        <w:sectPr w:rsidR="0080531E" w:rsidRPr="00A84FE1" w:rsidSect="008A7498">
          <w:headerReference w:type="even" r:id="rId18"/>
          <w:headerReference w:type="default" r:id="rId19"/>
          <w:footerReference w:type="even" r:id="rId20"/>
          <w:footerReference w:type="default" r:id="rId21"/>
          <w:pgSz w:w="11907" w:h="16840" w:code="9"/>
          <w:pgMar w:top="1134" w:right="1701" w:bottom="1134" w:left="1701" w:header="567" w:footer="567" w:gutter="0"/>
          <w:pgNumType w:fmt="lowerRoman"/>
          <w:cols w:space="720"/>
        </w:sectPr>
      </w:pPr>
    </w:p>
    <w:p w14:paraId="1493541A" w14:textId="77777777" w:rsidR="0080531E" w:rsidRPr="00F06E0B" w:rsidRDefault="0080531E" w:rsidP="00585FD0">
      <w:pPr>
        <w:pStyle w:val="Heading"/>
      </w:pPr>
      <w:r w:rsidRPr="00174F71">
        <w:lastRenderedPageBreak/>
        <w:t>Contents</w:t>
      </w:r>
    </w:p>
    <w:p w14:paraId="5802880E" w14:textId="17C32BC9" w:rsidR="00C7477A" w:rsidRDefault="00775F57">
      <w:pPr>
        <w:pStyle w:val="TOC1"/>
        <w:rPr>
          <w:rFonts w:asciiTheme="minorHAnsi" w:hAnsiTheme="minorHAnsi"/>
          <w:noProof/>
          <w:kern w:val="2"/>
          <w:sz w:val="24"/>
          <w:szCs w:val="24"/>
          <w14:ligatures w14:val="standardContextual"/>
        </w:rPr>
      </w:pPr>
      <w:r w:rsidRPr="006B77BB">
        <w:rPr>
          <w:color w:val="0092CF"/>
        </w:rPr>
        <w:fldChar w:fldCharType="begin"/>
      </w:r>
      <w:r w:rsidRPr="006B77BB">
        <w:rPr>
          <w:color w:val="0092CF"/>
        </w:rPr>
        <w:instrText xml:space="preserve"> TOC \h \z \t "Heading 1,1,Heading 2,2" </w:instrText>
      </w:r>
      <w:r w:rsidRPr="006B77BB">
        <w:rPr>
          <w:color w:val="0092CF"/>
        </w:rPr>
        <w:fldChar w:fldCharType="separate"/>
      </w:r>
      <w:hyperlink w:anchor="_Toc240638541" w:history="1">
        <w:r w:rsidR="00C7477A" w:rsidRPr="00564A12">
          <w:rPr>
            <w:rStyle w:val="Hyperlink"/>
            <w:noProof/>
          </w:rPr>
          <w:t>Introduction</w:t>
        </w:r>
        <w:r w:rsidR="00C7477A">
          <w:rPr>
            <w:noProof/>
            <w:webHidden/>
          </w:rPr>
          <w:tab/>
        </w:r>
        <w:r w:rsidR="00C7477A">
          <w:rPr>
            <w:noProof/>
            <w:webHidden/>
          </w:rPr>
          <w:fldChar w:fldCharType="begin"/>
        </w:r>
        <w:r w:rsidR="00C7477A">
          <w:rPr>
            <w:noProof/>
            <w:webHidden/>
          </w:rPr>
          <w:instrText xml:space="preserve"> PAGEREF _Toc240638541 \h </w:instrText>
        </w:r>
        <w:r w:rsidR="00C7477A">
          <w:rPr>
            <w:noProof/>
            <w:webHidden/>
          </w:rPr>
        </w:r>
        <w:r w:rsidR="00C7477A">
          <w:rPr>
            <w:noProof/>
            <w:webHidden/>
          </w:rPr>
          <w:fldChar w:fldCharType="separate"/>
        </w:r>
        <w:r w:rsidR="00C7477A">
          <w:rPr>
            <w:noProof/>
            <w:webHidden/>
          </w:rPr>
          <w:t>4</w:t>
        </w:r>
        <w:r w:rsidR="00C7477A">
          <w:rPr>
            <w:noProof/>
            <w:webHidden/>
          </w:rPr>
          <w:fldChar w:fldCharType="end"/>
        </w:r>
      </w:hyperlink>
    </w:p>
    <w:p w14:paraId="742A706D" w14:textId="2BDB2405" w:rsidR="00C7477A" w:rsidRDefault="00C7477A">
      <w:pPr>
        <w:pStyle w:val="TOC1"/>
        <w:rPr>
          <w:rFonts w:asciiTheme="minorHAnsi" w:hAnsiTheme="minorHAnsi"/>
          <w:noProof/>
          <w:kern w:val="2"/>
          <w:sz w:val="24"/>
          <w:szCs w:val="24"/>
          <w14:ligatures w14:val="standardContextual"/>
        </w:rPr>
      </w:pPr>
      <w:hyperlink w:anchor="_Toc240638542" w:history="1">
        <w:r w:rsidRPr="00564A12">
          <w:rPr>
            <w:rStyle w:val="Hyperlink"/>
            <w:noProof/>
          </w:rPr>
          <w:t>Context</w:t>
        </w:r>
        <w:r>
          <w:rPr>
            <w:noProof/>
            <w:webHidden/>
          </w:rPr>
          <w:tab/>
        </w:r>
        <w:r>
          <w:rPr>
            <w:noProof/>
            <w:webHidden/>
          </w:rPr>
          <w:fldChar w:fldCharType="begin"/>
        </w:r>
        <w:r>
          <w:rPr>
            <w:noProof/>
            <w:webHidden/>
          </w:rPr>
          <w:instrText xml:space="preserve"> PAGEREF _Toc240638542 \h </w:instrText>
        </w:r>
        <w:r>
          <w:rPr>
            <w:noProof/>
            <w:webHidden/>
          </w:rPr>
        </w:r>
        <w:r>
          <w:rPr>
            <w:noProof/>
            <w:webHidden/>
          </w:rPr>
          <w:fldChar w:fldCharType="separate"/>
        </w:r>
        <w:r>
          <w:rPr>
            <w:noProof/>
            <w:webHidden/>
          </w:rPr>
          <w:t>5</w:t>
        </w:r>
        <w:r>
          <w:rPr>
            <w:noProof/>
            <w:webHidden/>
          </w:rPr>
          <w:fldChar w:fldCharType="end"/>
        </w:r>
      </w:hyperlink>
    </w:p>
    <w:p w14:paraId="1B2802A8" w14:textId="08F6F1A1" w:rsidR="00C7477A" w:rsidRDefault="00C7477A">
      <w:pPr>
        <w:pStyle w:val="TOC1"/>
        <w:rPr>
          <w:rFonts w:asciiTheme="minorHAnsi" w:hAnsiTheme="minorHAnsi"/>
          <w:noProof/>
          <w:kern w:val="2"/>
          <w:sz w:val="24"/>
          <w:szCs w:val="24"/>
          <w14:ligatures w14:val="standardContextual"/>
        </w:rPr>
      </w:pPr>
      <w:hyperlink w:anchor="_Toc240638543" w:history="1">
        <w:r w:rsidRPr="00564A12">
          <w:rPr>
            <w:rStyle w:val="Hyperlink"/>
            <w:noProof/>
          </w:rPr>
          <w:t>Differences in unit limits</w:t>
        </w:r>
        <w:r>
          <w:rPr>
            <w:noProof/>
            <w:webHidden/>
          </w:rPr>
          <w:tab/>
        </w:r>
        <w:r>
          <w:rPr>
            <w:noProof/>
            <w:webHidden/>
          </w:rPr>
          <w:fldChar w:fldCharType="begin"/>
        </w:r>
        <w:r>
          <w:rPr>
            <w:noProof/>
            <w:webHidden/>
          </w:rPr>
          <w:instrText xml:space="preserve"> PAGEREF _Toc240638543 \h </w:instrText>
        </w:r>
        <w:r>
          <w:rPr>
            <w:noProof/>
            <w:webHidden/>
          </w:rPr>
        </w:r>
        <w:r>
          <w:rPr>
            <w:noProof/>
            <w:webHidden/>
          </w:rPr>
          <w:fldChar w:fldCharType="separate"/>
        </w:r>
        <w:r>
          <w:rPr>
            <w:noProof/>
            <w:webHidden/>
          </w:rPr>
          <w:t>6</w:t>
        </w:r>
        <w:r>
          <w:rPr>
            <w:noProof/>
            <w:webHidden/>
          </w:rPr>
          <w:fldChar w:fldCharType="end"/>
        </w:r>
      </w:hyperlink>
    </w:p>
    <w:p w14:paraId="68FAA0A6" w14:textId="175B996A" w:rsidR="00C7477A" w:rsidRDefault="00C7477A">
      <w:pPr>
        <w:pStyle w:val="TOC2"/>
        <w:rPr>
          <w:rFonts w:asciiTheme="minorHAnsi" w:hAnsiTheme="minorHAnsi"/>
          <w:noProof/>
          <w:kern w:val="2"/>
          <w:sz w:val="24"/>
          <w:szCs w:val="24"/>
          <w14:ligatures w14:val="standardContextual"/>
        </w:rPr>
      </w:pPr>
      <w:hyperlink w:anchor="_Toc240638544" w:history="1">
        <w:r w:rsidRPr="00564A12">
          <w:rPr>
            <w:rStyle w:val="Hyperlink"/>
            <w:noProof/>
          </w:rPr>
          <w:t>Lower provisional third emissions budget cap</w:t>
        </w:r>
        <w:r>
          <w:rPr>
            <w:noProof/>
            <w:webHidden/>
          </w:rPr>
          <w:tab/>
        </w:r>
        <w:r>
          <w:rPr>
            <w:noProof/>
            <w:webHidden/>
          </w:rPr>
          <w:fldChar w:fldCharType="begin"/>
        </w:r>
        <w:r>
          <w:rPr>
            <w:noProof/>
            <w:webHidden/>
          </w:rPr>
          <w:instrText xml:space="preserve"> PAGEREF _Toc240638544 \h </w:instrText>
        </w:r>
        <w:r>
          <w:rPr>
            <w:noProof/>
            <w:webHidden/>
          </w:rPr>
        </w:r>
        <w:r>
          <w:rPr>
            <w:noProof/>
            <w:webHidden/>
          </w:rPr>
          <w:fldChar w:fldCharType="separate"/>
        </w:r>
        <w:r>
          <w:rPr>
            <w:noProof/>
            <w:webHidden/>
          </w:rPr>
          <w:t>6</w:t>
        </w:r>
        <w:r>
          <w:rPr>
            <w:noProof/>
            <w:webHidden/>
          </w:rPr>
          <w:fldChar w:fldCharType="end"/>
        </w:r>
      </w:hyperlink>
    </w:p>
    <w:p w14:paraId="71F1F44A" w14:textId="52676223" w:rsidR="00C7477A" w:rsidRDefault="00C7477A">
      <w:pPr>
        <w:pStyle w:val="TOC2"/>
        <w:rPr>
          <w:rFonts w:asciiTheme="minorHAnsi" w:hAnsiTheme="minorHAnsi"/>
          <w:noProof/>
          <w:kern w:val="2"/>
          <w:sz w:val="24"/>
          <w:szCs w:val="24"/>
          <w14:ligatures w14:val="standardContextual"/>
        </w:rPr>
      </w:pPr>
      <w:hyperlink w:anchor="_Toc240638545" w:history="1">
        <w:r w:rsidRPr="00564A12">
          <w:rPr>
            <w:rStyle w:val="Hyperlink"/>
            <w:noProof/>
          </w:rPr>
          <w:t>Updated industrial allocation projections</w:t>
        </w:r>
        <w:r>
          <w:rPr>
            <w:noProof/>
            <w:webHidden/>
          </w:rPr>
          <w:tab/>
        </w:r>
        <w:r>
          <w:rPr>
            <w:noProof/>
            <w:webHidden/>
          </w:rPr>
          <w:fldChar w:fldCharType="begin"/>
        </w:r>
        <w:r>
          <w:rPr>
            <w:noProof/>
            <w:webHidden/>
          </w:rPr>
          <w:instrText xml:space="preserve"> PAGEREF _Toc240638545 \h </w:instrText>
        </w:r>
        <w:r>
          <w:rPr>
            <w:noProof/>
            <w:webHidden/>
          </w:rPr>
        </w:r>
        <w:r>
          <w:rPr>
            <w:noProof/>
            <w:webHidden/>
          </w:rPr>
          <w:fldChar w:fldCharType="separate"/>
        </w:r>
        <w:r>
          <w:rPr>
            <w:noProof/>
            <w:webHidden/>
          </w:rPr>
          <w:t>7</w:t>
        </w:r>
        <w:r>
          <w:rPr>
            <w:noProof/>
            <w:webHidden/>
          </w:rPr>
          <w:fldChar w:fldCharType="end"/>
        </w:r>
      </w:hyperlink>
    </w:p>
    <w:p w14:paraId="6A35C1FA" w14:textId="478B0393" w:rsidR="00C7477A" w:rsidRDefault="00C7477A">
      <w:pPr>
        <w:pStyle w:val="TOC2"/>
        <w:rPr>
          <w:rFonts w:asciiTheme="minorHAnsi" w:hAnsiTheme="minorHAnsi"/>
          <w:noProof/>
          <w:kern w:val="2"/>
          <w:sz w:val="24"/>
          <w:szCs w:val="24"/>
          <w14:ligatures w14:val="standardContextual"/>
        </w:rPr>
      </w:pPr>
      <w:hyperlink w:anchor="_Toc240638546" w:history="1">
        <w:r w:rsidRPr="00564A12">
          <w:rPr>
            <w:rStyle w:val="Hyperlink"/>
            <w:noProof/>
          </w:rPr>
          <w:t>Discrepancy adjustment</w:t>
        </w:r>
        <w:r>
          <w:rPr>
            <w:noProof/>
            <w:webHidden/>
          </w:rPr>
          <w:tab/>
        </w:r>
        <w:r>
          <w:rPr>
            <w:noProof/>
            <w:webHidden/>
          </w:rPr>
          <w:fldChar w:fldCharType="begin"/>
        </w:r>
        <w:r>
          <w:rPr>
            <w:noProof/>
            <w:webHidden/>
          </w:rPr>
          <w:instrText xml:space="preserve"> PAGEREF _Toc240638546 \h </w:instrText>
        </w:r>
        <w:r>
          <w:rPr>
            <w:noProof/>
            <w:webHidden/>
          </w:rPr>
        </w:r>
        <w:r>
          <w:rPr>
            <w:noProof/>
            <w:webHidden/>
          </w:rPr>
          <w:fldChar w:fldCharType="separate"/>
        </w:r>
        <w:r>
          <w:rPr>
            <w:noProof/>
            <w:webHidden/>
          </w:rPr>
          <w:t>7</w:t>
        </w:r>
        <w:r>
          <w:rPr>
            <w:noProof/>
            <w:webHidden/>
          </w:rPr>
          <w:fldChar w:fldCharType="end"/>
        </w:r>
      </w:hyperlink>
    </w:p>
    <w:p w14:paraId="2B5F80D8" w14:textId="2C9E6A0E" w:rsidR="00C7477A" w:rsidRDefault="00C7477A">
      <w:pPr>
        <w:pStyle w:val="TOC2"/>
        <w:rPr>
          <w:rFonts w:asciiTheme="minorHAnsi" w:hAnsiTheme="minorHAnsi"/>
          <w:noProof/>
          <w:kern w:val="2"/>
          <w:sz w:val="24"/>
          <w:szCs w:val="24"/>
          <w14:ligatures w14:val="standardContextual"/>
        </w:rPr>
      </w:pPr>
      <w:hyperlink w:anchor="_Toc240638547" w:history="1">
        <w:r w:rsidRPr="00564A12">
          <w:rPr>
            <w:rStyle w:val="Hyperlink"/>
            <w:noProof/>
          </w:rPr>
          <w:t>Ongoing surplus adjustment</w:t>
        </w:r>
        <w:r>
          <w:rPr>
            <w:noProof/>
            <w:webHidden/>
          </w:rPr>
          <w:tab/>
        </w:r>
        <w:r>
          <w:rPr>
            <w:noProof/>
            <w:webHidden/>
          </w:rPr>
          <w:fldChar w:fldCharType="begin"/>
        </w:r>
        <w:r>
          <w:rPr>
            <w:noProof/>
            <w:webHidden/>
          </w:rPr>
          <w:instrText xml:space="preserve"> PAGEREF _Toc240638547 \h </w:instrText>
        </w:r>
        <w:r>
          <w:rPr>
            <w:noProof/>
            <w:webHidden/>
          </w:rPr>
        </w:r>
        <w:r>
          <w:rPr>
            <w:noProof/>
            <w:webHidden/>
          </w:rPr>
          <w:fldChar w:fldCharType="separate"/>
        </w:r>
        <w:r>
          <w:rPr>
            <w:noProof/>
            <w:webHidden/>
          </w:rPr>
          <w:t>8</w:t>
        </w:r>
        <w:r>
          <w:rPr>
            <w:noProof/>
            <w:webHidden/>
          </w:rPr>
          <w:fldChar w:fldCharType="end"/>
        </w:r>
      </w:hyperlink>
    </w:p>
    <w:p w14:paraId="09DE9CF6" w14:textId="353F928B" w:rsidR="00C7477A" w:rsidRDefault="00C7477A">
      <w:pPr>
        <w:pStyle w:val="TOC2"/>
        <w:rPr>
          <w:rFonts w:asciiTheme="minorHAnsi" w:hAnsiTheme="minorHAnsi"/>
          <w:noProof/>
          <w:kern w:val="2"/>
          <w:sz w:val="24"/>
          <w:szCs w:val="24"/>
          <w14:ligatures w14:val="standardContextual"/>
        </w:rPr>
      </w:pPr>
      <w:hyperlink w:anchor="_Toc240638548" w:history="1">
        <w:r w:rsidRPr="00564A12">
          <w:rPr>
            <w:rStyle w:val="Hyperlink"/>
            <w:noProof/>
          </w:rPr>
          <w:t>Phasing of third emissions budget volumes</w:t>
        </w:r>
        <w:r>
          <w:rPr>
            <w:noProof/>
            <w:webHidden/>
          </w:rPr>
          <w:tab/>
        </w:r>
        <w:r>
          <w:rPr>
            <w:noProof/>
            <w:webHidden/>
          </w:rPr>
          <w:fldChar w:fldCharType="begin"/>
        </w:r>
        <w:r>
          <w:rPr>
            <w:noProof/>
            <w:webHidden/>
          </w:rPr>
          <w:instrText xml:space="preserve"> PAGEREF _Toc240638548 \h </w:instrText>
        </w:r>
        <w:r>
          <w:rPr>
            <w:noProof/>
            <w:webHidden/>
          </w:rPr>
        </w:r>
        <w:r>
          <w:rPr>
            <w:noProof/>
            <w:webHidden/>
          </w:rPr>
          <w:fldChar w:fldCharType="separate"/>
        </w:r>
        <w:r>
          <w:rPr>
            <w:noProof/>
            <w:webHidden/>
          </w:rPr>
          <w:t>8</w:t>
        </w:r>
        <w:r>
          <w:rPr>
            <w:noProof/>
            <w:webHidden/>
          </w:rPr>
          <w:fldChar w:fldCharType="end"/>
        </w:r>
      </w:hyperlink>
    </w:p>
    <w:p w14:paraId="3C384F93" w14:textId="22B52337" w:rsidR="00C7477A" w:rsidRDefault="00C7477A">
      <w:pPr>
        <w:pStyle w:val="TOC2"/>
        <w:rPr>
          <w:rFonts w:asciiTheme="minorHAnsi" w:hAnsiTheme="minorHAnsi"/>
          <w:noProof/>
          <w:kern w:val="2"/>
          <w:sz w:val="24"/>
          <w:szCs w:val="24"/>
          <w14:ligatures w14:val="standardContextual"/>
        </w:rPr>
      </w:pPr>
      <w:hyperlink w:anchor="_Toc240638549" w:history="1">
        <w:r w:rsidRPr="00564A12">
          <w:rPr>
            <w:rStyle w:val="Hyperlink"/>
            <w:noProof/>
          </w:rPr>
          <w:t>Annual differences in auction volumes</w:t>
        </w:r>
        <w:r>
          <w:rPr>
            <w:noProof/>
            <w:webHidden/>
          </w:rPr>
          <w:tab/>
        </w:r>
        <w:r>
          <w:rPr>
            <w:noProof/>
            <w:webHidden/>
          </w:rPr>
          <w:fldChar w:fldCharType="begin"/>
        </w:r>
        <w:r>
          <w:rPr>
            <w:noProof/>
            <w:webHidden/>
          </w:rPr>
          <w:instrText xml:space="preserve"> PAGEREF _Toc240638549 \h </w:instrText>
        </w:r>
        <w:r>
          <w:rPr>
            <w:noProof/>
            <w:webHidden/>
          </w:rPr>
        </w:r>
        <w:r>
          <w:rPr>
            <w:noProof/>
            <w:webHidden/>
          </w:rPr>
          <w:fldChar w:fldCharType="separate"/>
        </w:r>
        <w:r>
          <w:rPr>
            <w:noProof/>
            <w:webHidden/>
          </w:rPr>
          <w:t>8</w:t>
        </w:r>
        <w:r>
          <w:rPr>
            <w:noProof/>
            <w:webHidden/>
          </w:rPr>
          <w:fldChar w:fldCharType="end"/>
        </w:r>
      </w:hyperlink>
    </w:p>
    <w:p w14:paraId="57519BCF" w14:textId="2AEA847D" w:rsidR="00C7477A" w:rsidRDefault="00C7477A">
      <w:pPr>
        <w:pStyle w:val="TOC1"/>
        <w:rPr>
          <w:rFonts w:asciiTheme="minorHAnsi" w:hAnsiTheme="minorHAnsi"/>
          <w:noProof/>
          <w:kern w:val="2"/>
          <w:sz w:val="24"/>
          <w:szCs w:val="24"/>
          <w14:ligatures w14:val="standardContextual"/>
        </w:rPr>
      </w:pPr>
      <w:hyperlink w:anchor="_Toc240638550" w:history="1">
        <w:r w:rsidRPr="00564A12">
          <w:rPr>
            <w:rStyle w:val="Hyperlink"/>
            <w:noProof/>
          </w:rPr>
          <w:t>Differences in price control settings</w:t>
        </w:r>
        <w:r>
          <w:rPr>
            <w:noProof/>
            <w:webHidden/>
          </w:rPr>
          <w:tab/>
        </w:r>
        <w:r>
          <w:rPr>
            <w:noProof/>
            <w:webHidden/>
          </w:rPr>
          <w:fldChar w:fldCharType="begin"/>
        </w:r>
        <w:r>
          <w:rPr>
            <w:noProof/>
            <w:webHidden/>
          </w:rPr>
          <w:instrText xml:space="preserve"> PAGEREF _Toc240638550 \h </w:instrText>
        </w:r>
        <w:r>
          <w:rPr>
            <w:noProof/>
            <w:webHidden/>
          </w:rPr>
        </w:r>
        <w:r>
          <w:rPr>
            <w:noProof/>
            <w:webHidden/>
          </w:rPr>
          <w:fldChar w:fldCharType="separate"/>
        </w:r>
        <w:r>
          <w:rPr>
            <w:noProof/>
            <w:webHidden/>
          </w:rPr>
          <w:t>10</w:t>
        </w:r>
        <w:r>
          <w:rPr>
            <w:noProof/>
            <w:webHidden/>
          </w:rPr>
          <w:fldChar w:fldCharType="end"/>
        </w:r>
      </w:hyperlink>
    </w:p>
    <w:p w14:paraId="70D33321" w14:textId="75D05E9A" w:rsidR="00C7477A" w:rsidRDefault="00C7477A">
      <w:pPr>
        <w:pStyle w:val="TOC2"/>
        <w:rPr>
          <w:rFonts w:asciiTheme="minorHAnsi" w:hAnsiTheme="minorHAnsi"/>
          <w:noProof/>
          <w:kern w:val="2"/>
          <w:sz w:val="24"/>
          <w:szCs w:val="24"/>
          <w14:ligatures w14:val="standardContextual"/>
        </w:rPr>
      </w:pPr>
      <w:hyperlink w:anchor="_Toc240638551" w:history="1">
        <w:r w:rsidRPr="00564A12">
          <w:rPr>
            <w:rStyle w:val="Hyperlink"/>
            <w:rFonts w:cs="Calibri"/>
            <w:noProof/>
          </w:rPr>
          <w:t>Use of lower provisional third emissions budget cap</w:t>
        </w:r>
        <w:r>
          <w:rPr>
            <w:noProof/>
            <w:webHidden/>
          </w:rPr>
          <w:tab/>
        </w:r>
        <w:r>
          <w:rPr>
            <w:noProof/>
            <w:webHidden/>
          </w:rPr>
          <w:fldChar w:fldCharType="begin"/>
        </w:r>
        <w:r>
          <w:rPr>
            <w:noProof/>
            <w:webHidden/>
          </w:rPr>
          <w:instrText xml:space="preserve"> PAGEREF _Toc240638551 \h </w:instrText>
        </w:r>
        <w:r>
          <w:rPr>
            <w:noProof/>
            <w:webHidden/>
          </w:rPr>
        </w:r>
        <w:r>
          <w:rPr>
            <w:noProof/>
            <w:webHidden/>
          </w:rPr>
          <w:fldChar w:fldCharType="separate"/>
        </w:r>
        <w:r>
          <w:rPr>
            <w:noProof/>
            <w:webHidden/>
          </w:rPr>
          <w:t>10</w:t>
        </w:r>
        <w:r>
          <w:rPr>
            <w:noProof/>
            <w:webHidden/>
          </w:rPr>
          <w:fldChar w:fldCharType="end"/>
        </w:r>
      </w:hyperlink>
    </w:p>
    <w:p w14:paraId="715D7E82" w14:textId="494296C5" w:rsidR="00C7477A" w:rsidRDefault="00C7477A">
      <w:pPr>
        <w:pStyle w:val="TOC2"/>
        <w:rPr>
          <w:rFonts w:asciiTheme="minorHAnsi" w:hAnsiTheme="minorHAnsi"/>
          <w:noProof/>
          <w:kern w:val="2"/>
          <w:sz w:val="24"/>
          <w:szCs w:val="24"/>
          <w14:ligatures w14:val="standardContextual"/>
        </w:rPr>
      </w:pPr>
      <w:hyperlink w:anchor="_Toc240638552" w:history="1">
        <w:r w:rsidRPr="00564A12">
          <w:rPr>
            <w:rStyle w:val="Hyperlink"/>
            <w:rFonts w:cs="Calibri"/>
            <w:noProof/>
          </w:rPr>
          <w:t>Temporary lower CCR tier</w:t>
        </w:r>
        <w:r>
          <w:rPr>
            <w:noProof/>
            <w:webHidden/>
          </w:rPr>
          <w:tab/>
        </w:r>
        <w:r>
          <w:rPr>
            <w:noProof/>
            <w:webHidden/>
          </w:rPr>
          <w:fldChar w:fldCharType="begin"/>
        </w:r>
        <w:r>
          <w:rPr>
            <w:noProof/>
            <w:webHidden/>
          </w:rPr>
          <w:instrText xml:space="preserve"> PAGEREF _Toc240638552 \h </w:instrText>
        </w:r>
        <w:r>
          <w:rPr>
            <w:noProof/>
            <w:webHidden/>
          </w:rPr>
        </w:r>
        <w:r>
          <w:rPr>
            <w:noProof/>
            <w:webHidden/>
          </w:rPr>
          <w:fldChar w:fldCharType="separate"/>
        </w:r>
        <w:r>
          <w:rPr>
            <w:noProof/>
            <w:webHidden/>
          </w:rPr>
          <w:t>11</w:t>
        </w:r>
        <w:r>
          <w:rPr>
            <w:noProof/>
            <w:webHidden/>
          </w:rPr>
          <w:fldChar w:fldCharType="end"/>
        </w:r>
      </w:hyperlink>
    </w:p>
    <w:p w14:paraId="324828EE" w14:textId="4E6C0D63" w:rsidR="0080531E" w:rsidRPr="006B77BB" w:rsidRDefault="00775F57" w:rsidP="002B4778">
      <w:pPr>
        <w:pStyle w:val="Glossary"/>
      </w:pPr>
      <w:r w:rsidRPr="006B77BB">
        <w:rPr>
          <w:color w:val="0092CF"/>
        </w:rPr>
        <w:fldChar w:fldCharType="end"/>
      </w:r>
    </w:p>
    <w:p w14:paraId="15571272" w14:textId="77777777" w:rsidR="00796A6F" w:rsidRPr="00554B30" w:rsidRDefault="00796A6F" w:rsidP="00554B30">
      <w:r w:rsidRPr="00554B30">
        <w:br w:type="page"/>
      </w:r>
    </w:p>
    <w:p w14:paraId="68B86DE6" w14:textId="77777777" w:rsidR="006E15DE" w:rsidRDefault="006E15DE" w:rsidP="006E15DE">
      <w:pPr>
        <w:pStyle w:val="Heading1"/>
        <w:rPr>
          <w:rStyle w:val="Heading1Char"/>
          <w:b/>
          <w:bCs/>
        </w:rPr>
      </w:pPr>
      <w:bookmarkStart w:id="0" w:name="_Toc240638541"/>
      <w:bookmarkStart w:id="1" w:name="_Toc345760336"/>
      <w:r>
        <w:rPr>
          <w:rStyle w:val="Heading1Char"/>
          <w:b/>
          <w:bCs/>
        </w:rPr>
        <w:lastRenderedPageBreak/>
        <w:t>Introduction</w:t>
      </w:r>
      <w:bookmarkEnd w:id="0"/>
    </w:p>
    <w:p w14:paraId="52414373" w14:textId="6F607212" w:rsidR="006E15DE" w:rsidRPr="003F0D7B" w:rsidRDefault="006E15DE" w:rsidP="006E15DE">
      <w:pPr>
        <w:pStyle w:val="Numberedparagraph"/>
      </w:pPr>
      <w:r w:rsidRPr="36ED667A">
        <w:t>This report sets out the reasons for differences between the Climate Change Commission’s (the Commission) 2026 advice on limits and price control settings for units in the New Zealand Emissions Trading Scheme (ETS settings) and the settings that have been prescribed in the Climate Change (Auctions, Limits, and Price Controls for Units) Regulations 2020</w:t>
      </w:r>
      <w:r w:rsidRPr="36ED667A">
        <w:rPr>
          <w:vertAlign w:val="superscript"/>
        </w:rPr>
        <w:footnoteReference w:id="2"/>
      </w:r>
      <w:r w:rsidRPr="36ED667A">
        <w:rPr>
          <w:vertAlign w:val="superscript"/>
        </w:rPr>
        <w:t xml:space="preserve"> </w:t>
      </w:r>
      <w:r w:rsidRPr="36ED667A">
        <w:t>(</w:t>
      </w:r>
      <w:r w:rsidR="00852156">
        <w:t>r</w:t>
      </w:r>
      <w:r w:rsidRPr="36ED667A">
        <w:t>egulations).</w:t>
      </w:r>
    </w:p>
    <w:p w14:paraId="57F3B78E" w14:textId="59D36354" w:rsidR="006E15DE" w:rsidRDefault="006E15DE" w:rsidP="006E15DE">
      <w:pPr>
        <w:pStyle w:val="Numberedparagraph"/>
      </w:pPr>
      <w:r w:rsidRPr="003F0D7B">
        <w:t>A report explaining the differences is required under section 30</w:t>
      </w:r>
      <w:proofErr w:type="gramStart"/>
      <w:r w:rsidRPr="003F0D7B">
        <w:t>GC(</w:t>
      </w:r>
      <w:proofErr w:type="gramEnd"/>
      <w:r w:rsidRPr="003F0D7B">
        <w:t>7) of the Climate Change Response Act 2002 (</w:t>
      </w:r>
      <w:r>
        <w:t>CCRA</w:t>
      </w:r>
      <w:r w:rsidRPr="003F0D7B">
        <w:t>).</w:t>
      </w:r>
    </w:p>
    <w:p w14:paraId="5AACC3B0" w14:textId="77777777" w:rsidR="00174F71" w:rsidRPr="00174F71" w:rsidRDefault="00174F71" w:rsidP="00174F71">
      <w:pPr>
        <w:pStyle w:val="BodyText"/>
      </w:pPr>
      <w:r w:rsidRPr="00174F71">
        <w:br w:type="page"/>
      </w:r>
    </w:p>
    <w:p w14:paraId="17BD9B3B" w14:textId="03186A25" w:rsidR="006E15DE" w:rsidRPr="006E15DE" w:rsidRDefault="006E15DE" w:rsidP="006E15DE">
      <w:pPr>
        <w:pStyle w:val="Heading1"/>
      </w:pPr>
      <w:bookmarkStart w:id="2" w:name="_Toc240638542"/>
      <w:r w:rsidRPr="006E15DE">
        <w:lastRenderedPageBreak/>
        <w:t>Context</w:t>
      </w:r>
      <w:bookmarkEnd w:id="2"/>
    </w:p>
    <w:p w14:paraId="0BBAA94E" w14:textId="77777777" w:rsidR="006E15DE" w:rsidRDefault="006E15DE" w:rsidP="00355353">
      <w:pPr>
        <w:pStyle w:val="Numberedparagraph"/>
        <w:numPr>
          <w:ilvl w:val="0"/>
          <w:numId w:val="39"/>
        </w:numPr>
      </w:pPr>
      <w:r w:rsidRPr="003F0D7B">
        <w:t>Unit limits restrict the supply of emissions units into the ETS</w:t>
      </w:r>
      <w:r>
        <w:t xml:space="preserve"> through auctions. Unit limits include:</w:t>
      </w:r>
    </w:p>
    <w:p w14:paraId="12FDC033" w14:textId="77777777" w:rsidR="006E15DE" w:rsidRPr="00355353" w:rsidRDefault="006E15DE" w:rsidP="00355353">
      <w:pPr>
        <w:pStyle w:val="Sub-lista"/>
        <w:numPr>
          <w:ilvl w:val="0"/>
          <w:numId w:val="40"/>
        </w:numPr>
      </w:pPr>
      <w:r w:rsidRPr="00355353">
        <w:t>a limit on the units available by auction (base auction volumes and cost containment reserve (CCR) volumes)</w:t>
      </w:r>
    </w:p>
    <w:p w14:paraId="2BC3141C" w14:textId="77777777" w:rsidR="006E15DE" w:rsidRPr="00355353" w:rsidRDefault="006E15DE" w:rsidP="00355353">
      <w:pPr>
        <w:pStyle w:val="Sub-lista"/>
        <w:numPr>
          <w:ilvl w:val="0"/>
          <w:numId w:val="40"/>
        </w:numPr>
      </w:pPr>
      <w:r w:rsidRPr="00355353">
        <w:t xml:space="preserve">a limit on approved overseas units – currently zero </w:t>
      </w:r>
    </w:p>
    <w:p w14:paraId="75E736C2" w14:textId="77777777" w:rsidR="006E15DE" w:rsidRPr="00355353" w:rsidRDefault="006E15DE" w:rsidP="00355353">
      <w:pPr>
        <w:pStyle w:val="Sub-lista"/>
        <w:numPr>
          <w:ilvl w:val="0"/>
          <w:numId w:val="40"/>
        </w:numPr>
      </w:pPr>
      <w:r w:rsidRPr="00355353">
        <w:t>an overall limit on units – which consists of units available by auction (including CCR volumes), by other means (primarily industrial allocation) and approved overseas units.</w:t>
      </w:r>
    </w:p>
    <w:p w14:paraId="422CA058" w14:textId="77777777" w:rsidR="006E15DE" w:rsidRPr="003F0D7B" w:rsidRDefault="006E15DE" w:rsidP="006E15DE">
      <w:pPr>
        <w:pStyle w:val="Numberedparagraph"/>
        <w:numPr>
          <w:ilvl w:val="0"/>
          <w:numId w:val="39"/>
        </w:numPr>
        <w:tabs>
          <w:tab w:val="clear" w:pos="360"/>
        </w:tabs>
        <w:ind w:left="397" w:hanging="397"/>
      </w:pPr>
      <w:r>
        <w:t>P</w:t>
      </w:r>
      <w:r w:rsidRPr="003F0D7B">
        <w:t xml:space="preserve">rice controls settings </w:t>
      </w:r>
      <w:r>
        <w:t xml:space="preserve">effectively </w:t>
      </w:r>
      <w:r w:rsidRPr="003F0D7B">
        <w:t>set the bounds for high and low prices</w:t>
      </w:r>
      <w:r>
        <w:t xml:space="preserve"> for units sold</w:t>
      </w:r>
      <w:r w:rsidRPr="003F0D7B">
        <w:t xml:space="preserve"> at </w:t>
      </w:r>
      <w:r>
        <w:t xml:space="preserve">ETS </w:t>
      </w:r>
      <w:r w:rsidRPr="003F0D7B">
        <w:t>auction</w:t>
      </w:r>
      <w:r>
        <w:t>s</w:t>
      </w:r>
      <w:r w:rsidRPr="003F0D7B">
        <w:t xml:space="preserve">. </w:t>
      </w:r>
    </w:p>
    <w:p w14:paraId="45103127" w14:textId="77777777" w:rsidR="006E15DE" w:rsidRPr="003F0D7B" w:rsidRDefault="006E15DE" w:rsidP="006E15DE">
      <w:pPr>
        <w:pStyle w:val="Numberedparagraph"/>
        <w:numPr>
          <w:ilvl w:val="0"/>
          <w:numId w:val="39"/>
        </w:numPr>
        <w:tabs>
          <w:tab w:val="clear" w:pos="360"/>
        </w:tabs>
        <w:ind w:left="397" w:hanging="397"/>
      </w:pPr>
      <w:r w:rsidRPr="36ED667A">
        <w:t>Regulations prescribing ETS settings need to be updated each year. This is to meet the requirement under the CCRA</w:t>
      </w:r>
      <w:r w:rsidRPr="00B67305">
        <w:rPr>
          <w:rStyle w:val="FootnoteReference"/>
          <w:color w:val="auto"/>
        </w:rPr>
        <w:footnoteReference w:id="3"/>
      </w:r>
      <w:r w:rsidRPr="36ED667A">
        <w:t xml:space="preserve"> that, </w:t>
      </w:r>
      <w:proofErr w:type="gramStart"/>
      <w:r w:rsidRPr="36ED667A">
        <w:t>at all times</w:t>
      </w:r>
      <w:proofErr w:type="gramEnd"/>
      <w:r w:rsidRPr="36ED667A">
        <w:t>, settings are in place for each of the following five calendar years.</w:t>
      </w:r>
    </w:p>
    <w:p w14:paraId="193A6F33" w14:textId="77777777" w:rsidR="006E15DE" w:rsidRPr="003F0D7B" w:rsidRDefault="006E15DE" w:rsidP="006E15DE">
      <w:pPr>
        <w:pStyle w:val="Numberedparagraph"/>
        <w:numPr>
          <w:ilvl w:val="0"/>
          <w:numId w:val="39"/>
        </w:numPr>
        <w:tabs>
          <w:tab w:val="clear" w:pos="360"/>
        </w:tabs>
        <w:ind w:left="397" w:hanging="397"/>
      </w:pPr>
      <w:r w:rsidRPr="36ED667A">
        <w:t xml:space="preserve">The Commission provides annual advice with its recommendations on ETS settings for the upcoming five years under section 5ZOA of the CCRA. The Minister of Climate Change tabled the Commission’s advice on ETS settings for 2026 to 2030 on </w:t>
      </w:r>
      <w:r w:rsidRPr="002D4D8F">
        <w:rPr>
          <w:rStyle w:val="normaltextrun"/>
          <w:rFonts w:cs="Calibri"/>
        </w:rPr>
        <w:t>24 April 2026.</w:t>
      </w:r>
      <w:r w:rsidRPr="002D4D8F">
        <w:rPr>
          <w:rStyle w:val="FootnoteReference"/>
          <w:color w:val="auto"/>
        </w:rPr>
        <w:footnoteReference w:id="4"/>
      </w:r>
    </w:p>
    <w:p w14:paraId="1714A445" w14:textId="4B5E355C" w:rsidR="00F77BC4" w:rsidRDefault="00F77BC4">
      <w:pPr>
        <w:spacing w:before="0" w:after="200" w:line="276" w:lineRule="auto"/>
        <w:jc w:val="left"/>
      </w:pPr>
      <w:r>
        <w:br w:type="page"/>
      </w:r>
    </w:p>
    <w:p w14:paraId="7831F2F2" w14:textId="1C11AEC6" w:rsidR="006E15DE" w:rsidRDefault="00F77BC4" w:rsidP="00F77BC4">
      <w:pPr>
        <w:pStyle w:val="Heading1"/>
      </w:pPr>
      <w:bookmarkStart w:id="3" w:name="_Toc240638543"/>
      <w:r>
        <w:lastRenderedPageBreak/>
        <w:t>Differences in unit limits</w:t>
      </w:r>
      <w:bookmarkEnd w:id="3"/>
    </w:p>
    <w:p w14:paraId="7B47A8DF" w14:textId="5F2069F4" w:rsidR="00F77BC4" w:rsidRPr="00924DC3" w:rsidRDefault="00F77BC4" w:rsidP="00F77BC4">
      <w:pPr>
        <w:pStyle w:val="Numberedparagraph"/>
        <w:numPr>
          <w:ilvl w:val="0"/>
          <w:numId w:val="39"/>
        </w:numPr>
        <w:tabs>
          <w:tab w:val="clear" w:pos="360"/>
        </w:tabs>
        <w:ind w:left="397" w:hanging="397"/>
      </w:pPr>
      <w:r w:rsidRPr="00924DC3">
        <w:t xml:space="preserve">The Commission recommended that the Government maintain the current ETS auction volumes through to 2030 and set 2031 auction volumes on the basis that the surplus of units in the market has </w:t>
      </w:r>
      <w:r w:rsidRPr="00451138">
        <w:t>been depleted by then. This results in a total of 11.7 million units over 2027</w:t>
      </w:r>
      <w:r w:rsidR="00CE46A8">
        <w:t xml:space="preserve"> to </w:t>
      </w:r>
      <w:r w:rsidRPr="00451138">
        <w:t>2030 and 3.0 million units for 2031</w:t>
      </w:r>
      <w:r w:rsidRPr="00924DC3">
        <w:t xml:space="preserve">. </w:t>
      </w:r>
    </w:p>
    <w:p w14:paraId="07267D09" w14:textId="172955A8" w:rsidR="00F77BC4" w:rsidRPr="00924DC3" w:rsidRDefault="00F77BC4" w:rsidP="00F77BC4">
      <w:pPr>
        <w:pStyle w:val="Numberedparagraph"/>
        <w:numPr>
          <w:ilvl w:val="0"/>
          <w:numId w:val="39"/>
        </w:numPr>
        <w:tabs>
          <w:tab w:val="clear" w:pos="360"/>
        </w:tabs>
        <w:ind w:left="397" w:hanging="397"/>
      </w:pPr>
      <w:r w:rsidRPr="00924DC3">
        <w:t xml:space="preserve">The Government took the same approach for auction volumes through to 2030 but set lower 2031 auction volumes </w:t>
      </w:r>
      <w:r w:rsidRPr="00451138">
        <w:t>of 1.1</w:t>
      </w:r>
      <w:r w:rsidRPr="00924DC3">
        <w:t xml:space="preserve"> million units. Both the Commission and the Government set auction volumes using the ETS settings analytical </w:t>
      </w:r>
      <w:r>
        <w:t>method</w:t>
      </w:r>
      <w:r w:rsidRPr="00924DC3">
        <w:t>, which</w:t>
      </w:r>
      <w:r>
        <w:t xml:space="preserve"> </w:t>
      </w:r>
      <w:r w:rsidRPr="009153A0">
        <w:t>is a flexible organising framework that allows relevant factors</w:t>
      </w:r>
      <w:r>
        <w:t>, analysis and judgements</w:t>
      </w:r>
      <w:r w:rsidRPr="009153A0">
        <w:t xml:space="preserve"> to be considered in arriving at recommendations for unit limits and price control settings</w:t>
      </w:r>
      <w:r>
        <w:t>.</w:t>
      </w:r>
      <w:r w:rsidRPr="00924DC3">
        <w:t xml:space="preserve"> </w:t>
      </w:r>
      <w:r>
        <w:t>It first determines the</w:t>
      </w:r>
      <w:r w:rsidRPr="00924DC3">
        <w:t xml:space="preserve"> emissions cap for the settings period, and then </w:t>
      </w:r>
      <w:r>
        <w:t>(for</w:t>
      </w:r>
      <w:r w:rsidRPr="00924DC3">
        <w:t xml:space="preserve"> auction volumes</w:t>
      </w:r>
      <w:r>
        <w:t>) works through</w:t>
      </w:r>
      <w:r w:rsidRPr="00924DC3">
        <w:t xml:space="preserve"> </w:t>
      </w:r>
      <w:r>
        <w:t xml:space="preserve">the </w:t>
      </w:r>
      <w:r w:rsidR="00CE46A8">
        <w:t xml:space="preserve">following </w:t>
      </w:r>
      <w:r w:rsidRPr="00924DC3">
        <w:t>five steps</w:t>
      </w:r>
      <w:r>
        <w:t>.</w:t>
      </w:r>
    </w:p>
    <w:p w14:paraId="6A9765DC" w14:textId="77777777" w:rsidR="00F77BC4" w:rsidRPr="00111CC5" w:rsidRDefault="00F77BC4" w:rsidP="00F77BC4">
      <w:pPr>
        <w:pStyle w:val="Numberedparagraph"/>
        <w:numPr>
          <w:ilvl w:val="0"/>
          <w:numId w:val="0"/>
        </w:numPr>
        <w:ind w:left="397"/>
      </w:pPr>
      <w:r>
        <w:t xml:space="preserve">Step 1: </w:t>
      </w:r>
      <w:r w:rsidRPr="00111CC5">
        <w:t>Make technical adjustments – converting and aligning emissions and units.</w:t>
      </w:r>
    </w:p>
    <w:p w14:paraId="4D2B8D7A" w14:textId="77777777" w:rsidR="00F77BC4" w:rsidRPr="00111CC5" w:rsidRDefault="00F77BC4" w:rsidP="00F77BC4">
      <w:pPr>
        <w:pStyle w:val="Numberedparagraph"/>
        <w:numPr>
          <w:ilvl w:val="0"/>
          <w:numId w:val="0"/>
        </w:numPr>
        <w:ind w:left="397"/>
      </w:pPr>
      <w:r>
        <w:t xml:space="preserve">Step 2: </w:t>
      </w:r>
      <w:r w:rsidRPr="00111CC5">
        <w:t>Account for industrial allocation volumes.</w:t>
      </w:r>
    </w:p>
    <w:p w14:paraId="1ADF5205" w14:textId="77777777" w:rsidR="00F77BC4" w:rsidRPr="00111CC5" w:rsidRDefault="00F77BC4" w:rsidP="00F77BC4">
      <w:pPr>
        <w:pStyle w:val="Numberedparagraph"/>
        <w:numPr>
          <w:ilvl w:val="0"/>
          <w:numId w:val="0"/>
        </w:numPr>
        <w:ind w:left="397"/>
      </w:pPr>
      <w:r>
        <w:t xml:space="preserve">Step 3: </w:t>
      </w:r>
      <w:r w:rsidRPr="00111CC5">
        <w:t>Estimate the New Zealand Unit (NZU or unit) surplus.</w:t>
      </w:r>
    </w:p>
    <w:p w14:paraId="045A5559" w14:textId="77777777" w:rsidR="00F77BC4" w:rsidRPr="00111CC5" w:rsidRDefault="00F77BC4" w:rsidP="00F77BC4">
      <w:pPr>
        <w:pStyle w:val="Numberedparagraph"/>
        <w:numPr>
          <w:ilvl w:val="0"/>
          <w:numId w:val="0"/>
        </w:numPr>
        <w:ind w:left="397"/>
      </w:pPr>
      <w:r>
        <w:t xml:space="preserve">Step 4: </w:t>
      </w:r>
      <w:r w:rsidRPr="00111CC5">
        <w:t>Set the approved overseas unit limit.</w:t>
      </w:r>
    </w:p>
    <w:p w14:paraId="1888EE68" w14:textId="77777777" w:rsidR="00F77BC4" w:rsidRPr="00111CC5" w:rsidRDefault="00F77BC4" w:rsidP="00F77BC4">
      <w:pPr>
        <w:pStyle w:val="Numberedparagraph"/>
        <w:numPr>
          <w:ilvl w:val="0"/>
          <w:numId w:val="0"/>
        </w:numPr>
        <w:ind w:left="397"/>
      </w:pPr>
      <w:r>
        <w:t xml:space="preserve">Step 5: </w:t>
      </w:r>
      <w:r w:rsidRPr="00111CC5">
        <w:t>Determine the range of possible auction volumes.</w:t>
      </w:r>
    </w:p>
    <w:p w14:paraId="582ED2AA" w14:textId="77777777" w:rsidR="00F77BC4" w:rsidRDefault="00F77BC4" w:rsidP="00F77BC4">
      <w:pPr>
        <w:pStyle w:val="Numberedparagraph"/>
        <w:numPr>
          <w:ilvl w:val="0"/>
          <w:numId w:val="39"/>
        </w:numPr>
        <w:tabs>
          <w:tab w:val="clear" w:pos="360"/>
        </w:tabs>
        <w:ind w:left="397" w:hanging="397"/>
      </w:pPr>
      <w:r>
        <w:t xml:space="preserve">This provides a range of potential auction volumes, which are then considered alongside price control options and other relevant factors like risks and uncertainties to determine recommendations for unit limits and price control settings. </w:t>
      </w:r>
    </w:p>
    <w:p w14:paraId="17549728" w14:textId="77777777" w:rsidR="00F77BC4" w:rsidRDefault="00F77BC4" w:rsidP="00F77BC4">
      <w:pPr>
        <w:pStyle w:val="Numberedparagraph"/>
        <w:numPr>
          <w:ilvl w:val="0"/>
          <w:numId w:val="39"/>
        </w:numPr>
        <w:tabs>
          <w:tab w:val="clear" w:pos="360"/>
        </w:tabs>
        <w:ind w:left="397" w:hanging="397"/>
      </w:pPr>
      <w:r w:rsidRPr="00A76F3A">
        <w:t>However, the Commission and Government at time</w:t>
      </w:r>
      <w:r>
        <w:t>s</w:t>
      </w:r>
      <w:r w:rsidRPr="00A76F3A">
        <w:t xml:space="preserve"> </w:t>
      </w:r>
      <w:r>
        <w:t xml:space="preserve">used different input data or made different judgements when working through </w:t>
      </w:r>
      <w:r w:rsidRPr="00A76F3A">
        <w:t>the steps</w:t>
      </w:r>
      <w:r>
        <w:t>.</w:t>
      </w:r>
      <w:r w:rsidRPr="00A76F3A">
        <w:t xml:space="preserve"> </w:t>
      </w:r>
      <w:r w:rsidRPr="009C5F37">
        <w:t xml:space="preserve">This has resulted in the Government adopting different volumes for the 2031 limit on units available by auction, and different volumes for the overall limits on units for </w:t>
      </w:r>
      <w:r w:rsidRPr="002E2F73">
        <w:t>202</w:t>
      </w:r>
      <w:r w:rsidRPr="008F6E28">
        <w:t>7</w:t>
      </w:r>
      <w:r w:rsidRPr="002E2F73">
        <w:t xml:space="preserve"> to 20</w:t>
      </w:r>
      <w:r w:rsidRPr="00451138">
        <w:t>31.</w:t>
      </w:r>
      <w:r w:rsidRPr="009C5F37">
        <w:t xml:space="preserve"> The reasons for these differences are explained below</w:t>
      </w:r>
      <w:r>
        <w:t>.</w:t>
      </w:r>
    </w:p>
    <w:p w14:paraId="77CB00EF" w14:textId="1D299859" w:rsidR="00F77BC4" w:rsidRPr="00F77BC4" w:rsidRDefault="00F77BC4" w:rsidP="00F77BC4">
      <w:pPr>
        <w:pStyle w:val="Heading2"/>
        <w:spacing w:after="120"/>
      </w:pPr>
      <w:bookmarkStart w:id="4" w:name="_Toc240638544"/>
      <w:r w:rsidRPr="00F77BC4">
        <w:t xml:space="preserve">Lower provisional </w:t>
      </w:r>
      <w:r w:rsidR="004F6738">
        <w:t xml:space="preserve">third </w:t>
      </w:r>
      <w:r w:rsidR="008F2B00">
        <w:t>e</w:t>
      </w:r>
      <w:r w:rsidR="00E173BD" w:rsidRPr="00E173BD">
        <w:t xml:space="preserve">missions </w:t>
      </w:r>
      <w:r w:rsidR="008F2B00">
        <w:t>b</w:t>
      </w:r>
      <w:r w:rsidR="00E173BD" w:rsidRPr="00E173BD">
        <w:t xml:space="preserve">udget </w:t>
      </w:r>
      <w:r w:rsidRPr="00F77BC4">
        <w:t>cap</w:t>
      </w:r>
      <w:bookmarkEnd w:id="4"/>
    </w:p>
    <w:p w14:paraId="41EFD1B3" w14:textId="186D3F95" w:rsidR="00F77BC4" w:rsidRDefault="00F77BC4" w:rsidP="00F77BC4">
      <w:pPr>
        <w:pStyle w:val="Numberedparagraph"/>
        <w:numPr>
          <w:ilvl w:val="0"/>
          <w:numId w:val="39"/>
        </w:numPr>
      </w:pPr>
      <w:r>
        <w:t>2025 government emissions projections were used as the basis of the</w:t>
      </w:r>
      <w:r w:rsidR="00AD5DE7">
        <w:t xml:space="preserve"> third</w:t>
      </w:r>
      <w:r>
        <w:t xml:space="preserve"> </w:t>
      </w:r>
      <w:r w:rsidR="008F2B00">
        <w:t>e</w:t>
      </w:r>
      <w:r w:rsidR="00E173BD" w:rsidRPr="00E173BD">
        <w:t xml:space="preserve">missions </w:t>
      </w:r>
      <w:r w:rsidR="008F2B00">
        <w:t>b</w:t>
      </w:r>
      <w:r w:rsidR="00E173BD" w:rsidRPr="00E173BD">
        <w:t xml:space="preserve">udget </w:t>
      </w:r>
      <w:r w:rsidR="00E173BD">
        <w:t>(</w:t>
      </w:r>
      <w:r>
        <w:t>EB3</w:t>
      </w:r>
      <w:r w:rsidR="00E173BD">
        <w:t>)</w:t>
      </w:r>
      <w:r>
        <w:t xml:space="preserve"> caps by both the Commission and the Government. The 2025 projections include both </w:t>
      </w:r>
      <w:r w:rsidRPr="00A76F3A">
        <w:t xml:space="preserve">‘with existing measures’ </w:t>
      </w:r>
      <w:r>
        <w:t>(</w:t>
      </w:r>
      <w:r w:rsidRPr="008E6DC1">
        <w:t>WEM</w:t>
      </w:r>
      <w:r>
        <w:t>)</w:t>
      </w:r>
      <w:r w:rsidRPr="008E6DC1">
        <w:t xml:space="preserve"> projections</w:t>
      </w:r>
      <w:r>
        <w:t>, which</w:t>
      </w:r>
      <w:r w:rsidRPr="008E6DC1">
        <w:t xml:space="preserve"> reflect expected emissions based on government policies in place</w:t>
      </w:r>
      <w:r>
        <w:t xml:space="preserve">, and ‘with additional measures’ (WAM) projections, which </w:t>
      </w:r>
      <w:r w:rsidRPr="002E2C8E">
        <w:t>incorporate government policies that are under development or proposed but not yet implemented</w:t>
      </w:r>
      <w:r>
        <w:t>.</w:t>
      </w:r>
      <w:r w:rsidRPr="00A76F3A">
        <w:t xml:space="preserve"> </w:t>
      </w:r>
    </w:p>
    <w:p w14:paraId="284CAA0D" w14:textId="77777777" w:rsidR="00F77BC4" w:rsidRDefault="00F77BC4" w:rsidP="00F77BC4">
      <w:pPr>
        <w:pStyle w:val="Numberedparagraph"/>
        <w:numPr>
          <w:ilvl w:val="0"/>
          <w:numId w:val="39"/>
        </w:numPr>
      </w:pPr>
      <w:r w:rsidRPr="0B811852">
        <w:t xml:space="preserve">For agricultural projections, three different WAM scenarios (A, </w:t>
      </w:r>
      <w:r w:rsidRPr="288A345D">
        <w:t xml:space="preserve">B and </w:t>
      </w:r>
      <w:r w:rsidRPr="2B8613E3">
        <w:t>C)</w:t>
      </w:r>
      <w:r>
        <w:t xml:space="preserve"> </w:t>
      </w:r>
      <w:r w:rsidRPr="2B8613E3">
        <w:t>were</w:t>
      </w:r>
      <w:r w:rsidRPr="0B811852">
        <w:t xml:space="preserve"> produced, which represent how different levels of efficacy and uptake of agricultural mitigation technology could impact methane emissions. All agricultural WAM scenarios include assumptions of incentives to uptake technology that are not currently outlined in agreed policy nor are currently implemented.</w:t>
      </w:r>
    </w:p>
    <w:p w14:paraId="20248F63" w14:textId="77777777" w:rsidR="00F77BC4" w:rsidRDefault="00F77BC4" w:rsidP="00F77BC4">
      <w:pPr>
        <w:pStyle w:val="Numberedparagraph"/>
        <w:numPr>
          <w:ilvl w:val="0"/>
          <w:numId w:val="39"/>
        </w:numPr>
      </w:pPr>
      <w:r w:rsidRPr="00A76F3A">
        <w:t xml:space="preserve">The Commission used an EB3 cap </w:t>
      </w:r>
      <w:r w:rsidRPr="00D11119">
        <w:t>of 28.9 Mt</w:t>
      </w:r>
      <w:r w:rsidRPr="00A76F3A">
        <w:t xml:space="preserve"> CO</w:t>
      </w:r>
      <w:r w:rsidRPr="00A76F3A">
        <w:rPr>
          <w:vertAlign w:val="subscript"/>
        </w:rPr>
        <w:t>2</w:t>
      </w:r>
      <w:r w:rsidRPr="00A76F3A">
        <w:t xml:space="preserve">e. This was set using </w:t>
      </w:r>
      <w:r>
        <w:t xml:space="preserve">the WAM central projections, including </w:t>
      </w:r>
      <w:r w:rsidRPr="00A76F3A">
        <w:t>the ‘with added measures’ agriculture scenario B (WAM B)</w:t>
      </w:r>
      <w:r>
        <w:t xml:space="preserve">. This was </w:t>
      </w:r>
      <w:r w:rsidRPr="00A76F3A">
        <w:t xml:space="preserve">based on </w:t>
      </w:r>
      <w:r>
        <w:t>the</w:t>
      </w:r>
      <w:r w:rsidRPr="00A76F3A">
        <w:t xml:space="preserve"> presentation</w:t>
      </w:r>
      <w:r>
        <w:t xml:space="preserve"> of WAM B</w:t>
      </w:r>
      <w:r w:rsidRPr="00A76F3A">
        <w:t xml:space="preserve"> as the central projection in the amended </w:t>
      </w:r>
      <w:r>
        <w:t>second emissions reduction plan (</w:t>
      </w:r>
      <w:r w:rsidRPr="00A76F3A">
        <w:t>ERP2</w:t>
      </w:r>
      <w:r>
        <w:t>)</w:t>
      </w:r>
      <w:r w:rsidRPr="00A76F3A">
        <w:t xml:space="preserve">. </w:t>
      </w:r>
      <w:r>
        <w:t xml:space="preserve">The Commission interpreted the presentation of the </w:t>
      </w:r>
      <w:r>
        <w:lastRenderedPageBreak/>
        <w:t>WAM B scenario as the central projection as an indication that this scenario represented the Government’s policy goal for agricultural emissions.</w:t>
      </w:r>
    </w:p>
    <w:p w14:paraId="359D9A90" w14:textId="77777777" w:rsidR="00F77BC4" w:rsidRPr="00A327E3" w:rsidRDefault="00F77BC4" w:rsidP="00F77BC4">
      <w:pPr>
        <w:pStyle w:val="Numberedparagraph"/>
        <w:numPr>
          <w:ilvl w:val="0"/>
          <w:numId w:val="39"/>
        </w:numPr>
      </w:pPr>
      <w:r w:rsidRPr="36ED667A">
        <w:t>The Government took a more conservative approach and used</w:t>
      </w:r>
      <w:r>
        <w:t xml:space="preserve"> the </w:t>
      </w:r>
      <w:r w:rsidRPr="00A76F3A">
        <w:t xml:space="preserve">WEM agricultural projections </w:t>
      </w:r>
      <w:r>
        <w:t>in combination with the</w:t>
      </w:r>
      <w:r w:rsidRPr="00A76F3A">
        <w:t xml:space="preserve"> WAM </w:t>
      </w:r>
      <w:r>
        <w:t xml:space="preserve">central </w:t>
      </w:r>
      <w:r w:rsidRPr="00A76F3A">
        <w:t xml:space="preserve">projections for </w:t>
      </w:r>
      <w:r w:rsidRPr="003F515C">
        <w:t>other non-</w:t>
      </w:r>
      <w:r>
        <w:t>agriculture</w:t>
      </w:r>
      <w:r w:rsidRPr="003F515C">
        <w:t xml:space="preserve"> sectors.</w:t>
      </w:r>
      <w:r w:rsidRPr="00A76F3A">
        <w:rPr>
          <w:rStyle w:val="FootnoteReference"/>
        </w:rPr>
        <w:footnoteReference w:id="5"/>
      </w:r>
      <w:r w:rsidRPr="003F515C">
        <w:t xml:space="preserve"> </w:t>
      </w:r>
      <w:r>
        <w:t>This approach reflects currently agreed policies. It</w:t>
      </w:r>
      <w:r w:rsidRPr="003F515C">
        <w:t xml:space="preserve"> results in a</w:t>
      </w:r>
      <w:r>
        <w:t xml:space="preserve"> provisional</w:t>
      </w:r>
      <w:r w:rsidRPr="003F515C">
        <w:t xml:space="preserve"> EB3 cap </w:t>
      </w:r>
      <w:r w:rsidRPr="00D11119">
        <w:t>of 24.8 Mt</w:t>
      </w:r>
      <w:r w:rsidRPr="003F515C">
        <w:t xml:space="preserve"> CO</w:t>
      </w:r>
      <w:r w:rsidRPr="003F515C">
        <w:rPr>
          <w:vertAlign w:val="subscript"/>
        </w:rPr>
        <w:t>2</w:t>
      </w:r>
      <w:r w:rsidRPr="003F515C">
        <w:t>e</w:t>
      </w:r>
      <w:r>
        <w:t xml:space="preserve"> and reduces 2031 auction volumes</w:t>
      </w:r>
      <w:r w:rsidRPr="003F515C">
        <w:t xml:space="preserve">. </w:t>
      </w:r>
    </w:p>
    <w:p w14:paraId="53700C4B" w14:textId="77777777" w:rsidR="00F77BC4" w:rsidRPr="003F515C" w:rsidRDefault="00F77BC4" w:rsidP="00F77BC4">
      <w:pPr>
        <w:pStyle w:val="Heading2"/>
        <w:spacing w:after="120"/>
        <w:rPr>
          <w:rFonts w:eastAsiaTheme="minorEastAsia"/>
        </w:rPr>
      </w:pPr>
      <w:bookmarkStart w:id="5" w:name="_Toc240638545"/>
      <w:r>
        <w:rPr>
          <w:rFonts w:eastAsiaTheme="minorEastAsia"/>
        </w:rPr>
        <w:t>Updated industrial allocation projections</w:t>
      </w:r>
      <w:bookmarkEnd w:id="5"/>
    </w:p>
    <w:p w14:paraId="0C946D3F" w14:textId="6F9DF95F" w:rsidR="00F77BC4" w:rsidRPr="003F515C" w:rsidRDefault="00F77BC4" w:rsidP="00F77BC4">
      <w:pPr>
        <w:pStyle w:val="Numberedparagraph"/>
        <w:numPr>
          <w:ilvl w:val="0"/>
          <w:numId w:val="39"/>
        </w:numPr>
      </w:pPr>
      <w:r>
        <w:t xml:space="preserve">The Government’s </w:t>
      </w:r>
      <w:r w:rsidRPr="003F515C">
        <w:t>2027</w:t>
      </w:r>
      <w:r w:rsidR="00CE46A8">
        <w:t xml:space="preserve"> to </w:t>
      </w:r>
      <w:r w:rsidRPr="003F515C">
        <w:t xml:space="preserve">2031 industrial allocation figures are </w:t>
      </w:r>
      <w:r>
        <w:t>slightly</w:t>
      </w:r>
      <w:r w:rsidRPr="003F515C">
        <w:t xml:space="preserve"> higher than the Commission’s based on updated industrial allocation projections that were unavailable to the Commission at the time of their advice. Th</w:t>
      </w:r>
      <w:r>
        <w:t>e</w:t>
      </w:r>
      <w:r w:rsidRPr="003F515C">
        <w:t xml:space="preserve"> </w:t>
      </w:r>
      <w:r>
        <w:t>updates included</w:t>
      </w:r>
      <w:r w:rsidRPr="003F515C">
        <w:t>:</w:t>
      </w:r>
    </w:p>
    <w:p w14:paraId="352FAEC1" w14:textId="77777777" w:rsidR="00F77BC4" w:rsidRPr="003F515C" w:rsidRDefault="00F77BC4" w:rsidP="00F77BC4">
      <w:pPr>
        <w:pStyle w:val="Numberedparagraph"/>
        <w:numPr>
          <w:ilvl w:val="0"/>
          <w:numId w:val="42"/>
        </w:numPr>
      </w:pPr>
      <w:r w:rsidRPr="003F515C">
        <w:t>receipt of actual industrial allocation figures for 2025</w:t>
      </w:r>
    </w:p>
    <w:p w14:paraId="014FE3AE" w14:textId="77777777" w:rsidR="00F77BC4" w:rsidRDefault="00F77BC4" w:rsidP="00F77BC4">
      <w:pPr>
        <w:pStyle w:val="Numberedparagraph"/>
        <w:numPr>
          <w:ilvl w:val="0"/>
          <w:numId w:val="42"/>
        </w:numPr>
      </w:pPr>
      <w:r w:rsidRPr="003F515C">
        <w:t xml:space="preserve">a delay in expected </w:t>
      </w:r>
      <w:r>
        <w:t>operation</w:t>
      </w:r>
      <w:r w:rsidRPr="003F515C">
        <w:t xml:space="preserve"> of the N</w:t>
      </w:r>
      <w:r>
        <w:t xml:space="preserve">ew </w:t>
      </w:r>
      <w:r w:rsidRPr="003F515C">
        <w:t>Z</w:t>
      </w:r>
      <w:r>
        <w:t>ealand</w:t>
      </w:r>
      <w:r w:rsidRPr="003F515C">
        <w:t xml:space="preserve"> Steel electric arc furnace</w:t>
      </w:r>
      <w:r>
        <w:t>.</w:t>
      </w:r>
    </w:p>
    <w:p w14:paraId="70DE3B36" w14:textId="097304BD" w:rsidR="00F77BC4" w:rsidRDefault="00F77BC4" w:rsidP="00F77BC4">
      <w:pPr>
        <w:pStyle w:val="Numberedparagraph"/>
        <w:numPr>
          <w:ilvl w:val="0"/>
          <w:numId w:val="39"/>
        </w:numPr>
      </w:pPr>
      <w:r w:rsidRPr="36ED667A">
        <w:t>For 2027</w:t>
      </w:r>
      <w:r w:rsidR="00CE46A8">
        <w:t xml:space="preserve"> to </w:t>
      </w:r>
      <w:r w:rsidRPr="36ED667A">
        <w:t>2030, industrial allocation is 0.3 million units higher than the Commission’s forecast. This has no impact on auction volumes over this period (as status quo auction volumes are held unchanged), but results in a marginal corresponding increase in the overall limit on units compared with the Commission’s recommendation (0.3 million units across 2027</w:t>
      </w:r>
      <w:r w:rsidR="00CE46A8">
        <w:t xml:space="preserve"> to </w:t>
      </w:r>
      <w:r w:rsidRPr="36ED667A">
        <w:t>2030).</w:t>
      </w:r>
      <w:r w:rsidRPr="36ED667A">
        <w:rPr>
          <w:rStyle w:val="FootnoteReference"/>
        </w:rPr>
        <w:footnoteReference w:id="6"/>
      </w:r>
      <w:r w:rsidRPr="36ED667A">
        <w:t xml:space="preserve"> </w:t>
      </w:r>
    </w:p>
    <w:p w14:paraId="18927EE2" w14:textId="77777777" w:rsidR="00F77BC4" w:rsidRDefault="00F77BC4" w:rsidP="00F77BC4">
      <w:pPr>
        <w:pStyle w:val="Numberedparagraph"/>
        <w:numPr>
          <w:ilvl w:val="0"/>
          <w:numId w:val="39"/>
        </w:numPr>
      </w:pPr>
      <w:r>
        <w:t xml:space="preserve"> For 2031, industrial allocation </w:t>
      </w:r>
      <w:r w:rsidRPr="00D11119">
        <w:t>is 0.1 million</w:t>
      </w:r>
      <w:r>
        <w:t xml:space="preserve"> units higher than the Commission’s forecast and 2031 auction volumes are adjusted down accordingly. </w:t>
      </w:r>
    </w:p>
    <w:p w14:paraId="3A58658D" w14:textId="77777777" w:rsidR="00F77BC4" w:rsidRDefault="00F77BC4" w:rsidP="00F77BC4">
      <w:pPr>
        <w:pStyle w:val="Heading2"/>
        <w:spacing w:after="120"/>
        <w:rPr>
          <w:rFonts w:eastAsiaTheme="minorEastAsia"/>
        </w:rPr>
      </w:pPr>
      <w:bookmarkStart w:id="6" w:name="_Toc240638546"/>
      <w:r>
        <w:rPr>
          <w:rFonts w:eastAsiaTheme="minorEastAsia"/>
        </w:rPr>
        <w:t>Discrepancy adjustment</w:t>
      </w:r>
      <w:bookmarkEnd w:id="6"/>
    </w:p>
    <w:p w14:paraId="6C3CB0A1" w14:textId="77777777" w:rsidR="00F77BC4" w:rsidRPr="00A327E3" w:rsidRDefault="00F77BC4" w:rsidP="00F77BC4">
      <w:pPr>
        <w:pStyle w:val="Numberedparagraph"/>
        <w:numPr>
          <w:ilvl w:val="0"/>
          <w:numId w:val="39"/>
        </w:numPr>
      </w:pPr>
      <w:r w:rsidRPr="00A327E3">
        <w:t xml:space="preserve">As in previous years, </w:t>
      </w:r>
      <w:r>
        <w:t>the Government incorporated</w:t>
      </w:r>
      <w:r w:rsidRPr="00A327E3">
        <w:t xml:space="preserve"> a discrepancy adjustment</w:t>
      </w:r>
      <w:r>
        <w:t xml:space="preserve">, which </w:t>
      </w:r>
      <w:r w:rsidRPr="00A327E3">
        <w:t>accounts for the changes that would otherwise have been implemented for the first two years of the settings period (</w:t>
      </w:r>
      <w:proofErr w:type="spellStart"/>
      <w:r w:rsidRPr="00A327E3">
        <w:t>ie</w:t>
      </w:r>
      <w:proofErr w:type="spellEnd"/>
      <w:r w:rsidRPr="00A327E3">
        <w:t>, 2027 and 2028), but that have regulatory constraints limiting their change. The discrepancy adjustment would also account for differences between current regulations and updated estimates of unit requirements in 2026, which also cannot be changed.</w:t>
      </w:r>
    </w:p>
    <w:p w14:paraId="6F510B98" w14:textId="77777777" w:rsidR="00F77BC4" w:rsidRPr="00A327E3" w:rsidRDefault="00F77BC4" w:rsidP="00F77BC4">
      <w:pPr>
        <w:pStyle w:val="Numberedparagraph"/>
        <w:numPr>
          <w:ilvl w:val="0"/>
          <w:numId w:val="39"/>
        </w:numPr>
      </w:pPr>
      <w:r w:rsidRPr="00A327E3">
        <w:t xml:space="preserve">The discrepancy adjustment was previously treated as a sub-step within the surplus calculation, and </w:t>
      </w:r>
      <w:r>
        <w:t>the Government</w:t>
      </w:r>
      <w:r w:rsidRPr="00A327E3">
        <w:t xml:space="preserve"> consider</w:t>
      </w:r>
      <w:r>
        <w:t>s</w:t>
      </w:r>
      <w:r w:rsidRPr="00A327E3">
        <w:t xml:space="preserve"> it appropriate to retain it as part of the refined framework</w:t>
      </w:r>
      <w:r>
        <w:t xml:space="preserve"> to help with transparency</w:t>
      </w:r>
      <w:r w:rsidRPr="00A327E3">
        <w:t>.</w:t>
      </w:r>
    </w:p>
    <w:p w14:paraId="1336B0D8" w14:textId="2D4AA0FB" w:rsidR="00F77BC4" w:rsidRPr="00586AEF" w:rsidRDefault="00F77BC4" w:rsidP="00F77BC4">
      <w:pPr>
        <w:pStyle w:val="Numberedparagraph"/>
        <w:numPr>
          <w:ilvl w:val="0"/>
          <w:numId w:val="39"/>
        </w:numPr>
      </w:pPr>
      <w:r w:rsidRPr="00586AEF">
        <w:t>The Commission's approach was to update all inputs from 2026</w:t>
      </w:r>
      <w:r w:rsidR="00CE46A8">
        <w:t xml:space="preserve"> to 20</w:t>
      </w:r>
      <w:r w:rsidRPr="00586AEF">
        <w:t>30. With status quo auction volumes fixed in those years, the resulting gap in unit supply was then compared against surplus estimates to determine whether the auction volumes in regulation remained appropriate or not.</w:t>
      </w:r>
    </w:p>
    <w:p w14:paraId="342B143A" w14:textId="230E850B" w:rsidR="00F77BC4" w:rsidRPr="00801EC2" w:rsidRDefault="00F77BC4" w:rsidP="00F77BC4">
      <w:pPr>
        <w:pStyle w:val="Numberedparagraph"/>
        <w:numPr>
          <w:ilvl w:val="0"/>
          <w:numId w:val="39"/>
        </w:numPr>
      </w:pPr>
      <w:r w:rsidRPr="00801EC2">
        <w:t>The main practical difference between the two approaches was that the Government discrepancy adjustment was spread over 202</w:t>
      </w:r>
      <w:r w:rsidRPr="33FE9CA9">
        <w:t>9</w:t>
      </w:r>
      <w:r w:rsidR="00CE46A8">
        <w:t xml:space="preserve"> to 20</w:t>
      </w:r>
      <w:r w:rsidRPr="33FE9CA9">
        <w:t>31 and therefore creates a small difference with the Commission’s 2031 auction volumes.</w:t>
      </w:r>
    </w:p>
    <w:p w14:paraId="2735BAD3" w14:textId="77777777" w:rsidR="00F77BC4" w:rsidRDefault="00F77BC4" w:rsidP="00F77BC4">
      <w:pPr>
        <w:pStyle w:val="Heading2"/>
        <w:spacing w:after="120"/>
        <w:rPr>
          <w:rFonts w:eastAsiaTheme="minorEastAsia"/>
        </w:rPr>
      </w:pPr>
      <w:bookmarkStart w:id="7" w:name="_Toc240638547"/>
      <w:r>
        <w:rPr>
          <w:rFonts w:eastAsiaTheme="minorEastAsia"/>
        </w:rPr>
        <w:lastRenderedPageBreak/>
        <w:t>Ongoing surplus adjustment</w:t>
      </w:r>
      <w:bookmarkEnd w:id="7"/>
    </w:p>
    <w:p w14:paraId="534CF1B0" w14:textId="3BB70E59" w:rsidR="00F77BC4" w:rsidRDefault="00F77BC4" w:rsidP="00F77BC4">
      <w:pPr>
        <w:pStyle w:val="Numberedparagraph"/>
        <w:numPr>
          <w:ilvl w:val="0"/>
          <w:numId w:val="39"/>
        </w:numPr>
      </w:pPr>
      <w:r w:rsidRPr="00150FB0">
        <w:t>The Commission recommended making an ongoing surplus reduction post</w:t>
      </w:r>
      <w:r w:rsidR="005150AD">
        <w:t>-</w:t>
      </w:r>
      <w:r w:rsidRPr="00150FB0">
        <w:t>2030</w:t>
      </w:r>
      <w:r>
        <w:t xml:space="preserve"> totalling about </w:t>
      </w:r>
      <w:r w:rsidRPr="00B17FD0">
        <w:t>2.3 million</w:t>
      </w:r>
      <w:r>
        <w:t xml:space="preserve"> units</w:t>
      </w:r>
      <w:r w:rsidRPr="00150FB0">
        <w:t>, resulting in corresponding reductions in auction volumes</w:t>
      </w:r>
      <w:r>
        <w:t xml:space="preserve"> over the EB3 period</w:t>
      </w:r>
      <w:r w:rsidRPr="00150FB0">
        <w:t xml:space="preserve">. </w:t>
      </w:r>
      <w:r>
        <w:t>The ongoing surplus adjustment reflects the additional surplus units that would be generated due to declining pre-1990 forestry holdings and emitter hedging volumes over 2031</w:t>
      </w:r>
      <w:r w:rsidR="005150AD">
        <w:t xml:space="preserve"> to </w:t>
      </w:r>
      <w:r>
        <w:t xml:space="preserve">2035. </w:t>
      </w:r>
    </w:p>
    <w:p w14:paraId="49E0E040" w14:textId="77777777" w:rsidR="00F77BC4" w:rsidRPr="008D78BA" w:rsidRDefault="00F77BC4" w:rsidP="00F77BC4">
      <w:pPr>
        <w:pStyle w:val="Numberedparagraph"/>
        <w:numPr>
          <w:ilvl w:val="0"/>
          <w:numId w:val="39"/>
        </w:numPr>
      </w:pPr>
      <w:r w:rsidRPr="00150FB0">
        <w:t>In the Government’s recommended auction volumes presented in the ETS settings consultation document, the Government did not include the ongoing surplus adjustment suggested by the Commission</w:t>
      </w:r>
      <w:r>
        <w:t>. A</w:t>
      </w:r>
      <w:r w:rsidRPr="00150FB0">
        <w:t xml:space="preserve">fter considering consultation feedback, the final ETS decisions have </w:t>
      </w:r>
      <w:r w:rsidRPr="008D78BA">
        <w:t xml:space="preserve">incorporated an adjustment. </w:t>
      </w:r>
    </w:p>
    <w:p w14:paraId="5307E5FE" w14:textId="15D9AE22" w:rsidR="00F77BC4" w:rsidRPr="008D78BA" w:rsidRDefault="00F77BC4" w:rsidP="00F77BC4">
      <w:pPr>
        <w:pStyle w:val="Numberedparagraph"/>
        <w:numPr>
          <w:ilvl w:val="0"/>
          <w:numId w:val="39"/>
        </w:numPr>
      </w:pPr>
      <w:r w:rsidRPr="008D78BA">
        <w:t>The Government included an ongoing surplus adjustment totalling abou</w:t>
      </w:r>
      <w:r w:rsidRPr="002F5B4E">
        <w:t>t 1.5 million</w:t>
      </w:r>
      <w:r w:rsidRPr="008D78BA">
        <w:t xml:space="preserve"> units over 2031</w:t>
      </w:r>
      <w:r w:rsidR="005150AD">
        <w:t xml:space="preserve"> to </w:t>
      </w:r>
      <w:r w:rsidRPr="008D78BA">
        <w:t xml:space="preserve">2035, which reflects the additional surplus units that would be generated due to declining pre-1990 </w:t>
      </w:r>
      <w:r>
        <w:t>forestry</w:t>
      </w:r>
      <w:r w:rsidRPr="008D78BA">
        <w:t xml:space="preserve"> volumes. Declining emitter hedging volumes were excluded from the Government’s ongoing surplus adjustment </w:t>
      </w:r>
      <w:r>
        <w:t xml:space="preserve">on the basis </w:t>
      </w:r>
      <w:r w:rsidRPr="00901E66">
        <w:t>that the interaction between lower future obligations, firms' holding volume, reduced unit acquisition, and therefore stockpile liquidity, needed further consideration before</w:t>
      </w:r>
      <w:r>
        <w:t xml:space="preserve"> being</w:t>
      </w:r>
      <w:r w:rsidRPr="00901E66">
        <w:t xml:space="preserve"> </w:t>
      </w:r>
      <w:r>
        <w:t>incorporated into the adjustment</w:t>
      </w:r>
      <w:r w:rsidRPr="00DE78AF">
        <w:t>.</w:t>
      </w:r>
    </w:p>
    <w:p w14:paraId="42C9CE4D" w14:textId="0A588CA2" w:rsidR="00F77BC4" w:rsidRPr="008D78BA" w:rsidRDefault="00F77BC4" w:rsidP="00F77BC4">
      <w:pPr>
        <w:pStyle w:val="Heading2"/>
        <w:spacing w:after="120"/>
        <w:rPr>
          <w:rFonts w:eastAsiaTheme="minorEastAsia"/>
        </w:rPr>
      </w:pPr>
      <w:bookmarkStart w:id="8" w:name="_Toc240638548"/>
      <w:r w:rsidRPr="008D78BA">
        <w:rPr>
          <w:rFonts w:eastAsiaTheme="minorEastAsia"/>
        </w:rPr>
        <w:t xml:space="preserve">Phasing of </w:t>
      </w:r>
      <w:r w:rsidR="007241C2">
        <w:rPr>
          <w:rFonts w:eastAsiaTheme="minorEastAsia"/>
        </w:rPr>
        <w:t xml:space="preserve">third </w:t>
      </w:r>
      <w:r w:rsidR="008F2B00">
        <w:rPr>
          <w:rFonts w:eastAsiaTheme="minorEastAsia"/>
        </w:rPr>
        <w:t>e</w:t>
      </w:r>
      <w:r>
        <w:rPr>
          <w:rFonts w:eastAsiaTheme="minorEastAsia"/>
        </w:rPr>
        <w:t xml:space="preserve">missions </w:t>
      </w:r>
      <w:r w:rsidR="008F2B00">
        <w:rPr>
          <w:rFonts w:eastAsiaTheme="minorEastAsia"/>
        </w:rPr>
        <w:t>b</w:t>
      </w:r>
      <w:r>
        <w:rPr>
          <w:rFonts w:eastAsiaTheme="minorEastAsia"/>
        </w:rPr>
        <w:t xml:space="preserve">udget </w:t>
      </w:r>
      <w:r w:rsidRPr="008D78BA">
        <w:rPr>
          <w:rFonts w:eastAsiaTheme="minorEastAsia"/>
        </w:rPr>
        <w:t>volumes</w:t>
      </w:r>
      <w:bookmarkEnd w:id="8"/>
    </w:p>
    <w:p w14:paraId="52FC2DE6" w14:textId="192E96BC" w:rsidR="00F77BC4" w:rsidRPr="00483D28" w:rsidRDefault="00F77BC4" w:rsidP="00F77BC4">
      <w:pPr>
        <w:pStyle w:val="Numberedparagraph"/>
        <w:numPr>
          <w:ilvl w:val="0"/>
          <w:numId w:val="39"/>
        </w:numPr>
      </w:pPr>
      <w:r w:rsidRPr="008D78BA">
        <w:t xml:space="preserve">EB3 auction volumes need to be smoothed to address low and negative volumes in late EB3. The Commission’s EB3 auction </w:t>
      </w:r>
      <w:r w:rsidRPr="00483D28">
        <w:t>volumes total 7.5 million units, with negative volume first occurring in 2035. The Commission address</w:t>
      </w:r>
      <w:r w:rsidR="006A72D1">
        <w:t>es</w:t>
      </w:r>
      <w:r w:rsidRPr="00483D28">
        <w:t xml:space="preserve"> this by redistributing the 2035 negative volume over 2031</w:t>
      </w:r>
      <w:r w:rsidR="006A72D1">
        <w:t xml:space="preserve"> to </w:t>
      </w:r>
      <w:r w:rsidRPr="00483D28">
        <w:t xml:space="preserve">2034. This results in the last year of auctions occurring in 2034. </w:t>
      </w:r>
    </w:p>
    <w:p w14:paraId="2F79A6CC" w14:textId="2B596D0F" w:rsidR="00F77BC4" w:rsidRPr="00483D28" w:rsidRDefault="00F77BC4" w:rsidP="00F77BC4">
      <w:pPr>
        <w:pStyle w:val="Numberedparagraph"/>
        <w:numPr>
          <w:ilvl w:val="0"/>
          <w:numId w:val="39"/>
        </w:numPr>
      </w:pPr>
      <w:r w:rsidRPr="00483D28">
        <w:t>The Government’s EB3 auction volumes are lower than the Commission’s, totalling 2.1</w:t>
      </w:r>
      <w:r w:rsidR="006A72D1">
        <w:t> </w:t>
      </w:r>
      <w:r w:rsidRPr="00483D28">
        <w:t>million units, with negative volumes first occurring in 2034. The Government further phases auction volumes over EB3 by taking the total volume over 2031-</w:t>
      </w:r>
      <w:r w:rsidR="006A72D1">
        <w:t xml:space="preserve"> to </w:t>
      </w:r>
      <w:r w:rsidRPr="00483D28">
        <w:t>2035 and redistributing it over 2031</w:t>
      </w:r>
      <w:r w:rsidR="006A72D1">
        <w:t xml:space="preserve"> to </w:t>
      </w:r>
      <w:r w:rsidRPr="00483D28">
        <w:t>2032. This results in the last year of auctions occurring in 2032.</w:t>
      </w:r>
    </w:p>
    <w:p w14:paraId="6900BC92" w14:textId="20B9AC39" w:rsidR="00F77BC4" w:rsidRPr="00B9053D" w:rsidRDefault="00F77BC4" w:rsidP="00F77BC4">
      <w:pPr>
        <w:pStyle w:val="Numberedparagraph"/>
        <w:numPr>
          <w:ilvl w:val="0"/>
          <w:numId w:val="39"/>
        </w:numPr>
      </w:pPr>
      <w:r w:rsidRPr="009871A0">
        <w:t>For clarity, the EB3 phasing impacts that fall between 2032</w:t>
      </w:r>
      <w:r w:rsidR="006A72D1">
        <w:t xml:space="preserve"> to </w:t>
      </w:r>
      <w:r w:rsidRPr="009871A0">
        <w:t xml:space="preserve">2035 are outside of this year’s settings period. </w:t>
      </w:r>
    </w:p>
    <w:p w14:paraId="69248823" w14:textId="77777777" w:rsidR="00F77BC4" w:rsidRPr="000546A2" w:rsidRDefault="00F77BC4" w:rsidP="00F77BC4">
      <w:pPr>
        <w:pStyle w:val="Heading2"/>
        <w:spacing w:after="120"/>
        <w:rPr>
          <w:rFonts w:eastAsiaTheme="minorEastAsia"/>
        </w:rPr>
      </w:pPr>
      <w:bookmarkStart w:id="9" w:name="_Toc240638549"/>
      <w:r w:rsidRPr="000546A2">
        <w:rPr>
          <w:rFonts w:eastAsiaTheme="minorEastAsia"/>
        </w:rPr>
        <w:t>Annual differences in auction volumes</w:t>
      </w:r>
      <w:bookmarkEnd w:id="9"/>
    </w:p>
    <w:p w14:paraId="39878B92" w14:textId="2786C57F" w:rsidR="00F77BC4" w:rsidRDefault="00F77BC4" w:rsidP="00F77BC4">
      <w:pPr>
        <w:pStyle w:val="Numberedparagraph"/>
        <w:numPr>
          <w:ilvl w:val="0"/>
          <w:numId w:val="39"/>
        </w:numPr>
        <w:tabs>
          <w:tab w:val="clear" w:pos="360"/>
        </w:tabs>
      </w:pPr>
      <w:r w:rsidRPr="00DB1C9F">
        <w:t xml:space="preserve">The annual difference in auction volumes between the Commission’s recommendation and Government’s decision is shown in </w:t>
      </w:r>
      <w:r w:rsidR="006A72D1">
        <w:t>t</w:t>
      </w:r>
      <w:r w:rsidRPr="00DB1C9F">
        <w:t>able 1.</w:t>
      </w:r>
    </w:p>
    <w:p w14:paraId="3182F7A4" w14:textId="516D8C87" w:rsidR="00F77BC4" w:rsidRDefault="00F77BC4">
      <w:pPr>
        <w:spacing w:before="0" w:after="200" w:line="276" w:lineRule="auto"/>
        <w:jc w:val="left"/>
      </w:pPr>
      <w:r>
        <w:br w:type="page"/>
      </w:r>
    </w:p>
    <w:p w14:paraId="22DA5C28" w14:textId="2E5F4265" w:rsidR="00F77BC4" w:rsidRPr="00F77BC4" w:rsidRDefault="00F77BC4" w:rsidP="00F77BC4">
      <w:pPr>
        <w:pStyle w:val="Tableheading"/>
        <w:rPr>
          <w:rStyle w:val="normaltextrun"/>
        </w:rPr>
      </w:pPr>
      <w:bookmarkStart w:id="10" w:name="_Toc240622675"/>
      <w:r w:rsidRPr="00F77BC4">
        <w:rPr>
          <w:rStyle w:val="normaltextrun"/>
        </w:rPr>
        <w:lastRenderedPageBreak/>
        <w:t xml:space="preserve">Table 1: </w:t>
      </w:r>
      <w:r w:rsidRPr="00F77BC4">
        <w:rPr>
          <w:rStyle w:val="normaltextrun"/>
        </w:rPr>
        <w:tab/>
      </w:r>
      <w:r w:rsidRPr="00F77BC4">
        <w:t xml:space="preserve">Comparison of the Commission’s </w:t>
      </w:r>
      <w:proofErr w:type="gramStart"/>
      <w:r w:rsidRPr="00F77BC4">
        <w:t>2026 unit</w:t>
      </w:r>
      <w:proofErr w:type="gramEnd"/>
      <w:r w:rsidRPr="00F77BC4">
        <w:t xml:space="preserve"> limit recommendations with the Government’s decision (differences </w:t>
      </w:r>
      <w:r w:rsidR="00472884">
        <w:t xml:space="preserve">highlighted </w:t>
      </w:r>
      <w:r w:rsidR="008C2B4D">
        <w:t>with</w:t>
      </w:r>
      <w:r w:rsidR="00BF1254">
        <w:t xml:space="preserve"> </w:t>
      </w:r>
      <w:r w:rsidR="008C2B4D">
        <w:t>*</w:t>
      </w:r>
      <w:r w:rsidRPr="00F77BC4">
        <w:t>)</w:t>
      </w:r>
      <w:bookmarkEnd w:id="10"/>
    </w:p>
    <w:tbl>
      <w:tblPr>
        <w:tblStyle w:val="LightList-Accent11"/>
        <w:tblW w:w="0" w:type="auto"/>
        <w:tblLook w:val="04A0" w:firstRow="1" w:lastRow="0" w:firstColumn="1" w:lastColumn="0" w:noHBand="0" w:noVBand="1"/>
      </w:tblPr>
      <w:tblGrid>
        <w:gridCol w:w="1920"/>
        <w:gridCol w:w="1644"/>
        <w:gridCol w:w="985"/>
        <w:gridCol w:w="986"/>
        <w:gridCol w:w="985"/>
        <w:gridCol w:w="986"/>
        <w:gridCol w:w="983"/>
        <w:gridCol w:w="16"/>
      </w:tblGrid>
      <w:tr w:rsidR="00F77BC4" w:rsidRPr="00C7647F" w14:paraId="7D7EB1B3" w14:textId="77777777" w:rsidTr="00F97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1" w:type="dxa"/>
            <w:tcBorders>
              <w:top w:val="nil"/>
              <w:left w:val="nil"/>
              <w:bottom w:val="nil"/>
              <w:right w:val="nil"/>
            </w:tcBorders>
            <w:shd w:val="clear" w:color="auto" w:fill="005B73"/>
          </w:tcPr>
          <w:p w14:paraId="2E0E1D69" w14:textId="77777777" w:rsidR="00F77BC4" w:rsidRPr="00FF4248" w:rsidRDefault="00F77BC4">
            <w:pPr>
              <w:pStyle w:val="TableTextbold0"/>
              <w:rPr>
                <w:b/>
                <w:bCs w:val="0"/>
              </w:rPr>
            </w:pPr>
            <w:r w:rsidRPr="00FF4248">
              <w:rPr>
                <w:b/>
                <w:bCs w:val="0"/>
              </w:rPr>
              <w:t>Million units</w:t>
            </w:r>
          </w:p>
        </w:tc>
        <w:tc>
          <w:tcPr>
            <w:tcW w:w="1644" w:type="dxa"/>
            <w:tcBorders>
              <w:top w:val="nil"/>
              <w:left w:val="nil"/>
              <w:bottom w:val="nil"/>
              <w:right w:val="nil"/>
            </w:tcBorders>
            <w:shd w:val="clear" w:color="auto" w:fill="005B73"/>
          </w:tcPr>
          <w:p w14:paraId="6E8B056E" w14:textId="77777777" w:rsidR="00F77BC4" w:rsidRPr="00FF4248" w:rsidRDefault="00F77BC4">
            <w:pPr>
              <w:pStyle w:val="TableTextbold0"/>
              <w:cnfStyle w:val="100000000000" w:firstRow="1" w:lastRow="0" w:firstColumn="0" w:lastColumn="0" w:oddVBand="0" w:evenVBand="0" w:oddHBand="0" w:evenHBand="0" w:firstRowFirstColumn="0" w:firstRowLastColumn="0" w:lastRowFirstColumn="0" w:lastRowLastColumn="0"/>
            </w:pPr>
          </w:p>
        </w:tc>
        <w:tc>
          <w:tcPr>
            <w:tcW w:w="986" w:type="dxa"/>
            <w:tcBorders>
              <w:top w:val="nil"/>
              <w:left w:val="nil"/>
              <w:bottom w:val="nil"/>
              <w:right w:val="nil"/>
            </w:tcBorders>
            <w:shd w:val="clear" w:color="auto" w:fill="005B73"/>
            <w:vAlign w:val="center"/>
          </w:tcPr>
          <w:p w14:paraId="665C4751" w14:textId="77777777" w:rsidR="00F77BC4" w:rsidRPr="00FF4248" w:rsidRDefault="00F77BC4">
            <w:pPr>
              <w:pStyle w:val="TableTextbold0"/>
              <w:cnfStyle w:val="100000000000" w:firstRow="1" w:lastRow="0" w:firstColumn="0" w:lastColumn="0" w:oddVBand="0" w:evenVBand="0" w:oddHBand="0" w:evenHBand="0" w:firstRowFirstColumn="0" w:firstRowLastColumn="0" w:lastRowFirstColumn="0" w:lastRowLastColumn="0"/>
              <w:rPr>
                <w:b/>
                <w:bCs w:val="0"/>
              </w:rPr>
            </w:pPr>
            <w:r w:rsidRPr="00FF4248">
              <w:rPr>
                <w:b/>
                <w:bCs w:val="0"/>
              </w:rPr>
              <w:t>2027</w:t>
            </w:r>
          </w:p>
        </w:tc>
        <w:tc>
          <w:tcPr>
            <w:tcW w:w="987" w:type="dxa"/>
            <w:tcBorders>
              <w:top w:val="nil"/>
              <w:left w:val="nil"/>
              <w:bottom w:val="nil"/>
              <w:right w:val="nil"/>
            </w:tcBorders>
            <w:shd w:val="clear" w:color="auto" w:fill="005B73"/>
            <w:vAlign w:val="center"/>
          </w:tcPr>
          <w:p w14:paraId="7D28E017" w14:textId="77777777" w:rsidR="00F77BC4" w:rsidRPr="00FF4248" w:rsidRDefault="00F77BC4">
            <w:pPr>
              <w:pStyle w:val="TableTextbold0"/>
              <w:cnfStyle w:val="100000000000" w:firstRow="1" w:lastRow="0" w:firstColumn="0" w:lastColumn="0" w:oddVBand="0" w:evenVBand="0" w:oddHBand="0" w:evenHBand="0" w:firstRowFirstColumn="0" w:firstRowLastColumn="0" w:lastRowFirstColumn="0" w:lastRowLastColumn="0"/>
              <w:rPr>
                <w:b/>
                <w:bCs w:val="0"/>
              </w:rPr>
            </w:pPr>
            <w:r w:rsidRPr="00FF4248">
              <w:rPr>
                <w:b/>
                <w:bCs w:val="0"/>
              </w:rPr>
              <w:t>2028</w:t>
            </w:r>
          </w:p>
        </w:tc>
        <w:tc>
          <w:tcPr>
            <w:tcW w:w="986" w:type="dxa"/>
            <w:tcBorders>
              <w:top w:val="nil"/>
              <w:left w:val="nil"/>
              <w:bottom w:val="nil"/>
              <w:right w:val="nil"/>
            </w:tcBorders>
            <w:shd w:val="clear" w:color="auto" w:fill="005B73"/>
            <w:vAlign w:val="center"/>
          </w:tcPr>
          <w:p w14:paraId="2429C140" w14:textId="77777777" w:rsidR="00F77BC4" w:rsidRPr="00FF4248" w:rsidRDefault="00F77BC4">
            <w:pPr>
              <w:pStyle w:val="TableTextbold0"/>
              <w:cnfStyle w:val="100000000000" w:firstRow="1" w:lastRow="0" w:firstColumn="0" w:lastColumn="0" w:oddVBand="0" w:evenVBand="0" w:oddHBand="0" w:evenHBand="0" w:firstRowFirstColumn="0" w:firstRowLastColumn="0" w:lastRowFirstColumn="0" w:lastRowLastColumn="0"/>
              <w:rPr>
                <w:b/>
                <w:bCs w:val="0"/>
              </w:rPr>
            </w:pPr>
            <w:r w:rsidRPr="00FF4248">
              <w:rPr>
                <w:b/>
                <w:bCs w:val="0"/>
              </w:rPr>
              <w:t>2029</w:t>
            </w:r>
          </w:p>
        </w:tc>
        <w:tc>
          <w:tcPr>
            <w:tcW w:w="987" w:type="dxa"/>
            <w:tcBorders>
              <w:top w:val="nil"/>
              <w:left w:val="nil"/>
              <w:bottom w:val="nil"/>
              <w:right w:val="nil"/>
            </w:tcBorders>
            <w:shd w:val="clear" w:color="auto" w:fill="005B73"/>
            <w:vAlign w:val="center"/>
          </w:tcPr>
          <w:p w14:paraId="70E7877E" w14:textId="77777777" w:rsidR="00F77BC4" w:rsidRPr="00FF4248" w:rsidRDefault="00F77BC4">
            <w:pPr>
              <w:pStyle w:val="TableTextbold0"/>
              <w:cnfStyle w:val="100000000000" w:firstRow="1" w:lastRow="0" w:firstColumn="0" w:lastColumn="0" w:oddVBand="0" w:evenVBand="0" w:oddHBand="0" w:evenHBand="0" w:firstRowFirstColumn="0" w:firstRowLastColumn="0" w:lastRowFirstColumn="0" w:lastRowLastColumn="0"/>
              <w:rPr>
                <w:b/>
                <w:bCs w:val="0"/>
              </w:rPr>
            </w:pPr>
            <w:r w:rsidRPr="00FF4248">
              <w:rPr>
                <w:b/>
                <w:bCs w:val="0"/>
              </w:rPr>
              <w:t>2030</w:t>
            </w:r>
          </w:p>
        </w:tc>
        <w:tc>
          <w:tcPr>
            <w:tcW w:w="987" w:type="dxa"/>
            <w:gridSpan w:val="2"/>
            <w:tcBorders>
              <w:top w:val="nil"/>
              <w:left w:val="nil"/>
              <w:bottom w:val="nil"/>
              <w:right w:val="nil"/>
            </w:tcBorders>
            <w:shd w:val="clear" w:color="auto" w:fill="005B73"/>
            <w:vAlign w:val="center"/>
          </w:tcPr>
          <w:p w14:paraId="7D45E568" w14:textId="77777777" w:rsidR="00F77BC4" w:rsidRPr="00FF4248" w:rsidRDefault="00F77BC4">
            <w:pPr>
              <w:pStyle w:val="TableTextbold0"/>
              <w:cnfStyle w:val="100000000000" w:firstRow="1" w:lastRow="0" w:firstColumn="0" w:lastColumn="0" w:oddVBand="0" w:evenVBand="0" w:oddHBand="0" w:evenHBand="0" w:firstRowFirstColumn="0" w:firstRowLastColumn="0" w:lastRowFirstColumn="0" w:lastRowLastColumn="0"/>
              <w:rPr>
                <w:b/>
                <w:bCs w:val="0"/>
              </w:rPr>
            </w:pPr>
            <w:r>
              <w:rPr>
                <w:b/>
                <w:bCs w:val="0"/>
              </w:rPr>
              <w:t>2031</w:t>
            </w:r>
          </w:p>
        </w:tc>
      </w:tr>
      <w:tr w:rsidR="00F77BC4" w:rsidRPr="00C7647F" w14:paraId="3CF0A749" w14:textId="77777777" w:rsidTr="00F97683">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1921" w:type="dxa"/>
            <w:vMerge w:val="restart"/>
            <w:tcBorders>
              <w:top w:val="nil"/>
              <w:left w:val="nil"/>
              <w:bottom w:val="single" w:sz="8" w:space="0" w:color="005B73"/>
              <w:right w:val="single" w:sz="8" w:space="0" w:color="005B73"/>
            </w:tcBorders>
            <w:vAlign w:val="center"/>
          </w:tcPr>
          <w:p w14:paraId="00742807" w14:textId="77777777" w:rsidR="00F77BC4" w:rsidRPr="00A6044F" w:rsidRDefault="00F77BC4">
            <w:pPr>
              <w:pStyle w:val="TableText0"/>
            </w:pPr>
            <w:r w:rsidRPr="00A6044F">
              <w:t>Prescribed NZUs available by auction</w:t>
            </w:r>
            <w:r>
              <w:t xml:space="preserve"> (base auction volumes) </w:t>
            </w:r>
          </w:p>
        </w:tc>
        <w:tc>
          <w:tcPr>
            <w:tcW w:w="1644" w:type="dxa"/>
            <w:tcBorders>
              <w:top w:val="nil"/>
              <w:left w:val="single" w:sz="8" w:space="0" w:color="005B73"/>
              <w:bottom w:val="single" w:sz="8" w:space="0" w:color="005B73"/>
              <w:right w:val="single" w:sz="8" w:space="0" w:color="005B73"/>
            </w:tcBorders>
          </w:tcPr>
          <w:p w14:paraId="03303BBC" w14:textId="77777777" w:rsidR="00F77BC4" w:rsidRPr="00483D28"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483D28">
              <w:t>Volumes prescribed in regulations</w:t>
            </w:r>
          </w:p>
        </w:tc>
        <w:tc>
          <w:tcPr>
            <w:tcW w:w="986" w:type="dxa"/>
            <w:tcBorders>
              <w:top w:val="nil"/>
              <w:left w:val="single" w:sz="8" w:space="0" w:color="005B73"/>
              <w:bottom w:val="single" w:sz="8" w:space="0" w:color="005B73"/>
              <w:right w:val="single" w:sz="8" w:space="0" w:color="005B73"/>
            </w:tcBorders>
          </w:tcPr>
          <w:p w14:paraId="2B87FF3B" w14:textId="309EF75A"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4.3</w:t>
            </w:r>
          </w:p>
        </w:tc>
        <w:tc>
          <w:tcPr>
            <w:tcW w:w="987" w:type="dxa"/>
            <w:tcBorders>
              <w:top w:val="nil"/>
              <w:left w:val="single" w:sz="8" w:space="0" w:color="005B73"/>
              <w:bottom w:val="single" w:sz="8" w:space="0" w:color="005B73"/>
              <w:right w:val="single" w:sz="8" w:space="0" w:color="005B73"/>
            </w:tcBorders>
          </w:tcPr>
          <w:p w14:paraId="7F969B1E" w14:textId="5D83F80F"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3.3</w:t>
            </w:r>
          </w:p>
        </w:tc>
        <w:tc>
          <w:tcPr>
            <w:tcW w:w="986" w:type="dxa"/>
            <w:tcBorders>
              <w:top w:val="nil"/>
              <w:left w:val="single" w:sz="8" w:space="0" w:color="005B73"/>
              <w:bottom w:val="single" w:sz="8" w:space="0" w:color="005B73"/>
              <w:right w:val="single" w:sz="8" w:space="0" w:color="005B73"/>
            </w:tcBorders>
          </w:tcPr>
          <w:p w14:paraId="09EF2479" w14:textId="2AD0326A"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2.4</w:t>
            </w:r>
          </w:p>
        </w:tc>
        <w:tc>
          <w:tcPr>
            <w:tcW w:w="987" w:type="dxa"/>
            <w:tcBorders>
              <w:top w:val="nil"/>
              <w:left w:val="single" w:sz="8" w:space="0" w:color="005B73"/>
              <w:bottom w:val="single" w:sz="8" w:space="0" w:color="005B73"/>
              <w:right w:val="single" w:sz="8" w:space="0" w:color="005B73"/>
            </w:tcBorders>
          </w:tcPr>
          <w:p w14:paraId="422E9780" w14:textId="102AD39E"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1.7</w:t>
            </w:r>
          </w:p>
        </w:tc>
        <w:tc>
          <w:tcPr>
            <w:tcW w:w="987" w:type="dxa"/>
            <w:gridSpan w:val="2"/>
            <w:tcBorders>
              <w:top w:val="nil"/>
              <w:left w:val="single" w:sz="8" w:space="0" w:color="005B73"/>
              <w:bottom w:val="single" w:sz="8" w:space="0" w:color="005B73"/>
              <w:right w:val="nil"/>
            </w:tcBorders>
          </w:tcPr>
          <w:p w14:paraId="1076E9B6" w14:textId="4C773826"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pPr>
            <w:r w:rsidRPr="00A41478">
              <w:rPr>
                <w:rFonts w:cs="Calibri"/>
                <w:szCs w:val="18"/>
              </w:rPr>
              <w:t>1.1</w:t>
            </w:r>
            <w:r w:rsidR="00B028AA" w:rsidRPr="00A41478">
              <w:rPr>
                <w:rFonts w:cs="Calibri"/>
                <w:szCs w:val="18"/>
              </w:rPr>
              <w:t>*</w:t>
            </w:r>
          </w:p>
        </w:tc>
      </w:tr>
      <w:tr w:rsidR="00F77BC4" w:rsidRPr="00C7647F" w14:paraId="2485258D" w14:textId="77777777" w:rsidTr="00F97683">
        <w:trPr>
          <w:trHeight w:val="619"/>
        </w:trPr>
        <w:tc>
          <w:tcPr>
            <w:cnfStyle w:val="001000000000" w:firstRow="0" w:lastRow="0" w:firstColumn="1" w:lastColumn="0" w:oddVBand="0" w:evenVBand="0" w:oddHBand="0" w:evenHBand="0" w:firstRowFirstColumn="0" w:firstRowLastColumn="0" w:lastRowFirstColumn="0" w:lastRowLastColumn="0"/>
            <w:tcW w:w="1921" w:type="dxa"/>
            <w:vMerge/>
            <w:tcBorders>
              <w:top w:val="single" w:sz="8" w:space="0" w:color="005B73"/>
              <w:left w:val="nil"/>
              <w:bottom w:val="single" w:sz="8" w:space="0" w:color="005B73"/>
              <w:right w:val="single" w:sz="8" w:space="0" w:color="005B73"/>
            </w:tcBorders>
            <w:vAlign w:val="center"/>
          </w:tcPr>
          <w:p w14:paraId="774E6FE3" w14:textId="77777777" w:rsidR="00F77BC4" w:rsidRPr="00A6044F" w:rsidRDefault="00F77BC4">
            <w:pPr>
              <w:pStyle w:val="TableText0"/>
            </w:pPr>
          </w:p>
        </w:tc>
        <w:tc>
          <w:tcPr>
            <w:tcW w:w="1644" w:type="dxa"/>
            <w:tcBorders>
              <w:top w:val="single" w:sz="8" w:space="0" w:color="005B73"/>
              <w:left w:val="single" w:sz="8" w:space="0" w:color="005B73"/>
              <w:bottom w:val="single" w:sz="8" w:space="0" w:color="005B73"/>
              <w:right w:val="single" w:sz="8" w:space="0" w:color="005B73"/>
            </w:tcBorders>
          </w:tcPr>
          <w:p w14:paraId="1727458A" w14:textId="77777777" w:rsidR="00F77BC4" w:rsidRPr="00483D2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483D28">
              <w:rPr>
                <w:rFonts w:cs="Calibri"/>
                <w:szCs w:val="18"/>
              </w:rPr>
              <w:t>Commission advice</w:t>
            </w:r>
          </w:p>
        </w:tc>
        <w:tc>
          <w:tcPr>
            <w:tcW w:w="986" w:type="dxa"/>
            <w:tcBorders>
              <w:top w:val="single" w:sz="8" w:space="0" w:color="005B73"/>
              <w:left w:val="single" w:sz="8" w:space="0" w:color="005B73"/>
              <w:bottom w:val="single" w:sz="8" w:space="0" w:color="005B73"/>
              <w:right w:val="single" w:sz="8" w:space="0" w:color="005B73"/>
            </w:tcBorders>
          </w:tcPr>
          <w:p w14:paraId="58A36C2A"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4.3</w:t>
            </w:r>
          </w:p>
        </w:tc>
        <w:tc>
          <w:tcPr>
            <w:tcW w:w="987" w:type="dxa"/>
            <w:tcBorders>
              <w:top w:val="single" w:sz="8" w:space="0" w:color="005B73"/>
              <w:left w:val="single" w:sz="8" w:space="0" w:color="005B73"/>
              <w:bottom w:val="single" w:sz="8" w:space="0" w:color="005B73"/>
              <w:right w:val="single" w:sz="8" w:space="0" w:color="005B73"/>
            </w:tcBorders>
          </w:tcPr>
          <w:p w14:paraId="10796778"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3.3</w:t>
            </w:r>
          </w:p>
        </w:tc>
        <w:tc>
          <w:tcPr>
            <w:tcW w:w="986" w:type="dxa"/>
            <w:tcBorders>
              <w:top w:val="single" w:sz="8" w:space="0" w:color="005B73"/>
              <w:left w:val="single" w:sz="8" w:space="0" w:color="005B73"/>
              <w:bottom w:val="single" w:sz="8" w:space="0" w:color="005B73"/>
              <w:right w:val="single" w:sz="8" w:space="0" w:color="005B73"/>
            </w:tcBorders>
          </w:tcPr>
          <w:p w14:paraId="1C8322C3"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2.4</w:t>
            </w:r>
          </w:p>
        </w:tc>
        <w:tc>
          <w:tcPr>
            <w:tcW w:w="987" w:type="dxa"/>
            <w:tcBorders>
              <w:top w:val="single" w:sz="8" w:space="0" w:color="005B73"/>
              <w:left w:val="single" w:sz="8" w:space="0" w:color="005B73"/>
              <w:bottom w:val="single" w:sz="8" w:space="0" w:color="005B73"/>
              <w:right w:val="single" w:sz="8" w:space="0" w:color="005B73"/>
            </w:tcBorders>
          </w:tcPr>
          <w:p w14:paraId="6DD96735"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1.7</w:t>
            </w:r>
          </w:p>
        </w:tc>
        <w:tc>
          <w:tcPr>
            <w:tcW w:w="987" w:type="dxa"/>
            <w:gridSpan w:val="2"/>
            <w:tcBorders>
              <w:top w:val="single" w:sz="8" w:space="0" w:color="005B73"/>
              <w:left w:val="single" w:sz="8" w:space="0" w:color="005B73"/>
              <w:bottom w:val="single" w:sz="8" w:space="0" w:color="005B73"/>
              <w:right w:val="nil"/>
            </w:tcBorders>
          </w:tcPr>
          <w:p w14:paraId="48594A53" w14:textId="47160A64"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3.0</w:t>
            </w:r>
            <w:r w:rsidR="00B028AA" w:rsidRPr="00A41478">
              <w:rPr>
                <w:rFonts w:cs="Calibri"/>
                <w:szCs w:val="18"/>
              </w:rPr>
              <w:t>*</w:t>
            </w:r>
          </w:p>
        </w:tc>
      </w:tr>
      <w:tr w:rsidR="00F77BC4" w:rsidRPr="00C7647F" w14:paraId="27161F10" w14:textId="77777777" w:rsidTr="00F97683">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921" w:type="dxa"/>
            <w:vMerge w:val="restart"/>
            <w:tcBorders>
              <w:top w:val="single" w:sz="8" w:space="0" w:color="005B73"/>
              <w:left w:val="nil"/>
              <w:bottom w:val="single" w:sz="8" w:space="0" w:color="005B73"/>
              <w:right w:val="single" w:sz="8" w:space="0" w:color="005B73"/>
            </w:tcBorders>
            <w:vAlign w:val="center"/>
          </w:tcPr>
          <w:p w14:paraId="22FE4C12" w14:textId="77777777" w:rsidR="00F77BC4" w:rsidRPr="00A6044F" w:rsidRDefault="00F77BC4">
            <w:pPr>
              <w:pStyle w:val="TableText0"/>
            </w:pPr>
            <w:r>
              <w:rPr>
                <w:rFonts w:cs="Calibri"/>
                <w:szCs w:val="18"/>
              </w:rPr>
              <w:t>Total CCR volumes</w:t>
            </w:r>
          </w:p>
        </w:tc>
        <w:tc>
          <w:tcPr>
            <w:tcW w:w="1644" w:type="dxa"/>
            <w:tcBorders>
              <w:top w:val="single" w:sz="8" w:space="0" w:color="005B73"/>
              <w:left w:val="single" w:sz="8" w:space="0" w:color="005B73"/>
              <w:bottom w:val="single" w:sz="8" w:space="0" w:color="005B73"/>
              <w:right w:val="single" w:sz="8" w:space="0" w:color="005B73"/>
            </w:tcBorders>
          </w:tcPr>
          <w:p w14:paraId="10B90AB6" w14:textId="77777777" w:rsidR="00F77BC4" w:rsidRPr="00483D28" w:rsidRDefault="00F77BC4">
            <w:pPr>
              <w:pStyle w:val="TableText0"/>
              <w:cnfStyle w:val="000000100000" w:firstRow="0" w:lastRow="0" w:firstColumn="0" w:lastColumn="0" w:oddVBand="0" w:evenVBand="0" w:oddHBand="1" w:evenHBand="0" w:firstRowFirstColumn="0" w:firstRowLastColumn="0" w:lastRowFirstColumn="0" w:lastRowLastColumn="0"/>
            </w:pPr>
            <w:r w:rsidRPr="00483D28">
              <w:t>Volumes prescribed in regulations</w:t>
            </w:r>
          </w:p>
        </w:tc>
        <w:tc>
          <w:tcPr>
            <w:tcW w:w="986" w:type="dxa"/>
            <w:tcBorders>
              <w:top w:val="single" w:sz="8" w:space="0" w:color="005B73"/>
              <w:left w:val="single" w:sz="8" w:space="0" w:color="005B73"/>
              <w:bottom w:val="single" w:sz="8" w:space="0" w:color="005B73"/>
              <w:right w:val="single" w:sz="8" w:space="0" w:color="005B73"/>
            </w:tcBorders>
          </w:tcPr>
          <w:p w14:paraId="1A781156" w14:textId="6C95DA1B"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5.9</w:t>
            </w:r>
          </w:p>
        </w:tc>
        <w:tc>
          <w:tcPr>
            <w:tcW w:w="987" w:type="dxa"/>
            <w:tcBorders>
              <w:top w:val="single" w:sz="8" w:space="0" w:color="005B73"/>
              <w:left w:val="single" w:sz="8" w:space="0" w:color="005B73"/>
              <w:bottom w:val="single" w:sz="8" w:space="0" w:color="005B73"/>
              <w:right w:val="single" w:sz="8" w:space="0" w:color="005B73"/>
            </w:tcBorders>
          </w:tcPr>
          <w:p w14:paraId="5A9026C4" w14:textId="79CDF0A5"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5.3</w:t>
            </w:r>
          </w:p>
        </w:tc>
        <w:tc>
          <w:tcPr>
            <w:tcW w:w="986" w:type="dxa"/>
            <w:tcBorders>
              <w:top w:val="single" w:sz="8" w:space="0" w:color="005B73"/>
              <w:left w:val="single" w:sz="8" w:space="0" w:color="005B73"/>
              <w:bottom w:val="single" w:sz="8" w:space="0" w:color="005B73"/>
              <w:right w:val="single" w:sz="8" w:space="0" w:color="005B73"/>
            </w:tcBorders>
          </w:tcPr>
          <w:p w14:paraId="21028C8E" w14:textId="1C36B517"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4.7</w:t>
            </w:r>
          </w:p>
        </w:tc>
        <w:tc>
          <w:tcPr>
            <w:tcW w:w="987" w:type="dxa"/>
            <w:tcBorders>
              <w:top w:val="single" w:sz="8" w:space="0" w:color="005B73"/>
              <w:left w:val="single" w:sz="8" w:space="0" w:color="005B73"/>
              <w:bottom w:val="single" w:sz="8" w:space="0" w:color="005B73"/>
              <w:right w:val="single" w:sz="8" w:space="0" w:color="005B73"/>
            </w:tcBorders>
          </w:tcPr>
          <w:p w14:paraId="4594897D" w14:textId="56051656"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3.9</w:t>
            </w:r>
          </w:p>
        </w:tc>
        <w:tc>
          <w:tcPr>
            <w:tcW w:w="987" w:type="dxa"/>
            <w:gridSpan w:val="2"/>
            <w:tcBorders>
              <w:top w:val="single" w:sz="8" w:space="0" w:color="005B73"/>
              <w:left w:val="single" w:sz="8" w:space="0" w:color="005B73"/>
              <w:bottom w:val="single" w:sz="8" w:space="0" w:color="005B73"/>
              <w:right w:val="nil"/>
            </w:tcBorders>
          </w:tcPr>
          <w:p w14:paraId="6E6B57D9" w14:textId="7106188A"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pPr>
            <w:r w:rsidRPr="00A41478">
              <w:rPr>
                <w:rFonts w:cs="Calibri"/>
                <w:szCs w:val="18"/>
              </w:rPr>
              <w:t>3.5</w:t>
            </w:r>
            <w:r w:rsidR="00B028AA" w:rsidRPr="00A41478">
              <w:rPr>
                <w:rFonts w:cs="Calibri"/>
                <w:szCs w:val="18"/>
              </w:rPr>
              <w:t>*</w:t>
            </w:r>
          </w:p>
        </w:tc>
      </w:tr>
      <w:tr w:rsidR="00F77BC4" w:rsidRPr="00C7647F" w14:paraId="2FCB9A73" w14:textId="77777777" w:rsidTr="00F97683">
        <w:trPr>
          <w:trHeight w:val="430"/>
        </w:trPr>
        <w:tc>
          <w:tcPr>
            <w:cnfStyle w:val="001000000000" w:firstRow="0" w:lastRow="0" w:firstColumn="1" w:lastColumn="0" w:oddVBand="0" w:evenVBand="0" w:oddHBand="0" w:evenHBand="0" w:firstRowFirstColumn="0" w:firstRowLastColumn="0" w:lastRowFirstColumn="0" w:lastRowLastColumn="0"/>
            <w:tcW w:w="1921" w:type="dxa"/>
            <w:vMerge/>
            <w:tcBorders>
              <w:top w:val="single" w:sz="8" w:space="0" w:color="005B73"/>
              <w:left w:val="nil"/>
              <w:bottom w:val="single" w:sz="8" w:space="0" w:color="005B73"/>
              <w:right w:val="single" w:sz="8" w:space="0" w:color="005B73"/>
            </w:tcBorders>
            <w:vAlign w:val="center"/>
          </w:tcPr>
          <w:p w14:paraId="16B26CC6" w14:textId="77777777" w:rsidR="00F77BC4" w:rsidRDefault="00F77BC4">
            <w:pPr>
              <w:pStyle w:val="TableText0"/>
              <w:rPr>
                <w:rFonts w:cs="Calibri"/>
                <w:szCs w:val="18"/>
              </w:rPr>
            </w:pPr>
          </w:p>
        </w:tc>
        <w:tc>
          <w:tcPr>
            <w:tcW w:w="1644" w:type="dxa"/>
            <w:tcBorders>
              <w:top w:val="single" w:sz="8" w:space="0" w:color="005B73"/>
              <w:left w:val="single" w:sz="8" w:space="0" w:color="005B73"/>
              <w:bottom w:val="single" w:sz="8" w:space="0" w:color="005B73"/>
              <w:right w:val="single" w:sz="8" w:space="0" w:color="005B73"/>
            </w:tcBorders>
          </w:tcPr>
          <w:p w14:paraId="5603B81A" w14:textId="77777777" w:rsidR="00F77BC4" w:rsidRPr="00483D2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483D28">
              <w:rPr>
                <w:rFonts w:cs="Calibri"/>
                <w:szCs w:val="18"/>
              </w:rPr>
              <w:t>Commission advice</w:t>
            </w:r>
          </w:p>
        </w:tc>
        <w:tc>
          <w:tcPr>
            <w:tcW w:w="986" w:type="dxa"/>
            <w:tcBorders>
              <w:top w:val="single" w:sz="8" w:space="0" w:color="005B73"/>
              <w:left w:val="single" w:sz="8" w:space="0" w:color="005B73"/>
              <w:bottom w:val="single" w:sz="8" w:space="0" w:color="005B73"/>
              <w:right w:val="single" w:sz="8" w:space="0" w:color="005B73"/>
            </w:tcBorders>
          </w:tcPr>
          <w:p w14:paraId="67BAA4EB"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5.9</w:t>
            </w:r>
          </w:p>
        </w:tc>
        <w:tc>
          <w:tcPr>
            <w:tcW w:w="987" w:type="dxa"/>
            <w:tcBorders>
              <w:top w:val="single" w:sz="8" w:space="0" w:color="005B73"/>
              <w:left w:val="single" w:sz="8" w:space="0" w:color="005B73"/>
              <w:bottom w:val="single" w:sz="8" w:space="0" w:color="005B73"/>
              <w:right w:val="single" w:sz="8" w:space="0" w:color="005B73"/>
            </w:tcBorders>
          </w:tcPr>
          <w:p w14:paraId="7E55C5A7"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5.3</w:t>
            </w:r>
          </w:p>
        </w:tc>
        <w:tc>
          <w:tcPr>
            <w:tcW w:w="986" w:type="dxa"/>
            <w:tcBorders>
              <w:top w:val="single" w:sz="8" w:space="0" w:color="005B73"/>
              <w:left w:val="single" w:sz="8" w:space="0" w:color="005B73"/>
              <w:bottom w:val="single" w:sz="8" w:space="0" w:color="005B73"/>
              <w:right w:val="single" w:sz="8" w:space="0" w:color="005B73"/>
            </w:tcBorders>
          </w:tcPr>
          <w:p w14:paraId="3B8C824B"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4.7</w:t>
            </w:r>
          </w:p>
        </w:tc>
        <w:tc>
          <w:tcPr>
            <w:tcW w:w="987" w:type="dxa"/>
            <w:tcBorders>
              <w:top w:val="single" w:sz="8" w:space="0" w:color="005B73"/>
              <w:left w:val="single" w:sz="8" w:space="0" w:color="005B73"/>
              <w:bottom w:val="single" w:sz="8" w:space="0" w:color="005B73"/>
              <w:right w:val="single" w:sz="8" w:space="0" w:color="005B73"/>
            </w:tcBorders>
          </w:tcPr>
          <w:p w14:paraId="186F3D02"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3.9</w:t>
            </w:r>
          </w:p>
        </w:tc>
        <w:tc>
          <w:tcPr>
            <w:tcW w:w="987" w:type="dxa"/>
            <w:gridSpan w:val="2"/>
            <w:tcBorders>
              <w:top w:val="single" w:sz="8" w:space="0" w:color="005B73"/>
              <w:left w:val="single" w:sz="8" w:space="0" w:color="005B73"/>
              <w:bottom w:val="single" w:sz="8" w:space="0" w:color="005B73"/>
              <w:right w:val="nil"/>
            </w:tcBorders>
          </w:tcPr>
          <w:p w14:paraId="7E842D52" w14:textId="273C8B3F"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3.5</w:t>
            </w:r>
            <w:r w:rsidR="00B028AA" w:rsidRPr="00A41478">
              <w:rPr>
                <w:rFonts w:cs="Calibri"/>
                <w:szCs w:val="18"/>
              </w:rPr>
              <w:t>*</w:t>
            </w:r>
          </w:p>
        </w:tc>
      </w:tr>
      <w:tr w:rsidR="00F77BC4" w:rsidRPr="00C7647F" w14:paraId="619D9E83" w14:textId="77777777" w:rsidTr="00F97683">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921" w:type="dxa"/>
            <w:vMerge w:val="restart"/>
            <w:tcBorders>
              <w:top w:val="single" w:sz="8" w:space="0" w:color="005B73"/>
              <w:left w:val="nil"/>
              <w:bottom w:val="single" w:sz="8" w:space="0" w:color="005B73"/>
              <w:right w:val="single" w:sz="8" w:space="0" w:color="005B73"/>
            </w:tcBorders>
            <w:vAlign w:val="center"/>
          </w:tcPr>
          <w:p w14:paraId="30F10AC4" w14:textId="77777777" w:rsidR="00F77BC4" w:rsidRPr="00CA70BC" w:rsidRDefault="00F77BC4">
            <w:pPr>
              <w:pStyle w:val="TableText0"/>
              <w:rPr>
                <w:rFonts w:cs="Calibri"/>
                <w:szCs w:val="18"/>
              </w:rPr>
            </w:pPr>
            <w:r>
              <w:rPr>
                <w:rFonts w:cs="Calibri"/>
                <w:szCs w:val="18"/>
              </w:rPr>
              <w:t xml:space="preserve">Limit on </w:t>
            </w:r>
            <w:r w:rsidRPr="46FA97BF">
              <w:rPr>
                <w:rFonts w:cs="Calibri"/>
                <w:szCs w:val="18"/>
              </w:rPr>
              <w:t>NZUs available by auction</w:t>
            </w:r>
            <w:r>
              <w:rPr>
                <w:rFonts w:cs="Calibri"/>
                <w:szCs w:val="18"/>
              </w:rPr>
              <w:t xml:space="preserve"> (total of base auction and CCR volumes)</w:t>
            </w:r>
          </w:p>
        </w:tc>
        <w:tc>
          <w:tcPr>
            <w:tcW w:w="1644" w:type="dxa"/>
            <w:tcBorders>
              <w:top w:val="single" w:sz="8" w:space="0" w:color="005B73"/>
              <w:left w:val="single" w:sz="8" w:space="0" w:color="005B73"/>
              <w:bottom w:val="single" w:sz="8" w:space="0" w:color="005B73"/>
              <w:right w:val="single" w:sz="8" w:space="0" w:color="005B73"/>
            </w:tcBorders>
          </w:tcPr>
          <w:p w14:paraId="2A36C4A4" w14:textId="77777777" w:rsidR="00F77BC4" w:rsidRPr="00483D28" w:rsidRDefault="00F77BC4">
            <w:pPr>
              <w:pStyle w:val="TableText0"/>
              <w:cnfStyle w:val="000000100000" w:firstRow="0" w:lastRow="0" w:firstColumn="0" w:lastColumn="0" w:oddVBand="0" w:evenVBand="0" w:oddHBand="1" w:evenHBand="0" w:firstRowFirstColumn="0" w:firstRowLastColumn="0" w:lastRowFirstColumn="0" w:lastRowLastColumn="0"/>
            </w:pPr>
            <w:r w:rsidRPr="00483D28">
              <w:t>Volumes prescribed in regulations</w:t>
            </w:r>
          </w:p>
        </w:tc>
        <w:tc>
          <w:tcPr>
            <w:tcW w:w="986" w:type="dxa"/>
            <w:tcBorders>
              <w:top w:val="single" w:sz="8" w:space="0" w:color="005B73"/>
              <w:left w:val="single" w:sz="8" w:space="0" w:color="005B73"/>
              <w:bottom w:val="single" w:sz="8" w:space="0" w:color="005B73"/>
              <w:right w:val="single" w:sz="8" w:space="0" w:color="005B73"/>
            </w:tcBorders>
          </w:tcPr>
          <w:p w14:paraId="5294FA34" w14:textId="4BDD3ADD"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10.2</w:t>
            </w:r>
          </w:p>
        </w:tc>
        <w:tc>
          <w:tcPr>
            <w:tcW w:w="987" w:type="dxa"/>
            <w:tcBorders>
              <w:top w:val="single" w:sz="8" w:space="0" w:color="005B73"/>
              <w:left w:val="single" w:sz="8" w:space="0" w:color="005B73"/>
              <w:bottom w:val="single" w:sz="8" w:space="0" w:color="005B73"/>
              <w:right w:val="single" w:sz="8" w:space="0" w:color="005B73"/>
            </w:tcBorders>
          </w:tcPr>
          <w:p w14:paraId="5A430459" w14:textId="01281046"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8.6</w:t>
            </w:r>
          </w:p>
        </w:tc>
        <w:tc>
          <w:tcPr>
            <w:tcW w:w="986" w:type="dxa"/>
            <w:tcBorders>
              <w:top w:val="single" w:sz="8" w:space="0" w:color="005B73"/>
              <w:left w:val="single" w:sz="8" w:space="0" w:color="005B73"/>
              <w:bottom w:val="single" w:sz="8" w:space="0" w:color="005B73"/>
              <w:right w:val="single" w:sz="8" w:space="0" w:color="005B73"/>
            </w:tcBorders>
          </w:tcPr>
          <w:p w14:paraId="2CA1EE23" w14:textId="7904F4B0"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7.1</w:t>
            </w:r>
          </w:p>
        </w:tc>
        <w:tc>
          <w:tcPr>
            <w:tcW w:w="987" w:type="dxa"/>
            <w:tcBorders>
              <w:top w:val="single" w:sz="8" w:space="0" w:color="005B73"/>
              <w:left w:val="single" w:sz="8" w:space="0" w:color="005B73"/>
              <w:bottom w:val="single" w:sz="8" w:space="0" w:color="005B73"/>
              <w:right w:val="single" w:sz="8" w:space="0" w:color="005B73"/>
            </w:tcBorders>
          </w:tcPr>
          <w:p w14:paraId="4AAE68CB" w14:textId="4E2C0B09"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B028AA">
              <w:rPr>
                <w:rFonts w:cs="Calibri"/>
                <w:szCs w:val="18"/>
              </w:rPr>
              <w:t>5.6</w:t>
            </w:r>
          </w:p>
        </w:tc>
        <w:tc>
          <w:tcPr>
            <w:tcW w:w="987" w:type="dxa"/>
            <w:gridSpan w:val="2"/>
            <w:tcBorders>
              <w:top w:val="single" w:sz="8" w:space="0" w:color="005B73"/>
              <w:left w:val="single" w:sz="8" w:space="0" w:color="005B73"/>
              <w:bottom w:val="single" w:sz="8" w:space="0" w:color="005B73"/>
              <w:right w:val="nil"/>
            </w:tcBorders>
          </w:tcPr>
          <w:p w14:paraId="1FF6FEE7" w14:textId="72DF3674"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pPr>
            <w:r w:rsidRPr="00A41478">
              <w:rPr>
                <w:rFonts w:cs="Calibri"/>
                <w:szCs w:val="18"/>
              </w:rPr>
              <w:t>4.6</w:t>
            </w:r>
            <w:r w:rsidR="00B028AA" w:rsidRPr="00A41478">
              <w:rPr>
                <w:rFonts w:cs="Calibri"/>
                <w:szCs w:val="18"/>
              </w:rPr>
              <w:t>*</w:t>
            </w:r>
          </w:p>
        </w:tc>
      </w:tr>
      <w:tr w:rsidR="00F77BC4" w:rsidRPr="00C7647F" w14:paraId="317A79BD" w14:textId="77777777" w:rsidTr="00F97683">
        <w:trPr>
          <w:trHeight w:val="565"/>
        </w:trPr>
        <w:tc>
          <w:tcPr>
            <w:cnfStyle w:val="001000000000" w:firstRow="0" w:lastRow="0" w:firstColumn="1" w:lastColumn="0" w:oddVBand="0" w:evenVBand="0" w:oddHBand="0" w:evenHBand="0" w:firstRowFirstColumn="0" w:firstRowLastColumn="0" w:lastRowFirstColumn="0" w:lastRowLastColumn="0"/>
            <w:tcW w:w="1921" w:type="dxa"/>
            <w:vMerge/>
            <w:tcBorders>
              <w:top w:val="single" w:sz="8" w:space="0" w:color="005B73"/>
              <w:left w:val="nil"/>
              <w:bottom w:val="single" w:sz="8" w:space="0" w:color="005B73"/>
              <w:right w:val="single" w:sz="8" w:space="0" w:color="005B73"/>
            </w:tcBorders>
          </w:tcPr>
          <w:p w14:paraId="76D6E313" w14:textId="77777777" w:rsidR="00F77BC4" w:rsidRDefault="00F77BC4">
            <w:pPr>
              <w:pStyle w:val="TableText0"/>
              <w:rPr>
                <w:rFonts w:cs="Calibri"/>
                <w:szCs w:val="18"/>
              </w:rPr>
            </w:pPr>
          </w:p>
        </w:tc>
        <w:tc>
          <w:tcPr>
            <w:tcW w:w="1644" w:type="dxa"/>
            <w:tcBorders>
              <w:top w:val="single" w:sz="8" w:space="0" w:color="005B73"/>
              <w:left w:val="single" w:sz="8" w:space="0" w:color="005B73"/>
              <w:bottom w:val="single" w:sz="8" w:space="0" w:color="005B73"/>
              <w:right w:val="single" w:sz="8" w:space="0" w:color="005B73"/>
            </w:tcBorders>
          </w:tcPr>
          <w:p w14:paraId="2CD247CA" w14:textId="77777777" w:rsidR="00F77BC4" w:rsidRPr="00483D2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483D28">
              <w:rPr>
                <w:rFonts w:cs="Calibri"/>
                <w:szCs w:val="18"/>
              </w:rPr>
              <w:t>Commission advice</w:t>
            </w:r>
          </w:p>
        </w:tc>
        <w:tc>
          <w:tcPr>
            <w:tcW w:w="986" w:type="dxa"/>
            <w:tcBorders>
              <w:top w:val="single" w:sz="8" w:space="0" w:color="005B73"/>
              <w:left w:val="single" w:sz="8" w:space="0" w:color="005B73"/>
              <w:bottom w:val="single" w:sz="8" w:space="0" w:color="005B73"/>
              <w:right w:val="single" w:sz="8" w:space="0" w:color="005B73"/>
            </w:tcBorders>
          </w:tcPr>
          <w:p w14:paraId="1A18DBD7"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10.2</w:t>
            </w:r>
          </w:p>
        </w:tc>
        <w:tc>
          <w:tcPr>
            <w:tcW w:w="987" w:type="dxa"/>
            <w:tcBorders>
              <w:top w:val="single" w:sz="8" w:space="0" w:color="005B73"/>
              <w:left w:val="single" w:sz="8" w:space="0" w:color="005B73"/>
              <w:bottom w:val="single" w:sz="8" w:space="0" w:color="005B73"/>
              <w:right w:val="single" w:sz="8" w:space="0" w:color="005B73"/>
            </w:tcBorders>
          </w:tcPr>
          <w:p w14:paraId="46B67736"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8.6</w:t>
            </w:r>
          </w:p>
        </w:tc>
        <w:tc>
          <w:tcPr>
            <w:tcW w:w="986" w:type="dxa"/>
            <w:tcBorders>
              <w:top w:val="single" w:sz="8" w:space="0" w:color="005B73"/>
              <w:left w:val="single" w:sz="8" w:space="0" w:color="005B73"/>
              <w:bottom w:val="single" w:sz="8" w:space="0" w:color="005B73"/>
              <w:right w:val="single" w:sz="8" w:space="0" w:color="005B73"/>
            </w:tcBorders>
          </w:tcPr>
          <w:p w14:paraId="61081D9E"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7.1</w:t>
            </w:r>
          </w:p>
        </w:tc>
        <w:tc>
          <w:tcPr>
            <w:tcW w:w="987" w:type="dxa"/>
            <w:tcBorders>
              <w:top w:val="single" w:sz="8" w:space="0" w:color="005B73"/>
              <w:left w:val="single" w:sz="8" w:space="0" w:color="005B73"/>
              <w:bottom w:val="single" w:sz="8" w:space="0" w:color="005B73"/>
              <w:right w:val="single" w:sz="8" w:space="0" w:color="005B73"/>
            </w:tcBorders>
          </w:tcPr>
          <w:p w14:paraId="0F652FC9" w14:textId="77777777" w:rsidR="00F77BC4" w:rsidRPr="00B028AA"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B028AA">
              <w:rPr>
                <w:rFonts w:cs="Calibri"/>
                <w:szCs w:val="18"/>
              </w:rPr>
              <w:t>5.6</w:t>
            </w:r>
          </w:p>
        </w:tc>
        <w:tc>
          <w:tcPr>
            <w:tcW w:w="987" w:type="dxa"/>
            <w:gridSpan w:val="2"/>
            <w:tcBorders>
              <w:top w:val="single" w:sz="8" w:space="0" w:color="005B73"/>
              <w:left w:val="single" w:sz="8" w:space="0" w:color="005B73"/>
              <w:bottom w:val="single" w:sz="8" w:space="0" w:color="005B73"/>
              <w:right w:val="nil"/>
            </w:tcBorders>
          </w:tcPr>
          <w:p w14:paraId="37E6EF63" w14:textId="3C500286"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6.5</w:t>
            </w:r>
            <w:r w:rsidR="00B028AA" w:rsidRPr="00A41478">
              <w:rPr>
                <w:rFonts w:cs="Calibri"/>
                <w:szCs w:val="18"/>
              </w:rPr>
              <w:t>*</w:t>
            </w:r>
          </w:p>
        </w:tc>
      </w:tr>
      <w:tr w:rsidR="00F77BC4" w:rsidRPr="00C7647F" w14:paraId="55D00B2D" w14:textId="77777777" w:rsidTr="00F9768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921" w:type="dxa"/>
            <w:vMerge w:val="restart"/>
            <w:tcBorders>
              <w:top w:val="single" w:sz="8" w:space="0" w:color="005B73"/>
              <w:left w:val="nil"/>
              <w:bottom w:val="single" w:sz="8" w:space="0" w:color="005B73"/>
              <w:right w:val="single" w:sz="8" w:space="0" w:color="005B73"/>
            </w:tcBorders>
            <w:vAlign w:val="center"/>
          </w:tcPr>
          <w:p w14:paraId="429D1A28" w14:textId="138A20A6" w:rsidR="00F77BC4" w:rsidRPr="00A6044F" w:rsidRDefault="00F77BC4">
            <w:pPr>
              <w:pStyle w:val="TableText0"/>
            </w:pPr>
            <w:r>
              <w:rPr>
                <w:rFonts w:cs="Calibri"/>
                <w:szCs w:val="18"/>
              </w:rPr>
              <w:t>Industrial allocation (not subject to ETS settings decision)</w:t>
            </w:r>
          </w:p>
        </w:tc>
        <w:tc>
          <w:tcPr>
            <w:tcW w:w="1644" w:type="dxa"/>
            <w:tcBorders>
              <w:top w:val="single" w:sz="8" w:space="0" w:color="005B73"/>
              <w:left w:val="single" w:sz="8" w:space="0" w:color="005B73"/>
              <w:bottom w:val="single" w:sz="8" w:space="0" w:color="005B73"/>
              <w:right w:val="single" w:sz="8" w:space="0" w:color="005B73"/>
            </w:tcBorders>
          </w:tcPr>
          <w:p w14:paraId="200149D9" w14:textId="77777777" w:rsidR="00F77BC4" w:rsidRPr="00483D28" w:rsidRDefault="00F77BC4">
            <w:pPr>
              <w:pStyle w:val="TableText0"/>
              <w:cnfStyle w:val="000000100000" w:firstRow="0" w:lastRow="0" w:firstColumn="0" w:lastColumn="0" w:oddVBand="0" w:evenVBand="0" w:oddHBand="1" w:evenHBand="0" w:firstRowFirstColumn="0" w:firstRowLastColumn="0" w:lastRowFirstColumn="0" w:lastRowLastColumn="0"/>
            </w:pPr>
            <w:r w:rsidRPr="00483D28">
              <w:t>Volumes prescribed in regulations</w:t>
            </w:r>
          </w:p>
        </w:tc>
        <w:tc>
          <w:tcPr>
            <w:tcW w:w="986" w:type="dxa"/>
            <w:tcBorders>
              <w:top w:val="single" w:sz="8" w:space="0" w:color="005B73"/>
              <w:left w:val="single" w:sz="8" w:space="0" w:color="005B73"/>
              <w:bottom w:val="single" w:sz="8" w:space="0" w:color="005B73"/>
              <w:right w:val="single" w:sz="8" w:space="0" w:color="005B73"/>
            </w:tcBorders>
          </w:tcPr>
          <w:p w14:paraId="3EB42F3B" w14:textId="0AB02A78"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A41478">
              <w:rPr>
                <w:rFonts w:cs="Calibri"/>
                <w:szCs w:val="18"/>
              </w:rPr>
              <w:t>4.0</w:t>
            </w:r>
          </w:p>
        </w:tc>
        <w:tc>
          <w:tcPr>
            <w:tcW w:w="987" w:type="dxa"/>
            <w:tcBorders>
              <w:top w:val="single" w:sz="8" w:space="0" w:color="005B73"/>
              <w:left w:val="single" w:sz="8" w:space="0" w:color="005B73"/>
              <w:bottom w:val="single" w:sz="8" w:space="0" w:color="005B73"/>
              <w:right w:val="single" w:sz="8" w:space="0" w:color="005B73"/>
            </w:tcBorders>
          </w:tcPr>
          <w:p w14:paraId="7B4E1B69" w14:textId="23E00D6F"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A41478">
              <w:rPr>
                <w:rFonts w:cs="Calibri"/>
                <w:szCs w:val="18"/>
              </w:rPr>
              <w:t>3.8</w:t>
            </w:r>
            <w:r w:rsidR="00B028AA" w:rsidRPr="00A41478">
              <w:rPr>
                <w:rFonts w:cs="Calibri"/>
                <w:szCs w:val="18"/>
              </w:rPr>
              <w:t>*</w:t>
            </w:r>
          </w:p>
        </w:tc>
        <w:tc>
          <w:tcPr>
            <w:tcW w:w="986" w:type="dxa"/>
            <w:tcBorders>
              <w:top w:val="single" w:sz="8" w:space="0" w:color="005B73"/>
              <w:left w:val="single" w:sz="8" w:space="0" w:color="005B73"/>
              <w:bottom w:val="single" w:sz="8" w:space="0" w:color="005B73"/>
              <w:right w:val="single" w:sz="8" w:space="0" w:color="005B73"/>
            </w:tcBorders>
          </w:tcPr>
          <w:p w14:paraId="58C2DAEC" w14:textId="69D38A46"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A41478">
              <w:rPr>
                <w:rFonts w:cs="Calibri"/>
                <w:szCs w:val="18"/>
              </w:rPr>
              <w:t>3.7</w:t>
            </w:r>
            <w:r w:rsidR="00B028AA" w:rsidRPr="00A41478">
              <w:rPr>
                <w:rFonts w:cs="Calibri"/>
                <w:szCs w:val="18"/>
              </w:rPr>
              <w:t>*</w:t>
            </w:r>
          </w:p>
        </w:tc>
        <w:tc>
          <w:tcPr>
            <w:tcW w:w="987" w:type="dxa"/>
            <w:tcBorders>
              <w:top w:val="single" w:sz="8" w:space="0" w:color="005B73"/>
              <w:left w:val="single" w:sz="8" w:space="0" w:color="005B73"/>
              <w:bottom w:val="single" w:sz="8" w:space="0" w:color="005B73"/>
              <w:right w:val="single" w:sz="8" w:space="0" w:color="005B73"/>
            </w:tcBorders>
          </w:tcPr>
          <w:p w14:paraId="562D3929" w14:textId="317280EC"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A41478">
              <w:rPr>
                <w:rFonts w:cs="Calibri"/>
                <w:szCs w:val="18"/>
              </w:rPr>
              <w:t>3.7</w:t>
            </w:r>
            <w:r w:rsidR="00B028AA" w:rsidRPr="00A41478">
              <w:rPr>
                <w:rFonts w:cs="Calibri"/>
                <w:szCs w:val="18"/>
              </w:rPr>
              <w:t>*</w:t>
            </w:r>
          </w:p>
        </w:tc>
        <w:tc>
          <w:tcPr>
            <w:tcW w:w="987" w:type="dxa"/>
            <w:gridSpan w:val="2"/>
            <w:tcBorders>
              <w:top w:val="single" w:sz="8" w:space="0" w:color="005B73"/>
              <w:left w:val="single" w:sz="8" w:space="0" w:color="005B73"/>
              <w:bottom w:val="single" w:sz="8" w:space="0" w:color="005B73"/>
              <w:right w:val="nil"/>
            </w:tcBorders>
          </w:tcPr>
          <w:p w14:paraId="1FF6B024" w14:textId="726076D9"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pPr>
            <w:r w:rsidRPr="00A41478">
              <w:rPr>
                <w:rFonts w:cs="Calibri"/>
                <w:szCs w:val="18"/>
              </w:rPr>
              <w:t>3.6</w:t>
            </w:r>
            <w:r w:rsidR="00B028AA" w:rsidRPr="00A41478">
              <w:rPr>
                <w:rFonts w:cs="Calibri"/>
                <w:szCs w:val="18"/>
              </w:rPr>
              <w:t>*</w:t>
            </w:r>
          </w:p>
        </w:tc>
      </w:tr>
      <w:tr w:rsidR="00F77BC4" w:rsidRPr="00C7647F" w14:paraId="5B6FCA8B" w14:textId="77777777" w:rsidTr="00F97683">
        <w:trPr>
          <w:trHeight w:val="358"/>
        </w:trPr>
        <w:tc>
          <w:tcPr>
            <w:cnfStyle w:val="001000000000" w:firstRow="0" w:lastRow="0" w:firstColumn="1" w:lastColumn="0" w:oddVBand="0" w:evenVBand="0" w:oddHBand="0" w:evenHBand="0" w:firstRowFirstColumn="0" w:firstRowLastColumn="0" w:lastRowFirstColumn="0" w:lastRowLastColumn="0"/>
            <w:tcW w:w="1921" w:type="dxa"/>
            <w:vMerge/>
            <w:tcBorders>
              <w:top w:val="single" w:sz="8" w:space="0" w:color="005B73"/>
              <w:left w:val="nil"/>
              <w:bottom w:val="single" w:sz="8" w:space="0" w:color="005B73"/>
              <w:right w:val="single" w:sz="8" w:space="0" w:color="005B73"/>
            </w:tcBorders>
            <w:vAlign w:val="center"/>
          </w:tcPr>
          <w:p w14:paraId="29499CBC" w14:textId="77777777" w:rsidR="00F77BC4" w:rsidRDefault="00F77BC4">
            <w:pPr>
              <w:pStyle w:val="TableText0"/>
              <w:rPr>
                <w:rFonts w:cs="Calibri"/>
                <w:szCs w:val="18"/>
              </w:rPr>
            </w:pPr>
          </w:p>
        </w:tc>
        <w:tc>
          <w:tcPr>
            <w:tcW w:w="1644" w:type="dxa"/>
            <w:tcBorders>
              <w:top w:val="single" w:sz="8" w:space="0" w:color="005B73"/>
              <w:left w:val="single" w:sz="8" w:space="0" w:color="005B73"/>
              <w:bottom w:val="single" w:sz="8" w:space="0" w:color="005B73"/>
              <w:right w:val="single" w:sz="8" w:space="0" w:color="005B73"/>
            </w:tcBorders>
          </w:tcPr>
          <w:p w14:paraId="080E948B" w14:textId="77777777" w:rsidR="00F77BC4" w:rsidRPr="00483D2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483D28">
              <w:rPr>
                <w:rFonts w:cs="Calibri"/>
                <w:szCs w:val="18"/>
              </w:rPr>
              <w:t>Commission advice</w:t>
            </w:r>
          </w:p>
        </w:tc>
        <w:tc>
          <w:tcPr>
            <w:tcW w:w="986" w:type="dxa"/>
            <w:tcBorders>
              <w:top w:val="single" w:sz="8" w:space="0" w:color="005B73"/>
              <w:left w:val="single" w:sz="8" w:space="0" w:color="005B73"/>
              <w:bottom w:val="single" w:sz="8" w:space="0" w:color="005B73"/>
              <w:right w:val="single" w:sz="8" w:space="0" w:color="005B73"/>
            </w:tcBorders>
          </w:tcPr>
          <w:p w14:paraId="32654D79" w14:textId="77777777"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4.0</w:t>
            </w:r>
          </w:p>
        </w:tc>
        <w:tc>
          <w:tcPr>
            <w:tcW w:w="987" w:type="dxa"/>
            <w:tcBorders>
              <w:top w:val="single" w:sz="8" w:space="0" w:color="005B73"/>
              <w:left w:val="single" w:sz="8" w:space="0" w:color="005B73"/>
              <w:bottom w:val="single" w:sz="8" w:space="0" w:color="005B73"/>
              <w:right w:val="single" w:sz="8" w:space="0" w:color="005B73"/>
            </w:tcBorders>
          </w:tcPr>
          <w:p w14:paraId="7359DE8A" w14:textId="371034B0"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3.7</w:t>
            </w:r>
            <w:r w:rsidR="00B028AA" w:rsidRPr="00A41478">
              <w:rPr>
                <w:rFonts w:cs="Calibri"/>
                <w:szCs w:val="18"/>
              </w:rPr>
              <w:t>*</w:t>
            </w:r>
          </w:p>
        </w:tc>
        <w:tc>
          <w:tcPr>
            <w:tcW w:w="986" w:type="dxa"/>
            <w:tcBorders>
              <w:top w:val="single" w:sz="8" w:space="0" w:color="005B73"/>
              <w:left w:val="single" w:sz="8" w:space="0" w:color="005B73"/>
              <w:bottom w:val="single" w:sz="8" w:space="0" w:color="005B73"/>
              <w:right w:val="single" w:sz="8" w:space="0" w:color="005B73"/>
            </w:tcBorders>
          </w:tcPr>
          <w:p w14:paraId="59BB4E31" w14:textId="5FDB1055"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3.6</w:t>
            </w:r>
            <w:r w:rsidR="00B028AA" w:rsidRPr="00A41478">
              <w:rPr>
                <w:rFonts w:cs="Calibri"/>
                <w:szCs w:val="18"/>
              </w:rPr>
              <w:t>*</w:t>
            </w:r>
          </w:p>
        </w:tc>
        <w:tc>
          <w:tcPr>
            <w:tcW w:w="987" w:type="dxa"/>
            <w:tcBorders>
              <w:top w:val="single" w:sz="8" w:space="0" w:color="005B73"/>
              <w:left w:val="single" w:sz="8" w:space="0" w:color="005B73"/>
              <w:bottom w:val="single" w:sz="8" w:space="0" w:color="005B73"/>
              <w:right w:val="single" w:sz="8" w:space="0" w:color="005B73"/>
            </w:tcBorders>
          </w:tcPr>
          <w:p w14:paraId="01B38399" w14:textId="2D301F73"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3.6</w:t>
            </w:r>
            <w:r w:rsidR="00B028AA" w:rsidRPr="00A41478">
              <w:rPr>
                <w:rFonts w:cs="Calibri"/>
                <w:szCs w:val="18"/>
              </w:rPr>
              <w:t>*</w:t>
            </w:r>
          </w:p>
        </w:tc>
        <w:tc>
          <w:tcPr>
            <w:tcW w:w="987" w:type="dxa"/>
            <w:gridSpan w:val="2"/>
            <w:tcBorders>
              <w:top w:val="single" w:sz="8" w:space="0" w:color="005B73"/>
              <w:left w:val="single" w:sz="8" w:space="0" w:color="005B73"/>
              <w:bottom w:val="single" w:sz="8" w:space="0" w:color="005B73"/>
              <w:right w:val="nil"/>
            </w:tcBorders>
          </w:tcPr>
          <w:p w14:paraId="5ECC373B" w14:textId="4A8C4379"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3.5</w:t>
            </w:r>
            <w:r w:rsidR="00B028AA" w:rsidRPr="00A41478">
              <w:rPr>
                <w:rFonts w:cs="Calibri"/>
                <w:szCs w:val="18"/>
              </w:rPr>
              <w:t>*</w:t>
            </w:r>
          </w:p>
        </w:tc>
      </w:tr>
      <w:tr w:rsidR="00F77BC4" w:rsidRPr="00C7647F" w14:paraId="7D5E3229" w14:textId="77777777" w:rsidTr="00F97683">
        <w:trPr>
          <w:gridAfter w:val="1"/>
          <w:cnfStyle w:val="000000100000" w:firstRow="0" w:lastRow="0" w:firstColumn="0" w:lastColumn="0" w:oddVBand="0" w:evenVBand="0" w:oddHBand="1" w:evenHBand="0" w:firstRowFirstColumn="0" w:firstRowLastColumn="0" w:lastRowFirstColumn="0" w:lastRowLastColumn="0"/>
          <w:wAfter w:w="16" w:type="dxa"/>
          <w:trHeight w:val="331"/>
        </w:trPr>
        <w:tc>
          <w:tcPr>
            <w:cnfStyle w:val="001000000000" w:firstRow="0" w:lastRow="0" w:firstColumn="1" w:lastColumn="0" w:oddVBand="0" w:evenVBand="0" w:oddHBand="0" w:evenHBand="0" w:firstRowFirstColumn="0" w:firstRowLastColumn="0" w:lastRowFirstColumn="0" w:lastRowLastColumn="0"/>
            <w:tcW w:w="1921" w:type="dxa"/>
            <w:vMerge w:val="restart"/>
            <w:tcBorders>
              <w:top w:val="single" w:sz="8" w:space="0" w:color="005B73"/>
              <w:left w:val="nil"/>
              <w:bottom w:val="single" w:sz="8" w:space="0" w:color="005B73"/>
              <w:right w:val="single" w:sz="8" w:space="0" w:color="005B73"/>
            </w:tcBorders>
            <w:vAlign w:val="center"/>
          </w:tcPr>
          <w:p w14:paraId="6ABA2DDB" w14:textId="77777777" w:rsidR="00F77BC4" w:rsidRPr="00A6044F" w:rsidRDefault="00F77BC4">
            <w:pPr>
              <w:pStyle w:val="TableText0"/>
            </w:pPr>
            <w:r>
              <w:rPr>
                <w:rFonts w:cs="Calibri"/>
                <w:szCs w:val="18"/>
              </w:rPr>
              <w:t>Limit on a</w:t>
            </w:r>
            <w:r w:rsidRPr="001558C5">
              <w:rPr>
                <w:rFonts w:cs="Calibri"/>
                <w:szCs w:val="18"/>
              </w:rPr>
              <w:t>pproved overseas units </w:t>
            </w:r>
          </w:p>
        </w:tc>
        <w:tc>
          <w:tcPr>
            <w:tcW w:w="1644" w:type="dxa"/>
            <w:tcBorders>
              <w:top w:val="single" w:sz="8" w:space="0" w:color="005B73"/>
              <w:left w:val="single" w:sz="8" w:space="0" w:color="005B73"/>
              <w:bottom w:val="single" w:sz="8" w:space="0" w:color="005B73"/>
              <w:right w:val="single" w:sz="8" w:space="0" w:color="005B73"/>
            </w:tcBorders>
          </w:tcPr>
          <w:p w14:paraId="037E11F7" w14:textId="77777777" w:rsidR="00F77BC4" w:rsidRPr="00483D28" w:rsidRDefault="00F77BC4">
            <w:pPr>
              <w:pStyle w:val="TableText0"/>
              <w:cnfStyle w:val="000000100000" w:firstRow="0" w:lastRow="0" w:firstColumn="0" w:lastColumn="0" w:oddVBand="0" w:evenVBand="0" w:oddHBand="1" w:evenHBand="0" w:firstRowFirstColumn="0" w:firstRowLastColumn="0" w:lastRowFirstColumn="0" w:lastRowLastColumn="0"/>
            </w:pPr>
            <w:r w:rsidRPr="00483D28">
              <w:t>Volumes prescribed in regulations</w:t>
            </w:r>
          </w:p>
        </w:tc>
        <w:tc>
          <w:tcPr>
            <w:tcW w:w="983" w:type="dxa"/>
            <w:tcBorders>
              <w:top w:val="single" w:sz="8" w:space="0" w:color="005B73"/>
              <w:left w:val="single" w:sz="8" w:space="0" w:color="005B73"/>
              <w:bottom w:val="single" w:sz="8" w:space="0" w:color="005B73"/>
              <w:right w:val="single" w:sz="8" w:space="0" w:color="005B73"/>
            </w:tcBorders>
          </w:tcPr>
          <w:p w14:paraId="1683D752" w14:textId="77777777"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pPr>
            <w:r w:rsidRPr="00A41478">
              <w:rPr>
                <w:rFonts w:cs="Calibri"/>
                <w:szCs w:val="18"/>
              </w:rPr>
              <w:t>0</w:t>
            </w:r>
          </w:p>
        </w:tc>
        <w:tc>
          <w:tcPr>
            <w:tcW w:w="983" w:type="dxa"/>
            <w:tcBorders>
              <w:top w:val="single" w:sz="8" w:space="0" w:color="005B73"/>
              <w:left w:val="single" w:sz="8" w:space="0" w:color="005B73"/>
              <w:bottom w:val="single" w:sz="8" w:space="0" w:color="005B73"/>
              <w:right w:val="single" w:sz="8" w:space="0" w:color="005B73"/>
            </w:tcBorders>
          </w:tcPr>
          <w:p w14:paraId="5AE82D2B" w14:textId="77777777"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pPr>
            <w:r w:rsidRPr="00A41478">
              <w:rPr>
                <w:rFonts w:cs="Calibri"/>
                <w:szCs w:val="18"/>
              </w:rPr>
              <w:t>0</w:t>
            </w:r>
          </w:p>
        </w:tc>
        <w:tc>
          <w:tcPr>
            <w:tcW w:w="984" w:type="dxa"/>
            <w:tcBorders>
              <w:top w:val="single" w:sz="8" w:space="0" w:color="005B73"/>
              <w:left w:val="single" w:sz="8" w:space="0" w:color="005B73"/>
              <w:bottom w:val="single" w:sz="8" w:space="0" w:color="005B73"/>
              <w:right w:val="single" w:sz="8" w:space="0" w:color="005B73"/>
            </w:tcBorders>
          </w:tcPr>
          <w:p w14:paraId="1819B64C" w14:textId="77777777"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pPr>
            <w:r w:rsidRPr="00A41478">
              <w:rPr>
                <w:rFonts w:cs="Calibri"/>
                <w:szCs w:val="18"/>
              </w:rPr>
              <w:t>0</w:t>
            </w:r>
          </w:p>
        </w:tc>
        <w:tc>
          <w:tcPr>
            <w:tcW w:w="983" w:type="dxa"/>
            <w:tcBorders>
              <w:top w:val="single" w:sz="8" w:space="0" w:color="005B73"/>
              <w:left w:val="single" w:sz="8" w:space="0" w:color="005B73"/>
              <w:bottom w:val="single" w:sz="8" w:space="0" w:color="005B73"/>
              <w:right w:val="single" w:sz="8" w:space="0" w:color="005B73"/>
            </w:tcBorders>
          </w:tcPr>
          <w:p w14:paraId="2D7335C3" w14:textId="77777777"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A41478">
              <w:rPr>
                <w:rFonts w:cs="Calibri"/>
                <w:szCs w:val="18"/>
              </w:rPr>
              <w:t>0</w:t>
            </w:r>
          </w:p>
        </w:tc>
        <w:tc>
          <w:tcPr>
            <w:tcW w:w="984" w:type="dxa"/>
            <w:tcBorders>
              <w:top w:val="single" w:sz="8" w:space="0" w:color="005B73"/>
              <w:left w:val="single" w:sz="8" w:space="0" w:color="005B73"/>
              <w:bottom w:val="single" w:sz="8" w:space="0" w:color="005B73"/>
              <w:right w:val="nil"/>
            </w:tcBorders>
          </w:tcPr>
          <w:p w14:paraId="37E23D80" w14:textId="77777777" w:rsidR="00F77BC4" w:rsidRPr="00B028AA" w:rsidRDefault="00F77BC4">
            <w:pPr>
              <w:pStyle w:val="TableText0"/>
              <w:cnfStyle w:val="000000100000" w:firstRow="0" w:lastRow="0" w:firstColumn="0" w:lastColumn="0" w:oddVBand="0" w:evenVBand="0" w:oddHBand="1" w:evenHBand="0" w:firstRowFirstColumn="0" w:firstRowLastColumn="0" w:lastRowFirstColumn="0" w:lastRowLastColumn="0"/>
            </w:pPr>
            <w:r w:rsidRPr="00A41478">
              <w:rPr>
                <w:rFonts w:cs="Calibri"/>
                <w:szCs w:val="18"/>
              </w:rPr>
              <w:t>0</w:t>
            </w:r>
          </w:p>
        </w:tc>
      </w:tr>
      <w:tr w:rsidR="00F77BC4" w:rsidRPr="00C7647F" w14:paraId="773AD411" w14:textId="77777777" w:rsidTr="00F97683">
        <w:trPr>
          <w:gridAfter w:val="1"/>
          <w:wAfter w:w="16" w:type="dxa"/>
          <w:trHeight w:val="160"/>
        </w:trPr>
        <w:tc>
          <w:tcPr>
            <w:cnfStyle w:val="001000000000" w:firstRow="0" w:lastRow="0" w:firstColumn="1" w:lastColumn="0" w:oddVBand="0" w:evenVBand="0" w:oddHBand="0" w:evenHBand="0" w:firstRowFirstColumn="0" w:firstRowLastColumn="0" w:lastRowFirstColumn="0" w:lastRowLastColumn="0"/>
            <w:tcW w:w="1921" w:type="dxa"/>
            <w:vMerge/>
            <w:tcBorders>
              <w:top w:val="single" w:sz="8" w:space="0" w:color="005B73"/>
              <w:left w:val="nil"/>
              <w:bottom w:val="single" w:sz="8" w:space="0" w:color="005B73"/>
              <w:right w:val="single" w:sz="8" w:space="0" w:color="005B73"/>
            </w:tcBorders>
            <w:vAlign w:val="center"/>
          </w:tcPr>
          <w:p w14:paraId="21B746DB" w14:textId="77777777" w:rsidR="00F77BC4" w:rsidRPr="001558C5" w:rsidRDefault="00F77BC4">
            <w:pPr>
              <w:pStyle w:val="TableText0"/>
              <w:rPr>
                <w:rFonts w:cs="Calibri"/>
                <w:szCs w:val="18"/>
              </w:rPr>
            </w:pPr>
          </w:p>
        </w:tc>
        <w:tc>
          <w:tcPr>
            <w:tcW w:w="1644" w:type="dxa"/>
            <w:tcBorders>
              <w:top w:val="single" w:sz="8" w:space="0" w:color="005B73"/>
              <w:left w:val="single" w:sz="8" w:space="0" w:color="005B73"/>
              <w:bottom w:val="single" w:sz="8" w:space="0" w:color="005B73"/>
              <w:right w:val="single" w:sz="8" w:space="0" w:color="005B73"/>
            </w:tcBorders>
          </w:tcPr>
          <w:p w14:paraId="0F26120F" w14:textId="77777777" w:rsidR="00F77BC4" w:rsidRPr="00483D2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483D28">
              <w:rPr>
                <w:rFonts w:cs="Calibri"/>
                <w:szCs w:val="18"/>
              </w:rPr>
              <w:t>Commission advice</w:t>
            </w:r>
          </w:p>
        </w:tc>
        <w:tc>
          <w:tcPr>
            <w:tcW w:w="983" w:type="dxa"/>
            <w:tcBorders>
              <w:top w:val="single" w:sz="8" w:space="0" w:color="005B73"/>
              <w:left w:val="single" w:sz="8" w:space="0" w:color="005B73"/>
              <w:bottom w:val="single" w:sz="8" w:space="0" w:color="005B73"/>
              <w:right w:val="single" w:sz="8" w:space="0" w:color="005B73"/>
            </w:tcBorders>
          </w:tcPr>
          <w:p w14:paraId="428F7C67" w14:textId="77777777"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0</w:t>
            </w:r>
          </w:p>
        </w:tc>
        <w:tc>
          <w:tcPr>
            <w:tcW w:w="983" w:type="dxa"/>
            <w:tcBorders>
              <w:top w:val="single" w:sz="8" w:space="0" w:color="005B73"/>
              <w:left w:val="single" w:sz="8" w:space="0" w:color="005B73"/>
              <w:bottom w:val="single" w:sz="8" w:space="0" w:color="005B73"/>
              <w:right w:val="single" w:sz="8" w:space="0" w:color="005B73"/>
            </w:tcBorders>
          </w:tcPr>
          <w:p w14:paraId="15A442AD" w14:textId="77777777"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0</w:t>
            </w:r>
          </w:p>
        </w:tc>
        <w:tc>
          <w:tcPr>
            <w:tcW w:w="984" w:type="dxa"/>
            <w:tcBorders>
              <w:top w:val="single" w:sz="8" w:space="0" w:color="005B73"/>
              <w:left w:val="single" w:sz="8" w:space="0" w:color="005B73"/>
              <w:bottom w:val="single" w:sz="8" w:space="0" w:color="005B73"/>
              <w:right w:val="single" w:sz="8" w:space="0" w:color="005B73"/>
            </w:tcBorders>
          </w:tcPr>
          <w:p w14:paraId="599EB6B8" w14:textId="77777777"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0</w:t>
            </w:r>
          </w:p>
        </w:tc>
        <w:tc>
          <w:tcPr>
            <w:tcW w:w="983" w:type="dxa"/>
            <w:tcBorders>
              <w:top w:val="single" w:sz="8" w:space="0" w:color="005B73"/>
              <w:left w:val="single" w:sz="8" w:space="0" w:color="005B73"/>
              <w:bottom w:val="single" w:sz="8" w:space="0" w:color="005B73"/>
              <w:right w:val="single" w:sz="8" w:space="0" w:color="005B73"/>
            </w:tcBorders>
          </w:tcPr>
          <w:p w14:paraId="38D4A2CF" w14:textId="77777777"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0</w:t>
            </w:r>
          </w:p>
        </w:tc>
        <w:tc>
          <w:tcPr>
            <w:tcW w:w="984" w:type="dxa"/>
            <w:tcBorders>
              <w:top w:val="single" w:sz="8" w:space="0" w:color="005B73"/>
              <w:left w:val="single" w:sz="8" w:space="0" w:color="005B73"/>
              <w:bottom w:val="single" w:sz="8" w:space="0" w:color="005B73"/>
              <w:right w:val="nil"/>
            </w:tcBorders>
          </w:tcPr>
          <w:p w14:paraId="5076C39A" w14:textId="77777777"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0</w:t>
            </w:r>
          </w:p>
        </w:tc>
      </w:tr>
      <w:tr w:rsidR="00F77BC4" w:rsidRPr="00C7647F" w14:paraId="78F65747" w14:textId="77777777" w:rsidTr="00F97683">
        <w:trPr>
          <w:gridAfter w:val="1"/>
          <w:cnfStyle w:val="000000100000" w:firstRow="0" w:lastRow="0" w:firstColumn="0" w:lastColumn="0" w:oddVBand="0" w:evenVBand="0" w:oddHBand="1" w:evenHBand="0" w:firstRowFirstColumn="0" w:firstRowLastColumn="0" w:lastRowFirstColumn="0" w:lastRowLastColumn="0"/>
          <w:wAfter w:w="16" w:type="dxa"/>
          <w:trHeight w:val="520"/>
        </w:trPr>
        <w:tc>
          <w:tcPr>
            <w:cnfStyle w:val="001000000000" w:firstRow="0" w:lastRow="0" w:firstColumn="1" w:lastColumn="0" w:oddVBand="0" w:evenVBand="0" w:oddHBand="0" w:evenHBand="0" w:firstRowFirstColumn="0" w:firstRowLastColumn="0" w:lastRowFirstColumn="0" w:lastRowLastColumn="0"/>
            <w:tcW w:w="1921" w:type="dxa"/>
            <w:vMerge w:val="restart"/>
            <w:tcBorders>
              <w:top w:val="single" w:sz="8" w:space="0" w:color="005B73"/>
              <w:left w:val="nil"/>
              <w:bottom w:val="single" w:sz="8" w:space="0" w:color="005B73"/>
              <w:right w:val="single" w:sz="8" w:space="0" w:color="005B73"/>
            </w:tcBorders>
            <w:vAlign w:val="center"/>
          </w:tcPr>
          <w:p w14:paraId="26E68A50" w14:textId="65D45F25" w:rsidR="00F77BC4" w:rsidRPr="00A6044F" w:rsidRDefault="00F77BC4">
            <w:pPr>
              <w:pStyle w:val="TableText0"/>
            </w:pPr>
            <w:r>
              <w:t>Overall limit on units*</w:t>
            </w:r>
            <w:r w:rsidR="00472884">
              <w:t>*</w:t>
            </w:r>
          </w:p>
        </w:tc>
        <w:tc>
          <w:tcPr>
            <w:tcW w:w="1644" w:type="dxa"/>
            <w:tcBorders>
              <w:top w:val="single" w:sz="8" w:space="0" w:color="005B73"/>
              <w:left w:val="single" w:sz="8" w:space="0" w:color="005B73"/>
              <w:bottom w:val="single" w:sz="8" w:space="0" w:color="005B73"/>
              <w:right w:val="single" w:sz="8" w:space="0" w:color="005B73"/>
            </w:tcBorders>
          </w:tcPr>
          <w:p w14:paraId="7554D588" w14:textId="77777777" w:rsidR="00F77BC4" w:rsidRPr="00483D28" w:rsidRDefault="00F77BC4">
            <w:pPr>
              <w:pStyle w:val="TableText0"/>
              <w:cnfStyle w:val="000000100000" w:firstRow="0" w:lastRow="0" w:firstColumn="0" w:lastColumn="0" w:oddVBand="0" w:evenVBand="0" w:oddHBand="1" w:evenHBand="0" w:firstRowFirstColumn="0" w:firstRowLastColumn="0" w:lastRowFirstColumn="0" w:lastRowLastColumn="0"/>
            </w:pPr>
            <w:r w:rsidRPr="00483D28">
              <w:t>Volumes prescribed in regulations</w:t>
            </w:r>
          </w:p>
        </w:tc>
        <w:tc>
          <w:tcPr>
            <w:tcW w:w="983" w:type="dxa"/>
            <w:tcBorders>
              <w:top w:val="single" w:sz="8" w:space="0" w:color="005B73"/>
              <w:left w:val="single" w:sz="8" w:space="0" w:color="005B73"/>
              <w:bottom w:val="single" w:sz="8" w:space="0" w:color="005B73"/>
              <w:right w:val="single" w:sz="8" w:space="0" w:color="005B73"/>
            </w:tcBorders>
          </w:tcPr>
          <w:p w14:paraId="16D44901" w14:textId="5A0FB6C1"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A41478">
              <w:rPr>
                <w:rFonts w:cs="Calibri"/>
                <w:szCs w:val="18"/>
              </w:rPr>
              <w:t>14.2</w:t>
            </w:r>
            <w:r w:rsidR="00B028AA" w:rsidRPr="00A41478">
              <w:rPr>
                <w:rFonts w:cs="Calibri"/>
                <w:szCs w:val="18"/>
              </w:rPr>
              <w:t>*</w:t>
            </w:r>
          </w:p>
        </w:tc>
        <w:tc>
          <w:tcPr>
            <w:tcW w:w="983" w:type="dxa"/>
            <w:tcBorders>
              <w:top w:val="single" w:sz="8" w:space="0" w:color="005B73"/>
              <w:left w:val="single" w:sz="8" w:space="0" w:color="005B73"/>
              <w:bottom w:val="single" w:sz="8" w:space="0" w:color="005B73"/>
              <w:right w:val="single" w:sz="8" w:space="0" w:color="005B73"/>
            </w:tcBorders>
          </w:tcPr>
          <w:p w14:paraId="773831E6" w14:textId="4E0C676C"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A41478">
              <w:rPr>
                <w:rFonts w:cs="Calibri"/>
                <w:szCs w:val="18"/>
              </w:rPr>
              <w:t>12.4</w:t>
            </w:r>
            <w:r w:rsidR="00B028AA" w:rsidRPr="00A41478">
              <w:rPr>
                <w:rFonts w:cs="Calibri"/>
                <w:szCs w:val="18"/>
              </w:rPr>
              <w:t>*</w:t>
            </w:r>
          </w:p>
        </w:tc>
        <w:tc>
          <w:tcPr>
            <w:tcW w:w="984" w:type="dxa"/>
            <w:tcBorders>
              <w:top w:val="single" w:sz="8" w:space="0" w:color="005B73"/>
              <w:left w:val="single" w:sz="8" w:space="0" w:color="005B73"/>
              <w:bottom w:val="single" w:sz="8" w:space="0" w:color="005B73"/>
              <w:right w:val="single" w:sz="8" w:space="0" w:color="005B73"/>
            </w:tcBorders>
          </w:tcPr>
          <w:p w14:paraId="2E5D6CA4" w14:textId="0AD8DF25"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A41478">
              <w:rPr>
                <w:rFonts w:cs="Calibri"/>
                <w:szCs w:val="18"/>
              </w:rPr>
              <w:t>10.8</w:t>
            </w:r>
            <w:r w:rsidR="00B028AA" w:rsidRPr="00A41478">
              <w:rPr>
                <w:rFonts w:cs="Calibri"/>
                <w:szCs w:val="18"/>
              </w:rPr>
              <w:t>*</w:t>
            </w:r>
          </w:p>
        </w:tc>
        <w:tc>
          <w:tcPr>
            <w:tcW w:w="983" w:type="dxa"/>
            <w:tcBorders>
              <w:top w:val="single" w:sz="8" w:space="0" w:color="005B73"/>
              <w:left w:val="single" w:sz="8" w:space="0" w:color="005B73"/>
              <w:bottom w:val="single" w:sz="8" w:space="0" w:color="005B73"/>
              <w:right w:val="single" w:sz="8" w:space="0" w:color="005B73"/>
            </w:tcBorders>
          </w:tcPr>
          <w:p w14:paraId="76AF056F" w14:textId="4D2E0E77"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rPr>
                <w:rFonts w:cs="Calibri"/>
                <w:szCs w:val="18"/>
              </w:rPr>
            </w:pPr>
            <w:r w:rsidRPr="00A41478">
              <w:rPr>
                <w:rFonts w:cs="Calibri"/>
                <w:szCs w:val="18"/>
              </w:rPr>
              <w:t>9.3</w:t>
            </w:r>
            <w:r w:rsidR="00B028AA" w:rsidRPr="00A41478">
              <w:rPr>
                <w:rFonts w:cs="Calibri"/>
                <w:szCs w:val="18"/>
              </w:rPr>
              <w:t>*</w:t>
            </w:r>
          </w:p>
        </w:tc>
        <w:tc>
          <w:tcPr>
            <w:tcW w:w="984" w:type="dxa"/>
            <w:tcBorders>
              <w:top w:val="single" w:sz="8" w:space="0" w:color="005B73"/>
              <w:left w:val="single" w:sz="8" w:space="0" w:color="005B73"/>
              <w:bottom w:val="single" w:sz="8" w:space="0" w:color="005B73"/>
              <w:right w:val="nil"/>
            </w:tcBorders>
          </w:tcPr>
          <w:p w14:paraId="33705EEC" w14:textId="2C788406" w:rsidR="00F77BC4" w:rsidRPr="00A41478" w:rsidRDefault="00F77BC4">
            <w:pPr>
              <w:pStyle w:val="TableText0"/>
              <w:cnfStyle w:val="000000100000" w:firstRow="0" w:lastRow="0" w:firstColumn="0" w:lastColumn="0" w:oddVBand="0" w:evenVBand="0" w:oddHBand="1" w:evenHBand="0" w:firstRowFirstColumn="0" w:firstRowLastColumn="0" w:lastRowFirstColumn="0" w:lastRowLastColumn="0"/>
            </w:pPr>
            <w:r w:rsidRPr="00A41478">
              <w:rPr>
                <w:rFonts w:cs="Calibri"/>
                <w:szCs w:val="18"/>
              </w:rPr>
              <w:t>8.2</w:t>
            </w:r>
            <w:r w:rsidR="00B028AA" w:rsidRPr="00A41478">
              <w:rPr>
                <w:rFonts w:cs="Calibri"/>
                <w:szCs w:val="18"/>
              </w:rPr>
              <w:t>*</w:t>
            </w:r>
          </w:p>
        </w:tc>
      </w:tr>
      <w:tr w:rsidR="00F77BC4" w:rsidRPr="00C7647F" w14:paraId="2CBB9F09" w14:textId="77777777" w:rsidTr="00F97683">
        <w:trPr>
          <w:gridAfter w:val="1"/>
          <w:wAfter w:w="16" w:type="dxa"/>
          <w:trHeight w:val="214"/>
        </w:trPr>
        <w:tc>
          <w:tcPr>
            <w:cnfStyle w:val="001000000000" w:firstRow="0" w:lastRow="0" w:firstColumn="1" w:lastColumn="0" w:oddVBand="0" w:evenVBand="0" w:oddHBand="0" w:evenHBand="0" w:firstRowFirstColumn="0" w:firstRowLastColumn="0" w:lastRowFirstColumn="0" w:lastRowLastColumn="0"/>
            <w:tcW w:w="1921" w:type="dxa"/>
            <w:vMerge/>
            <w:tcBorders>
              <w:top w:val="single" w:sz="8" w:space="0" w:color="005B73"/>
              <w:left w:val="nil"/>
              <w:bottom w:val="single" w:sz="8" w:space="0" w:color="005B73"/>
              <w:right w:val="single" w:sz="8" w:space="0" w:color="005B73"/>
            </w:tcBorders>
          </w:tcPr>
          <w:p w14:paraId="1D7F2CF1" w14:textId="77777777" w:rsidR="00F77BC4" w:rsidRDefault="00F77BC4">
            <w:pPr>
              <w:pStyle w:val="TableText0"/>
            </w:pPr>
          </w:p>
        </w:tc>
        <w:tc>
          <w:tcPr>
            <w:tcW w:w="1644" w:type="dxa"/>
            <w:tcBorders>
              <w:top w:val="single" w:sz="8" w:space="0" w:color="005B73"/>
              <w:left w:val="single" w:sz="8" w:space="0" w:color="005B73"/>
              <w:bottom w:val="single" w:sz="8" w:space="0" w:color="005B73"/>
              <w:right w:val="single" w:sz="8" w:space="0" w:color="005B73"/>
            </w:tcBorders>
          </w:tcPr>
          <w:p w14:paraId="32EBCDA1" w14:textId="77777777" w:rsidR="00F77BC4" w:rsidRPr="00483D2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483D28">
              <w:rPr>
                <w:rFonts w:cs="Calibri"/>
                <w:szCs w:val="18"/>
              </w:rPr>
              <w:t>Commission advice</w:t>
            </w:r>
          </w:p>
        </w:tc>
        <w:tc>
          <w:tcPr>
            <w:tcW w:w="983" w:type="dxa"/>
            <w:tcBorders>
              <w:top w:val="single" w:sz="8" w:space="0" w:color="005B73"/>
              <w:left w:val="single" w:sz="8" w:space="0" w:color="005B73"/>
              <w:bottom w:val="single" w:sz="8" w:space="0" w:color="005B73"/>
              <w:right w:val="single" w:sz="8" w:space="0" w:color="005B73"/>
            </w:tcBorders>
          </w:tcPr>
          <w:p w14:paraId="1B3C562F" w14:textId="3640C415"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14.6</w:t>
            </w:r>
            <w:r w:rsidR="00B028AA" w:rsidRPr="00A41478">
              <w:rPr>
                <w:rFonts w:cs="Calibri"/>
                <w:szCs w:val="18"/>
              </w:rPr>
              <w:t>*</w:t>
            </w:r>
          </w:p>
        </w:tc>
        <w:tc>
          <w:tcPr>
            <w:tcW w:w="983" w:type="dxa"/>
            <w:tcBorders>
              <w:top w:val="single" w:sz="8" w:space="0" w:color="005B73"/>
              <w:left w:val="single" w:sz="8" w:space="0" w:color="005B73"/>
              <w:bottom w:val="single" w:sz="8" w:space="0" w:color="005B73"/>
              <w:right w:val="single" w:sz="8" w:space="0" w:color="005B73"/>
            </w:tcBorders>
          </w:tcPr>
          <w:p w14:paraId="74C3017E" w14:textId="7A850B9D"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12.7</w:t>
            </w:r>
            <w:r w:rsidR="00B028AA" w:rsidRPr="00A41478">
              <w:rPr>
                <w:rFonts w:cs="Calibri"/>
                <w:szCs w:val="18"/>
              </w:rPr>
              <w:t>*</w:t>
            </w:r>
          </w:p>
        </w:tc>
        <w:tc>
          <w:tcPr>
            <w:tcW w:w="984" w:type="dxa"/>
            <w:tcBorders>
              <w:top w:val="single" w:sz="8" w:space="0" w:color="005B73"/>
              <w:left w:val="single" w:sz="8" w:space="0" w:color="005B73"/>
              <w:bottom w:val="single" w:sz="8" w:space="0" w:color="005B73"/>
              <w:right w:val="single" w:sz="8" w:space="0" w:color="005B73"/>
            </w:tcBorders>
          </w:tcPr>
          <w:p w14:paraId="781D365B" w14:textId="26E6A56E"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10.7</w:t>
            </w:r>
            <w:r w:rsidR="00B028AA" w:rsidRPr="00A41478">
              <w:rPr>
                <w:rFonts w:cs="Calibri"/>
                <w:szCs w:val="18"/>
              </w:rPr>
              <w:t>*</w:t>
            </w:r>
          </w:p>
        </w:tc>
        <w:tc>
          <w:tcPr>
            <w:tcW w:w="983" w:type="dxa"/>
            <w:tcBorders>
              <w:top w:val="single" w:sz="8" w:space="0" w:color="005B73"/>
              <w:left w:val="single" w:sz="8" w:space="0" w:color="005B73"/>
              <w:bottom w:val="single" w:sz="8" w:space="0" w:color="005B73"/>
              <w:right w:val="single" w:sz="8" w:space="0" w:color="005B73"/>
            </w:tcBorders>
          </w:tcPr>
          <w:p w14:paraId="13BB3D5E" w14:textId="3296E11F"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9.2</w:t>
            </w:r>
            <w:r w:rsidR="00B028AA" w:rsidRPr="00A41478">
              <w:rPr>
                <w:rFonts w:cs="Calibri"/>
                <w:szCs w:val="18"/>
              </w:rPr>
              <w:t>*</w:t>
            </w:r>
          </w:p>
        </w:tc>
        <w:tc>
          <w:tcPr>
            <w:tcW w:w="984" w:type="dxa"/>
            <w:tcBorders>
              <w:top w:val="single" w:sz="8" w:space="0" w:color="005B73"/>
              <w:left w:val="single" w:sz="8" w:space="0" w:color="005B73"/>
              <w:bottom w:val="single" w:sz="8" w:space="0" w:color="005B73"/>
              <w:right w:val="nil"/>
            </w:tcBorders>
          </w:tcPr>
          <w:p w14:paraId="112DFFD1" w14:textId="5DAC3A47" w:rsidR="00F77BC4" w:rsidRPr="00A41478" w:rsidRDefault="00F77BC4">
            <w:pPr>
              <w:pStyle w:val="TableText0"/>
              <w:cnfStyle w:val="000000000000" w:firstRow="0" w:lastRow="0" w:firstColumn="0" w:lastColumn="0" w:oddVBand="0" w:evenVBand="0" w:oddHBand="0" w:evenHBand="0" w:firstRowFirstColumn="0" w:firstRowLastColumn="0" w:lastRowFirstColumn="0" w:lastRowLastColumn="0"/>
              <w:rPr>
                <w:rFonts w:cs="Calibri"/>
                <w:szCs w:val="18"/>
              </w:rPr>
            </w:pPr>
            <w:r w:rsidRPr="00A41478">
              <w:rPr>
                <w:rFonts w:cs="Calibri"/>
                <w:szCs w:val="18"/>
              </w:rPr>
              <w:t>10.0</w:t>
            </w:r>
            <w:r w:rsidR="00B028AA" w:rsidRPr="00A41478">
              <w:rPr>
                <w:rFonts w:cs="Calibri"/>
                <w:szCs w:val="18"/>
              </w:rPr>
              <w:t>*</w:t>
            </w:r>
          </w:p>
        </w:tc>
      </w:tr>
    </w:tbl>
    <w:p w14:paraId="4AD52778" w14:textId="636CABD7" w:rsidR="00B028AA" w:rsidRDefault="00F77BC4" w:rsidP="00F77BC4">
      <w:pPr>
        <w:pStyle w:val="Note"/>
      </w:pPr>
      <w:r w:rsidRPr="36ED667A">
        <w:t xml:space="preserve">* </w:t>
      </w:r>
      <w:r w:rsidR="00B028AA">
        <w:t>Difference between Commission advice and volumes prescribed in regulations</w:t>
      </w:r>
      <w:r w:rsidR="00617551">
        <w:t>.</w:t>
      </w:r>
    </w:p>
    <w:p w14:paraId="34D0F942" w14:textId="392687FA" w:rsidR="00F77BC4" w:rsidRDefault="00B028AA" w:rsidP="00617551">
      <w:pPr>
        <w:pStyle w:val="Note"/>
        <w:spacing w:before="0"/>
        <w:rPr>
          <w:lang w:val="en-US"/>
        </w:rPr>
      </w:pPr>
      <w:r>
        <w:t>**</w:t>
      </w:r>
      <w:r w:rsidR="00F77BC4" w:rsidRPr="36ED667A">
        <w:t xml:space="preserve">Note the Commission did not update the overall limits for 2027 and 2028 due to the CCRA’s restrictions on amending those years of the settings. The Government chose to update the overall limits for 2027 and 2028 to align with best estimates of industrial allocation volumes, with the amendment justified </w:t>
      </w:r>
      <w:r w:rsidR="00F77BC4" w:rsidRPr="36ED667A">
        <w:rPr>
          <w:lang w:val="en-US"/>
        </w:rPr>
        <w:t>because of a change to the anticipated volumes of greenhouse gases to which the ETS applies – specifically greenhouse gases volumes for firms eligible for industrial allocation.</w:t>
      </w:r>
      <w:r w:rsidR="00F77BC4" w:rsidRPr="36ED667A">
        <w:rPr>
          <w:vertAlign w:val="superscript"/>
          <w:lang w:val="en-US"/>
        </w:rPr>
        <w:footnoteReference w:id="7"/>
      </w:r>
    </w:p>
    <w:p w14:paraId="40380204" w14:textId="3FB223B4" w:rsidR="00F77BC4" w:rsidRDefault="00F77BC4">
      <w:pPr>
        <w:spacing w:before="0" w:after="200" w:line="276" w:lineRule="auto"/>
        <w:jc w:val="left"/>
        <w:rPr>
          <w:lang w:val="en-US"/>
        </w:rPr>
      </w:pPr>
      <w:r>
        <w:rPr>
          <w:lang w:val="en-US"/>
        </w:rPr>
        <w:br w:type="page"/>
      </w:r>
    </w:p>
    <w:p w14:paraId="02EA89C2" w14:textId="77777777" w:rsidR="00F77BC4" w:rsidRPr="00EE6E85" w:rsidRDefault="00F77BC4" w:rsidP="00F77BC4">
      <w:pPr>
        <w:pStyle w:val="Heading1"/>
        <w:spacing w:before="360" w:after="240"/>
        <w:rPr>
          <w:rStyle w:val="Heading1Char"/>
          <w:b/>
          <w:color w:val="1B556B"/>
        </w:rPr>
      </w:pPr>
      <w:bookmarkStart w:id="11" w:name="_Toc240638550"/>
      <w:r w:rsidRPr="00F77BC4">
        <w:rPr>
          <w:rStyle w:val="Heading1Char"/>
          <w:b/>
        </w:rPr>
        <w:lastRenderedPageBreak/>
        <w:t>Differences</w:t>
      </w:r>
      <w:r w:rsidRPr="00EE6E85">
        <w:rPr>
          <w:rStyle w:val="Heading1Char"/>
          <w:b/>
          <w:color w:val="1B556B"/>
        </w:rPr>
        <w:t xml:space="preserve"> in price control settings</w:t>
      </w:r>
      <w:bookmarkEnd w:id="11"/>
    </w:p>
    <w:p w14:paraId="7AB39C1C" w14:textId="5BA0F211" w:rsidR="00F77BC4" w:rsidRPr="00555A56" w:rsidRDefault="00F77BC4" w:rsidP="00F77BC4">
      <w:pPr>
        <w:pStyle w:val="Numberedparagraph"/>
        <w:numPr>
          <w:ilvl w:val="0"/>
          <w:numId w:val="39"/>
        </w:numPr>
      </w:pPr>
      <w:r w:rsidRPr="36ED667A">
        <w:t xml:space="preserve">Both the Commission and the Government adjusted price controls </w:t>
      </w:r>
      <w:r w:rsidR="0008227E">
        <w:t xml:space="preserve">for the final three years of the settings period (2029 to 2031) </w:t>
      </w:r>
      <w:r w:rsidRPr="36ED667A">
        <w:t>to account for inflation. The Commission had used earlier forecasts of inflation rates</w:t>
      </w:r>
      <w:r w:rsidRPr="36ED667A">
        <w:rPr>
          <w:vertAlign w:val="superscript"/>
        </w:rPr>
        <w:footnoteReference w:id="8"/>
      </w:r>
      <w:r w:rsidRPr="36ED667A">
        <w:t>, which were then updated by the Government to reflect the most recent inflation rates from the Budget Economic and Fiscal Update 2026.</w:t>
      </w:r>
      <w:r w:rsidRPr="36ED667A">
        <w:rPr>
          <w:vertAlign w:val="superscript"/>
        </w:rPr>
        <w:footnoteReference w:id="9"/>
      </w:r>
      <w:r w:rsidRPr="36ED667A">
        <w:t xml:space="preserve"> This results in updated price controls that vary in some years by $1</w:t>
      </w:r>
      <w:r w:rsidR="0033795F">
        <w:t xml:space="preserve"> to </w:t>
      </w:r>
      <w:r w:rsidRPr="36ED667A">
        <w:t>$4 compared to the Commission’s advice. As with last year, price control settings were also rounded to the nearest whole number.</w:t>
      </w:r>
    </w:p>
    <w:p w14:paraId="5778C6B3" w14:textId="77777777" w:rsidR="00F77BC4" w:rsidRPr="00555A56" w:rsidRDefault="00F77BC4" w:rsidP="00F77BC4">
      <w:pPr>
        <w:pStyle w:val="Numberedparagraph"/>
        <w:numPr>
          <w:ilvl w:val="0"/>
          <w:numId w:val="39"/>
        </w:numPr>
      </w:pPr>
      <w:r w:rsidRPr="00555A56">
        <w:t>The impact of differences in inflation adjustments is somewhat larger than normal as the Budget 2026 forecasts incorporated some of the impacts of fuel price shock caused by the Middle East conflict that began at the end of February.</w:t>
      </w:r>
    </w:p>
    <w:p w14:paraId="7191E6A4" w14:textId="77777777" w:rsidR="00F77BC4" w:rsidRPr="007C536F" w:rsidRDefault="00F77BC4" w:rsidP="007C536F">
      <w:pPr>
        <w:pStyle w:val="Tableheading"/>
        <w:rPr>
          <w:rStyle w:val="normaltextrun"/>
        </w:rPr>
      </w:pPr>
      <w:bookmarkStart w:id="12" w:name="_Toc240622676"/>
      <w:r w:rsidRPr="007C536F">
        <w:rPr>
          <w:rStyle w:val="normaltextrun"/>
        </w:rPr>
        <w:t xml:space="preserve">Table 2: </w:t>
      </w:r>
      <w:r w:rsidRPr="007C536F">
        <w:rPr>
          <w:rStyle w:val="normaltextrun"/>
        </w:rPr>
        <w:tab/>
        <w:t>Differences in price control settings between the Commission’s 2026 advice and those prescribed in regulations</w:t>
      </w:r>
      <w:bookmarkEnd w:id="12"/>
    </w:p>
    <w:tbl>
      <w:tblPr>
        <w:tblStyle w:val="LightList-Accent11"/>
        <w:tblW w:w="8637" w:type="dxa"/>
        <w:tblLook w:val="04A0" w:firstRow="1" w:lastRow="0" w:firstColumn="1" w:lastColumn="0" w:noHBand="0" w:noVBand="1"/>
      </w:tblPr>
      <w:tblGrid>
        <w:gridCol w:w="1276"/>
        <w:gridCol w:w="709"/>
        <w:gridCol w:w="1330"/>
        <w:gridCol w:w="1330"/>
        <w:gridCol w:w="1331"/>
        <w:gridCol w:w="1330"/>
        <w:gridCol w:w="1331"/>
      </w:tblGrid>
      <w:tr w:rsidR="00F77BC4" w:rsidRPr="00555A56" w14:paraId="22F241FE" w14:textId="77777777" w:rsidTr="00F97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nil"/>
              <w:left w:val="nil"/>
              <w:bottom w:val="nil"/>
              <w:right w:val="nil"/>
            </w:tcBorders>
            <w:shd w:val="clear" w:color="auto" w:fill="005B73"/>
          </w:tcPr>
          <w:p w14:paraId="054A0AEE" w14:textId="77777777" w:rsidR="00F77BC4" w:rsidRPr="00555A56" w:rsidRDefault="00F77BC4">
            <w:pPr>
              <w:pStyle w:val="NoSpacing"/>
              <w:rPr>
                <w:rFonts w:asciiTheme="minorHAnsi" w:hAnsiTheme="minorHAnsi" w:cstheme="minorHAnsi"/>
                <w:sz w:val="20"/>
              </w:rPr>
            </w:pPr>
          </w:p>
        </w:tc>
        <w:tc>
          <w:tcPr>
            <w:tcW w:w="709" w:type="dxa"/>
            <w:tcBorders>
              <w:top w:val="nil"/>
              <w:left w:val="nil"/>
              <w:bottom w:val="nil"/>
              <w:right w:val="nil"/>
            </w:tcBorders>
            <w:shd w:val="clear" w:color="auto" w:fill="005B73"/>
          </w:tcPr>
          <w:p w14:paraId="04920EED" w14:textId="77777777" w:rsidR="00F77BC4" w:rsidRPr="00555A56" w:rsidRDefault="00F77BC4">
            <w:pPr>
              <w:pStyle w:val="NoSpacing"/>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rPr>
            </w:pPr>
          </w:p>
        </w:tc>
        <w:tc>
          <w:tcPr>
            <w:tcW w:w="1330" w:type="dxa"/>
            <w:tcBorders>
              <w:top w:val="nil"/>
              <w:left w:val="nil"/>
              <w:bottom w:val="nil"/>
              <w:right w:val="nil"/>
            </w:tcBorders>
            <w:shd w:val="clear" w:color="auto" w:fill="005B73"/>
            <w:vAlign w:val="center"/>
          </w:tcPr>
          <w:p w14:paraId="725351FE" w14:textId="1400CE2D" w:rsidR="00F77BC4" w:rsidRPr="00555A56" w:rsidRDefault="00F77BC4">
            <w:pPr>
              <w:pStyle w:val="TableTextbold0"/>
              <w:cnfStyle w:val="100000000000" w:firstRow="1" w:lastRow="0" w:firstColumn="0" w:lastColumn="0" w:oddVBand="0" w:evenVBand="0" w:oddHBand="0" w:evenHBand="0" w:firstRowFirstColumn="0" w:firstRowLastColumn="0" w:lastRowFirstColumn="0" w:lastRowLastColumn="0"/>
            </w:pPr>
            <w:r w:rsidRPr="00555A56">
              <w:rPr>
                <w:b/>
              </w:rPr>
              <w:t xml:space="preserve">2027 </w:t>
            </w:r>
            <w:r w:rsidR="007C536F">
              <w:rPr>
                <w:b/>
              </w:rPr>
              <w:br/>
            </w:r>
            <w:r w:rsidRPr="00555A56">
              <w:rPr>
                <w:b/>
              </w:rPr>
              <w:t>(no difference)</w:t>
            </w:r>
          </w:p>
        </w:tc>
        <w:tc>
          <w:tcPr>
            <w:tcW w:w="1330" w:type="dxa"/>
            <w:tcBorders>
              <w:top w:val="nil"/>
              <w:left w:val="nil"/>
              <w:bottom w:val="nil"/>
              <w:right w:val="nil"/>
            </w:tcBorders>
            <w:shd w:val="clear" w:color="auto" w:fill="005B73"/>
            <w:vAlign w:val="center"/>
          </w:tcPr>
          <w:p w14:paraId="017D6A73" w14:textId="7DF25528" w:rsidR="00F77BC4" w:rsidRPr="00555A56" w:rsidRDefault="00F77BC4">
            <w:pPr>
              <w:pStyle w:val="TableTextbold0"/>
              <w:cnfStyle w:val="100000000000" w:firstRow="1" w:lastRow="0" w:firstColumn="0" w:lastColumn="0" w:oddVBand="0" w:evenVBand="0" w:oddHBand="0" w:evenHBand="0" w:firstRowFirstColumn="0" w:firstRowLastColumn="0" w:lastRowFirstColumn="0" w:lastRowLastColumn="0"/>
            </w:pPr>
            <w:r w:rsidRPr="00555A56">
              <w:rPr>
                <w:b/>
              </w:rPr>
              <w:t xml:space="preserve">2028 </w:t>
            </w:r>
            <w:r w:rsidR="007C536F">
              <w:rPr>
                <w:b/>
              </w:rPr>
              <w:br/>
            </w:r>
            <w:r w:rsidRPr="00555A56">
              <w:rPr>
                <w:b/>
              </w:rPr>
              <w:t>(no difference)</w:t>
            </w:r>
          </w:p>
        </w:tc>
        <w:tc>
          <w:tcPr>
            <w:tcW w:w="1331" w:type="dxa"/>
            <w:tcBorders>
              <w:top w:val="nil"/>
              <w:left w:val="nil"/>
              <w:bottom w:val="nil"/>
              <w:right w:val="nil"/>
            </w:tcBorders>
            <w:shd w:val="clear" w:color="auto" w:fill="005B73"/>
          </w:tcPr>
          <w:p w14:paraId="436963EA" w14:textId="77777777" w:rsidR="00F77BC4" w:rsidRPr="00555A56" w:rsidRDefault="00F77BC4">
            <w:pPr>
              <w:pStyle w:val="TableTextbold0"/>
              <w:cnfStyle w:val="100000000000" w:firstRow="1" w:lastRow="0" w:firstColumn="0" w:lastColumn="0" w:oddVBand="0" w:evenVBand="0" w:oddHBand="0" w:evenHBand="0" w:firstRowFirstColumn="0" w:firstRowLastColumn="0" w:lastRowFirstColumn="0" w:lastRowLastColumn="0"/>
            </w:pPr>
            <w:r w:rsidRPr="00555A56">
              <w:rPr>
                <w:b/>
              </w:rPr>
              <w:t>2029</w:t>
            </w:r>
          </w:p>
        </w:tc>
        <w:tc>
          <w:tcPr>
            <w:tcW w:w="1330" w:type="dxa"/>
            <w:tcBorders>
              <w:top w:val="nil"/>
              <w:left w:val="nil"/>
              <w:bottom w:val="nil"/>
              <w:right w:val="nil"/>
            </w:tcBorders>
            <w:shd w:val="clear" w:color="auto" w:fill="005B73"/>
          </w:tcPr>
          <w:p w14:paraId="3D2AF34F" w14:textId="77777777" w:rsidR="00F77BC4" w:rsidRPr="00555A56" w:rsidRDefault="00F77BC4">
            <w:pPr>
              <w:pStyle w:val="TableTextbold0"/>
              <w:cnfStyle w:val="100000000000" w:firstRow="1" w:lastRow="0" w:firstColumn="0" w:lastColumn="0" w:oddVBand="0" w:evenVBand="0" w:oddHBand="0" w:evenHBand="0" w:firstRowFirstColumn="0" w:firstRowLastColumn="0" w:lastRowFirstColumn="0" w:lastRowLastColumn="0"/>
            </w:pPr>
            <w:r w:rsidRPr="00555A56">
              <w:rPr>
                <w:b/>
              </w:rPr>
              <w:t>2030</w:t>
            </w:r>
          </w:p>
        </w:tc>
        <w:tc>
          <w:tcPr>
            <w:tcW w:w="1331" w:type="dxa"/>
            <w:tcBorders>
              <w:top w:val="nil"/>
              <w:left w:val="nil"/>
              <w:bottom w:val="nil"/>
              <w:right w:val="nil"/>
            </w:tcBorders>
            <w:shd w:val="clear" w:color="auto" w:fill="005B73"/>
          </w:tcPr>
          <w:p w14:paraId="33C4E0D6" w14:textId="77777777" w:rsidR="00F77BC4" w:rsidRPr="00555A56" w:rsidRDefault="00F77BC4">
            <w:pPr>
              <w:pStyle w:val="TableTextbold0"/>
              <w:cnfStyle w:val="100000000000" w:firstRow="1" w:lastRow="0" w:firstColumn="0" w:lastColumn="0" w:oddVBand="0" w:evenVBand="0" w:oddHBand="0" w:evenHBand="0" w:firstRowFirstColumn="0" w:firstRowLastColumn="0" w:lastRowFirstColumn="0" w:lastRowLastColumn="0"/>
            </w:pPr>
            <w:r w:rsidRPr="00555A56">
              <w:rPr>
                <w:b/>
              </w:rPr>
              <w:t>2031</w:t>
            </w:r>
          </w:p>
        </w:tc>
      </w:tr>
      <w:tr w:rsidR="00F77BC4" w:rsidRPr="00555A56" w14:paraId="7FD85D13" w14:textId="77777777" w:rsidTr="007C5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nil"/>
              <w:left w:val="nil"/>
              <w:bottom w:val="nil"/>
              <w:right w:val="nil"/>
            </w:tcBorders>
            <w:vAlign w:val="center"/>
          </w:tcPr>
          <w:p w14:paraId="42DA755B" w14:textId="1411A2DE" w:rsidR="00F77BC4" w:rsidRPr="00555A56" w:rsidRDefault="00F77BC4">
            <w:pPr>
              <w:pStyle w:val="TableText0"/>
              <w:rPr>
                <w:rFonts w:asciiTheme="minorHAnsi" w:hAnsiTheme="minorHAnsi" w:cstheme="minorHAnsi"/>
                <w:sz w:val="20"/>
              </w:rPr>
            </w:pPr>
            <w:r w:rsidRPr="00555A56">
              <w:t>Cost</w:t>
            </w:r>
            <w:r w:rsidRPr="00555A56">
              <w:rPr>
                <w:rFonts w:asciiTheme="minorHAnsi" w:hAnsiTheme="minorHAnsi" w:cstheme="minorHAnsi"/>
                <w:sz w:val="20"/>
              </w:rPr>
              <w:t xml:space="preserve"> </w:t>
            </w:r>
            <w:r w:rsidRPr="00555A56">
              <w:t>containment</w:t>
            </w:r>
            <w:r w:rsidRPr="00555A56">
              <w:rPr>
                <w:rFonts w:asciiTheme="minorHAnsi" w:hAnsiTheme="minorHAnsi" w:cstheme="minorHAnsi"/>
                <w:sz w:val="20"/>
              </w:rPr>
              <w:t xml:space="preserve"> </w:t>
            </w:r>
            <w:r w:rsidRPr="00555A56">
              <w:t>reserve trigger price</w:t>
            </w:r>
          </w:p>
        </w:tc>
        <w:tc>
          <w:tcPr>
            <w:tcW w:w="709" w:type="dxa"/>
            <w:tcBorders>
              <w:top w:val="nil"/>
              <w:left w:val="nil"/>
              <w:right w:val="single" w:sz="8" w:space="0" w:color="005B73"/>
            </w:tcBorders>
          </w:tcPr>
          <w:p w14:paraId="51D4F3DB"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rPr>
                <w:b/>
              </w:rPr>
            </w:pPr>
            <w:r w:rsidRPr="00555A56">
              <w:rPr>
                <w:b/>
              </w:rPr>
              <w:t>Tier 1</w:t>
            </w:r>
          </w:p>
        </w:tc>
        <w:tc>
          <w:tcPr>
            <w:tcW w:w="1330" w:type="dxa"/>
            <w:tcBorders>
              <w:top w:val="nil"/>
              <w:left w:val="single" w:sz="8" w:space="0" w:color="005B73"/>
              <w:right w:val="single" w:sz="8" w:space="0" w:color="005B73"/>
            </w:tcBorders>
            <w:vAlign w:val="center"/>
          </w:tcPr>
          <w:p w14:paraId="719C038E"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t>$213</w:t>
            </w:r>
          </w:p>
          <w:p w14:paraId="0941471D"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rPr>
                <w:i/>
              </w:rPr>
            </w:pPr>
            <w:r w:rsidRPr="00555A56">
              <w:rPr>
                <w:i/>
              </w:rPr>
              <w:t>CCC $213</w:t>
            </w:r>
          </w:p>
        </w:tc>
        <w:tc>
          <w:tcPr>
            <w:tcW w:w="1330" w:type="dxa"/>
            <w:tcBorders>
              <w:top w:val="nil"/>
              <w:left w:val="single" w:sz="8" w:space="0" w:color="005B73"/>
              <w:right w:val="single" w:sz="8" w:space="0" w:color="005B73"/>
            </w:tcBorders>
            <w:vAlign w:val="center"/>
          </w:tcPr>
          <w:p w14:paraId="2851E600"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t>$224</w:t>
            </w:r>
          </w:p>
          <w:p w14:paraId="68F145E5"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rPr>
                <w:i/>
              </w:rPr>
              <w:t xml:space="preserve">CCC $224 </w:t>
            </w:r>
          </w:p>
        </w:tc>
        <w:tc>
          <w:tcPr>
            <w:tcW w:w="1331" w:type="dxa"/>
            <w:tcBorders>
              <w:top w:val="nil"/>
              <w:left w:val="single" w:sz="8" w:space="0" w:color="005B73"/>
              <w:right w:val="single" w:sz="8" w:space="0" w:color="005B73"/>
            </w:tcBorders>
            <w:vAlign w:val="center"/>
          </w:tcPr>
          <w:p w14:paraId="0B134F5E"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t>$241</w:t>
            </w:r>
          </w:p>
          <w:p w14:paraId="7ED86F35"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rPr>
                <w:i/>
              </w:rPr>
            </w:pPr>
            <w:r w:rsidRPr="00555A56">
              <w:rPr>
                <w:i/>
              </w:rPr>
              <w:t xml:space="preserve">CCC $239 </w:t>
            </w:r>
          </w:p>
        </w:tc>
        <w:tc>
          <w:tcPr>
            <w:tcW w:w="1330" w:type="dxa"/>
            <w:tcBorders>
              <w:top w:val="nil"/>
              <w:left w:val="single" w:sz="8" w:space="0" w:color="005B73"/>
              <w:right w:val="single" w:sz="8" w:space="0" w:color="005B73"/>
            </w:tcBorders>
            <w:vAlign w:val="center"/>
          </w:tcPr>
          <w:p w14:paraId="502F4EF2"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t>$253</w:t>
            </w:r>
          </w:p>
          <w:p w14:paraId="41F47C25"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rPr>
                <w:i/>
              </w:rPr>
            </w:pPr>
            <w:r w:rsidRPr="00555A56">
              <w:rPr>
                <w:i/>
              </w:rPr>
              <w:t xml:space="preserve">CCC $251 </w:t>
            </w:r>
          </w:p>
        </w:tc>
        <w:tc>
          <w:tcPr>
            <w:tcW w:w="1331" w:type="dxa"/>
            <w:tcBorders>
              <w:top w:val="nil"/>
              <w:left w:val="single" w:sz="8" w:space="0" w:color="005B73"/>
              <w:right w:val="nil"/>
            </w:tcBorders>
            <w:vAlign w:val="center"/>
          </w:tcPr>
          <w:p w14:paraId="5B4B764D"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t>$266</w:t>
            </w:r>
          </w:p>
          <w:p w14:paraId="79064029"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rPr>
                <w:i/>
              </w:rPr>
            </w:pPr>
            <w:r w:rsidRPr="00555A56">
              <w:rPr>
                <w:i/>
              </w:rPr>
              <w:t xml:space="preserve">CCC $264 </w:t>
            </w:r>
          </w:p>
        </w:tc>
      </w:tr>
      <w:tr w:rsidR="00F77BC4" w:rsidRPr="00555A56" w14:paraId="6C90E28C" w14:textId="77777777" w:rsidTr="007C536F">
        <w:tc>
          <w:tcPr>
            <w:cnfStyle w:val="001000000000" w:firstRow="0" w:lastRow="0" w:firstColumn="1" w:lastColumn="0" w:oddVBand="0" w:evenVBand="0" w:oddHBand="0" w:evenHBand="0" w:firstRowFirstColumn="0" w:firstRowLastColumn="0" w:lastRowFirstColumn="0" w:lastRowLastColumn="0"/>
            <w:tcW w:w="1276" w:type="dxa"/>
            <w:vMerge/>
            <w:tcBorders>
              <w:top w:val="single" w:sz="8" w:space="0" w:color="1C556C"/>
              <w:left w:val="nil"/>
              <w:bottom w:val="single" w:sz="8" w:space="0" w:color="1C556C"/>
              <w:right w:val="nil"/>
            </w:tcBorders>
          </w:tcPr>
          <w:p w14:paraId="2A77AF98" w14:textId="77777777" w:rsidR="00F77BC4" w:rsidRPr="00555A56" w:rsidRDefault="00F77BC4">
            <w:pPr>
              <w:pStyle w:val="NoSpacing"/>
              <w:rPr>
                <w:rFonts w:asciiTheme="minorHAnsi" w:hAnsiTheme="minorHAnsi" w:cstheme="minorHAnsi"/>
                <w:sz w:val="20"/>
              </w:rPr>
            </w:pPr>
          </w:p>
        </w:tc>
        <w:tc>
          <w:tcPr>
            <w:tcW w:w="709" w:type="dxa"/>
            <w:tcBorders>
              <w:top w:val="single" w:sz="8" w:space="0" w:color="0D2C6C" w:themeColor="accent1"/>
              <w:left w:val="nil"/>
              <w:bottom w:val="single" w:sz="8" w:space="0" w:color="1C556C"/>
              <w:right w:val="single" w:sz="8" w:space="0" w:color="005B73"/>
            </w:tcBorders>
          </w:tcPr>
          <w:p w14:paraId="4C982047"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rPr>
                <w:b/>
              </w:rPr>
            </w:pPr>
            <w:r w:rsidRPr="00555A56">
              <w:rPr>
                <w:b/>
              </w:rPr>
              <w:t>Tier 2</w:t>
            </w:r>
          </w:p>
        </w:tc>
        <w:tc>
          <w:tcPr>
            <w:tcW w:w="1330" w:type="dxa"/>
            <w:tcBorders>
              <w:top w:val="single" w:sz="8" w:space="0" w:color="1C556C"/>
              <w:left w:val="single" w:sz="8" w:space="0" w:color="005B73"/>
              <w:bottom w:val="single" w:sz="8" w:space="0" w:color="1C556C"/>
              <w:right w:val="single" w:sz="8" w:space="0" w:color="005B73"/>
            </w:tcBorders>
            <w:vAlign w:val="center"/>
          </w:tcPr>
          <w:p w14:paraId="031B1744"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pPr>
            <w:r w:rsidRPr="00555A56">
              <w:t>$267</w:t>
            </w:r>
          </w:p>
          <w:p w14:paraId="41584C84"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rPr>
                <w:i/>
              </w:rPr>
            </w:pPr>
            <w:r w:rsidRPr="00555A56">
              <w:rPr>
                <w:i/>
              </w:rPr>
              <w:t xml:space="preserve">CCC $267 </w:t>
            </w:r>
          </w:p>
        </w:tc>
        <w:tc>
          <w:tcPr>
            <w:tcW w:w="1330" w:type="dxa"/>
            <w:tcBorders>
              <w:top w:val="single" w:sz="8" w:space="0" w:color="1C556C"/>
              <w:left w:val="single" w:sz="8" w:space="0" w:color="005B73"/>
              <w:bottom w:val="single" w:sz="8" w:space="0" w:color="1C556C"/>
              <w:right w:val="single" w:sz="8" w:space="0" w:color="005B73"/>
            </w:tcBorders>
            <w:vAlign w:val="center"/>
          </w:tcPr>
          <w:p w14:paraId="737C425D"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pPr>
            <w:r w:rsidRPr="00555A56">
              <w:t>$280</w:t>
            </w:r>
          </w:p>
          <w:p w14:paraId="010AD589"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rPr>
                <w:i/>
              </w:rPr>
            </w:pPr>
            <w:r w:rsidRPr="00555A56">
              <w:rPr>
                <w:i/>
              </w:rPr>
              <w:t xml:space="preserve">CCC $280 </w:t>
            </w:r>
          </w:p>
        </w:tc>
        <w:tc>
          <w:tcPr>
            <w:tcW w:w="1331" w:type="dxa"/>
            <w:tcBorders>
              <w:top w:val="single" w:sz="8" w:space="0" w:color="1C556C"/>
              <w:left w:val="single" w:sz="8" w:space="0" w:color="005B73"/>
              <w:bottom w:val="single" w:sz="8" w:space="0" w:color="1C556C"/>
              <w:right w:val="single" w:sz="8" w:space="0" w:color="005B73"/>
            </w:tcBorders>
            <w:vAlign w:val="center"/>
          </w:tcPr>
          <w:p w14:paraId="17AEA40A"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pPr>
            <w:r w:rsidRPr="00555A56">
              <w:t>$301</w:t>
            </w:r>
          </w:p>
          <w:p w14:paraId="21D7E11D"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rPr>
                <w:i/>
              </w:rPr>
            </w:pPr>
            <w:r w:rsidRPr="00555A56">
              <w:rPr>
                <w:i/>
              </w:rPr>
              <w:t>CCC $298</w:t>
            </w:r>
          </w:p>
        </w:tc>
        <w:tc>
          <w:tcPr>
            <w:tcW w:w="1330" w:type="dxa"/>
            <w:tcBorders>
              <w:top w:val="single" w:sz="8" w:space="0" w:color="1C556C"/>
              <w:left w:val="single" w:sz="8" w:space="0" w:color="005B73"/>
              <w:bottom w:val="single" w:sz="8" w:space="0" w:color="1C556C"/>
              <w:right w:val="single" w:sz="8" w:space="0" w:color="005B73"/>
            </w:tcBorders>
            <w:vAlign w:val="center"/>
          </w:tcPr>
          <w:p w14:paraId="71E3CD77"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pPr>
            <w:r w:rsidRPr="00555A56">
              <w:t>$316</w:t>
            </w:r>
          </w:p>
          <w:p w14:paraId="4B4E5211"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rPr>
                <w:i/>
              </w:rPr>
            </w:pPr>
            <w:r w:rsidRPr="00555A56">
              <w:rPr>
                <w:i/>
              </w:rPr>
              <w:t>CCC $313</w:t>
            </w:r>
          </w:p>
        </w:tc>
        <w:tc>
          <w:tcPr>
            <w:tcW w:w="1331" w:type="dxa"/>
            <w:tcBorders>
              <w:top w:val="single" w:sz="8" w:space="0" w:color="1C556C"/>
              <w:left w:val="single" w:sz="8" w:space="0" w:color="005B73"/>
              <w:bottom w:val="single" w:sz="8" w:space="0" w:color="1C556C"/>
              <w:right w:val="nil"/>
            </w:tcBorders>
            <w:vAlign w:val="center"/>
          </w:tcPr>
          <w:p w14:paraId="16AF33C4"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pPr>
            <w:r w:rsidRPr="00555A56">
              <w:t>$332</w:t>
            </w:r>
          </w:p>
          <w:p w14:paraId="5A6194A8" w14:textId="77777777" w:rsidR="00F77BC4" w:rsidRPr="00555A56" w:rsidRDefault="00F77BC4">
            <w:pPr>
              <w:pStyle w:val="TableText0"/>
              <w:cnfStyle w:val="000000000000" w:firstRow="0" w:lastRow="0" w:firstColumn="0" w:lastColumn="0" w:oddVBand="0" w:evenVBand="0" w:oddHBand="0" w:evenHBand="0" w:firstRowFirstColumn="0" w:firstRowLastColumn="0" w:lastRowFirstColumn="0" w:lastRowLastColumn="0"/>
              <w:rPr>
                <w:i/>
              </w:rPr>
            </w:pPr>
            <w:r w:rsidRPr="00555A56">
              <w:rPr>
                <w:i/>
              </w:rPr>
              <w:t>CCC $328</w:t>
            </w:r>
          </w:p>
        </w:tc>
      </w:tr>
      <w:tr w:rsidR="00F77BC4" w:rsidRPr="00C7647F" w14:paraId="54B88DE5" w14:textId="77777777" w:rsidTr="007C5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gridSpan w:val="2"/>
            <w:tcBorders>
              <w:left w:val="nil"/>
              <w:bottom w:val="single" w:sz="8" w:space="0" w:color="005B73"/>
              <w:right w:val="single" w:sz="8" w:space="0" w:color="005B73"/>
            </w:tcBorders>
            <w:vAlign w:val="center"/>
          </w:tcPr>
          <w:p w14:paraId="0D4FF5D2" w14:textId="77777777" w:rsidR="00F77BC4" w:rsidRPr="00555A56" w:rsidRDefault="00F77BC4">
            <w:pPr>
              <w:pStyle w:val="TableText0"/>
              <w:rPr>
                <w:rFonts w:asciiTheme="minorHAnsi" w:hAnsiTheme="minorHAnsi" w:cstheme="minorHAnsi"/>
                <w:sz w:val="20"/>
              </w:rPr>
            </w:pPr>
            <w:r w:rsidRPr="00555A56">
              <w:t>Auction reserve price</w:t>
            </w:r>
          </w:p>
        </w:tc>
        <w:tc>
          <w:tcPr>
            <w:tcW w:w="1330" w:type="dxa"/>
            <w:tcBorders>
              <w:left w:val="single" w:sz="8" w:space="0" w:color="005B73"/>
              <w:bottom w:val="single" w:sz="8" w:space="0" w:color="005B73"/>
              <w:right w:val="single" w:sz="8" w:space="0" w:color="005B73"/>
            </w:tcBorders>
            <w:vAlign w:val="center"/>
          </w:tcPr>
          <w:p w14:paraId="4F962E90"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t>$75</w:t>
            </w:r>
          </w:p>
          <w:p w14:paraId="4F8529C5"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rPr>
                <w:i/>
              </w:rPr>
            </w:pPr>
            <w:r w:rsidRPr="00555A56">
              <w:rPr>
                <w:i/>
              </w:rPr>
              <w:t>CCC $75</w:t>
            </w:r>
          </w:p>
        </w:tc>
        <w:tc>
          <w:tcPr>
            <w:tcW w:w="1330" w:type="dxa"/>
            <w:tcBorders>
              <w:left w:val="single" w:sz="8" w:space="0" w:color="005B73"/>
              <w:bottom w:val="single" w:sz="8" w:space="0" w:color="005B73"/>
              <w:right w:val="single" w:sz="8" w:space="0" w:color="005B73"/>
            </w:tcBorders>
            <w:vAlign w:val="center"/>
          </w:tcPr>
          <w:p w14:paraId="42A05424"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t>$78</w:t>
            </w:r>
          </w:p>
          <w:p w14:paraId="1BC8C04C"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rPr>
                <w:i/>
              </w:rPr>
            </w:pPr>
            <w:r w:rsidRPr="00555A56">
              <w:rPr>
                <w:i/>
              </w:rPr>
              <w:t xml:space="preserve">CCC $78 </w:t>
            </w:r>
          </w:p>
        </w:tc>
        <w:tc>
          <w:tcPr>
            <w:tcW w:w="1331" w:type="dxa"/>
            <w:tcBorders>
              <w:left w:val="single" w:sz="8" w:space="0" w:color="005B73"/>
              <w:bottom w:val="single" w:sz="8" w:space="0" w:color="005B73"/>
              <w:right w:val="single" w:sz="8" w:space="0" w:color="005B73"/>
            </w:tcBorders>
            <w:vAlign w:val="center"/>
          </w:tcPr>
          <w:p w14:paraId="7F85E791"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t>$84</w:t>
            </w:r>
          </w:p>
          <w:p w14:paraId="4F119C36"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rPr>
                <w:i/>
              </w:rPr>
            </w:pPr>
            <w:r w:rsidRPr="00555A56">
              <w:rPr>
                <w:i/>
              </w:rPr>
              <w:t xml:space="preserve">CCC $83 </w:t>
            </w:r>
          </w:p>
        </w:tc>
        <w:tc>
          <w:tcPr>
            <w:tcW w:w="1330" w:type="dxa"/>
            <w:tcBorders>
              <w:left w:val="single" w:sz="8" w:space="0" w:color="005B73"/>
              <w:bottom w:val="single" w:sz="8" w:space="0" w:color="005B73"/>
              <w:right w:val="single" w:sz="8" w:space="0" w:color="005B73"/>
            </w:tcBorders>
            <w:vAlign w:val="center"/>
          </w:tcPr>
          <w:p w14:paraId="71A2AB3E"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t>$89</w:t>
            </w:r>
          </w:p>
          <w:p w14:paraId="08904B62"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rPr>
                <w:i/>
              </w:rPr>
            </w:pPr>
            <w:r w:rsidRPr="00555A56">
              <w:rPr>
                <w:i/>
              </w:rPr>
              <w:t>CCC $88</w:t>
            </w:r>
          </w:p>
        </w:tc>
        <w:tc>
          <w:tcPr>
            <w:tcW w:w="1331" w:type="dxa"/>
            <w:tcBorders>
              <w:left w:val="single" w:sz="8" w:space="0" w:color="005B73"/>
              <w:bottom w:val="single" w:sz="8" w:space="0" w:color="005B73"/>
              <w:right w:val="nil"/>
            </w:tcBorders>
            <w:vAlign w:val="center"/>
          </w:tcPr>
          <w:p w14:paraId="22A8AAC5"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pPr>
            <w:r w:rsidRPr="00555A56">
              <w:t>$93</w:t>
            </w:r>
          </w:p>
          <w:p w14:paraId="3BAC1BF0" w14:textId="77777777" w:rsidR="00F77BC4" w:rsidRPr="00555A56" w:rsidRDefault="00F77BC4">
            <w:pPr>
              <w:pStyle w:val="TableText0"/>
              <w:cnfStyle w:val="000000100000" w:firstRow="0" w:lastRow="0" w:firstColumn="0" w:lastColumn="0" w:oddVBand="0" w:evenVBand="0" w:oddHBand="1" w:evenHBand="0" w:firstRowFirstColumn="0" w:firstRowLastColumn="0" w:lastRowFirstColumn="0" w:lastRowLastColumn="0"/>
              <w:rPr>
                <w:i/>
              </w:rPr>
            </w:pPr>
            <w:r w:rsidRPr="00555A56">
              <w:rPr>
                <w:i/>
              </w:rPr>
              <w:t>CCC $92</w:t>
            </w:r>
          </w:p>
        </w:tc>
      </w:tr>
    </w:tbl>
    <w:p w14:paraId="403CF9F3" w14:textId="7996BB9F" w:rsidR="007C536F" w:rsidRDefault="007C536F" w:rsidP="00D0090E">
      <w:pPr>
        <w:pStyle w:val="Note"/>
      </w:pPr>
      <w:r>
        <w:t>Note: CCC = Climate Change Commission.</w:t>
      </w:r>
    </w:p>
    <w:p w14:paraId="729843D4" w14:textId="26A8B0FC" w:rsidR="00F77BC4" w:rsidRPr="00784746" w:rsidRDefault="00F77BC4" w:rsidP="007C536F">
      <w:pPr>
        <w:pStyle w:val="Numberedparagraph"/>
        <w:numPr>
          <w:ilvl w:val="0"/>
          <w:numId w:val="39"/>
        </w:numPr>
        <w:spacing w:before="120"/>
        <w:ind w:left="357" w:hanging="357"/>
      </w:pPr>
      <w:r>
        <w:t>There were no differences between the Commission’s recommended cost containment reserve volumes and those agreed by the Government</w:t>
      </w:r>
      <w:r w:rsidRPr="00784746">
        <w:t>.</w:t>
      </w:r>
    </w:p>
    <w:p w14:paraId="2FF4AF4F" w14:textId="754A76FC" w:rsidR="002E34D6" w:rsidRDefault="002E34D6" w:rsidP="002E34D6">
      <w:pPr>
        <w:pStyle w:val="Heading2"/>
        <w:spacing w:after="120"/>
        <w:rPr>
          <w:rStyle w:val="normaltextrun"/>
          <w:rFonts w:cs="Calibri"/>
        </w:rPr>
      </w:pPr>
      <w:bookmarkStart w:id="13" w:name="_Toc240638551"/>
      <w:r>
        <w:rPr>
          <w:rStyle w:val="normaltextrun"/>
          <w:rFonts w:cs="Calibri"/>
        </w:rPr>
        <w:t xml:space="preserve">Use of lower provisional </w:t>
      </w:r>
      <w:r w:rsidR="00A46FD6">
        <w:rPr>
          <w:rStyle w:val="normaltextrun"/>
          <w:rFonts w:cs="Calibri"/>
        </w:rPr>
        <w:t xml:space="preserve">third </w:t>
      </w:r>
      <w:r w:rsidR="008F2B00">
        <w:rPr>
          <w:rStyle w:val="normaltextrun"/>
          <w:rFonts w:cs="Calibri"/>
        </w:rPr>
        <w:t>e</w:t>
      </w:r>
      <w:r w:rsidR="00E173BD" w:rsidRPr="00E173BD">
        <w:rPr>
          <w:rStyle w:val="normaltextrun"/>
          <w:rFonts w:cs="Calibri"/>
        </w:rPr>
        <w:t xml:space="preserve">missions </w:t>
      </w:r>
      <w:r w:rsidR="008F2B00">
        <w:rPr>
          <w:rStyle w:val="normaltextrun"/>
          <w:rFonts w:cs="Calibri"/>
        </w:rPr>
        <w:t>b</w:t>
      </w:r>
      <w:r w:rsidR="00E173BD" w:rsidRPr="00E173BD">
        <w:rPr>
          <w:rStyle w:val="normaltextrun"/>
          <w:rFonts w:cs="Calibri"/>
        </w:rPr>
        <w:t>udget</w:t>
      </w:r>
      <w:r w:rsidR="00E173BD">
        <w:rPr>
          <w:rStyle w:val="normaltextrun"/>
          <w:rFonts w:cs="Calibri"/>
        </w:rPr>
        <w:t> </w:t>
      </w:r>
      <w:r>
        <w:rPr>
          <w:rStyle w:val="normaltextrun"/>
          <w:rFonts w:cs="Calibri"/>
        </w:rPr>
        <w:t>cap</w:t>
      </w:r>
      <w:bookmarkEnd w:id="13"/>
    </w:p>
    <w:p w14:paraId="58F62B30" w14:textId="309A6E84" w:rsidR="002E34D6" w:rsidRPr="00784746" w:rsidRDefault="002E34D6" w:rsidP="002E34D6">
      <w:pPr>
        <w:pStyle w:val="Numberedparagraph"/>
        <w:numPr>
          <w:ilvl w:val="0"/>
          <w:numId w:val="39"/>
        </w:numPr>
      </w:pPr>
      <w:r w:rsidRPr="00784746">
        <w:t xml:space="preserve">When making ETS settings decisions, the Government used a lower provisional EB3 cap than the cap recommended by the Commission. A lower cap could possibly have required higher price controls than those recommended by the Commission </w:t>
      </w:r>
      <w:proofErr w:type="gramStart"/>
      <w:r w:rsidRPr="00784746">
        <w:t>in order to</w:t>
      </w:r>
      <w:proofErr w:type="gramEnd"/>
      <w:r w:rsidRPr="00784746">
        <w:t xml:space="preserve"> meet the accordance requirements set out in the CCRA.</w:t>
      </w:r>
    </w:p>
    <w:p w14:paraId="76E3AF38" w14:textId="77777777" w:rsidR="002E34D6" w:rsidRPr="00784746" w:rsidRDefault="002E34D6" w:rsidP="002E34D6">
      <w:pPr>
        <w:pStyle w:val="Numberedparagraph"/>
        <w:numPr>
          <w:ilvl w:val="0"/>
          <w:numId w:val="39"/>
        </w:numPr>
      </w:pPr>
      <w:r w:rsidRPr="00784746">
        <w:t>However, internal MCERT modelling provided confidence that the existing price controls remain appropriate with the proposed provisional EB3 cap. Modelling using scenarios broadly aligned to the updated provisional cap suggested the auction price floor remains appropriate for EB3. Additionally, the possible EB3 gap remains highly uncertain and is likely to reduce further with additional complementary policies.</w:t>
      </w:r>
    </w:p>
    <w:p w14:paraId="17C5EEEF" w14:textId="1AFA929A" w:rsidR="002E34D6" w:rsidRPr="00784746" w:rsidRDefault="002E34D6" w:rsidP="002E34D6">
      <w:pPr>
        <w:pStyle w:val="Numberedparagraph"/>
        <w:numPr>
          <w:ilvl w:val="0"/>
          <w:numId w:val="39"/>
        </w:numPr>
      </w:pPr>
      <w:r w:rsidRPr="00784746">
        <w:lastRenderedPageBreak/>
        <w:t xml:space="preserve">The Government also viewed that extended status quo price control settings (as recommended by the Commission) best supported stability, predictability and proper functioning of the ETS market. This approach was also strongly supported by consultation feedback. </w:t>
      </w:r>
    </w:p>
    <w:p w14:paraId="1F6BF668" w14:textId="77777777" w:rsidR="002E34D6" w:rsidRPr="00784746" w:rsidRDefault="002E34D6" w:rsidP="002E34D6">
      <w:pPr>
        <w:pStyle w:val="Numberedparagraph"/>
        <w:numPr>
          <w:ilvl w:val="0"/>
          <w:numId w:val="39"/>
        </w:numPr>
      </w:pPr>
      <w:r w:rsidRPr="00784746">
        <w:t>For those reasons, the Government did not adjust price control settings from those recommended by the Commission. As noted in the Commissions advice, there remains time to assess what the appropriate price controls for EB3 should be.</w:t>
      </w:r>
    </w:p>
    <w:p w14:paraId="69E516DF" w14:textId="77777777" w:rsidR="002E34D6" w:rsidRDefault="002E34D6" w:rsidP="002E34D6">
      <w:pPr>
        <w:pStyle w:val="Heading2"/>
        <w:spacing w:after="120"/>
        <w:rPr>
          <w:rStyle w:val="normaltextrun"/>
          <w:rFonts w:cs="Calibri"/>
        </w:rPr>
      </w:pPr>
      <w:bookmarkStart w:id="14" w:name="_Toc240638552"/>
      <w:r>
        <w:rPr>
          <w:rStyle w:val="normaltextrun"/>
          <w:rFonts w:cs="Calibri"/>
        </w:rPr>
        <w:t>Temporary lower CCR tier</w:t>
      </w:r>
      <w:bookmarkEnd w:id="14"/>
      <w:r>
        <w:rPr>
          <w:rStyle w:val="normaltextrun"/>
          <w:rFonts w:cs="Calibri"/>
        </w:rPr>
        <w:t xml:space="preserve"> </w:t>
      </w:r>
    </w:p>
    <w:p w14:paraId="14AB4F11" w14:textId="17460F57" w:rsidR="002E34D6" w:rsidRPr="00784746" w:rsidRDefault="002E34D6" w:rsidP="002E34D6">
      <w:pPr>
        <w:pStyle w:val="Numberedparagraph"/>
        <w:numPr>
          <w:ilvl w:val="0"/>
          <w:numId w:val="39"/>
        </w:numPr>
      </w:pPr>
      <w:r w:rsidRPr="00784746">
        <w:t>The Commission recommended that if the Government amended the CCRA to move to biennial ETS settings decisions, and the next settings decision would not be until 2028, that the Government should adopt a temporary lower CCR tier to address the undersupply risk from 2028</w:t>
      </w:r>
      <w:r w:rsidR="009160B2">
        <w:t xml:space="preserve"> to </w:t>
      </w:r>
      <w:r w:rsidRPr="00784746">
        <w:t>2030.</w:t>
      </w:r>
    </w:p>
    <w:p w14:paraId="0B0501CA" w14:textId="77777777" w:rsidR="002E34D6" w:rsidRPr="00784746" w:rsidRDefault="002E34D6" w:rsidP="002E34D6">
      <w:pPr>
        <w:pStyle w:val="Numberedparagraph"/>
        <w:numPr>
          <w:ilvl w:val="0"/>
          <w:numId w:val="39"/>
        </w:numPr>
      </w:pPr>
      <w:r w:rsidRPr="36ED667A">
        <w:t>The Government decided after consultation that it would not progress with the planned change to biennial ETS settings decisions and that annual decisions would continue.</w:t>
      </w:r>
      <w:r w:rsidRPr="36ED667A">
        <w:rPr>
          <w:rStyle w:val="FootnoteReference"/>
        </w:rPr>
        <w:footnoteReference w:id="10"/>
      </w:r>
      <w:r w:rsidRPr="36ED667A">
        <w:t xml:space="preserve"> For this reason, it will not adopt a temporary lower CCR tier and will instead consider undersupply risks as part of annual ETS settings decisions.</w:t>
      </w:r>
    </w:p>
    <w:bookmarkEnd w:id="1"/>
    <w:p w14:paraId="746B8317" w14:textId="66EBF526" w:rsidR="006E15DE" w:rsidRPr="006E15DE" w:rsidRDefault="006E15DE" w:rsidP="006E15DE">
      <w:pPr>
        <w:pStyle w:val="BodyText"/>
        <w:rPr>
          <w:rStyle w:val="Heading1Char"/>
          <w:rFonts w:ascii="Calibri" w:eastAsiaTheme="minorEastAsia" w:hAnsi="Calibri" w:cstheme="minorBidi"/>
          <w:b w:val="0"/>
          <w:bCs w:val="0"/>
          <w:color w:val="auto"/>
          <w:sz w:val="22"/>
          <w:szCs w:val="22"/>
        </w:rPr>
      </w:pPr>
    </w:p>
    <w:sectPr w:rsidR="006E15DE" w:rsidRPr="006E15DE" w:rsidSect="008A7498">
      <w:footerReference w:type="even" r:id="rId22"/>
      <w:footerReference w:type="default" r:id="rId23"/>
      <w:pgSz w:w="11907" w:h="16840" w:code="9"/>
      <w:pgMar w:top="1134" w:right="1701"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993A1" w14:textId="77777777" w:rsidR="007B085F" w:rsidRDefault="007B085F" w:rsidP="0080531E">
      <w:pPr>
        <w:spacing w:before="0" w:after="0" w:line="240" w:lineRule="auto"/>
      </w:pPr>
      <w:r>
        <w:separator/>
      </w:r>
    </w:p>
    <w:p w14:paraId="67016E37" w14:textId="77777777" w:rsidR="007B085F" w:rsidRDefault="007B085F"/>
  </w:endnote>
  <w:endnote w:type="continuationSeparator" w:id="0">
    <w:p w14:paraId="13C02106" w14:textId="77777777" w:rsidR="007B085F" w:rsidRDefault="007B085F" w:rsidP="0080531E">
      <w:pPr>
        <w:spacing w:before="0" w:after="0" w:line="240" w:lineRule="auto"/>
      </w:pPr>
      <w:r>
        <w:continuationSeparator/>
      </w:r>
    </w:p>
    <w:p w14:paraId="4CBFA51E" w14:textId="77777777" w:rsidR="007B085F" w:rsidRDefault="007B085F"/>
  </w:endnote>
  <w:endnote w:type="continuationNotice" w:id="1">
    <w:p w14:paraId="5CE9B3AD" w14:textId="77777777" w:rsidR="007B085F" w:rsidRDefault="007B085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4EB8" w14:textId="455BA1CB" w:rsidR="00695F7C" w:rsidRDefault="00F77BC4">
    <w:pPr>
      <w:pStyle w:val="Footer"/>
    </w:pPr>
    <w:r>
      <w:rPr>
        <w:noProof/>
      </w:rPr>
      <mc:AlternateContent>
        <mc:Choice Requires="wps">
          <w:drawing>
            <wp:anchor distT="0" distB="0" distL="0" distR="0" simplePos="0" relativeHeight="251658243" behindDoc="0" locked="0" layoutInCell="1" allowOverlap="1" wp14:anchorId="675AB8C4" wp14:editId="3EFD996C">
              <wp:simplePos x="635" y="635"/>
              <wp:positionH relativeFrom="page">
                <wp:align>center</wp:align>
              </wp:positionH>
              <wp:positionV relativeFrom="page">
                <wp:align>bottom</wp:align>
              </wp:positionV>
              <wp:extent cx="1002665" cy="444500"/>
              <wp:effectExtent l="0" t="0" r="6985" b="0"/>
              <wp:wrapNone/>
              <wp:docPr id="324506546" name="Text Box 5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2BA1E2F9" w14:textId="7C8D2DF7" w:rsidR="00F77BC4" w:rsidRPr="00F77BC4" w:rsidRDefault="00F77BC4" w:rsidP="00F77BC4">
                          <w:pPr>
                            <w:spacing w:after="0"/>
                            <w:rPr>
                              <w:rFonts w:ascii="Aptos" w:eastAsia="Aptos" w:hAnsi="Aptos" w:cs="Aptos"/>
                              <w:noProof/>
                              <w:color w:val="000000"/>
                            </w:rPr>
                          </w:pPr>
                          <w:r w:rsidRPr="00F77BC4">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5AB8C4" id="_x0000_t202" coordsize="21600,21600" o:spt="202" path="m,l,21600r21600,l21600,xe">
              <v:stroke joinstyle="miter"/>
              <v:path gradientshapeok="t" o:connecttype="rect"/>
            </v:shapetype>
            <v:shape id="Text Box 55" o:spid="_x0000_s1028" type="#_x0000_t202" alt="[UNCLASSIFIED]" style="position:absolute;left:0;text-align:left;margin-left:0;margin-top:0;width:78.95pt;height:3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vQsDgIAAB0EAAAOAAAAZHJzL2Uyb0RvYy54bWysU99v2jAQfp+0/8Hy+0hAFG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" filled="f" stroked="f">
              <v:textbox style="mso-fit-shape-to-text:t" inset="0,0,0,15pt">
                <w:txbxContent>
                  <w:p w14:paraId="2BA1E2F9" w14:textId="7C8D2DF7" w:rsidR="00F77BC4" w:rsidRPr="00F77BC4" w:rsidRDefault="00F77BC4" w:rsidP="00F77BC4">
                    <w:pPr>
                      <w:spacing w:after="0"/>
                      <w:rPr>
                        <w:rFonts w:ascii="Aptos" w:eastAsia="Aptos" w:hAnsi="Aptos" w:cs="Aptos"/>
                        <w:noProof/>
                        <w:color w:val="000000"/>
                      </w:rPr>
                    </w:pPr>
                    <w:r w:rsidRPr="00F77BC4">
                      <w:rPr>
                        <w:rFonts w:ascii="Aptos" w:eastAsia="Aptos" w:hAnsi="Aptos" w:cs="Aptos"/>
                        <w:noProof/>
                        <w:color w:val="00000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096A" w14:textId="3F42D4B1" w:rsidR="00E5210B" w:rsidRDefault="00E14B00" w:rsidP="009F1D7F">
    <w:pPr>
      <w:spacing w:before="0" w:after="0" w:line="240" w:lineRule="auto"/>
      <w:jc w:val="left"/>
    </w:pPr>
    <w:r>
      <w:rPr>
        <w:noProof/>
      </w:rPr>
      <w:drawing>
        <wp:inline distT="0" distB="0" distL="0" distR="0" wp14:anchorId="500D0604" wp14:editId="01E65FF3">
          <wp:extent cx="2351618" cy="540000"/>
          <wp:effectExtent l="0" t="0" r="0" b="0"/>
          <wp:docPr id="11594809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66377" name="Picture 276366377"/>
                  <pic:cNvPicPr/>
                </pic:nvPicPr>
                <pic:blipFill>
                  <a:blip r:embed="rId1"/>
                  <a:stretch>
                    <a:fillRect/>
                  </a:stretch>
                </pic:blipFill>
                <pic:spPr>
                  <a:xfrm>
                    <a:off x="0" y="0"/>
                    <a:ext cx="2351618" cy="5400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45F64" w14:textId="48C9E738" w:rsidR="00695F7C" w:rsidRDefault="00F77BC4">
    <w:pPr>
      <w:pStyle w:val="Footer"/>
    </w:pPr>
    <w:r>
      <w:rPr>
        <w:noProof/>
      </w:rPr>
      <mc:AlternateContent>
        <mc:Choice Requires="wps">
          <w:drawing>
            <wp:anchor distT="0" distB="0" distL="0" distR="0" simplePos="0" relativeHeight="251658242" behindDoc="0" locked="0" layoutInCell="1" allowOverlap="1" wp14:anchorId="04B834E0" wp14:editId="5454CA28">
              <wp:simplePos x="635" y="635"/>
              <wp:positionH relativeFrom="page">
                <wp:align>center</wp:align>
              </wp:positionH>
              <wp:positionV relativeFrom="page">
                <wp:align>bottom</wp:align>
              </wp:positionV>
              <wp:extent cx="1002665" cy="444500"/>
              <wp:effectExtent l="0" t="0" r="6985" b="0"/>
              <wp:wrapNone/>
              <wp:docPr id="268991250" name="Text Box 5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58CE1CB8" w14:textId="7630A126" w:rsidR="00F77BC4" w:rsidRPr="00F77BC4" w:rsidRDefault="00F77BC4" w:rsidP="00F77BC4">
                          <w:pPr>
                            <w:spacing w:after="0"/>
                            <w:rPr>
                              <w:rFonts w:ascii="Aptos" w:eastAsia="Aptos" w:hAnsi="Aptos" w:cs="Aptos"/>
                              <w:noProof/>
                              <w:color w:val="000000"/>
                            </w:rPr>
                          </w:pPr>
                          <w:r w:rsidRPr="00F77BC4">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B834E0" id="_x0000_t202" coordsize="21600,21600" o:spt="202" path="m,l,21600r21600,l21600,xe">
              <v:stroke joinstyle="miter"/>
              <v:path gradientshapeok="t" o:connecttype="rect"/>
            </v:shapetype>
            <v:shape id="Text Box 54" o:spid="_x0000_s1030" type="#_x0000_t202" alt="[UNCLASSIFIED]" style="position:absolute;left:0;text-align:left;margin-left:0;margin-top:0;width:78.95pt;height:3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VuhDgIAAB0EAAAOAAAAZHJzL2Uyb0RvYy54bWysU99v2jAQfp+0/8Hy+0hAFG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" filled="f" stroked="f">
              <v:textbox style="mso-fit-shape-to-text:t" inset="0,0,0,15pt">
                <w:txbxContent>
                  <w:p w14:paraId="58CE1CB8" w14:textId="7630A126" w:rsidR="00F77BC4" w:rsidRPr="00F77BC4" w:rsidRDefault="00F77BC4" w:rsidP="00F77BC4">
                    <w:pPr>
                      <w:spacing w:after="0"/>
                      <w:rPr>
                        <w:rFonts w:ascii="Aptos" w:eastAsia="Aptos" w:hAnsi="Aptos" w:cs="Aptos"/>
                        <w:noProof/>
                        <w:color w:val="000000"/>
                      </w:rPr>
                    </w:pPr>
                    <w:r w:rsidRPr="00F77BC4">
                      <w:rPr>
                        <w:rFonts w:ascii="Aptos" w:eastAsia="Aptos" w:hAnsi="Aptos" w:cs="Aptos"/>
                        <w:noProof/>
                        <w:color w:val="00000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A1B62" w14:textId="371C9744" w:rsidR="00E5210B" w:rsidRDefault="00E5210B" w:rsidP="00E65427">
    <w:pPr>
      <w:spacing w:before="240"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FD2D" w14:textId="717209D1" w:rsidR="00E5210B" w:rsidRDefault="00F77BC4">
    <w:r>
      <w:rPr>
        <w:noProof/>
      </w:rPr>
      <mc:AlternateContent>
        <mc:Choice Requires="wps">
          <w:drawing>
            <wp:anchor distT="0" distB="0" distL="0" distR="0" simplePos="0" relativeHeight="251658244" behindDoc="0" locked="0" layoutInCell="1" allowOverlap="1" wp14:anchorId="3EEF8EA9" wp14:editId="37B641AA">
              <wp:simplePos x="635" y="635"/>
              <wp:positionH relativeFrom="page">
                <wp:align>center</wp:align>
              </wp:positionH>
              <wp:positionV relativeFrom="page">
                <wp:align>bottom</wp:align>
              </wp:positionV>
              <wp:extent cx="1002665" cy="444500"/>
              <wp:effectExtent l="0" t="0" r="6985" b="0"/>
              <wp:wrapNone/>
              <wp:docPr id="439673806" name="Text Box 58"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5C1594E1" w14:textId="42FD641D" w:rsidR="00F77BC4" w:rsidRPr="00F77BC4" w:rsidRDefault="00F77BC4" w:rsidP="00F77BC4">
                          <w:pPr>
                            <w:spacing w:after="0"/>
                            <w:rPr>
                              <w:rFonts w:ascii="Aptos" w:eastAsia="Aptos" w:hAnsi="Aptos" w:cs="Aptos"/>
                              <w:noProof/>
                              <w:color w:val="000000"/>
                            </w:rPr>
                          </w:pPr>
                          <w:r w:rsidRPr="00F77BC4">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EF8EA9" id="_x0000_t202" coordsize="21600,21600" o:spt="202" path="m,l,21600r21600,l21600,xe">
              <v:stroke joinstyle="miter"/>
              <v:path gradientshapeok="t" o:connecttype="rect"/>
            </v:shapetype>
            <v:shape id="Text Box 58" o:spid="_x0000_s1031" type="#_x0000_t202" alt="[UNCLASSIFIED]" style="position:absolute;left:0;text-align:left;margin-left:0;margin-top:0;width:78.95pt;height:3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" filled="f" stroked="f">
              <v:textbox style="mso-fit-shape-to-text:t" inset="0,0,0,15pt">
                <w:txbxContent>
                  <w:p w14:paraId="5C1594E1" w14:textId="42FD641D" w:rsidR="00F77BC4" w:rsidRPr="00F77BC4" w:rsidRDefault="00F77BC4" w:rsidP="00F77BC4">
                    <w:pPr>
                      <w:spacing w:after="0"/>
                      <w:rPr>
                        <w:rFonts w:ascii="Aptos" w:eastAsia="Aptos" w:hAnsi="Aptos" w:cs="Aptos"/>
                        <w:noProof/>
                        <w:color w:val="000000"/>
                      </w:rPr>
                    </w:pPr>
                    <w:r w:rsidRPr="00F77BC4">
                      <w:rPr>
                        <w:rFonts w:ascii="Aptos" w:eastAsia="Aptos" w:hAnsi="Aptos" w:cs="Aptos"/>
                        <w:noProof/>
                        <w:color w:val="000000"/>
                      </w:rPr>
                      <w:t>[UNCLASSIFIED]</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F8FF" w14:textId="6DBB7401" w:rsidR="00E453AB" w:rsidRDefault="00E5210B" w:rsidP="00CD25E1">
    <w:pPr>
      <w:pStyle w:val="Footereven"/>
    </w:pPr>
    <w:r w:rsidRPr="004F458A">
      <w:rPr>
        <w:b/>
      </w:rPr>
      <w:fldChar w:fldCharType="begin"/>
    </w:r>
    <w:r w:rsidRPr="004F458A">
      <w:instrText xml:space="preserve"> PAGE </w:instrText>
    </w:r>
    <w:r w:rsidRPr="004F458A">
      <w:rPr>
        <w:b/>
      </w:rPr>
      <w:fldChar w:fldCharType="separate"/>
    </w:r>
    <w:r w:rsidR="005D3242">
      <w:rPr>
        <w:noProof/>
      </w:rPr>
      <w:t>8</w:t>
    </w:r>
    <w:r w:rsidRPr="004F458A">
      <w:rPr>
        <w:b/>
      </w:rPr>
      <w:fldChar w:fldCharType="end"/>
    </w:r>
    <w:r>
      <w:tab/>
    </w:r>
    <w:r w:rsidR="006E15DE" w:rsidRPr="006E15DE">
      <w:t>2026 Report on Reasons for Differences between Prescribed ETS Limits and Price Control Settings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7CB1" w14:textId="6679E7B8" w:rsidR="00E453AB" w:rsidRDefault="00E5210B" w:rsidP="00CD25E1">
    <w:pPr>
      <w:pStyle w:val="Footerodd"/>
    </w:pPr>
    <w:r>
      <w:tab/>
    </w:r>
    <w:r w:rsidR="006E15DE" w:rsidRPr="006E15DE">
      <w:t>2026 Report on Reasons for Differences between Prescribed ETS Limits and Price Control Settings</w:t>
    </w:r>
    <w:r>
      <w:tab/>
    </w:r>
    <w:r w:rsidR="008540A6">
      <w:fldChar w:fldCharType="begin"/>
    </w:r>
    <w:r w:rsidR="008540A6">
      <w:instrText xml:space="preserve"> PAGE   \* MERGEFORMAT </w:instrText>
    </w:r>
    <w:r w:rsidR="008540A6">
      <w:fldChar w:fldCharType="separate"/>
    </w:r>
    <w:r w:rsidR="005D3242">
      <w:rPr>
        <w:noProof/>
      </w:rPr>
      <w:t>7</w:t>
    </w:r>
    <w:r w:rsidR="008540A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E01B7" w14:textId="77777777" w:rsidR="007B085F" w:rsidRDefault="007B085F" w:rsidP="00CB5C5F">
      <w:pPr>
        <w:spacing w:before="0" w:after="80" w:line="240" w:lineRule="auto"/>
      </w:pPr>
      <w:r>
        <w:separator/>
      </w:r>
    </w:p>
  </w:footnote>
  <w:footnote w:type="continuationSeparator" w:id="0">
    <w:p w14:paraId="0C838343" w14:textId="77777777" w:rsidR="007B085F" w:rsidRDefault="007B085F" w:rsidP="0080531E">
      <w:pPr>
        <w:spacing w:before="0" w:after="0" w:line="240" w:lineRule="auto"/>
      </w:pPr>
      <w:r>
        <w:continuationSeparator/>
      </w:r>
    </w:p>
    <w:p w14:paraId="2C4F4C5A" w14:textId="77777777" w:rsidR="007B085F" w:rsidRDefault="007B085F"/>
  </w:footnote>
  <w:footnote w:type="continuationNotice" w:id="1">
    <w:p w14:paraId="6196B453" w14:textId="77777777" w:rsidR="007B085F" w:rsidRDefault="007B085F">
      <w:pPr>
        <w:spacing w:before="0" w:after="0" w:line="240" w:lineRule="auto"/>
      </w:pPr>
    </w:p>
  </w:footnote>
  <w:footnote w:id="2">
    <w:p w14:paraId="2BC6B7E7" w14:textId="77777777" w:rsidR="006E15DE" w:rsidRDefault="006E15DE" w:rsidP="006E15DE">
      <w:pPr>
        <w:pStyle w:val="FootnoteText"/>
      </w:pPr>
      <w:r>
        <w:rPr>
          <w:rStyle w:val="FootnoteReference"/>
        </w:rPr>
        <w:footnoteRef/>
      </w:r>
      <w:r>
        <w:t xml:space="preserve"> </w:t>
      </w:r>
      <w:r>
        <w:tab/>
      </w:r>
      <w:hyperlink r:id="rId1" w:history="1">
        <w:r w:rsidRPr="001D7487">
          <w:rPr>
            <w:rStyle w:val="Hyperlink"/>
          </w:rPr>
          <w:t>Climate Change (Auctions, Limits, and Price Controls for Units) Regulations 2020</w:t>
        </w:r>
      </w:hyperlink>
      <w:r>
        <w:t>.</w:t>
      </w:r>
    </w:p>
  </w:footnote>
  <w:footnote w:id="3">
    <w:p w14:paraId="71C8BCAF" w14:textId="77777777" w:rsidR="006E15DE" w:rsidRDefault="006E15DE" w:rsidP="006E15DE">
      <w:pPr>
        <w:pStyle w:val="FootnoteText"/>
      </w:pPr>
      <w:r>
        <w:rPr>
          <w:rStyle w:val="FootnoteReference"/>
        </w:rPr>
        <w:footnoteRef/>
      </w:r>
      <w:r>
        <w:t xml:space="preserve"> </w:t>
      </w:r>
      <w:r>
        <w:tab/>
      </w:r>
      <w:hyperlink r:id="rId2" w:history="1">
        <w:r w:rsidRPr="00DE4F49">
          <w:rPr>
            <w:rStyle w:val="Hyperlink"/>
          </w:rPr>
          <w:t xml:space="preserve">Climate Change Response Act 2002 No 40 (as at </w:t>
        </w:r>
        <w:r>
          <w:rPr>
            <w:rStyle w:val="Hyperlink"/>
          </w:rPr>
          <w:t>25</w:t>
        </w:r>
        <w:r w:rsidRPr="00DE4F49">
          <w:rPr>
            <w:rStyle w:val="Hyperlink"/>
          </w:rPr>
          <w:t xml:space="preserve"> </w:t>
        </w:r>
        <w:r>
          <w:rPr>
            <w:rStyle w:val="Hyperlink"/>
          </w:rPr>
          <w:t>August</w:t>
        </w:r>
        <w:r w:rsidRPr="00DE4F49">
          <w:rPr>
            <w:rStyle w:val="Hyperlink"/>
          </w:rPr>
          <w:t xml:space="preserve"> 2026), Public Act 30GB Regulations about limits and price control settings for units – New Zealand Legislation, section 30GB(3)</w:t>
        </w:r>
        <w:r w:rsidRPr="001F5926">
          <w:rPr>
            <w:rStyle w:val="Hyperlink"/>
            <w:color w:val="auto"/>
          </w:rPr>
          <w:t>.</w:t>
        </w:r>
      </w:hyperlink>
    </w:p>
  </w:footnote>
  <w:footnote w:id="4">
    <w:p w14:paraId="3CFB7884" w14:textId="58957252" w:rsidR="006E15DE" w:rsidRDefault="006E15DE" w:rsidP="006E15DE">
      <w:pPr>
        <w:pStyle w:val="FootnoteText"/>
      </w:pPr>
      <w:r>
        <w:rPr>
          <w:rStyle w:val="FootnoteReference"/>
        </w:rPr>
        <w:footnoteRef/>
      </w:r>
      <w:r>
        <w:t xml:space="preserve"> </w:t>
      </w:r>
      <w:r>
        <w:tab/>
      </w:r>
      <w:hyperlink r:id="rId3" w:history="1">
        <w:r w:rsidRPr="00255FAF">
          <w:rPr>
            <w:rStyle w:val="Hyperlink"/>
          </w:rPr>
          <w:t>He Pou a Rangi Climate Change Commission, Advice on NZ ETS unit limits and price control settings for 202</w:t>
        </w:r>
        <w:r>
          <w:rPr>
            <w:rStyle w:val="Hyperlink"/>
          </w:rPr>
          <w:t>7</w:t>
        </w:r>
        <w:r w:rsidRPr="00255FAF">
          <w:rPr>
            <w:rStyle w:val="Hyperlink"/>
          </w:rPr>
          <w:t>–20</w:t>
        </w:r>
        <w:r>
          <w:rPr>
            <w:rStyle w:val="Hyperlink"/>
          </w:rPr>
          <w:t>31</w:t>
        </w:r>
        <w:r w:rsidRPr="00255FAF">
          <w:rPr>
            <w:rStyle w:val="Hyperlink"/>
          </w:rPr>
          <w:t xml:space="preserve">, </w:t>
        </w:r>
        <w:r>
          <w:rPr>
            <w:rStyle w:val="Hyperlink"/>
          </w:rPr>
          <w:t>April</w:t>
        </w:r>
        <w:r w:rsidRPr="00255FAF">
          <w:rPr>
            <w:rStyle w:val="Hyperlink"/>
          </w:rPr>
          <w:t xml:space="preserve"> 202</w:t>
        </w:r>
        <w:r>
          <w:rPr>
            <w:rStyle w:val="Hyperlink"/>
          </w:rPr>
          <w:t>6</w:t>
        </w:r>
        <w:r w:rsidRPr="00255FAF">
          <w:rPr>
            <w:rStyle w:val="Hyperlink"/>
          </w:rPr>
          <w:t xml:space="preserve"> C.31</w:t>
        </w:r>
      </w:hyperlink>
      <w:r w:rsidRPr="001F5926">
        <w:rPr>
          <w:rStyle w:val="Hyperlink"/>
          <w:color w:val="auto"/>
        </w:rPr>
        <w:t>.</w:t>
      </w:r>
      <w:r>
        <w:t xml:space="preserve"> </w:t>
      </w:r>
    </w:p>
  </w:footnote>
  <w:footnote w:id="5">
    <w:p w14:paraId="7A3F58BB" w14:textId="77777777" w:rsidR="00F77BC4" w:rsidRDefault="00F77BC4" w:rsidP="00F77BC4">
      <w:pPr>
        <w:pStyle w:val="FootnoteText"/>
        <w:spacing w:after="0"/>
      </w:pPr>
      <w:r>
        <w:rPr>
          <w:rStyle w:val="FootnoteReference"/>
        </w:rPr>
        <w:footnoteRef/>
      </w:r>
      <w:r>
        <w:t xml:space="preserve"> </w:t>
      </w:r>
      <w:r>
        <w:tab/>
        <w:t xml:space="preserve">The agriculture WEM projections used to determine the provisional EB3 cap includes estimated impacts </w:t>
      </w:r>
      <w:r w:rsidRPr="001016E1">
        <w:t xml:space="preserve">from the ERP2 afforestation on </w:t>
      </w:r>
      <w:r>
        <w:t>C</w:t>
      </w:r>
      <w:r w:rsidRPr="001016E1">
        <w:t>rown land</w:t>
      </w:r>
      <w:r w:rsidRPr="001016E1" w:rsidDel="0039731F">
        <w:t xml:space="preserve"> policy</w:t>
      </w:r>
      <w:r>
        <w:t>.</w:t>
      </w:r>
    </w:p>
  </w:footnote>
  <w:footnote w:id="6">
    <w:p w14:paraId="471A5149" w14:textId="45459921" w:rsidR="00F77BC4" w:rsidRDefault="00F77BC4" w:rsidP="00F77BC4">
      <w:pPr>
        <w:pStyle w:val="FootnoteText"/>
      </w:pPr>
      <w:r>
        <w:rPr>
          <w:rStyle w:val="FootnoteReference"/>
        </w:rPr>
        <w:footnoteRef/>
      </w:r>
      <w:r>
        <w:t xml:space="preserve"> </w:t>
      </w:r>
      <w:r>
        <w:tab/>
        <w:t>The increase in industrial allocation from 2026</w:t>
      </w:r>
      <w:r w:rsidR="00CE46A8">
        <w:t xml:space="preserve"> to </w:t>
      </w:r>
      <w:r>
        <w:t xml:space="preserve">2028 indirectly reduces 2031 auction volumes </w:t>
      </w:r>
      <w:r w:rsidR="00CE46A8">
        <w:t xml:space="preserve">through </w:t>
      </w:r>
      <w:r>
        <w:t>the discrepancy adjustment (explained further in discrepancy adjustment section).</w:t>
      </w:r>
    </w:p>
  </w:footnote>
  <w:footnote w:id="7">
    <w:p w14:paraId="4FF71C69" w14:textId="77777777" w:rsidR="00F77BC4" w:rsidRPr="00084198" w:rsidRDefault="00F77BC4" w:rsidP="00F77BC4">
      <w:pPr>
        <w:pStyle w:val="FootnoteText"/>
      </w:pPr>
      <w:r>
        <w:rPr>
          <w:rStyle w:val="FootnoteReference"/>
        </w:rPr>
        <w:footnoteRef/>
      </w:r>
      <w:r>
        <w:t xml:space="preserve"> </w:t>
      </w:r>
      <w:r>
        <w:tab/>
      </w:r>
      <w:hyperlink r:id="rId4" w:anchor="LMS364586" w:history="1">
        <w:r w:rsidRPr="00DE4F49">
          <w:rPr>
            <w:rStyle w:val="Hyperlink"/>
          </w:rPr>
          <w:t>Climate Change Response Act 2002 No 40 (as at</w:t>
        </w:r>
        <w:r>
          <w:rPr>
            <w:rStyle w:val="Hyperlink"/>
          </w:rPr>
          <w:t xml:space="preserve"> 25</w:t>
        </w:r>
        <w:r w:rsidRPr="00DE4F49">
          <w:rPr>
            <w:rStyle w:val="Hyperlink"/>
          </w:rPr>
          <w:t xml:space="preserve"> </w:t>
        </w:r>
        <w:r>
          <w:rPr>
            <w:rStyle w:val="Hyperlink"/>
          </w:rPr>
          <w:t>August</w:t>
        </w:r>
        <w:r w:rsidRPr="00DE4F49">
          <w:rPr>
            <w:rStyle w:val="Hyperlink"/>
          </w:rPr>
          <w:t xml:space="preserve"> 2026), Public Act 30G</w:t>
        </w:r>
        <w:r>
          <w:rPr>
            <w:rStyle w:val="Hyperlink"/>
          </w:rPr>
          <w:t>C</w:t>
        </w:r>
        <w:r w:rsidRPr="00DE4F49">
          <w:rPr>
            <w:rStyle w:val="Hyperlink"/>
          </w:rPr>
          <w:t xml:space="preserve"> </w:t>
        </w:r>
        <w:r w:rsidRPr="00C51E08">
          <w:rPr>
            <w:rStyle w:val="Hyperlink"/>
          </w:rPr>
          <w:t>Requirements for regulations about limits and price control settings for units</w:t>
        </w:r>
        <w:r w:rsidRPr="00DE4F49">
          <w:rPr>
            <w:rStyle w:val="Hyperlink"/>
          </w:rPr>
          <w:t xml:space="preserve"> – New Zealand Legislation, section 30G</w:t>
        </w:r>
        <w:r>
          <w:rPr>
            <w:rStyle w:val="Hyperlink"/>
          </w:rPr>
          <w:t>C</w:t>
        </w:r>
        <w:r w:rsidRPr="00DE4F49">
          <w:rPr>
            <w:rStyle w:val="Hyperlink"/>
          </w:rPr>
          <w:t>(</w:t>
        </w:r>
        <w:r>
          <w:rPr>
            <w:rStyle w:val="Hyperlink"/>
          </w:rPr>
          <w:t>5</w:t>
        </w:r>
        <w:r w:rsidRPr="00DE4F49">
          <w:rPr>
            <w:rStyle w:val="Hyperlink"/>
          </w:rPr>
          <w:t>)</w:t>
        </w:r>
        <w:r>
          <w:rPr>
            <w:rStyle w:val="Hyperlink"/>
          </w:rPr>
          <w:t>(a)(i)</w:t>
        </w:r>
        <w:r w:rsidRPr="006D67BB">
          <w:rPr>
            <w:rStyle w:val="Hyperlink"/>
            <w:color w:val="auto"/>
          </w:rPr>
          <w:t>.</w:t>
        </w:r>
      </w:hyperlink>
    </w:p>
  </w:footnote>
  <w:footnote w:id="8">
    <w:p w14:paraId="4F6B9A6B" w14:textId="77777777" w:rsidR="00F77BC4" w:rsidRDefault="00F77BC4" w:rsidP="00F77BC4">
      <w:pPr>
        <w:pStyle w:val="FootnoteText"/>
      </w:pPr>
      <w:r>
        <w:rPr>
          <w:rStyle w:val="FootnoteReference"/>
        </w:rPr>
        <w:footnoteRef/>
      </w:r>
      <w:r>
        <w:t xml:space="preserve"> </w:t>
      </w:r>
      <w:r>
        <w:tab/>
      </w:r>
      <w:hyperlink r:id="rId5" w:history="1">
        <w:r w:rsidRPr="006E4D3B">
          <w:rPr>
            <w:rStyle w:val="Hyperlink"/>
          </w:rPr>
          <w:t>Half Year Economic and Fiscal Update 202</w:t>
        </w:r>
        <w:r>
          <w:rPr>
            <w:rStyle w:val="Hyperlink"/>
          </w:rPr>
          <w:t>5</w:t>
        </w:r>
        <w:r w:rsidRPr="006E4D3B">
          <w:rPr>
            <w:rStyle w:val="Hyperlink"/>
          </w:rPr>
          <w:t xml:space="preserve"> | The Treasury New Zealand</w:t>
        </w:r>
      </w:hyperlink>
      <w:r w:rsidRPr="006D67BB">
        <w:rPr>
          <w:rStyle w:val="Hyperlink"/>
          <w:color w:val="auto"/>
        </w:rPr>
        <w:t>.</w:t>
      </w:r>
    </w:p>
  </w:footnote>
  <w:footnote w:id="9">
    <w:p w14:paraId="6E0FC918" w14:textId="77777777" w:rsidR="00F77BC4" w:rsidRDefault="00F77BC4" w:rsidP="00F77BC4">
      <w:pPr>
        <w:pStyle w:val="FootnoteText"/>
      </w:pPr>
      <w:r>
        <w:rPr>
          <w:rStyle w:val="FootnoteReference"/>
        </w:rPr>
        <w:footnoteRef/>
      </w:r>
      <w:r>
        <w:t xml:space="preserve"> </w:t>
      </w:r>
      <w:r>
        <w:tab/>
      </w:r>
      <w:hyperlink r:id="rId6" w:history="1">
        <w:r w:rsidRPr="00323FE2">
          <w:rPr>
            <w:rStyle w:val="Hyperlink"/>
          </w:rPr>
          <w:t>Budget Economic and Fiscal Update 202</w:t>
        </w:r>
        <w:r>
          <w:rPr>
            <w:rStyle w:val="Hyperlink"/>
          </w:rPr>
          <w:t>6</w:t>
        </w:r>
        <w:r w:rsidRPr="00323FE2">
          <w:rPr>
            <w:rStyle w:val="Hyperlink"/>
          </w:rPr>
          <w:t xml:space="preserve"> | The Treasury New Zealand</w:t>
        </w:r>
      </w:hyperlink>
      <w:r w:rsidRPr="006D67BB">
        <w:rPr>
          <w:rStyle w:val="Hyperlink"/>
          <w:color w:val="auto"/>
        </w:rPr>
        <w:t>.</w:t>
      </w:r>
    </w:p>
  </w:footnote>
  <w:footnote w:id="10">
    <w:p w14:paraId="5A226837" w14:textId="41305B8D" w:rsidR="002E34D6" w:rsidRDefault="002E34D6" w:rsidP="002E34D6">
      <w:pPr>
        <w:pStyle w:val="FootnoteText"/>
      </w:pPr>
      <w:r>
        <w:rPr>
          <w:rStyle w:val="FootnoteReference"/>
        </w:rPr>
        <w:footnoteRef/>
      </w:r>
      <w:r>
        <w:t xml:space="preserve"> </w:t>
      </w:r>
      <w:r>
        <w:tab/>
        <w:t xml:space="preserve">The </w:t>
      </w:r>
      <w:r w:rsidRPr="0038612C">
        <w:t>Climate Change Response Amendment Bill</w:t>
      </w:r>
      <w:r>
        <w:t xml:space="preserve"> as introduced still retains the change to biennial settings, but the Government will recommend it be removed as the </w:t>
      </w:r>
      <w:r w:rsidR="009160B2">
        <w:t>B</w:t>
      </w:r>
      <w:r>
        <w:t>ill progresses.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E2C6" w14:textId="25438E89" w:rsidR="00695F7C" w:rsidRDefault="00F77BC4">
    <w:pPr>
      <w:pStyle w:val="Header"/>
    </w:pPr>
    <w:r>
      <w:rPr>
        <w:noProof/>
      </w:rPr>
      <mc:AlternateContent>
        <mc:Choice Requires="wps">
          <w:drawing>
            <wp:anchor distT="0" distB="0" distL="0" distR="0" simplePos="0" relativeHeight="251658241" behindDoc="0" locked="0" layoutInCell="1" allowOverlap="1" wp14:anchorId="2BBFF403" wp14:editId="5C71452E">
              <wp:simplePos x="635" y="635"/>
              <wp:positionH relativeFrom="page">
                <wp:align>center</wp:align>
              </wp:positionH>
              <wp:positionV relativeFrom="page">
                <wp:align>top</wp:align>
              </wp:positionV>
              <wp:extent cx="1002665" cy="444500"/>
              <wp:effectExtent l="0" t="0" r="6985" b="12700"/>
              <wp:wrapNone/>
              <wp:docPr id="1925867796" name="Text Box 50"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058C479C" w14:textId="71A3E7FD" w:rsidR="00F77BC4" w:rsidRPr="00F77BC4" w:rsidRDefault="00F77BC4" w:rsidP="00F77BC4">
                          <w:pPr>
                            <w:spacing w:after="0"/>
                            <w:rPr>
                              <w:rFonts w:ascii="Aptos" w:eastAsia="Aptos" w:hAnsi="Aptos" w:cs="Aptos"/>
                              <w:noProof/>
                              <w:color w:val="000000"/>
                            </w:rPr>
                          </w:pPr>
                          <w:r w:rsidRPr="00F77BC4">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BFF403" id="_x0000_t202" coordsize="21600,21600" o:spt="202" path="m,l,21600r21600,l21600,xe">
              <v:stroke joinstyle="miter"/>
              <v:path gradientshapeok="t" o:connecttype="rect"/>
            </v:shapetype>
            <v:shape id="Text Box 50" o:spid="_x0000_s1026" type="#_x0000_t202" alt="[UNCLASSIFIED]" style="position:absolute;left:0;text-align:left;margin-left:0;margin-top:0;width:78.95pt;height:3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" filled="f" stroked="f">
              <v:textbox style="mso-fit-shape-to-text:t" inset="0,15pt,0,0">
                <w:txbxContent>
                  <w:p w14:paraId="058C479C" w14:textId="71A3E7FD" w:rsidR="00F77BC4" w:rsidRPr="00F77BC4" w:rsidRDefault="00F77BC4" w:rsidP="00F77BC4">
                    <w:pPr>
                      <w:spacing w:after="0"/>
                      <w:rPr>
                        <w:rFonts w:ascii="Aptos" w:eastAsia="Aptos" w:hAnsi="Aptos" w:cs="Aptos"/>
                        <w:noProof/>
                        <w:color w:val="000000"/>
                      </w:rPr>
                    </w:pPr>
                    <w:r w:rsidRPr="00F77BC4">
                      <w:rPr>
                        <w:rFonts w:ascii="Aptos" w:eastAsia="Aptos" w:hAnsi="Aptos" w:cs="Aptos"/>
                        <w:noProof/>
                        <w:color w:val="00000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E900F" w14:textId="04478A68" w:rsidR="00DE7BF8" w:rsidRPr="00DE7BF8" w:rsidRDefault="00744D73" w:rsidP="009F1D7F">
    <w:pPr>
      <w:pStyle w:val="Header"/>
      <w:jc w:val="left"/>
      <w:rPr>
        <w:rFonts w:ascii="Calibri" w:hAnsi="Calibri"/>
      </w:rPr>
    </w:pPr>
    <w:r w:rsidRPr="00744D73">
      <w:rPr>
        <w:rFonts w:ascii="Calibri" w:hAnsi="Calibri"/>
        <w:noProof/>
      </w:rPr>
      <mc:AlternateContent>
        <mc:Choice Requires="wps">
          <w:drawing>
            <wp:anchor distT="45720" distB="45720" distL="114300" distR="114300" simplePos="0" relativeHeight="251658245" behindDoc="0" locked="0" layoutInCell="1" allowOverlap="1" wp14:anchorId="3F0AA511" wp14:editId="1479BE6E">
              <wp:simplePos x="0" y="0"/>
              <wp:positionH relativeFrom="margin">
                <wp:posOffset>4863465</wp:posOffset>
              </wp:positionH>
              <wp:positionV relativeFrom="paragraph">
                <wp:posOffset>40005</wp:posOffset>
              </wp:positionV>
              <wp:extent cx="514350" cy="3238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23850"/>
                      </a:xfrm>
                      <a:prstGeom prst="rect">
                        <a:avLst/>
                      </a:prstGeom>
                      <a:solidFill>
                        <a:srgbClr val="FFFFFF"/>
                      </a:solidFill>
                      <a:ln w="9525">
                        <a:noFill/>
                        <a:miter lim="800000"/>
                        <a:headEnd/>
                        <a:tailEnd/>
                      </a:ln>
                    </wps:spPr>
                    <wps:txbx>
                      <w:txbxContent>
                        <w:p w14:paraId="77DD3AA6" w14:textId="2A685B1E" w:rsidR="00744D73" w:rsidRPr="00744D73" w:rsidRDefault="00744D73" w:rsidP="00744D73">
                          <w:pPr>
                            <w:spacing w:before="0"/>
                            <w:rPr>
                              <w:b/>
                              <w:bCs/>
                            </w:rPr>
                          </w:pPr>
                          <w:r w:rsidRPr="00744D73">
                            <w:rPr>
                              <w:b/>
                              <w:bCs/>
                            </w:rPr>
                            <w:t>C.</w:t>
                          </w:r>
                          <w:r w:rsidR="00080AF8">
                            <w:rPr>
                              <w:b/>
                              <w:bCs/>
                            </w:rPr>
                            <w:t>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0AA511" id="_x0000_t202" coordsize="21600,21600" o:spt="202" path="m,l,21600r21600,l21600,xe">
              <v:stroke joinstyle="miter"/>
              <v:path gradientshapeok="t" o:connecttype="rect"/>
            </v:shapetype>
            <v:shape id="Text Box 2" o:spid="_x0000_s1027" type="#_x0000_t202" style="position:absolute;margin-left:382.95pt;margin-top:3.15pt;width:40.5pt;height:25.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" stroked="f">
              <v:textbox>
                <w:txbxContent>
                  <w:p w14:paraId="77DD3AA6" w14:textId="2A685B1E" w:rsidR="00744D73" w:rsidRPr="00744D73" w:rsidRDefault="00744D73" w:rsidP="00744D73">
                    <w:pPr>
                      <w:spacing w:before="0"/>
                      <w:rPr>
                        <w:b/>
                        <w:bCs/>
                      </w:rPr>
                    </w:pPr>
                    <w:r w:rsidRPr="00744D73">
                      <w:rPr>
                        <w:b/>
                        <w:bCs/>
                      </w:rPr>
                      <w:t>C.</w:t>
                    </w:r>
                    <w:r w:rsidR="00080AF8">
                      <w:rPr>
                        <w:b/>
                        <w:bCs/>
                      </w:rPr>
                      <w:t>31</w:t>
                    </w:r>
                  </w:p>
                </w:txbxContent>
              </v:textbox>
              <w10:wrap anchorx="margin"/>
            </v:shape>
          </w:pict>
        </mc:Fallback>
      </mc:AlternateContent>
    </w:r>
    <w:r w:rsidR="003B7DC0">
      <w:rPr>
        <w:rFonts w:ascii="Calibri" w:hAnsi="Calibri"/>
        <w:noProof/>
      </w:rPr>
      <w:drawing>
        <wp:inline distT="0" distB="0" distL="0" distR="0" wp14:anchorId="5D55B95D" wp14:editId="5EC26DC7">
          <wp:extent cx="2802136" cy="540000"/>
          <wp:effectExtent l="0" t="0" r="0" b="0"/>
          <wp:docPr id="684245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75421" name="Picture 235375421"/>
                  <pic:cNvPicPr/>
                </pic:nvPicPr>
                <pic:blipFill>
                  <a:blip r:embed="rId1"/>
                  <a:stretch>
                    <a:fillRect/>
                  </a:stretch>
                </pic:blipFill>
                <pic:spPr>
                  <a:xfrm>
                    <a:off x="0" y="0"/>
                    <a:ext cx="2802136" cy="54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7EE56" w14:textId="09FC55C4" w:rsidR="00695F7C" w:rsidRDefault="00F77BC4">
    <w:pPr>
      <w:pStyle w:val="Header"/>
    </w:pPr>
    <w:r>
      <w:rPr>
        <w:noProof/>
      </w:rPr>
      <mc:AlternateContent>
        <mc:Choice Requires="wps">
          <w:drawing>
            <wp:anchor distT="0" distB="0" distL="0" distR="0" simplePos="0" relativeHeight="251658240" behindDoc="0" locked="0" layoutInCell="1" allowOverlap="1" wp14:anchorId="3072E6B8" wp14:editId="1CC5B54D">
              <wp:simplePos x="635" y="635"/>
              <wp:positionH relativeFrom="page">
                <wp:align>center</wp:align>
              </wp:positionH>
              <wp:positionV relativeFrom="page">
                <wp:align>top</wp:align>
              </wp:positionV>
              <wp:extent cx="1002665" cy="444500"/>
              <wp:effectExtent l="0" t="0" r="6985" b="12700"/>
              <wp:wrapNone/>
              <wp:docPr id="393193742" name="Text Box 49"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02665" cy="444500"/>
                      </a:xfrm>
                      <a:prstGeom prst="rect">
                        <a:avLst/>
                      </a:prstGeom>
                      <a:noFill/>
                      <a:ln>
                        <a:noFill/>
                      </a:ln>
                    </wps:spPr>
                    <wps:txbx>
                      <w:txbxContent>
                        <w:p w14:paraId="6D39C767" w14:textId="5CA3BAEB" w:rsidR="00F77BC4" w:rsidRPr="00F77BC4" w:rsidRDefault="00F77BC4" w:rsidP="00F77BC4">
                          <w:pPr>
                            <w:spacing w:after="0"/>
                            <w:rPr>
                              <w:rFonts w:ascii="Aptos" w:eastAsia="Aptos" w:hAnsi="Aptos" w:cs="Aptos"/>
                              <w:noProof/>
                              <w:color w:val="000000"/>
                            </w:rPr>
                          </w:pPr>
                          <w:r w:rsidRPr="00F77BC4">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72E6B8" id="_x0000_t202" coordsize="21600,21600" o:spt="202" path="m,l,21600r21600,l21600,xe">
              <v:stroke joinstyle="miter"/>
              <v:path gradientshapeok="t" o:connecttype="rect"/>
            </v:shapetype>
            <v:shape id="Text Box 49" o:spid="_x0000_s1029" type="#_x0000_t202" alt="[UNCLASSIFIED]" style="position:absolute;left:0;text-align:left;margin-left:0;margin-top:0;width:78.95pt;height:3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" filled="f" stroked="f">
              <v:textbox style="mso-fit-shape-to-text:t" inset="0,15pt,0,0">
                <w:txbxContent>
                  <w:p w14:paraId="6D39C767" w14:textId="5CA3BAEB" w:rsidR="00F77BC4" w:rsidRPr="00F77BC4" w:rsidRDefault="00F77BC4" w:rsidP="00F77BC4">
                    <w:pPr>
                      <w:spacing w:after="0"/>
                      <w:rPr>
                        <w:rFonts w:ascii="Aptos" w:eastAsia="Aptos" w:hAnsi="Aptos" w:cs="Aptos"/>
                        <w:noProof/>
                        <w:color w:val="000000"/>
                      </w:rPr>
                    </w:pPr>
                    <w:r w:rsidRPr="00F77BC4">
                      <w:rPr>
                        <w:rFonts w:ascii="Aptos" w:eastAsia="Aptos" w:hAnsi="Aptos" w:cs="Aptos"/>
                        <w:noProof/>
                        <w:color w:val="000000"/>
                      </w:rPr>
                      <w:t>[UNCLASSIFIED]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209D" w14:textId="7DFB91FD" w:rsidR="00E5210B" w:rsidRDefault="00E5210B" w:rsidP="0036151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8D68" w14:textId="5EE3DBF3" w:rsidR="00E5210B" w:rsidRDefault="00E52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CE7"/>
    <w:multiLevelType w:val="multilevel"/>
    <w:tmpl w:val="C074C710"/>
    <w:lvl w:ilvl="0">
      <w:start w:val="1"/>
      <w:numFmt w:val="lowerLetter"/>
      <w:lvlText w:val="%1."/>
      <w:lvlJc w:val="left"/>
      <w:pPr>
        <w:tabs>
          <w:tab w:val="num" w:pos="720"/>
        </w:tabs>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6907348"/>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AA937C0"/>
    <w:multiLevelType w:val="hybridMultilevel"/>
    <w:tmpl w:val="6B0C318C"/>
    <w:lvl w:ilvl="0" w:tplc="1409000F">
      <w:start w:val="1"/>
      <w:numFmt w:val="decimal"/>
      <w:lvlText w:val="%1."/>
      <w:lvlJc w:val="left"/>
      <w:pPr>
        <w:ind w:left="720" w:hanging="360"/>
      </w:pPr>
    </w:lvl>
    <w:lvl w:ilvl="1" w:tplc="32CAB862">
      <w:start w:val="1"/>
      <w:numFmt w:val="lowerLetter"/>
      <w:lvlText w:val="%2."/>
      <w:lvlJc w:val="left"/>
      <w:pPr>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3" w15:restartNumberingAfterBreak="0">
    <w:nsid w:val="0B0F5F0E"/>
    <w:multiLevelType w:val="multilevel"/>
    <w:tmpl w:val="6D4C952A"/>
    <w:lvl w:ilvl="0">
      <w:start w:val="1"/>
      <w:numFmt w:val="bullet"/>
      <w:lvlText w:val=""/>
      <w:lvlJc w:val="left"/>
      <w:pPr>
        <w:ind w:left="680" w:hanging="396"/>
      </w:pPr>
      <w:rPr>
        <w:rFonts w:ascii="Symbol" w:hAnsi="Symbol" w:hint="default"/>
        <w:color w:val="0F7B7D"/>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 w15:restartNumberingAfterBreak="0">
    <w:nsid w:val="11757409"/>
    <w:multiLevelType w:val="hybridMultilevel"/>
    <w:tmpl w:val="9296EF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CC2683A"/>
    <w:multiLevelType w:val="singleLevel"/>
    <w:tmpl w:val="14090001"/>
    <w:lvl w:ilvl="0">
      <w:start w:val="1"/>
      <w:numFmt w:val="bullet"/>
      <w:lvlText w:val=""/>
      <w:lvlJc w:val="left"/>
      <w:pPr>
        <w:tabs>
          <w:tab w:val="num" w:pos="397"/>
        </w:tabs>
        <w:ind w:left="0" w:firstLine="0"/>
      </w:pPr>
      <w:rPr>
        <w:rFonts w:ascii="Symbol" w:hAnsi="Symbol" w:hint="default"/>
      </w:rPr>
    </w:lvl>
  </w:abstractNum>
  <w:abstractNum w:abstractNumId="6" w15:restartNumberingAfterBreak="0">
    <w:nsid w:val="20115441"/>
    <w:multiLevelType w:val="multilevel"/>
    <w:tmpl w:val="45DECC76"/>
    <w:lvl w:ilvl="0">
      <w:start w:val="1"/>
      <w:numFmt w:val="decimal"/>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7"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8" w15:restartNumberingAfterBreak="0">
    <w:nsid w:val="208C5CF5"/>
    <w:multiLevelType w:val="multilevel"/>
    <w:tmpl w:val="D076DAB2"/>
    <w:lvl w:ilvl="0">
      <w:start w:val="1"/>
      <w:numFmt w:val="lowerLetter"/>
      <w:pStyle w:val="Sub-lista"/>
      <w:lvlText w:val="(%1)"/>
      <w:lvlJc w:val="left"/>
      <w:pPr>
        <w:ind w:left="794" w:hanging="397"/>
      </w:pPr>
      <w:rPr>
        <w:rFonts w:ascii="Calibri" w:hAnsi="Calibri" w:hint="default"/>
        <w:b w:val="0"/>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6B41433"/>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9E0204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D1A6BE2"/>
    <w:multiLevelType w:val="multilevel"/>
    <w:tmpl w:val="20FCAAE4"/>
    <w:lvl w:ilvl="0">
      <w:start w:val="1"/>
      <w:numFmt w:val="decimal"/>
      <w:pStyle w:val="Numberedparagraph"/>
      <w:lvlText w:val="%1."/>
      <w:lvlJc w:val="left"/>
      <w:pPr>
        <w:ind w:left="397" w:hanging="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13" w15:restartNumberingAfterBreak="0">
    <w:nsid w:val="2E6F201E"/>
    <w:multiLevelType w:val="multilevel"/>
    <w:tmpl w:val="C7440BB4"/>
    <w:numStyleLink w:val="Style2"/>
  </w:abstractNum>
  <w:abstractNum w:abstractNumId="14"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pStyle w:val="Heading6"/>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15" w15:restartNumberingAfterBreak="0">
    <w:nsid w:val="34B129E4"/>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95B04BD"/>
    <w:multiLevelType w:val="multilevel"/>
    <w:tmpl w:val="DB22692C"/>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C857CC9"/>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D465A16"/>
    <w:multiLevelType w:val="multilevel"/>
    <w:tmpl w:val="7CBA8A44"/>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7701FB"/>
    <w:multiLevelType w:val="hybridMultilevel"/>
    <w:tmpl w:val="0BA89340"/>
    <w:lvl w:ilvl="0" w:tplc="C04A679E">
      <w:start w:val="1"/>
      <w:numFmt w:val="bullet"/>
      <w:pStyle w:val="Bullet-dash"/>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2C3D35"/>
    <w:multiLevelType w:val="hybridMultilevel"/>
    <w:tmpl w:val="93E68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33207A0"/>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heme="minorEastAsia" w:hAnsi="Calibri" w:cstheme="minorBidi"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3D6104"/>
    <w:multiLevelType w:val="multilevel"/>
    <w:tmpl w:val="F15AC15A"/>
    <w:lvl w:ilvl="0">
      <w:start w:val="1"/>
      <w:numFmt w:val="lowerRoman"/>
      <w:lvlText w:val="%1)"/>
      <w:lvlJc w:val="left"/>
      <w:pPr>
        <w:tabs>
          <w:tab w:val="num" w:pos="794"/>
        </w:tabs>
        <w:ind w:left="794" w:hanging="397"/>
      </w:pPr>
      <w:rPr>
        <w:rFonts w:ascii="Calibri" w:hAnsi="Calibri" w:cs="Arial" w:hint="default"/>
        <w:b w:val="0"/>
        <w:i w:val="0"/>
        <w:sz w:val="22"/>
        <w:szCs w:val="22"/>
      </w:rPr>
    </w:lvl>
    <w:lvl w:ilvl="1">
      <w:start w:val="1"/>
      <w:numFmt w:val="lowerLetter"/>
      <w:lvlText w:val="%2."/>
      <w:lvlJc w:val="left"/>
      <w:pPr>
        <w:tabs>
          <w:tab w:val="num" w:pos="1043"/>
        </w:tabs>
        <w:ind w:left="1043" w:hanging="360"/>
      </w:pPr>
      <w:rPr>
        <w:rFonts w:hint="default"/>
      </w:rPr>
    </w:lvl>
    <w:lvl w:ilvl="2">
      <w:start w:val="1"/>
      <w:numFmt w:val="lowerRoman"/>
      <w:lvlText w:val="%3."/>
      <w:lvlJc w:val="right"/>
      <w:pPr>
        <w:tabs>
          <w:tab w:val="num" w:pos="1763"/>
        </w:tabs>
        <w:ind w:left="1763" w:hanging="180"/>
      </w:pPr>
      <w:rPr>
        <w:rFonts w:hint="default"/>
      </w:rPr>
    </w:lvl>
    <w:lvl w:ilvl="3">
      <w:start w:val="1"/>
      <w:numFmt w:val="decimal"/>
      <w:lvlText w:val="%4."/>
      <w:lvlJc w:val="left"/>
      <w:pPr>
        <w:tabs>
          <w:tab w:val="num" w:pos="2483"/>
        </w:tabs>
        <w:ind w:left="2483" w:hanging="360"/>
      </w:pPr>
      <w:rPr>
        <w:rFonts w:hint="default"/>
      </w:rPr>
    </w:lvl>
    <w:lvl w:ilvl="4">
      <w:start w:val="1"/>
      <w:numFmt w:val="lowerLetter"/>
      <w:lvlText w:val="%5."/>
      <w:lvlJc w:val="left"/>
      <w:pPr>
        <w:tabs>
          <w:tab w:val="num" w:pos="3203"/>
        </w:tabs>
        <w:ind w:left="3203" w:hanging="360"/>
      </w:pPr>
      <w:rPr>
        <w:rFonts w:hint="default"/>
      </w:rPr>
    </w:lvl>
    <w:lvl w:ilvl="5">
      <w:start w:val="1"/>
      <w:numFmt w:val="lowerRoman"/>
      <w:lvlText w:val="%6."/>
      <w:lvlJc w:val="right"/>
      <w:pPr>
        <w:tabs>
          <w:tab w:val="num" w:pos="3923"/>
        </w:tabs>
        <w:ind w:left="3923" w:hanging="180"/>
      </w:pPr>
      <w:rPr>
        <w:rFonts w:hint="default"/>
      </w:rPr>
    </w:lvl>
    <w:lvl w:ilvl="6">
      <w:start w:val="1"/>
      <w:numFmt w:val="decimal"/>
      <w:lvlText w:val="%7."/>
      <w:lvlJc w:val="left"/>
      <w:pPr>
        <w:tabs>
          <w:tab w:val="num" w:pos="4643"/>
        </w:tabs>
        <w:ind w:left="4643" w:hanging="360"/>
      </w:pPr>
      <w:rPr>
        <w:rFonts w:hint="default"/>
      </w:rPr>
    </w:lvl>
    <w:lvl w:ilvl="7">
      <w:start w:val="1"/>
      <w:numFmt w:val="lowerLetter"/>
      <w:lvlText w:val="%8."/>
      <w:lvlJc w:val="left"/>
      <w:pPr>
        <w:tabs>
          <w:tab w:val="num" w:pos="5363"/>
        </w:tabs>
        <w:ind w:left="5363" w:hanging="360"/>
      </w:pPr>
      <w:rPr>
        <w:rFonts w:hint="default"/>
      </w:rPr>
    </w:lvl>
    <w:lvl w:ilvl="8">
      <w:start w:val="1"/>
      <w:numFmt w:val="lowerRoman"/>
      <w:lvlText w:val="%9."/>
      <w:lvlJc w:val="right"/>
      <w:pPr>
        <w:tabs>
          <w:tab w:val="num" w:pos="6083"/>
        </w:tabs>
        <w:ind w:left="6083" w:hanging="180"/>
      </w:pPr>
      <w:rPr>
        <w:rFonts w:hint="default"/>
      </w:rPr>
    </w:lvl>
  </w:abstractNum>
  <w:abstractNum w:abstractNumId="24" w15:restartNumberingAfterBreak="0">
    <w:nsid w:val="4D643F5D"/>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3535234"/>
    <w:multiLevelType w:val="singleLevel"/>
    <w:tmpl w:val="3ACE82AE"/>
    <w:lvl w:ilvl="0">
      <w:start w:val="1"/>
      <w:numFmt w:val="bullet"/>
      <w:pStyle w:val="Boxbullet"/>
      <w:lvlText w:val=""/>
      <w:lvlJc w:val="left"/>
      <w:pPr>
        <w:ind w:left="644" w:hanging="360"/>
      </w:pPr>
      <w:rPr>
        <w:rFonts w:ascii="Symbol" w:hAnsi="Symbol" w:hint="default"/>
        <w:color w:val="005B73"/>
        <w:sz w:val="16"/>
      </w:rPr>
    </w:lvl>
  </w:abstractNum>
  <w:abstractNum w:abstractNumId="26" w15:restartNumberingAfterBreak="0">
    <w:nsid w:val="57A6321C"/>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A3B4A45"/>
    <w:multiLevelType w:val="hybridMultilevel"/>
    <w:tmpl w:val="E4A429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3B60280"/>
    <w:multiLevelType w:val="multilevel"/>
    <w:tmpl w:val="9FFC14DE"/>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78A6316"/>
    <w:multiLevelType w:val="hybridMultilevel"/>
    <w:tmpl w:val="F8BC0826"/>
    <w:lvl w:ilvl="0" w:tplc="2AF4521A">
      <w:start w:val="1"/>
      <w:numFmt w:val="bullet"/>
      <w:lvlText w:val=""/>
      <w:lvlJc w:val="left"/>
      <w:pPr>
        <w:ind w:left="720" w:hanging="360"/>
      </w:pPr>
      <w:rPr>
        <w:rFonts w:ascii="Symbol" w:hAnsi="Symbol" w:hint="default"/>
      </w:rPr>
    </w:lvl>
    <w:lvl w:ilvl="1" w:tplc="326CB890" w:tentative="1">
      <w:start w:val="1"/>
      <w:numFmt w:val="bullet"/>
      <w:lvlText w:val="o"/>
      <w:lvlJc w:val="left"/>
      <w:pPr>
        <w:ind w:left="1440" w:hanging="360"/>
      </w:pPr>
      <w:rPr>
        <w:rFonts w:ascii="Courier New" w:hAnsi="Courier New" w:cs="Courier New" w:hint="default"/>
      </w:rPr>
    </w:lvl>
    <w:lvl w:ilvl="2" w:tplc="03926F58" w:tentative="1">
      <w:start w:val="1"/>
      <w:numFmt w:val="bullet"/>
      <w:lvlText w:val=""/>
      <w:lvlJc w:val="left"/>
      <w:pPr>
        <w:ind w:left="2160" w:hanging="360"/>
      </w:pPr>
      <w:rPr>
        <w:rFonts w:ascii="Wingdings" w:hAnsi="Wingdings" w:hint="default"/>
      </w:rPr>
    </w:lvl>
    <w:lvl w:ilvl="3" w:tplc="F5ECFB66" w:tentative="1">
      <w:start w:val="1"/>
      <w:numFmt w:val="bullet"/>
      <w:lvlText w:val=""/>
      <w:lvlJc w:val="left"/>
      <w:pPr>
        <w:ind w:left="2880" w:hanging="360"/>
      </w:pPr>
      <w:rPr>
        <w:rFonts w:ascii="Symbol" w:hAnsi="Symbol" w:hint="default"/>
      </w:rPr>
    </w:lvl>
    <w:lvl w:ilvl="4" w:tplc="20B07310" w:tentative="1">
      <w:start w:val="1"/>
      <w:numFmt w:val="bullet"/>
      <w:lvlText w:val="o"/>
      <w:lvlJc w:val="left"/>
      <w:pPr>
        <w:ind w:left="3600" w:hanging="360"/>
      </w:pPr>
      <w:rPr>
        <w:rFonts w:ascii="Courier New" w:hAnsi="Courier New" w:cs="Courier New" w:hint="default"/>
      </w:rPr>
    </w:lvl>
    <w:lvl w:ilvl="5" w:tplc="94B42C86" w:tentative="1">
      <w:start w:val="1"/>
      <w:numFmt w:val="bullet"/>
      <w:lvlText w:val=""/>
      <w:lvlJc w:val="left"/>
      <w:pPr>
        <w:ind w:left="4320" w:hanging="360"/>
      </w:pPr>
      <w:rPr>
        <w:rFonts w:ascii="Wingdings" w:hAnsi="Wingdings" w:hint="default"/>
      </w:rPr>
    </w:lvl>
    <w:lvl w:ilvl="6" w:tplc="551A5E58" w:tentative="1">
      <w:start w:val="1"/>
      <w:numFmt w:val="bullet"/>
      <w:lvlText w:val=""/>
      <w:lvlJc w:val="left"/>
      <w:pPr>
        <w:ind w:left="5040" w:hanging="360"/>
      </w:pPr>
      <w:rPr>
        <w:rFonts w:ascii="Symbol" w:hAnsi="Symbol" w:hint="default"/>
      </w:rPr>
    </w:lvl>
    <w:lvl w:ilvl="7" w:tplc="DBBA094A" w:tentative="1">
      <w:start w:val="1"/>
      <w:numFmt w:val="bullet"/>
      <w:lvlText w:val="o"/>
      <w:lvlJc w:val="left"/>
      <w:pPr>
        <w:ind w:left="5760" w:hanging="360"/>
      </w:pPr>
      <w:rPr>
        <w:rFonts w:ascii="Courier New" w:hAnsi="Courier New" w:cs="Courier New" w:hint="default"/>
      </w:rPr>
    </w:lvl>
    <w:lvl w:ilvl="8" w:tplc="A3546D6C" w:tentative="1">
      <w:start w:val="1"/>
      <w:numFmt w:val="bullet"/>
      <w:lvlText w:val=""/>
      <w:lvlJc w:val="left"/>
      <w:pPr>
        <w:ind w:left="6480" w:hanging="360"/>
      </w:pPr>
      <w:rPr>
        <w:rFonts w:ascii="Wingdings" w:hAnsi="Wingdings" w:hint="default"/>
      </w:rPr>
    </w:lvl>
  </w:abstractNum>
  <w:abstractNum w:abstractNumId="30" w15:restartNumberingAfterBreak="0">
    <w:nsid w:val="684850E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C827DBB"/>
    <w:multiLevelType w:val="multilevel"/>
    <w:tmpl w:val="32EE4898"/>
    <w:lvl w:ilvl="0">
      <w:start w:val="1"/>
      <w:numFmt w:val="lowerLetter"/>
      <w:lvlText w:val="%1."/>
      <w:lvlJc w:val="left"/>
      <w:pPr>
        <w:ind w:left="794" w:hanging="397"/>
      </w:pPr>
      <w:rPr>
        <w:rFonts w:hint="default"/>
        <w:b w:val="0"/>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CB13B0"/>
    <w:multiLevelType w:val="hybridMultilevel"/>
    <w:tmpl w:val="46B4C580"/>
    <w:lvl w:ilvl="0" w:tplc="535C6468">
      <w:start w:val="1"/>
      <w:numFmt w:val="bullet"/>
      <w:lvlText w:val="‒"/>
      <w:lvlJc w:val="left"/>
      <w:pPr>
        <w:ind w:left="1004" w:hanging="360"/>
      </w:pPr>
      <w:rPr>
        <w:rFonts w:ascii="Calibri" w:hAnsi="Calibri" w:cs="Times New Roman" w:hint="default"/>
        <w:color w:val="0F7B7D"/>
        <w:sz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34" w15:restartNumberingAfterBreak="0">
    <w:nsid w:val="71BC1776"/>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4570D5C"/>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D37C41"/>
    <w:multiLevelType w:val="multilevel"/>
    <w:tmpl w:val="44BE9B1A"/>
    <w:lvl w:ilvl="0">
      <w:start w:val="3"/>
      <w:numFmt w:val="decimal"/>
      <w:lvlText w:val="%1."/>
      <w:lvlJc w:val="left"/>
      <w:pPr>
        <w:tabs>
          <w:tab w:val="num" w:pos="360"/>
        </w:tabs>
        <w:ind w:left="360" w:hanging="360"/>
      </w:pPr>
      <w:rPr>
        <w:rFonts w:asciiTheme="minorHAnsi" w:hAnsiTheme="minorHAnsi" w:hint="default"/>
        <w:sz w:val="22"/>
        <w:szCs w:val="22"/>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8" w15:restartNumberingAfterBreak="0">
    <w:nsid w:val="774B5215"/>
    <w:multiLevelType w:val="multilevel"/>
    <w:tmpl w:val="30BAB7A8"/>
    <w:lvl w:ilvl="0">
      <w:start w:val="1"/>
      <w:numFmt w:val="decimal"/>
      <w:lvlText w:val="%1."/>
      <w:lvlJc w:val="left"/>
      <w:pPr>
        <w:tabs>
          <w:tab w:val="num" w:pos="720"/>
        </w:tabs>
        <w:ind w:left="720" w:hanging="360"/>
      </w:pPr>
      <w:rPr>
        <w:rFonts w:asciiTheme="minorHAnsi" w:hAnsiTheme="minorHAnsi" w:hint="default"/>
        <w:sz w:val="22"/>
        <w:szCs w:val="22"/>
      </w:rPr>
    </w:lvl>
    <w:lvl w:ilvl="1">
      <w:start w:val="1"/>
      <w:numFmt w:val="lowerLetter"/>
      <w:lvlText w:val="%2."/>
      <w:lvlJc w:val="left"/>
      <w:pPr>
        <w:ind w:left="1440" w:hanging="360"/>
      </w:pPr>
    </w:lvl>
    <w:lvl w:ilvl="2">
      <w:start w:val="1"/>
      <w:numFmt w:val="lowerRoman"/>
      <w:lvlText w:val="%3."/>
      <w:lvlJc w:val="righ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7E4D254A"/>
    <w:multiLevelType w:val="singleLevel"/>
    <w:tmpl w:val="4BDCAC54"/>
    <w:lvl w:ilvl="0">
      <w:start w:val="1"/>
      <w:numFmt w:val="bullet"/>
      <w:lvlText w:val=""/>
      <w:lvlJc w:val="left"/>
      <w:pPr>
        <w:tabs>
          <w:tab w:val="num" w:pos="567"/>
        </w:tabs>
        <w:ind w:left="567" w:hanging="567"/>
      </w:pPr>
      <w:rPr>
        <w:rFonts w:ascii="Symbol" w:hAnsi="Symbol" w:hint="default"/>
        <w:color w:val="auto"/>
        <w:sz w:val="18"/>
        <w:szCs w:val="20"/>
      </w:rPr>
    </w:lvl>
  </w:abstractNum>
  <w:num w:numId="1" w16cid:durableId="848715540">
    <w:abstractNumId w:val="14"/>
  </w:num>
  <w:num w:numId="2" w16cid:durableId="1287734805">
    <w:abstractNumId w:val="25"/>
  </w:num>
  <w:num w:numId="3" w16cid:durableId="1538541818">
    <w:abstractNumId w:val="39"/>
  </w:num>
  <w:num w:numId="4" w16cid:durableId="550508225">
    <w:abstractNumId w:val="19"/>
  </w:num>
  <w:num w:numId="5" w16cid:durableId="745567648">
    <w:abstractNumId w:val="12"/>
  </w:num>
  <w:num w:numId="6" w16cid:durableId="2076933510">
    <w:abstractNumId w:val="8"/>
  </w:num>
  <w:num w:numId="7" w16cid:durableId="1899433097">
    <w:abstractNumId w:val="23"/>
  </w:num>
  <w:num w:numId="8" w16cid:durableId="1088233813">
    <w:abstractNumId w:val="22"/>
  </w:num>
  <w:num w:numId="9" w16cid:durableId="394550804">
    <w:abstractNumId w:val="36"/>
  </w:num>
  <w:num w:numId="10" w16cid:durableId="17093806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4602378">
    <w:abstractNumId w:val="2"/>
  </w:num>
  <w:num w:numId="12" w16cid:durableId="1912157551">
    <w:abstractNumId w:val="29"/>
  </w:num>
  <w:num w:numId="13" w16cid:durableId="797454537">
    <w:abstractNumId w:val="21"/>
  </w:num>
  <w:num w:numId="14" w16cid:durableId="284310654">
    <w:abstractNumId w:val="35"/>
  </w:num>
  <w:num w:numId="15" w16cid:durableId="1819420646">
    <w:abstractNumId w:val="20"/>
  </w:num>
  <w:num w:numId="16" w16cid:durableId="1770615197">
    <w:abstractNumId w:val="11"/>
  </w:num>
  <w:num w:numId="17" w16cid:durableId="1658604841">
    <w:abstractNumId w:val="30"/>
  </w:num>
  <w:num w:numId="18" w16cid:durableId="905535034">
    <w:abstractNumId w:val="26"/>
  </w:num>
  <w:num w:numId="19" w16cid:durableId="1465346826">
    <w:abstractNumId w:val="32"/>
  </w:num>
  <w:num w:numId="20" w16cid:durableId="676690097">
    <w:abstractNumId w:val="13"/>
  </w:num>
  <w:num w:numId="21" w16cid:durableId="2031447556">
    <w:abstractNumId w:val="27"/>
  </w:num>
  <w:num w:numId="22" w16cid:durableId="752623358">
    <w:abstractNumId w:val="5"/>
  </w:num>
  <w:num w:numId="23" w16cid:durableId="867841801">
    <w:abstractNumId w:val="24"/>
  </w:num>
  <w:num w:numId="24" w16cid:durableId="720790089">
    <w:abstractNumId w:val="15"/>
  </w:num>
  <w:num w:numId="25" w16cid:durableId="222520331">
    <w:abstractNumId w:val="34"/>
  </w:num>
  <w:num w:numId="26" w16cid:durableId="717584311">
    <w:abstractNumId w:val="28"/>
  </w:num>
  <w:num w:numId="27" w16cid:durableId="779765061">
    <w:abstractNumId w:val="1"/>
  </w:num>
  <w:num w:numId="28" w16cid:durableId="342437984">
    <w:abstractNumId w:val="17"/>
  </w:num>
  <w:num w:numId="29" w16cid:durableId="86079989">
    <w:abstractNumId w:val="9"/>
  </w:num>
  <w:num w:numId="30" w16cid:durableId="190724435">
    <w:abstractNumId w:val="4"/>
  </w:num>
  <w:num w:numId="31" w16cid:durableId="180439593">
    <w:abstractNumId w:val="3"/>
  </w:num>
  <w:num w:numId="32" w16cid:durableId="2007590403">
    <w:abstractNumId w:val="6"/>
  </w:num>
  <w:num w:numId="33" w16cid:durableId="1951621493">
    <w:abstractNumId w:val="10"/>
  </w:num>
  <w:num w:numId="34" w16cid:durableId="1425766684">
    <w:abstractNumId w:val="18"/>
  </w:num>
  <w:num w:numId="35" w16cid:durableId="11616712">
    <w:abstractNumId w:val="16"/>
  </w:num>
  <w:num w:numId="36" w16cid:durableId="1911882459">
    <w:abstractNumId w:val="7"/>
  </w:num>
  <w:num w:numId="37" w16cid:durableId="1044714646">
    <w:abstractNumId w:val="33"/>
  </w:num>
  <w:num w:numId="38" w16cid:durableId="19952593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8970103">
    <w:abstractNumId w:val="37"/>
  </w:num>
  <w:num w:numId="40" w16cid:durableId="1091900033">
    <w:abstractNumId w:val="31"/>
  </w:num>
  <w:num w:numId="41" w16cid:durableId="771440721">
    <w:abstractNumId w:val="38"/>
  </w:num>
  <w:num w:numId="42" w16cid:durableId="671878383">
    <w:abstractNumId w:val="0"/>
  </w:num>
  <w:num w:numId="43" w16cid:durableId="362823774">
    <w:abstractNumId w:val="12"/>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efaultTabStop w:val="397"/>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7C"/>
    <w:rsid w:val="00000792"/>
    <w:rsid w:val="00000F04"/>
    <w:rsid w:val="00003C4F"/>
    <w:rsid w:val="00004E0A"/>
    <w:rsid w:val="00004FD3"/>
    <w:rsid w:val="00006DF5"/>
    <w:rsid w:val="00006F95"/>
    <w:rsid w:val="00007023"/>
    <w:rsid w:val="0000709F"/>
    <w:rsid w:val="000071D6"/>
    <w:rsid w:val="00007F2D"/>
    <w:rsid w:val="00007FAC"/>
    <w:rsid w:val="00010A9C"/>
    <w:rsid w:val="00010ABA"/>
    <w:rsid w:val="00010E15"/>
    <w:rsid w:val="00010F57"/>
    <w:rsid w:val="0001100C"/>
    <w:rsid w:val="00011188"/>
    <w:rsid w:val="00012555"/>
    <w:rsid w:val="00012A27"/>
    <w:rsid w:val="0001303C"/>
    <w:rsid w:val="00014236"/>
    <w:rsid w:val="000148F6"/>
    <w:rsid w:val="00015217"/>
    <w:rsid w:val="000159D2"/>
    <w:rsid w:val="00016264"/>
    <w:rsid w:val="00016993"/>
    <w:rsid w:val="00016CAB"/>
    <w:rsid w:val="00016E5B"/>
    <w:rsid w:val="0001749B"/>
    <w:rsid w:val="00017D75"/>
    <w:rsid w:val="00017FE5"/>
    <w:rsid w:val="00021910"/>
    <w:rsid w:val="00022E8D"/>
    <w:rsid w:val="0002348A"/>
    <w:rsid w:val="000235B5"/>
    <w:rsid w:val="00023BDA"/>
    <w:rsid w:val="00024708"/>
    <w:rsid w:val="00024EE7"/>
    <w:rsid w:val="00025F96"/>
    <w:rsid w:val="00025FAB"/>
    <w:rsid w:val="00026E89"/>
    <w:rsid w:val="000275A3"/>
    <w:rsid w:val="00030558"/>
    <w:rsid w:val="00030699"/>
    <w:rsid w:val="00030725"/>
    <w:rsid w:val="00030DB8"/>
    <w:rsid w:val="00031A83"/>
    <w:rsid w:val="0003213A"/>
    <w:rsid w:val="00032A81"/>
    <w:rsid w:val="000340D8"/>
    <w:rsid w:val="0003427D"/>
    <w:rsid w:val="00034DFA"/>
    <w:rsid w:val="000357ED"/>
    <w:rsid w:val="00035E15"/>
    <w:rsid w:val="00035FBC"/>
    <w:rsid w:val="0003640E"/>
    <w:rsid w:val="0003688A"/>
    <w:rsid w:val="000368FC"/>
    <w:rsid w:val="00036A0D"/>
    <w:rsid w:val="00036DA3"/>
    <w:rsid w:val="000379BF"/>
    <w:rsid w:val="00037BEC"/>
    <w:rsid w:val="000400D9"/>
    <w:rsid w:val="0004035C"/>
    <w:rsid w:val="00040860"/>
    <w:rsid w:val="00040CED"/>
    <w:rsid w:val="00040EA1"/>
    <w:rsid w:val="0004205F"/>
    <w:rsid w:val="000423C6"/>
    <w:rsid w:val="00042EDB"/>
    <w:rsid w:val="00044A50"/>
    <w:rsid w:val="00044C65"/>
    <w:rsid w:val="000458C7"/>
    <w:rsid w:val="00045991"/>
    <w:rsid w:val="00045E5C"/>
    <w:rsid w:val="00046288"/>
    <w:rsid w:val="00047941"/>
    <w:rsid w:val="00050A22"/>
    <w:rsid w:val="00050E27"/>
    <w:rsid w:val="0005144F"/>
    <w:rsid w:val="00051AF1"/>
    <w:rsid w:val="00051D42"/>
    <w:rsid w:val="000538A1"/>
    <w:rsid w:val="00055375"/>
    <w:rsid w:val="00056319"/>
    <w:rsid w:val="000564E7"/>
    <w:rsid w:val="00056770"/>
    <w:rsid w:val="00057386"/>
    <w:rsid w:val="00057EEF"/>
    <w:rsid w:val="000619CB"/>
    <w:rsid w:val="00061F36"/>
    <w:rsid w:val="00062387"/>
    <w:rsid w:val="00062F81"/>
    <w:rsid w:val="00063B14"/>
    <w:rsid w:val="000640F0"/>
    <w:rsid w:val="0006434D"/>
    <w:rsid w:val="000643A1"/>
    <w:rsid w:val="00064679"/>
    <w:rsid w:val="00064A13"/>
    <w:rsid w:val="00064AF4"/>
    <w:rsid w:val="00064DB1"/>
    <w:rsid w:val="00065BA3"/>
    <w:rsid w:val="00065D3B"/>
    <w:rsid w:val="000667E9"/>
    <w:rsid w:val="00067128"/>
    <w:rsid w:val="000675CD"/>
    <w:rsid w:val="00067872"/>
    <w:rsid w:val="000678AC"/>
    <w:rsid w:val="000703B2"/>
    <w:rsid w:val="00070FBF"/>
    <w:rsid w:val="000711EE"/>
    <w:rsid w:val="0007180E"/>
    <w:rsid w:val="00071AE4"/>
    <w:rsid w:val="00071CB5"/>
    <w:rsid w:val="00071CCB"/>
    <w:rsid w:val="00071D03"/>
    <w:rsid w:val="0007232B"/>
    <w:rsid w:val="000735A2"/>
    <w:rsid w:val="0007517E"/>
    <w:rsid w:val="00075FE1"/>
    <w:rsid w:val="00076667"/>
    <w:rsid w:val="00077473"/>
    <w:rsid w:val="00077481"/>
    <w:rsid w:val="000776F9"/>
    <w:rsid w:val="00077EE0"/>
    <w:rsid w:val="000802F9"/>
    <w:rsid w:val="00080AF8"/>
    <w:rsid w:val="0008145A"/>
    <w:rsid w:val="0008162D"/>
    <w:rsid w:val="0008227E"/>
    <w:rsid w:val="000831C8"/>
    <w:rsid w:val="00083F5E"/>
    <w:rsid w:val="00084FDB"/>
    <w:rsid w:val="0008505C"/>
    <w:rsid w:val="00085C46"/>
    <w:rsid w:val="0008686A"/>
    <w:rsid w:val="00087175"/>
    <w:rsid w:val="00087D35"/>
    <w:rsid w:val="00087E36"/>
    <w:rsid w:val="0009132D"/>
    <w:rsid w:val="00091796"/>
    <w:rsid w:val="00091BA2"/>
    <w:rsid w:val="00091CB0"/>
    <w:rsid w:val="00094344"/>
    <w:rsid w:val="000953C6"/>
    <w:rsid w:val="000953F4"/>
    <w:rsid w:val="00095838"/>
    <w:rsid w:val="0009590C"/>
    <w:rsid w:val="000959E7"/>
    <w:rsid w:val="00095C45"/>
    <w:rsid w:val="00095E7D"/>
    <w:rsid w:val="000964DE"/>
    <w:rsid w:val="000972AB"/>
    <w:rsid w:val="00097B40"/>
    <w:rsid w:val="00097D0E"/>
    <w:rsid w:val="000A109B"/>
    <w:rsid w:val="000A17EA"/>
    <w:rsid w:val="000A1C7A"/>
    <w:rsid w:val="000A2345"/>
    <w:rsid w:val="000A2394"/>
    <w:rsid w:val="000A31C1"/>
    <w:rsid w:val="000A32C5"/>
    <w:rsid w:val="000A3411"/>
    <w:rsid w:val="000A34CA"/>
    <w:rsid w:val="000A426F"/>
    <w:rsid w:val="000A4559"/>
    <w:rsid w:val="000A45FD"/>
    <w:rsid w:val="000A477B"/>
    <w:rsid w:val="000A558D"/>
    <w:rsid w:val="000A5611"/>
    <w:rsid w:val="000A563C"/>
    <w:rsid w:val="000A59C5"/>
    <w:rsid w:val="000A5DEA"/>
    <w:rsid w:val="000A5EBD"/>
    <w:rsid w:val="000A7658"/>
    <w:rsid w:val="000A7F0F"/>
    <w:rsid w:val="000A7F4C"/>
    <w:rsid w:val="000B02BC"/>
    <w:rsid w:val="000B0498"/>
    <w:rsid w:val="000B0F36"/>
    <w:rsid w:val="000B1942"/>
    <w:rsid w:val="000B1BED"/>
    <w:rsid w:val="000B2240"/>
    <w:rsid w:val="000B2477"/>
    <w:rsid w:val="000B2600"/>
    <w:rsid w:val="000B36F9"/>
    <w:rsid w:val="000B4074"/>
    <w:rsid w:val="000B4732"/>
    <w:rsid w:val="000B4BCD"/>
    <w:rsid w:val="000B66DC"/>
    <w:rsid w:val="000B6D1F"/>
    <w:rsid w:val="000C062F"/>
    <w:rsid w:val="000C17E7"/>
    <w:rsid w:val="000C3270"/>
    <w:rsid w:val="000C577E"/>
    <w:rsid w:val="000D0317"/>
    <w:rsid w:val="000D04BA"/>
    <w:rsid w:val="000D0B6E"/>
    <w:rsid w:val="000D0D65"/>
    <w:rsid w:val="000D12E0"/>
    <w:rsid w:val="000D1944"/>
    <w:rsid w:val="000D1DD9"/>
    <w:rsid w:val="000D2172"/>
    <w:rsid w:val="000D293C"/>
    <w:rsid w:val="000D2BC1"/>
    <w:rsid w:val="000D337B"/>
    <w:rsid w:val="000D385A"/>
    <w:rsid w:val="000D38C2"/>
    <w:rsid w:val="000D3CA7"/>
    <w:rsid w:val="000D5B16"/>
    <w:rsid w:val="000D5FD6"/>
    <w:rsid w:val="000D6201"/>
    <w:rsid w:val="000D6488"/>
    <w:rsid w:val="000D7088"/>
    <w:rsid w:val="000D770B"/>
    <w:rsid w:val="000D788E"/>
    <w:rsid w:val="000E12B0"/>
    <w:rsid w:val="000E1BC8"/>
    <w:rsid w:val="000E1D32"/>
    <w:rsid w:val="000E26D8"/>
    <w:rsid w:val="000E2B94"/>
    <w:rsid w:val="000E3156"/>
    <w:rsid w:val="000E35B6"/>
    <w:rsid w:val="000E3BB8"/>
    <w:rsid w:val="000E3D9B"/>
    <w:rsid w:val="000E3DFD"/>
    <w:rsid w:val="000E4261"/>
    <w:rsid w:val="000E4697"/>
    <w:rsid w:val="000E58C5"/>
    <w:rsid w:val="000E6203"/>
    <w:rsid w:val="000E64CB"/>
    <w:rsid w:val="000E722C"/>
    <w:rsid w:val="000E755B"/>
    <w:rsid w:val="000E786F"/>
    <w:rsid w:val="000E7DA7"/>
    <w:rsid w:val="000E7FA0"/>
    <w:rsid w:val="000F00BA"/>
    <w:rsid w:val="000F02F8"/>
    <w:rsid w:val="000F0409"/>
    <w:rsid w:val="000F049F"/>
    <w:rsid w:val="000F0642"/>
    <w:rsid w:val="000F07FA"/>
    <w:rsid w:val="000F0B5E"/>
    <w:rsid w:val="000F1D43"/>
    <w:rsid w:val="000F1FFF"/>
    <w:rsid w:val="000F20AA"/>
    <w:rsid w:val="000F2651"/>
    <w:rsid w:val="000F348D"/>
    <w:rsid w:val="000F369A"/>
    <w:rsid w:val="000F4463"/>
    <w:rsid w:val="000F5285"/>
    <w:rsid w:val="000F52E0"/>
    <w:rsid w:val="000F53A9"/>
    <w:rsid w:val="000F6464"/>
    <w:rsid w:val="000F6628"/>
    <w:rsid w:val="000F6C25"/>
    <w:rsid w:val="000F76EB"/>
    <w:rsid w:val="000F78AE"/>
    <w:rsid w:val="000F7E25"/>
    <w:rsid w:val="001007EE"/>
    <w:rsid w:val="00100F76"/>
    <w:rsid w:val="0010148E"/>
    <w:rsid w:val="001018BB"/>
    <w:rsid w:val="0010253C"/>
    <w:rsid w:val="00102BD1"/>
    <w:rsid w:val="0010486A"/>
    <w:rsid w:val="0010561C"/>
    <w:rsid w:val="00105C0F"/>
    <w:rsid w:val="00105E39"/>
    <w:rsid w:val="00106561"/>
    <w:rsid w:val="00106D63"/>
    <w:rsid w:val="001075F3"/>
    <w:rsid w:val="00107A01"/>
    <w:rsid w:val="00107C23"/>
    <w:rsid w:val="00110307"/>
    <w:rsid w:val="00110C7F"/>
    <w:rsid w:val="00110EE2"/>
    <w:rsid w:val="00111A7A"/>
    <w:rsid w:val="00111A88"/>
    <w:rsid w:val="0011221A"/>
    <w:rsid w:val="00113283"/>
    <w:rsid w:val="001137AE"/>
    <w:rsid w:val="00113B20"/>
    <w:rsid w:val="001147B3"/>
    <w:rsid w:val="001148F7"/>
    <w:rsid w:val="001149B2"/>
    <w:rsid w:val="00114C2D"/>
    <w:rsid w:val="00115125"/>
    <w:rsid w:val="001152F2"/>
    <w:rsid w:val="001154D6"/>
    <w:rsid w:val="001157D7"/>
    <w:rsid w:val="00116382"/>
    <w:rsid w:val="00116484"/>
    <w:rsid w:val="00116ACF"/>
    <w:rsid w:val="00116D5C"/>
    <w:rsid w:val="001172B2"/>
    <w:rsid w:val="00117F9B"/>
    <w:rsid w:val="001201AD"/>
    <w:rsid w:val="00121211"/>
    <w:rsid w:val="00121628"/>
    <w:rsid w:val="0012167D"/>
    <w:rsid w:val="00122189"/>
    <w:rsid w:val="00122280"/>
    <w:rsid w:val="00122D42"/>
    <w:rsid w:val="00123345"/>
    <w:rsid w:val="00123C46"/>
    <w:rsid w:val="0012470B"/>
    <w:rsid w:val="00125C75"/>
    <w:rsid w:val="00125C7E"/>
    <w:rsid w:val="001266AE"/>
    <w:rsid w:val="00127945"/>
    <w:rsid w:val="00127D94"/>
    <w:rsid w:val="00127E90"/>
    <w:rsid w:val="001302C1"/>
    <w:rsid w:val="001306D3"/>
    <w:rsid w:val="00130A41"/>
    <w:rsid w:val="001310BF"/>
    <w:rsid w:val="00133E73"/>
    <w:rsid w:val="00133FDB"/>
    <w:rsid w:val="00134F4A"/>
    <w:rsid w:val="001351CB"/>
    <w:rsid w:val="00135E4E"/>
    <w:rsid w:val="00136246"/>
    <w:rsid w:val="001364D4"/>
    <w:rsid w:val="001371C8"/>
    <w:rsid w:val="001372ED"/>
    <w:rsid w:val="00140FEF"/>
    <w:rsid w:val="00142B50"/>
    <w:rsid w:val="00143873"/>
    <w:rsid w:val="001439E9"/>
    <w:rsid w:val="00143C55"/>
    <w:rsid w:val="00144C6F"/>
    <w:rsid w:val="00145089"/>
    <w:rsid w:val="001451E7"/>
    <w:rsid w:val="001462E3"/>
    <w:rsid w:val="0014720C"/>
    <w:rsid w:val="001472C2"/>
    <w:rsid w:val="00147458"/>
    <w:rsid w:val="00147E21"/>
    <w:rsid w:val="00150BA8"/>
    <w:rsid w:val="00150D19"/>
    <w:rsid w:val="0015181B"/>
    <w:rsid w:val="00151A9F"/>
    <w:rsid w:val="00152B87"/>
    <w:rsid w:val="00153A96"/>
    <w:rsid w:val="00153D1C"/>
    <w:rsid w:val="001543E2"/>
    <w:rsid w:val="00155B43"/>
    <w:rsid w:val="001565A2"/>
    <w:rsid w:val="001567C3"/>
    <w:rsid w:val="00156A12"/>
    <w:rsid w:val="00157B3F"/>
    <w:rsid w:val="00157F8A"/>
    <w:rsid w:val="00160C3D"/>
    <w:rsid w:val="00160FE6"/>
    <w:rsid w:val="00161B24"/>
    <w:rsid w:val="00161C41"/>
    <w:rsid w:val="00161DD5"/>
    <w:rsid w:val="001633A4"/>
    <w:rsid w:val="001634D6"/>
    <w:rsid w:val="001648DD"/>
    <w:rsid w:val="00165705"/>
    <w:rsid w:val="00166389"/>
    <w:rsid w:val="00166E03"/>
    <w:rsid w:val="00167E4C"/>
    <w:rsid w:val="00171449"/>
    <w:rsid w:val="0017199C"/>
    <w:rsid w:val="00171C7E"/>
    <w:rsid w:val="00171F35"/>
    <w:rsid w:val="00172552"/>
    <w:rsid w:val="00172873"/>
    <w:rsid w:val="00172CF7"/>
    <w:rsid w:val="0017319E"/>
    <w:rsid w:val="00173A1F"/>
    <w:rsid w:val="00173BC3"/>
    <w:rsid w:val="00174128"/>
    <w:rsid w:val="00174F71"/>
    <w:rsid w:val="00175C34"/>
    <w:rsid w:val="00175F9A"/>
    <w:rsid w:val="00176E98"/>
    <w:rsid w:val="00177996"/>
    <w:rsid w:val="00180B3F"/>
    <w:rsid w:val="00180C83"/>
    <w:rsid w:val="00180CE5"/>
    <w:rsid w:val="0018175B"/>
    <w:rsid w:val="001820A3"/>
    <w:rsid w:val="0018332A"/>
    <w:rsid w:val="00183D80"/>
    <w:rsid w:val="001842C8"/>
    <w:rsid w:val="00185044"/>
    <w:rsid w:val="001850DB"/>
    <w:rsid w:val="0018599C"/>
    <w:rsid w:val="001869EE"/>
    <w:rsid w:val="00186D00"/>
    <w:rsid w:val="0018743A"/>
    <w:rsid w:val="00190A57"/>
    <w:rsid w:val="00190B3F"/>
    <w:rsid w:val="0019122C"/>
    <w:rsid w:val="00191908"/>
    <w:rsid w:val="00192DF3"/>
    <w:rsid w:val="0019301F"/>
    <w:rsid w:val="00193286"/>
    <w:rsid w:val="001937B8"/>
    <w:rsid w:val="00193E4B"/>
    <w:rsid w:val="00194BB7"/>
    <w:rsid w:val="00194CC5"/>
    <w:rsid w:val="001951B2"/>
    <w:rsid w:val="0019565D"/>
    <w:rsid w:val="00197564"/>
    <w:rsid w:val="00197EC2"/>
    <w:rsid w:val="00197ECE"/>
    <w:rsid w:val="001A1CED"/>
    <w:rsid w:val="001A279B"/>
    <w:rsid w:val="001A2DC3"/>
    <w:rsid w:val="001A2E87"/>
    <w:rsid w:val="001A3869"/>
    <w:rsid w:val="001A38C2"/>
    <w:rsid w:val="001A65C8"/>
    <w:rsid w:val="001A732E"/>
    <w:rsid w:val="001A7F30"/>
    <w:rsid w:val="001B06E2"/>
    <w:rsid w:val="001B103A"/>
    <w:rsid w:val="001B103D"/>
    <w:rsid w:val="001B1513"/>
    <w:rsid w:val="001B1767"/>
    <w:rsid w:val="001B2453"/>
    <w:rsid w:val="001B35E1"/>
    <w:rsid w:val="001B3D48"/>
    <w:rsid w:val="001B5AF9"/>
    <w:rsid w:val="001B6600"/>
    <w:rsid w:val="001B6B9B"/>
    <w:rsid w:val="001B6C27"/>
    <w:rsid w:val="001B6D2F"/>
    <w:rsid w:val="001B7144"/>
    <w:rsid w:val="001B7E91"/>
    <w:rsid w:val="001C147E"/>
    <w:rsid w:val="001C151B"/>
    <w:rsid w:val="001C19E5"/>
    <w:rsid w:val="001C3666"/>
    <w:rsid w:val="001C3800"/>
    <w:rsid w:val="001C3C7B"/>
    <w:rsid w:val="001C6122"/>
    <w:rsid w:val="001C6587"/>
    <w:rsid w:val="001C69BE"/>
    <w:rsid w:val="001C6DB5"/>
    <w:rsid w:val="001C71AC"/>
    <w:rsid w:val="001C7316"/>
    <w:rsid w:val="001C7E5C"/>
    <w:rsid w:val="001D00CC"/>
    <w:rsid w:val="001D02B8"/>
    <w:rsid w:val="001D0494"/>
    <w:rsid w:val="001D07B7"/>
    <w:rsid w:val="001D1719"/>
    <w:rsid w:val="001D171B"/>
    <w:rsid w:val="001D1732"/>
    <w:rsid w:val="001D1E2E"/>
    <w:rsid w:val="001D2203"/>
    <w:rsid w:val="001D255C"/>
    <w:rsid w:val="001D2DEF"/>
    <w:rsid w:val="001D30BB"/>
    <w:rsid w:val="001D488C"/>
    <w:rsid w:val="001D4CDF"/>
    <w:rsid w:val="001D4F88"/>
    <w:rsid w:val="001D578D"/>
    <w:rsid w:val="001D5818"/>
    <w:rsid w:val="001D5D62"/>
    <w:rsid w:val="001D653A"/>
    <w:rsid w:val="001D7DEE"/>
    <w:rsid w:val="001E02CB"/>
    <w:rsid w:val="001E0F22"/>
    <w:rsid w:val="001E14FD"/>
    <w:rsid w:val="001E180F"/>
    <w:rsid w:val="001E1C64"/>
    <w:rsid w:val="001E1CEC"/>
    <w:rsid w:val="001E1DB9"/>
    <w:rsid w:val="001E2ECB"/>
    <w:rsid w:val="001E4B64"/>
    <w:rsid w:val="001E552A"/>
    <w:rsid w:val="001E57B9"/>
    <w:rsid w:val="001E6E8D"/>
    <w:rsid w:val="001E7EE4"/>
    <w:rsid w:val="001E7F76"/>
    <w:rsid w:val="001F0FAF"/>
    <w:rsid w:val="001F139F"/>
    <w:rsid w:val="001F2805"/>
    <w:rsid w:val="001F2E79"/>
    <w:rsid w:val="001F2F07"/>
    <w:rsid w:val="001F3123"/>
    <w:rsid w:val="001F376D"/>
    <w:rsid w:val="001F418C"/>
    <w:rsid w:val="001F4B2D"/>
    <w:rsid w:val="001F4F40"/>
    <w:rsid w:val="001F50E0"/>
    <w:rsid w:val="001F5926"/>
    <w:rsid w:val="001F594C"/>
    <w:rsid w:val="001F69FC"/>
    <w:rsid w:val="001F6D62"/>
    <w:rsid w:val="001F7675"/>
    <w:rsid w:val="00200FAE"/>
    <w:rsid w:val="0020102D"/>
    <w:rsid w:val="002010E2"/>
    <w:rsid w:val="00201B73"/>
    <w:rsid w:val="00202517"/>
    <w:rsid w:val="00202ADB"/>
    <w:rsid w:val="00202BB7"/>
    <w:rsid w:val="0020435B"/>
    <w:rsid w:val="00204533"/>
    <w:rsid w:val="00204F2D"/>
    <w:rsid w:val="00205566"/>
    <w:rsid w:val="002063AA"/>
    <w:rsid w:val="00210549"/>
    <w:rsid w:val="0021069E"/>
    <w:rsid w:val="00210804"/>
    <w:rsid w:val="0021088F"/>
    <w:rsid w:val="002113FE"/>
    <w:rsid w:val="00211737"/>
    <w:rsid w:val="0021181B"/>
    <w:rsid w:val="0021230F"/>
    <w:rsid w:val="002125B0"/>
    <w:rsid w:val="002125F6"/>
    <w:rsid w:val="00212A82"/>
    <w:rsid w:val="00213075"/>
    <w:rsid w:val="00214EA2"/>
    <w:rsid w:val="002160FA"/>
    <w:rsid w:val="002166DD"/>
    <w:rsid w:val="002168A2"/>
    <w:rsid w:val="00216AC3"/>
    <w:rsid w:val="00217867"/>
    <w:rsid w:val="002205E4"/>
    <w:rsid w:val="00220D67"/>
    <w:rsid w:val="002215F8"/>
    <w:rsid w:val="00221F80"/>
    <w:rsid w:val="0022273A"/>
    <w:rsid w:val="00222D28"/>
    <w:rsid w:val="00223CF4"/>
    <w:rsid w:val="00224220"/>
    <w:rsid w:val="00224398"/>
    <w:rsid w:val="00224A81"/>
    <w:rsid w:val="00224E91"/>
    <w:rsid w:val="00225B4C"/>
    <w:rsid w:val="00225E1E"/>
    <w:rsid w:val="00226129"/>
    <w:rsid w:val="0022614D"/>
    <w:rsid w:val="00226AA2"/>
    <w:rsid w:val="00227218"/>
    <w:rsid w:val="0022770A"/>
    <w:rsid w:val="00227BEE"/>
    <w:rsid w:val="00227FB4"/>
    <w:rsid w:val="0023057E"/>
    <w:rsid w:val="002312BC"/>
    <w:rsid w:val="002337E5"/>
    <w:rsid w:val="00233C06"/>
    <w:rsid w:val="00233F24"/>
    <w:rsid w:val="00234BBB"/>
    <w:rsid w:val="002355A4"/>
    <w:rsid w:val="002356F4"/>
    <w:rsid w:val="00235F02"/>
    <w:rsid w:val="00236D28"/>
    <w:rsid w:val="00237FE4"/>
    <w:rsid w:val="00240656"/>
    <w:rsid w:val="00241610"/>
    <w:rsid w:val="00241AED"/>
    <w:rsid w:val="00243182"/>
    <w:rsid w:val="002438E5"/>
    <w:rsid w:val="00243928"/>
    <w:rsid w:val="00243946"/>
    <w:rsid w:val="00243BC5"/>
    <w:rsid w:val="00243C7D"/>
    <w:rsid w:val="00243E9A"/>
    <w:rsid w:val="00244371"/>
    <w:rsid w:val="00244AF8"/>
    <w:rsid w:val="00244BC5"/>
    <w:rsid w:val="00244E68"/>
    <w:rsid w:val="002456C5"/>
    <w:rsid w:val="00245ABE"/>
    <w:rsid w:val="00245C0B"/>
    <w:rsid w:val="00246EAE"/>
    <w:rsid w:val="00247116"/>
    <w:rsid w:val="002471E5"/>
    <w:rsid w:val="002517A8"/>
    <w:rsid w:val="00251EEE"/>
    <w:rsid w:val="00253177"/>
    <w:rsid w:val="002538B8"/>
    <w:rsid w:val="0025396F"/>
    <w:rsid w:val="00254319"/>
    <w:rsid w:val="002546A4"/>
    <w:rsid w:val="0025539F"/>
    <w:rsid w:val="00256388"/>
    <w:rsid w:val="00256E44"/>
    <w:rsid w:val="002605BF"/>
    <w:rsid w:val="00260919"/>
    <w:rsid w:val="002612FD"/>
    <w:rsid w:val="002613DC"/>
    <w:rsid w:val="00261755"/>
    <w:rsid w:val="00261AAA"/>
    <w:rsid w:val="00262097"/>
    <w:rsid w:val="00262D20"/>
    <w:rsid w:val="002634AB"/>
    <w:rsid w:val="002638E0"/>
    <w:rsid w:val="00263C19"/>
    <w:rsid w:val="00263E9F"/>
    <w:rsid w:val="00264F03"/>
    <w:rsid w:val="00264F8F"/>
    <w:rsid w:val="002655AE"/>
    <w:rsid w:val="0026591F"/>
    <w:rsid w:val="00265A65"/>
    <w:rsid w:val="002660F0"/>
    <w:rsid w:val="002675B6"/>
    <w:rsid w:val="00267A99"/>
    <w:rsid w:val="00270271"/>
    <w:rsid w:val="00272174"/>
    <w:rsid w:val="002721A6"/>
    <w:rsid w:val="002722E0"/>
    <w:rsid w:val="002730EC"/>
    <w:rsid w:val="00273100"/>
    <w:rsid w:val="002735CC"/>
    <w:rsid w:val="00274588"/>
    <w:rsid w:val="00274A67"/>
    <w:rsid w:val="00274AA2"/>
    <w:rsid w:val="002756EF"/>
    <w:rsid w:val="00275708"/>
    <w:rsid w:val="002768CF"/>
    <w:rsid w:val="00276F82"/>
    <w:rsid w:val="002805DF"/>
    <w:rsid w:val="0028092D"/>
    <w:rsid w:val="002815D9"/>
    <w:rsid w:val="00282317"/>
    <w:rsid w:val="00282D25"/>
    <w:rsid w:val="00282DF9"/>
    <w:rsid w:val="00283A44"/>
    <w:rsid w:val="0028529F"/>
    <w:rsid w:val="00285687"/>
    <w:rsid w:val="00287649"/>
    <w:rsid w:val="00287867"/>
    <w:rsid w:val="00287DAB"/>
    <w:rsid w:val="00287FB6"/>
    <w:rsid w:val="002900C5"/>
    <w:rsid w:val="002901E0"/>
    <w:rsid w:val="0029075B"/>
    <w:rsid w:val="00290BB1"/>
    <w:rsid w:val="00291BC1"/>
    <w:rsid w:val="002924C3"/>
    <w:rsid w:val="002933CA"/>
    <w:rsid w:val="00293A8F"/>
    <w:rsid w:val="00295155"/>
    <w:rsid w:val="00295D51"/>
    <w:rsid w:val="00296203"/>
    <w:rsid w:val="00296428"/>
    <w:rsid w:val="0029643D"/>
    <w:rsid w:val="0029706A"/>
    <w:rsid w:val="002972EE"/>
    <w:rsid w:val="00297F01"/>
    <w:rsid w:val="002A052D"/>
    <w:rsid w:val="002A0DF8"/>
    <w:rsid w:val="002A1928"/>
    <w:rsid w:val="002A1F1F"/>
    <w:rsid w:val="002A21B5"/>
    <w:rsid w:val="002A2631"/>
    <w:rsid w:val="002A2A0C"/>
    <w:rsid w:val="002A2BB6"/>
    <w:rsid w:val="002A30E0"/>
    <w:rsid w:val="002A310C"/>
    <w:rsid w:val="002A3521"/>
    <w:rsid w:val="002A35C5"/>
    <w:rsid w:val="002A37E1"/>
    <w:rsid w:val="002A3B61"/>
    <w:rsid w:val="002A402A"/>
    <w:rsid w:val="002A45AA"/>
    <w:rsid w:val="002A4B0B"/>
    <w:rsid w:val="002A4B6F"/>
    <w:rsid w:val="002A4FFF"/>
    <w:rsid w:val="002A533C"/>
    <w:rsid w:val="002A56E1"/>
    <w:rsid w:val="002A59BD"/>
    <w:rsid w:val="002A75CA"/>
    <w:rsid w:val="002A7889"/>
    <w:rsid w:val="002A799A"/>
    <w:rsid w:val="002B097D"/>
    <w:rsid w:val="002B11B2"/>
    <w:rsid w:val="002B18F7"/>
    <w:rsid w:val="002B31CF"/>
    <w:rsid w:val="002B3ED7"/>
    <w:rsid w:val="002B4778"/>
    <w:rsid w:val="002B75B2"/>
    <w:rsid w:val="002B79B7"/>
    <w:rsid w:val="002C141D"/>
    <w:rsid w:val="002C19C0"/>
    <w:rsid w:val="002C1EDA"/>
    <w:rsid w:val="002C2485"/>
    <w:rsid w:val="002C25E0"/>
    <w:rsid w:val="002C2A2D"/>
    <w:rsid w:val="002C36C0"/>
    <w:rsid w:val="002C3928"/>
    <w:rsid w:val="002C3B33"/>
    <w:rsid w:val="002C435E"/>
    <w:rsid w:val="002C43BB"/>
    <w:rsid w:val="002C44AB"/>
    <w:rsid w:val="002C5E39"/>
    <w:rsid w:val="002C5FA2"/>
    <w:rsid w:val="002C7A02"/>
    <w:rsid w:val="002C7BD4"/>
    <w:rsid w:val="002D0107"/>
    <w:rsid w:val="002D062E"/>
    <w:rsid w:val="002D0C56"/>
    <w:rsid w:val="002D0D43"/>
    <w:rsid w:val="002D15C2"/>
    <w:rsid w:val="002D2B10"/>
    <w:rsid w:val="002D3842"/>
    <w:rsid w:val="002D386A"/>
    <w:rsid w:val="002D4100"/>
    <w:rsid w:val="002D477F"/>
    <w:rsid w:val="002D4F48"/>
    <w:rsid w:val="002D519B"/>
    <w:rsid w:val="002D621E"/>
    <w:rsid w:val="002D66DA"/>
    <w:rsid w:val="002D7027"/>
    <w:rsid w:val="002D70DC"/>
    <w:rsid w:val="002D758B"/>
    <w:rsid w:val="002D79BC"/>
    <w:rsid w:val="002D7E58"/>
    <w:rsid w:val="002E0D31"/>
    <w:rsid w:val="002E0EFA"/>
    <w:rsid w:val="002E1073"/>
    <w:rsid w:val="002E12EC"/>
    <w:rsid w:val="002E146D"/>
    <w:rsid w:val="002E1803"/>
    <w:rsid w:val="002E272B"/>
    <w:rsid w:val="002E29F8"/>
    <w:rsid w:val="002E2C52"/>
    <w:rsid w:val="002E342B"/>
    <w:rsid w:val="002E34D6"/>
    <w:rsid w:val="002E3B81"/>
    <w:rsid w:val="002E3D08"/>
    <w:rsid w:val="002E3E1D"/>
    <w:rsid w:val="002E3EEA"/>
    <w:rsid w:val="002E4D08"/>
    <w:rsid w:val="002E4DA5"/>
    <w:rsid w:val="002E52B8"/>
    <w:rsid w:val="002E5DBF"/>
    <w:rsid w:val="002E5E01"/>
    <w:rsid w:val="002E60F5"/>
    <w:rsid w:val="002E6536"/>
    <w:rsid w:val="002E6687"/>
    <w:rsid w:val="002E69F5"/>
    <w:rsid w:val="002E6CAA"/>
    <w:rsid w:val="002E732D"/>
    <w:rsid w:val="002E73EC"/>
    <w:rsid w:val="002E78B2"/>
    <w:rsid w:val="002F023D"/>
    <w:rsid w:val="002F10EC"/>
    <w:rsid w:val="002F1136"/>
    <w:rsid w:val="002F1231"/>
    <w:rsid w:val="002F1521"/>
    <w:rsid w:val="002F15EE"/>
    <w:rsid w:val="002F3632"/>
    <w:rsid w:val="002F3AFB"/>
    <w:rsid w:val="002F3C41"/>
    <w:rsid w:val="002F435E"/>
    <w:rsid w:val="002F4C8E"/>
    <w:rsid w:val="002F5076"/>
    <w:rsid w:val="002F5839"/>
    <w:rsid w:val="002F64D9"/>
    <w:rsid w:val="002F651D"/>
    <w:rsid w:val="002F6648"/>
    <w:rsid w:val="002F6E44"/>
    <w:rsid w:val="002F74FD"/>
    <w:rsid w:val="002F787B"/>
    <w:rsid w:val="002F7974"/>
    <w:rsid w:val="002F7D01"/>
    <w:rsid w:val="0030005C"/>
    <w:rsid w:val="00300369"/>
    <w:rsid w:val="003018DB"/>
    <w:rsid w:val="00301D0A"/>
    <w:rsid w:val="003027B8"/>
    <w:rsid w:val="0030293F"/>
    <w:rsid w:val="00302947"/>
    <w:rsid w:val="00302C50"/>
    <w:rsid w:val="003031C2"/>
    <w:rsid w:val="00303861"/>
    <w:rsid w:val="003049B1"/>
    <w:rsid w:val="00304FFF"/>
    <w:rsid w:val="00305557"/>
    <w:rsid w:val="0030561F"/>
    <w:rsid w:val="00305CA3"/>
    <w:rsid w:val="00306E5C"/>
    <w:rsid w:val="00307C19"/>
    <w:rsid w:val="00310732"/>
    <w:rsid w:val="00310BC9"/>
    <w:rsid w:val="00311762"/>
    <w:rsid w:val="00311E98"/>
    <w:rsid w:val="00312215"/>
    <w:rsid w:val="0031249C"/>
    <w:rsid w:val="003125C3"/>
    <w:rsid w:val="00312896"/>
    <w:rsid w:val="00313EAC"/>
    <w:rsid w:val="003142F4"/>
    <w:rsid w:val="0031454E"/>
    <w:rsid w:val="0031611F"/>
    <w:rsid w:val="00317A33"/>
    <w:rsid w:val="00320339"/>
    <w:rsid w:val="00320A98"/>
    <w:rsid w:val="00320C8E"/>
    <w:rsid w:val="00321214"/>
    <w:rsid w:val="003213D5"/>
    <w:rsid w:val="00323737"/>
    <w:rsid w:val="00323AD6"/>
    <w:rsid w:val="00323F27"/>
    <w:rsid w:val="003242EF"/>
    <w:rsid w:val="00325339"/>
    <w:rsid w:val="003255AA"/>
    <w:rsid w:val="00326D69"/>
    <w:rsid w:val="003314B6"/>
    <w:rsid w:val="00331A20"/>
    <w:rsid w:val="00331A23"/>
    <w:rsid w:val="00331E65"/>
    <w:rsid w:val="00333107"/>
    <w:rsid w:val="0033343B"/>
    <w:rsid w:val="0033393C"/>
    <w:rsid w:val="003357EE"/>
    <w:rsid w:val="00336712"/>
    <w:rsid w:val="00337368"/>
    <w:rsid w:val="0033795F"/>
    <w:rsid w:val="00337B4D"/>
    <w:rsid w:val="003407A9"/>
    <w:rsid w:val="00340BA3"/>
    <w:rsid w:val="00340BAF"/>
    <w:rsid w:val="00340C2B"/>
    <w:rsid w:val="00340F9A"/>
    <w:rsid w:val="00341018"/>
    <w:rsid w:val="00341723"/>
    <w:rsid w:val="00341911"/>
    <w:rsid w:val="003420D9"/>
    <w:rsid w:val="003423E0"/>
    <w:rsid w:val="0034301A"/>
    <w:rsid w:val="00343D76"/>
    <w:rsid w:val="00344DFD"/>
    <w:rsid w:val="003451D3"/>
    <w:rsid w:val="00345B64"/>
    <w:rsid w:val="00346631"/>
    <w:rsid w:val="00346AAD"/>
    <w:rsid w:val="00346D96"/>
    <w:rsid w:val="0034736A"/>
    <w:rsid w:val="0034747C"/>
    <w:rsid w:val="00347B6C"/>
    <w:rsid w:val="0035151C"/>
    <w:rsid w:val="00352254"/>
    <w:rsid w:val="003522A3"/>
    <w:rsid w:val="00353929"/>
    <w:rsid w:val="00353F9E"/>
    <w:rsid w:val="003540D1"/>
    <w:rsid w:val="003545BF"/>
    <w:rsid w:val="00355353"/>
    <w:rsid w:val="0035586A"/>
    <w:rsid w:val="0035611A"/>
    <w:rsid w:val="00356C3D"/>
    <w:rsid w:val="00360B75"/>
    <w:rsid w:val="0036151C"/>
    <w:rsid w:val="00361A9B"/>
    <w:rsid w:val="00362CCF"/>
    <w:rsid w:val="003631DB"/>
    <w:rsid w:val="00364524"/>
    <w:rsid w:val="0036513A"/>
    <w:rsid w:val="00365237"/>
    <w:rsid w:val="0036559C"/>
    <w:rsid w:val="0036587E"/>
    <w:rsid w:val="003660CD"/>
    <w:rsid w:val="00366AC2"/>
    <w:rsid w:val="00366B08"/>
    <w:rsid w:val="00367496"/>
    <w:rsid w:val="003678BE"/>
    <w:rsid w:val="003700F8"/>
    <w:rsid w:val="00370949"/>
    <w:rsid w:val="0037243B"/>
    <w:rsid w:val="0037251C"/>
    <w:rsid w:val="0037272C"/>
    <w:rsid w:val="00372B9A"/>
    <w:rsid w:val="003731BF"/>
    <w:rsid w:val="00375287"/>
    <w:rsid w:val="00375791"/>
    <w:rsid w:val="00375826"/>
    <w:rsid w:val="00375994"/>
    <w:rsid w:val="00375C59"/>
    <w:rsid w:val="00375E05"/>
    <w:rsid w:val="00376BB7"/>
    <w:rsid w:val="00376EEE"/>
    <w:rsid w:val="00377BA1"/>
    <w:rsid w:val="00377FF0"/>
    <w:rsid w:val="00380616"/>
    <w:rsid w:val="00381022"/>
    <w:rsid w:val="003814B8"/>
    <w:rsid w:val="00382909"/>
    <w:rsid w:val="00382EE1"/>
    <w:rsid w:val="00384258"/>
    <w:rsid w:val="00385131"/>
    <w:rsid w:val="00386206"/>
    <w:rsid w:val="0038620B"/>
    <w:rsid w:val="00387647"/>
    <w:rsid w:val="0038791A"/>
    <w:rsid w:val="00390056"/>
    <w:rsid w:val="0039055C"/>
    <w:rsid w:val="00390718"/>
    <w:rsid w:val="00390767"/>
    <w:rsid w:val="00390883"/>
    <w:rsid w:val="00391470"/>
    <w:rsid w:val="003920C4"/>
    <w:rsid w:val="00392184"/>
    <w:rsid w:val="00392652"/>
    <w:rsid w:val="00392B41"/>
    <w:rsid w:val="0039456F"/>
    <w:rsid w:val="003945C8"/>
    <w:rsid w:val="0039480D"/>
    <w:rsid w:val="00395446"/>
    <w:rsid w:val="00396725"/>
    <w:rsid w:val="00397A28"/>
    <w:rsid w:val="00397E94"/>
    <w:rsid w:val="00397F05"/>
    <w:rsid w:val="003A0442"/>
    <w:rsid w:val="003A0899"/>
    <w:rsid w:val="003A1512"/>
    <w:rsid w:val="003A1EB7"/>
    <w:rsid w:val="003A23F3"/>
    <w:rsid w:val="003A2D82"/>
    <w:rsid w:val="003A337C"/>
    <w:rsid w:val="003A36DA"/>
    <w:rsid w:val="003A38F1"/>
    <w:rsid w:val="003A3D1B"/>
    <w:rsid w:val="003A3F39"/>
    <w:rsid w:val="003A4296"/>
    <w:rsid w:val="003A4549"/>
    <w:rsid w:val="003A49B3"/>
    <w:rsid w:val="003A55B4"/>
    <w:rsid w:val="003A61B6"/>
    <w:rsid w:val="003A623F"/>
    <w:rsid w:val="003A71AD"/>
    <w:rsid w:val="003A7D1D"/>
    <w:rsid w:val="003B1688"/>
    <w:rsid w:val="003B1D48"/>
    <w:rsid w:val="003B1FA4"/>
    <w:rsid w:val="003B1FE6"/>
    <w:rsid w:val="003B3106"/>
    <w:rsid w:val="003B3974"/>
    <w:rsid w:val="003B39E0"/>
    <w:rsid w:val="003B3DAB"/>
    <w:rsid w:val="003B404D"/>
    <w:rsid w:val="003B4B34"/>
    <w:rsid w:val="003B4CDA"/>
    <w:rsid w:val="003B4F2D"/>
    <w:rsid w:val="003B5BD9"/>
    <w:rsid w:val="003B5DAB"/>
    <w:rsid w:val="003B64A3"/>
    <w:rsid w:val="003B6DB8"/>
    <w:rsid w:val="003B72B9"/>
    <w:rsid w:val="003B7DC0"/>
    <w:rsid w:val="003C0887"/>
    <w:rsid w:val="003C08AF"/>
    <w:rsid w:val="003C2EDD"/>
    <w:rsid w:val="003C3220"/>
    <w:rsid w:val="003C3A47"/>
    <w:rsid w:val="003C3A79"/>
    <w:rsid w:val="003C48F2"/>
    <w:rsid w:val="003C5177"/>
    <w:rsid w:val="003C52B0"/>
    <w:rsid w:val="003C5911"/>
    <w:rsid w:val="003C5CDB"/>
    <w:rsid w:val="003C6465"/>
    <w:rsid w:val="003C65E4"/>
    <w:rsid w:val="003C7712"/>
    <w:rsid w:val="003C7862"/>
    <w:rsid w:val="003C7ECD"/>
    <w:rsid w:val="003D007D"/>
    <w:rsid w:val="003D01A1"/>
    <w:rsid w:val="003D04D6"/>
    <w:rsid w:val="003D04F6"/>
    <w:rsid w:val="003D18CC"/>
    <w:rsid w:val="003D3583"/>
    <w:rsid w:val="003D391E"/>
    <w:rsid w:val="003D3B6F"/>
    <w:rsid w:val="003D40E8"/>
    <w:rsid w:val="003D455E"/>
    <w:rsid w:val="003D5785"/>
    <w:rsid w:val="003D5A2D"/>
    <w:rsid w:val="003D5A9D"/>
    <w:rsid w:val="003D62C0"/>
    <w:rsid w:val="003D65F6"/>
    <w:rsid w:val="003D6911"/>
    <w:rsid w:val="003D7E4B"/>
    <w:rsid w:val="003E0035"/>
    <w:rsid w:val="003E0C14"/>
    <w:rsid w:val="003E0D6F"/>
    <w:rsid w:val="003E1591"/>
    <w:rsid w:val="003E1ACF"/>
    <w:rsid w:val="003E216C"/>
    <w:rsid w:val="003E236E"/>
    <w:rsid w:val="003E259D"/>
    <w:rsid w:val="003E26BA"/>
    <w:rsid w:val="003E2906"/>
    <w:rsid w:val="003E2969"/>
    <w:rsid w:val="003E2C1A"/>
    <w:rsid w:val="003E330F"/>
    <w:rsid w:val="003E3478"/>
    <w:rsid w:val="003E4E74"/>
    <w:rsid w:val="003E5F7D"/>
    <w:rsid w:val="003E6520"/>
    <w:rsid w:val="003E67E7"/>
    <w:rsid w:val="003E6B25"/>
    <w:rsid w:val="003E6B3C"/>
    <w:rsid w:val="003E6B95"/>
    <w:rsid w:val="003E70FF"/>
    <w:rsid w:val="003E7F1B"/>
    <w:rsid w:val="003F0B41"/>
    <w:rsid w:val="003F1150"/>
    <w:rsid w:val="003F18AB"/>
    <w:rsid w:val="003F1E39"/>
    <w:rsid w:val="003F229D"/>
    <w:rsid w:val="003F25F0"/>
    <w:rsid w:val="003F2D5B"/>
    <w:rsid w:val="003F5AD2"/>
    <w:rsid w:val="003F5CA4"/>
    <w:rsid w:val="003F6D50"/>
    <w:rsid w:val="003F7006"/>
    <w:rsid w:val="003F7507"/>
    <w:rsid w:val="003F7C72"/>
    <w:rsid w:val="003F7D10"/>
    <w:rsid w:val="00401000"/>
    <w:rsid w:val="004016C6"/>
    <w:rsid w:val="0040179A"/>
    <w:rsid w:val="00401856"/>
    <w:rsid w:val="004028A2"/>
    <w:rsid w:val="00402FEB"/>
    <w:rsid w:val="00403344"/>
    <w:rsid w:val="00403C82"/>
    <w:rsid w:val="00404157"/>
    <w:rsid w:val="00404C44"/>
    <w:rsid w:val="00404EE8"/>
    <w:rsid w:val="0040510D"/>
    <w:rsid w:val="0040512D"/>
    <w:rsid w:val="0040602F"/>
    <w:rsid w:val="00406AFB"/>
    <w:rsid w:val="00407382"/>
    <w:rsid w:val="0040791B"/>
    <w:rsid w:val="00411958"/>
    <w:rsid w:val="00411B2A"/>
    <w:rsid w:val="00412973"/>
    <w:rsid w:val="00412D42"/>
    <w:rsid w:val="00412DA4"/>
    <w:rsid w:val="00412EB6"/>
    <w:rsid w:val="0041351F"/>
    <w:rsid w:val="004137C8"/>
    <w:rsid w:val="00413BF9"/>
    <w:rsid w:val="00413C25"/>
    <w:rsid w:val="00415531"/>
    <w:rsid w:val="00416330"/>
    <w:rsid w:val="004176C7"/>
    <w:rsid w:val="00417877"/>
    <w:rsid w:val="00417D9F"/>
    <w:rsid w:val="00420229"/>
    <w:rsid w:val="00420DBA"/>
    <w:rsid w:val="00421311"/>
    <w:rsid w:val="00422E13"/>
    <w:rsid w:val="0042350F"/>
    <w:rsid w:val="00423599"/>
    <w:rsid w:val="0042384C"/>
    <w:rsid w:val="00423893"/>
    <w:rsid w:val="00423BC9"/>
    <w:rsid w:val="00423CEF"/>
    <w:rsid w:val="004255B4"/>
    <w:rsid w:val="00426766"/>
    <w:rsid w:val="004267D0"/>
    <w:rsid w:val="004279CA"/>
    <w:rsid w:val="00427A82"/>
    <w:rsid w:val="00427EA2"/>
    <w:rsid w:val="00430115"/>
    <w:rsid w:val="00430A4B"/>
    <w:rsid w:val="00431C46"/>
    <w:rsid w:val="004327E6"/>
    <w:rsid w:val="004329DC"/>
    <w:rsid w:val="00432AC6"/>
    <w:rsid w:val="004341C6"/>
    <w:rsid w:val="00434C5E"/>
    <w:rsid w:val="00435765"/>
    <w:rsid w:val="004360B6"/>
    <w:rsid w:val="004362E5"/>
    <w:rsid w:val="00436356"/>
    <w:rsid w:val="00440722"/>
    <w:rsid w:val="004425D9"/>
    <w:rsid w:val="00443244"/>
    <w:rsid w:val="00444AF6"/>
    <w:rsid w:val="0044519D"/>
    <w:rsid w:val="00445544"/>
    <w:rsid w:val="00445C0B"/>
    <w:rsid w:val="00446195"/>
    <w:rsid w:val="00447CD0"/>
    <w:rsid w:val="00447FC2"/>
    <w:rsid w:val="004502F4"/>
    <w:rsid w:val="004506F4"/>
    <w:rsid w:val="004509D1"/>
    <w:rsid w:val="00450A42"/>
    <w:rsid w:val="00450E98"/>
    <w:rsid w:val="004513A5"/>
    <w:rsid w:val="00451D50"/>
    <w:rsid w:val="00452EC4"/>
    <w:rsid w:val="00453340"/>
    <w:rsid w:val="00453775"/>
    <w:rsid w:val="00453890"/>
    <w:rsid w:val="00454380"/>
    <w:rsid w:val="0045470C"/>
    <w:rsid w:val="004552C8"/>
    <w:rsid w:val="0045536C"/>
    <w:rsid w:val="00455A07"/>
    <w:rsid w:val="00455AEB"/>
    <w:rsid w:val="0045603C"/>
    <w:rsid w:val="00456053"/>
    <w:rsid w:val="00456068"/>
    <w:rsid w:val="00456896"/>
    <w:rsid w:val="00456ADA"/>
    <w:rsid w:val="00456B0D"/>
    <w:rsid w:val="00456E90"/>
    <w:rsid w:val="00457135"/>
    <w:rsid w:val="0045770D"/>
    <w:rsid w:val="0045790F"/>
    <w:rsid w:val="00457D63"/>
    <w:rsid w:val="00457E21"/>
    <w:rsid w:val="0046007E"/>
    <w:rsid w:val="0046024B"/>
    <w:rsid w:val="00460E36"/>
    <w:rsid w:val="00461155"/>
    <w:rsid w:val="0046218C"/>
    <w:rsid w:val="004623D4"/>
    <w:rsid w:val="00463944"/>
    <w:rsid w:val="0046512A"/>
    <w:rsid w:val="00465234"/>
    <w:rsid w:val="00465B24"/>
    <w:rsid w:val="00466858"/>
    <w:rsid w:val="00466D0F"/>
    <w:rsid w:val="00467544"/>
    <w:rsid w:val="004676BA"/>
    <w:rsid w:val="0046784C"/>
    <w:rsid w:val="00467ECB"/>
    <w:rsid w:val="004710C3"/>
    <w:rsid w:val="00471459"/>
    <w:rsid w:val="00472274"/>
    <w:rsid w:val="004722D4"/>
    <w:rsid w:val="00472884"/>
    <w:rsid w:val="00472AD0"/>
    <w:rsid w:val="00472C2A"/>
    <w:rsid w:val="00472D9C"/>
    <w:rsid w:val="00473B60"/>
    <w:rsid w:val="00475AFF"/>
    <w:rsid w:val="00475D30"/>
    <w:rsid w:val="004765F4"/>
    <w:rsid w:val="00476B4D"/>
    <w:rsid w:val="00476CBC"/>
    <w:rsid w:val="00476E6C"/>
    <w:rsid w:val="00477282"/>
    <w:rsid w:val="00477947"/>
    <w:rsid w:val="00480FA1"/>
    <w:rsid w:val="00481FD7"/>
    <w:rsid w:val="00482580"/>
    <w:rsid w:val="00482DE5"/>
    <w:rsid w:val="00483266"/>
    <w:rsid w:val="0048352E"/>
    <w:rsid w:val="004836A9"/>
    <w:rsid w:val="00483B23"/>
    <w:rsid w:val="004840D7"/>
    <w:rsid w:val="004846F4"/>
    <w:rsid w:val="00485C26"/>
    <w:rsid w:val="00485EC0"/>
    <w:rsid w:val="00486A51"/>
    <w:rsid w:val="004875E1"/>
    <w:rsid w:val="00487B37"/>
    <w:rsid w:val="00490636"/>
    <w:rsid w:val="00490FF0"/>
    <w:rsid w:val="004910FE"/>
    <w:rsid w:val="00491198"/>
    <w:rsid w:val="004917E0"/>
    <w:rsid w:val="00491BF6"/>
    <w:rsid w:val="00491FED"/>
    <w:rsid w:val="00492F82"/>
    <w:rsid w:val="004943C2"/>
    <w:rsid w:val="00494918"/>
    <w:rsid w:val="00494C65"/>
    <w:rsid w:val="00494F0C"/>
    <w:rsid w:val="00495557"/>
    <w:rsid w:val="0049618A"/>
    <w:rsid w:val="0049618D"/>
    <w:rsid w:val="004965EF"/>
    <w:rsid w:val="004968E4"/>
    <w:rsid w:val="00496994"/>
    <w:rsid w:val="0049719D"/>
    <w:rsid w:val="00497FCD"/>
    <w:rsid w:val="004A095C"/>
    <w:rsid w:val="004A0D1E"/>
    <w:rsid w:val="004A0E66"/>
    <w:rsid w:val="004A0EEC"/>
    <w:rsid w:val="004A130F"/>
    <w:rsid w:val="004A17EF"/>
    <w:rsid w:val="004A1BDA"/>
    <w:rsid w:val="004A22DA"/>
    <w:rsid w:val="004A2700"/>
    <w:rsid w:val="004A36C8"/>
    <w:rsid w:val="004A3721"/>
    <w:rsid w:val="004A3742"/>
    <w:rsid w:val="004A37B8"/>
    <w:rsid w:val="004A3CC2"/>
    <w:rsid w:val="004A3ED3"/>
    <w:rsid w:val="004A47BC"/>
    <w:rsid w:val="004A4AC6"/>
    <w:rsid w:val="004B1199"/>
    <w:rsid w:val="004B16C4"/>
    <w:rsid w:val="004B1867"/>
    <w:rsid w:val="004B2A64"/>
    <w:rsid w:val="004B41DA"/>
    <w:rsid w:val="004B470D"/>
    <w:rsid w:val="004B4764"/>
    <w:rsid w:val="004B4846"/>
    <w:rsid w:val="004B5394"/>
    <w:rsid w:val="004B5BDD"/>
    <w:rsid w:val="004B6E9E"/>
    <w:rsid w:val="004B6F83"/>
    <w:rsid w:val="004B7C29"/>
    <w:rsid w:val="004C06E5"/>
    <w:rsid w:val="004C1A49"/>
    <w:rsid w:val="004C1B7D"/>
    <w:rsid w:val="004C1E3C"/>
    <w:rsid w:val="004C25F0"/>
    <w:rsid w:val="004C26DD"/>
    <w:rsid w:val="004C2B5D"/>
    <w:rsid w:val="004C2D68"/>
    <w:rsid w:val="004C2F56"/>
    <w:rsid w:val="004C339D"/>
    <w:rsid w:val="004C33E8"/>
    <w:rsid w:val="004C4307"/>
    <w:rsid w:val="004C4309"/>
    <w:rsid w:val="004C49E3"/>
    <w:rsid w:val="004C4E8A"/>
    <w:rsid w:val="004C4F1B"/>
    <w:rsid w:val="004C514A"/>
    <w:rsid w:val="004C645A"/>
    <w:rsid w:val="004C6572"/>
    <w:rsid w:val="004C6D4F"/>
    <w:rsid w:val="004C7541"/>
    <w:rsid w:val="004D1E71"/>
    <w:rsid w:val="004D2CDF"/>
    <w:rsid w:val="004D33CE"/>
    <w:rsid w:val="004D4AAE"/>
    <w:rsid w:val="004D6889"/>
    <w:rsid w:val="004D7C86"/>
    <w:rsid w:val="004E0197"/>
    <w:rsid w:val="004E0857"/>
    <w:rsid w:val="004E1122"/>
    <w:rsid w:val="004E1409"/>
    <w:rsid w:val="004E1A87"/>
    <w:rsid w:val="004E1BB0"/>
    <w:rsid w:val="004E3030"/>
    <w:rsid w:val="004E3311"/>
    <w:rsid w:val="004E38EC"/>
    <w:rsid w:val="004E3933"/>
    <w:rsid w:val="004E4549"/>
    <w:rsid w:val="004E4C83"/>
    <w:rsid w:val="004E4D53"/>
    <w:rsid w:val="004E4D84"/>
    <w:rsid w:val="004E4EBC"/>
    <w:rsid w:val="004E5104"/>
    <w:rsid w:val="004E5B06"/>
    <w:rsid w:val="004E5FA8"/>
    <w:rsid w:val="004E684C"/>
    <w:rsid w:val="004E6FF1"/>
    <w:rsid w:val="004E76DB"/>
    <w:rsid w:val="004F1F90"/>
    <w:rsid w:val="004F2401"/>
    <w:rsid w:val="004F2A44"/>
    <w:rsid w:val="004F2DAD"/>
    <w:rsid w:val="004F34F7"/>
    <w:rsid w:val="004F55D6"/>
    <w:rsid w:val="004F565A"/>
    <w:rsid w:val="004F571B"/>
    <w:rsid w:val="004F64EB"/>
    <w:rsid w:val="004F6738"/>
    <w:rsid w:val="004F7A74"/>
    <w:rsid w:val="00500250"/>
    <w:rsid w:val="00500264"/>
    <w:rsid w:val="00500824"/>
    <w:rsid w:val="00500DAB"/>
    <w:rsid w:val="00501144"/>
    <w:rsid w:val="005013EF"/>
    <w:rsid w:val="005016CC"/>
    <w:rsid w:val="005019E0"/>
    <w:rsid w:val="0050211F"/>
    <w:rsid w:val="005022E7"/>
    <w:rsid w:val="00502A93"/>
    <w:rsid w:val="00506083"/>
    <w:rsid w:val="005068D6"/>
    <w:rsid w:val="00506B86"/>
    <w:rsid w:val="00506EEC"/>
    <w:rsid w:val="00506FD4"/>
    <w:rsid w:val="005107FF"/>
    <w:rsid w:val="00510CBC"/>
    <w:rsid w:val="0051102D"/>
    <w:rsid w:val="005112A5"/>
    <w:rsid w:val="00511F48"/>
    <w:rsid w:val="00512448"/>
    <w:rsid w:val="0051253A"/>
    <w:rsid w:val="0051266C"/>
    <w:rsid w:val="00513B72"/>
    <w:rsid w:val="005150AD"/>
    <w:rsid w:val="00515277"/>
    <w:rsid w:val="005158C2"/>
    <w:rsid w:val="005169DE"/>
    <w:rsid w:val="0051754D"/>
    <w:rsid w:val="0051785D"/>
    <w:rsid w:val="00517913"/>
    <w:rsid w:val="0052005F"/>
    <w:rsid w:val="00520200"/>
    <w:rsid w:val="00520E2D"/>
    <w:rsid w:val="00520F04"/>
    <w:rsid w:val="00521717"/>
    <w:rsid w:val="005224B2"/>
    <w:rsid w:val="00523B23"/>
    <w:rsid w:val="00523DFA"/>
    <w:rsid w:val="005254BC"/>
    <w:rsid w:val="005256FC"/>
    <w:rsid w:val="00526C27"/>
    <w:rsid w:val="00526DFF"/>
    <w:rsid w:val="00527473"/>
    <w:rsid w:val="00527EF9"/>
    <w:rsid w:val="005305FF"/>
    <w:rsid w:val="00530C9B"/>
    <w:rsid w:val="00532334"/>
    <w:rsid w:val="005324AF"/>
    <w:rsid w:val="0053402C"/>
    <w:rsid w:val="00534090"/>
    <w:rsid w:val="00534ABA"/>
    <w:rsid w:val="00535D28"/>
    <w:rsid w:val="00535FFF"/>
    <w:rsid w:val="0053616F"/>
    <w:rsid w:val="005368AD"/>
    <w:rsid w:val="005370BC"/>
    <w:rsid w:val="00537B35"/>
    <w:rsid w:val="00537DE7"/>
    <w:rsid w:val="00537EC4"/>
    <w:rsid w:val="00537FE4"/>
    <w:rsid w:val="0054027D"/>
    <w:rsid w:val="00541222"/>
    <w:rsid w:val="00541A8D"/>
    <w:rsid w:val="0054243F"/>
    <w:rsid w:val="00544DA0"/>
    <w:rsid w:val="005454BD"/>
    <w:rsid w:val="005457E4"/>
    <w:rsid w:val="0054633F"/>
    <w:rsid w:val="00546C49"/>
    <w:rsid w:val="0055010B"/>
    <w:rsid w:val="00550D59"/>
    <w:rsid w:val="0055110D"/>
    <w:rsid w:val="00551848"/>
    <w:rsid w:val="00551F81"/>
    <w:rsid w:val="0055210F"/>
    <w:rsid w:val="00552CD7"/>
    <w:rsid w:val="005533BE"/>
    <w:rsid w:val="00554B30"/>
    <w:rsid w:val="00554EFF"/>
    <w:rsid w:val="00554FFB"/>
    <w:rsid w:val="005568DE"/>
    <w:rsid w:val="00557C50"/>
    <w:rsid w:val="00560211"/>
    <w:rsid w:val="005606B6"/>
    <w:rsid w:val="005608D6"/>
    <w:rsid w:val="00560F19"/>
    <w:rsid w:val="00561E6B"/>
    <w:rsid w:val="005621D2"/>
    <w:rsid w:val="005621E0"/>
    <w:rsid w:val="00562D90"/>
    <w:rsid w:val="00563317"/>
    <w:rsid w:val="00563A23"/>
    <w:rsid w:val="00563A5A"/>
    <w:rsid w:val="00563C61"/>
    <w:rsid w:val="00563ECB"/>
    <w:rsid w:val="00563F47"/>
    <w:rsid w:val="005640BB"/>
    <w:rsid w:val="00564C23"/>
    <w:rsid w:val="00565247"/>
    <w:rsid w:val="00565406"/>
    <w:rsid w:val="00565570"/>
    <w:rsid w:val="005657DD"/>
    <w:rsid w:val="00565B29"/>
    <w:rsid w:val="005664CC"/>
    <w:rsid w:val="0056664B"/>
    <w:rsid w:val="00567588"/>
    <w:rsid w:val="00567992"/>
    <w:rsid w:val="00567C3C"/>
    <w:rsid w:val="005702F8"/>
    <w:rsid w:val="00571231"/>
    <w:rsid w:val="00571767"/>
    <w:rsid w:val="00571E44"/>
    <w:rsid w:val="00573E61"/>
    <w:rsid w:val="0057411B"/>
    <w:rsid w:val="00574525"/>
    <w:rsid w:val="00574778"/>
    <w:rsid w:val="0057498F"/>
    <w:rsid w:val="00574DE9"/>
    <w:rsid w:val="00575DF4"/>
    <w:rsid w:val="0057765D"/>
    <w:rsid w:val="005777FC"/>
    <w:rsid w:val="005808EB"/>
    <w:rsid w:val="00580D37"/>
    <w:rsid w:val="00581FA0"/>
    <w:rsid w:val="00582B90"/>
    <w:rsid w:val="00583134"/>
    <w:rsid w:val="005831A7"/>
    <w:rsid w:val="00583321"/>
    <w:rsid w:val="0058341E"/>
    <w:rsid w:val="00584F3A"/>
    <w:rsid w:val="005853AB"/>
    <w:rsid w:val="00585748"/>
    <w:rsid w:val="005859C5"/>
    <w:rsid w:val="00585C79"/>
    <w:rsid w:val="00585FD0"/>
    <w:rsid w:val="00586144"/>
    <w:rsid w:val="00587785"/>
    <w:rsid w:val="0058788D"/>
    <w:rsid w:val="00587E29"/>
    <w:rsid w:val="00587FE6"/>
    <w:rsid w:val="0059040D"/>
    <w:rsid w:val="00591698"/>
    <w:rsid w:val="00593B87"/>
    <w:rsid w:val="00593C1C"/>
    <w:rsid w:val="00593E94"/>
    <w:rsid w:val="00594143"/>
    <w:rsid w:val="00594543"/>
    <w:rsid w:val="00594612"/>
    <w:rsid w:val="00595873"/>
    <w:rsid w:val="00595CDD"/>
    <w:rsid w:val="005964BB"/>
    <w:rsid w:val="00596A70"/>
    <w:rsid w:val="00596BD3"/>
    <w:rsid w:val="00596BE7"/>
    <w:rsid w:val="00596C3E"/>
    <w:rsid w:val="005977DD"/>
    <w:rsid w:val="005A04BD"/>
    <w:rsid w:val="005A0A3F"/>
    <w:rsid w:val="005A114F"/>
    <w:rsid w:val="005A1F49"/>
    <w:rsid w:val="005A2364"/>
    <w:rsid w:val="005A2480"/>
    <w:rsid w:val="005A2B2C"/>
    <w:rsid w:val="005A2D6B"/>
    <w:rsid w:val="005A3252"/>
    <w:rsid w:val="005A33F7"/>
    <w:rsid w:val="005A40CF"/>
    <w:rsid w:val="005A4A9C"/>
    <w:rsid w:val="005A4BAE"/>
    <w:rsid w:val="005A4F39"/>
    <w:rsid w:val="005A574D"/>
    <w:rsid w:val="005A5B5C"/>
    <w:rsid w:val="005A6E93"/>
    <w:rsid w:val="005A707A"/>
    <w:rsid w:val="005A7340"/>
    <w:rsid w:val="005A7F93"/>
    <w:rsid w:val="005B07EA"/>
    <w:rsid w:val="005B0B20"/>
    <w:rsid w:val="005B0BD6"/>
    <w:rsid w:val="005B0EFB"/>
    <w:rsid w:val="005B1060"/>
    <w:rsid w:val="005B12B9"/>
    <w:rsid w:val="005B17C1"/>
    <w:rsid w:val="005B3737"/>
    <w:rsid w:val="005B3A42"/>
    <w:rsid w:val="005B5D40"/>
    <w:rsid w:val="005B5EFC"/>
    <w:rsid w:val="005B6412"/>
    <w:rsid w:val="005B6698"/>
    <w:rsid w:val="005B68A7"/>
    <w:rsid w:val="005B6AC3"/>
    <w:rsid w:val="005B74C2"/>
    <w:rsid w:val="005C055E"/>
    <w:rsid w:val="005C0FA1"/>
    <w:rsid w:val="005C1615"/>
    <w:rsid w:val="005C1D98"/>
    <w:rsid w:val="005C1DA5"/>
    <w:rsid w:val="005C2559"/>
    <w:rsid w:val="005C2873"/>
    <w:rsid w:val="005C34FC"/>
    <w:rsid w:val="005C3B5C"/>
    <w:rsid w:val="005C3C7F"/>
    <w:rsid w:val="005C491E"/>
    <w:rsid w:val="005C5143"/>
    <w:rsid w:val="005C5639"/>
    <w:rsid w:val="005C5742"/>
    <w:rsid w:val="005C6CA5"/>
    <w:rsid w:val="005C760E"/>
    <w:rsid w:val="005C7E9E"/>
    <w:rsid w:val="005D18C9"/>
    <w:rsid w:val="005D1B72"/>
    <w:rsid w:val="005D2471"/>
    <w:rsid w:val="005D25A3"/>
    <w:rsid w:val="005D2779"/>
    <w:rsid w:val="005D3242"/>
    <w:rsid w:val="005D610C"/>
    <w:rsid w:val="005D74E7"/>
    <w:rsid w:val="005D7C64"/>
    <w:rsid w:val="005D7F1E"/>
    <w:rsid w:val="005D7F7B"/>
    <w:rsid w:val="005E3BCD"/>
    <w:rsid w:val="005E4A87"/>
    <w:rsid w:val="005E4DA5"/>
    <w:rsid w:val="005E503E"/>
    <w:rsid w:val="005E59C7"/>
    <w:rsid w:val="005E5E7B"/>
    <w:rsid w:val="005E6095"/>
    <w:rsid w:val="005E6A3F"/>
    <w:rsid w:val="005E6DB8"/>
    <w:rsid w:val="005E7228"/>
    <w:rsid w:val="005E7284"/>
    <w:rsid w:val="005E7BAC"/>
    <w:rsid w:val="005F0E5C"/>
    <w:rsid w:val="005F134E"/>
    <w:rsid w:val="005F1365"/>
    <w:rsid w:val="005F2C1F"/>
    <w:rsid w:val="005F2E44"/>
    <w:rsid w:val="005F3690"/>
    <w:rsid w:val="005F3986"/>
    <w:rsid w:val="005F4C57"/>
    <w:rsid w:val="005F6774"/>
    <w:rsid w:val="005F79AA"/>
    <w:rsid w:val="0060044B"/>
    <w:rsid w:val="006013D7"/>
    <w:rsid w:val="006014DB"/>
    <w:rsid w:val="00601587"/>
    <w:rsid w:val="00602079"/>
    <w:rsid w:val="006022F3"/>
    <w:rsid w:val="00602579"/>
    <w:rsid w:val="00602BA4"/>
    <w:rsid w:val="00602DA2"/>
    <w:rsid w:val="00602FF4"/>
    <w:rsid w:val="00603228"/>
    <w:rsid w:val="00604ACD"/>
    <w:rsid w:val="00604C15"/>
    <w:rsid w:val="00604DC2"/>
    <w:rsid w:val="006060C4"/>
    <w:rsid w:val="00606122"/>
    <w:rsid w:val="00607C35"/>
    <w:rsid w:val="00611777"/>
    <w:rsid w:val="0061189F"/>
    <w:rsid w:val="0061219B"/>
    <w:rsid w:val="00612D05"/>
    <w:rsid w:val="00613FB6"/>
    <w:rsid w:val="006140C6"/>
    <w:rsid w:val="00614134"/>
    <w:rsid w:val="00614241"/>
    <w:rsid w:val="0061428D"/>
    <w:rsid w:val="0061473C"/>
    <w:rsid w:val="00615411"/>
    <w:rsid w:val="0061599E"/>
    <w:rsid w:val="00615AC7"/>
    <w:rsid w:val="00615B94"/>
    <w:rsid w:val="006162E6"/>
    <w:rsid w:val="006171A5"/>
    <w:rsid w:val="00617551"/>
    <w:rsid w:val="00620309"/>
    <w:rsid w:val="0062159D"/>
    <w:rsid w:val="00621680"/>
    <w:rsid w:val="00621EC5"/>
    <w:rsid w:val="006223E0"/>
    <w:rsid w:val="006224D0"/>
    <w:rsid w:val="006226A3"/>
    <w:rsid w:val="00622BCE"/>
    <w:rsid w:val="00622E29"/>
    <w:rsid w:val="00623643"/>
    <w:rsid w:val="00624018"/>
    <w:rsid w:val="006240C4"/>
    <w:rsid w:val="00624B3C"/>
    <w:rsid w:val="006252C2"/>
    <w:rsid w:val="00625304"/>
    <w:rsid w:val="0062581B"/>
    <w:rsid w:val="006261F4"/>
    <w:rsid w:val="0063164E"/>
    <w:rsid w:val="0063191D"/>
    <w:rsid w:val="00633488"/>
    <w:rsid w:val="00633581"/>
    <w:rsid w:val="006339AF"/>
    <w:rsid w:val="00633C47"/>
    <w:rsid w:val="00634266"/>
    <w:rsid w:val="006348F7"/>
    <w:rsid w:val="0063512D"/>
    <w:rsid w:val="006358FB"/>
    <w:rsid w:val="00635AE2"/>
    <w:rsid w:val="00635E1E"/>
    <w:rsid w:val="0063677C"/>
    <w:rsid w:val="00636972"/>
    <w:rsid w:val="00636B69"/>
    <w:rsid w:val="00636BC2"/>
    <w:rsid w:val="006404B1"/>
    <w:rsid w:val="006404D1"/>
    <w:rsid w:val="00640F43"/>
    <w:rsid w:val="006412CA"/>
    <w:rsid w:val="006420DA"/>
    <w:rsid w:val="00642A0A"/>
    <w:rsid w:val="00643AC1"/>
    <w:rsid w:val="00643D62"/>
    <w:rsid w:val="00644078"/>
    <w:rsid w:val="00644A5E"/>
    <w:rsid w:val="00644A6C"/>
    <w:rsid w:val="00644D69"/>
    <w:rsid w:val="006457A8"/>
    <w:rsid w:val="00645EA0"/>
    <w:rsid w:val="00645F76"/>
    <w:rsid w:val="00646EB0"/>
    <w:rsid w:val="0064714D"/>
    <w:rsid w:val="0064727D"/>
    <w:rsid w:val="006473CE"/>
    <w:rsid w:val="00647B32"/>
    <w:rsid w:val="00647C27"/>
    <w:rsid w:val="006519E6"/>
    <w:rsid w:val="00651CDE"/>
    <w:rsid w:val="00652326"/>
    <w:rsid w:val="006524F6"/>
    <w:rsid w:val="00652907"/>
    <w:rsid w:val="00652E06"/>
    <w:rsid w:val="00653FC4"/>
    <w:rsid w:val="00654F91"/>
    <w:rsid w:val="00655361"/>
    <w:rsid w:val="00656253"/>
    <w:rsid w:val="00656799"/>
    <w:rsid w:val="00656B77"/>
    <w:rsid w:val="00656E72"/>
    <w:rsid w:val="006578A1"/>
    <w:rsid w:val="0066137B"/>
    <w:rsid w:val="0066174E"/>
    <w:rsid w:val="00661BBB"/>
    <w:rsid w:val="00661E57"/>
    <w:rsid w:val="006629E4"/>
    <w:rsid w:val="0066352E"/>
    <w:rsid w:val="00663783"/>
    <w:rsid w:val="00663E47"/>
    <w:rsid w:val="006644A7"/>
    <w:rsid w:val="00664BDE"/>
    <w:rsid w:val="0066565B"/>
    <w:rsid w:val="00665C44"/>
    <w:rsid w:val="00666284"/>
    <w:rsid w:val="006667F3"/>
    <w:rsid w:val="00667AEA"/>
    <w:rsid w:val="006704FA"/>
    <w:rsid w:val="00670687"/>
    <w:rsid w:val="00670DC5"/>
    <w:rsid w:val="00671652"/>
    <w:rsid w:val="00671FAA"/>
    <w:rsid w:val="00675DA5"/>
    <w:rsid w:val="0068003A"/>
    <w:rsid w:val="00680482"/>
    <w:rsid w:val="006808DC"/>
    <w:rsid w:val="006816B6"/>
    <w:rsid w:val="006820EB"/>
    <w:rsid w:val="00682128"/>
    <w:rsid w:val="0068220C"/>
    <w:rsid w:val="00682AB1"/>
    <w:rsid w:val="00682E9F"/>
    <w:rsid w:val="00683252"/>
    <w:rsid w:val="0068343A"/>
    <w:rsid w:val="006834D4"/>
    <w:rsid w:val="0068413D"/>
    <w:rsid w:val="006844BA"/>
    <w:rsid w:val="006845A2"/>
    <w:rsid w:val="00684BF8"/>
    <w:rsid w:val="00684D9B"/>
    <w:rsid w:val="006858AA"/>
    <w:rsid w:val="00685BCF"/>
    <w:rsid w:val="006871D0"/>
    <w:rsid w:val="0068751F"/>
    <w:rsid w:val="006900D1"/>
    <w:rsid w:val="00690297"/>
    <w:rsid w:val="0069115A"/>
    <w:rsid w:val="006912F1"/>
    <w:rsid w:val="00691387"/>
    <w:rsid w:val="006927F2"/>
    <w:rsid w:val="006931E1"/>
    <w:rsid w:val="00693E3A"/>
    <w:rsid w:val="00694310"/>
    <w:rsid w:val="00694700"/>
    <w:rsid w:val="00694803"/>
    <w:rsid w:val="00694CE8"/>
    <w:rsid w:val="0069569E"/>
    <w:rsid w:val="006956C6"/>
    <w:rsid w:val="00695F7C"/>
    <w:rsid w:val="00696EE3"/>
    <w:rsid w:val="0069715D"/>
    <w:rsid w:val="00697392"/>
    <w:rsid w:val="006973E5"/>
    <w:rsid w:val="00697664"/>
    <w:rsid w:val="00697681"/>
    <w:rsid w:val="0069770C"/>
    <w:rsid w:val="006A08F2"/>
    <w:rsid w:val="006A151A"/>
    <w:rsid w:val="006A1E62"/>
    <w:rsid w:val="006A2A12"/>
    <w:rsid w:val="006A2E9C"/>
    <w:rsid w:val="006A35E0"/>
    <w:rsid w:val="006A377F"/>
    <w:rsid w:val="006A384A"/>
    <w:rsid w:val="006A3875"/>
    <w:rsid w:val="006A3D40"/>
    <w:rsid w:val="006A561D"/>
    <w:rsid w:val="006A5A0C"/>
    <w:rsid w:val="006A5BA0"/>
    <w:rsid w:val="006A5BB1"/>
    <w:rsid w:val="006A5F88"/>
    <w:rsid w:val="006A72D1"/>
    <w:rsid w:val="006A7D95"/>
    <w:rsid w:val="006B120D"/>
    <w:rsid w:val="006B13C1"/>
    <w:rsid w:val="006B1E5B"/>
    <w:rsid w:val="006B2CC7"/>
    <w:rsid w:val="006B3AF9"/>
    <w:rsid w:val="006B44C5"/>
    <w:rsid w:val="006B555F"/>
    <w:rsid w:val="006B5A60"/>
    <w:rsid w:val="006B6037"/>
    <w:rsid w:val="006B6242"/>
    <w:rsid w:val="006B62B8"/>
    <w:rsid w:val="006B6C7C"/>
    <w:rsid w:val="006B6EA4"/>
    <w:rsid w:val="006B77BB"/>
    <w:rsid w:val="006B7F8F"/>
    <w:rsid w:val="006B7FC5"/>
    <w:rsid w:val="006C055E"/>
    <w:rsid w:val="006C0D13"/>
    <w:rsid w:val="006C187F"/>
    <w:rsid w:val="006C19BC"/>
    <w:rsid w:val="006C19D5"/>
    <w:rsid w:val="006C1B44"/>
    <w:rsid w:val="006C1F77"/>
    <w:rsid w:val="006C2211"/>
    <w:rsid w:val="006C3031"/>
    <w:rsid w:val="006C3607"/>
    <w:rsid w:val="006C3990"/>
    <w:rsid w:val="006C3ED2"/>
    <w:rsid w:val="006C4233"/>
    <w:rsid w:val="006C42E7"/>
    <w:rsid w:val="006C4422"/>
    <w:rsid w:val="006C5CCA"/>
    <w:rsid w:val="006C625F"/>
    <w:rsid w:val="006C78A6"/>
    <w:rsid w:val="006C7AB4"/>
    <w:rsid w:val="006D006B"/>
    <w:rsid w:val="006D105C"/>
    <w:rsid w:val="006D30E7"/>
    <w:rsid w:val="006D48E7"/>
    <w:rsid w:val="006D4947"/>
    <w:rsid w:val="006D5F16"/>
    <w:rsid w:val="006D63AD"/>
    <w:rsid w:val="006D6764"/>
    <w:rsid w:val="006D67BB"/>
    <w:rsid w:val="006D67D9"/>
    <w:rsid w:val="006D6C93"/>
    <w:rsid w:val="006D7573"/>
    <w:rsid w:val="006E0340"/>
    <w:rsid w:val="006E06F9"/>
    <w:rsid w:val="006E07A9"/>
    <w:rsid w:val="006E0D91"/>
    <w:rsid w:val="006E15DE"/>
    <w:rsid w:val="006E1706"/>
    <w:rsid w:val="006E3CB2"/>
    <w:rsid w:val="006E3CC3"/>
    <w:rsid w:val="006E3DA8"/>
    <w:rsid w:val="006E5DAA"/>
    <w:rsid w:val="006E7006"/>
    <w:rsid w:val="006F00E7"/>
    <w:rsid w:val="006F0F6E"/>
    <w:rsid w:val="006F1B22"/>
    <w:rsid w:val="006F1BA4"/>
    <w:rsid w:val="006F2259"/>
    <w:rsid w:val="006F23E1"/>
    <w:rsid w:val="006F2F8F"/>
    <w:rsid w:val="006F2FDA"/>
    <w:rsid w:val="006F2FE5"/>
    <w:rsid w:val="006F3460"/>
    <w:rsid w:val="006F34FE"/>
    <w:rsid w:val="006F3615"/>
    <w:rsid w:val="006F3FA3"/>
    <w:rsid w:val="006F48BA"/>
    <w:rsid w:val="006F4AF9"/>
    <w:rsid w:val="006F54EB"/>
    <w:rsid w:val="006F5CC1"/>
    <w:rsid w:val="006F67A5"/>
    <w:rsid w:val="006F743A"/>
    <w:rsid w:val="006F762D"/>
    <w:rsid w:val="00700492"/>
    <w:rsid w:val="007009AC"/>
    <w:rsid w:val="0070167E"/>
    <w:rsid w:val="00701E1B"/>
    <w:rsid w:val="007029B1"/>
    <w:rsid w:val="00702ED0"/>
    <w:rsid w:val="00703C09"/>
    <w:rsid w:val="0070434A"/>
    <w:rsid w:val="007048C4"/>
    <w:rsid w:val="00704CC4"/>
    <w:rsid w:val="00705345"/>
    <w:rsid w:val="0070638D"/>
    <w:rsid w:val="00706DBF"/>
    <w:rsid w:val="00707A59"/>
    <w:rsid w:val="0071046B"/>
    <w:rsid w:val="00710AC6"/>
    <w:rsid w:val="00710C1D"/>
    <w:rsid w:val="007110A3"/>
    <w:rsid w:val="00711108"/>
    <w:rsid w:val="00711213"/>
    <w:rsid w:val="007112A1"/>
    <w:rsid w:val="00711996"/>
    <w:rsid w:val="00711B3B"/>
    <w:rsid w:val="00711BA3"/>
    <w:rsid w:val="00711C9D"/>
    <w:rsid w:val="00712B71"/>
    <w:rsid w:val="00712E55"/>
    <w:rsid w:val="00713023"/>
    <w:rsid w:val="0071322C"/>
    <w:rsid w:val="00713779"/>
    <w:rsid w:val="00713989"/>
    <w:rsid w:val="00713DCF"/>
    <w:rsid w:val="00714004"/>
    <w:rsid w:val="0071458E"/>
    <w:rsid w:val="007145C9"/>
    <w:rsid w:val="00714631"/>
    <w:rsid w:val="00714B6E"/>
    <w:rsid w:val="0071512F"/>
    <w:rsid w:val="007169AC"/>
    <w:rsid w:val="007169DD"/>
    <w:rsid w:val="00717679"/>
    <w:rsid w:val="00717B67"/>
    <w:rsid w:val="007206A2"/>
    <w:rsid w:val="00720B38"/>
    <w:rsid w:val="00720CA7"/>
    <w:rsid w:val="0072147B"/>
    <w:rsid w:val="0072181E"/>
    <w:rsid w:val="00722267"/>
    <w:rsid w:val="0072285E"/>
    <w:rsid w:val="00722C62"/>
    <w:rsid w:val="0072321F"/>
    <w:rsid w:val="00723295"/>
    <w:rsid w:val="007238E2"/>
    <w:rsid w:val="007239B4"/>
    <w:rsid w:val="007241C2"/>
    <w:rsid w:val="00724446"/>
    <w:rsid w:val="00724584"/>
    <w:rsid w:val="00724AA1"/>
    <w:rsid w:val="00724D39"/>
    <w:rsid w:val="00725A19"/>
    <w:rsid w:val="00726356"/>
    <w:rsid w:val="007268C7"/>
    <w:rsid w:val="00726AAB"/>
    <w:rsid w:val="00727077"/>
    <w:rsid w:val="00730EA6"/>
    <w:rsid w:val="00731C15"/>
    <w:rsid w:val="00732045"/>
    <w:rsid w:val="007322A0"/>
    <w:rsid w:val="00732C1A"/>
    <w:rsid w:val="007338A1"/>
    <w:rsid w:val="00733CDC"/>
    <w:rsid w:val="00734B9A"/>
    <w:rsid w:val="00735695"/>
    <w:rsid w:val="007360CB"/>
    <w:rsid w:val="00737566"/>
    <w:rsid w:val="00741BA2"/>
    <w:rsid w:val="00741CF4"/>
    <w:rsid w:val="00741DCC"/>
    <w:rsid w:val="00741DE2"/>
    <w:rsid w:val="007421A1"/>
    <w:rsid w:val="007427FE"/>
    <w:rsid w:val="00742C51"/>
    <w:rsid w:val="00743445"/>
    <w:rsid w:val="00744D73"/>
    <w:rsid w:val="00745E01"/>
    <w:rsid w:val="0074666B"/>
    <w:rsid w:val="007468D6"/>
    <w:rsid w:val="00746BFF"/>
    <w:rsid w:val="007473E1"/>
    <w:rsid w:val="00747897"/>
    <w:rsid w:val="00747E47"/>
    <w:rsid w:val="00750192"/>
    <w:rsid w:val="007504E1"/>
    <w:rsid w:val="00750544"/>
    <w:rsid w:val="00750804"/>
    <w:rsid w:val="007509AB"/>
    <w:rsid w:val="00751689"/>
    <w:rsid w:val="007524AA"/>
    <w:rsid w:val="00753744"/>
    <w:rsid w:val="00753A93"/>
    <w:rsid w:val="00755663"/>
    <w:rsid w:val="00756386"/>
    <w:rsid w:val="00756603"/>
    <w:rsid w:val="007575C0"/>
    <w:rsid w:val="00757D2F"/>
    <w:rsid w:val="0076000E"/>
    <w:rsid w:val="00760C00"/>
    <w:rsid w:val="007610E9"/>
    <w:rsid w:val="00761728"/>
    <w:rsid w:val="00761C6C"/>
    <w:rsid w:val="00762B72"/>
    <w:rsid w:val="00763CCB"/>
    <w:rsid w:val="007642B4"/>
    <w:rsid w:val="00764C45"/>
    <w:rsid w:val="00764C7F"/>
    <w:rsid w:val="00766277"/>
    <w:rsid w:val="0076656A"/>
    <w:rsid w:val="00766701"/>
    <w:rsid w:val="00766911"/>
    <w:rsid w:val="00767793"/>
    <w:rsid w:val="007679D8"/>
    <w:rsid w:val="00770803"/>
    <w:rsid w:val="00771319"/>
    <w:rsid w:val="007713E8"/>
    <w:rsid w:val="00771794"/>
    <w:rsid w:val="00771CCF"/>
    <w:rsid w:val="00771F7D"/>
    <w:rsid w:val="00772C3E"/>
    <w:rsid w:val="007736E8"/>
    <w:rsid w:val="00774400"/>
    <w:rsid w:val="00774ACE"/>
    <w:rsid w:val="00775823"/>
    <w:rsid w:val="00775F57"/>
    <w:rsid w:val="00776584"/>
    <w:rsid w:val="007769EF"/>
    <w:rsid w:val="00776D4F"/>
    <w:rsid w:val="00776DDC"/>
    <w:rsid w:val="007770F9"/>
    <w:rsid w:val="00777179"/>
    <w:rsid w:val="00777945"/>
    <w:rsid w:val="00777D40"/>
    <w:rsid w:val="00780B8D"/>
    <w:rsid w:val="00780B8E"/>
    <w:rsid w:val="00781649"/>
    <w:rsid w:val="007823D6"/>
    <w:rsid w:val="0078254E"/>
    <w:rsid w:val="00782628"/>
    <w:rsid w:val="007826AB"/>
    <w:rsid w:val="00783A4C"/>
    <w:rsid w:val="007840E2"/>
    <w:rsid w:val="0078569F"/>
    <w:rsid w:val="00785803"/>
    <w:rsid w:val="00785EB4"/>
    <w:rsid w:val="0078609A"/>
    <w:rsid w:val="00786717"/>
    <w:rsid w:val="00786F85"/>
    <w:rsid w:val="0078731A"/>
    <w:rsid w:val="00787487"/>
    <w:rsid w:val="00787520"/>
    <w:rsid w:val="007906F1"/>
    <w:rsid w:val="00790EDA"/>
    <w:rsid w:val="00791349"/>
    <w:rsid w:val="00791D85"/>
    <w:rsid w:val="00791DAF"/>
    <w:rsid w:val="007924CA"/>
    <w:rsid w:val="00794CBF"/>
    <w:rsid w:val="00795365"/>
    <w:rsid w:val="0079567E"/>
    <w:rsid w:val="00795F6A"/>
    <w:rsid w:val="007961D5"/>
    <w:rsid w:val="00796A6F"/>
    <w:rsid w:val="00796C5D"/>
    <w:rsid w:val="00797B06"/>
    <w:rsid w:val="00797B9C"/>
    <w:rsid w:val="00797CE8"/>
    <w:rsid w:val="007A0483"/>
    <w:rsid w:val="007A1065"/>
    <w:rsid w:val="007A1D86"/>
    <w:rsid w:val="007A2A97"/>
    <w:rsid w:val="007A2CDC"/>
    <w:rsid w:val="007A371B"/>
    <w:rsid w:val="007A3832"/>
    <w:rsid w:val="007A3A0F"/>
    <w:rsid w:val="007A3E60"/>
    <w:rsid w:val="007A407D"/>
    <w:rsid w:val="007A42C3"/>
    <w:rsid w:val="007A464F"/>
    <w:rsid w:val="007A6196"/>
    <w:rsid w:val="007A63D5"/>
    <w:rsid w:val="007A689A"/>
    <w:rsid w:val="007A68EA"/>
    <w:rsid w:val="007A6B7D"/>
    <w:rsid w:val="007A7629"/>
    <w:rsid w:val="007B085F"/>
    <w:rsid w:val="007B1027"/>
    <w:rsid w:val="007B1691"/>
    <w:rsid w:val="007B174F"/>
    <w:rsid w:val="007B1863"/>
    <w:rsid w:val="007B22E0"/>
    <w:rsid w:val="007B28CA"/>
    <w:rsid w:val="007B358D"/>
    <w:rsid w:val="007B4082"/>
    <w:rsid w:val="007B5401"/>
    <w:rsid w:val="007B5FB4"/>
    <w:rsid w:val="007B6B2B"/>
    <w:rsid w:val="007B7949"/>
    <w:rsid w:val="007B7D30"/>
    <w:rsid w:val="007C0FA9"/>
    <w:rsid w:val="007C11D2"/>
    <w:rsid w:val="007C2413"/>
    <w:rsid w:val="007C25AE"/>
    <w:rsid w:val="007C3152"/>
    <w:rsid w:val="007C333B"/>
    <w:rsid w:val="007C3914"/>
    <w:rsid w:val="007C3CEA"/>
    <w:rsid w:val="007C3D92"/>
    <w:rsid w:val="007C3E98"/>
    <w:rsid w:val="007C536F"/>
    <w:rsid w:val="007C5966"/>
    <w:rsid w:val="007C5A8F"/>
    <w:rsid w:val="007C5B38"/>
    <w:rsid w:val="007C76E8"/>
    <w:rsid w:val="007D01E6"/>
    <w:rsid w:val="007D035E"/>
    <w:rsid w:val="007D0396"/>
    <w:rsid w:val="007D0644"/>
    <w:rsid w:val="007D1801"/>
    <w:rsid w:val="007D1A86"/>
    <w:rsid w:val="007D1E5C"/>
    <w:rsid w:val="007D1FE0"/>
    <w:rsid w:val="007D20BB"/>
    <w:rsid w:val="007D261E"/>
    <w:rsid w:val="007D2F61"/>
    <w:rsid w:val="007D3004"/>
    <w:rsid w:val="007D3D0E"/>
    <w:rsid w:val="007D3D33"/>
    <w:rsid w:val="007D41C2"/>
    <w:rsid w:val="007D4F02"/>
    <w:rsid w:val="007D5925"/>
    <w:rsid w:val="007D674C"/>
    <w:rsid w:val="007D6B7B"/>
    <w:rsid w:val="007D6CF1"/>
    <w:rsid w:val="007D7131"/>
    <w:rsid w:val="007D7BEC"/>
    <w:rsid w:val="007D7CE3"/>
    <w:rsid w:val="007E051A"/>
    <w:rsid w:val="007E0798"/>
    <w:rsid w:val="007E1B72"/>
    <w:rsid w:val="007E3EE3"/>
    <w:rsid w:val="007E57DE"/>
    <w:rsid w:val="007E5902"/>
    <w:rsid w:val="007E6719"/>
    <w:rsid w:val="007E68ED"/>
    <w:rsid w:val="007E69ED"/>
    <w:rsid w:val="007E7B2D"/>
    <w:rsid w:val="007F0221"/>
    <w:rsid w:val="007F034B"/>
    <w:rsid w:val="007F07B9"/>
    <w:rsid w:val="007F0928"/>
    <w:rsid w:val="007F15CE"/>
    <w:rsid w:val="007F1E88"/>
    <w:rsid w:val="007F2CD7"/>
    <w:rsid w:val="007F3568"/>
    <w:rsid w:val="007F422D"/>
    <w:rsid w:val="007F4DBA"/>
    <w:rsid w:val="007F519C"/>
    <w:rsid w:val="007F534D"/>
    <w:rsid w:val="007F54A2"/>
    <w:rsid w:val="007F54FE"/>
    <w:rsid w:val="007F5535"/>
    <w:rsid w:val="007F5D32"/>
    <w:rsid w:val="007F60A2"/>
    <w:rsid w:val="007F72DC"/>
    <w:rsid w:val="007F795F"/>
    <w:rsid w:val="0080069C"/>
    <w:rsid w:val="008006FD"/>
    <w:rsid w:val="0080148D"/>
    <w:rsid w:val="0080156B"/>
    <w:rsid w:val="00801A3A"/>
    <w:rsid w:val="00804114"/>
    <w:rsid w:val="00804634"/>
    <w:rsid w:val="008047E8"/>
    <w:rsid w:val="0080531E"/>
    <w:rsid w:val="00805C3D"/>
    <w:rsid w:val="00806F1D"/>
    <w:rsid w:val="008077ED"/>
    <w:rsid w:val="00807B6F"/>
    <w:rsid w:val="00807E93"/>
    <w:rsid w:val="00810172"/>
    <w:rsid w:val="00810762"/>
    <w:rsid w:val="00810858"/>
    <w:rsid w:val="00810EFF"/>
    <w:rsid w:val="00811314"/>
    <w:rsid w:val="00811A39"/>
    <w:rsid w:val="0081291B"/>
    <w:rsid w:val="00813622"/>
    <w:rsid w:val="00813DCF"/>
    <w:rsid w:val="00813FAB"/>
    <w:rsid w:val="0081498C"/>
    <w:rsid w:val="00814AE1"/>
    <w:rsid w:val="00815D31"/>
    <w:rsid w:val="0081601F"/>
    <w:rsid w:val="00816064"/>
    <w:rsid w:val="008174B2"/>
    <w:rsid w:val="00817CFF"/>
    <w:rsid w:val="0082000D"/>
    <w:rsid w:val="00820053"/>
    <w:rsid w:val="0082037E"/>
    <w:rsid w:val="00820C9C"/>
    <w:rsid w:val="00820F55"/>
    <w:rsid w:val="00821572"/>
    <w:rsid w:val="00822310"/>
    <w:rsid w:val="00822DFE"/>
    <w:rsid w:val="00823794"/>
    <w:rsid w:val="008237F4"/>
    <w:rsid w:val="00823F67"/>
    <w:rsid w:val="00824022"/>
    <w:rsid w:val="0082483A"/>
    <w:rsid w:val="00824A81"/>
    <w:rsid w:val="008257B8"/>
    <w:rsid w:val="008260ED"/>
    <w:rsid w:val="0082699D"/>
    <w:rsid w:val="00826E6B"/>
    <w:rsid w:val="008275FD"/>
    <w:rsid w:val="00830BA1"/>
    <w:rsid w:val="00830EB2"/>
    <w:rsid w:val="00831652"/>
    <w:rsid w:val="0083202E"/>
    <w:rsid w:val="0083304F"/>
    <w:rsid w:val="008334C9"/>
    <w:rsid w:val="00834122"/>
    <w:rsid w:val="008352A7"/>
    <w:rsid w:val="008352C5"/>
    <w:rsid w:val="008358A6"/>
    <w:rsid w:val="008359FB"/>
    <w:rsid w:val="00835C56"/>
    <w:rsid w:val="008360FC"/>
    <w:rsid w:val="00836E81"/>
    <w:rsid w:val="008377C1"/>
    <w:rsid w:val="00837C90"/>
    <w:rsid w:val="00837EB1"/>
    <w:rsid w:val="0084042B"/>
    <w:rsid w:val="008409BB"/>
    <w:rsid w:val="00841034"/>
    <w:rsid w:val="0084184A"/>
    <w:rsid w:val="008423F2"/>
    <w:rsid w:val="00842A30"/>
    <w:rsid w:val="00842F71"/>
    <w:rsid w:val="00843179"/>
    <w:rsid w:val="0084386A"/>
    <w:rsid w:val="00843E0E"/>
    <w:rsid w:val="008442EA"/>
    <w:rsid w:val="00844589"/>
    <w:rsid w:val="00844794"/>
    <w:rsid w:val="00844FE7"/>
    <w:rsid w:val="00845103"/>
    <w:rsid w:val="00845969"/>
    <w:rsid w:val="00845F37"/>
    <w:rsid w:val="00845FF5"/>
    <w:rsid w:val="00846001"/>
    <w:rsid w:val="0084615D"/>
    <w:rsid w:val="0084642A"/>
    <w:rsid w:val="008465C4"/>
    <w:rsid w:val="00846710"/>
    <w:rsid w:val="008478ED"/>
    <w:rsid w:val="0085087F"/>
    <w:rsid w:val="00851728"/>
    <w:rsid w:val="00851DFF"/>
    <w:rsid w:val="00852156"/>
    <w:rsid w:val="00853084"/>
    <w:rsid w:val="00853142"/>
    <w:rsid w:val="008540A6"/>
    <w:rsid w:val="00854420"/>
    <w:rsid w:val="00854481"/>
    <w:rsid w:val="008555EF"/>
    <w:rsid w:val="00857591"/>
    <w:rsid w:val="00857E88"/>
    <w:rsid w:val="008612DB"/>
    <w:rsid w:val="00861B57"/>
    <w:rsid w:val="00862AC4"/>
    <w:rsid w:val="008633AC"/>
    <w:rsid w:val="008634E3"/>
    <w:rsid w:val="008639E5"/>
    <w:rsid w:val="00864627"/>
    <w:rsid w:val="00864635"/>
    <w:rsid w:val="00864678"/>
    <w:rsid w:val="00864C1A"/>
    <w:rsid w:val="00865217"/>
    <w:rsid w:val="008658AA"/>
    <w:rsid w:val="00865CBD"/>
    <w:rsid w:val="00866E37"/>
    <w:rsid w:val="00866F9E"/>
    <w:rsid w:val="008672E2"/>
    <w:rsid w:val="0086793D"/>
    <w:rsid w:val="00867B1C"/>
    <w:rsid w:val="008713D6"/>
    <w:rsid w:val="00871643"/>
    <w:rsid w:val="0087281D"/>
    <w:rsid w:val="008732D8"/>
    <w:rsid w:val="00873377"/>
    <w:rsid w:val="00873577"/>
    <w:rsid w:val="0087409F"/>
    <w:rsid w:val="00874D58"/>
    <w:rsid w:val="008750C6"/>
    <w:rsid w:val="008750D2"/>
    <w:rsid w:val="00875AB5"/>
    <w:rsid w:val="00875C91"/>
    <w:rsid w:val="00875F85"/>
    <w:rsid w:val="00876C6B"/>
    <w:rsid w:val="00876DC9"/>
    <w:rsid w:val="00877125"/>
    <w:rsid w:val="008777C2"/>
    <w:rsid w:val="0088063B"/>
    <w:rsid w:val="00881511"/>
    <w:rsid w:val="00882448"/>
    <w:rsid w:val="00882F1D"/>
    <w:rsid w:val="00883A4D"/>
    <w:rsid w:val="00883B21"/>
    <w:rsid w:val="00883F8F"/>
    <w:rsid w:val="00884235"/>
    <w:rsid w:val="00885285"/>
    <w:rsid w:val="00885985"/>
    <w:rsid w:val="00886699"/>
    <w:rsid w:val="0088709A"/>
    <w:rsid w:val="0089199F"/>
    <w:rsid w:val="00891C32"/>
    <w:rsid w:val="00891D7F"/>
    <w:rsid w:val="00892265"/>
    <w:rsid w:val="0089233E"/>
    <w:rsid w:val="0089330E"/>
    <w:rsid w:val="00893A8E"/>
    <w:rsid w:val="00893E27"/>
    <w:rsid w:val="008945F7"/>
    <w:rsid w:val="0089463D"/>
    <w:rsid w:val="0089554F"/>
    <w:rsid w:val="008955E6"/>
    <w:rsid w:val="00895B5F"/>
    <w:rsid w:val="0089637C"/>
    <w:rsid w:val="00896712"/>
    <w:rsid w:val="00896870"/>
    <w:rsid w:val="008969BD"/>
    <w:rsid w:val="008A034F"/>
    <w:rsid w:val="008A13BD"/>
    <w:rsid w:val="008A1596"/>
    <w:rsid w:val="008A1EDF"/>
    <w:rsid w:val="008A2695"/>
    <w:rsid w:val="008A2DC9"/>
    <w:rsid w:val="008A2FF1"/>
    <w:rsid w:val="008A32D4"/>
    <w:rsid w:val="008A367F"/>
    <w:rsid w:val="008A37AF"/>
    <w:rsid w:val="008A3D62"/>
    <w:rsid w:val="008A448D"/>
    <w:rsid w:val="008A4A55"/>
    <w:rsid w:val="008A4B19"/>
    <w:rsid w:val="008A506F"/>
    <w:rsid w:val="008A528A"/>
    <w:rsid w:val="008A5298"/>
    <w:rsid w:val="008A535A"/>
    <w:rsid w:val="008A720F"/>
    <w:rsid w:val="008A7498"/>
    <w:rsid w:val="008A793D"/>
    <w:rsid w:val="008A7C72"/>
    <w:rsid w:val="008B04F2"/>
    <w:rsid w:val="008B0D0E"/>
    <w:rsid w:val="008B12BB"/>
    <w:rsid w:val="008B1411"/>
    <w:rsid w:val="008B17A2"/>
    <w:rsid w:val="008B25F2"/>
    <w:rsid w:val="008B2643"/>
    <w:rsid w:val="008B2FAE"/>
    <w:rsid w:val="008B3317"/>
    <w:rsid w:val="008B414B"/>
    <w:rsid w:val="008B4E0E"/>
    <w:rsid w:val="008B4FB9"/>
    <w:rsid w:val="008B5715"/>
    <w:rsid w:val="008B5A2D"/>
    <w:rsid w:val="008B5BC2"/>
    <w:rsid w:val="008B5E54"/>
    <w:rsid w:val="008B60BB"/>
    <w:rsid w:val="008B6159"/>
    <w:rsid w:val="008B6732"/>
    <w:rsid w:val="008B68EC"/>
    <w:rsid w:val="008B711E"/>
    <w:rsid w:val="008B718D"/>
    <w:rsid w:val="008C042F"/>
    <w:rsid w:val="008C057B"/>
    <w:rsid w:val="008C0CAC"/>
    <w:rsid w:val="008C0FD1"/>
    <w:rsid w:val="008C13B4"/>
    <w:rsid w:val="008C1557"/>
    <w:rsid w:val="008C1B8C"/>
    <w:rsid w:val="008C2306"/>
    <w:rsid w:val="008C26D1"/>
    <w:rsid w:val="008C2B4D"/>
    <w:rsid w:val="008C2B7F"/>
    <w:rsid w:val="008C36AC"/>
    <w:rsid w:val="008C4953"/>
    <w:rsid w:val="008C4E44"/>
    <w:rsid w:val="008C6255"/>
    <w:rsid w:val="008C684B"/>
    <w:rsid w:val="008C6ABD"/>
    <w:rsid w:val="008C6F18"/>
    <w:rsid w:val="008C7685"/>
    <w:rsid w:val="008D007A"/>
    <w:rsid w:val="008D07DE"/>
    <w:rsid w:val="008D0831"/>
    <w:rsid w:val="008D0E40"/>
    <w:rsid w:val="008D1E7F"/>
    <w:rsid w:val="008D2367"/>
    <w:rsid w:val="008D427A"/>
    <w:rsid w:val="008D4DD5"/>
    <w:rsid w:val="008D5657"/>
    <w:rsid w:val="008D6752"/>
    <w:rsid w:val="008D69E7"/>
    <w:rsid w:val="008D6FC1"/>
    <w:rsid w:val="008E0140"/>
    <w:rsid w:val="008E0688"/>
    <w:rsid w:val="008E0BEF"/>
    <w:rsid w:val="008E103C"/>
    <w:rsid w:val="008E266D"/>
    <w:rsid w:val="008E2F0C"/>
    <w:rsid w:val="008E3E23"/>
    <w:rsid w:val="008E547B"/>
    <w:rsid w:val="008E5DF8"/>
    <w:rsid w:val="008F0250"/>
    <w:rsid w:val="008F11F4"/>
    <w:rsid w:val="008F1952"/>
    <w:rsid w:val="008F254D"/>
    <w:rsid w:val="008F2B00"/>
    <w:rsid w:val="008F310B"/>
    <w:rsid w:val="008F322B"/>
    <w:rsid w:val="008F34CB"/>
    <w:rsid w:val="008F3519"/>
    <w:rsid w:val="008F3925"/>
    <w:rsid w:val="008F3AD3"/>
    <w:rsid w:val="008F3CA7"/>
    <w:rsid w:val="008F443F"/>
    <w:rsid w:val="008F5DE5"/>
    <w:rsid w:val="008F5E42"/>
    <w:rsid w:val="008F63B1"/>
    <w:rsid w:val="008F6973"/>
    <w:rsid w:val="008F6E6A"/>
    <w:rsid w:val="008F7AA7"/>
    <w:rsid w:val="008F7F94"/>
    <w:rsid w:val="00900947"/>
    <w:rsid w:val="00900EB8"/>
    <w:rsid w:val="00900FBA"/>
    <w:rsid w:val="0090240E"/>
    <w:rsid w:val="00902E5B"/>
    <w:rsid w:val="00903FD9"/>
    <w:rsid w:val="00904CF5"/>
    <w:rsid w:val="00905259"/>
    <w:rsid w:val="0090556C"/>
    <w:rsid w:val="00905633"/>
    <w:rsid w:val="009059A9"/>
    <w:rsid w:val="00905EAE"/>
    <w:rsid w:val="009060C4"/>
    <w:rsid w:val="00906C91"/>
    <w:rsid w:val="00906C95"/>
    <w:rsid w:val="00907656"/>
    <w:rsid w:val="00907E47"/>
    <w:rsid w:val="009115EF"/>
    <w:rsid w:val="009116DD"/>
    <w:rsid w:val="00912D1C"/>
    <w:rsid w:val="00913019"/>
    <w:rsid w:val="00913F1E"/>
    <w:rsid w:val="00913FB2"/>
    <w:rsid w:val="009140C4"/>
    <w:rsid w:val="009144A9"/>
    <w:rsid w:val="0091468B"/>
    <w:rsid w:val="0091526F"/>
    <w:rsid w:val="009153D2"/>
    <w:rsid w:val="009160B2"/>
    <w:rsid w:val="00916286"/>
    <w:rsid w:val="00916595"/>
    <w:rsid w:val="00916C47"/>
    <w:rsid w:val="009171AD"/>
    <w:rsid w:val="00917569"/>
    <w:rsid w:val="00920174"/>
    <w:rsid w:val="00921387"/>
    <w:rsid w:val="009219D2"/>
    <w:rsid w:val="00921A4E"/>
    <w:rsid w:val="00921E37"/>
    <w:rsid w:val="00922511"/>
    <w:rsid w:val="00922F07"/>
    <w:rsid w:val="00923463"/>
    <w:rsid w:val="00925238"/>
    <w:rsid w:val="00925ACF"/>
    <w:rsid w:val="0092615D"/>
    <w:rsid w:val="00926546"/>
    <w:rsid w:val="009265A1"/>
    <w:rsid w:val="00927700"/>
    <w:rsid w:val="0093036E"/>
    <w:rsid w:val="00931224"/>
    <w:rsid w:val="0093264C"/>
    <w:rsid w:val="009333D3"/>
    <w:rsid w:val="009339B6"/>
    <w:rsid w:val="00933B4C"/>
    <w:rsid w:val="00933DC4"/>
    <w:rsid w:val="0093431B"/>
    <w:rsid w:val="009346D6"/>
    <w:rsid w:val="00934743"/>
    <w:rsid w:val="0093487E"/>
    <w:rsid w:val="00934FFE"/>
    <w:rsid w:val="00936405"/>
    <w:rsid w:val="00936B64"/>
    <w:rsid w:val="009379C4"/>
    <w:rsid w:val="0094041A"/>
    <w:rsid w:val="00940D32"/>
    <w:rsid w:val="0094190D"/>
    <w:rsid w:val="00942354"/>
    <w:rsid w:val="00942681"/>
    <w:rsid w:val="00943A7E"/>
    <w:rsid w:val="00943E42"/>
    <w:rsid w:val="00943E5D"/>
    <w:rsid w:val="00944728"/>
    <w:rsid w:val="009453E8"/>
    <w:rsid w:val="00945664"/>
    <w:rsid w:val="00945AD1"/>
    <w:rsid w:val="00946ECB"/>
    <w:rsid w:val="00947268"/>
    <w:rsid w:val="0094750E"/>
    <w:rsid w:val="00947C94"/>
    <w:rsid w:val="009507C8"/>
    <w:rsid w:val="0095115E"/>
    <w:rsid w:val="0095118A"/>
    <w:rsid w:val="00952468"/>
    <w:rsid w:val="00954767"/>
    <w:rsid w:val="0095487A"/>
    <w:rsid w:val="009548FB"/>
    <w:rsid w:val="0095538B"/>
    <w:rsid w:val="009575B9"/>
    <w:rsid w:val="00957AF7"/>
    <w:rsid w:val="00960105"/>
    <w:rsid w:val="00960ACA"/>
    <w:rsid w:val="00960C4F"/>
    <w:rsid w:val="0096217C"/>
    <w:rsid w:val="00962441"/>
    <w:rsid w:val="00963277"/>
    <w:rsid w:val="00964B53"/>
    <w:rsid w:val="00964C3F"/>
    <w:rsid w:val="00964C6C"/>
    <w:rsid w:val="00965176"/>
    <w:rsid w:val="00965240"/>
    <w:rsid w:val="00965847"/>
    <w:rsid w:val="00965A3E"/>
    <w:rsid w:val="00965C48"/>
    <w:rsid w:val="00966D9D"/>
    <w:rsid w:val="00966E4A"/>
    <w:rsid w:val="00967041"/>
    <w:rsid w:val="00970918"/>
    <w:rsid w:val="0097099E"/>
    <w:rsid w:val="00971761"/>
    <w:rsid w:val="0097216F"/>
    <w:rsid w:val="00972C3B"/>
    <w:rsid w:val="00973057"/>
    <w:rsid w:val="00974D50"/>
    <w:rsid w:val="009751AF"/>
    <w:rsid w:val="00975326"/>
    <w:rsid w:val="00975DEA"/>
    <w:rsid w:val="00977CDF"/>
    <w:rsid w:val="0098043F"/>
    <w:rsid w:val="00980F83"/>
    <w:rsid w:val="00981038"/>
    <w:rsid w:val="0098106E"/>
    <w:rsid w:val="00981511"/>
    <w:rsid w:val="00981D1C"/>
    <w:rsid w:val="00981E1C"/>
    <w:rsid w:val="00982118"/>
    <w:rsid w:val="009824E7"/>
    <w:rsid w:val="00982C62"/>
    <w:rsid w:val="00982C91"/>
    <w:rsid w:val="00982F76"/>
    <w:rsid w:val="00982FA3"/>
    <w:rsid w:val="009840FD"/>
    <w:rsid w:val="00984701"/>
    <w:rsid w:val="00984847"/>
    <w:rsid w:val="00984BEC"/>
    <w:rsid w:val="00985EB8"/>
    <w:rsid w:val="00985FB3"/>
    <w:rsid w:val="00986566"/>
    <w:rsid w:val="00986B70"/>
    <w:rsid w:val="00986CC1"/>
    <w:rsid w:val="00986F4E"/>
    <w:rsid w:val="00987191"/>
    <w:rsid w:val="00987A5A"/>
    <w:rsid w:val="00987CB4"/>
    <w:rsid w:val="0099097E"/>
    <w:rsid w:val="009921FC"/>
    <w:rsid w:val="0099272B"/>
    <w:rsid w:val="00992A0E"/>
    <w:rsid w:val="0099399E"/>
    <w:rsid w:val="0099413C"/>
    <w:rsid w:val="00994230"/>
    <w:rsid w:val="0099479E"/>
    <w:rsid w:val="009951D8"/>
    <w:rsid w:val="00995355"/>
    <w:rsid w:val="0099586F"/>
    <w:rsid w:val="00996CB5"/>
    <w:rsid w:val="0099719E"/>
    <w:rsid w:val="009A0169"/>
    <w:rsid w:val="009A1B56"/>
    <w:rsid w:val="009A2A8A"/>
    <w:rsid w:val="009A3C93"/>
    <w:rsid w:val="009A3FD0"/>
    <w:rsid w:val="009A51C7"/>
    <w:rsid w:val="009A59EC"/>
    <w:rsid w:val="009A5ADE"/>
    <w:rsid w:val="009A5C56"/>
    <w:rsid w:val="009A5CA8"/>
    <w:rsid w:val="009A6ED0"/>
    <w:rsid w:val="009A706A"/>
    <w:rsid w:val="009A71AB"/>
    <w:rsid w:val="009A7745"/>
    <w:rsid w:val="009A7C3D"/>
    <w:rsid w:val="009B009A"/>
    <w:rsid w:val="009B0156"/>
    <w:rsid w:val="009B0295"/>
    <w:rsid w:val="009B05BA"/>
    <w:rsid w:val="009B1B0E"/>
    <w:rsid w:val="009B2596"/>
    <w:rsid w:val="009B42B6"/>
    <w:rsid w:val="009B42CC"/>
    <w:rsid w:val="009B43D6"/>
    <w:rsid w:val="009B5081"/>
    <w:rsid w:val="009B6985"/>
    <w:rsid w:val="009B69B3"/>
    <w:rsid w:val="009B7011"/>
    <w:rsid w:val="009B71E4"/>
    <w:rsid w:val="009C04EE"/>
    <w:rsid w:val="009C0CD4"/>
    <w:rsid w:val="009C15E7"/>
    <w:rsid w:val="009C17C8"/>
    <w:rsid w:val="009C385B"/>
    <w:rsid w:val="009C3E3C"/>
    <w:rsid w:val="009C4353"/>
    <w:rsid w:val="009C49C2"/>
    <w:rsid w:val="009C4E2D"/>
    <w:rsid w:val="009C62C0"/>
    <w:rsid w:val="009C6A88"/>
    <w:rsid w:val="009C765D"/>
    <w:rsid w:val="009C7ADA"/>
    <w:rsid w:val="009D000A"/>
    <w:rsid w:val="009D1A86"/>
    <w:rsid w:val="009D1E12"/>
    <w:rsid w:val="009D2DA9"/>
    <w:rsid w:val="009D2E93"/>
    <w:rsid w:val="009D2EA9"/>
    <w:rsid w:val="009D3038"/>
    <w:rsid w:val="009D34C0"/>
    <w:rsid w:val="009D35FB"/>
    <w:rsid w:val="009D4BBE"/>
    <w:rsid w:val="009D4E16"/>
    <w:rsid w:val="009D505D"/>
    <w:rsid w:val="009D5087"/>
    <w:rsid w:val="009D5893"/>
    <w:rsid w:val="009D6620"/>
    <w:rsid w:val="009D6C54"/>
    <w:rsid w:val="009D72B0"/>
    <w:rsid w:val="009D77CE"/>
    <w:rsid w:val="009D7CA5"/>
    <w:rsid w:val="009D7DE3"/>
    <w:rsid w:val="009E004A"/>
    <w:rsid w:val="009E066B"/>
    <w:rsid w:val="009E1515"/>
    <w:rsid w:val="009E1CFF"/>
    <w:rsid w:val="009E1FEE"/>
    <w:rsid w:val="009E23EA"/>
    <w:rsid w:val="009E2D24"/>
    <w:rsid w:val="009E2EA0"/>
    <w:rsid w:val="009E305F"/>
    <w:rsid w:val="009E36FF"/>
    <w:rsid w:val="009E37D3"/>
    <w:rsid w:val="009E5028"/>
    <w:rsid w:val="009E50FB"/>
    <w:rsid w:val="009E5280"/>
    <w:rsid w:val="009E5386"/>
    <w:rsid w:val="009E5DD1"/>
    <w:rsid w:val="009E60AD"/>
    <w:rsid w:val="009E68C8"/>
    <w:rsid w:val="009E6AB5"/>
    <w:rsid w:val="009E6DAB"/>
    <w:rsid w:val="009E6F4B"/>
    <w:rsid w:val="009E703C"/>
    <w:rsid w:val="009E7E4C"/>
    <w:rsid w:val="009F08F5"/>
    <w:rsid w:val="009F0956"/>
    <w:rsid w:val="009F0EE5"/>
    <w:rsid w:val="009F1264"/>
    <w:rsid w:val="009F1D7F"/>
    <w:rsid w:val="009F245B"/>
    <w:rsid w:val="009F25E6"/>
    <w:rsid w:val="009F2BE8"/>
    <w:rsid w:val="009F2F09"/>
    <w:rsid w:val="009F39A7"/>
    <w:rsid w:val="009F40B7"/>
    <w:rsid w:val="009F4188"/>
    <w:rsid w:val="009F4302"/>
    <w:rsid w:val="009F4393"/>
    <w:rsid w:val="009F4BE9"/>
    <w:rsid w:val="009F62D3"/>
    <w:rsid w:val="00A00112"/>
    <w:rsid w:val="00A008B5"/>
    <w:rsid w:val="00A017B4"/>
    <w:rsid w:val="00A01C53"/>
    <w:rsid w:val="00A01D38"/>
    <w:rsid w:val="00A02414"/>
    <w:rsid w:val="00A025B9"/>
    <w:rsid w:val="00A0355C"/>
    <w:rsid w:val="00A03A13"/>
    <w:rsid w:val="00A040CD"/>
    <w:rsid w:val="00A04429"/>
    <w:rsid w:val="00A06446"/>
    <w:rsid w:val="00A06697"/>
    <w:rsid w:val="00A06C40"/>
    <w:rsid w:val="00A10586"/>
    <w:rsid w:val="00A10A48"/>
    <w:rsid w:val="00A110DA"/>
    <w:rsid w:val="00A1132B"/>
    <w:rsid w:val="00A11930"/>
    <w:rsid w:val="00A11B54"/>
    <w:rsid w:val="00A11CDC"/>
    <w:rsid w:val="00A1238C"/>
    <w:rsid w:val="00A1263D"/>
    <w:rsid w:val="00A12AF2"/>
    <w:rsid w:val="00A12D8A"/>
    <w:rsid w:val="00A12E6C"/>
    <w:rsid w:val="00A136D0"/>
    <w:rsid w:val="00A13D1A"/>
    <w:rsid w:val="00A14DC2"/>
    <w:rsid w:val="00A14DD6"/>
    <w:rsid w:val="00A15D5E"/>
    <w:rsid w:val="00A161F8"/>
    <w:rsid w:val="00A169FA"/>
    <w:rsid w:val="00A1766A"/>
    <w:rsid w:val="00A200F4"/>
    <w:rsid w:val="00A206C9"/>
    <w:rsid w:val="00A20C27"/>
    <w:rsid w:val="00A20E7D"/>
    <w:rsid w:val="00A216BC"/>
    <w:rsid w:val="00A23931"/>
    <w:rsid w:val="00A23FD6"/>
    <w:rsid w:val="00A25317"/>
    <w:rsid w:val="00A25706"/>
    <w:rsid w:val="00A25D84"/>
    <w:rsid w:val="00A26029"/>
    <w:rsid w:val="00A262E4"/>
    <w:rsid w:val="00A268EA"/>
    <w:rsid w:val="00A31CE0"/>
    <w:rsid w:val="00A31FA9"/>
    <w:rsid w:val="00A333BF"/>
    <w:rsid w:val="00A33825"/>
    <w:rsid w:val="00A3398F"/>
    <w:rsid w:val="00A35583"/>
    <w:rsid w:val="00A363EF"/>
    <w:rsid w:val="00A36596"/>
    <w:rsid w:val="00A36DFE"/>
    <w:rsid w:val="00A370FD"/>
    <w:rsid w:val="00A3798C"/>
    <w:rsid w:val="00A37DD9"/>
    <w:rsid w:val="00A40ED7"/>
    <w:rsid w:val="00A40F83"/>
    <w:rsid w:val="00A412BA"/>
    <w:rsid w:val="00A41416"/>
    <w:rsid w:val="00A41478"/>
    <w:rsid w:val="00A4200D"/>
    <w:rsid w:val="00A424BF"/>
    <w:rsid w:val="00A4258E"/>
    <w:rsid w:val="00A432D1"/>
    <w:rsid w:val="00A43716"/>
    <w:rsid w:val="00A442C5"/>
    <w:rsid w:val="00A44712"/>
    <w:rsid w:val="00A44AF5"/>
    <w:rsid w:val="00A44B8B"/>
    <w:rsid w:val="00A45050"/>
    <w:rsid w:val="00A45EC4"/>
    <w:rsid w:val="00A46FD6"/>
    <w:rsid w:val="00A47212"/>
    <w:rsid w:val="00A474EA"/>
    <w:rsid w:val="00A501B2"/>
    <w:rsid w:val="00A5034A"/>
    <w:rsid w:val="00A50467"/>
    <w:rsid w:val="00A50FFA"/>
    <w:rsid w:val="00A539D1"/>
    <w:rsid w:val="00A54DAE"/>
    <w:rsid w:val="00A56D3B"/>
    <w:rsid w:val="00A57450"/>
    <w:rsid w:val="00A57479"/>
    <w:rsid w:val="00A57C08"/>
    <w:rsid w:val="00A600D9"/>
    <w:rsid w:val="00A604CD"/>
    <w:rsid w:val="00A637A0"/>
    <w:rsid w:val="00A63ECD"/>
    <w:rsid w:val="00A64093"/>
    <w:rsid w:val="00A640EB"/>
    <w:rsid w:val="00A64815"/>
    <w:rsid w:val="00A65043"/>
    <w:rsid w:val="00A66DF9"/>
    <w:rsid w:val="00A704E4"/>
    <w:rsid w:val="00A7136A"/>
    <w:rsid w:val="00A71C44"/>
    <w:rsid w:val="00A72296"/>
    <w:rsid w:val="00A7388E"/>
    <w:rsid w:val="00A74544"/>
    <w:rsid w:val="00A74548"/>
    <w:rsid w:val="00A74DF2"/>
    <w:rsid w:val="00A74E4D"/>
    <w:rsid w:val="00A75633"/>
    <w:rsid w:val="00A7592E"/>
    <w:rsid w:val="00A75C0E"/>
    <w:rsid w:val="00A76C1F"/>
    <w:rsid w:val="00A803FC"/>
    <w:rsid w:val="00A8071A"/>
    <w:rsid w:val="00A80DD9"/>
    <w:rsid w:val="00A80FCA"/>
    <w:rsid w:val="00A81CBC"/>
    <w:rsid w:val="00A82506"/>
    <w:rsid w:val="00A837CE"/>
    <w:rsid w:val="00A83DB5"/>
    <w:rsid w:val="00A83FBA"/>
    <w:rsid w:val="00A84636"/>
    <w:rsid w:val="00A8475B"/>
    <w:rsid w:val="00A84FE1"/>
    <w:rsid w:val="00A85080"/>
    <w:rsid w:val="00A85337"/>
    <w:rsid w:val="00A8626D"/>
    <w:rsid w:val="00A86406"/>
    <w:rsid w:val="00A86853"/>
    <w:rsid w:val="00A86B75"/>
    <w:rsid w:val="00A86E75"/>
    <w:rsid w:val="00A86F33"/>
    <w:rsid w:val="00A87AF0"/>
    <w:rsid w:val="00A9065F"/>
    <w:rsid w:val="00A90B0E"/>
    <w:rsid w:val="00A91AA1"/>
    <w:rsid w:val="00A91C8C"/>
    <w:rsid w:val="00A91F0D"/>
    <w:rsid w:val="00A9235A"/>
    <w:rsid w:val="00A92FF7"/>
    <w:rsid w:val="00A93069"/>
    <w:rsid w:val="00A9468F"/>
    <w:rsid w:val="00A9498D"/>
    <w:rsid w:val="00A95335"/>
    <w:rsid w:val="00A9566B"/>
    <w:rsid w:val="00A9657F"/>
    <w:rsid w:val="00A9797D"/>
    <w:rsid w:val="00AA015F"/>
    <w:rsid w:val="00AA0C3A"/>
    <w:rsid w:val="00AA1723"/>
    <w:rsid w:val="00AA190D"/>
    <w:rsid w:val="00AA1FDD"/>
    <w:rsid w:val="00AA22C3"/>
    <w:rsid w:val="00AA230D"/>
    <w:rsid w:val="00AA4941"/>
    <w:rsid w:val="00AA49E9"/>
    <w:rsid w:val="00AA5475"/>
    <w:rsid w:val="00AA5876"/>
    <w:rsid w:val="00AA6A8A"/>
    <w:rsid w:val="00AA6DD8"/>
    <w:rsid w:val="00AA6FA3"/>
    <w:rsid w:val="00AA70BB"/>
    <w:rsid w:val="00AA757C"/>
    <w:rsid w:val="00AA7F10"/>
    <w:rsid w:val="00AB0391"/>
    <w:rsid w:val="00AB2151"/>
    <w:rsid w:val="00AB2216"/>
    <w:rsid w:val="00AB2C59"/>
    <w:rsid w:val="00AB2C8A"/>
    <w:rsid w:val="00AB42B6"/>
    <w:rsid w:val="00AB4D67"/>
    <w:rsid w:val="00AB545D"/>
    <w:rsid w:val="00AB54D7"/>
    <w:rsid w:val="00AB57D3"/>
    <w:rsid w:val="00AB6886"/>
    <w:rsid w:val="00AB6AE4"/>
    <w:rsid w:val="00AB6E00"/>
    <w:rsid w:val="00AB6F37"/>
    <w:rsid w:val="00AB769E"/>
    <w:rsid w:val="00AB7D55"/>
    <w:rsid w:val="00AC0681"/>
    <w:rsid w:val="00AC154B"/>
    <w:rsid w:val="00AC1B72"/>
    <w:rsid w:val="00AC26FE"/>
    <w:rsid w:val="00AC350D"/>
    <w:rsid w:val="00AC3568"/>
    <w:rsid w:val="00AC3CF2"/>
    <w:rsid w:val="00AC47EC"/>
    <w:rsid w:val="00AC4E5D"/>
    <w:rsid w:val="00AC6C53"/>
    <w:rsid w:val="00AC6E85"/>
    <w:rsid w:val="00AC7284"/>
    <w:rsid w:val="00AC7CE6"/>
    <w:rsid w:val="00AD0828"/>
    <w:rsid w:val="00AD0B13"/>
    <w:rsid w:val="00AD0E69"/>
    <w:rsid w:val="00AD103D"/>
    <w:rsid w:val="00AD159C"/>
    <w:rsid w:val="00AD17FA"/>
    <w:rsid w:val="00AD19EC"/>
    <w:rsid w:val="00AD2717"/>
    <w:rsid w:val="00AD3DC4"/>
    <w:rsid w:val="00AD47B5"/>
    <w:rsid w:val="00AD49C8"/>
    <w:rsid w:val="00AD4FF4"/>
    <w:rsid w:val="00AD531D"/>
    <w:rsid w:val="00AD5DE7"/>
    <w:rsid w:val="00AD600C"/>
    <w:rsid w:val="00AD63D6"/>
    <w:rsid w:val="00AD6CD5"/>
    <w:rsid w:val="00AD733B"/>
    <w:rsid w:val="00AD73D5"/>
    <w:rsid w:val="00AD7CA7"/>
    <w:rsid w:val="00AE0040"/>
    <w:rsid w:val="00AE184D"/>
    <w:rsid w:val="00AE1C03"/>
    <w:rsid w:val="00AE23E3"/>
    <w:rsid w:val="00AE2F65"/>
    <w:rsid w:val="00AE317E"/>
    <w:rsid w:val="00AE35A5"/>
    <w:rsid w:val="00AE4E2A"/>
    <w:rsid w:val="00AE5CF9"/>
    <w:rsid w:val="00AE5DB6"/>
    <w:rsid w:val="00AE6C3C"/>
    <w:rsid w:val="00AE702E"/>
    <w:rsid w:val="00AE73E0"/>
    <w:rsid w:val="00AF03C0"/>
    <w:rsid w:val="00AF166F"/>
    <w:rsid w:val="00AF1C03"/>
    <w:rsid w:val="00AF1FF9"/>
    <w:rsid w:val="00AF39AF"/>
    <w:rsid w:val="00AF3E3B"/>
    <w:rsid w:val="00AF3E5A"/>
    <w:rsid w:val="00AF46FE"/>
    <w:rsid w:val="00AF486F"/>
    <w:rsid w:val="00AF548B"/>
    <w:rsid w:val="00AF55E0"/>
    <w:rsid w:val="00AF5666"/>
    <w:rsid w:val="00AF5870"/>
    <w:rsid w:val="00AF6619"/>
    <w:rsid w:val="00AF6CFD"/>
    <w:rsid w:val="00AF7DC1"/>
    <w:rsid w:val="00B000AE"/>
    <w:rsid w:val="00B0040B"/>
    <w:rsid w:val="00B00830"/>
    <w:rsid w:val="00B00AB5"/>
    <w:rsid w:val="00B00CC0"/>
    <w:rsid w:val="00B00F5C"/>
    <w:rsid w:val="00B019C1"/>
    <w:rsid w:val="00B0236E"/>
    <w:rsid w:val="00B02506"/>
    <w:rsid w:val="00B028AA"/>
    <w:rsid w:val="00B02ACE"/>
    <w:rsid w:val="00B03913"/>
    <w:rsid w:val="00B04CEA"/>
    <w:rsid w:val="00B05607"/>
    <w:rsid w:val="00B05A08"/>
    <w:rsid w:val="00B05F14"/>
    <w:rsid w:val="00B06737"/>
    <w:rsid w:val="00B0784C"/>
    <w:rsid w:val="00B07CE9"/>
    <w:rsid w:val="00B101D5"/>
    <w:rsid w:val="00B10633"/>
    <w:rsid w:val="00B10B08"/>
    <w:rsid w:val="00B11A78"/>
    <w:rsid w:val="00B11CFB"/>
    <w:rsid w:val="00B12111"/>
    <w:rsid w:val="00B13E18"/>
    <w:rsid w:val="00B14109"/>
    <w:rsid w:val="00B14410"/>
    <w:rsid w:val="00B1486D"/>
    <w:rsid w:val="00B150D6"/>
    <w:rsid w:val="00B15373"/>
    <w:rsid w:val="00B15639"/>
    <w:rsid w:val="00B15D15"/>
    <w:rsid w:val="00B15E42"/>
    <w:rsid w:val="00B15EEE"/>
    <w:rsid w:val="00B16198"/>
    <w:rsid w:val="00B16A2C"/>
    <w:rsid w:val="00B16FB6"/>
    <w:rsid w:val="00B17022"/>
    <w:rsid w:val="00B21736"/>
    <w:rsid w:val="00B218B1"/>
    <w:rsid w:val="00B21A33"/>
    <w:rsid w:val="00B22180"/>
    <w:rsid w:val="00B22272"/>
    <w:rsid w:val="00B224AA"/>
    <w:rsid w:val="00B22998"/>
    <w:rsid w:val="00B229FE"/>
    <w:rsid w:val="00B2302B"/>
    <w:rsid w:val="00B24363"/>
    <w:rsid w:val="00B2456E"/>
    <w:rsid w:val="00B24979"/>
    <w:rsid w:val="00B250A5"/>
    <w:rsid w:val="00B25651"/>
    <w:rsid w:val="00B26309"/>
    <w:rsid w:val="00B26937"/>
    <w:rsid w:val="00B30243"/>
    <w:rsid w:val="00B30421"/>
    <w:rsid w:val="00B30DC8"/>
    <w:rsid w:val="00B315BB"/>
    <w:rsid w:val="00B31977"/>
    <w:rsid w:val="00B3235A"/>
    <w:rsid w:val="00B333FE"/>
    <w:rsid w:val="00B3382B"/>
    <w:rsid w:val="00B35094"/>
    <w:rsid w:val="00B350F0"/>
    <w:rsid w:val="00B357AC"/>
    <w:rsid w:val="00B35992"/>
    <w:rsid w:val="00B35E4B"/>
    <w:rsid w:val="00B35FCC"/>
    <w:rsid w:val="00B36518"/>
    <w:rsid w:val="00B378CC"/>
    <w:rsid w:val="00B41615"/>
    <w:rsid w:val="00B41D70"/>
    <w:rsid w:val="00B41FD8"/>
    <w:rsid w:val="00B420DF"/>
    <w:rsid w:val="00B428E2"/>
    <w:rsid w:val="00B42A2C"/>
    <w:rsid w:val="00B42A5C"/>
    <w:rsid w:val="00B42A98"/>
    <w:rsid w:val="00B42C64"/>
    <w:rsid w:val="00B4329D"/>
    <w:rsid w:val="00B436B4"/>
    <w:rsid w:val="00B448EF"/>
    <w:rsid w:val="00B47493"/>
    <w:rsid w:val="00B474C8"/>
    <w:rsid w:val="00B474DF"/>
    <w:rsid w:val="00B47915"/>
    <w:rsid w:val="00B50E18"/>
    <w:rsid w:val="00B513A9"/>
    <w:rsid w:val="00B51568"/>
    <w:rsid w:val="00B51610"/>
    <w:rsid w:val="00B5167B"/>
    <w:rsid w:val="00B520E3"/>
    <w:rsid w:val="00B52336"/>
    <w:rsid w:val="00B52E03"/>
    <w:rsid w:val="00B5388C"/>
    <w:rsid w:val="00B55CED"/>
    <w:rsid w:val="00B55D57"/>
    <w:rsid w:val="00B55E9D"/>
    <w:rsid w:val="00B55F80"/>
    <w:rsid w:val="00B56480"/>
    <w:rsid w:val="00B565D6"/>
    <w:rsid w:val="00B576A4"/>
    <w:rsid w:val="00B57998"/>
    <w:rsid w:val="00B57CD0"/>
    <w:rsid w:val="00B57DA9"/>
    <w:rsid w:val="00B60177"/>
    <w:rsid w:val="00B60639"/>
    <w:rsid w:val="00B6308E"/>
    <w:rsid w:val="00B6344F"/>
    <w:rsid w:val="00B63D58"/>
    <w:rsid w:val="00B64E8A"/>
    <w:rsid w:val="00B65117"/>
    <w:rsid w:val="00B65588"/>
    <w:rsid w:val="00B658D1"/>
    <w:rsid w:val="00B66064"/>
    <w:rsid w:val="00B66995"/>
    <w:rsid w:val="00B671A1"/>
    <w:rsid w:val="00B675A6"/>
    <w:rsid w:val="00B6794D"/>
    <w:rsid w:val="00B67B55"/>
    <w:rsid w:val="00B67C6C"/>
    <w:rsid w:val="00B70C61"/>
    <w:rsid w:val="00B70E5A"/>
    <w:rsid w:val="00B7220D"/>
    <w:rsid w:val="00B749B6"/>
    <w:rsid w:val="00B7509A"/>
    <w:rsid w:val="00B7613E"/>
    <w:rsid w:val="00B766C1"/>
    <w:rsid w:val="00B76966"/>
    <w:rsid w:val="00B76B96"/>
    <w:rsid w:val="00B76EFB"/>
    <w:rsid w:val="00B77129"/>
    <w:rsid w:val="00B77C37"/>
    <w:rsid w:val="00B807BF"/>
    <w:rsid w:val="00B809B1"/>
    <w:rsid w:val="00B82543"/>
    <w:rsid w:val="00B827E8"/>
    <w:rsid w:val="00B82998"/>
    <w:rsid w:val="00B834B0"/>
    <w:rsid w:val="00B837F6"/>
    <w:rsid w:val="00B83DAE"/>
    <w:rsid w:val="00B842DB"/>
    <w:rsid w:val="00B84FB4"/>
    <w:rsid w:val="00B86F2A"/>
    <w:rsid w:val="00B8756E"/>
    <w:rsid w:val="00B87DF9"/>
    <w:rsid w:val="00B91951"/>
    <w:rsid w:val="00B91A58"/>
    <w:rsid w:val="00B91EAD"/>
    <w:rsid w:val="00B920B9"/>
    <w:rsid w:val="00B930D2"/>
    <w:rsid w:val="00B936C5"/>
    <w:rsid w:val="00B937CD"/>
    <w:rsid w:val="00B938BC"/>
    <w:rsid w:val="00B93997"/>
    <w:rsid w:val="00B93C98"/>
    <w:rsid w:val="00B976BB"/>
    <w:rsid w:val="00BA01A7"/>
    <w:rsid w:val="00BA0224"/>
    <w:rsid w:val="00BA05C8"/>
    <w:rsid w:val="00BA09AA"/>
    <w:rsid w:val="00BA0AD5"/>
    <w:rsid w:val="00BA0CA0"/>
    <w:rsid w:val="00BA0E3C"/>
    <w:rsid w:val="00BA1D59"/>
    <w:rsid w:val="00BA1F74"/>
    <w:rsid w:val="00BA1FE7"/>
    <w:rsid w:val="00BA2B1D"/>
    <w:rsid w:val="00BA3D14"/>
    <w:rsid w:val="00BA435A"/>
    <w:rsid w:val="00BA54BA"/>
    <w:rsid w:val="00BA5603"/>
    <w:rsid w:val="00BA56D9"/>
    <w:rsid w:val="00BA6194"/>
    <w:rsid w:val="00BA62C6"/>
    <w:rsid w:val="00BA7EEE"/>
    <w:rsid w:val="00BB2008"/>
    <w:rsid w:val="00BB29DF"/>
    <w:rsid w:val="00BB2CFC"/>
    <w:rsid w:val="00BB34DC"/>
    <w:rsid w:val="00BB35D0"/>
    <w:rsid w:val="00BB3AC4"/>
    <w:rsid w:val="00BB4999"/>
    <w:rsid w:val="00BB4BCD"/>
    <w:rsid w:val="00BB52EB"/>
    <w:rsid w:val="00BB56C7"/>
    <w:rsid w:val="00BB5B62"/>
    <w:rsid w:val="00BB6502"/>
    <w:rsid w:val="00BB6BCD"/>
    <w:rsid w:val="00BB70F9"/>
    <w:rsid w:val="00BB7C9B"/>
    <w:rsid w:val="00BC1527"/>
    <w:rsid w:val="00BC2306"/>
    <w:rsid w:val="00BC2F31"/>
    <w:rsid w:val="00BC4036"/>
    <w:rsid w:val="00BC4F0A"/>
    <w:rsid w:val="00BC509F"/>
    <w:rsid w:val="00BC51D2"/>
    <w:rsid w:val="00BC589D"/>
    <w:rsid w:val="00BC64BE"/>
    <w:rsid w:val="00BC7155"/>
    <w:rsid w:val="00BC7550"/>
    <w:rsid w:val="00BC79A4"/>
    <w:rsid w:val="00BD0B72"/>
    <w:rsid w:val="00BD110D"/>
    <w:rsid w:val="00BD2668"/>
    <w:rsid w:val="00BD3924"/>
    <w:rsid w:val="00BD450F"/>
    <w:rsid w:val="00BD4512"/>
    <w:rsid w:val="00BD52AA"/>
    <w:rsid w:val="00BE1061"/>
    <w:rsid w:val="00BE1321"/>
    <w:rsid w:val="00BE2893"/>
    <w:rsid w:val="00BE2EB4"/>
    <w:rsid w:val="00BE2F5A"/>
    <w:rsid w:val="00BE37D3"/>
    <w:rsid w:val="00BE41B9"/>
    <w:rsid w:val="00BE522A"/>
    <w:rsid w:val="00BE57B5"/>
    <w:rsid w:val="00BE7A7C"/>
    <w:rsid w:val="00BF0A44"/>
    <w:rsid w:val="00BF0CEC"/>
    <w:rsid w:val="00BF1254"/>
    <w:rsid w:val="00BF1A44"/>
    <w:rsid w:val="00BF1EDF"/>
    <w:rsid w:val="00BF26C9"/>
    <w:rsid w:val="00BF487A"/>
    <w:rsid w:val="00BF4D3D"/>
    <w:rsid w:val="00BF513D"/>
    <w:rsid w:val="00BF5B8C"/>
    <w:rsid w:val="00BF66B7"/>
    <w:rsid w:val="00BF6A68"/>
    <w:rsid w:val="00BF6FC6"/>
    <w:rsid w:val="00BF7152"/>
    <w:rsid w:val="00BF73F0"/>
    <w:rsid w:val="00BF75B1"/>
    <w:rsid w:val="00BF75C9"/>
    <w:rsid w:val="00BF7BD3"/>
    <w:rsid w:val="00C00352"/>
    <w:rsid w:val="00C007CE"/>
    <w:rsid w:val="00C00A22"/>
    <w:rsid w:val="00C00F18"/>
    <w:rsid w:val="00C01A0C"/>
    <w:rsid w:val="00C01D39"/>
    <w:rsid w:val="00C0200C"/>
    <w:rsid w:val="00C020A8"/>
    <w:rsid w:val="00C034A4"/>
    <w:rsid w:val="00C03DD0"/>
    <w:rsid w:val="00C04445"/>
    <w:rsid w:val="00C04705"/>
    <w:rsid w:val="00C04A7F"/>
    <w:rsid w:val="00C04E2B"/>
    <w:rsid w:val="00C051AA"/>
    <w:rsid w:val="00C060A0"/>
    <w:rsid w:val="00C07187"/>
    <w:rsid w:val="00C075C9"/>
    <w:rsid w:val="00C07FAD"/>
    <w:rsid w:val="00C106C4"/>
    <w:rsid w:val="00C111EA"/>
    <w:rsid w:val="00C119AD"/>
    <w:rsid w:val="00C1228D"/>
    <w:rsid w:val="00C123F3"/>
    <w:rsid w:val="00C13FED"/>
    <w:rsid w:val="00C14E7D"/>
    <w:rsid w:val="00C15722"/>
    <w:rsid w:val="00C16897"/>
    <w:rsid w:val="00C200C9"/>
    <w:rsid w:val="00C2038E"/>
    <w:rsid w:val="00C218FD"/>
    <w:rsid w:val="00C21D8E"/>
    <w:rsid w:val="00C22525"/>
    <w:rsid w:val="00C23709"/>
    <w:rsid w:val="00C23DBB"/>
    <w:rsid w:val="00C23FE1"/>
    <w:rsid w:val="00C2410D"/>
    <w:rsid w:val="00C24BAF"/>
    <w:rsid w:val="00C25F8B"/>
    <w:rsid w:val="00C25FB5"/>
    <w:rsid w:val="00C265C0"/>
    <w:rsid w:val="00C26B9E"/>
    <w:rsid w:val="00C26DDD"/>
    <w:rsid w:val="00C272EF"/>
    <w:rsid w:val="00C2732B"/>
    <w:rsid w:val="00C2753F"/>
    <w:rsid w:val="00C276A8"/>
    <w:rsid w:val="00C27975"/>
    <w:rsid w:val="00C300BC"/>
    <w:rsid w:val="00C318F7"/>
    <w:rsid w:val="00C319D2"/>
    <w:rsid w:val="00C31F85"/>
    <w:rsid w:val="00C32534"/>
    <w:rsid w:val="00C326EE"/>
    <w:rsid w:val="00C32951"/>
    <w:rsid w:val="00C32C02"/>
    <w:rsid w:val="00C33235"/>
    <w:rsid w:val="00C33677"/>
    <w:rsid w:val="00C34137"/>
    <w:rsid w:val="00C3476B"/>
    <w:rsid w:val="00C35240"/>
    <w:rsid w:val="00C368B3"/>
    <w:rsid w:val="00C36F07"/>
    <w:rsid w:val="00C37214"/>
    <w:rsid w:val="00C372E8"/>
    <w:rsid w:val="00C409DC"/>
    <w:rsid w:val="00C40B1B"/>
    <w:rsid w:val="00C40E88"/>
    <w:rsid w:val="00C416A3"/>
    <w:rsid w:val="00C41785"/>
    <w:rsid w:val="00C41FC1"/>
    <w:rsid w:val="00C434C2"/>
    <w:rsid w:val="00C43940"/>
    <w:rsid w:val="00C44342"/>
    <w:rsid w:val="00C44694"/>
    <w:rsid w:val="00C44744"/>
    <w:rsid w:val="00C457C1"/>
    <w:rsid w:val="00C46625"/>
    <w:rsid w:val="00C46870"/>
    <w:rsid w:val="00C47545"/>
    <w:rsid w:val="00C47593"/>
    <w:rsid w:val="00C47748"/>
    <w:rsid w:val="00C5044B"/>
    <w:rsid w:val="00C506BD"/>
    <w:rsid w:val="00C50999"/>
    <w:rsid w:val="00C50E55"/>
    <w:rsid w:val="00C51426"/>
    <w:rsid w:val="00C51622"/>
    <w:rsid w:val="00C51FB3"/>
    <w:rsid w:val="00C5223C"/>
    <w:rsid w:val="00C52A35"/>
    <w:rsid w:val="00C53213"/>
    <w:rsid w:val="00C53917"/>
    <w:rsid w:val="00C53930"/>
    <w:rsid w:val="00C53B90"/>
    <w:rsid w:val="00C541DE"/>
    <w:rsid w:val="00C54C11"/>
    <w:rsid w:val="00C54C67"/>
    <w:rsid w:val="00C54E65"/>
    <w:rsid w:val="00C56324"/>
    <w:rsid w:val="00C5653B"/>
    <w:rsid w:val="00C565A3"/>
    <w:rsid w:val="00C577F7"/>
    <w:rsid w:val="00C60667"/>
    <w:rsid w:val="00C61AB9"/>
    <w:rsid w:val="00C61F84"/>
    <w:rsid w:val="00C62FF7"/>
    <w:rsid w:val="00C63135"/>
    <w:rsid w:val="00C637DC"/>
    <w:rsid w:val="00C63EE8"/>
    <w:rsid w:val="00C6432E"/>
    <w:rsid w:val="00C65718"/>
    <w:rsid w:val="00C65C81"/>
    <w:rsid w:val="00C666DE"/>
    <w:rsid w:val="00C66772"/>
    <w:rsid w:val="00C66D2B"/>
    <w:rsid w:val="00C67580"/>
    <w:rsid w:val="00C6781C"/>
    <w:rsid w:val="00C67AF7"/>
    <w:rsid w:val="00C67EA1"/>
    <w:rsid w:val="00C70AEE"/>
    <w:rsid w:val="00C71D15"/>
    <w:rsid w:val="00C7234D"/>
    <w:rsid w:val="00C7244E"/>
    <w:rsid w:val="00C726C9"/>
    <w:rsid w:val="00C72801"/>
    <w:rsid w:val="00C72C0A"/>
    <w:rsid w:val="00C73E67"/>
    <w:rsid w:val="00C73FAD"/>
    <w:rsid w:val="00C7477A"/>
    <w:rsid w:val="00C74AE1"/>
    <w:rsid w:val="00C74DA0"/>
    <w:rsid w:val="00C757B8"/>
    <w:rsid w:val="00C76906"/>
    <w:rsid w:val="00C76B7C"/>
    <w:rsid w:val="00C76CC7"/>
    <w:rsid w:val="00C76F81"/>
    <w:rsid w:val="00C776A4"/>
    <w:rsid w:val="00C77800"/>
    <w:rsid w:val="00C800DD"/>
    <w:rsid w:val="00C80920"/>
    <w:rsid w:val="00C80B03"/>
    <w:rsid w:val="00C8243F"/>
    <w:rsid w:val="00C8289B"/>
    <w:rsid w:val="00C82D54"/>
    <w:rsid w:val="00C82F3B"/>
    <w:rsid w:val="00C837C4"/>
    <w:rsid w:val="00C83829"/>
    <w:rsid w:val="00C83EDD"/>
    <w:rsid w:val="00C84BF1"/>
    <w:rsid w:val="00C84CA2"/>
    <w:rsid w:val="00C851D4"/>
    <w:rsid w:val="00C85A36"/>
    <w:rsid w:val="00C85CD1"/>
    <w:rsid w:val="00C86C56"/>
    <w:rsid w:val="00C8773E"/>
    <w:rsid w:val="00C87EDA"/>
    <w:rsid w:val="00C90601"/>
    <w:rsid w:val="00C90991"/>
    <w:rsid w:val="00C90D16"/>
    <w:rsid w:val="00C9116A"/>
    <w:rsid w:val="00C9265D"/>
    <w:rsid w:val="00C92824"/>
    <w:rsid w:val="00C937BA"/>
    <w:rsid w:val="00C949FC"/>
    <w:rsid w:val="00C96029"/>
    <w:rsid w:val="00C960CF"/>
    <w:rsid w:val="00C96672"/>
    <w:rsid w:val="00C96678"/>
    <w:rsid w:val="00C96772"/>
    <w:rsid w:val="00C96A34"/>
    <w:rsid w:val="00C96CFA"/>
    <w:rsid w:val="00C96E5A"/>
    <w:rsid w:val="00C96EB5"/>
    <w:rsid w:val="00C97913"/>
    <w:rsid w:val="00CA0257"/>
    <w:rsid w:val="00CA0917"/>
    <w:rsid w:val="00CA102B"/>
    <w:rsid w:val="00CA283D"/>
    <w:rsid w:val="00CA29D1"/>
    <w:rsid w:val="00CA2DD6"/>
    <w:rsid w:val="00CA3247"/>
    <w:rsid w:val="00CA3752"/>
    <w:rsid w:val="00CA3999"/>
    <w:rsid w:val="00CA39C0"/>
    <w:rsid w:val="00CA5AD3"/>
    <w:rsid w:val="00CA62DD"/>
    <w:rsid w:val="00CA69BA"/>
    <w:rsid w:val="00CA7DE6"/>
    <w:rsid w:val="00CB0339"/>
    <w:rsid w:val="00CB110E"/>
    <w:rsid w:val="00CB11F8"/>
    <w:rsid w:val="00CB12F5"/>
    <w:rsid w:val="00CB225B"/>
    <w:rsid w:val="00CB2EF5"/>
    <w:rsid w:val="00CB33E4"/>
    <w:rsid w:val="00CB4230"/>
    <w:rsid w:val="00CB431B"/>
    <w:rsid w:val="00CB4A77"/>
    <w:rsid w:val="00CB4EA5"/>
    <w:rsid w:val="00CB557F"/>
    <w:rsid w:val="00CB592B"/>
    <w:rsid w:val="00CB5C5F"/>
    <w:rsid w:val="00CB600E"/>
    <w:rsid w:val="00CB65B8"/>
    <w:rsid w:val="00CB6CDF"/>
    <w:rsid w:val="00CB7264"/>
    <w:rsid w:val="00CB730F"/>
    <w:rsid w:val="00CB761C"/>
    <w:rsid w:val="00CB76B5"/>
    <w:rsid w:val="00CB7AD6"/>
    <w:rsid w:val="00CC0495"/>
    <w:rsid w:val="00CC110F"/>
    <w:rsid w:val="00CC11B8"/>
    <w:rsid w:val="00CC1AF9"/>
    <w:rsid w:val="00CC20E0"/>
    <w:rsid w:val="00CC2818"/>
    <w:rsid w:val="00CC2F7A"/>
    <w:rsid w:val="00CC3A70"/>
    <w:rsid w:val="00CC4033"/>
    <w:rsid w:val="00CC40B8"/>
    <w:rsid w:val="00CC5444"/>
    <w:rsid w:val="00CC5631"/>
    <w:rsid w:val="00CC62A6"/>
    <w:rsid w:val="00CC676C"/>
    <w:rsid w:val="00CC7A11"/>
    <w:rsid w:val="00CD01EA"/>
    <w:rsid w:val="00CD04A8"/>
    <w:rsid w:val="00CD051B"/>
    <w:rsid w:val="00CD1DB1"/>
    <w:rsid w:val="00CD22B5"/>
    <w:rsid w:val="00CD22F4"/>
    <w:rsid w:val="00CD25E1"/>
    <w:rsid w:val="00CD2989"/>
    <w:rsid w:val="00CD367C"/>
    <w:rsid w:val="00CD454A"/>
    <w:rsid w:val="00CD4F54"/>
    <w:rsid w:val="00CD4FFE"/>
    <w:rsid w:val="00CD57FA"/>
    <w:rsid w:val="00CD5A6E"/>
    <w:rsid w:val="00CD711F"/>
    <w:rsid w:val="00CD74A7"/>
    <w:rsid w:val="00CD79B2"/>
    <w:rsid w:val="00CE157C"/>
    <w:rsid w:val="00CE1AF6"/>
    <w:rsid w:val="00CE2298"/>
    <w:rsid w:val="00CE3064"/>
    <w:rsid w:val="00CE39E4"/>
    <w:rsid w:val="00CE4282"/>
    <w:rsid w:val="00CE46A8"/>
    <w:rsid w:val="00CE54E1"/>
    <w:rsid w:val="00CE55B6"/>
    <w:rsid w:val="00CE5856"/>
    <w:rsid w:val="00CE5BDE"/>
    <w:rsid w:val="00CE6A6D"/>
    <w:rsid w:val="00CE774C"/>
    <w:rsid w:val="00CF012E"/>
    <w:rsid w:val="00CF04D4"/>
    <w:rsid w:val="00CF0B4C"/>
    <w:rsid w:val="00CF1680"/>
    <w:rsid w:val="00CF1BD7"/>
    <w:rsid w:val="00CF21A5"/>
    <w:rsid w:val="00CF24AB"/>
    <w:rsid w:val="00CF2518"/>
    <w:rsid w:val="00CF2DDE"/>
    <w:rsid w:val="00CF344A"/>
    <w:rsid w:val="00CF39A0"/>
    <w:rsid w:val="00CF3D1C"/>
    <w:rsid w:val="00CF4626"/>
    <w:rsid w:val="00CF4713"/>
    <w:rsid w:val="00CF4B12"/>
    <w:rsid w:val="00CF58FE"/>
    <w:rsid w:val="00CF5EBE"/>
    <w:rsid w:val="00CF783B"/>
    <w:rsid w:val="00CF7D97"/>
    <w:rsid w:val="00CF7EEC"/>
    <w:rsid w:val="00D001C2"/>
    <w:rsid w:val="00D00779"/>
    <w:rsid w:val="00D0090E"/>
    <w:rsid w:val="00D009D8"/>
    <w:rsid w:val="00D012E1"/>
    <w:rsid w:val="00D01318"/>
    <w:rsid w:val="00D01665"/>
    <w:rsid w:val="00D01D1E"/>
    <w:rsid w:val="00D01DD6"/>
    <w:rsid w:val="00D02580"/>
    <w:rsid w:val="00D03BF7"/>
    <w:rsid w:val="00D03F1E"/>
    <w:rsid w:val="00D0428E"/>
    <w:rsid w:val="00D04426"/>
    <w:rsid w:val="00D0482F"/>
    <w:rsid w:val="00D04A33"/>
    <w:rsid w:val="00D05892"/>
    <w:rsid w:val="00D062FD"/>
    <w:rsid w:val="00D06824"/>
    <w:rsid w:val="00D06C03"/>
    <w:rsid w:val="00D1037A"/>
    <w:rsid w:val="00D10D09"/>
    <w:rsid w:val="00D1163E"/>
    <w:rsid w:val="00D12362"/>
    <w:rsid w:val="00D12A4F"/>
    <w:rsid w:val="00D14C15"/>
    <w:rsid w:val="00D15CB3"/>
    <w:rsid w:val="00D15F51"/>
    <w:rsid w:val="00D16ED5"/>
    <w:rsid w:val="00D202B1"/>
    <w:rsid w:val="00D20662"/>
    <w:rsid w:val="00D21291"/>
    <w:rsid w:val="00D217F7"/>
    <w:rsid w:val="00D21C8A"/>
    <w:rsid w:val="00D2297E"/>
    <w:rsid w:val="00D22DE5"/>
    <w:rsid w:val="00D233BD"/>
    <w:rsid w:val="00D233D7"/>
    <w:rsid w:val="00D23CBB"/>
    <w:rsid w:val="00D25806"/>
    <w:rsid w:val="00D25E9D"/>
    <w:rsid w:val="00D25F1C"/>
    <w:rsid w:val="00D26DE6"/>
    <w:rsid w:val="00D26EE7"/>
    <w:rsid w:val="00D27B1E"/>
    <w:rsid w:val="00D30718"/>
    <w:rsid w:val="00D322FB"/>
    <w:rsid w:val="00D32475"/>
    <w:rsid w:val="00D32EF4"/>
    <w:rsid w:val="00D33F81"/>
    <w:rsid w:val="00D34850"/>
    <w:rsid w:val="00D35060"/>
    <w:rsid w:val="00D369D4"/>
    <w:rsid w:val="00D36AD7"/>
    <w:rsid w:val="00D373E9"/>
    <w:rsid w:val="00D37C61"/>
    <w:rsid w:val="00D403FF"/>
    <w:rsid w:val="00D404C4"/>
    <w:rsid w:val="00D40C02"/>
    <w:rsid w:val="00D40CE9"/>
    <w:rsid w:val="00D42115"/>
    <w:rsid w:val="00D42EFD"/>
    <w:rsid w:val="00D457D1"/>
    <w:rsid w:val="00D458AA"/>
    <w:rsid w:val="00D46338"/>
    <w:rsid w:val="00D46BA2"/>
    <w:rsid w:val="00D47234"/>
    <w:rsid w:val="00D47281"/>
    <w:rsid w:val="00D47581"/>
    <w:rsid w:val="00D50295"/>
    <w:rsid w:val="00D5069A"/>
    <w:rsid w:val="00D50E43"/>
    <w:rsid w:val="00D51469"/>
    <w:rsid w:val="00D51D48"/>
    <w:rsid w:val="00D528B1"/>
    <w:rsid w:val="00D52B45"/>
    <w:rsid w:val="00D530EB"/>
    <w:rsid w:val="00D53393"/>
    <w:rsid w:val="00D535B6"/>
    <w:rsid w:val="00D55235"/>
    <w:rsid w:val="00D55D78"/>
    <w:rsid w:val="00D56916"/>
    <w:rsid w:val="00D572B2"/>
    <w:rsid w:val="00D57F53"/>
    <w:rsid w:val="00D60CAB"/>
    <w:rsid w:val="00D610FD"/>
    <w:rsid w:val="00D612AF"/>
    <w:rsid w:val="00D619F3"/>
    <w:rsid w:val="00D62A5B"/>
    <w:rsid w:val="00D62B43"/>
    <w:rsid w:val="00D62ECD"/>
    <w:rsid w:val="00D63748"/>
    <w:rsid w:val="00D639F0"/>
    <w:rsid w:val="00D63C1B"/>
    <w:rsid w:val="00D63D76"/>
    <w:rsid w:val="00D64BFF"/>
    <w:rsid w:val="00D64DE1"/>
    <w:rsid w:val="00D64E3F"/>
    <w:rsid w:val="00D653D0"/>
    <w:rsid w:val="00D6692A"/>
    <w:rsid w:val="00D66E55"/>
    <w:rsid w:val="00D674E9"/>
    <w:rsid w:val="00D6799A"/>
    <w:rsid w:val="00D7009C"/>
    <w:rsid w:val="00D7043A"/>
    <w:rsid w:val="00D70F17"/>
    <w:rsid w:val="00D712DA"/>
    <w:rsid w:val="00D71561"/>
    <w:rsid w:val="00D719EF"/>
    <w:rsid w:val="00D72327"/>
    <w:rsid w:val="00D727E0"/>
    <w:rsid w:val="00D72B87"/>
    <w:rsid w:val="00D72C72"/>
    <w:rsid w:val="00D74160"/>
    <w:rsid w:val="00D75D22"/>
    <w:rsid w:val="00D75DA5"/>
    <w:rsid w:val="00D76C58"/>
    <w:rsid w:val="00D76CF2"/>
    <w:rsid w:val="00D76E7C"/>
    <w:rsid w:val="00D80B40"/>
    <w:rsid w:val="00D8155B"/>
    <w:rsid w:val="00D816D5"/>
    <w:rsid w:val="00D81E79"/>
    <w:rsid w:val="00D81FEA"/>
    <w:rsid w:val="00D825A5"/>
    <w:rsid w:val="00D825B7"/>
    <w:rsid w:val="00D8290E"/>
    <w:rsid w:val="00D82AD1"/>
    <w:rsid w:val="00D82E6E"/>
    <w:rsid w:val="00D83040"/>
    <w:rsid w:val="00D83194"/>
    <w:rsid w:val="00D8323B"/>
    <w:rsid w:val="00D83489"/>
    <w:rsid w:val="00D83D13"/>
    <w:rsid w:val="00D841AC"/>
    <w:rsid w:val="00D8589D"/>
    <w:rsid w:val="00D85A81"/>
    <w:rsid w:val="00D86466"/>
    <w:rsid w:val="00D86997"/>
    <w:rsid w:val="00D870E8"/>
    <w:rsid w:val="00D87423"/>
    <w:rsid w:val="00D87452"/>
    <w:rsid w:val="00D87485"/>
    <w:rsid w:val="00D907CB"/>
    <w:rsid w:val="00D91BF2"/>
    <w:rsid w:val="00D93322"/>
    <w:rsid w:val="00D93C1C"/>
    <w:rsid w:val="00D94026"/>
    <w:rsid w:val="00D94120"/>
    <w:rsid w:val="00D951DD"/>
    <w:rsid w:val="00D952ED"/>
    <w:rsid w:val="00D957FA"/>
    <w:rsid w:val="00D9664C"/>
    <w:rsid w:val="00D96979"/>
    <w:rsid w:val="00D97404"/>
    <w:rsid w:val="00D975A3"/>
    <w:rsid w:val="00D979D0"/>
    <w:rsid w:val="00DA08CA"/>
    <w:rsid w:val="00DA0F37"/>
    <w:rsid w:val="00DA101A"/>
    <w:rsid w:val="00DA122C"/>
    <w:rsid w:val="00DA1A06"/>
    <w:rsid w:val="00DA2FD5"/>
    <w:rsid w:val="00DA4838"/>
    <w:rsid w:val="00DA4989"/>
    <w:rsid w:val="00DA5721"/>
    <w:rsid w:val="00DA6173"/>
    <w:rsid w:val="00DA7477"/>
    <w:rsid w:val="00DA7573"/>
    <w:rsid w:val="00DA7BD4"/>
    <w:rsid w:val="00DB0191"/>
    <w:rsid w:val="00DB0359"/>
    <w:rsid w:val="00DB0EF6"/>
    <w:rsid w:val="00DB0F8A"/>
    <w:rsid w:val="00DB26A8"/>
    <w:rsid w:val="00DB27CF"/>
    <w:rsid w:val="00DB324C"/>
    <w:rsid w:val="00DB3FD3"/>
    <w:rsid w:val="00DB5F2A"/>
    <w:rsid w:val="00DB6A2B"/>
    <w:rsid w:val="00DB6F45"/>
    <w:rsid w:val="00DB72B7"/>
    <w:rsid w:val="00DB7546"/>
    <w:rsid w:val="00DB782D"/>
    <w:rsid w:val="00DC0624"/>
    <w:rsid w:val="00DC0FC3"/>
    <w:rsid w:val="00DC1A58"/>
    <w:rsid w:val="00DC1AC0"/>
    <w:rsid w:val="00DC1CDD"/>
    <w:rsid w:val="00DC1D8E"/>
    <w:rsid w:val="00DC20C3"/>
    <w:rsid w:val="00DC227A"/>
    <w:rsid w:val="00DC2360"/>
    <w:rsid w:val="00DC26E4"/>
    <w:rsid w:val="00DC2BAE"/>
    <w:rsid w:val="00DC2CEE"/>
    <w:rsid w:val="00DC3257"/>
    <w:rsid w:val="00DC3279"/>
    <w:rsid w:val="00DC3BF1"/>
    <w:rsid w:val="00DC3CFC"/>
    <w:rsid w:val="00DC4022"/>
    <w:rsid w:val="00DC4D1D"/>
    <w:rsid w:val="00DC4D87"/>
    <w:rsid w:val="00DC54EB"/>
    <w:rsid w:val="00DC580A"/>
    <w:rsid w:val="00DC5B50"/>
    <w:rsid w:val="00DC66BC"/>
    <w:rsid w:val="00DC727F"/>
    <w:rsid w:val="00DC7E78"/>
    <w:rsid w:val="00DD0493"/>
    <w:rsid w:val="00DD0924"/>
    <w:rsid w:val="00DD0CBF"/>
    <w:rsid w:val="00DD1071"/>
    <w:rsid w:val="00DD12FD"/>
    <w:rsid w:val="00DD1576"/>
    <w:rsid w:val="00DD1D31"/>
    <w:rsid w:val="00DD2893"/>
    <w:rsid w:val="00DD4717"/>
    <w:rsid w:val="00DD4F74"/>
    <w:rsid w:val="00DD531F"/>
    <w:rsid w:val="00DD556C"/>
    <w:rsid w:val="00DD5737"/>
    <w:rsid w:val="00DD5E81"/>
    <w:rsid w:val="00DD6C46"/>
    <w:rsid w:val="00DD6C7A"/>
    <w:rsid w:val="00DD6F44"/>
    <w:rsid w:val="00DD7CCA"/>
    <w:rsid w:val="00DE0BDE"/>
    <w:rsid w:val="00DE10CF"/>
    <w:rsid w:val="00DE1270"/>
    <w:rsid w:val="00DE1E1E"/>
    <w:rsid w:val="00DE223E"/>
    <w:rsid w:val="00DE2D33"/>
    <w:rsid w:val="00DE34EB"/>
    <w:rsid w:val="00DE3592"/>
    <w:rsid w:val="00DE3E78"/>
    <w:rsid w:val="00DE41F8"/>
    <w:rsid w:val="00DE4B9D"/>
    <w:rsid w:val="00DE50EA"/>
    <w:rsid w:val="00DE545C"/>
    <w:rsid w:val="00DE5C9F"/>
    <w:rsid w:val="00DE734E"/>
    <w:rsid w:val="00DE7887"/>
    <w:rsid w:val="00DE7BF8"/>
    <w:rsid w:val="00DF0DC3"/>
    <w:rsid w:val="00DF14F9"/>
    <w:rsid w:val="00DF1C2D"/>
    <w:rsid w:val="00DF1FAE"/>
    <w:rsid w:val="00DF2AD9"/>
    <w:rsid w:val="00DF54D0"/>
    <w:rsid w:val="00DF580C"/>
    <w:rsid w:val="00DF5C1A"/>
    <w:rsid w:val="00DF6BCB"/>
    <w:rsid w:val="00DF6D45"/>
    <w:rsid w:val="00DF7042"/>
    <w:rsid w:val="00DF78FD"/>
    <w:rsid w:val="00DF7EFE"/>
    <w:rsid w:val="00E00E15"/>
    <w:rsid w:val="00E00F63"/>
    <w:rsid w:val="00E01210"/>
    <w:rsid w:val="00E01D50"/>
    <w:rsid w:val="00E02664"/>
    <w:rsid w:val="00E027E5"/>
    <w:rsid w:val="00E02C4D"/>
    <w:rsid w:val="00E031A5"/>
    <w:rsid w:val="00E0341B"/>
    <w:rsid w:val="00E0348F"/>
    <w:rsid w:val="00E035A6"/>
    <w:rsid w:val="00E038F5"/>
    <w:rsid w:val="00E03D67"/>
    <w:rsid w:val="00E04510"/>
    <w:rsid w:val="00E04784"/>
    <w:rsid w:val="00E05569"/>
    <w:rsid w:val="00E05A6C"/>
    <w:rsid w:val="00E05F59"/>
    <w:rsid w:val="00E0655D"/>
    <w:rsid w:val="00E1024A"/>
    <w:rsid w:val="00E10B17"/>
    <w:rsid w:val="00E10B67"/>
    <w:rsid w:val="00E12742"/>
    <w:rsid w:val="00E12AB9"/>
    <w:rsid w:val="00E12B67"/>
    <w:rsid w:val="00E132B4"/>
    <w:rsid w:val="00E141D3"/>
    <w:rsid w:val="00E14941"/>
    <w:rsid w:val="00E14B00"/>
    <w:rsid w:val="00E1526B"/>
    <w:rsid w:val="00E1534B"/>
    <w:rsid w:val="00E15408"/>
    <w:rsid w:val="00E15743"/>
    <w:rsid w:val="00E15C52"/>
    <w:rsid w:val="00E15EDA"/>
    <w:rsid w:val="00E15F0B"/>
    <w:rsid w:val="00E160E8"/>
    <w:rsid w:val="00E16199"/>
    <w:rsid w:val="00E16311"/>
    <w:rsid w:val="00E1702C"/>
    <w:rsid w:val="00E173BD"/>
    <w:rsid w:val="00E20CC5"/>
    <w:rsid w:val="00E21ACA"/>
    <w:rsid w:val="00E22B80"/>
    <w:rsid w:val="00E22C0E"/>
    <w:rsid w:val="00E22CFF"/>
    <w:rsid w:val="00E231CD"/>
    <w:rsid w:val="00E231E1"/>
    <w:rsid w:val="00E23888"/>
    <w:rsid w:val="00E23B9C"/>
    <w:rsid w:val="00E23CE3"/>
    <w:rsid w:val="00E23CF7"/>
    <w:rsid w:val="00E23E76"/>
    <w:rsid w:val="00E249DB"/>
    <w:rsid w:val="00E253A3"/>
    <w:rsid w:val="00E25402"/>
    <w:rsid w:val="00E259B0"/>
    <w:rsid w:val="00E25AF8"/>
    <w:rsid w:val="00E26AEC"/>
    <w:rsid w:val="00E2757B"/>
    <w:rsid w:val="00E276EE"/>
    <w:rsid w:val="00E2792D"/>
    <w:rsid w:val="00E30828"/>
    <w:rsid w:val="00E30B37"/>
    <w:rsid w:val="00E3109C"/>
    <w:rsid w:val="00E311D1"/>
    <w:rsid w:val="00E31C2D"/>
    <w:rsid w:val="00E32432"/>
    <w:rsid w:val="00E33B1E"/>
    <w:rsid w:val="00E34277"/>
    <w:rsid w:val="00E3482E"/>
    <w:rsid w:val="00E3621B"/>
    <w:rsid w:val="00E36F43"/>
    <w:rsid w:val="00E37F0C"/>
    <w:rsid w:val="00E40ADF"/>
    <w:rsid w:val="00E418E3"/>
    <w:rsid w:val="00E423DE"/>
    <w:rsid w:val="00E42F07"/>
    <w:rsid w:val="00E4370F"/>
    <w:rsid w:val="00E4441D"/>
    <w:rsid w:val="00E453AB"/>
    <w:rsid w:val="00E462E6"/>
    <w:rsid w:val="00E463A0"/>
    <w:rsid w:val="00E47839"/>
    <w:rsid w:val="00E51CDE"/>
    <w:rsid w:val="00E5210B"/>
    <w:rsid w:val="00E53631"/>
    <w:rsid w:val="00E5388F"/>
    <w:rsid w:val="00E54239"/>
    <w:rsid w:val="00E54272"/>
    <w:rsid w:val="00E542BC"/>
    <w:rsid w:val="00E54521"/>
    <w:rsid w:val="00E54617"/>
    <w:rsid w:val="00E5484B"/>
    <w:rsid w:val="00E548CE"/>
    <w:rsid w:val="00E56023"/>
    <w:rsid w:val="00E56D6E"/>
    <w:rsid w:val="00E56FEF"/>
    <w:rsid w:val="00E577F9"/>
    <w:rsid w:val="00E57FB5"/>
    <w:rsid w:val="00E60F14"/>
    <w:rsid w:val="00E61B23"/>
    <w:rsid w:val="00E625BE"/>
    <w:rsid w:val="00E6284B"/>
    <w:rsid w:val="00E62D07"/>
    <w:rsid w:val="00E62DF6"/>
    <w:rsid w:val="00E63A22"/>
    <w:rsid w:val="00E63B8F"/>
    <w:rsid w:val="00E646B5"/>
    <w:rsid w:val="00E65427"/>
    <w:rsid w:val="00E6543F"/>
    <w:rsid w:val="00E661C0"/>
    <w:rsid w:val="00E663F5"/>
    <w:rsid w:val="00E66E97"/>
    <w:rsid w:val="00E70BD6"/>
    <w:rsid w:val="00E71305"/>
    <w:rsid w:val="00E72383"/>
    <w:rsid w:val="00E724D2"/>
    <w:rsid w:val="00E72D9F"/>
    <w:rsid w:val="00E73C41"/>
    <w:rsid w:val="00E74933"/>
    <w:rsid w:val="00E74EDC"/>
    <w:rsid w:val="00E75737"/>
    <w:rsid w:val="00E75875"/>
    <w:rsid w:val="00E75886"/>
    <w:rsid w:val="00E75D6E"/>
    <w:rsid w:val="00E76007"/>
    <w:rsid w:val="00E76181"/>
    <w:rsid w:val="00E770F2"/>
    <w:rsid w:val="00E77EAC"/>
    <w:rsid w:val="00E81069"/>
    <w:rsid w:val="00E817AD"/>
    <w:rsid w:val="00E817EF"/>
    <w:rsid w:val="00E8184F"/>
    <w:rsid w:val="00E828D5"/>
    <w:rsid w:val="00E82D81"/>
    <w:rsid w:val="00E83259"/>
    <w:rsid w:val="00E839BE"/>
    <w:rsid w:val="00E83CAC"/>
    <w:rsid w:val="00E84C89"/>
    <w:rsid w:val="00E85E56"/>
    <w:rsid w:val="00E860DD"/>
    <w:rsid w:val="00E8713D"/>
    <w:rsid w:val="00E90329"/>
    <w:rsid w:val="00E910D5"/>
    <w:rsid w:val="00E922C4"/>
    <w:rsid w:val="00E943AE"/>
    <w:rsid w:val="00E947B0"/>
    <w:rsid w:val="00E95D82"/>
    <w:rsid w:val="00E95F21"/>
    <w:rsid w:val="00E96273"/>
    <w:rsid w:val="00E96E97"/>
    <w:rsid w:val="00E97D49"/>
    <w:rsid w:val="00EA0251"/>
    <w:rsid w:val="00EA1065"/>
    <w:rsid w:val="00EA1434"/>
    <w:rsid w:val="00EA3C3E"/>
    <w:rsid w:val="00EA4694"/>
    <w:rsid w:val="00EA48D3"/>
    <w:rsid w:val="00EA546B"/>
    <w:rsid w:val="00EA57C5"/>
    <w:rsid w:val="00EA5D7E"/>
    <w:rsid w:val="00EA5F31"/>
    <w:rsid w:val="00EA5F92"/>
    <w:rsid w:val="00EA64B4"/>
    <w:rsid w:val="00EA65F1"/>
    <w:rsid w:val="00EA6665"/>
    <w:rsid w:val="00EA6935"/>
    <w:rsid w:val="00EA6967"/>
    <w:rsid w:val="00EA6F44"/>
    <w:rsid w:val="00EA7613"/>
    <w:rsid w:val="00EA793B"/>
    <w:rsid w:val="00EA7A7E"/>
    <w:rsid w:val="00EB05DA"/>
    <w:rsid w:val="00EB190F"/>
    <w:rsid w:val="00EB235B"/>
    <w:rsid w:val="00EB31A3"/>
    <w:rsid w:val="00EB325B"/>
    <w:rsid w:val="00EB3E22"/>
    <w:rsid w:val="00EB693B"/>
    <w:rsid w:val="00EB7BA9"/>
    <w:rsid w:val="00EB7D75"/>
    <w:rsid w:val="00EC0B20"/>
    <w:rsid w:val="00EC0EE7"/>
    <w:rsid w:val="00EC1C3A"/>
    <w:rsid w:val="00EC1F51"/>
    <w:rsid w:val="00EC2B1D"/>
    <w:rsid w:val="00EC4233"/>
    <w:rsid w:val="00EC4544"/>
    <w:rsid w:val="00EC4A85"/>
    <w:rsid w:val="00EC57B2"/>
    <w:rsid w:val="00EC58F4"/>
    <w:rsid w:val="00EC650B"/>
    <w:rsid w:val="00EC7808"/>
    <w:rsid w:val="00EC7BFA"/>
    <w:rsid w:val="00ED042E"/>
    <w:rsid w:val="00ED1295"/>
    <w:rsid w:val="00ED2725"/>
    <w:rsid w:val="00ED28BC"/>
    <w:rsid w:val="00ED34D1"/>
    <w:rsid w:val="00ED367F"/>
    <w:rsid w:val="00ED4206"/>
    <w:rsid w:val="00ED58A2"/>
    <w:rsid w:val="00ED58C3"/>
    <w:rsid w:val="00ED5C71"/>
    <w:rsid w:val="00ED5EEE"/>
    <w:rsid w:val="00ED667C"/>
    <w:rsid w:val="00ED74DB"/>
    <w:rsid w:val="00ED7966"/>
    <w:rsid w:val="00EE01CC"/>
    <w:rsid w:val="00EE04EE"/>
    <w:rsid w:val="00EE1760"/>
    <w:rsid w:val="00EE287D"/>
    <w:rsid w:val="00EE3B32"/>
    <w:rsid w:val="00EE3CFF"/>
    <w:rsid w:val="00EE3F39"/>
    <w:rsid w:val="00EE414C"/>
    <w:rsid w:val="00EE4287"/>
    <w:rsid w:val="00EE44FE"/>
    <w:rsid w:val="00EE5406"/>
    <w:rsid w:val="00EE5EF8"/>
    <w:rsid w:val="00EE6964"/>
    <w:rsid w:val="00EE6A1D"/>
    <w:rsid w:val="00EE6D18"/>
    <w:rsid w:val="00EE7E7A"/>
    <w:rsid w:val="00EF1230"/>
    <w:rsid w:val="00EF223B"/>
    <w:rsid w:val="00EF29DE"/>
    <w:rsid w:val="00EF3978"/>
    <w:rsid w:val="00EF3AAC"/>
    <w:rsid w:val="00EF3DE8"/>
    <w:rsid w:val="00EF4D42"/>
    <w:rsid w:val="00EF4FD1"/>
    <w:rsid w:val="00EF5318"/>
    <w:rsid w:val="00EF708A"/>
    <w:rsid w:val="00EF72C3"/>
    <w:rsid w:val="00EF79CE"/>
    <w:rsid w:val="00EF7CE7"/>
    <w:rsid w:val="00F00152"/>
    <w:rsid w:val="00F00352"/>
    <w:rsid w:val="00F00B1B"/>
    <w:rsid w:val="00F00E37"/>
    <w:rsid w:val="00F010EE"/>
    <w:rsid w:val="00F01383"/>
    <w:rsid w:val="00F0167D"/>
    <w:rsid w:val="00F0177A"/>
    <w:rsid w:val="00F019D5"/>
    <w:rsid w:val="00F02500"/>
    <w:rsid w:val="00F032E2"/>
    <w:rsid w:val="00F037E3"/>
    <w:rsid w:val="00F03FF2"/>
    <w:rsid w:val="00F04F9E"/>
    <w:rsid w:val="00F06A47"/>
    <w:rsid w:val="00F06E0B"/>
    <w:rsid w:val="00F0717F"/>
    <w:rsid w:val="00F0747A"/>
    <w:rsid w:val="00F07849"/>
    <w:rsid w:val="00F07882"/>
    <w:rsid w:val="00F07883"/>
    <w:rsid w:val="00F10177"/>
    <w:rsid w:val="00F10D83"/>
    <w:rsid w:val="00F1196B"/>
    <w:rsid w:val="00F11A6A"/>
    <w:rsid w:val="00F126BD"/>
    <w:rsid w:val="00F13414"/>
    <w:rsid w:val="00F13433"/>
    <w:rsid w:val="00F134FC"/>
    <w:rsid w:val="00F1350E"/>
    <w:rsid w:val="00F14419"/>
    <w:rsid w:val="00F1470E"/>
    <w:rsid w:val="00F147A5"/>
    <w:rsid w:val="00F14AA7"/>
    <w:rsid w:val="00F15884"/>
    <w:rsid w:val="00F15B8E"/>
    <w:rsid w:val="00F16665"/>
    <w:rsid w:val="00F16FB0"/>
    <w:rsid w:val="00F1733B"/>
    <w:rsid w:val="00F17474"/>
    <w:rsid w:val="00F201CC"/>
    <w:rsid w:val="00F20487"/>
    <w:rsid w:val="00F20F65"/>
    <w:rsid w:val="00F2106D"/>
    <w:rsid w:val="00F22337"/>
    <w:rsid w:val="00F22D65"/>
    <w:rsid w:val="00F23175"/>
    <w:rsid w:val="00F23FB0"/>
    <w:rsid w:val="00F2480A"/>
    <w:rsid w:val="00F24891"/>
    <w:rsid w:val="00F24B9F"/>
    <w:rsid w:val="00F24CA6"/>
    <w:rsid w:val="00F256AE"/>
    <w:rsid w:val="00F25773"/>
    <w:rsid w:val="00F257FA"/>
    <w:rsid w:val="00F26004"/>
    <w:rsid w:val="00F270E8"/>
    <w:rsid w:val="00F27E5C"/>
    <w:rsid w:val="00F27EF5"/>
    <w:rsid w:val="00F27FDB"/>
    <w:rsid w:val="00F30251"/>
    <w:rsid w:val="00F305CC"/>
    <w:rsid w:val="00F3179A"/>
    <w:rsid w:val="00F31D54"/>
    <w:rsid w:val="00F32357"/>
    <w:rsid w:val="00F32C70"/>
    <w:rsid w:val="00F34E02"/>
    <w:rsid w:val="00F3549E"/>
    <w:rsid w:val="00F365A7"/>
    <w:rsid w:val="00F3681C"/>
    <w:rsid w:val="00F3769D"/>
    <w:rsid w:val="00F404F4"/>
    <w:rsid w:val="00F4143E"/>
    <w:rsid w:val="00F41CC5"/>
    <w:rsid w:val="00F41D25"/>
    <w:rsid w:val="00F42307"/>
    <w:rsid w:val="00F423C2"/>
    <w:rsid w:val="00F42C78"/>
    <w:rsid w:val="00F433F8"/>
    <w:rsid w:val="00F433FE"/>
    <w:rsid w:val="00F435CE"/>
    <w:rsid w:val="00F43627"/>
    <w:rsid w:val="00F43781"/>
    <w:rsid w:val="00F4463C"/>
    <w:rsid w:val="00F473A5"/>
    <w:rsid w:val="00F473F3"/>
    <w:rsid w:val="00F474B8"/>
    <w:rsid w:val="00F478CA"/>
    <w:rsid w:val="00F47CE2"/>
    <w:rsid w:val="00F501F3"/>
    <w:rsid w:val="00F50A98"/>
    <w:rsid w:val="00F50E5F"/>
    <w:rsid w:val="00F51460"/>
    <w:rsid w:val="00F51667"/>
    <w:rsid w:val="00F521DC"/>
    <w:rsid w:val="00F53199"/>
    <w:rsid w:val="00F541A1"/>
    <w:rsid w:val="00F54B09"/>
    <w:rsid w:val="00F54BEA"/>
    <w:rsid w:val="00F54E8A"/>
    <w:rsid w:val="00F559A8"/>
    <w:rsid w:val="00F55C21"/>
    <w:rsid w:val="00F55E5F"/>
    <w:rsid w:val="00F55F6D"/>
    <w:rsid w:val="00F5736B"/>
    <w:rsid w:val="00F57880"/>
    <w:rsid w:val="00F608AB"/>
    <w:rsid w:val="00F60BE7"/>
    <w:rsid w:val="00F6159C"/>
    <w:rsid w:val="00F616CB"/>
    <w:rsid w:val="00F61714"/>
    <w:rsid w:val="00F6238F"/>
    <w:rsid w:val="00F63E59"/>
    <w:rsid w:val="00F64BE0"/>
    <w:rsid w:val="00F65408"/>
    <w:rsid w:val="00F65B68"/>
    <w:rsid w:val="00F67846"/>
    <w:rsid w:val="00F67B42"/>
    <w:rsid w:val="00F70B72"/>
    <w:rsid w:val="00F70DEF"/>
    <w:rsid w:val="00F70EA3"/>
    <w:rsid w:val="00F71398"/>
    <w:rsid w:val="00F7294C"/>
    <w:rsid w:val="00F72C5F"/>
    <w:rsid w:val="00F73549"/>
    <w:rsid w:val="00F75782"/>
    <w:rsid w:val="00F77BC4"/>
    <w:rsid w:val="00F80C1D"/>
    <w:rsid w:val="00F81130"/>
    <w:rsid w:val="00F818F7"/>
    <w:rsid w:val="00F81C5F"/>
    <w:rsid w:val="00F8325D"/>
    <w:rsid w:val="00F832A9"/>
    <w:rsid w:val="00F832B0"/>
    <w:rsid w:val="00F83307"/>
    <w:rsid w:val="00F833A5"/>
    <w:rsid w:val="00F844D3"/>
    <w:rsid w:val="00F84629"/>
    <w:rsid w:val="00F84B71"/>
    <w:rsid w:val="00F84F0E"/>
    <w:rsid w:val="00F8519E"/>
    <w:rsid w:val="00F85FF5"/>
    <w:rsid w:val="00F86BB4"/>
    <w:rsid w:val="00F870F5"/>
    <w:rsid w:val="00F902D2"/>
    <w:rsid w:val="00F90B12"/>
    <w:rsid w:val="00F90CBD"/>
    <w:rsid w:val="00F9109E"/>
    <w:rsid w:val="00F9177E"/>
    <w:rsid w:val="00F91E4F"/>
    <w:rsid w:val="00F91FDF"/>
    <w:rsid w:val="00F92AA1"/>
    <w:rsid w:val="00F92FDC"/>
    <w:rsid w:val="00F931D2"/>
    <w:rsid w:val="00F93431"/>
    <w:rsid w:val="00F93A4A"/>
    <w:rsid w:val="00F93D27"/>
    <w:rsid w:val="00F95DD6"/>
    <w:rsid w:val="00F96370"/>
    <w:rsid w:val="00F97683"/>
    <w:rsid w:val="00F97940"/>
    <w:rsid w:val="00F97BA3"/>
    <w:rsid w:val="00F97EA2"/>
    <w:rsid w:val="00F97F0D"/>
    <w:rsid w:val="00FA0B0A"/>
    <w:rsid w:val="00FA121C"/>
    <w:rsid w:val="00FA1407"/>
    <w:rsid w:val="00FA1A68"/>
    <w:rsid w:val="00FA1B1A"/>
    <w:rsid w:val="00FA2747"/>
    <w:rsid w:val="00FA2A33"/>
    <w:rsid w:val="00FA2C8F"/>
    <w:rsid w:val="00FA2CF7"/>
    <w:rsid w:val="00FA3410"/>
    <w:rsid w:val="00FA360B"/>
    <w:rsid w:val="00FA3860"/>
    <w:rsid w:val="00FA3A50"/>
    <w:rsid w:val="00FA4763"/>
    <w:rsid w:val="00FA4830"/>
    <w:rsid w:val="00FA5032"/>
    <w:rsid w:val="00FA6980"/>
    <w:rsid w:val="00FA6CDF"/>
    <w:rsid w:val="00FA7192"/>
    <w:rsid w:val="00FA7699"/>
    <w:rsid w:val="00FA7BB5"/>
    <w:rsid w:val="00FA7C85"/>
    <w:rsid w:val="00FB12D8"/>
    <w:rsid w:val="00FB176A"/>
    <w:rsid w:val="00FB1CDC"/>
    <w:rsid w:val="00FB238A"/>
    <w:rsid w:val="00FB2446"/>
    <w:rsid w:val="00FB2C81"/>
    <w:rsid w:val="00FB3BC4"/>
    <w:rsid w:val="00FB3F9C"/>
    <w:rsid w:val="00FB3FDE"/>
    <w:rsid w:val="00FB4676"/>
    <w:rsid w:val="00FB5552"/>
    <w:rsid w:val="00FB5789"/>
    <w:rsid w:val="00FB5F3A"/>
    <w:rsid w:val="00FB6382"/>
    <w:rsid w:val="00FB6AA9"/>
    <w:rsid w:val="00FB6AD4"/>
    <w:rsid w:val="00FB7F22"/>
    <w:rsid w:val="00FC00F3"/>
    <w:rsid w:val="00FC0174"/>
    <w:rsid w:val="00FC0A33"/>
    <w:rsid w:val="00FC1416"/>
    <w:rsid w:val="00FC14B2"/>
    <w:rsid w:val="00FC1823"/>
    <w:rsid w:val="00FC2198"/>
    <w:rsid w:val="00FC26A4"/>
    <w:rsid w:val="00FC2C93"/>
    <w:rsid w:val="00FC325A"/>
    <w:rsid w:val="00FC33ED"/>
    <w:rsid w:val="00FC43AD"/>
    <w:rsid w:val="00FC5876"/>
    <w:rsid w:val="00FC62F5"/>
    <w:rsid w:val="00FC731E"/>
    <w:rsid w:val="00FD035A"/>
    <w:rsid w:val="00FD19F1"/>
    <w:rsid w:val="00FD1A7E"/>
    <w:rsid w:val="00FD2CC3"/>
    <w:rsid w:val="00FD31BF"/>
    <w:rsid w:val="00FD3CC7"/>
    <w:rsid w:val="00FD4148"/>
    <w:rsid w:val="00FD4D5B"/>
    <w:rsid w:val="00FD6453"/>
    <w:rsid w:val="00FD67FD"/>
    <w:rsid w:val="00FD7CB2"/>
    <w:rsid w:val="00FD7D46"/>
    <w:rsid w:val="00FD7D8B"/>
    <w:rsid w:val="00FE0491"/>
    <w:rsid w:val="00FE0AF2"/>
    <w:rsid w:val="00FE1C47"/>
    <w:rsid w:val="00FE22DD"/>
    <w:rsid w:val="00FE27B1"/>
    <w:rsid w:val="00FE2CFB"/>
    <w:rsid w:val="00FE4A60"/>
    <w:rsid w:val="00FE54E0"/>
    <w:rsid w:val="00FE55F0"/>
    <w:rsid w:val="00FE6331"/>
    <w:rsid w:val="00FE685B"/>
    <w:rsid w:val="00FE6C12"/>
    <w:rsid w:val="00FE7894"/>
    <w:rsid w:val="00FF01FA"/>
    <w:rsid w:val="00FF21B5"/>
    <w:rsid w:val="00FF21C3"/>
    <w:rsid w:val="00FF2A11"/>
    <w:rsid w:val="00FF2AA0"/>
    <w:rsid w:val="00FF3F6C"/>
    <w:rsid w:val="00FF4603"/>
    <w:rsid w:val="00FF4AA5"/>
    <w:rsid w:val="00FF4B07"/>
    <w:rsid w:val="00FF4BFC"/>
    <w:rsid w:val="00FF4C11"/>
    <w:rsid w:val="00FF56B9"/>
    <w:rsid w:val="00FF57E8"/>
    <w:rsid w:val="00FF58C0"/>
    <w:rsid w:val="00FF5948"/>
    <w:rsid w:val="00FF61D5"/>
    <w:rsid w:val="00FF6B71"/>
    <w:rsid w:val="00FF6EDF"/>
    <w:rsid w:val="00FF6EEA"/>
    <w:rsid w:val="00FF77DF"/>
    <w:rsid w:val="00FF7ABB"/>
    <w:rsid w:val="00FF7B99"/>
    <w:rsid w:val="494AC1C2"/>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8FF08"/>
  <w14:defaultImageDpi w14:val="330"/>
  <w15:docId w15:val="{D4063D48-5026-4849-9B0B-72E38D80A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nhideWhenUsed="1" w:qFormat="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unhideWhenUsed="1"/>
    <w:lsdException w:name="Default Paragraph Font" w:semiHidden="1" w:uiPriority="1" w:unhideWhenUsed="1"/>
    <w:lsdException w:name="Body Text"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5247"/>
    <w:pPr>
      <w:spacing w:before="120" w:after="120" w:line="280" w:lineRule="atLeast"/>
      <w:jc w:val="both"/>
    </w:pPr>
    <w:rPr>
      <w:rFonts w:ascii="Calibri" w:eastAsiaTheme="minorEastAsia" w:hAnsi="Calibri"/>
      <w:lang w:eastAsia="en-NZ"/>
    </w:rPr>
  </w:style>
  <w:style w:type="paragraph" w:styleId="Heading1">
    <w:name w:val="heading 1"/>
    <w:basedOn w:val="Normal"/>
    <w:next w:val="BodyText"/>
    <w:link w:val="Heading1Char"/>
    <w:qFormat/>
    <w:rsid w:val="008639E5"/>
    <w:pPr>
      <w:keepNext/>
      <w:tabs>
        <w:tab w:val="left" w:pos="851"/>
      </w:tabs>
      <w:spacing w:before="0" w:after="360" w:line="600" w:lineRule="atLeast"/>
      <w:jc w:val="left"/>
      <w:outlineLvl w:val="0"/>
    </w:pPr>
    <w:rPr>
      <w:rFonts w:ascii="Georgia" w:eastAsiaTheme="majorEastAsia" w:hAnsi="Georgia" w:cstheme="majorBidi"/>
      <w:b/>
      <w:bCs/>
      <w:color w:val="005B73"/>
      <w:sz w:val="48"/>
      <w:szCs w:val="28"/>
    </w:rPr>
  </w:style>
  <w:style w:type="paragraph" w:styleId="Heading2">
    <w:name w:val="heading 2"/>
    <w:basedOn w:val="Normal"/>
    <w:next w:val="BodyText"/>
    <w:link w:val="Heading2Char"/>
    <w:qFormat/>
    <w:rsid w:val="00535D28"/>
    <w:pPr>
      <w:keepNext/>
      <w:tabs>
        <w:tab w:val="left" w:pos="851"/>
      </w:tabs>
      <w:spacing w:before="360" w:after="0" w:line="440" w:lineRule="exact"/>
      <w:jc w:val="left"/>
      <w:outlineLvl w:val="1"/>
    </w:pPr>
    <w:rPr>
      <w:rFonts w:ascii="Georgia" w:eastAsiaTheme="majorEastAsia" w:hAnsi="Georgia" w:cstheme="majorBidi"/>
      <w:b/>
      <w:bCs/>
      <w:color w:val="005B73"/>
      <w:sz w:val="36"/>
      <w:szCs w:val="26"/>
    </w:rPr>
  </w:style>
  <w:style w:type="paragraph" w:styleId="Heading3">
    <w:name w:val="heading 3"/>
    <w:basedOn w:val="Normal"/>
    <w:next w:val="BodyText"/>
    <w:link w:val="Heading3Char"/>
    <w:qFormat/>
    <w:rsid w:val="009A2A8A"/>
    <w:pPr>
      <w:keepNext/>
      <w:tabs>
        <w:tab w:val="left" w:pos="851"/>
      </w:tabs>
      <w:spacing w:before="360" w:after="0" w:line="360" w:lineRule="exact"/>
      <w:jc w:val="left"/>
      <w:outlineLvl w:val="2"/>
    </w:pPr>
    <w:rPr>
      <w:rFonts w:ascii="Georgia" w:eastAsiaTheme="majorEastAsia" w:hAnsi="Georgia" w:cstheme="majorBidi"/>
      <w:b/>
      <w:bCs/>
      <w:sz w:val="28"/>
    </w:rPr>
  </w:style>
  <w:style w:type="paragraph" w:styleId="Heading4">
    <w:name w:val="heading 4"/>
    <w:basedOn w:val="Heading3"/>
    <w:next w:val="BodyText"/>
    <w:link w:val="Heading4Char"/>
    <w:qFormat/>
    <w:rsid w:val="009F1D7F"/>
    <w:pPr>
      <w:outlineLvl w:val="3"/>
    </w:pPr>
    <w:rPr>
      <w:sz w:val="24"/>
    </w:rPr>
  </w:style>
  <w:style w:type="paragraph" w:styleId="Heading5">
    <w:name w:val="heading 5"/>
    <w:basedOn w:val="Normal"/>
    <w:next w:val="BodyText"/>
    <w:link w:val="Heading5Char"/>
    <w:qFormat/>
    <w:rsid w:val="008B68EC"/>
    <w:pPr>
      <w:keepNext/>
      <w:spacing w:before="320" w:after="0" w:line="240" w:lineRule="auto"/>
      <w:jc w:val="left"/>
      <w:outlineLvl w:val="4"/>
    </w:pPr>
    <w:rPr>
      <w:rFonts w:eastAsiaTheme="majorEastAsia" w:cstheme="majorBidi"/>
      <w:i/>
      <w:sz w:val="24"/>
    </w:rPr>
  </w:style>
  <w:style w:type="paragraph" w:styleId="Heading6">
    <w:name w:val="heading 6"/>
    <w:basedOn w:val="Normal"/>
    <w:next w:val="Normal"/>
    <w:link w:val="Heading6Char"/>
    <w:semiHidden/>
    <w:rsid w:val="00EA64B4"/>
    <w:pPr>
      <w:numPr>
        <w:ilvl w:val="5"/>
        <w:numId w:val="1"/>
      </w:numPr>
      <w:spacing w:before="240" w:line="288" w:lineRule="auto"/>
      <w:jc w:val="left"/>
      <w:outlineLvl w:val="5"/>
    </w:pPr>
    <w:rPr>
      <w:rFonts w:ascii="Times New Roman" w:eastAsia="Times New Roman" w:hAnsi="Times New Roman" w:cs="Times New Roman"/>
      <w:b/>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eastAsia="Times New Roman" w:hAnsi="Times New Roman" w:cs="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eastAsia="Times New Roman" w:hAnsi="Times New Roman" w:cs="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before="240" w:after="120"/>
      <w:outlineLvl w:val="8"/>
    </w:pPr>
    <w:rPr>
      <w:rFonts w:ascii="Arial" w:eastAsia="Times New Roman" w:hAnsi="Arial" w:cs="Times New Roman"/>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39E5"/>
    <w:rPr>
      <w:rFonts w:ascii="Georgia" w:eastAsiaTheme="majorEastAsia" w:hAnsi="Georgia" w:cstheme="majorBidi"/>
      <w:b/>
      <w:bCs/>
      <w:color w:val="005B73"/>
      <w:sz w:val="48"/>
      <w:szCs w:val="28"/>
      <w:lang w:eastAsia="en-NZ"/>
    </w:rPr>
  </w:style>
  <w:style w:type="character" w:customStyle="1" w:styleId="Heading2Char">
    <w:name w:val="Heading 2 Char"/>
    <w:basedOn w:val="DefaultParagraphFont"/>
    <w:link w:val="Heading2"/>
    <w:rsid w:val="00535D28"/>
    <w:rPr>
      <w:rFonts w:ascii="Georgia" w:eastAsiaTheme="majorEastAsia" w:hAnsi="Georgia" w:cstheme="majorBidi"/>
      <w:b/>
      <w:bCs/>
      <w:color w:val="005B73"/>
      <w:sz w:val="36"/>
      <w:szCs w:val="26"/>
      <w:lang w:eastAsia="en-NZ"/>
    </w:rPr>
  </w:style>
  <w:style w:type="character" w:customStyle="1" w:styleId="Heading3Char">
    <w:name w:val="Heading 3 Char"/>
    <w:basedOn w:val="DefaultParagraphFont"/>
    <w:link w:val="Heading3"/>
    <w:rsid w:val="009A2A8A"/>
    <w:rPr>
      <w:rFonts w:ascii="Georgia" w:eastAsiaTheme="majorEastAsia" w:hAnsi="Georgia" w:cstheme="majorBidi"/>
      <w:b/>
      <w:bCs/>
      <w:sz w:val="28"/>
      <w:lang w:eastAsia="en-NZ"/>
    </w:rPr>
  </w:style>
  <w:style w:type="character" w:customStyle="1" w:styleId="Heading4Char">
    <w:name w:val="Heading 4 Char"/>
    <w:basedOn w:val="DefaultParagraphFont"/>
    <w:link w:val="Heading4"/>
    <w:rsid w:val="009F1D7F"/>
    <w:rPr>
      <w:rFonts w:ascii="Georgia" w:eastAsiaTheme="majorEastAsia" w:hAnsi="Georgia" w:cstheme="majorBidi"/>
      <w:b/>
      <w:bCs/>
      <w:sz w:val="24"/>
      <w:lang w:eastAsia="en-NZ"/>
    </w:rPr>
  </w:style>
  <w:style w:type="character" w:customStyle="1" w:styleId="Heading5Char">
    <w:name w:val="Heading 5 Char"/>
    <w:basedOn w:val="DefaultParagraphFont"/>
    <w:link w:val="Heading5"/>
    <w:rsid w:val="008B68EC"/>
    <w:rPr>
      <w:rFonts w:ascii="Calibri" w:eastAsiaTheme="majorEastAsia" w:hAnsi="Calibri" w:cstheme="majorBidi"/>
      <w:i/>
      <w:sz w:val="24"/>
      <w:lang w:eastAsia="en-NZ"/>
    </w:rPr>
  </w:style>
  <w:style w:type="paragraph" w:styleId="BodyText">
    <w:name w:val="Body Text"/>
    <w:basedOn w:val="Normal"/>
    <w:link w:val="BodyTextChar"/>
    <w:qFormat/>
    <w:rsid w:val="00EA64B4"/>
    <w:pPr>
      <w:jc w:val="left"/>
    </w:pPr>
  </w:style>
  <w:style w:type="character" w:customStyle="1" w:styleId="BodyTextChar">
    <w:name w:val="Body Text Char"/>
    <w:basedOn w:val="DefaultParagraphFont"/>
    <w:link w:val="BodyText"/>
    <w:rsid w:val="00EA64B4"/>
    <w:rPr>
      <w:rFonts w:ascii="Calibri" w:eastAsiaTheme="minorEastAsia" w:hAnsi="Calibri"/>
      <w:lang w:eastAsia="en-NZ"/>
    </w:rPr>
  </w:style>
  <w:style w:type="table" w:styleId="TableGrid">
    <w:name w:val="Table Grid"/>
    <w:basedOn w:val="TableNormal"/>
    <w:uiPriority w:val="59"/>
    <w:rsid w:val="00EA64B4"/>
    <w:pPr>
      <w:spacing w:after="0" w:line="240" w:lineRule="auto"/>
      <w:jc w:val="both"/>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EA64B4"/>
    <w:pPr>
      <w:jc w:val="center"/>
    </w:pPr>
    <w:rPr>
      <w:rFonts w:ascii="Arial" w:hAnsi="Arial"/>
      <w:sz w:val="16"/>
    </w:rPr>
  </w:style>
  <w:style w:type="character" w:customStyle="1" w:styleId="HeaderChar">
    <w:name w:val="Header Char"/>
    <w:basedOn w:val="DefaultParagraphFont"/>
    <w:link w:val="Header"/>
    <w:semiHidden/>
    <w:rsid w:val="00F03FF2"/>
    <w:rPr>
      <w:rFonts w:ascii="Arial" w:eastAsiaTheme="minorEastAsia" w:hAnsi="Arial"/>
      <w:sz w:val="16"/>
      <w:lang w:eastAsia="en-NZ"/>
    </w:rPr>
  </w:style>
  <w:style w:type="paragraph" w:styleId="Quote">
    <w:name w:val="Quote"/>
    <w:basedOn w:val="Normal"/>
    <w:next w:val="BodyText"/>
    <w:link w:val="QuoteChar"/>
    <w:uiPriority w:val="2"/>
    <w:qFormat/>
    <w:rsid w:val="00684D9B"/>
    <w:pPr>
      <w:spacing w:before="60" w:after="60"/>
      <w:ind w:left="567" w:right="567"/>
      <w:jc w:val="left"/>
    </w:pPr>
    <w:rPr>
      <w:sz w:val="20"/>
    </w:rPr>
  </w:style>
  <w:style w:type="character" w:customStyle="1" w:styleId="QuoteChar">
    <w:name w:val="Quote Char"/>
    <w:basedOn w:val="DefaultParagraphFont"/>
    <w:link w:val="Quote"/>
    <w:uiPriority w:val="2"/>
    <w:rsid w:val="00C53930"/>
    <w:rPr>
      <w:rFonts w:ascii="Calibri" w:eastAsiaTheme="minorEastAsia" w:hAnsi="Calibri"/>
      <w:sz w:val="20"/>
      <w:lang w:eastAsia="en-NZ"/>
    </w:rPr>
  </w:style>
  <w:style w:type="paragraph" w:customStyle="1" w:styleId="Bullet">
    <w:name w:val="Bullet"/>
    <w:basedOn w:val="Normal"/>
    <w:link w:val="BulletChar"/>
    <w:qFormat/>
    <w:rsid w:val="000A109B"/>
    <w:pPr>
      <w:numPr>
        <w:numId w:val="34"/>
      </w:numPr>
      <w:tabs>
        <w:tab w:val="left" w:pos="397"/>
      </w:tabs>
      <w:spacing w:before="0"/>
      <w:jc w:val="left"/>
    </w:pPr>
    <w:rPr>
      <w:rFonts w:eastAsia="Times New Roman" w:cs="Times New Roman"/>
      <w:szCs w:val="20"/>
    </w:rPr>
  </w:style>
  <w:style w:type="paragraph" w:customStyle="1" w:styleId="Heading">
    <w:name w:val="Heading"/>
    <w:basedOn w:val="Heading1"/>
    <w:next w:val="Normal"/>
    <w:uiPriority w:val="3"/>
    <w:rsid w:val="00535D28"/>
  </w:style>
  <w:style w:type="paragraph" w:styleId="Footer">
    <w:name w:val="footer"/>
    <w:basedOn w:val="Normal"/>
    <w:link w:val="FooterChar"/>
    <w:semiHidden/>
    <w:rsid w:val="00EA64B4"/>
    <w:pPr>
      <w:tabs>
        <w:tab w:val="center" w:pos="4153"/>
        <w:tab w:val="right" w:pos="8306"/>
      </w:tabs>
    </w:pPr>
  </w:style>
  <w:style w:type="character" w:customStyle="1" w:styleId="FooterChar">
    <w:name w:val="Footer Char"/>
    <w:basedOn w:val="DefaultParagraphFont"/>
    <w:link w:val="Footer"/>
    <w:semiHidden/>
    <w:rsid w:val="00F03FF2"/>
    <w:rPr>
      <w:rFonts w:ascii="Calibri" w:eastAsiaTheme="minorEastAsia" w:hAnsi="Calibri"/>
      <w:lang w:eastAsia="en-NZ"/>
    </w:rPr>
  </w:style>
  <w:style w:type="paragraph" w:customStyle="1" w:styleId="Bullet-dash">
    <w:name w:val="Bullet - dash"/>
    <w:basedOn w:val="Normal"/>
    <w:qFormat/>
    <w:rsid w:val="002A533C"/>
    <w:pPr>
      <w:numPr>
        <w:numId w:val="4"/>
      </w:numPr>
      <w:tabs>
        <w:tab w:val="clear" w:pos="397"/>
        <w:tab w:val="left" w:pos="794"/>
      </w:tabs>
      <w:spacing w:before="0"/>
      <w:ind w:left="794" w:hanging="397"/>
      <w:jc w:val="left"/>
    </w:pPr>
  </w:style>
  <w:style w:type="paragraph" w:customStyle="1" w:styleId="Figureheading">
    <w:name w:val="Figure heading"/>
    <w:basedOn w:val="Normal"/>
    <w:next w:val="BodyText"/>
    <w:uiPriority w:val="1"/>
    <w:qFormat/>
    <w:rsid w:val="00EA64B4"/>
    <w:pPr>
      <w:keepNext/>
      <w:ind w:left="1134" w:hanging="1134"/>
      <w:jc w:val="left"/>
    </w:pPr>
    <w:rPr>
      <w:b/>
      <w:sz w:val="20"/>
    </w:rPr>
  </w:style>
  <w:style w:type="character" w:styleId="FootnoteReference">
    <w:name w:val="footnote reference"/>
    <w:uiPriority w:val="99"/>
    <w:qFormat/>
    <w:rsid w:val="00EA64B4"/>
    <w:rPr>
      <w:rFonts w:ascii="Calibri" w:hAnsi="Calibri"/>
      <w:color w:val="183C47"/>
      <w:sz w:val="22"/>
      <w:vertAlign w:val="superscript"/>
    </w:rPr>
  </w:style>
  <w:style w:type="paragraph" w:styleId="FootnoteText">
    <w:name w:val="footnote text"/>
    <w:basedOn w:val="Normal"/>
    <w:link w:val="FootnoteTextChar"/>
    <w:uiPriority w:val="99"/>
    <w:qFormat/>
    <w:rsid w:val="00EA64B4"/>
    <w:pPr>
      <w:spacing w:before="0" w:after="60" w:line="240" w:lineRule="atLeast"/>
      <w:ind w:left="284" w:hanging="284"/>
      <w:jc w:val="left"/>
    </w:pPr>
    <w:rPr>
      <w:sz w:val="19"/>
    </w:rPr>
  </w:style>
  <w:style w:type="character" w:customStyle="1" w:styleId="FootnoteTextChar">
    <w:name w:val="Footnote Text Char"/>
    <w:basedOn w:val="DefaultParagraphFont"/>
    <w:link w:val="FootnoteText"/>
    <w:uiPriority w:val="99"/>
    <w:rsid w:val="00BE2893"/>
    <w:rPr>
      <w:rFonts w:ascii="Calibri" w:eastAsiaTheme="minorEastAsia" w:hAnsi="Calibri"/>
      <w:sz w:val="19"/>
      <w:lang w:eastAsia="en-NZ"/>
    </w:rPr>
  </w:style>
  <w:style w:type="character" w:styleId="Hyperlink">
    <w:name w:val="Hyperlink"/>
    <w:uiPriority w:val="99"/>
    <w:qFormat/>
    <w:rsid w:val="00B827E8"/>
    <w:rPr>
      <w:color w:val="006AC6"/>
      <w:u w:val="none"/>
    </w:rPr>
  </w:style>
  <w:style w:type="paragraph" w:customStyle="1" w:styleId="Imprint">
    <w:name w:val="Imprint"/>
    <w:basedOn w:val="Normal"/>
    <w:uiPriority w:val="3"/>
    <w:rsid w:val="00EA64B4"/>
    <w:pPr>
      <w:jc w:val="left"/>
    </w:pPr>
  </w:style>
  <w:style w:type="paragraph" w:customStyle="1" w:styleId="Note">
    <w:name w:val="Note"/>
    <w:basedOn w:val="BodyText"/>
    <w:next w:val="Normal"/>
    <w:uiPriority w:val="2"/>
    <w:qFormat/>
    <w:rsid w:val="00EA64B4"/>
    <w:rPr>
      <w:sz w:val="18"/>
    </w:rPr>
  </w:style>
  <w:style w:type="paragraph" w:customStyle="1" w:styleId="References">
    <w:name w:val="References"/>
    <w:basedOn w:val="Normal"/>
    <w:uiPriority w:val="1"/>
    <w:qFormat/>
    <w:rsid w:val="00554B30"/>
    <w:pPr>
      <w:spacing w:before="0" w:line="260" w:lineRule="atLeast"/>
      <w:jc w:val="left"/>
    </w:pPr>
    <w:rPr>
      <w:sz w:val="20"/>
    </w:rPr>
  </w:style>
  <w:style w:type="paragraph" w:customStyle="1" w:styleId="Source">
    <w:name w:val="Source"/>
    <w:basedOn w:val="Normal"/>
    <w:next w:val="Normal"/>
    <w:uiPriority w:val="2"/>
    <w:qFormat/>
    <w:rsid w:val="00EA64B4"/>
    <w:pPr>
      <w:tabs>
        <w:tab w:val="left" w:pos="680"/>
      </w:tabs>
      <w:jc w:val="left"/>
    </w:pPr>
    <w:rPr>
      <w:sz w:val="18"/>
    </w:rPr>
  </w:style>
  <w:style w:type="paragraph" w:styleId="Title">
    <w:name w:val="Title"/>
    <w:basedOn w:val="Normal"/>
    <w:link w:val="TitleChar"/>
    <w:uiPriority w:val="2"/>
    <w:rsid w:val="00921387"/>
    <w:pPr>
      <w:spacing w:line="360" w:lineRule="auto"/>
      <w:jc w:val="center"/>
    </w:pPr>
    <w:rPr>
      <w:rFonts w:ascii="Georgia" w:hAnsi="Georgia"/>
      <w:b/>
      <w:color w:val="005B73"/>
      <w:sz w:val="56"/>
    </w:rPr>
  </w:style>
  <w:style w:type="character" w:customStyle="1" w:styleId="TitleChar">
    <w:name w:val="Title Char"/>
    <w:basedOn w:val="DefaultParagraphFont"/>
    <w:link w:val="Title"/>
    <w:uiPriority w:val="2"/>
    <w:rsid w:val="00921387"/>
    <w:rPr>
      <w:rFonts w:ascii="Georgia" w:eastAsiaTheme="minorEastAsia" w:hAnsi="Georgia"/>
      <w:b/>
      <w:color w:val="005B73"/>
      <w:sz w:val="56"/>
      <w:lang w:eastAsia="en-NZ"/>
    </w:rPr>
  </w:style>
  <w:style w:type="paragraph" w:styleId="Subtitle">
    <w:name w:val="Subtitle"/>
    <w:basedOn w:val="Title"/>
    <w:link w:val="SubtitleChar"/>
    <w:uiPriority w:val="2"/>
    <w:rsid w:val="008639E5"/>
    <w:pPr>
      <w:spacing w:before="600" w:line="240" w:lineRule="auto"/>
    </w:pPr>
    <w:rPr>
      <w:sz w:val="36"/>
      <w:szCs w:val="36"/>
    </w:rPr>
  </w:style>
  <w:style w:type="character" w:customStyle="1" w:styleId="SubtitleChar">
    <w:name w:val="Subtitle Char"/>
    <w:basedOn w:val="DefaultParagraphFont"/>
    <w:link w:val="Subtitle"/>
    <w:uiPriority w:val="2"/>
    <w:rsid w:val="008639E5"/>
    <w:rPr>
      <w:rFonts w:ascii="Georgia" w:eastAsiaTheme="minorEastAsia" w:hAnsi="Georgia"/>
      <w:b/>
      <w:color w:val="005B73"/>
      <w:sz w:val="36"/>
      <w:szCs w:val="36"/>
      <w:lang w:eastAsia="en-NZ"/>
    </w:rPr>
  </w:style>
  <w:style w:type="paragraph" w:customStyle="1" w:styleId="Tableheading">
    <w:name w:val="Table heading"/>
    <w:basedOn w:val="Normal"/>
    <w:next w:val="Normal"/>
    <w:qFormat/>
    <w:rsid w:val="00EA64B4"/>
    <w:pPr>
      <w:keepNext/>
      <w:ind w:left="1134" w:hanging="1134"/>
      <w:jc w:val="left"/>
    </w:pPr>
    <w:rPr>
      <w:b/>
      <w:sz w:val="20"/>
    </w:rPr>
  </w:style>
  <w:style w:type="paragraph" w:customStyle="1" w:styleId="Tabletext">
    <w:name w:val="Table text"/>
    <w:basedOn w:val="Normal"/>
    <w:qFormat/>
    <w:rsid w:val="00EA64B4"/>
    <w:pPr>
      <w:spacing w:before="60" w:after="60" w:line="240" w:lineRule="atLeast"/>
      <w:jc w:val="left"/>
    </w:pPr>
    <w:rPr>
      <w:sz w:val="18"/>
    </w:rPr>
  </w:style>
  <w:style w:type="paragraph" w:customStyle="1" w:styleId="Tabletextbold">
    <w:name w:val="Table text bold"/>
    <w:basedOn w:val="Tabletext"/>
    <w:rsid w:val="00EA64B4"/>
    <w:rPr>
      <w:b/>
    </w:rPr>
  </w:style>
  <w:style w:type="paragraph" w:styleId="TOC1">
    <w:name w:val="toc 1"/>
    <w:basedOn w:val="Normal"/>
    <w:next w:val="Normal"/>
    <w:uiPriority w:val="39"/>
    <w:rsid w:val="00356C3D"/>
    <w:pPr>
      <w:tabs>
        <w:tab w:val="right" w:pos="8505"/>
      </w:tabs>
      <w:spacing w:before="280" w:after="0" w:line="240" w:lineRule="auto"/>
      <w:ind w:left="567" w:right="567" w:hanging="567"/>
      <w:jc w:val="left"/>
    </w:pPr>
  </w:style>
  <w:style w:type="paragraph" w:styleId="TOC2">
    <w:name w:val="toc 2"/>
    <w:basedOn w:val="Normal"/>
    <w:next w:val="Normal"/>
    <w:uiPriority w:val="39"/>
    <w:rsid w:val="00356C3D"/>
    <w:pPr>
      <w:tabs>
        <w:tab w:val="right" w:pos="8505"/>
      </w:tabs>
      <w:spacing w:before="60" w:after="60" w:line="240" w:lineRule="auto"/>
      <w:ind w:left="1134" w:right="567" w:hanging="567"/>
      <w:jc w:val="left"/>
    </w:pPr>
  </w:style>
  <w:style w:type="paragraph" w:customStyle="1" w:styleId="Captions">
    <w:name w:val="Captions"/>
    <w:basedOn w:val="Note"/>
    <w:next w:val="Normal"/>
    <w:semiHidden/>
    <w:rsid w:val="00EA64B4"/>
    <w:pPr>
      <w:tabs>
        <w:tab w:val="left" w:pos="851"/>
      </w:tabs>
    </w:pPr>
  </w:style>
  <w:style w:type="paragraph" w:customStyle="1" w:styleId="Glossary">
    <w:name w:val="Glossary"/>
    <w:basedOn w:val="Normal"/>
    <w:uiPriority w:val="2"/>
    <w:qFormat/>
    <w:rsid w:val="00EA64B4"/>
    <w:pPr>
      <w:tabs>
        <w:tab w:val="left" w:pos="2835"/>
      </w:tabs>
      <w:spacing w:after="0"/>
      <w:jc w:val="left"/>
    </w:pPr>
  </w:style>
  <w:style w:type="paragraph" w:customStyle="1" w:styleId="Footerodd">
    <w:name w:val="Footer odd"/>
    <w:basedOn w:val="Normal"/>
    <w:uiPriority w:val="2"/>
    <w:semiHidden/>
    <w:rsid w:val="00EA64B4"/>
    <w:pPr>
      <w:tabs>
        <w:tab w:val="right" w:pos="7938"/>
        <w:tab w:val="right" w:pos="8505"/>
      </w:tabs>
      <w:jc w:val="left"/>
    </w:pPr>
    <w:rPr>
      <w:sz w:val="16"/>
    </w:rPr>
  </w:style>
  <w:style w:type="paragraph" w:customStyle="1" w:styleId="Footereven">
    <w:name w:val="Footer even"/>
    <w:basedOn w:val="Normal"/>
    <w:uiPriority w:val="2"/>
    <w:semiHidden/>
    <w:rsid w:val="00EA64B4"/>
    <w:pPr>
      <w:tabs>
        <w:tab w:val="left" w:pos="567"/>
      </w:tabs>
    </w:pPr>
    <w:rPr>
      <w:sz w:val="16"/>
    </w:rPr>
  </w:style>
  <w:style w:type="paragraph" w:customStyle="1" w:styleId="Numberedparagraph">
    <w:name w:val="Numbered paragraph"/>
    <w:basedOn w:val="Normal"/>
    <w:qFormat/>
    <w:rsid w:val="005B6698"/>
    <w:pPr>
      <w:numPr>
        <w:numId w:val="5"/>
      </w:numPr>
      <w:spacing w:before="0"/>
      <w:jc w:val="left"/>
    </w:pPr>
  </w:style>
  <w:style w:type="paragraph" w:customStyle="1" w:styleId="Sub-lista">
    <w:name w:val="Sub-list a"/>
    <w:aliases w:val="b"/>
    <w:basedOn w:val="Normal"/>
    <w:uiPriority w:val="2"/>
    <w:rsid w:val="00E21ACA"/>
    <w:pPr>
      <w:numPr>
        <w:numId w:val="6"/>
      </w:numPr>
      <w:spacing w:before="0"/>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basedOn w:val="DefaultParagraphFont"/>
    <w:link w:val="EndnoteText"/>
    <w:uiPriority w:val="99"/>
    <w:semiHidden/>
    <w:rsid w:val="00EA64B4"/>
    <w:rPr>
      <w:rFonts w:ascii="Calibri" w:eastAsiaTheme="minorEastAsia" w:hAnsi="Calibri"/>
      <w:sz w:val="20"/>
      <w:lang w:eastAsia="en-NZ"/>
    </w:rPr>
  </w:style>
  <w:style w:type="paragraph" w:styleId="TOC3">
    <w:name w:val="toc 3"/>
    <w:basedOn w:val="Normal"/>
    <w:next w:val="Normal"/>
    <w:autoRedefine/>
    <w:semiHidden/>
    <w:rsid w:val="00EA64B4"/>
    <w:pPr>
      <w:ind w:left="440"/>
    </w:pPr>
  </w:style>
  <w:style w:type="paragraph" w:styleId="TableofFigures">
    <w:name w:val="table of figures"/>
    <w:basedOn w:val="Normal"/>
    <w:next w:val="Normal"/>
    <w:uiPriority w:val="99"/>
    <w:rsid w:val="00356C3D"/>
    <w:pPr>
      <w:spacing w:before="0"/>
      <w:ind w:left="1134" w:right="567" w:hanging="1134"/>
      <w:jc w:val="left"/>
    </w:pPr>
  </w:style>
  <w:style w:type="paragraph" w:customStyle="1" w:styleId="Tablebullet">
    <w:name w:val="Table bullet"/>
    <w:basedOn w:val="Normal"/>
    <w:qFormat/>
    <w:rsid w:val="00523DFA"/>
    <w:pPr>
      <w:numPr>
        <w:numId w:val="8"/>
      </w:numPr>
      <w:spacing w:before="0" w:after="60" w:line="240" w:lineRule="atLeast"/>
      <w:jc w:val="left"/>
    </w:pPr>
    <w:rPr>
      <w:rFonts w:cs="Arial"/>
      <w:sz w:val="18"/>
      <w:szCs w:val="16"/>
    </w:rPr>
  </w:style>
  <w:style w:type="paragraph" w:customStyle="1" w:styleId="Tabledash">
    <w:name w:val="Table dash"/>
    <w:basedOn w:val="Tablebullet"/>
    <w:qFormat/>
    <w:rsid w:val="005E3BCD"/>
    <w:pPr>
      <w:numPr>
        <w:numId w:val="9"/>
      </w:numPr>
      <w:ind w:left="568" w:hanging="284"/>
    </w:pPr>
  </w:style>
  <w:style w:type="paragraph" w:styleId="ListParagraph">
    <w:name w:val="List Paragraph"/>
    <w:basedOn w:val="Normal"/>
    <w:uiPriority w:val="34"/>
    <w:semiHidden/>
    <w:qFormat/>
    <w:rsid w:val="00EA64B4"/>
    <w:pPr>
      <w:spacing w:before="0" w:after="0" w:line="240" w:lineRule="auto"/>
      <w:ind w:left="720"/>
      <w:contextualSpacing/>
    </w:pPr>
    <w:rPr>
      <w:rFonts w:ascii="Times New Roman" w:hAnsi="Times New Roman"/>
      <w:szCs w:val="20"/>
      <w:lang w:eastAsia="en-GB"/>
    </w:r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basedOn w:val="DefaultParagraphFont"/>
    <w:link w:val="CommentSubject"/>
    <w:uiPriority w:val="99"/>
    <w:semiHidden/>
    <w:rsid w:val="00AB54D7"/>
    <w:rPr>
      <w:rFonts w:ascii="Calibri" w:eastAsiaTheme="minorEastAsia" w:hAnsi="Calibri"/>
      <w:b/>
      <w:bCs/>
      <w:sz w:val="20"/>
      <w:lang w:eastAsia="en-NZ"/>
    </w:rPr>
  </w:style>
  <w:style w:type="paragraph" w:styleId="BalloonText">
    <w:name w:val="Balloon Text"/>
    <w:basedOn w:val="Normal"/>
    <w:link w:val="BalloonTextChar"/>
    <w:semiHidden/>
    <w:unhideWhenUsed/>
    <w:rsid w:val="00EA64B4"/>
    <w:rPr>
      <w:rFonts w:ascii="Tahoma" w:hAnsi="Tahoma"/>
      <w:sz w:val="16"/>
      <w:szCs w:val="16"/>
    </w:rPr>
  </w:style>
  <w:style w:type="character" w:customStyle="1" w:styleId="BalloonTextChar">
    <w:name w:val="Balloon Text Char"/>
    <w:basedOn w:val="DefaultParagraphFont"/>
    <w:link w:val="BalloonText"/>
    <w:semiHidden/>
    <w:rsid w:val="00EA64B4"/>
    <w:rPr>
      <w:rFonts w:ascii="Tahoma" w:eastAsiaTheme="minorEastAsia"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basedOn w:val="DefaultParagraphFont"/>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basedOn w:val="DefaultParagraphFont"/>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pPr>
      <w:spacing w:after="0" w:line="240" w:lineRule="auto"/>
    </w:pPr>
    <w:tblPr>
      <w:tblStyleRowBandSize w:val="1"/>
      <w:tblStyleColBandSize w:val="1"/>
      <w:tbl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single" w:sz="8" w:space="0" w:color="64A04A" w:themeColor="accent2" w:themeTint="BF"/>
      </w:tblBorders>
    </w:tblPr>
    <w:tblStylePr w:type="firstRow">
      <w:pPr>
        <w:spacing w:before="0" w:after="0" w:line="240" w:lineRule="auto"/>
      </w:pPr>
      <w:rPr>
        <w:b/>
        <w:bCs/>
        <w:color w:val="FFFFFF" w:themeColor="background1"/>
      </w:rPr>
      <w:tblPr/>
      <w:tcPr>
        <w:tc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shd w:val="clear" w:color="auto" w:fill="3D612D" w:themeFill="accent2"/>
      </w:tcPr>
    </w:tblStylePr>
    <w:tblStylePr w:type="lastRow">
      <w:pPr>
        <w:spacing w:before="0" w:after="0" w:line="240" w:lineRule="auto"/>
      </w:pPr>
      <w:rPr>
        <w:b/>
        <w:bCs/>
      </w:rPr>
      <w:tblPr/>
      <w:tcPr>
        <w:tcBorders>
          <w:top w:val="double" w:sz="6"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BE2C0" w:themeFill="accent2" w:themeFillTint="3F"/>
      </w:tcPr>
    </w:tblStylePr>
    <w:tblStylePr w:type="band1Horz">
      <w:tblPr/>
      <w:tcPr>
        <w:tcBorders>
          <w:insideH w:val="nil"/>
          <w:insideV w:val="nil"/>
        </w:tcBorders>
        <w:shd w:val="clear" w:color="auto" w:fill="CBE2C0" w:themeFill="accent2"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tblBorders>
    </w:tblPr>
    <w:tblStylePr w:type="firstRow">
      <w:pPr>
        <w:spacing w:before="0" w:after="0" w:line="240" w:lineRule="auto"/>
      </w:pPr>
      <w:rPr>
        <w:b/>
        <w:bCs/>
        <w:color w:val="FFFFFF" w:themeColor="background1"/>
      </w:rPr>
      <w:tblPr/>
      <w:tcPr>
        <w:shd w:val="clear" w:color="auto" w:fill="D8DFD5" w:themeFill="accent5"/>
      </w:tcPr>
    </w:tblStylePr>
    <w:tblStylePr w:type="lastRow">
      <w:pPr>
        <w:spacing w:before="0" w:after="0" w:line="240" w:lineRule="auto"/>
      </w:pPr>
      <w:rPr>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tcBorders>
      </w:tcPr>
    </w:tblStylePr>
    <w:tblStylePr w:type="firstCol">
      <w:rPr>
        <w:b/>
        <w:bCs/>
      </w:rPr>
    </w:tblStylePr>
    <w:tblStylePr w:type="lastCol">
      <w:rPr>
        <w:b/>
        <w:bCs/>
      </w:r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style>
  <w:style w:type="table" w:styleId="LightGrid-Accent5">
    <w:name w:val="Light Grid Accent 5"/>
    <w:basedOn w:val="TableNormal"/>
    <w:uiPriority w:val="62"/>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insideH w:val="single" w:sz="8" w:space="0" w:color="D8DFD5" w:themeColor="accent5"/>
        <w:insideV w:val="single" w:sz="8" w:space="0" w:color="D8DF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18" w:space="0" w:color="D8DFD5" w:themeColor="accent5"/>
          <w:right w:val="single" w:sz="8" w:space="0" w:color="D8DFD5" w:themeColor="accent5"/>
          <w:insideH w:val="nil"/>
          <w:insideV w:val="single" w:sz="8" w:space="0" w:color="D8DF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insideH w:val="nil"/>
          <w:insideV w:val="single" w:sz="8" w:space="0" w:color="D8DF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shd w:val="clear" w:color="auto" w:fill="F5F7F4" w:themeFill="accent5" w:themeFillTint="3F"/>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shd w:val="clear" w:color="auto" w:fill="F5F7F4" w:themeFill="accent5" w:themeFillTint="3F"/>
      </w:tcPr>
    </w:tblStylePr>
    <w:tblStylePr w:type="band2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tcPr>
    </w:tblStylePr>
  </w:style>
  <w:style w:type="table" w:customStyle="1" w:styleId="LightGrid-Accent11">
    <w:name w:val="Light Grid - Accent 11"/>
    <w:basedOn w:val="TableNormal"/>
    <w:uiPriority w:val="62"/>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insideH w:val="single" w:sz="8" w:space="0" w:color="0D2C6C" w:themeColor="accent1"/>
        <w:insideV w:val="single" w:sz="8" w:space="0" w:color="0D2C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18" w:space="0" w:color="0D2C6C" w:themeColor="accent1"/>
          <w:right w:val="single" w:sz="8" w:space="0" w:color="0D2C6C" w:themeColor="accent1"/>
          <w:insideH w:val="nil"/>
          <w:insideV w:val="single" w:sz="8" w:space="0" w:color="0D2C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insideH w:val="nil"/>
          <w:insideV w:val="single" w:sz="8" w:space="0" w:color="0D2C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shd w:val="clear" w:color="auto" w:fill="A9C1F4" w:themeFill="accent1" w:themeFillTint="3F"/>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shd w:val="clear" w:color="auto" w:fill="A9C1F4" w:themeFill="accent1" w:themeFillTint="3F"/>
      </w:tcPr>
    </w:tblStylePr>
    <w:tblStylePr w:type="band2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tcPr>
    </w:tblStylePr>
  </w:style>
  <w:style w:type="table" w:customStyle="1" w:styleId="LightShading-Accent11">
    <w:name w:val="Light Shading - Accent 11"/>
    <w:basedOn w:val="TableNormal"/>
    <w:uiPriority w:val="60"/>
    <w:rsid w:val="00EA64B4"/>
    <w:pPr>
      <w:spacing w:after="0" w:line="240" w:lineRule="auto"/>
    </w:pPr>
    <w:rPr>
      <w:color w:val="092050" w:themeColor="accent1" w:themeShade="BF"/>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customStyle="1" w:styleId="LightList-Accent11">
    <w:name w:val="Light List - Accent 11"/>
    <w:basedOn w:val="TableNormal"/>
    <w:uiPriority w:val="61"/>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tblBorders>
    </w:tblPr>
    <w:tblStylePr w:type="firstRow">
      <w:pPr>
        <w:spacing w:before="0" w:after="0" w:line="240" w:lineRule="auto"/>
      </w:pPr>
      <w:rPr>
        <w:b/>
        <w:bCs/>
        <w:color w:val="FFFFFF" w:themeColor="background1"/>
      </w:rPr>
      <w:tblPr/>
      <w:tcPr>
        <w:shd w:val="clear" w:color="auto" w:fill="0D2C6C" w:themeFill="accent1"/>
      </w:tcPr>
    </w:tblStylePr>
    <w:tblStylePr w:type="lastRow">
      <w:pPr>
        <w:spacing w:before="0" w:after="0" w:line="240" w:lineRule="auto"/>
      </w:pPr>
      <w:rPr>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tcBorders>
      </w:tcPr>
    </w:tblStylePr>
    <w:tblStylePr w:type="firstCol">
      <w:rPr>
        <w:b/>
        <w:bCs/>
      </w:rPr>
    </w:tblStylePr>
    <w:tblStylePr w:type="lastCol">
      <w:rPr>
        <w:b/>
        <w:bCs/>
      </w:r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style>
  <w:style w:type="character" w:styleId="CommentReference">
    <w:name w:val="annotation reference"/>
    <w:basedOn w:val="DefaultParagraphFont"/>
    <w:uiPriority w:val="99"/>
    <w:semiHidden/>
    <w:rsid w:val="00EA64B4"/>
    <w:rPr>
      <w:sz w:val="16"/>
      <w:szCs w:val="16"/>
    </w:rPr>
  </w:style>
  <w:style w:type="paragraph" w:styleId="Revision">
    <w:name w:val="Revision"/>
    <w:hidden/>
    <w:uiPriority w:val="99"/>
    <w:semiHidden/>
    <w:rsid w:val="0080531E"/>
    <w:pPr>
      <w:spacing w:after="0" w:line="240" w:lineRule="auto"/>
    </w:pPr>
    <w:rPr>
      <w:rFonts w:ascii="Times New Roman" w:eastAsia="Times New Roman" w:hAnsi="Times New Roman" w:cs="Times New Roman"/>
      <w:szCs w:val="20"/>
    </w:rPr>
  </w:style>
  <w:style w:type="character" w:styleId="Strong">
    <w:name w:val="Strong"/>
    <w:basedOn w:val="DefaultParagraphFont"/>
    <w:uiPriority w:val="22"/>
    <w:semiHidden/>
    <w:qFormat/>
    <w:rsid w:val="00EA64B4"/>
    <w:rPr>
      <w:b/>
      <w:bCs/>
    </w:rPr>
  </w:style>
  <w:style w:type="character" w:styleId="EndnoteReference">
    <w:name w:val="endnote reference"/>
    <w:basedOn w:val="DefaultParagraphFont"/>
    <w:uiPriority w:val="99"/>
    <w:semiHidden/>
    <w:unhideWhenUsed/>
    <w:rsid w:val="00EA64B4"/>
    <w:rPr>
      <w:vertAlign w:val="superscript"/>
    </w:rPr>
  </w:style>
  <w:style w:type="character" w:styleId="FollowedHyperlink">
    <w:name w:val="FollowedHyperlink"/>
    <w:basedOn w:val="DefaultParagraphFont"/>
    <w:uiPriority w:val="99"/>
    <w:semiHidden/>
    <w:rsid w:val="001B6D2F"/>
    <w:rPr>
      <w:color w:val="652F8F"/>
      <w:u w:val="none"/>
    </w:rPr>
  </w:style>
  <w:style w:type="character" w:customStyle="1" w:styleId="Heading6Char">
    <w:name w:val="Heading 6 Char"/>
    <w:basedOn w:val="DefaultParagraphFont"/>
    <w:link w:val="Heading6"/>
    <w:semiHidden/>
    <w:rsid w:val="00EA64B4"/>
    <w:rPr>
      <w:rFonts w:ascii="Times New Roman" w:eastAsia="Times New Roman" w:hAnsi="Times New Roman" w:cs="Times New Roman"/>
      <w:b/>
      <w:szCs w:val="20"/>
      <w:lang w:val="en-AU"/>
    </w:rPr>
  </w:style>
  <w:style w:type="character" w:customStyle="1" w:styleId="Heading7Char">
    <w:name w:val="Heading 7 Char"/>
    <w:basedOn w:val="DefaultParagraphFont"/>
    <w:link w:val="Heading7"/>
    <w:semiHidden/>
    <w:rsid w:val="00EA64B4"/>
    <w:rPr>
      <w:rFonts w:ascii="Times New Roman" w:eastAsia="Times New Roman" w:hAnsi="Times New Roman" w:cs="Times New Roman"/>
      <w:szCs w:val="20"/>
      <w:lang w:val="en-AU"/>
    </w:rPr>
  </w:style>
  <w:style w:type="character" w:customStyle="1" w:styleId="Heading8Char">
    <w:name w:val="Heading 8 Char"/>
    <w:basedOn w:val="DefaultParagraphFont"/>
    <w:link w:val="Heading8"/>
    <w:semiHidden/>
    <w:rsid w:val="00EA64B4"/>
    <w:rPr>
      <w:rFonts w:ascii="Times New Roman" w:eastAsia="Times New Roman" w:hAnsi="Times New Roman" w:cs="Times New Roman"/>
      <w:i/>
      <w:szCs w:val="20"/>
      <w:lang w:val="en-AU"/>
    </w:rPr>
  </w:style>
  <w:style w:type="character" w:customStyle="1" w:styleId="Heading9Char">
    <w:name w:val="Heading 9 Char"/>
    <w:basedOn w:val="DefaultParagraphFont"/>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semiHidden/>
    <w:rsid w:val="00EA64B4"/>
    <w:pPr>
      <w:tabs>
        <w:tab w:val="right" w:pos="8505"/>
      </w:tabs>
      <w:spacing w:before="180" w:after="0" w:line="240" w:lineRule="auto"/>
      <w:ind w:left="1134" w:right="567" w:hanging="1134"/>
      <w:jc w:val="left"/>
    </w:pPr>
    <w:rPr>
      <w:rFonts w:ascii="Arial" w:eastAsia="Times New Roman" w:hAnsi="Arial" w:cs="Times New Roman"/>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eastAsia="Times New Roman" w:hAnsi="Times New Roman" w:cs="Times New Roman"/>
      <w:b/>
      <w:bCs/>
      <w:color w:val="0D2C6C" w:themeColor="accent1"/>
      <w:sz w:val="18"/>
      <w:szCs w:val="18"/>
      <w:lang w:eastAsia="en-US"/>
    </w:rPr>
  </w:style>
  <w:style w:type="character" w:customStyle="1" w:styleId="BulletChar">
    <w:name w:val="Bullet Char"/>
    <w:basedOn w:val="DefaultParagraphFont"/>
    <w:link w:val="Bullet"/>
    <w:locked/>
    <w:rsid w:val="000A109B"/>
    <w:rPr>
      <w:rFonts w:ascii="Calibri" w:eastAsia="Times New Roman" w:hAnsi="Calibri" w:cs="Times New Roman"/>
      <w:szCs w:val="20"/>
      <w:lang w:eastAsia="en-NZ"/>
    </w:rPr>
  </w:style>
  <w:style w:type="table" w:styleId="LightShading-Accent1">
    <w:name w:val="Light Shading Accent 1"/>
    <w:basedOn w:val="TableNormal"/>
    <w:uiPriority w:val="60"/>
    <w:rsid w:val="00E05569"/>
    <w:pPr>
      <w:spacing w:after="0" w:line="240" w:lineRule="auto"/>
    </w:pPr>
    <w:rPr>
      <w:rFonts w:eastAsiaTheme="minorEastAsia"/>
      <w:color w:val="092050" w:themeColor="accent1" w:themeShade="BF"/>
      <w:lang w:val="en-US"/>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styleId="LightList-Accent3">
    <w:name w:val="Light List Accent 3"/>
    <w:basedOn w:val="TableNormal"/>
    <w:uiPriority w:val="61"/>
    <w:rsid w:val="00416330"/>
    <w:pPr>
      <w:spacing w:after="0" w:line="240" w:lineRule="auto"/>
    </w:pPr>
    <w:rPr>
      <w:rFonts w:eastAsiaTheme="minorEastAsia"/>
      <w:lang w:val="en-US"/>
    </w:rPr>
    <w:tblPr>
      <w:tblStyleRowBandSize w:val="1"/>
      <w:tblStyleColBandSize w:val="1"/>
      <w:tblBorders>
        <w:top w:val="single" w:sz="8" w:space="0" w:color="652F8F" w:themeColor="accent3"/>
        <w:left w:val="single" w:sz="8" w:space="0" w:color="652F8F" w:themeColor="accent3"/>
        <w:bottom w:val="single" w:sz="8" w:space="0" w:color="652F8F" w:themeColor="accent3"/>
        <w:right w:val="single" w:sz="8" w:space="0" w:color="652F8F" w:themeColor="accent3"/>
      </w:tblBorders>
    </w:tblPr>
    <w:tblStylePr w:type="firstRow">
      <w:pPr>
        <w:spacing w:before="0" w:after="0" w:line="240" w:lineRule="auto"/>
      </w:pPr>
      <w:rPr>
        <w:b/>
        <w:bCs/>
        <w:color w:val="FFFFFF" w:themeColor="background1"/>
      </w:rPr>
      <w:tblPr/>
      <w:tcPr>
        <w:shd w:val="clear" w:color="auto" w:fill="652F8F" w:themeFill="accent3"/>
      </w:tcPr>
    </w:tblStylePr>
    <w:tblStylePr w:type="lastRow">
      <w:pPr>
        <w:spacing w:before="0" w:after="0" w:line="240" w:lineRule="auto"/>
      </w:pPr>
      <w:rPr>
        <w:b/>
        <w:bCs/>
      </w:rPr>
      <w:tblPr/>
      <w:tcPr>
        <w:tcBorders>
          <w:top w:val="double" w:sz="6" w:space="0" w:color="652F8F" w:themeColor="accent3"/>
          <w:left w:val="single" w:sz="8" w:space="0" w:color="652F8F" w:themeColor="accent3"/>
          <w:bottom w:val="single" w:sz="8" w:space="0" w:color="652F8F" w:themeColor="accent3"/>
          <w:right w:val="single" w:sz="8" w:space="0" w:color="652F8F" w:themeColor="accent3"/>
        </w:tcBorders>
      </w:tcPr>
    </w:tblStylePr>
    <w:tblStylePr w:type="firstCol">
      <w:rPr>
        <w:b/>
        <w:bCs/>
      </w:rPr>
    </w:tblStylePr>
    <w:tblStylePr w:type="lastCol">
      <w:rPr>
        <w:b/>
        <w:bCs/>
      </w:rPr>
    </w:tblStylePr>
    <w:tblStylePr w:type="band1Vert">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tblStylePr w:type="band1Horz">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style>
  <w:style w:type="numbering" w:customStyle="1" w:styleId="Style2">
    <w:name w:val="Style2"/>
    <w:uiPriority w:val="99"/>
    <w:rsid w:val="008E0688"/>
    <w:pPr>
      <w:numPr>
        <w:numId w:val="19"/>
      </w:numPr>
    </w:pPr>
  </w:style>
  <w:style w:type="numbering" w:customStyle="1" w:styleId="Style3">
    <w:name w:val="Style3"/>
    <w:uiPriority w:val="99"/>
    <w:rsid w:val="008B5A2D"/>
    <w:pPr>
      <w:numPr>
        <w:numId w:val="33"/>
      </w:numPr>
    </w:pPr>
  </w:style>
  <w:style w:type="paragraph" w:customStyle="1" w:styleId="Boxtext">
    <w:name w:val="Box text"/>
    <w:basedOn w:val="Normal"/>
    <w:uiPriority w:val="1"/>
    <w:qFormat/>
    <w:rsid w:val="00535D28"/>
    <w:pPr>
      <w:spacing w:line="260" w:lineRule="atLeast"/>
      <w:ind w:left="284" w:right="284"/>
      <w:jc w:val="left"/>
    </w:pPr>
    <w:rPr>
      <w:color w:val="005B73"/>
      <w:sz w:val="20"/>
    </w:rPr>
  </w:style>
  <w:style w:type="paragraph" w:customStyle="1" w:styleId="Boxbullet">
    <w:name w:val="Box bullet"/>
    <w:basedOn w:val="Boxtext"/>
    <w:uiPriority w:val="1"/>
    <w:qFormat/>
    <w:rsid w:val="00535D28"/>
    <w:pPr>
      <w:numPr>
        <w:numId w:val="2"/>
      </w:numPr>
      <w:tabs>
        <w:tab w:val="left" w:pos="680"/>
      </w:tabs>
      <w:spacing w:before="0"/>
      <w:ind w:left="681" w:hanging="397"/>
    </w:pPr>
    <w:rPr>
      <w:rFonts w:cs="Times New Roman"/>
      <w:szCs w:val="20"/>
    </w:rPr>
  </w:style>
  <w:style w:type="paragraph" w:customStyle="1" w:styleId="Boxheading">
    <w:name w:val="Box heading"/>
    <w:basedOn w:val="Boxtext"/>
    <w:next w:val="Boxtext"/>
    <w:uiPriority w:val="1"/>
    <w:qFormat/>
    <w:rsid w:val="00535D28"/>
    <w:pPr>
      <w:keepNext/>
      <w:spacing w:before="240" w:after="0"/>
    </w:pPr>
    <w:rPr>
      <w:rFonts w:cs="Times New Roman"/>
      <w:b/>
      <w:sz w:val="22"/>
      <w:szCs w:val="20"/>
    </w:rPr>
  </w:style>
  <w:style w:type="paragraph" w:customStyle="1" w:styleId="Boxsub-bullet">
    <w:name w:val="Box sub-bullet"/>
    <w:basedOn w:val="Boxtext"/>
    <w:uiPriority w:val="1"/>
    <w:qFormat/>
    <w:rsid w:val="00535D28"/>
    <w:pPr>
      <w:numPr>
        <w:numId w:val="36"/>
      </w:numPr>
      <w:spacing w:before="0"/>
    </w:pPr>
    <w:rPr>
      <w:rFonts w:cs="Times New Roman"/>
      <w:szCs w:val="20"/>
    </w:rPr>
  </w:style>
  <w:style w:type="character" w:styleId="UnresolvedMention">
    <w:name w:val="Unresolved Mention"/>
    <w:basedOn w:val="DefaultParagraphFont"/>
    <w:uiPriority w:val="99"/>
    <w:semiHidden/>
    <w:unhideWhenUsed/>
    <w:rsid w:val="00563317"/>
    <w:rPr>
      <w:color w:val="605E5C"/>
      <w:shd w:val="clear" w:color="auto" w:fill="E1DFDD"/>
    </w:rPr>
  </w:style>
  <w:style w:type="paragraph" w:styleId="CommentText">
    <w:name w:val="annotation text"/>
    <w:basedOn w:val="Normal"/>
    <w:link w:val="CommentTextChar"/>
    <w:uiPriority w:val="99"/>
    <w:semiHidden/>
    <w:rsid w:val="00456E90"/>
    <w:pPr>
      <w:spacing w:line="240" w:lineRule="auto"/>
    </w:pPr>
    <w:rPr>
      <w:sz w:val="20"/>
      <w:szCs w:val="20"/>
    </w:rPr>
  </w:style>
  <w:style w:type="character" w:customStyle="1" w:styleId="CommentTextChar">
    <w:name w:val="Comment Text Char"/>
    <w:basedOn w:val="DefaultParagraphFont"/>
    <w:link w:val="CommentText"/>
    <w:uiPriority w:val="99"/>
    <w:semiHidden/>
    <w:rsid w:val="00456E90"/>
    <w:rPr>
      <w:rFonts w:ascii="Calibri" w:eastAsiaTheme="minorEastAsia" w:hAnsi="Calibri"/>
      <w:sz w:val="20"/>
      <w:szCs w:val="20"/>
      <w:lang w:eastAsia="en-NZ"/>
    </w:rPr>
  </w:style>
  <w:style w:type="paragraph" w:customStyle="1" w:styleId="Sub-listi">
    <w:name w:val="Sub-list i"/>
    <w:aliases w:val="ii"/>
    <w:basedOn w:val="BodyText"/>
    <w:uiPriority w:val="1"/>
    <w:rsid w:val="00D51D48"/>
    <w:pPr>
      <w:tabs>
        <w:tab w:val="num" w:pos="794"/>
      </w:tabs>
      <w:spacing w:before="60" w:after="60"/>
      <w:ind w:left="794" w:hanging="397"/>
    </w:pPr>
  </w:style>
  <w:style w:type="character" w:customStyle="1" w:styleId="normaltextrun">
    <w:name w:val="normaltextrun"/>
    <w:basedOn w:val="DefaultParagraphFont"/>
    <w:rsid w:val="006E15DE"/>
  </w:style>
  <w:style w:type="paragraph" w:customStyle="1" w:styleId="Sub-list">
    <w:name w:val="Sub-list"/>
    <w:basedOn w:val="Normal"/>
    <w:uiPriority w:val="99"/>
    <w:qFormat/>
    <w:rsid w:val="00F77BC4"/>
    <w:pPr>
      <w:tabs>
        <w:tab w:val="num" w:pos="397"/>
        <w:tab w:val="left" w:pos="794"/>
      </w:tabs>
      <w:spacing w:before="0"/>
      <w:ind w:left="397"/>
      <w:jc w:val="left"/>
    </w:pPr>
    <w:rPr>
      <w:rFonts w:eastAsia="Times New Roman" w:cs="Times New Roman"/>
      <w:kern w:val="2"/>
      <w14:ligatures w14:val="standardContextual"/>
    </w:rPr>
  </w:style>
  <w:style w:type="paragraph" w:customStyle="1" w:styleId="TableText0">
    <w:name w:val="TableText"/>
    <w:basedOn w:val="Normal"/>
    <w:qFormat/>
    <w:rsid w:val="00F77BC4"/>
    <w:pPr>
      <w:spacing w:before="60" w:after="60" w:line="240" w:lineRule="atLeast"/>
      <w:jc w:val="left"/>
    </w:pPr>
    <w:rPr>
      <w:rFonts w:eastAsia="Times New Roman" w:cs="Times New Roman"/>
      <w:kern w:val="2"/>
      <w:sz w:val="18"/>
      <w14:ligatures w14:val="standardContextual"/>
    </w:rPr>
  </w:style>
  <w:style w:type="paragraph" w:customStyle="1" w:styleId="TableTextbold0">
    <w:name w:val="TableText bold"/>
    <w:basedOn w:val="TableText0"/>
    <w:rsid w:val="00F77BC4"/>
    <w:rPr>
      <w:b/>
    </w:rPr>
  </w:style>
  <w:style w:type="paragraph" w:styleId="NoSpacing">
    <w:name w:val="No Spacing"/>
    <w:aliases w:val="Numbered Paragraphs"/>
    <w:uiPriority w:val="1"/>
    <w:qFormat/>
    <w:rsid w:val="00F77BC4"/>
    <w:pPr>
      <w:spacing w:before="120" w:after="120" w:line="240" w:lineRule="auto"/>
      <w:jc w:val="both"/>
    </w:pPr>
    <w:rPr>
      <w:rFonts w:ascii="Arial" w:hAnsi="Arial" w:cs="Times New Roman"/>
      <w:kern w:val="2"/>
      <w:szCs w:val="20"/>
      <w14:ligatures w14:val="standardContextual"/>
    </w:rPr>
  </w:style>
  <w:style w:type="character" w:styleId="Mention">
    <w:name w:val="Mention"/>
    <w:basedOn w:val="DefaultParagraphFont"/>
    <w:uiPriority w:val="99"/>
    <w:unhideWhenUsed/>
    <w:rsid w:val="000822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bills.parliament.nz/v/4/4be8fd1c-780c-45f7-464e-08dea0b9800f?lang=en" TargetMode="External"/><Relationship Id="rId2" Type="http://schemas.openxmlformats.org/officeDocument/2006/relationships/hyperlink" Target="https://www.legislation.govt.nz/act/public/2002/0040/latest/DLM4970254.html" TargetMode="External"/><Relationship Id="rId1" Type="http://schemas.openxmlformats.org/officeDocument/2006/relationships/hyperlink" Target="https://www.legislation.govt.nz/regulation/public/2020/0264/latest/whole.html" TargetMode="External"/><Relationship Id="rId6" Type="http://schemas.openxmlformats.org/officeDocument/2006/relationships/hyperlink" Target="https://www.treasury.govt.nz/publications/efu/budget-economic-and-fiscal-update-2026" TargetMode="External"/><Relationship Id="rId5" Type="http://schemas.openxmlformats.org/officeDocument/2006/relationships/hyperlink" Target="https://www.treasury.govt.nz/publications/efu/half-year-economic-and-fiscal-update-2025" TargetMode="External"/><Relationship Id="rId4" Type="http://schemas.openxmlformats.org/officeDocument/2006/relationships/hyperlink" Target="https://www.legislation.govt.nz/act/public/2002/40/en/lates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mcertnz.sharepoint.com/sites/BrandGuide/Office%20Templates/Publication%20template.dotx" TargetMode="External"/></Relationships>
</file>

<file path=word/theme/theme1.xml><?xml version="1.0" encoding="utf-8"?>
<a:theme xmlns:a="http://schemas.openxmlformats.org/drawingml/2006/main" name="MFE">
  <a:themeElements>
    <a:clrScheme name="MCERT">
      <a:dk1>
        <a:sysClr val="windowText" lastClr="000000"/>
      </a:dk1>
      <a:lt1>
        <a:sysClr val="window" lastClr="FFFFFF"/>
      </a:lt1>
      <a:dk2>
        <a:srgbClr val="005B73"/>
      </a:dk2>
      <a:lt2>
        <a:srgbClr val="CCDEE3"/>
      </a:lt2>
      <a:accent1>
        <a:srgbClr val="0D2C6C"/>
      </a:accent1>
      <a:accent2>
        <a:srgbClr val="3D612D"/>
      </a:accent2>
      <a:accent3>
        <a:srgbClr val="652F8F"/>
      </a:accent3>
      <a:accent4>
        <a:srgbClr val="006AC6"/>
      </a:accent4>
      <a:accent5>
        <a:srgbClr val="D8DFD5"/>
      </a:accent5>
      <a:accent6>
        <a:srgbClr val="8CC8D3"/>
      </a:accent6>
      <a:hlink>
        <a:srgbClr val="006AC6"/>
      </a:hlink>
      <a:folHlink>
        <a:srgbClr val="652F8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a94300e-a927-4b92-9d3a-682523035cb6">
      <Terms xmlns="http://schemas.microsoft.com/office/infopath/2007/PartnerControls"/>
    </lcf76f155ced4ddcb4097134ff3c332f>
    <TaxCatchAll xmlns="58a6f171-52cb-4404-b47d-af1c8daf8fd1" xsi:nil="true"/>
    <Legacy_x0020_DocID xmlns="4a94300e-a927-4b92-9d3a-682523035cb6" xsi:nil="true"/>
    <Year xmlns="4a94300e-a927-4b92-9d3a-682523035cb6" xsi:nil="true"/>
    <Legacy_x0020_Version xmlns="4a94300e-a927-4b92-9d3a-682523035cb6" xsi:nil="true"/>
    <Sender_x0020_Date xmlns="4a94300e-a927-4b92-9d3a-682523035cb6" xsi:nil="true"/>
    <Library xmlns="4a94300e-a927-4b92-9d3a-682523035cb6" xsi:nil="true"/>
    <Class xmlns="4a94300e-a927-4b92-9d3a-682523035cb6" xsi:nil="true"/>
    <From xmlns="4a94300e-a927-4b92-9d3a-682523035cb6" xsi:nil="true"/>
    <Sender xmlns="4a94300e-a927-4b92-9d3a-682523035cb6" xsi:nil="true"/>
    <IconOverlay xmlns="http://schemas.microsoft.com/sharepoint/v4" xsi:nil="true"/>
    <Other_x0020_Details xmlns="4a94300e-a927-4b92-9d3a-682523035cb6" xsi:nil="true"/>
    <Carbon_x0020_Copy xmlns="4a94300e-a927-4b92-9d3a-682523035cb6" xsi:nil="true"/>
    <Author0 xmlns="4a94300e-a927-4b92-9d3a-682523035cb6" xsi:nil="true"/>
    <Email_x0020_Table xmlns="4a94300e-a927-4b92-9d3a-682523035cb6" xsi:nil="true"/>
    <MTS_x0020_ID xmlns="4a94300e-a927-4b92-9d3a-682523035cb6" xsi:nil="true"/>
    <MTS_x0020_Type xmlns="4a94300e-a927-4b92-9d3a-682523035cb6" xsi:nil="true"/>
    <Receiver xmlns="4a94300e-a927-4b92-9d3a-682523035cb6" xsi:nil="true"/>
    <Other_x0020_Details_2 xmlns="4a94300e-a927-4b92-9d3a-682523035cb6" xsi:nil="true"/>
    <Sent_x002f_Received xmlns="4a94300e-a927-4b92-9d3a-682523035cb6" xsi:nil="true"/>
    <Other_x0020_Details_3 xmlns="4a94300e-a927-4b92-9d3a-682523035cb6" xsi:nil="true"/>
    <To xmlns="4a94300e-a927-4b92-9d3a-682523035cb6" xsi:nil="true"/>
    <Receiver_x0020_Date xmlns="4a94300e-a927-4b92-9d3a-682523035cb6" xsi:nil="true"/>
    <Status xmlns="4a94300e-a927-4b92-9d3a-682523035cb6" xsi:nil="true"/>
    <Document_x0020_Type xmlns="4a94300e-a927-4b92-9d3a-682523035cb6" xsi:nil="true"/>
    <_dlc_DocId xmlns="58a6f171-52cb-4404-b47d-af1c8daf8fd1">ECM-1122293896-131731</_dlc_DocId>
    <_dlc_DocIdUrl xmlns="58a6f171-52cb-4404-b47d-af1c8daf8fd1">
      <Url>https://ministryforenvironment.sharepoint.com/sites/ECM-ER-Comms/_layouts/15/DocIdRedir.aspx?ID=ECM-1122293896-131731</Url>
      <Description>ECM-1122293896-131731</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A5FB0BEBF7DE54D9F252D8A06C053F7" ma:contentTypeVersion="46" ma:contentTypeDescription="Create a new document." ma:contentTypeScope="" ma:versionID="2435a442e96156ddc644d0be26c76204">
  <xsd:schema xmlns:xsd="http://www.w3.org/2001/XMLSchema" xmlns:xs="http://www.w3.org/2001/XMLSchema" xmlns:p="http://schemas.microsoft.com/office/2006/metadata/properties" xmlns:ns1="http://schemas.microsoft.com/sharepoint/v3" xmlns:ns2="58a6f171-52cb-4404-b47d-af1c8daf8fd1" xmlns:ns3="4a94300e-a927-4b92-9d3a-682523035cb6" xmlns:ns4="http://schemas.microsoft.com/sharepoint/v4" xmlns:ns5="0a5b0190-e301-4766-933d-448c7c363fce" targetNamespace="http://schemas.microsoft.com/office/2006/metadata/properties" ma:root="true" ma:fieldsID="8df35c86322933517d2809a8e9b40fd6" ns1:_="" ns2:_="" ns3:_="" ns4:_="" ns5:_="">
    <xsd:import namespace="http://schemas.microsoft.com/sharepoint/v3"/>
    <xsd:import namespace="58a6f171-52cb-4404-b47d-af1c8daf8fd1"/>
    <xsd:import namespace="4a94300e-a927-4b92-9d3a-682523035cb6"/>
    <xsd:import namespace="http://schemas.microsoft.com/sharepoint/v4"/>
    <xsd:import namespace="0a5b0190-e301-4766-933d-448c7c363fce"/>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MediaServiceMetadata" minOccurs="0"/>
                <xsd:element ref="ns3:MediaServiceFastMetadata" minOccurs="0"/>
                <xsd:element ref="ns3:MediaServiceAutoKeyPoints" minOccurs="0"/>
                <xsd:element ref="ns3:MediaServiceKeyPoints"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MTS_x0020_Type" minOccurs="0"/>
                <xsd:element ref="ns3:MTS_x0020_ID" minOccurs="0"/>
                <xsd:element ref="ns3:Other_x0020_Details_2"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Other_x0020_Details_3" minOccurs="0"/>
                <xsd:element ref="ns3:To" minOccurs="0"/>
                <xsd:element ref="ns3:From" minOccurs="0"/>
                <xsd:element ref="ns3:Sent_x002f_Received" minOccurs="0"/>
                <xsd:element ref="ns1:_ip_UnifiedCompliancePolicyProperties" minOccurs="0"/>
                <xsd:element ref="ns1:_ip_UnifiedCompliancePolicyUIAction" minOccurs="0"/>
                <xsd:element ref="ns3:MediaLengthInSeconds" minOccurs="0"/>
                <xsd:element ref="ns4:IconOverlay" minOccurs="0"/>
                <xsd:element ref="ns5:SharedWithUsers" minOccurs="0"/>
                <xsd:element ref="ns5: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2" nillable="true" ma:displayName="Taxonomy Catch All Column" ma:hidden="true" ma:list="{0667bd51-75f8-4035-9f2e-4aaf1cd86fb2}" ma:internalName="TaxCatchAll" ma:showField="CatchAllData" ma:web="0a5b0190-e301-4766-933d-448c7c363f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94300e-a927-4b92-9d3a-682523035cb6" elementFormDefault="qualified">
    <xsd:import namespace="http://schemas.microsoft.com/office/2006/documentManagement/types"/>
    <xsd:import namespace="http://schemas.microsoft.com/office/infopath/2007/PartnerControls"/>
    <xsd:element name="Document_x0020_Type" ma:index="11" nillable="true" ma:displayName="Document Type" ma:default="" ma:description="" ma:internalName="Document_x0020_Type">
      <xsd:simpleType>
        <xsd:restriction base="dms:Note">
          <xsd:maxLength value="255"/>
        </xsd:restriction>
      </xsd:simpleType>
    </xsd:element>
    <xsd:element name="Sender" ma:index="12" nillable="true" ma:displayName="Sender" ma:description="" ma:internalName="Sender">
      <xsd:simpleType>
        <xsd:restriction base="dms:Text">
          <xsd:maxLength value="255"/>
        </xsd:restriction>
      </xsd:simpleType>
    </xsd:element>
    <xsd:element name="Receiver" ma:index="13" nillable="true" ma:displayName="Receiver" ma:description="" ma:internalName="Receiver">
      <xsd:simpleType>
        <xsd:restriction base="dms:Text">
          <xsd:maxLength value="255"/>
        </xsd:restriction>
      </xsd:simpleType>
    </xsd:element>
    <xsd:element name="Sender_x0020_Date" ma:index="14" nillable="true" ma:displayName="Sender Date" ma:default="" ma:description="" ma:format="DateTime" ma:internalName="Sender_x0020_Date">
      <xsd:simpleType>
        <xsd:restriction base="dms:DateTime"/>
      </xsd:simpleType>
    </xsd:element>
    <xsd:element name="Receiver_x0020_Date" ma:index="15" nillable="true" ma:displayName="Receiver Date" ma:default="" ma:description="" ma:format="DateTime" ma:internalName="Receiver_x0020_Date">
      <xsd:simpleType>
        <xsd:restriction base="dms:DateTime"/>
      </xsd:simpleType>
    </xsd:element>
    <xsd:element name="Carbon_x0020_Copy" ma:index="16" nillable="true" ma:displayName="Carbon Copy" ma:description="" ma:internalName="Carbon_x0020_Copy">
      <xsd:simpleType>
        <xsd:restriction base="dms:Text">
          <xsd:maxLength value="255"/>
        </xsd:restriction>
      </xsd:simpleType>
    </xsd:element>
    <xsd:element name="Email_x0020_Table" ma:index="18" nillable="true" ma:displayName="Email Table" ma:description="" ma:internalName="Email_x0020_Table">
      <xsd:simpleType>
        <xsd:restriction base="dms:Note">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ibrary" ma:index="23" nillable="true" ma:displayName="Library" ma:default="" ma:description="" ma:internalName="Library">
      <xsd:simpleType>
        <xsd:restriction base="dms:Text">
          <xsd:maxLength value="255"/>
        </xsd:restriction>
      </xsd:simpleType>
    </xsd:element>
    <xsd:element name="Legacy_x0020_DocID" ma:index="24" nillable="true" ma:displayName="Legacy DocID" ma:decimals="-1" ma:default="" ma:description="" ma:internalName="Legacy_x0020_DocID">
      <xsd:simpleType>
        <xsd:restriction base="dms:Number"/>
      </xsd:simpleType>
    </xsd:element>
    <xsd:element name="Legacy_x0020_Version" ma:index="25" nillable="true" ma:displayName="Legacy Version" ma:default="" ma:description="" ma:internalName="Legacy_x0020_Version">
      <xsd:simpleType>
        <xsd:restriction base="dms:Text">
          <xsd:maxLength value="255"/>
        </xsd:restriction>
      </xsd:simpleType>
    </xsd:element>
    <xsd:element name="Class" ma:index="26" nillable="true" ma:displayName="Class" ma:default="" ma:description="" ma:internalName="Class">
      <xsd:simpleType>
        <xsd:restriction base="dms:Text">
          <xsd:maxLength value="255"/>
        </xsd:restriction>
      </xsd:simpleType>
    </xsd:element>
    <xsd:element name="Author0" ma:index="27" nillable="true" ma:displayName="Author" ma:default="" ma:description="" ma:internalName="Author0">
      <xsd:simpleType>
        <xsd:restriction base="dms:Text">
          <xsd:maxLength value="255"/>
        </xsd:restriction>
      </xsd:simpleType>
    </xsd:element>
    <xsd:element name="Status" ma:index="28" nillable="true" ma:displayName="Status" ma:default="" ma:description="" ma:internalName="Status">
      <xsd:simpleType>
        <xsd:restriction base="dms:Text">
          <xsd:maxLength value="255"/>
        </xsd:restriction>
      </xsd:simpleType>
    </xsd:element>
    <xsd:element name="Year" ma:index="29" nillable="true" ma:displayName="Year" ma:default="" ma:description="" ma:internalName="Year">
      <xsd:simpleType>
        <xsd:restriction base="dms:Text">
          <xsd:maxLength value="255"/>
        </xsd:restriction>
      </xsd:simpleType>
    </xsd:element>
    <xsd:element name="Other_x0020_Details" ma:index="30" nillable="true" ma:displayName="Other Details" ma:default="" ma:description="" ma:internalName="Other_x0020_Details">
      <xsd:simpleType>
        <xsd:restriction base="dms:Text">
          <xsd:maxLength value="255"/>
        </xsd:restriction>
      </xsd:simpleType>
    </xsd:element>
    <xsd:element name="MTS_x0020_Type" ma:index="31" nillable="true" ma:displayName="MTS Type" ma:default="" ma:description="" ma:internalName="MTS_x0020_Type">
      <xsd:simpleType>
        <xsd:restriction base="dms:Note">
          <xsd:maxLength value="255"/>
        </xsd:restriction>
      </xsd:simpleType>
    </xsd:element>
    <xsd:element name="MTS_x0020_ID" ma:index="32" nillable="true" ma:displayName="MTS ID" ma:default="" ma:description="" ma:internalName="MTS_x0020_ID">
      <xsd:simpleType>
        <xsd:restriction base="dms:Text">
          <xsd:maxLength value="255"/>
        </xsd:restriction>
      </xsd:simpleType>
    </xsd:element>
    <xsd:element name="Other_x0020_Details_2" ma:index="33" nillable="true" ma:displayName="Other Details_2" ma:description="" ma:internalName="Other_x0020_Details_2">
      <xsd:simpleType>
        <xsd:restriction base="dms:Text">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Other_x0020_Details_3" ma:index="40" nillable="true" ma:displayName="Other Details_3" ma:description="" ma:internalName="Other_x0020_Details_3">
      <xsd:simpleType>
        <xsd:restriction base="dms:Text">
          <xsd:maxLength value="255"/>
        </xsd:restriction>
      </xsd:simpleType>
    </xsd:element>
    <xsd:element name="To" ma:index="41" nillable="true" ma:displayName="To" ma:default="" ma:description="" ma:internalName="To">
      <xsd:simpleType>
        <xsd:restriction base="dms:Note">
          <xsd:maxLength value="255"/>
        </xsd:restriction>
      </xsd:simpleType>
    </xsd:element>
    <xsd:element name="From" ma:index="42" nillable="true" ma:displayName="From" ma:default="" ma:description="" ma:internalName="From">
      <xsd:simpleType>
        <xsd:restriction base="dms:Text">
          <xsd:maxLength value="255"/>
        </xsd:restriction>
      </xsd:simpleType>
    </xsd:element>
    <xsd:element name="Sent_x002f_Received" ma:index="43" nillable="true" ma:displayName="Sent/Received" ma:default="" ma:description="" ma:internalName="Sent_x002f_Received">
      <xsd:simpleType>
        <xsd:restriction base="dms:Text">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0190-e301-4766-933d-448c7c363fce" elementFormDefault="qualified">
    <xsd:import namespace="http://schemas.microsoft.com/office/2006/documentManagement/types"/>
    <xsd:import namespace="http://schemas.microsoft.com/office/infopath/2007/PartnerControls"/>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ABE385-CC81-41C6-A3F2-1BC9449571F7}">
  <ds:schemaRefs>
    <ds:schemaRef ds:uri="http://schemas.microsoft.com/office/2006/metadata/properties"/>
    <ds:schemaRef ds:uri="http://schemas.microsoft.com/office/infopath/2007/PartnerControls"/>
    <ds:schemaRef ds:uri="http://schemas.microsoft.com/sharepoint/v3"/>
    <ds:schemaRef ds:uri="4a94300e-a927-4b92-9d3a-682523035cb6"/>
    <ds:schemaRef ds:uri="58a6f171-52cb-4404-b47d-af1c8daf8fd1"/>
    <ds:schemaRef ds:uri="http://schemas.microsoft.com/sharepoint/v4"/>
  </ds:schemaRefs>
</ds:datastoreItem>
</file>

<file path=customXml/itemProps2.xml><?xml version="1.0" encoding="utf-8"?>
<ds:datastoreItem xmlns:ds="http://schemas.openxmlformats.org/officeDocument/2006/customXml" ds:itemID="{08A20AEC-444E-4AE9-B9E3-CF1EDDACA51D}">
  <ds:schemaRefs>
    <ds:schemaRef ds:uri="http://schemas.microsoft.com/sharepoint/events"/>
  </ds:schemaRefs>
</ds:datastoreItem>
</file>

<file path=customXml/itemProps3.xml><?xml version="1.0" encoding="utf-8"?>
<ds:datastoreItem xmlns:ds="http://schemas.openxmlformats.org/officeDocument/2006/customXml" ds:itemID="{A2A622E9-C2AD-4998-ACB8-18A2F7AAD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6f171-52cb-4404-b47d-af1c8daf8fd1"/>
    <ds:schemaRef ds:uri="4a94300e-a927-4b92-9d3a-682523035cb6"/>
    <ds:schemaRef ds:uri="http://schemas.microsoft.com/sharepoint/v4"/>
    <ds:schemaRef ds:uri="0a5b0190-e301-4766-933d-448c7c363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7907E1-733D-40A2-9501-D22B1B74D9CB}">
  <ds:schemaRefs>
    <ds:schemaRef ds:uri="http://schemas.openxmlformats.org/officeDocument/2006/bibliography"/>
  </ds:schemaRefs>
</ds:datastoreItem>
</file>

<file path=customXml/itemProps5.xml><?xml version="1.0" encoding="utf-8"?>
<ds:datastoreItem xmlns:ds="http://schemas.openxmlformats.org/officeDocument/2006/customXml" ds:itemID="{4D0CDAC4-0417-4665-BFBD-38D6177B7AAE}">
  <ds:schemaRefs>
    <ds:schemaRef ds:uri="http://schemas.microsoft.com/sharepoint/v3/contenttype/forms"/>
  </ds:schemaRefs>
</ds:datastoreItem>
</file>

<file path=docMetadata/LabelInfo.xml><?xml version="1.0" encoding="utf-8"?>
<clbl:labelList xmlns:clbl="http://schemas.microsoft.com/office/2020/mipLabelMetadata">
  <clbl:label id="{d1bdb5c6-e71b-4a4d-b135-1073d28955bb}" enabled="1" method="Privileged" siteId="{8763688f-b2d2-46f9-bc2c-cebbeeb58ec1}" contentBits="3" removed="0"/>
</clbl:labelList>
</file>

<file path=docProps/app.xml><?xml version="1.0" encoding="utf-8"?>
<Properties xmlns="http://schemas.openxmlformats.org/officeDocument/2006/extended-properties" xmlns:vt="http://schemas.openxmlformats.org/officeDocument/2006/docPropsVTypes">
  <Template>Publication%20template</Template>
  <TotalTime>1</TotalTime>
  <Pages>11</Pages>
  <Words>2629</Words>
  <Characters>14989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Stirling</dc:creator>
  <cp:keywords/>
  <cp:lastModifiedBy>Linda Stirling</cp:lastModifiedBy>
  <cp:revision>5</cp:revision>
  <dcterms:created xsi:type="dcterms:W3CDTF">2026-09-27T18:58:00Z</dcterms:created>
  <dcterms:modified xsi:type="dcterms:W3CDTF">2026-09-29T00:18:00Z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0x010100EA5FB0BEBF7DE54D9F252D8A06C053F7</vt:lpwstr>
  </property>
  <property fmtid="{D5CDD505-2E9C-101B-9397-08002B2CF9AE}" pid="3" name="_dlc_DocIdItemGuid">
    <vt:lpwstr>a1b957d9-2768-4fc5-afd3-ca3645d5038b</vt:lpwstr>
  </property>
  <property fmtid="{D5CDD505-2E9C-101B-9397-08002B2CF9AE}" pid="4" name="MSIP_Label_52dda6cc-d61d-4fd2-bf18-9b3017d931cc_Enabled">
    <vt:lpwstr>true</vt:lpwstr>
  </property>
  <property fmtid="{D5CDD505-2E9C-101B-9397-08002B2CF9AE}" pid="5" name="MSIP_Label_52dda6cc-d61d-4fd2-bf18-9b3017d931cc_SetDate">
    <vt:lpwstr>2022-01-16T22:14:40Z</vt:lpwstr>
  </property>
  <property fmtid="{D5CDD505-2E9C-101B-9397-08002B2CF9AE}" pid="6" name="MSIP_Label_52dda6cc-d61d-4fd2-bf18-9b3017d931cc_Method">
    <vt:lpwstr>Privileged</vt:lpwstr>
  </property>
  <property fmtid="{D5CDD505-2E9C-101B-9397-08002B2CF9AE}" pid="7" name="MSIP_Label_52dda6cc-d61d-4fd2-bf18-9b3017d931cc_Name">
    <vt:lpwstr>[UNCLASSIFIED]</vt:lpwstr>
  </property>
  <property fmtid="{D5CDD505-2E9C-101B-9397-08002B2CF9AE}" pid="8" name="MSIP_Label_52dda6cc-d61d-4fd2-bf18-9b3017d931cc_SiteId">
    <vt:lpwstr>761dd003-d4ff-4049-8a72-8549b20fcbb1</vt:lpwstr>
  </property>
  <property fmtid="{D5CDD505-2E9C-101B-9397-08002B2CF9AE}" pid="9" name="MSIP_Label_52dda6cc-d61d-4fd2-bf18-9b3017d931cc_ActionId">
    <vt:lpwstr>9adb5016-2886-4e41-9a13-e62dbe13137f</vt:lpwstr>
  </property>
  <property fmtid="{D5CDD505-2E9C-101B-9397-08002B2CF9AE}" pid="10" name="MSIP_Label_52dda6cc-d61d-4fd2-bf18-9b3017d931cc_ContentBits">
    <vt:lpwstr>0</vt:lpwstr>
  </property>
  <property fmtid="{D5CDD505-2E9C-101B-9397-08002B2CF9AE}" pid="11" name="MediaServiceImageTags">
    <vt:lpwstr/>
  </property>
  <property fmtid="{D5CDD505-2E9C-101B-9397-08002B2CF9AE}" pid="12" name="GrammarlyDocumentId">
    <vt:lpwstr>c948e771-63e0-4b11-ad83-d7507b9bffa9</vt:lpwstr>
  </property>
  <property fmtid="{D5CDD505-2E9C-101B-9397-08002B2CF9AE}" pid="13" name="ClassificationContentMarkingHeaderShapeIds">
    <vt:lpwstr>176fa90e,72ca6914,39836449,3c34eb7b,1811c307</vt:lpwstr>
  </property>
  <property fmtid="{D5CDD505-2E9C-101B-9397-08002B2CF9AE}" pid="14" name="ClassificationContentMarkingHeaderFontProps">
    <vt:lpwstr>#000000,11,Aptos</vt:lpwstr>
  </property>
  <property fmtid="{D5CDD505-2E9C-101B-9397-08002B2CF9AE}" pid="15" name="ClassificationContentMarkingHeaderText">
    <vt:lpwstr>[UNCLASSIFIED]</vt:lpwstr>
  </property>
  <property fmtid="{D5CDD505-2E9C-101B-9397-08002B2CF9AE}" pid="16" name="ClassificationContentMarkingFooterShapeIds">
    <vt:lpwstr>10087b12,135793b2,34dec0cf,2cc578,1a34e3ce,29058a76,1a153eef</vt:lpwstr>
  </property>
  <property fmtid="{D5CDD505-2E9C-101B-9397-08002B2CF9AE}" pid="17" name="ClassificationContentMarkingFooterFontProps">
    <vt:lpwstr>#000000,11,Aptos</vt:lpwstr>
  </property>
  <property fmtid="{D5CDD505-2E9C-101B-9397-08002B2CF9AE}" pid="18" name="ClassificationContentMarkingFooterText">
    <vt:lpwstr>[UNCLASSIFIED]</vt:lpwstr>
  </property>
</Properties>
</file>